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35" w:tblpY="1"/>
        <w:tblW w:w="11992" w:type="dxa"/>
        <w:shd w:val="clear" w:color="auto" w:fill="E0E0E0"/>
        <w:tblLayout w:type="fixed"/>
        <w:tblLook w:val="01E0" w:firstRow="1" w:lastRow="1" w:firstColumn="1" w:lastColumn="1" w:noHBand="0" w:noVBand="0"/>
      </w:tblPr>
      <w:tblGrid>
        <w:gridCol w:w="388"/>
        <w:gridCol w:w="1802"/>
        <w:gridCol w:w="1486"/>
        <w:gridCol w:w="13"/>
        <w:gridCol w:w="533"/>
        <w:gridCol w:w="7770"/>
      </w:tblGrid>
      <w:tr w:rsidR="00055C3A" w:rsidRPr="00CB0A5A" w:rsidTr="00701A91">
        <w:trPr>
          <w:trHeight w:hRule="exact" w:val="23"/>
        </w:trPr>
        <w:tc>
          <w:tcPr>
            <w:tcW w:w="3676" w:type="dxa"/>
            <w:gridSpan w:val="3"/>
            <w:shd w:val="clear" w:color="auto" w:fill="auto"/>
          </w:tcPr>
          <w:p w:rsidR="00055C3A" w:rsidRPr="00474C0D" w:rsidRDefault="00055C3A" w:rsidP="00055C3A">
            <w:pPr>
              <w:rPr>
                <w:sz w:val="18"/>
                <w:szCs w:val="18"/>
              </w:rPr>
            </w:pPr>
            <w:r w:rsidRPr="00474C0D">
              <w:rPr>
                <w:rFonts w:hint="eastAsia"/>
                <w:sz w:val="18"/>
                <w:szCs w:val="18"/>
              </w:rPr>
              <w:t>[</w:t>
            </w:r>
            <w:proofErr w:type="spellStart"/>
            <w:r w:rsidRPr="00474C0D">
              <w:rPr>
                <w:rFonts w:hint="eastAsia"/>
                <w:sz w:val="18"/>
                <w:szCs w:val="18"/>
              </w:rPr>
              <w:t>Table_MainInfo</w:t>
            </w:r>
            <w:proofErr w:type="spellEnd"/>
            <w:r w:rsidRPr="00474C0D">
              <w:rPr>
                <w:rFonts w:hint="eastAsia"/>
                <w:sz w:val="18"/>
                <w:szCs w:val="18"/>
              </w:rPr>
              <w:t>]</w:t>
            </w:r>
          </w:p>
        </w:tc>
        <w:tc>
          <w:tcPr>
            <w:tcW w:w="8316" w:type="dxa"/>
            <w:gridSpan w:val="3"/>
            <w:shd w:val="clear" w:color="auto" w:fill="00326E"/>
          </w:tcPr>
          <w:p w:rsidR="00055C3A" w:rsidRPr="00474C0D" w:rsidRDefault="00055C3A" w:rsidP="00055C3A">
            <w:pPr>
              <w:rPr>
                <w:sz w:val="18"/>
                <w:szCs w:val="18"/>
              </w:rPr>
            </w:pPr>
          </w:p>
        </w:tc>
      </w:tr>
      <w:tr w:rsidR="00055C3A" w:rsidRPr="00CB0A5A" w:rsidTr="00755DED">
        <w:trPr>
          <w:trHeight w:hRule="exact" w:val="398"/>
        </w:trPr>
        <w:tc>
          <w:tcPr>
            <w:tcW w:w="3676" w:type="dxa"/>
            <w:gridSpan w:val="3"/>
            <w:shd w:val="clear" w:color="auto" w:fill="auto"/>
          </w:tcPr>
          <w:p w:rsidR="00055C3A" w:rsidRPr="00474C0D" w:rsidRDefault="00055C3A" w:rsidP="00055C3A">
            <w:pPr>
              <w:rPr>
                <w:sz w:val="18"/>
                <w:szCs w:val="18"/>
              </w:rPr>
            </w:pPr>
          </w:p>
        </w:tc>
        <w:tc>
          <w:tcPr>
            <w:tcW w:w="8316" w:type="dxa"/>
            <w:gridSpan w:val="3"/>
            <w:shd w:val="clear" w:color="auto" w:fill="00326E"/>
          </w:tcPr>
          <w:p w:rsidR="00055C3A" w:rsidRPr="00474C0D" w:rsidRDefault="00055C3A" w:rsidP="00055C3A">
            <w:pPr>
              <w:rPr>
                <w:sz w:val="18"/>
                <w:szCs w:val="18"/>
              </w:rPr>
            </w:pPr>
          </w:p>
        </w:tc>
      </w:tr>
      <w:tr w:rsidR="00413E1F" w:rsidRPr="00CB0A5A" w:rsidTr="00755DED">
        <w:trPr>
          <w:trHeight w:hRule="exact" w:val="567"/>
        </w:trPr>
        <w:tc>
          <w:tcPr>
            <w:tcW w:w="388" w:type="dxa"/>
            <w:shd w:val="clear" w:color="auto" w:fill="FFFFFF"/>
          </w:tcPr>
          <w:p w:rsidR="00413E1F" w:rsidRPr="00CB0A5A" w:rsidRDefault="00413E1F" w:rsidP="00413E1F">
            <w:pPr>
              <w:rPr>
                <w:rFonts w:eastAsia="楷体_GB2312"/>
                <w:b/>
                <w:color w:val="003366"/>
              </w:rPr>
            </w:pPr>
          </w:p>
        </w:tc>
        <w:tc>
          <w:tcPr>
            <w:tcW w:w="1802" w:type="dxa"/>
            <w:shd w:val="clear" w:color="auto" w:fill="FFFFFF"/>
          </w:tcPr>
          <w:p w:rsidR="00413E1F" w:rsidRPr="00CB0A5A" w:rsidRDefault="00413E1F" w:rsidP="00413E1F">
            <w:pPr>
              <w:rPr>
                <w:rFonts w:eastAsia="楷体_GB2312"/>
                <w:b/>
                <w:color w:val="003366"/>
                <w:sz w:val="36"/>
                <w:szCs w:val="36"/>
              </w:rPr>
            </w:pPr>
          </w:p>
        </w:tc>
        <w:tc>
          <w:tcPr>
            <w:tcW w:w="1486" w:type="dxa"/>
            <w:shd w:val="clear" w:color="auto" w:fill="FFFFFF"/>
            <w:vAlign w:val="bottom"/>
          </w:tcPr>
          <w:p w:rsidR="00413E1F" w:rsidRPr="00CB0A5A" w:rsidRDefault="00413E1F" w:rsidP="00413E1F">
            <w:pPr>
              <w:rPr>
                <w:rFonts w:eastAsia="楷体_GB2312"/>
                <w:b/>
                <w:color w:val="003366"/>
                <w:sz w:val="24"/>
              </w:rPr>
            </w:pPr>
          </w:p>
        </w:tc>
        <w:tc>
          <w:tcPr>
            <w:tcW w:w="8316" w:type="dxa"/>
            <w:gridSpan w:val="3"/>
            <w:shd w:val="clear" w:color="auto" w:fill="F00000"/>
            <w:vAlign w:val="center"/>
          </w:tcPr>
          <w:p w:rsidR="00413E1F" w:rsidRPr="003F3D9C" w:rsidRDefault="00A56132" w:rsidP="00413E1F">
            <w:pPr>
              <w:adjustRightInd w:val="0"/>
              <w:snapToGrid w:val="0"/>
              <w:ind w:rightChars="150" w:right="315"/>
              <w:jc w:val="right"/>
              <w:rPr>
                <w:rFonts w:ascii="楷体_GB2312" w:eastAsia="楷体_GB2312" w:hAnsi="宋体-18030" w:cs="宋体-18030"/>
                <w:b/>
                <w:color w:val="FFFFFF"/>
                <w:sz w:val="28"/>
                <w:szCs w:val="28"/>
              </w:rPr>
            </w:pPr>
            <w:r w:rsidRPr="00AB78C0">
              <w:rPr>
                <w:rFonts w:ascii="楷体_GB2312" w:eastAsia="楷体_GB2312" w:hAnsi="宋体-18030" w:cs="宋体-18030" w:hint="eastAsia"/>
                <w:b/>
                <w:color w:val="FFFFFF"/>
                <w:sz w:val="28"/>
                <w:szCs w:val="28"/>
              </w:rPr>
              <w:t>证券投资基金研究报告 / 基金周报</w:t>
            </w:r>
          </w:p>
        </w:tc>
      </w:tr>
      <w:tr w:rsidR="00F27A65" w:rsidRPr="00CB0A5A" w:rsidTr="00701A91">
        <w:trPr>
          <w:trHeight w:val="284"/>
        </w:trPr>
        <w:tc>
          <w:tcPr>
            <w:tcW w:w="388" w:type="dxa"/>
            <w:shd w:val="clear" w:color="auto" w:fill="CDD7FA"/>
          </w:tcPr>
          <w:p w:rsidR="00F27A65" w:rsidRPr="00CB0A5A" w:rsidRDefault="00F27A65" w:rsidP="00055C3A">
            <w:pPr>
              <w:rPr>
                <w:rFonts w:eastAsia="楷体_GB2312"/>
                <w:b/>
                <w:color w:val="003366"/>
              </w:rPr>
            </w:pPr>
          </w:p>
        </w:tc>
        <w:tc>
          <w:tcPr>
            <w:tcW w:w="3288" w:type="dxa"/>
            <w:gridSpan w:val="2"/>
            <w:shd w:val="clear" w:color="auto" w:fill="CDD7FA"/>
            <w:vAlign w:val="center"/>
          </w:tcPr>
          <w:p w:rsidR="00F27A65" w:rsidRPr="00FC1827" w:rsidRDefault="00F27A65" w:rsidP="003222CD">
            <w:pPr>
              <w:rPr>
                <w:rFonts w:eastAsia="楷体_GB2312"/>
                <w:b/>
                <w:color w:val="003366"/>
              </w:rPr>
            </w:pPr>
          </w:p>
        </w:tc>
        <w:tc>
          <w:tcPr>
            <w:tcW w:w="8316" w:type="dxa"/>
            <w:gridSpan w:val="3"/>
            <w:vMerge w:val="restart"/>
            <w:shd w:val="clear" w:color="auto" w:fill="00326E"/>
          </w:tcPr>
          <w:p w:rsidR="00F37404" w:rsidRDefault="00B27B6F" w:rsidP="00F37404">
            <w:pPr>
              <w:tabs>
                <w:tab w:val="left" w:pos="3254"/>
              </w:tabs>
              <w:autoSpaceDE w:val="0"/>
              <w:autoSpaceDN w:val="0"/>
              <w:adjustRightInd w:val="0"/>
              <w:ind w:firstLineChars="250" w:firstLine="753"/>
              <w:rPr>
                <w:rFonts w:ascii="黑体" w:hAnsi="黑体" w:cs="黑体"/>
                <w:b/>
                <w:color w:val="FFFFFF"/>
                <w:kern w:val="0"/>
                <w:sz w:val="30"/>
                <w:szCs w:val="30"/>
              </w:rPr>
            </w:pPr>
            <w:r>
              <w:rPr>
                <w:rFonts w:ascii="黑体" w:hAnsi="黑体" w:cs="黑体" w:hint="eastAsia"/>
                <w:b/>
                <w:color w:val="FFFFFF"/>
                <w:kern w:val="0"/>
                <w:sz w:val="30"/>
                <w:szCs w:val="30"/>
              </w:rPr>
              <w:t xml:space="preserve"> </w:t>
            </w:r>
          </w:p>
          <w:p w:rsidR="0013506B" w:rsidRPr="003C6EC0" w:rsidRDefault="004B0E9C" w:rsidP="004B0E9C">
            <w:pPr>
              <w:tabs>
                <w:tab w:val="left" w:pos="3254"/>
              </w:tabs>
              <w:autoSpaceDE w:val="0"/>
              <w:autoSpaceDN w:val="0"/>
              <w:adjustRightInd w:val="0"/>
              <w:ind w:firstLineChars="598" w:firstLine="1801"/>
              <w:rPr>
                <w:rFonts w:ascii="黑体" w:hAnsi="黑体" w:cs="黑体"/>
                <w:b/>
                <w:color w:val="FFFFFF"/>
                <w:kern w:val="0"/>
                <w:sz w:val="30"/>
                <w:szCs w:val="30"/>
              </w:rPr>
            </w:pPr>
            <w:r w:rsidRPr="004B0E9C">
              <w:rPr>
                <w:rFonts w:ascii="黑体" w:hAnsi="黑体" w:cs="黑体" w:hint="eastAsia"/>
                <w:b/>
                <w:color w:val="FFFFFF"/>
                <w:kern w:val="0"/>
                <w:sz w:val="30"/>
                <w:szCs w:val="30"/>
              </w:rPr>
              <w:t>A</w:t>
            </w:r>
            <w:r w:rsidRPr="004B0E9C">
              <w:rPr>
                <w:rFonts w:ascii="黑体" w:hAnsi="黑体" w:cs="黑体" w:hint="eastAsia"/>
                <w:b/>
                <w:color w:val="FFFFFF"/>
                <w:kern w:val="0"/>
                <w:sz w:val="30"/>
                <w:szCs w:val="30"/>
              </w:rPr>
              <w:t>股积弱难返</w:t>
            </w:r>
            <w:r w:rsidR="00D24534" w:rsidRPr="004B0E9C">
              <w:rPr>
                <w:rFonts w:ascii="黑体" w:hAnsi="黑体" w:cs="黑体" w:hint="eastAsia"/>
                <w:b/>
                <w:color w:val="FFFFFF"/>
                <w:kern w:val="0"/>
                <w:sz w:val="30"/>
                <w:szCs w:val="30"/>
              </w:rPr>
              <w:t xml:space="preserve">   </w:t>
            </w:r>
            <w:r w:rsidRPr="004B0E9C">
              <w:rPr>
                <w:rFonts w:ascii="黑体" w:hAnsi="黑体" w:cs="黑体" w:hint="eastAsia"/>
                <w:b/>
                <w:color w:val="FFFFFF"/>
                <w:kern w:val="0"/>
                <w:sz w:val="30"/>
                <w:szCs w:val="30"/>
              </w:rPr>
              <w:t>商品类基金</w:t>
            </w:r>
            <w:r w:rsidR="007B3224">
              <w:rPr>
                <w:rFonts w:ascii="黑体" w:hAnsi="黑体" w:cs="黑体" w:hint="eastAsia"/>
                <w:b/>
                <w:color w:val="FFFFFF"/>
                <w:kern w:val="0"/>
                <w:sz w:val="30"/>
                <w:szCs w:val="30"/>
              </w:rPr>
              <w:t>成唯一亮点</w:t>
            </w:r>
            <w:r w:rsidR="00BE7359">
              <w:rPr>
                <w:rFonts w:ascii="黑体" w:hAnsi="黑体" w:cs="黑体" w:hint="eastAsia"/>
                <w:b/>
                <w:color w:val="FFFFFF"/>
                <w:kern w:val="0"/>
                <w:sz w:val="30"/>
                <w:szCs w:val="30"/>
              </w:rPr>
              <w:t xml:space="preserve">  </w:t>
            </w:r>
          </w:p>
          <w:p w:rsidR="0013506B" w:rsidRPr="00BE7359" w:rsidRDefault="0013506B" w:rsidP="0013506B">
            <w:pPr>
              <w:autoSpaceDE w:val="0"/>
              <w:autoSpaceDN w:val="0"/>
              <w:adjustRightInd w:val="0"/>
              <w:ind w:firstLine="480"/>
              <w:jc w:val="left"/>
              <w:rPr>
                <w:rFonts w:ascii="黑体" w:hAnsi="黑体" w:cs="黑体"/>
                <w:b/>
                <w:color w:val="FFFFFF"/>
                <w:kern w:val="0"/>
                <w:sz w:val="23"/>
                <w:szCs w:val="23"/>
              </w:rPr>
            </w:pPr>
          </w:p>
          <w:p w:rsidR="00F72FA4" w:rsidRPr="00D1330E" w:rsidRDefault="0013506B" w:rsidP="001F506C">
            <w:pPr>
              <w:spacing w:line="360" w:lineRule="auto"/>
              <w:ind w:leftChars="200" w:left="2018" w:hangingChars="692" w:hanging="1598"/>
              <w:jc w:val="right"/>
              <w:rPr>
                <w:rFonts w:eastAsia="黑体"/>
                <w:b/>
                <w:color w:val="FFFFFF"/>
                <w:sz w:val="30"/>
                <w:szCs w:val="30"/>
              </w:rPr>
            </w:pPr>
            <w:bookmarkStart w:id="0" w:name="OLE_LINK34"/>
            <w:bookmarkStart w:id="1" w:name="OLE_LINK35"/>
            <w:r w:rsidRPr="0013506B">
              <w:rPr>
                <w:rFonts w:ascii="黑体" w:hAnsi="黑体" w:cs="黑体"/>
                <w:b/>
                <w:color w:val="FFFFFF"/>
                <w:kern w:val="0"/>
                <w:sz w:val="23"/>
                <w:szCs w:val="23"/>
              </w:rPr>
              <w:t>基金市场周报（</w:t>
            </w:r>
            <w:r w:rsidR="008A6B3B">
              <w:rPr>
                <w:rFonts w:ascii="黑体" w:hAnsi="黑体" w:cs="黑体"/>
                <w:b/>
                <w:color w:val="FFFFFF"/>
                <w:kern w:val="0"/>
                <w:sz w:val="23"/>
                <w:szCs w:val="23"/>
              </w:rPr>
              <w:t>201</w:t>
            </w:r>
            <w:r w:rsidR="00176089">
              <w:rPr>
                <w:rFonts w:ascii="黑体" w:hAnsi="黑体" w:cs="黑体" w:hint="eastAsia"/>
                <w:b/>
                <w:color w:val="FFFFFF"/>
                <w:kern w:val="0"/>
                <w:sz w:val="23"/>
                <w:szCs w:val="23"/>
              </w:rPr>
              <w:t>6</w:t>
            </w:r>
            <w:r w:rsidRPr="0013506B">
              <w:rPr>
                <w:rFonts w:ascii="黑体" w:hAnsi="黑体" w:cs="黑体"/>
                <w:b/>
                <w:color w:val="FFFFFF"/>
                <w:kern w:val="0"/>
                <w:sz w:val="23"/>
                <w:szCs w:val="23"/>
              </w:rPr>
              <w:t>.</w:t>
            </w:r>
            <w:r w:rsidR="00435C80">
              <w:rPr>
                <w:rFonts w:ascii="黑体" w:hAnsi="黑体" w:cs="黑体" w:hint="eastAsia"/>
                <w:b/>
                <w:color w:val="FFFFFF"/>
                <w:kern w:val="0"/>
                <w:sz w:val="23"/>
                <w:szCs w:val="23"/>
              </w:rPr>
              <w:t>4</w:t>
            </w:r>
            <w:r w:rsidRPr="0013506B">
              <w:rPr>
                <w:rFonts w:ascii="黑体" w:hAnsi="黑体" w:cs="黑体"/>
                <w:b/>
                <w:color w:val="FFFFFF"/>
                <w:kern w:val="0"/>
                <w:sz w:val="23"/>
                <w:szCs w:val="23"/>
              </w:rPr>
              <w:t>.</w:t>
            </w:r>
            <w:r w:rsidR="001F506C">
              <w:rPr>
                <w:rFonts w:ascii="黑体" w:hAnsi="黑体" w:cs="黑体"/>
                <w:b/>
                <w:color w:val="FFFFFF"/>
                <w:kern w:val="0"/>
                <w:sz w:val="23"/>
                <w:szCs w:val="23"/>
              </w:rPr>
              <w:t>25</w:t>
            </w:r>
            <w:r w:rsidR="007E3B74">
              <w:rPr>
                <w:rFonts w:ascii="黑体" w:hAnsi="黑体" w:cs="黑体"/>
                <w:b/>
                <w:color w:val="FFFFFF"/>
                <w:kern w:val="0"/>
                <w:sz w:val="23"/>
                <w:szCs w:val="23"/>
              </w:rPr>
              <w:t>—</w:t>
            </w:r>
            <w:r w:rsidR="0085079B">
              <w:rPr>
                <w:rFonts w:ascii="黑体" w:hAnsi="黑体" w:cs="黑体" w:hint="eastAsia"/>
                <w:b/>
                <w:color w:val="FFFFFF"/>
                <w:kern w:val="0"/>
                <w:sz w:val="23"/>
                <w:szCs w:val="23"/>
              </w:rPr>
              <w:t>4</w:t>
            </w:r>
            <w:r w:rsidRPr="0013506B">
              <w:rPr>
                <w:rFonts w:ascii="黑体" w:hAnsi="黑体" w:cs="黑体"/>
                <w:b/>
                <w:color w:val="FFFFFF"/>
                <w:kern w:val="0"/>
                <w:sz w:val="23"/>
                <w:szCs w:val="23"/>
              </w:rPr>
              <w:t>.</w:t>
            </w:r>
            <w:r w:rsidR="0043104A">
              <w:rPr>
                <w:rFonts w:ascii="黑体" w:hAnsi="黑体" w:cs="黑体"/>
                <w:b/>
                <w:color w:val="FFFFFF"/>
                <w:kern w:val="0"/>
                <w:sz w:val="23"/>
                <w:szCs w:val="23"/>
              </w:rPr>
              <w:t>2</w:t>
            </w:r>
            <w:r w:rsidR="001F506C">
              <w:rPr>
                <w:rFonts w:ascii="黑体" w:hAnsi="黑体" w:cs="黑体"/>
                <w:b/>
                <w:color w:val="FFFFFF"/>
                <w:kern w:val="0"/>
                <w:sz w:val="23"/>
                <w:szCs w:val="23"/>
              </w:rPr>
              <w:t>9</w:t>
            </w:r>
            <w:r w:rsidRPr="0013506B">
              <w:rPr>
                <w:rFonts w:ascii="黑体" w:hAnsi="黑体" w:cs="黑体"/>
                <w:b/>
                <w:color w:val="FFFFFF"/>
                <w:kern w:val="0"/>
                <w:sz w:val="23"/>
                <w:szCs w:val="23"/>
              </w:rPr>
              <w:t>）</w:t>
            </w:r>
            <w:bookmarkEnd w:id="0"/>
            <w:bookmarkEnd w:id="1"/>
          </w:p>
        </w:tc>
      </w:tr>
      <w:tr w:rsidR="00F27A65" w:rsidRPr="00CB0A5A" w:rsidTr="00701A91">
        <w:trPr>
          <w:trHeight w:val="284"/>
        </w:trPr>
        <w:tc>
          <w:tcPr>
            <w:tcW w:w="388" w:type="dxa"/>
            <w:shd w:val="clear" w:color="auto" w:fill="CDD7FA"/>
          </w:tcPr>
          <w:p w:rsidR="00F27A65" w:rsidRPr="00CB0A5A" w:rsidRDefault="00F27A65" w:rsidP="00055C3A">
            <w:pPr>
              <w:rPr>
                <w:rFonts w:eastAsia="楷体_GB2312"/>
                <w:b/>
                <w:color w:val="003366"/>
              </w:rPr>
            </w:pPr>
          </w:p>
        </w:tc>
        <w:tc>
          <w:tcPr>
            <w:tcW w:w="3288" w:type="dxa"/>
            <w:gridSpan w:val="2"/>
            <w:shd w:val="clear" w:color="auto" w:fill="CDD7FA"/>
          </w:tcPr>
          <w:p w:rsidR="00F27A65" w:rsidRPr="00FC1827" w:rsidRDefault="00D24534" w:rsidP="00055C3A">
            <w:pPr>
              <w:rPr>
                <w:rFonts w:eastAsia="楷体_GB2312"/>
                <w:b/>
                <w:color w:val="003366"/>
              </w:rPr>
            </w:pPr>
            <w:r>
              <w:rPr>
                <w:rFonts w:eastAsia="楷体_GB2312"/>
                <w:b/>
                <w:noProof/>
                <w:color w:val="003366"/>
              </w:rPr>
              <w:drawing>
                <wp:anchor distT="0" distB="0" distL="114300" distR="114300" simplePos="0" relativeHeight="251657728" behindDoc="0" locked="0" layoutInCell="1" allowOverlap="1">
                  <wp:simplePos x="0" y="0"/>
                  <wp:positionH relativeFrom="column">
                    <wp:posOffset>36830</wp:posOffset>
                  </wp:positionH>
                  <wp:positionV relativeFrom="paragraph">
                    <wp:posOffset>184150</wp:posOffset>
                  </wp:positionV>
                  <wp:extent cx="1828800" cy="869950"/>
                  <wp:effectExtent l="0" t="0" r="0" b="0"/>
                  <wp:wrapNone/>
                  <wp:docPr id="5"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1"/>
                          <pic:cNvPicPr>
                            <a:picLocks noChangeAspect="1" noChangeArrowheads="1"/>
                          </pic:cNvPicPr>
                        </pic:nvPicPr>
                        <pic:blipFill>
                          <a:blip r:embed="rId9" cstate="print">
                            <a:clrChange>
                              <a:clrFrom>
                                <a:srgbClr val="D2D2FF"/>
                              </a:clrFrom>
                              <a:clrTo>
                                <a:srgbClr val="D2D2FF">
                                  <a:alpha val="0"/>
                                </a:srgbClr>
                              </a:clrTo>
                            </a:clrChange>
                          </a:blip>
                          <a:srcRect/>
                          <a:stretch>
                            <a:fillRect/>
                          </a:stretch>
                        </pic:blipFill>
                        <pic:spPr bwMode="auto">
                          <a:xfrm>
                            <a:off x="0" y="0"/>
                            <a:ext cx="1828800" cy="869950"/>
                          </a:xfrm>
                          <a:prstGeom prst="rect">
                            <a:avLst/>
                          </a:prstGeom>
                          <a:noFill/>
                          <a:ln w="9525">
                            <a:noFill/>
                            <a:miter lim="800000"/>
                            <a:headEnd/>
                            <a:tailEnd/>
                          </a:ln>
                        </pic:spPr>
                      </pic:pic>
                    </a:graphicData>
                  </a:graphic>
                </wp:anchor>
              </w:drawing>
            </w:r>
          </w:p>
        </w:tc>
        <w:tc>
          <w:tcPr>
            <w:tcW w:w="8316" w:type="dxa"/>
            <w:gridSpan w:val="3"/>
            <w:vMerge/>
            <w:shd w:val="clear" w:color="auto" w:fill="00326E"/>
          </w:tcPr>
          <w:p w:rsidR="00F27A65" w:rsidRPr="00FC1827" w:rsidRDefault="00F27A65" w:rsidP="00055C3A">
            <w:pPr>
              <w:rPr>
                <w:rFonts w:eastAsia="楷体_GB2312"/>
                <w:b/>
                <w:color w:val="003366"/>
              </w:rPr>
            </w:pPr>
          </w:p>
        </w:tc>
      </w:tr>
      <w:tr w:rsidR="00F27A65" w:rsidRPr="00CB0A5A" w:rsidTr="00701A91">
        <w:trPr>
          <w:trHeight w:val="1224"/>
        </w:trPr>
        <w:tc>
          <w:tcPr>
            <w:tcW w:w="388" w:type="dxa"/>
            <w:shd w:val="clear" w:color="auto" w:fill="CDD7FA"/>
          </w:tcPr>
          <w:p w:rsidR="00F27A65" w:rsidRPr="00CB0A5A" w:rsidRDefault="00F27A65" w:rsidP="00055C3A">
            <w:pPr>
              <w:rPr>
                <w:rFonts w:eastAsia="楷体_GB2312"/>
                <w:b/>
                <w:color w:val="003366"/>
              </w:rPr>
            </w:pPr>
          </w:p>
        </w:tc>
        <w:tc>
          <w:tcPr>
            <w:tcW w:w="3288" w:type="dxa"/>
            <w:gridSpan w:val="2"/>
            <w:shd w:val="clear" w:color="auto" w:fill="CDD7FA"/>
          </w:tcPr>
          <w:p w:rsidR="00F27A65" w:rsidRPr="00CB0A5A" w:rsidRDefault="00F27A65" w:rsidP="00055C3A">
            <w:pPr>
              <w:spacing w:line="360" w:lineRule="auto"/>
              <w:rPr>
                <w:rFonts w:eastAsia="楷体_GB2312"/>
                <w:noProof/>
              </w:rPr>
            </w:pPr>
          </w:p>
        </w:tc>
        <w:tc>
          <w:tcPr>
            <w:tcW w:w="8316" w:type="dxa"/>
            <w:gridSpan w:val="3"/>
            <w:vMerge/>
            <w:shd w:val="clear" w:color="auto" w:fill="00326E"/>
          </w:tcPr>
          <w:p w:rsidR="00F27A65" w:rsidRPr="00CB0A5A" w:rsidRDefault="00F27A65" w:rsidP="00055C3A">
            <w:pPr>
              <w:spacing w:line="360" w:lineRule="auto"/>
              <w:rPr>
                <w:rFonts w:eastAsia="楷体_GB2312"/>
                <w:noProof/>
              </w:rPr>
            </w:pPr>
          </w:p>
        </w:tc>
      </w:tr>
      <w:tr w:rsidR="00D20D7A" w:rsidRPr="00CB0A5A" w:rsidTr="00814A63">
        <w:trPr>
          <w:trHeight w:val="1159"/>
        </w:trPr>
        <w:tc>
          <w:tcPr>
            <w:tcW w:w="3689" w:type="dxa"/>
            <w:gridSpan w:val="4"/>
            <w:tcBorders>
              <w:bottom w:val="nil"/>
            </w:tcBorders>
            <w:shd w:val="clear" w:color="auto" w:fill="CDD7FA"/>
            <w:tcMar>
              <w:right w:w="0" w:type="dxa"/>
            </w:tcMar>
          </w:tcPr>
          <w:p w:rsidR="00D20D7A" w:rsidRPr="00EF75E3" w:rsidRDefault="00D20D7A" w:rsidP="00055C3A"/>
        </w:tc>
        <w:tc>
          <w:tcPr>
            <w:tcW w:w="533" w:type="dxa"/>
            <w:tcBorders>
              <w:bottom w:val="nil"/>
            </w:tcBorders>
            <w:shd w:val="clear" w:color="auto" w:fill="CDD7FA"/>
          </w:tcPr>
          <w:p w:rsidR="00D20D7A" w:rsidRPr="007D078F" w:rsidRDefault="00D20D7A" w:rsidP="00055C3A">
            <w:pPr>
              <w:rPr>
                <w:rFonts w:eastAsia="楷体_GB2312"/>
                <w:b/>
                <w:color w:val="003366"/>
              </w:rPr>
            </w:pPr>
          </w:p>
        </w:tc>
        <w:tc>
          <w:tcPr>
            <w:tcW w:w="7770" w:type="dxa"/>
            <w:vMerge w:val="restart"/>
            <w:tcBorders>
              <w:bottom w:val="nil"/>
            </w:tcBorders>
            <w:shd w:val="clear" w:color="auto" w:fill="auto"/>
          </w:tcPr>
          <w:tbl>
            <w:tblPr>
              <w:tblW w:w="6521" w:type="dxa"/>
              <w:tblInd w:w="227" w:type="dxa"/>
              <w:tblLayout w:type="fixed"/>
              <w:tblLook w:val="04A0" w:firstRow="1" w:lastRow="0" w:firstColumn="1" w:lastColumn="0" w:noHBand="0" w:noVBand="1"/>
            </w:tblPr>
            <w:tblGrid>
              <w:gridCol w:w="6521"/>
            </w:tblGrid>
            <w:tr w:rsidR="00D20D7A" w:rsidRPr="000C6C1F" w:rsidTr="00814A63">
              <w:trPr>
                <w:trHeight w:hRule="exact" w:val="23"/>
              </w:trPr>
              <w:tc>
                <w:tcPr>
                  <w:tcW w:w="7539" w:type="dxa"/>
                </w:tcPr>
                <w:p w:rsidR="00D20D7A" w:rsidRPr="000C6C1F" w:rsidRDefault="00D20D7A" w:rsidP="007B3224">
                  <w:pPr>
                    <w:framePr w:hSpace="181" w:wrap="around" w:vAnchor="page" w:hAnchor="page" w:x="35" w:y="1"/>
                    <w:rPr>
                      <w:rFonts w:eastAsia="楷体_GB2312"/>
                      <w:color w:val="003366"/>
                      <w:sz w:val="18"/>
                      <w:szCs w:val="18"/>
                    </w:rPr>
                  </w:pPr>
                  <w:r w:rsidRPr="000C6C1F">
                    <w:rPr>
                      <w:rFonts w:eastAsia="楷体_GB2312" w:hint="eastAsia"/>
                      <w:color w:val="003366"/>
                      <w:sz w:val="18"/>
                      <w:szCs w:val="18"/>
                    </w:rPr>
                    <w:t>[</w:t>
                  </w:r>
                  <w:proofErr w:type="spellStart"/>
                  <w:r w:rsidRPr="000C6C1F">
                    <w:rPr>
                      <w:rFonts w:eastAsia="楷体_GB2312" w:hint="eastAsia"/>
                      <w:color w:val="003366"/>
                      <w:sz w:val="18"/>
                      <w:szCs w:val="18"/>
                    </w:rPr>
                    <w:t>Table_Summary</w:t>
                  </w:r>
                  <w:proofErr w:type="spellEnd"/>
                  <w:r w:rsidRPr="000C6C1F">
                    <w:rPr>
                      <w:rFonts w:eastAsia="楷体_GB2312" w:hint="eastAsia"/>
                      <w:color w:val="003366"/>
                      <w:sz w:val="18"/>
                      <w:szCs w:val="18"/>
                    </w:rPr>
                    <w:t>]</w:t>
                  </w:r>
                </w:p>
              </w:tc>
            </w:tr>
            <w:tr w:rsidR="00D20D7A" w:rsidRPr="000C6C1F" w:rsidTr="00B27B6F">
              <w:trPr>
                <w:trHeight w:val="9591"/>
              </w:trPr>
              <w:tc>
                <w:tcPr>
                  <w:tcW w:w="7539" w:type="dxa"/>
                </w:tcPr>
                <w:p w:rsidR="0058462A" w:rsidRDefault="0058462A" w:rsidP="007B3224">
                  <w:pPr>
                    <w:pStyle w:val="Default"/>
                    <w:framePr w:hSpace="181" w:wrap="around" w:vAnchor="page" w:hAnchor="page" w:x="35" w:y="1"/>
                  </w:pPr>
                </w:p>
                <w:p w:rsidR="006471AD" w:rsidRDefault="009E5729" w:rsidP="007B3224">
                  <w:pPr>
                    <w:framePr w:hSpace="181" w:wrap="around" w:vAnchor="page" w:hAnchor="page" w:x="35" w:y="1"/>
                    <w:spacing w:line="14" w:lineRule="auto"/>
                    <w:ind w:firstLine="420"/>
                    <w:rPr>
                      <w:rFonts w:eastAsia="楷体_GB2312"/>
                      <w:color w:val="000000"/>
                      <w:szCs w:val="21"/>
                    </w:rPr>
                  </w:pPr>
                  <w:bookmarkStart w:id="2" w:name="OLE_LINK7"/>
                  <w:bookmarkStart w:id="3" w:name="OLE_LINK8"/>
                  <w:bookmarkStart w:id="4" w:name="OLE_LINK18"/>
                  <w:bookmarkStart w:id="5" w:name="OLE_LINK19"/>
                  <w:bookmarkStart w:id="6" w:name="OLE_LINK24"/>
                  <w:bookmarkStart w:id="7" w:name="OLE_LINK21"/>
                  <w:bookmarkStart w:id="8" w:name="OLE_LINK36"/>
                  <w:bookmarkStart w:id="9" w:name="OLE_LINK37"/>
                  <w:bookmarkStart w:id="10" w:name="OLE_LINK44"/>
                  <w:bookmarkStart w:id="11" w:name="OLE_LINK45"/>
                  <w:r>
                    <w:rPr>
                      <w:rFonts w:eastAsia="楷体_GB2312" w:hint="eastAsia"/>
                      <w:color w:val="000000"/>
                      <w:szCs w:val="21"/>
                    </w:rPr>
                    <w:t>股票市场方面，沪深两市收益率分别为</w:t>
                  </w:r>
                  <w:r>
                    <w:rPr>
                      <w:rFonts w:eastAsia="楷体_GB2312" w:hint="eastAsia"/>
                      <w:color w:val="000000"/>
                      <w:szCs w:val="21"/>
                    </w:rPr>
                    <w:t>-</w:t>
                  </w:r>
                  <w:r>
                    <w:rPr>
                      <w:rFonts w:eastAsia="楷体_GB2312"/>
                      <w:color w:val="000000"/>
                      <w:szCs w:val="21"/>
                    </w:rPr>
                    <w:t>0</w:t>
                  </w:r>
                  <w:r>
                    <w:rPr>
                      <w:rFonts w:eastAsia="楷体_GB2312" w:hint="eastAsia"/>
                      <w:color w:val="000000"/>
                      <w:szCs w:val="21"/>
                    </w:rPr>
                    <w:t>.71%</w:t>
                  </w:r>
                  <w:r>
                    <w:rPr>
                      <w:rFonts w:eastAsia="楷体_GB2312" w:hint="eastAsia"/>
                      <w:color w:val="000000"/>
                      <w:szCs w:val="21"/>
                    </w:rPr>
                    <w:t>和</w:t>
                  </w:r>
                  <w:r>
                    <w:rPr>
                      <w:rFonts w:eastAsia="楷体_GB2312" w:hint="eastAsia"/>
                      <w:color w:val="000000"/>
                      <w:szCs w:val="21"/>
                    </w:rPr>
                    <w:t>-</w:t>
                  </w:r>
                  <w:r>
                    <w:rPr>
                      <w:rFonts w:eastAsia="楷体_GB2312"/>
                      <w:color w:val="000000"/>
                      <w:szCs w:val="21"/>
                    </w:rPr>
                    <w:t>0.10</w:t>
                  </w:r>
                  <w:r>
                    <w:rPr>
                      <w:rFonts w:eastAsia="楷体_GB2312" w:hint="eastAsia"/>
                      <w:color w:val="000000"/>
                      <w:szCs w:val="21"/>
                    </w:rPr>
                    <w:t>%</w:t>
                  </w:r>
                  <w:r>
                    <w:rPr>
                      <w:rFonts w:eastAsia="楷体_GB2312" w:hint="eastAsia"/>
                      <w:color w:val="000000"/>
                      <w:szCs w:val="21"/>
                    </w:rPr>
                    <w:t>，同期中小板和创业</w:t>
                  </w:r>
                  <w:proofErr w:type="gramStart"/>
                  <w:r>
                    <w:rPr>
                      <w:rFonts w:eastAsia="楷体_GB2312" w:hint="eastAsia"/>
                      <w:color w:val="000000"/>
                      <w:szCs w:val="21"/>
                    </w:rPr>
                    <w:t>板指数</w:t>
                  </w:r>
                  <w:proofErr w:type="gramEnd"/>
                  <w:r>
                    <w:rPr>
                      <w:rFonts w:eastAsia="楷体_GB2312" w:hint="eastAsia"/>
                      <w:color w:val="000000"/>
                      <w:szCs w:val="21"/>
                    </w:rPr>
                    <w:t>收益率为</w:t>
                  </w:r>
                  <w:r>
                    <w:rPr>
                      <w:rFonts w:eastAsia="楷体_GB2312"/>
                      <w:color w:val="000000"/>
                      <w:szCs w:val="21"/>
                    </w:rPr>
                    <w:t>0.08</w:t>
                  </w:r>
                  <w:r>
                    <w:rPr>
                      <w:rFonts w:eastAsia="楷体_GB2312" w:hint="eastAsia"/>
                      <w:color w:val="000000"/>
                      <w:szCs w:val="21"/>
                    </w:rPr>
                    <w:t>%</w:t>
                  </w:r>
                  <w:r>
                    <w:rPr>
                      <w:rFonts w:eastAsia="楷体_GB2312" w:hint="eastAsia"/>
                      <w:color w:val="000000"/>
                      <w:szCs w:val="21"/>
                    </w:rPr>
                    <w:t>和</w:t>
                  </w:r>
                  <w:r>
                    <w:rPr>
                      <w:rFonts w:eastAsia="楷体_GB2312"/>
                      <w:color w:val="000000"/>
                      <w:szCs w:val="21"/>
                    </w:rPr>
                    <w:t>0.70</w:t>
                  </w:r>
                  <w:r>
                    <w:rPr>
                      <w:rFonts w:eastAsia="楷体_GB2312" w:hint="eastAsia"/>
                      <w:color w:val="000000"/>
                      <w:szCs w:val="21"/>
                    </w:rPr>
                    <w:t>%</w:t>
                  </w:r>
                  <w:r>
                    <w:rPr>
                      <w:rFonts w:eastAsia="楷体_GB2312" w:hint="eastAsia"/>
                      <w:color w:val="000000"/>
                      <w:szCs w:val="21"/>
                    </w:rPr>
                    <w:t>。</w:t>
                  </w:r>
                  <w:r w:rsidRPr="001604BF">
                    <w:rPr>
                      <w:rFonts w:eastAsia="楷体_GB2312" w:hint="eastAsia"/>
                      <w:color w:val="000000"/>
                      <w:szCs w:val="21"/>
                    </w:rPr>
                    <w:t>A</w:t>
                  </w:r>
                  <w:r w:rsidRPr="001604BF">
                    <w:rPr>
                      <w:rFonts w:eastAsia="楷体_GB2312" w:hint="eastAsia"/>
                      <w:color w:val="000000"/>
                      <w:szCs w:val="21"/>
                    </w:rPr>
                    <w:t>股本周无量整理</w:t>
                  </w:r>
                  <w:r w:rsidR="006B1263">
                    <w:rPr>
                      <w:rFonts w:eastAsia="楷体_GB2312" w:hint="eastAsia"/>
                      <w:color w:val="000000"/>
                      <w:szCs w:val="21"/>
                    </w:rPr>
                    <w:t>，</w:t>
                  </w:r>
                  <w:r w:rsidRPr="001604BF">
                    <w:rPr>
                      <w:rFonts w:eastAsia="楷体_GB2312" w:hint="eastAsia"/>
                      <w:color w:val="000000"/>
                      <w:szCs w:val="21"/>
                    </w:rPr>
                    <w:t>积弱难返。</w:t>
                  </w:r>
                  <w:r>
                    <w:rPr>
                      <w:rFonts w:eastAsia="楷体_GB2312" w:hint="eastAsia"/>
                      <w:color w:val="000000"/>
                      <w:szCs w:val="21"/>
                    </w:rPr>
                    <w:t>从行业层面来看，一半行业收益为正，食品饮料行业</w:t>
                  </w:r>
                  <w:proofErr w:type="gramStart"/>
                  <w:r>
                    <w:rPr>
                      <w:rFonts w:eastAsia="楷体_GB2312" w:hint="eastAsia"/>
                      <w:color w:val="000000"/>
                      <w:szCs w:val="21"/>
                    </w:rPr>
                    <w:t>收益率涨幅</w:t>
                  </w:r>
                  <w:proofErr w:type="gramEnd"/>
                  <w:r>
                    <w:rPr>
                      <w:rFonts w:eastAsia="楷体_GB2312" w:hint="eastAsia"/>
                      <w:color w:val="000000"/>
                      <w:szCs w:val="21"/>
                    </w:rPr>
                    <w:t>最大，为</w:t>
                  </w:r>
                  <w:r>
                    <w:rPr>
                      <w:rFonts w:eastAsia="楷体_GB2312" w:hint="eastAsia"/>
                      <w:color w:val="000000"/>
                      <w:szCs w:val="21"/>
                    </w:rPr>
                    <w:t>2.87%</w:t>
                  </w:r>
                  <w:r>
                    <w:rPr>
                      <w:rFonts w:eastAsia="楷体_GB2312" w:hint="eastAsia"/>
                      <w:color w:val="000000"/>
                      <w:szCs w:val="21"/>
                    </w:rPr>
                    <w:t>，而非银金融、钢铁和国防军工在上周跌幅惨重</w:t>
                  </w:r>
                  <w:r w:rsidR="002A3822" w:rsidRPr="002A3822">
                    <w:rPr>
                      <w:rFonts w:eastAsia="楷体_GB2312" w:hint="eastAsia"/>
                      <w:color w:val="000000"/>
                      <w:szCs w:val="21"/>
                    </w:rPr>
                    <w:t>。</w:t>
                  </w:r>
                  <w:r>
                    <w:rPr>
                      <w:rFonts w:eastAsia="楷体_GB2312" w:hint="eastAsia"/>
                      <w:color w:val="000000"/>
                      <w:szCs w:val="21"/>
                    </w:rPr>
                    <w:t>债券市场方面，中</w:t>
                  </w:r>
                  <w:proofErr w:type="gramStart"/>
                  <w:r>
                    <w:rPr>
                      <w:rFonts w:eastAsia="楷体_GB2312" w:hint="eastAsia"/>
                      <w:color w:val="000000"/>
                      <w:szCs w:val="21"/>
                    </w:rPr>
                    <w:t>证全债指数</w:t>
                  </w:r>
                  <w:proofErr w:type="gramEnd"/>
                  <w:r>
                    <w:rPr>
                      <w:rFonts w:eastAsia="楷体_GB2312" w:hint="eastAsia"/>
                      <w:color w:val="000000"/>
                      <w:szCs w:val="21"/>
                    </w:rPr>
                    <w:t>下挫</w:t>
                  </w:r>
                  <w:r>
                    <w:rPr>
                      <w:rFonts w:eastAsia="楷体_GB2312"/>
                      <w:color w:val="000000"/>
                      <w:szCs w:val="21"/>
                    </w:rPr>
                    <w:t>0.15</w:t>
                  </w:r>
                  <w:r>
                    <w:rPr>
                      <w:rFonts w:eastAsia="楷体_GB2312" w:hint="eastAsia"/>
                      <w:color w:val="000000"/>
                      <w:szCs w:val="21"/>
                    </w:rPr>
                    <w:t>%</w:t>
                  </w:r>
                  <w:r>
                    <w:rPr>
                      <w:rFonts w:eastAsia="楷体_GB2312" w:hint="eastAsia"/>
                      <w:color w:val="000000"/>
                      <w:szCs w:val="21"/>
                    </w:rPr>
                    <w:t>。上周中证企业债、国债收益率分别为</w:t>
                  </w:r>
                  <w:r>
                    <w:rPr>
                      <w:rFonts w:eastAsia="楷体_GB2312" w:hint="eastAsia"/>
                      <w:color w:val="000000"/>
                      <w:szCs w:val="21"/>
                    </w:rPr>
                    <w:t>-</w:t>
                  </w:r>
                  <w:r>
                    <w:rPr>
                      <w:rFonts w:eastAsia="楷体_GB2312"/>
                      <w:color w:val="000000"/>
                      <w:szCs w:val="21"/>
                    </w:rPr>
                    <w:t>0.30</w:t>
                  </w:r>
                  <w:r>
                    <w:rPr>
                      <w:rFonts w:eastAsia="楷体_GB2312" w:hint="eastAsia"/>
                      <w:color w:val="000000"/>
                      <w:szCs w:val="21"/>
                    </w:rPr>
                    <w:t>%</w:t>
                  </w:r>
                  <w:r>
                    <w:rPr>
                      <w:rFonts w:eastAsia="楷体_GB2312" w:hint="eastAsia"/>
                      <w:color w:val="000000"/>
                      <w:szCs w:val="21"/>
                    </w:rPr>
                    <w:t>和</w:t>
                  </w:r>
                  <w:r>
                    <w:rPr>
                      <w:rFonts w:eastAsia="楷体_GB2312" w:hint="eastAsia"/>
                      <w:color w:val="000000"/>
                      <w:szCs w:val="21"/>
                    </w:rPr>
                    <w:t>-0.</w:t>
                  </w:r>
                  <w:r>
                    <w:rPr>
                      <w:rFonts w:eastAsia="楷体_GB2312"/>
                      <w:color w:val="000000"/>
                      <w:szCs w:val="21"/>
                    </w:rPr>
                    <w:t>03</w:t>
                  </w:r>
                  <w:r>
                    <w:rPr>
                      <w:rFonts w:eastAsia="楷体_GB2312" w:hint="eastAsia"/>
                      <w:color w:val="000000"/>
                      <w:szCs w:val="21"/>
                    </w:rPr>
                    <w:t>%</w:t>
                  </w:r>
                  <w:r>
                    <w:rPr>
                      <w:rFonts w:eastAsia="楷体_GB2312" w:hint="eastAsia"/>
                      <w:color w:val="000000"/>
                      <w:szCs w:val="21"/>
                    </w:rPr>
                    <w:t>，转</w:t>
                  </w:r>
                  <w:proofErr w:type="gramStart"/>
                  <w:r>
                    <w:rPr>
                      <w:rFonts w:eastAsia="楷体_GB2312" w:hint="eastAsia"/>
                      <w:color w:val="000000"/>
                      <w:szCs w:val="21"/>
                    </w:rPr>
                    <w:t>债指数</w:t>
                  </w:r>
                  <w:proofErr w:type="gramEnd"/>
                  <w:r>
                    <w:rPr>
                      <w:rFonts w:eastAsia="楷体_GB2312" w:hint="eastAsia"/>
                      <w:color w:val="000000"/>
                      <w:szCs w:val="21"/>
                    </w:rPr>
                    <w:t>收益率为</w:t>
                  </w:r>
                  <w:r>
                    <w:rPr>
                      <w:rFonts w:eastAsia="楷体_GB2312" w:hint="eastAsia"/>
                      <w:color w:val="000000"/>
                      <w:szCs w:val="21"/>
                    </w:rPr>
                    <w:t>-</w:t>
                  </w:r>
                  <w:r>
                    <w:rPr>
                      <w:rFonts w:eastAsia="楷体_GB2312"/>
                      <w:color w:val="000000"/>
                      <w:szCs w:val="21"/>
                    </w:rPr>
                    <w:t>1.40</w:t>
                  </w:r>
                  <w:r>
                    <w:rPr>
                      <w:rFonts w:eastAsia="楷体_GB2312" w:hint="eastAsia"/>
                      <w:color w:val="000000"/>
                      <w:szCs w:val="21"/>
                    </w:rPr>
                    <w:t>%</w:t>
                  </w:r>
                  <w:r>
                    <w:rPr>
                      <w:rFonts w:eastAsia="楷体_GB2312" w:hint="eastAsia"/>
                      <w:color w:val="000000"/>
                      <w:szCs w:val="21"/>
                    </w:rPr>
                    <w:t>。</w:t>
                  </w:r>
                  <w:r w:rsidRPr="00BA2123">
                    <w:rPr>
                      <w:rFonts w:eastAsia="楷体_GB2312" w:hint="eastAsia"/>
                      <w:color w:val="000000"/>
                      <w:szCs w:val="21"/>
                    </w:rPr>
                    <w:t>货币市场资金价格相对平稳，</w:t>
                  </w:r>
                  <w:r>
                    <w:rPr>
                      <w:rFonts w:eastAsia="楷体_GB2312" w:hint="eastAsia"/>
                      <w:color w:val="000000"/>
                      <w:szCs w:val="21"/>
                    </w:rPr>
                    <w:t>周内未出现大幅波动</w:t>
                  </w:r>
                  <w:r w:rsidRPr="00BA2123">
                    <w:rPr>
                      <w:rFonts w:eastAsia="楷体_GB2312" w:hint="eastAsia"/>
                      <w:color w:val="000000"/>
                      <w:szCs w:val="21"/>
                    </w:rPr>
                    <w:t>。</w:t>
                  </w:r>
                  <w:r w:rsidRPr="002A1E05">
                    <w:rPr>
                      <w:rFonts w:eastAsia="楷体_GB2312" w:hint="eastAsia"/>
                      <w:color w:val="000000"/>
                      <w:szCs w:val="21"/>
                    </w:rPr>
                    <w:t>截止上周五美元兑人民币中间价为</w:t>
                  </w:r>
                  <w:r w:rsidRPr="002A1E05">
                    <w:rPr>
                      <w:rFonts w:eastAsia="楷体_GB2312" w:hint="eastAsia"/>
                      <w:color w:val="000000"/>
                      <w:szCs w:val="21"/>
                    </w:rPr>
                    <w:t>6.4</w:t>
                  </w:r>
                  <w:r>
                    <w:rPr>
                      <w:rFonts w:eastAsia="楷体_GB2312"/>
                      <w:color w:val="000000"/>
                      <w:szCs w:val="21"/>
                    </w:rPr>
                    <w:t>6</w:t>
                  </w:r>
                  <w:r w:rsidRPr="002A1E05">
                    <w:rPr>
                      <w:rFonts w:eastAsia="楷体_GB2312" w:hint="eastAsia"/>
                      <w:color w:val="000000"/>
                      <w:szCs w:val="21"/>
                    </w:rPr>
                    <w:t>元</w:t>
                  </w:r>
                  <w:r w:rsidR="00B6660A" w:rsidRPr="002A1E05">
                    <w:rPr>
                      <w:rFonts w:eastAsia="楷体_GB2312" w:hint="eastAsia"/>
                      <w:color w:val="000000"/>
                      <w:szCs w:val="21"/>
                    </w:rPr>
                    <w:t>。</w:t>
                  </w:r>
                  <w:r w:rsidR="006E570A">
                    <w:rPr>
                      <w:rFonts w:eastAsia="楷体_GB2312" w:hint="eastAsia"/>
                      <w:color w:val="000000"/>
                      <w:szCs w:val="21"/>
                    </w:rPr>
                    <w:t xml:space="preserve"> </w:t>
                  </w:r>
                </w:p>
                <w:p w:rsidR="008A6B3B" w:rsidRDefault="00405C50" w:rsidP="007B3224">
                  <w:pPr>
                    <w:framePr w:hSpace="181" w:wrap="around" w:vAnchor="page" w:hAnchor="page" w:x="35" w:y="1"/>
                    <w:ind w:firstLine="435"/>
                    <w:rPr>
                      <w:rFonts w:eastAsia="楷体_GB2312"/>
                      <w:b/>
                      <w:bCs/>
                      <w:color w:val="003366"/>
                      <w:szCs w:val="21"/>
                    </w:rPr>
                  </w:pPr>
                  <w:r>
                    <w:rPr>
                      <w:rFonts w:eastAsia="楷体_GB2312" w:hint="eastAsia"/>
                      <w:b/>
                      <w:bCs/>
                      <w:color w:val="003366"/>
                      <w:szCs w:val="21"/>
                    </w:rPr>
                    <w:t>权益类基金</w:t>
                  </w:r>
                  <w:r w:rsidR="008A6B3B" w:rsidRPr="008A6B3B">
                    <w:rPr>
                      <w:rFonts w:eastAsia="楷体_GB2312" w:hint="eastAsia"/>
                      <w:b/>
                      <w:bCs/>
                      <w:color w:val="003366"/>
                      <w:szCs w:val="21"/>
                    </w:rPr>
                    <w:t>：</w:t>
                  </w:r>
                </w:p>
                <w:p w:rsidR="007A7CA3" w:rsidRDefault="00057B49" w:rsidP="007B3224">
                  <w:pPr>
                    <w:framePr w:hSpace="181" w:wrap="around" w:vAnchor="page" w:hAnchor="page" w:x="35" w:y="1"/>
                    <w:spacing w:line="14" w:lineRule="auto"/>
                    <w:ind w:firstLineChars="196" w:firstLine="412"/>
                    <w:rPr>
                      <w:rFonts w:eastAsia="楷体_GB2312"/>
                      <w:color w:val="000000"/>
                      <w:szCs w:val="21"/>
                    </w:rPr>
                  </w:pPr>
                  <w:r>
                    <w:rPr>
                      <w:rFonts w:eastAsia="楷体_GB2312" w:hint="eastAsia"/>
                      <w:color w:val="000000"/>
                      <w:szCs w:val="21"/>
                    </w:rPr>
                    <w:t>本期采取主动操作策略的股票基金和混合</w:t>
                  </w:r>
                  <w:r w:rsidRPr="003C6EC0">
                    <w:rPr>
                      <w:rFonts w:eastAsia="楷体_GB2312" w:hint="eastAsia"/>
                      <w:color w:val="000000"/>
                      <w:szCs w:val="21"/>
                    </w:rPr>
                    <w:t>基金，平均收益率分别为</w:t>
                  </w:r>
                  <w:r>
                    <w:rPr>
                      <w:rFonts w:eastAsia="楷体_GB2312" w:hint="eastAsia"/>
                      <w:color w:val="000000"/>
                      <w:szCs w:val="21"/>
                    </w:rPr>
                    <w:t>0.</w:t>
                  </w:r>
                  <w:r w:rsidR="00E50A8F">
                    <w:rPr>
                      <w:rFonts w:eastAsia="楷体_GB2312"/>
                      <w:color w:val="000000"/>
                      <w:szCs w:val="21"/>
                    </w:rPr>
                    <w:t>34</w:t>
                  </w:r>
                  <w:r w:rsidRPr="003C6EC0">
                    <w:rPr>
                      <w:rFonts w:eastAsia="楷体_GB2312" w:hint="eastAsia"/>
                      <w:color w:val="000000"/>
                      <w:szCs w:val="21"/>
                    </w:rPr>
                    <w:t>%</w:t>
                  </w:r>
                  <w:r w:rsidRPr="003C6EC0">
                    <w:rPr>
                      <w:rFonts w:eastAsia="楷体_GB2312" w:hint="eastAsia"/>
                      <w:color w:val="000000"/>
                      <w:szCs w:val="21"/>
                    </w:rPr>
                    <w:t>和</w:t>
                  </w:r>
                  <w:r>
                    <w:rPr>
                      <w:rFonts w:eastAsia="楷体_GB2312" w:hint="eastAsia"/>
                      <w:color w:val="000000"/>
                      <w:szCs w:val="21"/>
                    </w:rPr>
                    <w:t>0.</w:t>
                  </w:r>
                  <w:r w:rsidR="00E50A8F">
                    <w:rPr>
                      <w:rFonts w:eastAsia="楷体_GB2312"/>
                      <w:color w:val="000000"/>
                      <w:szCs w:val="21"/>
                    </w:rPr>
                    <w:t>24</w:t>
                  </w:r>
                  <w:r w:rsidRPr="003C6EC0">
                    <w:rPr>
                      <w:rFonts w:eastAsia="楷体_GB2312" w:hint="eastAsia"/>
                      <w:color w:val="000000"/>
                      <w:szCs w:val="21"/>
                    </w:rPr>
                    <w:t>%</w:t>
                  </w:r>
                  <w:r w:rsidRPr="003C6EC0">
                    <w:rPr>
                      <w:rFonts w:eastAsia="楷体_GB2312" w:hint="eastAsia"/>
                      <w:color w:val="000000"/>
                      <w:szCs w:val="21"/>
                    </w:rPr>
                    <w:t>，同期沪深</w:t>
                  </w:r>
                  <w:r w:rsidRPr="003C6EC0">
                    <w:rPr>
                      <w:rFonts w:eastAsia="楷体_GB2312" w:hint="eastAsia"/>
                      <w:color w:val="000000"/>
                      <w:szCs w:val="21"/>
                    </w:rPr>
                    <w:t>300</w:t>
                  </w:r>
                  <w:r>
                    <w:rPr>
                      <w:rFonts w:eastAsia="楷体_GB2312" w:hint="eastAsia"/>
                      <w:color w:val="000000"/>
                      <w:szCs w:val="21"/>
                    </w:rPr>
                    <w:t>指数收益率为</w:t>
                  </w:r>
                  <w:r>
                    <w:rPr>
                      <w:rFonts w:eastAsia="楷体_GB2312" w:hint="eastAsia"/>
                      <w:color w:val="000000"/>
                      <w:szCs w:val="21"/>
                    </w:rPr>
                    <w:t>-</w:t>
                  </w:r>
                  <w:r>
                    <w:rPr>
                      <w:rFonts w:eastAsia="楷体_GB2312"/>
                      <w:color w:val="000000"/>
                      <w:szCs w:val="21"/>
                    </w:rPr>
                    <w:t>0.57</w:t>
                  </w:r>
                  <w:r w:rsidRPr="003C6EC0">
                    <w:rPr>
                      <w:rFonts w:eastAsia="楷体_GB2312" w:hint="eastAsia"/>
                      <w:color w:val="000000"/>
                      <w:szCs w:val="21"/>
                    </w:rPr>
                    <w:t>%</w:t>
                  </w:r>
                  <w:r w:rsidRPr="003C6EC0">
                    <w:rPr>
                      <w:rFonts w:eastAsia="楷体_GB2312" w:hint="eastAsia"/>
                      <w:color w:val="000000"/>
                      <w:szCs w:val="21"/>
                    </w:rPr>
                    <w:t>。</w:t>
                  </w:r>
                  <w:r>
                    <w:rPr>
                      <w:rFonts w:eastAsia="楷体_GB2312" w:hint="eastAsia"/>
                      <w:color w:val="000000"/>
                      <w:szCs w:val="21"/>
                    </w:rPr>
                    <w:t>2016</w:t>
                  </w:r>
                  <w:r>
                    <w:rPr>
                      <w:rFonts w:eastAsia="楷体_GB2312" w:hint="eastAsia"/>
                      <w:color w:val="000000"/>
                      <w:szCs w:val="21"/>
                    </w:rPr>
                    <w:t>年以来，股票基金和混合基金损失较为惨重，累计收益率分别为</w:t>
                  </w:r>
                  <w:r>
                    <w:rPr>
                      <w:rFonts w:eastAsia="楷体_GB2312" w:hint="eastAsia"/>
                      <w:color w:val="000000"/>
                      <w:szCs w:val="21"/>
                    </w:rPr>
                    <w:t>-</w:t>
                  </w:r>
                  <w:r>
                    <w:rPr>
                      <w:rFonts w:eastAsia="楷体_GB2312"/>
                      <w:color w:val="000000"/>
                      <w:szCs w:val="21"/>
                    </w:rPr>
                    <w:t>19.</w:t>
                  </w:r>
                  <w:r w:rsidR="006F2DA2">
                    <w:rPr>
                      <w:rFonts w:eastAsia="楷体_GB2312"/>
                      <w:color w:val="000000"/>
                      <w:szCs w:val="21"/>
                    </w:rPr>
                    <w:t>5</w:t>
                  </w:r>
                  <w:r w:rsidR="00E961A8">
                    <w:rPr>
                      <w:rFonts w:eastAsia="楷体_GB2312"/>
                      <w:color w:val="000000"/>
                      <w:szCs w:val="21"/>
                    </w:rPr>
                    <w:t>6</w:t>
                  </w:r>
                  <w:r>
                    <w:rPr>
                      <w:rFonts w:eastAsia="楷体_GB2312" w:hint="eastAsia"/>
                      <w:color w:val="000000"/>
                      <w:szCs w:val="21"/>
                    </w:rPr>
                    <w:t>%</w:t>
                  </w:r>
                  <w:r>
                    <w:rPr>
                      <w:rFonts w:eastAsia="楷体_GB2312" w:hint="eastAsia"/>
                      <w:color w:val="000000"/>
                      <w:szCs w:val="21"/>
                    </w:rPr>
                    <w:t>和</w:t>
                  </w:r>
                  <w:r>
                    <w:rPr>
                      <w:rFonts w:eastAsia="楷体_GB2312" w:hint="eastAsia"/>
                      <w:color w:val="000000"/>
                      <w:szCs w:val="21"/>
                    </w:rPr>
                    <w:t>-</w:t>
                  </w:r>
                  <w:r>
                    <w:rPr>
                      <w:rFonts w:eastAsia="楷体_GB2312"/>
                      <w:color w:val="000000"/>
                      <w:szCs w:val="21"/>
                    </w:rPr>
                    <w:t>11.</w:t>
                  </w:r>
                  <w:r w:rsidR="006F2DA2">
                    <w:rPr>
                      <w:rFonts w:eastAsia="楷体_GB2312"/>
                      <w:color w:val="000000"/>
                      <w:szCs w:val="21"/>
                    </w:rPr>
                    <w:t>74</w:t>
                  </w:r>
                  <w:r>
                    <w:rPr>
                      <w:rFonts w:eastAsia="楷体_GB2312" w:hint="eastAsia"/>
                      <w:color w:val="000000"/>
                      <w:szCs w:val="21"/>
                    </w:rPr>
                    <w:t>%</w:t>
                  </w:r>
                  <w:r>
                    <w:rPr>
                      <w:rFonts w:eastAsia="楷体_GB2312" w:hint="eastAsia"/>
                      <w:color w:val="000000"/>
                      <w:szCs w:val="21"/>
                    </w:rPr>
                    <w:t>。指数基金本期</w:t>
                  </w:r>
                  <w:r w:rsidRPr="00C45B52">
                    <w:rPr>
                      <w:rFonts w:eastAsia="楷体_GB2312" w:hint="eastAsia"/>
                      <w:color w:val="000000"/>
                      <w:szCs w:val="21"/>
                    </w:rPr>
                    <w:t>平均收益率为</w:t>
                  </w:r>
                  <w:r>
                    <w:rPr>
                      <w:rFonts w:eastAsia="楷体_GB2312" w:hint="eastAsia"/>
                      <w:color w:val="000000"/>
                      <w:szCs w:val="21"/>
                    </w:rPr>
                    <w:t>-</w:t>
                  </w:r>
                  <w:r>
                    <w:rPr>
                      <w:rFonts w:eastAsia="楷体_GB2312"/>
                      <w:color w:val="000000"/>
                      <w:szCs w:val="21"/>
                    </w:rPr>
                    <w:t>0.35</w:t>
                  </w:r>
                  <w:r w:rsidRPr="00C45B52">
                    <w:rPr>
                      <w:rFonts w:eastAsia="楷体_GB2312" w:hint="eastAsia"/>
                      <w:color w:val="000000"/>
                      <w:szCs w:val="21"/>
                    </w:rPr>
                    <w:t>%</w:t>
                  </w:r>
                  <w:r>
                    <w:rPr>
                      <w:rFonts w:eastAsia="楷体_GB2312" w:hint="eastAsia"/>
                      <w:color w:val="000000"/>
                      <w:szCs w:val="21"/>
                    </w:rPr>
                    <w:t>，</w:t>
                  </w:r>
                  <w:r>
                    <w:rPr>
                      <w:rFonts w:eastAsia="楷体_GB2312" w:hint="eastAsia"/>
                      <w:color w:val="000000"/>
                      <w:szCs w:val="21"/>
                    </w:rPr>
                    <w:t>2016</w:t>
                  </w:r>
                  <w:r>
                    <w:rPr>
                      <w:rFonts w:eastAsia="楷体_GB2312" w:hint="eastAsia"/>
                      <w:color w:val="000000"/>
                      <w:szCs w:val="21"/>
                    </w:rPr>
                    <w:t>年以来累计收益率为</w:t>
                  </w:r>
                  <w:r>
                    <w:rPr>
                      <w:rFonts w:eastAsia="楷体_GB2312" w:hint="eastAsia"/>
                      <w:color w:val="000000"/>
                      <w:szCs w:val="21"/>
                    </w:rPr>
                    <w:t>-</w:t>
                  </w:r>
                  <w:r>
                    <w:rPr>
                      <w:rFonts w:eastAsia="楷体_GB2312"/>
                      <w:color w:val="000000"/>
                      <w:szCs w:val="21"/>
                    </w:rPr>
                    <w:t>16</w:t>
                  </w:r>
                  <w:r>
                    <w:rPr>
                      <w:rFonts w:eastAsia="楷体_GB2312" w:hint="eastAsia"/>
                      <w:color w:val="000000"/>
                      <w:szCs w:val="21"/>
                    </w:rPr>
                    <w:t>.28%</w:t>
                  </w:r>
                  <w:r w:rsidR="00435C80">
                    <w:rPr>
                      <w:rFonts w:eastAsia="楷体_GB2312" w:hint="eastAsia"/>
                      <w:color w:val="000000"/>
                      <w:szCs w:val="21"/>
                    </w:rPr>
                    <w:t>。</w:t>
                  </w:r>
                </w:p>
                <w:p w:rsidR="008A6B3B" w:rsidRPr="00156678" w:rsidRDefault="006B33F9" w:rsidP="007B3224">
                  <w:pPr>
                    <w:framePr w:hSpace="181" w:wrap="around" w:vAnchor="page" w:hAnchor="page" w:x="35" w:y="1"/>
                    <w:spacing w:line="14" w:lineRule="auto"/>
                    <w:ind w:firstLineChars="196" w:firstLine="413"/>
                    <w:rPr>
                      <w:rFonts w:eastAsia="楷体_GB2312"/>
                      <w:color w:val="000000"/>
                      <w:szCs w:val="21"/>
                    </w:rPr>
                  </w:pPr>
                  <w:r>
                    <w:rPr>
                      <w:rFonts w:eastAsia="楷体_GB2312" w:hint="eastAsia"/>
                      <w:b/>
                      <w:bCs/>
                      <w:color w:val="003366"/>
                      <w:szCs w:val="21"/>
                    </w:rPr>
                    <w:t>固定收益类</w:t>
                  </w:r>
                  <w:r w:rsidR="008A6B3B">
                    <w:rPr>
                      <w:rFonts w:eastAsia="楷体_GB2312" w:hint="eastAsia"/>
                      <w:b/>
                      <w:bCs/>
                      <w:color w:val="003366"/>
                      <w:szCs w:val="21"/>
                    </w:rPr>
                    <w:t>基金：</w:t>
                  </w:r>
                </w:p>
                <w:p w:rsidR="00186271" w:rsidRPr="003D0168" w:rsidRDefault="008230DA" w:rsidP="007B3224">
                  <w:pPr>
                    <w:framePr w:hSpace="181" w:wrap="around" w:vAnchor="page" w:hAnchor="page" w:x="35" w:y="1"/>
                    <w:spacing w:line="14" w:lineRule="auto"/>
                    <w:ind w:firstLine="420"/>
                    <w:rPr>
                      <w:rFonts w:eastAsia="楷体_GB2312"/>
                      <w:color w:val="000000"/>
                      <w:szCs w:val="21"/>
                    </w:rPr>
                  </w:pPr>
                  <w:r>
                    <w:rPr>
                      <w:rFonts w:eastAsia="楷体_GB2312" w:hint="eastAsia"/>
                      <w:color w:val="000000"/>
                      <w:szCs w:val="21"/>
                    </w:rPr>
                    <w:t>债券基金平均收益率为</w:t>
                  </w:r>
                  <w:r>
                    <w:rPr>
                      <w:rFonts w:eastAsia="楷体_GB2312" w:hint="eastAsia"/>
                      <w:color w:val="000000"/>
                      <w:szCs w:val="21"/>
                    </w:rPr>
                    <w:t>-</w:t>
                  </w:r>
                  <w:r>
                    <w:rPr>
                      <w:rFonts w:eastAsia="楷体_GB2312"/>
                      <w:color w:val="000000"/>
                      <w:szCs w:val="21"/>
                    </w:rPr>
                    <w:t>0</w:t>
                  </w:r>
                  <w:r>
                    <w:rPr>
                      <w:rFonts w:eastAsia="楷体_GB2312" w:hint="eastAsia"/>
                      <w:color w:val="000000"/>
                      <w:szCs w:val="21"/>
                    </w:rPr>
                    <w:t>.</w:t>
                  </w:r>
                  <w:r w:rsidR="00671BD1">
                    <w:rPr>
                      <w:rFonts w:eastAsia="楷体_GB2312"/>
                      <w:color w:val="000000"/>
                      <w:szCs w:val="21"/>
                    </w:rPr>
                    <w:t>19</w:t>
                  </w:r>
                  <w:r>
                    <w:rPr>
                      <w:rFonts w:eastAsia="楷体_GB2312" w:hint="eastAsia"/>
                      <w:color w:val="000000"/>
                      <w:szCs w:val="21"/>
                    </w:rPr>
                    <w:t>%</w:t>
                  </w:r>
                  <w:r>
                    <w:rPr>
                      <w:rFonts w:eastAsia="楷体_GB2312" w:hint="eastAsia"/>
                      <w:color w:val="000000"/>
                      <w:szCs w:val="21"/>
                    </w:rPr>
                    <w:t>，</w:t>
                  </w:r>
                  <w:r w:rsidR="00866E32">
                    <w:rPr>
                      <w:rFonts w:eastAsia="楷体_GB2312" w:hint="eastAsia"/>
                      <w:color w:val="000000"/>
                      <w:szCs w:val="21"/>
                    </w:rPr>
                    <w:t>八</w:t>
                  </w:r>
                  <w:r>
                    <w:rPr>
                      <w:rFonts w:eastAsia="楷体_GB2312" w:hint="eastAsia"/>
                      <w:color w:val="000000"/>
                      <w:szCs w:val="21"/>
                    </w:rPr>
                    <w:t>成以上基金收益为负。其中，</w:t>
                  </w:r>
                  <w:proofErr w:type="gramStart"/>
                  <w:r w:rsidRPr="00867554">
                    <w:rPr>
                      <w:rFonts w:eastAsia="楷体_GB2312" w:hint="eastAsia"/>
                      <w:color w:val="000000"/>
                      <w:szCs w:val="21"/>
                    </w:rPr>
                    <w:t>中融稳健</w:t>
                  </w:r>
                  <w:proofErr w:type="gramEnd"/>
                  <w:r w:rsidRPr="00867554">
                    <w:rPr>
                      <w:rFonts w:eastAsia="楷体_GB2312" w:hint="eastAsia"/>
                      <w:color w:val="000000"/>
                      <w:szCs w:val="21"/>
                    </w:rPr>
                    <w:t>添利</w:t>
                  </w:r>
                  <w:r>
                    <w:rPr>
                      <w:rFonts w:eastAsia="楷体_GB2312" w:hint="eastAsia"/>
                      <w:color w:val="000000"/>
                      <w:szCs w:val="21"/>
                    </w:rPr>
                    <w:t>、</w:t>
                  </w:r>
                  <w:r w:rsidRPr="00867554">
                    <w:rPr>
                      <w:rFonts w:eastAsia="楷体_GB2312" w:hint="eastAsia"/>
                      <w:color w:val="000000"/>
                      <w:szCs w:val="21"/>
                    </w:rPr>
                    <w:t>鹏华信用增利</w:t>
                  </w:r>
                  <w:r w:rsidRPr="00A74017">
                    <w:rPr>
                      <w:rFonts w:eastAsia="楷体_GB2312" w:hint="eastAsia"/>
                      <w:color w:val="000000"/>
                      <w:szCs w:val="21"/>
                    </w:rPr>
                    <w:t>A</w:t>
                  </w:r>
                  <w:r>
                    <w:rPr>
                      <w:rFonts w:eastAsia="楷体_GB2312"/>
                      <w:color w:val="000000"/>
                      <w:szCs w:val="21"/>
                    </w:rPr>
                    <w:t>\B</w:t>
                  </w:r>
                  <w:r>
                    <w:rPr>
                      <w:rFonts w:eastAsia="楷体_GB2312" w:hint="eastAsia"/>
                      <w:color w:val="000000"/>
                      <w:szCs w:val="21"/>
                    </w:rPr>
                    <w:t>、</w:t>
                  </w:r>
                  <w:r w:rsidRPr="00867554">
                    <w:rPr>
                      <w:rFonts w:eastAsia="楷体_GB2312" w:hint="eastAsia"/>
                      <w:color w:val="000000"/>
                      <w:szCs w:val="21"/>
                    </w:rPr>
                    <w:t>嘉实多利分级</w:t>
                  </w:r>
                  <w:r>
                    <w:rPr>
                      <w:rFonts w:eastAsia="楷体_GB2312" w:hint="eastAsia"/>
                      <w:color w:val="000000"/>
                      <w:szCs w:val="21"/>
                    </w:rPr>
                    <w:t>收益率领先，上周收益率分别为</w:t>
                  </w:r>
                  <w:r>
                    <w:rPr>
                      <w:rFonts w:eastAsia="楷体_GB2312"/>
                      <w:color w:val="000000"/>
                      <w:szCs w:val="21"/>
                    </w:rPr>
                    <w:t>0.73%</w:t>
                  </w:r>
                  <w:r>
                    <w:rPr>
                      <w:rFonts w:eastAsia="楷体_GB2312" w:hint="eastAsia"/>
                      <w:color w:val="000000"/>
                      <w:szCs w:val="21"/>
                    </w:rPr>
                    <w:t>、</w:t>
                  </w:r>
                  <w:r>
                    <w:rPr>
                      <w:rFonts w:eastAsia="楷体_GB2312"/>
                      <w:color w:val="000000"/>
                      <w:szCs w:val="21"/>
                    </w:rPr>
                    <w:t>0.60</w:t>
                  </w:r>
                  <w:r>
                    <w:rPr>
                      <w:rFonts w:eastAsia="楷体_GB2312" w:hint="eastAsia"/>
                      <w:color w:val="000000"/>
                      <w:szCs w:val="21"/>
                    </w:rPr>
                    <w:t>%\</w:t>
                  </w:r>
                  <w:r>
                    <w:rPr>
                      <w:rFonts w:eastAsia="楷体_GB2312"/>
                      <w:color w:val="000000"/>
                      <w:szCs w:val="21"/>
                    </w:rPr>
                    <w:t>0.59</w:t>
                  </w:r>
                  <w:r>
                    <w:rPr>
                      <w:rFonts w:eastAsia="楷体_GB2312" w:hint="eastAsia"/>
                      <w:color w:val="000000"/>
                      <w:szCs w:val="21"/>
                    </w:rPr>
                    <w:t>%</w:t>
                  </w:r>
                  <w:r>
                    <w:rPr>
                      <w:rFonts w:eastAsia="楷体_GB2312" w:hint="eastAsia"/>
                      <w:color w:val="000000"/>
                      <w:szCs w:val="21"/>
                    </w:rPr>
                    <w:t>和</w:t>
                  </w:r>
                  <w:r>
                    <w:rPr>
                      <w:rFonts w:eastAsia="楷体_GB2312"/>
                      <w:color w:val="000000"/>
                      <w:szCs w:val="21"/>
                    </w:rPr>
                    <w:t>0.58%</w:t>
                  </w:r>
                  <w:r>
                    <w:rPr>
                      <w:rFonts w:eastAsia="楷体_GB2312" w:hint="eastAsia"/>
                      <w:color w:val="000000"/>
                      <w:szCs w:val="21"/>
                    </w:rPr>
                    <w:t>。</w:t>
                  </w:r>
                  <w:r>
                    <w:rPr>
                      <w:rFonts w:eastAsia="楷体_GB2312" w:hint="eastAsia"/>
                      <w:color w:val="000000"/>
                      <w:szCs w:val="21"/>
                    </w:rPr>
                    <w:t>2016</w:t>
                  </w:r>
                  <w:r>
                    <w:rPr>
                      <w:rFonts w:eastAsia="楷体_GB2312" w:hint="eastAsia"/>
                      <w:color w:val="000000"/>
                      <w:szCs w:val="21"/>
                    </w:rPr>
                    <w:t>年以来的债券型基金平均收益率为</w:t>
                  </w:r>
                  <w:r>
                    <w:rPr>
                      <w:rFonts w:eastAsia="楷体_GB2312" w:hint="eastAsia"/>
                      <w:color w:val="000000"/>
                      <w:szCs w:val="21"/>
                    </w:rPr>
                    <w:t>-0.</w:t>
                  </w:r>
                  <w:r>
                    <w:rPr>
                      <w:rFonts w:eastAsia="楷体_GB2312"/>
                      <w:color w:val="000000"/>
                      <w:szCs w:val="21"/>
                    </w:rPr>
                    <w:t>7</w:t>
                  </w:r>
                  <w:r w:rsidR="00EF437E">
                    <w:rPr>
                      <w:rFonts w:eastAsia="楷体_GB2312"/>
                      <w:color w:val="000000"/>
                      <w:szCs w:val="21"/>
                    </w:rPr>
                    <w:t>2</w:t>
                  </w:r>
                  <w:r>
                    <w:rPr>
                      <w:rFonts w:eastAsia="楷体_GB2312" w:hint="eastAsia"/>
                      <w:color w:val="000000"/>
                      <w:szCs w:val="21"/>
                    </w:rPr>
                    <w:t>%</w:t>
                  </w:r>
                  <w:r>
                    <w:rPr>
                      <w:rFonts w:eastAsia="楷体_GB2312" w:hint="eastAsia"/>
                      <w:color w:val="000000"/>
                      <w:szCs w:val="21"/>
                    </w:rPr>
                    <w:t>。业绩居前的基金为新华安享惠金</w:t>
                  </w:r>
                  <w:r>
                    <w:rPr>
                      <w:rFonts w:eastAsia="楷体_GB2312" w:hint="eastAsia"/>
                      <w:color w:val="000000"/>
                      <w:szCs w:val="21"/>
                    </w:rPr>
                    <w:t>A\C</w:t>
                  </w:r>
                  <w:r>
                    <w:rPr>
                      <w:rFonts w:eastAsia="楷体_GB2312" w:hint="eastAsia"/>
                      <w:color w:val="000000"/>
                      <w:szCs w:val="21"/>
                    </w:rPr>
                    <w:t>、</w:t>
                  </w:r>
                  <w:r w:rsidRPr="001915A4">
                    <w:rPr>
                      <w:rFonts w:eastAsia="楷体_GB2312" w:hint="eastAsia"/>
                      <w:color w:val="000000"/>
                      <w:szCs w:val="21"/>
                    </w:rPr>
                    <w:t>英大纯债</w:t>
                  </w:r>
                  <w:r w:rsidRPr="001915A4">
                    <w:rPr>
                      <w:rFonts w:eastAsia="楷体_GB2312" w:hint="eastAsia"/>
                      <w:color w:val="000000"/>
                      <w:szCs w:val="21"/>
                    </w:rPr>
                    <w:t>A</w:t>
                  </w:r>
                  <w:r>
                    <w:rPr>
                      <w:rFonts w:eastAsia="楷体_GB2312" w:hint="eastAsia"/>
                      <w:color w:val="000000"/>
                      <w:szCs w:val="21"/>
                    </w:rPr>
                    <w:t>、</w:t>
                  </w:r>
                  <w:r w:rsidRPr="001915A4">
                    <w:rPr>
                      <w:rFonts w:eastAsia="楷体_GB2312" w:hint="eastAsia"/>
                      <w:color w:val="000000"/>
                      <w:szCs w:val="21"/>
                    </w:rPr>
                    <w:t>新华惠鑫分级</w:t>
                  </w:r>
                  <w:r>
                    <w:rPr>
                      <w:rFonts w:eastAsia="楷体_GB2312" w:hint="eastAsia"/>
                      <w:color w:val="000000"/>
                      <w:szCs w:val="21"/>
                    </w:rPr>
                    <w:t>，收益率分别为</w:t>
                  </w:r>
                  <w:r>
                    <w:rPr>
                      <w:rFonts w:eastAsia="楷体_GB2312"/>
                      <w:color w:val="000000"/>
                      <w:szCs w:val="21"/>
                    </w:rPr>
                    <w:t>3.60</w:t>
                  </w:r>
                  <w:r>
                    <w:rPr>
                      <w:rFonts w:eastAsia="楷体_GB2312" w:hint="eastAsia"/>
                      <w:color w:val="000000"/>
                      <w:szCs w:val="21"/>
                    </w:rPr>
                    <w:t>%\3.46%</w:t>
                  </w:r>
                  <w:r>
                    <w:rPr>
                      <w:rFonts w:eastAsia="楷体_GB2312" w:hint="eastAsia"/>
                      <w:color w:val="000000"/>
                      <w:szCs w:val="21"/>
                    </w:rPr>
                    <w:t>、</w:t>
                  </w:r>
                  <w:r>
                    <w:rPr>
                      <w:rFonts w:eastAsia="楷体_GB2312"/>
                      <w:color w:val="000000"/>
                      <w:szCs w:val="21"/>
                    </w:rPr>
                    <w:t>3.23</w:t>
                  </w:r>
                  <w:r>
                    <w:rPr>
                      <w:rFonts w:eastAsia="楷体_GB2312" w:hint="eastAsia"/>
                      <w:color w:val="000000"/>
                      <w:szCs w:val="21"/>
                    </w:rPr>
                    <w:t>%</w:t>
                  </w:r>
                  <w:r>
                    <w:rPr>
                      <w:rFonts w:eastAsia="楷体_GB2312" w:hint="eastAsia"/>
                      <w:color w:val="000000"/>
                      <w:szCs w:val="21"/>
                    </w:rPr>
                    <w:t>、</w:t>
                  </w:r>
                  <w:r>
                    <w:rPr>
                      <w:rFonts w:eastAsia="楷体_GB2312"/>
                      <w:color w:val="000000"/>
                      <w:szCs w:val="21"/>
                    </w:rPr>
                    <w:t>3.23</w:t>
                  </w:r>
                  <w:r>
                    <w:rPr>
                      <w:rFonts w:eastAsia="楷体_GB2312" w:hint="eastAsia"/>
                      <w:color w:val="000000"/>
                      <w:szCs w:val="21"/>
                    </w:rPr>
                    <w:t>%</w:t>
                  </w:r>
                  <w:r>
                    <w:rPr>
                      <w:rFonts w:eastAsia="楷体_GB2312" w:hint="eastAsia"/>
                      <w:color w:val="000000"/>
                      <w:szCs w:val="21"/>
                    </w:rPr>
                    <w:t>。</w:t>
                  </w:r>
                  <w:r w:rsidRPr="0070665A">
                    <w:rPr>
                      <w:rFonts w:eastAsia="楷体_GB2312" w:hint="eastAsia"/>
                      <w:color w:val="000000"/>
                      <w:szCs w:val="21"/>
                    </w:rPr>
                    <w:t>货币市场基金期间平均</w:t>
                  </w:r>
                  <w:r w:rsidRPr="0070665A">
                    <w:rPr>
                      <w:rFonts w:eastAsia="楷体_GB2312" w:hint="eastAsia"/>
                      <w:color w:val="000000"/>
                      <w:szCs w:val="21"/>
                    </w:rPr>
                    <w:t>7</w:t>
                  </w:r>
                  <w:r w:rsidRPr="0070665A">
                    <w:rPr>
                      <w:rFonts w:eastAsia="楷体_GB2312" w:hint="eastAsia"/>
                      <w:color w:val="000000"/>
                      <w:szCs w:val="21"/>
                    </w:rPr>
                    <w:t>天年化收益率为</w:t>
                  </w:r>
                  <w:r w:rsidRPr="0070665A">
                    <w:rPr>
                      <w:rFonts w:eastAsia="楷体_GB2312" w:hint="eastAsia"/>
                      <w:color w:val="000000"/>
                      <w:szCs w:val="21"/>
                    </w:rPr>
                    <w:t>2.</w:t>
                  </w:r>
                  <w:r>
                    <w:rPr>
                      <w:rFonts w:eastAsia="楷体_GB2312"/>
                      <w:color w:val="000000"/>
                      <w:szCs w:val="21"/>
                    </w:rPr>
                    <w:t>64</w:t>
                  </w:r>
                  <w:r w:rsidRPr="0070665A">
                    <w:rPr>
                      <w:rFonts w:eastAsia="楷体_GB2312" w:hint="eastAsia"/>
                      <w:color w:val="000000"/>
                      <w:szCs w:val="21"/>
                    </w:rPr>
                    <w:t>%</w:t>
                  </w:r>
                  <w:r w:rsidRPr="0070665A">
                    <w:rPr>
                      <w:rFonts w:eastAsia="楷体_GB2312" w:hint="eastAsia"/>
                      <w:color w:val="000000"/>
                      <w:szCs w:val="21"/>
                    </w:rPr>
                    <w:t>，</w:t>
                  </w:r>
                  <w:r w:rsidRPr="00630624">
                    <w:rPr>
                      <w:rFonts w:eastAsia="楷体_GB2312" w:hint="eastAsia"/>
                      <w:szCs w:val="21"/>
                    </w:rPr>
                    <w:t>上周货币市场基金</w:t>
                  </w:r>
                  <w:r w:rsidRPr="00630624">
                    <w:rPr>
                      <w:rFonts w:eastAsia="楷体_GB2312" w:hint="eastAsia"/>
                      <w:szCs w:val="21"/>
                    </w:rPr>
                    <w:t>7</w:t>
                  </w:r>
                  <w:r w:rsidRPr="00630624">
                    <w:rPr>
                      <w:rFonts w:eastAsia="楷体_GB2312" w:hint="eastAsia"/>
                      <w:szCs w:val="21"/>
                    </w:rPr>
                    <w:t>天年化收益率较前期有所上升</w:t>
                  </w:r>
                  <w:r w:rsidR="00B6660A" w:rsidRPr="00630624">
                    <w:rPr>
                      <w:rFonts w:eastAsia="楷体_GB2312" w:hint="eastAsia"/>
                      <w:szCs w:val="21"/>
                    </w:rPr>
                    <w:t>。</w:t>
                  </w:r>
                </w:p>
                <w:p w:rsidR="006B33F9" w:rsidRDefault="003E004D" w:rsidP="007B3224">
                  <w:pPr>
                    <w:framePr w:hSpace="181" w:wrap="around" w:vAnchor="page" w:hAnchor="page" w:x="35" w:y="1"/>
                    <w:spacing w:line="360" w:lineRule="auto"/>
                    <w:ind w:firstLineChars="196" w:firstLine="413"/>
                    <w:jc w:val="left"/>
                    <w:rPr>
                      <w:rFonts w:eastAsia="楷体_GB2312"/>
                      <w:b/>
                      <w:bCs/>
                      <w:color w:val="003366"/>
                      <w:szCs w:val="21"/>
                    </w:rPr>
                  </w:pPr>
                  <w:r w:rsidRPr="003E004D">
                    <w:rPr>
                      <w:rFonts w:eastAsia="楷体_GB2312" w:hint="eastAsia"/>
                      <w:b/>
                      <w:bCs/>
                      <w:color w:val="003366"/>
                      <w:szCs w:val="21"/>
                    </w:rPr>
                    <w:t>QDII</w:t>
                  </w:r>
                  <w:r w:rsidRPr="003E004D">
                    <w:rPr>
                      <w:rFonts w:eastAsia="楷体_GB2312" w:hint="eastAsia"/>
                      <w:b/>
                      <w:bCs/>
                      <w:color w:val="003366"/>
                      <w:szCs w:val="21"/>
                    </w:rPr>
                    <w:t>及另类投资产品</w:t>
                  </w:r>
                  <w:r>
                    <w:rPr>
                      <w:rFonts w:eastAsia="楷体_GB2312" w:hint="eastAsia"/>
                      <w:b/>
                      <w:bCs/>
                      <w:color w:val="003366"/>
                      <w:szCs w:val="21"/>
                    </w:rPr>
                    <w:t xml:space="preserve">: </w:t>
                  </w:r>
                </w:p>
                <w:bookmarkEnd w:id="2"/>
                <w:bookmarkEnd w:id="3"/>
                <w:bookmarkEnd w:id="4"/>
                <w:bookmarkEnd w:id="5"/>
                <w:bookmarkEnd w:id="6"/>
                <w:bookmarkEnd w:id="7"/>
                <w:p w:rsidR="007E3B74" w:rsidRPr="00AC1958" w:rsidRDefault="003E4DE2" w:rsidP="007B3224">
                  <w:pPr>
                    <w:framePr w:hSpace="181" w:wrap="around" w:vAnchor="page" w:hAnchor="page" w:x="35" w:y="1"/>
                    <w:spacing w:line="14" w:lineRule="auto"/>
                    <w:ind w:firstLine="420"/>
                    <w:rPr>
                      <w:rFonts w:eastAsia="楷体_GB2312"/>
                      <w:color w:val="000000"/>
                      <w:szCs w:val="21"/>
                    </w:rPr>
                  </w:pPr>
                  <w:r w:rsidRPr="00795B9B">
                    <w:rPr>
                      <w:rFonts w:eastAsia="楷体_GB2312" w:hint="eastAsia"/>
                      <w:color w:val="000000"/>
                      <w:szCs w:val="21"/>
                    </w:rPr>
                    <w:t>QDII</w:t>
                  </w:r>
                  <w:r w:rsidRPr="00795B9B">
                    <w:rPr>
                      <w:rFonts w:eastAsia="楷体_GB2312" w:hint="eastAsia"/>
                      <w:color w:val="000000"/>
                      <w:szCs w:val="21"/>
                    </w:rPr>
                    <w:t>及另类投资基金</w:t>
                  </w:r>
                  <w:r>
                    <w:rPr>
                      <w:rFonts w:eastAsia="楷体_GB2312" w:hint="eastAsia"/>
                      <w:color w:val="000000"/>
                      <w:szCs w:val="21"/>
                    </w:rPr>
                    <w:t>期间</w:t>
                  </w:r>
                  <w:r w:rsidRPr="00795B9B">
                    <w:rPr>
                      <w:rFonts w:eastAsia="楷体_GB2312" w:hint="eastAsia"/>
                      <w:color w:val="000000"/>
                      <w:szCs w:val="21"/>
                    </w:rPr>
                    <w:t>平均收益率为</w:t>
                  </w:r>
                  <w:r>
                    <w:rPr>
                      <w:rFonts w:eastAsia="楷体_GB2312"/>
                      <w:color w:val="000000"/>
                      <w:szCs w:val="21"/>
                    </w:rPr>
                    <w:t>-0.67</w:t>
                  </w:r>
                  <w:r w:rsidRPr="00795B9B">
                    <w:rPr>
                      <w:rFonts w:eastAsia="楷体_GB2312" w:hint="eastAsia"/>
                      <w:color w:val="000000"/>
                      <w:szCs w:val="21"/>
                    </w:rPr>
                    <w:t>%</w:t>
                  </w:r>
                  <w:r>
                    <w:rPr>
                      <w:rFonts w:eastAsia="楷体_GB2312" w:hint="eastAsia"/>
                      <w:color w:val="000000"/>
                      <w:szCs w:val="21"/>
                    </w:rPr>
                    <w:t>。</w:t>
                  </w:r>
                  <w:r w:rsidR="001300AC">
                    <w:rPr>
                      <w:rFonts w:eastAsia="楷体_GB2312" w:hint="eastAsia"/>
                      <w:color w:val="000000"/>
                      <w:szCs w:val="21"/>
                    </w:rPr>
                    <w:t>商品类</w:t>
                  </w:r>
                  <w:r>
                    <w:rPr>
                      <w:rFonts w:eastAsia="楷体_GB2312" w:hint="eastAsia"/>
                      <w:color w:val="000000"/>
                      <w:szCs w:val="21"/>
                    </w:rPr>
                    <w:t>基金大幅上涨，业绩</w:t>
                  </w:r>
                  <w:proofErr w:type="gramStart"/>
                  <w:r>
                    <w:rPr>
                      <w:rFonts w:eastAsia="楷体_GB2312" w:hint="eastAsia"/>
                      <w:color w:val="000000"/>
                      <w:szCs w:val="21"/>
                    </w:rPr>
                    <w:t>收益居</w:t>
                  </w:r>
                  <w:proofErr w:type="gramEnd"/>
                  <w:r>
                    <w:rPr>
                      <w:rFonts w:eastAsia="楷体_GB2312" w:hint="eastAsia"/>
                      <w:color w:val="000000"/>
                      <w:szCs w:val="21"/>
                    </w:rPr>
                    <w:t>前的基金如：</w:t>
                  </w:r>
                  <w:r w:rsidRPr="007B21EE">
                    <w:rPr>
                      <w:rFonts w:eastAsia="楷体_GB2312" w:hint="eastAsia"/>
                      <w:color w:val="000000"/>
                      <w:szCs w:val="21"/>
                    </w:rPr>
                    <w:t>国泰大宗商品</w:t>
                  </w:r>
                  <w:r>
                    <w:rPr>
                      <w:rFonts w:eastAsia="楷体_GB2312" w:hint="eastAsia"/>
                      <w:color w:val="000000"/>
                      <w:szCs w:val="21"/>
                    </w:rPr>
                    <w:t>、</w:t>
                  </w:r>
                  <w:proofErr w:type="gramStart"/>
                  <w:r w:rsidRPr="007B21EE">
                    <w:rPr>
                      <w:rFonts w:eastAsia="楷体_GB2312" w:hint="eastAsia"/>
                      <w:color w:val="000000"/>
                      <w:szCs w:val="21"/>
                    </w:rPr>
                    <w:t>汇添富</w:t>
                  </w:r>
                  <w:proofErr w:type="gramEnd"/>
                  <w:r w:rsidRPr="007B21EE">
                    <w:rPr>
                      <w:rFonts w:eastAsia="楷体_GB2312" w:hint="eastAsia"/>
                      <w:color w:val="000000"/>
                      <w:szCs w:val="21"/>
                    </w:rPr>
                    <w:t>黄金及贵金属</w:t>
                  </w:r>
                  <w:r>
                    <w:rPr>
                      <w:rFonts w:eastAsia="楷体_GB2312" w:hint="eastAsia"/>
                      <w:color w:val="000000"/>
                      <w:szCs w:val="21"/>
                    </w:rPr>
                    <w:t>、</w:t>
                  </w:r>
                  <w:r w:rsidRPr="007B21EE">
                    <w:rPr>
                      <w:rFonts w:eastAsia="楷体_GB2312" w:hint="eastAsia"/>
                      <w:color w:val="000000"/>
                      <w:szCs w:val="21"/>
                    </w:rPr>
                    <w:t>信</w:t>
                  </w:r>
                  <w:proofErr w:type="gramStart"/>
                  <w:r w:rsidRPr="007B21EE">
                    <w:rPr>
                      <w:rFonts w:eastAsia="楷体_GB2312" w:hint="eastAsia"/>
                      <w:color w:val="000000"/>
                      <w:szCs w:val="21"/>
                    </w:rPr>
                    <w:t>诚全球</w:t>
                  </w:r>
                  <w:proofErr w:type="gramEnd"/>
                  <w:r w:rsidRPr="007B21EE">
                    <w:rPr>
                      <w:rFonts w:eastAsia="楷体_GB2312" w:hint="eastAsia"/>
                      <w:color w:val="000000"/>
                      <w:szCs w:val="21"/>
                    </w:rPr>
                    <w:t>商品主题</w:t>
                  </w:r>
                  <w:r>
                    <w:rPr>
                      <w:rFonts w:eastAsia="楷体_GB2312" w:hint="eastAsia"/>
                      <w:color w:val="000000"/>
                      <w:szCs w:val="21"/>
                    </w:rPr>
                    <w:t>，上期收益率分别为</w:t>
                  </w:r>
                  <w:r w:rsidRPr="005B56B3">
                    <w:rPr>
                      <w:rFonts w:eastAsia="楷体_GB2312"/>
                      <w:color w:val="000000"/>
                      <w:szCs w:val="21"/>
                    </w:rPr>
                    <w:t>4.</w:t>
                  </w:r>
                  <w:r>
                    <w:rPr>
                      <w:rFonts w:eastAsia="楷体_GB2312"/>
                      <w:color w:val="000000"/>
                      <w:szCs w:val="21"/>
                    </w:rPr>
                    <w:t>7</w:t>
                  </w:r>
                  <w:r w:rsidRPr="005B56B3">
                    <w:rPr>
                      <w:rFonts w:eastAsia="楷体_GB2312"/>
                      <w:color w:val="000000"/>
                      <w:szCs w:val="21"/>
                    </w:rPr>
                    <w:t xml:space="preserve">1 </w:t>
                  </w:r>
                  <w:r>
                    <w:rPr>
                      <w:rFonts w:eastAsia="楷体_GB2312" w:hint="eastAsia"/>
                      <w:color w:val="000000"/>
                      <w:szCs w:val="21"/>
                    </w:rPr>
                    <w:t>%</w:t>
                  </w:r>
                  <w:r>
                    <w:rPr>
                      <w:rFonts w:eastAsia="楷体_GB2312" w:hint="eastAsia"/>
                      <w:color w:val="000000"/>
                      <w:szCs w:val="21"/>
                    </w:rPr>
                    <w:t>、</w:t>
                  </w:r>
                  <w:r>
                    <w:rPr>
                      <w:rFonts w:eastAsia="楷体_GB2312"/>
                      <w:color w:val="000000"/>
                      <w:szCs w:val="21"/>
                    </w:rPr>
                    <w:t>2.36</w:t>
                  </w:r>
                  <w:r w:rsidRPr="005B56B3">
                    <w:rPr>
                      <w:rFonts w:eastAsia="楷体_GB2312"/>
                      <w:color w:val="000000"/>
                      <w:szCs w:val="21"/>
                    </w:rPr>
                    <w:t xml:space="preserve"> </w:t>
                  </w:r>
                  <w:r>
                    <w:rPr>
                      <w:rFonts w:eastAsia="楷体_GB2312" w:hint="eastAsia"/>
                      <w:color w:val="000000"/>
                      <w:szCs w:val="21"/>
                    </w:rPr>
                    <w:t>%</w:t>
                  </w:r>
                  <w:r>
                    <w:rPr>
                      <w:rFonts w:eastAsia="楷体_GB2312" w:hint="eastAsia"/>
                      <w:color w:val="000000"/>
                      <w:szCs w:val="21"/>
                    </w:rPr>
                    <w:t>、</w:t>
                  </w:r>
                  <w:r>
                    <w:rPr>
                      <w:rFonts w:eastAsia="楷体_GB2312"/>
                      <w:color w:val="000000"/>
                      <w:szCs w:val="21"/>
                    </w:rPr>
                    <w:t>2.18</w:t>
                  </w:r>
                  <w:r>
                    <w:rPr>
                      <w:rFonts w:eastAsia="楷体_GB2312" w:hint="eastAsia"/>
                      <w:color w:val="000000"/>
                      <w:szCs w:val="21"/>
                    </w:rPr>
                    <w:t>%</w:t>
                  </w:r>
                  <w:r>
                    <w:rPr>
                      <w:rFonts w:eastAsia="楷体_GB2312" w:hint="eastAsia"/>
                      <w:color w:val="000000"/>
                      <w:szCs w:val="21"/>
                    </w:rPr>
                    <w:t>。上周收益率不佳的</w:t>
                  </w:r>
                  <w:r>
                    <w:rPr>
                      <w:rFonts w:eastAsia="楷体_GB2312" w:hint="eastAsia"/>
                      <w:color w:val="000000"/>
                      <w:szCs w:val="21"/>
                    </w:rPr>
                    <w:t>QDII</w:t>
                  </w:r>
                  <w:r>
                    <w:rPr>
                      <w:rFonts w:eastAsia="楷体_GB2312" w:hint="eastAsia"/>
                      <w:color w:val="000000"/>
                      <w:szCs w:val="21"/>
                    </w:rPr>
                    <w:t>基金为：</w:t>
                  </w:r>
                  <w:r w:rsidRPr="000258E6">
                    <w:rPr>
                      <w:rFonts w:eastAsia="楷体_GB2312" w:hint="eastAsia"/>
                      <w:color w:val="000000"/>
                      <w:szCs w:val="21"/>
                    </w:rPr>
                    <w:t>广发纳斯达克生物科技美元</w:t>
                  </w:r>
                  <w:r>
                    <w:rPr>
                      <w:rFonts w:eastAsia="楷体_GB2312" w:hint="eastAsia"/>
                      <w:color w:val="000000"/>
                      <w:szCs w:val="21"/>
                    </w:rPr>
                    <w:t>、</w:t>
                  </w:r>
                  <w:r w:rsidRPr="000258E6">
                    <w:rPr>
                      <w:rFonts w:eastAsia="楷体_GB2312" w:hint="eastAsia"/>
                      <w:color w:val="000000"/>
                      <w:szCs w:val="21"/>
                    </w:rPr>
                    <w:t>广发纳斯达克生物科技人民币</w:t>
                  </w:r>
                  <w:r>
                    <w:rPr>
                      <w:rFonts w:eastAsia="楷体_GB2312" w:hint="eastAsia"/>
                      <w:color w:val="000000"/>
                      <w:szCs w:val="21"/>
                    </w:rPr>
                    <w:t>、</w:t>
                  </w:r>
                  <w:r w:rsidRPr="000258E6">
                    <w:rPr>
                      <w:rFonts w:eastAsia="楷体_GB2312" w:hint="eastAsia"/>
                      <w:color w:val="000000"/>
                      <w:szCs w:val="21"/>
                    </w:rPr>
                    <w:t>华宝兴业中国成长</w:t>
                  </w:r>
                  <w:r w:rsidR="00435C80">
                    <w:rPr>
                      <w:rFonts w:eastAsia="楷体_GB2312" w:hint="eastAsia"/>
                      <w:color w:val="000000"/>
                      <w:szCs w:val="21"/>
                    </w:rPr>
                    <w:t>。</w:t>
                  </w:r>
                  <w:bookmarkEnd w:id="8"/>
                  <w:bookmarkEnd w:id="9"/>
                  <w:bookmarkEnd w:id="10"/>
                  <w:bookmarkEnd w:id="11"/>
                </w:p>
              </w:tc>
            </w:tr>
          </w:tbl>
          <w:p w:rsidR="00D20D7A" w:rsidRPr="00D20D7A" w:rsidRDefault="00D20D7A" w:rsidP="00055C3A">
            <w:pPr>
              <w:rPr>
                <w:rFonts w:eastAsia="楷体_GB2312"/>
                <w:b/>
                <w:color w:val="003366"/>
              </w:rPr>
            </w:pPr>
          </w:p>
        </w:tc>
      </w:tr>
      <w:tr w:rsidR="00D20D7A" w:rsidRPr="00CB0A5A" w:rsidTr="00814A63">
        <w:trPr>
          <w:trHeight w:val="2880"/>
        </w:trPr>
        <w:tc>
          <w:tcPr>
            <w:tcW w:w="4222" w:type="dxa"/>
            <w:gridSpan w:val="5"/>
            <w:shd w:val="clear" w:color="auto" w:fill="auto"/>
            <w:tcMar>
              <w:right w:w="0" w:type="dxa"/>
            </w:tcMar>
          </w:tcPr>
          <w:p w:rsidR="003222CD" w:rsidRDefault="003222CD" w:rsidP="003222CD">
            <w:pPr>
              <w:ind w:right="420" w:firstLine="420"/>
              <w:rPr>
                <w:rFonts w:eastAsia="楷体_GB2312"/>
                <w:b/>
                <w:color w:val="003366"/>
              </w:rPr>
            </w:pPr>
          </w:p>
          <w:tbl>
            <w:tblPr>
              <w:tblW w:w="0" w:type="auto"/>
              <w:jc w:val="right"/>
              <w:shd w:val="clear" w:color="auto" w:fill="E0E0E0"/>
              <w:tblLayout w:type="fixed"/>
              <w:tblLook w:val="01E0" w:firstRow="1" w:lastRow="1" w:firstColumn="1" w:lastColumn="1" w:noHBand="0" w:noVBand="0"/>
            </w:tblPr>
            <w:tblGrid>
              <w:gridCol w:w="3751"/>
            </w:tblGrid>
            <w:tr w:rsidR="00A56132" w:rsidRPr="00CB0A5A" w:rsidTr="00871461">
              <w:trPr>
                <w:trHeight w:val="284"/>
                <w:jc w:val="right"/>
              </w:trPr>
              <w:tc>
                <w:tcPr>
                  <w:tcW w:w="3751" w:type="dxa"/>
                  <w:shd w:val="clear" w:color="auto" w:fill="auto"/>
                </w:tcPr>
                <w:p w:rsidR="00A56132" w:rsidRDefault="00A56132" w:rsidP="007B3224">
                  <w:pPr>
                    <w:framePr w:hSpace="181" w:wrap="around" w:vAnchor="page" w:hAnchor="page" w:x="35" w:y="1"/>
                    <w:rPr>
                      <w:rFonts w:eastAsia="楷体_GB2312"/>
                      <w:b/>
                      <w:color w:val="003366"/>
                      <w:sz w:val="24"/>
                    </w:rPr>
                  </w:pPr>
                </w:p>
                <w:p w:rsidR="00A56132" w:rsidRDefault="00A56132" w:rsidP="007B3224">
                  <w:pPr>
                    <w:framePr w:hSpace="181" w:wrap="around" w:vAnchor="page" w:hAnchor="page" w:x="35" w:y="1"/>
                    <w:rPr>
                      <w:rFonts w:eastAsia="楷体_GB2312"/>
                      <w:b/>
                      <w:color w:val="003366"/>
                      <w:sz w:val="24"/>
                    </w:rPr>
                  </w:pPr>
                </w:p>
                <w:p w:rsidR="00225042" w:rsidRDefault="00225042" w:rsidP="007B3224">
                  <w:pPr>
                    <w:framePr w:hSpace="181" w:wrap="around" w:vAnchor="page" w:hAnchor="page" w:x="35" w:y="1"/>
                    <w:rPr>
                      <w:rFonts w:eastAsia="楷体_GB2312"/>
                      <w:b/>
                      <w:color w:val="003366"/>
                      <w:sz w:val="24"/>
                    </w:rPr>
                  </w:pPr>
                </w:p>
                <w:p w:rsidR="00225042" w:rsidRDefault="00225042" w:rsidP="007B3224">
                  <w:pPr>
                    <w:framePr w:hSpace="181" w:wrap="around" w:vAnchor="page" w:hAnchor="page" w:x="35" w:y="1"/>
                    <w:rPr>
                      <w:rFonts w:eastAsia="楷体_GB2312"/>
                      <w:b/>
                      <w:color w:val="003366"/>
                      <w:sz w:val="24"/>
                    </w:rPr>
                  </w:pPr>
                </w:p>
                <w:p w:rsidR="00225042" w:rsidRDefault="00225042" w:rsidP="007B3224">
                  <w:pPr>
                    <w:framePr w:hSpace="181" w:wrap="around" w:vAnchor="page" w:hAnchor="page" w:x="35" w:y="1"/>
                    <w:rPr>
                      <w:rFonts w:eastAsia="楷体_GB2312"/>
                      <w:b/>
                      <w:color w:val="003366"/>
                      <w:sz w:val="24"/>
                    </w:rPr>
                  </w:pPr>
                </w:p>
                <w:p w:rsidR="00225042" w:rsidRDefault="00225042" w:rsidP="007B3224">
                  <w:pPr>
                    <w:framePr w:hSpace="181" w:wrap="around" w:vAnchor="page" w:hAnchor="page" w:x="35" w:y="1"/>
                    <w:rPr>
                      <w:rFonts w:eastAsia="楷体_GB2312"/>
                      <w:b/>
                      <w:color w:val="003366"/>
                      <w:sz w:val="24"/>
                    </w:rPr>
                  </w:pPr>
                </w:p>
                <w:p w:rsidR="00225042" w:rsidRDefault="00225042" w:rsidP="007B3224">
                  <w:pPr>
                    <w:framePr w:hSpace="181" w:wrap="around" w:vAnchor="page" w:hAnchor="page" w:x="35" w:y="1"/>
                    <w:rPr>
                      <w:rFonts w:eastAsia="楷体_GB2312"/>
                      <w:b/>
                      <w:color w:val="003366"/>
                      <w:sz w:val="24"/>
                    </w:rPr>
                  </w:pPr>
                </w:p>
                <w:p w:rsidR="00225042" w:rsidRPr="00500DDF" w:rsidRDefault="00225042" w:rsidP="007B3224">
                  <w:pPr>
                    <w:framePr w:hSpace="181" w:wrap="around" w:vAnchor="page" w:hAnchor="page" w:x="35" w:y="1"/>
                    <w:rPr>
                      <w:rFonts w:eastAsia="楷体_GB2312"/>
                      <w:b/>
                      <w:color w:val="003366"/>
                      <w:sz w:val="24"/>
                    </w:rPr>
                  </w:pPr>
                  <w:r w:rsidRPr="00500DDF">
                    <w:rPr>
                      <w:rFonts w:eastAsia="楷体_GB2312"/>
                      <w:b/>
                      <w:color w:val="003366"/>
                      <w:sz w:val="24"/>
                    </w:rPr>
                    <w:t>高琛</w:t>
                  </w:r>
                </w:p>
                <w:p w:rsidR="00225042" w:rsidRPr="00500DDF" w:rsidRDefault="00225042" w:rsidP="007B3224">
                  <w:pPr>
                    <w:framePr w:hSpace="181" w:wrap="around" w:vAnchor="page" w:hAnchor="page" w:x="35" w:y="1"/>
                    <w:rPr>
                      <w:rFonts w:eastAsia="楷体_GB2312"/>
                      <w:b/>
                      <w:color w:val="003366"/>
                      <w:sz w:val="24"/>
                    </w:rPr>
                  </w:pPr>
                  <w:r w:rsidRPr="00500DDF">
                    <w:rPr>
                      <w:rFonts w:eastAsia="楷体_GB2312"/>
                      <w:b/>
                      <w:color w:val="003366"/>
                      <w:sz w:val="24"/>
                    </w:rPr>
                    <w:t>执业证书编号：</w:t>
                  </w:r>
                  <w:bookmarkStart w:id="12" w:name="OLE_LINK1"/>
                  <w:bookmarkStart w:id="13" w:name="OLE_LINK2"/>
                  <w:r w:rsidRPr="00500DDF">
                    <w:rPr>
                      <w:rFonts w:eastAsia="楷体_GB2312"/>
                      <w:b/>
                      <w:color w:val="003366"/>
                      <w:sz w:val="24"/>
                    </w:rPr>
                    <w:t xml:space="preserve"> S0870512010001</w:t>
                  </w:r>
                  <w:bookmarkEnd w:id="12"/>
                  <w:bookmarkEnd w:id="13"/>
                </w:p>
                <w:p w:rsidR="00225042" w:rsidRPr="00500DDF" w:rsidRDefault="00225042" w:rsidP="007B3224">
                  <w:pPr>
                    <w:framePr w:hSpace="181" w:wrap="around" w:vAnchor="page" w:hAnchor="page" w:x="35" w:y="1"/>
                    <w:rPr>
                      <w:rFonts w:eastAsia="楷体_GB2312"/>
                      <w:b/>
                      <w:color w:val="003366"/>
                      <w:sz w:val="24"/>
                    </w:rPr>
                  </w:pPr>
                  <w:r w:rsidRPr="00500DDF">
                    <w:rPr>
                      <w:rFonts w:eastAsia="楷体_GB2312"/>
                      <w:b/>
                      <w:color w:val="003366"/>
                      <w:sz w:val="24"/>
                    </w:rPr>
                    <w:t>021-</w:t>
                  </w:r>
                  <w:r w:rsidR="00D35848">
                    <w:rPr>
                      <w:rFonts w:eastAsia="楷体_GB2312" w:hint="eastAsia"/>
                      <w:b/>
                      <w:color w:val="003366"/>
                      <w:sz w:val="24"/>
                    </w:rPr>
                    <w:t>53686107</w:t>
                  </w:r>
                </w:p>
                <w:p w:rsidR="00225042" w:rsidRPr="00500DDF" w:rsidRDefault="00177ABC" w:rsidP="007B3224">
                  <w:pPr>
                    <w:framePr w:hSpace="181" w:wrap="around" w:vAnchor="page" w:hAnchor="page" w:x="35" w:y="1"/>
                    <w:rPr>
                      <w:rFonts w:eastAsia="楷体_GB2312"/>
                      <w:b/>
                      <w:color w:val="003366"/>
                      <w:sz w:val="24"/>
                    </w:rPr>
                  </w:pPr>
                  <w:hyperlink r:id="rId10" w:history="1">
                    <w:r w:rsidR="00E4656C" w:rsidRPr="005D4F74">
                      <w:rPr>
                        <w:rStyle w:val="aa"/>
                        <w:rFonts w:eastAsia="楷体_GB2312"/>
                        <w:b/>
                        <w:sz w:val="24"/>
                      </w:rPr>
                      <w:t>gaochen@s</w:t>
                    </w:r>
                    <w:r w:rsidR="00E4656C" w:rsidRPr="005D4F74">
                      <w:rPr>
                        <w:rStyle w:val="aa"/>
                        <w:rFonts w:eastAsia="楷体_GB2312" w:hint="eastAsia"/>
                        <w:b/>
                        <w:sz w:val="24"/>
                      </w:rPr>
                      <w:t>hzq</w:t>
                    </w:r>
                    <w:r w:rsidR="00E4656C" w:rsidRPr="005D4F74">
                      <w:rPr>
                        <w:rStyle w:val="aa"/>
                        <w:rFonts w:eastAsia="楷体_GB2312"/>
                        <w:b/>
                        <w:sz w:val="24"/>
                      </w:rPr>
                      <w:t>.com</w:t>
                    </w:r>
                  </w:hyperlink>
                </w:p>
                <w:p w:rsidR="00A56132" w:rsidRDefault="00A56132" w:rsidP="007B3224">
                  <w:pPr>
                    <w:framePr w:hSpace="181" w:wrap="around" w:vAnchor="page" w:hAnchor="page" w:x="35" w:y="1"/>
                    <w:rPr>
                      <w:rFonts w:eastAsia="楷体_GB2312"/>
                      <w:b/>
                      <w:color w:val="003366"/>
                      <w:sz w:val="24"/>
                    </w:rPr>
                  </w:pPr>
                </w:p>
                <w:p w:rsidR="00A56132" w:rsidRPr="00500DDF" w:rsidRDefault="00A56132" w:rsidP="007B3224">
                  <w:pPr>
                    <w:framePr w:hSpace="181" w:wrap="around" w:vAnchor="page" w:hAnchor="page" w:x="35" w:y="1"/>
                    <w:rPr>
                      <w:rFonts w:eastAsia="楷体_GB2312"/>
                      <w:b/>
                      <w:color w:val="003366"/>
                      <w:sz w:val="24"/>
                    </w:rPr>
                  </w:pPr>
                  <w:r w:rsidRPr="00500DDF">
                    <w:rPr>
                      <w:rFonts w:eastAsia="楷体_GB2312"/>
                      <w:b/>
                      <w:color w:val="003366"/>
                      <w:sz w:val="24"/>
                    </w:rPr>
                    <w:t> </w:t>
                  </w:r>
                </w:p>
              </w:tc>
            </w:tr>
            <w:tr w:rsidR="00A56132" w:rsidRPr="00CB0A5A" w:rsidTr="00871461">
              <w:trPr>
                <w:trHeight w:val="284"/>
                <w:jc w:val="right"/>
              </w:trPr>
              <w:tc>
                <w:tcPr>
                  <w:tcW w:w="3751" w:type="dxa"/>
                  <w:shd w:val="clear" w:color="auto" w:fill="auto"/>
                </w:tcPr>
                <w:p w:rsidR="00A56132" w:rsidRDefault="00A56132" w:rsidP="007B3224">
                  <w:pPr>
                    <w:framePr w:hSpace="181" w:wrap="around" w:vAnchor="page" w:hAnchor="page" w:x="35" w:y="1"/>
                    <w:rPr>
                      <w:rFonts w:eastAsia="楷体_GB2312"/>
                      <w:b/>
                      <w:color w:val="003366"/>
                      <w:sz w:val="24"/>
                    </w:rPr>
                  </w:pPr>
                </w:p>
                <w:p w:rsidR="00A56132" w:rsidRDefault="00A56132" w:rsidP="007B3224">
                  <w:pPr>
                    <w:framePr w:hSpace="181" w:wrap="around" w:vAnchor="page" w:hAnchor="page" w:x="35" w:y="1"/>
                    <w:rPr>
                      <w:rFonts w:eastAsia="楷体_GB2312"/>
                      <w:b/>
                      <w:color w:val="003366"/>
                      <w:sz w:val="24"/>
                    </w:rPr>
                  </w:pPr>
                </w:p>
                <w:p w:rsidR="00A56132" w:rsidRPr="00754A1D" w:rsidRDefault="00A56132" w:rsidP="007B3224">
                  <w:pPr>
                    <w:framePr w:hSpace="181" w:wrap="around" w:vAnchor="page" w:hAnchor="page" w:x="35" w:y="1"/>
                    <w:rPr>
                      <w:rFonts w:eastAsia="楷体_GB2312"/>
                      <w:b/>
                      <w:color w:val="003366"/>
                    </w:rPr>
                  </w:pPr>
                  <w:r w:rsidRPr="00FC1827">
                    <w:rPr>
                      <w:rFonts w:eastAsia="楷体_GB2312"/>
                      <w:b/>
                      <w:color w:val="003366"/>
                    </w:rPr>
                    <w:t>日期：</w:t>
                  </w:r>
                  <w:r w:rsidR="00177ABC">
                    <w:fldChar w:fldCharType="begin"/>
                  </w:r>
                  <w:r w:rsidR="00177ABC">
                    <w:instrText xml:space="preserve"> DOCPROPERTY  date  \* MERGEFORMAT </w:instrText>
                  </w:r>
                  <w:r w:rsidR="00177ABC">
                    <w:fldChar w:fldCharType="separate"/>
                  </w:r>
                  <w:r w:rsidR="00D9659C">
                    <w:rPr>
                      <w:rFonts w:eastAsia="楷体_GB2312" w:hint="eastAsia"/>
                      <w:b/>
                      <w:color w:val="003366"/>
                    </w:rPr>
                    <w:t>201</w:t>
                  </w:r>
                  <w:r w:rsidR="001A7150">
                    <w:rPr>
                      <w:rFonts w:eastAsia="楷体_GB2312" w:hint="eastAsia"/>
                      <w:b/>
                      <w:color w:val="003366"/>
                    </w:rPr>
                    <w:t>6</w:t>
                  </w:r>
                  <w:r>
                    <w:rPr>
                      <w:rFonts w:eastAsia="楷体_GB2312" w:hint="eastAsia"/>
                      <w:b/>
                      <w:color w:val="003366"/>
                    </w:rPr>
                    <w:t>年</w:t>
                  </w:r>
                  <w:r w:rsidR="00DF74B4">
                    <w:rPr>
                      <w:rFonts w:eastAsia="楷体_GB2312"/>
                      <w:b/>
                      <w:color w:val="003366"/>
                    </w:rPr>
                    <w:t>5</w:t>
                  </w:r>
                  <w:r>
                    <w:rPr>
                      <w:rFonts w:eastAsia="楷体_GB2312" w:hint="eastAsia"/>
                      <w:b/>
                      <w:color w:val="003366"/>
                    </w:rPr>
                    <w:t>月</w:t>
                  </w:r>
                  <w:r w:rsidR="00DF74B4">
                    <w:rPr>
                      <w:rFonts w:eastAsia="楷体_GB2312"/>
                      <w:b/>
                      <w:color w:val="003366"/>
                    </w:rPr>
                    <w:t>3</w:t>
                  </w:r>
                  <w:r>
                    <w:rPr>
                      <w:rFonts w:eastAsia="楷体_GB2312" w:hint="eastAsia"/>
                      <w:b/>
                      <w:color w:val="003366"/>
                    </w:rPr>
                    <w:t>日</w:t>
                  </w:r>
                  <w:r w:rsidR="00177ABC">
                    <w:rPr>
                      <w:rFonts w:eastAsia="楷体_GB2312"/>
                      <w:b/>
                      <w:color w:val="003366"/>
                    </w:rPr>
                    <w:fldChar w:fldCharType="end"/>
                  </w:r>
                </w:p>
                <w:p w:rsidR="00A56132" w:rsidRDefault="00A56132" w:rsidP="007B3224">
                  <w:pPr>
                    <w:framePr w:hSpace="181" w:wrap="around" w:vAnchor="page" w:hAnchor="page" w:x="35" w:y="1"/>
                    <w:rPr>
                      <w:rFonts w:eastAsia="楷体_GB2312"/>
                      <w:b/>
                      <w:color w:val="003366"/>
                      <w:sz w:val="24"/>
                    </w:rPr>
                  </w:pPr>
                </w:p>
                <w:p w:rsidR="00A56132" w:rsidRDefault="00A56132" w:rsidP="007B3224">
                  <w:pPr>
                    <w:framePr w:hSpace="181" w:wrap="around" w:vAnchor="page" w:hAnchor="page" w:x="35" w:y="1"/>
                    <w:rPr>
                      <w:rFonts w:eastAsia="楷体_GB2312"/>
                      <w:b/>
                      <w:color w:val="003366"/>
                      <w:sz w:val="24"/>
                    </w:rPr>
                  </w:pPr>
                </w:p>
                <w:p w:rsidR="00A56132" w:rsidRDefault="00A56132" w:rsidP="007B3224">
                  <w:pPr>
                    <w:framePr w:hSpace="181" w:wrap="around" w:vAnchor="page" w:hAnchor="page" w:x="35" w:y="1"/>
                    <w:rPr>
                      <w:rFonts w:eastAsia="楷体_GB2312"/>
                      <w:b/>
                      <w:color w:val="003366"/>
                      <w:sz w:val="24"/>
                    </w:rPr>
                  </w:pPr>
                </w:p>
                <w:p w:rsidR="00A56132" w:rsidRPr="00500DDF" w:rsidRDefault="00A56132" w:rsidP="007B3224">
                  <w:pPr>
                    <w:framePr w:hSpace="181" w:wrap="around" w:vAnchor="page" w:hAnchor="page" w:x="35" w:y="1"/>
                    <w:rPr>
                      <w:rFonts w:eastAsia="楷体_GB2312"/>
                      <w:b/>
                      <w:color w:val="003366"/>
                      <w:sz w:val="24"/>
                    </w:rPr>
                  </w:pPr>
                </w:p>
              </w:tc>
            </w:tr>
            <w:tr w:rsidR="00A56132" w:rsidRPr="00CB0A5A" w:rsidTr="00871461">
              <w:trPr>
                <w:trHeight w:val="284"/>
                <w:jc w:val="right"/>
              </w:trPr>
              <w:tc>
                <w:tcPr>
                  <w:tcW w:w="3751" w:type="dxa"/>
                  <w:shd w:val="clear" w:color="auto" w:fill="auto"/>
                </w:tcPr>
                <w:p w:rsidR="00A56132" w:rsidRPr="00500DDF" w:rsidRDefault="00A56132" w:rsidP="007B3224">
                  <w:pPr>
                    <w:framePr w:hSpace="181" w:wrap="around" w:vAnchor="page" w:hAnchor="page" w:x="35" w:y="1"/>
                    <w:rPr>
                      <w:rFonts w:eastAsia="楷体_GB2312"/>
                      <w:b/>
                      <w:color w:val="003366"/>
                      <w:sz w:val="24"/>
                    </w:rPr>
                  </w:pPr>
                  <w:r w:rsidRPr="00500DDF">
                    <w:rPr>
                      <w:rFonts w:eastAsia="楷体_GB2312"/>
                      <w:b/>
                      <w:color w:val="003366"/>
                      <w:sz w:val="24"/>
                    </w:rPr>
                    <w:t>报告编号：</w:t>
                  </w:r>
                </w:p>
              </w:tc>
            </w:tr>
            <w:tr w:rsidR="00A56132" w:rsidRPr="00CB0A5A" w:rsidTr="00871461">
              <w:trPr>
                <w:trHeight w:val="284"/>
                <w:jc w:val="right"/>
              </w:trPr>
              <w:tc>
                <w:tcPr>
                  <w:tcW w:w="3751" w:type="dxa"/>
                  <w:shd w:val="clear" w:color="auto" w:fill="auto"/>
                </w:tcPr>
                <w:p w:rsidR="00A56132" w:rsidRPr="00500DDF" w:rsidRDefault="00A56132" w:rsidP="007B3224">
                  <w:pPr>
                    <w:framePr w:hSpace="181" w:wrap="around" w:vAnchor="page" w:hAnchor="page" w:x="35" w:y="1"/>
                    <w:rPr>
                      <w:rFonts w:eastAsia="楷体_GB2312"/>
                      <w:b/>
                      <w:color w:val="003366"/>
                      <w:sz w:val="24"/>
                    </w:rPr>
                  </w:pPr>
                </w:p>
              </w:tc>
            </w:tr>
            <w:tr w:rsidR="00A56132" w:rsidRPr="00CB0A5A" w:rsidTr="00871461">
              <w:trPr>
                <w:trHeight w:val="284"/>
                <w:jc w:val="right"/>
              </w:trPr>
              <w:tc>
                <w:tcPr>
                  <w:tcW w:w="3751" w:type="dxa"/>
                  <w:shd w:val="clear" w:color="auto" w:fill="auto"/>
                </w:tcPr>
                <w:p w:rsidR="00A56132" w:rsidRPr="00500DDF" w:rsidRDefault="00A56132" w:rsidP="007B3224">
                  <w:pPr>
                    <w:framePr w:hSpace="181" w:wrap="around" w:vAnchor="page" w:hAnchor="page" w:x="35" w:y="1"/>
                    <w:rPr>
                      <w:rFonts w:eastAsia="楷体_GB2312"/>
                      <w:sz w:val="24"/>
                    </w:rPr>
                  </w:pPr>
                </w:p>
              </w:tc>
            </w:tr>
            <w:tr w:rsidR="00A56132" w:rsidRPr="00CB0A5A" w:rsidTr="00871461">
              <w:trPr>
                <w:trHeight w:val="284"/>
                <w:jc w:val="right"/>
              </w:trPr>
              <w:tc>
                <w:tcPr>
                  <w:tcW w:w="3751" w:type="dxa"/>
                  <w:shd w:val="clear" w:color="auto" w:fill="auto"/>
                </w:tcPr>
                <w:p w:rsidR="00A56132" w:rsidRPr="00500DDF" w:rsidRDefault="00A56132" w:rsidP="007B3224">
                  <w:pPr>
                    <w:framePr w:hSpace="181" w:wrap="around" w:vAnchor="page" w:hAnchor="page" w:x="35" w:y="1"/>
                    <w:rPr>
                      <w:rFonts w:eastAsia="楷体_GB2312"/>
                      <w:b/>
                      <w:color w:val="003366"/>
                      <w:sz w:val="24"/>
                    </w:rPr>
                  </w:pPr>
                  <w:r w:rsidRPr="00500DDF">
                    <w:rPr>
                      <w:rFonts w:eastAsia="楷体_GB2312"/>
                      <w:b/>
                      <w:color w:val="003366"/>
                      <w:sz w:val="24"/>
                    </w:rPr>
                    <w:t>相关报告：</w:t>
                  </w:r>
                </w:p>
              </w:tc>
            </w:tr>
          </w:tbl>
          <w:p w:rsidR="00D20D7A" w:rsidRPr="004A0353" w:rsidRDefault="00D20D7A" w:rsidP="004A0353">
            <w:pPr>
              <w:spacing w:line="120" w:lineRule="exact"/>
              <w:ind w:right="420"/>
              <w:rPr>
                <w:rFonts w:eastAsia="楷体_GB2312"/>
                <w:color w:val="003366"/>
              </w:rPr>
            </w:pPr>
          </w:p>
        </w:tc>
        <w:tc>
          <w:tcPr>
            <w:tcW w:w="7770" w:type="dxa"/>
            <w:vMerge/>
            <w:tcBorders>
              <w:bottom w:val="nil"/>
            </w:tcBorders>
          </w:tcPr>
          <w:p w:rsidR="00D20D7A" w:rsidRPr="00CB0A5A" w:rsidRDefault="00D20D7A" w:rsidP="00055C3A">
            <w:pPr>
              <w:rPr>
                <w:rFonts w:eastAsia="楷体_GB2312"/>
                <w:color w:val="003366"/>
              </w:rPr>
            </w:pPr>
          </w:p>
        </w:tc>
      </w:tr>
    </w:tbl>
    <w:p w:rsidR="00B74732" w:rsidRDefault="00B74732" w:rsidP="00B74732">
      <w:pPr>
        <w:spacing w:line="360" w:lineRule="auto"/>
        <w:jc w:val="center"/>
        <w:rPr>
          <w:rFonts w:ascii="宋体" w:hAnsi="宋体" w:cs="宋体-18030"/>
          <w:b/>
          <w:color w:val="244061"/>
          <w:sz w:val="28"/>
        </w:rPr>
        <w:sectPr w:rsidR="00B74732" w:rsidSect="00F1517C">
          <w:headerReference w:type="default" r:id="rId11"/>
          <w:footerReference w:type="default" r:id="rId12"/>
          <w:pgSz w:w="11906" w:h="16838"/>
          <w:pgMar w:top="1418" w:right="851" w:bottom="567" w:left="1418" w:header="851" w:footer="992" w:gutter="0"/>
          <w:cols w:space="425"/>
          <w:docGrid w:type="lines" w:linePitch="312"/>
        </w:sectPr>
      </w:pPr>
      <w:bookmarkStart w:id="14" w:name="_Toc197171495"/>
      <w:bookmarkStart w:id="15" w:name="_GoBack"/>
      <w:bookmarkEnd w:id="15"/>
    </w:p>
    <w:p w:rsidR="00A56132" w:rsidRPr="00F01F1F" w:rsidRDefault="00A56132" w:rsidP="00A56132">
      <w:pPr>
        <w:spacing w:line="360" w:lineRule="auto"/>
        <w:jc w:val="left"/>
        <w:rPr>
          <w:rFonts w:eastAsia="楷体_GB2312"/>
          <w:b/>
          <w:color w:val="000000"/>
          <w:sz w:val="28"/>
          <w:szCs w:val="28"/>
        </w:rPr>
      </w:pPr>
      <w:bookmarkStart w:id="16" w:name="_Toc352253598"/>
      <w:bookmarkStart w:id="17" w:name="_Toc352253597"/>
      <w:bookmarkStart w:id="18" w:name="_Toc354493899"/>
      <w:bookmarkStart w:id="19" w:name="_Toc353282069"/>
      <w:bookmarkStart w:id="20" w:name="_Toc353282066"/>
      <w:r w:rsidRPr="00F01F1F">
        <w:rPr>
          <w:rFonts w:eastAsia="楷体_GB2312"/>
          <w:b/>
          <w:color w:val="000000"/>
          <w:sz w:val="28"/>
          <w:szCs w:val="28"/>
        </w:rPr>
        <w:lastRenderedPageBreak/>
        <w:t>市场概况</w:t>
      </w:r>
      <w:r w:rsidR="006B1F0E">
        <w:rPr>
          <w:rFonts w:eastAsia="楷体_GB2312" w:hint="eastAsia"/>
          <w:b/>
          <w:color w:val="000000"/>
          <w:sz w:val="28"/>
          <w:szCs w:val="28"/>
        </w:rPr>
        <w:t>：</w:t>
      </w:r>
    </w:p>
    <w:p w:rsidR="00013B4E" w:rsidRDefault="003E6073" w:rsidP="00F02938">
      <w:pPr>
        <w:spacing w:line="360" w:lineRule="auto"/>
        <w:ind w:firstLine="420"/>
        <w:jc w:val="left"/>
        <w:rPr>
          <w:rFonts w:eastAsia="楷体_GB2312"/>
          <w:color w:val="000000"/>
          <w:szCs w:val="21"/>
        </w:rPr>
      </w:pPr>
      <w:r>
        <w:rPr>
          <w:rFonts w:eastAsia="楷体_GB2312" w:hint="eastAsia"/>
          <w:color w:val="000000"/>
          <w:szCs w:val="21"/>
        </w:rPr>
        <w:t>股票市场</w:t>
      </w:r>
      <w:r w:rsidR="003F5969">
        <w:rPr>
          <w:rFonts w:eastAsia="楷体_GB2312" w:hint="eastAsia"/>
          <w:color w:val="000000"/>
          <w:szCs w:val="21"/>
        </w:rPr>
        <w:t>方面，</w:t>
      </w:r>
      <w:r w:rsidR="00D32FE9">
        <w:rPr>
          <w:rFonts w:eastAsia="楷体_GB2312" w:hint="eastAsia"/>
          <w:color w:val="000000"/>
          <w:szCs w:val="21"/>
        </w:rPr>
        <w:t>沪深两市收益率分别为</w:t>
      </w:r>
      <w:r w:rsidR="001603B9">
        <w:rPr>
          <w:rFonts w:eastAsia="楷体_GB2312" w:hint="eastAsia"/>
          <w:color w:val="000000"/>
          <w:szCs w:val="21"/>
        </w:rPr>
        <w:t>-</w:t>
      </w:r>
      <w:r w:rsidR="00F54114">
        <w:rPr>
          <w:rFonts w:eastAsia="楷体_GB2312"/>
          <w:color w:val="000000"/>
          <w:szCs w:val="21"/>
        </w:rPr>
        <w:t>0</w:t>
      </w:r>
      <w:r w:rsidR="00F54114">
        <w:rPr>
          <w:rFonts w:eastAsia="楷体_GB2312" w:hint="eastAsia"/>
          <w:color w:val="000000"/>
          <w:szCs w:val="21"/>
        </w:rPr>
        <w:t>.71</w:t>
      </w:r>
      <w:r w:rsidR="00D32FE9">
        <w:rPr>
          <w:rFonts w:eastAsia="楷体_GB2312" w:hint="eastAsia"/>
          <w:color w:val="000000"/>
          <w:szCs w:val="21"/>
        </w:rPr>
        <w:t>%</w:t>
      </w:r>
      <w:r w:rsidR="00D32FE9">
        <w:rPr>
          <w:rFonts w:eastAsia="楷体_GB2312" w:hint="eastAsia"/>
          <w:color w:val="000000"/>
          <w:szCs w:val="21"/>
        </w:rPr>
        <w:t>和</w:t>
      </w:r>
      <w:r w:rsidR="001603B9">
        <w:rPr>
          <w:rFonts w:eastAsia="楷体_GB2312" w:hint="eastAsia"/>
          <w:color w:val="000000"/>
          <w:szCs w:val="21"/>
        </w:rPr>
        <w:t>-</w:t>
      </w:r>
      <w:r w:rsidR="00F54114">
        <w:rPr>
          <w:rFonts w:eastAsia="楷体_GB2312"/>
          <w:color w:val="000000"/>
          <w:szCs w:val="21"/>
        </w:rPr>
        <w:t>0.10</w:t>
      </w:r>
      <w:r w:rsidR="00D32FE9">
        <w:rPr>
          <w:rFonts w:eastAsia="楷体_GB2312" w:hint="eastAsia"/>
          <w:color w:val="000000"/>
          <w:szCs w:val="21"/>
        </w:rPr>
        <w:t>%</w:t>
      </w:r>
      <w:r w:rsidR="00D32FE9">
        <w:rPr>
          <w:rFonts w:eastAsia="楷体_GB2312" w:hint="eastAsia"/>
          <w:color w:val="000000"/>
          <w:szCs w:val="21"/>
        </w:rPr>
        <w:t>，同期</w:t>
      </w:r>
      <w:r w:rsidR="007C50A5">
        <w:rPr>
          <w:rFonts w:eastAsia="楷体_GB2312" w:hint="eastAsia"/>
          <w:color w:val="000000"/>
          <w:szCs w:val="21"/>
        </w:rPr>
        <w:t>中小板和</w:t>
      </w:r>
      <w:r w:rsidR="00D32FE9">
        <w:rPr>
          <w:rFonts w:eastAsia="楷体_GB2312" w:hint="eastAsia"/>
          <w:color w:val="000000"/>
          <w:szCs w:val="21"/>
        </w:rPr>
        <w:t>创业</w:t>
      </w:r>
      <w:proofErr w:type="gramStart"/>
      <w:r w:rsidR="00D32FE9">
        <w:rPr>
          <w:rFonts w:eastAsia="楷体_GB2312" w:hint="eastAsia"/>
          <w:color w:val="000000"/>
          <w:szCs w:val="21"/>
        </w:rPr>
        <w:t>板指数</w:t>
      </w:r>
      <w:proofErr w:type="gramEnd"/>
      <w:r w:rsidR="007C50A5">
        <w:rPr>
          <w:rFonts w:eastAsia="楷体_GB2312" w:hint="eastAsia"/>
          <w:color w:val="000000"/>
          <w:szCs w:val="21"/>
        </w:rPr>
        <w:t>收益率</w:t>
      </w:r>
      <w:r w:rsidR="00D32FE9">
        <w:rPr>
          <w:rFonts w:eastAsia="楷体_GB2312" w:hint="eastAsia"/>
          <w:color w:val="000000"/>
          <w:szCs w:val="21"/>
        </w:rPr>
        <w:t>为</w:t>
      </w:r>
      <w:r w:rsidR="008C2F49">
        <w:rPr>
          <w:rFonts w:eastAsia="楷体_GB2312"/>
          <w:color w:val="000000"/>
          <w:szCs w:val="21"/>
        </w:rPr>
        <w:t>0.08</w:t>
      </w:r>
      <w:r w:rsidR="007C50A5">
        <w:rPr>
          <w:rFonts w:eastAsia="楷体_GB2312" w:hint="eastAsia"/>
          <w:color w:val="000000"/>
          <w:szCs w:val="21"/>
        </w:rPr>
        <w:t>%</w:t>
      </w:r>
      <w:r w:rsidR="007C50A5">
        <w:rPr>
          <w:rFonts w:eastAsia="楷体_GB2312" w:hint="eastAsia"/>
          <w:color w:val="000000"/>
          <w:szCs w:val="21"/>
        </w:rPr>
        <w:t>和</w:t>
      </w:r>
      <w:r w:rsidR="008C2F49">
        <w:rPr>
          <w:rFonts w:eastAsia="楷体_GB2312"/>
          <w:color w:val="000000"/>
          <w:szCs w:val="21"/>
        </w:rPr>
        <w:t>0.70</w:t>
      </w:r>
      <w:r w:rsidR="007C50A5">
        <w:rPr>
          <w:rFonts w:eastAsia="楷体_GB2312" w:hint="eastAsia"/>
          <w:color w:val="000000"/>
          <w:szCs w:val="21"/>
        </w:rPr>
        <w:t>%</w:t>
      </w:r>
      <w:r w:rsidR="00D32FE9">
        <w:rPr>
          <w:rFonts w:eastAsia="楷体_GB2312" w:hint="eastAsia"/>
          <w:color w:val="000000"/>
          <w:szCs w:val="21"/>
        </w:rPr>
        <w:t>。</w:t>
      </w:r>
      <w:r w:rsidR="001604BF" w:rsidRPr="001604BF">
        <w:rPr>
          <w:rFonts w:eastAsia="楷体_GB2312" w:hint="eastAsia"/>
          <w:color w:val="000000"/>
          <w:szCs w:val="21"/>
        </w:rPr>
        <w:t>A</w:t>
      </w:r>
      <w:r w:rsidR="001604BF" w:rsidRPr="001604BF">
        <w:rPr>
          <w:rFonts w:eastAsia="楷体_GB2312" w:hint="eastAsia"/>
          <w:color w:val="000000"/>
          <w:szCs w:val="21"/>
        </w:rPr>
        <w:t>股本周无量整理</w:t>
      </w:r>
      <w:r w:rsidR="00735F80">
        <w:rPr>
          <w:rFonts w:eastAsia="楷体_GB2312" w:hint="eastAsia"/>
          <w:color w:val="000000"/>
          <w:szCs w:val="21"/>
        </w:rPr>
        <w:t>，</w:t>
      </w:r>
      <w:r w:rsidR="001604BF" w:rsidRPr="001604BF">
        <w:rPr>
          <w:rFonts w:eastAsia="楷体_GB2312" w:hint="eastAsia"/>
          <w:color w:val="000000"/>
          <w:szCs w:val="21"/>
        </w:rPr>
        <w:t>积弱难返。</w:t>
      </w:r>
      <w:r w:rsidR="00D14DAA">
        <w:rPr>
          <w:rFonts w:eastAsia="楷体_GB2312" w:hint="eastAsia"/>
          <w:color w:val="000000"/>
          <w:szCs w:val="21"/>
        </w:rPr>
        <w:t>从行业层面来看，</w:t>
      </w:r>
      <w:r w:rsidR="0044096A">
        <w:rPr>
          <w:rFonts w:eastAsia="楷体_GB2312" w:hint="eastAsia"/>
          <w:color w:val="000000"/>
          <w:szCs w:val="21"/>
        </w:rPr>
        <w:t>一半行业收益为正</w:t>
      </w:r>
      <w:r w:rsidR="00F17748">
        <w:rPr>
          <w:rFonts w:eastAsia="楷体_GB2312" w:hint="eastAsia"/>
          <w:color w:val="000000"/>
          <w:szCs w:val="21"/>
        </w:rPr>
        <w:t>，食品饮料行业</w:t>
      </w:r>
      <w:proofErr w:type="gramStart"/>
      <w:r w:rsidR="006D1AED">
        <w:rPr>
          <w:rFonts w:eastAsia="楷体_GB2312" w:hint="eastAsia"/>
          <w:color w:val="000000"/>
          <w:szCs w:val="21"/>
        </w:rPr>
        <w:t>收益率涨幅</w:t>
      </w:r>
      <w:proofErr w:type="gramEnd"/>
      <w:r w:rsidR="00B900DB">
        <w:rPr>
          <w:rFonts w:eastAsia="楷体_GB2312" w:hint="eastAsia"/>
          <w:color w:val="000000"/>
          <w:szCs w:val="21"/>
        </w:rPr>
        <w:t>最</w:t>
      </w:r>
      <w:r w:rsidR="006D1AED">
        <w:rPr>
          <w:rFonts w:eastAsia="楷体_GB2312" w:hint="eastAsia"/>
          <w:color w:val="000000"/>
          <w:szCs w:val="21"/>
        </w:rPr>
        <w:t>大，为</w:t>
      </w:r>
      <w:r w:rsidR="006D1AED">
        <w:rPr>
          <w:rFonts w:eastAsia="楷体_GB2312" w:hint="eastAsia"/>
          <w:color w:val="000000"/>
          <w:szCs w:val="21"/>
        </w:rPr>
        <w:t>2.87%</w:t>
      </w:r>
      <w:r w:rsidR="0057306C">
        <w:rPr>
          <w:rFonts w:eastAsia="楷体_GB2312" w:hint="eastAsia"/>
          <w:color w:val="000000"/>
          <w:szCs w:val="21"/>
        </w:rPr>
        <w:t>，而</w:t>
      </w:r>
      <w:r w:rsidR="00AA284F">
        <w:rPr>
          <w:rFonts w:eastAsia="楷体_GB2312" w:hint="eastAsia"/>
          <w:color w:val="000000"/>
          <w:szCs w:val="21"/>
        </w:rPr>
        <w:t>非银金融、钢铁和国防军工</w:t>
      </w:r>
      <w:r w:rsidR="0057306C">
        <w:rPr>
          <w:rFonts w:eastAsia="楷体_GB2312" w:hint="eastAsia"/>
          <w:color w:val="000000"/>
          <w:szCs w:val="21"/>
        </w:rPr>
        <w:t>在上周跌幅惨重。</w:t>
      </w:r>
    </w:p>
    <w:p w:rsidR="000B05E0" w:rsidRPr="00CD4D7B" w:rsidRDefault="00AA6509" w:rsidP="0096202C">
      <w:pPr>
        <w:spacing w:line="360" w:lineRule="auto"/>
        <w:jc w:val="left"/>
        <w:rPr>
          <w:rFonts w:eastAsia="楷体_GB2312"/>
          <w:color w:val="000000"/>
          <w:szCs w:val="21"/>
        </w:rPr>
      </w:pPr>
      <w:r>
        <w:rPr>
          <w:rFonts w:eastAsia="楷体_GB2312" w:hint="eastAsia"/>
          <w:color w:val="000000"/>
          <w:szCs w:val="21"/>
        </w:rPr>
        <w:t xml:space="preserve">    </w:t>
      </w:r>
      <w:r>
        <w:rPr>
          <w:rFonts w:eastAsia="楷体_GB2312" w:hint="eastAsia"/>
          <w:color w:val="000000"/>
          <w:szCs w:val="21"/>
        </w:rPr>
        <w:t>债券市场方面，中</w:t>
      </w:r>
      <w:proofErr w:type="gramStart"/>
      <w:r>
        <w:rPr>
          <w:rFonts w:eastAsia="楷体_GB2312" w:hint="eastAsia"/>
          <w:color w:val="000000"/>
          <w:szCs w:val="21"/>
        </w:rPr>
        <w:t>证全债指数</w:t>
      </w:r>
      <w:proofErr w:type="gramEnd"/>
      <w:r w:rsidR="00283716">
        <w:rPr>
          <w:rFonts w:eastAsia="楷体_GB2312" w:hint="eastAsia"/>
          <w:color w:val="000000"/>
          <w:szCs w:val="21"/>
        </w:rPr>
        <w:t>下挫</w:t>
      </w:r>
      <w:r w:rsidR="00ED48E6">
        <w:rPr>
          <w:rFonts w:eastAsia="楷体_GB2312"/>
          <w:color w:val="000000"/>
          <w:szCs w:val="21"/>
        </w:rPr>
        <w:t>0.</w:t>
      </w:r>
      <w:r w:rsidR="00E32CB9">
        <w:rPr>
          <w:rFonts w:eastAsia="楷体_GB2312"/>
          <w:color w:val="000000"/>
          <w:szCs w:val="21"/>
        </w:rPr>
        <w:t>15</w:t>
      </w:r>
      <w:r w:rsidR="003F5969">
        <w:rPr>
          <w:rFonts w:eastAsia="楷体_GB2312" w:hint="eastAsia"/>
          <w:color w:val="000000"/>
          <w:szCs w:val="21"/>
        </w:rPr>
        <w:t>%</w:t>
      </w:r>
      <w:r w:rsidR="00913EA3">
        <w:rPr>
          <w:rFonts w:eastAsia="楷体_GB2312" w:hint="eastAsia"/>
          <w:color w:val="000000"/>
          <w:szCs w:val="21"/>
        </w:rPr>
        <w:t>。</w:t>
      </w:r>
      <w:r w:rsidR="0057306C">
        <w:rPr>
          <w:rFonts w:eastAsia="楷体_GB2312" w:hint="eastAsia"/>
          <w:color w:val="000000"/>
          <w:szCs w:val="21"/>
        </w:rPr>
        <w:t>上周</w:t>
      </w:r>
      <w:r>
        <w:rPr>
          <w:rFonts w:eastAsia="楷体_GB2312" w:hint="eastAsia"/>
          <w:color w:val="000000"/>
          <w:szCs w:val="21"/>
        </w:rPr>
        <w:t>中证企业债、</w:t>
      </w:r>
      <w:r w:rsidR="00285F23">
        <w:rPr>
          <w:rFonts w:eastAsia="楷体_GB2312" w:hint="eastAsia"/>
          <w:color w:val="000000"/>
          <w:szCs w:val="21"/>
        </w:rPr>
        <w:t>国债</w:t>
      </w:r>
      <w:r w:rsidR="00A02702">
        <w:rPr>
          <w:rFonts w:eastAsia="楷体_GB2312" w:hint="eastAsia"/>
          <w:color w:val="000000"/>
          <w:szCs w:val="21"/>
        </w:rPr>
        <w:t>收益率</w:t>
      </w:r>
      <w:r w:rsidR="005C554C">
        <w:rPr>
          <w:rFonts w:eastAsia="楷体_GB2312" w:hint="eastAsia"/>
          <w:color w:val="000000"/>
          <w:szCs w:val="21"/>
        </w:rPr>
        <w:t>分别为</w:t>
      </w:r>
      <w:r w:rsidR="00ED48E6">
        <w:rPr>
          <w:rFonts w:eastAsia="楷体_GB2312" w:hint="eastAsia"/>
          <w:color w:val="000000"/>
          <w:szCs w:val="21"/>
        </w:rPr>
        <w:t>-</w:t>
      </w:r>
      <w:r w:rsidR="00ED48E6">
        <w:rPr>
          <w:rFonts w:eastAsia="楷体_GB2312"/>
          <w:color w:val="000000"/>
          <w:szCs w:val="21"/>
        </w:rPr>
        <w:t>0.</w:t>
      </w:r>
      <w:r w:rsidR="00CD7E0B">
        <w:rPr>
          <w:rFonts w:eastAsia="楷体_GB2312"/>
          <w:color w:val="000000"/>
          <w:szCs w:val="21"/>
        </w:rPr>
        <w:t>30</w:t>
      </w:r>
      <w:r w:rsidR="005C554C">
        <w:rPr>
          <w:rFonts w:eastAsia="楷体_GB2312" w:hint="eastAsia"/>
          <w:color w:val="000000"/>
          <w:szCs w:val="21"/>
        </w:rPr>
        <w:t>%</w:t>
      </w:r>
      <w:r w:rsidR="00285F23">
        <w:rPr>
          <w:rFonts w:eastAsia="楷体_GB2312" w:hint="eastAsia"/>
          <w:color w:val="000000"/>
          <w:szCs w:val="21"/>
        </w:rPr>
        <w:t>和</w:t>
      </w:r>
      <w:r w:rsidR="00283716">
        <w:rPr>
          <w:rFonts w:eastAsia="楷体_GB2312" w:hint="eastAsia"/>
          <w:color w:val="000000"/>
          <w:szCs w:val="21"/>
        </w:rPr>
        <w:t>-</w:t>
      </w:r>
      <w:r w:rsidR="00CC21B1">
        <w:rPr>
          <w:rFonts w:eastAsia="楷体_GB2312" w:hint="eastAsia"/>
          <w:color w:val="000000"/>
          <w:szCs w:val="21"/>
        </w:rPr>
        <w:t>0.</w:t>
      </w:r>
      <w:r w:rsidR="00D14DAA">
        <w:rPr>
          <w:rFonts w:eastAsia="楷体_GB2312"/>
          <w:color w:val="000000"/>
          <w:szCs w:val="21"/>
        </w:rPr>
        <w:t>0</w:t>
      </w:r>
      <w:r w:rsidR="00CD7E0B">
        <w:rPr>
          <w:rFonts w:eastAsia="楷体_GB2312"/>
          <w:color w:val="000000"/>
          <w:szCs w:val="21"/>
        </w:rPr>
        <w:t>3</w:t>
      </w:r>
      <w:r w:rsidR="00285F23">
        <w:rPr>
          <w:rFonts w:eastAsia="楷体_GB2312" w:hint="eastAsia"/>
          <w:color w:val="000000"/>
          <w:szCs w:val="21"/>
        </w:rPr>
        <w:t>%</w:t>
      </w:r>
      <w:r w:rsidR="00D26AEB">
        <w:rPr>
          <w:rFonts w:eastAsia="楷体_GB2312" w:hint="eastAsia"/>
          <w:color w:val="000000"/>
          <w:szCs w:val="21"/>
        </w:rPr>
        <w:t>，</w:t>
      </w:r>
      <w:r w:rsidR="005C554C">
        <w:rPr>
          <w:rFonts w:eastAsia="楷体_GB2312" w:hint="eastAsia"/>
          <w:color w:val="000000"/>
          <w:szCs w:val="21"/>
        </w:rPr>
        <w:t>转</w:t>
      </w:r>
      <w:proofErr w:type="gramStart"/>
      <w:r w:rsidR="005C554C">
        <w:rPr>
          <w:rFonts w:eastAsia="楷体_GB2312" w:hint="eastAsia"/>
          <w:color w:val="000000"/>
          <w:szCs w:val="21"/>
        </w:rPr>
        <w:t>债指数</w:t>
      </w:r>
      <w:proofErr w:type="gramEnd"/>
      <w:r w:rsidR="00A02702">
        <w:rPr>
          <w:rFonts w:eastAsia="楷体_GB2312" w:hint="eastAsia"/>
          <w:color w:val="000000"/>
          <w:szCs w:val="21"/>
        </w:rPr>
        <w:t>收益率为</w:t>
      </w:r>
      <w:r w:rsidR="00D14DAA">
        <w:rPr>
          <w:rFonts w:eastAsia="楷体_GB2312" w:hint="eastAsia"/>
          <w:color w:val="000000"/>
          <w:szCs w:val="21"/>
        </w:rPr>
        <w:t>-</w:t>
      </w:r>
      <w:r w:rsidR="00CD7E0B">
        <w:rPr>
          <w:rFonts w:eastAsia="楷体_GB2312"/>
          <w:color w:val="000000"/>
          <w:szCs w:val="21"/>
        </w:rPr>
        <w:t>1.40</w:t>
      </w:r>
      <w:r w:rsidR="00A02702">
        <w:rPr>
          <w:rFonts w:eastAsia="楷体_GB2312" w:hint="eastAsia"/>
          <w:color w:val="000000"/>
          <w:szCs w:val="21"/>
        </w:rPr>
        <w:t>%</w:t>
      </w:r>
      <w:r w:rsidR="00106C68">
        <w:rPr>
          <w:rFonts w:eastAsia="楷体_GB2312" w:hint="eastAsia"/>
          <w:color w:val="000000"/>
          <w:szCs w:val="21"/>
        </w:rPr>
        <w:t>。</w:t>
      </w:r>
      <w:r w:rsidR="000B05E0" w:rsidRPr="00BA2123">
        <w:rPr>
          <w:rFonts w:eastAsia="楷体_GB2312" w:hint="eastAsia"/>
          <w:color w:val="000000"/>
          <w:szCs w:val="21"/>
        </w:rPr>
        <w:t>货币市场资金</w:t>
      </w:r>
      <w:r w:rsidR="001B00EF" w:rsidRPr="00BA2123">
        <w:rPr>
          <w:rFonts w:eastAsia="楷体_GB2312" w:hint="eastAsia"/>
          <w:color w:val="000000"/>
          <w:szCs w:val="21"/>
        </w:rPr>
        <w:t>价格相对平稳</w:t>
      </w:r>
      <w:r w:rsidR="000B05E0" w:rsidRPr="00BA2123">
        <w:rPr>
          <w:rFonts w:eastAsia="楷体_GB2312" w:hint="eastAsia"/>
          <w:color w:val="000000"/>
          <w:szCs w:val="21"/>
        </w:rPr>
        <w:t>，</w:t>
      </w:r>
      <w:r w:rsidR="00DB716C">
        <w:rPr>
          <w:rFonts w:eastAsia="楷体_GB2312" w:hint="eastAsia"/>
          <w:color w:val="000000"/>
          <w:szCs w:val="21"/>
        </w:rPr>
        <w:t>周内未出现大幅波动</w:t>
      </w:r>
      <w:r w:rsidR="00F67291" w:rsidRPr="00BA2123">
        <w:rPr>
          <w:rFonts w:eastAsia="楷体_GB2312" w:hint="eastAsia"/>
          <w:color w:val="000000"/>
          <w:szCs w:val="21"/>
        </w:rPr>
        <w:t>。</w:t>
      </w:r>
      <w:r w:rsidR="00DE3FEA" w:rsidRPr="002A1E05">
        <w:rPr>
          <w:rFonts w:eastAsia="楷体_GB2312" w:hint="eastAsia"/>
          <w:color w:val="000000"/>
          <w:szCs w:val="21"/>
        </w:rPr>
        <w:t>截止上周五</w:t>
      </w:r>
      <w:r w:rsidR="00BC0B0A" w:rsidRPr="002A1E05">
        <w:rPr>
          <w:rFonts w:eastAsia="楷体_GB2312" w:hint="eastAsia"/>
          <w:color w:val="000000"/>
          <w:szCs w:val="21"/>
        </w:rPr>
        <w:t>美元兑人民币中间价为</w:t>
      </w:r>
      <w:r w:rsidR="00BC0B0A" w:rsidRPr="002A1E05">
        <w:rPr>
          <w:rFonts w:eastAsia="楷体_GB2312" w:hint="eastAsia"/>
          <w:color w:val="000000"/>
          <w:szCs w:val="21"/>
        </w:rPr>
        <w:t>6.</w:t>
      </w:r>
      <w:r w:rsidR="006518CD" w:rsidRPr="002A1E05">
        <w:rPr>
          <w:rFonts w:eastAsia="楷体_GB2312" w:hint="eastAsia"/>
          <w:color w:val="000000"/>
          <w:szCs w:val="21"/>
        </w:rPr>
        <w:t>4</w:t>
      </w:r>
      <w:r w:rsidR="00181CE2">
        <w:rPr>
          <w:rFonts w:eastAsia="楷体_GB2312"/>
          <w:color w:val="000000"/>
          <w:szCs w:val="21"/>
        </w:rPr>
        <w:t>6</w:t>
      </w:r>
      <w:r w:rsidR="00BC0B0A" w:rsidRPr="002A1E05">
        <w:rPr>
          <w:rFonts w:eastAsia="楷体_GB2312" w:hint="eastAsia"/>
          <w:color w:val="000000"/>
          <w:szCs w:val="21"/>
        </w:rPr>
        <w:t>元。</w:t>
      </w:r>
    </w:p>
    <w:tbl>
      <w:tblPr>
        <w:tblW w:w="10666" w:type="dxa"/>
        <w:tblInd w:w="-4003" w:type="dxa"/>
        <w:tblLayout w:type="fixed"/>
        <w:tblLook w:val="04A0" w:firstRow="1" w:lastRow="0" w:firstColumn="1" w:lastColumn="0" w:noHBand="0" w:noVBand="1"/>
      </w:tblPr>
      <w:tblGrid>
        <w:gridCol w:w="5245"/>
        <w:gridCol w:w="5421"/>
      </w:tblGrid>
      <w:tr w:rsidR="00355BA6" w:rsidRPr="00A56132" w:rsidTr="003A31FD">
        <w:tc>
          <w:tcPr>
            <w:tcW w:w="5245" w:type="dxa"/>
            <w:tcBorders>
              <w:bottom w:val="single" w:sz="4" w:space="0" w:color="FF0000"/>
            </w:tcBorders>
          </w:tcPr>
          <w:bookmarkEnd w:id="16"/>
          <w:bookmarkEnd w:id="17"/>
          <w:bookmarkEnd w:id="18"/>
          <w:bookmarkEnd w:id="19"/>
          <w:bookmarkEnd w:id="20"/>
          <w:p w:rsidR="00355BA6" w:rsidRPr="00A56132" w:rsidRDefault="00355BA6" w:rsidP="003A31FD">
            <w:pPr>
              <w:spacing w:line="360" w:lineRule="auto"/>
              <w:jc w:val="left"/>
              <w:rPr>
                <w:rFonts w:eastAsia="楷体_GB2312"/>
                <w:color w:val="000000"/>
                <w:sz w:val="18"/>
                <w:szCs w:val="18"/>
              </w:rPr>
            </w:pPr>
            <w:r w:rsidRPr="00A56132">
              <w:rPr>
                <w:rFonts w:eastAsia="楷体_GB2312"/>
                <w:color w:val="000000"/>
                <w:sz w:val="18"/>
                <w:szCs w:val="18"/>
              </w:rPr>
              <w:t>图</w:t>
            </w:r>
            <w:r w:rsidRPr="00A56132">
              <w:rPr>
                <w:rFonts w:eastAsia="楷体_GB2312"/>
                <w:color w:val="000000"/>
                <w:sz w:val="18"/>
                <w:szCs w:val="18"/>
              </w:rPr>
              <w:t>1</w:t>
            </w:r>
            <w:r w:rsidRPr="00A56132">
              <w:rPr>
                <w:rFonts w:eastAsia="楷体_GB2312"/>
                <w:color w:val="000000"/>
                <w:sz w:val="18"/>
                <w:szCs w:val="18"/>
              </w:rPr>
              <w:t>、</w:t>
            </w:r>
            <w:r>
              <w:rPr>
                <w:rFonts w:eastAsia="楷体_GB2312" w:hint="eastAsia"/>
                <w:color w:val="000000"/>
                <w:sz w:val="18"/>
                <w:szCs w:val="18"/>
              </w:rPr>
              <w:t>基金指数近一年收益率走势</w:t>
            </w:r>
          </w:p>
        </w:tc>
        <w:tc>
          <w:tcPr>
            <w:tcW w:w="5421" w:type="dxa"/>
            <w:tcBorders>
              <w:bottom w:val="single" w:sz="4" w:space="0" w:color="FF0000"/>
            </w:tcBorders>
          </w:tcPr>
          <w:p w:rsidR="00355BA6" w:rsidRPr="00A56132" w:rsidRDefault="00355BA6" w:rsidP="003A31FD">
            <w:pPr>
              <w:spacing w:line="360" w:lineRule="auto"/>
              <w:jc w:val="left"/>
              <w:rPr>
                <w:rFonts w:eastAsia="楷体_GB2312"/>
                <w:sz w:val="18"/>
                <w:szCs w:val="18"/>
              </w:rPr>
            </w:pPr>
            <w:r w:rsidRPr="00A56132">
              <w:rPr>
                <w:rFonts w:eastAsia="楷体_GB2312"/>
                <w:sz w:val="18"/>
                <w:szCs w:val="18"/>
              </w:rPr>
              <w:t>图</w:t>
            </w:r>
            <w:r w:rsidRPr="00A56132">
              <w:rPr>
                <w:rFonts w:eastAsia="楷体_GB2312"/>
                <w:sz w:val="18"/>
                <w:szCs w:val="18"/>
              </w:rPr>
              <w:t>2</w:t>
            </w:r>
            <w:r w:rsidRPr="00A56132">
              <w:rPr>
                <w:rFonts w:eastAsia="楷体_GB2312"/>
                <w:sz w:val="18"/>
                <w:szCs w:val="18"/>
              </w:rPr>
              <w:t>、</w:t>
            </w:r>
            <w:r>
              <w:rPr>
                <w:rFonts w:eastAsia="楷体_GB2312" w:hint="eastAsia"/>
                <w:sz w:val="18"/>
                <w:szCs w:val="18"/>
              </w:rPr>
              <w:t>各类基金收益率</w:t>
            </w:r>
          </w:p>
        </w:tc>
      </w:tr>
      <w:tr w:rsidR="00355BA6" w:rsidRPr="00A56132" w:rsidTr="008F7AD4">
        <w:trPr>
          <w:trHeight w:val="3333"/>
        </w:trPr>
        <w:tc>
          <w:tcPr>
            <w:tcW w:w="5245" w:type="dxa"/>
            <w:tcBorders>
              <w:top w:val="single" w:sz="4" w:space="0" w:color="FF0000"/>
              <w:bottom w:val="single" w:sz="4" w:space="0" w:color="FF0000"/>
            </w:tcBorders>
          </w:tcPr>
          <w:p w:rsidR="00355BA6" w:rsidRPr="00A56132" w:rsidRDefault="00ED56AF" w:rsidP="00283716">
            <w:pPr>
              <w:spacing w:line="360" w:lineRule="auto"/>
              <w:ind w:leftChars="-120" w:left="-252" w:firstLineChars="140" w:firstLine="252"/>
              <w:jc w:val="center"/>
              <w:rPr>
                <w:rFonts w:eastAsia="楷体_GB2312"/>
                <w:color w:val="000000"/>
                <w:sz w:val="18"/>
                <w:szCs w:val="18"/>
              </w:rPr>
            </w:pPr>
            <w:r>
              <w:rPr>
                <w:rFonts w:eastAsia="楷体_GB2312"/>
                <w:noProof/>
                <w:color w:val="000000"/>
                <w:sz w:val="18"/>
                <w:szCs w:val="18"/>
              </w:rPr>
              <w:drawing>
                <wp:inline distT="0" distB="0" distL="0" distR="0">
                  <wp:extent cx="3193415" cy="22250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a:blip r:embed="rId13">
                            <a:extLst>
                              <a:ext uri="{28A0092B-C50C-407E-A947-70E740481C1C}">
                                <a14:useLocalDpi xmlns:a14="http://schemas.microsoft.com/office/drawing/2010/main" val="0"/>
                              </a:ext>
                            </a:extLst>
                          </a:blip>
                          <a:stretch>
                            <a:fillRect/>
                          </a:stretch>
                        </pic:blipFill>
                        <pic:spPr>
                          <a:xfrm>
                            <a:off x="0" y="0"/>
                            <a:ext cx="3193415" cy="2225040"/>
                          </a:xfrm>
                          <a:prstGeom prst="rect">
                            <a:avLst/>
                          </a:prstGeom>
                        </pic:spPr>
                      </pic:pic>
                    </a:graphicData>
                  </a:graphic>
                </wp:inline>
              </w:drawing>
            </w:r>
          </w:p>
        </w:tc>
        <w:tc>
          <w:tcPr>
            <w:tcW w:w="5421" w:type="dxa"/>
            <w:tcBorders>
              <w:top w:val="single" w:sz="4" w:space="0" w:color="FF0000"/>
              <w:bottom w:val="single" w:sz="4" w:space="0" w:color="FF0000"/>
            </w:tcBorders>
          </w:tcPr>
          <w:p w:rsidR="00355BA6" w:rsidRPr="00A56132" w:rsidRDefault="00420675" w:rsidP="00283716">
            <w:pPr>
              <w:spacing w:line="360" w:lineRule="auto"/>
              <w:ind w:leftChars="-10" w:left="-21" w:firstLineChars="10" w:firstLine="18"/>
              <w:jc w:val="center"/>
              <w:rPr>
                <w:rFonts w:eastAsia="楷体_GB2312"/>
                <w:color w:val="000000"/>
                <w:sz w:val="18"/>
                <w:szCs w:val="18"/>
              </w:rPr>
            </w:pPr>
            <w:r>
              <w:rPr>
                <w:rFonts w:eastAsia="楷体_GB2312"/>
                <w:noProof/>
                <w:color w:val="000000"/>
                <w:sz w:val="18"/>
                <w:szCs w:val="18"/>
              </w:rPr>
              <w:drawing>
                <wp:inline distT="0" distB="0" distL="0" distR="0">
                  <wp:extent cx="3305175" cy="2324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14">
                            <a:extLst>
                              <a:ext uri="{28A0092B-C50C-407E-A947-70E740481C1C}">
                                <a14:useLocalDpi xmlns:a14="http://schemas.microsoft.com/office/drawing/2010/main" val="0"/>
                              </a:ext>
                            </a:extLst>
                          </a:blip>
                          <a:stretch>
                            <a:fillRect/>
                          </a:stretch>
                        </pic:blipFill>
                        <pic:spPr>
                          <a:xfrm>
                            <a:off x="0" y="0"/>
                            <a:ext cx="3305175" cy="2324100"/>
                          </a:xfrm>
                          <a:prstGeom prst="rect">
                            <a:avLst/>
                          </a:prstGeom>
                        </pic:spPr>
                      </pic:pic>
                    </a:graphicData>
                  </a:graphic>
                </wp:inline>
              </w:drawing>
            </w:r>
          </w:p>
        </w:tc>
      </w:tr>
      <w:tr w:rsidR="00355BA6" w:rsidRPr="00A56132" w:rsidTr="003A31FD">
        <w:trPr>
          <w:trHeight w:val="60"/>
        </w:trPr>
        <w:tc>
          <w:tcPr>
            <w:tcW w:w="10666" w:type="dxa"/>
            <w:gridSpan w:val="2"/>
            <w:tcBorders>
              <w:top w:val="single" w:sz="4" w:space="0" w:color="FF0000"/>
            </w:tcBorders>
          </w:tcPr>
          <w:p w:rsidR="00355BA6" w:rsidRPr="00A56132" w:rsidRDefault="00355BA6" w:rsidP="00D065BE">
            <w:pPr>
              <w:spacing w:line="360" w:lineRule="auto"/>
              <w:jc w:val="left"/>
              <w:rPr>
                <w:rFonts w:eastAsia="楷体_GB2312"/>
                <w:i/>
                <w:color w:val="000000"/>
                <w:sz w:val="18"/>
                <w:szCs w:val="18"/>
              </w:rPr>
            </w:pPr>
            <w:r w:rsidRPr="00A56132">
              <w:rPr>
                <w:rFonts w:eastAsia="楷体_GB2312"/>
                <w:i/>
                <w:color w:val="000000"/>
                <w:sz w:val="18"/>
                <w:szCs w:val="18"/>
              </w:rPr>
              <w:t>数据来源：</w:t>
            </w:r>
            <w:r w:rsidRPr="00A56132">
              <w:rPr>
                <w:rFonts w:eastAsia="楷体_GB2312"/>
                <w:i/>
                <w:color w:val="000000"/>
                <w:sz w:val="18"/>
                <w:szCs w:val="18"/>
              </w:rPr>
              <w:t>wind</w:t>
            </w:r>
            <w:r w:rsidRPr="00A56132">
              <w:rPr>
                <w:rFonts w:eastAsia="楷体_GB2312"/>
                <w:i/>
                <w:color w:val="000000"/>
                <w:sz w:val="18"/>
                <w:szCs w:val="18"/>
              </w:rPr>
              <w:t>，上海证券基金评价研究中心</w:t>
            </w:r>
            <w:r w:rsidRPr="00A56132">
              <w:rPr>
                <w:rFonts w:eastAsia="楷体_GB2312"/>
                <w:i/>
                <w:sz w:val="18"/>
                <w:szCs w:val="18"/>
              </w:rPr>
              <w:t>（</w:t>
            </w:r>
            <w:r>
              <w:rPr>
                <w:rFonts w:eastAsia="楷体_GB2312" w:hint="eastAsia"/>
                <w:i/>
                <w:sz w:val="18"/>
                <w:szCs w:val="18"/>
              </w:rPr>
              <w:t>起</w:t>
            </w:r>
            <w:r w:rsidRPr="00A56132">
              <w:rPr>
                <w:rFonts w:eastAsia="楷体_GB2312"/>
                <w:i/>
                <w:sz w:val="18"/>
                <w:szCs w:val="18"/>
              </w:rPr>
              <w:t>止时间：</w:t>
            </w:r>
            <w:r w:rsidRPr="00A56132">
              <w:rPr>
                <w:rFonts w:eastAsia="楷体_GB2312"/>
                <w:i/>
                <w:sz w:val="18"/>
                <w:szCs w:val="18"/>
              </w:rPr>
              <w:t>201</w:t>
            </w:r>
            <w:r w:rsidR="006E753F">
              <w:rPr>
                <w:rFonts w:eastAsia="楷体_GB2312" w:hint="eastAsia"/>
                <w:i/>
                <w:sz w:val="18"/>
                <w:szCs w:val="18"/>
              </w:rPr>
              <w:t>6</w:t>
            </w:r>
            <w:r w:rsidRPr="00A56132">
              <w:rPr>
                <w:rFonts w:eastAsia="楷体_GB2312"/>
                <w:i/>
                <w:sz w:val="18"/>
                <w:szCs w:val="18"/>
              </w:rPr>
              <w:t>年</w:t>
            </w:r>
            <w:r w:rsidR="00283716">
              <w:rPr>
                <w:rFonts w:eastAsia="楷体_GB2312" w:hint="eastAsia"/>
                <w:i/>
                <w:sz w:val="18"/>
                <w:szCs w:val="18"/>
              </w:rPr>
              <w:t>4</w:t>
            </w:r>
            <w:r w:rsidRPr="00A56132">
              <w:rPr>
                <w:rFonts w:eastAsia="楷体_GB2312"/>
                <w:i/>
                <w:sz w:val="18"/>
                <w:szCs w:val="18"/>
              </w:rPr>
              <w:t>月</w:t>
            </w:r>
            <w:r w:rsidR="00D065BE">
              <w:rPr>
                <w:rFonts w:eastAsia="楷体_GB2312"/>
                <w:i/>
                <w:sz w:val="18"/>
                <w:szCs w:val="18"/>
              </w:rPr>
              <w:t>25</w:t>
            </w:r>
            <w:r w:rsidRPr="00A56132">
              <w:rPr>
                <w:rFonts w:eastAsia="楷体_GB2312"/>
                <w:i/>
                <w:sz w:val="18"/>
                <w:szCs w:val="18"/>
              </w:rPr>
              <w:t>日</w:t>
            </w:r>
            <w:r>
              <w:rPr>
                <w:rFonts w:eastAsia="楷体_GB2312" w:hint="eastAsia"/>
                <w:i/>
                <w:sz w:val="18"/>
                <w:szCs w:val="18"/>
              </w:rPr>
              <w:t>——</w:t>
            </w:r>
            <w:r w:rsidR="0059417C">
              <w:rPr>
                <w:rFonts w:eastAsia="楷体_GB2312" w:hint="eastAsia"/>
                <w:i/>
                <w:sz w:val="18"/>
                <w:szCs w:val="18"/>
              </w:rPr>
              <w:t>4</w:t>
            </w:r>
            <w:r>
              <w:rPr>
                <w:rFonts w:eastAsia="楷体_GB2312" w:hint="eastAsia"/>
                <w:i/>
                <w:sz w:val="18"/>
                <w:szCs w:val="18"/>
              </w:rPr>
              <w:t>月</w:t>
            </w:r>
            <w:r w:rsidR="00617911">
              <w:rPr>
                <w:rFonts w:eastAsia="楷体_GB2312"/>
                <w:i/>
                <w:sz w:val="18"/>
                <w:szCs w:val="18"/>
              </w:rPr>
              <w:t>2</w:t>
            </w:r>
            <w:r w:rsidR="00D065BE">
              <w:rPr>
                <w:rFonts w:eastAsia="楷体_GB2312"/>
                <w:i/>
                <w:sz w:val="18"/>
                <w:szCs w:val="18"/>
              </w:rPr>
              <w:t>9</w:t>
            </w:r>
            <w:r>
              <w:rPr>
                <w:rFonts w:eastAsia="楷体_GB2312" w:hint="eastAsia"/>
                <w:i/>
                <w:sz w:val="18"/>
                <w:szCs w:val="18"/>
              </w:rPr>
              <w:t>日</w:t>
            </w:r>
            <w:r w:rsidRPr="00A56132">
              <w:rPr>
                <w:rFonts w:eastAsia="楷体_GB2312"/>
                <w:i/>
                <w:sz w:val="18"/>
                <w:szCs w:val="18"/>
              </w:rPr>
              <w:t>）</w:t>
            </w:r>
          </w:p>
        </w:tc>
      </w:tr>
    </w:tbl>
    <w:p w:rsidR="007C43F9" w:rsidRDefault="001F6686" w:rsidP="007C43F9">
      <w:pPr>
        <w:rPr>
          <w:rFonts w:eastAsia="楷体_GB2312"/>
          <w:b/>
          <w:color w:val="000000"/>
          <w:sz w:val="28"/>
          <w:szCs w:val="28"/>
        </w:rPr>
      </w:pPr>
      <w:r>
        <w:rPr>
          <w:rFonts w:eastAsia="楷体_GB2312" w:hint="eastAsia"/>
          <w:b/>
          <w:color w:val="000000"/>
          <w:sz w:val="28"/>
          <w:szCs w:val="28"/>
        </w:rPr>
        <w:t>权益类基金</w:t>
      </w:r>
      <w:r w:rsidR="007C43F9" w:rsidRPr="00102353">
        <w:rPr>
          <w:rFonts w:eastAsia="楷体_GB2312" w:hint="eastAsia"/>
          <w:b/>
          <w:color w:val="000000"/>
          <w:sz w:val="28"/>
          <w:szCs w:val="28"/>
        </w:rPr>
        <w:t>：</w:t>
      </w:r>
    </w:p>
    <w:p w:rsidR="00CF01D0" w:rsidRDefault="003B503A" w:rsidP="00CF01D0">
      <w:pPr>
        <w:spacing w:line="360" w:lineRule="auto"/>
        <w:ind w:firstLineChars="150" w:firstLine="315"/>
        <w:jc w:val="left"/>
        <w:rPr>
          <w:rFonts w:eastAsia="楷体_GB2312"/>
          <w:color w:val="000000"/>
          <w:szCs w:val="21"/>
        </w:rPr>
      </w:pPr>
      <w:r>
        <w:rPr>
          <w:rFonts w:eastAsia="楷体_GB2312" w:hint="eastAsia"/>
          <w:color w:val="000000"/>
          <w:szCs w:val="21"/>
        </w:rPr>
        <w:t>本期采取主动操作策略的股票基金和混合</w:t>
      </w:r>
      <w:r w:rsidRPr="003C6EC0">
        <w:rPr>
          <w:rFonts w:eastAsia="楷体_GB2312" w:hint="eastAsia"/>
          <w:color w:val="000000"/>
          <w:szCs w:val="21"/>
        </w:rPr>
        <w:t>基金，平均收益率分别为</w:t>
      </w:r>
      <w:r>
        <w:rPr>
          <w:rFonts w:eastAsia="楷体_GB2312" w:hint="eastAsia"/>
          <w:color w:val="000000"/>
          <w:szCs w:val="21"/>
        </w:rPr>
        <w:t>0.</w:t>
      </w:r>
      <w:r>
        <w:rPr>
          <w:rFonts w:eastAsia="楷体_GB2312"/>
          <w:color w:val="000000"/>
          <w:szCs w:val="21"/>
        </w:rPr>
        <w:t>34</w:t>
      </w:r>
      <w:r w:rsidRPr="003C6EC0">
        <w:rPr>
          <w:rFonts w:eastAsia="楷体_GB2312" w:hint="eastAsia"/>
          <w:color w:val="000000"/>
          <w:szCs w:val="21"/>
        </w:rPr>
        <w:t>%</w:t>
      </w:r>
      <w:r w:rsidRPr="003C6EC0">
        <w:rPr>
          <w:rFonts w:eastAsia="楷体_GB2312" w:hint="eastAsia"/>
          <w:color w:val="000000"/>
          <w:szCs w:val="21"/>
        </w:rPr>
        <w:t>和</w:t>
      </w:r>
      <w:r>
        <w:rPr>
          <w:rFonts w:eastAsia="楷体_GB2312" w:hint="eastAsia"/>
          <w:color w:val="000000"/>
          <w:szCs w:val="21"/>
        </w:rPr>
        <w:t>0.</w:t>
      </w:r>
      <w:r>
        <w:rPr>
          <w:rFonts w:eastAsia="楷体_GB2312"/>
          <w:color w:val="000000"/>
          <w:szCs w:val="21"/>
        </w:rPr>
        <w:t>24</w:t>
      </w:r>
      <w:r w:rsidRPr="003C6EC0">
        <w:rPr>
          <w:rFonts w:eastAsia="楷体_GB2312" w:hint="eastAsia"/>
          <w:color w:val="000000"/>
          <w:szCs w:val="21"/>
        </w:rPr>
        <w:t>%</w:t>
      </w:r>
      <w:r w:rsidRPr="003C6EC0">
        <w:rPr>
          <w:rFonts w:eastAsia="楷体_GB2312" w:hint="eastAsia"/>
          <w:color w:val="000000"/>
          <w:szCs w:val="21"/>
        </w:rPr>
        <w:t>，同期沪深</w:t>
      </w:r>
      <w:r w:rsidRPr="003C6EC0">
        <w:rPr>
          <w:rFonts w:eastAsia="楷体_GB2312" w:hint="eastAsia"/>
          <w:color w:val="000000"/>
          <w:szCs w:val="21"/>
        </w:rPr>
        <w:t>300</w:t>
      </w:r>
      <w:r>
        <w:rPr>
          <w:rFonts w:eastAsia="楷体_GB2312" w:hint="eastAsia"/>
          <w:color w:val="000000"/>
          <w:szCs w:val="21"/>
        </w:rPr>
        <w:t>指数收益率为</w:t>
      </w:r>
      <w:r>
        <w:rPr>
          <w:rFonts w:eastAsia="楷体_GB2312" w:hint="eastAsia"/>
          <w:color w:val="000000"/>
          <w:szCs w:val="21"/>
        </w:rPr>
        <w:t>-</w:t>
      </w:r>
      <w:r>
        <w:rPr>
          <w:rFonts w:eastAsia="楷体_GB2312"/>
          <w:color w:val="000000"/>
          <w:szCs w:val="21"/>
        </w:rPr>
        <w:t>0.57</w:t>
      </w:r>
      <w:r w:rsidRPr="003C6EC0">
        <w:rPr>
          <w:rFonts w:eastAsia="楷体_GB2312" w:hint="eastAsia"/>
          <w:color w:val="000000"/>
          <w:szCs w:val="21"/>
        </w:rPr>
        <w:t>%</w:t>
      </w:r>
      <w:r w:rsidRPr="003C6EC0">
        <w:rPr>
          <w:rFonts w:eastAsia="楷体_GB2312" w:hint="eastAsia"/>
          <w:color w:val="000000"/>
          <w:szCs w:val="21"/>
        </w:rPr>
        <w:t>。</w:t>
      </w:r>
      <w:r>
        <w:rPr>
          <w:rFonts w:eastAsia="楷体_GB2312" w:hint="eastAsia"/>
          <w:color w:val="000000"/>
          <w:szCs w:val="21"/>
        </w:rPr>
        <w:t>2016</w:t>
      </w:r>
      <w:r>
        <w:rPr>
          <w:rFonts w:eastAsia="楷体_GB2312" w:hint="eastAsia"/>
          <w:color w:val="000000"/>
          <w:szCs w:val="21"/>
        </w:rPr>
        <w:t>年以来，股票基金和混合基金损失较为惨重，累计收益率分别为</w:t>
      </w:r>
      <w:r>
        <w:rPr>
          <w:rFonts w:eastAsia="楷体_GB2312" w:hint="eastAsia"/>
          <w:color w:val="000000"/>
          <w:szCs w:val="21"/>
        </w:rPr>
        <w:t>-</w:t>
      </w:r>
      <w:r>
        <w:rPr>
          <w:rFonts w:eastAsia="楷体_GB2312"/>
          <w:color w:val="000000"/>
          <w:szCs w:val="21"/>
        </w:rPr>
        <w:t>19.5</w:t>
      </w:r>
      <w:r w:rsidR="00850951">
        <w:rPr>
          <w:rFonts w:eastAsia="楷体_GB2312"/>
          <w:color w:val="000000"/>
          <w:szCs w:val="21"/>
        </w:rPr>
        <w:t>6</w:t>
      </w:r>
      <w:r>
        <w:rPr>
          <w:rFonts w:eastAsia="楷体_GB2312" w:hint="eastAsia"/>
          <w:color w:val="000000"/>
          <w:szCs w:val="21"/>
        </w:rPr>
        <w:t>%</w:t>
      </w:r>
      <w:r>
        <w:rPr>
          <w:rFonts w:eastAsia="楷体_GB2312" w:hint="eastAsia"/>
          <w:color w:val="000000"/>
          <w:szCs w:val="21"/>
        </w:rPr>
        <w:t>和</w:t>
      </w:r>
      <w:r>
        <w:rPr>
          <w:rFonts w:eastAsia="楷体_GB2312" w:hint="eastAsia"/>
          <w:color w:val="000000"/>
          <w:szCs w:val="21"/>
        </w:rPr>
        <w:t>-</w:t>
      </w:r>
      <w:r>
        <w:rPr>
          <w:rFonts w:eastAsia="楷体_GB2312"/>
          <w:color w:val="000000"/>
          <w:szCs w:val="21"/>
        </w:rPr>
        <w:t>11.74</w:t>
      </w:r>
      <w:r>
        <w:rPr>
          <w:rFonts w:eastAsia="楷体_GB2312" w:hint="eastAsia"/>
          <w:color w:val="000000"/>
          <w:szCs w:val="21"/>
        </w:rPr>
        <w:t>%</w:t>
      </w:r>
      <w:r>
        <w:rPr>
          <w:rFonts w:eastAsia="楷体_GB2312" w:hint="eastAsia"/>
          <w:color w:val="000000"/>
          <w:szCs w:val="21"/>
        </w:rPr>
        <w:t>。指数基金本期</w:t>
      </w:r>
      <w:r w:rsidRPr="00C45B52">
        <w:rPr>
          <w:rFonts w:eastAsia="楷体_GB2312" w:hint="eastAsia"/>
          <w:color w:val="000000"/>
          <w:szCs w:val="21"/>
        </w:rPr>
        <w:t>平均收益率为</w:t>
      </w:r>
      <w:r>
        <w:rPr>
          <w:rFonts w:eastAsia="楷体_GB2312" w:hint="eastAsia"/>
          <w:color w:val="000000"/>
          <w:szCs w:val="21"/>
        </w:rPr>
        <w:t>-</w:t>
      </w:r>
      <w:r>
        <w:rPr>
          <w:rFonts w:eastAsia="楷体_GB2312"/>
          <w:color w:val="000000"/>
          <w:szCs w:val="21"/>
        </w:rPr>
        <w:t>0.35</w:t>
      </w:r>
      <w:r w:rsidRPr="00C45B52">
        <w:rPr>
          <w:rFonts w:eastAsia="楷体_GB2312" w:hint="eastAsia"/>
          <w:color w:val="000000"/>
          <w:szCs w:val="21"/>
        </w:rPr>
        <w:t>%</w:t>
      </w:r>
      <w:r>
        <w:rPr>
          <w:rFonts w:eastAsia="楷体_GB2312" w:hint="eastAsia"/>
          <w:color w:val="000000"/>
          <w:szCs w:val="21"/>
        </w:rPr>
        <w:t>，</w:t>
      </w:r>
      <w:r>
        <w:rPr>
          <w:rFonts w:eastAsia="楷体_GB2312" w:hint="eastAsia"/>
          <w:color w:val="000000"/>
          <w:szCs w:val="21"/>
        </w:rPr>
        <w:t>2016</w:t>
      </w:r>
      <w:r>
        <w:rPr>
          <w:rFonts w:eastAsia="楷体_GB2312" w:hint="eastAsia"/>
          <w:color w:val="000000"/>
          <w:szCs w:val="21"/>
        </w:rPr>
        <w:t>年以来累计收益率为</w:t>
      </w:r>
      <w:r>
        <w:rPr>
          <w:rFonts w:eastAsia="楷体_GB2312" w:hint="eastAsia"/>
          <w:color w:val="000000"/>
          <w:szCs w:val="21"/>
        </w:rPr>
        <w:t>-</w:t>
      </w:r>
      <w:r>
        <w:rPr>
          <w:rFonts w:eastAsia="楷体_GB2312"/>
          <w:color w:val="000000"/>
          <w:szCs w:val="21"/>
        </w:rPr>
        <w:t>16</w:t>
      </w:r>
      <w:r>
        <w:rPr>
          <w:rFonts w:eastAsia="楷体_GB2312" w:hint="eastAsia"/>
          <w:color w:val="000000"/>
          <w:szCs w:val="21"/>
        </w:rPr>
        <w:t>.28%</w:t>
      </w:r>
      <w:r w:rsidR="001F6686">
        <w:rPr>
          <w:rFonts w:eastAsia="楷体_GB2312" w:hint="eastAsia"/>
          <w:color w:val="000000"/>
          <w:szCs w:val="21"/>
        </w:rPr>
        <w:t>。</w:t>
      </w:r>
    </w:p>
    <w:p w:rsidR="00F44DDB" w:rsidRDefault="00B914B7" w:rsidP="005F3E27">
      <w:pPr>
        <w:spacing w:line="360" w:lineRule="auto"/>
        <w:ind w:firstLineChars="200" w:firstLine="420"/>
        <w:jc w:val="left"/>
        <w:rPr>
          <w:rFonts w:eastAsia="楷体_GB2312"/>
          <w:color w:val="000000"/>
          <w:szCs w:val="21"/>
        </w:rPr>
      </w:pPr>
      <w:r w:rsidRPr="00D14DAA">
        <w:rPr>
          <w:rFonts w:eastAsia="楷体_GB2312" w:hint="eastAsia"/>
          <w:color w:val="000000"/>
          <w:szCs w:val="21"/>
        </w:rPr>
        <w:t>股票</w:t>
      </w:r>
      <w:r w:rsidR="00CD73BC" w:rsidRPr="00D14DAA">
        <w:rPr>
          <w:rFonts w:eastAsia="楷体_GB2312" w:hint="eastAsia"/>
          <w:color w:val="000000"/>
          <w:szCs w:val="21"/>
        </w:rPr>
        <w:t>基金</w:t>
      </w:r>
      <w:r w:rsidR="003F38B1" w:rsidRPr="00D14DAA">
        <w:rPr>
          <w:rFonts w:eastAsia="楷体_GB2312" w:hint="eastAsia"/>
          <w:color w:val="000000"/>
          <w:szCs w:val="21"/>
        </w:rPr>
        <w:t>，</w:t>
      </w:r>
      <w:r w:rsidR="001F654E" w:rsidRPr="00D14DAA">
        <w:rPr>
          <w:rFonts w:eastAsia="楷体_GB2312" w:hint="eastAsia"/>
          <w:color w:val="000000"/>
          <w:szCs w:val="21"/>
        </w:rPr>
        <w:t>平均收益率为</w:t>
      </w:r>
      <w:r w:rsidR="000635F0">
        <w:rPr>
          <w:rFonts w:eastAsia="楷体_GB2312"/>
          <w:color w:val="000000"/>
          <w:szCs w:val="21"/>
        </w:rPr>
        <w:t>0.</w:t>
      </w:r>
      <w:r w:rsidR="00755905">
        <w:rPr>
          <w:rFonts w:eastAsia="楷体_GB2312"/>
          <w:color w:val="000000"/>
          <w:szCs w:val="21"/>
        </w:rPr>
        <w:t>34</w:t>
      </w:r>
      <w:r w:rsidR="00D60EE0" w:rsidRPr="00D14DAA">
        <w:rPr>
          <w:rFonts w:eastAsia="楷体_GB2312" w:hint="eastAsia"/>
          <w:color w:val="000000"/>
          <w:szCs w:val="21"/>
        </w:rPr>
        <w:t>%</w:t>
      </w:r>
      <w:r w:rsidR="001F654E" w:rsidRPr="00D14DAA">
        <w:rPr>
          <w:rFonts w:eastAsia="楷体_GB2312" w:hint="eastAsia"/>
          <w:color w:val="000000"/>
          <w:szCs w:val="21"/>
        </w:rPr>
        <w:t>，</w:t>
      </w:r>
      <w:r w:rsidR="00755881">
        <w:rPr>
          <w:rFonts w:eastAsia="楷体_GB2312" w:hint="eastAsia"/>
          <w:color w:val="000000"/>
          <w:szCs w:val="21"/>
        </w:rPr>
        <w:t>近七成</w:t>
      </w:r>
      <w:r w:rsidR="00D60EE0" w:rsidRPr="00D14DAA">
        <w:rPr>
          <w:rFonts w:eastAsia="楷体_GB2312" w:hint="eastAsia"/>
          <w:color w:val="000000"/>
          <w:szCs w:val="21"/>
        </w:rPr>
        <w:t>基金</w:t>
      </w:r>
      <w:r w:rsidR="00D14DAA">
        <w:rPr>
          <w:rFonts w:eastAsia="楷体_GB2312" w:hint="eastAsia"/>
          <w:color w:val="000000"/>
          <w:szCs w:val="21"/>
        </w:rPr>
        <w:t>本期</w:t>
      </w:r>
      <w:r w:rsidR="00476890" w:rsidRPr="00D14DAA">
        <w:rPr>
          <w:rFonts w:eastAsia="楷体_GB2312" w:hint="eastAsia"/>
          <w:color w:val="000000"/>
          <w:szCs w:val="21"/>
        </w:rPr>
        <w:t>收益</w:t>
      </w:r>
      <w:r w:rsidR="002364BE">
        <w:rPr>
          <w:rFonts w:eastAsia="楷体_GB2312" w:hint="eastAsia"/>
          <w:color w:val="000000"/>
          <w:szCs w:val="21"/>
        </w:rPr>
        <w:t>为正</w:t>
      </w:r>
      <w:r w:rsidRPr="00D14DAA">
        <w:rPr>
          <w:rFonts w:eastAsia="楷体_GB2312" w:hint="eastAsia"/>
          <w:color w:val="000000"/>
          <w:szCs w:val="21"/>
        </w:rPr>
        <w:t>。股票</w:t>
      </w:r>
      <w:r w:rsidR="00600809" w:rsidRPr="00D14DAA">
        <w:rPr>
          <w:rFonts w:eastAsia="楷体_GB2312" w:hint="eastAsia"/>
          <w:color w:val="000000"/>
          <w:szCs w:val="21"/>
        </w:rPr>
        <w:t>基金</w:t>
      </w:r>
      <w:r w:rsidR="00CB0A45" w:rsidRPr="00D14DAA">
        <w:rPr>
          <w:rFonts w:eastAsia="楷体_GB2312" w:hint="eastAsia"/>
          <w:color w:val="000000"/>
          <w:szCs w:val="21"/>
        </w:rPr>
        <w:t>本期</w:t>
      </w:r>
      <w:r w:rsidR="001F654E" w:rsidRPr="00D14DAA">
        <w:rPr>
          <w:rFonts w:eastAsia="楷体_GB2312" w:hint="eastAsia"/>
          <w:color w:val="000000"/>
          <w:szCs w:val="21"/>
        </w:rPr>
        <w:t>收益率分布区间为</w:t>
      </w:r>
      <w:r w:rsidR="00D14DAA">
        <w:rPr>
          <w:rFonts w:eastAsia="楷体_GB2312" w:hint="eastAsia"/>
          <w:color w:val="000000"/>
          <w:szCs w:val="21"/>
        </w:rPr>
        <w:t>-</w:t>
      </w:r>
      <w:r w:rsidR="00E61671">
        <w:rPr>
          <w:rFonts w:eastAsia="楷体_GB2312"/>
          <w:color w:val="000000"/>
          <w:szCs w:val="21"/>
        </w:rPr>
        <w:t>1.89</w:t>
      </w:r>
      <w:r w:rsidR="00A922B1" w:rsidRPr="00D14DAA">
        <w:rPr>
          <w:rFonts w:eastAsia="楷体_GB2312" w:hint="eastAsia"/>
          <w:color w:val="000000"/>
          <w:szCs w:val="21"/>
        </w:rPr>
        <w:t>%</w:t>
      </w:r>
      <w:r w:rsidR="00D14DAA">
        <w:rPr>
          <w:rFonts w:eastAsia="楷体_GB2312" w:hint="eastAsia"/>
          <w:color w:val="000000"/>
          <w:szCs w:val="21"/>
        </w:rPr>
        <w:t>—</w:t>
      </w:r>
      <w:r w:rsidR="00D14DAA">
        <w:rPr>
          <w:rFonts w:eastAsia="楷体_GB2312" w:hint="eastAsia"/>
          <w:color w:val="000000"/>
          <w:szCs w:val="21"/>
        </w:rPr>
        <w:t xml:space="preserve"> </w:t>
      </w:r>
      <w:r w:rsidR="00E61671">
        <w:rPr>
          <w:rFonts w:eastAsia="楷体_GB2312"/>
          <w:color w:val="000000"/>
          <w:szCs w:val="21"/>
        </w:rPr>
        <w:t>2.75</w:t>
      </w:r>
      <w:r w:rsidR="00600809" w:rsidRPr="00D14DAA">
        <w:rPr>
          <w:rFonts w:eastAsia="楷体_GB2312" w:hint="eastAsia"/>
          <w:color w:val="000000"/>
          <w:szCs w:val="21"/>
        </w:rPr>
        <w:t>%</w:t>
      </w:r>
      <w:r w:rsidR="00653D19" w:rsidRPr="00D14DAA">
        <w:rPr>
          <w:rFonts w:eastAsia="楷体_GB2312" w:hint="eastAsia"/>
          <w:color w:val="000000"/>
          <w:szCs w:val="21"/>
        </w:rPr>
        <w:t>，</w:t>
      </w:r>
      <w:r w:rsidR="002E2EFA" w:rsidRPr="00D14DAA">
        <w:rPr>
          <w:rFonts w:eastAsia="楷体_GB2312" w:hint="eastAsia"/>
          <w:color w:val="000000"/>
          <w:szCs w:val="21"/>
        </w:rPr>
        <w:t>基金净值</w:t>
      </w:r>
      <w:proofErr w:type="gramStart"/>
      <w:r w:rsidR="002E2EFA" w:rsidRPr="00D14DAA">
        <w:rPr>
          <w:rFonts w:eastAsia="楷体_GB2312" w:hint="eastAsia"/>
          <w:color w:val="000000"/>
          <w:szCs w:val="21"/>
        </w:rPr>
        <w:t>差异化</w:t>
      </w:r>
      <w:r w:rsidR="00691C18" w:rsidRPr="00D14DAA">
        <w:rPr>
          <w:rFonts w:eastAsia="楷体_GB2312" w:hint="eastAsia"/>
          <w:color w:val="000000"/>
          <w:szCs w:val="21"/>
        </w:rPr>
        <w:t>较</w:t>
      </w:r>
      <w:r w:rsidR="00D14DAA">
        <w:rPr>
          <w:rFonts w:eastAsia="楷体_GB2312" w:hint="eastAsia"/>
          <w:color w:val="000000"/>
          <w:szCs w:val="21"/>
        </w:rPr>
        <w:t>前期</w:t>
      </w:r>
      <w:proofErr w:type="gramEnd"/>
      <w:r w:rsidR="00D14DAA">
        <w:rPr>
          <w:rFonts w:eastAsia="楷体_GB2312" w:hint="eastAsia"/>
          <w:color w:val="000000"/>
          <w:szCs w:val="21"/>
        </w:rPr>
        <w:t>有所</w:t>
      </w:r>
      <w:r w:rsidR="00E61671">
        <w:rPr>
          <w:rFonts w:eastAsia="楷体_GB2312" w:hint="eastAsia"/>
          <w:color w:val="000000"/>
          <w:szCs w:val="21"/>
        </w:rPr>
        <w:t>减小</w:t>
      </w:r>
      <w:r w:rsidRPr="00D14DAA">
        <w:rPr>
          <w:rFonts w:eastAsia="楷体_GB2312" w:hint="eastAsia"/>
          <w:color w:val="000000"/>
          <w:szCs w:val="21"/>
        </w:rPr>
        <w:t>。</w:t>
      </w:r>
      <w:r w:rsidR="002E2EFA" w:rsidRPr="00D14DAA">
        <w:rPr>
          <w:rFonts w:eastAsia="楷体_GB2312" w:hint="eastAsia"/>
          <w:color w:val="000000"/>
          <w:szCs w:val="21"/>
        </w:rPr>
        <w:t>其中</w:t>
      </w:r>
      <w:r w:rsidR="002E2EFA">
        <w:rPr>
          <w:rFonts w:eastAsia="楷体_GB2312" w:hint="eastAsia"/>
          <w:color w:val="000000"/>
          <w:szCs w:val="21"/>
        </w:rPr>
        <w:t>，</w:t>
      </w:r>
      <w:r w:rsidR="00DF4BB7" w:rsidRPr="00DF4BB7">
        <w:rPr>
          <w:rFonts w:eastAsia="楷体_GB2312" w:hint="eastAsia"/>
          <w:color w:val="000000"/>
          <w:szCs w:val="21"/>
        </w:rPr>
        <w:t>招商医药健康产业</w:t>
      </w:r>
      <w:r w:rsidR="002E2EFA">
        <w:rPr>
          <w:rFonts w:eastAsia="楷体_GB2312" w:hint="eastAsia"/>
          <w:color w:val="000000"/>
          <w:szCs w:val="21"/>
        </w:rPr>
        <w:t>、</w:t>
      </w:r>
      <w:r w:rsidR="00DF4BB7" w:rsidRPr="00DF4BB7">
        <w:rPr>
          <w:rFonts w:eastAsia="楷体_GB2312" w:hint="eastAsia"/>
          <w:color w:val="000000"/>
          <w:szCs w:val="21"/>
        </w:rPr>
        <w:t>大成高新技术产业</w:t>
      </w:r>
      <w:r w:rsidR="002E2EFA">
        <w:rPr>
          <w:rFonts w:eastAsia="楷体_GB2312" w:hint="eastAsia"/>
          <w:color w:val="000000"/>
          <w:szCs w:val="21"/>
        </w:rPr>
        <w:t>、</w:t>
      </w:r>
      <w:r w:rsidR="00DF4BB7" w:rsidRPr="00DF4BB7">
        <w:rPr>
          <w:rFonts w:eastAsia="楷体_GB2312" w:hint="eastAsia"/>
          <w:color w:val="000000"/>
          <w:szCs w:val="21"/>
        </w:rPr>
        <w:lastRenderedPageBreak/>
        <w:t>国泰互联网</w:t>
      </w:r>
      <w:r w:rsidR="00DF4BB7" w:rsidRPr="00DF4BB7">
        <w:rPr>
          <w:rFonts w:eastAsia="楷体_GB2312" w:hint="eastAsia"/>
          <w:color w:val="000000"/>
          <w:szCs w:val="21"/>
        </w:rPr>
        <w:t>+</w:t>
      </w:r>
      <w:r w:rsidR="003170A0">
        <w:rPr>
          <w:rFonts w:eastAsia="楷体_GB2312" w:hint="eastAsia"/>
          <w:color w:val="000000"/>
          <w:szCs w:val="21"/>
        </w:rPr>
        <w:t>收益率居前</w:t>
      </w:r>
      <w:r w:rsidR="002E2EFA">
        <w:rPr>
          <w:rFonts w:eastAsia="楷体_GB2312" w:hint="eastAsia"/>
          <w:color w:val="000000"/>
          <w:szCs w:val="21"/>
        </w:rPr>
        <w:t>，上周净值收益率分别为</w:t>
      </w:r>
      <w:r w:rsidR="003170A0">
        <w:rPr>
          <w:rFonts w:eastAsia="楷体_GB2312"/>
          <w:color w:val="000000"/>
          <w:szCs w:val="21"/>
        </w:rPr>
        <w:t>2.75</w:t>
      </w:r>
      <w:r w:rsidR="00D14DAA">
        <w:rPr>
          <w:rFonts w:eastAsia="楷体_GB2312"/>
          <w:color w:val="000000"/>
          <w:szCs w:val="21"/>
        </w:rPr>
        <w:t>%</w:t>
      </w:r>
      <w:r w:rsidR="002E2EFA">
        <w:rPr>
          <w:rFonts w:eastAsia="楷体_GB2312" w:hint="eastAsia"/>
          <w:color w:val="000000"/>
          <w:szCs w:val="21"/>
        </w:rPr>
        <w:t>、</w:t>
      </w:r>
      <w:r w:rsidR="003170A0">
        <w:rPr>
          <w:rFonts w:eastAsia="楷体_GB2312"/>
          <w:color w:val="000000"/>
          <w:szCs w:val="21"/>
        </w:rPr>
        <w:t>2.55</w:t>
      </w:r>
      <w:r w:rsidR="002E2EFA">
        <w:rPr>
          <w:rFonts w:eastAsia="楷体_GB2312" w:hint="eastAsia"/>
          <w:color w:val="000000"/>
          <w:szCs w:val="21"/>
        </w:rPr>
        <w:t>%</w:t>
      </w:r>
      <w:r w:rsidR="002E2EFA">
        <w:rPr>
          <w:rFonts w:eastAsia="楷体_GB2312" w:hint="eastAsia"/>
          <w:color w:val="000000"/>
          <w:szCs w:val="21"/>
        </w:rPr>
        <w:t>和</w:t>
      </w:r>
      <w:r w:rsidR="003170A0">
        <w:rPr>
          <w:rFonts w:eastAsia="楷体_GB2312"/>
          <w:color w:val="000000"/>
          <w:szCs w:val="21"/>
        </w:rPr>
        <w:t>2.25</w:t>
      </w:r>
      <w:r w:rsidR="002E2EFA">
        <w:rPr>
          <w:rFonts w:eastAsia="楷体_GB2312" w:hint="eastAsia"/>
          <w:color w:val="000000"/>
          <w:szCs w:val="21"/>
        </w:rPr>
        <w:t>%</w:t>
      </w:r>
      <w:r w:rsidR="002E2EFA">
        <w:rPr>
          <w:rFonts w:eastAsia="楷体_GB2312" w:hint="eastAsia"/>
          <w:color w:val="000000"/>
          <w:szCs w:val="21"/>
        </w:rPr>
        <w:t>。</w:t>
      </w:r>
      <w:r>
        <w:rPr>
          <w:rFonts w:eastAsia="楷体_GB2312" w:hint="eastAsia"/>
          <w:color w:val="000000"/>
          <w:szCs w:val="21"/>
        </w:rPr>
        <w:t>从今年以来股票基金收益情况来看，多数产品损失严重，平均收益率为</w:t>
      </w:r>
      <w:r w:rsidR="00285C69">
        <w:rPr>
          <w:rFonts w:eastAsia="楷体_GB2312" w:hint="eastAsia"/>
          <w:color w:val="000000"/>
          <w:szCs w:val="21"/>
        </w:rPr>
        <w:t>-</w:t>
      </w:r>
      <w:r w:rsidR="00A16A06">
        <w:rPr>
          <w:rFonts w:eastAsia="楷体_GB2312"/>
          <w:color w:val="000000"/>
          <w:szCs w:val="21"/>
        </w:rPr>
        <w:t>19.</w:t>
      </w:r>
      <w:r w:rsidR="0083039B">
        <w:rPr>
          <w:rFonts w:eastAsia="楷体_GB2312"/>
          <w:color w:val="000000"/>
          <w:szCs w:val="21"/>
        </w:rPr>
        <w:t>56</w:t>
      </w:r>
      <w:r w:rsidR="008B3BB9">
        <w:rPr>
          <w:rFonts w:eastAsia="楷体_GB2312" w:hint="eastAsia"/>
          <w:color w:val="000000"/>
          <w:szCs w:val="21"/>
        </w:rPr>
        <w:t>%</w:t>
      </w:r>
      <w:r w:rsidR="00285C69">
        <w:rPr>
          <w:rFonts w:eastAsia="楷体_GB2312" w:hint="eastAsia"/>
          <w:color w:val="000000"/>
          <w:szCs w:val="21"/>
        </w:rPr>
        <w:t>，</w:t>
      </w:r>
      <w:r w:rsidR="00D14DAA">
        <w:rPr>
          <w:rFonts w:eastAsia="楷体_GB2312" w:hint="eastAsia"/>
          <w:color w:val="000000"/>
          <w:szCs w:val="21"/>
        </w:rPr>
        <w:t>近九</w:t>
      </w:r>
      <w:r w:rsidR="00285C69">
        <w:rPr>
          <w:rFonts w:eastAsia="楷体_GB2312" w:hint="eastAsia"/>
          <w:color w:val="000000"/>
          <w:szCs w:val="21"/>
        </w:rPr>
        <w:t>成</w:t>
      </w:r>
      <w:r>
        <w:rPr>
          <w:rFonts w:eastAsia="楷体_GB2312" w:hint="eastAsia"/>
          <w:color w:val="000000"/>
          <w:szCs w:val="21"/>
        </w:rPr>
        <w:t>的股票基金</w:t>
      </w:r>
      <w:r>
        <w:rPr>
          <w:rFonts w:eastAsia="楷体_GB2312" w:hint="eastAsia"/>
          <w:color w:val="000000"/>
          <w:szCs w:val="21"/>
        </w:rPr>
        <w:t>2016</w:t>
      </w:r>
      <w:r>
        <w:rPr>
          <w:rFonts w:eastAsia="楷体_GB2312" w:hint="eastAsia"/>
          <w:color w:val="000000"/>
          <w:szCs w:val="21"/>
        </w:rPr>
        <w:t>年以来跌幅超过</w:t>
      </w:r>
      <w:r>
        <w:rPr>
          <w:rFonts w:eastAsia="楷体_GB2312" w:hint="eastAsia"/>
          <w:color w:val="000000"/>
          <w:szCs w:val="21"/>
        </w:rPr>
        <w:t>10%</w:t>
      </w:r>
      <w:r w:rsidR="00630624">
        <w:rPr>
          <w:rFonts w:eastAsia="楷体_GB2312" w:hint="eastAsia"/>
          <w:color w:val="000000"/>
          <w:szCs w:val="21"/>
        </w:rPr>
        <w:t>，新兴产业类基金损失相对较重</w:t>
      </w:r>
      <w:r>
        <w:rPr>
          <w:rFonts w:eastAsia="楷体_GB2312" w:hint="eastAsia"/>
          <w:color w:val="000000"/>
          <w:szCs w:val="21"/>
        </w:rPr>
        <w:t>。</w:t>
      </w:r>
    </w:p>
    <w:p w:rsidR="0030206B" w:rsidRDefault="00B914B7" w:rsidP="00783B68">
      <w:pPr>
        <w:spacing w:line="360" w:lineRule="auto"/>
        <w:ind w:firstLineChars="200" w:firstLine="420"/>
        <w:jc w:val="left"/>
        <w:rPr>
          <w:rFonts w:eastAsia="楷体_GB2312"/>
          <w:color w:val="000000"/>
          <w:szCs w:val="21"/>
        </w:rPr>
      </w:pPr>
      <w:r>
        <w:rPr>
          <w:rFonts w:eastAsia="楷体_GB2312" w:hint="eastAsia"/>
          <w:color w:val="000000"/>
          <w:szCs w:val="21"/>
        </w:rPr>
        <w:t>混合</w:t>
      </w:r>
      <w:r w:rsidR="00FE13B7">
        <w:rPr>
          <w:rFonts w:eastAsia="楷体_GB2312" w:hint="eastAsia"/>
          <w:color w:val="000000"/>
          <w:szCs w:val="21"/>
        </w:rPr>
        <w:t>基金</w:t>
      </w:r>
      <w:r w:rsidR="001C0C52">
        <w:rPr>
          <w:rFonts w:eastAsia="楷体_GB2312" w:hint="eastAsia"/>
          <w:color w:val="000000"/>
          <w:szCs w:val="21"/>
        </w:rPr>
        <w:t>，平均收益率为</w:t>
      </w:r>
      <w:r w:rsidR="00556D88">
        <w:rPr>
          <w:rFonts w:eastAsia="楷体_GB2312"/>
          <w:color w:val="000000"/>
          <w:szCs w:val="21"/>
        </w:rPr>
        <w:t>0</w:t>
      </w:r>
      <w:r w:rsidR="00556D88">
        <w:rPr>
          <w:rFonts w:eastAsia="楷体_GB2312" w:hint="eastAsia"/>
          <w:color w:val="000000"/>
          <w:szCs w:val="21"/>
        </w:rPr>
        <w:t>.</w:t>
      </w:r>
      <w:r w:rsidR="00076AAF">
        <w:rPr>
          <w:rFonts w:eastAsia="楷体_GB2312"/>
          <w:color w:val="000000"/>
          <w:szCs w:val="21"/>
        </w:rPr>
        <w:t>24</w:t>
      </w:r>
      <w:r w:rsidR="00A939D7" w:rsidRPr="003C6EC0">
        <w:rPr>
          <w:rFonts w:eastAsia="楷体_GB2312" w:hint="eastAsia"/>
          <w:color w:val="000000"/>
          <w:szCs w:val="21"/>
        </w:rPr>
        <w:t>%</w:t>
      </w:r>
      <w:r w:rsidR="001C0C52">
        <w:rPr>
          <w:rFonts w:eastAsia="楷体_GB2312" w:hint="eastAsia"/>
          <w:color w:val="000000"/>
          <w:szCs w:val="21"/>
        </w:rPr>
        <w:t>，</w:t>
      </w:r>
      <w:r w:rsidR="00A21FBB">
        <w:rPr>
          <w:rFonts w:eastAsia="楷体_GB2312" w:hint="eastAsia"/>
          <w:color w:val="000000"/>
          <w:szCs w:val="21"/>
        </w:rPr>
        <w:t>收益率分布区间自</w:t>
      </w:r>
      <w:r w:rsidR="001F291F">
        <w:rPr>
          <w:rFonts w:eastAsia="楷体_GB2312" w:hint="eastAsia"/>
          <w:color w:val="000000"/>
          <w:szCs w:val="21"/>
        </w:rPr>
        <w:t>-</w:t>
      </w:r>
      <w:r w:rsidR="007C211C">
        <w:rPr>
          <w:rFonts w:eastAsia="楷体_GB2312"/>
          <w:color w:val="000000"/>
          <w:szCs w:val="21"/>
        </w:rPr>
        <w:t>2.83</w:t>
      </w:r>
      <w:r w:rsidR="00A21FBB">
        <w:rPr>
          <w:rFonts w:eastAsia="楷体_GB2312" w:hint="eastAsia"/>
          <w:color w:val="000000"/>
          <w:szCs w:val="21"/>
        </w:rPr>
        <w:t>%</w:t>
      </w:r>
      <w:r w:rsidR="00DC67EC">
        <w:rPr>
          <w:rFonts w:eastAsia="楷体_GB2312" w:hint="eastAsia"/>
          <w:color w:val="000000"/>
          <w:szCs w:val="21"/>
        </w:rPr>
        <w:t>—</w:t>
      </w:r>
      <w:r w:rsidR="007C211C">
        <w:rPr>
          <w:rFonts w:eastAsia="楷体_GB2312"/>
          <w:color w:val="000000"/>
          <w:szCs w:val="21"/>
        </w:rPr>
        <w:t>12.67</w:t>
      </w:r>
      <w:r w:rsidR="00A06240">
        <w:rPr>
          <w:rFonts w:eastAsia="楷体_GB2312" w:hint="eastAsia"/>
          <w:color w:val="000000"/>
          <w:szCs w:val="21"/>
        </w:rPr>
        <w:t>%</w:t>
      </w:r>
      <w:r w:rsidR="001F291F">
        <w:rPr>
          <w:rFonts w:eastAsia="楷体_GB2312" w:hint="eastAsia"/>
          <w:color w:val="000000"/>
          <w:szCs w:val="21"/>
        </w:rPr>
        <w:t>，</w:t>
      </w:r>
      <w:r w:rsidR="00F77C8D">
        <w:rPr>
          <w:rFonts w:eastAsia="楷体_GB2312" w:hint="eastAsia"/>
          <w:color w:val="000000"/>
          <w:szCs w:val="21"/>
        </w:rPr>
        <w:t>近七成基金收益率为正</w:t>
      </w:r>
      <w:r w:rsidR="007D73F5">
        <w:rPr>
          <w:rFonts w:eastAsia="楷体_GB2312" w:hint="eastAsia"/>
          <w:color w:val="000000"/>
          <w:szCs w:val="21"/>
        </w:rPr>
        <w:t>。</w:t>
      </w:r>
      <w:r w:rsidR="00054F13">
        <w:rPr>
          <w:rFonts w:eastAsia="楷体_GB2312" w:hint="eastAsia"/>
          <w:color w:val="000000"/>
          <w:szCs w:val="21"/>
        </w:rPr>
        <w:t>其中，</w:t>
      </w:r>
      <w:r w:rsidR="004F35F2" w:rsidRPr="004F35F2">
        <w:rPr>
          <w:rFonts w:eastAsia="楷体_GB2312" w:hint="eastAsia"/>
          <w:color w:val="000000"/>
          <w:szCs w:val="21"/>
        </w:rPr>
        <w:t>华泰柏瑞激励动力</w:t>
      </w:r>
      <w:r w:rsidR="004F35F2" w:rsidRPr="004F35F2">
        <w:rPr>
          <w:rFonts w:eastAsia="楷体_GB2312" w:hint="eastAsia"/>
          <w:color w:val="000000"/>
          <w:szCs w:val="21"/>
        </w:rPr>
        <w:t>C</w:t>
      </w:r>
      <w:r w:rsidR="00C5319E">
        <w:rPr>
          <w:rFonts w:eastAsia="楷体_GB2312" w:hint="eastAsia"/>
          <w:color w:val="000000"/>
          <w:szCs w:val="21"/>
        </w:rPr>
        <w:t>、</w:t>
      </w:r>
      <w:r w:rsidR="004F35F2" w:rsidRPr="004F35F2">
        <w:rPr>
          <w:rFonts w:eastAsia="楷体_GB2312" w:hint="eastAsia"/>
          <w:color w:val="000000"/>
          <w:szCs w:val="21"/>
        </w:rPr>
        <w:t>国</w:t>
      </w:r>
      <w:proofErr w:type="gramStart"/>
      <w:r w:rsidR="004F35F2" w:rsidRPr="004F35F2">
        <w:rPr>
          <w:rFonts w:eastAsia="楷体_GB2312" w:hint="eastAsia"/>
          <w:color w:val="000000"/>
          <w:szCs w:val="21"/>
        </w:rPr>
        <w:t>投瑞银瑞盈</w:t>
      </w:r>
      <w:proofErr w:type="gramEnd"/>
      <w:r w:rsidR="00EA31AE">
        <w:rPr>
          <w:rFonts w:eastAsia="楷体_GB2312" w:hint="eastAsia"/>
          <w:color w:val="000000"/>
          <w:szCs w:val="21"/>
        </w:rPr>
        <w:t>、</w:t>
      </w:r>
      <w:r w:rsidR="004F35F2" w:rsidRPr="004F35F2">
        <w:rPr>
          <w:rFonts w:eastAsia="楷体_GB2312" w:hint="eastAsia"/>
          <w:color w:val="000000"/>
          <w:szCs w:val="21"/>
        </w:rPr>
        <w:t>富国天瑞强势精选</w:t>
      </w:r>
      <w:r w:rsidR="00C5319E">
        <w:rPr>
          <w:rFonts w:eastAsia="楷体_GB2312" w:hint="eastAsia"/>
          <w:color w:val="000000"/>
          <w:szCs w:val="21"/>
        </w:rPr>
        <w:t>收益率</w:t>
      </w:r>
      <w:r w:rsidR="00583AEA">
        <w:rPr>
          <w:rFonts w:eastAsia="楷体_GB2312" w:hint="eastAsia"/>
          <w:color w:val="000000"/>
          <w:szCs w:val="21"/>
        </w:rPr>
        <w:t>居前</w:t>
      </w:r>
      <w:r w:rsidR="00C5319E">
        <w:rPr>
          <w:rFonts w:eastAsia="楷体_GB2312" w:hint="eastAsia"/>
          <w:color w:val="000000"/>
          <w:szCs w:val="21"/>
        </w:rPr>
        <w:t>，分别为</w:t>
      </w:r>
      <w:r w:rsidR="00303441">
        <w:rPr>
          <w:rFonts w:eastAsia="楷体_GB2312"/>
          <w:color w:val="000000"/>
          <w:szCs w:val="21"/>
        </w:rPr>
        <w:t>12.67</w:t>
      </w:r>
      <w:r w:rsidR="00C5319E">
        <w:rPr>
          <w:rFonts w:eastAsia="楷体_GB2312" w:hint="eastAsia"/>
          <w:color w:val="000000"/>
          <w:szCs w:val="21"/>
        </w:rPr>
        <w:t>%</w:t>
      </w:r>
      <w:r w:rsidR="00C5319E">
        <w:rPr>
          <w:rFonts w:eastAsia="楷体_GB2312" w:hint="eastAsia"/>
          <w:color w:val="000000"/>
          <w:szCs w:val="21"/>
        </w:rPr>
        <w:t>、</w:t>
      </w:r>
      <w:r w:rsidR="00303441">
        <w:rPr>
          <w:rFonts w:eastAsia="楷体_GB2312"/>
          <w:color w:val="000000"/>
          <w:szCs w:val="21"/>
        </w:rPr>
        <w:t>4.43</w:t>
      </w:r>
      <w:r w:rsidR="00C5319E">
        <w:rPr>
          <w:rFonts w:eastAsia="楷体_GB2312" w:hint="eastAsia"/>
          <w:color w:val="000000"/>
          <w:szCs w:val="21"/>
        </w:rPr>
        <w:t>%</w:t>
      </w:r>
      <w:r w:rsidR="00C5319E">
        <w:rPr>
          <w:rFonts w:eastAsia="楷体_GB2312" w:hint="eastAsia"/>
          <w:color w:val="000000"/>
          <w:szCs w:val="21"/>
        </w:rPr>
        <w:t>和</w:t>
      </w:r>
      <w:r w:rsidR="00303441">
        <w:rPr>
          <w:rFonts w:eastAsia="楷体_GB2312"/>
          <w:color w:val="000000"/>
          <w:szCs w:val="21"/>
        </w:rPr>
        <w:t>3.95</w:t>
      </w:r>
      <w:r w:rsidR="00DF104F">
        <w:rPr>
          <w:rFonts w:eastAsia="楷体_GB2312"/>
          <w:color w:val="000000"/>
          <w:szCs w:val="21"/>
        </w:rPr>
        <w:t>%</w:t>
      </w:r>
      <w:r w:rsidR="00763C28">
        <w:rPr>
          <w:rFonts w:eastAsia="楷体_GB2312" w:hint="eastAsia"/>
          <w:color w:val="000000"/>
          <w:szCs w:val="21"/>
        </w:rPr>
        <w:t>。</w:t>
      </w:r>
      <w:r w:rsidR="0014042D">
        <w:rPr>
          <w:rFonts w:eastAsia="楷体_GB2312" w:hint="eastAsia"/>
          <w:color w:val="000000"/>
          <w:szCs w:val="21"/>
        </w:rPr>
        <w:t>从今年以来混合基金收益情况来看，</w:t>
      </w:r>
      <w:r w:rsidR="00151833">
        <w:rPr>
          <w:rFonts w:eastAsia="楷体_GB2312" w:hint="eastAsia"/>
          <w:color w:val="000000"/>
          <w:szCs w:val="21"/>
        </w:rPr>
        <w:t>七成以上</w:t>
      </w:r>
      <w:r w:rsidR="0014042D">
        <w:rPr>
          <w:rFonts w:eastAsia="楷体_GB2312" w:hint="eastAsia"/>
          <w:color w:val="000000"/>
          <w:szCs w:val="21"/>
        </w:rPr>
        <w:t>基金收益率为负值，平均收益率为</w:t>
      </w:r>
      <w:r w:rsidR="00151833">
        <w:rPr>
          <w:rFonts w:eastAsia="楷体_GB2312" w:hint="eastAsia"/>
          <w:color w:val="000000"/>
          <w:szCs w:val="21"/>
        </w:rPr>
        <w:t>-</w:t>
      </w:r>
      <w:r w:rsidR="00556D88">
        <w:rPr>
          <w:rFonts w:eastAsia="楷体_GB2312"/>
          <w:color w:val="000000"/>
          <w:szCs w:val="21"/>
        </w:rPr>
        <w:t>11.</w:t>
      </w:r>
      <w:r w:rsidR="00076AAF">
        <w:rPr>
          <w:rFonts w:eastAsia="楷体_GB2312"/>
          <w:color w:val="000000"/>
          <w:szCs w:val="21"/>
        </w:rPr>
        <w:t>74</w:t>
      </w:r>
      <w:r w:rsidR="00151833">
        <w:rPr>
          <w:rFonts w:eastAsia="楷体_GB2312" w:hint="eastAsia"/>
          <w:color w:val="000000"/>
          <w:szCs w:val="21"/>
        </w:rPr>
        <w:t>%</w:t>
      </w:r>
      <w:r w:rsidR="00C3761C">
        <w:rPr>
          <w:rFonts w:eastAsia="楷体_GB2312" w:hint="eastAsia"/>
          <w:color w:val="000000"/>
          <w:szCs w:val="21"/>
        </w:rPr>
        <w:t>。</w:t>
      </w:r>
      <w:r w:rsidR="0014042D">
        <w:rPr>
          <w:rFonts w:eastAsia="楷体_GB2312" w:hint="eastAsia"/>
          <w:color w:val="000000"/>
          <w:szCs w:val="21"/>
        </w:rPr>
        <w:t xml:space="preserve"> </w:t>
      </w:r>
    </w:p>
    <w:p w:rsidR="00F64FF8" w:rsidRDefault="0030206B" w:rsidP="00F64FF8">
      <w:pPr>
        <w:spacing w:line="360" w:lineRule="auto"/>
        <w:ind w:firstLineChars="250" w:firstLine="525"/>
        <w:jc w:val="left"/>
        <w:rPr>
          <w:rFonts w:eastAsia="楷体_GB2312"/>
          <w:color w:val="000000"/>
          <w:szCs w:val="21"/>
        </w:rPr>
      </w:pPr>
      <w:r>
        <w:rPr>
          <w:rFonts w:eastAsia="楷体_GB2312" w:hint="eastAsia"/>
          <w:color w:val="000000"/>
          <w:szCs w:val="21"/>
        </w:rPr>
        <w:t>指数</w:t>
      </w:r>
      <w:r w:rsidR="001F6686">
        <w:rPr>
          <w:rFonts w:eastAsia="楷体_GB2312" w:hint="eastAsia"/>
          <w:color w:val="000000"/>
          <w:szCs w:val="21"/>
        </w:rPr>
        <w:t>基金，</w:t>
      </w:r>
      <w:r w:rsidR="00912EC4">
        <w:rPr>
          <w:rFonts w:eastAsia="楷体_GB2312" w:hint="eastAsia"/>
          <w:color w:val="000000"/>
          <w:szCs w:val="21"/>
        </w:rPr>
        <w:t>上周</w:t>
      </w:r>
      <w:r w:rsidR="001F6686">
        <w:rPr>
          <w:rFonts w:eastAsia="楷体_GB2312" w:hint="eastAsia"/>
          <w:color w:val="000000"/>
          <w:szCs w:val="21"/>
        </w:rPr>
        <w:t>平均收益率为</w:t>
      </w:r>
      <w:r w:rsidR="00151833">
        <w:rPr>
          <w:rFonts w:eastAsia="楷体_GB2312" w:hint="eastAsia"/>
          <w:color w:val="000000"/>
          <w:szCs w:val="21"/>
        </w:rPr>
        <w:t>-</w:t>
      </w:r>
      <w:r w:rsidR="002537D7">
        <w:rPr>
          <w:rFonts w:eastAsia="楷体_GB2312" w:hint="eastAsia"/>
          <w:color w:val="000000"/>
          <w:szCs w:val="21"/>
        </w:rPr>
        <w:t>0.35</w:t>
      </w:r>
      <w:r w:rsidR="00285FBB" w:rsidRPr="00C45B52">
        <w:rPr>
          <w:rFonts w:eastAsia="楷体_GB2312" w:hint="eastAsia"/>
          <w:color w:val="000000"/>
          <w:szCs w:val="21"/>
        </w:rPr>
        <w:t>%</w:t>
      </w:r>
      <w:r w:rsidR="009C4B88">
        <w:rPr>
          <w:rFonts w:eastAsia="楷体_GB2312" w:hint="eastAsia"/>
          <w:color w:val="000000"/>
          <w:szCs w:val="21"/>
        </w:rPr>
        <w:t>，</w:t>
      </w:r>
      <w:r w:rsidR="00D651C3">
        <w:rPr>
          <w:rFonts w:eastAsia="楷体_GB2312" w:hint="eastAsia"/>
          <w:color w:val="000000"/>
          <w:szCs w:val="21"/>
        </w:rPr>
        <w:t>七</w:t>
      </w:r>
      <w:r w:rsidR="00285FBB">
        <w:rPr>
          <w:rFonts w:eastAsia="楷体_GB2312" w:hint="eastAsia"/>
          <w:color w:val="000000"/>
          <w:szCs w:val="21"/>
        </w:rPr>
        <w:t>成以上</w:t>
      </w:r>
      <w:r w:rsidR="00DD2FC2">
        <w:rPr>
          <w:rFonts w:eastAsia="楷体_GB2312" w:hint="eastAsia"/>
          <w:color w:val="000000"/>
          <w:szCs w:val="21"/>
        </w:rPr>
        <w:t>基金收益为负</w:t>
      </w:r>
      <w:r w:rsidR="009C4B88">
        <w:rPr>
          <w:rFonts w:eastAsia="楷体_GB2312" w:hint="eastAsia"/>
          <w:color w:val="000000"/>
          <w:szCs w:val="21"/>
        </w:rPr>
        <w:t>。</w:t>
      </w:r>
      <w:r w:rsidR="006074AC" w:rsidRPr="00DB0764">
        <w:rPr>
          <w:rFonts w:eastAsia="楷体_GB2312" w:hint="eastAsia"/>
          <w:color w:val="000000"/>
          <w:szCs w:val="21"/>
        </w:rPr>
        <w:t>其中，</w:t>
      </w:r>
      <w:r w:rsidR="00B6063F">
        <w:rPr>
          <w:rFonts w:eastAsia="楷体_GB2312" w:hint="eastAsia"/>
          <w:color w:val="000000"/>
          <w:szCs w:val="21"/>
        </w:rPr>
        <w:t>食品饮料</w:t>
      </w:r>
      <w:r w:rsidR="00B67759">
        <w:rPr>
          <w:rFonts w:eastAsia="楷体_GB2312" w:hint="eastAsia"/>
          <w:color w:val="000000"/>
          <w:szCs w:val="21"/>
        </w:rPr>
        <w:t>行业</w:t>
      </w:r>
      <w:r w:rsidR="00285FBB" w:rsidRPr="00DB0764">
        <w:rPr>
          <w:rFonts w:eastAsia="楷体_GB2312" w:hint="eastAsia"/>
          <w:color w:val="000000"/>
          <w:szCs w:val="21"/>
        </w:rPr>
        <w:t>基金</w:t>
      </w:r>
      <w:r w:rsidR="00BC3CBC">
        <w:rPr>
          <w:rFonts w:eastAsia="楷体_GB2312" w:hint="eastAsia"/>
          <w:color w:val="000000"/>
          <w:szCs w:val="21"/>
        </w:rPr>
        <w:t>涨幅较大</w:t>
      </w:r>
      <w:r w:rsidR="00285FBB" w:rsidRPr="00DB0764">
        <w:rPr>
          <w:rFonts w:eastAsia="楷体_GB2312" w:hint="eastAsia"/>
          <w:color w:val="000000"/>
          <w:szCs w:val="21"/>
        </w:rPr>
        <w:t>，如：</w:t>
      </w:r>
      <w:r w:rsidR="00B67759" w:rsidRPr="00B67759">
        <w:rPr>
          <w:rFonts w:eastAsia="楷体_GB2312" w:hint="eastAsia"/>
          <w:color w:val="000000"/>
          <w:szCs w:val="21"/>
        </w:rPr>
        <w:t>招商中证白酒</w:t>
      </w:r>
      <w:r w:rsidR="00630624">
        <w:rPr>
          <w:rFonts w:eastAsia="楷体_GB2312" w:hint="eastAsia"/>
          <w:color w:val="000000"/>
          <w:szCs w:val="21"/>
        </w:rPr>
        <w:t>、</w:t>
      </w:r>
      <w:proofErr w:type="gramStart"/>
      <w:r w:rsidR="00B67759" w:rsidRPr="00B67759">
        <w:rPr>
          <w:rFonts w:eastAsia="楷体_GB2312" w:hint="eastAsia"/>
          <w:color w:val="000000"/>
          <w:szCs w:val="21"/>
        </w:rPr>
        <w:t>中融中</w:t>
      </w:r>
      <w:proofErr w:type="gramEnd"/>
      <w:r w:rsidR="00B67759" w:rsidRPr="00B67759">
        <w:rPr>
          <w:rFonts w:eastAsia="楷体_GB2312" w:hint="eastAsia"/>
          <w:color w:val="000000"/>
          <w:szCs w:val="21"/>
        </w:rPr>
        <w:t>证白酒</w:t>
      </w:r>
      <w:r w:rsidR="00285FBB" w:rsidRPr="00DB0764">
        <w:rPr>
          <w:rFonts w:eastAsia="楷体_GB2312" w:hint="eastAsia"/>
          <w:color w:val="000000"/>
          <w:szCs w:val="21"/>
        </w:rPr>
        <w:t>、</w:t>
      </w:r>
      <w:r w:rsidR="00B67759" w:rsidRPr="00B67759">
        <w:rPr>
          <w:rFonts w:eastAsia="楷体_GB2312" w:hint="eastAsia"/>
          <w:color w:val="000000"/>
          <w:szCs w:val="21"/>
        </w:rPr>
        <w:t>国泰国</w:t>
      </w:r>
      <w:proofErr w:type="gramStart"/>
      <w:r w:rsidR="00B67759" w:rsidRPr="00B67759">
        <w:rPr>
          <w:rFonts w:eastAsia="楷体_GB2312" w:hint="eastAsia"/>
          <w:color w:val="000000"/>
          <w:szCs w:val="21"/>
        </w:rPr>
        <w:t>证食品</w:t>
      </w:r>
      <w:proofErr w:type="gramEnd"/>
      <w:r w:rsidR="00B67759" w:rsidRPr="00B67759">
        <w:rPr>
          <w:rFonts w:eastAsia="楷体_GB2312" w:hint="eastAsia"/>
          <w:color w:val="000000"/>
          <w:szCs w:val="21"/>
        </w:rPr>
        <w:t>饮料</w:t>
      </w:r>
      <w:r w:rsidR="00285FBB" w:rsidRPr="00DB0764">
        <w:rPr>
          <w:rFonts w:eastAsia="楷体_GB2312" w:hint="eastAsia"/>
          <w:color w:val="000000"/>
          <w:szCs w:val="21"/>
        </w:rPr>
        <w:t>，收益率分别为</w:t>
      </w:r>
      <w:r w:rsidR="00DC6ED0">
        <w:rPr>
          <w:rFonts w:eastAsia="楷体_GB2312"/>
          <w:color w:val="000000"/>
          <w:szCs w:val="21"/>
        </w:rPr>
        <w:t>4.10</w:t>
      </w:r>
      <w:r w:rsidR="00630624">
        <w:rPr>
          <w:rFonts w:eastAsia="楷体_GB2312" w:hint="eastAsia"/>
          <w:color w:val="000000"/>
          <w:szCs w:val="21"/>
        </w:rPr>
        <w:t>%</w:t>
      </w:r>
      <w:r w:rsidR="00630624">
        <w:rPr>
          <w:rFonts w:eastAsia="楷体_GB2312" w:hint="eastAsia"/>
          <w:color w:val="000000"/>
          <w:szCs w:val="21"/>
        </w:rPr>
        <w:t>、</w:t>
      </w:r>
      <w:r w:rsidR="00DC6ED0">
        <w:rPr>
          <w:rFonts w:eastAsia="楷体_GB2312"/>
          <w:color w:val="000000"/>
          <w:szCs w:val="21"/>
        </w:rPr>
        <w:t>3.91</w:t>
      </w:r>
      <w:r w:rsidR="00285FBB" w:rsidRPr="00DB0764">
        <w:rPr>
          <w:rFonts w:eastAsia="楷体_GB2312" w:hint="eastAsia"/>
          <w:color w:val="000000"/>
          <w:szCs w:val="21"/>
        </w:rPr>
        <w:t>%</w:t>
      </w:r>
      <w:r w:rsidR="00285FBB" w:rsidRPr="00DB0764">
        <w:rPr>
          <w:rFonts w:eastAsia="楷体_GB2312" w:hint="eastAsia"/>
          <w:color w:val="000000"/>
          <w:szCs w:val="21"/>
        </w:rPr>
        <w:t>、</w:t>
      </w:r>
      <w:r w:rsidR="00DC6ED0">
        <w:rPr>
          <w:rFonts w:eastAsia="楷体_GB2312"/>
          <w:color w:val="000000"/>
          <w:szCs w:val="21"/>
        </w:rPr>
        <w:t>2.82</w:t>
      </w:r>
      <w:r w:rsidR="00285FBB" w:rsidRPr="00DB0764">
        <w:rPr>
          <w:rFonts w:eastAsia="楷体_GB2312" w:hint="eastAsia"/>
          <w:color w:val="000000"/>
          <w:szCs w:val="21"/>
        </w:rPr>
        <w:t>%</w:t>
      </w:r>
      <w:r w:rsidR="00285FBB" w:rsidRPr="00DB0764">
        <w:rPr>
          <w:rFonts w:eastAsia="楷体_GB2312" w:hint="eastAsia"/>
          <w:color w:val="000000"/>
          <w:szCs w:val="21"/>
        </w:rPr>
        <w:t>。</w:t>
      </w:r>
      <w:r w:rsidR="007F5ECF" w:rsidRPr="00DB0764">
        <w:rPr>
          <w:rFonts w:eastAsia="楷体_GB2312" w:hint="eastAsia"/>
          <w:color w:val="000000"/>
          <w:szCs w:val="21"/>
        </w:rPr>
        <w:t>2</w:t>
      </w:r>
      <w:r w:rsidR="007F5ECF">
        <w:rPr>
          <w:rFonts w:eastAsia="楷体_GB2312" w:hint="eastAsia"/>
          <w:color w:val="000000"/>
          <w:szCs w:val="21"/>
        </w:rPr>
        <w:t>016</w:t>
      </w:r>
      <w:r w:rsidR="007F5ECF">
        <w:rPr>
          <w:rFonts w:eastAsia="楷体_GB2312" w:hint="eastAsia"/>
          <w:color w:val="000000"/>
          <w:szCs w:val="21"/>
        </w:rPr>
        <w:t>年</w:t>
      </w:r>
      <w:r w:rsidR="00912EC4">
        <w:rPr>
          <w:rFonts w:eastAsia="楷体_GB2312" w:hint="eastAsia"/>
          <w:color w:val="000000"/>
          <w:szCs w:val="21"/>
        </w:rPr>
        <w:t>以来，</w:t>
      </w:r>
      <w:r>
        <w:rPr>
          <w:rFonts w:eastAsia="楷体_GB2312" w:hint="eastAsia"/>
          <w:color w:val="000000"/>
          <w:szCs w:val="21"/>
        </w:rPr>
        <w:t>指数</w:t>
      </w:r>
      <w:r w:rsidR="00CE33B2">
        <w:rPr>
          <w:rFonts w:eastAsia="楷体_GB2312" w:hint="eastAsia"/>
          <w:color w:val="000000"/>
          <w:szCs w:val="21"/>
        </w:rPr>
        <w:t>基金平均收益率为</w:t>
      </w:r>
      <w:r w:rsidR="00FF6FC4">
        <w:rPr>
          <w:rFonts w:eastAsia="楷体_GB2312" w:hint="eastAsia"/>
          <w:color w:val="000000"/>
          <w:szCs w:val="21"/>
        </w:rPr>
        <w:t>-</w:t>
      </w:r>
      <w:r w:rsidR="00D22079">
        <w:rPr>
          <w:rFonts w:eastAsia="楷体_GB2312" w:hint="eastAsia"/>
          <w:color w:val="000000"/>
          <w:szCs w:val="21"/>
        </w:rPr>
        <w:t>1</w:t>
      </w:r>
      <w:r w:rsidR="002537D7">
        <w:rPr>
          <w:rFonts w:eastAsia="楷体_GB2312"/>
          <w:color w:val="000000"/>
          <w:szCs w:val="21"/>
        </w:rPr>
        <w:t>6.28</w:t>
      </w:r>
      <w:r w:rsidR="00912EC4">
        <w:rPr>
          <w:rFonts w:eastAsia="楷体_GB2312" w:hint="eastAsia"/>
          <w:color w:val="000000"/>
          <w:szCs w:val="21"/>
        </w:rPr>
        <w:t>%</w:t>
      </w:r>
      <w:r w:rsidR="00CE33B2">
        <w:rPr>
          <w:rFonts w:eastAsia="楷体_GB2312" w:hint="eastAsia"/>
          <w:color w:val="000000"/>
          <w:szCs w:val="21"/>
        </w:rPr>
        <w:t>，</w:t>
      </w:r>
      <w:bookmarkStart w:id="21" w:name="OLE_LINK38"/>
      <w:bookmarkStart w:id="22" w:name="OLE_LINK39"/>
      <w:r w:rsidR="00DB0764" w:rsidRPr="00DB0764">
        <w:rPr>
          <w:rFonts w:eastAsia="楷体_GB2312" w:hint="eastAsia"/>
          <w:color w:val="000000"/>
          <w:szCs w:val="21"/>
        </w:rPr>
        <w:t>互联网</w:t>
      </w:r>
      <w:r w:rsidR="00FF6FC4" w:rsidRPr="00DB0764">
        <w:rPr>
          <w:rFonts w:eastAsia="楷体_GB2312" w:hint="eastAsia"/>
          <w:color w:val="000000"/>
          <w:szCs w:val="21"/>
        </w:rPr>
        <w:t>产业类</w:t>
      </w:r>
      <w:r w:rsidR="006074AC" w:rsidRPr="00DB0764">
        <w:rPr>
          <w:rFonts w:eastAsia="楷体_GB2312" w:hint="eastAsia"/>
          <w:color w:val="000000"/>
          <w:szCs w:val="21"/>
        </w:rPr>
        <w:t>指数</w:t>
      </w:r>
      <w:r w:rsidR="007D432E" w:rsidRPr="00DB0764">
        <w:rPr>
          <w:rFonts w:eastAsia="楷体_GB2312" w:hint="eastAsia"/>
          <w:color w:val="000000"/>
          <w:szCs w:val="21"/>
        </w:rPr>
        <w:t>基金</w:t>
      </w:r>
      <w:bookmarkEnd w:id="21"/>
      <w:bookmarkEnd w:id="22"/>
      <w:r w:rsidR="007D432E" w:rsidRPr="00DB0764">
        <w:rPr>
          <w:rFonts w:eastAsia="楷体_GB2312" w:hint="eastAsia"/>
          <w:color w:val="000000"/>
          <w:szCs w:val="21"/>
        </w:rPr>
        <w:t>跌幅惨重。</w:t>
      </w:r>
    </w:p>
    <w:p w:rsidR="007C43F9" w:rsidRDefault="007C43F9" w:rsidP="007C43F9">
      <w:pPr>
        <w:rPr>
          <w:rFonts w:eastAsia="楷体_GB2312"/>
          <w:b/>
          <w:color w:val="000000"/>
          <w:sz w:val="28"/>
          <w:szCs w:val="28"/>
        </w:rPr>
      </w:pPr>
      <w:r w:rsidRPr="00102353">
        <w:rPr>
          <w:rFonts w:eastAsia="楷体_GB2312" w:hint="eastAsia"/>
          <w:b/>
          <w:color w:val="000000"/>
          <w:sz w:val="28"/>
          <w:szCs w:val="28"/>
        </w:rPr>
        <w:t>固定收益类基金</w:t>
      </w:r>
    </w:p>
    <w:p w:rsidR="001329D8" w:rsidRPr="0070665A" w:rsidRDefault="004B2240" w:rsidP="00026FBB">
      <w:pPr>
        <w:spacing w:line="360" w:lineRule="auto"/>
        <w:ind w:firstLineChars="200" w:firstLine="420"/>
        <w:jc w:val="left"/>
        <w:rPr>
          <w:rFonts w:eastAsia="楷体_GB2312"/>
          <w:szCs w:val="21"/>
        </w:rPr>
      </w:pPr>
      <w:bookmarkStart w:id="23" w:name="OLE_LINK3"/>
      <w:bookmarkStart w:id="24" w:name="OLE_LINK4"/>
      <w:bookmarkStart w:id="25" w:name="OLE_LINK10"/>
      <w:r>
        <w:rPr>
          <w:rFonts w:eastAsia="楷体_GB2312" w:hint="eastAsia"/>
          <w:color w:val="000000"/>
          <w:szCs w:val="21"/>
        </w:rPr>
        <w:t>债券基金平均收益率为</w:t>
      </w:r>
      <w:r>
        <w:rPr>
          <w:rFonts w:eastAsia="楷体_GB2312" w:hint="eastAsia"/>
          <w:color w:val="000000"/>
          <w:szCs w:val="21"/>
        </w:rPr>
        <w:t>-</w:t>
      </w:r>
      <w:r>
        <w:rPr>
          <w:rFonts w:eastAsia="楷体_GB2312"/>
          <w:color w:val="000000"/>
          <w:szCs w:val="21"/>
        </w:rPr>
        <w:t>0</w:t>
      </w:r>
      <w:r>
        <w:rPr>
          <w:rFonts w:eastAsia="楷体_GB2312" w:hint="eastAsia"/>
          <w:color w:val="000000"/>
          <w:szCs w:val="21"/>
        </w:rPr>
        <w:t>.</w:t>
      </w:r>
      <w:r>
        <w:rPr>
          <w:rFonts w:eastAsia="楷体_GB2312"/>
          <w:color w:val="000000"/>
          <w:szCs w:val="21"/>
        </w:rPr>
        <w:t>19</w:t>
      </w:r>
      <w:r>
        <w:rPr>
          <w:rFonts w:eastAsia="楷体_GB2312" w:hint="eastAsia"/>
          <w:color w:val="000000"/>
          <w:szCs w:val="21"/>
        </w:rPr>
        <w:t>%</w:t>
      </w:r>
      <w:r>
        <w:rPr>
          <w:rFonts w:eastAsia="楷体_GB2312" w:hint="eastAsia"/>
          <w:color w:val="000000"/>
          <w:szCs w:val="21"/>
        </w:rPr>
        <w:t>，八成以上基金收益为负。其中，</w:t>
      </w:r>
      <w:proofErr w:type="gramStart"/>
      <w:r w:rsidRPr="00867554">
        <w:rPr>
          <w:rFonts w:eastAsia="楷体_GB2312" w:hint="eastAsia"/>
          <w:color w:val="000000"/>
          <w:szCs w:val="21"/>
        </w:rPr>
        <w:t>中融稳健</w:t>
      </w:r>
      <w:proofErr w:type="gramEnd"/>
      <w:r w:rsidRPr="00867554">
        <w:rPr>
          <w:rFonts w:eastAsia="楷体_GB2312" w:hint="eastAsia"/>
          <w:color w:val="000000"/>
          <w:szCs w:val="21"/>
        </w:rPr>
        <w:t>添利</w:t>
      </w:r>
      <w:r>
        <w:rPr>
          <w:rFonts w:eastAsia="楷体_GB2312" w:hint="eastAsia"/>
          <w:color w:val="000000"/>
          <w:szCs w:val="21"/>
        </w:rPr>
        <w:t>、</w:t>
      </w:r>
      <w:r w:rsidRPr="00867554">
        <w:rPr>
          <w:rFonts w:eastAsia="楷体_GB2312" w:hint="eastAsia"/>
          <w:color w:val="000000"/>
          <w:szCs w:val="21"/>
        </w:rPr>
        <w:t>鹏华信用增利</w:t>
      </w:r>
      <w:r w:rsidRPr="00A74017">
        <w:rPr>
          <w:rFonts w:eastAsia="楷体_GB2312" w:hint="eastAsia"/>
          <w:color w:val="000000"/>
          <w:szCs w:val="21"/>
        </w:rPr>
        <w:t>A</w:t>
      </w:r>
      <w:r>
        <w:rPr>
          <w:rFonts w:eastAsia="楷体_GB2312"/>
          <w:color w:val="000000"/>
          <w:szCs w:val="21"/>
        </w:rPr>
        <w:t>\B</w:t>
      </w:r>
      <w:r>
        <w:rPr>
          <w:rFonts w:eastAsia="楷体_GB2312" w:hint="eastAsia"/>
          <w:color w:val="000000"/>
          <w:szCs w:val="21"/>
        </w:rPr>
        <w:t>、</w:t>
      </w:r>
      <w:r w:rsidRPr="00867554">
        <w:rPr>
          <w:rFonts w:eastAsia="楷体_GB2312" w:hint="eastAsia"/>
          <w:color w:val="000000"/>
          <w:szCs w:val="21"/>
        </w:rPr>
        <w:t>嘉实多利分级</w:t>
      </w:r>
      <w:r>
        <w:rPr>
          <w:rFonts w:eastAsia="楷体_GB2312" w:hint="eastAsia"/>
          <w:color w:val="000000"/>
          <w:szCs w:val="21"/>
        </w:rPr>
        <w:t>收益率领先，上周收益率分别为</w:t>
      </w:r>
      <w:r>
        <w:rPr>
          <w:rFonts w:eastAsia="楷体_GB2312"/>
          <w:color w:val="000000"/>
          <w:szCs w:val="21"/>
        </w:rPr>
        <w:t>0.73%</w:t>
      </w:r>
      <w:r>
        <w:rPr>
          <w:rFonts w:eastAsia="楷体_GB2312" w:hint="eastAsia"/>
          <w:color w:val="000000"/>
          <w:szCs w:val="21"/>
        </w:rPr>
        <w:t>、</w:t>
      </w:r>
      <w:r>
        <w:rPr>
          <w:rFonts w:eastAsia="楷体_GB2312"/>
          <w:color w:val="000000"/>
          <w:szCs w:val="21"/>
        </w:rPr>
        <w:t>0.60</w:t>
      </w:r>
      <w:r>
        <w:rPr>
          <w:rFonts w:eastAsia="楷体_GB2312" w:hint="eastAsia"/>
          <w:color w:val="000000"/>
          <w:szCs w:val="21"/>
        </w:rPr>
        <w:t>%\</w:t>
      </w:r>
      <w:r>
        <w:rPr>
          <w:rFonts w:eastAsia="楷体_GB2312"/>
          <w:color w:val="000000"/>
          <w:szCs w:val="21"/>
        </w:rPr>
        <w:t>0.59</w:t>
      </w:r>
      <w:r>
        <w:rPr>
          <w:rFonts w:eastAsia="楷体_GB2312" w:hint="eastAsia"/>
          <w:color w:val="000000"/>
          <w:szCs w:val="21"/>
        </w:rPr>
        <w:t>%</w:t>
      </w:r>
      <w:r>
        <w:rPr>
          <w:rFonts w:eastAsia="楷体_GB2312" w:hint="eastAsia"/>
          <w:color w:val="000000"/>
          <w:szCs w:val="21"/>
        </w:rPr>
        <w:t>和</w:t>
      </w:r>
      <w:r>
        <w:rPr>
          <w:rFonts w:eastAsia="楷体_GB2312"/>
          <w:color w:val="000000"/>
          <w:szCs w:val="21"/>
        </w:rPr>
        <w:t>0.58%</w:t>
      </w:r>
      <w:r>
        <w:rPr>
          <w:rFonts w:eastAsia="楷体_GB2312" w:hint="eastAsia"/>
          <w:color w:val="000000"/>
          <w:szCs w:val="21"/>
        </w:rPr>
        <w:t>。</w:t>
      </w:r>
      <w:r>
        <w:rPr>
          <w:rFonts w:eastAsia="楷体_GB2312" w:hint="eastAsia"/>
          <w:color w:val="000000"/>
          <w:szCs w:val="21"/>
        </w:rPr>
        <w:t>2016</w:t>
      </w:r>
      <w:r>
        <w:rPr>
          <w:rFonts w:eastAsia="楷体_GB2312" w:hint="eastAsia"/>
          <w:color w:val="000000"/>
          <w:szCs w:val="21"/>
        </w:rPr>
        <w:t>年以来的债券型基金平均收益率为</w:t>
      </w:r>
      <w:r>
        <w:rPr>
          <w:rFonts w:eastAsia="楷体_GB2312" w:hint="eastAsia"/>
          <w:color w:val="000000"/>
          <w:szCs w:val="21"/>
        </w:rPr>
        <w:t>-0.</w:t>
      </w:r>
      <w:r>
        <w:rPr>
          <w:rFonts w:eastAsia="楷体_GB2312"/>
          <w:color w:val="000000"/>
          <w:szCs w:val="21"/>
        </w:rPr>
        <w:t>72</w:t>
      </w:r>
      <w:r>
        <w:rPr>
          <w:rFonts w:eastAsia="楷体_GB2312" w:hint="eastAsia"/>
          <w:color w:val="000000"/>
          <w:szCs w:val="21"/>
        </w:rPr>
        <w:t>%</w:t>
      </w:r>
      <w:r>
        <w:rPr>
          <w:rFonts w:eastAsia="楷体_GB2312" w:hint="eastAsia"/>
          <w:color w:val="000000"/>
          <w:szCs w:val="21"/>
        </w:rPr>
        <w:t>。业绩居前的基金为新华安享惠金</w:t>
      </w:r>
      <w:r>
        <w:rPr>
          <w:rFonts w:eastAsia="楷体_GB2312" w:hint="eastAsia"/>
          <w:color w:val="000000"/>
          <w:szCs w:val="21"/>
        </w:rPr>
        <w:t>A\C</w:t>
      </w:r>
      <w:r>
        <w:rPr>
          <w:rFonts w:eastAsia="楷体_GB2312" w:hint="eastAsia"/>
          <w:color w:val="000000"/>
          <w:szCs w:val="21"/>
        </w:rPr>
        <w:t>、</w:t>
      </w:r>
      <w:r w:rsidRPr="001915A4">
        <w:rPr>
          <w:rFonts w:eastAsia="楷体_GB2312" w:hint="eastAsia"/>
          <w:color w:val="000000"/>
          <w:szCs w:val="21"/>
        </w:rPr>
        <w:t>英大纯债</w:t>
      </w:r>
      <w:r w:rsidRPr="001915A4">
        <w:rPr>
          <w:rFonts w:eastAsia="楷体_GB2312" w:hint="eastAsia"/>
          <w:color w:val="000000"/>
          <w:szCs w:val="21"/>
        </w:rPr>
        <w:t>A</w:t>
      </w:r>
      <w:r>
        <w:rPr>
          <w:rFonts w:eastAsia="楷体_GB2312" w:hint="eastAsia"/>
          <w:color w:val="000000"/>
          <w:szCs w:val="21"/>
        </w:rPr>
        <w:t>、</w:t>
      </w:r>
      <w:r w:rsidRPr="001915A4">
        <w:rPr>
          <w:rFonts w:eastAsia="楷体_GB2312" w:hint="eastAsia"/>
          <w:color w:val="000000"/>
          <w:szCs w:val="21"/>
        </w:rPr>
        <w:t>新华惠鑫分级</w:t>
      </w:r>
      <w:r>
        <w:rPr>
          <w:rFonts w:eastAsia="楷体_GB2312" w:hint="eastAsia"/>
          <w:color w:val="000000"/>
          <w:szCs w:val="21"/>
        </w:rPr>
        <w:t>，收益率分别为</w:t>
      </w:r>
      <w:r>
        <w:rPr>
          <w:rFonts w:eastAsia="楷体_GB2312"/>
          <w:color w:val="000000"/>
          <w:szCs w:val="21"/>
        </w:rPr>
        <w:t>3.60</w:t>
      </w:r>
      <w:r>
        <w:rPr>
          <w:rFonts w:eastAsia="楷体_GB2312" w:hint="eastAsia"/>
          <w:color w:val="000000"/>
          <w:szCs w:val="21"/>
        </w:rPr>
        <w:t>%\3.46%</w:t>
      </w:r>
      <w:r>
        <w:rPr>
          <w:rFonts w:eastAsia="楷体_GB2312" w:hint="eastAsia"/>
          <w:color w:val="000000"/>
          <w:szCs w:val="21"/>
        </w:rPr>
        <w:t>、</w:t>
      </w:r>
      <w:r>
        <w:rPr>
          <w:rFonts w:eastAsia="楷体_GB2312"/>
          <w:color w:val="000000"/>
          <w:szCs w:val="21"/>
        </w:rPr>
        <w:t>3.23</w:t>
      </w:r>
      <w:r>
        <w:rPr>
          <w:rFonts w:eastAsia="楷体_GB2312" w:hint="eastAsia"/>
          <w:color w:val="000000"/>
          <w:szCs w:val="21"/>
        </w:rPr>
        <w:t>%</w:t>
      </w:r>
      <w:r>
        <w:rPr>
          <w:rFonts w:eastAsia="楷体_GB2312" w:hint="eastAsia"/>
          <w:color w:val="000000"/>
          <w:szCs w:val="21"/>
        </w:rPr>
        <w:t>、</w:t>
      </w:r>
      <w:r>
        <w:rPr>
          <w:rFonts w:eastAsia="楷体_GB2312"/>
          <w:color w:val="000000"/>
          <w:szCs w:val="21"/>
        </w:rPr>
        <w:t>3.23</w:t>
      </w:r>
      <w:r>
        <w:rPr>
          <w:rFonts w:eastAsia="楷体_GB2312" w:hint="eastAsia"/>
          <w:color w:val="000000"/>
          <w:szCs w:val="21"/>
        </w:rPr>
        <w:t>%</w:t>
      </w:r>
      <w:r>
        <w:rPr>
          <w:rFonts w:eastAsia="楷体_GB2312" w:hint="eastAsia"/>
          <w:color w:val="000000"/>
          <w:szCs w:val="21"/>
        </w:rPr>
        <w:t>。</w:t>
      </w:r>
      <w:r w:rsidRPr="0070665A">
        <w:rPr>
          <w:rFonts w:eastAsia="楷体_GB2312" w:hint="eastAsia"/>
          <w:color w:val="000000"/>
          <w:szCs w:val="21"/>
        </w:rPr>
        <w:t>货币市场基金期间平均</w:t>
      </w:r>
      <w:r w:rsidRPr="0070665A">
        <w:rPr>
          <w:rFonts w:eastAsia="楷体_GB2312" w:hint="eastAsia"/>
          <w:color w:val="000000"/>
          <w:szCs w:val="21"/>
        </w:rPr>
        <w:t>7</w:t>
      </w:r>
      <w:r w:rsidRPr="0070665A">
        <w:rPr>
          <w:rFonts w:eastAsia="楷体_GB2312" w:hint="eastAsia"/>
          <w:color w:val="000000"/>
          <w:szCs w:val="21"/>
        </w:rPr>
        <w:t>天年化收益率为</w:t>
      </w:r>
      <w:r w:rsidRPr="0070665A">
        <w:rPr>
          <w:rFonts w:eastAsia="楷体_GB2312" w:hint="eastAsia"/>
          <w:color w:val="000000"/>
          <w:szCs w:val="21"/>
        </w:rPr>
        <w:t>2.</w:t>
      </w:r>
      <w:r>
        <w:rPr>
          <w:rFonts w:eastAsia="楷体_GB2312"/>
          <w:color w:val="000000"/>
          <w:szCs w:val="21"/>
        </w:rPr>
        <w:t>64</w:t>
      </w:r>
      <w:r w:rsidRPr="0070665A">
        <w:rPr>
          <w:rFonts w:eastAsia="楷体_GB2312" w:hint="eastAsia"/>
          <w:color w:val="000000"/>
          <w:szCs w:val="21"/>
        </w:rPr>
        <w:t>%</w:t>
      </w:r>
      <w:r w:rsidRPr="0070665A">
        <w:rPr>
          <w:rFonts w:eastAsia="楷体_GB2312" w:hint="eastAsia"/>
          <w:color w:val="000000"/>
          <w:szCs w:val="21"/>
        </w:rPr>
        <w:t>，</w:t>
      </w:r>
      <w:r w:rsidRPr="00630624">
        <w:rPr>
          <w:rFonts w:eastAsia="楷体_GB2312" w:hint="eastAsia"/>
          <w:szCs w:val="21"/>
        </w:rPr>
        <w:t>上周货币市场基金</w:t>
      </w:r>
      <w:r w:rsidRPr="00630624">
        <w:rPr>
          <w:rFonts w:eastAsia="楷体_GB2312" w:hint="eastAsia"/>
          <w:szCs w:val="21"/>
        </w:rPr>
        <w:t>7</w:t>
      </w:r>
      <w:r w:rsidRPr="00630624">
        <w:rPr>
          <w:rFonts w:eastAsia="楷体_GB2312" w:hint="eastAsia"/>
          <w:szCs w:val="21"/>
        </w:rPr>
        <w:t>天年化收益率较前期有所上升</w:t>
      </w:r>
      <w:r w:rsidR="00D33564" w:rsidRPr="00630624">
        <w:rPr>
          <w:rFonts w:eastAsia="楷体_GB2312" w:hint="eastAsia"/>
          <w:szCs w:val="21"/>
        </w:rPr>
        <w:t>。</w:t>
      </w:r>
      <w:bookmarkEnd w:id="23"/>
      <w:bookmarkEnd w:id="24"/>
      <w:bookmarkEnd w:id="25"/>
    </w:p>
    <w:p w:rsidR="007C43F9" w:rsidRPr="00102353" w:rsidRDefault="007C43F9" w:rsidP="007C43F9">
      <w:pPr>
        <w:rPr>
          <w:rFonts w:eastAsia="楷体_GB2312"/>
          <w:b/>
          <w:color w:val="000000"/>
          <w:sz w:val="28"/>
          <w:szCs w:val="28"/>
        </w:rPr>
      </w:pPr>
      <w:r w:rsidRPr="00102353">
        <w:rPr>
          <w:rFonts w:eastAsia="楷体_GB2312" w:hint="eastAsia"/>
          <w:b/>
          <w:color w:val="000000"/>
          <w:sz w:val="28"/>
          <w:szCs w:val="28"/>
        </w:rPr>
        <w:t>QDII</w:t>
      </w:r>
      <w:r w:rsidRPr="00102353">
        <w:rPr>
          <w:rFonts w:eastAsia="楷体_GB2312" w:hint="eastAsia"/>
          <w:b/>
          <w:color w:val="000000"/>
          <w:sz w:val="28"/>
          <w:szCs w:val="28"/>
        </w:rPr>
        <w:t>及另类投资产品</w:t>
      </w:r>
    </w:p>
    <w:p w:rsidR="0071040A" w:rsidRPr="0089305D" w:rsidRDefault="004A46B5" w:rsidP="0071040A">
      <w:pPr>
        <w:spacing w:line="360" w:lineRule="auto"/>
        <w:ind w:firstLineChars="150" w:firstLine="315"/>
        <w:jc w:val="left"/>
        <w:rPr>
          <w:rFonts w:eastAsia="楷体_GB2312"/>
          <w:color w:val="000000"/>
          <w:szCs w:val="21"/>
        </w:rPr>
      </w:pPr>
      <w:bookmarkStart w:id="26" w:name="OLE_LINK42"/>
      <w:bookmarkStart w:id="27" w:name="OLE_LINK43"/>
      <w:r w:rsidRPr="00795B9B">
        <w:rPr>
          <w:rFonts w:eastAsia="楷体_GB2312" w:hint="eastAsia"/>
          <w:color w:val="000000"/>
          <w:szCs w:val="21"/>
        </w:rPr>
        <w:t>QDII</w:t>
      </w:r>
      <w:r w:rsidRPr="00795B9B">
        <w:rPr>
          <w:rFonts w:eastAsia="楷体_GB2312" w:hint="eastAsia"/>
          <w:color w:val="000000"/>
          <w:szCs w:val="21"/>
        </w:rPr>
        <w:t>及另类投资基金</w:t>
      </w:r>
      <w:r>
        <w:rPr>
          <w:rFonts w:eastAsia="楷体_GB2312" w:hint="eastAsia"/>
          <w:color w:val="000000"/>
          <w:szCs w:val="21"/>
        </w:rPr>
        <w:t>期间</w:t>
      </w:r>
      <w:r w:rsidRPr="00795B9B">
        <w:rPr>
          <w:rFonts w:eastAsia="楷体_GB2312" w:hint="eastAsia"/>
          <w:color w:val="000000"/>
          <w:szCs w:val="21"/>
        </w:rPr>
        <w:t>平均收益率为</w:t>
      </w:r>
      <w:r>
        <w:rPr>
          <w:rFonts w:eastAsia="楷体_GB2312"/>
          <w:color w:val="000000"/>
          <w:szCs w:val="21"/>
        </w:rPr>
        <w:t>-0.67</w:t>
      </w:r>
      <w:r w:rsidRPr="00795B9B">
        <w:rPr>
          <w:rFonts w:eastAsia="楷体_GB2312" w:hint="eastAsia"/>
          <w:color w:val="000000"/>
          <w:szCs w:val="21"/>
        </w:rPr>
        <w:t>%</w:t>
      </w:r>
      <w:r>
        <w:rPr>
          <w:rFonts w:eastAsia="楷体_GB2312" w:hint="eastAsia"/>
          <w:color w:val="000000"/>
          <w:szCs w:val="21"/>
        </w:rPr>
        <w:t>。商品类基金大幅上涨，业绩</w:t>
      </w:r>
      <w:proofErr w:type="gramStart"/>
      <w:r>
        <w:rPr>
          <w:rFonts w:eastAsia="楷体_GB2312" w:hint="eastAsia"/>
          <w:color w:val="000000"/>
          <w:szCs w:val="21"/>
        </w:rPr>
        <w:t>收益居</w:t>
      </w:r>
      <w:proofErr w:type="gramEnd"/>
      <w:r>
        <w:rPr>
          <w:rFonts w:eastAsia="楷体_GB2312" w:hint="eastAsia"/>
          <w:color w:val="000000"/>
          <w:szCs w:val="21"/>
        </w:rPr>
        <w:t>前的基金如：</w:t>
      </w:r>
      <w:r w:rsidRPr="007B21EE">
        <w:rPr>
          <w:rFonts w:eastAsia="楷体_GB2312" w:hint="eastAsia"/>
          <w:color w:val="000000"/>
          <w:szCs w:val="21"/>
        </w:rPr>
        <w:t>国泰大宗商品</w:t>
      </w:r>
      <w:r>
        <w:rPr>
          <w:rFonts w:eastAsia="楷体_GB2312" w:hint="eastAsia"/>
          <w:color w:val="000000"/>
          <w:szCs w:val="21"/>
        </w:rPr>
        <w:t>、</w:t>
      </w:r>
      <w:proofErr w:type="gramStart"/>
      <w:r w:rsidRPr="007B21EE">
        <w:rPr>
          <w:rFonts w:eastAsia="楷体_GB2312" w:hint="eastAsia"/>
          <w:color w:val="000000"/>
          <w:szCs w:val="21"/>
        </w:rPr>
        <w:t>汇添富</w:t>
      </w:r>
      <w:proofErr w:type="gramEnd"/>
      <w:r w:rsidRPr="007B21EE">
        <w:rPr>
          <w:rFonts w:eastAsia="楷体_GB2312" w:hint="eastAsia"/>
          <w:color w:val="000000"/>
          <w:szCs w:val="21"/>
        </w:rPr>
        <w:t>黄金及贵金属</w:t>
      </w:r>
      <w:r>
        <w:rPr>
          <w:rFonts w:eastAsia="楷体_GB2312" w:hint="eastAsia"/>
          <w:color w:val="000000"/>
          <w:szCs w:val="21"/>
        </w:rPr>
        <w:t>、</w:t>
      </w:r>
      <w:r w:rsidRPr="007B21EE">
        <w:rPr>
          <w:rFonts w:eastAsia="楷体_GB2312" w:hint="eastAsia"/>
          <w:color w:val="000000"/>
          <w:szCs w:val="21"/>
        </w:rPr>
        <w:t>信</w:t>
      </w:r>
      <w:proofErr w:type="gramStart"/>
      <w:r w:rsidRPr="007B21EE">
        <w:rPr>
          <w:rFonts w:eastAsia="楷体_GB2312" w:hint="eastAsia"/>
          <w:color w:val="000000"/>
          <w:szCs w:val="21"/>
        </w:rPr>
        <w:t>诚全球</w:t>
      </w:r>
      <w:proofErr w:type="gramEnd"/>
      <w:r w:rsidRPr="007B21EE">
        <w:rPr>
          <w:rFonts w:eastAsia="楷体_GB2312" w:hint="eastAsia"/>
          <w:color w:val="000000"/>
          <w:szCs w:val="21"/>
        </w:rPr>
        <w:t>商品主题</w:t>
      </w:r>
      <w:r>
        <w:rPr>
          <w:rFonts w:eastAsia="楷体_GB2312" w:hint="eastAsia"/>
          <w:color w:val="000000"/>
          <w:szCs w:val="21"/>
        </w:rPr>
        <w:t>，上期收益率分别为</w:t>
      </w:r>
      <w:r w:rsidRPr="005B56B3">
        <w:rPr>
          <w:rFonts w:eastAsia="楷体_GB2312"/>
          <w:color w:val="000000"/>
          <w:szCs w:val="21"/>
        </w:rPr>
        <w:t>4.</w:t>
      </w:r>
      <w:r>
        <w:rPr>
          <w:rFonts w:eastAsia="楷体_GB2312"/>
          <w:color w:val="000000"/>
          <w:szCs w:val="21"/>
        </w:rPr>
        <w:t>7</w:t>
      </w:r>
      <w:r w:rsidRPr="005B56B3">
        <w:rPr>
          <w:rFonts w:eastAsia="楷体_GB2312"/>
          <w:color w:val="000000"/>
          <w:szCs w:val="21"/>
        </w:rPr>
        <w:t xml:space="preserve">1 </w:t>
      </w:r>
      <w:r>
        <w:rPr>
          <w:rFonts w:eastAsia="楷体_GB2312" w:hint="eastAsia"/>
          <w:color w:val="000000"/>
          <w:szCs w:val="21"/>
        </w:rPr>
        <w:t>%</w:t>
      </w:r>
      <w:r>
        <w:rPr>
          <w:rFonts w:eastAsia="楷体_GB2312" w:hint="eastAsia"/>
          <w:color w:val="000000"/>
          <w:szCs w:val="21"/>
        </w:rPr>
        <w:t>、</w:t>
      </w:r>
      <w:r>
        <w:rPr>
          <w:rFonts w:eastAsia="楷体_GB2312"/>
          <w:color w:val="000000"/>
          <w:szCs w:val="21"/>
        </w:rPr>
        <w:t>2.36</w:t>
      </w:r>
      <w:r w:rsidRPr="005B56B3">
        <w:rPr>
          <w:rFonts w:eastAsia="楷体_GB2312"/>
          <w:color w:val="000000"/>
          <w:szCs w:val="21"/>
        </w:rPr>
        <w:t xml:space="preserve"> </w:t>
      </w:r>
      <w:r>
        <w:rPr>
          <w:rFonts w:eastAsia="楷体_GB2312" w:hint="eastAsia"/>
          <w:color w:val="000000"/>
          <w:szCs w:val="21"/>
        </w:rPr>
        <w:t>%</w:t>
      </w:r>
      <w:r>
        <w:rPr>
          <w:rFonts w:eastAsia="楷体_GB2312" w:hint="eastAsia"/>
          <w:color w:val="000000"/>
          <w:szCs w:val="21"/>
        </w:rPr>
        <w:t>、</w:t>
      </w:r>
      <w:r>
        <w:rPr>
          <w:rFonts w:eastAsia="楷体_GB2312"/>
          <w:color w:val="000000"/>
          <w:szCs w:val="21"/>
        </w:rPr>
        <w:t>2.18</w:t>
      </w:r>
      <w:r>
        <w:rPr>
          <w:rFonts w:eastAsia="楷体_GB2312" w:hint="eastAsia"/>
          <w:color w:val="000000"/>
          <w:szCs w:val="21"/>
        </w:rPr>
        <w:t>%</w:t>
      </w:r>
      <w:r>
        <w:rPr>
          <w:rFonts w:eastAsia="楷体_GB2312" w:hint="eastAsia"/>
          <w:color w:val="000000"/>
          <w:szCs w:val="21"/>
        </w:rPr>
        <w:t>。上周收益率不佳的</w:t>
      </w:r>
      <w:r>
        <w:rPr>
          <w:rFonts w:eastAsia="楷体_GB2312" w:hint="eastAsia"/>
          <w:color w:val="000000"/>
          <w:szCs w:val="21"/>
        </w:rPr>
        <w:t>QDII</w:t>
      </w:r>
      <w:r>
        <w:rPr>
          <w:rFonts w:eastAsia="楷体_GB2312" w:hint="eastAsia"/>
          <w:color w:val="000000"/>
          <w:szCs w:val="21"/>
        </w:rPr>
        <w:t>基金为：</w:t>
      </w:r>
      <w:r w:rsidRPr="000258E6">
        <w:rPr>
          <w:rFonts w:eastAsia="楷体_GB2312" w:hint="eastAsia"/>
          <w:color w:val="000000"/>
          <w:szCs w:val="21"/>
        </w:rPr>
        <w:t>广发纳斯达克生物科技美元</w:t>
      </w:r>
      <w:r>
        <w:rPr>
          <w:rFonts w:eastAsia="楷体_GB2312" w:hint="eastAsia"/>
          <w:color w:val="000000"/>
          <w:szCs w:val="21"/>
        </w:rPr>
        <w:t>、</w:t>
      </w:r>
      <w:r w:rsidRPr="000258E6">
        <w:rPr>
          <w:rFonts w:eastAsia="楷体_GB2312" w:hint="eastAsia"/>
          <w:color w:val="000000"/>
          <w:szCs w:val="21"/>
        </w:rPr>
        <w:t>广发纳斯达克生物科技人民币</w:t>
      </w:r>
      <w:r>
        <w:rPr>
          <w:rFonts w:eastAsia="楷体_GB2312" w:hint="eastAsia"/>
          <w:color w:val="000000"/>
          <w:szCs w:val="21"/>
        </w:rPr>
        <w:t>、</w:t>
      </w:r>
      <w:r w:rsidRPr="000258E6">
        <w:rPr>
          <w:rFonts w:eastAsia="楷体_GB2312" w:hint="eastAsia"/>
          <w:color w:val="000000"/>
          <w:szCs w:val="21"/>
        </w:rPr>
        <w:t>华宝兴业中国成长</w:t>
      </w:r>
      <w:r w:rsidR="0085079B">
        <w:rPr>
          <w:rFonts w:eastAsia="楷体_GB2312" w:hint="eastAsia"/>
          <w:color w:val="000000"/>
          <w:szCs w:val="21"/>
        </w:rPr>
        <w:t>。</w:t>
      </w:r>
      <w:bookmarkEnd w:id="26"/>
      <w:bookmarkEnd w:id="27"/>
    </w:p>
    <w:p w:rsidR="0089305D" w:rsidRPr="0089305D" w:rsidRDefault="0089305D" w:rsidP="0089305D">
      <w:pPr>
        <w:spacing w:line="360" w:lineRule="auto"/>
        <w:ind w:firstLineChars="200" w:firstLine="420"/>
        <w:jc w:val="left"/>
        <w:rPr>
          <w:rFonts w:eastAsia="楷体_GB2312"/>
          <w:color w:val="000000"/>
          <w:szCs w:val="21"/>
        </w:rPr>
      </w:pPr>
    </w:p>
    <w:p w:rsidR="00496188" w:rsidRPr="001F24F3" w:rsidRDefault="00496188" w:rsidP="00AC1958">
      <w:pPr>
        <w:spacing w:line="360" w:lineRule="auto"/>
        <w:ind w:firstLineChars="200" w:firstLine="420"/>
        <w:jc w:val="left"/>
        <w:rPr>
          <w:rFonts w:eastAsia="楷体_GB2312"/>
          <w:color w:val="000000"/>
          <w:szCs w:val="21"/>
        </w:rPr>
        <w:sectPr w:rsidR="00496188" w:rsidRPr="001F24F3" w:rsidSect="00B74732">
          <w:headerReference w:type="default" r:id="rId15"/>
          <w:footerReference w:type="default" r:id="rId16"/>
          <w:pgSz w:w="11906" w:h="16838"/>
          <w:pgMar w:top="1418" w:right="1287" w:bottom="1418" w:left="4536" w:header="851" w:footer="992" w:gutter="0"/>
          <w:cols w:space="425"/>
          <w:docGrid w:type="lines" w:linePitch="312"/>
        </w:sectPr>
      </w:pPr>
    </w:p>
    <w:p w:rsidR="00843251" w:rsidRDefault="00843251" w:rsidP="00843251">
      <w:pPr>
        <w:pageBreakBefore/>
        <w:spacing w:line="400" w:lineRule="exact"/>
        <w:jc w:val="left"/>
        <w:rPr>
          <w:rFonts w:ascii="楷体_GB2312" w:eastAsia="楷体_GB2312" w:hAnsi="Arial"/>
          <w:b/>
          <w:color w:val="003366"/>
        </w:rPr>
      </w:pPr>
      <w:r>
        <w:rPr>
          <w:rFonts w:ascii="楷体_GB2312" w:eastAsia="楷体_GB2312" w:hAnsi="Arial" w:hint="eastAsia"/>
          <w:b/>
          <w:color w:val="003366"/>
        </w:rPr>
        <w:lastRenderedPageBreak/>
        <w:t>分析师承诺</w:t>
      </w:r>
    </w:p>
    <w:bookmarkEnd w:id="14"/>
    <w:p w:rsidR="00E86F01" w:rsidRPr="00D67E93" w:rsidRDefault="00E86F01" w:rsidP="00530CBB">
      <w:pPr>
        <w:spacing w:beforeLines="50" w:before="156"/>
        <w:rPr>
          <w:rFonts w:eastAsia="楷体_GB2312"/>
          <w:sz w:val="18"/>
        </w:rPr>
      </w:pPr>
      <w:r w:rsidRPr="00D67E93">
        <w:rPr>
          <w:rFonts w:eastAsia="楷体_GB2312"/>
          <w:sz w:val="18"/>
        </w:rPr>
        <w:t>分析师</w:t>
      </w:r>
      <w:r w:rsidRPr="00D67E93">
        <w:rPr>
          <w:rFonts w:eastAsia="楷体_GB2312"/>
          <w:sz w:val="18"/>
        </w:rPr>
        <w:t xml:space="preserve">  </w:t>
      </w:r>
      <w:r w:rsidR="00177ABC">
        <w:fldChar w:fldCharType="begin"/>
      </w:r>
      <w:r w:rsidR="00177ABC">
        <w:instrText xml:space="preserve"> DOCPROPERTY  allname  \* MERGEFORMAT </w:instrText>
      </w:r>
      <w:r w:rsidR="00177ABC">
        <w:fldChar w:fldCharType="separate"/>
      </w:r>
      <w:r w:rsidRPr="00D67E93">
        <w:rPr>
          <w:rFonts w:eastAsia="楷体_GB2312"/>
          <w:sz w:val="18"/>
        </w:rPr>
        <w:t>高琛</w:t>
      </w:r>
      <w:r w:rsidR="00177ABC">
        <w:rPr>
          <w:rFonts w:eastAsia="楷体_GB2312"/>
          <w:sz w:val="18"/>
        </w:rPr>
        <w:fldChar w:fldCharType="end"/>
      </w:r>
      <w:r w:rsidRPr="00D67E93">
        <w:rPr>
          <w:rFonts w:eastAsia="楷体_GB2312"/>
          <w:sz w:val="18"/>
        </w:rPr>
        <w:t xml:space="preserve"> </w:t>
      </w:r>
    </w:p>
    <w:p w:rsidR="00E86F01" w:rsidRPr="00D67E93" w:rsidRDefault="00E86F01" w:rsidP="00E86F01">
      <w:pPr>
        <w:spacing w:line="300" w:lineRule="exact"/>
        <w:rPr>
          <w:rFonts w:eastAsia="楷体_GB2312"/>
          <w:color w:val="000000"/>
          <w:sz w:val="18"/>
          <w:szCs w:val="18"/>
        </w:rPr>
      </w:pPr>
      <w:r w:rsidRPr="00D67E93">
        <w:rPr>
          <w:rFonts w:eastAsia="楷体_GB2312"/>
          <w:color w:val="000000"/>
          <w:sz w:val="18"/>
          <w:szCs w:val="18"/>
        </w:rPr>
        <w:t>本人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E86F01" w:rsidRPr="00D67E93" w:rsidRDefault="00E86F01" w:rsidP="00E86F01">
      <w:pPr>
        <w:spacing w:line="400" w:lineRule="exact"/>
        <w:jc w:val="left"/>
        <w:rPr>
          <w:rFonts w:eastAsia="楷体_GB2312"/>
          <w:b/>
          <w:bCs/>
          <w:color w:val="FF6600"/>
          <w:szCs w:val="21"/>
        </w:rPr>
      </w:pPr>
    </w:p>
    <w:p w:rsidR="00E86F01" w:rsidRPr="00D67E93" w:rsidRDefault="00E86F01" w:rsidP="00E86F01">
      <w:pPr>
        <w:spacing w:line="400" w:lineRule="exact"/>
        <w:jc w:val="left"/>
        <w:rPr>
          <w:rFonts w:eastAsia="楷体_GB2312"/>
          <w:b/>
          <w:bCs/>
          <w:color w:val="003366"/>
          <w:szCs w:val="21"/>
        </w:rPr>
      </w:pPr>
      <w:r w:rsidRPr="00D67E93">
        <w:rPr>
          <w:rFonts w:eastAsia="楷体_GB2312"/>
          <w:b/>
          <w:bCs/>
          <w:color w:val="003366"/>
          <w:szCs w:val="21"/>
        </w:rPr>
        <w:t>公司业务资格说明</w:t>
      </w:r>
    </w:p>
    <w:p w:rsidR="00E86F01" w:rsidRPr="00D67E93" w:rsidRDefault="00E86F01" w:rsidP="00E86F01">
      <w:pPr>
        <w:spacing w:line="400" w:lineRule="exact"/>
        <w:jc w:val="left"/>
        <w:rPr>
          <w:rFonts w:eastAsia="楷体_GB2312"/>
          <w:color w:val="000000"/>
          <w:sz w:val="18"/>
          <w:szCs w:val="18"/>
        </w:rPr>
      </w:pPr>
      <w:r w:rsidRPr="00D67E93">
        <w:rPr>
          <w:rFonts w:eastAsia="楷体_GB2312"/>
          <w:color w:val="000000"/>
          <w:sz w:val="18"/>
          <w:szCs w:val="18"/>
        </w:rPr>
        <w:t>本公司具备证券投资咨询业务资格，是具备协会会员资格的基金评价机构。</w:t>
      </w:r>
    </w:p>
    <w:p w:rsidR="00E86F01" w:rsidRPr="00D67E93" w:rsidRDefault="00E86F01" w:rsidP="00E86F01">
      <w:pPr>
        <w:spacing w:line="400" w:lineRule="exact"/>
        <w:jc w:val="left"/>
        <w:rPr>
          <w:rFonts w:eastAsia="楷体_GB2312"/>
          <w:b/>
          <w:bCs/>
          <w:color w:val="003366"/>
          <w:szCs w:val="21"/>
        </w:rPr>
      </w:pPr>
    </w:p>
    <w:p w:rsidR="00E86F01" w:rsidRPr="00D67E93" w:rsidRDefault="00E86F01" w:rsidP="00E86F01">
      <w:pPr>
        <w:spacing w:line="400" w:lineRule="exact"/>
        <w:jc w:val="left"/>
        <w:rPr>
          <w:rFonts w:eastAsia="楷体_GB2312"/>
          <w:b/>
          <w:bCs/>
          <w:color w:val="003366"/>
          <w:szCs w:val="21"/>
        </w:rPr>
      </w:pPr>
      <w:r w:rsidRPr="00D67E93">
        <w:rPr>
          <w:rFonts w:eastAsia="楷体_GB2312"/>
          <w:b/>
          <w:bCs/>
          <w:color w:val="003366"/>
          <w:szCs w:val="21"/>
        </w:rPr>
        <w:t>重要声明</w:t>
      </w:r>
    </w:p>
    <w:p w:rsidR="00E86F01" w:rsidRPr="00D67E93" w:rsidRDefault="00E86F01" w:rsidP="00E86F01">
      <w:pPr>
        <w:spacing w:line="300" w:lineRule="exact"/>
        <w:rPr>
          <w:rFonts w:eastAsia="楷体_GB2312"/>
          <w:color w:val="000000"/>
          <w:sz w:val="18"/>
          <w:szCs w:val="18"/>
        </w:rPr>
      </w:pPr>
      <w:r w:rsidRPr="00D67E93">
        <w:rPr>
          <w:rFonts w:eastAsia="楷体_GB2312"/>
          <w:color w:val="000000"/>
          <w:sz w:val="18"/>
          <w:szCs w:val="18"/>
        </w:rPr>
        <w:t>本报告中的信息均来源于已公开的资料，我公司对这些信息的准确性及完整性不作任何保证，不保证该信息未经任何更新，也不保证本公司</w:t>
      </w:r>
      <w:proofErr w:type="gramStart"/>
      <w:r w:rsidRPr="00D67E93">
        <w:rPr>
          <w:rFonts w:eastAsia="楷体_GB2312"/>
          <w:color w:val="000000"/>
          <w:sz w:val="18"/>
          <w:szCs w:val="18"/>
        </w:rPr>
        <w:t>作出</w:t>
      </w:r>
      <w:proofErr w:type="gramEnd"/>
      <w:r w:rsidRPr="00D67E93">
        <w:rPr>
          <w:rFonts w:eastAsia="楷体_GB2312"/>
          <w:color w:val="000000"/>
          <w:sz w:val="18"/>
          <w:szCs w:val="18"/>
        </w:rPr>
        <w:t>的任何建议不会发生任何变更。在任何情况下，报告中的信息或所表达的意见并不构成所述证券买卖的出价或询价。在任何情况下，我公司不就本报告中的任何内容对任何投资</w:t>
      </w:r>
      <w:proofErr w:type="gramStart"/>
      <w:r w:rsidRPr="00D67E93">
        <w:rPr>
          <w:rFonts w:eastAsia="楷体_GB2312"/>
          <w:color w:val="000000"/>
          <w:sz w:val="18"/>
          <w:szCs w:val="18"/>
        </w:rPr>
        <w:t>作出</w:t>
      </w:r>
      <w:proofErr w:type="gramEnd"/>
      <w:r w:rsidRPr="00D67E93">
        <w:rPr>
          <w:rFonts w:eastAsia="楷体_GB2312"/>
          <w:color w:val="000000"/>
          <w:sz w:val="18"/>
          <w:szCs w:val="18"/>
        </w:rPr>
        <w:t>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E86F01" w:rsidRPr="00D67E93" w:rsidRDefault="00E86F01" w:rsidP="00E86F01">
      <w:pPr>
        <w:spacing w:line="300" w:lineRule="exact"/>
        <w:rPr>
          <w:rFonts w:eastAsia="楷体_GB2312"/>
          <w:sz w:val="18"/>
          <w:szCs w:val="18"/>
        </w:rPr>
      </w:pPr>
      <w:r w:rsidRPr="00D67E93">
        <w:rPr>
          <w:rFonts w:eastAsia="楷体_GB2312"/>
          <w:color w:val="000000"/>
          <w:sz w:val="18"/>
          <w:szCs w:val="18"/>
        </w:rPr>
        <w:t>本报告版权归上海证券有限责任公司所有。未获得上海证券有限责任公司事先书面授权，任何人不得对本报告进行任何形式的发布、复制。如遵循原文本意地引用、刊发，需注明出处为</w:t>
      </w:r>
      <w:r w:rsidRPr="00D67E93">
        <w:rPr>
          <w:rFonts w:eastAsia="楷体_GB2312"/>
          <w:color w:val="000000"/>
          <w:sz w:val="18"/>
          <w:szCs w:val="18"/>
        </w:rPr>
        <w:t>“</w:t>
      </w:r>
      <w:r w:rsidRPr="00D67E93">
        <w:rPr>
          <w:rFonts w:eastAsia="楷体_GB2312"/>
          <w:color w:val="000000"/>
          <w:sz w:val="18"/>
          <w:szCs w:val="18"/>
        </w:rPr>
        <w:t>上海证券基金评价研究中心</w:t>
      </w:r>
      <w:r w:rsidRPr="00D67E93">
        <w:rPr>
          <w:rFonts w:eastAsia="楷体_GB2312"/>
          <w:color w:val="000000"/>
          <w:sz w:val="18"/>
          <w:szCs w:val="18"/>
        </w:rPr>
        <w:t>”</w:t>
      </w:r>
      <w:r w:rsidRPr="00D67E93">
        <w:rPr>
          <w:rFonts w:eastAsia="楷体_GB2312"/>
          <w:color w:val="000000"/>
          <w:sz w:val="18"/>
          <w:szCs w:val="18"/>
        </w:rPr>
        <w:t>。</w:t>
      </w:r>
    </w:p>
    <w:p w:rsidR="00B74732" w:rsidRPr="00E86F01" w:rsidRDefault="00B74732" w:rsidP="00F67B42">
      <w:pPr>
        <w:autoSpaceDE w:val="0"/>
        <w:autoSpaceDN w:val="0"/>
        <w:adjustRightInd w:val="0"/>
        <w:spacing w:beforeLines="30" w:before="93" w:afterLines="30" w:after="93" w:line="300" w:lineRule="exact"/>
        <w:jc w:val="left"/>
      </w:pPr>
    </w:p>
    <w:sectPr w:rsidR="00B74732" w:rsidRPr="00E86F01" w:rsidSect="00984D25">
      <w:headerReference w:type="default" r:id="rId17"/>
      <w:footerReference w:type="default" r:id="rId1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ABC" w:rsidRDefault="00177ABC">
      <w:r>
        <w:separator/>
      </w:r>
    </w:p>
  </w:endnote>
  <w:endnote w:type="continuationSeparator" w:id="0">
    <w:p w:rsidR="00177ABC" w:rsidRDefault="0017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KaiTi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汉仪楷体简">
    <w:altName w:val="KaiTi_GB2312"/>
    <w:charset w:val="86"/>
    <w:family w:val="modern"/>
    <w:pitch w:val="fixed"/>
    <w:sig w:usb0="00000001" w:usb1="080E0800" w:usb2="00000012" w:usb3="00000000" w:csb0="00040000" w:csb1="00000000"/>
  </w:font>
  <w:font w:name="汉仪中等线简">
    <w:altName w:val="宋体"/>
    <w:charset w:val="86"/>
    <w:family w:val="modern"/>
    <w:pitch w:val="fixed"/>
    <w:sig w:usb0="00000001" w:usb1="080E0800" w:usb2="00000012"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FC4" w:rsidRDefault="00177ABC">
    <w:pPr>
      <w:pStyle w:val="a6"/>
    </w:pPr>
    <w:r>
      <w:rPr>
        <w:noProof/>
      </w:rPr>
      <w:pict>
        <v:shapetype id="_x0000_t202" coordsize="21600,21600" o:spt="202" path="m,l,21600r21600,l21600,xe">
          <v:stroke joinstyle="miter"/>
          <v:path gradientshapeok="t" o:connecttype="rect"/>
        </v:shapetype>
        <v:shape id="_x0000_s2107" type="#_x0000_t202" style="position:absolute;margin-left:40.9pt;margin-top:784.65pt;width:513.45pt;height:18.05pt;z-index:251657216;mso-position-horizontal-relative:page;mso-position-vertical-relative:page" filled="f" stroked="f">
          <v:textbox style="mso-next-textbox:#_x0000_s2107" inset="0,0,0,0">
            <w:txbxContent>
              <w:p w:rsidR="00FF6FC4" w:rsidRDefault="00FF6FC4" w:rsidP="00DE095A">
                <w:pPr>
                  <w:pBdr>
                    <w:top w:val="single" w:sz="4" w:space="2" w:color="auto"/>
                  </w:pBdr>
                  <w:topLinePunct/>
                  <w:spacing w:line="200" w:lineRule="exact"/>
                  <w:rPr>
                    <w:rFonts w:ascii="楷体_GB2312" w:eastAsia="楷体_GB2312" w:hAnsi="Calibri"/>
                    <w:color w:val="003366"/>
                    <w:szCs w:val="21"/>
                  </w:rPr>
                </w:pPr>
                <w:r>
                  <w:rPr>
                    <w:rFonts w:ascii="楷体_GB2312" w:eastAsia="楷体_GB2312" w:hAnsi="Calibri" w:hint="eastAsia"/>
                    <w:b/>
                    <w:color w:val="003366"/>
                    <w:szCs w:val="21"/>
                  </w:rPr>
                  <w:t>重要提示：请务必阅读</w:t>
                </w:r>
                <w:proofErr w:type="gramStart"/>
                <w:r>
                  <w:rPr>
                    <w:rFonts w:ascii="楷体_GB2312" w:eastAsia="楷体_GB2312" w:hAnsi="Calibri" w:hint="eastAsia"/>
                    <w:b/>
                    <w:color w:val="003366"/>
                    <w:szCs w:val="21"/>
                  </w:rPr>
                  <w:t>尾页分析</w:t>
                </w:r>
                <w:proofErr w:type="gramEnd"/>
                <w:r>
                  <w:rPr>
                    <w:rFonts w:ascii="楷体_GB2312" w:eastAsia="楷体_GB2312" w:hAnsi="Calibri" w:hint="eastAsia"/>
                    <w:b/>
                    <w:color w:val="003366"/>
                    <w:szCs w:val="21"/>
                  </w:rPr>
                  <w:t>师承诺和重要声明</w:t>
                </w:r>
                <w:r>
                  <w:rPr>
                    <w:rFonts w:ascii="楷体_GB2312" w:eastAsia="楷体_GB2312" w:hAnsi="Calibri" w:hint="eastAsia"/>
                    <w:color w:val="003366"/>
                    <w:szCs w:val="21"/>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FC4" w:rsidRPr="007D0CA8" w:rsidRDefault="00FF6FC4">
    <w:pPr>
      <w:pStyle w:val="a6"/>
      <w:rPr>
        <w:rFonts w:eastAsia="楷体_GB2312"/>
        <w:b/>
        <w:color w:val="003366"/>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FC4" w:rsidRPr="00050225" w:rsidRDefault="00FF6FC4" w:rsidP="000502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ABC" w:rsidRDefault="00177ABC">
      <w:r>
        <w:separator/>
      </w:r>
    </w:p>
  </w:footnote>
  <w:footnote w:type="continuationSeparator" w:id="0">
    <w:p w:rsidR="00177ABC" w:rsidRDefault="00177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FC4" w:rsidRPr="00650CE8" w:rsidRDefault="00FF6FC4" w:rsidP="00755DED">
    <w:pPr>
      <w:pStyle w:val="a5"/>
      <w:ind w:right="120"/>
      <w:jc w:val="right"/>
      <w:rPr>
        <w:rFonts w:ascii="楷体_GB2312" w:eastAsia="楷体_GB2312"/>
        <w:b/>
        <w:color w:val="003366"/>
        <w:sz w:val="24"/>
        <w:szCs w:val="24"/>
      </w:rPr>
    </w:pPr>
    <w:r>
      <w:rPr>
        <w:rFonts w:ascii="楷体_GB2312" w:eastAsia="楷体_GB2312" w:hint="eastAsia"/>
        <w:b/>
        <w:color w:val="003366"/>
        <w:sz w:val="24"/>
        <w:szCs w:val="24"/>
      </w:rPr>
      <w:t>宏观数据点评</w:t>
    </w:r>
    <w:r w:rsidR="00177ABC">
      <w:rPr>
        <w:rFonts w:ascii="楷体_GB2312" w:eastAsia="楷体_GB2312"/>
        <w:b/>
        <w:noProof/>
        <w:color w:val="003366"/>
        <w:sz w:val="24"/>
        <w:szCs w:val="24"/>
      </w:rPr>
      <w:pict>
        <v:shapetype id="_x0000_t202" coordsize="21600,21600" o:spt="202" path="m,l,21600r21600,l21600,xe">
          <v:stroke joinstyle="miter"/>
          <v:path gradientshapeok="t" o:connecttype="rect"/>
        </v:shapetype>
        <v:shape id="_x0000_s2109" type="#_x0000_t202" style="position:absolute;left:0;text-align:left;margin-left:-21.1pt;margin-top:-1.35pt;width:89.25pt;height:30.15pt;z-index:251658240;mso-wrap-style:none;mso-position-horizontal-relative:text;mso-position-vertical-relative:text" stroked="f">
          <v:textbox style="mso-next-textbox:#_x0000_s2109;mso-fit-shape-to-text:t">
            <w:txbxContent>
              <w:p w:rsidR="00FF6FC4" w:rsidRDefault="00D24534" w:rsidP="00755DED">
                <w:r>
                  <w:rPr>
                    <w:noProof/>
                  </w:rPr>
                  <w:drawing>
                    <wp:inline distT="0" distB="0" distL="0" distR="0">
                      <wp:extent cx="952500" cy="29527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952500" cy="295275"/>
                              </a:xfrm>
                              <a:prstGeom prst="rect">
                                <a:avLst/>
                              </a:prstGeom>
                              <a:noFill/>
                              <a:ln w="9525">
                                <a:noFill/>
                                <a:miter lim="800000"/>
                                <a:headEnd/>
                                <a:tailEnd/>
                              </a:ln>
                            </pic:spPr>
                          </pic:pic>
                        </a:graphicData>
                      </a:graphic>
                    </wp:inline>
                  </w:drawing>
                </w:r>
              </w:p>
            </w:txbxContent>
          </v:textbox>
        </v:shape>
      </w:pict>
    </w:r>
    <w:r w:rsidR="00177ABC">
      <w:rPr>
        <w:rFonts w:ascii="楷体_GB2312" w:eastAsia="楷体_GB2312"/>
        <w:b/>
        <w:noProof/>
        <w:color w:val="003366"/>
        <w:sz w:val="24"/>
        <w:szCs w:val="24"/>
      </w:rPr>
      <w:pict>
        <v:line id="_x0000_s2110" style="position:absolute;left:0;text-align:left;z-index:251659264;mso-position-horizontal-relative:text;mso-position-vertical-relative:text" from="63pt,21.9pt" to="477pt,21.9pt" strokecolor="#036" strokeweight="1.5pt"/>
      </w:pict>
    </w:r>
    <w:r w:rsidRPr="00650CE8">
      <w:rPr>
        <w:rFonts w:ascii="楷体_GB2312" w:eastAsia="楷体_GB2312" w:hint="eastAsia"/>
        <w:b/>
        <w:color w:val="003366"/>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FC4" w:rsidRPr="00650CE8" w:rsidRDefault="00D24534" w:rsidP="00935FC9">
    <w:pPr>
      <w:pStyle w:val="a5"/>
      <w:jc w:val="right"/>
      <w:rPr>
        <w:rFonts w:ascii="楷体_GB2312" w:eastAsia="楷体_GB2312"/>
        <w:b/>
        <w:color w:val="003366"/>
        <w:sz w:val="24"/>
        <w:szCs w:val="24"/>
      </w:rPr>
    </w:pPr>
    <w:r>
      <w:rPr>
        <w:noProof/>
      </w:rPr>
      <w:drawing>
        <wp:anchor distT="0" distB="0" distL="114300" distR="114300" simplePos="0" relativeHeight="251660288" behindDoc="0" locked="0" layoutInCell="1" allowOverlap="1">
          <wp:simplePos x="0" y="0"/>
          <wp:positionH relativeFrom="column">
            <wp:posOffset>-2326640</wp:posOffset>
          </wp:positionH>
          <wp:positionV relativeFrom="paragraph">
            <wp:posOffset>20955</wp:posOffset>
          </wp:positionV>
          <wp:extent cx="904875" cy="238125"/>
          <wp:effectExtent l="19050" t="0" r="9525" b="0"/>
          <wp:wrapSquare wrapText="bothSides"/>
          <wp:docPr id="67" name="图片 12"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yemei"/>
                  <pic:cNvPicPr>
                    <a:picLocks noChangeAspect="1" noChangeArrowheads="1"/>
                  </pic:cNvPicPr>
                </pic:nvPicPr>
                <pic:blipFill>
                  <a:blip r:embed="rId1"/>
                  <a:srcRect/>
                  <a:stretch>
                    <a:fillRect/>
                  </a:stretch>
                </pic:blipFill>
                <pic:spPr bwMode="auto">
                  <a:xfrm>
                    <a:off x="0" y="0"/>
                    <a:ext cx="904875" cy="238125"/>
                  </a:xfrm>
                  <a:prstGeom prst="rect">
                    <a:avLst/>
                  </a:prstGeom>
                  <a:noFill/>
                  <a:ln w="9525">
                    <a:noFill/>
                    <a:miter lim="800000"/>
                    <a:headEnd/>
                    <a:tailEnd/>
                  </a:ln>
                </pic:spPr>
              </pic:pic>
            </a:graphicData>
          </a:graphic>
        </wp:anchor>
      </w:drawing>
    </w:r>
    <w:r w:rsidR="00177ABC">
      <w:rPr>
        <w:rFonts w:ascii="楷体_GB2312" w:eastAsia="楷体_GB2312"/>
        <w:b/>
        <w:noProof/>
        <w:color w:val="003366"/>
        <w:sz w:val="24"/>
        <w:szCs w:val="24"/>
      </w:rPr>
      <w:pict>
        <v:line id="_x0000_s2102" style="position:absolute;left:0;text-align:left;z-index:251654144;mso-position-horizontal-relative:text;mso-position-vertical-relative:text" from="-104.9pt,20.4pt" to="309.1pt,20.4pt" strokecolor="#036" strokeweight="1.5pt"/>
      </w:pict>
    </w:r>
    <w:r w:rsidR="00FF6FC4">
      <w:rPr>
        <w:rFonts w:ascii="楷体_GB2312" w:eastAsia="楷体_GB2312" w:hint="eastAsia"/>
        <w:b/>
        <w:color w:val="003366"/>
        <w:sz w:val="24"/>
        <w:szCs w:val="24"/>
      </w:rPr>
      <w:t xml:space="preserve">   基金周报</w:t>
    </w:r>
    <w:r w:rsidR="00FF6FC4" w:rsidRPr="00650CE8">
      <w:rPr>
        <w:rFonts w:ascii="楷体_GB2312" w:eastAsia="楷体_GB2312" w:hint="eastAsia"/>
        <w:b/>
        <w:color w:val="003366"/>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FC4" w:rsidRPr="00650CE8" w:rsidRDefault="00D24534" w:rsidP="00935FC9">
    <w:pPr>
      <w:pStyle w:val="a5"/>
      <w:jc w:val="right"/>
      <w:rPr>
        <w:rFonts w:ascii="楷体_GB2312" w:eastAsia="楷体_GB2312"/>
        <w:b/>
        <w:color w:val="003366"/>
        <w:sz w:val="24"/>
        <w:szCs w:val="24"/>
      </w:rPr>
    </w:pPr>
    <w:r>
      <w:rPr>
        <w:noProof/>
      </w:rPr>
      <w:drawing>
        <wp:anchor distT="0" distB="0" distL="114300" distR="114300" simplePos="0" relativeHeight="251661312" behindDoc="0" locked="0" layoutInCell="1" allowOverlap="1">
          <wp:simplePos x="0" y="0"/>
          <wp:positionH relativeFrom="column">
            <wp:posOffset>-321310</wp:posOffset>
          </wp:positionH>
          <wp:positionV relativeFrom="paragraph">
            <wp:posOffset>11430</wp:posOffset>
          </wp:positionV>
          <wp:extent cx="933450" cy="247650"/>
          <wp:effectExtent l="19050" t="0" r="0" b="0"/>
          <wp:wrapSquare wrapText="bothSides"/>
          <wp:docPr id="66"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
                  <a:srcRect/>
                  <a:stretch>
                    <a:fillRect/>
                  </a:stretch>
                </pic:blipFill>
                <pic:spPr bwMode="auto">
                  <a:xfrm>
                    <a:off x="0" y="0"/>
                    <a:ext cx="933450" cy="247650"/>
                  </a:xfrm>
                  <a:prstGeom prst="rect">
                    <a:avLst/>
                  </a:prstGeom>
                  <a:noFill/>
                  <a:ln w="9525">
                    <a:noFill/>
                    <a:miter lim="800000"/>
                    <a:headEnd/>
                    <a:tailEnd/>
                  </a:ln>
                </pic:spPr>
              </pic:pic>
            </a:graphicData>
          </a:graphic>
        </wp:anchor>
      </w:drawing>
    </w:r>
    <w:r w:rsidR="00177ABC">
      <w:rPr>
        <w:rFonts w:ascii="楷体_GB2312" w:eastAsia="楷体_GB2312"/>
        <w:b/>
        <w:noProof/>
        <w:color w:val="003366"/>
        <w:sz w:val="24"/>
        <w:szCs w:val="24"/>
      </w:rPr>
      <w:pict>
        <v:line id="_x0000_s2105" style="position:absolute;left:0;text-align:left;z-index:251656192;mso-position-horizontal-relative:text;mso-position-vertical-relative:text" from="48.2pt,20.4pt" to="462.2pt,20.4pt" strokecolor="#036" strokeweight="1.5pt"/>
      </w:pict>
    </w:r>
    <w:r w:rsidR="00177ABC">
      <w:rPr>
        <w:rFonts w:ascii="楷体_GB2312" w:eastAsia="楷体_GB2312"/>
        <w:b/>
        <w:noProof/>
        <w:color w:val="003366"/>
        <w:sz w:val="24"/>
        <w:szCs w:val="24"/>
      </w:rPr>
      <w:pict>
        <v:shapetype id="_x0000_t202" coordsize="21600,21600" o:spt="202" path="m,l,21600r21600,l21600,xe">
          <v:stroke joinstyle="miter"/>
          <v:path gradientshapeok="t" o:connecttype="rect"/>
        </v:shapetype>
        <v:shape id="_x0000_s2104" type="#_x0000_t202" style="position:absolute;left:0;text-align:left;margin-left:-189pt;margin-top:-2.85pt;width:89.25pt;height:30.15pt;z-index:251655168;mso-wrap-style:none;mso-position-horizontal-relative:text;mso-position-vertical-relative:text" stroked="f">
          <v:textbox style="mso-next-textbox:#_x0000_s2104;mso-fit-shape-to-text:t">
            <w:txbxContent>
              <w:p w:rsidR="00FF6FC4" w:rsidRDefault="00D24534">
                <w:r>
                  <w:rPr>
                    <w:noProof/>
                  </w:rPr>
                  <w:drawing>
                    <wp:inline distT="0" distB="0" distL="0" distR="0">
                      <wp:extent cx="952500" cy="29527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
                              <a:srcRect/>
                              <a:stretch>
                                <a:fillRect/>
                              </a:stretch>
                            </pic:blipFill>
                            <pic:spPr bwMode="auto">
                              <a:xfrm>
                                <a:off x="0" y="0"/>
                                <a:ext cx="952500" cy="295275"/>
                              </a:xfrm>
                              <a:prstGeom prst="rect">
                                <a:avLst/>
                              </a:prstGeom>
                              <a:noFill/>
                              <a:ln w="9525">
                                <a:noFill/>
                                <a:miter lim="800000"/>
                                <a:headEnd/>
                                <a:tailEnd/>
                              </a:ln>
                            </pic:spPr>
                          </pic:pic>
                        </a:graphicData>
                      </a:graphic>
                    </wp:inline>
                  </w:drawing>
                </w:r>
              </w:p>
            </w:txbxContent>
          </v:textbox>
        </v:shape>
      </w:pict>
    </w:r>
    <w:r w:rsidR="00FF6FC4">
      <w:rPr>
        <w:rFonts w:ascii="楷体_GB2312" w:eastAsia="楷体_GB2312" w:hint="eastAsia"/>
        <w:b/>
        <w:color w:val="003366"/>
        <w:sz w:val="24"/>
        <w:szCs w:val="24"/>
      </w:rPr>
      <w:t xml:space="preserve">基金周报  </w:t>
    </w:r>
    <w:r w:rsidR="00FF6FC4" w:rsidRPr="00650CE8">
      <w:rPr>
        <w:rFonts w:ascii="楷体_GB2312" w:eastAsia="楷体_GB2312" w:hint="eastAsia"/>
        <w:b/>
        <w:color w:val="003366"/>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72652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408C980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5F444C4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B6C6BF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8376B0E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A6663FF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38C06AE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262262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73662E2"/>
    <w:lvl w:ilvl="0">
      <w:start w:val="1"/>
      <w:numFmt w:val="decimal"/>
      <w:lvlText w:val="%1."/>
      <w:lvlJc w:val="left"/>
      <w:pPr>
        <w:tabs>
          <w:tab w:val="num" w:pos="360"/>
        </w:tabs>
        <w:ind w:left="360" w:hangingChars="200" w:hanging="360"/>
      </w:pPr>
    </w:lvl>
  </w:abstractNum>
  <w:abstractNum w:abstractNumId="9">
    <w:nsid w:val="FFFFFF89"/>
    <w:multiLevelType w:val="singleLevel"/>
    <w:tmpl w:val="26B6966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8E56AB1"/>
    <w:multiLevelType w:val="hybridMultilevel"/>
    <w:tmpl w:val="30B4BD86"/>
    <w:lvl w:ilvl="0" w:tplc="1C7E6138">
      <w:start w:val="1"/>
      <w:numFmt w:val="decimal"/>
      <w:lvlText w:val="%1."/>
      <w:lvlJc w:val="left"/>
      <w:pPr>
        <w:tabs>
          <w:tab w:val="num" w:pos="3174"/>
        </w:tabs>
        <w:ind w:left="3174" w:hanging="36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1">
    <w:nsid w:val="137409DC"/>
    <w:multiLevelType w:val="hybridMultilevel"/>
    <w:tmpl w:val="FBE629D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A862B7E"/>
    <w:multiLevelType w:val="hybridMultilevel"/>
    <w:tmpl w:val="7026FDE4"/>
    <w:lvl w:ilvl="0" w:tplc="AE6AAA20">
      <w:start w:val="1"/>
      <w:numFmt w:val="bullet"/>
      <w:lvlText w:val=""/>
      <w:lvlJc w:val="left"/>
      <w:pPr>
        <w:tabs>
          <w:tab w:val="num" w:pos="420"/>
        </w:tabs>
        <w:ind w:left="420" w:hanging="420"/>
      </w:pPr>
      <w:rPr>
        <w:rFonts w:ascii="Wingdings" w:hAnsi="Wingdings" w:hint="default"/>
        <w:color w:val="FF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1DC36F7F"/>
    <w:multiLevelType w:val="hybridMultilevel"/>
    <w:tmpl w:val="5D38A926"/>
    <w:lvl w:ilvl="0" w:tplc="E850DD02">
      <w:start w:val="1"/>
      <w:numFmt w:val="bullet"/>
      <w:lvlText w:val=""/>
      <w:lvlJc w:val="left"/>
      <w:pPr>
        <w:tabs>
          <w:tab w:val="num" w:pos="1143"/>
        </w:tabs>
        <w:ind w:left="1143" w:hanging="420"/>
      </w:pPr>
      <w:rPr>
        <w:rFonts w:ascii="Wingdings" w:hAnsi="Wingdings" w:hint="default"/>
        <w:color w:val="003366"/>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48402F7"/>
    <w:multiLevelType w:val="multilevel"/>
    <w:tmpl w:val="A90A8370"/>
    <w:lvl w:ilvl="0">
      <w:start w:val="1"/>
      <w:numFmt w:val="bullet"/>
      <w:lvlText w:val=""/>
      <w:lvlJc w:val="left"/>
      <w:pPr>
        <w:tabs>
          <w:tab w:val="num" w:pos="420"/>
        </w:tabs>
        <w:ind w:left="420" w:hanging="420"/>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31E25EFD"/>
    <w:multiLevelType w:val="hybridMultilevel"/>
    <w:tmpl w:val="A90A8370"/>
    <w:lvl w:ilvl="0" w:tplc="7B6A1B30">
      <w:start w:val="1"/>
      <w:numFmt w:val="bullet"/>
      <w:lvlText w:val=""/>
      <w:lvlJc w:val="left"/>
      <w:pPr>
        <w:tabs>
          <w:tab w:val="num" w:pos="420"/>
        </w:tabs>
        <w:ind w:left="42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38F960CC"/>
    <w:multiLevelType w:val="hybridMultilevel"/>
    <w:tmpl w:val="DEF05CDA"/>
    <w:lvl w:ilvl="0" w:tplc="0F046B88">
      <w:start w:val="1"/>
      <w:numFmt w:val="decimal"/>
      <w:lvlText w:val="（%1）"/>
      <w:lvlJc w:val="left"/>
      <w:pPr>
        <w:ind w:left="3958" w:hanging="720"/>
      </w:pPr>
      <w:rPr>
        <w:rFonts w:hint="default"/>
      </w:rPr>
    </w:lvl>
    <w:lvl w:ilvl="1" w:tplc="04090019" w:tentative="1">
      <w:start w:val="1"/>
      <w:numFmt w:val="lowerLetter"/>
      <w:lvlText w:val="%2)"/>
      <w:lvlJc w:val="left"/>
      <w:pPr>
        <w:ind w:left="4078" w:hanging="420"/>
      </w:pPr>
    </w:lvl>
    <w:lvl w:ilvl="2" w:tplc="0409001B" w:tentative="1">
      <w:start w:val="1"/>
      <w:numFmt w:val="lowerRoman"/>
      <w:lvlText w:val="%3."/>
      <w:lvlJc w:val="right"/>
      <w:pPr>
        <w:ind w:left="4498" w:hanging="420"/>
      </w:pPr>
    </w:lvl>
    <w:lvl w:ilvl="3" w:tplc="0409000F" w:tentative="1">
      <w:start w:val="1"/>
      <w:numFmt w:val="decimal"/>
      <w:lvlText w:val="%4."/>
      <w:lvlJc w:val="left"/>
      <w:pPr>
        <w:ind w:left="4918" w:hanging="420"/>
      </w:pPr>
    </w:lvl>
    <w:lvl w:ilvl="4" w:tplc="04090019" w:tentative="1">
      <w:start w:val="1"/>
      <w:numFmt w:val="lowerLetter"/>
      <w:lvlText w:val="%5)"/>
      <w:lvlJc w:val="left"/>
      <w:pPr>
        <w:ind w:left="5338" w:hanging="420"/>
      </w:pPr>
    </w:lvl>
    <w:lvl w:ilvl="5" w:tplc="0409001B" w:tentative="1">
      <w:start w:val="1"/>
      <w:numFmt w:val="lowerRoman"/>
      <w:lvlText w:val="%6."/>
      <w:lvlJc w:val="right"/>
      <w:pPr>
        <w:ind w:left="5758" w:hanging="420"/>
      </w:pPr>
    </w:lvl>
    <w:lvl w:ilvl="6" w:tplc="0409000F" w:tentative="1">
      <w:start w:val="1"/>
      <w:numFmt w:val="decimal"/>
      <w:lvlText w:val="%7."/>
      <w:lvlJc w:val="left"/>
      <w:pPr>
        <w:ind w:left="6178" w:hanging="420"/>
      </w:pPr>
    </w:lvl>
    <w:lvl w:ilvl="7" w:tplc="04090019" w:tentative="1">
      <w:start w:val="1"/>
      <w:numFmt w:val="lowerLetter"/>
      <w:lvlText w:val="%8)"/>
      <w:lvlJc w:val="left"/>
      <w:pPr>
        <w:ind w:left="6598" w:hanging="420"/>
      </w:pPr>
    </w:lvl>
    <w:lvl w:ilvl="8" w:tplc="0409001B" w:tentative="1">
      <w:start w:val="1"/>
      <w:numFmt w:val="lowerRoman"/>
      <w:lvlText w:val="%9."/>
      <w:lvlJc w:val="right"/>
      <w:pPr>
        <w:ind w:left="7018" w:hanging="420"/>
      </w:pPr>
    </w:lvl>
  </w:abstractNum>
  <w:abstractNum w:abstractNumId="17">
    <w:nsid w:val="4BB770C8"/>
    <w:multiLevelType w:val="hybridMultilevel"/>
    <w:tmpl w:val="07D4980C"/>
    <w:lvl w:ilvl="0" w:tplc="75B87A74">
      <w:start w:val="1"/>
      <w:numFmt w:val="bullet"/>
      <w:lvlText w:val=""/>
      <w:lvlJc w:val="left"/>
      <w:pPr>
        <w:tabs>
          <w:tab w:val="num" w:pos="3738"/>
        </w:tabs>
        <w:ind w:left="3738" w:hanging="420"/>
      </w:pPr>
      <w:rPr>
        <w:rFonts w:ascii="Wingdings" w:hAnsi="Wingdings" w:hint="default"/>
        <w:color w:val="FF66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5B115D26"/>
    <w:multiLevelType w:val="hybridMultilevel"/>
    <w:tmpl w:val="A7A4AECC"/>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C20061D"/>
    <w:multiLevelType w:val="multilevel"/>
    <w:tmpl w:val="B7364AA2"/>
    <w:lvl w:ilvl="0">
      <w:start w:val="1"/>
      <w:numFmt w:val="decimal"/>
      <w:lvlText w:val="%1"/>
      <w:lvlJc w:val="left"/>
      <w:pPr>
        <w:tabs>
          <w:tab w:val="num" w:pos="425"/>
        </w:tabs>
        <w:ind w:left="425" w:hanging="425"/>
      </w:pPr>
      <w:rPr>
        <w:rFonts w:hint="eastAsia"/>
      </w:rPr>
    </w:lvl>
    <w:lvl w:ilvl="1">
      <w:start w:val="1"/>
      <w:numFmt w:val="decimal"/>
      <w:lvlRestart w:val="0"/>
      <w:lvlText w:val="1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20">
    <w:nsid w:val="62A759D9"/>
    <w:multiLevelType w:val="multilevel"/>
    <w:tmpl w:val="33A219AA"/>
    <w:lvl w:ilvl="0">
      <w:start w:val="1"/>
      <w:numFmt w:val="bullet"/>
      <w:lvlText w:val=""/>
      <w:lvlJc w:val="left"/>
      <w:pPr>
        <w:tabs>
          <w:tab w:val="num" w:pos="425"/>
        </w:tabs>
        <w:ind w:left="425" w:hanging="425"/>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660D458A"/>
    <w:multiLevelType w:val="hybridMultilevel"/>
    <w:tmpl w:val="E31EA03C"/>
    <w:lvl w:ilvl="0" w:tplc="7646CE24">
      <w:start w:val="1"/>
      <w:numFmt w:val="decimal"/>
      <w:lvlText w:val="%1)"/>
      <w:lvlJc w:val="left"/>
      <w:pPr>
        <w:tabs>
          <w:tab w:val="num" w:pos="420"/>
        </w:tabs>
        <w:ind w:left="420" w:hanging="420"/>
      </w:p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2">
    <w:nsid w:val="6A8D5F31"/>
    <w:multiLevelType w:val="hybridMultilevel"/>
    <w:tmpl w:val="24E27412"/>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73D80113"/>
    <w:multiLevelType w:val="hybridMultilevel"/>
    <w:tmpl w:val="7FC2D596"/>
    <w:lvl w:ilvl="0" w:tplc="B67A1E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7A5E3680"/>
    <w:multiLevelType w:val="hybridMultilevel"/>
    <w:tmpl w:val="026E9D02"/>
    <w:lvl w:ilvl="0" w:tplc="7B6A1B30">
      <w:start w:val="1"/>
      <w:numFmt w:val="bullet"/>
      <w:pStyle w:val="a"/>
      <w:lvlText w:val=""/>
      <w:lvlJc w:val="left"/>
      <w:pPr>
        <w:tabs>
          <w:tab w:val="num" w:pos="630"/>
        </w:tabs>
        <w:ind w:left="63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7E1A10C2"/>
    <w:multiLevelType w:val="hybridMultilevel"/>
    <w:tmpl w:val="F3689EAE"/>
    <w:lvl w:ilvl="0" w:tplc="33A6F226">
      <w:start w:val="1"/>
      <w:numFmt w:val="bullet"/>
      <w:lvlText w:val=""/>
      <w:lvlJc w:val="left"/>
      <w:pPr>
        <w:tabs>
          <w:tab w:val="num" w:pos="425"/>
        </w:tabs>
        <w:ind w:left="425" w:hanging="425"/>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7"/>
  </w:num>
  <w:num w:numId="2">
    <w:abstractNumId w:val="22"/>
  </w:num>
  <w:num w:numId="3">
    <w:abstractNumId w:val="24"/>
  </w:num>
  <w:num w:numId="4">
    <w:abstractNumId w:val="24"/>
  </w:num>
  <w:num w:numId="5">
    <w:abstractNumId w:val="18"/>
  </w:num>
  <w:num w:numId="6">
    <w:abstractNumId w:val="10"/>
  </w:num>
  <w:num w:numId="7">
    <w:abstractNumId w:val="12"/>
  </w:num>
  <w:num w:numId="8">
    <w:abstractNumId w:val="15"/>
  </w:num>
  <w:num w:numId="9">
    <w:abstractNumId w:val="14"/>
  </w:num>
  <w:num w:numId="10">
    <w:abstractNumId w:val="25"/>
  </w:num>
  <w:num w:numId="11">
    <w:abstractNumId w:val="20"/>
  </w:num>
  <w:num w:numId="12">
    <w:abstractNumId w:val="13"/>
  </w:num>
  <w:num w:numId="13">
    <w:abstractNumId w:val="11"/>
  </w:num>
  <w:num w:numId="14">
    <w:abstractNumId w:val="19"/>
  </w:num>
  <w:num w:numId="15">
    <w:abstractNumId w:val="21"/>
  </w:num>
  <w:num w:numId="16">
    <w:abstractNumId w:val="23"/>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111" fill="f" fillcolor="white" stroke="f">
      <v:fill color="white" on="f"/>
      <v:stroke on="f"/>
      <o:colormru v:ext="edit" colors="#99f,#9ecdf8,#f00000,#00326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672A"/>
    <w:rsid w:val="00000C1C"/>
    <w:rsid w:val="000010C0"/>
    <w:rsid w:val="000029C2"/>
    <w:rsid w:val="000060BC"/>
    <w:rsid w:val="00006C4F"/>
    <w:rsid w:val="000075A3"/>
    <w:rsid w:val="0001084E"/>
    <w:rsid w:val="00010F30"/>
    <w:rsid w:val="00011136"/>
    <w:rsid w:val="00011E15"/>
    <w:rsid w:val="00012A69"/>
    <w:rsid w:val="00013B4E"/>
    <w:rsid w:val="00014218"/>
    <w:rsid w:val="000149A7"/>
    <w:rsid w:val="00016E92"/>
    <w:rsid w:val="00021182"/>
    <w:rsid w:val="00021EF5"/>
    <w:rsid w:val="0002443B"/>
    <w:rsid w:val="00024951"/>
    <w:rsid w:val="000258E6"/>
    <w:rsid w:val="00026271"/>
    <w:rsid w:val="00026C9A"/>
    <w:rsid w:val="00026FBB"/>
    <w:rsid w:val="0003099C"/>
    <w:rsid w:val="00030C7A"/>
    <w:rsid w:val="00031FC4"/>
    <w:rsid w:val="00033526"/>
    <w:rsid w:val="000352F7"/>
    <w:rsid w:val="000357D5"/>
    <w:rsid w:val="00037A81"/>
    <w:rsid w:val="000404EB"/>
    <w:rsid w:val="00040600"/>
    <w:rsid w:val="0004259B"/>
    <w:rsid w:val="00044077"/>
    <w:rsid w:val="00044EFF"/>
    <w:rsid w:val="000476AD"/>
    <w:rsid w:val="00050225"/>
    <w:rsid w:val="00050BDB"/>
    <w:rsid w:val="000526FD"/>
    <w:rsid w:val="00052A51"/>
    <w:rsid w:val="00052D23"/>
    <w:rsid w:val="00054F13"/>
    <w:rsid w:val="000555FF"/>
    <w:rsid w:val="00055C3A"/>
    <w:rsid w:val="00055C6B"/>
    <w:rsid w:val="000566B1"/>
    <w:rsid w:val="00056F53"/>
    <w:rsid w:val="00057A95"/>
    <w:rsid w:val="00057B49"/>
    <w:rsid w:val="000603B9"/>
    <w:rsid w:val="000614C1"/>
    <w:rsid w:val="00061D7A"/>
    <w:rsid w:val="0006274D"/>
    <w:rsid w:val="000635F0"/>
    <w:rsid w:val="00063A2B"/>
    <w:rsid w:val="00063E76"/>
    <w:rsid w:val="00066030"/>
    <w:rsid w:val="00067164"/>
    <w:rsid w:val="000724AC"/>
    <w:rsid w:val="00073F80"/>
    <w:rsid w:val="00075610"/>
    <w:rsid w:val="00076929"/>
    <w:rsid w:val="00076AAF"/>
    <w:rsid w:val="0007720C"/>
    <w:rsid w:val="0007767C"/>
    <w:rsid w:val="00080306"/>
    <w:rsid w:val="0008064D"/>
    <w:rsid w:val="00081D6C"/>
    <w:rsid w:val="0008227A"/>
    <w:rsid w:val="000841BF"/>
    <w:rsid w:val="000843BB"/>
    <w:rsid w:val="000858B7"/>
    <w:rsid w:val="0008664C"/>
    <w:rsid w:val="00087072"/>
    <w:rsid w:val="00094C8A"/>
    <w:rsid w:val="00097DEB"/>
    <w:rsid w:val="000A1CF1"/>
    <w:rsid w:val="000A2214"/>
    <w:rsid w:val="000A3199"/>
    <w:rsid w:val="000A36DA"/>
    <w:rsid w:val="000A53A4"/>
    <w:rsid w:val="000A6131"/>
    <w:rsid w:val="000A7308"/>
    <w:rsid w:val="000B05E0"/>
    <w:rsid w:val="000B19DC"/>
    <w:rsid w:val="000B29EE"/>
    <w:rsid w:val="000B4C93"/>
    <w:rsid w:val="000B6D83"/>
    <w:rsid w:val="000B7A77"/>
    <w:rsid w:val="000C0D08"/>
    <w:rsid w:val="000C3632"/>
    <w:rsid w:val="000C3807"/>
    <w:rsid w:val="000C63F6"/>
    <w:rsid w:val="000D0A4C"/>
    <w:rsid w:val="000D0C30"/>
    <w:rsid w:val="000D0F08"/>
    <w:rsid w:val="000D22F2"/>
    <w:rsid w:val="000D253F"/>
    <w:rsid w:val="000D33B0"/>
    <w:rsid w:val="000D46A0"/>
    <w:rsid w:val="000D4855"/>
    <w:rsid w:val="000E113B"/>
    <w:rsid w:val="000E15BC"/>
    <w:rsid w:val="000E1A85"/>
    <w:rsid w:val="000E1EA6"/>
    <w:rsid w:val="000E2053"/>
    <w:rsid w:val="000E214A"/>
    <w:rsid w:val="000E3CA4"/>
    <w:rsid w:val="000E3E48"/>
    <w:rsid w:val="000E65C7"/>
    <w:rsid w:val="000E6A07"/>
    <w:rsid w:val="000F00A4"/>
    <w:rsid w:val="000F0F26"/>
    <w:rsid w:val="000F223C"/>
    <w:rsid w:val="000F6921"/>
    <w:rsid w:val="000F7C8B"/>
    <w:rsid w:val="0010121A"/>
    <w:rsid w:val="00102353"/>
    <w:rsid w:val="001037FE"/>
    <w:rsid w:val="0010652E"/>
    <w:rsid w:val="00106C68"/>
    <w:rsid w:val="00111A28"/>
    <w:rsid w:val="00111CD8"/>
    <w:rsid w:val="0011208F"/>
    <w:rsid w:val="00113299"/>
    <w:rsid w:val="0011474C"/>
    <w:rsid w:val="00117F4F"/>
    <w:rsid w:val="001219C8"/>
    <w:rsid w:val="0012228B"/>
    <w:rsid w:val="00123674"/>
    <w:rsid w:val="00123BE6"/>
    <w:rsid w:val="00124AD4"/>
    <w:rsid w:val="00126FCE"/>
    <w:rsid w:val="0012751F"/>
    <w:rsid w:val="00127AC7"/>
    <w:rsid w:val="001300AC"/>
    <w:rsid w:val="001301AA"/>
    <w:rsid w:val="001329D8"/>
    <w:rsid w:val="00132E04"/>
    <w:rsid w:val="0013506B"/>
    <w:rsid w:val="0013621B"/>
    <w:rsid w:val="00136D41"/>
    <w:rsid w:val="0014042D"/>
    <w:rsid w:val="0014056C"/>
    <w:rsid w:val="00140F4D"/>
    <w:rsid w:val="00142868"/>
    <w:rsid w:val="00142AC7"/>
    <w:rsid w:val="0014446A"/>
    <w:rsid w:val="001461E7"/>
    <w:rsid w:val="00147AB3"/>
    <w:rsid w:val="00151833"/>
    <w:rsid w:val="00152105"/>
    <w:rsid w:val="001528C6"/>
    <w:rsid w:val="00153924"/>
    <w:rsid w:val="001547F8"/>
    <w:rsid w:val="00156678"/>
    <w:rsid w:val="0015775B"/>
    <w:rsid w:val="001603B9"/>
    <w:rsid w:val="001604BF"/>
    <w:rsid w:val="001616B7"/>
    <w:rsid w:val="00162E32"/>
    <w:rsid w:val="001632A8"/>
    <w:rsid w:val="001642C5"/>
    <w:rsid w:val="00164349"/>
    <w:rsid w:val="001653BC"/>
    <w:rsid w:val="0016594C"/>
    <w:rsid w:val="00166C6A"/>
    <w:rsid w:val="00167BF8"/>
    <w:rsid w:val="0017090D"/>
    <w:rsid w:val="00170F3B"/>
    <w:rsid w:val="00176089"/>
    <w:rsid w:val="001762E4"/>
    <w:rsid w:val="001765FE"/>
    <w:rsid w:val="00176906"/>
    <w:rsid w:val="00176B4C"/>
    <w:rsid w:val="00177536"/>
    <w:rsid w:val="00177ABC"/>
    <w:rsid w:val="0018053B"/>
    <w:rsid w:val="00181CE2"/>
    <w:rsid w:val="00184AB3"/>
    <w:rsid w:val="0018557F"/>
    <w:rsid w:val="001856CB"/>
    <w:rsid w:val="0018592E"/>
    <w:rsid w:val="00186271"/>
    <w:rsid w:val="0018775C"/>
    <w:rsid w:val="00190686"/>
    <w:rsid w:val="00190BE8"/>
    <w:rsid w:val="001915A4"/>
    <w:rsid w:val="00193049"/>
    <w:rsid w:val="001944DB"/>
    <w:rsid w:val="0019524C"/>
    <w:rsid w:val="00195E66"/>
    <w:rsid w:val="00196E05"/>
    <w:rsid w:val="001A285A"/>
    <w:rsid w:val="001A29DA"/>
    <w:rsid w:val="001A34D8"/>
    <w:rsid w:val="001A3AF7"/>
    <w:rsid w:val="001A3D58"/>
    <w:rsid w:val="001A3F88"/>
    <w:rsid w:val="001A6984"/>
    <w:rsid w:val="001A6B46"/>
    <w:rsid w:val="001A7150"/>
    <w:rsid w:val="001A7CA4"/>
    <w:rsid w:val="001B00EF"/>
    <w:rsid w:val="001B125C"/>
    <w:rsid w:val="001B14B0"/>
    <w:rsid w:val="001B20CC"/>
    <w:rsid w:val="001B2AFB"/>
    <w:rsid w:val="001B3F3D"/>
    <w:rsid w:val="001B3FDA"/>
    <w:rsid w:val="001B4FF6"/>
    <w:rsid w:val="001B7277"/>
    <w:rsid w:val="001C07D6"/>
    <w:rsid w:val="001C085B"/>
    <w:rsid w:val="001C0C52"/>
    <w:rsid w:val="001C14C7"/>
    <w:rsid w:val="001C2326"/>
    <w:rsid w:val="001C27A2"/>
    <w:rsid w:val="001C5171"/>
    <w:rsid w:val="001D2958"/>
    <w:rsid w:val="001D3A7D"/>
    <w:rsid w:val="001D3E99"/>
    <w:rsid w:val="001D41B7"/>
    <w:rsid w:val="001D5F56"/>
    <w:rsid w:val="001E18A5"/>
    <w:rsid w:val="001E1E30"/>
    <w:rsid w:val="001E47B7"/>
    <w:rsid w:val="001E76B1"/>
    <w:rsid w:val="001F0187"/>
    <w:rsid w:val="001F13EA"/>
    <w:rsid w:val="001F19FF"/>
    <w:rsid w:val="001F24F3"/>
    <w:rsid w:val="001F291F"/>
    <w:rsid w:val="001F506C"/>
    <w:rsid w:val="001F654E"/>
    <w:rsid w:val="001F6686"/>
    <w:rsid w:val="0020219B"/>
    <w:rsid w:val="00204C97"/>
    <w:rsid w:val="00210CB7"/>
    <w:rsid w:val="00211C13"/>
    <w:rsid w:val="00212146"/>
    <w:rsid w:val="00213851"/>
    <w:rsid w:val="00214A9C"/>
    <w:rsid w:val="00215E78"/>
    <w:rsid w:val="00216320"/>
    <w:rsid w:val="00217ACA"/>
    <w:rsid w:val="0022104F"/>
    <w:rsid w:val="00221548"/>
    <w:rsid w:val="002217BB"/>
    <w:rsid w:val="00221CCC"/>
    <w:rsid w:val="00225042"/>
    <w:rsid w:val="002263D7"/>
    <w:rsid w:val="002267BC"/>
    <w:rsid w:val="002268C0"/>
    <w:rsid w:val="00226DDB"/>
    <w:rsid w:val="00227EBA"/>
    <w:rsid w:val="00232EFD"/>
    <w:rsid w:val="002334BB"/>
    <w:rsid w:val="00234204"/>
    <w:rsid w:val="00235A10"/>
    <w:rsid w:val="002360D9"/>
    <w:rsid w:val="00236454"/>
    <w:rsid w:val="002364BE"/>
    <w:rsid w:val="00236A11"/>
    <w:rsid w:val="002406C4"/>
    <w:rsid w:val="00240F9C"/>
    <w:rsid w:val="002431D2"/>
    <w:rsid w:val="002455E5"/>
    <w:rsid w:val="00245E5C"/>
    <w:rsid w:val="00246CC4"/>
    <w:rsid w:val="0025043F"/>
    <w:rsid w:val="00250DF9"/>
    <w:rsid w:val="00251707"/>
    <w:rsid w:val="002537C8"/>
    <w:rsid w:val="002537D7"/>
    <w:rsid w:val="002537F4"/>
    <w:rsid w:val="00261D58"/>
    <w:rsid w:val="00262722"/>
    <w:rsid w:val="00264220"/>
    <w:rsid w:val="0026436C"/>
    <w:rsid w:val="00265014"/>
    <w:rsid w:val="002708B7"/>
    <w:rsid w:val="00273E53"/>
    <w:rsid w:val="00274A13"/>
    <w:rsid w:val="00275622"/>
    <w:rsid w:val="00275952"/>
    <w:rsid w:val="00276FA0"/>
    <w:rsid w:val="00277726"/>
    <w:rsid w:val="002820A9"/>
    <w:rsid w:val="00283716"/>
    <w:rsid w:val="00283D91"/>
    <w:rsid w:val="00285C69"/>
    <w:rsid w:val="00285F23"/>
    <w:rsid w:val="00285FBB"/>
    <w:rsid w:val="00286A6C"/>
    <w:rsid w:val="00286F2A"/>
    <w:rsid w:val="00290216"/>
    <w:rsid w:val="0029059A"/>
    <w:rsid w:val="00291D1B"/>
    <w:rsid w:val="0029394D"/>
    <w:rsid w:val="0029438D"/>
    <w:rsid w:val="002963A5"/>
    <w:rsid w:val="00297C84"/>
    <w:rsid w:val="002A1E05"/>
    <w:rsid w:val="002A25BC"/>
    <w:rsid w:val="002A2F19"/>
    <w:rsid w:val="002A3822"/>
    <w:rsid w:val="002A581D"/>
    <w:rsid w:val="002B0743"/>
    <w:rsid w:val="002B0D85"/>
    <w:rsid w:val="002B13F7"/>
    <w:rsid w:val="002B1A6C"/>
    <w:rsid w:val="002B25E6"/>
    <w:rsid w:val="002B2DBB"/>
    <w:rsid w:val="002B4D8D"/>
    <w:rsid w:val="002B4F76"/>
    <w:rsid w:val="002B53EE"/>
    <w:rsid w:val="002B65D0"/>
    <w:rsid w:val="002B6F52"/>
    <w:rsid w:val="002B723F"/>
    <w:rsid w:val="002C019D"/>
    <w:rsid w:val="002C0F0D"/>
    <w:rsid w:val="002C17F7"/>
    <w:rsid w:val="002C29F0"/>
    <w:rsid w:val="002C3532"/>
    <w:rsid w:val="002C42B2"/>
    <w:rsid w:val="002C4910"/>
    <w:rsid w:val="002C4A1A"/>
    <w:rsid w:val="002C5C0A"/>
    <w:rsid w:val="002C7359"/>
    <w:rsid w:val="002D1256"/>
    <w:rsid w:val="002D1E19"/>
    <w:rsid w:val="002D4169"/>
    <w:rsid w:val="002D5550"/>
    <w:rsid w:val="002D59E9"/>
    <w:rsid w:val="002D60D7"/>
    <w:rsid w:val="002D69DE"/>
    <w:rsid w:val="002E0A3F"/>
    <w:rsid w:val="002E17BF"/>
    <w:rsid w:val="002E1B58"/>
    <w:rsid w:val="002E2EFA"/>
    <w:rsid w:val="002E3FFF"/>
    <w:rsid w:val="002E649A"/>
    <w:rsid w:val="002F16F1"/>
    <w:rsid w:val="002F198B"/>
    <w:rsid w:val="002F7316"/>
    <w:rsid w:val="002F79DB"/>
    <w:rsid w:val="002F7FD6"/>
    <w:rsid w:val="00300070"/>
    <w:rsid w:val="0030039C"/>
    <w:rsid w:val="00301680"/>
    <w:rsid w:val="00301E7E"/>
    <w:rsid w:val="0030206B"/>
    <w:rsid w:val="00302A43"/>
    <w:rsid w:val="00303062"/>
    <w:rsid w:val="00303441"/>
    <w:rsid w:val="00303754"/>
    <w:rsid w:val="00305019"/>
    <w:rsid w:val="00305A74"/>
    <w:rsid w:val="0030655A"/>
    <w:rsid w:val="003077C9"/>
    <w:rsid w:val="00312322"/>
    <w:rsid w:val="003149E1"/>
    <w:rsid w:val="00314E44"/>
    <w:rsid w:val="0031595E"/>
    <w:rsid w:val="00316CD0"/>
    <w:rsid w:val="0031700A"/>
    <w:rsid w:val="003170A0"/>
    <w:rsid w:val="003179D0"/>
    <w:rsid w:val="00321606"/>
    <w:rsid w:val="003216E2"/>
    <w:rsid w:val="003222CD"/>
    <w:rsid w:val="00326E14"/>
    <w:rsid w:val="003273C3"/>
    <w:rsid w:val="003276CA"/>
    <w:rsid w:val="003302B7"/>
    <w:rsid w:val="00330715"/>
    <w:rsid w:val="00331D19"/>
    <w:rsid w:val="00332B84"/>
    <w:rsid w:val="003351E0"/>
    <w:rsid w:val="003362A9"/>
    <w:rsid w:val="003408AE"/>
    <w:rsid w:val="00340903"/>
    <w:rsid w:val="00340ADD"/>
    <w:rsid w:val="0034206B"/>
    <w:rsid w:val="00343141"/>
    <w:rsid w:val="003446E9"/>
    <w:rsid w:val="0034525A"/>
    <w:rsid w:val="0034614C"/>
    <w:rsid w:val="00347355"/>
    <w:rsid w:val="0034736A"/>
    <w:rsid w:val="0035027A"/>
    <w:rsid w:val="003520D1"/>
    <w:rsid w:val="003523B4"/>
    <w:rsid w:val="00352C4E"/>
    <w:rsid w:val="00352DDF"/>
    <w:rsid w:val="003544D8"/>
    <w:rsid w:val="00354A3A"/>
    <w:rsid w:val="00354AD8"/>
    <w:rsid w:val="00355BA6"/>
    <w:rsid w:val="00360958"/>
    <w:rsid w:val="00360BBB"/>
    <w:rsid w:val="00361092"/>
    <w:rsid w:val="003621AC"/>
    <w:rsid w:val="00362266"/>
    <w:rsid w:val="00363CAC"/>
    <w:rsid w:val="00363E42"/>
    <w:rsid w:val="00365AFE"/>
    <w:rsid w:val="00366500"/>
    <w:rsid w:val="003707A7"/>
    <w:rsid w:val="00371BA2"/>
    <w:rsid w:val="00372B5C"/>
    <w:rsid w:val="00373500"/>
    <w:rsid w:val="003751CE"/>
    <w:rsid w:val="00382433"/>
    <w:rsid w:val="0038370F"/>
    <w:rsid w:val="00383D81"/>
    <w:rsid w:val="00384EFA"/>
    <w:rsid w:val="003851F0"/>
    <w:rsid w:val="00387802"/>
    <w:rsid w:val="0039027D"/>
    <w:rsid w:val="00393CB5"/>
    <w:rsid w:val="00393E7F"/>
    <w:rsid w:val="003940B0"/>
    <w:rsid w:val="00397900"/>
    <w:rsid w:val="003A165F"/>
    <w:rsid w:val="003A31FD"/>
    <w:rsid w:val="003A4B29"/>
    <w:rsid w:val="003A4B94"/>
    <w:rsid w:val="003A4E64"/>
    <w:rsid w:val="003A508C"/>
    <w:rsid w:val="003A6004"/>
    <w:rsid w:val="003A69E2"/>
    <w:rsid w:val="003A71B0"/>
    <w:rsid w:val="003A7347"/>
    <w:rsid w:val="003A7815"/>
    <w:rsid w:val="003B1346"/>
    <w:rsid w:val="003B503A"/>
    <w:rsid w:val="003B5A6C"/>
    <w:rsid w:val="003B6FCB"/>
    <w:rsid w:val="003C0112"/>
    <w:rsid w:val="003C07AD"/>
    <w:rsid w:val="003C1531"/>
    <w:rsid w:val="003C1599"/>
    <w:rsid w:val="003C1AA7"/>
    <w:rsid w:val="003C1B28"/>
    <w:rsid w:val="003C49F3"/>
    <w:rsid w:val="003C6C6C"/>
    <w:rsid w:val="003C6EC0"/>
    <w:rsid w:val="003C7B45"/>
    <w:rsid w:val="003C7F1E"/>
    <w:rsid w:val="003D0168"/>
    <w:rsid w:val="003D11CF"/>
    <w:rsid w:val="003D132D"/>
    <w:rsid w:val="003D254B"/>
    <w:rsid w:val="003D478A"/>
    <w:rsid w:val="003D5449"/>
    <w:rsid w:val="003D586B"/>
    <w:rsid w:val="003D6C45"/>
    <w:rsid w:val="003D7104"/>
    <w:rsid w:val="003E004D"/>
    <w:rsid w:val="003E1824"/>
    <w:rsid w:val="003E2B32"/>
    <w:rsid w:val="003E34CC"/>
    <w:rsid w:val="003E4DE1"/>
    <w:rsid w:val="003E4DE2"/>
    <w:rsid w:val="003E6073"/>
    <w:rsid w:val="003F107D"/>
    <w:rsid w:val="003F24FF"/>
    <w:rsid w:val="003F38B1"/>
    <w:rsid w:val="003F3D9C"/>
    <w:rsid w:val="003F3F52"/>
    <w:rsid w:val="003F445F"/>
    <w:rsid w:val="003F4669"/>
    <w:rsid w:val="003F5969"/>
    <w:rsid w:val="00401122"/>
    <w:rsid w:val="004025A4"/>
    <w:rsid w:val="00403814"/>
    <w:rsid w:val="00404C53"/>
    <w:rsid w:val="0040543A"/>
    <w:rsid w:val="00405992"/>
    <w:rsid w:val="00405C50"/>
    <w:rsid w:val="00405ED6"/>
    <w:rsid w:val="0041092B"/>
    <w:rsid w:val="0041144D"/>
    <w:rsid w:val="00413E1F"/>
    <w:rsid w:val="00414CB2"/>
    <w:rsid w:val="0041510C"/>
    <w:rsid w:val="00417611"/>
    <w:rsid w:val="00420043"/>
    <w:rsid w:val="004200DF"/>
    <w:rsid w:val="00420675"/>
    <w:rsid w:val="004213F3"/>
    <w:rsid w:val="00421529"/>
    <w:rsid w:val="00425768"/>
    <w:rsid w:val="00425DF8"/>
    <w:rsid w:val="00426434"/>
    <w:rsid w:val="0042737E"/>
    <w:rsid w:val="004276FD"/>
    <w:rsid w:val="004303FC"/>
    <w:rsid w:val="0043104A"/>
    <w:rsid w:val="00431C7E"/>
    <w:rsid w:val="004322A1"/>
    <w:rsid w:val="004328F4"/>
    <w:rsid w:val="004331DE"/>
    <w:rsid w:val="00435C80"/>
    <w:rsid w:val="004367DC"/>
    <w:rsid w:val="004376A2"/>
    <w:rsid w:val="00440720"/>
    <w:rsid w:val="0044096A"/>
    <w:rsid w:val="004421C8"/>
    <w:rsid w:val="0044376C"/>
    <w:rsid w:val="0044446B"/>
    <w:rsid w:val="0044790E"/>
    <w:rsid w:val="0045095F"/>
    <w:rsid w:val="00453424"/>
    <w:rsid w:val="0045353A"/>
    <w:rsid w:val="00454D6D"/>
    <w:rsid w:val="00455607"/>
    <w:rsid w:val="00455ADA"/>
    <w:rsid w:val="00456FC4"/>
    <w:rsid w:val="004571B4"/>
    <w:rsid w:val="0045777B"/>
    <w:rsid w:val="00462676"/>
    <w:rsid w:val="0046359A"/>
    <w:rsid w:val="00466522"/>
    <w:rsid w:val="004669EC"/>
    <w:rsid w:val="0046775A"/>
    <w:rsid w:val="00467989"/>
    <w:rsid w:val="00467A92"/>
    <w:rsid w:val="00472548"/>
    <w:rsid w:val="00473EC2"/>
    <w:rsid w:val="00474C0D"/>
    <w:rsid w:val="004754AD"/>
    <w:rsid w:val="004755CC"/>
    <w:rsid w:val="00475AC4"/>
    <w:rsid w:val="00476890"/>
    <w:rsid w:val="00477E7A"/>
    <w:rsid w:val="00481CF4"/>
    <w:rsid w:val="00482B62"/>
    <w:rsid w:val="00483878"/>
    <w:rsid w:val="0048537F"/>
    <w:rsid w:val="00485D17"/>
    <w:rsid w:val="00490804"/>
    <w:rsid w:val="00490B4C"/>
    <w:rsid w:val="00492F51"/>
    <w:rsid w:val="00493087"/>
    <w:rsid w:val="004954ED"/>
    <w:rsid w:val="00495C50"/>
    <w:rsid w:val="00495DFC"/>
    <w:rsid w:val="00496188"/>
    <w:rsid w:val="00497050"/>
    <w:rsid w:val="004A0353"/>
    <w:rsid w:val="004A0C84"/>
    <w:rsid w:val="004A0DE2"/>
    <w:rsid w:val="004A2684"/>
    <w:rsid w:val="004A2A24"/>
    <w:rsid w:val="004A2BDC"/>
    <w:rsid w:val="004A2F5F"/>
    <w:rsid w:val="004A3993"/>
    <w:rsid w:val="004A4249"/>
    <w:rsid w:val="004A45AA"/>
    <w:rsid w:val="004A45D7"/>
    <w:rsid w:val="004A46B5"/>
    <w:rsid w:val="004A48D1"/>
    <w:rsid w:val="004B05E9"/>
    <w:rsid w:val="004B08A9"/>
    <w:rsid w:val="004B0E9C"/>
    <w:rsid w:val="004B2240"/>
    <w:rsid w:val="004B43F8"/>
    <w:rsid w:val="004B5D2A"/>
    <w:rsid w:val="004B6D4D"/>
    <w:rsid w:val="004C22A0"/>
    <w:rsid w:val="004C24E5"/>
    <w:rsid w:val="004C342B"/>
    <w:rsid w:val="004C3508"/>
    <w:rsid w:val="004C79A4"/>
    <w:rsid w:val="004D0342"/>
    <w:rsid w:val="004D0EC1"/>
    <w:rsid w:val="004D4C99"/>
    <w:rsid w:val="004D4E18"/>
    <w:rsid w:val="004D5144"/>
    <w:rsid w:val="004E0099"/>
    <w:rsid w:val="004E0F46"/>
    <w:rsid w:val="004E16DC"/>
    <w:rsid w:val="004E2435"/>
    <w:rsid w:val="004E58F6"/>
    <w:rsid w:val="004E6135"/>
    <w:rsid w:val="004E666A"/>
    <w:rsid w:val="004F06D1"/>
    <w:rsid w:val="004F14D9"/>
    <w:rsid w:val="004F35F2"/>
    <w:rsid w:val="004F4BAF"/>
    <w:rsid w:val="004F4CC3"/>
    <w:rsid w:val="004F4EC5"/>
    <w:rsid w:val="004F526F"/>
    <w:rsid w:val="004F55E0"/>
    <w:rsid w:val="004F778B"/>
    <w:rsid w:val="004F7C17"/>
    <w:rsid w:val="0050075C"/>
    <w:rsid w:val="00500D0B"/>
    <w:rsid w:val="0050425B"/>
    <w:rsid w:val="005059CB"/>
    <w:rsid w:val="00506702"/>
    <w:rsid w:val="0051149B"/>
    <w:rsid w:val="00511FD7"/>
    <w:rsid w:val="0051562E"/>
    <w:rsid w:val="00516CD8"/>
    <w:rsid w:val="00516FD2"/>
    <w:rsid w:val="00521314"/>
    <w:rsid w:val="00521439"/>
    <w:rsid w:val="00521A97"/>
    <w:rsid w:val="00525238"/>
    <w:rsid w:val="005257ED"/>
    <w:rsid w:val="005261F2"/>
    <w:rsid w:val="00527AA4"/>
    <w:rsid w:val="005304BA"/>
    <w:rsid w:val="00530CBB"/>
    <w:rsid w:val="00533BF2"/>
    <w:rsid w:val="0053434D"/>
    <w:rsid w:val="00535A31"/>
    <w:rsid w:val="005366A6"/>
    <w:rsid w:val="00537266"/>
    <w:rsid w:val="00537723"/>
    <w:rsid w:val="00540621"/>
    <w:rsid w:val="005408EC"/>
    <w:rsid w:val="00541A70"/>
    <w:rsid w:val="00543D20"/>
    <w:rsid w:val="00544A9E"/>
    <w:rsid w:val="00546C78"/>
    <w:rsid w:val="005501DF"/>
    <w:rsid w:val="00550708"/>
    <w:rsid w:val="00550BAD"/>
    <w:rsid w:val="0055197E"/>
    <w:rsid w:val="00554BDC"/>
    <w:rsid w:val="00555251"/>
    <w:rsid w:val="005552BB"/>
    <w:rsid w:val="00556D88"/>
    <w:rsid w:val="00557EEB"/>
    <w:rsid w:val="00560835"/>
    <w:rsid w:val="0056281F"/>
    <w:rsid w:val="005646AB"/>
    <w:rsid w:val="00566A4B"/>
    <w:rsid w:val="00566F23"/>
    <w:rsid w:val="00570435"/>
    <w:rsid w:val="00571027"/>
    <w:rsid w:val="0057127A"/>
    <w:rsid w:val="00572231"/>
    <w:rsid w:val="00572EE6"/>
    <w:rsid w:val="0057306C"/>
    <w:rsid w:val="00573390"/>
    <w:rsid w:val="005745FF"/>
    <w:rsid w:val="005755B8"/>
    <w:rsid w:val="00575A04"/>
    <w:rsid w:val="00576A32"/>
    <w:rsid w:val="005813DD"/>
    <w:rsid w:val="00582C7C"/>
    <w:rsid w:val="005833DC"/>
    <w:rsid w:val="00583AEA"/>
    <w:rsid w:val="0058462A"/>
    <w:rsid w:val="005849CC"/>
    <w:rsid w:val="00584CCC"/>
    <w:rsid w:val="00586A7E"/>
    <w:rsid w:val="00587C3B"/>
    <w:rsid w:val="00591914"/>
    <w:rsid w:val="00591D7C"/>
    <w:rsid w:val="00593955"/>
    <w:rsid w:val="0059417C"/>
    <w:rsid w:val="00594FDC"/>
    <w:rsid w:val="00596A4C"/>
    <w:rsid w:val="005971F5"/>
    <w:rsid w:val="005A037E"/>
    <w:rsid w:val="005A08D8"/>
    <w:rsid w:val="005A1B44"/>
    <w:rsid w:val="005A474C"/>
    <w:rsid w:val="005A540A"/>
    <w:rsid w:val="005A6627"/>
    <w:rsid w:val="005A78AD"/>
    <w:rsid w:val="005B12C3"/>
    <w:rsid w:val="005B18EA"/>
    <w:rsid w:val="005B3418"/>
    <w:rsid w:val="005B56B3"/>
    <w:rsid w:val="005B57E4"/>
    <w:rsid w:val="005B5F7E"/>
    <w:rsid w:val="005B674A"/>
    <w:rsid w:val="005B691C"/>
    <w:rsid w:val="005B693A"/>
    <w:rsid w:val="005B696D"/>
    <w:rsid w:val="005B751D"/>
    <w:rsid w:val="005C0753"/>
    <w:rsid w:val="005C1586"/>
    <w:rsid w:val="005C1C51"/>
    <w:rsid w:val="005C2470"/>
    <w:rsid w:val="005C32F3"/>
    <w:rsid w:val="005C490A"/>
    <w:rsid w:val="005C554C"/>
    <w:rsid w:val="005C5697"/>
    <w:rsid w:val="005C788A"/>
    <w:rsid w:val="005D1330"/>
    <w:rsid w:val="005D1CC0"/>
    <w:rsid w:val="005D1F08"/>
    <w:rsid w:val="005D53F7"/>
    <w:rsid w:val="005D6279"/>
    <w:rsid w:val="005D6C1D"/>
    <w:rsid w:val="005D71C3"/>
    <w:rsid w:val="005E2AC7"/>
    <w:rsid w:val="005E2DC8"/>
    <w:rsid w:val="005E5CC9"/>
    <w:rsid w:val="005E705A"/>
    <w:rsid w:val="005E717C"/>
    <w:rsid w:val="005E7D6C"/>
    <w:rsid w:val="005F3325"/>
    <w:rsid w:val="005F3E27"/>
    <w:rsid w:val="005F4C6A"/>
    <w:rsid w:val="005F57A1"/>
    <w:rsid w:val="005F58D9"/>
    <w:rsid w:val="005F5987"/>
    <w:rsid w:val="005F630C"/>
    <w:rsid w:val="00600809"/>
    <w:rsid w:val="00601486"/>
    <w:rsid w:val="0060193A"/>
    <w:rsid w:val="006028B6"/>
    <w:rsid w:val="006028C8"/>
    <w:rsid w:val="0060379F"/>
    <w:rsid w:val="00603E88"/>
    <w:rsid w:val="0060549D"/>
    <w:rsid w:val="00605AEA"/>
    <w:rsid w:val="006074AC"/>
    <w:rsid w:val="0060758B"/>
    <w:rsid w:val="0061089A"/>
    <w:rsid w:val="00612108"/>
    <w:rsid w:val="00612F63"/>
    <w:rsid w:val="006140B1"/>
    <w:rsid w:val="0061563B"/>
    <w:rsid w:val="0061672E"/>
    <w:rsid w:val="00616A85"/>
    <w:rsid w:val="00616F3A"/>
    <w:rsid w:val="00617911"/>
    <w:rsid w:val="00621E4F"/>
    <w:rsid w:val="00622D2B"/>
    <w:rsid w:val="0062462B"/>
    <w:rsid w:val="00630624"/>
    <w:rsid w:val="0063063D"/>
    <w:rsid w:val="00630E6F"/>
    <w:rsid w:val="00631F49"/>
    <w:rsid w:val="00632A38"/>
    <w:rsid w:val="006338BD"/>
    <w:rsid w:val="006339CB"/>
    <w:rsid w:val="00641499"/>
    <w:rsid w:val="006417ED"/>
    <w:rsid w:val="006429AF"/>
    <w:rsid w:val="006439B2"/>
    <w:rsid w:val="006455F7"/>
    <w:rsid w:val="00645E7B"/>
    <w:rsid w:val="006471AD"/>
    <w:rsid w:val="0065085E"/>
    <w:rsid w:val="00650CE8"/>
    <w:rsid w:val="00650FFE"/>
    <w:rsid w:val="006517EF"/>
    <w:rsid w:val="006518CD"/>
    <w:rsid w:val="00651CBB"/>
    <w:rsid w:val="00653D19"/>
    <w:rsid w:val="0065422F"/>
    <w:rsid w:val="00660D80"/>
    <w:rsid w:val="00662727"/>
    <w:rsid w:val="0066351B"/>
    <w:rsid w:val="00663A74"/>
    <w:rsid w:val="006660CC"/>
    <w:rsid w:val="0067089D"/>
    <w:rsid w:val="00671BD1"/>
    <w:rsid w:val="00671D46"/>
    <w:rsid w:val="00672C87"/>
    <w:rsid w:val="00673182"/>
    <w:rsid w:val="00674B4A"/>
    <w:rsid w:val="00677189"/>
    <w:rsid w:val="006779FA"/>
    <w:rsid w:val="00680D10"/>
    <w:rsid w:val="006811E7"/>
    <w:rsid w:val="00682616"/>
    <w:rsid w:val="006852F3"/>
    <w:rsid w:val="00686999"/>
    <w:rsid w:val="00687A40"/>
    <w:rsid w:val="00691135"/>
    <w:rsid w:val="00691BDD"/>
    <w:rsid w:val="00691C18"/>
    <w:rsid w:val="006938C3"/>
    <w:rsid w:val="00693B47"/>
    <w:rsid w:val="00695C5E"/>
    <w:rsid w:val="00696942"/>
    <w:rsid w:val="00696E46"/>
    <w:rsid w:val="006A0243"/>
    <w:rsid w:val="006A1952"/>
    <w:rsid w:val="006A2FB0"/>
    <w:rsid w:val="006A5811"/>
    <w:rsid w:val="006A6B1A"/>
    <w:rsid w:val="006B1263"/>
    <w:rsid w:val="006B1F0E"/>
    <w:rsid w:val="006B33F9"/>
    <w:rsid w:val="006B36FF"/>
    <w:rsid w:val="006B5C74"/>
    <w:rsid w:val="006B5E41"/>
    <w:rsid w:val="006B6626"/>
    <w:rsid w:val="006B7F33"/>
    <w:rsid w:val="006C32F4"/>
    <w:rsid w:val="006C358B"/>
    <w:rsid w:val="006C40FC"/>
    <w:rsid w:val="006C4168"/>
    <w:rsid w:val="006C4E22"/>
    <w:rsid w:val="006C51BC"/>
    <w:rsid w:val="006C5D56"/>
    <w:rsid w:val="006C7A07"/>
    <w:rsid w:val="006C7B78"/>
    <w:rsid w:val="006D1AED"/>
    <w:rsid w:val="006D1E9C"/>
    <w:rsid w:val="006D5263"/>
    <w:rsid w:val="006D57DD"/>
    <w:rsid w:val="006D5818"/>
    <w:rsid w:val="006D774E"/>
    <w:rsid w:val="006E05DF"/>
    <w:rsid w:val="006E05E3"/>
    <w:rsid w:val="006E0B51"/>
    <w:rsid w:val="006E26C4"/>
    <w:rsid w:val="006E3591"/>
    <w:rsid w:val="006E3A97"/>
    <w:rsid w:val="006E40EA"/>
    <w:rsid w:val="006E570A"/>
    <w:rsid w:val="006E6944"/>
    <w:rsid w:val="006E753F"/>
    <w:rsid w:val="006E78A5"/>
    <w:rsid w:val="006F1046"/>
    <w:rsid w:val="006F1F9E"/>
    <w:rsid w:val="006F2DA2"/>
    <w:rsid w:val="006F37D5"/>
    <w:rsid w:val="006F38A2"/>
    <w:rsid w:val="006F440C"/>
    <w:rsid w:val="006F486D"/>
    <w:rsid w:val="006F5147"/>
    <w:rsid w:val="006F568F"/>
    <w:rsid w:val="006F704E"/>
    <w:rsid w:val="00701A91"/>
    <w:rsid w:val="007039E9"/>
    <w:rsid w:val="00704B70"/>
    <w:rsid w:val="0070665A"/>
    <w:rsid w:val="007077C8"/>
    <w:rsid w:val="00707828"/>
    <w:rsid w:val="00707831"/>
    <w:rsid w:val="00707DD5"/>
    <w:rsid w:val="0071040A"/>
    <w:rsid w:val="00711348"/>
    <w:rsid w:val="007123E3"/>
    <w:rsid w:val="00716725"/>
    <w:rsid w:val="00720BA7"/>
    <w:rsid w:val="00720D57"/>
    <w:rsid w:val="00722551"/>
    <w:rsid w:val="00723A69"/>
    <w:rsid w:val="00725065"/>
    <w:rsid w:val="007253D4"/>
    <w:rsid w:val="00727A30"/>
    <w:rsid w:val="00727BE3"/>
    <w:rsid w:val="00727CE9"/>
    <w:rsid w:val="0073089C"/>
    <w:rsid w:val="007312C7"/>
    <w:rsid w:val="00731EF3"/>
    <w:rsid w:val="00732859"/>
    <w:rsid w:val="00733C61"/>
    <w:rsid w:val="00733FCE"/>
    <w:rsid w:val="00735F80"/>
    <w:rsid w:val="00736445"/>
    <w:rsid w:val="00736E63"/>
    <w:rsid w:val="007405DC"/>
    <w:rsid w:val="0074338E"/>
    <w:rsid w:val="00745F2C"/>
    <w:rsid w:val="00747C04"/>
    <w:rsid w:val="007504CD"/>
    <w:rsid w:val="0075119E"/>
    <w:rsid w:val="0075193C"/>
    <w:rsid w:val="00752FA2"/>
    <w:rsid w:val="00754A1D"/>
    <w:rsid w:val="00755881"/>
    <w:rsid w:val="00755905"/>
    <w:rsid w:val="00755A7F"/>
    <w:rsid w:val="00755DED"/>
    <w:rsid w:val="00755F39"/>
    <w:rsid w:val="007615CE"/>
    <w:rsid w:val="00763B3A"/>
    <w:rsid w:val="00763C28"/>
    <w:rsid w:val="007657C1"/>
    <w:rsid w:val="00766443"/>
    <w:rsid w:val="007668F3"/>
    <w:rsid w:val="007676C0"/>
    <w:rsid w:val="007703E9"/>
    <w:rsid w:val="00770E59"/>
    <w:rsid w:val="00773964"/>
    <w:rsid w:val="00773E34"/>
    <w:rsid w:val="007756FF"/>
    <w:rsid w:val="007801E8"/>
    <w:rsid w:val="007830E0"/>
    <w:rsid w:val="00783B68"/>
    <w:rsid w:val="00783D42"/>
    <w:rsid w:val="0078520A"/>
    <w:rsid w:val="00785952"/>
    <w:rsid w:val="00786880"/>
    <w:rsid w:val="0079103B"/>
    <w:rsid w:val="00791CEE"/>
    <w:rsid w:val="007928EF"/>
    <w:rsid w:val="0079297B"/>
    <w:rsid w:val="0079558E"/>
    <w:rsid w:val="00795B9B"/>
    <w:rsid w:val="007A01FC"/>
    <w:rsid w:val="007A1DA9"/>
    <w:rsid w:val="007A1FDD"/>
    <w:rsid w:val="007A342D"/>
    <w:rsid w:val="007A4F6A"/>
    <w:rsid w:val="007A5283"/>
    <w:rsid w:val="007A5496"/>
    <w:rsid w:val="007A6613"/>
    <w:rsid w:val="007A66EC"/>
    <w:rsid w:val="007A7A20"/>
    <w:rsid w:val="007A7CA3"/>
    <w:rsid w:val="007B21EE"/>
    <w:rsid w:val="007B3224"/>
    <w:rsid w:val="007B3FBC"/>
    <w:rsid w:val="007B4406"/>
    <w:rsid w:val="007B59EF"/>
    <w:rsid w:val="007B7602"/>
    <w:rsid w:val="007B7D93"/>
    <w:rsid w:val="007C175C"/>
    <w:rsid w:val="007C1B7C"/>
    <w:rsid w:val="007C211C"/>
    <w:rsid w:val="007C43F9"/>
    <w:rsid w:val="007C501B"/>
    <w:rsid w:val="007C50A5"/>
    <w:rsid w:val="007C5CBD"/>
    <w:rsid w:val="007C6CA6"/>
    <w:rsid w:val="007C78A7"/>
    <w:rsid w:val="007D0CA8"/>
    <w:rsid w:val="007D177A"/>
    <w:rsid w:val="007D2734"/>
    <w:rsid w:val="007D432E"/>
    <w:rsid w:val="007D5C1B"/>
    <w:rsid w:val="007D7271"/>
    <w:rsid w:val="007D72F1"/>
    <w:rsid w:val="007D7353"/>
    <w:rsid w:val="007D73F5"/>
    <w:rsid w:val="007D75F2"/>
    <w:rsid w:val="007D7D81"/>
    <w:rsid w:val="007E2B39"/>
    <w:rsid w:val="007E3B74"/>
    <w:rsid w:val="007E4313"/>
    <w:rsid w:val="007E5768"/>
    <w:rsid w:val="007E722A"/>
    <w:rsid w:val="007E7382"/>
    <w:rsid w:val="007F11C9"/>
    <w:rsid w:val="007F2C94"/>
    <w:rsid w:val="007F2FB2"/>
    <w:rsid w:val="007F3B9F"/>
    <w:rsid w:val="007F3C40"/>
    <w:rsid w:val="007F3EC5"/>
    <w:rsid w:val="007F4940"/>
    <w:rsid w:val="007F5ECF"/>
    <w:rsid w:val="007F7C17"/>
    <w:rsid w:val="008006B1"/>
    <w:rsid w:val="0080178C"/>
    <w:rsid w:val="00804502"/>
    <w:rsid w:val="00806A89"/>
    <w:rsid w:val="00807F3B"/>
    <w:rsid w:val="0081032A"/>
    <w:rsid w:val="00814076"/>
    <w:rsid w:val="00814A63"/>
    <w:rsid w:val="0081572F"/>
    <w:rsid w:val="008157A2"/>
    <w:rsid w:val="00815804"/>
    <w:rsid w:val="00815F56"/>
    <w:rsid w:val="00816AA2"/>
    <w:rsid w:val="00817FE8"/>
    <w:rsid w:val="008204E1"/>
    <w:rsid w:val="00820D31"/>
    <w:rsid w:val="00821B13"/>
    <w:rsid w:val="00822CFA"/>
    <w:rsid w:val="00822F58"/>
    <w:rsid w:val="008230DA"/>
    <w:rsid w:val="00825C9A"/>
    <w:rsid w:val="0083039B"/>
    <w:rsid w:val="00833A46"/>
    <w:rsid w:val="00833BD1"/>
    <w:rsid w:val="008354EA"/>
    <w:rsid w:val="0083748C"/>
    <w:rsid w:val="00840D93"/>
    <w:rsid w:val="00841574"/>
    <w:rsid w:val="00843251"/>
    <w:rsid w:val="00844D30"/>
    <w:rsid w:val="00844F33"/>
    <w:rsid w:val="008475DB"/>
    <w:rsid w:val="00847711"/>
    <w:rsid w:val="0085079B"/>
    <w:rsid w:val="00850951"/>
    <w:rsid w:val="00850B69"/>
    <w:rsid w:val="00854302"/>
    <w:rsid w:val="0085687A"/>
    <w:rsid w:val="00856F68"/>
    <w:rsid w:val="00857F10"/>
    <w:rsid w:val="008613FE"/>
    <w:rsid w:val="008640B1"/>
    <w:rsid w:val="00864E09"/>
    <w:rsid w:val="008651A7"/>
    <w:rsid w:val="00865751"/>
    <w:rsid w:val="00866E32"/>
    <w:rsid w:val="00867554"/>
    <w:rsid w:val="00867C0E"/>
    <w:rsid w:val="00871461"/>
    <w:rsid w:val="008723D7"/>
    <w:rsid w:val="00872B0F"/>
    <w:rsid w:val="00872D54"/>
    <w:rsid w:val="00874149"/>
    <w:rsid w:val="00874649"/>
    <w:rsid w:val="00874B9B"/>
    <w:rsid w:val="008762D9"/>
    <w:rsid w:val="00881014"/>
    <w:rsid w:val="0088155A"/>
    <w:rsid w:val="008865B7"/>
    <w:rsid w:val="00890D19"/>
    <w:rsid w:val="00892572"/>
    <w:rsid w:val="0089305D"/>
    <w:rsid w:val="008957D4"/>
    <w:rsid w:val="00895C57"/>
    <w:rsid w:val="00896C52"/>
    <w:rsid w:val="008A1AB0"/>
    <w:rsid w:val="008A307B"/>
    <w:rsid w:val="008A33C5"/>
    <w:rsid w:val="008A3787"/>
    <w:rsid w:val="008A4F40"/>
    <w:rsid w:val="008A56C6"/>
    <w:rsid w:val="008A62E3"/>
    <w:rsid w:val="008A6B3B"/>
    <w:rsid w:val="008A71DA"/>
    <w:rsid w:val="008B2967"/>
    <w:rsid w:val="008B2DD9"/>
    <w:rsid w:val="008B31D0"/>
    <w:rsid w:val="008B3BB9"/>
    <w:rsid w:val="008B517A"/>
    <w:rsid w:val="008B54DB"/>
    <w:rsid w:val="008B5536"/>
    <w:rsid w:val="008B58F8"/>
    <w:rsid w:val="008B5E9A"/>
    <w:rsid w:val="008B625A"/>
    <w:rsid w:val="008B7B5A"/>
    <w:rsid w:val="008C0582"/>
    <w:rsid w:val="008C2D35"/>
    <w:rsid w:val="008C2F49"/>
    <w:rsid w:val="008C3A87"/>
    <w:rsid w:val="008C4FB6"/>
    <w:rsid w:val="008C6312"/>
    <w:rsid w:val="008C6F99"/>
    <w:rsid w:val="008D1059"/>
    <w:rsid w:val="008D3627"/>
    <w:rsid w:val="008D4C7C"/>
    <w:rsid w:val="008D5A48"/>
    <w:rsid w:val="008D79E7"/>
    <w:rsid w:val="008D7DC0"/>
    <w:rsid w:val="008E1EC8"/>
    <w:rsid w:val="008E290B"/>
    <w:rsid w:val="008E2A29"/>
    <w:rsid w:val="008E392C"/>
    <w:rsid w:val="008E3BC6"/>
    <w:rsid w:val="008E6C33"/>
    <w:rsid w:val="008E77A6"/>
    <w:rsid w:val="008F04AD"/>
    <w:rsid w:val="008F0BFC"/>
    <w:rsid w:val="008F16AD"/>
    <w:rsid w:val="008F1732"/>
    <w:rsid w:val="008F1970"/>
    <w:rsid w:val="008F36CC"/>
    <w:rsid w:val="008F7266"/>
    <w:rsid w:val="008F732C"/>
    <w:rsid w:val="008F7AD4"/>
    <w:rsid w:val="009013DF"/>
    <w:rsid w:val="009020C1"/>
    <w:rsid w:val="00903F3A"/>
    <w:rsid w:val="00904E1A"/>
    <w:rsid w:val="00906CC2"/>
    <w:rsid w:val="00910DCB"/>
    <w:rsid w:val="00912EC4"/>
    <w:rsid w:val="00913255"/>
    <w:rsid w:val="00913839"/>
    <w:rsid w:val="00913EA3"/>
    <w:rsid w:val="0091639C"/>
    <w:rsid w:val="00920AD8"/>
    <w:rsid w:val="00921B27"/>
    <w:rsid w:val="009227C3"/>
    <w:rsid w:val="00925C21"/>
    <w:rsid w:val="0093359C"/>
    <w:rsid w:val="0093398A"/>
    <w:rsid w:val="00934374"/>
    <w:rsid w:val="0093504D"/>
    <w:rsid w:val="00935077"/>
    <w:rsid w:val="00935FC9"/>
    <w:rsid w:val="00936D57"/>
    <w:rsid w:val="009371F9"/>
    <w:rsid w:val="009373D5"/>
    <w:rsid w:val="00937675"/>
    <w:rsid w:val="00937B6E"/>
    <w:rsid w:val="00937BD7"/>
    <w:rsid w:val="0094172E"/>
    <w:rsid w:val="00942210"/>
    <w:rsid w:val="00942B0B"/>
    <w:rsid w:val="00943198"/>
    <w:rsid w:val="009448C2"/>
    <w:rsid w:val="00944953"/>
    <w:rsid w:val="00944A8F"/>
    <w:rsid w:val="00945278"/>
    <w:rsid w:val="009513A0"/>
    <w:rsid w:val="00951725"/>
    <w:rsid w:val="00952799"/>
    <w:rsid w:val="0095755A"/>
    <w:rsid w:val="00960417"/>
    <w:rsid w:val="0096202C"/>
    <w:rsid w:val="00964FE7"/>
    <w:rsid w:val="00965FD4"/>
    <w:rsid w:val="009661E0"/>
    <w:rsid w:val="00970E4E"/>
    <w:rsid w:val="009715E0"/>
    <w:rsid w:val="0097392E"/>
    <w:rsid w:val="009745B5"/>
    <w:rsid w:val="0097688D"/>
    <w:rsid w:val="00983B83"/>
    <w:rsid w:val="00984B15"/>
    <w:rsid w:val="00984D25"/>
    <w:rsid w:val="0098503B"/>
    <w:rsid w:val="00986B77"/>
    <w:rsid w:val="00990417"/>
    <w:rsid w:val="00991B9C"/>
    <w:rsid w:val="009948F7"/>
    <w:rsid w:val="0099494E"/>
    <w:rsid w:val="00994C56"/>
    <w:rsid w:val="00994FE9"/>
    <w:rsid w:val="00996322"/>
    <w:rsid w:val="009975D5"/>
    <w:rsid w:val="009A0969"/>
    <w:rsid w:val="009A1399"/>
    <w:rsid w:val="009A18E2"/>
    <w:rsid w:val="009A1D9E"/>
    <w:rsid w:val="009A6086"/>
    <w:rsid w:val="009A6695"/>
    <w:rsid w:val="009B0013"/>
    <w:rsid w:val="009B3FA9"/>
    <w:rsid w:val="009B4486"/>
    <w:rsid w:val="009B52DF"/>
    <w:rsid w:val="009B6DC2"/>
    <w:rsid w:val="009B7EC1"/>
    <w:rsid w:val="009B7F93"/>
    <w:rsid w:val="009C0BD8"/>
    <w:rsid w:val="009C1A44"/>
    <w:rsid w:val="009C1A77"/>
    <w:rsid w:val="009C2743"/>
    <w:rsid w:val="009C3687"/>
    <w:rsid w:val="009C452B"/>
    <w:rsid w:val="009C4703"/>
    <w:rsid w:val="009C4B88"/>
    <w:rsid w:val="009C4E98"/>
    <w:rsid w:val="009C6019"/>
    <w:rsid w:val="009C6260"/>
    <w:rsid w:val="009C655D"/>
    <w:rsid w:val="009C6759"/>
    <w:rsid w:val="009C7040"/>
    <w:rsid w:val="009C773E"/>
    <w:rsid w:val="009D0E18"/>
    <w:rsid w:val="009D176F"/>
    <w:rsid w:val="009D2D45"/>
    <w:rsid w:val="009D354F"/>
    <w:rsid w:val="009D3B82"/>
    <w:rsid w:val="009D3DA7"/>
    <w:rsid w:val="009D3E76"/>
    <w:rsid w:val="009D6D0B"/>
    <w:rsid w:val="009D7428"/>
    <w:rsid w:val="009E1E6D"/>
    <w:rsid w:val="009E5729"/>
    <w:rsid w:val="009E64B6"/>
    <w:rsid w:val="009F14BC"/>
    <w:rsid w:val="009F17E1"/>
    <w:rsid w:val="009F300D"/>
    <w:rsid w:val="009F6324"/>
    <w:rsid w:val="009F7B0E"/>
    <w:rsid w:val="00A02702"/>
    <w:rsid w:val="00A054FE"/>
    <w:rsid w:val="00A06240"/>
    <w:rsid w:val="00A06F33"/>
    <w:rsid w:val="00A10987"/>
    <w:rsid w:val="00A16A06"/>
    <w:rsid w:val="00A16C79"/>
    <w:rsid w:val="00A16C9A"/>
    <w:rsid w:val="00A20CBA"/>
    <w:rsid w:val="00A21FBB"/>
    <w:rsid w:val="00A272F3"/>
    <w:rsid w:val="00A30B51"/>
    <w:rsid w:val="00A31705"/>
    <w:rsid w:val="00A32629"/>
    <w:rsid w:val="00A35968"/>
    <w:rsid w:val="00A40528"/>
    <w:rsid w:val="00A460CD"/>
    <w:rsid w:val="00A46EE6"/>
    <w:rsid w:val="00A47A27"/>
    <w:rsid w:val="00A50543"/>
    <w:rsid w:val="00A5192B"/>
    <w:rsid w:val="00A521D0"/>
    <w:rsid w:val="00A5396B"/>
    <w:rsid w:val="00A5539D"/>
    <w:rsid w:val="00A553CA"/>
    <w:rsid w:val="00A56132"/>
    <w:rsid w:val="00A56897"/>
    <w:rsid w:val="00A56E6D"/>
    <w:rsid w:val="00A61044"/>
    <w:rsid w:val="00A61274"/>
    <w:rsid w:val="00A61C13"/>
    <w:rsid w:val="00A61F91"/>
    <w:rsid w:val="00A63955"/>
    <w:rsid w:val="00A64D93"/>
    <w:rsid w:val="00A64FED"/>
    <w:rsid w:val="00A678C9"/>
    <w:rsid w:val="00A70402"/>
    <w:rsid w:val="00A706E3"/>
    <w:rsid w:val="00A74017"/>
    <w:rsid w:val="00A762A4"/>
    <w:rsid w:val="00A80E38"/>
    <w:rsid w:val="00A84051"/>
    <w:rsid w:val="00A8485D"/>
    <w:rsid w:val="00A85EA7"/>
    <w:rsid w:val="00A90E42"/>
    <w:rsid w:val="00A90FF6"/>
    <w:rsid w:val="00A91FBD"/>
    <w:rsid w:val="00A922B1"/>
    <w:rsid w:val="00A93127"/>
    <w:rsid w:val="00A939BD"/>
    <w:rsid w:val="00A939D7"/>
    <w:rsid w:val="00A947E4"/>
    <w:rsid w:val="00A96554"/>
    <w:rsid w:val="00A971D2"/>
    <w:rsid w:val="00AA0CCB"/>
    <w:rsid w:val="00AA190F"/>
    <w:rsid w:val="00AA262B"/>
    <w:rsid w:val="00AA265C"/>
    <w:rsid w:val="00AA284F"/>
    <w:rsid w:val="00AA2949"/>
    <w:rsid w:val="00AA2BC4"/>
    <w:rsid w:val="00AA30FD"/>
    <w:rsid w:val="00AA3AD2"/>
    <w:rsid w:val="00AA3B31"/>
    <w:rsid w:val="00AA6509"/>
    <w:rsid w:val="00AA673C"/>
    <w:rsid w:val="00AA7133"/>
    <w:rsid w:val="00AB0DB9"/>
    <w:rsid w:val="00AB206D"/>
    <w:rsid w:val="00AB2E73"/>
    <w:rsid w:val="00AB453B"/>
    <w:rsid w:val="00AB69EE"/>
    <w:rsid w:val="00AC1958"/>
    <w:rsid w:val="00AC3615"/>
    <w:rsid w:val="00AC39B2"/>
    <w:rsid w:val="00AC50F5"/>
    <w:rsid w:val="00AC7181"/>
    <w:rsid w:val="00AC7A91"/>
    <w:rsid w:val="00AD03E0"/>
    <w:rsid w:val="00AD1772"/>
    <w:rsid w:val="00AD2B28"/>
    <w:rsid w:val="00AD35C2"/>
    <w:rsid w:val="00AD377D"/>
    <w:rsid w:val="00AD3F58"/>
    <w:rsid w:val="00AD7EAF"/>
    <w:rsid w:val="00AD7FD8"/>
    <w:rsid w:val="00AE0567"/>
    <w:rsid w:val="00AE08F6"/>
    <w:rsid w:val="00AE2BD3"/>
    <w:rsid w:val="00AE4617"/>
    <w:rsid w:val="00AE53D7"/>
    <w:rsid w:val="00AE6F11"/>
    <w:rsid w:val="00AE7049"/>
    <w:rsid w:val="00AF0A0F"/>
    <w:rsid w:val="00AF19E5"/>
    <w:rsid w:val="00AF2099"/>
    <w:rsid w:val="00AF31BB"/>
    <w:rsid w:val="00AF4AA0"/>
    <w:rsid w:val="00AF7A84"/>
    <w:rsid w:val="00B00E20"/>
    <w:rsid w:val="00B01A26"/>
    <w:rsid w:val="00B01FBC"/>
    <w:rsid w:val="00B02889"/>
    <w:rsid w:val="00B04EE1"/>
    <w:rsid w:val="00B06002"/>
    <w:rsid w:val="00B07EC6"/>
    <w:rsid w:val="00B100BC"/>
    <w:rsid w:val="00B11C14"/>
    <w:rsid w:val="00B1300C"/>
    <w:rsid w:val="00B14444"/>
    <w:rsid w:val="00B1454D"/>
    <w:rsid w:val="00B14924"/>
    <w:rsid w:val="00B14FAC"/>
    <w:rsid w:val="00B161FF"/>
    <w:rsid w:val="00B219B8"/>
    <w:rsid w:val="00B23495"/>
    <w:rsid w:val="00B23DEF"/>
    <w:rsid w:val="00B27B6F"/>
    <w:rsid w:val="00B27E97"/>
    <w:rsid w:val="00B301CD"/>
    <w:rsid w:val="00B333CF"/>
    <w:rsid w:val="00B337E9"/>
    <w:rsid w:val="00B340DA"/>
    <w:rsid w:val="00B3504B"/>
    <w:rsid w:val="00B35FB7"/>
    <w:rsid w:val="00B36977"/>
    <w:rsid w:val="00B3709A"/>
    <w:rsid w:val="00B4029A"/>
    <w:rsid w:val="00B406BA"/>
    <w:rsid w:val="00B4409E"/>
    <w:rsid w:val="00B4529A"/>
    <w:rsid w:val="00B4638B"/>
    <w:rsid w:val="00B5247B"/>
    <w:rsid w:val="00B529DA"/>
    <w:rsid w:val="00B53857"/>
    <w:rsid w:val="00B54E93"/>
    <w:rsid w:val="00B550D0"/>
    <w:rsid w:val="00B572F8"/>
    <w:rsid w:val="00B6063F"/>
    <w:rsid w:val="00B607A4"/>
    <w:rsid w:val="00B62F91"/>
    <w:rsid w:val="00B631E2"/>
    <w:rsid w:val="00B645D8"/>
    <w:rsid w:val="00B65BC6"/>
    <w:rsid w:val="00B6660A"/>
    <w:rsid w:val="00B66A3C"/>
    <w:rsid w:val="00B67759"/>
    <w:rsid w:val="00B72A30"/>
    <w:rsid w:val="00B72FB1"/>
    <w:rsid w:val="00B74732"/>
    <w:rsid w:val="00B7503C"/>
    <w:rsid w:val="00B7564D"/>
    <w:rsid w:val="00B75DD0"/>
    <w:rsid w:val="00B801F3"/>
    <w:rsid w:val="00B8028B"/>
    <w:rsid w:val="00B805E0"/>
    <w:rsid w:val="00B80CCB"/>
    <w:rsid w:val="00B8149E"/>
    <w:rsid w:val="00B827A1"/>
    <w:rsid w:val="00B8294D"/>
    <w:rsid w:val="00B8384F"/>
    <w:rsid w:val="00B8498D"/>
    <w:rsid w:val="00B857E1"/>
    <w:rsid w:val="00B860E3"/>
    <w:rsid w:val="00B87614"/>
    <w:rsid w:val="00B87E00"/>
    <w:rsid w:val="00B900DB"/>
    <w:rsid w:val="00B914B7"/>
    <w:rsid w:val="00B95690"/>
    <w:rsid w:val="00B95A46"/>
    <w:rsid w:val="00B96A69"/>
    <w:rsid w:val="00BA1036"/>
    <w:rsid w:val="00BA1DD9"/>
    <w:rsid w:val="00BA2123"/>
    <w:rsid w:val="00BA3197"/>
    <w:rsid w:val="00BA3285"/>
    <w:rsid w:val="00BA3496"/>
    <w:rsid w:val="00BA4162"/>
    <w:rsid w:val="00BA51FD"/>
    <w:rsid w:val="00BB1CF4"/>
    <w:rsid w:val="00BB3B39"/>
    <w:rsid w:val="00BB4C20"/>
    <w:rsid w:val="00BB50F2"/>
    <w:rsid w:val="00BB6E62"/>
    <w:rsid w:val="00BB7190"/>
    <w:rsid w:val="00BB780B"/>
    <w:rsid w:val="00BC0B0A"/>
    <w:rsid w:val="00BC21F7"/>
    <w:rsid w:val="00BC2CAA"/>
    <w:rsid w:val="00BC3CBC"/>
    <w:rsid w:val="00BC4D81"/>
    <w:rsid w:val="00BC651B"/>
    <w:rsid w:val="00BC7686"/>
    <w:rsid w:val="00BD0EEC"/>
    <w:rsid w:val="00BD1363"/>
    <w:rsid w:val="00BD3894"/>
    <w:rsid w:val="00BD3FB6"/>
    <w:rsid w:val="00BD49E0"/>
    <w:rsid w:val="00BD63D0"/>
    <w:rsid w:val="00BD6FD4"/>
    <w:rsid w:val="00BD7A75"/>
    <w:rsid w:val="00BE0683"/>
    <w:rsid w:val="00BE37F6"/>
    <w:rsid w:val="00BE7359"/>
    <w:rsid w:val="00BF0221"/>
    <w:rsid w:val="00BF15BF"/>
    <w:rsid w:val="00BF19D4"/>
    <w:rsid w:val="00BF2187"/>
    <w:rsid w:val="00BF5CA4"/>
    <w:rsid w:val="00BF5D4F"/>
    <w:rsid w:val="00BF68A6"/>
    <w:rsid w:val="00BF72AB"/>
    <w:rsid w:val="00C011AB"/>
    <w:rsid w:val="00C02C90"/>
    <w:rsid w:val="00C05823"/>
    <w:rsid w:val="00C05D69"/>
    <w:rsid w:val="00C07600"/>
    <w:rsid w:val="00C10BE1"/>
    <w:rsid w:val="00C10E97"/>
    <w:rsid w:val="00C12F5F"/>
    <w:rsid w:val="00C13377"/>
    <w:rsid w:val="00C1768B"/>
    <w:rsid w:val="00C17793"/>
    <w:rsid w:val="00C20D02"/>
    <w:rsid w:val="00C21919"/>
    <w:rsid w:val="00C22D30"/>
    <w:rsid w:val="00C22F28"/>
    <w:rsid w:val="00C2401C"/>
    <w:rsid w:val="00C27078"/>
    <w:rsid w:val="00C27FDC"/>
    <w:rsid w:val="00C31BFA"/>
    <w:rsid w:val="00C35D25"/>
    <w:rsid w:val="00C36E3D"/>
    <w:rsid w:val="00C3761C"/>
    <w:rsid w:val="00C37FC5"/>
    <w:rsid w:val="00C40202"/>
    <w:rsid w:val="00C4116E"/>
    <w:rsid w:val="00C45477"/>
    <w:rsid w:val="00C45B52"/>
    <w:rsid w:val="00C4786E"/>
    <w:rsid w:val="00C47CAA"/>
    <w:rsid w:val="00C51643"/>
    <w:rsid w:val="00C517C3"/>
    <w:rsid w:val="00C52A63"/>
    <w:rsid w:val="00C5319E"/>
    <w:rsid w:val="00C53A0F"/>
    <w:rsid w:val="00C549D5"/>
    <w:rsid w:val="00C5503E"/>
    <w:rsid w:val="00C565D6"/>
    <w:rsid w:val="00C56F30"/>
    <w:rsid w:val="00C62C3F"/>
    <w:rsid w:val="00C62DA1"/>
    <w:rsid w:val="00C62DF1"/>
    <w:rsid w:val="00C6366F"/>
    <w:rsid w:val="00C63C07"/>
    <w:rsid w:val="00C648D1"/>
    <w:rsid w:val="00C65D52"/>
    <w:rsid w:val="00C67D00"/>
    <w:rsid w:val="00C701FE"/>
    <w:rsid w:val="00C711CE"/>
    <w:rsid w:val="00C7151A"/>
    <w:rsid w:val="00C71712"/>
    <w:rsid w:val="00C7195B"/>
    <w:rsid w:val="00C74E50"/>
    <w:rsid w:val="00C77911"/>
    <w:rsid w:val="00C80B2B"/>
    <w:rsid w:val="00C80EA9"/>
    <w:rsid w:val="00C80FF4"/>
    <w:rsid w:val="00C8127F"/>
    <w:rsid w:val="00C81D6F"/>
    <w:rsid w:val="00C82604"/>
    <w:rsid w:val="00C838C9"/>
    <w:rsid w:val="00C84620"/>
    <w:rsid w:val="00C86824"/>
    <w:rsid w:val="00C9018A"/>
    <w:rsid w:val="00C91BC6"/>
    <w:rsid w:val="00C940A3"/>
    <w:rsid w:val="00C954E7"/>
    <w:rsid w:val="00C956B1"/>
    <w:rsid w:val="00C95E77"/>
    <w:rsid w:val="00C96ABF"/>
    <w:rsid w:val="00CA009A"/>
    <w:rsid w:val="00CA19FF"/>
    <w:rsid w:val="00CA4D9C"/>
    <w:rsid w:val="00CA5292"/>
    <w:rsid w:val="00CA598E"/>
    <w:rsid w:val="00CA5C41"/>
    <w:rsid w:val="00CA60D5"/>
    <w:rsid w:val="00CB0375"/>
    <w:rsid w:val="00CB0A45"/>
    <w:rsid w:val="00CB0A5A"/>
    <w:rsid w:val="00CB2DBE"/>
    <w:rsid w:val="00CB3C92"/>
    <w:rsid w:val="00CB76FF"/>
    <w:rsid w:val="00CC0065"/>
    <w:rsid w:val="00CC21B1"/>
    <w:rsid w:val="00CC5777"/>
    <w:rsid w:val="00CC7156"/>
    <w:rsid w:val="00CD040B"/>
    <w:rsid w:val="00CD0DA1"/>
    <w:rsid w:val="00CD12D1"/>
    <w:rsid w:val="00CD253B"/>
    <w:rsid w:val="00CD2E61"/>
    <w:rsid w:val="00CD3725"/>
    <w:rsid w:val="00CD3F60"/>
    <w:rsid w:val="00CD3F8E"/>
    <w:rsid w:val="00CD4D7B"/>
    <w:rsid w:val="00CD4DE5"/>
    <w:rsid w:val="00CD6206"/>
    <w:rsid w:val="00CD672A"/>
    <w:rsid w:val="00CD73BC"/>
    <w:rsid w:val="00CD7E0B"/>
    <w:rsid w:val="00CE045F"/>
    <w:rsid w:val="00CE0790"/>
    <w:rsid w:val="00CE33B2"/>
    <w:rsid w:val="00CE403E"/>
    <w:rsid w:val="00CE4912"/>
    <w:rsid w:val="00CE54B9"/>
    <w:rsid w:val="00CE5ECC"/>
    <w:rsid w:val="00CE77EE"/>
    <w:rsid w:val="00CF01D0"/>
    <w:rsid w:val="00CF0C42"/>
    <w:rsid w:val="00CF273A"/>
    <w:rsid w:val="00CF2D15"/>
    <w:rsid w:val="00CF2F55"/>
    <w:rsid w:val="00CF399E"/>
    <w:rsid w:val="00CF51E1"/>
    <w:rsid w:val="00CF6142"/>
    <w:rsid w:val="00CF614E"/>
    <w:rsid w:val="00CF6FB7"/>
    <w:rsid w:val="00CF7681"/>
    <w:rsid w:val="00D001BE"/>
    <w:rsid w:val="00D00A28"/>
    <w:rsid w:val="00D0217A"/>
    <w:rsid w:val="00D04E4D"/>
    <w:rsid w:val="00D04FEC"/>
    <w:rsid w:val="00D05675"/>
    <w:rsid w:val="00D065BE"/>
    <w:rsid w:val="00D06964"/>
    <w:rsid w:val="00D07351"/>
    <w:rsid w:val="00D07BBB"/>
    <w:rsid w:val="00D11BFC"/>
    <w:rsid w:val="00D1330E"/>
    <w:rsid w:val="00D14DAA"/>
    <w:rsid w:val="00D16CE3"/>
    <w:rsid w:val="00D174B7"/>
    <w:rsid w:val="00D2057B"/>
    <w:rsid w:val="00D20D7A"/>
    <w:rsid w:val="00D214A8"/>
    <w:rsid w:val="00D2157F"/>
    <w:rsid w:val="00D21AF8"/>
    <w:rsid w:val="00D22079"/>
    <w:rsid w:val="00D2219A"/>
    <w:rsid w:val="00D225CF"/>
    <w:rsid w:val="00D226DD"/>
    <w:rsid w:val="00D24534"/>
    <w:rsid w:val="00D24CC6"/>
    <w:rsid w:val="00D2507D"/>
    <w:rsid w:val="00D25F53"/>
    <w:rsid w:val="00D2649C"/>
    <w:rsid w:val="00D26AEB"/>
    <w:rsid w:val="00D272DD"/>
    <w:rsid w:val="00D27F25"/>
    <w:rsid w:val="00D32028"/>
    <w:rsid w:val="00D32FE9"/>
    <w:rsid w:val="00D33564"/>
    <w:rsid w:val="00D34BB5"/>
    <w:rsid w:val="00D35848"/>
    <w:rsid w:val="00D35992"/>
    <w:rsid w:val="00D36116"/>
    <w:rsid w:val="00D37361"/>
    <w:rsid w:val="00D42D7B"/>
    <w:rsid w:val="00D431A9"/>
    <w:rsid w:val="00D433BA"/>
    <w:rsid w:val="00D434D8"/>
    <w:rsid w:val="00D44B68"/>
    <w:rsid w:val="00D44D40"/>
    <w:rsid w:val="00D45FB6"/>
    <w:rsid w:val="00D5125B"/>
    <w:rsid w:val="00D57D23"/>
    <w:rsid w:val="00D60EE0"/>
    <w:rsid w:val="00D63F9F"/>
    <w:rsid w:val="00D64822"/>
    <w:rsid w:val="00D64BF5"/>
    <w:rsid w:val="00D651C3"/>
    <w:rsid w:val="00D65993"/>
    <w:rsid w:val="00D65F5B"/>
    <w:rsid w:val="00D67BEB"/>
    <w:rsid w:val="00D70C1D"/>
    <w:rsid w:val="00D71960"/>
    <w:rsid w:val="00D73B08"/>
    <w:rsid w:val="00D7431B"/>
    <w:rsid w:val="00D7479E"/>
    <w:rsid w:val="00D74E39"/>
    <w:rsid w:val="00D766F1"/>
    <w:rsid w:val="00D77423"/>
    <w:rsid w:val="00D807E4"/>
    <w:rsid w:val="00D81F32"/>
    <w:rsid w:val="00D82BF8"/>
    <w:rsid w:val="00D9095B"/>
    <w:rsid w:val="00D90B63"/>
    <w:rsid w:val="00D9254F"/>
    <w:rsid w:val="00D93231"/>
    <w:rsid w:val="00D937A6"/>
    <w:rsid w:val="00D945C0"/>
    <w:rsid w:val="00D94F51"/>
    <w:rsid w:val="00D957B5"/>
    <w:rsid w:val="00D9659C"/>
    <w:rsid w:val="00D971EA"/>
    <w:rsid w:val="00D97759"/>
    <w:rsid w:val="00DA0971"/>
    <w:rsid w:val="00DA0DB2"/>
    <w:rsid w:val="00DA2392"/>
    <w:rsid w:val="00DA41B4"/>
    <w:rsid w:val="00DA41FA"/>
    <w:rsid w:val="00DA4EFA"/>
    <w:rsid w:val="00DA4F72"/>
    <w:rsid w:val="00DA53B8"/>
    <w:rsid w:val="00DA6F60"/>
    <w:rsid w:val="00DB0764"/>
    <w:rsid w:val="00DB1AB0"/>
    <w:rsid w:val="00DB1F12"/>
    <w:rsid w:val="00DB458F"/>
    <w:rsid w:val="00DB555B"/>
    <w:rsid w:val="00DB6BD2"/>
    <w:rsid w:val="00DB6F48"/>
    <w:rsid w:val="00DB716C"/>
    <w:rsid w:val="00DB7213"/>
    <w:rsid w:val="00DB7D6D"/>
    <w:rsid w:val="00DC03E9"/>
    <w:rsid w:val="00DC0508"/>
    <w:rsid w:val="00DC2B48"/>
    <w:rsid w:val="00DC2F2C"/>
    <w:rsid w:val="00DC368B"/>
    <w:rsid w:val="00DC3B17"/>
    <w:rsid w:val="00DC4365"/>
    <w:rsid w:val="00DC4988"/>
    <w:rsid w:val="00DC4BA9"/>
    <w:rsid w:val="00DC4D53"/>
    <w:rsid w:val="00DC5BC3"/>
    <w:rsid w:val="00DC67EC"/>
    <w:rsid w:val="00DC6AD6"/>
    <w:rsid w:val="00DC6BF1"/>
    <w:rsid w:val="00DC6ED0"/>
    <w:rsid w:val="00DC71D1"/>
    <w:rsid w:val="00DC7A22"/>
    <w:rsid w:val="00DC7C05"/>
    <w:rsid w:val="00DD030F"/>
    <w:rsid w:val="00DD21F0"/>
    <w:rsid w:val="00DD2450"/>
    <w:rsid w:val="00DD2FC2"/>
    <w:rsid w:val="00DD6D7E"/>
    <w:rsid w:val="00DD72E6"/>
    <w:rsid w:val="00DE095A"/>
    <w:rsid w:val="00DE314F"/>
    <w:rsid w:val="00DE3FEA"/>
    <w:rsid w:val="00DE5547"/>
    <w:rsid w:val="00DF104F"/>
    <w:rsid w:val="00DF39B2"/>
    <w:rsid w:val="00DF4587"/>
    <w:rsid w:val="00DF49D1"/>
    <w:rsid w:val="00DF4BB7"/>
    <w:rsid w:val="00DF4FBE"/>
    <w:rsid w:val="00DF676A"/>
    <w:rsid w:val="00DF74B4"/>
    <w:rsid w:val="00DF76E4"/>
    <w:rsid w:val="00E00A33"/>
    <w:rsid w:val="00E02D7F"/>
    <w:rsid w:val="00E03FF5"/>
    <w:rsid w:val="00E060D6"/>
    <w:rsid w:val="00E066A6"/>
    <w:rsid w:val="00E06BCB"/>
    <w:rsid w:val="00E10BA3"/>
    <w:rsid w:val="00E11CF0"/>
    <w:rsid w:val="00E13556"/>
    <w:rsid w:val="00E1497A"/>
    <w:rsid w:val="00E15662"/>
    <w:rsid w:val="00E15AA8"/>
    <w:rsid w:val="00E220E2"/>
    <w:rsid w:val="00E2334E"/>
    <w:rsid w:val="00E24230"/>
    <w:rsid w:val="00E24864"/>
    <w:rsid w:val="00E24BBB"/>
    <w:rsid w:val="00E25103"/>
    <w:rsid w:val="00E25BC0"/>
    <w:rsid w:val="00E25E55"/>
    <w:rsid w:val="00E26636"/>
    <w:rsid w:val="00E274C6"/>
    <w:rsid w:val="00E3158E"/>
    <w:rsid w:val="00E32CB9"/>
    <w:rsid w:val="00E34A56"/>
    <w:rsid w:val="00E35052"/>
    <w:rsid w:val="00E3524B"/>
    <w:rsid w:val="00E35574"/>
    <w:rsid w:val="00E3592A"/>
    <w:rsid w:val="00E37AC2"/>
    <w:rsid w:val="00E37CE0"/>
    <w:rsid w:val="00E37D8E"/>
    <w:rsid w:val="00E41220"/>
    <w:rsid w:val="00E4206D"/>
    <w:rsid w:val="00E42B50"/>
    <w:rsid w:val="00E44BD1"/>
    <w:rsid w:val="00E46082"/>
    <w:rsid w:val="00E4656C"/>
    <w:rsid w:val="00E50511"/>
    <w:rsid w:val="00E50A8F"/>
    <w:rsid w:val="00E5137E"/>
    <w:rsid w:val="00E52BBE"/>
    <w:rsid w:val="00E537CC"/>
    <w:rsid w:val="00E54BA0"/>
    <w:rsid w:val="00E55BDC"/>
    <w:rsid w:val="00E56542"/>
    <w:rsid w:val="00E56D9B"/>
    <w:rsid w:val="00E609C1"/>
    <w:rsid w:val="00E60CE0"/>
    <w:rsid w:val="00E60FAF"/>
    <w:rsid w:val="00E61654"/>
    <w:rsid w:val="00E61671"/>
    <w:rsid w:val="00E62914"/>
    <w:rsid w:val="00E635B4"/>
    <w:rsid w:val="00E64367"/>
    <w:rsid w:val="00E6461D"/>
    <w:rsid w:val="00E64C1D"/>
    <w:rsid w:val="00E660F9"/>
    <w:rsid w:val="00E677C5"/>
    <w:rsid w:val="00E70196"/>
    <w:rsid w:val="00E70BFD"/>
    <w:rsid w:val="00E7108C"/>
    <w:rsid w:val="00E742A5"/>
    <w:rsid w:val="00E743CB"/>
    <w:rsid w:val="00E74614"/>
    <w:rsid w:val="00E75695"/>
    <w:rsid w:val="00E7633E"/>
    <w:rsid w:val="00E76939"/>
    <w:rsid w:val="00E77751"/>
    <w:rsid w:val="00E81140"/>
    <w:rsid w:val="00E82286"/>
    <w:rsid w:val="00E8259C"/>
    <w:rsid w:val="00E85939"/>
    <w:rsid w:val="00E86CB8"/>
    <w:rsid w:val="00E86F01"/>
    <w:rsid w:val="00E87D6F"/>
    <w:rsid w:val="00E92FCC"/>
    <w:rsid w:val="00E93433"/>
    <w:rsid w:val="00E945B3"/>
    <w:rsid w:val="00E950C2"/>
    <w:rsid w:val="00E961A8"/>
    <w:rsid w:val="00E97FED"/>
    <w:rsid w:val="00EA0A0E"/>
    <w:rsid w:val="00EA0DDB"/>
    <w:rsid w:val="00EA1F3F"/>
    <w:rsid w:val="00EA31AE"/>
    <w:rsid w:val="00EA39FD"/>
    <w:rsid w:val="00EA3B22"/>
    <w:rsid w:val="00EA3D08"/>
    <w:rsid w:val="00EA3DFE"/>
    <w:rsid w:val="00EA6391"/>
    <w:rsid w:val="00EA6D0C"/>
    <w:rsid w:val="00EA6EA9"/>
    <w:rsid w:val="00EB0D3D"/>
    <w:rsid w:val="00EB10DD"/>
    <w:rsid w:val="00EB1F2A"/>
    <w:rsid w:val="00EB29F7"/>
    <w:rsid w:val="00EB2CA1"/>
    <w:rsid w:val="00EB339B"/>
    <w:rsid w:val="00EB3568"/>
    <w:rsid w:val="00EB4D03"/>
    <w:rsid w:val="00EB5C99"/>
    <w:rsid w:val="00EB6A8C"/>
    <w:rsid w:val="00EC07BA"/>
    <w:rsid w:val="00EC10B8"/>
    <w:rsid w:val="00EC1D39"/>
    <w:rsid w:val="00EC1D61"/>
    <w:rsid w:val="00EC270B"/>
    <w:rsid w:val="00EC2C25"/>
    <w:rsid w:val="00EC432B"/>
    <w:rsid w:val="00ED1933"/>
    <w:rsid w:val="00ED214E"/>
    <w:rsid w:val="00ED2390"/>
    <w:rsid w:val="00ED48E6"/>
    <w:rsid w:val="00ED56AF"/>
    <w:rsid w:val="00ED59FF"/>
    <w:rsid w:val="00ED71C7"/>
    <w:rsid w:val="00ED79D9"/>
    <w:rsid w:val="00EE0EBD"/>
    <w:rsid w:val="00EE3986"/>
    <w:rsid w:val="00EE3C58"/>
    <w:rsid w:val="00EE4F89"/>
    <w:rsid w:val="00EE56E8"/>
    <w:rsid w:val="00EF0B51"/>
    <w:rsid w:val="00EF0D09"/>
    <w:rsid w:val="00EF1368"/>
    <w:rsid w:val="00EF1599"/>
    <w:rsid w:val="00EF224D"/>
    <w:rsid w:val="00EF410A"/>
    <w:rsid w:val="00EF437E"/>
    <w:rsid w:val="00EF5893"/>
    <w:rsid w:val="00EF75E3"/>
    <w:rsid w:val="00EF77E9"/>
    <w:rsid w:val="00F01F1F"/>
    <w:rsid w:val="00F02938"/>
    <w:rsid w:val="00F02942"/>
    <w:rsid w:val="00F0308F"/>
    <w:rsid w:val="00F03CD0"/>
    <w:rsid w:val="00F03EAF"/>
    <w:rsid w:val="00F06653"/>
    <w:rsid w:val="00F06F84"/>
    <w:rsid w:val="00F07FD6"/>
    <w:rsid w:val="00F10D91"/>
    <w:rsid w:val="00F11570"/>
    <w:rsid w:val="00F141EF"/>
    <w:rsid w:val="00F14E6F"/>
    <w:rsid w:val="00F1517C"/>
    <w:rsid w:val="00F1576D"/>
    <w:rsid w:val="00F16D19"/>
    <w:rsid w:val="00F17748"/>
    <w:rsid w:val="00F17C6B"/>
    <w:rsid w:val="00F17E12"/>
    <w:rsid w:val="00F21338"/>
    <w:rsid w:val="00F2150E"/>
    <w:rsid w:val="00F2165D"/>
    <w:rsid w:val="00F22237"/>
    <w:rsid w:val="00F22CC5"/>
    <w:rsid w:val="00F23417"/>
    <w:rsid w:val="00F258A6"/>
    <w:rsid w:val="00F268FE"/>
    <w:rsid w:val="00F26AD0"/>
    <w:rsid w:val="00F271EE"/>
    <w:rsid w:val="00F2720B"/>
    <w:rsid w:val="00F27A65"/>
    <w:rsid w:val="00F30196"/>
    <w:rsid w:val="00F30898"/>
    <w:rsid w:val="00F318F5"/>
    <w:rsid w:val="00F3379D"/>
    <w:rsid w:val="00F3500F"/>
    <w:rsid w:val="00F37362"/>
    <w:rsid w:val="00F37404"/>
    <w:rsid w:val="00F407D1"/>
    <w:rsid w:val="00F41465"/>
    <w:rsid w:val="00F42ED3"/>
    <w:rsid w:val="00F43509"/>
    <w:rsid w:val="00F43FB2"/>
    <w:rsid w:val="00F44586"/>
    <w:rsid w:val="00F44DDB"/>
    <w:rsid w:val="00F4624D"/>
    <w:rsid w:val="00F4754D"/>
    <w:rsid w:val="00F50596"/>
    <w:rsid w:val="00F508E6"/>
    <w:rsid w:val="00F514B7"/>
    <w:rsid w:val="00F53202"/>
    <w:rsid w:val="00F537C0"/>
    <w:rsid w:val="00F53B97"/>
    <w:rsid w:val="00F54114"/>
    <w:rsid w:val="00F558D5"/>
    <w:rsid w:val="00F572F1"/>
    <w:rsid w:val="00F613FB"/>
    <w:rsid w:val="00F624CD"/>
    <w:rsid w:val="00F62FCD"/>
    <w:rsid w:val="00F63415"/>
    <w:rsid w:val="00F647C2"/>
    <w:rsid w:val="00F64A6F"/>
    <w:rsid w:val="00F64AE4"/>
    <w:rsid w:val="00F64FF8"/>
    <w:rsid w:val="00F66528"/>
    <w:rsid w:val="00F67291"/>
    <w:rsid w:val="00F677C3"/>
    <w:rsid w:val="00F677FF"/>
    <w:rsid w:val="00F67B42"/>
    <w:rsid w:val="00F71ADE"/>
    <w:rsid w:val="00F71CC5"/>
    <w:rsid w:val="00F71FAF"/>
    <w:rsid w:val="00F72FA4"/>
    <w:rsid w:val="00F73179"/>
    <w:rsid w:val="00F74CF4"/>
    <w:rsid w:val="00F74D1E"/>
    <w:rsid w:val="00F755C2"/>
    <w:rsid w:val="00F773AD"/>
    <w:rsid w:val="00F77A5B"/>
    <w:rsid w:val="00F77C8D"/>
    <w:rsid w:val="00F82068"/>
    <w:rsid w:val="00F831F9"/>
    <w:rsid w:val="00F83E17"/>
    <w:rsid w:val="00F854CC"/>
    <w:rsid w:val="00F8760C"/>
    <w:rsid w:val="00F906A5"/>
    <w:rsid w:val="00F91B31"/>
    <w:rsid w:val="00F92514"/>
    <w:rsid w:val="00F92E75"/>
    <w:rsid w:val="00F95391"/>
    <w:rsid w:val="00F95DC3"/>
    <w:rsid w:val="00F965C0"/>
    <w:rsid w:val="00FA009A"/>
    <w:rsid w:val="00FA4BBE"/>
    <w:rsid w:val="00FA52C6"/>
    <w:rsid w:val="00FA7214"/>
    <w:rsid w:val="00FA75C5"/>
    <w:rsid w:val="00FA7BB3"/>
    <w:rsid w:val="00FB139B"/>
    <w:rsid w:val="00FB3A58"/>
    <w:rsid w:val="00FB46EB"/>
    <w:rsid w:val="00FB656D"/>
    <w:rsid w:val="00FC290F"/>
    <w:rsid w:val="00FC3422"/>
    <w:rsid w:val="00FC41FD"/>
    <w:rsid w:val="00FC45DC"/>
    <w:rsid w:val="00FC603F"/>
    <w:rsid w:val="00FC6F3F"/>
    <w:rsid w:val="00FC7800"/>
    <w:rsid w:val="00FC78F4"/>
    <w:rsid w:val="00FC7F06"/>
    <w:rsid w:val="00FD03D2"/>
    <w:rsid w:val="00FD10CE"/>
    <w:rsid w:val="00FD21AA"/>
    <w:rsid w:val="00FD2D8E"/>
    <w:rsid w:val="00FD49C2"/>
    <w:rsid w:val="00FD62D2"/>
    <w:rsid w:val="00FD6DBF"/>
    <w:rsid w:val="00FD7F44"/>
    <w:rsid w:val="00FE03A8"/>
    <w:rsid w:val="00FE0D89"/>
    <w:rsid w:val="00FE0F1D"/>
    <w:rsid w:val="00FE13B7"/>
    <w:rsid w:val="00FE1808"/>
    <w:rsid w:val="00FE3DD6"/>
    <w:rsid w:val="00FE4893"/>
    <w:rsid w:val="00FF0B2D"/>
    <w:rsid w:val="00FF0C9A"/>
    <w:rsid w:val="00FF0E95"/>
    <w:rsid w:val="00FF0FFA"/>
    <w:rsid w:val="00FF1715"/>
    <w:rsid w:val="00FF4C75"/>
    <w:rsid w:val="00FF6F1C"/>
    <w:rsid w:val="00FF6FC4"/>
    <w:rsid w:val="00FF6FFE"/>
    <w:rsid w:val="00FF7063"/>
    <w:rsid w:val="00FF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1" fill="f" fillcolor="white" stroke="f">
      <v:fill color="white" on="f"/>
      <v:stroke on="f"/>
      <o:colormru v:ext="edit" colors="#99f,#9ecdf8,#f00000,#00326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Typewriter"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307B"/>
    <w:pPr>
      <w:widowControl w:val="0"/>
      <w:jc w:val="both"/>
    </w:pPr>
    <w:rPr>
      <w:kern w:val="2"/>
      <w:sz w:val="21"/>
      <w:szCs w:val="24"/>
    </w:rPr>
  </w:style>
  <w:style w:type="paragraph" w:styleId="1">
    <w:name w:val="heading 1"/>
    <w:basedOn w:val="a0"/>
    <w:next w:val="a0"/>
    <w:link w:val="1Char"/>
    <w:qFormat/>
    <w:rsid w:val="00E00A33"/>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E00A33"/>
    <w:pPr>
      <w:keepNext/>
      <w:keepLines/>
      <w:spacing w:before="260" w:after="260" w:line="416" w:lineRule="auto"/>
      <w:outlineLvl w:val="1"/>
    </w:pPr>
    <w:rPr>
      <w:rFonts w:ascii="Arial" w:eastAsia="黑体" w:hAnsi="Arial"/>
      <w:b/>
      <w:bCs/>
      <w:sz w:val="32"/>
      <w:szCs w:val="32"/>
    </w:rPr>
  </w:style>
  <w:style w:type="paragraph" w:styleId="5">
    <w:name w:val="heading 5"/>
    <w:basedOn w:val="a0"/>
    <w:next w:val="a0"/>
    <w:qFormat/>
    <w:rsid w:val="00B75DD0"/>
    <w:pPr>
      <w:keepNext/>
      <w:jc w:val="center"/>
      <w:outlineLvl w:val="4"/>
    </w:pPr>
    <w:rPr>
      <w:rFonts w:ascii="Arial" w:eastAsia="黑体" w:hAnsi="Arial" w:cs="Arial"/>
      <w:b/>
      <w:bCs/>
      <w:kern w:val="0"/>
      <w:sz w:val="18"/>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A460CD"/>
    <w:rPr>
      <w:b/>
      <w:bCs/>
      <w:kern w:val="44"/>
      <w:sz w:val="44"/>
      <w:szCs w:val="44"/>
    </w:rPr>
  </w:style>
  <w:style w:type="character" w:customStyle="1" w:styleId="2Char">
    <w:name w:val="标题 2 Char"/>
    <w:link w:val="2"/>
    <w:rsid w:val="00A56132"/>
    <w:rPr>
      <w:rFonts w:ascii="Arial" w:eastAsia="黑体" w:hAnsi="Arial"/>
      <w:b/>
      <w:bCs/>
      <w:kern w:val="2"/>
      <w:sz w:val="32"/>
      <w:szCs w:val="32"/>
    </w:rPr>
  </w:style>
  <w:style w:type="table" w:styleId="a4">
    <w:name w:val="Table Grid"/>
    <w:basedOn w:val="a2"/>
    <w:rsid w:val="00F157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Char"/>
    <w:uiPriority w:val="99"/>
    <w:rsid w:val="00021EF5"/>
    <w:pPr>
      <w:tabs>
        <w:tab w:val="center" w:pos="4153"/>
        <w:tab w:val="right" w:pos="8306"/>
      </w:tabs>
      <w:snapToGrid w:val="0"/>
      <w:jc w:val="center"/>
    </w:pPr>
    <w:rPr>
      <w:sz w:val="18"/>
      <w:szCs w:val="18"/>
    </w:rPr>
  </w:style>
  <w:style w:type="character" w:customStyle="1" w:styleId="Char">
    <w:name w:val="页眉 Char"/>
    <w:link w:val="a5"/>
    <w:uiPriority w:val="99"/>
    <w:rsid w:val="00A56132"/>
    <w:rPr>
      <w:kern w:val="2"/>
      <w:sz w:val="18"/>
      <w:szCs w:val="18"/>
    </w:rPr>
  </w:style>
  <w:style w:type="paragraph" w:styleId="a6">
    <w:name w:val="footer"/>
    <w:basedOn w:val="a0"/>
    <w:link w:val="Char0"/>
    <w:uiPriority w:val="99"/>
    <w:rsid w:val="00021EF5"/>
    <w:pPr>
      <w:tabs>
        <w:tab w:val="center" w:pos="4153"/>
        <w:tab w:val="right" w:pos="8306"/>
      </w:tabs>
      <w:snapToGrid w:val="0"/>
      <w:jc w:val="left"/>
    </w:pPr>
    <w:rPr>
      <w:sz w:val="18"/>
      <w:szCs w:val="18"/>
    </w:rPr>
  </w:style>
  <w:style w:type="character" w:customStyle="1" w:styleId="Char0">
    <w:name w:val="页脚 Char"/>
    <w:link w:val="a6"/>
    <w:uiPriority w:val="99"/>
    <w:rsid w:val="00DE095A"/>
    <w:rPr>
      <w:kern w:val="2"/>
      <w:sz w:val="18"/>
      <w:szCs w:val="18"/>
    </w:rPr>
  </w:style>
  <w:style w:type="paragraph" w:customStyle="1" w:styleId="a">
    <w:name w:val="封面正文"/>
    <w:basedOn w:val="a0"/>
    <w:rsid w:val="00401122"/>
    <w:pPr>
      <w:numPr>
        <w:numId w:val="3"/>
      </w:numPr>
      <w:spacing w:afterLines="50" w:line="300" w:lineRule="exact"/>
    </w:pPr>
    <w:rPr>
      <w:rFonts w:ascii="Arial" w:eastAsia="黑体" w:hAnsi="Arial"/>
      <w:b/>
      <w:sz w:val="18"/>
      <w:szCs w:val="21"/>
    </w:rPr>
  </w:style>
  <w:style w:type="paragraph" w:customStyle="1" w:styleId="a7">
    <w:name w:val="封边字"/>
    <w:basedOn w:val="a0"/>
    <w:link w:val="Char1"/>
    <w:rsid w:val="00AD3F58"/>
    <w:pPr>
      <w:tabs>
        <w:tab w:val="right" w:pos="3119"/>
      </w:tabs>
      <w:spacing w:line="240" w:lineRule="exact"/>
    </w:pPr>
    <w:rPr>
      <w:rFonts w:ascii="Arial" w:eastAsia="楷体_GB2312" w:hAnsi="Arial" w:cs="Arial"/>
      <w:color w:val="000000"/>
      <w:sz w:val="18"/>
      <w:szCs w:val="16"/>
    </w:rPr>
  </w:style>
  <w:style w:type="character" w:customStyle="1" w:styleId="Char1">
    <w:name w:val="封边字 Char"/>
    <w:link w:val="a7"/>
    <w:rsid w:val="00AD3F58"/>
    <w:rPr>
      <w:rFonts w:ascii="Arial" w:eastAsia="楷体_GB2312" w:hAnsi="Arial" w:cs="Arial"/>
      <w:color w:val="000000"/>
      <w:kern w:val="2"/>
      <w:sz w:val="18"/>
      <w:szCs w:val="16"/>
      <w:lang w:val="en-US" w:eastAsia="zh-CN" w:bidi="ar-SA"/>
    </w:rPr>
  </w:style>
  <w:style w:type="paragraph" w:customStyle="1" w:styleId="a8">
    <w:name w:val="内正文"/>
    <w:basedOn w:val="a0"/>
    <w:link w:val="CharChar"/>
    <w:rsid w:val="00153924"/>
    <w:pPr>
      <w:spacing w:afterLines="50" w:line="360" w:lineRule="exact"/>
      <w:ind w:leftChars="1350" w:left="2835"/>
    </w:pPr>
    <w:rPr>
      <w:rFonts w:ascii="宋体" w:hAnsi="宋体"/>
      <w:szCs w:val="21"/>
    </w:rPr>
  </w:style>
  <w:style w:type="character" w:customStyle="1" w:styleId="CharChar">
    <w:name w:val="内正文 Char Char"/>
    <w:link w:val="a8"/>
    <w:rsid w:val="00994FE9"/>
    <w:rPr>
      <w:rFonts w:ascii="宋体" w:eastAsia="宋体" w:hAnsi="宋体"/>
      <w:kern w:val="2"/>
      <w:sz w:val="21"/>
      <w:szCs w:val="21"/>
      <w:lang w:val="en-US" w:eastAsia="zh-CN" w:bidi="ar-SA"/>
    </w:rPr>
  </w:style>
  <w:style w:type="paragraph" w:styleId="a9">
    <w:name w:val="Balloon Text"/>
    <w:basedOn w:val="a0"/>
    <w:link w:val="Char2"/>
    <w:uiPriority w:val="99"/>
    <w:rsid w:val="00B75DD0"/>
    <w:rPr>
      <w:rFonts w:ascii="Arial" w:eastAsia="黑体" w:hAnsi="Arial"/>
      <w:sz w:val="18"/>
      <w:szCs w:val="18"/>
    </w:rPr>
  </w:style>
  <w:style w:type="character" w:customStyle="1" w:styleId="Char2">
    <w:name w:val="批注框文本 Char"/>
    <w:link w:val="a9"/>
    <w:uiPriority w:val="99"/>
    <w:rsid w:val="00A56132"/>
    <w:rPr>
      <w:rFonts w:ascii="Arial" w:eastAsia="黑体" w:hAnsi="Arial"/>
      <w:kern w:val="2"/>
      <w:sz w:val="18"/>
      <w:szCs w:val="18"/>
    </w:rPr>
  </w:style>
  <w:style w:type="paragraph" w:customStyle="1" w:styleId="xl32">
    <w:name w:val="xl32"/>
    <w:basedOn w:val="a0"/>
    <w:semiHidden/>
    <w:rsid w:val="00B75DD0"/>
    <w:pPr>
      <w:widowControl/>
      <w:spacing w:before="100" w:beforeAutospacing="1" w:after="100" w:afterAutospacing="1"/>
      <w:jc w:val="center"/>
    </w:pPr>
    <w:rPr>
      <w:rFonts w:ascii="黑体" w:eastAsia="黑体" w:hAnsi="Arial Unicode MS" w:cs="Arial Unicode MS" w:hint="eastAsia"/>
      <w:kern w:val="0"/>
      <w:sz w:val="18"/>
      <w:szCs w:val="18"/>
    </w:rPr>
  </w:style>
  <w:style w:type="character" w:styleId="aa">
    <w:name w:val="Hyperlink"/>
    <w:rsid w:val="00B75DD0"/>
    <w:rPr>
      <w:color w:val="0000FF"/>
      <w:u w:val="single"/>
    </w:rPr>
  </w:style>
  <w:style w:type="character" w:styleId="ab">
    <w:name w:val="page number"/>
    <w:basedOn w:val="a1"/>
    <w:rsid w:val="008F1970"/>
  </w:style>
  <w:style w:type="paragraph" w:customStyle="1" w:styleId="ac">
    <w:name w:val="三级标题"/>
    <w:basedOn w:val="a0"/>
    <w:autoRedefine/>
    <w:rsid w:val="005B12C3"/>
    <w:pPr>
      <w:spacing w:after="72"/>
    </w:pPr>
    <w:rPr>
      <w:rFonts w:ascii="Arial" w:eastAsia="汉仪楷体简" w:hAnsi="Arial" w:cs="宋体"/>
      <w:b/>
      <w:color w:val="000080"/>
      <w:sz w:val="24"/>
    </w:rPr>
  </w:style>
  <w:style w:type="paragraph" w:customStyle="1" w:styleId="ad">
    <w:name w:val="表格内题"/>
    <w:basedOn w:val="a0"/>
    <w:autoRedefine/>
    <w:rsid w:val="005B12C3"/>
    <w:pPr>
      <w:ind w:left="113"/>
    </w:pPr>
    <w:rPr>
      <w:rFonts w:ascii="Arial" w:eastAsia="黑体" w:hAnsi="Arial" w:cs="宋体"/>
      <w:b/>
      <w:sz w:val="18"/>
      <w:szCs w:val="20"/>
    </w:rPr>
  </w:style>
  <w:style w:type="paragraph" w:customStyle="1" w:styleId="ae">
    <w:name w:val="表格内正文"/>
    <w:basedOn w:val="a0"/>
    <w:autoRedefine/>
    <w:rsid w:val="005B12C3"/>
    <w:pPr>
      <w:ind w:left="113"/>
    </w:pPr>
    <w:rPr>
      <w:rFonts w:ascii="Arial" w:eastAsia="黑体" w:hAnsi="Arial" w:cs="Arial"/>
      <w:sz w:val="18"/>
      <w:szCs w:val="20"/>
    </w:rPr>
  </w:style>
  <w:style w:type="paragraph" w:styleId="af">
    <w:name w:val="caption"/>
    <w:basedOn w:val="a0"/>
    <w:next w:val="a0"/>
    <w:link w:val="Char3"/>
    <w:qFormat/>
    <w:rsid w:val="007676C0"/>
    <w:rPr>
      <w:rFonts w:ascii="Arial" w:eastAsia="黑体" w:hAnsi="Arial"/>
      <w:sz w:val="20"/>
      <w:szCs w:val="20"/>
    </w:rPr>
  </w:style>
  <w:style w:type="character" w:customStyle="1" w:styleId="Char3">
    <w:name w:val="题注 Char"/>
    <w:link w:val="af"/>
    <w:rsid w:val="005F4C6A"/>
    <w:rPr>
      <w:rFonts w:ascii="Arial" w:eastAsia="黑体" w:hAnsi="Arial" w:cs="Arial"/>
      <w:kern w:val="2"/>
    </w:rPr>
  </w:style>
  <w:style w:type="paragraph" w:styleId="10">
    <w:name w:val="toc 1"/>
    <w:basedOn w:val="a0"/>
    <w:next w:val="a0"/>
    <w:autoRedefine/>
    <w:uiPriority w:val="39"/>
    <w:rsid w:val="00E81140"/>
    <w:pPr>
      <w:tabs>
        <w:tab w:val="right" w:leader="dot" w:pos="6226"/>
      </w:tabs>
    </w:pPr>
    <w:rPr>
      <w:rFonts w:eastAsia="黑体"/>
      <w:b/>
      <w:noProof/>
    </w:rPr>
  </w:style>
  <w:style w:type="paragraph" w:styleId="20">
    <w:name w:val="toc 2"/>
    <w:basedOn w:val="a0"/>
    <w:next w:val="a0"/>
    <w:autoRedefine/>
    <w:semiHidden/>
    <w:rsid w:val="00E00A33"/>
    <w:pPr>
      <w:ind w:leftChars="200" w:left="420"/>
    </w:pPr>
  </w:style>
  <w:style w:type="paragraph" w:styleId="af0">
    <w:name w:val="table of figures"/>
    <w:basedOn w:val="a0"/>
    <w:next w:val="a0"/>
    <w:uiPriority w:val="99"/>
    <w:rsid w:val="0044376C"/>
    <w:pPr>
      <w:ind w:leftChars="200" w:left="200" w:hangingChars="200" w:hanging="200"/>
    </w:pPr>
  </w:style>
  <w:style w:type="paragraph" w:customStyle="1" w:styleId="af1">
    <w:name w:val="大表题"/>
    <w:basedOn w:val="a0"/>
    <w:rsid w:val="008B5536"/>
    <w:pPr>
      <w:pBdr>
        <w:top w:val="single" w:sz="8" w:space="1" w:color="FF6600"/>
      </w:pBdr>
      <w:spacing w:beforeLines="100" w:line="320" w:lineRule="exact"/>
      <w:textAlignment w:val="center"/>
    </w:pPr>
    <w:rPr>
      <w:rFonts w:ascii="黑体" w:eastAsia="黑体" w:hAnsi="Arial" w:cs="Arial"/>
      <w:b/>
      <w:color w:val="FF6600"/>
      <w:sz w:val="18"/>
      <w:szCs w:val="18"/>
    </w:rPr>
  </w:style>
  <w:style w:type="paragraph" w:customStyle="1" w:styleId="af2">
    <w:name w:val="大表字"/>
    <w:basedOn w:val="a0"/>
    <w:rsid w:val="008B5536"/>
    <w:pPr>
      <w:pBdr>
        <w:top w:val="single" w:sz="4" w:space="2" w:color="FF6600"/>
        <w:bottom w:val="single" w:sz="4" w:space="0" w:color="FF6600"/>
      </w:pBdr>
      <w:shd w:val="clear" w:color="auto" w:fill="E6E6E6"/>
      <w:spacing w:line="300" w:lineRule="exact"/>
      <w:jc w:val="left"/>
      <w:textAlignment w:val="center"/>
    </w:pPr>
    <w:rPr>
      <w:rFonts w:ascii="Arial" w:eastAsia="黑体" w:hAnsi="Arial" w:cs="宋体"/>
      <w:b/>
      <w:bCs/>
      <w:sz w:val="18"/>
      <w:szCs w:val="18"/>
    </w:rPr>
  </w:style>
  <w:style w:type="paragraph" w:customStyle="1" w:styleId="af3">
    <w:name w:val="大表格字"/>
    <w:basedOn w:val="a0"/>
    <w:rsid w:val="008B5536"/>
    <w:pPr>
      <w:spacing w:line="300" w:lineRule="exact"/>
      <w:jc w:val="left"/>
      <w:textAlignment w:val="center"/>
    </w:pPr>
    <w:rPr>
      <w:rFonts w:ascii="Arial" w:eastAsia="汉仪中等线简" w:hAnsi="Arial" w:cs="Arial"/>
      <w:color w:val="000000"/>
      <w:sz w:val="18"/>
      <w:szCs w:val="18"/>
    </w:rPr>
  </w:style>
  <w:style w:type="paragraph" w:customStyle="1" w:styleId="af4">
    <w:name w:val="资料字"/>
    <w:basedOn w:val="a0"/>
    <w:rsid w:val="008B5536"/>
    <w:pPr>
      <w:pBdr>
        <w:top w:val="single" w:sz="8" w:space="1" w:color="FF6600"/>
      </w:pBdr>
      <w:spacing w:afterLines="50" w:line="240" w:lineRule="exact"/>
      <w:ind w:leftChars="1350" w:left="2835"/>
    </w:pPr>
    <w:rPr>
      <w:rFonts w:ascii="Arial" w:eastAsia="楷体_GB2312" w:hAnsi="Arial" w:cs="Arial"/>
      <w:i/>
      <w:iCs/>
      <w:color w:val="000000"/>
      <w:sz w:val="16"/>
      <w:szCs w:val="16"/>
    </w:rPr>
  </w:style>
  <w:style w:type="character" w:styleId="af5">
    <w:name w:val="annotation reference"/>
    <w:semiHidden/>
    <w:rsid w:val="00033526"/>
    <w:rPr>
      <w:sz w:val="21"/>
      <w:szCs w:val="21"/>
    </w:rPr>
  </w:style>
  <w:style w:type="paragraph" w:styleId="af6">
    <w:name w:val="annotation text"/>
    <w:basedOn w:val="a0"/>
    <w:semiHidden/>
    <w:rsid w:val="00033526"/>
    <w:pPr>
      <w:jc w:val="left"/>
    </w:pPr>
  </w:style>
  <w:style w:type="paragraph" w:styleId="af7">
    <w:name w:val="annotation subject"/>
    <w:basedOn w:val="af6"/>
    <w:next w:val="af6"/>
    <w:semiHidden/>
    <w:rsid w:val="00033526"/>
    <w:rPr>
      <w:b/>
      <w:bCs/>
    </w:rPr>
  </w:style>
  <w:style w:type="paragraph" w:customStyle="1" w:styleId="af8">
    <w:name w:val="投资要点"/>
    <w:basedOn w:val="a0"/>
    <w:rsid w:val="00372B5C"/>
    <w:pPr>
      <w:spacing w:line="240" w:lineRule="exact"/>
      <w:ind w:leftChars="200" w:left="420" w:rightChars="-103" w:right="-216"/>
    </w:pPr>
    <w:rPr>
      <w:rFonts w:ascii="Arial" w:eastAsia="楷体_GB2312" w:hAnsi="Arial"/>
      <w:b/>
      <w:color w:val="000080"/>
      <w:szCs w:val="21"/>
    </w:rPr>
  </w:style>
  <w:style w:type="paragraph" w:customStyle="1" w:styleId="af9">
    <w:name w:val="封面大标题"/>
    <w:basedOn w:val="a0"/>
    <w:rsid w:val="00DB458F"/>
    <w:pPr>
      <w:jc w:val="center"/>
    </w:pPr>
    <w:rPr>
      <w:rFonts w:ascii="黑体" w:eastAsia="黑体" w:hAnsi="Arial"/>
      <w:b/>
      <w:bCs/>
      <w:color w:val="FF6600"/>
      <w:kern w:val="44"/>
      <w:sz w:val="36"/>
      <w:szCs w:val="36"/>
    </w:rPr>
  </w:style>
  <w:style w:type="paragraph" w:customStyle="1" w:styleId="afa">
    <w:name w:val="封面表字"/>
    <w:basedOn w:val="a0"/>
    <w:rsid w:val="007756FF"/>
    <w:pPr>
      <w:pBdr>
        <w:top w:val="single" w:sz="8" w:space="1" w:color="FF6600"/>
        <w:bottom w:val="single" w:sz="4" w:space="1" w:color="FF6600"/>
      </w:pBdr>
      <w:shd w:val="clear" w:color="auto" w:fill="E6E6E6"/>
      <w:tabs>
        <w:tab w:val="right" w:pos="3916"/>
        <w:tab w:val="right" w:pos="5520"/>
        <w:tab w:val="right" w:pos="7080"/>
      </w:tabs>
      <w:spacing w:line="240" w:lineRule="exact"/>
      <w:ind w:leftChars="207" w:left="207" w:right="-68"/>
      <w:textAlignment w:val="center"/>
    </w:pPr>
    <w:rPr>
      <w:rFonts w:ascii="Arial" w:eastAsia="楷体_GB2312" w:hAnsi="Arial" w:cs="Arial"/>
      <w:color w:val="000000"/>
      <w:sz w:val="18"/>
      <w:szCs w:val="18"/>
    </w:rPr>
  </w:style>
  <w:style w:type="paragraph" w:customStyle="1" w:styleId="afb">
    <w:name w:val="封面说明文字"/>
    <w:basedOn w:val="a0"/>
    <w:semiHidden/>
    <w:rsid w:val="007756FF"/>
    <w:pPr>
      <w:pBdr>
        <w:top w:val="single" w:sz="8" w:space="1" w:color="FF6600"/>
      </w:pBdr>
      <w:spacing w:line="260" w:lineRule="exact"/>
      <w:ind w:leftChars="207" w:left="207"/>
      <w:textAlignment w:val="center"/>
    </w:pPr>
    <w:rPr>
      <w:rFonts w:ascii="Arial" w:eastAsia="楷体_GB2312" w:hAnsi="Arial" w:cs="Arial"/>
      <w:i/>
      <w:iCs/>
      <w:color w:val="000000"/>
      <w:sz w:val="16"/>
      <w:szCs w:val="16"/>
    </w:rPr>
  </w:style>
  <w:style w:type="paragraph" w:styleId="afc">
    <w:name w:val="Normal (Web)"/>
    <w:basedOn w:val="a0"/>
    <w:uiPriority w:val="99"/>
    <w:rsid w:val="00D25F53"/>
    <w:pPr>
      <w:widowControl/>
      <w:spacing w:before="100" w:beforeAutospacing="1" w:after="100" w:afterAutospacing="1"/>
      <w:jc w:val="left"/>
    </w:pPr>
    <w:rPr>
      <w:rFonts w:ascii="宋体" w:hAnsi="宋体" w:cs="宋体"/>
      <w:color w:val="000000"/>
      <w:kern w:val="0"/>
      <w:sz w:val="24"/>
    </w:rPr>
  </w:style>
  <w:style w:type="character" w:styleId="afd">
    <w:name w:val="Strong"/>
    <w:uiPriority w:val="22"/>
    <w:qFormat/>
    <w:rsid w:val="00D25F53"/>
    <w:rPr>
      <w:b/>
      <w:bCs/>
    </w:rPr>
  </w:style>
  <w:style w:type="paragraph" w:customStyle="1" w:styleId="afe">
    <w:basedOn w:val="a0"/>
    <w:autoRedefine/>
    <w:rsid w:val="009E64B6"/>
    <w:pPr>
      <w:widowControl/>
      <w:spacing w:after="160" w:line="240" w:lineRule="exact"/>
      <w:jc w:val="left"/>
    </w:pPr>
    <w:rPr>
      <w:rFonts w:ascii="Verdana" w:eastAsia="仿宋_GB2312" w:hAnsi="Verdana"/>
      <w:kern w:val="0"/>
      <w:sz w:val="24"/>
      <w:szCs w:val="20"/>
      <w:lang w:eastAsia="en-US"/>
    </w:rPr>
  </w:style>
  <w:style w:type="character" w:customStyle="1" w:styleId="11pt">
    <w:name w:val="11pt"/>
    <w:basedOn w:val="a1"/>
    <w:rsid w:val="005366A6"/>
  </w:style>
  <w:style w:type="paragraph" w:customStyle="1" w:styleId="ParaCharCharCharCharCharCharChar">
    <w:name w:val="默认段落字体 Para Char Char Char Char Char Char Char"/>
    <w:basedOn w:val="a0"/>
    <w:rsid w:val="00994FE9"/>
    <w:rPr>
      <w:rFonts w:ascii="Arial" w:hAnsi="Arial" w:cs="Arial"/>
      <w:sz w:val="20"/>
      <w:szCs w:val="20"/>
    </w:rPr>
  </w:style>
  <w:style w:type="paragraph" w:styleId="HTML">
    <w:name w:val="HTML Preformatted"/>
    <w:basedOn w:val="a0"/>
    <w:rsid w:val="00994F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1"/>
    </w:rPr>
  </w:style>
  <w:style w:type="paragraph" w:styleId="aff">
    <w:name w:val="Document Map"/>
    <w:basedOn w:val="a0"/>
    <w:semiHidden/>
    <w:rsid w:val="00236454"/>
    <w:pPr>
      <w:shd w:val="clear" w:color="auto" w:fill="000080"/>
    </w:pPr>
  </w:style>
  <w:style w:type="paragraph" w:customStyle="1" w:styleId="aff0">
    <w:name w:val="封边题"/>
    <w:basedOn w:val="a0"/>
    <w:rsid w:val="00F2720B"/>
    <w:pPr>
      <w:pBdr>
        <w:top w:val="single" w:sz="8" w:space="1" w:color="FF6600"/>
      </w:pBdr>
      <w:tabs>
        <w:tab w:val="right" w:pos="2940"/>
      </w:tabs>
      <w:spacing w:after="156" w:line="240" w:lineRule="exact"/>
      <w:ind w:rightChars="35" w:right="73"/>
    </w:pPr>
    <w:rPr>
      <w:rFonts w:ascii="Arial" w:eastAsia="楷体_GB2312" w:hAnsi="Arial" w:cs="Arial"/>
      <w:b/>
      <w:color w:val="000080"/>
      <w:szCs w:val="21"/>
    </w:rPr>
  </w:style>
  <w:style w:type="paragraph" w:customStyle="1" w:styleId="aff1">
    <w:name w:val="边字"/>
    <w:rsid w:val="00052D23"/>
    <w:rPr>
      <w:rFonts w:ascii="Arial" w:eastAsia="黑体" w:hAnsi="Arial"/>
      <w:color w:val="333399"/>
      <w:kern w:val="2"/>
      <w:sz w:val="18"/>
      <w:szCs w:val="18"/>
    </w:rPr>
  </w:style>
  <w:style w:type="paragraph" w:customStyle="1" w:styleId="aff2">
    <w:name w:val="内页图题"/>
    <w:basedOn w:val="a0"/>
    <w:semiHidden/>
    <w:rsid w:val="00052D23"/>
    <w:pPr>
      <w:pBdr>
        <w:bottom w:val="single" w:sz="8" w:space="1" w:color="FF6600"/>
      </w:pBdr>
      <w:spacing w:beforeLines="50" w:line="360" w:lineRule="exact"/>
      <w:ind w:left="1911"/>
      <w:textAlignment w:val="center"/>
    </w:pPr>
    <w:rPr>
      <w:rFonts w:ascii="黑体" w:eastAsia="黑体" w:hAnsi="Arial"/>
      <w:sz w:val="18"/>
      <w:szCs w:val="21"/>
    </w:rPr>
  </w:style>
  <w:style w:type="character" w:customStyle="1" w:styleId="apple-style-span">
    <w:name w:val="apple-style-span"/>
    <w:basedOn w:val="a1"/>
    <w:rsid w:val="002537C8"/>
  </w:style>
  <w:style w:type="paragraph" w:customStyle="1" w:styleId="top-read-1">
    <w:name w:val="top-read-1"/>
    <w:basedOn w:val="a0"/>
    <w:rsid w:val="006E05E3"/>
    <w:pPr>
      <w:widowControl/>
      <w:spacing w:before="100" w:beforeAutospacing="1" w:after="100" w:afterAutospacing="1"/>
      <w:jc w:val="left"/>
    </w:pPr>
    <w:rPr>
      <w:rFonts w:ascii="宋体" w:hAnsi="宋体" w:cs="宋体"/>
      <w:kern w:val="0"/>
      <w:sz w:val="24"/>
    </w:rPr>
  </w:style>
  <w:style w:type="paragraph" w:customStyle="1" w:styleId="aff3">
    <w:name w:val="国信投资摘要内容标题"/>
    <w:basedOn w:val="a0"/>
    <w:link w:val="Char4"/>
    <w:rsid w:val="00755F39"/>
    <w:pPr>
      <w:spacing w:beforeLines="20" w:line="280" w:lineRule="exact"/>
      <w:outlineLvl w:val="0"/>
    </w:pPr>
    <w:rPr>
      <w:rFonts w:ascii="Arial" w:eastAsia="楷体_GB2312" w:hAnsi="Arial"/>
      <w:b/>
      <w:color w:val="000000"/>
      <w:sz w:val="20"/>
    </w:rPr>
  </w:style>
  <w:style w:type="character" w:customStyle="1" w:styleId="Char4">
    <w:name w:val="国信投资摘要内容标题 Char"/>
    <w:link w:val="aff3"/>
    <w:rsid w:val="00755F39"/>
    <w:rPr>
      <w:rFonts w:ascii="Arial" w:eastAsia="楷体_GB2312" w:hAnsi="Arial" w:cs="Arial"/>
      <w:b/>
      <w:color w:val="000000"/>
      <w:kern w:val="2"/>
      <w:szCs w:val="24"/>
    </w:rPr>
  </w:style>
  <w:style w:type="table" w:customStyle="1" w:styleId="-11">
    <w:name w:val="浅色底纹 - 强调文字颜色 11"/>
    <w:basedOn w:val="a2"/>
    <w:uiPriority w:val="60"/>
    <w:rsid w:val="005F4C6A"/>
    <w:rPr>
      <w:rFonts w:ascii="Calibri" w:hAnsi="Calibri"/>
      <w:color w:val="365F91"/>
      <w:kern w:val="2"/>
      <w:sz w:val="21"/>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4">
    <w:name w:val="国信投资摘要内容"/>
    <w:basedOn w:val="a0"/>
    <w:link w:val="Char5"/>
    <w:rsid w:val="00571027"/>
    <w:pPr>
      <w:spacing w:beforeLines="20" w:line="280" w:lineRule="exact"/>
    </w:pPr>
    <w:rPr>
      <w:rFonts w:ascii="Arial" w:eastAsia="楷体_GB2312" w:hAnsi="Arial"/>
      <w:color w:val="000000"/>
      <w:sz w:val="20"/>
      <w:szCs w:val="20"/>
    </w:rPr>
  </w:style>
  <w:style w:type="character" w:customStyle="1" w:styleId="Char5">
    <w:name w:val="国信投资摘要内容 Char"/>
    <w:link w:val="aff4"/>
    <w:rsid w:val="00571027"/>
    <w:rPr>
      <w:rFonts w:ascii="Arial" w:eastAsia="楷体_GB2312" w:hAnsi="Arial" w:cs="Arial"/>
      <w:color w:val="000000"/>
      <w:kern w:val="2"/>
    </w:rPr>
  </w:style>
  <w:style w:type="character" w:customStyle="1" w:styleId="Char6">
    <w:name w:val="内正文 Char"/>
    <w:rsid w:val="00B529DA"/>
    <w:rPr>
      <w:rFonts w:ascii="宋体" w:eastAsia="宋体" w:hAnsi="宋体"/>
      <w:kern w:val="2"/>
      <w:sz w:val="21"/>
      <w:szCs w:val="21"/>
      <w:lang w:val="en-US" w:eastAsia="zh-CN" w:bidi="ar-SA"/>
    </w:rPr>
  </w:style>
  <w:style w:type="paragraph" w:styleId="aff5">
    <w:name w:val="Plain Text"/>
    <w:basedOn w:val="a0"/>
    <w:link w:val="Char7"/>
    <w:uiPriority w:val="99"/>
    <w:unhideWhenUsed/>
    <w:rsid w:val="00A56132"/>
    <w:rPr>
      <w:rFonts w:ascii="宋体" w:hAnsi="Courier New"/>
      <w:szCs w:val="21"/>
    </w:rPr>
  </w:style>
  <w:style w:type="character" w:customStyle="1" w:styleId="Char7">
    <w:name w:val="纯文本 Char"/>
    <w:link w:val="aff5"/>
    <w:uiPriority w:val="99"/>
    <w:rsid w:val="00A56132"/>
    <w:rPr>
      <w:rFonts w:ascii="宋体" w:hAnsi="Courier New" w:cs="Courier New"/>
      <w:kern w:val="2"/>
      <w:sz w:val="21"/>
      <w:szCs w:val="21"/>
    </w:rPr>
  </w:style>
  <w:style w:type="paragraph" w:styleId="aff6">
    <w:name w:val="List Paragraph"/>
    <w:basedOn w:val="a0"/>
    <w:uiPriority w:val="34"/>
    <w:qFormat/>
    <w:rsid w:val="00A56132"/>
    <w:pPr>
      <w:ind w:firstLineChars="200" w:firstLine="420"/>
    </w:pPr>
    <w:rPr>
      <w:rFonts w:ascii="Calibri" w:hAnsi="Calibri"/>
      <w:szCs w:val="22"/>
    </w:rPr>
  </w:style>
  <w:style w:type="character" w:styleId="HTML0">
    <w:name w:val="HTML Typewriter"/>
    <w:uiPriority w:val="99"/>
    <w:unhideWhenUsed/>
    <w:rsid w:val="00A56132"/>
    <w:rPr>
      <w:rFonts w:ascii="宋体" w:eastAsia="宋体" w:hAnsi="宋体" w:cs="宋体"/>
      <w:sz w:val="24"/>
      <w:szCs w:val="24"/>
    </w:rPr>
  </w:style>
  <w:style w:type="paragraph" w:styleId="z-">
    <w:name w:val="HTML Top of Form"/>
    <w:basedOn w:val="a0"/>
    <w:next w:val="a0"/>
    <w:link w:val="z-Char"/>
    <w:hidden/>
    <w:uiPriority w:val="99"/>
    <w:unhideWhenUsed/>
    <w:rsid w:val="00A56132"/>
    <w:pPr>
      <w:pBdr>
        <w:bottom w:val="single" w:sz="6" w:space="1" w:color="auto"/>
      </w:pBdr>
      <w:jc w:val="center"/>
    </w:pPr>
    <w:rPr>
      <w:rFonts w:ascii="Arial" w:hAnsi="Arial"/>
      <w:vanish/>
      <w:sz w:val="16"/>
      <w:szCs w:val="16"/>
    </w:rPr>
  </w:style>
  <w:style w:type="character" w:customStyle="1" w:styleId="z-Char">
    <w:name w:val="z-窗体顶端 Char"/>
    <w:link w:val="z-"/>
    <w:uiPriority w:val="99"/>
    <w:rsid w:val="00A56132"/>
    <w:rPr>
      <w:rFonts w:ascii="Arial" w:hAnsi="Arial"/>
      <w:vanish/>
      <w:kern w:val="2"/>
      <w:sz w:val="16"/>
      <w:szCs w:val="16"/>
    </w:rPr>
  </w:style>
  <w:style w:type="paragraph" w:styleId="z-0">
    <w:name w:val="HTML Bottom of Form"/>
    <w:basedOn w:val="a0"/>
    <w:next w:val="a0"/>
    <w:link w:val="z-Char0"/>
    <w:hidden/>
    <w:uiPriority w:val="99"/>
    <w:unhideWhenUsed/>
    <w:rsid w:val="00A56132"/>
    <w:pPr>
      <w:pBdr>
        <w:top w:val="single" w:sz="6" w:space="1" w:color="auto"/>
      </w:pBdr>
      <w:jc w:val="center"/>
    </w:pPr>
    <w:rPr>
      <w:rFonts w:ascii="Arial" w:hAnsi="Arial"/>
      <w:vanish/>
      <w:sz w:val="16"/>
      <w:szCs w:val="16"/>
    </w:rPr>
  </w:style>
  <w:style w:type="character" w:customStyle="1" w:styleId="z-Char0">
    <w:name w:val="z-窗体底端 Char"/>
    <w:link w:val="z-0"/>
    <w:uiPriority w:val="99"/>
    <w:rsid w:val="00A56132"/>
    <w:rPr>
      <w:rFonts w:ascii="Arial" w:hAnsi="Arial"/>
      <w:vanish/>
      <w:kern w:val="2"/>
      <w:sz w:val="16"/>
      <w:szCs w:val="16"/>
    </w:rPr>
  </w:style>
  <w:style w:type="paragraph" w:styleId="aff7">
    <w:name w:val="Date"/>
    <w:basedOn w:val="a0"/>
    <w:next w:val="a0"/>
    <w:link w:val="Char8"/>
    <w:rsid w:val="00A56132"/>
    <w:pPr>
      <w:ind w:leftChars="2500" w:left="100"/>
    </w:pPr>
  </w:style>
  <w:style w:type="character" w:customStyle="1" w:styleId="Char8">
    <w:name w:val="日期 Char"/>
    <w:link w:val="aff7"/>
    <w:rsid w:val="00A56132"/>
    <w:rPr>
      <w:kern w:val="2"/>
      <w:sz w:val="21"/>
      <w:szCs w:val="24"/>
    </w:rPr>
  </w:style>
  <w:style w:type="character" w:customStyle="1" w:styleId="rwrr">
    <w:name w:val="rwrr"/>
    <w:rsid w:val="00A56132"/>
    <w:rPr>
      <w:color w:val="408CD9"/>
      <w:u w:val="single"/>
      <w:shd w:val="clear" w:color="auto" w:fill="FFFFFF"/>
    </w:rPr>
  </w:style>
  <w:style w:type="paragraph" w:styleId="aff8">
    <w:name w:val="footnote text"/>
    <w:basedOn w:val="a0"/>
    <w:link w:val="Char9"/>
    <w:rsid w:val="00A56132"/>
    <w:pPr>
      <w:snapToGrid w:val="0"/>
      <w:jc w:val="left"/>
    </w:pPr>
    <w:rPr>
      <w:sz w:val="18"/>
      <w:szCs w:val="18"/>
    </w:rPr>
  </w:style>
  <w:style w:type="character" w:customStyle="1" w:styleId="Char9">
    <w:name w:val="脚注文本 Char"/>
    <w:link w:val="aff8"/>
    <w:rsid w:val="00A56132"/>
    <w:rPr>
      <w:kern w:val="2"/>
      <w:sz w:val="18"/>
      <w:szCs w:val="18"/>
    </w:rPr>
  </w:style>
  <w:style w:type="character" w:styleId="aff9">
    <w:name w:val="footnote reference"/>
    <w:rsid w:val="00A56132"/>
    <w:rPr>
      <w:vertAlign w:val="superscript"/>
    </w:rPr>
  </w:style>
  <w:style w:type="paragraph" w:customStyle="1" w:styleId="Default">
    <w:name w:val="Default"/>
    <w:rsid w:val="0013506B"/>
    <w:pPr>
      <w:widowControl w:val="0"/>
      <w:autoSpaceDE w:val="0"/>
      <w:autoSpaceDN w:val="0"/>
      <w:adjustRightInd w:val="0"/>
    </w:pPr>
    <w:rPr>
      <w:rFonts w:ascii="楷体_GB2312" w:hAnsi="楷体_GB2312" w:cs="楷体_GB231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236">
      <w:bodyDiv w:val="1"/>
      <w:marLeft w:val="0"/>
      <w:marRight w:val="0"/>
      <w:marTop w:val="0"/>
      <w:marBottom w:val="0"/>
      <w:divBdr>
        <w:top w:val="none" w:sz="0" w:space="0" w:color="auto"/>
        <w:left w:val="none" w:sz="0" w:space="0" w:color="auto"/>
        <w:bottom w:val="none" w:sz="0" w:space="0" w:color="auto"/>
        <w:right w:val="none" w:sz="0" w:space="0" w:color="auto"/>
      </w:divBdr>
    </w:div>
    <w:div w:id="16153467">
      <w:bodyDiv w:val="1"/>
      <w:marLeft w:val="0"/>
      <w:marRight w:val="0"/>
      <w:marTop w:val="0"/>
      <w:marBottom w:val="0"/>
      <w:divBdr>
        <w:top w:val="none" w:sz="0" w:space="0" w:color="auto"/>
        <w:left w:val="none" w:sz="0" w:space="0" w:color="auto"/>
        <w:bottom w:val="none" w:sz="0" w:space="0" w:color="auto"/>
        <w:right w:val="none" w:sz="0" w:space="0" w:color="auto"/>
      </w:divBdr>
      <w:divsChild>
        <w:div w:id="1430421006">
          <w:marLeft w:val="0"/>
          <w:marRight w:val="0"/>
          <w:marTop w:val="0"/>
          <w:marBottom w:val="0"/>
          <w:divBdr>
            <w:top w:val="none" w:sz="0" w:space="0" w:color="auto"/>
            <w:left w:val="none" w:sz="0" w:space="0" w:color="auto"/>
            <w:bottom w:val="none" w:sz="0" w:space="0" w:color="auto"/>
            <w:right w:val="none" w:sz="0" w:space="0" w:color="auto"/>
          </w:divBdr>
        </w:div>
      </w:divsChild>
    </w:div>
    <w:div w:id="24599928">
      <w:bodyDiv w:val="1"/>
      <w:marLeft w:val="0"/>
      <w:marRight w:val="0"/>
      <w:marTop w:val="0"/>
      <w:marBottom w:val="0"/>
      <w:divBdr>
        <w:top w:val="none" w:sz="0" w:space="0" w:color="auto"/>
        <w:left w:val="none" w:sz="0" w:space="0" w:color="auto"/>
        <w:bottom w:val="none" w:sz="0" w:space="0" w:color="auto"/>
        <w:right w:val="none" w:sz="0" w:space="0" w:color="auto"/>
      </w:divBdr>
    </w:div>
    <w:div w:id="60566829">
      <w:bodyDiv w:val="1"/>
      <w:marLeft w:val="0"/>
      <w:marRight w:val="0"/>
      <w:marTop w:val="0"/>
      <w:marBottom w:val="0"/>
      <w:divBdr>
        <w:top w:val="none" w:sz="0" w:space="0" w:color="auto"/>
        <w:left w:val="none" w:sz="0" w:space="0" w:color="auto"/>
        <w:bottom w:val="none" w:sz="0" w:space="0" w:color="auto"/>
        <w:right w:val="none" w:sz="0" w:space="0" w:color="auto"/>
      </w:divBdr>
    </w:div>
    <w:div w:id="133257971">
      <w:bodyDiv w:val="1"/>
      <w:marLeft w:val="0"/>
      <w:marRight w:val="0"/>
      <w:marTop w:val="0"/>
      <w:marBottom w:val="0"/>
      <w:divBdr>
        <w:top w:val="none" w:sz="0" w:space="0" w:color="auto"/>
        <w:left w:val="none" w:sz="0" w:space="0" w:color="auto"/>
        <w:bottom w:val="none" w:sz="0" w:space="0" w:color="auto"/>
        <w:right w:val="none" w:sz="0" w:space="0" w:color="auto"/>
      </w:divBdr>
    </w:div>
    <w:div w:id="168445951">
      <w:bodyDiv w:val="1"/>
      <w:marLeft w:val="0"/>
      <w:marRight w:val="0"/>
      <w:marTop w:val="0"/>
      <w:marBottom w:val="0"/>
      <w:divBdr>
        <w:top w:val="none" w:sz="0" w:space="0" w:color="auto"/>
        <w:left w:val="none" w:sz="0" w:space="0" w:color="auto"/>
        <w:bottom w:val="none" w:sz="0" w:space="0" w:color="auto"/>
        <w:right w:val="none" w:sz="0" w:space="0" w:color="auto"/>
      </w:divBdr>
    </w:div>
    <w:div w:id="210384363">
      <w:bodyDiv w:val="1"/>
      <w:marLeft w:val="0"/>
      <w:marRight w:val="0"/>
      <w:marTop w:val="0"/>
      <w:marBottom w:val="0"/>
      <w:divBdr>
        <w:top w:val="none" w:sz="0" w:space="0" w:color="auto"/>
        <w:left w:val="none" w:sz="0" w:space="0" w:color="auto"/>
        <w:bottom w:val="none" w:sz="0" w:space="0" w:color="auto"/>
        <w:right w:val="none" w:sz="0" w:space="0" w:color="auto"/>
      </w:divBdr>
    </w:div>
    <w:div w:id="242371890">
      <w:bodyDiv w:val="1"/>
      <w:marLeft w:val="0"/>
      <w:marRight w:val="0"/>
      <w:marTop w:val="0"/>
      <w:marBottom w:val="0"/>
      <w:divBdr>
        <w:top w:val="none" w:sz="0" w:space="0" w:color="auto"/>
        <w:left w:val="none" w:sz="0" w:space="0" w:color="auto"/>
        <w:bottom w:val="none" w:sz="0" w:space="0" w:color="auto"/>
        <w:right w:val="none" w:sz="0" w:space="0" w:color="auto"/>
      </w:divBdr>
      <w:divsChild>
        <w:div w:id="813369899">
          <w:marLeft w:val="0"/>
          <w:marRight w:val="0"/>
          <w:marTop w:val="0"/>
          <w:marBottom w:val="0"/>
          <w:divBdr>
            <w:top w:val="none" w:sz="0" w:space="0" w:color="auto"/>
            <w:left w:val="none" w:sz="0" w:space="0" w:color="auto"/>
            <w:bottom w:val="none" w:sz="0" w:space="0" w:color="auto"/>
            <w:right w:val="single" w:sz="6" w:space="5" w:color="CCCCCC"/>
          </w:divBdr>
          <w:divsChild>
            <w:div w:id="2606453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78894831">
      <w:bodyDiv w:val="1"/>
      <w:marLeft w:val="0"/>
      <w:marRight w:val="0"/>
      <w:marTop w:val="0"/>
      <w:marBottom w:val="0"/>
      <w:divBdr>
        <w:top w:val="none" w:sz="0" w:space="0" w:color="auto"/>
        <w:left w:val="none" w:sz="0" w:space="0" w:color="auto"/>
        <w:bottom w:val="none" w:sz="0" w:space="0" w:color="auto"/>
        <w:right w:val="none" w:sz="0" w:space="0" w:color="auto"/>
      </w:divBdr>
    </w:div>
    <w:div w:id="405490761">
      <w:bodyDiv w:val="1"/>
      <w:marLeft w:val="0"/>
      <w:marRight w:val="0"/>
      <w:marTop w:val="0"/>
      <w:marBottom w:val="0"/>
      <w:divBdr>
        <w:top w:val="none" w:sz="0" w:space="0" w:color="auto"/>
        <w:left w:val="none" w:sz="0" w:space="0" w:color="auto"/>
        <w:bottom w:val="none" w:sz="0" w:space="0" w:color="auto"/>
        <w:right w:val="none" w:sz="0" w:space="0" w:color="auto"/>
      </w:divBdr>
      <w:divsChild>
        <w:div w:id="138697359">
          <w:marLeft w:val="0"/>
          <w:marRight w:val="0"/>
          <w:marTop w:val="0"/>
          <w:marBottom w:val="0"/>
          <w:divBdr>
            <w:top w:val="none" w:sz="0" w:space="0" w:color="auto"/>
            <w:left w:val="none" w:sz="0" w:space="0" w:color="auto"/>
            <w:bottom w:val="none" w:sz="0" w:space="0" w:color="auto"/>
            <w:right w:val="none" w:sz="0" w:space="0" w:color="auto"/>
          </w:divBdr>
        </w:div>
        <w:div w:id="1327517732">
          <w:marLeft w:val="0"/>
          <w:marRight w:val="0"/>
          <w:marTop w:val="0"/>
          <w:marBottom w:val="0"/>
          <w:divBdr>
            <w:top w:val="none" w:sz="0" w:space="0" w:color="auto"/>
            <w:left w:val="none" w:sz="0" w:space="0" w:color="auto"/>
            <w:bottom w:val="none" w:sz="0" w:space="0" w:color="auto"/>
            <w:right w:val="none" w:sz="0" w:space="0" w:color="auto"/>
          </w:divBdr>
        </w:div>
      </w:divsChild>
    </w:div>
    <w:div w:id="485126798">
      <w:bodyDiv w:val="1"/>
      <w:marLeft w:val="0"/>
      <w:marRight w:val="0"/>
      <w:marTop w:val="0"/>
      <w:marBottom w:val="0"/>
      <w:divBdr>
        <w:top w:val="none" w:sz="0" w:space="0" w:color="auto"/>
        <w:left w:val="none" w:sz="0" w:space="0" w:color="auto"/>
        <w:bottom w:val="none" w:sz="0" w:space="0" w:color="auto"/>
        <w:right w:val="none" w:sz="0" w:space="0" w:color="auto"/>
      </w:divBdr>
    </w:div>
    <w:div w:id="615794021">
      <w:bodyDiv w:val="1"/>
      <w:marLeft w:val="0"/>
      <w:marRight w:val="0"/>
      <w:marTop w:val="0"/>
      <w:marBottom w:val="0"/>
      <w:divBdr>
        <w:top w:val="none" w:sz="0" w:space="0" w:color="auto"/>
        <w:left w:val="none" w:sz="0" w:space="0" w:color="auto"/>
        <w:bottom w:val="none" w:sz="0" w:space="0" w:color="auto"/>
        <w:right w:val="none" w:sz="0" w:space="0" w:color="auto"/>
      </w:divBdr>
    </w:div>
    <w:div w:id="681861957">
      <w:bodyDiv w:val="1"/>
      <w:marLeft w:val="0"/>
      <w:marRight w:val="0"/>
      <w:marTop w:val="0"/>
      <w:marBottom w:val="0"/>
      <w:divBdr>
        <w:top w:val="none" w:sz="0" w:space="0" w:color="auto"/>
        <w:left w:val="none" w:sz="0" w:space="0" w:color="auto"/>
        <w:bottom w:val="none" w:sz="0" w:space="0" w:color="auto"/>
        <w:right w:val="none" w:sz="0" w:space="0" w:color="auto"/>
      </w:divBdr>
      <w:divsChild>
        <w:div w:id="169758540">
          <w:marLeft w:val="0"/>
          <w:marRight w:val="0"/>
          <w:marTop w:val="0"/>
          <w:marBottom w:val="0"/>
          <w:divBdr>
            <w:top w:val="none" w:sz="0" w:space="0" w:color="auto"/>
            <w:left w:val="none" w:sz="0" w:space="0" w:color="auto"/>
            <w:bottom w:val="none" w:sz="0" w:space="0" w:color="auto"/>
            <w:right w:val="none" w:sz="0" w:space="0" w:color="auto"/>
          </w:divBdr>
          <w:divsChild>
            <w:div w:id="1503085449">
              <w:marLeft w:val="0"/>
              <w:marRight w:val="0"/>
              <w:marTop w:val="0"/>
              <w:marBottom w:val="0"/>
              <w:divBdr>
                <w:top w:val="none" w:sz="0" w:space="0" w:color="auto"/>
                <w:left w:val="none" w:sz="0" w:space="0" w:color="auto"/>
                <w:bottom w:val="none" w:sz="0" w:space="0" w:color="auto"/>
                <w:right w:val="none" w:sz="0" w:space="0" w:color="auto"/>
              </w:divBdr>
              <w:divsChild>
                <w:div w:id="1774398703">
                  <w:marLeft w:val="0"/>
                  <w:marRight w:val="0"/>
                  <w:marTop w:val="0"/>
                  <w:marBottom w:val="0"/>
                  <w:divBdr>
                    <w:top w:val="none" w:sz="0" w:space="0" w:color="auto"/>
                    <w:left w:val="none" w:sz="0" w:space="0" w:color="auto"/>
                    <w:bottom w:val="none" w:sz="0" w:space="0" w:color="auto"/>
                    <w:right w:val="none" w:sz="0" w:space="0" w:color="auto"/>
                  </w:divBdr>
                  <w:divsChild>
                    <w:div w:id="1943763302">
                      <w:marLeft w:val="0"/>
                      <w:marRight w:val="0"/>
                      <w:marTop w:val="0"/>
                      <w:marBottom w:val="0"/>
                      <w:divBdr>
                        <w:top w:val="none" w:sz="0" w:space="0" w:color="auto"/>
                        <w:left w:val="none" w:sz="0" w:space="0" w:color="auto"/>
                        <w:bottom w:val="none" w:sz="0" w:space="0" w:color="auto"/>
                        <w:right w:val="none" w:sz="0" w:space="0" w:color="auto"/>
                      </w:divBdr>
                      <w:divsChild>
                        <w:div w:id="1395735719">
                          <w:marLeft w:val="0"/>
                          <w:marRight w:val="0"/>
                          <w:marTop w:val="0"/>
                          <w:marBottom w:val="84"/>
                          <w:divBdr>
                            <w:top w:val="none" w:sz="0" w:space="0" w:color="auto"/>
                            <w:left w:val="none" w:sz="0" w:space="0" w:color="auto"/>
                            <w:bottom w:val="none" w:sz="0" w:space="0" w:color="auto"/>
                            <w:right w:val="none" w:sz="0" w:space="0" w:color="auto"/>
                          </w:divBdr>
                          <w:divsChild>
                            <w:div w:id="1234387711">
                              <w:marLeft w:val="0"/>
                              <w:marRight w:val="0"/>
                              <w:marTop w:val="0"/>
                              <w:marBottom w:val="0"/>
                              <w:divBdr>
                                <w:top w:val="none" w:sz="0" w:space="0" w:color="auto"/>
                                <w:left w:val="none" w:sz="0" w:space="0" w:color="auto"/>
                                <w:bottom w:val="none" w:sz="0" w:space="0" w:color="auto"/>
                                <w:right w:val="none" w:sz="0" w:space="0" w:color="auto"/>
                              </w:divBdr>
                              <w:divsChild>
                                <w:div w:id="18797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043829">
      <w:bodyDiv w:val="1"/>
      <w:marLeft w:val="0"/>
      <w:marRight w:val="0"/>
      <w:marTop w:val="0"/>
      <w:marBottom w:val="0"/>
      <w:divBdr>
        <w:top w:val="none" w:sz="0" w:space="0" w:color="auto"/>
        <w:left w:val="none" w:sz="0" w:space="0" w:color="auto"/>
        <w:bottom w:val="none" w:sz="0" w:space="0" w:color="auto"/>
        <w:right w:val="none" w:sz="0" w:space="0" w:color="auto"/>
      </w:divBdr>
    </w:div>
    <w:div w:id="837844578">
      <w:bodyDiv w:val="1"/>
      <w:marLeft w:val="0"/>
      <w:marRight w:val="0"/>
      <w:marTop w:val="0"/>
      <w:marBottom w:val="0"/>
      <w:divBdr>
        <w:top w:val="none" w:sz="0" w:space="0" w:color="auto"/>
        <w:left w:val="none" w:sz="0" w:space="0" w:color="auto"/>
        <w:bottom w:val="none" w:sz="0" w:space="0" w:color="auto"/>
        <w:right w:val="none" w:sz="0" w:space="0" w:color="auto"/>
      </w:divBdr>
    </w:div>
    <w:div w:id="845166723">
      <w:bodyDiv w:val="1"/>
      <w:marLeft w:val="0"/>
      <w:marRight w:val="0"/>
      <w:marTop w:val="0"/>
      <w:marBottom w:val="0"/>
      <w:divBdr>
        <w:top w:val="none" w:sz="0" w:space="0" w:color="auto"/>
        <w:left w:val="none" w:sz="0" w:space="0" w:color="auto"/>
        <w:bottom w:val="none" w:sz="0" w:space="0" w:color="auto"/>
        <w:right w:val="none" w:sz="0" w:space="0" w:color="auto"/>
      </w:divBdr>
    </w:div>
    <w:div w:id="921063663">
      <w:bodyDiv w:val="1"/>
      <w:marLeft w:val="0"/>
      <w:marRight w:val="0"/>
      <w:marTop w:val="0"/>
      <w:marBottom w:val="0"/>
      <w:divBdr>
        <w:top w:val="none" w:sz="0" w:space="0" w:color="auto"/>
        <w:left w:val="none" w:sz="0" w:space="0" w:color="auto"/>
        <w:bottom w:val="none" w:sz="0" w:space="0" w:color="auto"/>
        <w:right w:val="none" w:sz="0" w:space="0" w:color="auto"/>
      </w:divBdr>
    </w:div>
    <w:div w:id="1133477726">
      <w:bodyDiv w:val="1"/>
      <w:marLeft w:val="0"/>
      <w:marRight w:val="0"/>
      <w:marTop w:val="0"/>
      <w:marBottom w:val="0"/>
      <w:divBdr>
        <w:top w:val="none" w:sz="0" w:space="0" w:color="auto"/>
        <w:left w:val="none" w:sz="0" w:space="0" w:color="auto"/>
        <w:bottom w:val="none" w:sz="0" w:space="0" w:color="auto"/>
        <w:right w:val="none" w:sz="0" w:space="0" w:color="auto"/>
      </w:divBdr>
    </w:div>
    <w:div w:id="1200894051">
      <w:bodyDiv w:val="1"/>
      <w:marLeft w:val="0"/>
      <w:marRight w:val="0"/>
      <w:marTop w:val="0"/>
      <w:marBottom w:val="0"/>
      <w:divBdr>
        <w:top w:val="none" w:sz="0" w:space="0" w:color="auto"/>
        <w:left w:val="none" w:sz="0" w:space="0" w:color="auto"/>
        <w:bottom w:val="none" w:sz="0" w:space="0" w:color="auto"/>
        <w:right w:val="none" w:sz="0" w:space="0" w:color="auto"/>
      </w:divBdr>
    </w:div>
    <w:div w:id="1217857071">
      <w:bodyDiv w:val="1"/>
      <w:marLeft w:val="0"/>
      <w:marRight w:val="0"/>
      <w:marTop w:val="0"/>
      <w:marBottom w:val="0"/>
      <w:divBdr>
        <w:top w:val="none" w:sz="0" w:space="0" w:color="auto"/>
        <w:left w:val="none" w:sz="0" w:space="0" w:color="auto"/>
        <w:bottom w:val="none" w:sz="0" w:space="0" w:color="auto"/>
        <w:right w:val="none" w:sz="0" w:space="0" w:color="auto"/>
      </w:divBdr>
    </w:div>
    <w:div w:id="1280261363">
      <w:bodyDiv w:val="1"/>
      <w:marLeft w:val="0"/>
      <w:marRight w:val="0"/>
      <w:marTop w:val="0"/>
      <w:marBottom w:val="0"/>
      <w:divBdr>
        <w:top w:val="none" w:sz="0" w:space="0" w:color="auto"/>
        <w:left w:val="none" w:sz="0" w:space="0" w:color="auto"/>
        <w:bottom w:val="none" w:sz="0" w:space="0" w:color="auto"/>
        <w:right w:val="none" w:sz="0" w:space="0" w:color="auto"/>
      </w:divBdr>
    </w:div>
    <w:div w:id="1289776411">
      <w:bodyDiv w:val="1"/>
      <w:marLeft w:val="0"/>
      <w:marRight w:val="0"/>
      <w:marTop w:val="0"/>
      <w:marBottom w:val="0"/>
      <w:divBdr>
        <w:top w:val="none" w:sz="0" w:space="0" w:color="auto"/>
        <w:left w:val="none" w:sz="0" w:space="0" w:color="auto"/>
        <w:bottom w:val="none" w:sz="0" w:space="0" w:color="auto"/>
        <w:right w:val="none" w:sz="0" w:space="0" w:color="auto"/>
      </w:divBdr>
      <w:divsChild>
        <w:div w:id="692149887">
          <w:marLeft w:val="0"/>
          <w:marRight w:val="0"/>
          <w:marTop w:val="0"/>
          <w:marBottom w:val="0"/>
          <w:divBdr>
            <w:top w:val="none" w:sz="0" w:space="0" w:color="auto"/>
            <w:left w:val="none" w:sz="0" w:space="0" w:color="auto"/>
            <w:bottom w:val="none" w:sz="0" w:space="0" w:color="auto"/>
            <w:right w:val="none" w:sz="0" w:space="0" w:color="auto"/>
          </w:divBdr>
          <w:divsChild>
            <w:div w:id="1216433986">
              <w:marLeft w:val="0"/>
              <w:marRight w:val="0"/>
              <w:marTop w:val="0"/>
              <w:marBottom w:val="0"/>
              <w:divBdr>
                <w:top w:val="single" w:sz="4" w:space="0" w:color="C8D8F2"/>
                <w:left w:val="none" w:sz="0" w:space="0" w:color="auto"/>
                <w:bottom w:val="none" w:sz="0" w:space="0" w:color="auto"/>
                <w:right w:val="none" w:sz="0" w:space="0" w:color="auto"/>
              </w:divBdr>
              <w:divsChild>
                <w:div w:id="1552619006">
                  <w:marLeft w:val="0"/>
                  <w:marRight w:val="0"/>
                  <w:marTop w:val="0"/>
                  <w:marBottom w:val="0"/>
                  <w:divBdr>
                    <w:top w:val="none" w:sz="0" w:space="0" w:color="auto"/>
                    <w:left w:val="none" w:sz="0" w:space="0" w:color="auto"/>
                    <w:bottom w:val="none" w:sz="0" w:space="0" w:color="auto"/>
                    <w:right w:val="none" w:sz="0" w:space="0" w:color="auto"/>
                  </w:divBdr>
                  <w:divsChild>
                    <w:div w:id="598677962">
                      <w:marLeft w:val="0"/>
                      <w:marRight w:val="0"/>
                      <w:marTop w:val="0"/>
                      <w:marBottom w:val="0"/>
                      <w:divBdr>
                        <w:top w:val="none" w:sz="0" w:space="0" w:color="auto"/>
                        <w:left w:val="none" w:sz="0" w:space="0" w:color="auto"/>
                        <w:bottom w:val="none" w:sz="0" w:space="0" w:color="auto"/>
                        <w:right w:val="none" w:sz="0" w:space="0" w:color="auto"/>
                      </w:divBdr>
                      <w:divsChild>
                        <w:div w:id="1720081869">
                          <w:marLeft w:val="0"/>
                          <w:marRight w:val="0"/>
                          <w:marTop w:val="0"/>
                          <w:marBottom w:val="0"/>
                          <w:divBdr>
                            <w:top w:val="none" w:sz="0" w:space="0" w:color="auto"/>
                            <w:left w:val="none" w:sz="0" w:space="0" w:color="auto"/>
                            <w:bottom w:val="none" w:sz="0" w:space="0" w:color="auto"/>
                            <w:right w:val="none" w:sz="0" w:space="0" w:color="auto"/>
                          </w:divBdr>
                          <w:divsChild>
                            <w:div w:id="98139794">
                              <w:marLeft w:val="0"/>
                              <w:marRight w:val="0"/>
                              <w:marTop w:val="153"/>
                              <w:marBottom w:val="0"/>
                              <w:divBdr>
                                <w:top w:val="none" w:sz="0" w:space="0" w:color="auto"/>
                                <w:left w:val="none" w:sz="0" w:space="0" w:color="auto"/>
                                <w:bottom w:val="none" w:sz="0" w:space="0" w:color="auto"/>
                                <w:right w:val="none" w:sz="0" w:space="0" w:color="auto"/>
                              </w:divBdr>
                            </w:div>
                            <w:div w:id="11116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46278">
      <w:bodyDiv w:val="1"/>
      <w:marLeft w:val="0"/>
      <w:marRight w:val="0"/>
      <w:marTop w:val="0"/>
      <w:marBottom w:val="0"/>
      <w:divBdr>
        <w:top w:val="none" w:sz="0" w:space="0" w:color="auto"/>
        <w:left w:val="none" w:sz="0" w:space="0" w:color="auto"/>
        <w:bottom w:val="none" w:sz="0" w:space="0" w:color="auto"/>
        <w:right w:val="none" w:sz="0" w:space="0" w:color="auto"/>
      </w:divBdr>
      <w:divsChild>
        <w:div w:id="877551808">
          <w:marLeft w:val="0"/>
          <w:marRight w:val="0"/>
          <w:marTop w:val="0"/>
          <w:marBottom w:val="0"/>
          <w:divBdr>
            <w:top w:val="none" w:sz="0" w:space="0" w:color="auto"/>
            <w:left w:val="none" w:sz="0" w:space="0" w:color="auto"/>
            <w:bottom w:val="none" w:sz="0" w:space="0" w:color="auto"/>
            <w:right w:val="none" w:sz="0" w:space="0" w:color="auto"/>
          </w:divBdr>
          <w:divsChild>
            <w:div w:id="1034503858">
              <w:marLeft w:val="0"/>
              <w:marRight w:val="0"/>
              <w:marTop w:val="0"/>
              <w:marBottom w:val="0"/>
              <w:divBdr>
                <w:top w:val="single" w:sz="6" w:space="0" w:color="C8D8F2"/>
                <w:left w:val="none" w:sz="0" w:space="0" w:color="auto"/>
                <w:bottom w:val="none" w:sz="0" w:space="0" w:color="auto"/>
                <w:right w:val="none" w:sz="0" w:space="0" w:color="auto"/>
              </w:divBdr>
              <w:divsChild>
                <w:div w:id="1359350179">
                  <w:marLeft w:val="0"/>
                  <w:marRight w:val="0"/>
                  <w:marTop w:val="0"/>
                  <w:marBottom w:val="0"/>
                  <w:divBdr>
                    <w:top w:val="none" w:sz="0" w:space="0" w:color="auto"/>
                    <w:left w:val="none" w:sz="0" w:space="0" w:color="auto"/>
                    <w:bottom w:val="none" w:sz="0" w:space="0" w:color="auto"/>
                    <w:right w:val="none" w:sz="0" w:space="0" w:color="auto"/>
                  </w:divBdr>
                  <w:divsChild>
                    <w:div w:id="770470098">
                      <w:marLeft w:val="0"/>
                      <w:marRight w:val="0"/>
                      <w:marTop w:val="0"/>
                      <w:marBottom w:val="0"/>
                      <w:divBdr>
                        <w:top w:val="none" w:sz="0" w:space="0" w:color="auto"/>
                        <w:left w:val="none" w:sz="0" w:space="0" w:color="auto"/>
                        <w:bottom w:val="none" w:sz="0" w:space="0" w:color="auto"/>
                        <w:right w:val="none" w:sz="0" w:space="0" w:color="auto"/>
                      </w:divBdr>
                      <w:divsChild>
                        <w:div w:id="635649153">
                          <w:marLeft w:val="0"/>
                          <w:marRight w:val="0"/>
                          <w:marTop w:val="0"/>
                          <w:marBottom w:val="0"/>
                          <w:divBdr>
                            <w:top w:val="none" w:sz="0" w:space="0" w:color="auto"/>
                            <w:left w:val="none" w:sz="0" w:space="0" w:color="auto"/>
                            <w:bottom w:val="none" w:sz="0" w:space="0" w:color="auto"/>
                            <w:right w:val="none" w:sz="0" w:space="0" w:color="auto"/>
                          </w:divBdr>
                          <w:divsChild>
                            <w:div w:id="16720224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397483">
          <w:marLeft w:val="0"/>
          <w:marRight w:val="0"/>
          <w:marTop w:val="0"/>
          <w:marBottom w:val="0"/>
          <w:divBdr>
            <w:top w:val="none" w:sz="0" w:space="0" w:color="auto"/>
            <w:left w:val="none" w:sz="0" w:space="0" w:color="auto"/>
            <w:bottom w:val="none" w:sz="0" w:space="0" w:color="auto"/>
            <w:right w:val="none" w:sz="0" w:space="0" w:color="auto"/>
          </w:divBdr>
          <w:divsChild>
            <w:div w:id="1631394666">
              <w:marLeft w:val="0"/>
              <w:marRight w:val="0"/>
              <w:marTop w:val="0"/>
              <w:marBottom w:val="0"/>
              <w:divBdr>
                <w:top w:val="none" w:sz="0" w:space="0" w:color="auto"/>
                <w:left w:val="none" w:sz="0" w:space="0" w:color="auto"/>
                <w:bottom w:val="none" w:sz="0" w:space="0" w:color="auto"/>
                <w:right w:val="none" w:sz="0" w:space="0" w:color="auto"/>
              </w:divBdr>
              <w:divsChild>
                <w:div w:id="488252337">
                  <w:marLeft w:val="0"/>
                  <w:marRight w:val="0"/>
                  <w:marTop w:val="0"/>
                  <w:marBottom w:val="0"/>
                  <w:divBdr>
                    <w:top w:val="single" w:sz="6" w:space="0" w:color="E8E8E8"/>
                    <w:left w:val="none" w:sz="0" w:space="0" w:color="auto"/>
                    <w:bottom w:val="single" w:sz="6" w:space="0" w:color="CCCCCC"/>
                    <w:right w:val="none" w:sz="0" w:space="0" w:color="auto"/>
                  </w:divBdr>
                </w:div>
              </w:divsChild>
            </w:div>
          </w:divsChild>
        </w:div>
      </w:divsChild>
    </w:div>
    <w:div w:id="1352414278">
      <w:bodyDiv w:val="1"/>
      <w:marLeft w:val="0"/>
      <w:marRight w:val="0"/>
      <w:marTop w:val="0"/>
      <w:marBottom w:val="0"/>
      <w:divBdr>
        <w:top w:val="none" w:sz="0" w:space="0" w:color="auto"/>
        <w:left w:val="none" w:sz="0" w:space="0" w:color="auto"/>
        <w:bottom w:val="none" w:sz="0" w:space="0" w:color="auto"/>
        <w:right w:val="none" w:sz="0" w:space="0" w:color="auto"/>
      </w:divBdr>
    </w:div>
    <w:div w:id="1418089692">
      <w:bodyDiv w:val="1"/>
      <w:marLeft w:val="0"/>
      <w:marRight w:val="0"/>
      <w:marTop w:val="0"/>
      <w:marBottom w:val="0"/>
      <w:divBdr>
        <w:top w:val="none" w:sz="0" w:space="0" w:color="auto"/>
        <w:left w:val="none" w:sz="0" w:space="0" w:color="auto"/>
        <w:bottom w:val="none" w:sz="0" w:space="0" w:color="auto"/>
        <w:right w:val="none" w:sz="0" w:space="0" w:color="auto"/>
      </w:divBdr>
    </w:div>
    <w:div w:id="1538660148">
      <w:bodyDiv w:val="1"/>
      <w:marLeft w:val="0"/>
      <w:marRight w:val="0"/>
      <w:marTop w:val="0"/>
      <w:marBottom w:val="0"/>
      <w:divBdr>
        <w:top w:val="none" w:sz="0" w:space="0" w:color="auto"/>
        <w:left w:val="none" w:sz="0" w:space="0" w:color="auto"/>
        <w:bottom w:val="none" w:sz="0" w:space="0" w:color="auto"/>
        <w:right w:val="none" w:sz="0" w:space="0" w:color="auto"/>
      </w:divBdr>
    </w:div>
    <w:div w:id="159134864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28">
          <w:marLeft w:val="0"/>
          <w:marRight w:val="0"/>
          <w:marTop w:val="300"/>
          <w:marBottom w:val="300"/>
          <w:divBdr>
            <w:top w:val="none" w:sz="0" w:space="0" w:color="auto"/>
            <w:left w:val="none" w:sz="0" w:space="0" w:color="auto"/>
            <w:bottom w:val="none" w:sz="0" w:space="0" w:color="auto"/>
            <w:right w:val="none" w:sz="0" w:space="0" w:color="auto"/>
          </w:divBdr>
          <w:divsChild>
            <w:div w:id="528958781">
              <w:marLeft w:val="0"/>
              <w:marRight w:val="0"/>
              <w:marTop w:val="150"/>
              <w:marBottom w:val="150"/>
              <w:divBdr>
                <w:top w:val="none" w:sz="0" w:space="0" w:color="auto"/>
                <w:left w:val="none" w:sz="0" w:space="0" w:color="auto"/>
                <w:bottom w:val="none" w:sz="0" w:space="0" w:color="auto"/>
                <w:right w:val="none" w:sz="0" w:space="0" w:color="auto"/>
              </w:divBdr>
              <w:divsChild>
                <w:div w:id="1013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4278">
      <w:bodyDiv w:val="1"/>
      <w:marLeft w:val="0"/>
      <w:marRight w:val="0"/>
      <w:marTop w:val="0"/>
      <w:marBottom w:val="0"/>
      <w:divBdr>
        <w:top w:val="none" w:sz="0" w:space="0" w:color="auto"/>
        <w:left w:val="none" w:sz="0" w:space="0" w:color="auto"/>
        <w:bottom w:val="none" w:sz="0" w:space="0" w:color="auto"/>
        <w:right w:val="none" w:sz="0" w:space="0" w:color="auto"/>
      </w:divBdr>
    </w:div>
    <w:div w:id="1617367892">
      <w:bodyDiv w:val="1"/>
      <w:marLeft w:val="0"/>
      <w:marRight w:val="0"/>
      <w:marTop w:val="0"/>
      <w:marBottom w:val="0"/>
      <w:divBdr>
        <w:top w:val="none" w:sz="0" w:space="0" w:color="auto"/>
        <w:left w:val="none" w:sz="0" w:space="0" w:color="auto"/>
        <w:bottom w:val="none" w:sz="0" w:space="0" w:color="auto"/>
        <w:right w:val="none" w:sz="0" w:space="0" w:color="auto"/>
      </w:divBdr>
    </w:div>
    <w:div w:id="1647858737">
      <w:bodyDiv w:val="1"/>
      <w:marLeft w:val="0"/>
      <w:marRight w:val="0"/>
      <w:marTop w:val="0"/>
      <w:marBottom w:val="0"/>
      <w:divBdr>
        <w:top w:val="none" w:sz="0" w:space="0" w:color="auto"/>
        <w:left w:val="none" w:sz="0" w:space="0" w:color="auto"/>
        <w:bottom w:val="none" w:sz="0" w:space="0" w:color="auto"/>
        <w:right w:val="none" w:sz="0" w:space="0" w:color="auto"/>
      </w:divBdr>
      <w:divsChild>
        <w:div w:id="23214710">
          <w:marLeft w:val="378"/>
          <w:marRight w:val="0"/>
          <w:marTop w:val="0"/>
          <w:marBottom w:val="0"/>
          <w:divBdr>
            <w:top w:val="none" w:sz="0" w:space="0" w:color="auto"/>
            <w:left w:val="none" w:sz="0" w:space="0" w:color="auto"/>
            <w:bottom w:val="none" w:sz="0" w:space="0" w:color="auto"/>
            <w:right w:val="none" w:sz="0" w:space="0" w:color="auto"/>
          </w:divBdr>
        </w:div>
        <w:div w:id="1214849936">
          <w:marLeft w:val="378"/>
          <w:marRight w:val="0"/>
          <w:marTop w:val="0"/>
          <w:marBottom w:val="0"/>
          <w:divBdr>
            <w:top w:val="none" w:sz="0" w:space="0" w:color="auto"/>
            <w:left w:val="none" w:sz="0" w:space="0" w:color="auto"/>
            <w:bottom w:val="none" w:sz="0" w:space="0" w:color="auto"/>
            <w:right w:val="none" w:sz="0" w:space="0" w:color="auto"/>
          </w:divBdr>
        </w:div>
      </w:divsChild>
    </w:div>
    <w:div w:id="1805613167">
      <w:bodyDiv w:val="1"/>
      <w:marLeft w:val="0"/>
      <w:marRight w:val="0"/>
      <w:marTop w:val="0"/>
      <w:marBottom w:val="0"/>
      <w:divBdr>
        <w:top w:val="none" w:sz="0" w:space="0" w:color="auto"/>
        <w:left w:val="none" w:sz="0" w:space="0" w:color="auto"/>
        <w:bottom w:val="none" w:sz="0" w:space="0" w:color="auto"/>
        <w:right w:val="none" w:sz="0" w:space="0" w:color="auto"/>
      </w:divBdr>
    </w:div>
    <w:div w:id="1911885492">
      <w:bodyDiv w:val="1"/>
      <w:marLeft w:val="0"/>
      <w:marRight w:val="0"/>
      <w:marTop w:val="0"/>
      <w:marBottom w:val="0"/>
      <w:divBdr>
        <w:top w:val="none" w:sz="0" w:space="0" w:color="auto"/>
        <w:left w:val="none" w:sz="0" w:space="0" w:color="auto"/>
        <w:bottom w:val="none" w:sz="0" w:space="0" w:color="auto"/>
        <w:right w:val="none" w:sz="0" w:space="0" w:color="auto"/>
      </w:divBdr>
    </w:div>
    <w:div w:id="1936550755">
      <w:bodyDiv w:val="1"/>
      <w:marLeft w:val="0"/>
      <w:marRight w:val="0"/>
      <w:marTop w:val="0"/>
      <w:marBottom w:val="0"/>
      <w:divBdr>
        <w:top w:val="none" w:sz="0" w:space="0" w:color="auto"/>
        <w:left w:val="none" w:sz="0" w:space="0" w:color="auto"/>
        <w:bottom w:val="none" w:sz="0" w:space="0" w:color="auto"/>
        <w:right w:val="none" w:sz="0" w:space="0" w:color="auto"/>
      </w:divBdr>
    </w:div>
    <w:div w:id="1985506865">
      <w:bodyDiv w:val="1"/>
      <w:marLeft w:val="0"/>
      <w:marRight w:val="0"/>
      <w:marTop w:val="0"/>
      <w:marBottom w:val="0"/>
      <w:divBdr>
        <w:top w:val="none" w:sz="0" w:space="0" w:color="auto"/>
        <w:left w:val="none" w:sz="0" w:space="0" w:color="auto"/>
        <w:bottom w:val="none" w:sz="0" w:space="0" w:color="auto"/>
        <w:right w:val="none" w:sz="0" w:space="0" w:color="auto"/>
      </w:divBdr>
      <w:divsChild>
        <w:div w:id="650410349">
          <w:marLeft w:val="0"/>
          <w:marRight w:val="0"/>
          <w:marTop w:val="0"/>
          <w:marBottom w:val="0"/>
          <w:divBdr>
            <w:top w:val="none" w:sz="0" w:space="0" w:color="auto"/>
            <w:left w:val="none" w:sz="0" w:space="0" w:color="auto"/>
            <w:bottom w:val="none" w:sz="0" w:space="0" w:color="auto"/>
            <w:right w:val="none" w:sz="0" w:space="0" w:color="auto"/>
          </w:divBdr>
        </w:div>
        <w:div w:id="1941254851">
          <w:marLeft w:val="0"/>
          <w:marRight w:val="0"/>
          <w:marTop w:val="0"/>
          <w:marBottom w:val="0"/>
          <w:divBdr>
            <w:top w:val="none" w:sz="0" w:space="0" w:color="auto"/>
            <w:left w:val="none" w:sz="0" w:space="0" w:color="auto"/>
            <w:bottom w:val="none" w:sz="0" w:space="0" w:color="auto"/>
            <w:right w:val="none" w:sz="0" w:space="0" w:color="auto"/>
          </w:divBdr>
        </w:div>
      </w:divsChild>
    </w:div>
    <w:div w:id="2046907404">
      <w:bodyDiv w:val="1"/>
      <w:marLeft w:val="0"/>
      <w:marRight w:val="0"/>
      <w:marTop w:val="0"/>
      <w:marBottom w:val="0"/>
      <w:divBdr>
        <w:top w:val="none" w:sz="0" w:space="0" w:color="auto"/>
        <w:left w:val="none" w:sz="0" w:space="0" w:color="auto"/>
        <w:bottom w:val="none" w:sz="0" w:space="0" w:color="auto"/>
        <w:right w:val="none" w:sz="0" w:space="0" w:color="auto"/>
      </w:divBdr>
      <w:divsChild>
        <w:div w:id="1927297945">
          <w:marLeft w:val="0"/>
          <w:marRight w:val="0"/>
          <w:marTop w:val="0"/>
          <w:marBottom w:val="0"/>
          <w:divBdr>
            <w:top w:val="none" w:sz="0" w:space="0" w:color="auto"/>
            <w:left w:val="none" w:sz="0" w:space="0" w:color="auto"/>
            <w:bottom w:val="none" w:sz="0" w:space="0" w:color="auto"/>
            <w:right w:val="none" w:sz="0" w:space="0" w:color="auto"/>
          </w:divBdr>
          <w:divsChild>
            <w:div w:id="1615403289">
              <w:marLeft w:val="15"/>
              <w:marRight w:val="0"/>
              <w:marTop w:val="0"/>
              <w:marBottom w:val="0"/>
              <w:divBdr>
                <w:top w:val="single" w:sz="6" w:space="4" w:color="666666"/>
                <w:left w:val="single" w:sz="6" w:space="4" w:color="666666"/>
                <w:bottom w:val="single" w:sz="6" w:space="4" w:color="666666"/>
                <w:right w:val="single" w:sz="6" w:space="4" w:color="666666"/>
              </w:divBdr>
              <w:divsChild>
                <w:div w:id="1270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621">
      <w:bodyDiv w:val="1"/>
      <w:marLeft w:val="0"/>
      <w:marRight w:val="0"/>
      <w:marTop w:val="0"/>
      <w:marBottom w:val="0"/>
      <w:divBdr>
        <w:top w:val="none" w:sz="0" w:space="0" w:color="auto"/>
        <w:left w:val="none" w:sz="0" w:space="0" w:color="auto"/>
        <w:bottom w:val="none" w:sz="0" w:space="0" w:color="auto"/>
        <w:right w:val="none" w:sz="0" w:space="0" w:color="auto"/>
      </w:divBdr>
    </w:div>
    <w:div w:id="21302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gaochen@shzq.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DD88C-6577-4DF4-94E5-04E2FAEC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Links>
    <vt:vector size="6" baseType="variant">
      <vt:variant>
        <vt:i4>2359319</vt:i4>
      </vt:variant>
      <vt:variant>
        <vt:i4>0</vt:i4>
      </vt:variant>
      <vt:variant>
        <vt:i4>0</vt:i4>
      </vt:variant>
      <vt:variant>
        <vt:i4>5</vt:i4>
      </vt:variant>
      <vt:variant>
        <vt:lpwstr>mailto:gaochen@shzq.com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主要观点：</dc:title>
  <dc:creator>高琛</dc:creator>
  <cp:lastModifiedBy>蔡云翰:</cp:lastModifiedBy>
  <cp:revision>92</cp:revision>
  <cp:lastPrinted>2015-11-30T07:18:00Z</cp:lastPrinted>
  <dcterms:created xsi:type="dcterms:W3CDTF">2016-04-25T03:19:00Z</dcterms:created>
  <dcterms:modified xsi:type="dcterms:W3CDTF">2016-05-04T01:44:00Z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2013年10月10日</vt:lpwstr>
  </property>
  <property fmtid="{D5CDD505-2E9C-101B-9397-08002B2CF9AE}" pid="3" name="repoertnumber">
    <vt:lpwstr> </vt:lpwstr>
  </property>
  <property fmtid="{D5CDD505-2E9C-101B-9397-08002B2CF9AE}" pid="4" name="abbreviation">
    <vt:lpwstr>MR</vt:lpwstr>
  </property>
  <property fmtid="{D5CDD505-2E9C-101B-9397-08002B2CF9AE}" pid="5" name="allname">
    <vt:lpwstr>某某</vt:lpwstr>
  </property>
</Properties>
</file>