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BF0"/>
  <w:body>
    <w:p w:rsidR="0090542D" w:rsidRDefault="00557EF6" w:rsidP="00B80CE3">
      <w:pPr>
        <w:ind w:right="600" w:firstLineChars="4650" w:firstLine="8370"/>
        <w:rPr>
          <w:rFonts w:eastAsia="黑体" w:cs="Arial"/>
          <w:sz w:val="30"/>
          <w:szCs w:val="52"/>
        </w:rPr>
      </w:pPr>
      <w:r>
        <w:rPr>
          <w:noProof/>
        </w:rPr>
        <w:pict>
          <v:shapetype id="_x0000_t202" coordsize="21600,21600" o:spt="202" path="m,l,21600r21600,l21600,xe">
            <v:stroke joinstyle="miter"/>
            <v:path gradientshapeok="t" o:connecttype="rect"/>
          </v:shapetype>
          <v:shape id="Text Box 340" o:spid="_x0000_s1043" type="#_x0000_t202" style="position:absolute;left:0;text-align:left;margin-left:456.65pt;margin-top:41.1pt;width:117.3pt;height:23.2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" filled="f" fillcolor="blue" stroked="f" strokecolor="blue">
            <v:textbox>
              <w:txbxContent>
                <w:p w:rsidR="00276AED" w:rsidRPr="00EE31AB" w:rsidRDefault="00276AED" w:rsidP="00EE31AB">
                  <w:pPr>
                    <w:jc w:val="right"/>
                    <w:rPr>
                      <w:sz w:val="15"/>
                      <w:szCs w:val="15"/>
                    </w:rPr>
                  </w:pPr>
                  <w:r>
                    <w:rPr>
                      <w:rFonts w:ascii="楷体_GB2312" w:hint="eastAsia"/>
                      <w:sz w:val="15"/>
                      <w:szCs w:val="15"/>
                    </w:rPr>
                    <w:t>证券研究报告</w:t>
                  </w:r>
                </w:p>
              </w:txbxContent>
            </v:textbox>
            <w10:wrap anchorx="page" anchory="page"/>
          </v:shape>
        </w:pict>
      </w:r>
      <w:r>
        <w:rPr>
          <w:noProof/>
        </w:rPr>
        <w:pict>
          <v:shape id="Text Box 336" o:spid="_x0000_s1042" type="#_x0000_t202" style="position:absolute;left:0;text-align:left;margin-left:15.3pt;margin-top:49.15pt;width:409.2pt;height:25.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" filled="f" fillcolor="blue" stroked="f" strokecolor="blue">
            <v:textbox>
              <w:txbxContent>
                <w:p w:rsidR="00276AED" w:rsidRPr="00AE6908" w:rsidRDefault="00D12D7D">
                  <w:pPr>
                    <w:rPr>
                      <w:rFonts w:ascii="楷体_GB2312"/>
                      <w:b/>
                      <w:sz w:val="30"/>
                      <w:szCs w:val="30"/>
                    </w:rPr>
                  </w:pPr>
                  <w:bookmarkStart w:id="0" w:name="_GoBack"/>
                  <w:r>
                    <w:rPr>
                      <w:rFonts w:ascii="楷体_GB2312" w:hint="eastAsia"/>
                      <w:b/>
                      <w:sz w:val="30"/>
                      <w:szCs w:val="30"/>
                    </w:rPr>
                    <w:t>2016</w:t>
                  </w:r>
                  <w:r>
                    <w:rPr>
                      <w:rFonts w:ascii="楷体_GB2312" w:hint="eastAsia"/>
                      <w:b/>
                      <w:sz w:val="30"/>
                      <w:szCs w:val="30"/>
                    </w:rPr>
                    <w:t>年5月固定收益类基金投资策略</w:t>
                  </w:r>
                  <w:bookmarkEnd w:id="0"/>
                </w:p>
              </w:txbxContent>
            </v:textbox>
            <w10:wrap anchorx="page" anchory="page"/>
          </v:shape>
        </w:pict>
      </w:r>
      <w:r>
        <w:rPr>
          <w:noProof/>
        </w:rPr>
        <w:pict>
          <v:shape id="Text Box 335" o:spid="_x0000_s1041" type="#_x0000_t202" style="position:absolute;left:0;text-align:left;margin-left:15.3pt;margin-top:15.6pt;width:370.25pt;height:21.5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" filled="f" fillcolor="blue" stroked="f" strokecolor="blue">
            <v:textbox>
              <w:txbxContent>
                <w:bookmarkStart w:id="1" w:name="reportDate"/>
                <w:p w:rsidR="00276AED" w:rsidRDefault="00557EF6" w:rsidP="00832F33">
                  <w:pPr>
                    <w:jc w:val="left"/>
                  </w:pPr>
                  <w:sdt>
                    <w:sdtPr>
                      <w:rPr>
                        <w:rFonts w:eastAsia="黑体" w:cs="Arial" w:hint="eastAsia"/>
                        <w:b/>
                        <w:sz w:val="21"/>
                        <w:szCs w:val="21"/>
                      </w:rPr>
                      <w:alias w:val="报告日期"/>
                      <w:tag w:val="BDCONTENTCONTROL_5c179c93-3177-4ab7-ae62-1dc3677fa3d8"/>
                      <w:id w:val="3936421"/>
                      <w:placeholder>
                        <w:docPart w:val="3AF98DB354EF4549AB0BE78C83817B67"/>
                      </w:placeholder>
                      <w:text/>
                    </w:sdtPr>
                    <w:sdtEndPr/>
                    <w:sdtContent>
                      <w:r w:rsidR="00D12D7D">
                        <w:rPr>
                          <w:rFonts w:eastAsia="黑体" w:cs="Arial" w:hint="eastAsia"/>
                          <w:b/>
                          <w:sz w:val="21"/>
                          <w:szCs w:val="21"/>
                        </w:rPr>
                        <w:t>2016</w:t>
                      </w:r>
                      <w:r w:rsidR="00D12D7D">
                        <w:rPr>
                          <w:rFonts w:eastAsia="黑体" w:cs="Arial" w:hint="eastAsia"/>
                          <w:b/>
                          <w:sz w:val="21"/>
                          <w:szCs w:val="21"/>
                        </w:rPr>
                        <w:t>年</w:t>
                      </w:r>
                      <w:r w:rsidR="00D12D7D">
                        <w:rPr>
                          <w:rFonts w:eastAsia="黑体" w:cs="Arial" w:hint="eastAsia"/>
                          <w:b/>
                          <w:sz w:val="21"/>
                          <w:szCs w:val="21"/>
                        </w:rPr>
                        <w:t>04</w:t>
                      </w:r>
                      <w:r w:rsidR="00D12D7D">
                        <w:rPr>
                          <w:rFonts w:eastAsia="黑体" w:cs="Arial" w:hint="eastAsia"/>
                          <w:b/>
                          <w:sz w:val="21"/>
                          <w:szCs w:val="21"/>
                        </w:rPr>
                        <w:t>月</w:t>
                      </w:r>
                      <w:r w:rsidR="00D12D7D">
                        <w:rPr>
                          <w:rFonts w:eastAsia="黑体" w:cs="Arial" w:hint="eastAsia"/>
                          <w:b/>
                          <w:sz w:val="21"/>
                          <w:szCs w:val="21"/>
                        </w:rPr>
                        <w:t>29</w:t>
                      </w:r>
                      <w:r w:rsidR="00D12D7D">
                        <w:rPr>
                          <w:rFonts w:eastAsia="黑体" w:cs="Arial" w:hint="eastAsia"/>
                          <w:b/>
                          <w:sz w:val="21"/>
                          <w:szCs w:val="21"/>
                        </w:rPr>
                        <w:t>日</w:t>
                      </w:r>
                    </w:sdtContent>
                  </w:sdt>
                  <w:bookmarkEnd w:id="1"/>
                </w:p>
              </w:txbxContent>
            </v:textbox>
            <w10:wrap anchorx="page" anchory="page"/>
          </v:shape>
        </w:pict>
      </w:r>
      <w:r>
        <w:rPr>
          <w:noProof/>
        </w:rPr>
        <w:pict>
          <v:rect id="Rectangle 406" o:spid="_x0000_s1040" style="position:absolute;left:0;text-align:left;margin-left:416.25pt;margin-top:-30.75pt;width:124.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" filled="f" stroked="f" strokecolor="#339">
            <v:textbox>
              <w:txbxContent>
                <w:p w:rsidR="00276AED" w:rsidRPr="00EC07DB" w:rsidRDefault="00276AED" w:rsidP="00865BF6">
                  <w:pPr>
                    <w:jc w:val="right"/>
                    <w:rPr>
                      <w:sz w:val="15"/>
                      <w:szCs w:val="15"/>
                    </w:rPr>
                  </w:pPr>
                </w:p>
              </w:txbxContent>
            </v:textbox>
            <w10:anchorlock/>
          </v:rect>
        </w:pict>
      </w:r>
      <w:r>
        <w:rPr>
          <w:noProof/>
        </w:rPr>
        <w:pict>
          <v:shape id="Text Box 405" o:spid="_x0000_s1039" type="#_x0000_t202" style="position:absolute;left:0;text-align:left;margin-left:414.3pt;margin-top:15.6pt;width:128.45pt;height:34.3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" filled="f" stroked="f">
            <v:textbox>
              <w:txbxContent>
                <w:p w:rsidR="00276AED" w:rsidRPr="00E17DD1" w:rsidRDefault="00276AED" w:rsidP="00865BF6">
                  <w:r>
                    <w:rPr>
                      <w:noProof/>
                    </w:rPr>
                    <w:drawing>
                      <wp:inline distT="0" distB="0" distL="0" distR="0">
                        <wp:extent cx="1438275" cy="352425"/>
                        <wp:effectExtent l="0" t="0" r="9525" b="9525"/>
                        <wp:docPr id="7" name="图片 3"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命名的-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352425"/>
                                </a:xfrm>
                                <a:prstGeom prst="rect">
                                  <a:avLst/>
                                </a:prstGeom>
                                <a:noFill/>
                                <a:ln>
                                  <a:noFill/>
                                </a:ln>
                              </pic:spPr>
                            </pic:pic>
                          </a:graphicData>
                        </a:graphic>
                      </wp:inline>
                    </w:drawing>
                  </w:r>
                </w:p>
              </w:txbxContent>
            </v:textbox>
            <w10:wrap anchory="page"/>
            <w10:anchorlock/>
          </v:shape>
        </w:pict>
      </w:r>
      <w:r>
        <w:rPr>
          <w:noProof/>
        </w:rPr>
        <w:pict>
          <v:rect id="lastSuggestion" o:spid="_x0000_s1038" style="position:absolute;left:0;text-align:left;margin-left:299.1pt;margin-top:12.75pt;width:86.55pt;height:25.65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" filled="f" stroked="f" strokecolor="#339">
            <v:textbox>
              <w:txbxContent>
                <w:p w:rsidR="00276AED" w:rsidRPr="00FE4B43" w:rsidRDefault="00276AED" w:rsidP="006449BF">
                  <w:pPr>
                    <w:rPr>
                      <w:b/>
                      <w:sz w:val="24"/>
                      <w:szCs w:val="24"/>
                    </w:rPr>
                  </w:pPr>
                  <w:bookmarkStart w:id="2" w:name="lastInvestSuggestion"/>
                  <w:r>
                    <w:rPr>
                      <w:rFonts w:hint="eastAsia"/>
                      <w:b/>
                      <w:sz w:val="24"/>
                      <w:szCs w:val="24"/>
                    </w:rPr>
                    <w:t>买入</w:t>
                  </w:r>
                  <w:bookmarkEnd w:id="2"/>
                </w:p>
              </w:txbxContent>
            </v:textbox>
          </v:rect>
        </w:pict>
      </w:r>
    </w:p>
    <w:p w:rsidR="0090542D" w:rsidRDefault="00557EF6">
      <w:pPr>
        <w:jc w:val="right"/>
        <w:rPr>
          <w:rFonts w:eastAsia="黑体" w:cs="Arial"/>
          <w:sz w:val="30"/>
          <w:szCs w:val="52"/>
        </w:rPr>
      </w:pPr>
      <w:r>
        <w:rPr>
          <w:noProof/>
        </w:rPr>
        <w:pict>
          <v:shape id="Text Box 338" o:spid="_x0000_s1037" type="#_x0000_t202" style="position:absolute;left:0;text-align:left;margin-left:341.25pt;margin-top:98.35pt;width:228.75pt;height:22.1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" filled="f" fillcolor="blue" stroked="f" strokecolor="blue">
            <v:textbox>
              <w:txbxContent>
                <w:p w:rsidR="00276AED" w:rsidRDefault="00557EF6" w:rsidP="00F30157">
                  <w:pPr>
                    <w:jc w:val="right"/>
                  </w:pPr>
                  <w:sdt>
                    <w:sdtPr>
                      <w:rPr>
                        <w:rFonts w:hint="eastAsia"/>
                        <w:b/>
                        <w:sz w:val="24"/>
                        <w:szCs w:val="24"/>
                      </w:rPr>
                      <w:alias w:val="报告类型"/>
                      <w:tag w:val="BDCONTENTCONTROL_84bd61de-94b7-4c7c-8f81-60dfebe1887e"/>
                      <w:id w:val="1634203798"/>
                      <w:text/>
                    </w:sdtPr>
                    <w:sdtEndPr/>
                    <w:sdtContent>
                      <w:r w:rsidR="00D12D7D">
                        <w:rPr>
                          <w:rFonts w:hint="eastAsia"/>
                          <w:b/>
                          <w:sz w:val="24"/>
                          <w:szCs w:val="24"/>
                        </w:rPr>
                        <w:t>基金投资策略报告</w:t>
                      </w:r>
                    </w:sdtContent>
                  </w:sdt>
                </w:p>
              </w:txbxContent>
            </v:textbox>
            <w10:wrap anchorx="page" anchory="page"/>
          </v:shape>
        </w:pict>
      </w:r>
    </w:p>
    <w:p w:rsidR="0090542D" w:rsidRDefault="00557EF6">
      <w:pPr>
        <w:jc w:val="right"/>
        <w:rPr>
          <w:rFonts w:eastAsia="黑体" w:cs="Arial"/>
          <w:sz w:val="30"/>
          <w:szCs w:val="52"/>
        </w:rPr>
      </w:pPr>
      <w:r>
        <w:rPr>
          <w:noProof/>
        </w:rPr>
        <w:pict>
          <v:line id="Line 335" o:spid="_x0000_s1036" style="position:absolute;left:0;text-align:left;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8pt,12.65pt" to="565.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" strokecolor="#00a0e9" strokeweight=".94pt"/>
        </w:pict>
      </w:r>
    </w:p>
    <w:p w:rsidR="00EB010E" w:rsidRDefault="00EB010E">
      <w:pPr>
        <w:jc w:val="right"/>
        <w:rPr>
          <w:rFonts w:eastAsia="黑体" w:cs="Arial"/>
          <w:sz w:val="30"/>
          <w:szCs w:val="52"/>
        </w:rPr>
      </w:pPr>
    </w:p>
    <w:tbl>
      <w:tblPr>
        <w:tblStyle w:val="af"/>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9"/>
        <w:gridCol w:w="7568"/>
      </w:tblGrid>
      <w:tr w:rsidR="00EB010E" w:rsidTr="003A7A25">
        <w:trPr>
          <w:trHeight w:val="12531"/>
        </w:trPr>
        <w:tc>
          <w:tcPr>
            <w:tcW w:w="3459" w:type="dxa"/>
            <w:tcMar>
              <w:top w:w="28" w:type="dxa"/>
              <w:left w:w="0" w:type="dxa"/>
              <w:right w:w="108" w:type="dxa"/>
            </w:tcMar>
          </w:tcPr>
          <w:p w:rsidR="00351D32" w:rsidRDefault="00351D32" w:rsidP="00351D32">
            <w:pPr>
              <w:spacing w:line="14" w:lineRule="exact"/>
            </w:pPr>
          </w:p>
          <w:p w:rsidR="008D4BDD" w:rsidRPr="000E6AE0" w:rsidRDefault="008D4BDD" w:rsidP="000E6AE0">
            <w:pPr>
              <w:ind w:rightChars="300" w:right="540"/>
            </w:pPr>
          </w:p>
          <w:p w:rsidR="00F72FA2" w:rsidRDefault="00F72FA2"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sdt>
            <w:sdtPr>
              <w:rPr>
                <w:rFonts w:eastAsia="黑体" w:cs="Arial"/>
                <w:sz w:val="30"/>
                <w:szCs w:val="52"/>
              </w:rPr>
              <w:alias w:val="专题相关报告万能版"/>
              <w:tag w:val="BDCONTENTCONTROL_0694d7ec-429e-443a-8333-6c91828fed93"/>
              <w:id w:val="-68895231"/>
              <w:placeholder>
                <w:docPart w:val="79D90470EF114B86992C40E1FC1939B5"/>
              </w:placeholder>
            </w:sdtPr>
            <w:sdtEndPr/>
            <w:sdtContent>
              <w:p w:rsidR="00A05AC0" w:rsidRDefault="00A05AC0" w:rsidP="00A05AC0">
                <w:pPr>
                  <w:spacing w:line="14" w:lineRule="exact"/>
                  <w:ind w:rightChars="300" w:right="540"/>
                  <w:jc w:val="left"/>
                  <w:rPr>
                    <w:rFonts w:eastAsia="黑体" w:cs="Arial"/>
                    <w:sz w:val="30"/>
                    <w:szCs w:val="52"/>
                  </w:rPr>
                </w:pPr>
              </w:p>
              <w:tbl>
                <w:tblPr>
                  <w:tblW w:w="3368" w:type="dxa"/>
                  <w:tblLayout w:type="fixed"/>
                  <w:tblLook w:val="0000" w:firstRow="0" w:lastRow="0" w:firstColumn="0" w:lastColumn="0" w:noHBand="0" w:noVBand="0"/>
                </w:tblPr>
                <w:tblGrid>
                  <w:gridCol w:w="3368"/>
                </w:tblGrid>
                <w:tr w:rsidR="00A05AC0" w:rsidTr="004F7C74">
                  <w:trPr>
                    <w:trHeight w:val="510"/>
                  </w:trPr>
                  <w:tc>
                    <w:tcPr>
                      <w:tcW w:w="3368" w:type="dxa"/>
                      <w:vAlign w:val="bottom"/>
                    </w:tcPr>
                    <w:p w:rsidR="00A05AC0" w:rsidRPr="00A05AC0" w:rsidRDefault="00A05AC0" w:rsidP="004F7C74">
                      <w:pPr>
                        <w:ind w:rightChars="300" w:right="540"/>
                        <w:rPr>
                          <w:rFonts w:ascii="楷体_GB2312" w:cs="Arial"/>
                          <w:b/>
                          <w:sz w:val="21"/>
                          <w:szCs w:val="21"/>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626F55" w:rsidTr="004F7C74">
                  <w:trPr>
                    <w:trHeight w:val="510"/>
                  </w:trPr>
                  <w:tc>
                    <w:tcPr>
                      <w:tcW w:w="3368" w:type="dxa"/>
                      <w:vAlign w:val="bottom"/>
                    </w:tcPr>
                    <w:p w:rsidR="00626F55" w:rsidRPr="00A05AC0" w:rsidRDefault="00626F55" w:rsidP="004F7C74">
                      <w:pPr>
                        <w:ind w:rightChars="300" w:right="540"/>
                        <w:rPr>
                          <w:rFonts w:cs="Arial"/>
                          <w:szCs w:val="52"/>
                        </w:rPr>
                      </w:pPr>
                    </w:p>
                  </w:tc>
                </w:tr>
              </w:tbl>
              <w:p w:rsidR="000E6AE0" w:rsidRDefault="00557EF6" w:rsidP="00A05AC0">
                <w:pPr>
                  <w:spacing w:line="14" w:lineRule="exact"/>
                  <w:ind w:rightChars="300" w:right="540"/>
                  <w:jc w:val="left"/>
                  <w:rPr>
                    <w:rFonts w:eastAsia="黑体" w:cs="Arial"/>
                    <w:sz w:val="30"/>
                    <w:szCs w:val="52"/>
                  </w:rPr>
                </w:pPr>
              </w:p>
            </w:sdtContent>
          </w:sdt>
          <w:p w:rsidR="000E6AE0" w:rsidRDefault="000E6AE0" w:rsidP="000E6AE0">
            <w:pPr>
              <w:ind w:rightChars="300" w:right="540"/>
              <w:jc w:val="left"/>
              <w:rPr>
                <w:rFonts w:eastAsia="黑体" w:cs="Arial"/>
                <w:sz w:val="30"/>
                <w:szCs w:val="52"/>
              </w:rPr>
            </w:pPr>
          </w:p>
          <w:p w:rsidR="000E6AE0" w:rsidRDefault="000E6AE0" w:rsidP="00AA352E">
            <w:pPr>
              <w:jc w:val="left"/>
              <w:rPr>
                <w:rFonts w:eastAsia="黑体" w:cs="Arial"/>
                <w:sz w:val="30"/>
                <w:szCs w:val="52"/>
              </w:rPr>
            </w:pPr>
          </w:p>
          <w:p w:rsidR="00A05AC0" w:rsidRDefault="00A05AC0" w:rsidP="00AA352E">
            <w:pPr>
              <w:jc w:val="left"/>
              <w:rPr>
                <w:rFonts w:eastAsia="黑体" w:cs="Arial"/>
                <w:sz w:val="30"/>
                <w:szCs w:val="52"/>
              </w:rPr>
            </w:pPr>
          </w:p>
          <w:p w:rsidR="009562F7" w:rsidRDefault="009562F7" w:rsidP="00AA352E">
            <w:pPr>
              <w:jc w:val="left"/>
              <w:rPr>
                <w:rFonts w:eastAsia="黑体" w:cs="Arial"/>
                <w:sz w:val="30"/>
                <w:szCs w:val="52"/>
              </w:rPr>
            </w:pPr>
          </w:p>
          <w:p w:rsidR="000E6AE0" w:rsidRDefault="000E6AE0" w:rsidP="00AA352E">
            <w:pPr>
              <w:jc w:val="left"/>
              <w:rPr>
                <w:rFonts w:eastAsia="黑体" w:cs="Arial"/>
                <w:sz w:val="30"/>
                <w:szCs w:val="52"/>
              </w:rPr>
            </w:pPr>
          </w:p>
          <w:p w:rsidR="000E6AE0" w:rsidRDefault="000E6AE0" w:rsidP="00AA352E">
            <w:pPr>
              <w:jc w:val="left"/>
              <w:rPr>
                <w:rFonts w:eastAsia="黑体" w:cs="Arial"/>
                <w:sz w:val="30"/>
                <w:szCs w:val="52"/>
              </w:rPr>
            </w:pPr>
          </w:p>
          <w:p w:rsidR="00D2211C" w:rsidRPr="008D4BDD" w:rsidRDefault="00D2211C" w:rsidP="00AA352E">
            <w:pPr>
              <w:jc w:val="left"/>
              <w:rPr>
                <w:rFonts w:eastAsia="黑体" w:cs="Arial"/>
                <w:sz w:val="30"/>
                <w:szCs w:val="52"/>
              </w:rPr>
            </w:pPr>
          </w:p>
          <w:tbl>
            <w:tblPr>
              <w:tblStyle w:val="af"/>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D62C60" w:rsidTr="00A50B9B">
              <w:trPr>
                <w:trHeight w:val="2665"/>
              </w:trPr>
              <w:tc>
                <w:tcPr>
                  <w:tcW w:w="3458" w:type="dxa"/>
                  <w:tcMar>
                    <w:left w:w="57" w:type="dxa"/>
                    <w:right w:w="0" w:type="dxa"/>
                  </w:tcMar>
                  <w:vAlign w:val="bottom"/>
                </w:tcPr>
                <w:p w:rsidR="00D62C60" w:rsidRDefault="00D62C60" w:rsidP="00B632AD">
                  <w:pPr>
                    <w:rPr>
                      <w:rFonts w:ascii="楷体_GB2312"/>
                      <w:b/>
                      <w:sz w:val="21"/>
                      <w:szCs w:val="21"/>
                    </w:rPr>
                  </w:pPr>
                </w:p>
                <w:sdt>
                  <w:sdtPr>
                    <w:rPr>
                      <w:rFonts w:hint="eastAsia"/>
                    </w:rPr>
                    <w:alias w:val="作者展示"/>
                    <w:tag w:val="BDCONTENTCONTROL_3df14c52-472a-44c1-9e63-51d70c06bfcd"/>
                    <w:id w:val="1476954864"/>
                    <w:placeholder>
                      <w:docPart w:val="94B91127A09D4D26B4F544934F3B89B1"/>
                    </w:placeholder>
                  </w:sdtPr>
                  <w:sdtEndPr/>
                  <w:sdtContent>
                    <w:p w:rsidR="00B632AD" w:rsidRPr="00B632AD" w:rsidRDefault="00B632AD" w:rsidP="00B632AD">
                      <w:pPr>
                        <w:spacing w:line="14" w:lineRule="exact"/>
                      </w:pPr>
                    </w:p>
                    <w:tbl>
                      <w:tblPr>
                        <w:tblW w:w="3458" w:type="dxa"/>
                        <w:tblLayout w:type="fixed"/>
                        <w:tblCellMar>
                          <w:left w:w="0" w:type="dxa"/>
                          <w:right w:w="0" w:type="dxa"/>
                        </w:tblCellMar>
                        <w:tblLook w:val="0000" w:firstRow="0" w:lastRow="0" w:firstColumn="0" w:lastColumn="0" w:noHBand="0" w:noVBand="0"/>
                      </w:tblPr>
                      <w:tblGrid>
                        <w:gridCol w:w="850"/>
                        <w:gridCol w:w="2608"/>
                      </w:tblGrid>
                      <w:tr w:rsidR="00D12D7D" w:rsidTr="004007BB">
                        <w:trPr>
                          <w:trHeight w:val="567"/>
                        </w:trPr>
                        <w:tc>
                          <w:tcPr>
                            <w:tcW w:w="1229" w:type="pct"/>
                            <w:tcMar>
                              <w:left w:w="0" w:type="dxa"/>
                              <w:right w:w="28" w:type="dxa"/>
                            </w:tcMar>
                          </w:tcPr>
                          <w:p w:rsidR="00D12D7D" w:rsidRDefault="00D12D7D" w:rsidP="004E627E">
                            <w:pPr>
                              <w:pStyle w:val="GJReportFirPageAuthorName"/>
                            </w:pPr>
                            <w:r>
                              <w:rPr>
                                <w:rFonts w:hint="eastAsia"/>
                              </w:rPr>
                              <w:t>王聃聃</w:t>
                            </w:r>
                          </w:p>
                        </w:tc>
                        <w:tc>
                          <w:tcPr>
                            <w:tcW w:w="3771" w:type="pct"/>
                            <w:tcMar>
                              <w:left w:w="0" w:type="dxa"/>
                              <w:right w:w="28" w:type="dxa"/>
                            </w:tcMar>
                          </w:tcPr>
                          <w:p w:rsidR="00D12D7D" w:rsidRPr="00EE0794" w:rsidRDefault="00D12D7D" w:rsidP="00D12D7D">
                            <w:pPr>
                              <w:pStyle w:val="GJReportFirPageAuthorEmail"/>
                            </w:pPr>
                          </w:p>
                        </w:tc>
                      </w:tr>
                    </w:tbl>
                    <w:p w:rsidR="00B632AD" w:rsidRPr="006E3D11" w:rsidRDefault="00557EF6" w:rsidP="00D12D7D">
                      <w:pPr>
                        <w:spacing w:line="14" w:lineRule="exact"/>
                      </w:pPr>
                    </w:p>
                  </w:sdtContent>
                </w:sdt>
              </w:tc>
            </w:tr>
          </w:tbl>
          <w:p w:rsidR="008D4BDD" w:rsidRPr="008D4BDD" w:rsidRDefault="008D4BDD" w:rsidP="00D62C60">
            <w:pPr>
              <w:jc w:val="left"/>
              <w:rPr>
                <w:rFonts w:eastAsia="黑体" w:cs="Arial"/>
                <w:sz w:val="30"/>
                <w:szCs w:val="52"/>
              </w:rPr>
            </w:pPr>
          </w:p>
        </w:tc>
        <w:tc>
          <w:tcPr>
            <w:tcW w:w="7568" w:type="dxa"/>
            <w:tcMar>
              <w:top w:w="28" w:type="dxa"/>
              <w:left w:w="108" w:type="dxa"/>
              <w:right w:w="28" w:type="dxa"/>
            </w:tcMar>
          </w:tcPr>
          <w:sdt>
            <w:sdtPr>
              <w:rPr>
                <w:rFonts w:ascii="楷体_GB2312" w:hint="eastAsia"/>
                <w:b/>
                <w:bCs/>
                <w:sz w:val="36"/>
                <w:szCs w:val="36"/>
              </w:rPr>
              <w:alias w:val="副标题"/>
              <w:tag w:val="BDCONTENTCONTROL_AUTO_SAVE_SubTitle"/>
              <w:id w:val="-642272724"/>
              <w:lock w:val="sdtLocked"/>
              <w:placeholder>
                <w:docPart w:val="94B91127A09D4D26B4F544934F3B89B1"/>
              </w:placeholder>
            </w:sdtPr>
            <w:sdtEndPr/>
            <w:sdtContent>
              <w:p w:rsidR="00962AD2" w:rsidRDefault="004007BB" w:rsidP="00AA352E">
                <w:pPr>
                  <w:ind w:rightChars="13" w:right="23"/>
                  <w:jc w:val="center"/>
                  <w:rPr>
                    <w:rFonts w:ascii="楷体_GB2312"/>
                    <w:b/>
                    <w:bCs/>
                    <w:sz w:val="36"/>
                    <w:szCs w:val="36"/>
                  </w:rPr>
                </w:pPr>
                <w:r>
                  <w:rPr>
                    <w:rFonts w:ascii="楷体_GB2312" w:hint="eastAsia"/>
                    <w:b/>
                    <w:bCs/>
                    <w:sz w:val="36"/>
                    <w:szCs w:val="36"/>
                  </w:rPr>
                  <w:t>震荡</w:t>
                </w:r>
                <w:proofErr w:type="gramStart"/>
                <w:r>
                  <w:rPr>
                    <w:rFonts w:ascii="楷体_GB2312" w:hint="eastAsia"/>
                    <w:b/>
                    <w:bCs/>
                    <w:sz w:val="36"/>
                    <w:szCs w:val="36"/>
                  </w:rPr>
                  <w:t>市场风控先行</w:t>
                </w:r>
                <w:proofErr w:type="gramEnd"/>
                <w:r>
                  <w:rPr>
                    <w:rFonts w:ascii="楷体_GB2312" w:hint="eastAsia"/>
                    <w:b/>
                    <w:bCs/>
                    <w:sz w:val="36"/>
                    <w:szCs w:val="36"/>
                  </w:rPr>
                  <w:t>，</w:t>
                </w:r>
                <w:proofErr w:type="gramStart"/>
                <w:r>
                  <w:rPr>
                    <w:rFonts w:ascii="楷体_GB2312" w:hint="eastAsia"/>
                    <w:b/>
                    <w:bCs/>
                    <w:sz w:val="36"/>
                    <w:szCs w:val="36"/>
                  </w:rPr>
                  <w:t>缩短久期稳健</w:t>
                </w:r>
                <w:proofErr w:type="gramEnd"/>
                <w:r>
                  <w:rPr>
                    <w:rFonts w:ascii="楷体_GB2312" w:hint="eastAsia"/>
                    <w:b/>
                    <w:bCs/>
                    <w:sz w:val="36"/>
                    <w:szCs w:val="36"/>
                  </w:rPr>
                  <w:t>操作</w:t>
                </w:r>
              </w:p>
            </w:sdtContent>
          </w:sdt>
          <w:p w:rsidR="00962AD2" w:rsidRPr="00BD4986" w:rsidRDefault="00962AD2" w:rsidP="00AA352E">
            <w:pPr>
              <w:jc w:val="left"/>
              <w:rPr>
                <w:rFonts w:eastAsia="黑体" w:cs="Arial"/>
                <w:sz w:val="30"/>
                <w:szCs w:val="52"/>
              </w:rPr>
            </w:pPr>
          </w:p>
          <w:sdt>
            <w:sdtPr>
              <w:rPr>
                <w:rFonts w:cs="Arial"/>
                <w:b/>
                <w:sz w:val="24"/>
                <w:szCs w:val="24"/>
              </w:rPr>
              <w:alias w:val="摘要"/>
              <w:tag w:val="BDCONTENTCONTROL_AUTO_SAVE_Summary"/>
              <w:id w:val="1939021410"/>
              <w:lock w:val="sdtLocked"/>
              <w:placeholder>
                <w:docPart w:val="94B91127A09D4D26B4F544934F3B89B1"/>
              </w:placeholder>
            </w:sdtPr>
            <w:sdtEndPr>
              <w:rPr>
                <w:rFonts w:cs="Times New Roman"/>
                <w:b w:val="0"/>
                <w:sz w:val="21"/>
                <w:szCs w:val="21"/>
              </w:rPr>
            </w:sdtEndPr>
            <w:sdtContent>
              <w:p w:rsidR="00D12D7D" w:rsidRPr="00346E26" w:rsidRDefault="00D12D7D" w:rsidP="00D12D7D">
                <w:pPr>
                  <w:pStyle w:val="a0"/>
                  <w:spacing w:line="240" w:lineRule="auto"/>
                  <w:ind w:left="0" w:rightChars="12" w:right="22"/>
                  <w:jc w:val="left"/>
                  <w:rPr>
                    <w:b/>
                    <w:bCs/>
                    <w:color w:val="auto"/>
                    <w:sz w:val="24"/>
                  </w:rPr>
                </w:pPr>
                <w:r w:rsidRPr="00346E26">
                  <w:rPr>
                    <w:b/>
                    <w:bCs/>
                    <w:color w:val="auto"/>
                    <w:sz w:val="24"/>
                  </w:rPr>
                  <w:t>基本结论</w:t>
                </w:r>
              </w:p>
              <w:p w:rsidR="00D12D7D" w:rsidRPr="004007BB" w:rsidRDefault="00D12D7D" w:rsidP="00D12D7D">
                <w:pPr>
                  <w:pStyle w:val="a0"/>
                  <w:spacing w:line="240" w:lineRule="auto"/>
                  <w:ind w:left="0" w:rightChars="12" w:right="22"/>
                  <w:jc w:val="left"/>
                  <w:rPr>
                    <w:b/>
                    <w:bCs/>
                    <w:color w:val="auto"/>
                    <w:sz w:val="24"/>
                  </w:rPr>
                </w:pPr>
                <w:r>
                  <w:rPr>
                    <w:rFonts w:hint="eastAsia"/>
                    <w:b/>
                    <w:bCs/>
                    <w:color w:val="auto"/>
                    <w:szCs w:val="21"/>
                  </w:rPr>
                  <w:t>震荡</w:t>
                </w:r>
                <w:proofErr w:type="gramStart"/>
                <w:r>
                  <w:rPr>
                    <w:rFonts w:hint="eastAsia"/>
                    <w:b/>
                    <w:bCs/>
                    <w:color w:val="auto"/>
                    <w:szCs w:val="21"/>
                  </w:rPr>
                  <w:t>市场风控先行</w:t>
                </w:r>
                <w:proofErr w:type="gramEnd"/>
                <w:r>
                  <w:rPr>
                    <w:rFonts w:hint="eastAsia"/>
                    <w:b/>
                    <w:bCs/>
                    <w:color w:val="auto"/>
                    <w:szCs w:val="21"/>
                  </w:rPr>
                  <w:t>，</w:t>
                </w:r>
                <w:proofErr w:type="gramStart"/>
                <w:r>
                  <w:rPr>
                    <w:rFonts w:hint="eastAsia"/>
                    <w:b/>
                    <w:bCs/>
                    <w:color w:val="auto"/>
                    <w:szCs w:val="21"/>
                  </w:rPr>
                  <w:t>缩短久期稳健</w:t>
                </w:r>
                <w:proofErr w:type="gramEnd"/>
                <w:r>
                  <w:rPr>
                    <w:rFonts w:hint="eastAsia"/>
                    <w:b/>
                    <w:bCs/>
                    <w:color w:val="auto"/>
                    <w:szCs w:val="21"/>
                  </w:rPr>
                  <w:t>操作——</w:t>
                </w:r>
                <w:r w:rsidRPr="00A36A29">
                  <w:rPr>
                    <w:rFonts w:hint="eastAsia"/>
                    <w:b/>
                    <w:bCs/>
                    <w:color w:val="auto"/>
                    <w:szCs w:val="21"/>
                  </w:rPr>
                  <w:t>开放型债券基金投资建议</w:t>
                </w:r>
              </w:p>
              <w:p w:rsidR="00D12D7D" w:rsidRDefault="00D12D7D" w:rsidP="00D12D7D">
                <w:pPr>
                  <w:pStyle w:val="a0"/>
                  <w:widowControl/>
                  <w:numPr>
                    <w:ilvl w:val="0"/>
                    <w:numId w:val="33"/>
                  </w:numPr>
                  <w:spacing w:line="240" w:lineRule="auto"/>
                  <w:ind w:rightChars="12" w:right="22"/>
                  <w:jc w:val="left"/>
                </w:pPr>
                <w:r>
                  <w:rPr>
                    <w:rFonts w:hint="eastAsia"/>
                  </w:rPr>
                  <w:t>主要受年初两月经济疲弱影响，</w:t>
                </w:r>
                <w:r>
                  <w:rPr>
                    <w:rFonts w:hint="eastAsia"/>
                  </w:rPr>
                  <w:t>1</w:t>
                </w:r>
                <w:r>
                  <w:rPr>
                    <w:rFonts w:hint="eastAsia"/>
                  </w:rPr>
                  <w:t>季度国内生产总值同比增速小幅下行。进入</w:t>
                </w:r>
                <w:r>
                  <w:rPr>
                    <w:rFonts w:hint="eastAsia"/>
                  </w:rPr>
                  <w:t>3</w:t>
                </w:r>
                <w:r>
                  <w:rPr>
                    <w:rFonts w:hint="eastAsia"/>
                  </w:rPr>
                  <w:t>月后经济阶段性有所回暖，</w:t>
                </w:r>
                <w:r w:rsidRPr="004007BB">
                  <w:rPr>
                    <w:rFonts w:hint="eastAsia"/>
                  </w:rPr>
                  <w:t>工业、固定资产投资及消费均有所好转，通胀风险下降。但高频数据显示，</w:t>
                </w:r>
                <w:r>
                  <w:rPr>
                    <w:rFonts w:hint="eastAsia"/>
                  </w:rPr>
                  <w:t>目前</w:t>
                </w:r>
                <w:r w:rsidRPr="004007BB">
                  <w:rPr>
                    <w:rFonts w:hint="eastAsia"/>
                  </w:rPr>
                  <w:t>工业增速及房地产</w:t>
                </w:r>
                <w:r>
                  <w:rPr>
                    <w:rFonts w:hint="eastAsia"/>
                  </w:rPr>
                  <w:t>销售有放缓迹象</w:t>
                </w:r>
                <w:r w:rsidRPr="004007BB">
                  <w:rPr>
                    <w:rFonts w:hint="eastAsia"/>
                  </w:rPr>
                  <w:t>，短期需求刺激政策作用下经济改善持续性尚存疑问。</w:t>
                </w:r>
              </w:p>
              <w:p w:rsidR="00D12D7D" w:rsidRDefault="00D12D7D" w:rsidP="00D12D7D">
                <w:pPr>
                  <w:pStyle w:val="a0"/>
                  <w:widowControl/>
                  <w:numPr>
                    <w:ilvl w:val="0"/>
                    <w:numId w:val="33"/>
                  </w:numPr>
                  <w:spacing w:line="240" w:lineRule="auto"/>
                  <w:ind w:rightChars="12" w:right="22"/>
                  <w:jc w:val="left"/>
                </w:pPr>
                <w:r w:rsidRPr="004007BB">
                  <w:rPr>
                    <w:rFonts w:hint="eastAsia"/>
                  </w:rPr>
                  <w:t>4</w:t>
                </w:r>
                <w:r w:rsidRPr="004007BB">
                  <w:rPr>
                    <w:rFonts w:hint="eastAsia"/>
                  </w:rPr>
                  <w:t>月货币政策短期化及对冲意图特征明显，在上旬资金面较为充裕的阶段资金投放力度较弱，而后随着短期扰动因素增多公开市场操作及</w:t>
                </w:r>
                <w:r w:rsidRPr="004007BB">
                  <w:rPr>
                    <w:rFonts w:hint="eastAsia"/>
                  </w:rPr>
                  <w:t>MLF</w:t>
                </w:r>
                <w:r w:rsidRPr="004007BB">
                  <w:rPr>
                    <w:rFonts w:hint="eastAsia"/>
                  </w:rPr>
                  <w:t>投放力度有所增强。</w:t>
                </w:r>
                <w:r>
                  <w:rPr>
                    <w:rFonts w:hint="eastAsia"/>
                  </w:rPr>
                  <w:t>5</w:t>
                </w:r>
                <w:r>
                  <w:rPr>
                    <w:rFonts w:hint="eastAsia"/>
                  </w:rPr>
                  <w:t>月</w:t>
                </w:r>
                <w:r w:rsidRPr="004007BB">
                  <w:rPr>
                    <w:rFonts w:hint="eastAsia"/>
                  </w:rPr>
                  <w:t>资金面在税款上缴等短期因素冲击下仍将面临阶段性波动，但</w:t>
                </w:r>
                <w:r>
                  <w:rPr>
                    <w:rFonts w:hint="eastAsia"/>
                  </w:rPr>
                  <w:t>预计货币政策</w:t>
                </w:r>
                <w:r w:rsidRPr="004007BB">
                  <w:rPr>
                    <w:rFonts w:hint="eastAsia"/>
                  </w:rPr>
                  <w:t>可以较为有效的对</w:t>
                </w:r>
                <w:proofErr w:type="gramStart"/>
                <w:r w:rsidRPr="004007BB">
                  <w:rPr>
                    <w:rFonts w:hint="eastAsia"/>
                  </w:rPr>
                  <w:t>冲资金</w:t>
                </w:r>
                <w:proofErr w:type="gramEnd"/>
                <w:r w:rsidRPr="004007BB">
                  <w:rPr>
                    <w:rFonts w:hint="eastAsia"/>
                  </w:rPr>
                  <w:t>面波动。同时通胀涨势温和但仍将限制货币政策宽松空间，货币政策大规模宽松可能性不大。整体来看，后续流动性稳定性仍旧较弱，资金</w:t>
                </w:r>
                <w:proofErr w:type="gramStart"/>
                <w:r w:rsidRPr="004007BB">
                  <w:rPr>
                    <w:rFonts w:hint="eastAsia"/>
                  </w:rPr>
                  <w:t>面整体</w:t>
                </w:r>
                <w:proofErr w:type="gramEnd"/>
                <w:r w:rsidRPr="004007BB">
                  <w:rPr>
                    <w:rFonts w:hint="eastAsia"/>
                  </w:rPr>
                  <w:t>将维持适度宽松。</w:t>
                </w:r>
              </w:p>
              <w:p w:rsidR="00D12D7D" w:rsidRDefault="00D12D7D" w:rsidP="004007BB">
                <w:pPr>
                  <w:pStyle w:val="a0"/>
                  <w:widowControl/>
                  <w:numPr>
                    <w:ilvl w:val="0"/>
                    <w:numId w:val="33"/>
                  </w:numPr>
                  <w:spacing w:line="240" w:lineRule="auto"/>
                  <w:ind w:rightChars="12" w:right="22"/>
                  <w:jc w:val="left"/>
                </w:pPr>
                <w:r w:rsidRPr="004007BB">
                  <w:rPr>
                    <w:rFonts w:hint="eastAsia"/>
                  </w:rPr>
                  <w:t>4</w:t>
                </w:r>
                <w:r w:rsidRPr="004007BB">
                  <w:rPr>
                    <w:rFonts w:hint="eastAsia"/>
                  </w:rPr>
                  <w:t>月债券市场震荡幅度加大，信用债及利率债市场均出现显著回调。本轮调整除了受到基本面好转、通胀温和回升和流动性波动等此前已经存在的利空因素压制之外，还受到被动去杠杆、信用违约及营改增等短期因素扰动。</w:t>
                </w:r>
                <w:r>
                  <w:rPr>
                    <w:rFonts w:hint="eastAsia"/>
                  </w:rPr>
                  <w:t>5</w:t>
                </w:r>
                <w:r>
                  <w:rPr>
                    <w:rFonts w:hint="eastAsia"/>
                  </w:rPr>
                  <w:t>月多重利空因素影响之下债券市场将持续震荡行情，预计市场情绪将维持谨慎，以静待环境发生进一步变化。</w:t>
                </w:r>
              </w:p>
              <w:p w:rsidR="00D12D7D" w:rsidRDefault="00D12D7D" w:rsidP="004007BB">
                <w:pPr>
                  <w:pStyle w:val="a0"/>
                  <w:widowControl/>
                  <w:numPr>
                    <w:ilvl w:val="0"/>
                    <w:numId w:val="33"/>
                  </w:numPr>
                  <w:spacing w:line="240" w:lineRule="auto"/>
                  <w:ind w:rightChars="12" w:right="22"/>
                  <w:jc w:val="left"/>
                </w:pPr>
                <w:r w:rsidRPr="004007BB">
                  <w:rPr>
                    <w:rFonts w:hint="eastAsia"/>
                  </w:rPr>
                  <w:t>进入</w:t>
                </w:r>
                <w:r w:rsidRPr="004007BB">
                  <w:t>4</w:t>
                </w:r>
                <w:r w:rsidRPr="004007BB">
                  <w:rPr>
                    <w:rFonts w:hint="eastAsia"/>
                  </w:rPr>
                  <w:t>月后债券市场在多重利空因素影响之下出现大幅调整，预计</w:t>
                </w:r>
                <w:r w:rsidRPr="004007BB">
                  <w:t>2</w:t>
                </w:r>
                <w:r w:rsidRPr="004007BB">
                  <w:rPr>
                    <w:rFonts w:hint="eastAsia"/>
                  </w:rPr>
                  <w:t>季度债市表现将弱于</w:t>
                </w:r>
                <w:r w:rsidRPr="004007BB">
                  <w:t>1</w:t>
                </w:r>
                <w:r w:rsidRPr="004007BB">
                  <w:rPr>
                    <w:rFonts w:hint="eastAsia"/>
                  </w:rPr>
                  <w:t>季度。当前投资者对债券市场短期震荡预期较为一致，</w:t>
                </w:r>
                <w:r>
                  <w:rPr>
                    <w:rFonts w:hint="eastAsia"/>
                  </w:rPr>
                  <w:t>对中长期行情判断存在差异，</w:t>
                </w:r>
                <w:r w:rsidRPr="004007BB">
                  <w:rPr>
                    <w:rFonts w:hint="eastAsia"/>
                  </w:rPr>
                  <w:t>预计短期内市场操作将以谨慎防御为主。具体到债券基金选择上，目</w:t>
                </w:r>
                <w:r>
                  <w:rPr>
                    <w:rFonts w:hint="eastAsia"/>
                  </w:rPr>
                  <w:t>前市场调整过程中建议以整体投资风格谨慎、注重风险防控为首要条件；其次，</w:t>
                </w:r>
                <w:r w:rsidRPr="004007BB">
                  <w:rPr>
                    <w:rFonts w:hint="eastAsia"/>
                  </w:rPr>
                  <w:t>建议重点关注在市场下行阶段能够及时</w:t>
                </w:r>
                <w:proofErr w:type="gramStart"/>
                <w:r w:rsidRPr="004007BB">
                  <w:rPr>
                    <w:rFonts w:hint="eastAsia"/>
                  </w:rPr>
                  <w:t>缩短久期并</w:t>
                </w:r>
                <w:proofErr w:type="gramEnd"/>
                <w:r w:rsidRPr="004007BB">
                  <w:rPr>
                    <w:rFonts w:hint="eastAsia"/>
                  </w:rPr>
                  <w:t>控制杠杆的基金，以保证投资组合流动性。</w:t>
                </w:r>
                <w:r>
                  <w:rPr>
                    <w:rFonts w:hint="eastAsia"/>
                  </w:rPr>
                  <w:t>此外，</w:t>
                </w:r>
                <w:r w:rsidRPr="004007BB">
                  <w:rPr>
                    <w:rFonts w:hint="eastAsia"/>
                  </w:rPr>
                  <w:t>在目前股债两市仅存结构性机会的背景之下，建议关注管理人债券投资能力及投资灵活性，同时关注</w:t>
                </w:r>
                <w:proofErr w:type="gramStart"/>
                <w:r w:rsidRPr="004007BB">
                  <w:rPr>
                    <w:rFonts w:hint="eastAsia"/>
                  </w:rPr>
                  <w:t>普通型债基的</w:t>
                </w:r>
                <w:proofErr w:type="gramEnd"/>
                <w:r w:rsidRPr="004007BB">
                  <w:rPr>
                    <w:rFonts w:hint="eastAsia"/>
                  </w:rPr>
                  <w:t>股票波段操作水平。</w:t>
                </w:r>
              </w:p>
              <w:p w:rsidR="00D12D7D" w:rsidRPr="004007BB" w:rsidRDefault="00D12D7D" w:rsidP="004007BB">
                <w:pPr>
                  <w:spacing w:after="120"/>
                  <w:ind w:rightChars="12" w:right="22"/>
                  <w:jc w:val="left"/>
                  <w:rPr>
                    <w:b/>
                    <w:bCs/>
                    <w:sz w:val="21"/>
                    <w:szCs w:val="21"/>
                  </w:rPr>
                </w:pPr>
                <w:r w:rsidRPr="004007BB">
                  <w:rPr>
                    <w:rFonts w:hint="eastAsia"/>
                    <w:b/>
                    <w:bCs/>
                    <w:sz w:val="21"/>
                    <w:szCs w:val="21"/>
                  </w:rPr>
                  <w:t>现金升级替代工具，超短期流动性选择——货币市场基金投资建议</w:t>
                </w:r>
              </w:p>
              <w:p w:rsidR="00D12D7D" w:rsidRDefault="00D12D7D" w:rsidP="004007BB">
                <w:pPr>
                  <w:pStyle w:val="a0"/>
                  <w:widowControl/>
                  <w:numPr>
                    <w:ilvl w:val="0"/>
                    <w:numId w:val="33"/>
                  </w:numPr>
                  <w:spacing w:line="240" w:lineRule="auto"/>
                  <w:ind w:rightChars="12" w:right="22"/>
                  <w:jc w:val="left"/>
                </w:pPr>
                <w:r w:rsidRPr="004007BB">
                  <w:rPr>
                    <w:rFonts w:hint="eastAsia"/>
                  </w:rPr>
                  <w:t>尽管在无风险利率下行背景下，货币市场基金平均收益水平持续下降，但两市振荡行情下市场风险偏好有所下调，货币基金作为现金管理工具仍具有一定的投资价值。在货币基金产品选择上，出于保证一定收益水平的考虑，建议选择规模中等偏上的产品以便更好地抵御盈余摊薄和赎回冲击；与此同时</w:t>
                </w:r>
                <w:r>
                  <w:rPr>
                    <w:rFonts w:hint="eastAsia"/>
                  </w:rPr>
                  <w:t>，出于保证流动性的考虑，建议关注新型互联网产品和场内货币基金</w:t>
                </w:r>
                <w:r w:rsidRPr="004007BB">
                  <w:rPr>
                    <w:rFonts w:hint="eastAsia"/>
                  </w:rPr>
                  <w:t>。</w:t>
                </w:r>
              </w:p>
              <w:tbl>
                <w:tblPr>
                  <w:tblW w:w="7409" w:type="dxa"/>
                  <w:tblBorders>
                    <w:top w:val="single" w:sz="4" w:space="0" w:color="00B0F0"/>
                    <w:bottom w:val="single" w:sz="4" w:space="0" w:color="00B0F0"/>
                    <w:insideH w:val="single" w:sz="4" w:space="0" w:color="00B0F0"/>
                  </w:tblBorders>
                  <w:tblLayout w:type="fixed"/>
                  <w:tblCellMar>
                    <w:left w:w="0" w:type="dxa"/>
                    <w:right w:w="0" w:type="dxa"/>
                  </w:tblCellMar>
                  <w:tblLook w:val="0000" w:firstRow="0" w:lastRow="0" w:firstColumn="0" w:lastColumn="0" w:noHBand="0" w:noVBand="0"/>
                </w:tblPr>
                <w:tblGrid>
                  <w:gridCol w:w="1236"/>
                  <w:gridCol w:w="1435"/>
                  <w:gridCol w:w="992"/>
                  <w:gridCol w:w="224"/>
                  <w:gridCol w:w="1286"/>
                  <w:gridCol w:w="1538"/>
                  <w:gridCol w:w="698"/>
                </w:tblGrid>
                <w:tr w:rsidR="00D12D7D" w:rsidRPr="00D04C22" w:rsidTr="009D6E57">
                  <w:trPr>
                    <w:cantSplit/>
                    <w:trHeight w:val="206"/>
                  </w:trPr>
                  <w:tc>
                    <w:tcPr>
                      <w:tcW w:w="3663" w:type="dxa"/>
                      <w:gridSpan w:val="3"/>
                      <w:shd w:val="clear" w:color="auto" w:fill="auto"/>
                    </w:tcPr>
                    <w:p w:rsidR="00D12D7D" w:rsidRPr="00935202" w:rsidRDefault="00D12D7D" w:rsidP="009D6E57">
                      <w:pPr>
                        <w:pStyle w:val="SubTitleLargeTable"/>
                        <w:rPr>
                          <w:rFonts w:ascii="楷体" w:eastAsia="楷体" w:hAnsi="楷体"/>
                          <w:color w:val="auto"/>
                          <w:sz w:val="18"/>
                          <w:szCs w:val="18"/>
                          <w:lang w:val="en-US"/>
                        </w:rPr>
                      </w:pPr>
                      <w:r w:rsidRPr="00935202">
                        <w:rPr>
                          <w:rFonts w:ascii="楷体" w:eastAsia="楷体" w:hAnsi="楷体" w:hint="eastAsia"/>
                          <w:sz w:val="18"/>
                          <w:szCs w:val="18"/>
                        </w:rPr>
                        <w:t>固定收益基金相对收益组合</w:t>
                      </w:r>
                    </w:p>
                  </w:tc>
                  <w:tc>
                    <w:tcPr>
                      <w:tcW w:w="224" w:type="dxa"/>
                      <w:shd w:val="clear" w:color="auto" w:fill="auto"/>
                    </w:tcPr>
                    <w:p w:rsidR="00D12D7D" w:rsidRPr="00935202" w:rsidRDefault="00D12D7D" w:rsidP="009D6E57">
                      <w:pPr>
                        <w:pStyle w:val="a0"/>
                        <w:spacing w:after="0" w:line="10" w:lineRule="atLeast"/>
                        <w:ind w:left="0"/>
                        <w:jc w:val="center"/>
                        <w:rPr>
                          <w:rFonts w:ascii="楷体" w:eastAsia="楷体" w:hAnsi="楷体" w:cs="Arial"/>
                          <w:color w:val="auto"/>
                          <w:sz w:val="18"/>
                          <w:szCs w:val="18"/>
                        </w:rPr>
                      </w:pPr>
                    </w:p>
                  </w:tc>
                  <w:tc>
                    <w:tcPr>
                      <w:tcW w:w="3522" w:type="dxa"/>
                      <w:gridSpan w:val="3"/>
                      <w:shd w:val="clear" w:color="auto" w:fill="auto"/>
                    </w:tcPr>
                    <w:p w:rsidR="00D12D7D" w:rsidRPr="00935202" w:rsidRDefault="00D12D7D" w:rsidP="009D6E57">
                      <w:pPr>
                        <w:pStyle w:val="SubTitleLargeTable"/>
                        <w:rPr>
                          <w:rFonts w:ascii="楷体" w:eastAsia="楷体" w:hAnsi="楷体"/>
                          <w:color w:val="auto"/>
                          <w:sz w:val="18"/>
                          <w:szCs w:val="18"/>
                          <w:lang w:val="en-US"/>
                        </w:rPr>
                      </w:pPr>
                      <w:r w:rsidRPr="00935202">
                        <w:rPr>
                          <w:rFonts w:ascii="楷体" w:eastAsia="楷体" w:hAnsi="楷体" w:hint="eastAsia"/>
                          <w:color w:val="auto"/>
                          <w:sz w:val="18"/>
                          <w:szCs w:val="18"/>
                          <w:lang w:val="en-US"/>
                        </w:rPr>
                        <w:t>固定收益</w:t>
                      </w:r>
                      <w:r>
                        <w:rPr>
                          <w:rFonts w:ascii="楷体" w:eastAsia="楷体" w:hAnsi="楷体" w:hint="eastAsia"/>
                          <w:color w:val="auto"/>
                          <w:sz w:val="18"/>
                          <w:szCs w:val="18"/>
                          <w:lang w:val="en-US"/>
                        </w:rPr>
                        <w:t>基金</w:t>
                      </w:r>
                      <w:r w:rsidRPr="00935202">
                        <w:rPr>
                          <w:rFonts w:ascii="楷体" w:eastAsia="楷体" w:hAnsi="楷体" w:hint="eastAsia"/>
                          <w:color w:val="auto"/>
                          <w:sz w:val="18"/>
                          <w:szCs w:val="18"/>
                          <w:lang w:val="en-US"/>
                        </w:rPr>
                        <w:t>绝对收益组合</w:t>
                      </w:r>
                    </w:p>
                  </w:tc>
                </w:tr>
                <w:tr w:rsidR="00D12D7D" w:rsidRPr="00D04C22" w:rsidTr="009D6E57">
                  <w:trPr>
                    <w:cantSplit/>
                    <w:trHeight w:val="321"/>
                  </w:trPr>
                  <w:tc>
                    <w:tcPr>
                      <w:tcW w:w="1236" w:type="dxa"/>
                      <w:shd w:val="clear" w:color="auto" w:fill="auto"/>
                      <w:vAlign w:val="center"/>
                    </w:tcPr>
                    <w:p w:rsidR="00D12D7D" w:rsidRPr="00663D03" w:rsidRDefault="00D12D7D" w:rsidP="009D6E57">
                      <w:pPr>
                        <w:jc w:val="center"/>
                        <w:rPr>
                          <w:rFonts w:ascii="楷体" w:eastAsia="楷体" w:hAnsi="楷体"/>
                          <w:b/>
                          <w:sz w:val="15"/>
                          <w:szCs w:val="15"/>
                        </w:rPr>
                      </w:pPr>
                      <w:r w:rsidRPr="00663D03">
                        <w:rPr>
                          <w:rFonts w:ascii="楷体" w:eastAsia="楷体" w:hAnsi="楷体" w:hint="eastAsia"/>
                          <w:b/>
                          <w:sz w:val="15"/>
                          <w:szCs w:val="15"/>
                        </w:rPr>
                        <w:t>基金名称</w:t>
                      </w:r>
                    </w:p>
                  </w:tc>
                  <w:tc>
                    <w:tcPr>
                      <w:tcW w:w="1435" w:type="dxa"/>
                      <w:shd w:val="clear" w:color="auto" w:fill="auto"/>
                      <w:vAlign w:val="center"/>
                    </w:tcPr>
                    <w:p w:rsidR="00D12D7D" w:rsidRPr="00663D03" w:rsidRDefault="00D12D7D" w:rsidP="009D6E57">
                      <w:pPr>
                        <w:jc w:val="center"/>
                        <w:rPr>
                          <w:rFonts w:ascii="楷体" w:eastAsia="楷体" w:hAnsi="楷体"/>
                          <w:b/>
                          <w:sz w:val="15"/>
                          <w:szCs w:val="15"/>
                        </w:rPr>
                      </w:pPr>
                      <w:r w:rsidRPr="00663D03">
                        <w:rPr>
                          <w:rFonts w:ascii="楷体" w:eastAsia="楷体" w:hAnsi="楷体" w:hint="eastAsia"/>
                          <w:b/>
                          <w:sz w:val="15"/>
                          <w:szCs w:val="15"/>
                        </w:rPr>
                        <w:t>基金类型</w:t>
                      </w:r>
                    </w:p>
                  </w:tc>
                  <w:tc>
                    <w:tcPr>
                      <w:tcW w:w="992" w:type="dxa"/>
                      <w:shd w:val="clear" w:color="auto" w:fill="auto"/>
                      <w:vAlign w:val="center"/>
                    </w:tcPr>
                    <w:p w:rsidR="00D12D7D" w:rsidRPr="00663D03" w:rsidRDefault="00D12D7D" w:rsidP="009D6E57">
                      <w:pPr>
                        <w:jc w:val="center"/>
                        <w:rPr>
                          <w:rFonts w:ascii="楷体" w:eastAsia="楷体" w:hAnsi="楷体"/>
                          <w:b/>
                          <w:sz w:val="15"/>
                          <w:szCs w:val="15"/>
                        </w:rPr>
                      </w:pPr>
                      <w:r w:rsidRPr="00663D03">
                        <w:rPr>
                          <w:rFonts w:ascii="楷体" w:eastAsia="楷体" w:hAnsi="楷体" w:hint="eastAsia"/>
                          <w:b/>
                          <w:sz w:val="15"/>
                          <w:szCs w:val="15"/>
                        </w:rPr>
                        <w:t>权重</w:t>
                      </w:r>
                    </w:p>
                  </w:tc>
                  <w:tc>
                    <w:tcPr>
                      <w:tcW w:w="224" w:type="dxa"/>
                      <w:vMerge w:val="restart"/>
                      <w:shd w:val="clear" w:color="auto" w:fill="auto"/>
                      <w:vAlign w:val="center"/>
                    </w:tcPr>
                    <w:p w:rsidR="00D12D7D" w:rsidRPr="00663D03" w:rsidRDefault="00D12D7D" w:rsidP="009D6E57">
                      <w:pPr>
                        <w:jc w:val="center"/>
                        <w:rPr>
                          <w:rFonts w:ascii="楷体" w:eastAsia="楷体" w:hAnsi="楷体"/>
                          <w:sz w:val="15"/>
                          <w:szCs w:val="15"/>
                        </w:rPr>
                      </w:pPr>
                    </w:p>
                  </w:tc>
                  <w:tc>
                    <w:tcPr>
                      <w:tcW w:w="1286" w:type="dxa"/>
                      <w:shd w:val="clear" w:color="auto" w:fill="auto"/>
                      <w:vAlign w:val="center"/>
                    </w:tcPr>
                    <w:p w:rsidR="00D12D7D" w:rsidRPr="00663D03" w:rsidRDefault="00D12D7D" w:rsidP="009D6E57">
                      <w:pPr>
                        <w:jc w:val="center"/>
                        <w:rPr>
                          <w:rFonts w:ascii="楷体" w:eastAsia="楷体" w:hAnsi="楷体"/>
                          <w:b/>
                          <w:sz w:val="15"/>
                          <w:szCs w:val="15"/>
                        </w:rPr>
                      </w:pPr>
                      <w:r w:rsidRPr="00663D03">
                        <w:rPr>
                          <w:rFonts w:ascii="楷体" w:eastAsia="楷体" w:hAnsi="楷体" w:hint="eastAsia"/>
                          <w:b/>
                          <w:sz w:val="15"/>
                          <w:szCs w:val="15"/>
                        </w:rPr>
                        <w:t>基金名称</w:t>
                      </w:r>
                    </w:p>
                  </w:tc>
                  <w:tc>
                    <w:tcPr>
                      <w:tcW w:w="1538" w:type="dxa"/>
                      <w:shd w:val="clear" w:color="auto" w:fill="auto"/>
                      <w:vAlign w:val="center"/>
                    </w:tcPr>
                    <w:p w:rsidR="00D12D7D" w:rsidRPr="00EA6179" w:rsidRDefault="00D12D7D" w:rsidP="009D6E57">
                      <w:pPr>
                        <w:jc w:val="center"/>
                        <w:rPr>
                          <w:rFonts w:ascii="楷体" w:eastAsia="楷体" w:hAnsi="楷体"/>
                          <w:b/>
                          <w:sz w:val="15"/>
                          <w:szCs w:val="15"/>
                        </w:rPr>
                      </w:pPr>
                      <w:r w:rsidRPr="00EA6179">
                        <w:rPr>
                          <w:rFonts w:ascii="楷体" w:eastAsia="楷体" w:hAnsi="楷体" w:hint="eastAsia"/>
                          <w:b/>
                          <w:sz w:val="15"/>
                          <w:szCs w:val="15"/>
                        </w:rPr>
                        <w:t>基金类型</w:t>
                      </w:r>
                    </w:p>
                  </w:tc>
                  <w:tc>
                    <w:tcPr>
                      <w:tcW w:w="698" w:type="dxa"/>
                      <w:shd w:val="clear" w:color="auto" w:fill="auto"/>
                      <w:vAlign w:val="center"/>
                    </w:tcPr>
                    <w:p w:rsidR="00D12D7D" w:rsidRPr="00EA6179" w:rsidRDefault="00D12D7D" w:rsidP="009D6E57">
                      <w:pPr>
                        <w:jc w:val="center"/>
                        <w:rPr>
                          <w:rFonts w:ascii="楷体" w:eastAsia="楷体" w:hAnsi="楷体"/>
                          <w:b/>
                          <w:sz w:val="15"/>
                          <w:szCs w:val="15"/>
                        </w:rPr>
                      </w:pPr>
                      <w:r w:rsidRPr="00EA6179">
                        <w:rPr>
                          <w:rFonts w:ascii="楷体" w:eastAsia="楷体" w:hAnsi="楷体" w:hint="eastAsia"/>
                          <w:b/>
                          <w:sz w:val="15"/>
                          <w:szCs w:val="15"/>
                        </w:rPr>
                        <w:t>权重</w:t>
                      </w:r>
                    </w:p>
                  </w:tc>
                </w:tr>
                <w:tr w:rsidR="00D12D7D" w:rsidRPr="00D04C22" w:rsidTr="009D6E57">
                  <w:trPr>
                    <w:cantSplit/>
                    <w:trHeight w:val="157"/>
                  </w:trPr>
                  <w:tc>
                    <w:tcPr>
                      <w:tcW w:w="1236" w:type="dxa"/>
                      <w:shd w:val="clear" w:color="auto" w:fill="auto"/>
                      <w:vAlign w:val="center"/>
                    </w:tcPr>
                    <w:p w:rsidR="00D12D7D" w:rsidRPr="00491D60" w:rsidRDefault="00D12D7D" w:rsidP="009D6E57">
                      <w:pPr>
                        <w:jc w:val="center"/>
                        <w:rPr>
                          <w:sz w:val="15"/>
                          <w:szCs w:val="15"/>
                        </w:rPr>
                      </w:pPr>
                      <w:proofErr w:type="gramStart"/>
                      <w:r w:rsidRPr="00491D60">
                        <w:rPr>
                          <w:rFonts w:hint="eastAsia"/>
                          <w:sz w:val="15"/>
                          <w:szCs w:val="15"/>
                        </w:rPr>
                        <w:t>长信纯债壹号</w:t>
                      </w:r>
                      <w:proofErr w:type="gramEnd"/>
                      <w:r w:rsidRPr="00AA1F98">
                        <w:rPr>
                          <w:rFonts w:hint="eastAsia"/>
                          <w:b/>
                          <w:bCs/>
                          <w:color w:val="FF0000"/>
                          <w:sz w:val="15"/>
                          <w:szCs w:val="15"/>
                          <w:vertAlign w:val="superscript"/>
                        </w:rPr>
                        <w:t>★</w:t>
                      </w:r>
                    </w:p>
                  </w:tc>
                  <w:tc>
                    <w:tcPr>
                      <w:tcW w:w="1435" w:type="dxa"/>
                      <w:shd w:val="clear" w:color="auto" w:fill="auto"/>
                      <w:vAlign w:val="center"/>
                    </w:tcPr>
                    <w:p w:rsidR="00D12D7D" w:rsidRPr="00491D60" w:rsidRDefault="00D12D7D" w:rsidP="009D6E57">
                      <w:pPr>
                        <w:jc w:val="center"/>
                        <w:rPr>
                          <w:rFonts w:ascii="宋体" w:eastAsia="宋体" w:hAnsi="宋体" w:cs="宋体"/>
                          <w:sz w:val="15"/>
                          <w:szCs w:val="15"/>
                        </w:rPr>
                      </w:pPr>
                      <w:r w:rsidRPr="00491D60">
                        <w:rPr>
                          <w:rFonts w:hint="eastAsia"/>
                          <w:sz w:val="15"/>
                          <w:szCs w:val="15"/>
                        </w:rPr>
                        <w:t>债券</w:t>
                      </w:r>
                      <w:r w:rsidRPr="00491D60">
                        <w:rPr>
                          <w:rFonts w:hint="eastAsia"/>
                          <w:sz w:val="15"/>
                          <w:szCs w:val="15"/>
                        </w:rPr>
                        <w:t>-</w:t>
                      </w:r>
                      <w:r w:rsidRPr="00491D60">
                        <w:rPr>
                          <w:rFonts w:hint="eastAsia"/>
                          <w:sz w:val="15"/>
                          <w:szCs w:val="15"/>
                        </w:rPr>
                        <w:t>完全债券型</w:t>
                      </w:r>
                    </w:p>
                  </w:tc>
                  <w:tc>
                    <w:tcPr>
                      <w:tcW w:w="992" w:type="dxa"/>
                      <w:shd w:val="clear" w:color="auto" w:fill="auto"/>
                      <w:vAlign w:val="center"/>
                    </w:tcPr>
                    <w:p w:rsidR="00D12D7D" w:rsidRPr="00AD7E90" w:rsidRDefault="00D12D7D" w:rsidP="009D6E57">
                      <w:pPr>
                        <w:jc w:val="center"/>
                        <w:rPr>
                          <w:rFonts w:ascii="楷体_GB2312" w:hAnsiTheme="minorEastAsia" w:cs="宋体"/>
                          <w:sz w:val="15"/>
                          <w:szCs w:val="15"/>
                        </w:rPr>
                      </w:pPr>
                      <w:r w:rsidRPr="00AD7E90">
                        <w:rPr>
                          <w:rFonts w:ascii="楷体_GB2312" w:hAnsiTheme="minorEastAsia" w:hint="eastAsia"/>
                          <w:sz w:val="15"/>
                          <w:szCs w:val="15"/>
                        </w:rPr>
                        <w:t>25%</w:t>
                      </w:r>
                    </w:p>
                  </w:tc>
                  <w:tc>
                    <w:tcPr>
                      <w:tcW w:w="224" w:type="dxa"/>
                      <w:vMerge/>
                      <w:shd w:val="clear" w:color="auto" w:fill="auto"/>
                      <w:vAlign w:val="center"/>
                    </w:tcPr>
                    <w:p w:rsidR="00D12D7D" w:rsidRPr="0020507F" w:rsidRDefault="00D12D7D" w:rsidP="009D6E57">
                      <w:pPr>
                        <w:jc w:val="center"/>
                        <w:rPr>
                          <w:rFonts w:ascii="楷体_GB2312" w:hAnsi="楷体"/>
                          <w:color w:val="FF0000"/>
                          <w:sz w:val="15"/>
                          <w:szCs w:val="15"/>
                        </w:rPr>
                      </w:pPr>
                    </w:p>
                  </w:tc>
                  <w:tc>
                    <w:tcPr>
                      <w:tcW w:w="1286" w:type="dxa"/>
                      <w:shd w:val="clear" w:color="auto" w:fill="auto"/>
                      <w:vAlign w:val="center"/>
                    </w:tcPr>
                    <w:p w:rsidR="00D12D7D" w:rsidRPr="00917F05" w:rsidRDefault="00D12D7D" w:rsidP="009D6E57">
                      <w:pPr>
                        <w:jc w:val="center"/>
                        <w:rPr>
                          <w:rFonts w:ascii="宋体" w:eastAsia="宋体" w:hAnsi="宋体" w:cs="宋体"/>
                          <w:color w:val="FF0000"/>
                          <w:sz w:val="15"/>
                          <w:szCs w:val="15"/>
                        </w:rPr>
                      </w:pPr>
                      <w:proofErr w:type="gramStart"/>
                      <w:r w:rsidRPr="00AA1F98">
                        <w:rPr>
                          <w:rFonts w:hint="eastAsia"/>
                          <w:sz w:val="15"/>
                          <w:szCs w:val="15"/>
                        </w:rPr>
                        <w:t>新华纯债添利</w:t>
                      </w:r>
                      <w:proofErr w:type="gramEnd"/>
                      <w:r w:rsidRPr="00917F05">
                        <w:rPr>
                          <w:rFonts w:hint="eastAsia"/>
                          <w:b/>
                          <w:bCs/>
                          <w:color w:val="FF0000"/>
                          <w:sz w:val="15"/>
                          <w:szCs w:val="15"/>
                          <w:vertAlign w:val="superscript"/>
                        </w:rPr>
                        <w:t>★</w:t>
                      </w:r>
                    </w:p>
                  </w:tc>
                  <w:tc>
                    <w:tcPr>
                      <w:tcW w:w="1538" w:type="dxa"/>
                      <w:shd w:val="clear" w:color="auto" w:fill="auto"/>
                      <w:vAlign w:val="center"/>
                    </w:tcPr>
                    <w:p w:rsidR="00D12D7D" w:rsidRPr="00AA1F98" w:rsidRDefault="00D12D7D" w:rsidP="009D6E57">
                      <w:pPr>
                        <w:jc w:val="center"/>
                        <w:rPr>
                          <w:rFonts w:ascii="宋体" w:eastAsia="宋体" w:hAnsi="宋体" w:cs="宋体"/>
                          <w:sz w:val="15"/>
                          <w:szCs w:val="15"/>
                        </w:rPr>
                      </w:pPr>
                      <w:r w:rsidRPr="00AA1F98">
                        <w:rPr>
                          <w:rFonts w:hint="eastAsia"/>
                          <w:sz w:val="15"/>
                          <w:szCs w:val="15"/>
                        </w:rPr>
                        <w:t>债券</w:t>
                      </w:r>
                      <w:r w:rsidRPr="00AA1F98">
                        <w:rPr>
                          <w:rFonts w:hint="eastAsia"/>
                          <w:sz w:val="15"/>
                          <w:szCs w:val="15"/>
                        </w:rPr>
                        <w:t>-</w:t>
                      </w:r>
                      <w:r w:rsidRPr="00AA1F98">
                        <w:rPr>
                          <w:rFonts w:hint="eastAsia"/>
                          <w:sz w:val="15"/>
                          <w:szCs w:val="15"/>
                        </w:rPr>
                        <w:t>完全债券型</w:t>
                      </w:r>
                    </w:p>
                  </w:tc>
                  <w:tc>
                    <w:tcPr>
                      <w:tcW w:w="698" w:type="dxa"/>
                      <w:shd w:val="clear" w:color="auto" w:fill="auto"/>
                      <w:vAlign w:val="center"/>
                    </w:tcPr>
                    <w:p w:rsidR="00D12D7D" w:rsidRPr="00AD7E90" w:rsidRDefault="00D12D7D" w:rsidP="009D6E57">
                      <w:pPr>
                        <w:jc w:val="center"/>
                        <w:rPr>
                          <w:rFonts w:ascii="楷体_GB2312" w:hAnsi="宋体"/>
                          <w:sz w:val="15"/>
                          <w:szCs w:val="15"/>
                        </w:rPr>
                      </w:pPr>
                      <w:r w:rsidRPr="00AD7E90">
                        <w:rPr>
                          <w:rFonts w:ascii="楷体_GB2312" w:hAnsi="宋体" w:hint="eastAsia"/>
                          <w:sz w:val="15"/>
                          <w:szCs w:val="15"/>
                        </w:rPr>
                        <w:t>50%</w:t>
                      </w:r>
                    </w:p>
                  </w:tc>
                </w:tr>
                <w:tr w:rsidR="00D12D7D" w:rsidRPr="00D04C22" w:rsidTr="009D6E57">
                  <w:trPr>
                    <w:cantSplit/>
                    <w:trHeight w:val="251"/>
                  </w:trPr>
                  <w:tc>
                    <w:tcPr>
                      <w:tcW w:w="1236" w:type="dxa"/>
                      <w:shd w:val="clear" w:color="auto" w:fill="auto"/>
                      <w:vAlign w:val="center"/>
                    </w:tcPr>
                    <w:p w:rsidR="00D12D7D" w:rsidRPr="00491D60" w:rsidRDefault="00D12D7D" w:rsidP="009D6E57">
                      <w:pPr>
                        <w:jc w:val="center"/>
                        <w:rPr>
                          <w:sz w:val="15"/>
                          <w:szCs w:val="15"/>
                        </w:rPr>
                      </w:pPr>
                      <w:r>
                        <w:rPr>
                          <w:rFonts w:hint="eastAsia"/>
                          <w:sz w:val="15"/>
                          <w:szCs w:val="15"/>
                        </w:rPr>
                        <w:t>中</w:t>
                      </w:r>
                      <w:proofErr w:type="gramStart"/>
                      <w:r>
                        <w:rPr>
                          <w:rFonts w:hint="eastAsia"/>
                          <w:sz w:val="15"/>
                          <w:szCs w:val="15"/>
                        </w:rPr>
                        <w:t>邮稳定</w:t>
                      </w:r>
                      <w:proofErr w:type="gramEnd"/>
                      <w:r>
                        <w:rPr>
                          <w:rFonts w:hint="eastAsia"/>
                          <w:sz w:val="15"/>
                          <w:szCs w:val="15"/>
                        </w:rPr>
                        <w:t>收益</w:t>
                      </w:r>
                    </w:p>
                  </w:tc>
                  <w:tc>
                    <w:tcPr>
                      <w:tcW w:w="1435" w:type="dxa"/>
                      <w:shd w:val="clear" w:color="auto" w:fill="auto"/>
                      <w:vAlign w:val="center"/>
                    </w:tcPr>
                    <w:p w:rsidR="00D12D7D" w:rsidRPr="00491D60" w:rsidRDefault="00D12D7D" w:rsidP="009D6E57">
                      <w:pPr>
                        <w:jc w:val="center"/>
                        <w:rPr>
                          <w:rFonts w:ascii="宋体" w:eastAsia="宋体" w:hAnsi="宋体" w:cs="宋体"/>
                          <w:sz w:val="15"/>
                          <w:szCs w:val="15"/>
                        </w:rPr>
                      </w:pPr>
                      <w:r w:rsidRPr="00491D60">
                        <w:rPr>
                          <w:rFonts w:hint="eastAsia"/>
                          <w:sz w:val="15"/>
                          <w:szCs w:val="15"/>
                        </w:rPr>
                        <w:t>债券</w:t>
                      </w:r>
                      <w:r w:rsidRPr="00491D60">
                        <w:rPr>
                          <w:rFonts w:hint="eastAsia"/>
                          <w:sz w:val="15"/>
                          <w:szCs w:val="15"/>
                        </w:rPr>
                        <w:t>-</w:t>
                      </w:r>
                      <w:r w:rsidRPr="00491D60">
                        <w:rPr>
                          <w:rFonts w:hint="eastAsia"/>
                          <w:sz w:val="15"/>
                          <w:szCs w:val="15"/>
                        </w:rPr>
                        <w:t>完全债券型</w:t>
                      </w:r>
                    </w:p>
                  </w:tc>
                  <w:tc>
                    <w:tcPr>
                      <w:tcW w:w="992" w:type="dxa"/>
                      <w:shd w:val="clear" w:color="auto" w:fill="auto"/>
                      <w:vAlign w:val="center"/>
                    </w:tcPr>
                    <w:p w:rsidR="00D12D7D" w:rsidRPr="00AD7E90" w:rsidRDefault="00D12D7D" w:rsidP="009D6E57">
                      <w:pPr>
                        <w:jc w:val="center"/>
                        <w:rPr>
                          <w:rFonts w:ascii="楷体_GB2312" w:hAnsiTheme="minorEastAsia" w:cs="宋体"/>
                          <w:sz w:val="15"/>
                          <w:szCs w:val="15"/>
                        </w:rPr>
                      </w:pPr>
                      <w:r w:rsidRPr="00AD7E90">
                        <w:rPr>
                          <w:rFonts w:ascii="楷体_GB2312" w:hAnsiTheme="minorEastAsia" w:hint="eastAsia"/>
                          <w:sz w:val="15"/>
                          <w:szCs w:val="15"/>
                        </w:rPr>
                        <w:t>25%</w:t>
                      </w:r>
                    </w:p>
                  </w:tc>
                  <w:tc>
                    <w:tcPr>
                      <w:tcW w:w="224" w:type="dxa"/>
                      <w:vMerge/>
                      <w:shd w:val="clear" w:color="auto" w:fill="auto"/>
                      <w:vAlign w:val="center"/>
                    </w:tcPr>
                    <w:p w:rsidR="00D12D7D" w:rsidRPr="0020507F" w:rsidRDefault="00D12D7D" w:rsidP="009D6E57">
                      <w:pPr>
                        <w:jc w:val="center"/>
                        <w:rPr>
                          <w:rFonts w:ascii="楷体_GB2312" w:hAnsi="楷体"/>
                          <w:color w:val="FF0000"/>
                          <w:sz w:val="15"/>
                          <w:szCs w:val="15"/>
                        </w:rPr>
                      </w:pPr>
                    </w:p>
                  </w:tc>
                  <w:tc>
                    <w:tcPr>
                      <w:tcW w:w="1286" w:type="dxa"/>
                      <w:shd w:val="clear" w:color="auto" w:fill="auto"/>
                      <w:vAlign w:val="center"/>
                    </w:tcPr>
                    <w:p w:rsidR="00D12D7D" w:rsidRPr="00AA1F98" w:rsidRDefault="00D12D7D" w:rsidP="009D6E57">
                      <w:pPr>
                        <w:jc w:val="center"/>
                        <w:rPr>
                          <w:rFonts w:ascii="宋体" w:eastAsia="宋体" w:hAnsi="宋体" w:cs="宋体"/>
                          <w:sz w:val="15"/>
                          <w:szCs w:val="15"/>
                        </w:rPr>
                      </w:pPr>
                      <w:r>
                        <w:rPr>
                          <w:rFonts w:hint="eastAsia"/>
                          <w:sz w:val="15"/>
                          <w:szCs w:val="15"/>
                        </w:rPr>
                        <w:t>招商产业</w:t>
                      </w:r>
                    </w:p>
                  </w:tc>
                  <w:tc>
                    <w:tcPr>
                      <w:tcW w:w="1538" w:type="dxa"/>
                      <w:shd w:val="clear" w:color="auto" w:fill="auto"/>
                      <w:vAlign w:val="center"/>
                    </w:tcPr>
                    <w:p w:rsidR="00D12D7D" w:rsidRPr="00AA1F98" w:rsidRDefault="00D12D7D" w:rsidP="009D6E57">
                      <w:pPr>
                        <w:jc w:val="center"/>
                        <w:rPr>
                          <w:rFonts w:ascii="宋体" w:eastAsia="宋体" w:hAnsi="宋体" w:cs="宋体"/>
                          <w:sz w:val="15"/>
                          <w:szCs w:val="15"/>
                        </w:rPr>
                      </w:pPr>
                      <w:r w:rsidRPr="00AA1F98">
                        <w:rPr>
                          <w:rFonts w:hint="eastAsia"/>
                          <w:sz w:val="15"/>
                          <w:szCs w:val="15"/>
                        </w:rPr>
                        <w:t>债券</w:t>
                      </w:r>
                      <w:r w:rsidRPr="00AA1F98">
                        <w:rPr>
                          <w:rFonts w:hint="eastAsia"/>
                          <w:sz w:val="15"/>
                          <w:szCs w:val="15"/>
                        </w:rPr>
                        <w:t>-</w:t>
                      </w:r>
                      <w:r w:rsidRPr="00AA1F98">
                        <w:rPr>
                          <w:rFonts w:hint="eastAsia"/>
                          <w:sz w:val="15"/>
                          <w:szCs w:val="15"/>
                        </w:rPr>
                        <w:t>新股申购型</w:t>
                      </w:r>
                    </w:p>
                  </w:tc>
                  <w:tc>
                    <w:tcPr>
                      <w:tcW w:w="698" w:type="dxa"/>
                      <w:shd w:val="clear" w:color="auto" w:fill="auto"/>
                      <w:vAlign w:val="center"/>
                    </w:tcPr>
                    <w:p w:rsidR="00D12D7D" w:rsidRPr="00AD7E90" w:rsidRDefault="00D12D7D" w:rsidP="009D6E57">
                      <w:pPr>
                        <w:jc w:val="center"/>
                        <w:rPr>
                          <w:rFonts w:ascii="楷体_GB2312" w:hAnsi="宋体"/>
                          <w:sz w:val="15"/>
                          <w:szCs w:val="15"/>
                        </w:rPr>
                      </w:pPr>
                      <w:r w:rsidRPr="00AD7E90">
                        <w:rPr>
                          <w:rFonts w:ascii="楷体_GB2312" w:hAnsi="宋体" w:hint="eastAsia"/>
                          <w:sz w:val="15"/>
                          <w:szCs w:val="15"/>
                        </w:rPr>
                        <w:t>50%</w:t>
                      </w:r>
                    </w:p>
                  </w:tc>
                </w:tr>
                <w:tr w:rsidR="00D12D7D" w:rsidRPr="00D04C22" w:rsidTr="009D6E57">
                  <w:trPr>
                    <w:cantSplit/>
                    <w:trHeight w:val="211"/>
                  </w:trPr>
                  <w:tc>
                    <w:tcPr>
                      <w:tcW w:w="1236" w:type="dxa"/>
                      <w:shd w:val="clear" w:color="auto" w:fill="auto"/>
                      <w:vAlign w:val="center"/>
                    </w:tcPr>
                    <w:p w:rsidR="00D12D7D" w:rsidRPr="00491D60" w:rsidRDefault="00D12D7D" w:rsidP="009D6E57">
                      <w:pPr>
                        <w:jc w:val="center"/>
                        <w:rPr>
                          <w:sz w:val="15"/>
                          <w:szCs w:val="15"/>
                        </w:rPr>
                      </w:pPr>
                      <w:proofErr w:type="gramStart"/>
                      <w:r>
                        <w:rPr>
                          <w:rFonts w:hint="eastAsia"/>
                          <w:sz w:val="15"/>
                          <w:szCs w:val="15"/>
                        </w:rPr>
                        <w:t>泰信周期</w:t>
                      </w:r>
                      <w:proofErr w:type="gramEnd"/>
                      <w:r>
                        <w:rPr>
                          <w:rFonts w:hint="eastAsia"/>
                          <w:sz w:val="15"/>
                          <w:szCs w:val="15"/>
                        </w:rPr>
                        <w:t>回报</w:t>
                      </w:r>
                      <w:r w:rsidRPr="00AA1F98">
                        <w:rPr>
                          <w:rFonts w:hint="eastAsia"/>
                          <w:b/>
                          <w:bCs/>
                          <w:color w:val="FF0000"/>
                          <w:sz w:val="15"/>
                          <w:szCs w:val="15"/>
                          <w:vertAlign w:val="superscript"/>
                        </w:rPr>
                        <w:t>★</w:t>
                      </w:r>
                    </w:p>
                  </w:tc>
                  <w:tc>
                    <w:tcPr>
                      <w:tcW w:w="1435" w:type="dxa"/>
                      <w:shd w:val="clear" w:color="auto" w:fill="auto"/>
                      <w:vAlign w:val="center"/>
                    </w:tcPr>
                    <w:p w:rsidR="00D12D7D" w:rsidRPr="00491D60" w:rsidRDefault="00D12D7D" w:rsidP="009D6E57">
                      <w:pPr>
                        <w:jc w:val="center"/>
                        <w:rPr>
                          <w:rFonts w:ascii="宋体" w:eastAsia="宋体" w:hAnsi="宋体" w:cs="宋体"/>
                          <w:sz w:val="15"/>
                          <w:szCs w:val="15"/>
                        </w:rPr>
                      </w:pPr>
                      <w:r w:rsidRPr="00491D60">
                        <w:rPr>
                          <w:rFonts w:hint="eastAsia"/>
                          <w:sz w:val="15"/>
                          <w:szCs w:val="15"/>
                        </w:rPr>
                        <w:t>债券</w:t>
                      </w:r>
                      <w:r w:rsidRPr="00491D60">
                        <w:rPr>
                          <w:rFonts w:hint="eastAsia"/>
                          <w:sz w:val="15"/>
                          <w:szCs w:val="15"/>
                        </w:rPr>
                        <w:t>-</w:t>
                      </w:r>
                      <w:r w:rsidRPr="00491D60">
                        <w:rPr>
                          <w:rFonts w:hint="eastAsia"/>
                          <w:sz w:val="15"/>
                          <w:szCs w:val="15"/>
                        </w:rPr>
                        <w:t>新股申购型</w:t>
                      </w:r>
                    </w:p>
                  </w:tc>
                  <w:tc>
                    <w:tcPr>
                      <w:tcW w:w="992" w:type="dxa"/>
                      <w:shd w:val="clear" w:color="auto" w:fill="auto"/>
                      <w:vAlign w:val="center"/>
                    </w:tcPr>
                    <w:p w:rsidR="00D12D7D" w:rsidRPr="00AD7E90" w:rsidRDefault="00D12D7D" w:rsidP="009D6E57">
                      <w:pPr>
                        <w:jc w:val="center"/>
                        <w:rPr>
                          <w:rFonts w:ascii="楷体_GB2312" w:hAnsiTheme="minorEastAsia" w:cs="宋体"/>
                          <w:sz w:val="15"/>
                          <w:szCs w:val="15"/>
                        </w:rPr>
                      </w:pPr>
                      <w:r w:rsidRPr="00AD7E90">
                        <w:rPr>
                          <w:rFonts w:ascii="楷体_GB2312" w:hAnsiTheme="minorEastAsia" w:hint="eastAsia"/>
                          <w:sz w:val="15"/>
                          <w:szCs w:val="15"/>
                        </w:rPr>
                        <w:t>25%</w:t>
                      </w:r>
                    </w:p>
                  </w:tc>
                  <w:tc>
                    <w:tcPr>
                      <w:tcW w:w="224" w:type="dxa"/>
                      <w:vMerge/>
                      <w:shd w:val="clear" w:color="auto" w:fill="auto"/>
                      <w:vAlign w:val="center"/>
                    </w:tcPr>
                    <w:p w:rsidR="00D12D7D" w:rsidRPr="0020507F" w:rsidRDefault="00D12D7D" w:rsidP="009D6E57">
                      <w:pPr>
                        <w:jc w:val="center"/>
                        <w:rPr>
                          <w:rFonts w:ascii="楷体_GB2312" w:hAnsi="楷体"/>
                          <w:color w:val="FF0000"/>
                          <w:sz w:val="15"/>
                          <w:szCs w:val="15"/>
                        </w:rPr>
                      </w:pPr>
                    </w:p>
                  </w:tc>
                  <w:tc>
                    <w:tcPr>
                      <w:tcW w:w="1286" w:type="dxa"/>
                      <w:shd w:val="clear" w:color="auto" w:fill="auto"/>
                      <w:vAlign w:val="center"/>
                    </w:tcPr>
                    <w:p w:rsidR="00D12D7D" w:rsidRPr="0020507F" w:rsidRDefault="00D12D7D" w:rsidP="009D6E57">
                      <w:pPr>
                        <w:jc w:val="center"/>
                        <w:rPr>
                          <w:rFonts w:ascii="楷体_GB2312" w:hAnsi="楷体"/>
                          <w:color w:val="FF0000"/>
                          <w:sz w:val="15"/>
                          <w:szCs w:val="15"/>
                        </w:rPr>
                      </w:pPr>
                    </w:p>
                  </w:tc>
                  <w:tc>
                    <w:tcPr>
                      <w:tcW w:w="1538" w:type="dxa"/>
                      <w:shd w:val="clear" w:color="auto" w:fill="auto"/>
                      <w:vAlign w:val="center"/>
                    </w:tcPr>
                    <w:p w:rsidR="00D12D7D" w:rsidRPr="0020507F" w:rsidRDefault="00D12D7D" w:rsidP="009D6E57">
                      <w:pPr>
                        <w:jc w:val="center"/>
                        <w:rPr>
                          <w:rFonts w:ascii="楷体_GB2312" w:hAnsi="楷体"/>
                          <w:color w:val="FF0000"/>
                          <w:szCs w:val="18"/>
                        </w:rPr>
                      </w:pPr>
                    </w:p>
                  </w:tc>
                  <w:tc>
                    <w:tcPr>
                      <w:tcW w:w="698" w:type="dxa"/>
                      <w:shd w:val="clear" w:color="auto" w:fill="auto"/>
                      <w:vAlign w:val="center"/>
                    </w:tcPr>
                    <w:p w:rsidR="00D12D7D" w:rsidRPr="0020507F" w:rsidRDefault="00D12D7D" w:rsidP="009D6E57">
                      <w:pPr>
                        <w:jc w:val="center"/>
                        <w:rPr>
                          <w:rFonts w:ascii="楷体_GB2312" w:hAnsi="楷体"/>
                          <w:color w:val="FF0000"/>
                          <w:szCs w:val="18"/>
                        </w:rPr>
                      </w:pPr>
                    </w:p>
                  </w:tc>
                </w:tr>
                <w:tr w:rsidR="00D12D7D" w:rsidRPr="00D04C22" w:rsidTr="009D6E57">
                  <w:trPr>
                    <w:cantSplit/>
                    <w:trHeight w:val="169"/>
                  </w:trPr>
                  <w:tc>
                    <w:tcPr>
                      <w:tcW w:w="1236" w:type="dxa"/>
                      <w:shd w:val="clear" w:color="auto" w:fill="auto"/>
                      <w:vAlign w:val="center"/>
                    </w:tcPr>
                    <w:p w:rsidR="00D12D7D" w:rsidRPr="00491D60" w:rsidRDefault="00D12D7D" w:rsidP="004007BB">
                      <w:pPr>
                        <w:jc w:val="center"/>
                        <w:rPr>
                          <w:sz w:val="15"/>
                          <w:szCs w:val="15"/>
                        </w:rPr>
                      </w:pPr>
                      <w:r w:rsidRPr="00491D60">
                        <w:rPr>
                          <w:rFonts w:hint="eastAsia"/>
                          <w:sz w:val="15"/>
                          <w:szCs w:val="15"/>
                        </w:rPr>
                        <w:t>中银稳健添利</w:t>
                      </w:r>
                    </w:p>
                  </w:tc>
                  <w:tc>
                    <w:tcPr>
                      <w:tcW w:w="1435" w:type="dxa"/>
                      <w:shd w:val="clear" w:color="auto" w:fill="auto"/>
                      <w:vAlign w:val="center"/>
                    </w:tcPr>
                    <w:p w:rsidR="00D12D7D" w:rsidRPr="00491D60" w:rsidRDefault="00D12D7D" w:rsidP="009D6E57">
                      <w:pPr>
                        <w:jc w:val="center"/>
                        <w:rPr>
                          <w:sz w:val="15"/>
                          <w:szCs w:val="15"/>
                        </w:rPr>
                      </w:pPr>
                      <w:r w:rsidRPr="00491D60">
                        <w:rPr>
                          <w:rFonts w:hint="eastAsia"/>
                          <w:sz w:val="15"/>
                          <w:szCs w:val="15"/>
                        </w:rPr>
                        <w:t>债券</w:t>
                      </w:r>
                      <w:r w:rsidRPr="00491D60">
                        <w:rPr>
                          <w:rFonts w:hint="eastAsia"/>
                          <w:sz w:val="15"/>
                          <w:szCs w:val="15"/>
                        </w:rPr>
                        <w:t>-</w:t>
                      </w:r>
                      <w:r w:rsidRPr="00491D60">
                        <w:rPr>
                          <w:rFonts w:hint="eastAsia"/>
                          <w:sz w:val="15"/>
                          <w:szCs w:val="15"/>
                        </w:rPr>
                        <w:t>普通债券型</w:t>
                      </w:r>
                    </w:p>
                  </w:tc>
                  <w:tc>
                    <w:tcPr>
                      <w:tcW w:w="992" w:type="dxa"/>
                      <w:shd w:val="clear" w:color="auto" w:fill="auto"/>
                      <w:vAlign w:val="center"/>
                    </w:tcPr>
                    <w:p w:rsidR="00D12D7D" w:rsidRPr="00AD7E90" w:rsidRDefault="00D12D7D" w:rsidP="009D6E57">
                      <w:pPr>
                        <w:jc w:val="center"/>
                        <w:rPr>
                          <w:rFonts w:ascii="楷体_GB2312" w:hAnsiTheme="minorEastAsia" w:cs="宋体"/>
                          <w:sz w:val="15"/>
                          <w:szCs w:val="15"/>
                        </w:rPr>
                      </w:pPr>
                      <w:r w:rsidRPr="00AD7E90">
                        <w:rPr>
                          <w:rFonts w:ascii="楷体_GB2312" w:hAnsiTheme="minorEastAsia" w:hint="eastAsia"/>
                          <w:sz w:val="15"/>
                          <w:szCs w:val="15"/>
                        </w:rPr>
                        <w:t>25%</w:t>
                      </w:r>
                    </w:p>
                  </w:tc>
                  <w:tc>
                    <w:tcPr>
                      <w:tcW w:w="224" w:type="dxa"/>
                      <w:vMerge/>
                      <w:shd w:val="clear" w:color="auto" w:fill="auto"/>
                      <w:vAlign w:val="center"/>
                    </w:tcPr>
                    <w:p w:rsidR="00D12D7D" w:rsidRPr="0020507F" w:rsidRDefault="00D12D7D" w:rsidP="009D6E57">
                      <w:pPr>
                        <w:jc w:val="center"/>
                        <w:rPr>
                          <w:rFonts w:ascii="楷体_GB2312" w:hAnsi="楷体"/>
                          <w:color w:val="FF0000"/>
                          <w:sz w:val="15"/>
                          <w:szCs w:val="15"/>
                        </w:rPr>
                      </w:pPr>
                    </w:p>
                  </w:tc>
                  <w:tc>
                    <w:tcPr>
                      <w:tcW w:w="1286" w:type="dxa"/>
                      <w:shd w:val="clear" w:color="auto" w:fill="auto"/>
                      <w:vAlign w:val="center"/>
                    </w:tcPr>
                    <w:p w:rsidR="00D12D7D" w:rsidRPr="0020507F" w:rsidRDefault="00D12D7D" w:rsidP="009D6E57">
                      <w:pPr>
                        <w:jc w:val="center"/>
                        <w:rPr>
                          <w:rFonts w:ascii="楷体_GB2312" w:hAnsi="宋体"/>
                          <w:color w:val="FF0000"/>
                          <w:sz w:val="15"/>
                          <w:szCs w:val="15"/>
                        </w:rPr>
                      </w:pPr>
                    </w:p>
                  </w:tc>
                  <w:tc>
                    <w:tcPr>
                      <w:tcW w:w="1538" w:type="dxa"/>
                      <w:shd w:val="clear" w:color="auto" w:fill="auto"/>
                      <w:vAlign w:val="center"/>
                    </w:tcPr>
                    <w:p w:rsidR="00D12D7D" w:rsidRPr="0020507F" w:rsidRDefault="00D12D7D" w:rsidP="009D6E57">
                      <w:pPr>
                        <w:jc w:val="center"/>
                        <w:rPr>
                          <w:rFonts w:ascii="楷体_GB2312" w:cs="Arial"/>
                          <w:color w:val="FF0000"/>
                          <w:szCs w:val="18"/>
                        </w:rPr>
                      </w:pPr>
                    </w:p>
                  </w:tc>
                  <w:tc>
                    <w:tcPr>
                      <w:tcW w:w="698" w:type="dxa"/>
                      <w:shd w:val="clear" w:color="auto" w:fill="auto"/>
                      <w:vAlign w:val="center"/>
                    </w:tcPr>
                    <w:p w:rsidR="00D12D7D" w:rsidRPr="0020507F" w:rsidRDefault="00D12D7D" w:rsidP="009D6E57">
                      <w:pPr>
                        <w:jc w:val="center"/>
                        <w:rPr>
                          <w:rFonts w:ascii="楷体_GB2312" w:hAnsi="宋体"/>
                          <w:color w:val="FF0000"/>
                          <w:szCs w:val="18"/>
                        </w:rPr>
                      </w:pPr>
                    </w:p>
                  </w:tc>
                </w:tr>
              </w:tbl>
              <w:p w:rsidR="00BC7E24" w:rsidRPr="005A4767" w:rsidRDefault="00557EF6" w:rsidP="000E6AE0">
                <w:pPr>
                  <w:pStyle w:val="a0"/>
                  <w:widowControl/>
                  <w:ind w:left="0" w:rightChars="95" w:right="171"/>
                </w:pPr>
              </w:p>
            </w:sdtContent>
          </w:sdt>
        </w:tc>
      </w:tr>
    </w:tbl>
    <w:p w:rsidR="00C04724" w:rsidRDefault="00C04724" w:rsidP="00C04724">
      <w:pPr>
        <w:pStyle w:val="14"/>
        <w:ind w:leftChars="1890"/>
      </w:pPr>
      <w:r w:rsidRPr="00C04724">
        <w:rPr>
          <w:rFonts w:hint="eastAsia"/>
          <w:color w:val="auto"/>
        </w:rPr>
        <w:lastRenderedPageBreak/>
        <w:t>一、</w:t>
      </w:r>
      <w:r w:rsidR="004007BB">
        <w:rPr>
          <w:rFonts w:hint="eastAsia"/>
          <w:color w:val="auto"/>
        </w:rPr>
        <w:t>震荡</w:t>
      </w:r>
      <w:proofErr w:type="gramStart"/>
      <w:r w:rsidR="004007BB">
        <w:rPr>
          <w:rFonts w:hint="eastAsia"/>
          <w:color w:val="auto"/>
        </w:rPr>
        <w:t>市场风控先行</w:t>
      </w:r>
      <w:proofErr w:type="gramEnd"/>
      <w:r w:rsidR="004007BB">
        <w:rPr>
          <w:rFonts w:hint="eastAsia"/>
          <w:color w:val="auto"/>
        </w:rPr>
        <w:t>，</w:t>
      </w:r>
      <w:proofErr w:type="gramStart"/>
      <w:r w:rsidR="004007BB">
        <w:rPr>
          <w:rFonts w:hint="eastAsia"/>
          <w:color w:val="auto"/>
        </w:rPr>
        <w:t>缩短久期稳健</w:t>
      </w:r>
      <w:proofErr w:type="gramEnd"/>
      <w:r w:rsidR="004007BB">
        <w:rPr>
          <w:rFonts w:hint="eastAsia"/>
          <w:color w:val="auto"/>
        </w:rPr>
        <w:t>操作</w:t>
      </w:r>
      <w:r w:rsidRPr="00C04724">
        <w:rPr>
          <w:rFonts w:hint="eastAsia"/>
          <w:color w:val="auto"/>
        </w:rPr>
        <w:t>——开放型债券基金投资建议</w:t>
      </w:r>
      <w:r w:rsidRPr="00C04724">
        <w:rPr>
          <w:rFonts w:hint="eastAsia"/>
          <w:color w:val="auto"/>
        </w:rPr>
        <w:t xml:space="preserve"> </w:t>
      </w:r>
    </w:p>
    <w:p w:rsidR="00C04724" w:rsidRPr="00C04724" w:rsidRDefault="00C04724" w:rsidP="00C04724">
      <w:pPr>
        <w:pStyle w:val="a0"/>
        <w:numPr>
          <w:ilvl w:val="0"/>
          <w:numId w:val="4"/>
        </w:numPr>
        <w:tabs>
          <w:tab w:val="clear" w:pos="4329"/>
        </w:tabs>
        <w:spacing w:line="240" w:lineRule="auto"/>
        <w:ind w:left="3402"/>
        <w:rPr>
          <w:rFonts w:ascii="楷体_GB2312"/>
          <w:b/>
          <w:color w:val="00B0F0"/>
        </w:rPr>
      </w:pPr>
      <w:r w:rsidRPr="00C04724">
        <w:rPr>
          <w:rFonts w:ascii="楷体_GB2312" w:hint="eastAsia"/>
          <w:b/>
          <w:color w:val="00B0F0"/>
        </w:rPr>
        <w:t>国内经济：基本面阶段性回暖，通胀温和回升</w:t>
      </w:r>
    </w:p>
    <w:p w:rsidR="00C04724" w:rsidRPr="00C04724" w:rsidRDefault="00C04724" w:rsidP="00C04724">
      <w:pPr>
        <w:pStyle w:val="a0"/>
        <w:widowControl/>
        <w:numPr>
          <w:ilvl w:val="4"/>
          <w:numId w:val="3"/>
        </w:numPr>
        <w:rPr>
          <w:color w:val="auto"/>
        </w:rPr>
      </w:pPr>
      <w:r w:rsidRPr="00C04724">
        <w:rPr>
          <w:rFonts w:hint="eastAsia"/>
          <w:color w:val="auto"/>
        </w:rPr>
        <w:t>与上年</w:t>
      </w:r>
      <w:r w:rsidRPr="00C04724">
        <w:rPr>
          <w:rFonts w:hint="eastAsia"/>
          <w:color w:val="auto"/>
        </w:rPr>
        <w:t>4</w:t>
      </w:r>
      <w:r w:rsidRPr="00C04724">
        <w:rPr>
          <w:rFonts w:hint="eastAsia"/>
          <w:color w:val="auto"/>
        </w:rPr>
        <w:t>季度相比，</w:t>
      </w:r>
      <w:r w:rsidRPr="00C04724">
        <w:rPr>
          <w:rFonts w:hint="eastAsia"/>
          <w:color w:val="auto"/>
        </w:rPr>
        <w:t>2016</w:t>
      </w:r>
      <w:r w:rsidRPr="00C04724">
        <w:rPr>
          <w:rFonts w:hint="eastAsia"/>
          <w:color w:val="auto"/>
        </w:rPr>
        <w:t>年</w:t>
      </w:r>
      <w:r w:rsidRPr="00C04724">
        <w:rPr>
          <w:rFonts w:hint="eastAsia"/>
          <w:color w:val="auto"/>
        </w:rPr>
        <w:t>1</w:t>
      </w:r>
      <w:r w:rsidRPr="00C04724">
        <w:rPr>
          <w:rFonts w:hint="eastAsia"/>
          <w:color w:val="auto"/>
        </w:rPr>
        <w:t>季度国内生产总值同比增长率小幅下行</w:t>
      </w:r>
      <w:r w:rsidRPr="00C04724">
        <w:rPr>
          <w:rFonts w:hint="eastAsia"/>
          <w:color w:val="auto"/>
        </w:rPr>
        <w:t>0.1%</w:t>
      </w:r>
      <w:r w:rsidRPr="00C04724">
        <w:rPr>
          <w:rFonts w:hint="eastAsia"/>
          <w:color w:val="auto"/>
        </w:rPr>
        <w:t>至</w:t>
      </w:r>
      <w:r w:rsidRPr="00C04724">
        <w:rPr>
          <w:rFonts w:hint="eastAsia"/>
          <w:color w:val="auto"/>
        </w:rPr>
        <w:t>6.7%</w:t>
      </w:r>
      <w:r w:rsidRPr="00C04724">
        <w:rPr>
          <w:rFonts w:hint="eastAsia"/>
          <w:color w:val="auto"/>
        </w:rPr>
        <w:t>，国内经济增长继续回落。其中，第一产业、第二产业和第三产业当季同比增长率分别为</w:t>
      </w:r>
      <w:r w:rsidRPr="00C04724">
        <w:rPr>
          <w:rFonts w:hint="eastAsia"/>
          <w:color w:val="auto"/>
        </w:rPr>
        <w:t>2.9%</w:t>
      </w:r>
      <w:r w:rsidRPr="00C04724">
        <w:rPr>
          <w:rFonts w:hint="eastAsia"/>
          <w:color w:val="auto"/>
        </w:rPr>
        <w:t>、</w:t>
      </w:r>
      <w:r w:rsidRPr="00C04724">
        <w:rPr>
          <w:rFonts w:hint="eastAsia"/>
          <w:color w:val="auto"/>
        </w:rPr>
        <w:t>5.8%</w:t>
      </w:r>
      <w:r w:rsidRPr="00C04724">
        <w:rPr>
          <w:rFonts w:hint="eastAsia"/>
          <w:color w:val="auto"/>
        </w:rPr>
        <w:t>和</w:t>
      </w:r>
      <w:r w:rsidRPr="00C04724">
        <w:rPr>
          <w:rFonts w:hint="eastAsia"/>
          <w:color w:val="auto"/>
        </w:rPr>
        <w:t>7.6%</w:t>
      </w:r>
      <w:r w:rsidRPr="00C04724">
        <w:rPr>
          <w:rFonts w:hint="eastAsia"/>
          <w:color w:val="auto"/>
        </w:rPr>
        <w:t>，相比上季度分别下行</w:t>
      </w:r>
      <w:r w:rsidRPr="00C04724">
        <w:rPr>
          <w:rFonts w:hint="eastAsia"/>
          <w:color w:val="auto"/>
        </w:rPr>
        <w:t>1.2%</w:t>
      </w:r>
      <w:r w:rsidRPr="00C04724">
        <w:rPr>
          <w:rFonts w:hint="eastAsia"/>
          <w:color w:val="auto"/>
        </w:rPr>
        <w:t>、</w:t>
      </w:r>
      <w:r w:rsidRPr="00C04724">
        <w:rPr>
          <w:rFonts w:hint="eastAsia"/>
          <w:color w:val="auto"/>
        </w:rPr>
        <w:t>0.3%</w:t>
      </w:r>
      <w:r w:rsidRPr="00C04724">
        <w:rPr>
          <w:rFonts w:hint="eastAsia"/>
          <w:color w:val="auto"/>
        </w:rPr>
        <w:t>和</w:t>
      </w:r>
      <w:r w:rsidRPr="00C04724">
        <w:rPr>
          <w:rFonts w:hint="eastAsia"/>
          <w:color w:val="auto"/>
        </w:rPr>
        <w:t>0.6%</w:t>
      </w:r>
      <w:r w:rsidRPr="00C04724">
        <w:rPr>
          <w:rFonts w:hint="eastAsia"/>
          <w:color w:val="auto"/>
        </w:rPr>
        <w:t>。而就三大产业对</w:t>
      </w:r>
      <w:r w:rsidRPr="00C04724">
        <w:rPr>
          <w:rFonts w:hint="eastAsia"/>
          <w:color w:val="auto"/>
        </w:rPr>
        <w:t>GDP</w:t>
      </w:r>
      <w:r w:rsidRPr="00C04724">
        <w:rPr>
          <w:rFonts w:hint="eastAsia"/>
          <w:color w:val="auto"/>
        </w:rPr>
        <w:t>累计同比贡献度来看，</w:t>
      </w:r>
      <w:r w:rsidRPr="00C04724">
        <w:rPr>
          <w:rFonts w:hint="eastAsia"/>
          <w:color w:val="auto"/>
        </w:rPr>
        <w:t>1</w:t>
      </w:r>
      <w:r w:rsidRPr="00C04724">
        <w:rPr>
          <w:rFonts w:hint="eastAsia"/>
          <w:color w:val="auto"/>
        </w:rPr>
        <w:t>季度第二产业贡献</w:t>
      </w:r>
      <w:proofErr w:type="gramStart"/>
      <w:r w:rsidRPr="00C04724">
        <w:rPr>
          <w:rFonts w:hint="eastAsia"/>
          <w:color w:val="auto"/>
        </w:rPr>
        <w:t>度继续</w:t>
      </w:r>
      <w:proofErr w:type="gramEnd"/>
      <w:r w:rsidRPr="00C04724">
        <w:rPr>
          <w:rFonts w:hint="eastAsia"/>
          <w:color w:val="auto"/>
        </w:rPr>
        <w:t>下行</w:t>
      </w:r>
      <w:r w:rsidRPr="00C04724">
        <w:rPr>
          <w:rFonts w:hint="eastAsia"/>
          <w:color w:val="auto"/>
        </w:rPr>
        <w:t>2.2%</w:t>
      </w:r>
      <w:r w:rsidRPr="00C04724">
        <w:rPr>
          <w:rFonts w:hint="eastAsia"/>
          <w:color w:val="auto"/>
        </w:rPr>
        <w:t>至</w:t>
      </w:r>
      <w:r w:rsidRPr="00C04724">
        <w:rPr>
          <w:rFonts w:hint="eastAsia"/>
          <w:color w:val="auto"/>
        </w:rPr>
        <w:t>34.9%</w:t>
      </w:r>
      <w:r w:rsidRPr="00C04724">
        <w:rPr>
          <w:rFonts w:hint="eastAsia"/>
          <w:color w:val="auto"/>
        </w:rPr>
        <w:t>，而第三产业贡献度在连续</w:t>
      </w:r>
      <w:r w:rsidRPr="00C04724">
        <w:rPr>
          <w:rFonts w:hint="eastAsia"/>
          <w:color w:val="auto"/>
        </w:rPr>
        <w:t>4</w:t>
      </w:r>
      <w:r w:rsidRPr="00C04724">
        <w:rPr>
          <w:rFonts w:hint="eastAsia"/>
          <w:color w:val="auto"/>
        </w:rPr>
        <w:t>个月持续下行后回调</w:t>
      </w:r>
      <w:r w:rsidRPr="00C04724">
        <w:rPr>
          <w:rFonts w:hint="eastAsia"/>
          <w:color w:val="auto"/>
        </w:rPr>
        <w:t>5.1%</w:t>
      </w:r>
      <w:r w:rsidRPr="00C04724">
        <w:rPr>
          <w:rFonts w:hint="eastAsia"/>
          <w:color w:val="auto"/>
        </w:rPr>
        <w:t>至</w:t>
      </w:r>
      <w:r w:rsidRPr="00C04724">
        <w:rPr>
          <w:rFonts w:hint="eastAsia"/>
          <w:color w:val="auto"/>
        </w:rPr>
        <w:t>62.8%</w:t>
      </w:r>
      <w:r w:rsidRPr="00C04724">
        <w:rPr>
          <w:rFonts w:hint="eastAsia"/>
          <w:color w:val="auto"/>
        </w:rPr>
        <w:t>。</w:t>
      </w:r>
    </w:p>
    <w:p w:rsidR="00C04724" w:rsidRDefault="00C04724" w:rsidP="00C04724">
      <w:pPr>
        <w:pStyle w:val="a0"/>
        <w:widowControl/>
        <w:numPr>
          <w:ilvl w:val="4"/>
          <w:numId w:val="3"/>
        </w:numPr>
        <w:rPr>
          <w:color w:val="auto"/>
        </w:rPr>
      </w:pPr>
      <w:r w:rsidRPr="00C04724">
        <w:rPr>
          <w:color w:val="auto"/>
        </w:rPr>
        <w:t>1</w:t>
      </w:r>
      <w:r w:rsidRPr="00C04724">
        <w:rPr>
          <w:rFonts w:hint="eastAsia"/>
          <w:color w:val="auto"/>
        </w:rPr>
        <w:t>季度经济下行主要是由年初两月经济表现疲软导致，而进入</w:t>
      </w:r>
      <w:r w:rsidRPr="00C04724">
        <w:rPr>
          <w:color w:val="auto"/>
        </w:rPr>
        <w:t>3</w:t>
      </w:r>
      <w:r w:rsidRPr="00C04724">
        <w:rPr>
          <w:rFonts w:hint="eastAsia"/>
          <w:color w:val="auto"/>
        </w:rPr>
        <w:t>月后经济阶段性有所改善。从</w:t>
      </w:r>
      <w:r w:rsidRPr="00C04724">
        <w:rPr>
          <w:color w:val="auto"/>
        </w:rPr>
        <w:t>PMI</w:t>
      </w:r>
      <w:r w:rsidRPr="00C04724">
        <w:rPr>
          <w:rFonts w:hint="eastAsia"/>
          <w:color w:val="auto"/>
        </w:rPr>
        <w:t>前景指数来看，</w:t>
      </w:r>
      <w:r w:rsidRPr="00C04724">
        <w:rPr>
          <w:color w:val="auto"/>
        </w:rPr>
        <w:t>3</w:t>
      </w:r>
      <w:r w:rsidRPr="00C04724">
        <w:rPr>
          <w:rFonts w:hint="eastAsia"/>
          <w:color w:val="auto"/>
        </w:rPr>
        <w:t>月制造业及非制造业前景均显著回升，经济改善明显。其中</w:t>
      </w:r>
      <w:r w:rsidRPr="00C04724">
        <w:rPr>
          <w:color w:val="auto"/>
        </w:rPr>
        <w:t>3</w:t>
      </w:r>
      <w:r w:rsidRPr="00C04724">
        <w:rPr>
          <w:rFonts w:hint="eastAsia"/>
          <w:color w:val="auto"/>
        </w:rPr>
        <w:t>月制造业采购经理指数由上月的</w:t>
      </w:r>
      <w:r w:rsidRPr="00C04724">
        <w:rPr>
          <w:color w:val="auto"/>
        </w:rPr>
        <w:t>49</w:t>
      </w:r>
      <w:r w:rsidRPr="00C04724">
        <w:rPr>
          <w:rFonts w:hint="eastAsia"/>
          <w:color w:val="auto"/>
        </w:rPr>
        <w:t>升至</w:t>
      </w:r>
      <w:r w:rsidRPr="00C04724">
        <w:rPr>
          <w:rFonts w:hint="eastAsia"/>
          <w:color w:val="auto"/>
        </w:rPr>
        <w:t>50.2</w:t>
      </w:r>
      <w:r w:rsidRPr="00C04724">
        <w:rPr>
          <w:rFonts w:hint="eastAsia"/>
          <w:color w:val="auto"/>
        </w:rPr>
        <w:t>，在连续五个月下跌后重回荣枯分界线以上；同时非制造业商务活动</w:t>
      </w:r>
      <w:r w:rsidRPr="00C04724">
        <w:rPr>
          <w:rFonts w:hint="eastAsia"/>
          <w:color w:val="auto"/>
        </w:rPr>
        <w:t>PMI</w:t>
      </w:r>
      <w:r w:rsidRPr="00C04724">
        <w:rPr>
          <w:rFonts w:hint="eastAsia"/>
          <w:color w:val="auto"/>
        </w:rPr>
        <w:t>指数小幅抬升</w:t>
      </w:r>
      <w:r w:rsidRPr="00C04724">
        <w:rPr>
          <w:rFonts w:hint="eastAsia"/>
          <w:color w:val="auto"/>
        </w:rPr>
        <w:t>1.1</w:t>
      </w:r>
      <w:r w:rsidRPr="00C04724">
        <w:rPr>
          <w:rFonts w:hint="eastAsia"/>
          <w:color w:val="auto"/>
        </w:rPr>
        <w:t>至</w:t>
      </w:r>
      <w:r w:rsidRPr="00C04724">
        <w:rPr>
          <w:rFonts w:hint="eastAsia"/>
          <w:color w:val="auto"/>
        </w:rPr>
        <w:t>53.8</w:t>
      </w:r>
      <w:r w:rsidRPr="00C04724">
        <w:rPr>
          <w:rFonts w:hint="eastAsia"/>
          <w:color w:val="auto"/>
        </w:rPr>
        <w:t>，非制造业前景持续扩张且明显改善。</w:t>
      </w:r>
    </w:p>
    <w:tbl>
      <w:tblPr>
        <w:tblStyle w:val="GJStylesChartInsertSingleCol"/>
        <w:tblW w:w="7370" w:type="dxa"/>
        <w:tblInd w:w="3402" w:type="dxa"/>
        <w:tblLook w:val="0600" w:firstRow="0" w:lastRow="0" w:firstColumn="0" w:lastColumn="0" w:noHBand="1" w:noVBand="1"/>
      </w:tblPr>
      <w:tblGrid>
        <w:gridCol w:w="7370"/>
      </w:tblGrid>
      <w:tr w:rsidR="000A7456" w:rsidTr="000A7456">
        <w:tc>
          <w:tcPr>
            <w:tcW w:w="7370" w:type="dxa"/>
          </w:tcPr>
          <w:p w:rsidR="000A7456" w:rsidRPr="000A7456" w:rsidRDefault="000A7456" w:rsidP="000A7456">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1</w:t>
            </w:r>
            <w:r>
              <w:fldChar w:fldCharType="end"/>
            </w:r>
            <w:r>
              <w:rPr>
                <w:rFonts w:hint="eastAsia"/>
              </w:rPr>
              <w:t>：</w:t>
            </w:r>
            <w:r w:rsidRPr="001F1533">
              <w:rPr>
                <w:rFonts w:hint="eastAsia"/>
              </w:rPr>
              <w:t>中采制造业及非制造业</w:t>
            </w:r>
            <w:r w:rsidRPr="001F1533">
              <w:rPr>
                <w:rFonts w:hint="eastAsia"/>
              </w:rPr>
              <w:t>PMI</w:t>
            </w:r>
            <w:r w:rsidRPr="001F1533">
              <w:rPr>
                <w:rFonts w:hint="eastAsia"/>
              </w:rPr>
              <w:t>指数走势</w:t>
            </w:r>
          </w:p>
        </w:tc>
      </w:tr>
      <w:tr w:rsidR="000A7456" w:rsidTr="000A7456">
        <w:trPr>
          <w:trHeight w:val="3509"/>
        </w:trPr>
        <w:tc>
          <w:tcPr>
            <w:tcW w:w="7370" w:type="dxa"/>
          </w:tcPr>
          <w:p w:rsidR="000A7456" w:rsidRPr="000A7456" w:rsidRDefault="000A7456" w:rsidP="000A7456">
            <w:r>
              <w:rPr>
                <w:noProof/>
              </w:rPr>
              <w:drawing>
                <wp:inline distT="0" distB="0" distL="0" distR="0" wp14:anchorId="30243E8A">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tc>
      </w:tr>
      <w:tr w:rsidR="000A7456" w:rsidTr="000A7456">
        <w:tc>
          <w:tcPr>
            <w:tcW w:w="7370" w:type="dxa"/>
          </w:tcPr>
          <w:p w:rsidR="000A7456" w:rsidRDefault="000A7456" w:rsidP="000A7456">
            <w:pPr>
              <w:pStyle w:val="GJStylesGraphSource"/>
            </w:pPr>
            <w:r>
              <w:rPr>
                <w:rFonts w:hint="eastAsia"/>
              </w:rPr>
              <w:t>注：数据截至</w:t>
            </w:r>
            <w:r>
              <w:rPr>
                <w:rFonts w:hint="eastAsia"/>
              </w:rPr>
              <w:t>2016</w:t>
            </w:r>
            <w:r>
              <w:rPr>
                <w:rFonts w:hint="eastAsia"/>
              </w:rPr>
              <w:t>年</w:t>
            </w:r>
            <w:r>
              <w:rPr>
                <w:rFonts w:hint="eastAsia"/>
              </w:rPr>
              <w:t>3</w:t>
            </w:r>
            <w:r>
              <w:rPr>
                <w:rFonts w:hint="eastAsia"/>
              </w:rPr>
              <w:t>月。</w:t>
            </w:r>
          </w:p>
          <w:p w:rsidR="000A7456" w:rsidRDefault="000A7456" w:rsidP="000A7456">
            <w:pPr>
              <w:pStyle w:val="GJStylesGraphSource"/>
            </w:pPr>
            <w:r>
              <w:rPr>
                <w:rFonts w:hint="eastAsia"/>
              </w:rPr>
              <w:t>来源：国金证券研究所，</w:t>
            </w:r>
            <w:r>
              <w:rPr>
                <w:rFonts w:hint="eastAsia"/>
              </w:rPr>
              <w:t>WIND</w:t>
            </w:r>
          </w:p>
        </w:tc>
      </w:tr>
    </w:tbl>
    <w:p w:rsidR="00C04724" w:rsidRPr="00C04724" w:rsidRDefault="00C04724" w:rsidP="00C04724">
      <w:pPr>
        <w:pStyle w:val="a0"/>
        <w:widowControl/>
        <w:numPr>
          <w:ilvl w:val="4"/>
          <w:numId w:val="3"/>
        </w:numPr>
        <w:rPr>
          <w:color w:val="auto"/>
        </w:rPr>
      </w:pPr>
      <w:r w:rsidRPr="00C04724">
        <w:rPr>
          <w:rFonts w:hint="eastAsia"/>
          <w:color w:val="auto"/>
        </w:rPr>
        <w:t>从月度经济数据来看，</w:t>
      </w:r>
      <w:r w:rsidRPr="00C04724">
        <w:rPr>
          <w:rFonts w:hint="eastAsia"/>
          <w:color w:val="auto"/>
        </w:rPr>
        <w:t>3</w:t>
      </w:r>
      <w:r w:rsidRPr="00C04724">
        <w:rPr>
          <w:rFonts w:hint="eastAsia"/>
          <w:color w:val="auto"/>
        </w:rPr>
        <w:t>月工业、固定资产投资及消费均有所好转，通胀风险下降。</w:t>
      </w:r>
      <w:r w:rsidRPr="00C04724">
        <w:rPr>
          <w:rFonts w:hint="eastAsia"/>
          <w:color w:val="auto"/>
        </w:rPr>
        <w:t>3</w:t>
      </w:r>
      <w:r w:rsidRPr="00C04724">
        <w:rPr>
          <w:rFonts w:hint="eastAsia"/>
          <w:color w:val="auto"/>
        </w:rPr>
        <w:t>月规模以上工业增加值同比实际增长</w:t>
      </w:r>
      <w:r w:rsidRPr="00C04724">
        <w:rPr>
          <w:rFonts w:hint="eastAsia"/>
          <w:color w:val="auto"/>
        </w:rPr>
        <w:t>6.8%</w:t>
      </w:r>
      <w:r w:rsidRPr="00C04724">
        <w:rPr>
          <w:rFonts w:hint="eastAsia"/>
          <w:color w:val="auto"/>
        </w:rPr>
        <w:t>，相比</w:t>
      </w:r>
      <w:r w:rsidRPr="00C04724">
        <w:rPr>
          <w:rFonts w:hint="eastAsia"/>
          <w:color w:val="auto"/>
        </w:rPr>
        <w:t>1-2</w:t>
      </w:r>
      <w:r w:rsidRPr="00C04724">
        <w:rPr>
          <w:rFonts w:hint="eastAsia"/>
          <w:color w:val="auto"/>
        </w:rPr>
        <w:t>月环比上行</w:t>
      </w:r>
      <w:r w:rsidRPr="00C04724">
        <w:rPr>
          <w:rFonts w:hint="eastAsia"/>
          <w:color w:val="auto"/>
        </w:rPr>
        <w:t>1.4%</w:t>
      </w:r>
      <w:r w:rsidRPr="00C04724">
        <w:rPr>
          <w:rFonts w:hint="eastAsia"/>
          <w:color w:val="auto"/>
        </w:rPr>
        <w:t>，工业增速有所回升；投资方面，受房地产和基建投资带动</w:t>
      </w:r>
      <w:r w:rsidRPr="00C04724">
        <w:rPr>
          <w:rFonts w:hint="eastAsia"/>
          <w:color w:val="auto"/>
        </w:rPr>
        <w:t>3</w:t>
      </w:r>
      <w:r w:rsidRPr="00C04724">
        <w:rPr>
          <w:rFonts w:hint="eastAsia"/>
          <w:color w:val="auto"/>
        </w:rPr>
        <w:t>月固定资产投资累计同比增长</w:t>
      </w:r>
      <w:r w:rsidRPr="00C04724">
        <w:rPr>
          <w:rFonts w:hint="eastAsia"/>
          <w:color w:val="auto"/>
        </w:rPr>
        <w:t>10.7%</w:t>
      </w:r>
      <w:r w:rsidRPr="00C04724">
        <w:rPr>
          <w:rFonts w:hint="eastAsia"/>
          <w:color w:val="auto"/>
        </w:rPr>
        <w:t>，相比</w:t>
      </w:r>
      <w:r w:rsidRPr="00C04724">
        <w:rPr>
          <w:rFonts w:hint="eastAsia"/>
          <w:color w:val="auto"/>
        </w:rPr>
        <w:t>1-2</w:t>
      </w:r>
      <w:r w:rsidRPr="00C04724">
        <w:rPr>
          <w:rFonts w:hint="eastAsia"/>
          <w:color w:val="auto"/>
        </w:rPr>
        <w:t>月回升</w:t>
      </w:r>
      <w:r w:rsidRPr="00C04724">
        <w:rPr>
          <w:rFonts w:hint="eastAsia"/>
          <w:color w:val="auto"/>
        </w:rPr>
        <w:t>0.5%</w:t>
      </w:r>
      <w:r w:rsidRPr="00C04724">
        <w:rPr>
          <w:rFonts w:hint="eastAsia"/>
          <w:color w:val="auto"/>
        </w:rPr>
        <w:t>，其中地产投资和基建投资累计同比增速相比</w:t>
      </w:r>
      <w:r w:rsidRPr="00C04724">
        <w:rPr>
          <w:rFonts w:hint="eastAsia"/>
          <w:color w:val="auto"/>
        </w:rPr>
        <w:t>2</w:t>
      </w:r>
      <w:proofErr w:type="gramStart"/>
      <w:r w:rsidRPr="00C04724">
        <w:rPr>
          <w:rFonts w:hint="eastAsia"/>
          <w:color w:val="auto"/>
        </w:rPr>
        <w:t>月分</w:t>
      </w:r>
      <w:proofErr w:type="gramEnd"/>
      <w:r w:rsidRPr="00C04724">
        <w:rPr>
          <w:rFonts w:hint="eastAsia"/>
          <w:color w:val="auto"/>
        </w:rPr>
        <w:t>别增长</w:t>
      </w:r>
      <w:r w:rsidRPr="00C04724">
        <w:rPr>
          <w:rFonts w:hint="eastAsia"/>
          <w:color w:val="auto"/>
        </w:rPr>
        <w:t>3.2%</w:t>
      </w:r>
      <w:r w:rsidRPr="00C04724">
        <w:rPr>
          <w:rFonts w:hint="eastAsia"/>
          <w:color w:val="auto"/>
        </w:rPr>
        <w:t>和</w:t>
      </w:r>
      <w:r w:rsidRPr="00C04724">
        <w:rPr>
          <w:rFonts w:hint="eastAsia"/>
          <w:color w:val="auto"/>
        </w:rPr>
        <w:t>3.54%</w:t>
      </w:r>
      <w:r w:rsidRPr="00C04724">
        <w:rPr>
          <w:rFonts w:hint="eastAsia"/>
          <w:color w:val="auto"/>
        </w:rPr>
        <w:t>；消费方面，</w:t>
      </w:r>
      <w:r w:rsidRPr="00C04724">
        <w:rPr>
          <w:rFonts w:hint="eastAsia"/>
          <w:color w:val="auto"/>
        </w:rPr>
        <w:t>3</w:t>
      </w:r>
      <w:r w:rsidRPr="00C04724">
        <w:rPr>
          <w:rFonts w:hint="eastAsia"/>
          <w:color w:val="auto"/>
        </w:rPr>
        <w:t>月社会消费品零售总额同比增长率相比上月小幅回升</w:t>
      </w:r>
      <w:r w:rsidRPr="00C04724">
        <w:rPr>
          <w:rFonts w:hint="eastAsia"/>
          <w:color w:val="auto"/>
        </w:rPr>
        <w:t>0.3%</w:t>
      </w:r>
      <w:r w:rsidRPr="00C04724">
        <w:rPr>
          <w:rFonts w:hint="eastAsia"/>
          <w:color w:val="auto"/>
        </w:rPr>
        <w:t>至</w:t>
      </w:r>
      <w:r w:rsidRPr="00C04724">
        <w:rPr>
          <w:rFonts w:hint="eastAsia"/>
          <w:color w:val="auto"/>
        </w:rPr>
        <w:t>10.5%</w:t>
      </w:r>
      <w:r w:rsidRPr="00C04724">
        <w:rPr>
          <w:rFonts w:hint="eastAsia"/>
          <w:color w:val="auto"/>
        </w:rPr>
        <w:t>，消费对经济增长仍具有较强的支撑力度；财政方面，减税降费及加大财政支出的政策方针指导之下，</w:t>
      </w:r>
      <w:r w:rsidRPr="00C04724">
        <w:rPr>
          <w:rFonts w:hint="eastAsia"/>
          <w:color w:val="auto"/>
        </w:rPr>
        <w:t>3</w:t>
      </w:r>
      <w:r w:rsidRPr="00C04724">
        <w:rPr>
          <w:rFonts w:hint="eastAsia"/>
          <w:color w:val="auto"/>
        </w:rPr>
        <w:t>月公共财政收入当月同比增速小幅下行</w:t>
      </w:r>
      <w:r w:rsidRPr="00C04724">
        <w:rPr>
          <w:rFonts w:hint="eastAsia"/>
          <w:color w:val="auto"/>
        </w:rPr>
        <w:t>0.32%</w:t>
      </w:r>
      <w:r w:rsidRPr="00C04724">
        <w:rPr>
          <w:rFonts w:hint="eastAsia"/>
          <w:color w:val="auto"/>
        </w:rPr>
        <w:t>至</w:t>
      </w:r>
      <w:r w:rsidRPr="00C04724">
        <w:rPr>
          <w:rFonts w:hint="eastAsia"/>
          <w:color w:val="auto"/>
        </w:rPr>
        <w:t>7.10%</w:t>
      </w:r>
      <w:r w:rsidRPr="00C04724">
        <w:rPr>
          <w:rFonts w:hint="eastAsia"/>
          <w:color w:val="auto"/>
        </w:rPr>
        <w:t>，而公共财政支出当月同比增速大幅增长至</w:t>
      </w:r>
      <w:r w:rsidRPr="00C04724">
        <w:rPr>
          <w:rFonts w:hint="eastAsia"/>
          <w:color w:val="auto"/>
        </w:rPr>
        <w:t>20.10%</w:t>
      </w:r>
      <w:r w:rsidRPr="00C04724">
        <w:rPr>
          <w:rFonts w:hint="eastAsia"/>
          <w:color w:val="auto"/>
        </w:rPr>
        <w:t>，财政支出压力继续增大；对外贸易方面，</w:t>
      </w:r>
      <w:r w:rsidRPr="00C04724">
        <w:rPr>
          <w:rFonts w:hint="eastAsia"/>
          <w:color w:val="auto"/>
        </w:rPr>
        <w:t>3</w:t>
      </w:r>
      <w:r w:rsidRPr="00C04724">
        <w:rPr>
          <w:rFonts w:hint="eastAsia"/>
          <w:color w:val="auto"/>
        </w:rPr>
        <w:t>月出口同比增速由</w:t>
      </w:r>
      <w:r w:rsidRPr="00C04724">
        <w:rPr>
          <w:rFonts w:hint="eastAsia"/>
          <w:color w:val="auto"/>
        </w:rPr>
        <w:t>-25.30%</w:t>
      </w:r>
      <w:r w:rsidRPr="00C04724">
        <w:rPr>
          <w:rFonts w:hint="eastAsia"/>
          <w:color w:val="auto"/>
        </w:rPr>
        <w:t>大幅提高至</w:t>
      </w:r>
      <w:r w:rsidRPr="00C04724">
        <w:rPr>
          <w:rFonts w:hint="eastAsia"/>
          <w:color w:val="auto"/>
        </w:rPr>
        <w:t>11.50%</w:t>
      </w:r>
      <w:r w:rsidRPr="00C04724">
        <w:rPr>
          <w:rFonts w:hint="eastAsia"/>
          <w:color w:val="auto"/>
        </w:rPr>
        <w:t>，进口同比增速由</w:t>
      </w:r>
      <w:r w:rsidRPr="00C04724">
        <w:rPr>
          <w:rFonts w:hint="eastAsia"/>
          <w:color w:val="auto"/>
        </w:rPr>
        <w:t>-13.80%</w:t>
      </w:r>
      <w:r w:rsidRPr="00C04724">
        <w:rPr>
          <w:rFonts w:hint="eastAsia"/>
          <w:color w:val="auto"/>
        </w:rPr>
        <w:t>提升至</w:t>
      </w:r>
      <w:r w:rsidRPr="00C04724">
        <w:rPr>
          <w:rFonts w:hint="eastAsia"/>
          <w:color w:val="auto"/>
        </w:rPr>
        <w:t>-7.60%</w:t>
      </w:r>
      <w:r w:rsidRPr="00C04724">
        <w:rPr>
          <w:rFonts w:hint="eastAsia"/>
          <w:color w:val="auto"/>
        </w:rPr>
        <w:t>，但本月出口反弹主要是基于技术性原因，</w:t>
      </w:r>
      <w:proofErr w:type="gramStart"/>
      <w:r w:rsidRPr="00C04724">
        <w:rPr>
          <w:rFonts w:hint="eastAsia"/>
          <w:color w:val="auto"/>
        </w:rPr>
        <w:t>季调后</w:t>
      </w:r>
      <w:proofErr w:type="gramEnd"/>
      <w:r w:rsidRPr="00C04724">
        <w:rPr>
          <w:rFonts w:hint="eastAsia"/>
          <w:color w:val="auto"/>
        </w:rPr>
        <w:t>数据显示进出口跌幅均有所扩大，预计</w:t>
      </w:r>
      <w:r w:rsidRPr="00C04724">
        <w:rPr>
          <w:rFonts w:hint="eastAsia"/>
          <w:color w:val="auto"/>
        </w:rPr>
        <w:t>4</w:t>
      </w:r>
      <w:r w:rsidR="004007BB">
        <w:rPr>
          <w:rFonts w:hint="eastAsia"/>
          <w:color w:val="auto"/>
        </w:rPr>
        <w:t>月出口可能向真实水平回落，同时</w:t>
      </w:r>
      <w:r w:rsidRPr="00C04724">
        <w:rPr>
          <w:rFonts w:hint="eastAsia"/>
          <w:color w:val="auto"/>
        </w:rPr>
        <w:t>大宗商品反弹将带动进口回升，贸易顺差可能缩窄。除此之外，</w:t>
      </w:r>
      <w:r w:rsidRPr="00C04724">
        <w:rPr>
          <w:rFonts w:hint="eastAsia"/>
          <w:color w:val="auto"/>
        </w:rPr>
        <w:t xml:space="preserve"> 3</w:t>
      </w:r>
      <w:r w:rsidRPr="00C04724">
        <w:rPr>
          <w:rFonts w:hint="eastAsia"/>
          <w:color w:val="auto"/>
        </w:rPr>
        <w:t>月</w:t>
      </w:r>
      <w:r w:rsidRPr="00C04724">
        <w:rPr>
          <w:rFonts w:hint="eastAsia"/>
          <w:color w:val="auto"/>
        </w:rPr>
        <w:t>CPI</w:t>
      </w:r>
      <w:r w:rsidRPr="00C04724">
        <w:rPr>
          <w:rFonts w:hint="eastAsia"/>
          <w:color w:val="auto"/>
        </w:rPr>
        <w:t>同比增速与上月持平于</w:t>
      </w:r>
      <w:r w:rsidRPr="00C04724">
        <w:rPr>
          <w:rFonts w:hint="eastAsia"/>
          <w:color w:val="auto"/>
        </w:rPr>
        <w:t>2.3%</w:t>
      </w:r>
      <w:r w:rsidRPr="00C04724">
        <w:rPr>
          <w:rFonts w:hint="eastAsia"/>
          <w:color w:val="auto"/>
        </w:rPr>
        <w:t>，而</w:t>
      </w:r>
      <w:r w:rsidRPr="00C04724">
        <w:rPr>
          <w:rFonts w:hint="eastAsia"/>
          <w:color w:val="auto"/>
        </w:rPr>
        <w:t>PPI</w:t>
      </w:r>
      <w:r w:rsidRPr="00C04724">
        <w:rPr>
          <w:rFonts w:hint="eastAsia"/>
          <w:color w:val="auto"/>
        </w:rPr>
        <w:t>同比降幅相比上月缩窄</w:t>
      </w:r>
      <w:r w:rsidRPr="00C04724">
        <w:rPr>
          <w:rFonts w:hint="eastAsia"/>
          <w:color w:val="auto"/>
        </w:rPr>
        <w:t>0.6%</w:t>
      </w:r>
      <w:r w:rsidRPr="00C04724">
        <w:rPr>
          <w:rFonts w:hint="eastAsia"/>
          <w:color w:val="auto"/>
        </w:rPr>
        <w:t>至</w:t>
      </w:r>
      <w:r w:rsidRPr="00C04724">
        <w:rPr>
          <w:rFonts w:hint="eastAsia"/>
          <w:color w:val="auto"/>
        </w:rPr>
        <w:t>4.3%</w:t>
      </w:r>
      <w:r w:rsidRPr="00C04724">
        <w:rPr>
          <w:rFonts w:hint="eastAsia"/>
          <w:color w:val="auto"/>
        </w:rPr>
        <w:t>，国金证券宏观小组认为随着食品进入正常调整阶段，</w:t>
      </w:r>
      <w:r w:rsidRPr="00C04724">
        <w:rPr>
          <w:rFonts w:hint="eastAsia"/>
          <w:color w:val="auto"/>
        </w:rPr>
        <w:t>4</w:t>
      </w:r>
      <w:r w:rsidRPr="00C04724">
        <w:rPr>
          <w:rFonts w:hint="eastAsia"/>
          <w:color w:val="auto"/>
        </w:rPr>
        <w:t>月</w:t>
      </w:r>
      <w:r w:rsidRPr="00C04724">
        <w:rPr>
          <w:rFonts w:hint="eastAsia"/>
          <w:color w:val="auto"/>
        </w:rPr>
        <w:t>CPI</w:t>
      </w:r>
      <w:r w:rsidRPr="00C04724">
        <w:rPr>
          <w:rFonts w:hint="eastAsia"/>
          <w:color w:val="auto"/>
        </w:rPr>
        <w:t>将呈现小幅上升并在二季度保持窄幅波动，一段时间内通胀将不再是主要矛盾。</w:t>
      </w:r>
    </w:p>
    <w:p w:rsidR="00C04724" w:rsidRPr="004007BB" w:rsidRDefault="00C04724" w:rsidP="004007BB">
      <w:pPr>
        <w:pStyle w:val="a0"/>
        <w:widowControl/>
        <w:numPr>
          <w:ilvl w:val="4"/>
          <w:numId w:val="3"/>
        </w:numPr>
        <w:rPr>
          <w:color w:val="auto"/>
        </w:rPr>
      </w:pPr>
      <w:r w:rsidRPr="00C04724">
        <w:rPr>
          <w:rFonts w:hint="eastAsia"/>
          <w:color w:val="auto"/>
        </w:rPr>
        <w:lastRenderedPageBreak/>
        <w:t>高频数据显示，</w:t>
      </w:r>
      <w:r w:rsidR="004007BB">
        <w:rPr>
          <w:rFonts w:hint="eastAsia"/>
          <w:color w:val="auto"/>
        </w:rPr>
        <w:t>4</w:t>
      </w:r>
      <w:r w:rsidR="004007BB">
        <w:rPr>
          <w:rFonts w:hint="eastAsia"/>
          <w:color w:val="auto"/>
        </w:rPr>
        <w:t>月工业增速及房地产销售有放缓迹象</w:t>
      </w:r>
      <w:r w:rsidRPr="00C04724">
        <w:rPr>
          <w:rFonts w:hint="eastAsia"/>
          <w:color w:val="auto"/>
        </w:rPr>
        <w:t>，短期需求刺激政策作用下经济改善持续性尚存疑问。截至</w:t>
      </w:r>
      <w:r w:rsidRPr="00C04724">
        <w:rPr>
          <w:rFonts w:hint="eastAsia"/>
          <w:color w:val="auto"/>
        </w:rPr>
        <w:t>4</w:t>
      </w:r>
      <w:r w:rsidRPr="00C04724">
        <w:rPr>
          <w:rFonts w:hint="eastAsia"/>
          <w:color w:val="auto"/>
        </w:rPr>
        <w:t>月</w:t>
      </w:r>
      <w:r w:rsidRPr="00C04724">
        <w:rPr>
          <w:rFonts w:hint="eastAsia"/>
          <w:color w:val="auto"/>
        </w:rPr>
        <w:t>25</w:t>
      </w:r>
      <w:r w:rsidRPr="00C04724">
        <w:rPr>
          <w:rFonts w:hint="eastAsia"/>
          <w:color w:val="auto"/>
        </w:rPr>
        <w:t>日，</w:t>
      </w:r>
      <w:r w:rsidRPr="00C04724">
        <w:rPr>
          <w:rFonts w:hint="eastAsia"/>
          <w:color w:val="auto"/>
        </w:rPr>
        <w:t>6</w:t>
      </w:r>
      <w:r w:rsidRPr="00C04724">
        <w:rPr>
          <w:rFonts w:hint="eastAsia"/>
          <w:color w:val="auto"/>
        </w:rPr>
        <w:t>大发电集团合计日均耗煤量</w:t>
      </w:r>
      <w:r w:rsidRPr="00C04724">
        <w:rPr>
          <w:rFonts w:hint="eastAsia"/>
          <w:color w:val="auto"/>
        </w:rPr>
        <w:t>55.74</w:t>
      </w:r>
      <w:r w:rsidRPr="00C04724">
        <w:rPr>
          <w:rFonts w:hint="eastAsia"/>
          <w:color w:val="auto"/>
        </w:rPr>
        <w:t>万吨，相比</w:t>
      </w:r>
      <w:r w:rsidRPr="00C04724">
        <w:rPr>
          <w:rFonts w:hint="eastAsia"/>
          <w:color w:val="auto"/>
        </w:rPr>
        <w:t>3</w:t>
      </w:r>
      <w:r w:rsidRPr="00C04724">
        <w:rPr>
          <w:rFonts w:hint="eastAsia"/>
          <w:color w:val="auto"/>
        </w:rPr>
        <w:t>月增幅不足</w:t>
      </w:r>
      <w:r w:rsidRPr="00C04724">
        <w:rPr>
          <w:rFonts w:hint="eastAsia"/>
          <w:color w:val="auto"/>
        </w:rPr>
        <w:t>1%</w:t>
      </w:r>
      <w:r w:rsidRPr="00C04724">
        <w:rPr>
          <w:rFonts w:hint="eastAsia"/>
          <w:color w:val="auto"/>
        </w:rPr>
        <w:t>，且同比下降</w:t>
      </w:r>
      <w:r w:rsidRPr="00C04724">
        <w:rPr>
          <w:rFonts w:hint="eastAsia"/>
          <w:color w:val="auto"/>
        </w:rPr>
        <w:t>7.38%</w:t>
      </w:r>
      <w:r w:rsidRPr="00C04724">
        <w:rPr>
          <w:rFonts w:hint="eastAsia"/>
          <w:color w:val="auto"/>
        </w:rPr>
        <w:t>，工业增速</w:t>
      </w:r>
      <w:r w:rsidR="00D12D7D">
        <w:rPr>
          <w:rFonts w:hint="eastAsia"/>
          <w:color w:val="auto"/>
        </w:rPr>
        <w:t>有放缓迹象</w:t>
      </w:r>
      <w:r w:rsidRPr="00C04724">
        <w:rPr>
          <w:rFonts w:hint="eastAsia"/>
          <w:color w:val="auto"/>
        </w:rPr>
        <w:t>。而由于此前楼市刺激政策边际递减且部分城市加强调控造成观望情绪升温，</w:t>
      </w:r>
      <w:r w:rsidRPr="00C04724">
        <w:rPr>
          <w:rFonts w:hint="eastAsia"/>
          <w:color w:val="auto"/>
        </w:rPr>
        <w:t>4</w:t>
      </w:r>
      <w:r w:rsidRPr="00C04724">
        <w:rPr>
          <w:rFonts w:hint="eastAsia"/>
          <w:color w:val="auto"/>
        </w:rPr>
        <w:t>月商品房销售已有所下滑。截至</w:t>
      </w:r>
      <w:r w:rsidRPr="00C04724">
        <w:rPr>
          <w:rFonts w:hint="eastAsia"/>
          <w:color w:val="auto"/>
        </w:rPr>
        <w:t>4</w:t>
      </w:r>
      <w:r w:rsidRPr="00C04724">
        <w:rPr>
          <w:rFonts w:hint="eastAsia"/>
          <w:color w:val="auto"/>
        </w:rPr>
        <w:t>月</w:t>
      </w:r>
      <w:r w:rsidRPr="00C04724">
        <w:rPr>
          <w:rFonts w:hint="eastAsia"/>
          <w:color w:val="auto"/>
        </w:rPr>
        <w:t>24</w:t>
      </w:r>
      <w:r w:rsidRPr="00C04724">
        <w:rPr>
          <w:rFonts w:hint="eastAsia"/>
          <w:color w:val="auto"/>
        </w:rPr>
        <w:t>日，</w:t>
      </w:r>
      <w:r w:rsidRPr="00C04724">
        <w:rPr>
          <w:rFonts w:hint="eastAsia"/>
          <w:color w:val="auto"/>
        </w:rPr>
        <w:t>30</w:t>
      </w:r>
      <w:r w:rsidRPr="00C04724">
        <w:rPr>
          <w:rFonts w:hint="eastAsia"/>
          <w:color w:val="auto"/>
        </w:rPr>
        <w:t>大中城市商品房成交面积相比上月减少</w:t>
      </w:r>
      <w:r w:rsidRPr="00C04724">
        <w:rPr>
          <w:rFonts w:hint="eastAsia"/>
          <w:color w:val="auto"/>
        </w:rPr>
        <w:t>9.19%</w:t>
      </w:r>
      <w:r w:rsidRPr="00C04724">
        <w:rPr>
          <w:rFonts w:hint="eastAsia"/>
          <w:color w:val="auto"/>
        </w:rPr>
        <w:t>，其中一二三线城市销售面积分别下降</w:t>
      </w:r>
      <w:r w:rsidRPr="00C04724">
        <w:rPr>
          <w:rFonts w:hint="eastAsia"/>
          <w:color w:val="auto"/>
        </w:rPr>
        <w:t>22.75%</w:t>
      </w:r>
      <w:r w:rsidRPr="00C04724">
        <w:rPr>
          <w:rFonts w:hint="eastAsia"/>
          <w:color w:val="auto"/>
        </w:rPr>
        <w:t>、</w:t>
      </w:r>
      <w:r w:rsidRPr="00C04724">
        <w:rPr>
          <w:rFonts w:hint="eastAsia"/>
          <w:color w:val="auto"/>
        </w:rPr>
        <w:t>3.33%</w:t>
      </w:r>
      <w:r w:rsidRPr="00C04724">
        <w:rPr>
          <w:rFonts w:hint="eastAsia"/>
          <w:color w:val="auto"/>
        </w:rPr>
        <w:t>和</w:t>
      </w:r>
      <w:r w:rsidRPr="00C04724">
        <w:rPr>
          <w:rFonts w:hint="eastAsia"/>
          <w:color w:val="auto"/>
        </w:rPr>
        <w:t>14.72%</w:t>
      </w:r>
      <w:r w:rsidRPr="00C04724">
        <w:rPr>
          <w:rFonts w:hint="eastAsia"/>
          <w:color w:val="auto"/>
        </w:rPr>
        <w:t>，一线城市销售下行显著且三线城市去库存压力仍旧较大。</w:t>
      </w:r>
      <w:r w:rsidR="004007BB">
        <w:rPr>
          <w:rFonts w:hint="eastAsia"/>
          <w:color w:val="auto"/>
        </w:rPr>
        <w:t>此外</w:t>
      </w:r>
      <w:r w:rsidRPr="00C04724">
        <w:rPr>
          <w:rFonts w:hint="eastAsia"/>
          <w:color w:val="auto"/>
        </w:rPr>
        <w:t>，从一季度固定资产投资结构来看，目前民间固定资产投资完成额同比增速及累计占比出现较大幅度下滑，民间资本挤出明显显示目前民间投资内生动力不足。</w:t>
      </w:r>
    </w:p>
    <w:tbl>
      <w:tblPr>
        <w:tblStyle w:val="GJStylesChartInsertDoubleCol"/>
        <w:tblW w:w="10771" w:type="dxa"/>
        <w:tblLayout w:type="fixed"/>
        <w:tblLook w:val="07E0" w:firstRow="1" w:lastRow="1" w:firstColumn="1" w:lastColumn="1" w:noHBand="1" w:noVBand="1"/>
      </w:tblPr>
      <w:tblGrid>
        <w:gridCol w:w="5273"/>
        <w:gridCol w:w="236"/>
        <w:gridCol w:w="5262"/>
      </w:tblGrid>
      <w:tr w:rsidR="000A7456" w:rsidTr="000A7456">
        <w:tc>
          <w:tcPr>
            <w:cnfStyle w:val="001000000000" w:firstRow="0" w:lastRow="0" w:firstColumn="1" w:lastColumn="0" w:oddVBand="0" w:evenVBand="0" w:oddHBand="0" w:evenHBand="0" w:firstRowFirstColumn="0" w:firstRowLastColumn="0" w:lastRowFirstColumn="0" w:lastRowLastColumn="0"/>
            <w:tcW w:w="5273" w:type="dxa"/>
          </w:tcPr>
          <w:p w:rsidR="000A7456" w:rsidRPr="000A7456" w:rsidRDefault="000A7456" w:rsidP="000A7456">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2</w:t>
            </w:r>
            <w:r>
              <w:fldChar w:fldCharType="end"/>
            </w:r>
            <w:r>
              <w:rPr>
                <w:rFonts w:hint="eastAsia"/>
              </w:rPr>
              <w:t>：</w:t>
            </w:r>
            <w:r>
              <w:rPr>
                <w:rFonts w:hint="eastAsia"/>
                <w:color w:val="auto"/>
              </w:rPr>
              <w:t>6</w:t>
            </w:r>
            <w:r>
              <w:rPr>
                <w:rFonts w:hint="eastAsia"/>
                <w:color w:val="auto"/>
              </w:rPr>
              <w:t>大发电集团日均耗煤量变动情况</w:t>
            </w:r>
          </w:p>
        </w:tc>
        <w:tc>
          <w:tcPr>
            <w:tcW w:w="236" w:type="dxa"/>
          </w:tcPr>
          <w:p w:rsidR="000A7456" w:rsidRDefault="000A7456" w:rsidP="000A7456">
            <w:pPr>
              <w:pStyle w:val="GJStylesGraphTitle"/>
              <w:cnfStyle w:val="000000000000" w:firstRow="0" w:lastRow="0" w:firstColumn="0" w:lastColumn="0" w:oddVBand="0" w:evenVBand="0" w:oddHBand="0" w:evenHBand="0" w:firstRowFirstColumn="0" w:firstRowLastColumn="0" w:lastRowFirstColumn="0" w:lastRowLastColumn="0"/>
              <w:rPr>
                <w:color w:val="FF0000"/>
              </w:rPr>
            </w:pPr>
          </w:p>
        </w:tc>
        <w:tc>
          <w:tcPr>
            <w:cnfStyle w:val="000100000000" w:firstRow="0" w:lastRow="0" w:firstColumn="0" w:lastColumn="1" w:oddVBand="0" w:evenVBand="0" w:oddHBand="0" w:evenHBand="0" w:firstRowFirstColumn="0" w:firstRowLastColumn="0" w:lastRowFirstColumn="0" w:lastRowLastColumn="0"/>
            <w:tcW w:w="5262" w:type="dxa"/>
          </w:tcPr>
          <w:p w:rsidR="000A7456" w:rsidRPr="000A7456" w:rsidRDefault="000A7456" w:rsidP="000A7456">
            <w:pPr>
              <w:pStyle w:val="GJStylesGraphTitle"/>
              <w:rPr>
                <w:color w:val="auto"/>
              </w:rPr>
            </w:pPr>
            <w:r w:rsidRPr="000A7456">
              <w:rPr>
                <w:rFonts w:hint="eastAsia"/>
                <w:color w:val="auto"/>
              </w:rPr>
              <w:t>图表</w:t>
            </w:r>
            <w:r w:rsidRPr="000A7456">
              <w:rPr>
                <w:color w:val="auto"/>
              </w:rPr>
              <w:fldChar w:fldCharType="begin"/>
            </w:r>
            <w:r w:rsidRPr="000A7456">
              <w:rPr>
                <w:color w:val="auto"/>
              </w:rPr>
              <w:instrText xml:space="preserve"> </w:instrText>
            </w:r>
            <w:r w:rsidRPr="000A7456">
              <w:rPr>
                <w:rFonts w:hint="eastAsia"/>
                <w:color w:val="auto"/>
              </w:rPr>
              <w:instrText xml:space="preserve">SEQ </w:instrText>
            </w:r>
            <w:r w:rsidRPr="000A7456">
              <w:rPr>
                <w:rFonts w:hint="eastAsia"/>
                <w:color w:val="auto"/>
              </w:rPr>
              <w:instrText>图表</w:instrText>
            </w:r>
            <w:r w:rsidRPr="000A7456">
              <w:rPr>
                <w:rFonts w:hint="eastAsia"/>
                <w:color w:val="auto"/>
              </w:rPr>
              <w:instrText xml:space="preserve"> \* ARABIC  \* MERGEFORMAT</w:instrText>
            </w:r>
            <w:r w:rsidRPr="000A7456">
              <w:rPr>
                <w:color w:val="auto"/>
              </w:rPr>
              <w:instrText xml:space="preserve"> </w:instrText>
            </w:r>
            <w:r w:rsidRPr="000A7456">
              <w:rPr>
                <w:color w:val="auto"/>
              </w:rPr>
              <w:fldChar w:fldCharType="separate"/>
            </w:r>
            <w:r w:rsidRPr="000A7456">
              <w:rPr>
                <w:noProof/>
                <w:color w:val="auto"/>
              </w:rPr>
              <w:t>3</w:t>
            </w:r>
            <w:r w:rsidRPr="000A7456">
              <w:rPr>
                <w:color w:val="auto"/>
              </w:rPr>
              <w:fldChar w:fldCharType="end"/>
            </w:r>
            <w:r w:rsidRPr="000A7456">
              <w:rPr>
                <w:rFonts w:hint="eastAsia"/>
                <w:color w:val="auto"/>
              </w:rPr>
              <w:t>：</w:t>
            </w:r>
            <w:r>
              <w:rPr>
                <w:rFonts w:hint="eastAsia"/>
                <w:color w:val="auto"/>
              </w:rPr>
              <w:t>30</w:t>
            </w:r>
            <w:r>
              <w:rPr>
                <w:rFonts w:hint="eastAsia"/>
                <w:color w:val="auto"/>
              </w:rPr>
              <w:t>大中城市商品房成交面积变动情况</w:t>
            </w:r>
          </w:p>
        </w:tc>
      </w:tr>
      <w:tr w:rsidR="000A7456" w:rsidTr="000A7456">
        <w:trPr>
          <w:trHeight w:val="3016"/>
        </w:trPr>
        <w:tc>
          <w:tcPr>
            <w:cnfStyle w:val="001000000000" w:firstRow="0" w:lastRow="0" w:firstColumn="1" w:lastColumn="0" w:oddVBand="0" w:evenVBand="0" w:oddHBand="0" w:evenHBand="0" w:firstRowFirstColumn="0" w:firstRowLastColumn="0" w:lastRowFirstColumn="0" w:lastRowLastColumn="0"/>
            <w:tcW w:w="5273" w:type="dxa"/>
          </w:tcPr>
          <w:p w:rsidR="000A7456" w:rsidRPr="000A7456" w:rsidRDefault="000A7456" w:rsidP="000A7456">
            <w:r>
              <w:rPr>
                <w:noProof/>
              </w:rPr>
              <w:drawing>
                <wp:inline distT="0" distB="0" distL="0" distR="0" wp14:anchorId="6D0B7049" wp14:editId="6ADF915C">
                  <wp:extent cx="3306470" cy="1987546"/>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6069" cy="1987305"/>
                          </a:xfrm>
                          <a:prstGeom prst="rect">
                            <a:avLst/>
                          </a:prstGeom>
                          <a:noFill/>
                        </pic:spPr>
                      </pic:pic>
                    </a:graphicData>
                  </a:graphic>
                </wp:inline>
              </w:drawing>
            </w:r>
          </w:p>
        </w:tc>
        <w:tc>
          <w:tcPr>
            <w:tcW w:w="236" w:type="dxa"/>
          </w:tcPr>
          <w:p w:rsidR="000A7456" w:rsidRDefault="000A7456" w:rsidP="000A7456">
            <w:pPr>
              <w:cnfStyle w:val="000000000000" w:firstRow="0" w:lastRow="0" w:firstColumn="0" w:lastColumn="0" w:oddVBand="0" w:evenVBand="0" w:oddHBand="0" w:evenHBand="0" w:firstRowFirstColumn="0" w:firstRowLastColumn="0" w:lastRowFirstColumn="0" w:lastRowLastColumn="0"/>
              <w:rPr>
                <w:color w:val="FF0000"/>
              </w:rPr>
            </w:pPr>
          </w:p>
        </w:tc>
        <w:tc>
          <w:tcPr>
            <w:cnfStyle w:val="000100000000" w:firstRow="0" w:lastRow="0" w:firstColumn="0" w:lastColumn="1" w:oddVBand="0" w:evenVBand="0" w:oddHBand="0" w:evenHBand="0" w:firstRowFirstColumn="0" w:firstRowLastColumn="0" w:lastRowFirstColumn="0" w:lastRowLastColumn="0"/>
            <w:tcW w:w="5262" w:type="dxa"/>
          </w:tcPr>
          <w:p w:rsidR="000A7456" w:rsidRPr="000A7456" w:rsidRDefault="000A7456" w:rsidP="000A7456">
            <w:r>
              <w:rPr>
                <w:noProof/>
              </w:rPr>
              <w:drawing>
                <wp:inline distT="0" distB="0" distL="0" distR="0" wp14:anchorId="1DD86565" wp14:editId="11B6879F">
                  <wp:extent cx="3291840" cy="1978751"/>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6529" cy="1981570"/>
                          </a:xfrm>
                          <a:prstGeom prst="rect">
                            <a:avLst/>
                          </a:prstGeom>
                          <a:noFill/>
                        </pic:spPr>
                      </pic:pic>
                    </a:graphicData>
                  </a:graphic>
                </wp:inline>
              </w:drawing>
            </w:r>
          </w:p>
        </w:tc>
      </w:tr>
      <w:tr w:rsidR="000A7456" w:rsidTr="000A7456">
        <w:tc>
          <w:tcPr>
            <w:tcW w:w="5273" w:type="dxa"/>
          </w:tcPr>
          <w:p w:rsidR="000A7456" w:rsidRDefault="000A7456" w:rsidP="000A745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注：数据截至</w:t>
            </w:r>
            <w:r>
              <w:rPr>
                <w:rFonts w:hint="eastAsia"/>
              </w:rPr>
              <w:t>2016</w:t>
            </w:r>
            <w:r>
              <w:rPr>
                <w:rFonts w:hint="eastAsia"/>
              </w:rPr>
              <w:t>年</w:t>
            </w:r>
            <w:r>
              <w:rPr>
                <w:rFonts w:hint="eastAsia"/>
              </w:rPr>
              <w:t>4</w:t>
            </w:r>
            <w:r>
              <w:rPr>
                <w:rFonts w:hint="eastAsia"/>
              </w:rPr>
              <w:t>月</w:t>
            </w:r>
            <w:r>
              <w:rPr>
                <w:rFonts w:hint="eastAsia"/>
              </w:rPr>
              <w:t>25</w:t>
            </w:r>
            <w:r>
              <w:rPr>
                <w:rFonts w:hint="eastAsia"/>
              </w:rPr>
              <w:t>日。</w:t>
            </w:r>
          </w:p>
          <w:p w:rsidR="000A7456" w:rsidRDefault="000A7456" w:rsidP="000A745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 xml:space="preserve">WIND </w:t>
            </w:r>
          </w:p>
        </w:tc>
        <w:tc>
          <w:tcPr>
            <w:tcW w:w="236" w:type="dxa"/>
          </w:tcPr>
          <w:p w:rsidR="000A7456" w:rsidRDefault="000A7456" w:rsidP="000A7456">
            <w:pPr>
              <w:pStyle w:val="GJStylesGraphSource"/>
            </w:pPr>
          </w:p>
        </w:tc>
        <w:tc>
          <w:tcPr>
            <w:tcW w:w="5262" w:type="dxa"/>
          </w:tcPr>
          <w:p w:rsidR="000A7456" w:rsidRDefault="000A7456" w:rsidP="000A745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注：</w:t>
            </w:r>
            <w:r>
              <w:rPr>
                <w:rFonts w:hint="eastAsia"/>
              </w:rPr>
              <w:t>1</w:t>
            </w:r>
            <w:r>
              <w:rPr>
                <w:rFonts w:hint="eastAsia"/>
              </w:rPr>
              <w:t>、数据截至</w:t>
            </w:r>
            <w:r>
              <w:rPr>
                <w:rFonts w:hint="eastAsia"/>
              </w:rPr>
              <w:t>2016</w:t>
            </w:r>
            <w:r>
              <w:rPr>
                <w:rFonts w:hint="eastAsia"/>
              </w:rPr>
              <w:t>年</w:t>
            </w:r>
            <w:r>
              <w:rPr>
                <w:rFonts w:hint="eastAsia"/>
              </w:rPr>
              <w:t>4</w:t>
            </w:r>
            <w:r>
              <w:rPr>
                <w:rFonts w:hint="eastAsia"/>
              </w:rPr>
              <w:t>月</w:t>
            </w:r>
            <w:r>
              <w:rPr>
                <w:rFonts w:hint="eastAsia"/>
              </w:rPr>
              <w:t>24</w:t>
            </w:r>
            <w:r>
              <w:rPr>
                <w:rFonts w:hint="eastAsia"/>
              </w:rPr>
              <w:t>日；</w:t>
            </w:r>
            <w:r>
              <w:rPr>
                <w:rFonts w:hint="eastAsia"/>
              </w:rPr>
              <w:t>2</w:t>
            </w:r>
            <w:r>
              <w:rPr>
                <w:rFonts w:hint="eastAsia"/>
              </w:rPr>
              <w:t>、单位：</w:t>
            </w:r>
            <w:proofErr w:type="gramStart"/>
            <w:r>
              <w:rPr>
                <w:rFonts w:hint="eastAsia"/>
              </w:rPr>
              <w:t>万平方米</w:t>
            </w:r>
            <w:proofErr w:type="gramEnd"/>
            <w:r>
              <w:rPr>
                <w:rFonts w:hint="eastAsia"/>
              </w:rPr>
              <w:t>。</w:t>
            </w:r>
          </w:p>
          <w:p w:rsidR="000A7456" w:rsidRDefault="000A7456" w:rsidP="000A745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sidR="00D12D7D">
              <w:rPr>
                <w:rFonts w:hint="eastAsia"/>
              </w:rPr>
              <w:t>，</w:t>
            </w:r>
            <w:r>
              <w:rPr>
                <w:rFonts w:hint="eastAsia"/>
              </w:rPr>
              <w:t>WIND</w:t>
            </w:r>
          </w:p>
        </w:tc>
      </w:tr>
    </w:tbl>
    <w:p w:rsidR="00C04724" w:rsidRPr="00C04724" w:rsidRDefault="00C04724" w:rsidP="00C04724">
      <w:pPr>
        <w:pStyle w:val="a0"/>
        <w:numPr>
          <w:ilvl w:val="0"/>
          <w:numId w:val="4"/>
        </w:numPr>
        <w:tabs>
          <w:tab w:val="clear" w:pos="4329"/>
        </w:tabs>
        <w:spacing w:line="240" w:lineRule="auto"/>
        <w:ind w:left="3402"/>
        <w:rPr>
          <w:rFonts w:ascii="楷体_GB2312"/>
          <w:b/>
          <w:color w:val="00B0F0"/>
        </w:rPr>
      </w:pPr>
      <w:r w:rsidRPr="00C04724">
        <w:rPr>
          <w:rFonts w:ascii="楷体_GB2312" w:hint="eastAsia"/>
          <w:b/>
          <w:color w:val="00B0F0"/>
        </w:rPr>
        <w:t>资金面：政策强调短期灵活性，资金面</w:t>
      </w:r>
      <w:r w:rsidR="00D12D7D">
        <w:rPr>
          <w:rFonts w:ascii="楷体_GB2312" w:hint="eastAsia"/>
          <w:b/>
          <w:color w:val="00B0F0"/>
        </w:rPr>
        <w:t>维持</w:t>
      </w:r>
      <w:r w:rsidRPr="00C04724">
        <w:rPr>
          <w:rFonts w:ascii="楷体_GB2312" w:hint="eastAsia"/>
          <w:b/>
          <w:color w:val="00B0F0"/>
        </w:rPr>
        <w:t>适度宽松</w:t>
      </w:r>
    </w:p>
    <w:p w:rsidR="00C04724" w:rsidRPr="00C04724" w:rsidRDefault="00C04724" w:rsidP="00C04724">
      <w:pPr>
        <w:pStyle w:val="a0"/>
        <w:widowControl/>
        <w:numPr>
          <w:ilvl w:val="4"/>
          <w:numId w:val="3"/>
        </w:numPr>
        <w:rPr>
          <w:color w:val="auto"/>
        </w:rPr>
      </w:pPr>
      <w:r w:rsidRPr="00C04724">
        <w:rPr>
          <w:rFonts w:hint="eastAsia"/>
          <w:color w:val="auto"/>
        </w:rPr>
        <w:t>3</w:t>
      </w:r>
      <w:r w:rsidRPr="00C04724">
        <w:rPr>
          <w:rFonts w:hint="eastAsia"/>
          <w:color w:val="auto"/>
        </w:rPr>
        <w:t>月金融数据显示，当月央行口径外汇占款余额环比降幅持续缩窄，社会融资量及人民币贷款大幅增长，货币供给量继续保持高位。具体来看，</w:t>
      </w:r>
      <w:r w:rsidRPr="00C04724">
        <w:rPr>
          <w:rFonts w:hint="eastAsia"/>
          <w:color w:val="auto"/>
        </w:rPr>
        <w:t>3</w:t>
      </w:r>
      <w:r w:rsidRPr="00C04724">
        <w:rPr>
          <w:rFonts w:hint="eastAsia"/>
          <w:color w:val="auto"/>
        </w:rPr>
        <w:t>月央行口径外汇占款余额环比减少</w:t>
      </w:r>
      <w:r w:rsidRPr="00C04724">
        <w:rPr>
          <w:rFonts w:hint="eastAsia"/>
          <w:color w:val="auto"/>
        </w:rPr>
        <w:t>1447.61</w:t>
      </w:r>
      <w:r w:rsidRPr="00C04724">
        <w:rPr>
          <w:rFonts w:hint="eastAsia"/>
          <w:color w:val="auto"/>
        </w:rPr>
        <w:t>亿元至</w:t>
      </w:r>
      <w:r w:rsidRPr="00C04724">
        <w:rPr>
          <w:rFonts w:hint="eastAsia"/>
          <w:color w:val="auto"/>
        </w:rPr>
        <w:t>23.84</w:t>
      </w:r>
      <w:proofErr w:type="gramStart"/>
      <w:r w:rsidRPr="00C04724">
        <w:rPr>
          <w:rFonts w:hint="eastAsia"/>
          <w:color w:val="auto"/>
        </w:rPr>
        <w:t>万亿</w:t>
      </w:r>
      <w:proofErr w:type="gramEnd"/>
      <w:r w:rsidRPr="00C04724">
        <w:rPr>
          <w:rFonts w:hint="eastAsia"/>
          <w:color w:val="auto"/>
        </w:rPr>
        <w:t>元，降幅相比上月缩窄约</w:t>
      </w:r>
      <w:r w:rsidRPr="00C04724">
        <w:rPr>
          <w:rFonts w:hint="eastAsia"/>
          <w:color w:val="auto"/>
        </w:rPr>
        <w:t>831</w:t>
      </w:r>
      <w:r w:rsidRPr="00C04724">
        <w:rPr>
          <w:rFonts w:hint="eastAsia"/>
          <w:color w:val="auto"/>
        </w:rPr>
        <w:t>亿元，央行口径外汇占款余额已连续</w:t>
      </w:r>
      <w:r w:rsidRPr="00C04724">
        <w:rPr>
          <w:rFonts w:hint="eastAsia"/>
          <w:color w:val="auto"/>
        </w:rPr>
        <w:t>4</w:t>
      </w:r>
      <w:r w:rsidRPr="00C04724">
        <w:rPr>
          <w:rFonts w:hint="eastAsia"/>
          <w:color w:val="auto"/>
        </w:rPr>
        <w:t>个月缩窄，资本外流局势有所改善。与此同时，继上月社会融资额及人民币贷款季节性回落之后，</w:t>
      </w:r>
      <w:r w:rsidRPr="00C04724">
        <w:rPr>
          <w:rFonts w:hint="eastAsia"/>
          <w:color w:val="auto"/>
        </w:rPr>
        <w:t>3</w:t>
      </w:r>
      <w:r w:rsidRPr="00C04724">
        <w:rPr>
          <w:rFonts w:hint="eastAsia"/>
          <w:color w:val="auto"/>
        </w:rPr>
        <w:t>月社会融资额相比</w:t>
      </w:r>
      <w:r w:rsidRPr="00C04724">
        <w:rPr>
          <w:rFonts w:hint="eastAsia"/>
          <w:color w:val="auto"/>
        </w:rPr>
        <w:t>2</w:t>
      </w:r>
      <w:r w:rsidRPr="00C04724">
        <w:rPr>
          <w:rFonts w:hint="eastAsia"/>
          <w:color w:val="auto"/>
        </w:rPr>
        <w:t>月大幅回升</w:t>
      </w:r>
      <w:r w:rsidRPr="00C04724">
        <w:rPr>
          <w:rFonts w:hint="eastAsia"/>
          <w:color w:val="auto"/>
        </w:rPr>
        <w:t>1.51</w:t>
      </w:r>
      <w:proofErr w:type="gramStart"/>
      <w:r w:rsidRPr="00C04724">
        <w:rPr>
          <w:rFonts w:hint="eastAsia"/>
          <w:color w:val="auto"/>
        </w:rPr>
        <w:t>万亿</w:t>
      </w:r>
      <w:proofErr w:type="gramEnd"/>
      <w:r w:rsidRPr="00C04724">
        <w:rPr>
          <w:rFonts w:hint="eastAsia"/>
          <w:color w:val="auto"/>
        </w:rPr>
        <w:t>元至</w:t>
      </w:r>
      <w:r w:rsidRPr="00C04724">
        <w:rPr>
          <w:rFonts w:hint="eastAsia"/>
          <w:color w:val="auto"/>
        </w:rPr>
        <w:t>2.34</w:t>
      </w:r>
      <w:proofErr w:type="gramStart"/>
      <w:r w:rsidRPr="00C04724">
        <w:rPr>
          <w:rFonts w:hint="eastAsia"/>
          <w:color w:val="auto"/>
        </w:rPr>
        <w:t>万亿</w:t>
      </w:r>
      <w:proofErr w:type="gramEnd"/>
      <w:r w:rsidRPr="00C04724">
        <w:rPr>
          <w:rFonts w:hint="eastAsia"/>
          <w:color w:val="auto"/>
        </w:rPr>
        <w:t>元，金融机构新增人民币贷款增长</w:t>
      </w:r>
      <w:r w:rsidRPr="00C04724">
        <w:rPr>
          <w:rFonts w:hint="eastAsia"/>
          <w:color w:val="auto"/>
        </w:rPr>
        <w:t>6434</w:t>
      </w:r>
      <w:r w:rsidRPr="00C04724">
        <w:rPr>
          <w:rFonts w:hint="eastAsia"/>
          <w:color w:val="auto"/>
        </w:rPr>
        <w:t>亿元至</w:t>
      </w:r>
      <w:r w:rsidRPr="00C04724">
        <w:rPr>
          <w:rFonts w:hint="eastAsia"/>
          <w:color w:val="auto"/>
        </w:rPr>
        <w:t>1.37</w:t>
      </w:r>
      <w:proofErr w:type="gramStart"/>
      <w:r w:rsidR="004007BB">
        <w:rPr>
          <w:rFonts w:hint="eastAsia"/>
          <w:color w:val="auto"/>
        </w:rPr>
        <w:t>万亿</w:t>
      </w:r>
      <w:proofErr w:type="gramEnd"/>
      <w:r w:rsidR="004007BB">
        <w:rPr>
          <w:rFonts w:hint="eastAsia"/>
          <w:color w:val="auto"/>
        </w:rPr>
        <w:t>元</w:t>
      </w:r>
      <w:r w:rsidR="00D12D7D">
        <w:rPr>
          <w:rFonts w:hint="eastAsia"/>
          <w:color w:val="auto"/>
        </w:rPr>
        <w:t>。</w:t>
      </w:r>
      <w:r w:rsidR="004007BB">
        <w:rPr>
          <w:rFonts w:hint="eastAsia"/>
          <w:color w:val="auto"/>
        </w:rPr>
        <w:t>尽管</w:t>
      </w:r>
      <w:r w:rsidRPr="00C04724">
        <w:rPr>
          <w:rFonts w:hint="eastAsia"/>
          <w:color w:val="auto"/>
        </w:rPr>
        <w:t>两项指标显著回升后仍然低于</w:t>
      </w:r>
      <w:r w:rsidRPr="00C04724">
        <w:rPr>
          <w:rFonts w:hint="eastAsia"/>
          <w:color w:val="auto"/>
        </w:rPr>
        <w:t>1</w:t>
      </w:r>
      <w:r w:rsidRPr="00C04724">
        <w:rPr>
          <w:rFonts w:hint="eastAsia"/>
          <w:color w:val="auto"/>
        </w:rPr>
        <w:t>月水平</w:t>
      </w:r>
      <w:r w:rsidR="00D12D7D">
        <w:rPr>
          <w:rFonts w:hint="eastAsia"/>
          <w:color w:val="auto"/>
        </w:rPr>
        <w:t>，</w:t>
      </w:r>
      <w:r w:rsidRPr="00C04724">
        <w:rPr>
          <w:rFonts w:hint="eastAsia"/>
          <w:color w:val="auto"/>
        </w:rPr>
        <w:t>但整体</w:t>
      </w:r>
      <w:r w:rsidR="00D12D7D">
        <w:rPr>
          <w:rFonts w:hint="eastAsia"/>
          <w:color w:val="auto"/>
        </w:rPr>
        <w:t>水平</w:t>
      </w:r>
      <w:r w:rsidRPr="00C04724">
        <w:rPr>
          <w:rFonts w:hint="eastAsia"/>
          <w:color w:val="auto"/>
        </w:rPr>
        <w:t>处于历史高位。货币供给方面，</w:t>
      </w:r>
      <w:r w:rsidRPr="00C04724">
        <w:rPr>
          <w:rFonts w:hint="eastAsia"/>
          <w:color w:val="auto"/>
        </w:rPr>
        <w:t>3</w:t>
      </w:r>
      <w:r w:rsidRPr="00C04724">
        <w:rPr>
          <w:rFonts w:hint="eastAsia"/>
          <w:color w:val="auto"/>
        </w:rPr>
        <w:t>月</w:t>
      </w:r>
      <w:r w:rsidRPr="00C04724">
        <w:rPr>
          <w:rFonts w:hint="eastAsia"/>
          <w:color w:val="auto"/>
        </w:rPr>
        <w:t>M2</w:t>
      </w:r>
      <w:r w:rsidRPr="00C04724">
        <w:rPr>
          <w:rFonts w:hint="eastAsia"/>
          <w:color w:val="auto"/>
        </w:rPr>
        <w:t>同比增速</w:t>
      </w:r>
      <w:r w:rsidRPr="00C04724">
        <w:rPr>
          <w:rFonts w:hint="eastAsia"/>
          <w:color w:val="auto"/>
        </w:rPr>
        <w:t>13.4%</w:t>
      </w:r>
      <w:r w:rsidRPr="00C04724">
        <w:rPr>
          <w:rFonts w:hint="eastAsia"/>
          <w:color w:val="auto"/>
        </w:rPr>
        <w:t>（前值</w:t>
      </w:r>
      <w:r w:rsidRPr="00C04724">
        <w:rPr>
          <w:rFonts w:hint="eastAsia"/>
          <w:color w:val="auto"/>
        </w:rPr>
        <w:t>13.3%</w:t>
      </w:r>
      <w:r w:rsidRPr="00C04724">
        <w:rPr>
          <w:rFonts w:hint="eastAsia"/>
          <w:color w:val="auto"/>
        </w:rPr>
        <w:t>），仍高于今年货币供给增速目标水平。</w:t>
      </w:r>
    </w:p>
    <w:tbl>
      <w:tblPr>
        <w:tblStyle w:val="GJStylesChartInsertDoubleCol"/>
        <w:tblW w:w="10771" w:type="dxa"/>
        <w:tblLayout w:type="fixed"/>
        <w:tblLook w:val="07E0" w:firstRow="1" w:lastRow="1" w:firstColumn="1" w:lastColumn="1" w:noHBand="1" w:noVBand="1"/>
      </w:tblPr>
      <w:tblGrid>
        <w:gridCol w:w="5273"/>
        <w:gridCol w:w="236"/>
        <w:gridCol w:w="5262"/>
      </w:tblGrid>
      <w:tr w:rsidR="000A7456" w:rsidTr="000A7456">
        <w:tc>
          <w:tcPr>
            <w:cnfStyle w:val="001000000000" w:firstRow="0" w:lastRow="0" w:firstColumn="1" w:lastColumn="0" w:oddVBand="0" w:evenVBand="0" w:oddHBand="0" w:evenHBand="0" w:firstRowFirstColumn="0" w:firstRowLastColumn="0" w:lastRowFirstColumn="0" w:lastRowLastColumn="0"/>
            <w:tcW w:w="5273" w:type="dxa"/>
          </w:tcPr>
          <w:p w:rsidR="000A7456" w:rsidRPr="000A7456" w:rsidRDefault="000A7456" w:rsidP="000A7456">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4</w:t>
            </w:r>
            <w:r>
              <w:fldChar w:fldCharType="end"/>
            </w:r>
            <w:r>
              <w:rPr>
                <w:rFonts w:hint="eastAsia"/>
              </w:rPr>
              <w:t>：央行口径外汇占款月度变动情况</w:t>
            </w:r>
          </w:p>
        </w:tc>
        <w:tc>
          <w:tcPr>
            <w:tcW w:w="236" w:type="dxa"/>
          </w:tcPr>
          <w:p w:rsidR="000A7456" w:rsidRDefault="000A7456" w:rsidP="000A7456">
            <w:pPr>
              <w:pStyle w:val="GJStylesGraphTitle"/>
              <w:cnfStyle w:val="000000000000" w:firstRow="0" w:lastRow="0" w:firstColumn="0" w:lastColumn="0" w:oddVBand="0" w:evenVBand="0" w:oddHBand="0" w:evenHBand="0" w:firstRowFirstColumn="0" w:firstRowLastColumn="0" w:lastRowFirstColumn="0" w:lastRowLastColumn="0"/>
              <w:rPr>
                <w:color w:val="FF0000"/>
              </w:rPr>
            </w:pPr>
          </w:p>
        </w:tc>
        <w:tc>
          <w:tcPr>
            <w:cnfStyle w:val="000100000000" w:firstRow="0" w:lastRow="0" w:firstColumn="0" w:lastColumn="1" w:oddVBand="0" w:evenVBand="0" w:oddHBand="0" w:evenHBand="0" w:firstRowFirstColumn="0" w:firstRowLastColumn="0" w:lastRowFirstColumn="0" w:lastRowLastColumn="0"/>
            <w:tcW w:w="5262" w:type="dxa"/>
          </w:tcPr>
          <w:p w:rsidR="000A7456" w:rsidRDefault="000A7456" w:rsidP="000A7456">
            <w:pPr>
              <w:pStyle w:val="GJStylesGraphTitle"/>
              <w:rPr>
                <w:color w:val="FF0000"/>
              </w:rPr>
            </w:pPr>
            <w:r w:rsidRPr="000A7456">
              <w:rPr>
                <w:rFonts w:hint="eastAsia"/>
                <w:color w:val="auto"/>
              </w:rPr>
              <w:t>图表</w:t>
            </w:r>
            <w:r w:rsidRPr="000A7456">
              <w:rPr>
                <w:color w:val="auto"/>
              </w:rPr>
              <w:fldChar w:fldCharType="begin"/>
            </w:r>
            <w:r w:rsidRPr="000A7456">
              <w:rPr>
                <w:color w:val="auto"/>
              </w:rPr>
              <w:instrText xml:space="preserve"> </w:instrText>
            </w:r>
            <w:r w:rsidRPr="000A7456">
              <w:rPr>
                <w:rFonts w:hint="eastAsia"/>
                <w:color w:val="auto"/>
              </w:rPr>
              <w:instrText xml:space="preserve">SEQ </w:instrText>
            </w:r>
            <w:r w:rsidRPr="000A7456">
              <w:rPr>
                <w:rFonts w:hint="eastAsia"/>
                <w:color w:val="auto"/>
              </w:rPr>
              <w:instrText>图表</w:instrText>
            </w:r>
            <w:r w:rsidRPr="000A7456">
              <w:rPr>
                <w:rFonts w:hint="eastAsia"/>
                <w:color w:val="auto"/>
              </w:rPr>
              <w:instrText xml:space="preserve"> \* ARABIC  \* MERGEFORMAT</w:instrText>
            </w:r>
            <w:r w:rsidRPr="000A7456">
              <w:rPr>
                <w:color w:val="auto"/>
              </w:rPr>
              <w:instrText xml:space="preserve"> </w:instrText>
            </w:r>
            <w:r w:rsidRPr="000A7456">
              <w:rPr>
                <w:color w:val="auto"/>
              </w:rPr>
              <w:fldChar w:fldCharType="separate"/>
            </w:r>
            <w:r w:rsidRPr="000A7456">
              <w:rPr>
                <w:noProof/>
                <w:color w:val="auto"/>
              </w:rPr>
              <w:t>5</w:t>
            </w:r>
            <w:r w:rsidRPr="000A7456">
              <w:rPr>
                <w:color w:val="auto"/>
              </w:rPr>
              <w:fldChar w:fldCharType="end"/>
            </w:r>
            <w:r w:rsidRPr="000A7456">
              <w:rPr>
                <w:rFonts w:hint="eastAsia"/>
                <w:color w:val="auto"/>
              </w:rPr>
              <w:t>：货币供给</w:t>
            </w:r>
            <w:r>
              <w:rPr>
                <w:rFonts w:hint="eastAsia"/>
              </w:rPr>
              <w:t>增速及社会融资量月度变动情况</w:t>
            </w:r>
          </w:p>
        </w:tc>
      </w:tr>
      <w:tr w:rsidR="000A7456" w:rsidTr="000A7456">
        <w:trPr>
          <w:trHeight w:val="3016"/>
        </w:trPr>
        <w:tc>
          <w:tcPr>
            <w:cnfStyle w:val="001000000000" w:firstRow="0" w:lastRow="0" w:firstColumn="1" w:lastColumn="0" w:oddVBand="0" w:evenVBand="0" w:oddHBand="0" w:evenHBand="0" w:firstRowFirstColumn="0" w:firstRowLastColumn="0" w:lastRowFirstColumn="0" w:lastRowLastColumn="0"/>
            <w:tcW w:w="5273" w:type="dxa"/>
          </w:tcPr>
          <w:p w:rsidR="000A7456" w:rsidRPr="000A7456" w:rsidRDefault="000A7456" w:rsidP="000A7456">
            <w:r>
              <w:rPr>
                <w:noProof/>
              </w:rPr>
              <w:drawing>
                <wp:inline distT="0" distB="0" distL="0" distR="0" wp14:anchorId="7B454387">
                  <wp:extent cx="3357677" cy="2048256"/>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0283" cy="2049846"/>
                          </a:xfrm>
                          <a:prstGeom prst="rect">
                            <a:avLst/>
                          </a:prstGeom>
                          <a:noFill/>
                        </pic:spPr>
                      </pic:pic>
                    </a:graphicData>
                  </a:graphic>
                </wp:inline>
              </w:drawing>
            </w:r>
          </w:p>
        </w:tc>
        <w:tc>
          <w:tcPr>
            <w:tcW w:w="236" w:type="dxa"/>
          </w:tcPr>
          <w:p w:rsidR="000A7456" w:rsidRDefault="000A7456" w:rsidP="000A7456">
            <w:pPr>
              <w:pStyle w:val="af3"/>
              <w:ind w:firstLineChars="0" w:firstLine="0"/>
              <w:cnfStyle w:val="000000000000" w:firstRow="0" w:lastRow="0" w:firstColumn="0" w:lastColumn="0" w:oddVBand="0" w:evenVBand="0" w:oddHBand="0" w:evenHBand="0" w:firstRowFirstColumn="0" w:firstRowLastColumn="0" w:lastRowFirstColumn="0" w:lastRowLastColumn="0"/>
              <w:rPr>
                <w:color w:val="FF0000"/>
              </w:rPr>
            </w:pPr>
          </w:p>
        </w:tc>
        <w:tc>
          <w:tcPr>
            <w:cnfStyle w:val="000100000000" w:firstRow="0" w:lastRow="0" w:firstColumn="0" w:lastColumn="1" w:oddVBand="0" w:evenVBand="0" w:oddHBand="0" w:evenHBand="0" w:firstRowFirstColumn="0" w:firstRowLastColumn="0" w:lastRowFirstColumn="0" w:lastRowLastColumn="0"/>
            <w:tcW w:w="5262" w:type="dxa"/>
          </w:tcPr>
          <w:p w:rsidR="000A7456" w:rsidRPr="000A7456" w:rsidRDefault="000A7456" w:rsidP="000A7456">
            <w:r>
              <w:rPr>
                <w:noProof/>
              </w:rPr>
              <w:drawing>
                <wp:inline distT="0" distB="0" distL="0" distR="0" wp14:anchorId="015696EA">
                  <wp:extent cx="3291840" cy="2046139"/>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94377" cy="2047716"/>
                          </a:xfrm>
                          <a:prstGeom prst="rect">
                            <a:avLst/>
                          </a:prstGeom>
                          <a:noFill/>
                        </pic:spPr>
                      </pic:pic>
                    </a:graphicData>
                  </a:graphic>
                </wp:inline>
              </w:drawing>
            </w:r>
          </w:p>
        </w:tc>
      </w:tr>
      <w:tr w:rsidR="000A7456" w:rsidTr="000A7456">
        <w:tc>
          <w:tcPr>
            <w:tcW w:w="5273" w:type="dxa"/>
          </w:tcPr>
          <w:p w:rsidR="000A7456" w:rsidRDefault="000A7456" w:rsidP="000A745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注：数据截至</w:t>
            </w:r>
            <w:r>
              <w:rPr>
                <w:rFonts w:hint="eastAsia"/>
              </w:rPr>
              <w:t>2016</w:t>
            </w:r>
            <w:r>
              <w:rPr>
                <w:rFonts w:hint="eastAsia"/>
              </w:rPr>
              <w:t>年</w:t>
            </w:r>
            <w:r>
              <w:rPr>
                <w:rFonts w:hint="eastAsia"/>
              </w:rPr>
              <w:t>3</w:t>
            </w:r>
            <w:r>
              <w:rPr>
                <w:rFonts w:hint="eastAsia"/>
              </w:rPr>
              <w:t>月。</w:t>
            </w:r>
          </w:p>
          <w:p w:rsidR="000A7456" w:rsidRDefault="000A7456" w:rsidP="000A745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WIND</w:t>
            </w:r>
          </w:p>
        </w:tc>
        <w:tc>
          <w:tcPr>
            <w:tcW w:w="236" w:type="dxa"/>
          </w:tcPr>
          <w:p w:rsidR="000A7456" w:rsidRDefault="000A7456" w:rsidP="000A7456">
            <w:pPr>
              <w:pStyle w:val="GJStylesGraphSource"/>
            </w:pPr>
          </w:p>
        </w:tc>
        <w:tc>
          <w:tcPr>
            <w:tcW w:w="5262" w:type="dxa"/>
          </w:tcPr>
          <w:p w:rsidR="000A7456" w:rsidRDefault="000A7456" w:rsidP="000A745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注：数据截至</w:t>
            </w:r>
            <w:r>
              <w:rPr>
                <w:rFonts w:hint="eastAsia"/>
              </w:rPr>
              <w:t>2016</w:t>
            </w:r>
            <w:r>
              <w:rPr>
                <w:rFonts w:hint="eastAsia"/>
              </w:rPr>
              <w:t>年</w:t>
            </w:r>
            <w:r>
              <w:rPr>
                <w:rFonts w:hint="eastAsia"/>
              </w:rPr>
              <w:t>3</w:t>
            </w:r>
            <w:r>
              <w:rPr>
                <w:rFonts w:hint="eastAsia"/>
              </w:rPr>
              <w:t>月。</w:t>
            </w:r>
          </w:p>
          <w:p w:rsidR="000A7456" w:rsidRDefault="000A7456" w:rsidP="000A745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Pr>
                <w:rFonts w:hint="eastAsia"/>
              </w:rPr>
              <w:t>WIND</w:t>
            </w:r>
            <w:r>
              <w:t xml:space="preserve"> </w:t>
            </w:r>
          </w:p>
        </w:tc>
      </w:tr>
    </w:tbl>
    <w:p w:rsidR="00C04724" w:rsidRDefault="00C04724" w:rsidP="00C04724">
      <w:pPr>
        <w:pStyle w:val="a0"/>
        <w:widowControl/>
        <w:numPr>
          <w:ilvl w:val="4"/>
          <w:numId w:val="3"/>
        </w:numPr>
        <w:rPr>
          <w:color w:val="auto"/>
        </w:rPr>
      </w:pPr>
      <w:r w:rsidRPr="00C04724">
        <w:rPr>
          <w:rFonts w:hint="eastAsia"/>
          <w:color w:val="auto"/>
        </w:rPr>
        <w:lastRenderedPageBreak/>
        <w:t>随着美国就业超预期改善，</w:t>
      </w:r>
      <w:r w:rsidRPr="00C04724">
        <w:rPr>
          <w:rFonts w:hint="eastAsia"/>
          <w:color w:val="auto"/>
        </w:rPr>
        <w:t>4</w:t>
      </w:r>
      <w:r w:rsidRPr="00C04724">
        <w:rPr>
          <w:rFonts w:hint="eastAsia"/>
          <w:color w:val="auto"/>
        </w:rPr>
        <w:t>月美元指数呈现小幅波动，</w:t>
      </w:r>
      <w:r w:rsidR="00D12D7D">
        <w:rPr>
          <w:rFonts w:hint="eastAsia"/>
          <w:color w:val="auto"/>
        </w:rPr>
        <w:t>且由于当月</w:t>
      </w:r>
      <w:r w:rsidR="00D12D7D">
        <w:rPr>
          <w:rFonts w:hint="eastAsia"/>
          <w:color w:val="auto"/>
        </w:rPr>
        <w:t>FOMC</w:t>
      </w:r>
      <w:r w:rsidR="00D12D7D">
        <w:rPr>
          <w:rFonts w:hint="eastAsia"/>
          <w:color w:val="auto"/>
        </w:rPr>
        <w:t>议息会议</w:t>
      </w:r>
      <w:proofErr w:type="gramStart"/>
      <w:r w:rsidR="00D12D7D">
        <w:rPr>
          <w:rFonts w:hint="eastAsia"/>
          <w:color w:val="auto"/>
        </w:rPr>
        <w:t>不加息决议</w:t>
      </w:r>
      <w:proofErr w:type="gramEnd"/>
      <w:r w:rsidR="00D12D7D">
        <w:rPr>
          <w:rFonts w:hint="eastAsia"/>
          <w:color w:val="auto"/>
        </w:rPr>
        <w:t>符合市场预期，目前美元兑人民</w:t>
      </w:r>
      <w:proofErr w:type="gramStart"/>
      <w:r w:rsidR="00D12D7D">
        <w:rPr>
          <w:rFonts w:hint="eastAsia"/>
          <w:color w:val="auto"/>
        </w:rPr>
        <w:t>双边汇率</w:t>
      </w:r>
      <w:proofErr w:type="gramEnd"/>
      <w:r w:rsidR="00D12D7D">
        <w:rPr>
          <w:rFonts w:hint="eastAsia"/>
          <w:color w:val="auto"/>
        </w:rPr>
        <w:t>较为稳定。</w:t>
      </w:r>
      <w:r w:rsidRPr="00C04724">
        <w:rPr>
          <w:rFonts w:hint="eastAsia"/>
          <w:color w:val="auto"/>
        </w:rPr>
        <w:t>截至</w:t>
      </w:r>
      <w:r w:rsidRPr="00C04724">
        <w:rPr>
          <w:rFonts w:hint="eastAsia"/>
          <w:color w:val="auto"/>
        </w:rPr>
        <w:t>4</w:t>
      </w:r>
      <w:r w:rsidRPr="00C04724">
        <w:rPr>
          <w:rFonts w:hint="eastAsia"/>
          <w:color w:val="auto"/>
        </w:rPr>
        <w:t>月</w:t>
      </w:r>
      <w:r w:rsidRPr="00C04724">
        <w:rPr>
          <w:rFonts w:hint="eastAsia"/>
          <w:color w:val="auto"/>
        </w:rPr>
        <w:t>25</w:t>
      </w:r>
      <w:r w:rsidRPr="00C04724">
        <w:rPr>
          <w:rFonts w:hint="eastAsia"/>
          <w:color w:val="auto"/>
        </w:rPr>
        <w:t>日，美元指数累计小幅升值</w:t>
      </w:r>
      <w:r w:rsidRPr="00C04724">
        <w:rPr>
          <w:rFonts w:hint="eastAsia"/>
          <w:color w:val="auto"/>
        </w:rPr>
        <w:t>0.14%</w:t>
      </w:r>
      <w:r w:rsidRPr="00C04724">
        <w:rPr>
          <w:rFonts w:hint="eastAsia"/>
          <w:color w:val="auto"/>
        </w:rPr>
        <w:t>。美元指数小</w:t>
      </w:r>
      <w:r w:rsidR="004007BB">
        <w:rPr>
          <w:rFonts w:hint="eastAsia"/>
          <w:color w:val="auto"/>
        </w:rPr>
        <w:t>幅反弹之下，人民币兑美元</w:t>
      </w:r>
      <w:r w:rsidRPr="00C04724">
        <w:rPr>
          <w:rFonts w:hint="eastAsia"/>
          <w:color w:val="auto"/>
        </w:rPr>
        <w:t>利率仍维持双边震荡行情，当月整体小幅贬值。截至</w:t>
      </w:r>
      <w:r w:rsidRPr="00C04724">
        <w:rPr>
          <w:rFonts w:hint="eastAsia"/>
          <w:color w:val="auto"/>
        </w:rPr>
        <w:t>25</w:t>
      </w:r>
      <w:r w:rsidRPr="00C04724">
        <w:rPr>
          <w:rFonts w:hint="eastAsia"/>
          <w:color w:val="auto"/>
        </w:rPr>
        <w:t>日，人民币在岸即期汇率中间价、离岸即期汇率分别小幅贬值</w:t>
      </w:r>
      <w:r w:rsidRPr="00C04724">
        <w:rPr>
          <w:rFonts w:hint="eastAsia"/>
          <w:color w:val="auto"/>
        </w:rPr>
        <w:t>5BP</w:t>
      </w:r>
      <w:r w:rsidRPr="00C04724">
        <w:rPr>
          <w:rFonts w:hint="eastAsia"/>
          <w:color w:val="auto"/>
        </w:rPr>
        <w:t>和</w:t>
      </w:r>
      <w:r w:rsidRPr="00C04724">
        <w:rPr>
          <w:rFonts w:hint="eastAsia"/>
          <w:color w:val="auto"/>
        </w:rPr>
        <w:t>4BP</w:t>
      </w:r>
      <w:r w:rsidRPr="00C04724">
        <w:rPr>
          <w:rFonts w:hint="eastAsia"/>
          <w:color w:val="auto"/>
        </w:rPr>
        <w:t>，离在岸汇率</w:t>
      </w:r>
      <w:proofErr w:type="gramStart"/>
      <w:r w:rsidRPr="00C04724">
        <w:rPr>
          <w:rFonts w:hint="eastAsia"/>
          <w:color w:val="auto"/>
        </w:rPr>
        <w:t>差维持</w:t>
      </w:r>
      <w:proofErr w:type="gramEnd"/>
      <w:r w:rsidRPr="00C04724">
        <w:rPr>
          <w:rFonts w:hint="eastAsia"/>
          <w:color w:val="auto"/>
        </w:rPr>
        <w:t>基本稳定；此外，</w:t>
      </w:r>
      <w:r w:rsidRPr="00C04724">
        <w:rPr>
          <w:rFonts w:hint="eastAsia"/>
          <w:color w:val="auto"/>
        </w:rPr>
        <w:t>NDF</w:t>
      </w:r>
      <w:r w:rsidRPr="00C04724">
        <w:rPr>
          <w:rFonts w:hint="eastAsia"/>
          <w:color w:val="auto"/>
        </w:rPr>
        <w:t>远期汇率与在岸即期汇率</w:t>
      </w:r>
      <w:proofErr w:type="gramStart"/>
      <w:r w:rsidRPr="00C04724">
        <w:rPr>
          <w:rFonts w:hint="eastAsia"/>
          <w:color w:val="auto"/>
        </w:rPr>
        <w:t>中间价间的</w:t>
      </w:r>
      <w:proofErr w:type="gramEnd"/>
      <w:r w:rsidRPr="00C04724">
        <w:rPr>
          <w:rFonts w:hint="eastAsia"/>
          <w:color w:val="auto"/>
        </w:rPr>
        <w:t>价差保持基本稳定，人民币贬值预期较弱。与此同时，</w:t>
      </w:r>
      <w:r w:rsidRPr="00C04724">
        <w:rPr>
          <w:rFonts w:hint="eastAsia"/>
          <w:color w:val="auto"/>
        </w:rPr>
        <w:t>4</w:t>
      </w:r>
      <w:r w:rsidRPr="00C04724">
        <w:rPr>
          <w:rFonts w:hint="eastAsia"/>
          <w:color w:val="auto"/>
        </w:rPr>
        <w:t>月</w:t>
      </w:r>
      <w:r w:rsidRPr="00C04724">
        <w:rPr>
          <w:rFonts w:hint="eastAsia"/>
          <w:color w:val="auto"/>
        </w:rPr>
        <w:t>CFETS</w:t>
      </w:r>
      <w:r w:rsidRPr="00C04724">
        <w:rPr>
          <w:rFonts w:hint="eastAsia"/>
          <w:color w:val="auto"/>
        </w:rPr>
        <w:t>汇率指数下行趋势持续，人民币兑一篮子汇率累计小幅贬值</w:t>
      </w:r>
      <w:r w:rsidRPr="00C04724">
        <w:rPr>
          <w:rFonts w:hint="eastAsia"/>
          <w:color w:val="auto"/>
        </w:rPr>
        <w:t>0.94%</w:t>
      </w:r>
      <w:r w:rsidRPr="00C04724">
        <w:rPr>
          <w:rFonts w:hint="eastAsia"/>
          <w:color w:val="auto"/>
        </w:rPr>
        <w:t>。</w:t>
      </w:r>
      <w:r w:rsidR="00D12D7D">
        <w:rPr>
          <w:rFonts w:hint="eastAsia"/>
          <w:color w:val="auto"/>
        </w:rPr>
        <w:t>综合来看，</w:t>
      </w:r>
      <w:r w:rsidRPr="00C04724">
        <w:rPr>
          <w:rFonts w:hint="eastAsia"/>
          <w:color w:val="auto"/>
        </w:rPr>
        <w:t>人民币兑美元</w:t>
      </w:r>
      <w:proofErr w:type="gramStart"/>
      <w:r w:rsidRPr="00C04724">
        <w:rPr>
          <w:rFonts w:hint="eastAsia"/>
          <w:color w:val="auto"/>
        </w:rPr>
        <w:t>双边汇率</w:t>
      </w:r>
      <w:proofErr w:type="gramEnd"/>
      <w:r w:rsidRPr="00C04724">
        <w:rPr>
          <w:rFonts w:hint="eastAsia"/>
          <w:color w:val="auto"/>
        </w:rPr>
        <w:t>保持基本稳定，兑一篮子货币贬值趋势仍在持续。</w:t>
      </w:r>
    </w:p>
    <w:tbl>
      <w:tblPr>
        <w:tblStyle w:val="GJStylesChartInsertDoubleCol"/>
        <w:tblW w:w="10771" w:type="dxa"/>
        <w:tblLayout w:type="fixed"/>
        <w:tblLook w:val="07E0" w:firstRow="1" w:lastRow="1" w:firstColumn="1" w:lastColumn="1" w:noHBand="1" w:noVBand="1"/>
      </w:tblPr>
      <w:tblGrid>
        <w:gridCol w:w="5273"/>
        <w:gridCol w:w="236"/>
        <w:gridCol w:w="5262"/>
      </w:tblGrid>
      <w:tr w:rsidR="000A7456" w:rsidTr="000A7456">
        <w:tc>
          <w:tcPr>
            <w:cnfStyle w:val="001000000000" w:firstRow="0" w:lastRow="0" w:firstColumn="1" w:lastColumn="0" w:oddVBand="0" w:evenVBand="0" w:oddHBand="0" w:evenHBand="0" w:firstRowFirstColumn="0" w:firstRowLastColumn="0" w:lastRowFirstColumn="0" w:lastRowLastColumn="0"/>
            <w:tcW w:w="5273" w:type="dxa"/>
          </w:tcPr>
          <w:p w:rsidR="000A7456" w:rsidRPr="000A7456" w:rsidRDefault="000A7456" w:rsidP="000A7456">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6</w:t>
            </w:r>
            <w:r>
              <w:fldChar w:fldCharType="end"/>
            </w:r>
            <w:r>
              <w:rPr>
                <w:rFonts w:hint="eastAsia"/>
              </w:rPr>
              <w:t>：</w:t>
            </w:r>
            <w:r>
              <w:rPr>
                <w:rFonts w:hint="eastAsia"/>
              </w:rPr>
              <w:t>2016</w:t>
            </w:r>
            <w:r>
              <w:rPr>
                <w:rFonts w:hint="eastAsia"/>
              </w:rPr>
              <w:t>年</w:t>
            </w:r>
            <w:r>
              <w:rPr>
                <w:rFonts w:hint="eastAsia"/>
              </w:rPr>
              <w:t>4</w:t>
            </w:r>
            <w:r>
              <w:rPr>
                <w:rFonts w:hint="eastAsia"/>
              </w:rPr>
              <w:t>月美元指数走势</w:t>
            </w:r>
          </w:p>
        </w:tc>
        <w:tc>
          <w:tcPr>
            <w:tcW w:w="236" w:type="dxa"/>
          </w:tcPr>
          <w:p w:rsidR="000A7456" w:rsidRDefault="000A7456" w:rsidP="000A7456">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62" w:type="dxa"/>
          </w:tcPr>
          <w:p w:rsidR="000A7456" w:rsidRDefault="000A7456" w:rsidP="000A7456">
            <w:pPr>
              <w:pStyle w:val="GJStylesGraphTitle"/>
              <w:rPr>
                <w:color w:val="auto"/>
              </w:rPr>
            </w:pPr>
            <w:r>
              <w:rPr>
                <w:rFonts w:hint="eastAsia"/>
                <w:color w:val="auto"/>
              </w:rPr>
              <w:t>图表</w:t>
            </w:r>
            <w:r>
              <w:rPr>
                <w:color w:val="auto"/>
              </w:rPr>
              <w:fldChar w:fldCharType="begin"/>
            </w:r>
            <w:r>
              <w:rPr>
                <w:color w:val="auto"/>
              </w:rPr>
              <w:instrText xml:space="preserve"> </w:instrText>
            </w:r>
            <w:r>
              <w:rPr>
                <w:rFonts w:hint="eastAsia"/>
                <w:color w:val="auto"/>
              </w:rPr>
              <w:instrText xml:space="preserve">SEQ </w:instrText>
            </w:r>
            <w:r>
              <w:rPr>
                <w:rFonts w:hint="eastAsia"/>
                <w:color w:val="auto"/>
              </w:rPr>
              <w:instrText>图表</w:instrText>
            </w:r>
            <w:r>
              <w:rPr>
                <w:rFonts w:hint="eastAsia"/>
                <w:color w:val="auto"/>
              </w:rPr>
              <w:instrText xml:space="preserve"> \* ARABIC  \* MERGEFORMAT</w:instrText>
            </w:r>
            <w:r>
              <w:rPr>
                <w:color w:val="auto"/>
              </w:rPr>
              <w:instrText xml:space="preserve"> </w:instrText>
            </w:r>
            <w:r>
              <w:rPr>
                <w:color w:val="auto"/>
              </w:rPr>
              <w:fldChar w:fldCharType="separate"/>
            </w:r>
            <w:r>
              <w:rPr>
                <w:noProof/>
                <w:color w:val="auto"/>
              </w:rPr>
              <w:t>7</w:t>
            </w:r>
            <w:r>
              <w:rPr>
                <w:color w:val="auto"/>
              </w:rPr>
              <w:fldChar w:fldCharType="end"/>
            </w:r>
            <w:r>
              <w:rPr>
                <w:rFonts w:hint="eastAsia"/>
                <w:color w:val="auto"/>
              </w:rPr>
              <w:t>：人民币兑美元离、在岸汇率走势</w:t>
            </w:r>
          </w:p>
        </w:tc>
      </w:tr>
      <w:tr w:rsidR="000A7456" w:rsidTr="000A7456">
        <w:trPr>
          <w:trHeight w:val="3016"/>
        </w:trPr>
        <w:tc>
          <w:tcPr>
            <w:cnfStyle w:val="001000000000" w:firstRow="0" w:lastRow="0" w:firstColumn="1" w:lastColumn="0" w:oddVBand="0" w:evenVBand="0" w:oddHBand="0" w:evenHBand="0" w:firstRowFirstColumn="0" w:firstRowLastColumn="0" w:lastRowFirstColumn="0" w:lastRowLastColumn="0"/>
            <w:tcW w:w="5273" w:type="dxa"/>
          </w:tcPr>
          <w:p w:rsidR="000A7456" w:rsidRPr="000A7456" w:rsidRDefault="000A7456" w:rsidP="000A7456">
            <w:r>
              <w:rPr>
                <w:noProof/>
              </w:rPr>
              <w:drawing>
                <wp:inline distT="0" distB="0" distL="0" distR="0" wp14:anchorId="3D7D4515" wp14:editId="09D0157E">
                  <wp:extent cx="3313785" cy="1991942"/>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6011" cy="1993280"/>
                          </a:xfrm>
                          <a:prstGeom prst="rect">
                            <a:avLst/>
                          </a:prstGeom>
                          <a:noFill/>
                        </pic:spPr>
                      </pic:pic>
                    </a:graphicData>
                  </a:graphic>
                </wp:inline>
              </w:drawing>
            </w:r>
          </w:p>
        </w:tc>
        <w:tc>
          <w:tcPr>
            <w:tcW w:w="236" w:type="dxa"/>
          </w:tcPr>
          <w:p w:rsidR="000A7456" w:rsidRDefault="000A7456" w:rsidP="000A7456">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62" w:type="dxa"/>
          </w:tcPr>
          <w:p w:rsidR="000A7456" w:rsidRPr="000A7456" w:rsidRDefault="000A7456" w:rsidP="000A7456">
            <w:r>
              <w:rPr>
                <w:noProof/>
              </w:rPr>
              <w:drawing>
                <wp:inline distT="0" distB="0" distL="0" distR="0" wp14:anchorId="6C2BA4F3">
                  <wp:extent cx="3357677" cy="1986683"/>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6194" cy="1985806"/>
                          </a:xfrm>
                          <a:prstGeom prst="rect">
                            <a:avLst/>
                          </a:prstGeom>
                          <a:noFill/>
                        </pic:spPr>
                      </pic:pic>
                    </a:graphicData>
                  </a:graphic>
                </wp:inline>
              </w:drawing>
            </w:r>
          </w:p>
        </w:tc>
      </w:tr>
      <w:tr w:rsidR="000A7456" w:rsidTr="000A7456">
        <w:tc>
          <w:tcPr>
            <w:tcW w:w="5273" w:type="dxa"/>
          </w:tcPr>
          <w:p w:rsidR="000A7456" w:rsidRDefault="000A7456" w:rsidP="000A745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注：数据截至</w:t>
            </w:r>
            <w:r>
              <w:rPr>
                <w:rFonts w:hint="eastAsia"/>
              </w:rPr>
              <w:t>4</w:t>
            </w:r>
            <w:r>
              <w:rPr>
                <w:rFonts w:hint="eastAsia"/>
              </w:rPr>
              <w:t>月</w:t>
            </w:r>
            <w:r>
              <w:rPr>
                <w:rFonts w:hint="eastAsia"/>
              </w:rPr>
              <w:t>25</w:t>
            </w:r>
            <w:r>
              <w:rPr>
                <w:rFonts w:hint="eastAsia"/>
              </w:rPr>
              <w:t>日。</w:t>
            </w:r>
          </w:p>
          <w:p w:rsidR="000A7456" w:rsidRDefault="000A7456" w:rsidP="000A745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WIND</w:t>
            </w:r>
          </w:p>
        </w:tc>
        <w:tc>
          <w:tcPr>
            <w:tcW w:w="236" w:type="dxa"/>
          </w:tcPr>
          <w:p w:rsidR="000A7456" w:rsidRDefault="000A7456" w:rsidP="000A7456">
            <w:pPr>
              <w:pStyle w:val="GJStylesGraphSource"/>
            </w:pPr>
          </w:p>
        </w:tc>
        <w:tc>
          <w:tcPr>
            <w:tcW w:w="5262" w:type="dxa"/>
          </w:tcPr>
          <w:p w:rsidR="000A7456" w:rsidRDefault="000A7456" w:rsidP="000A745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注：数据截至</w:t>
            </w:r>
            <w:r>
              <w:rPr>
                <w:rFonts w:hint="eastAsia"/>
              </w:rPr>
              <w:t>4</w:t>
            </w:r>
            <w:r>
              <w:rPr>
                <w:rFonts w:hint="eastAsia"/>
              </w:rPr>
              <w:t>月</w:t>
            </w:r>
            <w:r>
              <w:rPr>
                <w:rFonts w:hint="eastAsia"/>
              </w:rPr>
              <w:t>25</w:t>
            </w:r>
            <w:r>
              <w:rPr>
                <w:rFonts w:hint="eastAsia"/>
              </w:rPr>
              <w:t>日。</w:t>
            </w:r>
          </w:p>
          <w:p w:rsidR="000A7456" w:rsidRDefault="000A7456" w:rsidP="000A745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Pr>
                <w:rFonts w:hint="eastAsia"/>
              </w:rPr>
              <w:t>WIND</w:t>
            </w:r>
            <w:r>
              <w:t xml:space="preserve"> </w:t>
            </w:r>
          </w:p>
        </w:tc>
      </w:tr>
    </w:tbl>
    <w:p w:rsidR="00C04724" w:rsidRDefault="00C04724" w:rsidP="00C04724">
      <w:pPr>
        <w:pStyle w:val="a0"/>
        <w:widowControl/>
        <w:numPr>
          <w:ilvl w:val="4"/>
          <w:numId w:val="3"/>
        </w:numPr>
        <w:rPr>
          <w:color w:val="auto"/>
        </w:rPr>
      </w:pPr>
      <w:r w:rsidRPr="00C04724">
        <w:rPr>
          <w:rFonts w:hint="eastAsia"/>
          <w:color w:val="auto"/>
        </w:rPr>
        <w:t>上</w:t>
      </w:r>
      <w:proofErr w:type="gramStart"/>
      <w:r w:rsidRPr="00C04724">
        <w:rPr>
          <w:rFonts w:hint="eastAsia"/>
          <w:color w:val="auto"/>
        </w:rPr>
        <w:t>季末短期</w:t>
      </w:r>
      <w:proofErr w:type="gramEnd"/>
      <w:r w:rsidRPr="00C04724">
        <w:rPr>
          <w:rFonts w:hint="eastAsia"/>
          <w:color w:val="auto"/>
        </w:rPr>
        <w:t>扰动因素消失之后，</w:t>
      </w:r>
      <w:r w:rsidRPr="00C04724">
        <w:rPr>
          <w:rFonts w:hint="eastAsia"/>
          <w:color w:val="auto"/>
        </w:rPr>
        <w:t>4</w:t>
      </w:r>
      <w:r w:rsidRPr="00C04724">
        <w:rPr>
          <w:rFonts w:hint="eastAsia"/>
          <w:color w:val="auto"/>
        </w:rPr>
        <w:t>月</w:t>
      </w:r>
      <w:r w:rsidRPr="00C04724">
        <w:rPr>
          <w:rFonts w:hint="eastAsia"/>
          <w:color w:val="auto"/>
        </w:rPr>
        <w:t>1</w:t>
      </w:r>
      <w:r w:rsidRPr="00C04724">
        <w:rPr>
          <w:rFonts w:hint="eastAsia"/>
          <w:color w:val="auto"/>
        </w:rPr>
        <w:t>日资金利率大幅下行，</w:t>
      </w:r>
      <w:r w:rsidRPr="00C04724">
        <w:rPr>
          <w:rFonts w:hint="eastAsia"/>
          <w:color w:val="auto"/>
        </w:rPr>
        <w:t>4</w:t>
      </w:r>
      <w:r w:rsidRPr="00C04724">
        <w:rPr>
          <w:rFonts w:hint="eastAsia"/>
          <w:color w:val="auto"/>
        </w:rPr>
        <w:t>月上半月资金面紧张有所缓和，下半月流动性较为紧张。截至</w:t>
      </w:r>
      <w:r w:rsidRPr="00C04724">
        <w:rPr>
          <w:rFonts w:hint="eastAsia"/>
          <w:color w:val="auto"/>
        </w:rPr>
        <w:t>4</w:t>
      </w:r>
      <w:r w:rsidRPr="00C04724">
        <w:rPr>
          <w:rFonts w:hint="eastAsia"/>
          <w:color w:val="auto"/>
        </w:rPr>
        <w:t>月</w:t>
      </w:r>
      <w:r w:rsidRPr="00C04724">
        <w:rPr>
          <w:rFonts w:hint="eastAsia"/>
          <w:color w:val="auto"/>
        </w:rPr>
        <w:t>15</w:t>
      </w:r>
      <w:r w:rsidRPr="00C04724">
        <w:rPr>
          <w:rFonts w:hint="eastAsia"/>
          <w:color w:val="auto"/>
        </w:rPr>
        <w:t>日，隔夜、</w:t>
      </w:r>
      <w:r w:rsidRPr="00C04724">
        <w:rPr>
          <w:rFonts w:hint="eastAsia"/>
          <w:color w:val="auto"/>
        </w:rPr>
        <w:t>7</w:t>
      </w:r>
      <w:r w:rsidRPr="00C04724">
        <w:rPr>
          <w:rFonts w:hint="eastAsia"/>
          <w:color w:val="auto"/>
        </w:rPr>
        <w:t>天、</w:t>
      </w:r>
      <w:r w:rsidRPr="00C04724">
        <w:rPr>
          <w:rFonts w:hint="eastAsia"/>
          <w:color w:val="auto"/>
        </w:rPr>
        <w:t>14</w:t>
      </w:r>
      <w:r w:rsidRPr="00C04724">
        <w:rPr>
          <w:rFonts w:hint="eastAsia"/>
          <w:color w:val="auto"/>
        </w:rPr>
        <w:t>天及</w:t>
      </w:r>
      <w:r w:rsidRPr="00C04724">
        <w:rPr>
          <w:rFonts w:hint="eastAsia"/>
          <w:color w:val="auto"/>
        </w:rPr>
        <w:t>1</w:t>
      </w:r>
      <w:r w:rsidRPr="00C04724">
        <w:rPr>
          <w:rFonts w:hint="eastAsia"/>
          <w:color w:val="auto"/>
        </w:rPr>
        <w:t>个月期限银行间债券质押回购利率分别下行</w:t>
      </w:r>
      <w:r w:rsidRPr="00C04724">
        <w:rPr>
          <w:rFonts w:hint="eastAsia"/>
          <w:color w:val="auto"/>
        </w:rPr>
        <w:t>19BP</w:t>
      </w:r>
      <w:r w:rsidRPr="00C04724">
        <w:rPr>
          <w:rFonts w:hint="eastAsia"/>
          <w:color w:val="auto"/>
        </w:rPr>
        <w:t>、</w:t>
      </w:r>
      <w:r w:rsidRPr="00C04724">
        <w:rPr>
          <w:rFonts w:hint="eastAsia"/>
          <w:color w:val="auto"/>
        </w:rPr>
        <w:t>39BP</w:t>
      </w:r>
      <w:r w:rsidRPr="00C04724">
        <w:rPr>
          <w:rFonts w:hint="eastAsia"/>
          <w:color w:val="auto"/>
        </w:rPr>
        <w:t>、</w:t>
      </w:r>
      <w:r w:rsidRPr="00C04724">
        <w:rPr>
          <w:rFonts w:hint="eastAsia"/>
          <w:color w:val="auto"/>
        </w:rPr>
        <w:t>121BP</w:t>
      </w:r>
      <w:r w:rsidRPr="00C04724">
        <w:rPr>
          <w:rFonts w:hint="eastAsia"/>
          <w:color w:val="auto"/>
        </w:rPr>
        <w:t>和</w:t>
      </w:r>
      <w:r w:rsidRPr="00C04724">
        <w:rPr>
          <w:rFonts w:hint="eastAsia"/>
          <w:color w:val="auto"/>
        </w:rPr>
        <w:t>124BP</w:t>
      </w:r>
      <w:r w:rsidRPr="00C04724">
        <w:rPr>
          <w:rFonts w:hint="eastAsia"/>
          <w:color w:val="auto"/>
        </w:rPr>
        <w:t>，同时隔夜、</w:t>
      </w:r>
      <w:r w:rsidRPr="00C04724">
        <w:rPr>
          <w:rFonts w:hint="eastAsia"/>
          <w:color w:val="auto"/>
        </w:rPr>
        <w:t>7</w:t>
      </w:r>
      <w:r w:rsidRPr="00C04724">
        <w:rPr>
          <w:rFonts w:hint="eastAsia"/>
          <w:color w:val="auto"/>
        </w:rPr>
        <w:t>天、</w:t>
      </w:r>
      <w:r w:rsidRPr="00C04724">
        <w:rPr>
          <w:rFonts w:hint="eastAsia"/>
          <w:color w:val="auto"/>
        </w:rPr>
        <w:t>14</w:t>
      </w:r>
      <w:r w:rsidRPr="00C04724">
        <w:rPr>
          <w:rFonts w:hint="eastAsia"/>
          <w:color w:val="auto"/>
        </w:rPr>
        <w:t>天及</w:t>
      </w:r>
      <w:r w:rsidRPr="00C04724">
        <w:rPr>
          <w:rFonts w:hint="eastAsia"/>
          <w:color w:val="auto"/>
        </w:rPr>
        <w:t>28</w:t>
      </w:r>
      <w:r w:rsidRPr="00C04724">
        <w:rPr>
          <w:rFonts w:hint="eastAsia"/>
          <w:color w:val="auto"/>
        </w:rPr>
        <w:t>天交易所债券质押回购利率降幅分别为</w:t>
      </w:r>
      <w:r w:rsidRPr="00C04724">
        <w:rPr>
          <w:rFonts w:hint="eastAsia"/>
          <w:color w:val="auto"/>
        </w:rPr>
        <w:t>712BP</w:t>
      </w:r>
      <w:r w:rsidRPr="00C04724">
        <w:rPr>
          <w:rFonts w:hint="eastAsia"/>
          <w:color w:val="auto"/>
        </w:rPr>
        <w:t>、</w:t>
      </w:r>
      <w:r w:rsidRPr="00C04724">
        <w:rPr>
          <w:rFonts w:hint="eastAsia"/>
          <w:color w:val="auto"/>
        </w:rPr>
        <w:t>90BP</w:t>
      </w:r>
      <w:r w:rsidRPr="00C04724">
        <w:rPr>
          <w:rFonts w:hint="eastAsia"/>
          <w:color w:val="auto"/>
        </w:rPr>
        <w:t>、</w:t>
      </w:r>
      <w:r w:rsidRPr="00C04724">
        <w:rPr>
          <w:rFonts w:hint="eastAsia"/>
          <w:color w:val="auto"/>
        </w:rPr>
        <w:t>37BP</w:t>
      </w:r>
      <w:r w:rsidRPr="00C04724">
        <w:rPr>
          <w:rFonts w:hint="eastAsia"/>
          <w:color w:val="auto"/>
        </w:rPr>
        <w:t>和</w:t>
      </w:r>
      <w:r w:rsidRPr="00C04724">
        <w:rPr>
          <w:rFonts w:hint="eastAsia"/>
          <w:color w:val="auto"/>
        </w:rPr>
        <w:t>34BP</w:t>
      </w:r>
      <w:r w:rsidRPr="00C04724">
        <w:rPr>
          <w:rFonts w:hint="eastAsia"/>
          <w:color w:val="auto"/>
        </w:rPr>
        <w:t>。此后受月末</w:t>
      </w:r>
      <w:proofErr w:type="gramStart"/>
      <w:r w:rsidRPr="00C04724">
        <w:rPr>
          <w:rFonts w:hint="eastAsia"/>
          <w:color w:val="auto"/>
        </w:rPr>
        <w:t>缴税缴准及</w:t>
      </w:r>
      <w:proofErr w:type="gramEnd"/>
      <w:r w:rsidRPr="00C04724">
        <w:rPr>
          <w:rFonts w:hint="eastAsia"/>
          <w:color w:val="auto"/>
        </w:rPr>
        <w:t>MLF</w:t>
      </w:r>
      <w:r w:rsidRPr="00C04724">
        <w:rPr>
          <w:rFonts w:hint="eastAsia"/>
          <w:color w:val="auto"/>
        </w:rPr>
        <w:t>大量到期影响，资金利率整体上行：截至</w:t>
      </w:r>
      <w:r w:rsidRPr="00C04724">
        <w:rPr>
          <w:rFonts w:hint="eastAsia"/>
          <w:color w:val="auto"/>
        </w:rPr>
        <w:t>4</w:t>
      </w:r>
      <w:r w:rsidRPr="00C04724">
        <w:rPr>
          <w:rFonts w:hint="eastAsia"/>
          <w:color w:val="auto"/>
        </w:rPr>
        <w:t>月</w:t>
      </w:r>
      <w:r w:rsidRPr="00C04724">
        <w:rPr>
          <w:rFonts w:hint="eastAsia"/>
          <w:color w:val="auto"/>
        </w:rPr>
        <w:t>25</w:t>
      </w:r>
      <w:r w:rsidRPr="00C04724">
        <w:rPr>
          <w:rFonts w:hint="eastAsia"/>
          <w:color w:val="auto"/>
        </w:rPr>
        <w:t>日，隔夜、</w:t>
      </w:r>
      <w:r w:rsidRPr="00C04724">
        <w:rPr>
          <w:rFonts w:hint="eastAsia"/>
          <w:color w:val="auto"/>
        </w:rPr>
        <w:t>7</w:t>
      </w:r>
      <w:r w:rsidRPr="00C04724">
        <w:rPr>
          <w:rFonts w:hint="eastAsia"/>
          <w:color w:val="auto"/>
        </w:rPr>
        <w:t>天、</w:t>
      </w:r>
      <w:r w:rsidRPr="00C04724">
        <w:rPr>
          <w:rFonts w:hint="eastAsia"/>
          <w:color w:val="auto"/>
        </w:rPr>
        <w:t>14</w:t>
      </w:r>
      <w:r w:rsidRPr="00C04724">
        <w:rPr>
          <w:rFonts w:hint="eastAsia"/>
          <w:color w:val="auto"/>
        </w:rPr>
        <w:t>天和</w:t>
      </w:r>
      <w:r w:rsidRPr="00C04724">
        <w:rPr>
          <w:rFonts w:hint="eastAsia"/>
          <w:color w:val="auto"/>
        </w:rPr>
        <w:t>1</w:t>
      </w:r>
      <w:r w:rsidRPr="00C04724">
        <w:rPr>
          <w:rFonts w:hint="eastAsia"/>
          <w:color w:val="auto"/>
        </w:rPr>
        <w:t>个月期限银行间资金</w:t>
      </w:r>
      <w:proofErr w:type="gramStart"/>
      <w:r w:rsidRPr="00C04724">
        <w:rPr>
          <w:rFonts w:hint="eastAsia"/>
          <w:color w:val="auto"/>
        </w:rPr>
        <w:t>利率涨幅</w:t>
      </w:r>
      <w:proofErr w:type="gramEnd"/>
      <w:r w:rsidRPr="00C04724">
        <w:rPr>
          <w:rFonts w:hint="eastAsia"/>
          <w:color w:val="auto"/>
        </w:rPr>
        <w:t>分别为</w:t>
      </w:r>
      <w:r w:rsidRPr="00C04724">
        <w:rPr>
          <w:rFonts w:hint="eastAsia"/>
          <w:color w:val="auto"/>
        </w:rPr>
        <w:t>11BP</w:t>
      </w:r>
      <w:r w:rsidRPr="00C04724">
        <w:rPr>
          <w:rFonts w:hint="eastAsia"/>
          <w:color w:val="auto"/>
        </w:rPr>
        <w:t>、</w:t>
      </w:r>
      <w:r w:rsidRPr="00C04724">
        <w:rPr>
          <w:rFonts w:hint="eastAsia"/>
          <w:color w:val="auto"/>
        </w:rPr>
        <w:t>18BP</w:t>
      </w:r>
      <w:r w:rsidRPr="00C04724">
        <w:rPr>
          <w:rFonts w:hint="eastAsia"/>
          <w:color w:val="auto"/>
        </w:rPr>
        <w:t>、</w:t>
      </w:r>
      <w:r w:rsidRPr="00C04724">
        <w:rPr>
          <w:rFonts w:hint="eastAsia"/>
          <w:color w:val="auto"/>
        </w:rPr>
        <w:t>56BP</w:t>
      </w:r>
      <w:r w:rsidRPr="00C04724">
        <w:rPr>
          <w:rFonts w:hint="eastAsia"/>
          <w:color w:val="auto"/>
        </w:rPr>
        <w:t>和</w:t>
      </w:r>
      <w:r w:rsidRPr="00C04724">
        <w:rPr>
          <w:rFonts w:hint="eastAsia"/>
          <w:color w:val="auto"/>
        </w:rPr>
        <w:t>13BP</w:t>
      </w:r>
      <w:r w:rsidRPr="00C04724">
        <w:rPr>
          <w:rFonts w:hint="eastAsia"/>
          <w:color w:val="auto"/>
        </w:rPr>
        <w:t>，而隔夜、</w:t>
      </w:r>
      <w:r w:rsidRPr="00C04724">
        <w:rPr>
          <w:rFonts w:hint="eastAsia"/>
          <w:color w:val="auto"/>
        </w:rPr>
        <w:t>7</w:t>
      </w:r>
      <w:r w:rsidRPr="00C04724">
        <w:rPr>
          <w:rFonts w:hint="eastAsia"/>
          <w:color w:val="auto"/>
        </w:rPr>
        <w:t>天、</w:t>
      </w:r>
      <w:r w:rsidRPr="00C04724">
        <w:rPr>
          <w:rFonts w:hint="eastAsia"/>
          <w:color w:val="auto"/>
        </w:rPr>
        <w:t>14</w:t>
      </w:r>
      <w:r w:rsidRPr="00C04724">
        <w:rPr>
          <w:rFonts w:hint="eastAsia"/>
          <w:color w:val="auto"/>
        </w:rPr>
        <w:t>天及</w:t>
      </w:r>
      <w:r w:rsidRPr="00C04724">
        <w:rPr>
          <w:rFonts w:hint="eastAsia"/>
          <w:color w:val="auto"/>
        </w:rPr>
        <w:t>28</w:t>
      </w:r>
      <w:r w:rsidRPr="00C04724">
        <w:rPr>
          <w:rFonts w:hint="eastAsia"/>
          <w:color w:val="auto"/>
        </w:rPr>
        <w:t>天交易所资金利率分别上涨</w:t>
      </w:r>
      <w:r w:rsidRPr="00C04724">
        <w:rPr>
          <w:rFonts w:hint="eastAsia"/>
          <w:color w:val="auto"/>
        </w:rPr>
        <w:t>10BP</w:t>
      </w:r>
      <w:r w:rsidRPr="00C04724">
        <w:rPr>
          <w:rFonts w:hint="eastAsia"/>
          <w:color w:val="auto"/>
        </w:rPr>
        <w:t>、</w:t>
      </w:r>
      <w:r w:rsidRPr="00C04724">
        <w:rPr>
          <w:rFonts w:hint="eastAsia"/>
          <w:color w:val="auto"/>
        </w:rPr>
        <w:t>47BP</w:t>
      </w:r>
      <w:r w:rsidRPr="00C04724">
        <w:rPr>
          <w:rFonts w:hint="eastAsia"/>
          <w:color w:val="auto"/>
        </w:rPr>
        <w:t>、</w:t>
      </w:r>
      <w:r w:rsidRPr="00C04724">
        <w:rPr>
          <w:rFonts w:hint="eastAsia"/>
          <w:color w:val="auto"/>
        </w:rPr>
        <w:t>7BP</w:t>
      </w:r>
      <w:r w:rsidRPr="00C04724">
        <w:rPr>
          <w:rFonts w:hint="eastAsia"/>
          <w:color w:val="auto"/>
        </w:rPr>
        <w:t>和</w:t>
      </w:r>
      <w:r w:rsidRPr="00C04724">
        <w:rPr>
          <w:rFonts w:hint="eastAsia"/>
          <w:color w:val="auto"/>
        </w:rPr>
        <w:t>2BP</w:t>
      </w:r>
      <w:r w:rsidRPr="00C04724">
        <w:rPr>
          <w:rFonts w:hint="eastAsia"/>
          <w:color w:val="auto"/>
        </w:rPr>
        <w:t>。与此同时，各期限</w:t>
      </w:r>
      <w:r w:rsidRPr="00C04724">
        <w:rPr>
          <w:rFonts w:hint="eastAsia"/>
          <w:color w:val="auto"/>
        </w:rPr>
        <w:t>SHIBOR</w:t>
      </w:r>
      <w:r w:rsidRPr="00C04724">
        <w:rPr>
          <w:rFonts w:hint="eastAsia"/>
          <w:color w:val="auto"/>
        </w:rPr>
        <w:t>利率先下后上，整体小幅抬升。</w:t>
      </w:r>
    </w:p>
    <w:tbl>
      <w:tblPr>
        <w:tblStyle w:val="GJStylesChartInsertDoubleCol"/>
        <w:tblW w:w="10771" w:type="dxa"/>
        <w:tblLayout w:type="fixed"/>
        <w:tblLook w:val="07E0" w:firstRow="1" w:lastRow="1" w:firstColumn="1" w:lastColumn="1" w:noHBand="1" w:noVBand="1"/>
      </w:tblPr>
      <w:tblGrid>
        <w:gridCol w:w="5273"/>
        <w:gridCol w:w="236"/>
        <w:gridCol w:w="5262"/>
      </w:tblGrid>
      <w:tr w:rsidR="000A7456" w:rsidTr="000A7456">
        <w:tc>
          <w:tcPr>
            <w:cnfStyle w:val="001000000000" w:firstRow="0" w:lastRow="0" w:firstColumn="1" w:lastColumn="0" w:oddVBand="0" w:evenVBand="0" w:oddHBand="0" w:evenHBand="0" w:firstRowFirstColumn="0" w:firstRowLastColumn="0" w:lastRowFirstColumn="0" w:lastRowLastColumn="0"/>
            <w:tcW w:w="5273" w:type="dxa"/>
          </w:tcPr>
          <w:p w:rsidR="000A7456" w:rsidRPr="000A7456" w:rsidRDefault="000A7456" w:rsidP="000A7456">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8</w:t>
            </w:r>
            <w:r>
              <w:fldChar w:fldCharType="end"/>
            </w:r>
            <w:r>
              <w:rPr>
                <w:rFonts w:hint="eastAsia"/>
              </w:rPr>
              <w:t>：银行间及交易所债券质押回购利率走势（</w:t>
            </w:r>
            <w:r>
              <w:rPr>
                <w:rFonts w:hint="eastAsia"/>
              </w:rPr>
              <w:t>%</w:t>
            </w:r>
            <w:r>
              <w:rPr>
                <w:rFonts w:hint="eastAsia"/>
              </w:rPr>
              <w:t>）</w:t>
            </w:r>
          </w:p>
        </w:tc>
        <w:tc>
          <w:tcPr>
            <w:tcW w:w="236" w:type="dxa"/>
          </w:tcPr>
          <w:p w:rsidR="000A7456" w:rsidRDefault="000A7456" w:rsidP="000A7456">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62" w:type="dxa"/>
          </w:tcPr>
          <w:p w:rsidR="000A7456" w:rsidRDefault="000A7456" w:rsidP="000A7456">
            <w:pPr>
              <w:pStyle w:val="GJStylesGraphTitle"/>
              <w:rPr>
                <w:color w:val="auto"/>
              </w:rPr>
            </w:pPr>
            <w:r>
              <w:rPr>
                <w:rFonts w:hint="eastAsia"/>
                <w:color w:val="auto"/>
              </w:rPr>
              <w:t>图表</w:t>
            </w:r>
            <w:r>
              <w:rPr>
                <w:color w:val="auto"/>
              </w:rPr>
              <w:fldChar w:fldCharType="begin"/>
            </w:r>
            <w:r>
              <w:rPr>
                <w:color w:val="auto"/>
              </w:rPr>
              <w:instrText xml:space="preserve"> </w:instrText>
            </w:r>
            <w:r>
              <w:rPr>
                <w:rFonts w:hint="eastAsia"/>
                <w:color w:val="auto"/>
              </w:rPr>
              <w:instrText xml:space="preserve">SEQ </w:instrText>
            </w:r>
            <w:r>
              <w:rPr>
                <w:rFonts w:hint="eastAsia"/>
                <w:color w:val="auto"/>
              </w:rPr>
              <w:instrText>图表</w:instrText>
            </w:r>
            <w:r>
              <w:rPr>
                <w:rFonts w:hint="eastAsia"/>
                <w:color w:val="auto"/>
              </w:rPr>
              <w:instrText xml:space="preserve"> \* ARABIC  \* MERGEFORMAT</w:instrText>
            </w:r>
            <w:r>
              <w:rPr>
                <w:color w:val="auto"/>
              </w:rPr>
              <w:instrText xml:space="preserve"> </w:instrText>
            </w:r>
            <w:r>
              <w:rPr>
                <w:color w:val="auto"/>
              </w:rPr>
              <w:fldChar w:fldCharType="separate"/>
            </w:r>
            <w:r>
              <w:rPr>
                <w:noProof/>
                <w:color w:val="auto"/>
              </w:rPr>
              <w:t>9</w:t>
            </w:r>
            <w:r>
              <w:rPr>
                <w:color w:val="auto"/>
              </w:rPr>
              <w:fldChar w:fldCharType="end"/>
            </w:r>
            <w:r>
              <w:rPr>
                <w:rFonts w:hint="eastAsia"/>
                <w:color w:val="auto"/>
              </w:rPr>
              <w:t>：银行间同业拆借利率走势（单位：</w:t>
            </w:r>
            <w:r>
              <w:rPr>
                <w:rFonts w:hint="eastAsia"/>
                <w:color w:val="auto"/>
              </w:rPr>
              <w:t>%</w:t>
            </w:r>
            <w:r>
              <w:rPr>
                <w:rFonts w:hint="eastAsia"/>
                <w:color w:val="auto"/>
              </w:rPr>
              <w:t>）</w:t>
            </w:r>
          </w:p>
        </w:tc>
      </w:tr>
      <w:tr w:rsidR="000A7456" w:rsidTr="000A7456">
        <w:trPr>
          <w:trHeight w:val="3016"/>
        </w:trPr>
        <w:tc>
          <w:tcPr>
            <w:cnfStyle w:val="001000000000" w:firstRow="0" w:lastRow="0" w:firstColumn="1" w:lastColumn="0" w:oddVBand="0" w:evenVBand="0" w:oddHBand="0" w:evenHBand="0" w:firstRowFirstColumn="0" w:firstRowLastColumn="0" w:lastRowFirstColumn="0" w:lastRowLastColumn="0"/>
            <w:tcW w:w="5273" w:type="dxa"/>
          </w:tcPr>
          <w:p w:rsidR="000A7456" w:rsidRPr="000A7456" w:rsidRDefault="000A7456" w:rsidP="000A7456">
            <w:r>
              <w:rPr>
                <w:noProof/>
              </w:rPr>
              <w:drawing>
                <wp:inline distT="0" distB="0" distL="0" distR="0" wp14:anchorId="65867D64" wp14:editId="7385556C">
                  <wp:extent cx="3313785" cy="196042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1938" cy="1965248"/>
                          </a:xfrm>
                          <a:prstGeom prst="rect">
                            <a:avLst/>
                          </a:prstGeom>
                          <a:noFill/>
                        </pic:spPr>
                      </pic:pic>
                    </a:graphicData>
                  </a:graphic>
                </wp:inline>
              </w:drawing>
            </w:r>
          </w:p>
        </w:tc>
        <w:tc>
          <w:tcPr>
            <w:tcW w:w="236" w:type="dxa"/>
          </w:tcPr>
          <w:p w:rsidR="000A7456" w:rsidRDefault="000A7456" w:rsidP="000A7456">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62" w:type="dxa"/>
          </w:tcPr>
          <w:p w:rsidR="000A7456" w:rsidRPr="000A7456" w:rsidRDefault="000A7456" w:rsidP="000A7456">
            <w:r>
              <w:rPr>
                <w:noProof/>
              </w:rPr>
              <w:drawing>
                <wp:inline distT="0" distB="0" distL="0" distR="0" wp14:anchorId="5D2AF6E2" wp14:editId="544E3675">
                  <wp:extent cx="3321101" cy="1957302"/>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0155" cy="1962638"/>
                          </a:xfrm>
                          <a:prstGeom prst="rect">
                            <a:avLst/>
                          </a:prstGeom>
                          <a:noFill/>
                        </pic:spPr>
                      </pic:pic>
                    </a:graphicData>
                  </a:graphic>
                </wp:inline>
              </w:drawing>
            </w:r>
          </w:p>
        </w:tc>
      </w:tr>
      <w:tr w:rsidR="000A7456" w:rsidTr="000A7456">
        <w:tc>
          <w:tcPr>
            <w:tcW w:w="5273" w:type="dxa"/>
          </w:tcPr>
          <w:p w:rsidR="000A7456" w:rsidRDefault="000A7456" w:rsidP="000A745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注：数据截至</w:t>
            </w:r>
            <w:r>
              <w:rPr>
                <w:rFonts w:hint="eastAsia"/>
              </w:rPr>
              <w:t>4</w:t>
            </w:r>
            <w:r>
              <w:rPr>
                <w:rFonts w:hint="eastAsia"/>
              </w:rPr>
              <w:t>月</w:t>
            </w:r>
            <w:r>
              <w:rPr>
                <w:rFonts w:hint="eastAsia"/>
              </w:rPr>
              <w:t>25</w:t>
            </w:r>
            <w:r>
              <w:rPr>
                <w:rFonts w:hint="eastAsia"/>
              </w:rPr>
              <w:t>日。</w:t>
            </w:r>
          </w:p>
          <w:p w:rsidR="000A7456" w:rsidRDefault="000A7456" w:rsidP="000A745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WIND</w:t>
            </w:r>
          </w:p>
        </w:tc>
        <w:tc>
          <w:tcPr>
            <w:tcW w:w="236" w:type="dxa"/>
          </w:tcPr>
          <w:p w:rsidR="000A7456" w:rsidRDefault="000A7456" w:rsidP="000A7456">
            <w:pPr>
              <w:pStyle w:val="GJStylesGraphSource"/>
            </w:pPr>
          </w:p>
        </w:tc>
        <w:tc>
          <w:tcPr>
            <w:tcW w:w="5262" w:type="dxa"/>
          </w:tcPr>
          <w:p w:rsidR="000A7456" w:rsidRDefault="000A7456" w:rsidP="000A745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注：数据截至</w:t>
            </w:r>
            <w:r>
              <w:rPr>
                <w:rFonts w:hint="eastAsia"/>
              </w:rPr>
              <w:t>4</w:t>
            </w:r>
            <w:r>
              <w:rPr>
                <w:rFonts w:hint="eastAsia"/>
              </w:rPr>
              <w:t>月</w:t>
            </w:r>
            <w:r>
              <w:rPr>
                <w:rFonts w:hint="eastAsia"/>
              </w:rPr>
              <w:t>25</w:t>
            </w:r>
            <w:r>
              <w:rPr>
                <w:rFonts w:hint="eastAsia"/>
              </w:rPr>
              <w:t>日。</w:t>
            </w:r>
          </w:p>
          <w:p w:rsidR="000A7456" w:rsidRDefault="000A7456" w:rsidP="000A745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Pr>
                <w:rFonts w:hint="eastAsia"/>
              </w:rPr>
              <w:t>WIND</w:t>
            </w:r>
          </w:p>
        </w:tc>
      </w:tr>
    </w:tbl>
    <w:p w:rsidR="004007BB" w:rsidRPr="004007BB" w:rsidRDefault="00C04724" w:rsidP="00C04724">
      <w:pPr>
        <w:pStyle w:val="a0"/>
        <w:widowControl/>
        <w:numPr>
          <w:ilvl w:val="4"/>
          <w:numId w:val="3"/>
        </w:numPr>
        <w:rPr>
          <w:color w:val="auto"/>
        </w:rPr>
      </w:pPr>
      <w:r w:rsidRPr="004007BB">
        <w:rPr>
          <w:rFonts w:hint="eastAsia"/>
          <w:color w:val="auto"/>
        </w:rPr>
        <w:t>4</w:t>
      </w:r>
      <w:r w:rsidRPr="004007BB">
        <w:rPr>
          <w:rFonts w:hint="eastAsia"/>
          <w:color w:val="auto"/>
        </w:rPr>
        <w:t>月货币政策短期化及对冲意图特征明显，在上旬资金面较为充裕的阶段资金投放力度较弱，而后随着短期扰动因素增多公开市场操作及</w:t>
      </w:r>
      <w:r w:rsidRPr="004007BB">
        <w:rPr>
          <w:rFonts w:hint="eastAsia"/>
          <w:color w:val="auto"/>
        </w:rPr>
        <w:t>MLF</w:t>
      </w:r>
      <w:r w:rsidRPr="004007BB">
        <w:rPr>
          <w:rFonts w:hint="eastAsia"/>
          <w:color w:val="auto"/>
        </w:rPr>
        <w:t>投放</w:t>
      </w:r>
      <w:r w:rsidRPr="004007BB">
        <w:rPr>
          <w:rFonts w:hint="eastAsia"/>
          <w:color w:val="auto"/>
        </w:rPr>
        <w:lastRenderedPageBreak/>
        <w:t>力度有所增强。</w:t>
      </w:r>
      <w:r w:rsidRPr="004007BB">
        <w:rPr>
          <w:rFonts w:hint="eastAsia"/>
          <w:color w:val="auto"/>
        </w:rPr>
        <w:t>4</w:t>
      </w:r>
      <w:r w:rsidRPr="004007BB">
        <w:rPr>
          <w:rFonts w:hint="eastAsia"/>
          <w:color w:val="auto"/>
        </w:rPr>
        <w:t>月首周（</w:t>
      </w:r>
      <w:r w:rsidRPr="004007BB">
        <w:rPr>
          <w:rFonts w:hint="eastAsia"/>
          <w:color w:val="auto"/>
        </w:rPr>
        <w:t>4</w:t>
      </w:r>
      <w:r w:rsidRPr="004007BB">
        <w:rPr>
          <w:rFonts w:hint="eastAsia"/>
          <w:color w:val="auto"/>
        </w:rPr>
        <w:t>月</w:t>
      </w:r>
      <w:r w:rsidRPr="004007BB">
        <w:rPr>
          <w:rFonts w:hint="eastAsia"/>
          <w:color w:val="auto"/>
        </w:rPr>
        <w:t>4</w:t>
      </w:r>
      <w:r w:rsidRPr="004007BB">
        <w:rPr>
          <w:rFonts w:hint="eastAsia"/>
          <w:color w:val="auto"/>
        </w:rPr>
        <w:t>日至</w:t>
      </w:r>
      <w:r w:rsidRPr="004007BB">
        <w:rPr>
          <w:rFonts w:hint="eastAsia"/>
          <w:color w:val="auto"/>
        </w:rPr>
        <w:t>4</w:t>
      </w:r>
      <w:r w:rsidRPr="004007BB">
        <w:rPr>
          <w:rFonts w:hint="eastAsia"/>
          <w:color w:val="auto"/>
        </w:rPr>
        <w:t>月</w:t>
      </w:r>
      <w:r w:rsidRPr="004007BB">
        <w:rPr>
          <w:rFonts w:hint="eastAsia"/>
          <w:color w:val="auto"/>
        </w:rPr>
        <w:t>10</w:t>
      </w:r>
      <w:r w:rsidRPr="004007BB">
        <w:rPr>
          <w:rFonts w:hint="eastAsia"/>
          <w:color w:val="auto"/>
        </w:rPr>
        <w:t>日）央行累计进行</w:t>
      </w:r>
      <w:r w:rsidRPr="004007BB">
        <w:rPr>
          <w:rFonts w:hint="eastAsia"/>
          <w:color w:val="auto"/>
        </w:rPr>
        <w:t>1200</w:t>
      </w:r>
      <w:r w:rsidRPr="004007BB">
        <w:rPr>
          <w:rFonts w:hint="eastAsia"/>
          <w:color w:val="auto"/>
        </w:rPr>
        <w:t>亿元逆回购操作，净回笼资金</w:t>
      </w:r>
      <w:r w:rsidRPr="004007BB">
        <w:rPr>
          <w:rFonts w:hint="eastAsia"/>
          <w:color w:val="auto"/>
        </w:rPr>
        <w:t>2750</w:t>
      </w:r>
      <w:r w:rsidRPr="004007BB">
        <w:rPr>
          <w:rFonts w:hint="eastAsia"/>
          <w:color w:val="auto"/>
        </w:rPr>
        <w:t>亿元；而后随着资金面边际收紧，央行加大公开市场操作力度，第</w:t>
      </w:r>
      <w:r w:rsidRPr="004007BB">
        <w:rPr>
          <w:rFonts w:hint="eastAsia"/>
          <w:color w:val="auto"/>
        </w:rPr>
        <w:t>2</w:t>
      </w:r>
      <w:r w:rsidRPr="004007BB">
        <w:rPr>
          <w:rFonts w:hint="eastAsia"/>
          <w:color w:val="auto"/>
        </w:rPr>
        <w:t>周净投放短期流动性</w:t>
      </w:r>
      <w:r w:rsidRPr="004007BB">
        <w:rPr>
          <w:rFonts w:hint="eastAsia"/>
          <w:color w:val="auto"/>
        </w:rPr>
        <w:t>700</w:t>
      </w:r>
      <w:r w:rsidRPr="004007BB">
        <w:rPr>
          <w:rFonts w:hint="eastAsia"/>
          <w:color w:val="auto"/>
        </w:rPr>
        <w:t>亿元，第</w:t>
      </w:r>
      <w:r w:rsidRPr="004007BB">
        <w:rPr>
          <w:rFonts w:hint="eastAsia"/>
          <w:color w:val="auto"/>
        </w:rPr>
        <w:t>3</w:t>
      </w:r>
      <w:r w:rsidRPr="004007BB">
        <w:rPr>
          <w:rFonts w:hint="eastAsia"/>
          <w:color w:val="auto"/>
        </w:rPr>
        <w:t>周通过</w:t>
      </w:r>
      <w:r w:rsidRPr="004007BB">
        <w:rPr>
          <w:rFonts w:hint="eastAsia"/>
          <w:color w:val="auto"/>
        </w:rPr>
        <w:t>8700</w:t>
      </w:r>
      <w:r w:rsidRPr="004007BB">
        <w:rPr>
          <w:rFonts w:hint="eastAsia"/>
          <w:color w:val="auto"/>
        </w:rPr>
        <w:t>亿元逆回购操作实现</w:t>
      </w:r>
      <w:r w:rsidRPr="004007BB">
        <w:rPr>
          <w:rFonts w:hint="eastAsia"/>
          <w:color w:val="auto"/>
        </w:rPr>
        <w:t>6800</w:t>
      </w:r>
      <w:r w:rsidRPr="004007BB">
        <w:rPr>
          <w:rFonts w:hint="eastAsia"/>
          <w:color w:val="auto"/>
        </w:rPr>
        <w:t>亿元资金净投放。除此之外，央行分别在</w:t>
      </w:r>
      <w:r w:rsidRPr="004007BB">
        <w:rPr>
          <w:rFonts w:hint="eastAsia"/>
          <w:color w:val="auto"/>
        </w:rPr>
        <w:t>13</w:t>
      </w:r>
      <w:r w:rsidRPr="004007BB">
        <w:rPr>
          <w:rFonts w:hint="eastAsia"/>
          <w:color w:val="auto"/>
        </w:rPr>
        <w:t>日、</w:t>
      </w:r>
      <w:r w:rsidRPr="004007BB">
        <w:rPr>
          <w:rFonts w:hint="eastAsia"/>
          <w:color w:val="auto"/>
        </w:rPr>
        <w:t>18</w:t>
      </w:r>
      <w:r w:rsidRPr="004007BB">
        <w:rPr>
          <w:rFonts w:hint="eastAsia"/>
          <w:color w:val="auto"/>
        </w:rPr>
        <w:t>日和</w:t>
      </w:r>
      <w:r w:rsidRPr="004007BB">
        <w:rPr>
          <w:rFonts w:hint="eastAsia"/>
          <w:color w:val="auto"/>
        </w:rPr>
        <w:t>25</w:t>
      </w:r>
      <w:r w:rsidRPr="004007BB">
        <w:rPr>
          <w:rFonts w:hint="eastAsia"/>
          <w:color w:val="auto"/>
        </w:rPr>
        <w:t>日进行</w:t>
      </w:r>
      <w:r w:rsidRPr="004007BB">
        <w:rPr>
          <w:rFonts w:hint="eastAsia"/>
          <w:color w:val="auto"/>
        </w:rPr>
        <w:t>2855</w:t>
      </w:r>
      <w:r w:rsidRPr="004007BB">
        <w:rPr>
          <w:rFonts w:hint="eastAsia"/>
          <w:color w:val="auto"/>
        </w:rPr>
        <w:t>亿元、</w:t>
      </w:r>
      <w:r w:rsidRPr="004007BB">
        <w:rPr>
          <w:rFonts w:hint="eastAsia"/>
          <w:color w:val="auto"/>
        </w:rPr>
        <w:t>1625</w:t>
      </w:r>
      <w:r w:rsidRPr="004007BB">
        <w:rPr>
          <w:rFonts w:hint="eastAsia"/>
          <w:color w:val="auto"/>
        </w:rPr>
        <w:t>亿元及</w:t>
      </w:r>
      <w:r w:rsidRPr="004007BB">
        <w:rPr>
          <w:rFonts w:hint="eastAsia"/>
          <w:color w:val="auto"/>
        </w:rPr>
        <w:t>2670</w:t>
      </w:r>
      <w:r w:rsidRPr="004007BB">
        <w:rPr>
          <w:rFonts w:hint="eastAsia"/>
          <w:color w:val="auto"/>
        </w:rPr>
        <w:t>亿元中期借贷便利操作，以对冲当月</w:t>
      </w:r>
      <w:r w:rsidRPr="004007BB">
        <w:rPr>
          <w:rFonts w:hint="eastAsia"/>
          <w:color w:val="auto"/>
        </w:rPr>
        <w:t>5510</w:t>
      </w:r>
      <w:r w:rsidRPr="004007BB">
        <w:rPr>
          <w:rFonts w:hint="eastAsia"/>
          <w:color w:val="auto"/>
        </w:rPr>
        <w:t>亿元</w:t>
      </w:r>
      <w:r w:rsidRPr="004007BB">
        <w:rPr>
          <w:rFonts w:hint="eastAsia"/>
          <w:color w:val="auto"/>
        </w:rPr>
        <w:t>MLF</w:t>
      </w:r>
      <w:r w:rsidRPr="004007BB">
        <w:rPr>
          <w:rFonts w:hint="eastAsia"/>
          <w:color w:val="auto"/>
        </w:rPr>
        <w:t>到期及部分短期流动性投放到期。</w:t>
      </w:r>
    </w:p>
    <w:p w:rsidR="00C04724" w:rsidRPr="004007BB" w:rsidRDefault="00C04724" w:rsidP="00C04724">
      <w:pPr>
        <w:pStyle w:val="a0"/>
        <w:widowControl/>
        <w:numPr>
          <w:ilvl w:val="4"/>
          <w:numId w:val="3"/>
        </w:numPr>
        <w:rPr>
          <w:color w:val="auto"/>
        </w:rPr>
      </w:pPr>
      <w:r w:rsidRPr="004007BB">
        <w:rPr>
          <w:rFonts w:hint="eastAsia"/>
          <w:color w:val="auto"/>
        </w:rPr>
        <w:t>此后资金面在税款上缴等短期因素冲击下仍将面临阶段性波动，但由于目前央行货币政策施行与</w:t>
      </w:r>
      <w:r w:rsidRPr="004007BB">
        <w:rPr>
          <w:rFonts w:hint="eastAsia"/>
          <w:color w:val="auto"/>
        </w:rPr>
        <w:t>2013</w:t>
      </w:r>
      <w:r w:rsidRPr="004007BB">
        <w:rPr>
          <w:rFonts w:hint="eastAsia"/>
          <w:color w:val="auto"/>
        </w:rPr>
        <w:t>年相比已较为成熟，通过公开市场操作及新型货币政策工具可以较为有效的对</w:t>
      </w:r>
      <w:proofErr w:type="gramStart"/>
      <w:r w:rsidRPr="004007BB">
        <w:rPr>
          <w:rFonts w:hint="eastAsia"/>
          <w:color w:val="auto"/>
        </w:rPr>
        <w:t>冲资金</w:t>
      </w:r>
      <w:proofErr w:type="gramEnd"/>
      <w:r w:rsidRPr="004007BB">
        <w:rPr>
          <w:rFonts w:hint="eastAsia"/>
          <w:color w:val="auto"/>
        </w:rPr>
        <w:t>面波动，预计资金投放短期、滚动型操作之下资金面将继续窄幅波动，但整体波动幅度可控。与此同时，通胀涨势温和但仍将限制货币政策宽松空间，货币政策大规模宽松可能性不大。整体来看，后续流动性稳定性仍旧较弱，资金</w:t>
      </w:r>
      <w:proofErr w:type="gramStart"/>
      <w:r w:rsidRPr="004007BB">
        <w:rPr>
          <w:rFonts w:hint="eastAsia"/>
          <w:color w:val="auto"/>
        </w:rPr>
        <w:t>面整体</w:t>
      </w:r>
      <w:proofErr w:type="gramEnd"/>
      <w:r w:rsidRPr="004007BB">
        <w:rPr>
          <w:rFonts w:hint="eastAsia"/>
          <w:color w:val="auto"/>
        </w:rPr>
        <w:t>将维持适度宽松，同时需警惕基本面回暖造成的货币政策收紧的风险。</w:t>
      </w:r>
    </w:p>
    <w:p w:rsidR="00C04724" w:rsidRPr="00C04724" w:rsidRDefault="00C04724" w:rsidP="00C04724">
      <w:pPr>
        <w:pStyle w:val="a0"/>
        <w:numPr>
          <w:ilvl w:val="0"/>
          <w:numId w:val="4"/>
        </w:numPr>
        <w:tabs>
          <w:tab w:val="clear" w:pos="4329"/>
        </w:tabs>
        <w:spacing w:line="240" w:lineRule="auto"/>
        <w:ind w:left="3402"/>
        <w:rPr>
          <w:rFonts w:ascii="楷体_GB2312"/>
          <w:b/>
          <w:color w:val="00B0F0"/>
        </w:rPr>
      </w:pPr>
      <w:r w:rsidRPr="00C04724">
        <w:rPr>
          <w:rFonts w:ascii="楷体_GB2312" w:hint="eastAsia"/>
          <w:b/>
          <w:color w:val="00B0F0"/>
        </w:rPr>
        <w:t>债券市场：</w:t>
      </w:r>
      <w:r w:rsidR="004007BB">
        <w:rPr>
          <w:rFonts w:ascii="楷体_GB2312" w:hint="eastAsia"/>
          <w:b/>
          <w:color w:val="00B0F0"/>
        </w:rPr>
        <w:t>股市持续震荡，债市大幅调整</w:t>
      </w:r>
    </w:p>
    <w:p w:rsidR="00C04724" w:rsidRPr="00C04724" w:rsidRDefault="00C04724" w:rsidP="00C04724">
      <w:pPr>
        <w:pStyle w:val="a0"/>
        <w:widowControl/>
        <w:numPr>
          <w:ilvl w:val="4"/>
          <w:numId w:val="3"/>
        </w:numPr>
        <w:rPr>
          <w:color w:val="auto"/>
        </w:rPr>
      </w:pPr>
      <w:r w:rsidRPr="00C04724">
        <w:rPr>
          <w:rFonts w:hint="eastAsia"/>
          <w:color w:val="auto"/>
        </w:rPr>
        <w:t>4</w:t>
      </w:r>
      <w:r w:rsidRPr="00C04724">
        <w:rPr>
          <w:rFonts w:hint="eastAsia"/>
          <w:color w:val="auto"/>
        </w:rPr>
        <w:t>月权益市场继续呈现震荡行情，上证综指在前两周小幅反弹</w:t>
      </w:r>
      <w:r w:rsidRPr="00C04724">
        <w:rPr>
          <w:rFonts w:hint="eastAsia"/>
          <w:color w:val="auto"/>
        </w:rPr>
        <w:t>2.61%</w:t>
      </w:r>
      <w:r w:rsidRPr="00C04724">
        <w:rPr>
          <w:rFonts w:hint="eastAsia"/>
          <w:color w:val="auto"/>
        </w:rPr>
        <w:t>之后第三周震荡回落，截至</w:t>
      </w:r>
      <w:r w:rsidRPr="00C04724">
        <w:rPr>
          <w:rFonts w:hint="eastAsia"/>
          <w:color w:val="auto"/>
        </w:rPr>
        <w:t>4</w:t>
      </w:r>
      <w:r w:rsidRPr="00C04724">
        <w:rPr>
          <w:rFonts w:hint="eastAsia"/>
          <w:color w:val="auto"/>
        </w:rPr>
        <w:t>月</w:t>
      </w:r>
      <w:r w:rsidRPr="00C04724">
        <w:rPr>
          <w:rFonts w:hint="eastAsia"/>
          <w:color w:val="auto"/>
        </w:rPr>
        <w:t>25</w:t>
      </w:r>
      <w:r w:rsidRPr="00C04724">
        <w:rPr>
          <w:rFonts w:hint="eastAsia"/>
          <w:color w:val="auto"/>
        </w:rPr>
        <w:t>日上证综指累计下行</w:t>
      </w:r>
      <w:r w:rsidRPr="00C04724">
        <w:rPr>
          <w:rFonts w:hint="eastAsia"/>
          <w:color w:val="auto"/>
        </w:rPr>
        <w:t>1.91%</w:t>
      </w:r>
      <w:r w:rsidRPr="00C04724">
        <w:rPr>
          <w:rFonts w:hint="eastAsia"/>
          <w:color w:val="auto"/>
        </w:rPr>
        <w:t>，创业</w:t>
      </w:r>
      <w:proofErr w:type="gramStart"/>
      <w:r w:rsidRPr="00C04724">
        <w:rPr>
          <w:rFonts w:hint="eastAsia"/>
          <w:color w:val="auto"/>
        </w:rPr>
        <w:t>版指数</w:t>
      </w:r>
      <w:proofErr w:type="gramEnd"/>
      <w:r w:rsidRPr="00C04724">
        <w:rPr>
          <w:rFonts w:hint="eastAsia"/>
          <w:color w:val="auto"/>
        </w:rPr>
        <w:t>累计下行</w:t>
      </w:r>
      <w:r w:rsidRPr="00C04724">
        <w:rPr>
          <w:rFonts w:hint="eastAsia"/>
          <w:color w:val="auto"/>
        </w:rPr>
        <w:t>4.98%</w:t>
      </w:r>
      <w:r w:rsidRPr="00C04724">
        <w:rPr>
          <w:rFonts w:hint="eastAsia"/>
          <w:color w:val="auto"/>
        </w:rPr>
        <w:t>。目前股市主要为存量资金博弈，成交量持续下行，其中截至</w:t>
      </w:r>
      <w:r w:rsidRPr="00C04724">
        <w:rPr>
          <w:rFonts w:hint="eastAsia"/>
          <w:color w:val="auto"/>
        </w:rPr>
        <w:t>25</w:t>
      </w:r>
      <w:r w:rsidRPr="00C04724">
        <w:rPr>
          <w:rFonts w:hint="eastAsia"/>
          <w:color w:val="auto"/>
        </w:rPr>
        <w:t>日上证综指成交金额累计下行</w:t>
      </w:r>
      <w:r w:rsidRPr="00C04724">
        <w:rPr>
          <w:rFonts w:hint="eastAsia"/>
          <w:color w:val="auto"/>
        </w:rPr>
        <w:t>44.24%</w:t>
      </w:r>
      <w:r w:rsidRPr="00C04724">
        <w:rPr>
          <w:rFonts w:hint="eastAsia"/>
          <w:color w:val="auto"/>
        </w:rPr>
        <w:t>，两</w:t>
      </w:r>
      <w:proofErr w:type="gramStart"/>
      <w:r w:rsidRPr="00C04724">
        <w:rPr>
          <w:rFonts w:hint="eastAsia"/>
          <w:color w:val="auto"/>
        </w:rPr>
        <w:t>融交易</w:t>
      </w:r>
      <w:proofErr w:type="gramEnd"/>
      <w:r w:rsidRPr="00C04724">
        <w:rPr>
          <w:rFonts w:hint="eastAsia"/>
          <w:color w:val="auto"/>
        </w:rPr>
        <w:t>金额累计减少</w:t>
      </w:r>
      <w:r w:rsidR="000A7456" w:rsidRPr="000A7456">
        <w:rPr>
          <w:rFonts w:hint="eastAsia"/>
          <w:color w:val="auto"/>
        </w:rPr>
        <w:t>53.42</w:t>
      </w:r>
      <w:r w:rsidRPr="000A7456">
        <w:rPr>
          <w:rFonts w:hint="eastAsia"/>
          <w:color w:val="auto"/>
        </w:rPr>
        <w:t>%</w:t>
      </w:r>
      <w:r w:rsidRPr="000A7456">
        <w:rPr>
          <w:rFonts w:hint="eastAsia"/>
          <w:color w:val="auto"/>
        </w:rPr>
        <w:t>，创</w:t>
      </w:r>
      <w:r w:rsidRPr="00C04724">
        <w:rPr>
          <w:rFonts w:hint="eastAsia"/>
          <w:color w:val="auto"/>
        </w:rPr>
        <w:t>业</w:t>
      </w:r>
      <w:proofErr w:type="gramStart"/>
      <w:r w:rsidRPr="00C04724">
        <w:rPr>
          <w:rFonts w:hint="eastAsia"/>
          <w:color w:val="auto"/>
        </w:rPr>
        <w:t>板成交</w:t>
      </w:r>
      <w:proofErr w:type="gramEnd"/>
      <w:r w:rsidRPr="00C04724">
        <w:rPr>
          <w:rFonts w:hint="eastAsia"/>
          <w:color w:val="auto"/>
        </w:rPr>
        <w:t>金额降幅同样显著。整体来看投资者情绪偏谨慎，权益市场短期内难</w:t>
      </w:r>
      <w:proofErr w:type="gramStart"/>
      <w:r w:rsidRPr="00C04724">
        <w:rPr>
          <w:rFonts w:hint="eastAsia"/>
          <w:color w:val="auto"/>
        </w:rPr>
        <w:t>现趋势</w:t>
      </w:r>
      <w:proofErr w:type="gramEnd"/>
      <w:r w:rsidRPr="00C04724">
        <w:rPr>
          <w:rFonts w:hint="eastAsia"/>
          <w:color w:val="auto"/>
        </w:rPr>
        <w:t>性机会。</w:t>
      </w:r>
    </w:p>
    <w:p w:rsidR="00C04724" w:rsidRDefault="00C04724" w:rsidP="00C04724">
      <w:pPr>
        <w:pStyle w:val="a0"/>
        <w:widowControl/>
        <w:numPr>
          <w:ilvl w:val="4"/>
          <w:numId w:val="3"/>
        </w:numPr>
        <w:rPr>
          <w:color w:val="auto"/>
        </w:rPr>
      </w:pPr>
      <w:r w:rsidRPr="00C04724">
        <w:rPr>
          <w:rFonts w:hint="eastAsia"/>
          <w:color w:val="auto"/>
        </w:rPr>
        <w:t>债券市场</w:t>
      </w:r>
      <w:r w:rsidRPr="00C04724">
        <w:rPr>
          <w:rFonts w:hint="eastAsia"/>
          <w:color w:val="auto"/>
        </w:rPr>
        <w:t>4</w:t>
      </w:r>
      <w:r w:rsidRPr="00C04724">
        <w:rPr>
          <w:rFonts w:hint="eastAsia"/>
          <w:color w:val="auto"/>
        </w:rPr>
        <w:t>月出现大幅调整，各主要债券指数均由此前震荡小幅上行行情转为震荡下行。截至</w:t>
      </w:r>
      <w:r w:rsidRPr="00C04724">
        <w:rPr>
          <w:rFonts w:hint="eastAsia"/>
          <w:color w:val="auto"/>
        </w:rPr>
        <w:t>4</w:t>
      </w:r>
      <w:r w:rsidRPr="00C04724">
        <w:rPr>
          <w:rFonts w:hint="eastAsia"/>
          <w:color w:val="auto"/>
        </w:rPr>
        <w:t>月</w:t>
      </w:r>
      <w:r w:rsidRPr="00C04724">
        <w:rPr>
          <w:rFonts w:hint="eastAsia"/>
          <w:color w:val="auto"/>
        </w:rPr>
        <w:t>25</w:t>
      </w:r>
      <w:r w:rsidRPr="00C04724">
        <w:rPr>
          <w:rFonts w:hint="eastAsia"/>
          <w:color w:val="auto"/>
        </w:rPr>
        <w:t>日，中债综合（财富）指数累计下行</w:t>
      </w:r>
      <w:r w:rsidRPr="00C04724">
        <w:rPr>
          <w:rFonts w:hint="eastAsia"/>
          <w:color w:val="auto"/>
        </w:rPr>
        <w:t>0.9%</w:t>
      </w:r>
      <w:r w:rsidRPr="00C04724">
        <w:rPr>
          <w:rFonts w:hint="eastAsia"/>
          <w:color w:val="auto"/>
        </w:rPr>
        <w:t>。分项指数中，当月中债国债（财富）指数及国开债（财富）指数分别下行</w:t>
      </w:r>
      <w:r w:rsidRPr="00C04724">
        <w:rPr>
          <w:rFonts w:hint="eastAsia"/>
          <w:color w:val="auto"/>
        </w:rPr>
        <w:t>1.09%</w:t>
      </w:r>
      <w:r w:rsidRPr="00C04724">
        <w:rPr>
          <w:rFonts w:hint="eastAsia"/>
          <w:color w:val="auto"/>
        </w:rPr>
        <w:t>和</w:t>
      </w:r>
      <w:r w:rsidRPr="00C04724">
        <w:rPr>
          <w:rFonts w:hint="eastAsia"/>
          <w:color w:val="auto"/>
        </w:rPr>
        <w:t>0.86%</w:t>
      </w:r>
      <w:r w:rsidRPr="00C04724">
        <w:rPr>
          <w:rFonts w:hint="eastAsia"/>
          <w:color w:val="auto"/>
        </w:rPr>
        <w:t>，信用债（财富）指数累计下行</w:t>
      </w:r>
      <w:r w:rsidRPr="00C04724">
        <w:rPr>
          <w:rFonts w:hint="eastAsia"/>
          <w:color w:val="auto"/>
        </w:rPr>
        <w:t>0.92%</w:t>
      </w:r>
      <w:r w:rsidR="004007BB">
        <w:rPr>
          <w:rFonts w:hint="eastAsia"/>
          <w:color w:val="auto"/>
        </w:rPr>
        <w:t>，利率债及信用债市场行情</w:t>
      </w:r>
      <w:r w:rsidRPr="00C04724">
        <w:rPr>
          <w:rFonts w:hint="eastAsia"/>
          <w:color w:val="auto"/>
        </w:rPr>
        <w:t>下行均较为明显。</w:t>
      </w:r>
    </w:p>
    <w:tbl>
      <w:tblPr>
        <w:tblStyle w:val="GJStylesChartInsertDoubleCol"/>
        <w:tblW w:w="10771" w:type="dxa"/>
        <w:tblLayout w:type="fixed"/>
        <w:tblLook w:val="07E0" w:firstRow="1" w:lastRow="1" w:firstColumn="1" w:lastColumn="1" w:noHBand="1" w:noVBand="1"/>
      </w:tblPr>
      <w:tblGrid>
        <w:gridCol w:w="5273"/>
        <w:gridCol w:w="236"/>
        <w:gridCol w:w="5262"/>
      </w:tblGrid>
      <w:tr w:rsidR="000A7456" w:rsidTr="000A7456">
        <w:tc>
          <w:tcPr>
            <w:cnfStyle w:val="001000000000" w:firstRow="0" w:lastRow="0" w:firstColumn="1" w:lastColumn="0" w:oddVBand="0" w:evenVBand="0" w:oddHBand="0" w:evenHBand="0" w:firstRowFirstColumn="0" w:firstRowLastColumn="0" w:lastRowFirstColumn="0" w:lastRowLastColumn="0"/>
            <w:tcW w:w="5273" w:type="dxa"/>
          </w:tcPr>
          <w:p w:rsidR="000A7456" w:rsidRPr="000A7456" w:rsidRDefault="000A7456" w:rsidP="000A7456">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10</w:t>
            </w:r>
            <w:r>
              <w:fldChar w:fldCharType="end"/>
            </w:r>
            <w:r>
              <w:rPr>
                <w:rFonts w:hint="eastAsia"/>
              </w:rPr>
              <w:t>：上证综指及成交金额变动情况</w:t>
            </w:r>
          </w:p>
        </w:tc>
        <w:tc>
          <w:tcPr>
            <w:tcW w:w="236" w:type="dxa"/>
          </w:tcPr>
          <w:p w:rsidR="000A7456" w:rsidRDefault="000A7456" w:rsidP="000A7456">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62" w:type="dxa"/>
          </w:tcPr>
          <w:p w:rsidR="000A7456" w:rsidRDefault="000A7456" w:rsidP="000A7456">
            <w:pPr>
              <w:pStyle w:val="GJStylesGraphTitle"/>
              <w:rPr>
                <w:color w:val="auto"/>
              </w:rPr>
            </w:pPr>
            <w:r>
              <w:rPr>
                <w:rFonts w:hint="eastAsia"/>
                <w:color w:val="auto"/>
              </w:rPr>
              <w:t>图表</w:t>
            </w:r>
            <w:r>
              <w:rPr>
                <w:color w:val="auto"/>
              </w:rPr>
              <w:fldChar w:fldCharType="begin"/>
            </w:r>
            <w:r>
              <w:rPr>
                <w:color w:val="auto"/>
              </w:rPr>
              <w:instrText xml:space="preserve"> </w:instrText>
            </w:r>
            <w:r>
              <w:rPr>
                <w:rFonts w:hint="eastAsia"/>
                <w:color w:val="auto"/>
              </w:rPr>
              <w:instrText xml:space="preserve">SEQ </w:instrText>
            </w:r>
            <w:r>
              <w:rPr>
                <w:rFonts w:hint="eastAsia"/>
                <w:color w:val="auto"/>
              </w:rPr>
              <w:instrText>图表</w:instrText>
            </w:r>
            <w:r>
              <w:rPr>
                <w:rFonts w:hint="eastAsia"/>
                <w:color w:val="auto"/>
              </w:rPr>
              <w:instrText xml:space="preserve"> \* ARABIC  \* MERGEFORMAT</w:instrText>
            </w:r>
            <w:r>
              <w:rPr>
                <w:color w:val="auto"/>
              </w:rPr>
              <w:instrText xml:space="preserve"> </w:instrText>
            </w:r>
            <w:r>
              <w:rPr>
                <w:color w:val="auto"/>
              </w:rPr>
              <w:fldChar w:fldCharType="separate"/>
            </w:r>
            <w:r>
              <w:rPr>
                <w:noProof/>
                <w:color w:val="auto"/>
              </w:rPr>
              <w:t>11</w:t>
            </w:r>
            <w:r>
              <w:rPr>
                <w:color w:val="auto"/>
              </w:rPr>
              <w:fldChar w:fldCharType="end"/>
            </w:r>
            <w:r>
              <w:rPr>
                <w:rFonts w:hint="eastAsia"/>
                <w:color w:val="auto"/>
              </w:rPr>
              <w:t>：</w:t>
            </w:r>
            <w:r>
              <w:rPr>
                <w:rFonts w:ascii="楷体_GB2312" w:hint="eastAsia"/>
                <w:color w:val="auto"/>
              </w:rPr>
              <w:t>债券市场主要指数走势</w:t>
            </w:r>
          </w:p>
        </w:tc>
      </w:tr>
      <w:tr w:rsidR="000A7456" w:rsidTr="000A7456">
        <w:trPr>
          <w:trHeight w:val="3016"/>
        </w:trPr>
        <w:tc>
          <w:tcPr>
            <w:cnfStyle w:val="001000000000" w:firstRow="0" w:lastRow="0" w:firstColumn="1" w:lastColumn="0" w:oddVBand="0" w:evenVBand="0" w:oddHBand="0" w:evenHBand="0" w:firstRowFirstColumn="0" w:firstRowLastColumn="0" w:lastRowFirstColumn="0" w:lastRowLastColumn="0"/>
            <w:tcW w:w="5273" w:type="dxa"/>
          </w:tcPr>
          <w:p w:rsidR="000A7456" w:rsidRPr="000A7456" w:rsidRDefault="000A7456" w:rsidP="000A7456">
            <w:r>
              <w:rPr>
                <w:noProof/>
              </w:rPr>
              <w:drawing>
                <wp:inline distT="0" distB="0" distL="0" distR="0" wp14:anchorId="2D48C8DA">
                  <wp:extent cx="3343046" cy="2036323"/>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47993" cy="2039337"/>
                          </a:xfrm>
                          <a:prstGeom prst="rect">
                            <a:avLst/>
                          </a:prstGeom>
                          <a:noFill/>
                        </pic:spPr>
                      </pic:pic>
                    </a:graphicData>
                  </a:graphic>
                </wp:inline>
              </w:drawing>
            </w:r>
          </w:p>
        </w:tc>
        <w:tc>
          <w:tcPr>
            <w:tcW w:w="236" w:type="dxa"/>
          </w:tcPr>
          <w:p w:rsidR="000A7456" w:rsidRDefault="000A7456" w:rsidP="000A7456">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62" w:type="dxa"/>
          </w:tcPr>
          <w:p w:rsidR="000A7456" w:rsidRPr="000A7456" w:rsidRDefault="000A7456" w:rsidP="000A7456">
            <w:r>
              <w:rPr>
                <w:noProof/>
              </w:rPr>
              <w:drawing>
                <wp:inline distT="0" distB="0" distL="0" distR="0" wp14:anchorId="51525094">
                  <wp:extent cx="3312445" cy="203362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18950" cy="2037619"/>
                          </a:xfrm>
                          <a:prstGeom prst="rect">
                            <a:avLst/>
                          </a:prstGeom>
                          <a:noFill/>
                        </pic:spPr>
                      </pic:pic>
                    </a:graphicData>
                  </a:graphic>
                </wp:inline>
              </w:drawing>
            </w:r>
          </w:p>
        </w:tc>
      </w:tr>
      <w:tr w:rsidR="000A7456" w:rsidTr="000A7456">
        <w:tc>
          <w:tcPr>
            <w:tcW w:w="5273" w:type="dxa"/>
          </w:tcPr>
          <w:p w:rsidR="000A7456" w:rsidRDefault="000A7456" w:rsidP="000A745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注：数据截至</w:t>
            </w:r>
            <w:r>
              <w:rPr>
                <w:rFonts w:hint="eastAsia"/>
              </w:rPr>
              <w:t>2016</w:t>
            </w:r>
            <w:r>
              <w:rPr>
                <w:rFonts w:hint="eastAsia"/>
              </w:rPr>
              <w:t>年</w:t>
            </w:r>
            <w:r>
              <w:rPr>
                <w:rFonts w:hint="eastAsia"/>
              </w:rPr>
              <w:t>4</w:t>
            </w:r>
            <w:r>
              <w:rPr>
                <w:rFonts w:hint="eastAsia"/>
              </w:rPr>
              <w:t>月</w:t>
            </w:r>
            <w:r>
              <w:rPr>
                <w:rFonts w:hint="eastAsia"/>
              </w:rPr>
              <w:t>25</w:t>
            </w:r>
            <w:r>
              <w:rPr>
                <w:rFonts w:hint="eastAsia"/>
              </w:rPr>
              <w:t>日。</w:t>
            </w:r>
            <w:r>
              <w:rPr>
                <w:rFonts w:hint="eastAsia"/>
              </w:rPr>
              <w:t xml:space="preserve"> </w:t>
            </w:r>
          </w:p>
          <w:p w:rsidR="000A7456" w:rsidRDefault="000A7456" w:rsidP="000A745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WIND</w:t>
            </w:r>
            <w:r>
              <w:t xml:space="preserve"> </w:t>
            </w:r>
          </w:p>
        </w:tc>
        <w:tc>
          <w:tcPr>
            <w:tcW w:w="236" w:type="dxa"/>
          </w:tcPr>
          <w:p w:rsidR="000A7456" w:rsidRDefault="000A7456" w:rsidP="000A7456">
            <w:pPr>
              <w:pStyle w:val="GJStylesGraphSource"/>
            </w:pPr>
          </w:p>
        </w:tc>
        <w:tc>
          <w:tcPr>
            <w:tcW w:w="5262" w:type="dxa"/>
          </w:tcPr>
          <w:p w:rsidR="000A7456" w:rsidRDefault="000A7456" w:rsidP="000A745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注：数据截至</w:t>
            </w:r>
            <w:r>
              <w:rPr>
                <w:rFonts w:hint="eastAsia"/>
              </w:rPr>
              <w:t>2016</w:t>
            </w:r>
            <w:r>
              <w:rPr>
                <w:rFonts w:hint="eastAsia"/>
              </w:rPr>
              <w:t>年</w:t>
            </w:r>
            <w:r>
              <w:rPr>
                <w:rFonts w:hint="eastAsia"/>
              </w:rPr>
              <w:t>4</w:t>
            </w:r>
            <w:r>
              <w:rPr>
                <w:rFonts w:hint="eastAsia"/>
              </w:rPr>
              <w:t>月</w:t>
            </w:r>
            <w:r>
              <w:rPr>
                <w:rFonts w:hint="eastAsia"/>
              </w:rPr>
              <w:t>25</w:t>
            </w:r>
            <w:r>
              <w:rPr>
                <w:rFonts w:hint="eastAsia"/>
              </w:rPr>
              <w:t>日。</w:t>
            </w:r>
            <w:r>
              <w:rPr>
                <w:rFonts w:hint="eastAsia"/>
              </w:rPr>
              <w:t xml:space="preserve"> </w:t>
            </w:r>
          </w:p>
          <w:p w:rsidR="000A7456" w:rsidRDefault="000A7456" w:rsidP="000A745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Pr>
                <w:rFonts w:hint="eastAsia"/>
              </w:rPr>
              <w:t>WIND</w:t>
            </w:r>
            <w:r>
              <w:t xml:space="preserve"> </w:t>
            </w:r>
          </w:p>
        </w:tc>
      </w:tr>
    </w:tbl>
    <w:p w:rsidR="00C04724" w:rsidRPr="00C04724" w:rsidRDefault="00C04724" w:rsidP="00C04724">
      <w:pPr>
        <w:pStyle w:val="a0"/>
        <w:widowControl/>
        <w:numPr>
          <w:ilvl w:val="4"/>
          <w:numId w:val="3"/>
        </w:numPr>
        <w:rPr>
          <w:color w:val="auto"/>
        </w:rPr>
      </w:pPr>
      <w:r w:rsidRPr="00C04724">
        <w:rPr>
          <w:rFonts w:hint="eastAsia"/>
          <w:color w:val="auto"/>
        </w:rPr>
        <w:t>4</w:t>
      </w:r>
      <w:r w:rsidR="00D12D7D">
        <w:rPr>
          <w:rFonts w:hint="eastAsia"/>
          <w:color w:val="auto"/>
        </w:rPr>
        <w:t>月国债一级市场发行</w:t>
      </w:r>
      <w:proofErr w:type="gramStart"/>
      <w:r w:rsidR="00D12D7D">
        <w:rPr>
          <w:rFonts w:hint="eastAsia"/>
          <w:color w:val="auto"/>
        </w:rPr>
        <w:t>规模环</w:t>
      </w:r>
      <w:proofErr w:type="gramEnd"/>
      <w:r w:rsidR="00D12D7D">
        <w:rPr>
          <w:rFonts w:hint="eastAsia"/>
          <w:color w:val="auto"/>
        </w:rPr>
        <w:t>比</w:t>
      </w:r>
      <w:r w:rsidRPr="00C04724">
        <w:rPr>
          <w:rFonts w:hint="eastAsia"/>
          <w:color w:val="auto"/>
        </w:rPr>
        <w:t>增长，政策银行债发行</w:t>
      </w:r>
      <w:proofErr w:type="gramStart"/>
      <w:r w:rsidRPr="00C04724">
        <w:rPr>
          <w:rFonts w:hint="eastAsia"/>
          <w:color w:val="auto"/>
        </w:rPr>
        <w:t>规模环</w:t>
      </w:r>
      <w:proofErr w:type="gramEnd"/>
      <w:r w:rsidRPr="00C04724">
        <w:rPr>
          <w:rFonts w:hint="eastAsia"/>
          <w:color w:val="auto"/>
        </w:rPr>
        <w:t>比有所下降但剔除工作日影响因素后略高于上月全月发行规模，同时国债与政策银行债发行利率均有所上行。截至</w:t>
      </w:r>
      <w:r w:rsidRPr="00C04724">
        <w:rPr>
          <w:rFonts w:hint="eastAsia"/>
          <w:color w:val="auto"/>
        </w:rPr>
        <w:t>4</w:t>
      </w:r>
      <w:r w:rsidRPr="00C04724">
        <w:rPr>
          <w:rFonts w:hint="eastAsia"/>
          <w:color w:val="auto"/>
        </w:rPr>
        <w:t>月</w:t>
      </w:r>
      <w:r w:rsidRPr="00C04724">
        <w:rPr>
          <w:rFonts w:hint="eastAsia"/>
          <w:color w:val="auto"/>
        </w:rPr>
        <w:t>25</w:t>
      </w:r>
      <w:r w:rsidRPr="00C04724">
        <w:rPr>
          <w:rFonts w:hint="eastAsia"/>
          <w:color w:val="auto"/>
        </w:rPr>
        <w:t>日，当月共发行国债</w:t>
      </w:r>
      <w:r w:rsidRPr="00C04724">
        <w:rPr>
          <w:rFonts w:hint="eastAsia"/>
          <w:color w:val="auto"/>
        </w:rPr>
        <w:t>2441.40</w:t>
      </w:r>
      <w:r w:rsidRPr="00C04724">
        <w:rPr>
          <w:rFonts w:hint="eastAsia"/>
          <w:color w:val="auto"/>
        </w:rPr>
        <w:t>亿元，环比大幅增长</w:t>
      </w:r>
      <w:r w:rsidRPr="00C04724">
        <w:rPr>
          <w:rFonts w:hint="eastAsia"/>
          <w:color w:val="auto"/>
        </w:rPr>
        <w:t>35.63%</w:t>
      </w:r>
      <w:r w:rsidRPr="00C04724">
        <w:rPr>
          <w:rFonts w:hint="eastAsia"/>
          <w:color w:val="auto"/>
        </w:rPr>
        <w:t>，国债供给扩容仍在持续；同期共发行政策银行债</w:t>
      </w:r>
      <w:r w:rsidRPr="00C04724">
        <w:rPr>
          <w:rFonts w:hint="eastAsia"/>
          <w:color w:val="auto"/>
        </w:rPr>
        <w:t>3280</w:t>
      </w:r>
      <w:r w:rsidRPr="00C04724">
        <w:rPr>
          <w:rFonts w:hint="eastAsia"/>
          <w:color w:val="auto"/>
        </w:rPr>
        <w:t>亿元，相比</w:t>
      </w:r>
      <w:r w:rsidRPr="00C04724">
        <w:rPr>
          <w:rFonts w:hint="eastAsia"/>
          <w:color w:val="auto"/>
        </w:rPr>
        <w:t>3</w:t>
      </w:r>
      <w:r w:rsidRPr="00C04724">
        <w:rPr>
          <w:rFonts w:hint="eastAsia"/>
          <w:color w:val="auto"/>
        </w:rPr>
        <w:t>月全月减少</w:t>
      </w:r>
      <w:r w:rsidRPr="00C04724">
        <w:rPr>
          <w:rFonts w:hint="eastAsia"/>
          <w:color w:val="auto"/>
        </w:rPr>
        <w:t>19.63%</w:t>
      </w:r>
      <w:r w:rsidRPr="00C04724">
        <w:rPr>
          <w:rFonts w:hint="eastAsia"/>
          <w:color w:val="auto"/>
        </w:rPr>
        <w:t>，但剔除工作日因素影响后实际发行速度略高于上月整体水平。发行利率方面，</w:t>
      </w:r>
      <w:r w:rsidRPr="00C04724">
        <w:rPr>
          <w:rFonts w:hint="eastAsia"/>
          <w:color w:val="auto"/>
        </w:rPr>
        <w:t>4</w:t>
      </w:r>
      <w:r w:rsidRPr="00C04724">
        <w:rPr>
          <w:rFonts w:hint="eastAsia"/>
          <w:color w:val="auto"/>
        </w:rPr>
        <w:t>月国债发行</w:t>
      </w:r>
      <w:proofErr w:type="gramStart"/>
      <w:r w:rsidRPr="00C04724">
        <w:rPr>
          <w:rFonts w:hint="eastAsia"/>
          <w:color w:val="auto"/>
        </w:rPr>
        <w:t>利率环</w:t>
      </w:r>
      <w:proofErr w:type="gramEnd"/>
      <w:r w:rsidRPr="00C04724">
        <w:rPr>
          <w:rFonts w:hint="eastAsia"/>
          <w:color w:val="auto"/>
        </w:rPr>
        <w:t>比上行</w:t>
      </w:r>
      <w:r w:rsidRPr="00C04724">
        <w:rPr>
          <w:rFonts w:hint="eastAsia"/>
          <w:color w:val="auto"/>
        </w:rPr>
        <w:t>26BP</w:t>
      </w:r>
      <w:r w:rsidRPr="00C04724">
        <w:rPr>
          <w:rFonts w:hint="eastAsia"/>
          <w:color w:val="auto"/>
        </w:rPr>
        <w:t>，政策</w:t>
      </w:r>
      <w:proofErr w:type="gramStart"/>
      <w:r w:rsidRPr="00C04724">
        <w:rPr>
          <w:rFonts w:hint="eastAsia"/>
          <w:color w:val="auto"/>
        </w:rPr>
        <w:t>银行债招投标</w:t>
      </w:r>
      <w:proofErr w:type="gramEnd"/>
      <w:r w:rsidRPr="00C04724">
        <w:rPr>
          <w:rFonts w:hint="eastAsia"/>
          <w:color w:val="auto"/>
        </w:rPr>
        <w:t>利率增长</w:t>
      </w:r>
      <w:r w:rsidRPr="00C04724">
        <w:rPr>
          <w:rFonts w:hint="eastAsia"/>
          <w:color w:val="auto"/>
        </w:rPr>
        <w:t>5BP</w:t>
      </w:r>
      <w:r w:rsidRPr="00C04724">
        <w:rPr>
          <w:rFonts w:hint="eastAsia"/>
          <w:color w:val="auto"/>
        </w:rPr>
        <w:t>，整体来看利率债供给继续扩容之下招投标利率有所增长但增幅较为可控。</w:t>
      </w:r>
    </w:p>
    <w:p w:rsidR="00C04724" w:rsidRDefault="00C04724" w:rsidP="00C04724">
      <w:pPr>
        <w:pStyle w:val="a0"/>
        <w:widowControl/>
        <w:numPr>
          <w:ilvl w:val="4"/>
          <w:numId w:val="3"/>
        </w:numPr>
        <w:rPr>
          <w:color w:val="auto"/>
        </w:rPr>
      </w:pPr>
      <w:r w:rsidRPr="00C04724">
        <w:rPr>
          <w:rFonts w:hint="eastAsia"/>
          <w:color w:val="auto"/>
        </w:rPr>
        <w:t>4</w:t>
      </w:r>
      <w:r w:rsidRPr="00C04724">
        <w:rPr>
          <w:rFonts w:hint="eastAsia"/>
          <w:color w:val="auto"/>
        </w:rPr>
        <w:t>月国债与金融债二级市场成交情况出现分化，到期收益率向上调整，国债与国开债利差拉大。具体来看，截至</w:t>
      </w:r>
      <w:r w:rsidRPr="00C04724">
        <w:rPr>
          <w:rFonts w:hint="eastAsia"/>
          <w:color w:val="auto"/>
        </w:rPr>
        <w:t>4</w:t>
      </w:r>
      <w:r w:rsidRPr="00C04724">
        <w:rPr>
          <w:rFonts w:hint="eastAsia"/>
          <w:color w:val="auto"/>
        </w:rPr>
        <w:t>月</w:t>
      </w:r>
      <w:r w:rsidRPr="00C04724">
        <w:rPr>
          <w:rFonts w:hint="eastAsia"/>
          <w:color w:val="auto"/>
        </w:rPr>
        <w:t>25</w:t>
      </w:r>
      <w:r w:rsidRPr="00C04724">
        <w:rPr>
          <w:rFonts w:hint="eastAsia"/>
          <w:color w:val="auto"/>
        </w:rPr>
        <w:t>日国债二级市场成交金额达到</w:t>
      </w:r>
      <w:r w:rsidRPr="00C04724">
        <w:rPr>
          <w:rFonts w:hint="eastAsia"/>
          <w:color w:val="auto"/>
        </w:rPr>
        <w:t>8363.10</w:t>
      </w:r>
      <w:r w:rsidRPr="00C04724">
        <w:rPr>
          <w:rFonts w:hint="eastAsia"/>
          <w:color w:val="auto"/>
        </w:rPr>
        <w:t>亿元，扣除工作日影响后环比增长</w:t>
      </w:r>
      <w:r w:rsidRPr="00C04724">
        <w:rPr>
          <w:rFonts w:hint="eastAsia"/>
          <w:color w:val="auto"/>
        </w:rPr>
        <w:t>10%</w:t>
      </w:r>
      <w:r w:rsidRPr="00C04724">
        <w:rPr>
          <w:rFonts w:hint="eastAsia"/>
          <w:color w:val="auto"/>
        </w:rPr>
        <w:t>以上；而金融债当月成交规模</w:t>
      </w:r>
      <w:r w:rsidR="004007BB">
        <w:rPr>
          <w:rFonts w:hint="eastAsia"/>
          <w:color w:val="auto"/>
        </w:rPr>
        <w:t>3.62</w:t>
      </w:r>
      <w:proofErr w:type="gramStart"/>
      <w:r w:rsidR="004007BB">
        <w:rPr>
          <w:rFonts w:hint="eastAsia"/>
          <w:color w:val="auto"/>
        </w:rPr>
        <w:t>万</w:t>
      </w:r>
      <w:r w:rsidRPr="00C04724">
        <w:rPr>
          <w:rFonts w:hint="eastAsia"/>
          <w:color w:val="auto"/>
        </w:rPr>
        <w:t>亿</w:t>
      </w:r>
      <w:proofErr w:type="gramEnd"/>
      <w:r w:rsidRPr="00C04724">
        <w:rPr>
          <w:rFonts w:hint="eastAsia"/>
          <w:color w:val="auto"/>
        </w:rPr>
        <w:t>元，即使扣除工作日影响后环比仍小幅下降。到期收益率</w:t>
      </w:r>
      <w:r w:rsidRPr="00C04724">
        <w:rPr>
          <w:rFonts w:hint="eastAsia"/>
          <w:color w:val="auto"/>
        </w:rPr>
        <w:lastRenderedPageBreak/>
        <w:t>方面，</w:t>
      </w:r>
      <w:r w:rsidRPr="00C04724">
        <w:rPr>
          <w:rFonts w:hint="eastAsia"/>
          <w:color w:val="auto"/>
        </w:rPr>
        <w:t>4</w:t>
      </w:r>
      <w:r w:rsidRPr="00C04724">
        <w:rPr>
          <w:rFonts w:hint="eastAsia"/>
          <w:color w:val="auto"/>
        </w:rPr>
        <w:t>月各主要期限国债及国开债收益率均有所上行，其中</w:t>
      </w:r>
      <w:r w:rsidRPr="00C04724">
        <w:rPr>
          <w:rFonts w:hint="eastAsia"/>
          <w:color w:val="auto"/>
        </w:rPr>
        <w:t>1</w:t>
      </w:r>
      <w:r w:rsidRPr="00C04724">
        <w:rPr>
          <w:rFonts w:hint="eastAsia"/>
          <w:color w:val="auto"/>
        </w:rPr>
        <w:t>年期、</w:t>
      </w:r>
      <w:r w:rsidRPr="00C04724">
        <w:rPr>
          <w:rFonts w:hint="eastAsia"/>
          <w:color w:val="auto"/>
        </w:rPr>
        <w:t>5</w:t>
      </w:r>
      <w:r w:rsidRPr="00C04724">
        <w:rPr>
          <w:rFonts w:hint="eastAsia"/>
          <w:color w:val="auto"/>
        </w:rPr>
        <w:t>年期及</w:t>
      </w:r>
      <w:r w:rsidRPr="00C04724">
        <w:rPr>
          <w:rFonts w:hint="eastAsia"/>
          <w:color w:val="auto"/>
        </w:rPr>
        <w:t>10</w:t>
      </w:r>
      <w:r w:rsidRPr="00C04724">
        <w:rPr>
          <w:rFonts w:hint="eastAsia"/>
          <w:color w:val="auto"/>
        </w:rPr>
        <w:t>年期国债收益率相比上</w:t>
      </w:r>
      <w:proofErr w:type="gramStart"/>
      <w:r w:rsidRPr="00C04724">
        <w:rPr>
          <w:rFonts w:hint="eastAsia"/>
          <w:color w:val="auto"/>
        </w:rPr>
        <w:t>月分</w:t>
      </w:r>
      <w:proofErr w:type="gramEnd"/>
      <w:r w:rsidRPr="00C04724">
        <w:rPr>
          <w:rFonts w:hint="eastAsia"/>
          <w:color w:val="auto"/>
        </w:rPr>
        <w:t>别提高</w:t>
      </w:r>
      <w:r w:rsidRPr="00C04724">
        <w:rPr>
          <w:rFonts w:hint="eastAsia"/>
          <w:color w:val="auto"/>
        </w:rPr>
        <w:t>24BP</w:t>
      </w:r>
      <w:r w:rsidRPr="00C04724">
        <w:rPr>
          <w:rFonts w:hint="eastAsia"/>
          <w:color w:val="auto"/>
        </w:rPr>
        <w:t>、</w:t>
      </w:r>
      <w:r w:rsidRPr="00C04724">
        <w:rPr>
          <w:rFonts w:hint="eastAsia"/>
          <w:color w:val="auto"/>
        </w:rPr>
        <w:t>33BP</w:t>
      </w:r>
      <w:r w:rsidRPr="00C04724">
        <w:rPr>
          <w:rFonts w:hint="eastAsia"/>
          <w:color w:val="auto"/>
        </w:rPr>
        <w:t>和</w:t>
      </w:r>
      <w:r w:rsidRPr="00C04724">
        <w:rPr>
          <w:rFonts w:hint="eastAsia"/>
          <w:color w:val="auto"/>
        </w:rPr>
        <w:t>9BP</w:t>
      </w:r>
      <w:r w:rsidRPr="00C04724">
        <w:rPr>
          <w:rFonts w:hint="eastAsia"/>
          <w:color w:val="auto"/>
        </w:rPr>
        <w:t>，而</w:t>
      </w:r>
      <w:r w:rsidRPr="00C04724">
        <w:rPr>
          <w:rFonts w:hint="eastAsia"/>
          <w:color w:val="auto"/>
        </w:rPr>
        <w:t>1</w:t>
      </w:r>
      <w:r w:rsidRPr="00C04724">
        <w:rPr>
          <w:rFonts w:hint="eastAsia"/>
          <w:color w:val="auto"/>
        </w:rPr>
        <w:t>年期、</w:t>
      </w:r>
      <w:r w:rsidRPr="00C04724">
        <w:rPr>
          <w:rFonts w:hint="eastAsia"/>
          <w:color w:val="auto"/>
        </w:rPr>
        <w:t>5</w:t>
      </w:r>
      <w:r w:rsidRPr="00C04724">
        <w:rPr>
          <w:rFonts w:hint="eastAsia"/>
          <w:color w:val="auto"/>
        </w:rPr>
        <w:t>年期和</w:t>
      </w:r>
      <w:r w:rsidRPr="00C04724">
        <w:rPr>
          <w:rFonts w:hint="eastAsia"/>
          <w:color w:val="auto"/>
        </w:rPr>
        <w:t>10</w:t>
      </w:r>
      <w:r w:rsidRPr="00C04724">
        <w:rPr>
          <w:rFonts w:hint="eastAsia"/>
          <w:color w:val="auto"/>
        </w:rPr>
        <w:t>年期国开债</w:t>
      </w:r>
      <w:proofErr w:type="gramStart"/>
      <w:r w:rsidRPr="00C04724">
        <w:rPr>
          <w:rFonts w:hint="eastAsia"/>
          <w:color w:val="auto"/>
        </w:rPr>
        <w:t>收益率环</w:t>
      </w:r>
      <w:proofErr w:type="gramEnd"/>
      <w:r w:rsidRPr="00C04724">
        <w:rPr>
          <w:rFonts w:hint="eastAsia"/>
          <w:color w:val="auto"/>
        </w:rPr>
        <w:t>比分别上行</w:t>
      </w:r>
      <w:r w:rsidRPr="00C04724">
        <w:rPr>
          <w:rFonts w:hint="eastAsia"/>
          <w:color w:val="auto"/>
        </w:rPr>
        <w:t>49BP</w:t>
      </w:r>
      <w:r w:rsidRPr="00C04724">
        <w:rPr>
          <w:rFonts w:hint="eastAsia"/>
          <w:color w:val="auto"/>
        </w:rPr>
        <w:t>、</w:t>
      </w:r>
      <w:r w:rsidRPr="00C04724">
        <w:rPr>
          <w:rFonts w:hint="eastAsia"/>
          <w:color w:val="auto"/>
        </w:rPr>
        <w:t>35BP</w:t>
      </w:r>
      <w:r w:rsidRPr="00C04724">
        <w:rPr>
          <w:rFonts w:hint="eastAsia"/>
          <w:color w:val="auto"/>
        </w:rPr>
        <w:t>和</w:t>
      </w:r>
      <w:r w:rsidRPr="00C04724">
        <w:rPr>
          <w:rFonts w:hint="eastAsia"/>
          <w:color w:val="auto"/>
        </w:rPr>
        <w:t>33BP</w:t>
      </w:r>
      <w:r w:rsidRPr="00C04724">
        <w:rPr>
          <w:rFonts w:hint="eastAsia"/>
          <w:color w:val="auto"/>
        </w:rPr>
        <w:t>。与国债收益相比，国开</w:t>
      </w:r>
      <w:proofErr w:type="gramStart"/>
      <w:r w:rsidRPr="00C04724">
        <w:rPr>
          <w:rFonts w:hint="eastAsia"/>
          <w:color w:val="auto"/>
        </w:rPr>
        <w:t>债收益</w:t>
      </w:r>
      <w:proofErr w:type="gramEnd"/>
      <w:r w:rsidRPr="00C04724">
        <w:rPr>
          <w:rFonts w:hint="eastAsia"/>
          <w:color w:val="auto"/>
        </w:rPr>
        <w:t>上行幅度更为显著，其中</w:t>
      </w:r>
      <w:r w:rsidRPr="00C04724">
        <w:rPr>
          <w:rFonts w:hint="eastAsia"/>
          <w:color w:val="auto"/>
        </w:rPr>
        <w:t>10</w:t>
      </w:r>
      <w:r w:rsidRPr="00C04724">
        <w:rPr>
          <w:rFonts w:hint="eastAsia"/>
          <w:color w:val="auto"/>
        </w:rPr>
        <w:t>年期国债及国开债收益率分别达到</w:t>
      </w:r>
      <w:r w:rsidRPr="00C04724">
        <w:rPr>
          <w:rFonts w:hint="eastAsia"/>
          <w:color w:val="auto"/>
        </w:rPr>
        <w:t>2.94%</w:t>
      </w:r>
      <w:r w:rsidRPr="00C04724">
        <w:rPr>
          <w:rFonts w:hint="eastAsia"/>
          <w:color w:val="auto"/>
        </w:rPr>
        <w:t>和</w:t>
      </w:r>
      <w:r w:rsidRPr="00C04724">
        <w:rPr>
          <w:rFonts w:hint="eastAsia"/>
          <w:color w:val="auto"/>
        </w:rPr>
        <w:t>3.69%</w:t>
      </w:r>
      <w:r w:rsidRPr="00C04724">
        <w:rPr>
          <w:rFonts w:hint="eastAsia"/>
          <w:color w:val="auto"/>
        </w:rPr>
        <w:t>，二者利差相比上月扩大</w:t>
      </w:r>
      <w:r w:rsidRPr="00C04724">
        <w:rPr>
          <w:rFonts w:hint="eastAsia"/>
          <w:color w:val="auto"/>
        </w:rPr>
        <w:t>23BP</w:t>
      </w:r>
      <w:r w:rsidRPr="00C04724">
        <w:rPr>
          <w:rFonts w:hint="eastAsia"/>
          <w:color w:val="auto"/>
        </w:rPr>
        <w:t>至</w:t>
      </w:r>
      <w:r w:rsidRPr="00C04724">
        <w:rPr>
          <w:rFonts w:hint="eastAsia"/>
          <w:color w:val="auto"/>
        </w:rPr>
        <w:t>75BP</w:t>
      </w:r>
      <w:r w:rsidRPr="00C04724">
        <w:rPr>
          <w:rFonts w:hint="eastAsia"/>
          <w:color w:val="auto"/>
        </w:rPr>
        <w:t>。</w:t>
      </w:r>
    </w:p>
    <w:tbl>
      <w:tblPr>
        <w:tblStyle w:val="GJStylesChartInsertDoubleCol"/>
        <w:tblW w:w="10771" w:type="dxa"/>
        <w:tblLayout w:type="fixed"/>
        <w:tblLook w:val="07E0" w:firstRow="1" w:lastRow="1" w:firstColumn="1" w:lastColumn="1" w:noHBand="1" w:noVBand="1"/>
      </w:tblPr>
      <w:tblGrid>
        <w:gridCol w:w="5273"/>
        <w:gridCol w:w="226"/>
        <w:gridCol w:w="5272"/>
      </w:tblGrid>
      <w:tr w:rsidR="000A7456" w:rsidTr="000A7456">
        <w:tc>
          <w:tcPr>
            <w:cnfStyle w:val="001000000000" w:firstRow="0" w:lastRow="0" w:firstColumn="1" w:lastColumn="0" w:oddVBand="0" w:evenVBand="0" w:oddHBand="0" w:evenHBand="0" w:firstRowFirstColumn="0" w:firstRowLastColumn="0" w:lastRowFirstColumn="0" w:lastRowLastColumn="0"/>
            <w:tcW w:w="5273" w:type="dxa"/>
          </w:tcPr>
          <w:p w:rsidR="000A7456" w:rsidRPr="000A7456" w:rsidRDefault="000A7456" w:rsidP="000A7456">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12</w:t>
            </w:r>
            <w:r>
              <w:fldChar w:fldCharType="end"/>
            </w:r>
            <w:r>
              <w:rPr>
                <w:rFonts w:hint="eastAsia"/>
              </w:rPr>
              <w:t>：利率债一级市场发行规模及利率变动情况</w:t>
            </w:r>
          </w:p>
        </w:tc>
        <w:tc>
          <w:tcPr>
            <w:tcW w:w="226" w:type="dxa"/>
          </w:tcPr>
          <w:p w:rsidR="000A7456" w:rsidRDefault="000A7456" w:rsidP="000A7456">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Pr>
          <w:p w:rsidR="000A7456" w:rsidRDefault="000A7456" w:rsidP="000A7456">
            <w:pPr>
              <w:pStyle w:val="GJStylesGraphTitle"/>
              <w:rPr>
                <w:color w:val="auto"/>
              </w:rPr>
            </w:pPr>
            <w:r>
              <w:rPr>
                <w:rFonts w:hint="eastAsia"/>
                <w:color w:val="auto"/>
              </w:rPr>
              <w:t>图表</w:t>
            </w:r>
            <w:r>
              <w:rPr>
                <w:color w:val="auto"/>
              </w:rPr>
              <w:fldChar w:fldCharType="begin"/>
            </w:r>
            <w:r>
              <w:rPr>
                <w:color w:val="auto"/>
              </w:rPr>
              <w:instrText xml:space="preserve"> </w:instrText>
            </w:r>
            <w:r>
              <w:rPr>
                <w:rFonts w:hint="eastAsia"/>
                <w:color w:val="auto"/>
              </w:rPr>
              <w:instrText xml:space="preserve">SEQ </w:instrText>
            </w:r>
            <w:r>
              <w:rPr>
                <w:rFonts w:hint="eastAsia"/>
                <w:color w:val="auto"/>
              </w:rPr>
              <w:instrText>图表</w:instrText>
            </w:r>
            <w:r>
              <w:rPr>
                <w:rFonts w:hint="eastAsia"/>
                <w:color w:val="auto"/>
              </w:rPr>
              <w:instrText xml:space="preserve"> \* ARABIC  \* MERGEFORMAT</w:instrText>
            </w:r>
            <w:r>
              <w:rPr>
                <w:color w:val="auto"/>
              </w:rPr>
              <w:instrText xml:space="preserve"> </w:instrText>
            </w:r>
            <w:r>
              <w:rPr>
                <w:color w:val="auto"/>
              </w:rPr>
              <w:fldChar w:fldCharType="separate"/>
            </w:r>
            <w:r>
              <w:rPr>
                <w:noProof/>
                <w:color w:val="auto"/>
              </w:rPr>
              <w:t>13</w:t>
            </w:r>
            <w:r>
              <w:rPr>
                <w:color w:val="auto"/>
              </w:rPr>
              <w:fldChar w:fldCharType="end"/>
            </w:r>
            <w:r>
              <w:rPr>
                <w:rFonts w:hint="eastAsia"/>
                <w:color w:val="auto"/>
              </w:rPr>
              <w:t>：利率债到期收益率变动情况（单位：</w:t>
            </w:r>
            <w:r>
              <w:rPr>
                <w:rFonts w:hint="eastAsia"/>
                <w:color w:val="auto"/>
              </w:rPr>
              <w:t>%</w:t>
            </w:r>
            <w:r>
              <w:rPr>
                <w:rFonts w:hint="eastAsia"/>
                <w:color w:val="auto"/>
              </w:rPr>
              <w:t>）</w:t>
            </w:r>
          </w:p>
        </w:tc>
      </w:tr>
      <w:tr w:rsidR="000A7456" w:rsidTr="000A7456">
        <w:trPr>
          <w:trHeight w:val="3016"/>
        </w:trPr>
        <w:tc>
          <w:tcPr>
            <w:cnfStyle w:val="001000000000" w:firstRow="0" w:lastRow="0" w:firstColumn="1" w:lastColumn="0" w:oddVBand="0" w:evenVBand="0" w:oddHBand="0" w:evenHBand="0" w:firstRowFirstColumn="0" w:firstRowLastColumn="0" w:lastRowFirstColumn="0" w:lastRowLastColumn="0"/>
            <w:tcW w:w="5273" w:type="dxa"/>
          </w:tcPr>
          <w:p w:rsidR="000A7456" w:rsidRPr="000A7456" w:rsidRDefault="000A7456" w:rsidP="000A7456">
            <w:r>
              <w:rPr>
                <w:noProof/>
              </w:rPr>
              <w:drawing>
                <wp:inline distT="0" distB="0" distL="0" distR="0" wp14:anchorId="6F9CCB8C" wp14:editId="6D39A7C7">
                  <wp:extent cx="3335731" cy="1931213"/>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39851" cy="1933598"/>
                          </a:xfrm>
                          <a:prstGeom prst="rect">
                            <a:avLst/>
                          </a:prstGeom>
                          <a:noFill/>
                        </pic:spPr>
                      </pic:pic>
                    </a:graphicData>
                  </a:graphic>
                </wp:inline>
              </w:drawing>
            </w:r>
          </w:p>
        </w:tc>
        <w:tc>
          <w:tcPr>
            <w:tcW w:w="226" w:type="dxa"/>
          </w:tcPr>
          <w:p w:rsidR="000A7456" w:rsidRDefault="000A7456" w:rsidP="000A7456">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Pr>
          <w:p w:rsidR="000A7456" w:rsidRPr="000A7456" w:rsidRDefault="000A7456" w:rsidP="000A7456">
            <w:r>
              <w:rPr>
                <w:noProof/>
              </w:rPr>
              <w:drawing>
                <wp:inline distT="0" distB="0" distL="0" distR="0" wp14:anchorId="3C2B804A">
                  <wp:extent cx="3304540" cy="193230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04540" cy="1932305"/>
                          </a:xfrm>
                          <a:prstGeom prst="rect">
                            <a:avLst/>
                          </a:prstGeom>
                          <a:noFill/>
                        </pic:spPr>
                      </pic:pic>
                    </a:graphicData>
                  </a:graphic>
                </wp:inline>
              </w:drawing>
            </w:r>
          </w:p>
        </w:tc>
      </w:tr>
      <w:tr w:rsidR="000A7456" w:rsidTr="000A7456">
        <w:tc>
          <w:tcPr>
            <w:tcW w:w="5273" w:type="dxa"/>
          </w:tcPr>
          <w:p w:rsidR="000A7456" w:rsidRDefault="000A7456" w:rsidP="000A745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注：</w:t>
            </w:r>
            <w:r>
              <w:rPr>
                <w:rFonts w:hint="eastAsia"/>
              </w:rPr>
              <w:t>4</w:t>
            </w:r>
            <w:r>
              <w:rPr>
                <w:rFonts w:hint="eastAsia"/>
              </w:rPr>
              <w:t>月数据截至</w:t>
            </w:r>
            <w:r>
              <w:rPr>
                <w:rFonts w:hint="eastAsia"/>
              </w:rPr>
              <w:t>4</w:t>
            </w:r>
            <w:r>
              <w:rPr>
                <w:rFonts w:hint="eastAsia"/>
              </w:rPr>
              <w:t>月</w:t>
            </w:r>
            <w:r>
              <w:rPr>
                <w:rFonts w:hint="eastAsia"/>
              </w:rPr>
              <w:t>25</w:t>
            </w:r>
            <w:r>
              <w:rPr>
                <w:rFonts w:hint="eastAsia"/>
              </w:rPr>
              <w:t>日。</w:t>
            </w:r>
          </w:p>
          <w:p w:rsidR="000A7456" w:rsidRDefault="000A7456" w:rsidP="000A745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WIND</w:t>
            </w:r>
            <w:r>
              <w:t xml:space="preserve"> </w:t>
            </w:r>
          </w:p>
        </w:tc>
        <w:tc>
          <w:tcPr>
            <w:tcW w:w="226" w:type="dxa"/>
          </w:tcPr>
          <w:p w:rsidR="000A7456" w:rsidRDefault="000A7456" w:rsidP="000A7456">
            <w:pPr>
              <w:pStyle w:val="GJStylesGraphSource"/>
            </w:pPr>
          </w:p>
        </w:tc>
        <w:tc>
          <w:tcPr>
            <w:tcW w:w="5272" w:type="dxa"/>
          </w:tcPr>
          <w:p w:rsidR="000A7456" w:rsidRDefault="000A7456" w:rsidP="000A745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注：数据截至</w:t>
            </w:r>
            <w:r>
              <w:rPr>
                <w:rFonts w:hint="eastAsia"/>
              </w:rPr>
              <w:t>4</w:t>
            </w:r>
            <w:r>
              <w:rPr>
                <w:rFonts w:hint="eastAsia"/>
              </w:rPr>
              <w:t>月</w:t>
            </w:r>
            <w:r>
              <w:rPr>
                <w:rFonts w:hint="eastAsia"/>
              </w:rPr>
              <w:t>25</w:t>
            </w:r>
            <w:r>
              <w:rPr>
                <w:rFonts w:hint="eastAsia"/>
              </w:rPr>
              <w:t>日。</w:t>
            </w:r>
          </w:p>
          <w:p w:rsidR="000A7456" w:rsidRDefault="000A7456" w:rsidP="000A745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Pr>
                <w:rFonts w:hint="eastAsia"/>
              </w:rPr>
              <w:t>WIND</w:t>
            </w:r>
            <w:r>
              <w:t xml:space="preserve"> </w:t>
            </w:r>
          </w:p>
        </w:tc>
      </w:tr>
    </w:tbl>
    <w:p w:rsidR="00C04724" w:rsidRPr="00C04724" w:rsidRDefault="00C04724" w:rsidP="00C04724">
      <w:pPr>
        <w:pStyle w:val="a0"/>
        <w:widowControl/>
        <w:numPr>
          <w:ilvl w:val="4"/>
          <w:numId w:val="3"/>
        </w:numPr>
        <w:rPr>
          <w:color w:val="auto"/>
        </w:rPr>
      </w:pPr>
      <w:r w:rsidRPr="00C04724">
        <w:rPr>
          <w:rFonts w:hint="eastAsia"/>
          <w:color w:val="auto"/>
        </w:rPr>
        <w:t>4</w:t>
      </w:r>
      <w:r w:rsidRPr="00C04724">
        <w:rPr>
          <w:rFonts w:hint="eastAsia"/>
          <w:color w:val="auto"/>
        </w:rPr>
        <w:t>月中铁物资公告旗下</w:t>
      </w:r>
      <w:r w:rsidRPr="00C04724">
        <w:rPr>
          <w:rFonts w:hint="eastAsia"/>
          <w:color w:val="auto"/>
        </w:rPr>
        <w:t>168</w:t>
      </w:r>
      <w:r w:rsidRPr="00C04724">
        <w:rPr>
          <w:rFonts w:hint="eastAsia"/>
          <w:color w:val="auto"/>
        </w:rPr>
        <w:t>亿债券暂停交易，以此为代表的愈加频繁的信用债违约事件给整个信用债市场流动性带来巨大冲击，</w:t>
      </w:r>
      <w:r w:rsidR="004007BB" w:rsidRPr="004007BB">
        <w:rPr>
          <w:rFonts w:hint="eastAsia"/>
          <w:color w:val="auto"/>
        </w:rPr>
        <w:t>同时</w:t>
      </w:r>
      <w:r w:rsidR="004007BB" w:rsidRPr="004007BB">
        <w:rPr>
          <w:rFonts w:hint="eastAsia"/>
          <w:color w:val="auto"/>
        </w:rPr>
        <w:t>14</w:t>
      </w:r>
      <w:r w:rsidR="004007BB" w:rsidRPr="004007BB">
        <w:rPr>
          <w:rFonts w:hint="eastAsia"/>
          <w:color w:val="auto"/>
        </w:rPr>
        <w:t>宣化北山债和</w:t>
      </w:r>
      <w:r w:rsidR="004007BB" w:rsidRPr="004007BB">
        <w:rPr>
          <w:rFonts w:hint="eastAsia"/>
          <w:color w:val="auto"/>
        </w:rPr>
        <w:t>14</w:t>
      </w:r>
      <w:r w:rsidR="004007BB" w:rsidRPr="004007BB">
        <w:rPr>
          <w:rFonts w:hint="eastAsia"/>
          <w:color w:val="auto"/>
        </w:rPr>
        <w:t>海南交投</w:t>
      </w:r>
      <w:r w:rsidR="004007BB" w:rsidRPr="004007BB">
        <w:rPr>
          <w:rFonts w:hint="eastAsia"/>
          <w:color w:val="auto"/>
        </w:rPr>
        <w:t>MTN001</w:t>
      </w:r>
      <w:r w:rsidR="004007BB" w:rsidRPr="004007BB">
        <w:rPr>
          <w:rFonts w:hint="eastAsia"/>
          <w:color w:val="auto"/>
        </w:rPr>
        <w:t>申请提前兑付债券虽已取消，但仍令市场开始警惕</w:t>
      </w:r>
      <w:proofErr w:type="gramStart"/>
      <w:r w:rsidR="004007BB" w:rsidRPr="004007BB">
        <w:rPr>
          <w:rFonts w:hint="eastAsia"/>
          <w:color w:val="auto"/>
        </w:rPr>
        <w:t>城投债提前</w:t>
      </w:r>
      <w:proofErr w:type="gramEnd"/>
      <w:r w:rsidR="004007BB" w:rsidRPr="004007BB">
        <w:rPr>
          <w:rFonts w:hint="eastAsia"/>
          <w:color w:val="auto"/>
        </w:rPr>
        <w:t>兑付的变相信用违约风险。多种信用风险事件冲击之下，</w:t>
      </w:r>
      <w:r w:rsidRPr="00C04724">
        <w:rPr>
          <w:rFonts w:hint="eastAsia"/>
          <w:color w:val="auto"/>
        </w:rPr>
        <w:t>信用债一级市场发行大幅缩量，二级市场到期收益率显著上行。截至</w:t>
      </w:r>
      <w:r w:rsidRPr="00C04724">
        <w:rPr>
          <w:rFonts w:hint="eastAsia"/>
          <w:color w:val="auto"/>
        </w:rPr>
        <w:t>4</w:t>
      </w:r>
      <w:r w:rsidRPr="00C04724">
        <w:rPr>
          <w:rFonts w:hint="eastAsia"/>
          <w:color w:val="auto"/>
        </w:rPr>
        <w:t>月</w:t>
      </w:r>
      <w:r w:rsidRPr="00C04724">
        <w:rPr>
          <w:rFonts w:hint="eastAsia"/>
          <w:color w:val="auto"/>
        </w:rPr>
        <w:t>25</w:t>
      </w:r>
      <w:r w:rsidRPr="00C04724">
        <w:rPr>
          <w:rFonts w:hint="eastAsia"/>
          <w:color w:val="auto"/>
        </w:rPr>
        <w:t>日，共有</w:t>
      </w:r>
      <w:r w:rsidRPr="00C04724">
        <w:rPr>
          <w:rFonts w:hint="eastAsia"/>
          <w:color w:val="auto"/>
        </w:rPr>
        <w:t>111</w:t>
      </w:r>
      <w:r w:rsidRPr="00C04724">
        <w:rPr>
          <w:rFonts w:hint="eastAsia"/>
          <w:color w:val="auto"/>
        </w:rPr>
        <w:t>只信用</w:t>
      </w:r>
      <w:proofErr w:type="gramStart"/>
      <w:r w:rsidRPr="00C04724">
        <w:rPr>
          <w:rFonts w:hint="eastAsia"/>
          <w:color w:val="auto"/>
        </w:rPr>
        <w:t>债宣布</w:t>
      </w:r>
      <w:proofErr w:type="gramEnd"/>
      <w:r w:rsidRPr="00C04724">
        <w:rPr>
          <w:rFonts w:hint="eastAsia"/>
          <w:color w:val="auto"/>
        </w:rPr>
        <w:t>推迟或取消发债计划，而去年同期仅有</w:t>
      </w:r>
      <w:r w:rsidRPr="00C04724">
        <w:rPr>
          <w:rFonts w:hint="eastAsia"/>
          <w:color w:val="auto"/>
        </w:rPr>
        <w:t>19</w:t>
      </w:r>
      <w:r w:rsidRPr="00C04724">
        <w:rPr>
          <w:rFonts w:hint="eastAsia"/>
          <w:color w:val="auto"/>
        </w:rPr>
        <w:t>家企业推迟或取消发债计划。当月已发行企业债、公司债、中期票据和短期融资</w:t>
      </w:r>
      <w:proofErr w:type="gramStart"/>
      <w:r w:rsidRPr="00C04724">
        <w:rPr>
          <w:rFonts w:hint="eastAsia"/>
          <w:color w:val="auto"/>
        </w:rPr>
        <w:t>券</w:t>
      </w:r>
      <w:proofErr w:type="gramEnd"/>
      <w:r w:rsidRPr="00C04724">
        <w:rPr>
          <w:rFonts w:hint="eastAsia"/>
          <w:color w:val="auto"/>
        </w:rPr>
        <w:t>金额分别为</w:t>
      </w:r>
      <w:r w:rsidRPr="00C04724">
        <w:rPr>
          <w:rFonts w:hint="eastAsia"/>
          <w:color w:val="auto"/>
        </w:rPr>
        <w:t>647.40</w:t>
      </w:r>
      <w:r w:rsidRPr="00C04724">
        <w:rPr>
          <w:rFonts w:hint="eastAsia"/>
          <w:color w:val="auto"/>
        </w:rPr>
        <w:t>亿元、</w:t>
      </w:r>
      <w:r w:rsidRPr="00C04724">
        <w:rPr>
          <w:rFonts w:hint="eastAsia"/>
          <w:color w:val="auto"/>
        </w:rPr>
        <w:t>1030.78</w:t>
      </w:r>
      <w:r w:rsidRPr="00C04724">
        <w:rPr>
          <w:rFonts w:hint="eastAsia"/>
          <w:color w:val="auto"/>
        </w:rPr>
        <w:t>亿元、</w:t>
      </w:r>
      <w:r w:rsidRPr="00C04724">
        <w:rPr>
          <w:rFonts w:hint="eastAsia"/>
          <w:color w:val="auto"/>
        </w:rPr>
        <w:t>848.20</w:t>
      </w:r>
      <w:r w:rsidRPr="00C04724">
        <w:rPr>
          <w:rFonts w:hint="eastAsia"/>
          <w:color w:val="auto"/>
        </w:rPr>
        <w:t>亿元和</w:t>
      </w:r>
      <w:r w:rsidRPr="00C04724">
        <w:rPr>
          <w:rFonts w:hint="eastAsia"/>
          <w:color w:val="auto"/>
        </w:rPr>
        <w:t>2589.50</w:t>
      </w:r>
      <w:r w:rsidRPr="00C04724">
        <w:rPr>
          <w:rFonts w:hint="eastAsia"/>
          <w:color w:val="auto"/>
        </w:rPr>
        <w:t>亿元，相比上</w:t>
      </w:r>
      <w:proofErr w:type="gramStart"/>
      <w:r w:rsidRPr="00C04724">
        <w:rPr>
          <w:rFonts w:hint="eastAsia"/>
          <w:color w:val="auto"/>
        </w:rPr>
        <w:t>月分别环比</w:t>
      </w:r>
      <w:proofErr w:type="gramEnd"/>
      <w:r w:rsidRPr="00C04724">
        <w:rPr>
          <w:rFonts w:hint="eastAsia"/>
          <w:color w:val="auto"/>
        </w:rPr>
        <w:t>减少</w:t>
      </w:r>
      <w:r w:rsidRPr="00C04724">
        <w:rPr>
          <w:rFonts w:hint="eastAsia"/>
          <w:color w:val="auto"/>
        </w:rPr>
        <w:t>38.83%</w:t>
      </w:r>
      <w:r w:rsidRPr="00C04724">
        <w:rPr>
          <w:rFonts w:hint="eastAsia"/>
          <w:color w:val="auto"/>
        </w:rPr>
        <w:t>、</w:t>
      </w:r>
      <w:r w:rsidRPr="00C04724">
        <w:rPr>
          <w:rFonts w:hint="eastAsia"/>
          <w:color w:val="auto"/>
        </w:rPr>
        <w:t>72.26%</w:t>
      </w:r>
      <w:r w:rsidRPr="00C04724">
        <w:rPr>
          <w:rFonts w:hint="eastAsia"/>
          <w:color w:val="auto"/>
        </w:rPr>
        <w:t>、</w:t>
      </w:r>
      <w:r w:rsidRPr="00C04724">
        <w:rPr>
          <w:rFonts w:hint="eastAsia"/>
          <w:color w:val="auto"/>
        </w:rPr>
        <w:t>50.96%</w:t>
      </w:r>
      <w:r w:rsidRPr="00C04724">
        <w:rPr>
          <w:rFonts w:hint="eastAsia"/>
          <w:color w:val="auto"/>
        </w:rPr>
        <w:t>和</w:t>
      </w:r>
      <w:r w:rsidRPr="00C04724">
        <w:rPr>
          <w:rFonts w:hint="eastAsia"/>
          <w:color w:val="auto"/>
        </w:rPr>
        <w:t>41.83%</w:t>
      </w:r>
      <w:r w:rsidRPr="00C04724">
        <w:rPr>
          <w:rFonts w:hint="eastAsia"/>
          <w:color w:val="auto"/>
        </w:rPr>
        <w:t>，即使考虑到工作日差异调整后</w:t>
      </w:r>
      <w:proofErr w:type="gramStart"/>
      <w:r w:rsidRPr="00C04724">
        <w:rPr>
          <w:rFonts w:hint="eastAsia"/>
          <w:color w:val="auto"/>
        </w:rPr>
        <w:t>降幅仍</w:t>
      </w:r>
      <w:proofErr w:type="gramEnd"/>
      <w:r w:rsidRPr="00C04724">
        <w:rPr>
          <w:rFonts w:hint="eastAsia"/>
          <w:color w:val="auto"/>
        </w:rPr>
        <w:t>相当显著。</w:t>
      </w:r>
    </w:p>
    <w:p w:rsidR="00C04724" w:rsidRDefault="00C04724" w:rsidP="00C04724">
      <w:pPr>
        <w:pStyle w:val="a0"/>
        <w:widowControl/>
        <w:numPr>
          <w:ilvl w:val="4"/>
          <w:numId w:val="3"/>
        </w:numPr>
        <w:rPr>
          <w:color w:val="auto"/>
        </w:rPr>
      </w:pPr>
      <w:r w:rsidRPr="00C04724">
        <w:rPr>
          <w:rFonts w:hint="eastAsia"/>
          <w:color w:val="auto"/>
        </w:rPr>
        <w:t>4</w:t>
      </w:r>
      <w:r w:rsidRPr="00C04724">
        <w:rPr>
          <w:rFonts w:hint="eastAsia"/>
          <w:color w:val="auto"/>
        </w:rPr>
        <w:t>月信用债二级市场成交量环比下行，到期收益率显著上升。从成交金额来看，截至</w:t>
      </w:r>
      <w:r w:rsidRPr="00C04724">
        <w:rPr>
          <w:rFonts w:hint="eastAsia"/>
          <w:color w:val="auto"/>
        </w:rPr>
        <w:t>4</w:t>
      </w:r>
      <w:r w:rsidRPr="00C04724">
        <w:rPr>
          <w:rFonts w:hint="eastAsia"/>
          <w:color w:val="auto"/>
        </w:rPr>
        <w:t>月</w:t>
      </w:r>
      <w:r w:rsidRPr="00C04724">
        <w:rPr>
          <w:rFonts w:hint="eastAsia"/>
          <w:color w:val="auto"/>
        </w:rPr>
        <w:t>25</w:t>
      </w:r>
      <w:r w:rsidRPr="00C04724">
        <w:rPr>
          <w:rFonts w:hint="eastAsia"/>
          <w:color w:val="auto"/>
        </w:rPr>
        <w:t>日企业债、公司债、中票</w:t>
      </w:r>
      <w:proofErr w:type="gramStart"/>
      <w:r w:rsidRPr="00C04724">
        <w:rPr>
          <w:rFonts w:hint="eastAsia"/>
          <w:color w:val="auto"/>
        </w:rPr>
        <w:t>及短融二级市场</w:t>
      </w:r>
      <w:proofErr w:type="gramEnd"/>
      <w:r w:rsidRPr="00C04724">
        <w:rPr>
          <w:rFonts w:hint="eastAsia"/>
          <w:color w:val="auto"/>
        </w:rPr>
        <w:t>成交量（经过调整剔除工作日影响后）相比上</w:t>
      </w:r>
      <w:proofErr w:type="gramStart"/>
      <w:r w:rsidRPr="00C04724">
        <w:rPr>
          <w:rFonts w:hint="eastAsia"/>
          <w:color w:val="auto"/>
        </w:rPr>
        <w:t>月分别减少</w:t>
      </w:r>
      <w:proofErr w:type="gramEnd"/>
      <w:r w:rsidRPr="00C04724">
        <w:rPr>
          <w:rFonts w:hint="eastAsia"/>
          <w:color w:val="auto"/>
        </w:rPr>
        <w:t>1.59%</w:t>
      </w:r>
      <w:r w:rsidRPr="00C04724">
        <w:rPr>
          <w:rFonts w:hint="eastAsia"/>
          <w:color w:val="auto"/>
        </w:rPr>
        <w:t>、</w:t>
      </w:r>
      <w:r w:rsidRPr="00C04724">
        <w:rPr>
          <w:rFonts w:hint="eastAsia"/>
          <w:color w:val="auto"/>
        </w:rPr>
        <w:t>8.87%</w:t>
      </w:r>
      <w:r w:rsidRPr="00C04724">
        <w:rPr>
          <w:rFonts w:hint="eastAsia"/>
          <w:color w:val="auto"/>
        </w:rPr>
        <w:t>、</w:t>
      </w:r>
      <w:r w:rsidRPr="00C04724">
        <w:rPr>
          <w:rFonts w:hint="eastAsia"/>
          <w:color w:val="auto"/>
        </w:rPr>
        <w:t>16.16%</w:t>
      </w:r>
      <w:r w:rsidRPr="00C04724">
        <w:rPr>
          <w:rFonts w:hint="eastAsia"/>
          <w:color w:val="auto"/>
        </w:rPr>
        <w:t>和</w:t>
      </w:r>
      <w:r w:rsidRPr="00C04724">
        <w:rPr>
          <w:rFonts w:hint="eastAsia"/>
          <w:color w:val="auto"/>
        </w:rPr>
        <w:t>22.69%</w:t>
      </w:r>
      <w:r w:rsidRPr="00C04724">
        <w:rPr>
          <w:rFonts w:hint="eastAsia"/>
          <w:color w:val="auto"/>
        </w:rPr>
        <w:t>，成交量较大的中票</w:t>
      </w:r>
      <w:proofErr w:type="gramStart"/>
      <w:r w:rsidRPr="00C04724">
        <w:rPr>
          <w:rFonts w:hint="eastAsia"/>
          <w:color w:val="auto"/>
        </w:rPr>
        <w:t>和短融降幅</w:t>
      </w:r>
      <w:proofErr w:type="gramEnd"/>
      <w:r w:rsidRPr="00C04724">
        <w:rPr>
          <w:rFonts w:hint="eastAsia"/>
          <w:color w:val="auto"/>
        </w:rPr>
        <w:t>尤其显著。另一方面，</w:t>
      </w:r>
      <w:r w:rsidRPr="00C04724">
        <w:rPr>
          <w:rFonts w:hint="eastAsia"/>
          <w:color w:val="auto"/>
        </w:rPr>
        <w:t>4</w:t>
      </w:r>
      <w:r w:rsidRPr="00C04724">
        <w:rPr>
          <w:rFonts w:hint="eastAsia"/>
          <w:color w:val="auto"/>
        </w:rPr>
        <w:t>月各期限各等级信用债到期收益率均出现显著上调，信用利差拉大，且波动幅度明显增大。</w:t>
      </w:r>
    </w:p>
    <w:tbl>
      <w:tblPr>
        <w:tblStyle w:val="GJStylesChartInsertDoubleCol"/>
        <w:tblW w:w="10771" w:type="dxa"/>
        <w:tblLayout w:type="fixed"/>
        <w:tblLook w:val="07E0" w:firstRow="1" w:lastRow="1" w:firstColumn="1" w:lastColumn="1" w:noHBand="1" w:noVBand="1"/>
      </w:tblPr>
      <w:tblGrid>
        <w:gridCol w:w="5273"/>
        <w:gridCol w:w="226"/>
        <w:gridCol w:w="527"/>
        <w:gridCol w:w="527"/>
        <w:gridCol w:w="527"/>
        <w:gridCol w:w="527"/>
        <w:gridCol w:w="528"/>
        <w:gridCol w:w="527"/>
        <w:gridCol w:w="527"/>
        <w:gridCol w:w="527"/>
        <w:gridCol w:w="527"/>
        <w:gridCol w:w="528"/>
      </w:tblGrid>
      <w:tr w:rsidR="000A7456" w:rsidTr="000A7456">
        <w:tc>
          <w:tcPr>
            <w:cnfStyle w:val="001000000000" w:firstRow="0" w:lastRow="0" w:firstColumn="1" w:lastColumn="0" w:oddVBand="0" w:evenVBand="0" w:oddHBand="0" w:evenHBand="0" w:firstRowFirstColumn="0" w:firstRowLastColumn="0" w:lastRowFirstColumn="0" w:lastRowLastColumn="0"/>
            <w:tcW w:w="5273" w:type="dxa"/>
          </w:tcPr>
          <w:p w:rsidR="000A7456" w:rsidRPr="000A7456" w:rsidRDefault="000A7456" w:rsidP="000A7456">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14</w:t>
            </w:r>
            <w:r>
              <w:fldChar w:fldCharType="end"/>
            </w:r>
            <w:r>
              <w:rPr>
                <w:rFonts w:hint="eastAsia"/>
              </w:rPr>
              <w:t>：信用债一级市场发行规模变动情况</w:t>
            </w:r>
          </w:p>
        </w:tc>
        <w:tc>
          <w:tcPr>
            <w:tcW w:w="226" w:type="dxa"/>
          </w:tcPr>
          <w:p w:rsidR="000A7456" w:rsidRDefault="000A7456" w:rsidP="000A7456">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gridSpan w:val="10"/>
          </w:tcPr>
          <w:p w:rsidR="000A7456" w:rsidRDefault="000A7456" w:rsidP="000A7456">
            <w:pPr>
              <w:pStyle w:val="GJStylesGraphTitle"/>
              <w:rPr>
                <w:color w:val="auto"/>
              </w:rPr>
            </w:pPr>
            <w:r>
              <w:rPr>
                <w:rFonts w:hint="eastAsia"/>
                <w:color w:val="auto"/>
              </w:rPr>
              <w:t>图表</w:t>
            </w:r>
            <w:r>
              <w:rPr>
                <w:color w:val="auto"/>
              </w:rPr>
              <w:fldChar w:fldCharType="begin"/>
            </w:r>
            <w:r>
              <w:rPr>
                <w:color w:val="auto"/>
              </w:rPr>
              <w:instrText xml:space="preserve"> </w:instrText>
            </w:r>
            <w:r>
              <w:rPr>
                <w:rFonts w:hint="eastAsia"/>
                <w:color w:val="auto"/>
              </w:rPr>
              <w:instrText xml:space="preserve">SEQ </w:instrText>
            </w:r>
            <w:r>
              <w:rPr>
                <w:rFonts w:hint="eastAsia"/>
                <w:color w:val="auto"/>
              </w:rPr>
              <w:instrText>图表</w:instrText>
            </w:r>
            <w:r>
              <w:rPr>
                <w:rFonts w:hint="eastAsia"/>
                <w:color w:val="auto"/>
              </w:rPr>
              <w:instrText xml:space="preserve"> \* ARABIC  \* MERGEFORMAT</w:instrText>
            </w:r>
            <w:r>
              <w:rPr>
                <w:color w:val="auto"/>
              </w:rPr>
              <w:instrText xml:space="preserve"> </w:instrText>
            </w:r>
            <w:r>
              <w:rPr>
                <w:color w:val="auto"/>
              </w:rPr>
              <w:fldChar w:fldCharType="separate"/>
            </w:r>
            <w:r>
              <w:rPr>
                <w:noProof/>
                <w:color w:val="auto"/>
              </w:rPr>
              <w:t>15</w:t>
            </w:r>
            <w:r>
              <w:rPr>
                <w:color w:val="auto"/>
              </w:rPr>
              <w:fldChar w:fldCharType="end"/>
            </w:r>
            <w:r>
              <w:rPr>
                <w:rFonts w:hint="eastAsia"/>
                <w:color w:val="auto"/>
              </w:rPr>
              <w:t>：各信用等级信用债月度收益变动情况</w:t>
            </w:r>
          </w:p>
        </w:tc>
      </w:tr>
      <w:tr w:rsidR="000A7456" w:rsidTr="0093400E">
        <w:trPr>
          <w:trHeight w:val="157"/>
        </w:trPr>
        <w:tc>
          <w:tcPr>
            <w:cnfStyle w:val="001000000000" w:firstRow="0" w:lastRow="0" w:firstColumn="1" w:lastColumn="0" w:oddVBand="0" w:evenVBand="0" w:oddHBand="0" w:evenHBand="0" w:firstRowFirstColumn="0" w:firstRowLastColumn="0" w:lastRowFirstColumn="0" w:lastRowLastColumn="0"/>
            <w:tcW w:w="5273" w:type="dxa"/>
            <w:vMerge w:val="restart"/>
          </w:tcPr>
          <w:p w:rsidR="000A7456" w:rsidRPr="000A7456" w:rsidRDefault="000A7456" w:rsidP="000A7456">
            <w:r>
              <w:rPr>
                <w:noProof/>
              </w:rPr>
              <w:drawing>
                <wp:inline distT="0" distB="0" distL="0" distR="0" wp14:anchorId="39EA773E">
                  <wp:extent cx="3269894" cy="1733702"/>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73598" cy="1735666"/>
                          </a:xfrm>
                          <a:prstGeom prst="rect">
                            <a:avLst/>
                          </a:prstGeom>
                          <a:noFill/>
                        </pic:spPr>
                      </pic:pic>
                    </a:graphicData>
                  </a:graphic>
                </wp:inline>
              </w:drawing>
            </w:r>
          </w:p>
        </w:tc>
        <w:tc>
          <w:tcPr>
            <w:tcW w:w="226" w:type="dxa"/>
            <w:vMerge w:val="restart"/>
          </w:tcPr>
          <w:p w:rsidR="000A7456" w:rsidRDefault="000A7456" w:rsidP="000A7456">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7" w:type="dxa"/>
            <w:tcBorders>
              <w:top w:val="single" w:sz="4" w:space="0" w:color="00A0E9"/>
              <w:bottom w:val="single" w:sz="4" w:space="0" w:color="00A0E9"/>
              <w:right w:val="single" w:sz="4" w:space="0" w:color="00A0E9"/>
            </w:tcBorders>
            <w:vAlign w:val="center"/>
          </w:tcPr>
          <w:p w:rsidR="000A7456" w:rsidRDefault="000A7456">
            <w:pP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0"/>
                <w:szCs w:val="20"/>
              </w:rPr>
            </w:pP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b/>
                <w:color w:val="000000"/>
                <w:sz w:val="15"/>
                <w:szCs w:val="15"/>
              </w:rPr>
            </w:pPr>
            <w:r w:rsidRPr="000A7456">
              <w:rPr>
                <w:rFonts w:hint="eastAsia"/>
                <w:b/>
                <w:color w:val="000000"/>
                <w:sz w:val="15"/>
                <w:szCs w:val="15"/>
              </w:rPr>
              <w:t>AAA</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b/>
                <w:color w:val="000000"/>
                <w:sz w:val="15"/>
                <w:szCs w:val="15"/>
              </w:rPr>
            </w:pPr>
            <w:r w:rsidRPr="000A7456">
              <w:rPr>
                <w:rFonts w:hint="eastAsia"/>
                <w:b/>
                <w:color w:val="000000"/>
                <w:sz w:val="15"/>
                <w:szCs w:val="15"/>
              </w:rPr>
              <w:t>AAA-</w:t>
            </w:r>
          </w:p>
        </w:tc>
        <w:tc>
          <w:tcPr>
            <w:tcW w:w="528"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b/>
                <w:color w:val="000000"/>
                <w:sz w:val="15"/>
                <w:szCs w:val="15"/>
              </w:rPr>
            </w:pPr>
            <w:r w:rsidRPr="000A7456">
              <w:rPr>
                <w:rFonts w:hint="eastAsia"/>
                <w:b/>
                <w:color w:val="000000"/>
                <w:sz w:val="15"/>
                <w:szCs w:val="15"/>
              </w:rPr>
              <w:t>AA+</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b/>
                <w:color w:val="000000"/>
                <w:sz w:val="15"/>
                <w:szCs w:val="15"/>
              </w:rPr>
            </w:pPr>
            <w:r w:rsidRPr="000A7456">
              <w:rPr>
                <w:rFonts w:hint="eastAsia"/>
                <w:b/>
                <w:color w:val="000000"/>
                <w:sz w:val="15"/>
                <w:szCs w:val="15"/>
              </w:rPr>
              <w:t>AA</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b/>
                <w:color w:val="000000"/>
                <w:sz w:val="15"/>
                <w:szCs w:val="15"/>
              </w:rPr>
            </w:pPr>
            <w:r w:rsidRPr="000A7456">
              <w:rPr>
                <w:rFonts w:hint="eastAsia"/>
                <w:b/>
                <w:color w:val="000000"/>
                <w:sz w:val="15"/>
                <w:szCs w:val="15"/>
              </w:rPr>
              <w:t>AA-</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b/>
                <w:color w:val="000000"/>
                <w:sz w:val="15"/>
                <w:szCs w:val="15"/>
              </w:rPr>
            </w:pPr>
            <w:r w:rsidRPr="000A7456">
              <w:rPr>
                <w:rFonts w:hint="eastAsia"/>
                <w:b/>
                <w:color w:val="000000"/>
                <w:sz w:val="15"/>
                <w:szCs w:val="15"/>
              </w:rPr>
              <w:t>A+</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b/>
                <w:color w:val="000000"/>
                <w:sz w:val="15"/>
                <w:szCs w:val="15"/>
              </w:rPr>
            </w:pPr>
            <w:r w:rsidRPr="000A7456">
              <w:rPr>
                <w:rFonts w:hint="eastAsia"/>
                <w:b/>
                <w:color w:val="000000"/>
                <w:sz w:val="15"/>
                <w:szCs w:val="15"/>
              </w:rPr>
              <w:t>A</w:t>
            </w:r>
          </w:p>
        </w:tc>
        <w:tc>
          <w:tcPr>
            <w:cnfStyle w:val="000100000000" w:firstRow="0" w:lastRow="0" w:firstColumn="0" w:lastColumn="1" w:oddVBand="0" w:evenVBand="0" w:oddHBand="0" w:evenHBand="0" w:firstRowFirstColumn="0" w:firstRowLastColumn="0" w:lastRowFirstColumn="0" w:lastRowLastColumn="0"/>
            <w:tcW w:w="528" w:type="dxa"/>
            <w:tcBorders>
              <w:top w:val="single" w:sz="4" w:space="0" w:color="00A0E9"/>
              <w:left w:val="single" w:sz="4" w:space="0" w:color="00A0E9"/>
            </w:tcBorders>
            <w:vAlign w:val="center"/>
          </w:tcPr>
          <w:p w:rsidR="000A7456" w:rsidRPr="000A7456" w:rsidRDefault="000A7456" w:rsidP="000A7456">
            <w:pPr>
              <w:jc w:val="center"/>
              <w:rPr>
                <w:b/>
                <w:color w:val="000000"/>
                <w:sz w:val="15"/>
                <w:szCs w:val="15"/>
              </w:rPr>
            </w:pPr>
            <w:r w:rsidRPr="000A7456">
              <w:rPr>
                <w:rFonts w:hint="eastAsia"/>
                <w:b/>
                <w:color w:val="000000"/>
                <w:sz w:val="15"/>
                <w:szCs w:val="15"/>
              </w:rPr>
              <w:t>A-</w:t>
            </w:r>
          </w:p>
        </w:tc>
      </w:tr>
      <w:tr w:rsidR="000A7456" w:rsidTr="0093400E">
        <w:trPr>
          <w:trHeight w:val="153"/>
        </w:trPr>
        <w:tc>
          <w:tcPr>
            <w:cnfStyle w:val="001000000000" w:firstRow="0" w:lastRow="0" w:firstColumn="1" w:lastColumn="0" w:oddVBand="0" w:evenVBand="0" w:oddHBand="0" w:evenHBand="0" w:firstRowFirstColumn="0" w:firstRowLastColumn="0" w:lastRowFirstColumn="0" w:lastRowLastColumn="0"/>
            <w:tcW w:w="5273" w:type="dxa"/>
            <w:vMerge/>
          </w:tcPr>
          <w:p w:rsidR="000A7456" w:rsidRPr="000A7456" w:rsidRDefault="000A7456" w:rsidP="000A7456"/>
        </w:tc>
        <w:tc>
          <w:tcPr>
            <w:tcW w:w="226" w:type="dxa"/>
            <w:vMerge/>
          </w:tcPr>
          <w:p w:rsidR="000A7456" w:rsidRDefault="000A7456" w:rsidP="000A7456">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7" w:type="dxa"/>
            <w:vMerge w:val="restart"/>
            <w:tcBorders>
              <w:top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2</w:t>
            </w:r>
            <w:r w:rsidRPr="000A7456">
              <w:rPr>
                <w:rFonts w:hint="eastAsia"/>
                <w:color w:val="000000"/>
                <w:sz w:val="15"/>
                <w:szCs w:val="15"/>
              </w:rPr>
              <w:t>月（</w:t>
            </w:r>
            <w:r w:rsidRPr="000A7456">
              <w:rPr>
                <w:rFonts w:hint="eastAsia"/>
                <w:color w:val="000000"/>
                <w:sz w:val="15"/>
                <w:szCs w:val="15"/>
              </w:rPr>
              <w:t>%</w:t>
            </w:r>
            <w:r w:rsidRPr="000A7456">
              <w:rPr>
                <w:rFonts w:hint="eastAsia"/>
                <w:color w:val="000000"/>
                <w:sz w:val="15"/>
                <w:szCs w:val="15"/>
              </w:rPr>
              <w:t>）</w:t>
            </w:r>
          </w:p>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3</w:t>
            </w:r>
            <w:r w:rsidRPr="000A7456">
              <w:rPr>
                <w:rFonts w:hint="eastAsia"/>
                <w:color w:val="000000"/>
                <w:sz w:val="15"/>
                <w:szCs w:val="15"/>
              </w:rPr>
              <w:t>个月</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-0.2006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-0.2206 </w:t>
            </w:r>
          </w:p>
        </w:tc>
        <w:tc>
          <w:tcPr>
            <w:tcW w:w="528"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-0.2206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-0.1706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-0.2506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-0.1006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-0.0006 </w:t>
            </w:r>
          </w:p>
        </w:tc>
        <w:tc>
          <w:tcPr>
            <w:cnfStyle w:val="000100000000" w:firstRow="0" w:lastRow="0" w:firstColumn="0" w:lastColumn="1" w:oddVBand="0" w:evenVBand="0" w:oddHBand="0" w:evenHBand="0" w:firstRowFirstColumn="0" w:firstRowLastColumn="0" w:lastRowFirstColumn="0" w:lastRowLastColumn="0"/>
            <w:tcW w:w="528" w:type="dxa"/>
            <w:tcBorders>
              <w:top w:val="single" w:sz="4" w:space="0" w:color="00A0E9"/>
              <w:left w:val="single" w:sz="4" w:space="0" w:color="00A0E9"/>
            </w:tcBorders>
            <w:vAlign w:val="center"/>
          </w:tcPr>
          <w:p w:rsidR="000A7456" w:rsidRPr="000A7456" w:rsidRDefault="000A7456" w:rsidP="000A7456">
            <w:pPr>
              <w:jc w:val="center"/>
              <w:rPr>
                <w:color w:val="000000"/>
                <w:sz w:val="15"/>
                <w:szCs w:val="15"/>
              </w:rPr>
            </w:pPr>
            <w:r w:rsidRPr="000A7456">
              <w:rPr>
                <w:rFonts w:hint="eastAsia"/>
                <w:color w:val="000000"/>
                <w:sz w:val="15"/>
                <w:szCs w:val="15"/>
              </w:rPr>
              <w:t xml:space="preserve">-0.0006 </w:t>
            </w:r>
          </w:p>
        </w:tc>
      </w:tr>
      <w:tr w:rsidR="000A7456" w:rsidTr="0093400E">
        <w:trPr>
          <w:trHeight w:val="153"/>
        </w:trPr>
        <w:tc>
          <w:tcPr>
            <w:cnfStyle w:val="001000000000" w:firstRow="0" w:lastRow="0" w:firstColumn="1" w:lastColumn="0" w:oddVBand="0" w:evenVBand="0" w:oddHBand="0" w:evenHBand="0" w:firstRowFirstColumn="0" w:firstRowLastColumn="0" w:lastRowFirstColumn="0" w:lastRowLastColumn="0"/>
            <w:tcW w:w="5273" w:type="dxa"/>
            <w:vMerge/>
          </w:tcPr>
          <w:p w:rsidR="000A7456" w:rsidRPr="000A7456" w:rsidRDefault="000A7456" w:rsidP="000A7456"/>
        </w:tc>
        <w:tc>
          <w:tcPr>
            <w:tcW w:w="226" w:type="dxa"/>
            <w:vMerge/>
          </w:tcPr>
          <w:p w:rsidR="000A7456" w:rsidRDefault="000A7456" w:rsidP="000A7456">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7" w:type="dxa"/>
            <w:vMerge/>
            <w:tcBorders>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1</w:t>
            </w:r>
            <w:r w:rsidRPr="000A7456">
              <w:rPr>
                <w:rFonts w:hint="eastAsia"/>
                <w:color w:val="000000"/>
                <w:sz w:val="15"/>
                <w:szCs w:val="15"/>
              </w:rPr>
              <w:t>年期</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-0.1631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-0.1831 </w:t>
            </w:r>
          </w:p>
        </w:tc>
        <w:tc>
          <w:tcPr>
            <w:tcW w:w="528"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-0.1931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-0.2031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-0.2431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-0.1431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-0.0931 </w:t>
            </w:r>
          </w:p>
        </w:tc>
        <w:tc>
          <w:tcPr>
            <w:cnfStyle w:val="000100000000" w:firstRow="0" w:lastRow="0" w:firstColumn="0" w:lastColumn="1" w:oddVBand="0" w:evenVBand="0" w:oddHBand="0" w:evenHBand="0" w:firstRowFirstColumn="0" w:firstRowLastColumn="0" w:lastRowFirstColumn="0" w:lastRowLastColumn="0"/>
            <w:tcW w:w="528" w:type="dxa"/>
            <w:tcBorders>
              <w:top w:val="single" w:sz="4" w:space="0" w:color="00A0E9"/>
              <w:left w:val="single" w:sz="4" w:space="0" w:color="00A0E9"/>
            </w:tcBorders>
            <w:vAlign w:val="center"/>
          </w:tcPr>
          <w:p w:rsidR="000A7456" w:rsidRPr="000A7456" w:rsidRDefault="000A7456" w:rsidP="000A7456">
            <w:pPr>
              <w:jc w:val="center"/>
              <w:rPr>
                <w:color w:val="000000"/>
                <w:sz w:val="15"/>
                <w:szCs w:val="15"/>
              </w:rPr>
            </w:pPr>
            <w:r w:rsidRPr="000A7456">
              <w:rPr>
                <w:rFonts w:hint="eastAsia"/>
                <w:color w:val="000000"/>
                <w:sz w:val="15"/>
                <w:szCs w:val="15"/>
              </w:rPr>
              <w:t xml:space="preserve">-0.0631 </w:t>
            </w:r>
          </w:p>
        </w:tc>
      </w:tr>
      <w:tr w:rsidR="000A7456" w:rsidTr="0093400E">
        <w:trPr>
          <w:trHeight w:val="153"/>
        </w:trPr>
        <w:tc>
          <w:tcPr>
            <w:cnfStyle w:val="001000000000" w:firstRow="0" w:lastRow="0" w:firstColumn="1" w:lastColumn="0" w:oddVBand="0" w:evenVBand="0" w:oddHBand="0" w:evenHBand="0" w:firstRowFirstColumn="0" w:firstRowLastColumn="0" w:lastRowFirstColumn="0" w:lastRowLastColumn="0"/>
            <w:tcW w:w="5273" w:type="dxa"/>
            <w:vMerge/>
          </w:tcPr>
          <w:p w:rsidR="000A7456" w:rsidRPr="000A7456" w:rsidRDefault="000A7456" w:rsidP="000A7456"/>
        </w:tc>
        <w:tc>
          <w:tcPr>
            <w:tcW w:w="226" w:type="dxa"/>
            <w:vMerge/>
          </w:tcPr>
          <w:p w:rsidR="000A7456" w:rsidRDefault="000A7456" w:rsidP="000A7456">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7" w:type="dxa"/>
            <w:vMerge/>
            <w:tcBorders>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3</w:t>
            </w:r>
            <w:r w:rsidRPr="000A7456">
              <w:rPr>
                <w:rFonts w:hint="eastAsia"/>
                <w:color w:val="000000"/>
                <w:sz w:val="15"/>
                <w:szCs w:val="15"/>
              </w:rPr>
              <w:t>年期</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-0.0534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-0.0934 </w:t>
            </w:r>
          </w:p>
        </w:tc>
        <w:tc>
          <w:tcPr>
            <w:tcW w:w="528"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-0.0734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-0.0834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-0.0834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-0.0834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-0.0534 </w:t>
            </w:r>
          </w:p>
        </w:tc>
        <w:tc>
          <w:tcPr>
            <w:cnfStyle w:val="000100000000" w:firstRow="0" w:lastRow="0" w:firstColumn="0" w:lastColumn="1" w:oddVBand="0" w:evenVBand="0" w:oddHBand="0" w:evenHBand="0" w:firstRowFirstColumn="0" w:firstRowLastColumn="0" w:lastRowFirstColumn="0" w:lastRowLastColumn="0"/>
            <w:tcW w:w="528" w:type="dxa"/>
            <w:tcBorders>
              <w:top w:val="single" w:sz="4" w:space="0" w:color="00A0E9"/>
              <w:left w:val="single" w:sz="4" w:space="0" w:color="00A0E9"/>
            </w:tcBorders>
            <w:vAlign w:val="center"/>
          </w:tcPr>
          <w:p w:rsidR="000A7456" w:rsidRPr="000A7456" w:rsidRDefault="000A7456" w:rsidP="000A7456">
            <w:pPr>
              <w:jc w:val="center"/>
              <w:rPr>
                <w:color w:val="000000"/>
                <w:sz w:val="15"/>
                <w:szCs w:val="15"/>
              </w:rPr>
            </w:pPr>
            <w:r w:rsidRPr="000A7456">
              <w:rPr>
                <w:rFonts w:hint="eastAsia"/>
                <w:color w:val="000000"/>
                <w:sz w:val="15"/>
                <w:szCs w:val="15"/>
              </w:rPr>
              <w:t xml:space="preserve">-0.0234 </w:t>
            </w:r>
          </w:p>
        </w:tc>
      </w:tr>
      <w:tr w:rsidR="000A7456" w:rsidTr="0093400E">
        <w:trPr>
          <w:trHeight w:val="153"/>
        </w:trPr>
        <w:tc>
          <w:tcPr>
            <w:cnfStyle w:val="001000000000" w:firstRow="0" w:lastRow="0" w:firstColumn="1" w:lastColumn="0" w:oddVBand="0" w:evenVBand="0" w:oddHBand="0" w:evenHBand="0" w:firstRowFirstColumn="0" w:firstRowLastColumn="0" w:lastRowFirstColumn="0" w:lastRowLastColumn="0"/>
            <w:tcW w:w="5273" w:type="dxa"/>
            <w:vMerge/>
          </w:tcPr>
          <w:p w:rsidR="000A7456" w:rsidRPr="000A7456" w:rsidRDefault="000A7456" w:rsidP="000A7456"/>
        </w:tc>
        <w:tc>
          <w:tcPr>
            <w:tcW w:w="226" w:type="dxa"/>
            <w:vMerge/>
          </w:tcPr>
          <w:p w:rsidR="000A7456" w:rsidRDefault="000A7456" w:rsidP="000A7456">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7" w:type="dxa"/>
            <w:vMerge/>
            <w:tcBorders>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5</w:t>
            </w:r>
            <w:r w:rsidRPr="000A7456">
              <w:rPr>
                <w:rFonts w:hint="eastAsia"/>
                <w:color w:val="000000"/>
                <w:sz w:val="15"/>
                <w:szCs w:val="15"/>
              </w:rPr>
              <w:t>年期</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-0.0407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-0.0607 </w:t>
            </w:r>
          </w:p>
        </w:tc>
        <w:tc>
          <w:tcPr>
            <w:tcW w:w="528"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-0.0507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-0.0207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-0.0207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-0.0207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-0.0207 </w:t>
            </w:r>
          </w:p>
        </w:tc>
        <w:tc>
          <w:tcPr>
            <w:cnfStyle w:val="000100000000" w:firstRow="0" w:lastRow="0" w:firstColumn="0" w:lastColumn="1" w:oddVBand="0" w:evenVBand="0" w:oddHBand="0" w:evenHBand="0" w:firstRowFirstColumn="0" w:firstRowLastColumn="0" w:lastRowFirstColumn="0" w:lastRowLastColumn="0"/>
            <w:tcW w:w="528" w:type="dxa"/>
            <w:tcBorders>
              <w:top w:val="single" w:sz="4" w:space="0" w:color="00A0E9"/>
              <w:left w:val="single" w:sz="4" w:space="0" w:color="00A0E9"/>
            </w:tcBorders>
            <w:vAlign w:val="center"/>
          </w:tcPr>
          <w:p w:rsidR="000A7456" w:rsidRPr="000A7456" w:rsidRDefault="000A7456" w:rsidP="000A7456">
            <w:pPr>
              <w:jc w:val="center"/>
              <w:rPr>
                <w:color w:val="000000"/>
                <w:sz w:val="15"/>
                <w:szCs w:val="15"/>
              </w:rPr>
            </w:pPr>
            <w:r w:rsidRPr="000A7456">
              <w:rPr>
                <w:rFonts w:hint="eastAsia"/>
                <w:color w:val="000000"/>
                <w:sz w:val="15"/>
                <w:szCs w:val="15"/>
              </w:rPr>
              <w:t xml:space="preserve">-0.0207 </w:t>
            </w:r>
          </w:p>
        </w:tc>
      </w:tr>
      <w:tr w:rsidR="000A7456" w:rsidTr="0093400E">
        <w:trPr>
          <w:trHeight w:val="153"/>
        </w:trPr>
        <w:tc>
          <w:tcPr>
            <w:cnfStyle w:val="001000000000" w:firstRow="0" w:lastRow="0" w:firstColumn="1" w:lastColumn="0" w:oddVBand="0" w:evenVBand="0" w:oddHBand="0" w:evenHBand="0" w:firstRowFirstColumn="0" w:firstRowLastColumn="0" w:lastRowFirstColumn="0" w:lastRowLastColumn="0"/>
            <w:tcW w:w="5273" w:type="dxa"/>
            <w:vMerge/>
          </w:tcPr>
          <w:p w:rsidR="000A7456" w:rsidRPr="000A7456" w:rsidRDefault="000A7456" w:rsidP="000A7456"/>
        </w:tc>
        <w:tc>
          <w:tcPr>
            <w:tcW w:w="226" w:type="dxa"/>
            <w:vMerge/>
          </w:tcPr>
          <w:p w:rsidR="000A7456" w:rsidRDefault="000A7456" w:rsidP="000A7456">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7" w:type="dxa"/>
            <w:vMerge w:val="restart"/>
            <w:tcBorders>
              <w:top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3</w:t>
            </w:r>
            <w:r w:rsidRPr="000A7456">
              <w:rPr>
                <w:rFonts w:hint="eastAsia"/>
                <w:color w:val="000000"/>
                <w:sz w:val="15"/>
                <w:szCs w:val="15"/>
              </w:rPr>
              <w:t>月（</w:t>
            </w:r>
            <w:r w:rsidRPr="000A7456">
              <w:rPr>
                <w:rFonts w:hint="eastAsia"/>
                <w:color w:val="000000"/>
                <w:sz w:val="15"/>
                <w:szCs w:val="15"/>
              </w:rPr>
              <w:t>%</w:t>
            </w:r>
            <w:r w:rsidRPr="000A7456">
              <w:rPr>
                <w:rFonts w:hint="eastAsia"/>
                <w:color w:val="000000"/>
                <w:sz w:val="15"/>
                <w:szCs w:val="15"/>
              </w:rPr>
              <w:t>）</w:t>
            </w:r>
          </w:p>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3</w:t>
            </w:r>
            <w:r w:rsidRPr="000A7456">
              <w:rPr>
                <w:rFonts w:hint="eastAsia"/>
                <w:color w:val="000000"/>
                <w:sz w:val="15"/>
                <w:szCs w:val="15"/>
              </w:rPr>
              <w:t>个月</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-0.0361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-0.0561 </w:t>
            </w:r>
          </w:p>
        </w:tc>
        <w:tc>
          <w:tcPr>
            <w:tcW w:w="528"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-0.0761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-0.2761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0.0139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0.1839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0.4339 </w:t>
            </w:r>
          </w:p>
        </w:tc>
        <w:tc>
          <w:tcPr>
            <w:cnfStyle w:val="000100000000" w:firstRow="0" w:lastRow="0" w:firstColumn="0" w:lastColumn="1" w:oddVBand="0" w:evenVBand="0" w:oddHBand="0" w:evenHBand="0" w:firstRowFirstColumn="0" w:firstRowLastColumn="0" w:lastRowFirstColumn="0" w:lastRowLastColumn="0"/>
            <w:tcW w:w="528" w:type="dxa"/>
            <w:tcBorders>
              <w:top w:val="single" w:sz="4" w:space="0" w:color="00A0E9"/>
              <w:left w:val="single" w:sz="4" w:space="0" w:color="00A0E9"/>
            </w:tcBorders>
            <w:vAlign w:val="center"/>
          </w:tcPr>
          <w:p w:rsidR="000A7456" w:rsidRPr="000A7456" w:rsidRDefault="000A7456" w:rsidP="000A7456">
            <w:pPr>
              <w:jc w:val="center"/>
              <w:rPr>
                <w:color w:val="000000"/>
                <w:sz w:val="15"/>
                <w:szCs w:val="15"/>
              </w:rPr>
            </w:pPr>
            <w:r w:rsidRPr="000A7456">
              <w:rPr>
                <w:rFonts w:hint="eastAsia"/>
                <w:color w:val="000000"/>
                <w:sz w:val="15"/>
                <w:szCs w:val="15"/>
              </w:rPr>
              <w:t xml:space="preserve">0.6939 </w:t>
            </w:r>
          </w:p>
        </w:tc>
      </w:tr>
      <w:tr w:rsidR="000A7456" w:rsidTr="0093400E">
        <w:trPr>
          <w:trHeight w:val="153"/>
        </w:trPr>
        <w:tc>
          <w:tcPr>
            <w:cnfStyle w:val="001000000000" w:firstRow="0" w:lastRow="0" w:firstColumn="1" w:lastColumn="0" w:oddVBand="0" w:evenVBand="0" w:oddHBand="0" w:evenHBand="0" w:firstRowFirstColumn="0" w:firstRowLastColumn="0" w:lastRowFirstColumn="0" w:lastRowLastColumn="0"/>
            <w:tcW w:w="5273" w:type="dxa"/>
            <w:vMerge/>
          </w:tcPr>
          <w:p w:rsidR="000A7456" w:rsidRPr="000A7456" w:rsidRDefault="000A7456" w:rsidP="000A7456"/>
        </w:tc>
        <w:tc>
          <w:tcPr>
            <w:tcW w:w="226" w:type="dxa"/>
            <w:vMerge/>
          </w:tcPr>
          <w:p w:rsidR="000A7456" w:rsidRDefault="000A7456" w:rsidP="000A7456">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7" w:type="dxa"/>
            <w:vMerge/>
            <w:tcBorders>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1</w:t>
            </w:r>
            <w:r w:rsidRPr="000A7456">
              <w:rPr>
                <w:rFonts w:hint="eastAsia"/>
                <w:color w:val="000000"/>
                <w:sz w:val="15"/>
                <w:szCs w:val="15"/>
              </w:rPr>
              <w:t>年期</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-0.1009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-0.0809 </w:t>
            </w:r>
          </w:p>
        </w:tc>
        <w:tc>
          <w:tcPr>
            <w:tcW w:w="528"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-0.0809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-0.3409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-0.2109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-0.1509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0.0091 </w:t>
            </w:r>
          </w:p>
        </w:tc>
        <w:tc>
          <w:tcPr>
            <w:cnfStyle w:val="000100000000" w:firstRow="0" w:lastRow="0" w:firstColumn="0" w:lastColumn="1" w:oddVBand="0" w:evenVBand="0" w:oddHBand="0" w:evenHBand="0" w:firstRowFirstColumn="0" w:firstRowLastColumn="0" w:lastRowFirstColumn="0" w:lastRowLastColumn="0"/>
            <w:tcW w:w="528" w:type="dxa"/>
            <w:tcBorders>
              <w:top w:val="single" w:sz="4" w:space="0" w:color="00A0E9"/>
              <w:left w:val="single" w:sz="4" w:space="0" w:color="00A0E9"/>
            </w:tcBorders>
            <w:vAlign w:val="center"/>
          </w:tcPr>
          <w:p w:rsidR="000A7456" w:rsidRPr="000A7456" w:rsidRDefault="000A7456" w:rsidP="000A7456">
            <w:pPr>
              <w:jc w:val="center"/>
              <w:rPr>
                <w:color w:val="000000"/>
                <w:sz w:val="15"/>
                <w:szCs w:val="15"/>
              </w:rPr>
            </w:pPr>
            <w:r w:rsidRPr="000A7456">
              <w:rPr>
                <w:rFonts w:hint="eastAsia"/>
                <w:color w:val="000000"/>
                <w:sz w:val="15"/>
                <w:szCs w:val="15"/>
              </w:rPr>
              <w:t xml:space="preserve">0.0891 </w:t>
            </w:r>
          </w:p>
        </w:tc>
      </w:tr>
      <w:tr w:rsidR="000A7456" w:rsidTr="0093400E">
        <w:trPr>
          <w:trHeight w:val="153"/>
        </w:trPr>
        <w:tc>
          <w:tcPr>
            <w:cnfStyle w:val="001000000000" w:firstRow="0" w:lastRow="0" w:firstColumn="1" w:lastColumn="0" w:oddVBand="0" w:evenVBand="0" w:oddHBand="0" w:evenHBand="0" w:firstRowFirstColumn="0" w:firstRowLastColumn="0" w:lastRowFirstColumn="0" w:lastRowLastColumn="0"/>
            <w:tcW w:w="5273" w:type="dxa"/>
            <w:vMerge/>
          </w:tcPr>
          <w:p w:rsidR="000A7456" w:rsidRPr="000A7456" w:rsidRDefault="000A7456" w:rsidP="000A7456"/>
        </w:tc>
        <w:tc>
          <w:tcPr>
            <w:tcW w:w="226" w:type="dxa"/>
            <w:vMerge/>
          </w:tcPr>
          <w:p w:rsidR="000A7456" w:rsidRDefault="000A7456" w:rsidP="000A7456">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7" w:type="dxa"/>
            <w:vMerge/>
            <w:tcBorders>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3</w:t>
            </w:r>
            <w:r w:rsidRPr="000A7456">
              <w:rPr>
                <w:rFonts w:hint="eastAsia"/>
                <w:color w:val="000000"/>
                <w:sz w:val="15"/>
                <w:szCs w:val="15"/>
              </w:rPr>
              <w:t>年期</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-0.1030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-0.0830 </w:t>
            </w:r>
          </w:p>
        </w:tc>
        <w:tc>
          <w:tcPr>
            <w:tcW w:w="528"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-0.1830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-0.2830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-0.1930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-0.1630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-0.1230 </w:t>
            </w:r>
          </w:p>
        </w:tc>
        <w:tc>
          <w:tcPr>
            <w:cnfStyle w:val="000100000000" w:firstRow="0" w:lastRow="0" w:firstColumn="0" w:lastColumn="1" w:oddVBand="0" w:evenVBand="0" w:oddHBand="0" w:evenHBand="0" w:firstRowFirstColumn="0" w:firstRowLastColumn="0" w:lastRowFirstColumn="0" w:lastRowLastColumn="0"/>
            <w:tcW w:w="528" w:type="dxa"/>
            <w:tcBorders>
              <w:top w:val="single" w:sz="4" w:space="0" w:color="00A0E9"/>
              <w:left w:val="single" w:sz="4" w:space="0" w:color="00A0E9"/>
            </w:tcBorders>
            <w:vAlign w:val="center"/>
          </w:tcPr>
          <w:p w:rsidR="000A7456" w:rsidRPr="000A7456" w:rsidRDefault="000A7456" w:rsidP="000A7456">
            <w:pPr>
              <w:jc w:val="center"/>
              <w:rPr>
                <w:color w:val="000000"/>
                <w:sz w:val="15"/>
                <w:szCs w:val="15"/>
              </w:rPr>
            </w:pPr>
            <w:r w:rsidRPr="000A7456">
              <w:rPr>
                <w:rFonts w:hint="eastAsia"/>
                <w:color w:val="000000"/>
                <w:sz w:val="15"/>
                <w:szCs w:val="15"/>
              </w:rPr>
              <w:t xml:space="preserve">-0.0630 </w:t>
            </w:r>
          </w:p>
        </w:tc>
      </w:tr>
      <w:tr w:rsidR="000A7456" w:rsidTr="0093400E">
        <w:trPr>
          <w:trHeight w:val="153"/>
        </w:trPr>
        <w:tc>
          <w:tcPr>
            <w:cnfStyle w:val="001000000000" w:firstRow="0" w:lastRow="0" w:firstColumn="1" w:lastColumn="0" w:oddVBand="0" w:evenVBand="0" w:oddHBand="0" w:evenHBand="0" w:firstRowFirstColumn="0" w:firstRowLastColumn="0" w:lastRowFirstColumn="0" w:lastRowLastColumn="0"/>
            <w:tcW w:w="5273" w:type="dxa"/>
            <w:vMerge/>
          </w:tcPr>
          <w:p w:rsidR="000A7456" w:rsidRPr="000A7456" w:rsidRDefault="000A7456" w:rsidP="000A7456"/>
        </w:tc>
        <w:tc>
          <w:tcPr>
            <w:tcW w:w="226" w:type="dxa"/>
            <w:vMerge/>
          </w:tcPr>
          <w:p w:rsidR="000A7456" w:rsidRDefault="000A7456" w:rsidP="000A7456">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7" w:type="dxa"/>
            <w:vMerge/>
            <w:tcBorders>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5</w:t>
            </w:r>
            <w:r w:rsidRPr="000A7456">
              <w:rPr>
                <w:rFonts w:hint="eastAsia"/>
                <w:color w:val="000000"/>
                <w:sz w:val="15"/>
                <w:szCs w:val="15"/>
              </w:rPr>
              <w:t>年期</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-0.0845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-0.0645 </w:t>
            </w:r>
          </w:p>
        </w:tc>
        <w:tc>
          <w:tcPr>
            <w:tcW w:w="528"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-0.1245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-0.2045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-0.1145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-0.1345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-0.1045 </w:t>
            </w:r>
          </w:p>
        </w:tc>
        <w:tc>
          <w:tcPr>
            <w:cnfStyle w:val="000100000000" w:firstRow="0" w:lastRow="0" w:firstColumn="0" w:lastColumn="1" w:oddVBand="0" w:evenVBand="0" w:oddHBand="0" w:evenHBand="0" w:firstRowFirstColumn="0" w:firstRowLastColumn="0" w:lastRowFirstColumn="0" w:lastRowLastColumn="0"/>
            <w:tcW w:w="528" w:type="dxa"/>
            <w:tcBorders>
              <w:top w:val="single" w:sz="4" w:space="0" w:color="00A0E9"/>
              <w:left w:val="single" w:sz="4" w:space="0" w:color="00A0E9"/>
            </w:tcBorders>
            <w:vAlign w:val="center"/>
          </w:tcPr>
          <w:p w:rsidR="000A7456" w:rsidRPr="000A7456" w:rsidRDefault="000A7456" w:rsidP="000A7456">
            <w:pPr>
              <w:jc w:val="center"/>
              <w:rPr>
                <w:color w:val="000000"/>
                <w:sz w:val="15"/>
                <w:szCs w:val="15"/>
              </w:rPr>
            </w:pPr>
            <w:r w:rsidRPr="000A7456">
              <w:rPr>
                <w:rFonts w:hint="eastAsia"/>
                <w:color w:val="000000"/>
                <w:sz w:val="15"/>
                <w:szCs w:val="15"/>
              </w:rPr>
              <w:t xml:space="preserve">-0.0845 </w:t>
            </w:r>
          </w:p>
        </w:tc>
      </w:tr>
      <w:tr w:rsidR="000A7456" w:rsidTr="0093400E">
        <w:trPr>
          <w:trHeight w:val="153"/>
        </w:trPr>
        <w:tc>
          <w:tcPr>
            <w:cnfStyle w:val="001000000000" w:firstRow="0" w:lastRow="0" w:firstColumn="1" w:lastColumn="0" w:oddVBand="0" w:evenVBand="0" w:oddHBand="0" w:evenHBand="0" w:firstRowFirstColumn="0" w:firstRowLastColumn="0" w:lastRowFirstColumn="0" w:lastRowLastColumn="0"/>
            <w:tcW w:w="5273" w:type="dxa"/>
            <w:vMerge/>
          </w:tcPr>
          <w:p w:rsidR="000A7456" w:rsidRPr="000A7456" w:rsidRDefault="000A7456" w:rsidP="000A7456"/>
        </w:tc>
        <w:tc>
          <w:tcPr>
            <w:tcW w:w="226" w:type="dxa"/>
            <w:vMerge/>
          </w:tcPr>
          <w:p w:rsidR="000A7456" w:rsidRDefault="000A7456" w:rsidP="000A7456">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7" w:type="dxa"/>
            <w:vMerge w:val="restart"/>
            <w:tcBorders>
              <w:top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4</w:t>
            </w:r>
            <w:r w:rsidRPr="000A7456">
              <w:rPr>
                <w:rFonts w:hint="eastAsia"/>
                <w:color w:val="000000"/>
                <w:sz w:val="15"/>
                <w:szCs w:val="15"/>
              </w:rPr>
              <w:t>月（</w:t>
            </w:r>
            <w:r w:rsidRPr="000A7456">
              <w:rPr>
                <w:rFonts w:hint="eastAsia"/>
                <w:color w:val="000000"/>
                <w:sz w:val="15"/>
                <w:szCs w:val="15"/>
              </w:rPr>
              <w:t>%</w:t>
            </w:r>
            <w:r w:rsidRPr="000A7456">
              <w:rPr>
                <w:rFonts w:hint="eastAsia"/>
                <w:color w:val="000000"/>
                <w:sz w:val="15"/>
                <w:szCs w:val="15"/>
              </w:rPr>
              <w:t>）</w:t>
            </w:r>
          </w:p>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3</w:t>
            </w:r>
            <w:r w:rsidRPr="000A7456">
              <w:rPr>
                <w:rFonts w:hint="eastAsia"/>
                <w:color w:val="000000"/>
                <w:sz w:val="15"/>
                <w:szCs w:val="15"/>
              </w:rPr>
              <w:t>个月</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0.0984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0.1984 </w:t>
            </w:r>
          </w:p>
        </w:tc>
        <w:tc>
          <w:tcPr>
            <w:tcW w:w="528"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0.2584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0.5084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0.4984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0.6084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0.7284 </w:t>
            </w:r>
          </w:p>
        </w:tc>
        <w:tc>
          <w:tcPr>
            <w:cnfStyle w:val="000100000000" w:firstRow="0" w:lastRow="0" w:firstColumn="0" w:lastColumn="1" w:oddVBand="0" w:evenVBand="0" w:oddHBand="0" w:evenHBand="0" w:firstRowFirstColumn="0" w:firstRowLastColumn="0" w:lastRowFirstColumn="0" w:lastRowLastColumn="0"/>
            <w:tcW w:w="528" w:type="dxa"/>
            <w:tcBorders>
              <w:top w:val="single" w:sz="4" w:space="0" w:color="00A0E9"/>
              <w:left w:val="single" w:sz="4" w:space="0" w:color="00A0E9"/>
            </w:tcBorders>
            <w:vAlign w:val="center"/>
          </w:tcPr>
          <w:p w:rsidR="000A7456" w:rsidRPr="000A7456" w:rsidRDefault="000A7456" w:rsidP="000A7456">
            <w:pPr>
              <w:jc w:val="center"/>
              <w:rPr>
                <w:color w:val="000000"/>
                <w:sz w:val="15"/>
                <w:szCs w:val="15"/>
              </w:rPr>
            </w:pPr>
            <w:r w:rsidRPr="000A7456">
              <w:rPr>
                <w:rFonts w:hint="eastAsia"/>
                <w:color w:val="000000"/>
                <w:sz w:val="15"/>
                <w:szCs w:val="15"/>
              </w:rPr>
              <w:t xml:space="preserve">0.9084 </w:t>
            </w:r>
          </w:p>
        </w:tc>
      </w:tr>
      <w:tr w:rsidR="000A7456" w:rsidTr="0093400E">
        <w:trPr>
          <w:trHeight w:val="153"/>
        </w:trPr>
        <w:tc>
          <w:tcPr>
            <w:cnfStyle w:val="001000000000" w:firstRow="0" w:lastRow="0" w:firstColumn="1" w:lastColumn="0" w:oddVBand="0" w:evenVBand="0" w:oddHBand="0" w:evenHBand="0" w:firstRowFirstColumn="0" w:firstRowLastColumn="0" w:lastRowFirstColumn="0" w:lastRowLastColumn="0"/>
            <w:tcW w:w="5273" w:type="dxa"/>
            <w:vMerge/>
          </w:tcPr>
          <w:p w:rsidR="000A7456" w:rsidRPr="000A7456" w:rsidRDefault="000A7456" w:rsidP="000A7456"/>
        </w:tc>
        <w:tc>
          <w:tcPr>
            <w:tcW w:w="226" w:type="dxa"/>
            <w:vMerge/>
          </w:tcPr>
          <w:p w:rsidR="000A7456" w:rsidRDefault="000A7456" w:rsidP="000A7456">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7" w:type="dxa"/>
            <w:vMerge/>
            <w:tcBorders>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1</w:t>
            </w:r>
            <w:r w:rsidRPr="000A7456">
              <w:rPr>
                <w:rFonts w:hint="eastAsia"/>
                <w:color w:val="000000"/>
                <w:sz w:val="15"/>
                <w:szCs w:val="15"/>
              </w:rPr>
              <w:t>年期</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0.3008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0.3608 </w:t>
            </w:r>
          </w:p>
        </w:tc>
        <w:tc>
          <w:tcPr>
            <w:tcW w:w="528"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0.4008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0.6508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0.6608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0.7708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0.8708 </w:t>
            </w:r>
          </w:p>
        </w:tc>
        <w:tc>
          <w:tcPr>
            <w:cnfStyle w:val="000100000000" w:firstRow="0" w:lastRow="0" w:firstColumn="0" w:lastColumn="1" w:oddVBand="0" w:evenVBand="0" w:oddHBand="0" w:evenHBand="0" w:firstRowFirstColumn="0" w:firstRowLastColumn="0" w:lastRowFirstColumn="0" w:lastRowLastColumn="0"/>
            <w:tcW w:w="528" w:type="dxa"/>
            <w:tcBorders>
              <w:top w:val="single" w:sz="4" w:space="0" w:color="00A0E9"/>
              <w:left w:val="single" w:sz="4" w:space="0" w:color="00A0E9"/>
            </w:tcBorders>
            <w:vAlign w:val="center"/>
          </w:tcPr>
          <w:p w:rsidR="000A7456" w:rsidRPr="000A7456" w:rsidRDefault="000A7456" w:rsidP="000A7456">
            <w:pPr>
              <w:jc w:val="center"/>
              <w:rPr>
                <w:color w:val="000000"/>
                <w:sz w:val="15"/>
                <w:szCs w:val="15"/>
              </w:rPr>
            </w:pPr>
            <w:r w:rsidRPr="000A7456">
              <w:rPr>
                <w:rFonts w:hint="eastAsia"/>
                <w:color w:val="000000"/>
                <w:sz w:val="15"/>
                <w:szCs w:val="15"/>
              </w:rPr>
              <w:t xml:space="preserve">1.0408 </w:t>
            </w:r>
          </w:p>
        </w:tc>
      </w:tr>
      <w:tr w:rsidR="000A7456" w:rsidTr="0093400E">
        <w:trPr>
          <w:trHeight w:val="153"/>
        </w:trPr>
        <w:tc>
          <w:tcPr>
            <w:cnfStyle w:val="001000000000" w:firstRow="0" w:lastRow="0" w:firstColumn="1" w:lastColumn="0" w:oddVBand="0" w:evenVBand="0" w:oddHBand="0" w:evenHBand="0" w:firstRowFirstColumn="0" w:firstRowLastColumn="0" w:lastRowFirstColumn="0" w:lastRowLastColumn="0"/>
            <w:tcW w:w="5273" w:type="dxa"/>
            <w:vMerge/>
          </w:tcPr>
          <w:p w:rsidR="000A7456" w:rsidRPr="000A7456" w:rsidRDefault="000A7456" w:rsidP="000A7456"/>
        </w:tc>
        <w:tc>
          <w:tcPr>
            <w:tcW w:w="226" w:type="dxa"/>
            <w:vMerge/>
          </w:tcPr>
          <w:p w:rsidR="000A7456" w:rsidRDefault="000A7456" w:rsidP="000A7456">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7" w:type="dxa"/>
            <w:vMerge/>
            <w:tcBorders>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3</w:t>
            </w:r>
            <w:r w:rsidRPr="000A7456">
              <w:rPr>
                <w:rFonts w:hint="eastAsia"/>
                <w:color w:val="000000"/>
                <w:sz w:val="15"/>
                <w:szCs w:val="15"/>
              </w:rPr>
              <w:t>年期</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0.5619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0.6119 </w:t>
            </w:r>
          </w:p>
        </w:tc>
        <w:tc>
          <w:tcPr>
            <w:tcW w:w="528"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0.6319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0.6319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0.6619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0.7619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0.8819 </w:t>
            </w:r>
          </w:p>
        </w:tc>
        <w:tc>
          <w:tcPr>
            <w:cnfStyle w:val="000100000000" w:firstRow="0" w:lastRow="0" w:firstColumn="0" w:lastColumn="1" w:oddVBand="0" w:evenVBand="0" w:oddHBand="0" w:evenHBand="0" w:firstRowFirstColumn="0" w:firstRowLastColumn="0" w:lastRowFirstColumn="0" w:lastRowLastColumn="0"/>
            <w:tcW w:w="528" w:type="dxa"/>
            <w:tcBorders>
              <w:top w:val="single" w:sz="4" w:space="0" w:color="00A0E9"/>
              <w:left w:val="single" w:sz="4" w:space="0" w:color="00A0E9"/>
            </w:tcBorders>
            <w:vAlign w:val="center"/>
          </w:tcPr>
          <w:p w:rsidR="000A7456" w:rsidRPr="000A7456" w:rsidRDefault="000A7456" w:rsidP="000A7456">
            <w:pPr>
              <w:jc w:val="center"/>
              <w:rPr>
                <w:color w:val="000000"/>
                <w:sz w:val="15"/>
                <w:szCs w:val="15"/>
              </w:rPr>
            </w:pPr>
            <w:r w:rsidRPr="000A7456">
              <w:rPr>
                <w:rFonts w:hint="eastAsia"/>
                <w:color w:val="000000"/>
                <w:sz w:val="15"/>
                <w:szCs w:val="15"/>
              </w:rPr>
              <w:t xml:space="preserve">0.9419 </w:t>
            </w:r>
          </w:p>
        </w:tc>
      </w:tr>
      <w:tr w:rsidR="000A7456" w:rsidTr="0093400E">
        <w:trPr>
          <w:trHeight w:val="153"/>
        </w:trPr>
        <w:tc>
          <w:tcPr>
            <w:cnfStyle w:val="001000000000" w:firstRow="0" w:lastRow="0" w:firstColumn="1" w:lastColumn="0" w:oddVBand="0" w:evenVBand="0" w:oddHBand="0" w:evenHBand="0" w:firstRowFirstColumn="0" w:firstRowLastColumn="0" w:lastRowFirstColumn="0" w:lastRowLastColumn="0"/>
            <w:tcW w:w="5273" w:type="dxa"/>
            <w:vMerge/>
          </w:tcPr>
          <w:p w:rsidR="000A7456" w:rsidRPr="000A7456" w:rsidRDefault="000A7456" w:rsidP="000A7456"/>
        </w:tc>
        <w:tc>
          <w:tcPr>
            <w:tcW w:w="226" w:type="dxa"/>
            <w:vMerge/>
          </w:tcPr>
          <w:p w:rsidR="000A7456" w:rsidRDefault="000A7456" w:rsidP="000A7456">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7" w:type="dxa"/>
            <w:vMerge/>
            <w:tcBorders>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pP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5</w:t>
            </w:r>
            <w:r w:rsidRPr="000A7456">
              <w:rPr>
                <w:rFonts w:hint="eastAsia"/>
                <w:color w:val="000000"/>
                <w:sz w:val="15"/>
                <w:szCs w:val="15"/>
              </w:rPr>
              <w:t>年期</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0.4911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0.5311 </w:t>
            </w:r>
          </w:p>
        </w:tc>
        <w:tc>
          <w:tcPr>
            <w:tcW w:w="528"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0.5311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0.5311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0.5811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0.7011 </w:t>
            </w:r>
          </w:p>
        </w:tc>
        <w:tc>
          <w:tcPr>
            <w:tcW w:w="527" w:type="dxa"/>
            <w:tcBorders>
              <w:top w:val="single" w:sz="4" w:space="0" w:color="00A0E9"/>
              <w:left w:val="single" w:sz="4" w:space="0" w:color="00A0E9"/>
              <w:bottom w:val="single" w:sz="4" w:space="0" w:color="00A0E9"/>
              <w:right w:val="single" w:sz="4" w:space="0" w:color="00A0E9"/>
            </w:tcBorders>
            <w:vAlign w:val="center"/>
          </w:tcPr>
          <w:p w:rsidR="000A7456" w:rsidRPr="000A7456" w:rsidRDefault="000A7456" w:rsidP="000A7456">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0A7456">
              <w:rPr>
                <w:rFonts w:hint="eastAsia"/>
                <w:color w:val="000000"/>
                <w:sz w:val="15"/>
                <w:szCs w:val="15"/>
              </w:rPr>
              <w:t xml:space="preserve">0.7911 </w:t>
            </w:r>
          </w:p>
        </w:tc>
        <w:tc>
          <w:tcPr>
            <w:cnfStyle w:val="000100000000" w:firstRow="0" w:lastRow="0" w:firstColumn="0" w:lastColumn="1" w:oddVBand="0" w:evenVBand="0" w:oddHBand="0" w:evenHBand="0" w:firstRowFirstColumn="0" w:firstRowLastColumn="0" w:lastRowFirstColumn="0" w:lastRowLastColumn="0"/>
            <w:tcW w:w="528" w:type="dxa"/>
            <w:tcBorders>
              <w:top w:val="single" w:sz="4" w:space="0" w:color="00A0E9"/>
              <w:left w:val="single" w:sz="4" w:space="0" w:color="00A0E9"/>
            </w:tcBorders>
            <w:vAlign w:val="center"/>
          </w:tcPr>
          <w:p w:rsidR="000A7456" w:rsidRPr="000A7456" w:rsidRDefault="000A7456" w:rsidP="000A7456">
            <w:pPr>
              <w:jc w:val="center"/>
              <w:rPr>
                <w:color w:val="000000"/>
                <w:sz w:val="15"/>
                <w:szCs w:val="15"/>
              </w:rPr>
            </w:pPr>
            <w:r w:rsidRPr="000A7456">
              <w:rPr>
                <w:rFonts w:hint="eastAsia"/>
                <w:color w:val="000000"/>
                <w:sz w:val="15"/>
                <w:szCs w:val="15"/>
              </w:rPr>
              <w:t xml:space="preserve">0.8311 </w:t>
            </w:r>
          </w:p>
        </w:tc>
      </w:tr>
      <w:tr w:rsidR="000A7456" w:rsidTr="000A7456">
        <w:tc>
          <w:tcPr>
            <w:tcW w:w="5273" w:type="dxa"/>
          </w:tcPr>
          <w:p w:rsidR="000A7456" w:rsidRDefault="000A7456" w:rsidP="000A745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注：</w:t>
            </w:r>
            <w:r>
              <w:rPr>
                <w:rFonts w:hint="eastAsia"/>
              </w:rPr>
              <w:t>4</w:t>
            </w:r>
            <w:r>
              <w:rPr>
                <w:rFonts w:hint="eastAsia"/>
              </w:rPr>
              <w:t>月数据截至</w:t>
            </w:r>
            <w:r>
              <w:rPr>
                <w:rFonts w:hint="eastAsia"/>
              </w:rPr>
              <w:t>4</w:t>
            </w:r>
            <w:r>
              <w:rPr>
                <w:rFonts w:hint="eastAsia"/>
              </w:rPr>
              <w:t>月</w:t>
            </w:r>
            <w:r>
              <w:rPr>
                <w:rFonts w:hint="eastAsia"/>
              </w:rPr>
              <w:t>25</w:t>
            </w:r>
            <w:r>
              <w:rPr>
                <w:rFonts w:hint="eastAsia"/>
              </w:rPr>
              <w:t>日。</w:t>
            </w:r>
          </w:p>
          <w:p w:rsidR="000A7456" w:rsidRDefault="000A7456" w:rsidP="000A7456">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WIND</w:t>
            </w:r>
          </w:p>
        </w:tc>
        <w:tc>
          <w:tcPr>
            <w:tcW w:w="226" w:type="dxa"/>
          </w:tcPr>
          <w:p w:rsidR="000A7456" w:rsidRDefault="000A7456" w:rsidP="000A7456">
            <w:pPr>
              <w:pStyle w:val="GJStylesGraphSource"/>
            </w:pPr>
          </w:p>
        </w:tc>
        <w:tc>
          <w:tcPr>
            <w:tcW w:w="5272" w:type="dxa"/>
            <w:gridSpan w:val="10"/>
            <w:tcBorders>
              <w:top w:val="single" w:sz="4" w:space="0" w:color="00A0E9"/>
            </w:tcBorders>
          </w:tcPr>
          <w:p w:rsidR="000A7456" w:rsidRDefault="000A7456" w:rsidP="000A745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注：</w:t>
            </w:r>
            <w:r>
              <w:rPr>
                <w:rFonts w:hint="eastAsia"/>
              </w:rPr>
              <w:t>4</w:t>
            </w:r>
            <w:r>
              <w:rPr>
                <w:rFonts w:hint="eastAsia"/>
              </w:rPr>
              <w:t>月数据截至</w:t>
            </w:r>
            <w:r>
              <w:rPr>
                <w:rFonts w:hint="eastAsia"/>
              </w:rPr>
              <w:t>4</w:t>
            </w:r>
            <w:r>
              <w:rPr>
                <w:rFonts w:hint="eastAsia"/>
              </w:rPr>
              <w:t>月</w:t>
            </w:r>
            <w:r>
              <w:rPr>
                <w:rFonts w:hint="eastAsia"/>
              </w:rPr>
              <w:t>25</w:t>
            </w:r>
            <w:r>
              <w:rPr>
                <w:rFonts w:hint="eastAsia"/>
              </w:rPr>
              <w:t>日。</w:t>
            </w:r>
          </w:p>
          <w:p w:rsidR="000A7456" w:rsidRDefault="000A7456" w:rsidP="000A7456">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Pr>
                <w:rFonts w:hint="eastAsia"/>
              </w:rPr>
              <w:t>WIND</w:t>
            </w:r>
          </w:p>
        </w:tc>
      </w:tr>
    </w:tbl>
    <w:p w:rsidR="00C04724" w:rsidRDefault="00C04724" w:rsidP="00C04724">
      <w:pPr>
        <w:pStyle w:val="a0"/>
        <w:widowControl/>
        <w:spacing w:line="240" w:lineRule="auto"/>
        <w:ind w:leftChars="1890" w:firstLineChars="200" w:firstLine="422"/>
        <w:rPr>
          <w:rFonts w:ascii="楷体_GB2312"/>
          <w:b/>
          <w:color w:val="auto"/>
        </w:rPr>
      </w:pPr>
      <w:r w:rsidRPr="00C04724">
        <w:rPr>
          <w:rFonts w:ascii="楷体_GB2312" w:hint="eastAsia"/>
          <w:b/>
          <w:color w:val="auto"/>
        </w:rPr>
        <w:lastRenderedPageBreak/>
        <w:t>4月债券市场震荡幅度加大，信用债及利率债市场均出现显著回调。本轮调整除了受到基本面好转、通胀温和回升和流动性波动等此前已经存在的利空因素压制之外，还受到被动去杠杆、信用违约及营改增等短期因素扰动。中铁物资债券</w:t>
      </w:r>
      <w:r w:rsidR="00F45BAA">
        <w:rPr>
          <w:rFonts w:ascii="楷体_GB2312" w:hint="eastAsia"/>
          <w:b/>
          <w:color w:val="auto"/>
        </w:rPr>
        <w:t>停牌为本已脆弱的信用基本面雪上加霜，如此大规模的债券停牌使得债券市场</w:t>
      </w:r>
      <w:r w:rsidRPr="00C04724">
        <w:rPr>
          <w:rFonts w:ascii="楷体_GB2312" w:hint="eastAsia"/>
          <w:b/>
          <w:color w:val="auto"/>
        </w:rPr>
        <w:t>面临大量赎回压力，从而导致</w:t>
      </w:r>
      <w:r w:rsidR="004007BB">
        <w:rPr>
          <w:rFonts w:ascii="楷体_GB2312" w:hint="eastAsia"/>
          <w:b/>
          <w:color w:val="auto"/>
        </w:rPr>
        <w:t>流动性更好的债券先被赎回，信用债市场的流动性紧张对利率</w:t>
      </w:r>
      <w:proofErr w:type="gramStart"/>
      <w:r w:rsidR="004007BB">
        <w:rPr>
          <w:rFonts w:ascii="楷体_GB2312" w:hint="eastAsia"/>
          <w:b/>
          <w:color w:val="auto"/>
        </w:rPr>
        <w:t>债产生</w:t>
      </w:r>
      <w:proofErr w:type="gramEnd"/>
      <w:r w:rsidR="004007BB">
        <w:rPr>
          <w:rFonts w:ascii="楷体_GB2312" w:hint="eastAsia"/>
          <w:b/>
          <w:color w:val="auto"/>
        </w:rPr>
        <w:t>溢出负面影响</w:t>
      </w:r>
      <w:r w:rsidRPr="00C04724">
        <w:rPr>
          <w:rFonts w:ascii="楷体_GB2312" w:hint="eastAsia"/>
          <w:b/>
          <w:color w:val="auto"/>
        </w:rPr>
        <w:t>。除此之外，5月1</w:t>
      </w:r>
      <w:r w:rsidR="004007BB">
        <w:rPr>
          <w:rFonts w:ascii="楷体_GB2312" w:hint="eastAsia"/>
          <w:b/>
          <w:color w:val="auto"/>
        </w:rPr>
        <w:t>日起实行的营改增将提高债券质押及买入返</w:t>
      </w:r>
      <w:proofErr w:type="gramStart"/>
      <w:r w:rsidR="004007BB">
        <w:rPr>
          <w:rFonts w:ascii="楷体_GB2312" w:hint="eastAsia"/>
          <w:b/>
          <w:color w:val="auto"/>
        </w:rPr>
        <w:t>售资金</w:t>
      </w:r>
      <w:proofErr w:type="gramEnd"/>
      <w:r w:rsidR="004007BB">
        <w:rPr>
          <w:rFonts w:ascii="楷体_GB2312" w:hint="eastAsia"/>
          <w:b/>
          <w:color w:val="auto"/>
        </w:rPr>
        <w:t>利率成本，并提高</w:t>
      </w:r>
      <w:r w:rsidRPr="00C04724">
        <w:rPr>
          <w:rFonts w:ascii="楷体_GB2312" w:hint="eastAsia"/>
          <w:b/>
          <w:color w:val="auto"/>
        </w:rPr>
        <w:t>国债和地方债以外的债券</w:t>
      </w:r>
      <w:r w:rsidR="004007BB">
        <w:rPr>
          <w:rFonts w:ascii="楷体_GB2312" w:hint="eastAsia"/>
          <w:b/>
          <w:color w:val="auto"/>
        </w:rPr>
        <w:t>的</w:t>
      </w:r>
      <w:r w:rsidRPr="00C04724">
        <w:rPr>
          <w:rFonts w:ascii="楷体_GB2312" w:hint="eastAsia"/>
          <w:b/>
          <w:color w:val="auto"/>
        </w:rPr>
        <w:t>实际成本，</w:t>
      </w:r>
      <w:r w:rsidR="004007BB">
        <w:rPr>
          <w:rFonts w:ascii="楷体_GB2312" w:hint="eastAsia"/>
          <w:b/>
          <w:color w:val="auto"/>
        </w:rPr>
        <w:t>该</w:t>
      </w:r>
      <w:r w:rsidRPr="00C04724">
        <w:rPr>
          <w:rFonts w:ascii="楷体_GB2312" w:hint="eastAsia"/>
          <w:b/>
          <w:color w:val="auto"/>
        </w:rPr>
        <w:t>利空因素影响之下信用债和政策金融</w:t>
      </w:r>
      <w:proofErr w:type="gramStart"/>
      <w:r w:rsidRPr="00C04724">
        <w:rPr>
          <w:rFonts w:ascii="楷体_GB2312" w:hint="eastAsia"/>
          <w:b/>
          <w:color w:val="auto"/>
        </w:rPr>
        <w:t>债收益</w:t>
      </w:r>
      <w:proofErr w:type="gramEnd"/>
      <w:r w:rsidRPr="00C04724">
        <w:rPr>
          <w:rFonts w:ascii="楷体_GB2312" w:hint="eastAsia"/>
          <w:b/>
          <w:color w:val="auto"/>
        </w:rPr>
        <w:t>提前调整，政策银行债与国债利差拉大。</w:t>
      </w:r>
    </w:p>
    <w:p w:rsidR="00C04724" w:rsidRPr="00C04724" w:rsidRDefault="00C04724" w:rsidP="00C04724">
      <w:pPr>
        <w:pStyle w:val="a0"/>
        <w:widowControl/>
        <w:spacing w:line="240" w:lineRule="auto"/>
        <w:ind w:leftChars="1890" w:firstLineChars="200" w:firstLine="422"/>
        <w:rPr>
          <w:rFonts w:ascii="楷体_GB2312"/>
          <w:b/>
          <w:color w:val="auto"/>
        </w:rPr>
      </w:pPr>
      <w:r w:rsidRPr="00C04724">
        <w:rPr>
          <w:rFonts w:ascii="楷体_GB2312" w:hint="eastAsia"/>
          <w:b/>
          <w:color w:val="auto"/>
        </w:rPr>
        <w:t>5月为经济数据真空期，短期需求刺激政策持续性难以被证伪，通胀抬升趋势温和但绝对值仍处于高位；资金面受到脉冲式冲击稳定性较差，但货币政策对冲之下波动幅度可控；5月为企业年报、季报公布之后的评级调整高峰期，本已脆弱的信用基本面将继续受到冲击；此外，营改增对债券实际成本的影响仍未消除，债市去杠杆担忧情绪将继续发酵。多重利空因素影响之下债券市场将持续震荡行情，预计市场情绪将维持谨慎，以静待环境发生进一步变化。</w:t>
      </w:r>
    </w:p>
    <w:p w:rsidR="00C04724" w:rsidRPr="00C04724" w:rsidRDefault="004007BB" w:rsidP="00C04724">
      <w:pPr>
        <w:pStyle w:val="a0"/>
        <w:numPr>
          <w:ilvl w:val="0"/>
          <w:numId w:val="4"/>
        </w:numPr>
        <w:tabs>
          <w:tab w:val="clear" w:pos="4329"/>
        </w:tabs>
        <w:spacing w:line="240" w:lineRule="auto"/>
        <w:ind w:left="3402"/>
        <w:rPr>
          <w:rFonts w:ascii="楷体_GB2312"/>
          <w:b/>
          <w:color w:val="00B0F0"/>
        </w:rPr>
      </w:pPr>
      <w:r>
        <w:rPr>
          <w:rFonts w:ascii="楷体_GB2312" w:hint="eastAsia"/>
          <w:b/>
          <w:color w:val="00B0F0"/>
        </w:rPr>
        <w:t>债券型基金投资建议：震荡</w:t>
      </w:r>
      <w:proofErr w:type="gramStart"/>
      <w:r>
        <w:rPr>
          <w:rFonts w:ascii="楷体_GB2312" w:hint="eastAsia"/>
          <w:b/>
          <w:color w:val="00B0F0"/>
        </w:rPr>
        <w:t>市场</w:t>
      </w:r>
      <w:r w:rsidR="00C04724" w:rsidRPr="00C04724">
        <w:rPr>
          <w:rFonts w:ascii="楷体_GB2312" w:hint="eastAsia"/>
          <w:b/>
          <w:color w:val="00B0F0"/>
        </w:rPr>
        <w:t>风控先行</w:t>
      </w:r>
      <w:proofErr w:type="gramEnd"/>
      <w:r w:rsidR="00C04724" w:rsidRPr="00C04724">
        <w:rPr>
          <w:rFonts w:ascii="楷体_GB2312" w:hint="eastAsia"/>
          <w:b/>
          <w:color w:val="00B0F0"/>
        </w:rPr>
        <w:t>，</w:t>
      </w:r>
      <w:proofErr w:type="gramStart"/>
      <w:r w:rsidR="00C04724">
        <w:rPr>
          <w:rFonts w:ascii="楷体_GB2312" w:hint="eastAsia"/>
          <w:b/>
          <w:color w:val="00B0F0"/>
        </w:rPr>
        <w:t>缩短久期</w:t>
      </w:r>
      <w:r>
        <w:rPr>
          <w:rFonts w:ascii="楷体_GB2312" w:hint="eastAsia"/>
          <w:b/>
          <w:color w:val="00B0F0"/>
        </w:rPr>
        <w:t>稳健</w:t>
      </w:r>
      <w:proofErr w:type="gramEnd"/>
      <w:r w:rsidR="00C04724">
        <w:rPr>
          <w:rFonts w:ascii="楷体_GB2312" w:hint="eastAsia"/>
          <w:b/>
          <w:color w:val="00B0F0"/>
        </w:rPr>
        <w:t>操作</w:t>
      </w:r>
    </w:p>
    <w:p w:rsidR="00C04724" w:rsidRPr="00C04724" w:rsidRDefault="00C04724" w:rsidP="00C04724">
      <w:pPr>
        <w:pStyle w:val="a0"/>
        <w:widowControl/>
        <w:numPr>
          <w:ilvl w:val="4"/>
          <w:numId w:val="3"/>
        </w:numPr>
        <w:rPr>
          <w:color w:val="auto"/>
        </w:rPr>
      </w:pPr>
      <w:r w:rsidRPr="00C04724">
        <w:rPr>
          <w:rFonts w:hint="eastAsia"/>
          <w:color w:val="auto"/>
        </w:rPr>
        <w:t>在股市及债市均出现大幅调整的市场行情之下，</w:t>
      </w:r>
      <w:r w:rsidRPr="00C04724">
        <w:rPr>
          <w:rFonts w:hint="eastAsia"/>
          <w:color w:val="auto"/>
        </w:rPr>
        <w:t>4</w:t>
      </w:r>
      <w:r w:rsidRPr="00C04724">
        <w:rPr>
          <w:rFonts w:hint="eastAsia"/>
          <w:color w:val="auto"/>
        </w:rPr>
        <w:t>月各类型债券基金平均收益均由正转负。截至</w:t>
      </w:r>
      <w:r w:rsidRPr="00C04724">
        <w:rPr>
          <w:rFonts w:hint="eastAsia"/>
          <w:color w:val="auto"/>
        </w:rPr>
        <w:t>4</w:t>
      </w:r>
      <w:r w:rsidRPr="00C04724">
        <w:rPr>
          <w:rFonts w:hint="eastAsia"/>
          <w:color w:val="auto"/>
        </w:rPr>
        <w:t>月</w:t>
      </w:r>
      <w:r w:rsidRPr="00C04724">
        <w:rPr>
          <w:rFonts w:hint="eastAsia"/>
          <w:color w:val="auto"/>
        </w:rPr>
        <w:t>25</w:t>
      </w:r>
      <w:r w:rsidRPr="00C04724">
        <w:rPr>
          <w:rFonts w:hint="eastAsia"/>
          <w:color w:val="auto"/>
        </w:rPr>
        <w:t>日，完全型、新股申购型和普通型债券基金当月平均收益分别为</w:t>
      </w:r>
      <w:r w:rsidRPr="00C04724">
        <w:rPr>
          <w:rFonts w:hint="eastAsia"/>
          <w:color w:val="auto"/>
        </w:rPr>
        <w:t>-1.02%</w:t>
      </w:r>
      <w:r w:rsidRPr="00C04724">
        <w:rPr>
          <w:rFonts w:hint="eastAsia"/>
          <w:color w:val="auto"/>
        </w:rPr>
        <w:t>、</w:t>
      </w:r>
      <w:r w:rsidRPr="00C04724">
        <w:rPr>
          <w:rFonts w:hint="eastAsia"/>
          <w:color w:val="auto"/>
        </w:rPr>
        <w:t>-1.22%</w:t>
      </w:r>
      <w:r w:rsidRPr="00C04724">
        <w:rPr>
          <w:rFonts w:hint="eastAsia"/>
          <w:color w:val="auto"/>
        </w:rPr>
        <w:t>和</w:t>
      </w:r>
      <w:r w:rsidRPr="00C04724">
        <w:rPr>
          <w:rFonts w:hint="eastAsia"/>
          <w:color w:val="auto"/>
        </w:rPr>
        <w:t>-1.03%</w:t>
      </w:r>
      <w:r w:rsidRPr="00C04724">
        <w:rPr>
          <w:rFonts w:hint="eastAsia"/>
          <w:color w:val="auto"/>
        </w:rPr>
        <w:t>，</w:t>
      </w:r>
      <w:proofErr w:type="gramStart"/>
      <w:r w:rsidRPr="00C04724">
        <w:rPr>
          <w:rFonts w:hint="eastAsia"/>
          <w:color w:val="auto"/>
        </w:rPr>
        <w:t>其中债性较纯</w:t>
      </w:r>
      <w:proofErr w:type="gramEnd"/>
      <w:r w:rsidRPr="00C04724">
        <w:rPr>
          <w:rFonts w:hint="eastAsia"/>
          <w:color w:val="auto"/>
        </w:rPr>
        <w:t>的完全型及新股申购型债券基金收益水平已降至牛市以来历史低点。</w:t>
      </w:r>
    </w:p>
    <w:p w:rsidR="00C04724" w:rsidRDefault="00C04724" w:rsidP="00C04724">
      <w:pPr>
        <w:pStyle w:val="a0"/>
        <w:widowControl/>
        <w:numPr>
          <w:ilvl w:val="4"/>
          <w:numId w:val="3"/>
        </w:numPr>
        <w:rPr>
          <w:color w:val="auto"/>
        </w:rPr>
      </w:pPr>
      <w:r w:rsidRPr="00C04724">
        <w:rPr>
          <w:rFonts w:hint="eastAsia"/>
          <w:color w:val="auto"/>
        </w:rPr>
        <w:t>从债券持仓比例来看，</w:t>
      </w:r>
      <w:r w:rsidRPr="00C04724">
        <w:rPr>
          <w:rFonts w:hint="eastAsia"/>
          <w:color w:val="auto"/>
        </w:rPr>
        <w:t>1</w:t>
      </w:r>
      <w:r w:rsidRPr="00C04724">
        <w:rPr>
          <w:rFonts w:hint="eastAsia"/>
          <w:color w:val="auto"/>
        </w:rPr>
        <w:t>季度末完全型、新股申购型和普通型债券基金平均</w:t>
      </w:r>
      <w:proofErr w:type="gramStart"/>
      <w:r w:rsidRPr="00C04724">
        <w:rPr>
          <w:rFonts w:hint="eastAsia"/>
          <w:color w:val="auto"/>
        </w:rPr>
        <w:t>持债比例</w:t>
      </w:r>
      <w:proofErr w:type="gramEnd"/>
      <w:r w:rsidRPr="00C04724">
        <w:rPr>
          <w:rFonts w:hint="eastAsia"/>
          <w:color w:val="auto"/>
        </w:rPr>
        <w:t>分别为</w:t>
      </w:r>
      <w:r w:rsidRPr="00C04724">
        <w:rPr>
          <w:rFonts w:hint="eastAsia"/>
          <w:color w:val="auto"/>
        </w:rPr>
        <w:t>120.10%</w:t>
      </w:r>
      <w:r w:rsidRPr="00C04724">
        <w:rPr>
          <w:rFonts w:hint="eastAsia"/>
          <w:color w:val="auto"/>
        </w:rPr>
        <w:t>、</w:t>
      </w:r>
      <w:r w:rsidRPr="00C04724">
        <w:rPr>
          <w:rFonts w:hint="eastAsia"/>
          <w:color w:val="auto"/>
        </w:rPr>
        <w:t>116.20%</w:t>
      </w:r>
      <w:r w:rsidRPr="00C04724">
        <w:rPr>
          <w:rFonts w:hint="eastAsia"/>
          <w:color w:val="auto"/>
        </w:rPr>
        <w:t>和</w:t>
      </w:r>
      <w:r w:rsidRPr="00C04724">
        <w:rPr>
          <w:rFonts w:hint="eastAsia"/>
          <w:color w:val="auto"/>
        </w:rPr>
        <w:t>100.95%</w:t>
      </w:r>
      <w:r w:rsidRPr="00C04724">
        <w:rPr>
          <w:rFonts w:hint="eastAsia"/>
          <w:color w:val="auto"/>
        </w:rPr>
        <w:t>，其中与</w:t>
      </w:r>
      <w:r w:rsidRPr="00C04724">
        <w:rPr>
          <w:rFonts w:hint="eastAsia"/>
          <w:color w:val="auto"/>
        </w:rPr>
        <w:t>2015</w:t>
      </w:r>
      <w:r w:rsidRPr="00C04724">
        <w:rPr>
          <w:rFonts w:hint="eastAsia"/>
          <w:color w:val="auto"/>
        </w:rPr>
        <w:t>年</w:t>
      </w:r>
      <w:r w:rsidRPr="00C04724">
        <w:rPr>
          <w:rFonts w:hint="eastAsia"/>
          <w:color w:val="auto"/>
        </w:rPr>
        <w:t>4</w:t>
      </w:r>
      <w:r w:rsidRPr="00C04724">
        <w:rPr>
          <w:rFonts w:hint="eastAsia"/>
          <w:color w:val="auto"/>
        </w:rPr>
        <w:t>季度相比完全</w:t>
      </w:r>
      <w:proofErr w:type="gramStart"/>
      <w:r w:rsidRPr="00C04724">
        <w:rPr>
          <w:rFonts w:hint="eastAsia"/>
          <w:color w:val="auto"/>
        </w:rPr>
        <w:t>型债基平均</w:t>
      </w:r>
      <w:proofErr w:type="gramEnd"/>
      <w:r w:rsidRPr="00C04724">
        <w:rPr>
          <w:rFonts w:hint="eastAsia"/>
          <w:color w:val="auto"/>
        </w:rPr>
        <w:t>债券持仓比例小幅下调</w:t>
      </w:r>
      <w:r w:rsidRPr="00C04724">
        <w:rPr>
          <w:rFonts w:hint="eastAsia"/>
          <w:color w:val="auto"/>
        </w:rPr>
        <w:t>3.41%</w:t>
      </w:r>
      <w:r w:rsidRPr="00C04724">
        <w:rPr>
          <w:rFonts w:hint="eastAsia"/>
          <w:color w:val="auto"/>
        </w:rPr>
        <w:t>，而新股申购型和普通型</w:t>
      </w:r>
      <w:proofErr w:type="gramStart"/>
      <w:r w:rsidRPr="00C04724">
        <w:rPr>
          <w:rFonts w:hint="eastAsia"/>
          <w:color w:val="auto"/>
        </w:rPr>
        <w:t>债基持债比例</w:t>
      </w:r>
      <w:proofErr w:type="gramEnd"/>
      <w:r w:rsidRPr="00C04724">
        <w:rPr>
          <w:rFonts w:hint="eastAsia"/>
          <w:color w:val="auto"/>
        </w:rPr>
        <w:t>下调幅度不足</w:t>
      </w:r>
      <w:r w:rsidRPr="00C04724">
        <w:rPr>
          <w:rFonts w:hint="eastAsia"/>
          <w:color w:val="auto"/>
        </w:rPr>
        <w:t>1%</w:t>
      </w:r>
      <w:r w:rsidRPr="00C04724">
        <w:rPr>
          <w:rFonts w:hint="eastAsia"/>
          <w:color w:val="auto"/>
        </w:rPr>
        <w:t>（分别为</w:t>
      </w:r>
      <w:r w:rsidRPr="00C04724">
        <w:rPr>
          <w:rFonts w:hint="eastAsia"/>
          <w:color w:val="auto"/>
        </w:rPr>
        <w:t>0.33%</w:t>
      </w:r>
      <w:r w:rsidRPr="00C04724">
        <w:rPr>
          <w:rFonts w:hint="eastAsia"/>
          <w:color w:val="auto"/>
        </w:rPr>
        <w:t>和</w:t>
      </w:r>
      <w:r w:rsidRPr="00C04724">
        <w:rPr>
          <w:rFonts w:hint="eastAsia"/>
          <w:color w:val="auto"/>
        </w:rPr>
        <w:t>0.53%</w:t>
      </w:r>
      <w:r w:rsidRPr="00C04724">
        <w:rPr>
          <w:rFonts w:hint="eastAsia"/>
          <w:color w:val="auto"/>
        </w:rPr>
        <w:t>）。整体来看</w:t>
      </w:r>
      <w:r w:rsidR="00F45BAA">
        <w:rPr>
          <w:rFonts w:hint="eastAsia"/>
          <w:color w:val="auto"/>
        </w:rPr>
        <w:t>多数</w:t>
      </w:r>
      <w:r w:rsidRPr="00C04724">
        <w:rPr>
          <w:rFonts w:hint="eastAsia"/>
          <w:color w:val="auto"/>
        </w:rPr>
        <w:t>管理人未能预料到本次</w:t>
      </w:r>
      <w:r w:rsidR="00D12D7D">
        <w:rPr>
          <w:rFonts w:hint="eastAsia"/>
          <w:color w:val="auto"/>
        </w:rPr>
        <w:t>波动</w:t>
      </w:r>
      <w:r w:rsidRPr="00C04724">
        <w:rPr>
          <w:rFonts w:hint="eastAsia"/>
          <w:color w:val="auto"/>
        </w:rPr>
        <w:t>提前调整债券</w:t>
      </w:r>
      <w:proofErr w:type="gramStart"/>
      <w:r w:rsidRPr="00C04724">
        <w:rPr>
          <w:rFonts w:hint="eastAsia"/>
          <w:color w:val="auto"/>
        </w:rPr>
        <w:t>仓位</w:t>
      </w:r>
      <w:proofErr w:type="gramEnd"/>
      <w:r w:rsidRPr="00C04724">
        <w:rPr>
          <w:rFonts w:hint="eastAsia"/>
          <w:color w:val="auto"/>
        </w:rPr>
        <w:t>，导致基金净值遭受损失。而尽管</w:t>
      </w:r>
      <w:r w:rsidRPr="00C04724">
        <w:rPr>
          <w:rFonts w:hint="eastAsia"/>
          <w:color w:val="auto"/>
        </w:rPr>
        <w:t>1</w:t>
      </w:r>
      <w:r w:rsidRPr="00C04724">
        <w:rPr>
          <w:rFonts w:hint="eastAsia"/>
          <w:color w:val="auto"/>
        </w:rPr>
        <w:t>季度末普通型</w:t>
      </w:r>
      <w:proofErr w:type="gramStart"/>
      <w:r w:rsidRPr="00C04724">
        <w:rPr>
          <w:rFonts w:hint="eastAsia"/>
          <w:color w:val="auto"/>
        </w:rPr>
        <w:t>债基股票</w:t>
      </w:r>
      <w:proofErr w:type="gramEnd"/>
      <w:r w:rsidRPr="00C04724">
        <w:rPr>
          <w:rFonts w:hint="eastAsia"/>
          <w:color w:val="auto"/>
        </w:rPr>
        <w:t>持仓比例下调幅度同样有限，但由于</w:t>
      </w:r>
      <w:r w:rsidRPr="00C04724">
        <w:rPr>
          <w:rFonts w:hint="eastAsia"/>
          <w:color w:val="auto"/>
        </w:rPr>
        <w:t>4</w:t>
      </w:r>
      <w:r w:rsidRPr="00C04724">
        <w:rPr>
          <w:rFonts w:hint="eastAsia"/>
          <w:color w:val="auto"/>
        </w:rPr>
        <w:t>月股市行情小幅反弹后有所回落，</w:t>
      </w:r>
      <w:proofErr w:type="gramStart"/>
      <w:r w:rsidRPr="00C04724">
        <w:rPr>
          <w:rFonts w:hint="eastAsia"/>
          <w:color w:val="auto"/>
        </w:rPr>
        <w:t>普通型债基在</w:t>
      </w:r>
      <w:proofErr w:type="gramEnd"/>
      <w:r w:rsidRPr="00C04724">
        <w:rPr>
          <w:rFonts w:hint="eastAsia"/>
          <w:color w:val="auto"/>
        </w:rPr>
        <w:t>阶段性行情中的收益对冲掉部分损失，</w:t>
      </w:r>
      <w:r w:rsidR="004007BB">
        <w:rPr>
          <w:rFonts w:hint="eastAsia"/>
          <w:color w:val="auto"/>
        </w:rPr>
        <w:t>使得</w:t>
      </w:r>
      <w:proofErr w:type="gramStart"/>
      <w:r w:rsidRPr="00C04724">
        <w:rPr>
          <w:rFonts w:hint="eastAsia"/>
          <w:color w:val="auto"/>
        </w:rPr>
        <w:t>普通型债基与其</w:t>
      </w:r>
      <w:proofErr w:type="gramEnd"/>
      <w:r w:rsidRPr="00C04724">
        <w:rPr>
          <w:rFonts w:hint="eastAsia"/>
          <w:color w:val="auto"/>
        </w:rPr>
        <w:t>他两类债券型基金损失幅度较为接近。</w:t>
      </w:r>
    </w:p>
    <w:tbl>
      <w:tblPr>
        <w:tblStyle w:val="GJStylesChartInsertDoubleCol"/>
        <w:tblW w:w="10771" w:type="dxa"/>
        <w:tblLayout w:type="fixed"/>
        <w:tblLook w:val="07E0" w:firstRow="1" w:lastRow="1" w:firstColumn="1" w:lastColumn="1" w:noHBand="1" w:noVBand="1"/>
      </w:tblPr>
      <w:tblGrid>
        <w:gridCol w:w="5273"/>
        <w:gridCol w:w="226"/>
        <w:gridCol w:w="5272"/>
      </w:tblGrid>
      <w:tr w:rsidR="00A452E3" w:rsidTr="00A452E3">
        <w:tc>
          <w:tcPr>
            <w:cnfStyle w:val="001000000000" w:firstRow="0" w:lastRow="0" w:firstColumn="1" w:lastColumn="0" w:oddVBand="0" w:evenVBand="0" w:oddHBand="0" w:evenHBand="0" w:firstRowFirstColumn="0" w:firstRowLastColumn="0" w:lastRowFirstColumn="0" w:lastRowLastColumn="0"/>
            <w:tcW w:w="5273" w:type="dxa"/>
          </w:tcPr>
          <w:p w:rsidR="00A452E3" w:rsidRPr="00A452E3" w:rsidRDefault="00A452E3" w:rsidP="00A452E3">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16</w:t>
            </w:r>
            <w:r>
              <w:fldChar w:fldCharType="end"/>
            </w:r>
            <w:r>
              <w:rPr>
                <w:rFonts w:hint="eastAsia"/>
              </w:rPr>
              <w:t>：各类债券型基金月度平均收益率变动情况</w:t>
            </w:r>
          </w:p>
        </w:tc>
        <w:tc>
          <w:tcPr>
            <w:tcW w:w="226" w:type="dxa"/>
          </w:tcPr>
          <w:p w:rsidR="00A452E3" w:rsidRDefault="00A452E3" w:rsidP="00A452E3">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Pr>
          <w:p w:rsidR="00A452E3" w:rsidRDefault="00A452E3" w:rsidP="00A452E3">
            <w:pPr>
              <w:pStyle w:val="GJStylesGraphTitle"/>
              <w:rPr>
                <w:color w:val="auto"/>
              </w:rPr>
            </w:pPr>
            <w:r>
              <w:rPr>
                <w:rFonts w:hint="eastAsia"/>
                <w:color w:val="auto"/>
              </w:rPr>
              <w:t>图表</w:t>
            </w:r>
            <w:r>
              <w:rPr>
                <w:color w:val="auto"/>
              </w:rPr>
              <w:fldChar w:fldCharType="begin"/>
            </w:r>
            <w:r>
              <w:rPr>
                <w:color w:val="auto"/>
              </w:rPr>
              <w:instrText xml:space="preserve"> </w:instrText>
            </w:r>
            <w:r>
              <w:rPr>
                <w:rFonts w:hint="eastAsia"/>
                <w:color w:val="auto"/>
              </w:rPr>
              <w:instrText xml:space="preserve">SEQ </w:instrText>
            </w:r>
            <w:r>
              <w:rPr>
                <w:rFonts w:hint="eastAsia"/>
                <w:color w:val="auto"/>
              </w:rPr>
              <w:instrText>图表</w:instrText>
            </w:r>
            <w:r>
              <w:rPr>
                <w:rFonts w:hint="eastAsia"/>
                <w:color w:val="auto"/>
              </w:rPr>
              <w:instrText xml:space="preserve"> \* ARABIC  \* MERGEFORMAT</w:instrText>
            </w:r>
            <w:r>
              <w:rPr>
                <w:color w:val="auto"/>
              </w:rPr>
              <w:instrText xml:space="preserve"> </w:instrText>
            </w:r>
            <w:r>
              <w:rPr>
                <w:color w:val="auto"/>
              </w:rPr>
              <w:fldChar w:fldCharType="separate"/>
            </w:r>
            <w:r>
              <w:rPr>
                <w:noProof/>
                <w:color w:val="auto"/>
              </w:rPr>
              <w:t>17</w:t>
            </w:r>
            <w:r>
              <w:rPr>
                <w:color w:val="auto"/>
              </w:rPr>
              <w:fldChar w:fldCharType="end"/>
            </w:r>
            <w:r>
              <w:rPr>
                <w:rFonts w:hint="eastAsia"/>
                <w:color w:val="auto"/>
              </w:rPr>
              <w:t>：各类债券型基金债券持仓比例变动情况</w:t>
            </w:r>
            <w:r>
              <w:rPr>
                <w:color w:val="auto"/>
              </w:rPr>
              <w:t xml:space="preserve"> </w:t>
            </w:r>
          </w:p>
        </w:tc>
      </w:tr>
      <w:tr w:rsidR="00A452E3" w:rsidTr="00A452E3">
        <w:trPr>
          <w:trHeight w:val="3016"/>
        </w:trPr>
        <w:tc>
          <w:tcPr>
            <w:cnfStyle w:val="001000000000" w:firstRow="0" w:lastRow="0" w:firstColumn="1" w:lastColumn="0" w:oddVBand="0" w:evenVBand="0" w:oddHBand="0" w:evenHBand="0" w:firstRowFirstColumn="0" w:firstRowLastColumn="0" w:lastRowFirstColumn="0" w:lastRowLastColumn="0"/>
            <w:tcW w:w="5273" w:type="dxa"/>
          </w:tcPr>
          <w:p w:rsidR="00A452E3" w:rsidRPr="00A452E3" w:rsidRDefault="00A452E3" w:rsidP="00A452E3">
            <w:r>
              <w:rPr>
                <w:noProof/>
              </w:rPr>
              <w:drawing>
                <wp:inline distT="0" distB="0" distL="0" distR="0" wp14:anchorId="67553813">
                  <wp:extent cx="3335731" cy="200513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34057" cy="2004129"/>
                          </a:xfrm>
                          <a:prstGeom prst="rect">
                            <a:avLst/>
                          </a:prstGeom>
                          <a:noFill/>
                        </pic:spPr>
                      </pic:pic>
                    </a:graphicData>
                  </a:graphic>
                </wp:inline>
              </w:drawing>
            </w:r>
          </w:p>
        </w:tc>
        <w:tc>
          <w:tcPr>
            <w:tcW w:w="226" w:type="dxa"/>
          </w:tcPr>
          <w:p w:rsidR="00A452E3" w:rsidRDefault="00A452E3" w:rsidP="00A452E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Pr>
          <w:p w:rsidR="00A452E3" w:rsidRPr="00A452E3" w:rsidRDefault="00A452E3" w:rsidP="00A452E3">
            <w:r>
              <w:rPr>
                <w:noProof/>
              </w:rPr>
              <w:drawing>
                <wp:inline distT="0" distB="0" distL="0" distR="0" wp14:anchorId="2C2C5A4D">
                  <wp:extent cx="3291840" cy="1978752"/>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96530" cy="1981571"/>
                          </a:xfrm>
                          <a:prstGeom prst="rect">
                            <a:avLst/>
                          </a:prstGeom>
                          <a:noFill/>
                        </pic:spPr>
                      </pic:pic>
                    </a:graphicData>
                  </a:graphic>
                </wp:inline>
              </w:drawing>
            </w:r>
          </w:p>
        </w:tc>
      </w:tr>
      <w:tr w:rsidR="00A452E3" w:rsidTr="00A452E3">
        <w:tc>
          <w:tcPr>
            <w:tcW w:w="5273" w:type="dxa"/>
          </w:tcPr>
          <w:p w:rsidR="00A452E3" w:rsidRDefault="00A452E3" w:rsidP="00A452E3">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注：</w:t>
            </w:r>
            <w:r>
              <w:rPr>
                <w:rFonts w:hint="eastAsia"/>
              </w:rPr>
              <w:t>4</w:t>
            </w:r>
            <w:r>
              <w:rPr>
                <w:rFonts w:hint="eastAsia"/>
              </w:rPr>
              <w:t>月数据截至</w:t>
            </w:r>
            <w:r>
              <w:rPr>
                <w:rFonts w:hint="eastAsia"/>
              </w:rPr>
              <w:t>4</w:t>
            </w:r>
            <w:r>
              <w:rPr>
                <w:rFonts w:hint="eastAsia"/>
              </w:rPr>
              <w:t>月</w:t>
            </w:r>
            <w:r>
              <w:rPr>
                <w:rFonts w:hint="eastAsia"/>
              </w:rPr>
              <w:t>27</w:t>
            </w:r>
            <w:r>
              <w:rPr>
                <w:rFonts w:hint="eastAsia"/>
              </w:rPr>
              <w:t>日。</w:t>
            </w:r>
          </w:p>
          <w:p w:rsidR="00A452E3" w:rsidRDefault="00A452E3" w:rsidP="00A452E3">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WIND</w:t>
            </w:r>
          </w:p>
        </w:tc>
        <w:tc>
          <w:tcPr>
            <w:tcW w:w="226" w:type="dxa"/>
          </w:tcPr>
          <w:p w:rsidR="00A452E3" w:rsidRDefault="00A452E3" w:rsidP="00A452E3">
            <w:pPr>
              <w:pStyle w:val="GJStylesGraphSource"/>
            </w:pPr>
          </w:p>
        </w:tc>
        <w:tc>
          <w:tcPr>
            <w:tcW w:w="5272" w:type="dxa"/>
          </w:tcPr>
          <w:p w:rsidR="00A452E3" w:rsidRDefault="00A452E3" w:rsidP="00A452E3">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注：数据截至</w:t>
            </w:r>
            <w:r>
              <w:rPr>
                <w:rFonts w:hint="eastAsia"/>
              </w:rPr>
              <w:t>2016</w:t>
            </w:r>
            <w:r>
              <w:rPr>
                <w:rFonts w:hint="eastAsia"/>
              </w:rPr>
              <w:t>年</w:t>
            </w:r>
            <w:r>
              <w:rPr>
                <w:rFonts w:hint="eastAsia"/>
              </w:rPr>
              <w:t>1</w:t>
            </w:r>
            <w:r>
              <w:rPr>
                <w:rFonts w:hint="eastAsia"/>
              </w:rPr>
              <w:t>季度。</w:t>
            </w:r>
          </w:p>
          <w:p w:rsidR="00A452E3" w:rsidRDefault="00A452E3" w:rsidP="00A452E3">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Pr>
                <w:rFonts w:hint="eastAsia"/>
              </w:rPr>
              <w:t>WIND</w:t>
            </w:r>
          </w:p>
        </w:tc>
      </w:tr>
    </w:tbl>
    <w:p w:rsidR="00C04724" w:rsidRPr="00C04724" w:rsidRDefault="00C04724" w:rsidP="00C04724">
      <w:pPr>
        <w:pStyle w:val="a0"/>
        <w:widowControl/>
        <w:numPr>
          <w:ilvl w:val="4"/>
          <w:numId w:val="3"/>
        </w:numPr>
        <w:rPr>
          <w:color w:val="auto"/>
        </w:rPr>
      </w:pPr>
      <w:r w:rsidRPr="00C04724">
        <w:rPr>
          <w:rFonts w:hint="eastAsia"/>
          <w:color w:val="auto"/>
        </w:rPr>
        <w:t>1</w:t>
      </w:r>
      <w:r w:rsidRPr="00C04724">
        <w:rPr>
          <w:rFonts w:hint="eastAsia"/>
          <w:color w:val="auto"/>
        </w:rPr>
        <w:t>季度债券市场表现偏弱但相对于其他大类资产来说配置价值仍旧较优，而进入</w:t>
      </w:r>
      <w:r w:rsidRPr="00C04724">
        <w:rPr>
          <w:rFonts w:hint="eastAsia"/>
          <w:color w:val="auto"/>
        </w:rPr>
        <w:t>4</w:t>
      </w:r>
      <w:r w:rsidRPr="00C04724">
        <w:rPr>
          <w:rFonts w:hint="eastAsia"/>
          <w:color w:val="auto"/>
        </w:rPr>
        <w:t>月后债券市场在多重利空因素影响之下出现大幅调整，</w:t>
      </w:r>
      <w:r w:rsidR="004007BB">
        <w:rPr>
          <w:rFonts w:hint="eastAsia"/>
          <w:color w:val="auto"/>
        </w:rPr>
        <w:t>预计</w:t>
      </w:r>
      <w:r w:rsidRPr="00C04724">
        <w:rPr>
          <w:rFonts w:hint="eastAsia"/>
          <w:color w:val="auto"/>
        </w:rPr>
        <w:t>2</w:t>
      </w:r>
      <w:r w:rsidRPr="00C04724">
        <w:rPr>
          <w:rFonts w:hint="eastAsia"/>
          <w:color w:val="auto"/>
        </w:rPr>
        <w:t>季度债市表现将弱于</w:t>
      </w:r>
      <w:r w:rsidRPr="00C04724">
        <w:rPr>
          <w:rFonts w:hint="eastAsia"/>
          <w:color w:val="auto"/>
        </w:rPr>
        <w:t>1</w:t>
      </w:r>
      <w:r w:rsidRPr="00C04724">
        <w:rPr>
          <w:rFonts w:hint="eastAsia"/>
          <w:color w:val="auto"/>
        </w:rPr>
        <w:t>季度。当前投资者对债券市场短期震荡预期较为一致，分歧在于由于对中长期经济基本面走势预判不同而导致的债券中长期市场行情判断差异，预计短期内市场操作将以谨慎防御为主。</w:t>
      </w:r>
    </w:p>
    <w:p w:rsidR="00C04724" w:rsidRPr="00C04724" w:rsidRDefault="00C04724" w:rsidP="00C04724">
      <w:pPr>
        <w:pStyle w:val="a0"/>
        <w:widowControl/>
        <w:numPr>
          <w:ilvl w:val="4"/>
          <w:numId w:val="3"/>
        </w:numPr>
        <w:rPr>
          <w:color w:val="auto"/>
        </w:rPr>
      </w:pPr>
      <w:r w:rsidRPr="00C04724">
        <w:rPr>
          <w:rFonts w:hint="eastAsia"/>
          <w:color w:val="auto"/>
        </w:rPr>
        <w:t>具体到债券基金选择上，目前市场调整过程中建议以整体投资风格谨慎、注重风险防控为首要条件。目前债券市场环境相对复杂，要求管理人在大</w:t>
      </w:r>
      <w:r w:rsidRPr="00C04724">
        <w:rPr>
          <w:rFonts w:hint="eastAsia"/>
          <w:color w:val="auto"/>
        </w:rPr>
        <w:lastRenderedPageBreak/>
        <w:t>类资产配置、券种投资机会选择和个</w:t>
      </w:r>
      <w:proofErr w:type="gramStart"/>
      <w:r w:rsidRPr="00C04724">
        <w:rPr>
          <w:rFonts w:hint="eastAsia"/>
          <w:color w:val="auto"/>
        </w:rPr>
        <w:t>券</w:t>
      </w:r>
      <w:proofErr w:type="gramEnd"/>
      <w:r w:rsidRPr="00C04724">
        <w:rPr>
          <w:rFonts w:hint="eastAsia"/>
          <w:color w:val="auto"/>
        </w:rPr>
        <w:t>风险甄别等各个层面操作过程中严格防范风险，考验管理人风险管理能力的全面性和精细程度。在过去三年</w:t>
      </w:r>
      <w:r w:rsidR="004007BB">
        <w:rPr>
          <w:rFonts w:hint="eastAsia"/>
          <w:color w:val="auto"/>
        </w:rPr>
        <w:t>中，大类资产投资机会和券种投资机会轮对均较为明显，</w:t>
      </w:r>
      <w:proofErr w:type="gramStart"/>
      <w:r w:rsidR="004007BB">
        <w:rPr>
          <w:rFonts w:hint="eastAsia"/>
          <w:color w:val="auto"/>
        </w:rPr>
        <w:t>个券</w:t>
      </w:r>
      <w:proofErr w:type="gramEnd"/>
      <w:r w:rsidR="004007BB">
        <w:rPr>
          <w:rFonts w:hint="eastAsia"/>
          <w:color w:val="auto"/>
        </w:rPr>
        <w:t>信用事件爆发频率也越来越高，此阶段中</w:t>
      </w:r>
      <w:r w:rsidR="00D12D7D">
        <w:rPr>
          <w:rFonts w:hint="eastAsia"/>
          <w:color w:val="auto"/>
        </w:rPr>
        <w:t>下行风险控制有效、</w:t>
      </w:r>
      <w:r w:rsidRPr="00C04724">
        <w:rPr>
          <w:rFonts w:hint="eastAsia"/>
          <w:color w:val="auto"/>
        </w:rPr>
        <w:t>收益较为稳定的产品</w:t>
      </w:r>
      <w:r w:rsidR="004007BB">
        <w:rPr>
          <w:rFonts w:hint="eastAsia"/>
          <w:color w:val="auto"/>
        </w:rPr>
        <w:t>可作为重点关注对象</w:t>
      </w:r>
      <w:r w:rsidRPr="00C04724">
        <w:rPr>
          <w:rFonts w:hint="eastAsia"/>
          <w:color w:val="auto"/>
        </w:rPr>
        <w:t>。此外，基金管理人的风险管理能力是建立在基</w:t>
      </w:r>
      <w:r w:rsidR="004007BB">
        <w:rPr>
          <w:rFonts w:hint="eastAsia"/>
          <w:color w:val="auto"/>
        </w:rPr>
        <w:t>金公司的债券投</w:t>
      </w:r>
      <w:proofErr w:type="gramStart"/>
      <w:r w:rsidR="004007BB">
        <w:rPr>
          <w:rFonts w:hint="eastAsia"/>
          <w:color w:val="auto"/>
        </w:rPr>
        <w:t>研</w:t>
      </w:r>
      <w:proofErr w:type="gramEnd"/>
      <w:r w:rsidR="004007BB">
        <w:rPr>
          <w:rFonts w:hint="eastAsia"/>
          <w:color w:val="auto"/>
        </w:rPr>
        <w:t>能力和风险防控机制基础之上的，基金公司风险防控水平的差异可作为识别</w:t>
      </w:r>
      <w:proofErr w:type="gramStart"/>
      <w:r w:rsidR="004007BB">
        <w:rPr>
          <w:rFonts w:hint="eastAsia"/>
          <w:color w:val="auto"/>
        </w:rPr>
        <w:t>产品风控能力</w:t>
      </w:r>
      <w:proofErr w:type="gramEnd"/>
      <w:r w:rsidR="004007BB">
        <w:rPr>
          <w:rFonts w:hint="eastAsia"/>
          <w:color w:val="auto"/>
        </w:rPr>
        <w:t>的辅助条件。</w:t>
      </w:r>
      <w:r w:rsidRPr="00C04724">
        <w:rPr>
          <w:rFonts w:hint="eastAsia"/>
          <w:color w:val="auto"/>
        </w:rPr>
        <w:t>自</w:t>
      </w:r>
      <w:r w:rsidRPr="00C04724">
        <w:rPr>
          <w:rFonts w:hint="eastAsia"/>
          <w:color w:val="auto"/>
        </w:rPr>
        <w:t>14</w:t>
      </w:r>
      <w:r w:rsidR="004007BB">
        <w:rPr>
          <w:rFonts w:hint="eastAsia"/>
          <w:color w:val="auto"/>
        </w:rPr>
        <w:t>年信用事件开始爆发以来，各基金公司逐渐累积风险识别及防范经验，这其中</w:t>
      </w:r>
      <w:r w:rsidRPr="00C04724">
        <w:rPr>
          <w:rFonts w:hint="eastAsia"/>
          <w:color w:val="auto"/>
        </w:rPr>
        <w:t>债券投资经验及投资规模居于同类前列的基金公司（如易方达、</w:t>
      </w:r>
      <w:proofErr w:type="gramStart"/>
      <w:r w:rsidRPr="00C04724">
        <w:rPr>
          <w:rFonts w:hint="eastAsia"/>
          <w:color w:val="auto"/>
        </w:rPr>
        <w:t>工银瑞信</w:t>
      </w:r>
      <w:proofErr w:type="gramEnd"/>
      <w:r w:rsidRPr="00C04724">
        <w:rPr>
          <w:rFonts w:hint="eastAsia"/>
          <w:color w:val="auto"/>
        </w:rPr>
        <w:t>、</w:t>
      </w:r>
      <w:r w:rsidR="004007BB">
        <w:rPr>
          <w:rFonts w:hint="eastAsia"/>
          <w:color w:val="auto"/>
        </w:rPr>
        <w:t>招商、富国</w:t>
      </w:r>
      <w:r w:rsidRPr="00C04724">
        <w:rPr>
          <w:rFonts w:hint="eastAsia"/>
          <w:color w:val="auto"/>
        </w:rPr>
        <w:t>等）旗下固定收益类产品可作为重点关注对象。</w:t>
      </w:r>
    </w:p>
    <w:p w:rsidR="00C04724" w:rsidRPr="00C04724" w:rsidRDefault="00C04724" w:rsidP="00C04724">
      <w:pPr>
        <w:pStyle w:val="a0"/>
        <w:widowControl/>
        <w:numPr>
          <w:ilvl w:val="4"/>
          <w:numId w:val="3"/>
        </w:numPr>
        <w:rPr>
          <w:color w:val="auto"/>
        </w:rPr>
      </w:pPr>
      <w:r w:rsidRPr="00C04724">
        <w:rPr>
          <w:rFonts w:hint="eastAsia"/>
          <w:color w:val="auto"/>
        </w:rPr>
        <w:t>其次，建议重点关注</w:t>
      </w:r>
      <w:r w:rsidR="004007BB">
        <w:rPr>
          <w:rFonts w:hint="eastAsia"/>
          <w:color w:val="auto"/>
        </w:rPr>
        <w:t>在市场下行阶段能够</w:t>
      </w:r>
      <w:r w:rsidRPr="00C04724">
        <w:rPr>
          <w:rFonts w:hint="eastAsia"/>
          <w:color w:val="auto"/>
        </w:rPr>
        <w:t>及时</w:t>
      </w:r>
      <w:proofErr w:type="gramStart"/>
      <w:r w:rsidRPr="00C04724">
        <w:rPr>
          <w:rFonts w:hint="eastAsia"/>
          <w:color w:val="auto"/>
        </w:rPr>
        <w:t>缩短久期并</w:t>
      </w:r>
      <w:proofErr w:type="gramEnd"/>
      <w:r w:rsidRPr="00C04724">
        <w:rPr>
          <w:rFonts w:hint="eastAsia"/>
          <w:color w:val="auto"/>
        </w:rPr>
        <w:t>控制杠杆的基金，以保证投资组合流动性。尽管</w:t>
      </w:r>
      <w:r w:rsidR="004007BB">
        <w:rPr>
          <w:rFonts w:hint="eastAsia"/>
          <w:color w:val="auto"/>
        </w:rPr>
        <w:t>3</w:t>
      </w:r>
      <w:r w:rsidR="004007BB">
        <w:rPr>
          <w:rFonts w:hint="eastAsia"/>
          <w:color w:val="auto"/>
        </w:rPr>
        <w:t>月</w:t>
      </w:r>
      <w:r w:rsidRPr="00C04724">
        <w:rPr>
          <w:rFonts w:hint="eastAsia"/>
          <w:color w:val="auto"/>
        </w:rPr>
        <w:t>经济整体</w:t>
      </w:r>
      <w:r w:rsidR="004007BB">
        <w:rPr>
          <w:rFonts w:hint="eastAsia"/>
          <w:color w:val="auto"/>
        </w:rPr>
        <w:t>有所</w:t>
      </w:r>
      <w:r w:rsidRPr="00C04724">
        <w:rPr>
          <w:rFonts w:hint="eastAsia"/>
          <w:color w:val="auto"/>
        </w:rPr>
        <w:t>回暖，但基本面好转主要</w:t>
      </w:r>
      <w:r w:rsidR="004007BB">
        <w:rPr>
          <w:rFonts w:hint="eastAsia"/>
          <w:color w:val="auto"/>
        </w:rPr>
        <w:t>来自于房地产投资及基础建设投资带动，多数企业个体财务状况未见改善</w:t>
      </w:r>
      <w:r w:rsidRPr="00C04724">
        <w:rPr>
          <w:rFonts w:hint="eastAsia"/>
          <w:color w:val="auto"/>
        </w:rPr>
        <w:t>，信用基本面分化情况依旧严重。市场情绪脆弱的前提下，信用风险事件的加速爆发对信用债市场带来流动性冲击，并已经对利率</w:t>
      </w:r>
      <w:proofErr w:type="gramStart"/>
      <w:r w:rsidRPr="00C04724">
        <w:rPr>
          <w:rFonts w:hint="eastAsia"/>
          <w:color w:val="auto"/>
        </w:rPr>
        <w:t>债产生</w:t>
      </w:r>
      <w:proofErr w:type="gramEnd"/>
      <w:r w:rsidRPr="00C04724">
        <w:rPr>
          <w:rFonts w:hint="eastAsia"/>
          <w:color w:val="auto"/>
        </w:rPr>
        <w:t>溢出效应。对债券</w:t>
      </w:r>
      <w:r w:rsidR="004007BB">
        <w:rPr>
          <w:rFonts w:hint="eastAsia"/>
          <w:color w:val="auto"/>
        </w:rPr>
        <w:t>型</w:t>
      </w:r>
      <w:r w:rsidRPr="00C04724">
        <w:rPr>
          <w:rFonts w:hint="eastAsia"/>
          <w:color w:val="auto"/>
        </w:rPr>
        <w:t>基金来说，一方面应重点规避踩雷风险，避免由于自身涉及到信用风险事件而</w:t>
      </w:r>
      <w:proofErr w:type="gramStart"/>
      <w:r w:rsidRPr="00C04724">
        <w:rPr>
          <w:rFonts w:hint="eastAsia"/>
          <w:color w:val="auto"/>
        </w:rPr>
        <w:t>而</w:t>
      </w:r>
      <w:proofErr w:type="gramEnd"/>
      <w:r w:rsidRPr="00C04724">
        <w:rPr>
          <w:rFonts w:hint="eastAsia"/>
          <w:color w:val="auto"/>
        </w:rPr>
        <w:t>造成收益损失和流动性恶化；另一方面应保证足够的流动性，避免</w:t>
      </w:r>
      <w:r w:rsidR="004007BB">
        <w:rPr>
          <w:rFonts w:hint="eastAsia"/>
          <w:color w:val="auto"/>
        </w:rPr>
        <w:t>在</w:t>
      </w:r>
      <w:r w:rsidRPr="00C04724">
        <w:rPr>
          <w:rFonts w:hint="eastAsia"/>
          <w:color w:val="auto"/>
        </w:rPr>
        <w:t>黑天鹅事件造成整个市场风险偏好受损</w:t>
      </w:r>
      <w:r w:rsidR="004007BB">
        <w:rPr>
          <w:rFonts w:hint="eastAsia"/>
          <w:color w:val="auto"/>
        </w:rPr>
        <w:t>时</w:t>
      </w:r>
      <w:proofErr w:type="gramStart"/>
      <w:r w:rsidR="004007BB">
        <w:rPr>
          <w:rFonts w:hint="eastAsia"/>
          <w:color w:val="auto"/>
        </w:rPr>
        <w:t>受到受到</w:t>
      </w:r>
      <w:proofErr w:type="gramEnd"/>
      <w:r w:rsidRPr="00C04724">
        <w:rPr>
          <w:rFonts w:hint="eastAsia"/>
          <w:color w:val="auto"/>
        </w:rPr>
        <w:t>流动性冲击。</w:t>
      </w:r>
    </w:p>
    <w:p w:rsidR="00C04724" w:rsidRDefault="00C04724" w:rsidP="00C04724">
      <w:pPr>
        <w:pStyle w:val="a0"/>
        <w:widowControl/>
        <w:numPr>
          <w:ilvl w:val="4"/>
          <w:numId w:val="3"/>
        </w:numPr>
        <w:rPr>
          <w:color w:val="auto"/>
        </w:rPr>
      </w:pPr>
      <w:r w:rsidRPr="00C04724">
        <w:rPr>
          <w:rFonts w:hint="eastAsia"/>
          <w:color w:val="auto"/>
        </w:rPr>
        <w:t>最后，债券市场在经历两年的牛市之后利率水平已经处于历史较低位置，信用利差风险补偿不充分，因此在控制杠杆水平的前提下单纯依靠票息收入难以获得较高收益。这要求管理人在保证风险防范和流动性的前提下，及时把握市场调整带来的波段机会，通过资本利得增厚基金收益。在目前股债两市仅存结构性机会的背景之下，建议关注管理人债券投资能力及投资灵活性，同时关注</w:t>
      </w:r>
      <w:proofErr w:type="gramStart"/>
      <w:r w:rsidRPr="00C04724">
        <w:rPr>
          <w:rFonts w:hint="eastAsia"/>
          <w:color w:val="auto"/>
        </w:rPr>
        <w:t>普通型债基的</w:t>
      </w:r>
      <w:proofErr w:type="gramEnd"/>
      <w:r w:rsidRPr="00C04724">
        <w:rPr>
          <w:rFonts w:hint="eastAsia"/>
          <w:color w:val="auto"/>
        </w:rPr>
        <w:t>股票波段操作水平。综合上述几方面因素，我们筛选出以下产品供投资者选择。</w:t>
      </w:r>
    </w:p>
    <w:tbl>
      <w:tblPr>
        <w:tblStyle w:val="GJStylesChartInsertSingleCol"/>
        <w:tblW w:w="10771" w:type="dxa"/>
        <w:tblLayout w:type="fixed"/>
        <w:tblLook w:val="0600" w:firstRow="0" w:lastRow="0" w:firstColumn="0" w:lastColumn="0" w:noHBand="1" w:noVBand="1"/>
      </w:tblPr>
      <w:tblGrid>
        <w:gridCol w:w="769"/>
        <w:gridCol w:w="1641"/>
        <w:gridCol w:w="1276"/>
        <w:gridCol w:w="709"/>
        <w:gridCol w:w="708"/>
        <w:gridCol w:w="709"/>
        <w:gridCol w:w="567"/>
        <w:gridCol w:w="709"/>
        <w:gridCol w:w="709"/>
        <w:gridCol w:w="567"/>
        <w:gridCol w:w="567"/>
        <w:gridCol w:w="708"/>
        <w:gridCol w:w="567"/>
        <w:gridCol w:w="565"/>
      </w:tblGrid>
      <w:tr w:rsidR="00A452E3" w:rsidTr="00A452E3">
        <w:tc>
          <w:tcPr>
            <w:tcW w:w="10771" w:type="dxa"/>
            <w:gridSpan w:val="14"/>
            <w:tcBorders>
              <w:bottom w:val="single" w:sz="4" w:space="0" w:color="00A0E9"/>
            </w:tcBorders>
          </w:tcPr>
          <w:p w:rsidR="00A452E3" w:rsidRPr="00A452E3" w:rsidRDefault="00A452E3" w:rsidP="00A452E3">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18</w:t>
            </w:r>
            <w:r>
              <w:fldChar w:fldCharType="end"/>
            </w:r>
            <w:r>
              <w:rPr>
                <w:rFonts w:hint="eastAsia"/>
              </w:rPr>
              <w:t>：</w:t>
            </w:r>
            <w:r>
              <w:rPr>
                <w:rFonts w:hint="eastAsia"/>
              </w:rPr>
              <w:t>5</w:t>
            </w:r>
            <w:r>
              <w:rPr>
                <w:rFonts w:hint="eastAsia"/>
              </w:rPr>
              <w:t>月可重点关注的债券型基金</w:t>
            </w:r>
          </w:p>
        </w:tc>
      </w:tr>
      <w:tr w:rsidR="00A452E3" w:rsidTr="00A452E3">
        <w:trPr>
          <w:trHeight w:val="212"/>
        </w:trPr>
        <w:tc>
          <w:tcPr>
            <w:tcW w:w="769" w:type="dxa"/>
            <w:vMerge w:val="restart"/>
            <w:tcBorders>
              <w:bottom w:val="single" w:sz="4" w:space="0" w:color="00A0E9"/>
              <w:right w:val="single" w:sz="4" w:space="0" w:color="00A0E9"/>
            </w:tcBorders>
            <w:vAlign w:val="center"/>
          </w:tcPr>
          <w:p w:rsidR="00A452E3" w:rsidRDefault="00A452E3">
            <w:pPr>
              <w:jc w:val="center"/>
              <w:rPr>
                <w:rFonts w:ascii="楷体" w:eastAsia="楷体" w:hAnsi="楷体" w:cs="宋体"/>
                <w:b/>
                <w:bCs/>
                <w:color w:val="000000"/>
                <w:sz w:val="15"/>
                <w:szCs w:val="15"/>
              </w:rPr>
            </w:pPr>
            <w:r>
              <w:rPr>
                <w:rFonts w:ascii="楷体" w:eastAsia="楷体" w:hAnsi="楷体" w:hint="eastAsia"/>
                <w:b/>
                <w:bCs/>
                <w:color w:val="000000"/>
                <w:sz w:val="15"/>
                <w:szCs w:val="15"/>
              </w:rPr>
              <w:t>基金代码</w:t>
            </w:r>
          </w:p>
        </w:tc>
        <w:tc>
          <w:tcPr>
            <w:tcW w:w="1641" w:type="dxa"/>
            <w:vMerge w:val="restart"/>
            <w:tcBorders>
              <w:left w:val="single" w:sz="4" w:space="0" w:color="00A0E9"/>
              <w:bottom w:val="single" w:sz="4" w:space="0" w:color="00A0E9"/>
              <w:right w:val="single" w:sz="4" w:space="0" w:color="00A0E9"/>
            </w:tcBorders>
            <w:vAlign w:val="center"/>
          </w:tcPr>
          <w:p w:rsidR="00A452E3" w:rsidRDefault="00A452E3">
            <w:pPr>
              <w:jc w:val="center"/>
              <w:rPr>
                <w:rFonts w:ascii="楷体" w:eastAsia="楷体" w:hAnsi="楷体" w:cs="宋体"/>
                <w:b/>
                <w:bCs/>
                <w:color w:val="000000"/>
                <w:sz w:val="15"/>
                <w:szCs w:val="15"/>
              </w:rPr>
            </w:pPr>
            <w:r>
              <w:rPr>
                <w:rFonts w:ascii="楷体" w:eastAsia="楷体" w:hAnsi="楷体" w:hint="eastAsia"/>
                <w:b/>
                <w:bCs/>
                <w:color w:val="000000"/>
                <w:sz w:val="15"/>
                <w:szCs w:val="15"/>
              </w:rPr>
              <w:t>基金名称</w:t>
            </w:r>
          </w:p>
        </w:tc>
        <w:tc>
          <w:tcPr>
            <w:tcW w:w="1276" w:type="dxa"/>
            <w:vMerge w:val="restart"/>
            <w:tcBorders>
              <w:left w:val="single" w:sz="4" w:space="0" w:color="00A0E9"/>
              <w:bottom w:val="single" w:sz="4" w:space="0" w:color="00A0E9"/>
              <w:right w:val="single" w:sz="4" w:space="0" w:color="00A0E9"/>
            </w:tcBorders>
            <w:vAlign w:val="center"/>
          </w:tcPr>
          <w:p w:rsidR="00A452E3" w:rsidRDefault="00A452E3">
            <w:pPr>
              <w:jc w:val="center"/>
              <w:rPr>
                <w:rFonts w:ascii="楷体" w:eastAsia="楷体" w:hAnsi="楷体" w:cs="宋体"/>
                <w:b/>
                <w:bCs/>
                <w:color w:val="000000"/>
                <w:sz w:val="15"/>
                <w:szCs w:val="15"/>
              </w:rPr>
            </w:pPr>
            <w:r>
              <w:rPr>
                <w:rFonts w:ascii="楷体" w:eastAsia="楷体" w:hAnsi="楷体" w:hint="eastAsia"/>
                <w:b/>
                <w:bCs/>
                <w:color w:val="000000"/>
                <w:sz w:val="15"/>
                <w:szCs w:val="15"/>
              </w:rPr>
              <w:t>国金分类</w:t>
            </w:r>
          </w:p>
        </w:tc>
        <w:tc>
          <w:tcPr>
            <w:tcW w:w="2126" w:type="dxa"/>
            <w:gridSpan w:val="3"/>
            <w:tcBorders>
              <w:left w:val="single" w:sz="4" w:space="0" w:color="00A0E9"/>
              <w:bottom w:val="single" w:sz="4" w:space="0" w:color="00A0E9"/>
              <w:right w:val="single" w:sz="4" w:space="0" w:color="00A0E9"/>
            </w:tcBorders>
            <w:vAlign w:val="center"/>
          </w:tcPr>
          <w:p w:rsidR="00A452E3" w:rsidRDefault="00A452E3">
            <w:pPr>
              <w:jc w:val="center"/>
              <w:rPr>
                <w:rFonts w:ascii="楷体" w:eastAsia="楷体" w:hAnsi="楷体" w:cs="宋体"/>
                <w:b/>
                <w:bCs/>
                <w:color w:val="000000"/>
                <w:sz w:val="15"/>
                <w:szCs w:val="15"/>
              </w:rPr>
            </w:pPr>
            <w:r>
              <w:rPr>
                <w:rFonts w:ascii="楷体" w:eastAsia="楷体" w:hAnsi="楷体" w:hint="eastAsia"/>
                <w:b/>
                <w:bCs/>
                <w:color w:val="000000"/>
                <w:sz w:val="15"/>
                <w:szCs w:val="15"/>
              </w:rPr>
              <w:t>近3年</w:t>
            </w:r>
          </w:p>
        </w:tc>
        <w:tc>
          <w:tcPr>
            <w:tcW w:w="1985" w:type="dxa"/>
            <w:gridSpan w:val="3"/>
            <w:tcBorders>
              <w:left w:val="single" w:sz="4" w:space="0" w:color="00A0E9"/>
              <w:bottom w:val="single" w:sz="4" w:space="0" w:color="00A0E9"/>
              <w:right w:val="single" w:sz="4" w:space="0" w:color="00A0E9"/>
            </w:tcBorders>
            <w:vAlign w:val="center"/>
          </w:tcPr>
          <w:p w:rsidR="00A452E3" w:rsidRDefault="00A452E3">
            <w:pPr>
              <w:jc w:val="center"/>
              <w:rPr>
                <w:rFonts w:ascii="楷体" w:eastAsia="楷体" w:hAnsi="楷体" w:cs="宋体"/>
                <w:b/>
                <w:bCs/>
                <w:color w:val="000000"/>
                <w:sz w:val="15"/>
                <w:szCs w:val="15"/>
              </w:rPr>
            </w:pPr>
            <w:r>
              <w:rPr>
                <w:rFonts w:ascii="楷体" w:eastAsia="楷体" w:hAnsi="楷体" w:hint="eastAsia"/>
                <w:b/>
                <w:bCs/>
                <w:color w:val="000000"/>
                <w:sz w:val="15"/>
                <w:szCs w:val="15"/>
              </w:rPr>
              <w:t>年初至今</w:t>
            </w:r>
          </w:p>
        </w:tc>
        <w:tc>
          <w:tcPr>
            <w:tcW w:w="2974" w:type="dxa"/>
            <w:gridSpan w:val="5"/>
            <w:tcBorders>
              <w:left w:val="single" w:sz="4" w:space="0" w:color="00A0E9"/>
              <w:bottom w:val="single" w:sz="4" w:space="0" w:color="00A0E9"/>
            </w:tcBorders>
            <w:vAlign w:val="center"/>
          </w:tcPr>
          <w:p w:rsidR="00A452E3" w:rsidRDefault="00A452E3">
            <w:pPr>
              <w:jc w:val="center"/>
              <w:rPr>
                <w:rFonts w:ascii="楷体" w:eastAsia="楷体" w:hAnsi="楷体" w:cs="宋体"/>
                <w:b/>
                <w:bCs/>
                <w:color w:val="000000"/>
                <w:sz w:val="15"/>
                <w:szCs w:val="15"/>
              </w:rPr>
            </w:pPr>
            <w:r>
              <w:rPr>
                <w:rFonts w:ascii="楷体" w:eastAsia="楷体" w:hAnsi="楷体" w:hint="eastAsia"/>
                <w:b/>
                <w:bCs/>
                <w:color w:val="000000"/>
                <w:sz w:val="15"/>
                <w:szCs w:val="15"/>
              </w:rPr>
              <w:t>上季末持仓比例</w:t>
            </w:r>
          </w:p>
        </w:tc>
      </w:tr>
      <w:tr w:rsidR="00A452E3" w:rsidTr="00A452E3">
        <w:trPr>
          <w:trHeight w:val="202"/>
        </w:trPr>
        <w:tc>
          <w:tcPr>
            <w:tcW w:w="769" w:type="dxa"/>
            <w:vMerge/>
            <w:tcBorders>
              <w:bottom w:val="single" w:sz="4" w:space="0" w:color="00A0E9"/>
              <w:right w:val="single" w:sz="4" w:space="0" w:color="00A0E9"/>
            </w:tcBorders>
          </w:tcPr>
          <w:p w:rsidR="00A452E3" w:rsidRPr="00A452E3" w:rsidRDefault="00A452E3" w:rsidP="00A452E3"/>
        </w:tc>
        <w:tc>
          <w:tcPr>
            <w:tcW w:w="1641" w:type="dxa"/>
            <w:vMerge/>
            <w:tcBorders>
              <w:left w:val="single" w:sz="4" w:space="0" w:color="00A0E9"/>
              <w:bottom w:val="single" w:sz="4" w:space="0" w:color="00A0E9"/>
              <w:right w:val="single" w:sz="4" w:space="0" w:color="00A0E9"/>
            </w:tcBorders>
          </w:tcPr>
          <w:p w:rsidR="00A452E3" w:rsidRPr="00A452E3" w:rsidRDefault="00A452E3" w:rsidP="00A452E3"/>
        </w:tc>
        <w:tc>
          <w:tcPr>
            <w:tcW w:w="1276" w:type="dxa"/>
            <w:vMerge/>
            <w:tcBorders>
              <w:left w:val="single" w:sz="4" w:space="0" w:color="00A0E9"/>
              <w:bottom w:val="single" w:sz="4" w:space="0" w:color="00A0E9"/>
              <w:right w:val="single" w:sz="4" w:space="0" w:color="00A0E9"/>
            </w:tcBorders>
          </w:tcPr>
          <w:p w:rsidR="00A452E3" w:rsidRPr="00A452E3" w:rsidRDefault="00A452E3" w:rsidP="00A452E3"/>
        </w:tc>
        <w:tc>
          <w:tcPr>
            <w:tcW w:w="709" w:type="dxa"/>
            <w:tcBorders>
              <w:left w:val="single" w:sz="4" w:space="0" w:color="00A0E9"/>
              <w:bottom w:val="single" w:sz="4" w:space="0" w:color="00A0E9"/>
              <w:right w:val="single" w:sz="4" w:space="0" w:color="00A0E9"/>
            </w:tcBorders>
            <w:vAlign w:val="center"/>
          </w:tcPr>
          <w:p w:rsidR="00A452E3" w:rsidRDefault="00A452E3">
            <w:pPr>
              <w:jc w:val="center"/>
              <w:rPr>
                <w:rFonts w:ascii="楷体" w:eastAsia="楷体" w:hAnsi="楷体" w:cs="宋体"/>
                <w:b/>
                <w:bCs/>
                <w:color w:val="000000"/>
                <w:sz w:val="15"/>
                <w:szCs w:val="15"/>
              </w:rPr>
            </w:pPr>
            <w:r>
              <w:rPr>
                <w:rFonts w:ascii="楷体" w:eastAsia="楷体" w:hAnsi="楷体" w:hint="eastAsia"/>
                <w:b/>
                <w:bCs/>
                <w:color w:val="000000"/>
                <w:sz w:val="15"/>
                <w:szCs w:val="15"/>
              </w:rPr>
              <w:t>收益率(%)</w:t>
            </w:r>
          </w:p>
        </w:tc>
        <w:tc>
          <w:tcPr>
            <w:tcW w:w="708" w:type="dxa"/>
            <w:tcBorders>
              <w:left w:val="single" w:sz="4" w:space="0" w:color="00A0E9"/>
              <w:bottom w:val="single" w:sz="4" w:space="0" w:color="00A0E9"/>
              <w:right w:val="single" w:sz="4" w:space="0" w:color="00A0E9"/>
            </w:tcBorders>
            <w:vAlign w:val="center"/>
          </w:tcPr>
          <w:p w:rsidR="00A452E3" w:rsidRDefault="00A452E3">
            <w:pPr>
              <w:jc w:val="center"/>
              <w:rPr>
                <w:rFonts w:ascii="楷体" w:eastAsia="楷体" w:hAnsi="楷体" w:cs="宋体"/>
                <w:b/>
                <w:bCs/>
                <w:color w:val="000000"/>
                <w:sz w:val="15"/>
                <w:szCs w:val="15"/>
              </w:rPr>
            </w:pPr>
            <w:r>
              <w:rPr>
                <w:rFonts w:ascii="楷体" w:eastAsia="楷体" w:hAnsi="楷体" w:hint="eastAsia"/>
                <w:b/>
                <w:bCs/>
                <w:color w:val="000000"/>
                <w:sz w:val="15"/>
                <w:szCs w:val="15"/>
              </w:rPr>
              <w:t>下行标准差（%）</w:t>
            </w:r>
          </w:p>
        </w:tc>
        <w:tc>
          <w:tcPr>
            <w:tcW w:w="709" w:type="dxa"/>
            <w:tcBorders>
              <w:left w:val="single" w:sz="4" w:space="0" w:color="00A0E9"/>
              <w:bottom w:val="single" w:sz="4" w:space="0" w:color="00A0E9"/>
              <w:right w:val="single" w:sz="4" w:space="0" w:color="00A0E9"/>
            </w:tcBorders>
            <w:vAlign w:val="center"/>
          </w:tcPr>
          <w:p w:rsidR="00A452E3" w:rsidRDefault="00A452E3">
            <w:pPr>
              <w:jc w:val="center"/>
              <w:rPr>
                <w:rFonts w:ascii="楷体" w:eastAsia="楷体" w:hAnsi="楷体" w:cs="宋体"/>
                <w:b/>
                <w:bCs/>
                <w:color w:val="000000"/>
                <w:sz w:val="15"/>
                <w:szCs w:val="15"/>
              </w:rPr>
            </w:pPr>
            <w:r>
              <w:rPr>
                <w:rFonts w:ascii="楷体" w:eastAsia="楷体" w:hAnsi="楷体" w:hint="eastAsia"/>
                <w:b/>
                <w:bCs/>
                <w:color w:val="000000"/>
                <w:sz w:val="15"/>
                <w:szCs w:val="15"/>
              </w:rPr>
              <w:t>修正夏普比率</w:t>
            </w:r>
          </w:p>
        </w:tc>
        <w:tc>
          <w:tcPr>
            <w:tcW w:w="567" w:type="dxa"/>
            <w:tcBorders>
              <w:left w:val="single" w:sz="4" w:space="0" w:color="00A0E9"/>
              <w:bottom w:val="single" w:sz="4" w:space="0" w:color="00A0E9"/>
              <w:right w:val="single" w:sz="4" w:space="0" w:color="00A0E9"/>
            </w:tcBorders>
            <w:vAlign w:val="center"/>
          </w:tcPr>
          <w:p w:rsidR="00A452E3" w:rsidRDefault="00A452E3">
            <w:pPr>
              <w:jc w:val="center"/>
              <w:rPr>
                <w:rFonts w:ascii="楷体" w:eastAsia="楷体" w:hAnsi="楷体" w:cs="宋体"/>
                <w:b/>
                <w:bCs/>
                <w:color w:val="000000"/>
                <w:sz w:val="15"/>
                <w:szCs w:val="15"/>
              </w:rPr>
            </w:pPr>
            <w:r>
              <w:rPr>
                <w:rFonts w:ascii="楷体" w:eastAsia="楷体" w:hAnsi="楷体" w:hint="eastAsia"/>
                <w:b/>
                <w:bCs/>
                <w:color w:val="000000"/>
                <w:sz w:val="15"/>
                <w:szCs w:val="15"/>
              </w:rPr>
              <w:t>收益率(%)</w:t>
            </w:r>
          </w:p>
        </w:tc>
        <w:tc>
          <w:tcPr>
            <w:tcW w:w="709" w:type="dxa"/>
            <w:tcBorders>
              <w:left w:val="single" w:sz="4" w:space="0" w:color="00A0E9"/>
              <w:bottom w:val="single" w:sz="4" w:space="0" w:color="00A0E9"/>
              <w:right w:val="single" w:sz="4" w:space="0" w:color="00A0E9"/>
            </w:tcBorders>
            <w:vAlign w:val="center"/>
          </w:tcPr>
          <w:p w:rsidR="00A452E3" w:rsidRDefault="00A452E3">
            <w:pPr>
              <w:jc w:val="center"/>
              <w:rPr>
                <w:rFonts w:ascii="楷体" w:eastAsia="楷体" w:hAnsi="楷体" w:cs="宋体"/>
                <w:b/>
                <w:bCs/>
                <w:color w:val="000000"/>
                <w:sz w:val="15"/>
                <w:szCs w:val="15"/>
              </w:rPr>
            </w:pPr>
            <w:r>
              <w:rPr>
                <w:rFonts w:ascii="楷体" w:eastAsia="楷体" w:hAnsi="楷体" w:hint="eastAsia"/>
                <w:b/>
                <w:bCs/>
                <w:color w:val="000000"/>
                <w:sz w:val="15"/>
                <w:szCs w:val="15"/>
              </w:rPr>
              <w:t>最大回撤（%）</w:t>
            </w:r>
          </w:p>
        </w:tc>
        <w:tc>
          <w:tcPr>
            <w:tcW w:w="709" w:type="dxa"/>
            <w:tcBorders>
              <w:left w:val="single" w:sz="4" w:space="0" w:color="00A0E9"/>
              <w:bottom w:val="single" w:sz="4" w:space="0" w:color="00A0E9"/>
              <w:right w:val="single" w:sz="4" w:space="0" w:color="00A0E9"/>
            </w:tcBorders>
            <w:vAlign w:val="center"/>
          </w:tcPr>
          <w:p w:rsidR="00A452E3" w:rsidRDefault="00A452E3">
            <w:pPr>
              <w:jc w:val="center"/>
              <w:rPr>
                <w:rFonts w:ascii="楷体" w:eastAsia="楷体" w:hAnsi="楷体" w:cs="宋体"/>
                <w:b/>
                <w:bCs/>
                <w:color w:val="000000"/>
                <w:sz w:val="15"/>
                <w:szCs w:val="15"/>
              </w:rPr>
            </w:pPr>
            <w:r>
              <w:rPr>
                <w:rFonts w:ascii="楷体" w:eastAsia="楷体" w:hAnsi="楷体" w:hint="eastAsia"/>
                <w:b/>
                <w:bCs/>
                <w:color w:val="000000"/>
                <w:sz w:val="15"/>
                <w:szCs w:val="15"/>
              </w:rPr>
              <w:t>下行标准差（%）</w:t>
            </w:r>
          </w:p>
        </w:tc>
        <w:tc>
          <w:tcPr>
            <w:tcW w:w="567" w:type="dxa"/>
            <w:tcBorders>
              <w:left w:val="single" w:sz="4" w:space="0" w:color="00A0E9"/>
              <w:bottom w:val="single" w:sz="4" w:space="0" w:color="00A0E9"/>
              <w:right w:val="single" w:sz="4" w:space="0" w:color="00A0E9"/>
            </w:tcBorders>
            <w:vAlign w:val="center"/>
          </w:tcPr>
          <w:p w:rsidR="00A452E3" w:rsidRDefault="00A452E3">
            <w:pPr>
              <w:jc w:val="center"/>
              <w:rPr>
                <w:rFonts w:ascii="楷体" w:eastAsia="楷体" w:hAnsi="楷体" w:cs="宋体"/>
                <w:b/>
                <w:bCs/>
                <w:color w:val="000000"/>
                <w:sz w:val="15"/>
                <w:szCs w:val="15"/>
              </w:rPr>
            </w:pPr>
            <w:r>
              <w:rPr>
                <w:rFonts w:ascii="楷体" w:eastAsia="楷体" w:hAnsi="楷体" w:hint="eastAsia"/>
                <w:b/>
                <w:bCs/>
                <w:color w:val="000000"/>
                <w:sz w:val="15"/>
                <w:szCs w:val="15"/>
              </w:rPr>
              <w:t>国债(%)</w:t>
            </w:r>
          </w:p>
        </w:tc>
        <w:tc>
          <w:tcPr>
            <w:tcW w:w="567" w:type="dxa"/>
            <w:tcBorders>
              <w:left w:val="single" w:sz="4" w:space="0" w:color="00A0E9"/>
              <w:bottom w:val="single" w:sz="4" w:space="0" w:color="00A0E9"/>
              <w:right w:val="single" w:sz="4" w:space="0" w:color="00A0E9"/>
            </w:tcBorders>
            <w:vAlign w:val="center"/>
          </w:tcPr>
          <w:p w:rsidR="00A452E3" w:rsidRDefault="00A452E3">
            <w:pPr>
              <w:jc w:val="center"/>
              <w:rPr>
                <w:rFonts w:ascii="楷体" w:eastAsia="楷体" w:hAnsi="楷体" w:cs="宋体"/>
                <w:b/>
                <w:bCs/>
                <w:color w:val="000000"/>
                <w:sz w:val="15"/>
                <w:szCs w:val="15"/>
              </w:rPr>
            </w:pPr>
            <w:r>
              <w:rPr>
                <w:rFonts w:ascii="楷体" w:eastAsia="楷体" w:hAnsi="楷体" w:hint="eastAsia"/>
                <w:b/>
                <w:bCs/>
                <w:color w:val="000000"/>
                <w:sz w:val="15"/>
                <w:szCs w:val="15"/>
              </w:rPr>
              <w:t>金融债(%)</w:t>
            </w:r>
          </w:p>
        </w:tc>
        <w:tc>
          <w:tcPr>
            <w:tcW w:w="708" w:type="dxa"/>
            <w:tcBorders>
              <w:left w:val="single" w:sz="4" w:space="0" w:color="00A0E9"/>
              <w:bottom w:val="single" w:sz="4" w:space="0" w:color="00A0E9"/>
              <w:right w:val="single" w:sz="4" w:space="0" w:color="00A0E9"/>
            </w:tcBorders>
            <w:vAlign w:val="center"/>
          </w:tcPr>
          <w:p w:rsidR="00A452E3" w:rsidRDefault="00A452E3">
            <w:pPr>
              <w:jc w:val="center"/>
              <w:rPr>
                <w:rFonts w:ascii="楷体" w:eastAsia="楷体" w:hAnsi="楷体" w:cs="宋体"/>
                <w:b/>
                <w:bCs/>
                <w:color w:val="000000"/>
                <w:sz w:val="15"/>
                <w:szCs w:val="15"/>
              </w:rPr>
            </w:pPr>
            <w:r>
              <w:rPr>
                <w:rFonts w:ascii="楷体" w:eastAsia="楷体" w:hAnsi="楷体" w:hint="eastAsia"/>
                <w:b/>
                <w:bCs/>
                <w:color w:val="000000"/>
                <w:sz w:val="15"/>
                <w:szCs w:val="15"/>
              </w:rPr>
              <w:t>企业债 (%)</w:t>
            </w:r>
          </w:p>
        </w:tc>
        <w:tc>
          <w:tcPr>
            <w:tcW w:w="567" w:type="dxa"/>
            <w:tcBorders>
              <w:left w:val="single" w:sz="4" w:space="0" w:color="00A0E9"/>
              <w:bottom w:val="single" w:sz="4" w:space="0" w:color="00A0E9"/>
              <w:right w:val="single" w:sz="4" w:space="0" w:color="00A0E9"/>
            </w:tcBorders>
            <w:vAlign w:val="center"/>
          </w:tcPr>
          <w:p w:rsidR="00A452E3" w:rsidRDefault="00A452E3">
            <w:pPr>
              <w:jc w:val="center"/>
              <w:rPr>
                <w:rFonts w:ascii="楷体" w:eastAsia="楷体" w:hAnsi="楷体" w:cs="宋体"/>
                <w:b/>
                <w:bCs/>
                <w:color w:val="000000"/>
                <w:sz w:val="15"/>
                <w:szCs w:val="15"/>
              </w:rPr>
            </w:pPr>
            <w:r>
              <w:rPr>
                <w:rFonts w:ascii="楷体" w:eastAsia="楷体" w:hAnsi="楷体" w:hint="eastAsia"/>
                <w:b/>
                <w:bCs/>
                <w:color w:val="000000"/>
                <w:sz w:val="15"/>
                <w:szCs w:val="15"/>
              </w:rPr>
              <w:t>可转债(%)</w:t>
            </w:r>
          </w:p>
        </w:tc>
        <w:tc>
          <w:tcPr>
            <w:tcW w:w="565" w:type="dxa"/>
            <w:tcBorders>
              <w:left w:val="single" w:sz="4" w:space="0" w:color="00A0E9"/>
              <w:bottom w:val="single" w:sz="4" w:space="0" w:color="00A0E9"/>
            </w:tcBorders>
            <w:vAlign w:val="center"/>
          </w:tcPr>
          <w:p w:rsidR="00A452E3" w:rsidRDefault="00A452E3">
            <w:pPr>
              <w:jc w:val="center"/>
              <w:rPr>
                <w:rFonts w:ascii="楷体" w:eastAsia="楷体" w:hAnsi="楷体" w:cs="宋体"/>
                <w:b/>
                <w:bCs/>
                <w:color w:val="000000"/>
                <w:sz w:val="15"/>
                <w:szCs w:val="15"/>
              </w:rPr>
            </w:pPr>
            <w:r>
              <w:rPr>
                <w:rFonts w:ascii="楷体" w:eastAsia="楷体" w:hAnsi="楷体" w:hint="eastAsia"/>
                <w:b/>
                <w:bCs/>
                <w:color w:val="000000"/>
                <w:sz w:val="15"/>
                <w:szCs w:val="15"/>
              </w:rPr>
              <w:t>股票(%)</w:t>
            </w:r>
          </w:p>
        </w:tc>
      </w:tr>
      <w:tr w:rsidR="00A452E3" w:rsidRPr="00A452E3" w:rsidTr="00A452E3">
        <w:trPr>
          <w:trHeight w:val="202"/>
        </w:trPr>
        <w:tc>
          <w:tcPr>
            <w:tcW w:w="769" w:type="dxa"/>
            <w:tcBorders>
              <w:bottom w:val="single" w:sz="4" w:space="0" w:color="00A0E9"/>
              <w:right w:val="single" w:sz="4" w:space="0" w:color="00A0E9"/>
            </w:tcBorders>
          </w:tcPr>
          <w:p w:rsidR="00A452E3" w:rsidRDefault="00A452E3" w:rsidP="00A452E3">
            <w:pPr>
              <w:jc w:val="center"/>
              <w:rPr>
                <w:rFonts w:ascii="宋体" w:eastAsia="宋体" w:hAnsi="宋体" w:cs="宋体"/>
                <w:sz w:val="22"/>
              </w:rPr>
            </w:pPr>
            <w:r w:rsidRPr="00A452E3">
              <w:rPr>
                <w:rFonts w:ascii="楷体" w:eastAsia="楷体" w:hAnsi="楷体" w:hint="eastAsia"/>
                <w:color w:val="000000"/>
                <w:sz w:val="15"/>
                <w:szCs w:val="15"/>
              </w:rPr>
              <w:t>100058</w:t>
            </w:r>
          </w:p>
        </w:tc>
        <w:tc>
          <w:tcPr>
            <w:tcW w:w="1641"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富国产业债</w:t>
            </w:r>
          </w:p>
        </w:tc>
        <w:tc>
          <w:tcPr>
            <w:tcW w:w="1276"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债券-完全债券型</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22.93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1.12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 xml:space="preserve">0.61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0.47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-0.29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0.40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10.53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73.65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0.03 </w:t>
            </w:r>
          </w:p>
        </w:tc>
        <w:tc>
          <w:tcPr>
            <w:tcW w:w="565" w:type="dxa"/>
            <w:tcBorders>
              <w:left w:val="single" w:sz="4" w:space="0" w:color="00A0E9"/>
              <w:bottom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r>
      <w:tr w:rsidR="00A452E3" w:rsidRPr="00A452E3" w:rsidTr="00A452E3">
        <w:trPr>
          <w:trHeight w:val="202"/>
        </w:trPr>
        <w:tc>
          <w:tcPr>
            <w:tcW w:w="769" w:type="dxa"/>
            <w:tcBorders>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161820</w:t>
            </w:r>
          </w:p>
        </w:tc>
        <w:tc>
          <w:tcPr>
            <w:tcW w:w="1641"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银</w:t>
            </w:r>
            <w:proofErr w:type="gramStart"/>
            <w:r w:rsidRPr="00A452E3">
              <w:rPr>
                <w:rFonts w:ascii="楷体" w:eastAsia="楷体" w:hAnsi="楷体" w:hint="eastAsia"/>
                <w:color w:val="000000"/>
                <w:sz w:val="15"/>
                <w:szCs w:val="15"/>
              </w:rPr>
              <w:t>华纯债</w:t>
            </w:r>
            <w:proofErr w:type="gramEnd"/>
          </w:p>
        </w:tc>
        <w:tc>
          <w:tcPr>
            <w:tcW w:w="1276"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债券-完全债券型</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23.68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1.09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 xml:space="preserve">0.60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0.52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-1.10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0.76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5.25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107.41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c>
          <w:tcPr>
            <w:tcW w:w="565" w:type="dxa"/>
            <w:tcBorders>
              <w:left w:val="single" w:sz="4" w:space="0" w:color="00A0E9"/>
              <w:bottom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r>
      <w:tr w:rsidR="00A452E3" w:rsidRPr="00A452E3" w:rsidTr="00A452E3">
        <w:trPr>
          <w:trHeight w:val="202"/>
        </w:trPr>
        <w:tc>
          <w:tcPr>
            <w:tcW w:w="769" w:type="dxa"/>
            <w:tcBorders>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519152</w:t>
            </w:r>
          </w:p>
        </w:tc>
        <w:tc>
          <w:tcPr>
            <w:tcW w:w="1641"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proofErr w:type="gramStart"/>
            <w:r w:rsidRPr="00A452E3">
              <w:rPr>
                <w:rFonts w:ascii="楷体" w:eastAsia="楷体" w:hAnsi="楷体" w:hint="eastAsia"/>
                <w:color w:val="000000"/>
                <w:sz w:val="15"/>
                <w:szCs w:val="15"/>
              </w:rPr>
              <w:t>新华纯债添利</w:t>
            </w:r>
            <w:proofErr w:type="gramEnd"/>
          </w:p>
        </w:tc>
        <w:tc>
          <w:tcPr>
            <w:tcW w:w="1276"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债券-完全债券型</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26.05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0.91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 xml:space="preserve">1.09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1.18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-0.08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0.24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0.29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5.55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88.45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c>
          <w:tcPr>
            <w:tcW w:w="565" w:type="dxa"/>
            <w:tcBorders>
              <w:left w:val="single" w:sz="4" w:space="0" w:color="00A0E9"/>
              <w:bottom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r>
      <w:tr w:rsidR="00A452E3" w:rsidRPr="00A452E3" w:rsidTr="00A452E3">
        <w:trPr>
          <w:trHeight w:val="202"/>
        </w:trPr>
        <w:tc>
          <w:tcPr>
            <w:tcW w:w="769" w:type="dxa"/>
            <w:tcBorders>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519669</w:t>
            </w:r>
          </w:p>
        </w:tc>
        <w:tc>
          <w:tcPr>
            <w:tcW w:w="1641"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银河领先债券</w:t>
            </w:r>
          </w:p>
        </w:tc>
        <w:tc>
          <w:tcPr>
            <w:tcW w:w="1276"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债券-完全债券型</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27.79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1.40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 xml:space="preserve">0.75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-0.08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-1.35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0.95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10.47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104.85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0.20 </w:t>
            </w:r>
          </w:p>
        </w:tc>
        <w:tc>
          <w:tcPr>
            <w:tcW w:w="565" w:type="dxa"/>
            <w:tcBorders>
              <w:left w:val="single" w:sz="4" w:space="0" w:color="00A0E9"/>
              <w:bottom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r>
      <w:tr w:rsidR="00A452E3" w:rsidRPr="00A452E3" w:rsidTr="00A452E3">
        <w:trPr>
          <w:trHeight w:val="202"/>
        </w:trPr>
        <w:tc>
          <w:tcPr>
            <w:tcW w:w="769" w:type="dxa"/>
            <w:tcBorders>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519985</w:t>
            </w:r>
          </w:p>
        </w:tc>
        <w:tc>
          <w:tcPr>
            <w:tcW w:w="1641"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proofErr w:type="gramStart"/>
            <w:r w:rsidRPr="00A452E3">
              <w:rPr>
                <w:rFonts w:ascii="楷体" w:eastAsia="楷体" w:hAnsi="楷体" w:hint="eastAsia"/>
                <w:color w:val="000000"/>
                <w:sz w:val="15"/>
                <w:szCs w:val="15"/>
              </w:rPr>
              <w:t>长信纯债壹号</w:t>
            </w:r>
            <w:proofErr w:type="gramEnd"/>
          </w:p>
        </w:tc>
        <w:tc>
          <w:tcPr>
            <w:tcW w:w="1276"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债券-完全债券型</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21.82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0.86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 xml:space="preserve">0.70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0.77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-0.96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0.69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0.83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52.34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37.26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c>
          <w:tcPr>
            <w:tcW w:w="565" w:type="dxa"/>
            <w:tcBorders>
              <w:left w:val="single" w:sz="4" w:space="0" w:color="00A0E9"/>
              <w:bottom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r>
      <w:tr w:rsidR="00A452E3" w:rsidRPr="00A452E3" w:rsidTr="00A452E3">
        <w:trPr>
          <w:trHeight w:val="202"/>
        </w:trPr>
        <w:tc>
          <w:tcPr>
            <w:tcW w:w="769" w:type="dxa"/>
            <w:tcBorders>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590009</w:t>
            </w:r>
          </w:p>
        </w:tc>
        <w:tc>
          <w:tcPr>
            <w:tcW w:w="1641"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中</w:t>
            </w:r>
            <w:proofErr w:type="gramStart"/>
            <w:r w:rsidRPr="00A452E3">
              <w:rPr>
                <w:rFonts w:ascii="楷体" w:eastAsia="楷体" w:hAnsi="楷体" w:hint="eastAsia"/>
                <w:color w:val="000000"/>
                <w:sz w:val="15"/>
                <w:szCs w:val="15"/>
              </w:rPr>
              <w:t>邮稳定</w:t>
            </w:r>
            <w:proofErr w:type="gramEnd"/>
            <w:r w:rsidRPr="00A452E3">
              <w:rPr>
                <w:rFonts w:ascii="楷体" w:eastAsia="楷体" w:hAnsi="楷体" w:hint="eastAsia"/>
                <w:color w:val="000000"/>
                <w:sz w:val="15"/>
                <w:szCs w:val="15"/>
              </w:rPr>
              <w:t>收益</w:t>
            </w:r>
          </w:p>
        </w:tc>
        <w:tc>
          <w:tcPr>
            <w:tcW w:w="1276"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债券-完全债券型</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26.67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1.52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 xml:space="preserve">0.67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0.18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-1.22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0.91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8.03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7.34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112.46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0.01 </w:t>
            </w:r>
          </w:p>
        </w:tc>
        <w:tc>
          <w:tcPr>
            <w:tcW w:w="565" w:type="dxa"/>
            <w:tcBorders>
              <w:left w:val="single" w:sz="4" w:space="0" w:color="00A0E9"/>
              <w:bottom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r>
      <w:tr w:rsidR="00A452E3" w:rsidRPr="00A452E3" w:rsidTr="00A452E3">
        <w:trPr>
          <w:trHeight w:val="202"/>
        </w:trPr>
        <w:tc>
          <w:tcPr>
            <w:tcW w:w="769" w:type="dxa"/>
            <w:tcBorders>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166008</w:t>
            </w:r>
          </w:p>
        </w:tc>
        <w:tc>
          <w:tcPr>
            <w:tcW w:w="1641"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proofErr w:type="gramStart"/>
            <w:r w:rsidRPr="00A452E3">
              <w:rPr>
                <w:rFonts w:ascii="楷体" w:eastAsia="楷体" w:hAnsi="楷体" w:hint="eastAsia"/>
                <w:color w:val="000000"/>
                <w:sz w:val="15"/>
                <w:szCs w:val="15"/>
              </w:rPr>
              <w:t>中欧强债</w:t>
            </w:r>
            <w:proofErr w:type="gramEnd"/>
          </w:p>
        </w:tc>
        <w:tc>
          <w:tcPr>
            <w:tcW w:w="1276"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债券-新股申购型</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34.64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2.09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 xml:space="preserve">0.69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0.38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-1.45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0.96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4.96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10.75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98.95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0.41 </w:t>
            </w:r>
          </w:p>
        </w:tc>
        <w:tc>
          <w:tcPr>
            <w:tcW w:w="565" w:type="dxa"/>
            <w:tcBorders>
              <w:left w:val="single" w:sz="4" w:space="0" w:color="00A0E9"/>
              <w:bottom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r>
      <w:tr w:rsidR="00A452E3" w:rsidRPr="00A452E3" w:rsidTr="00A452E3">
        <w:trPr>
          <w:trHeight w:val="202"/>
        </w:trPr>
        <w:tc>
          <w:tcPr>
            <w:tcW w:w="769" w:type="dxa"/>
            <w:tcBorders>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200013</w:t>
            </w:r>
          </w:p>
        </w:tc>
        <w:tc>
          <w:tcPr>
            <w:tcW w:w="1641"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长城积极增利</w:t>
            </w:r>
          </w:p>
        </w:tc>
        <w:tc>
          <w:tcPr>
            <w:tcW w:w="1276"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债券-新股申购型</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35.91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2.77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 xml:space="preserve">0.54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0.45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-1.40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1.05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6.02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14.42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62.10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c>
          <w:tcPr>
            <w:tcW w:w="565" w:type="dxa"/>
            <w:tcBorders>
              <w:left w:val="single" w:sz="4" w:space="0" w:color="00A0E9"/>
              <w:bottom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r>
      <w:tr w:rsidR="00A452E3" w:rsidRPr="00A452E3" w:rsidTr="00A452E3">
        <w:trPr>
          <w:trHeight w:val="202"/>
        </w:trPr>
        <w:tc>
          <w:tcPr>
            <w:tcW w:w="769" w:type="dxa"/>
            <w:tcBorders>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217022</w:t>
            </w:r>
          </w:p>
        </w:tc>
        <w:tc>
          <w:tcPr>
            <w:tcW w:w="1641"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招商产业</w:t>
            </w:r>
          </w:p>
        </w:tc>
        <w:tc>
          <w:tcPr>
            <w:tcW w:w="1276"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债券-新股申购型</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31.33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2.18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 xml:space="preserve">0.57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0.85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-1.33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0.90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5.40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14.17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90.07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0.23 </w:t>
            </w:r>
          </w:p>
        </w:tc>
        <w:tc>
          <w:tcPr>
            <w:tcW w:w="565" w:type="dxa"/>
            <w:tcBorders>
              <w:left w:val="single" w:sz="4" w:space="0" w:color="00A0E9"/>
              <w:bottom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r>
      <w:tr w:rsidR="00A452E3" w:rsidRPr="00A452E3" w:rsidTr="00A452E3">
        <w:trPr>
          <w:trHeight w:val="202"/>
        </w:trPr>
        <w:tc>
          <w:tcPr>
            <w:tcW w:w="769" w:type="dxa"/>
            <w:tcBorders>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290009</w:t>
            </w:r>
          </w:p>
        </w:tc>
        <w:tc>
          <w:tcPr>
            <w:tcW w:w="1641"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proofErr w:type="gramStart"/>
            <w:r w:rsidRPr="00A452E3">
              <w:rPr>
                <w:rFonts w:ascii="楷体" w:eastAsia="楷体" w:hAnsi="楷体" w:hint="eastAsia"/>
                <w:color w:val="000000"/>
                <w:sz w:val="15"/>
                <w:szCs w:val="15"/>
              </w:rPr>
              <w:t>泰信周期</w:t>
            </w:r>
            <w:proofErr w:type="gramEnd"/>
            <w:r w:rsidRPr="00A452E3">
              <w:rPr>
                <w:rFonts w:ascii="楷体" w:eastAsia="楷体" w:hAnsi="楷体" w:hint="eastAsia"/>
                <w:color w:val="000000"/>
                <w:sz w:val="15"/>
                <w:szCs w:val="15"/>
              </w:rPr>
              <w:t>回报</w:t>
            </w:r>
          </w:p>
        </w:tc>
        <w:tc>
          <w:tcPr>
            <w:tcW w:w="1276"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债券-新股申购型</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22.78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0.95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 xml:space="preserve">0.70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0.64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-1.07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0.84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4.32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83.48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c>
          <w:tcPr>
            <w:tcW w:w="565" w:type="dxa"/>
            <w:tcBorders>
              <w:left w:val="single" w:sz="4" w:space="0" w:color="00A0E9"/>
              <w:bottom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r>
      <w:tr w:rsidR="00A452E3" w:rsidRPr="00A452E3" w:rsidTr="00A452E3">
        <w:trPr>
          <w:trHeight w:val="202"/>
        </w:trPr>
        <w:tc>
          <w:tcPr>
            <w:tcW w:w="769" w:type="dxa"/>
            <w:tcBorders>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340009</w:t>
            </w:r>
          </w:p>
        </w:tc>
        <w:tc>
          <w:tcPr>
            <w:tcW w:w="1641"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兴全磐稳增利</w:t>
            </w:r>
          </w:p>
        </w:tc>
        <w:tc>
          <w:tcPr>
            <w:tcW w:w="1276"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债券-新股申购型</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47.89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3.67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 xml:space="preserve">0.58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0.44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-1.20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0.92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5.16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0.92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93.49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1.24 </w:t>
            </w:r>
          </w:p>
        </w:tc>
        <w:tc>
          <w:tcPr>
            <w:tcW w:w="565" w:type="dxa"/>
            <w:tcBorders>
              <w:left w:val="single" w:sz="4" w:space="0" w:color="00A0E9"/>
              <w:bottom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r>
      <w:tr w:rsidR="00A452E3" w:rsidRPr="00A452E3" w:rsidTr="00A452E3">
        <w:trPr>
          <w:trHeight w:val="202"/>
        </w:trPr>
        <w:tc>
          <w:tcPr>
            <w:tcW w:w="769" w:type="dxa"/>
            <w:tcBorders>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530008</w:t>
            </w:r>
          </w:p>
        </w:tc>
        <w:tc>
          <w:tcPr>
            <w:tcW w:w="1641"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建</w:t>
            </w:r>
            <w:proofErr w:type="gramStart"/>
            <w:r w:rsidRPr="00A452E3">
              <w:rPr>
                <w:rFonts w:ascii="楷体" w:eastAsia="楷体" w:hAnsi="楷体" w:hint="eastAsia"/>
                <w:color w:val="000000"/>
                <w:sz w:val="15"/>
                <w:szCs w:val="15"/>
              </w:rPr>
              <w:t>信稳定</w:t>
            </w:r>
            <w:proofErr w:type="gramEnd"/>
            <w:r w:rsidRPr="00A452E3">
              <w:rPr>
                <w:rFonts w:ascii="楷体" w:eastAsia="楷体" w:hAnsi="楷体" w:hint="eastAsia"/>
                <w:color w:val="000000"/>
                <w:sz w:val="15"/>
                <w:szCs w:val="15"/>
              </w:rPr>
              <w:t>增利</w:t>
            </w:r>
          </w:p>
        </w:tc>
        <w:tc>
          <w:tcPr>
            <w:tcW w:w="1276"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债券-新股申购型</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34.98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1.92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 xml:space="preserve">0.81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-0.44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-1.30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1.02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2.46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37.89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53.47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3.96 </w:t>
            </w:r>
          </w:p>
        </w:tc>
        <w:tc>
          <w:tcPr>
            <w:tcW w:w="565" w:type="dxa"/>
            <w:tcBorders>
              <w:left w:val="single" w:sz="4" w:space="0" w:color="00A0E9"/>
              <w:bottom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r>
      <w:tr w:rsidR="00A452E3" w:rsidRPr="00A452E3" w:rsidTr="00A452E3">
        <w:trPr>
          <w:trHeight w:val="202"/>
        </w:trPr>
        <w:tc>
          <w:tcPr>
            <w:tcW w:w="769" w:type="dxa"/>
            <w:tcBorders>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110007</w:t>
            </w:r>
          </w:p>
        </w:tc>
        <w:tc>
          <w:tcPr>
            <w:tcW w:w="1641"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易方达稳健收益</w:t>
            </w:r>
          </w:p>
        </w:tc>
        <w:tc>
          <w:tcPr>
            <w:tcW w:w="1276"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债券-普通债券型</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50.19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3.52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 xml:space="preserve">0.64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-1.71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-2.88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5.01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8.61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30.80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67.36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0.21 </w:t>
            </w:r>
          </w:p>
        </w:tc>
        <w:tc>
          <w:tcPr>
            <w:tcW w:w="565" w:type="dxa"/>
            <w:tcBorders>
              <w:left w:val="single" w:sz="4" w:space="0" w:color="00A0E9"/>
              <w:bottom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18.68 </w:t>
            </w:r>
          </w:p>
        </w:tc>
      </w:tr>
      <w:tr w:rsidR="00A452E3" w:rsidRPr="00A452E3" w:rsidTr="00A452E3">
        <w:trPr>
          <w:trHeight w:val="202"/>
        </w:trPr>
        <w:tc>
          <w:tcPr>
            <w:tcW w:w="769" w:type="dxa"/>
            <w:tcBorders>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151002</w:t>
            </w:r>
          </w:p>
        </w:tc>
        <w:tc>
          <w:tcPr>
            <w:tcW w:w="1641"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银河收益</w:t>
            </w:r>
          </w:p>
        </w:tc>
        <w:tc>
          <w:tcPr>
            <w:tcW w:w="1276"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债券-普通债券型</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67.34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6.19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 xml:space="preserve">0.72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-0.77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-1.59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3.11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4.28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12.58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71.78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0.88 </w:t>
            </w:r>
          </w:p>
        </w:tc>
        <w:tc>
          <w:tcPr>
            <w:tcW w:w="565" w:type="dxa"/>
            <w:tcBorders>
              <w:left w:val="single" w:sz="4" w:space="0" w:color="00A0E9"/>
              <w:bottom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5.30 </w:t>
            </w:r>
          </w:p>
        </w:tc>
      </w:tr>
      <w:tr w:rsidR="00A452E3" w:rsidRPr="00A452E3" w:rsidTr="00A452E3">
        <w:trPr>
          <w:trHeight w:val="202"/>
        </w:trPr>
        <w:tc>
          <w:tcPr>
            <w:tcW w:w="769" w:type="dxa"/>
            <w:tcBorders>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380009</w:t>
            </w:r>
          </w:p>
        </w:tc>
        <w:tc>
          <w:tcPr>
            <w:tcW w:w="1641"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中银稳健添利</w:t>
            </w:r>
          </w:p>
        </w:tc>
        <w:tc>
          <w:tcPr>
            <w:tcW w:w="1276"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债券-普通债券型</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32.75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1.72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 xml:space="preserve">0.68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0.74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-0.88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1.53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114.62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0.51 </w:t>
            </w:r>
          </w:p>
        </w:tc>
        <w:tc>
          <w:tcPr>
            <w:tcW w:w="565" w:type="dxa"/>
            <w:tcBorders>
              <w:left w:val="single" w:sz="4" w:space="0" w:color="00A0E9"/>
              <w:bottom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3.74 </w:t>
            </w:r>
          </w:p>
        </w:tc>
      </w:tr>
      <w:tr w:rsidR="00A452E3" w:rsidRPr="00A452E3" w:rsidTr="00A452E3">
        <w:trPr>
          <w:trHeight w:val="202"/>
        </w:trPr>
        <w:tc>
          <w:tcPr>
            <w:tcW w:w="769" w:type="dxa"/>
            <w:tcBorders>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485111</w:t>
            </w:r>
          </w:p>
        </w:tc>
        <w:tc>
          <w:tcPr>
            <w:tcW w:w="1641"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工</w:t>
            </w:r>
            <w:proofErr w:type="gramStart"/>
            <w:r w:rsidRPr="00A452E3">
              <w:rPr>
                <w:rFonts w:ascii="楷体" w:eastAsia="楷体" w:hAnsi="楷体" w:hint="eastAsia"/>
                <w:color w:val="000000"/>
                <w:sz w:val="15"/>
                <w:szCs w:val="15"/>
              </w:rPr>
              <w:t>银瑞信双</w:t>
            </w:r>
            <w:proofErr w:type="gramEnd"/>
            <w:r w:rsidRPr="00A452E3">
              <w:rPr>
                <w:rFonts w:ascii="楷体" w:eastAsia="楷体" w:hAnsi="楷体" w:hint="eastAsia"/>
                <w:color w:val="000000"/>
                <w:sz w:val="15"/>
                <w:szCs w:val="15"/>
              </w:rPr>
              <w:t>利</w:t>
            </w:r>
          </w:p>
        </w:tc>
        <w:tc>
          <w:tcPr>
            <w:tcW w:w="1276" w:type="dxa"/>
            <w:tcBorders>
              <w:left w:val="single" w:sz="4" w:space="0" w:color="00A0E9"/>
              <w:bottom w:val="single" w:sz="4" w:space="0" w:color="00A0E9"/>
              <w:right w:val="single" w:sz="4" w:space="0" w:color="00A0E9"/>
            </w:tcBorders>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债券-普通债券型</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41.69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2.65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sidRPr="00A452E3">
              <w:rPr>
                <w:rFonts w:ascii="楷体" w:eastAsia="楷体" w:hAnsi="楷体" w:hint="eastAsia"/>
                <w:color w:val="000000"/>
                <w:sz w:val="15"/>
                <w:szCs w:val="15"/>
              </w:rPr>
              <w:t xml:space="preserve">0.62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2.40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-2.77 </w:t>
            </w:r>
          </w:p>
        </w:tc>
        <w:tc>
          <w:tcPr>
            <w:tcW w:w="709"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4.44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0.46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13.83 </w:t>
            </w:r>
          </w:p>
        </w:tc>
        <w:tc>
          <w:tcPr>
            <w:tcW w:w="708"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65.47 </w:t>
            </w:r>
          </w:p>
        </w:tc>
        <w:tc>
          <w:tcPr>
            <w:tcW w:w="567" w:type="dxa"/>
            <w:tcBorders>
              <w:left w:val="single" w:sz="4" w:space="0" w:color="00A0E9"/>
              <w:bottom w:val="single" w:sz="4" w:space="0" w:color="00A0E9"/>
              <w:right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0.26 </w:t>
            </w:r>
          </w:p>
        </w:tc>
        <w:tc>
          <w:tcPr>
            <w:tcW w:w="565" w:type="dxa"/>
            <w:tcBorders>
              <w:left w:val="single" w:sz="4" w:space="0" w:color="00A0E9"/>
              <w:bottom w:val="single" w:sz="4" w:space="0" w:color="00A0E9"/>
            </w:tcBorders>
            <w:vAlign w:val="center"/>
          </w:tcPr>
          <w:p w:rsidR="00A452E3" w:rsidRPr="00A452E3" w:rsidRDefault="00A452E3" w:rsidP="00A452E3">
            <w:pPr>
              <w:jc w:val="center"/>
              <w:rPr>
                <w:rFonts w:ascii="楷体" w:eastAsia="楷体" w:hAnsi="楷体"/>
                <w:color w:val="000000"/>
                <w:sz w:val="15"/>
                <w:szCs w:val="15"/>
              </w:rPr>
            </w:pPr>
            <w:r>
              <w:rPr>
                <w:rFonts w:ascii="楷体" w:eastAsia="楷体" w:hAnsi="楷体" w:hint="eastAsia"/>
                <w:color w:val="000000"/>
                <w:sz w:val="15"/>
                <w:szCs w:val="15"/>
              </w:rPr>
              <w:t xml:space="preserve">15.23 </w:t>
            </w:r>
          </w:p>
        </w:tc>
      </w:tr>
      <w:tr w:rsidR="00A452E3" w:rsidTr="00A452E3">
        <w:trPr>
          <w:trHeight w:val="202"/>
        </w:trPr>
        <w:tc>
          <w:tcPr>
            <w:tcW w:w="10771" w:type="dxa"/>
            <w:gridSpan w:val="14"/>
            <w:tcBorders>
              <w:bottom w:val="single" w:sz="4" w:space="0" w:color="00A0E9"/>
            </w:tcBorders>
          </w:tcPr>
          <w:p w:rsidR="00A452E3" w:rsidRPr="00A452E3" w:rsidRDefault="00A452E3" w:rsidP="00A452E3">
            <w:r w:rsidRPr="00A452E3">
              <w:rPr>
                <w:rFonts w:hint="eastAsia"/>
              </w:rPr>
              <w:t>注：</w:t>
            </w:r>
            <w:r w:rsidRPr="00A452E3">
              <w:rPr>
                <w:rFonts w:hint="eastAsia"/>
              </w:rPr>
              <w:t>1</w:t>
            </w:r>
            <w:r w:rsidRPr="00A452E3">
              <w:rPr>
                <w:rFonts w:hint="eastAsia"/>
              </w:rPr>
              <w:t>、数据截至</w:t>
            </w:r>
            <w:r w:rsidRPr="00A452E3">
              <w:rPr>
                <w:rFonts w:hint="eastAsia"/>
              </w:rPr>
              <w:t>2016</w:t>
            </w:r>
            <w:r w:rsidRPr="00A452E3">
              <w:rPr>
                <w:rFonts w:hint="eastAsia"/>
              </w:rPr>
              <w:t>年</w:t>
            </w:r>
            <w:r w:rsidRPr="00A452E3">
              <w:rPr>
                <w:rFonts w:hint="eastAsia"/>
              </w:rPr>
              <w:t>4</w:t>
            </w:r>
            <w:r w:rsidRPr="00A452E3">
              <w:rPr>
                <w:rFonts w:hint="eastAsia"/>
              </w:rPr>
              <w:t>月</w:t>
            </w:r>
            <w:r w:rsidRPr="00A452E3">
              <w:rPr>
                <w:rFonts w:hint="eastAsia"/>
              </w:rPr>
              <w:t>27</w:t>
            </w:r>
            <w:r w:rsidRPr="00A452E3">
              <w:rPr>
                <w:rFonts w:hint="eastAsia"/>
              </w:rPr>
              <w:t>日；</w:t>
            </w:r>
            <w:r w:rsidRPr="00A452E3">
              <w:rPr>
                <w:rFonts w:hint="eastAsia"/>
              </w:rPr>
              <w:t>2</w:t>
            </w:r>
            <w:r w:rsidRPr="00A452E3">
              <w:rPr>
                <w:rFonts w:hint="eastAsia"/>
              </w:rPr>
              <w:t>、持仓比例数据选取自</w:t>
            </w:r>
            <w:r w:rsidRPr="00A452E3">
              <w:rPr>
                <w:rFonts w:hint="eastAsia"/>
              </w:rPr>
              <w:t>2016</w:t>
            </w:r>
            <w:r w:rsidRPr="00A452E3">
              <w:rPr>
                <w:rFonts w:hint="eastAsia"/>
              </w:rPr>
              <w:t>年</w:t>
            </w:r>
            <w:r w:rsidRPr="00A452E3">
              <w:rPr>
                <w:rFonts w:hint="eastAsia"/>
              </w:rPr>
              <w:t>1</w:t>
            </w:r>
            <w:r w:rsidRPr="00A452E3">
              <w:rPr>
                <w:rFonts w:hint="eastAsia"/>
              </w:rPr>
              <w:t>季报数据；</w:t>
            </w:r>
            <w:r w:rsidRPr="00A452E3">
              <w:rPr>
                <w:rFonts w:hint="eastAsia"/>
              </w:rPr>
              <w:t>3</w:t>
            </w:r>
            <w:r w:rsidRPr="00A452E3">
              <w:rPr>
                <w:rFonts w:hint="eastAsia"/>
              </w:rPr>
              <w:t>、修正夏普比率</w:t>
            </w:r>
            <w:r w:rsidRPr="00A452E3">
              <w:rPr>
                <w:rFonts w:hint="eastAsia"/>
              </w:rPr>
              <w:t>=</w:t>
            </w:r>
            <w:r w:rsidRPr="00A452E3">
              <w:rPr>
                <w:rFonts w:hint="eastAsia"/>
              </w:rPr>
              <w:t>（</w:t>
            </w:r>
            <w:r w:rsidRPr="00A452E3">
              <w:rPr>
                <w:rFonts w:hint="eastAsia"/>
              </w:rPr>
              <w:t>R-RF</w:t>
            </w:r>
            <w:r w:rsidRPr="00A452E3">
              <w:rPr>
                <w:rFonts w:hint="eastAsia"/>
              </w:rPr>
              <w:t>）</w:t>
            </w:r>
            <w:r w:rsidRPr="00A452E3">
              <w:rPr>
                <w:rFonts w:hint="eastAsia"/>
              </w:rPr>
              <w:t>/</w:t>
            </w:r>
            <w:r w:rsidRPr="00A452E3">
              <w:rPr>
                <w:rFonts w:hint="eastAsia"/>
              </w:rPr>
              <w:t>σ</w:t>
            </w:r>
            <w:r>
              <w:rPr>
                <w:rFonts w:hint="eastAsia"/>
                <w:vertAlign w:val="subscript"/>
              </w:rPr>
              <w:t>down</w:t>
            </w:r>
            <w:r w:rsidRPr="00A452E3">
              <w:rPr>
                <w:rFonts w:hint="eastAsia"/>
              </w:rPr>
              <w:t>，其中</w:t>
            </w:r>
            <w:r w:rsidRPr="00A452E3">
              <w:rPr>
                <w:rFonts w:hint="eastAsia"/>
              </w:rPr>
              <w:t>R</w:t>
            </w:r>
            <w:r w:rsidRPr="00A452E3">
              <w:rPr>
                <w:rFonts w:hint="eastAsia"/>
              </w:rPr>
              <w:t>为区间净值增长率，</w:t>
            </w:r>
            <w:r w:rsidRPr="00A452E3">
              <w:rPr>
                <w:rFonts w:hint="eastAsia"/>
              </w:rPr>
              <w:t>RF</w:t>
            </w:r>
            <w:r w:rsidRPr="00A452E3">
              <w:rPr>
                <w:rFonts w:hint="eastAsia"/>
              </w:rPr>
              <w:t>为无风险利率，σ</w:t>
            </w:r>
            <w:r>
              <w:rPr>
                <w:rFonts w:hint="eastAsia"/>
                <w:vertAlign w:val="subscript"/>
              </w:rPr>
              <w:t>down</w:t>
            </w:r>
            <w:r w:rsidRPr="00A452E3">
              <w:rPr>
                <w:rFonts w:hint="eastAsia"/>
              </w:rPr>
              <w:t>为下行标准差。</w:t>
            </w:r>
          </w:p>
        </w:tc>
      </w:tr>
      <w:tr w:rsidR="00A452E3" w:rsidTr="00A452E3">
        <w:tc>
          <w:tcPr>
            <w:tcW w:w="10771" w:type="dxa"/>
            <w:gridSpan w:val="14"/>
            <w:tcBorders>
              <w:top w:val="single" w:sz="4" w:space="0" w:color="00A0E9"/>
            </w:tcBorders>
          </w:tcPr>
          <w:p w:rsidR="00A452E3" w:rsidRDefault="00A452E3" w:rsidP="00A452E3">
            <w:pPr>
              <w:pStyle w:val="GJStylesGraphSource"/>
            </w:pPr>
            <w:r>
              <w:rPr>
                <w:rFonts w:hint="eastAsia"/>
              </w:rPr>
              <w:t>来源：国金证券研究所，</w:t>
            </w:r>
            <w:r>
              <w:rPr>
                <w:rFonts w:hint="eastAsia"/>
              </w:rPr>
              <w:t>WIND</w:t>
            </w:r>
          </w:p>
        </w:tc>
      </w:tr>
    </w:tbl>
    <w:p w:rsidR="00C04724" w:rsidRDefault="00C04724" w:rsidP="00C04724">
      <w:pPr>
        <w:pStyle w:val="af3"/>
        <w:numPr>
          <w:ilvl w:val="0"/>
          <w:numId w:val="4"/>
        </w:numPr>
        <w:ind w:firstLineChars="0"/>
      </w:pPr>
    </w:p>
    <w:p w:rsidR="00C04724" w:rsidRPr="00C04724" w:rsidRDefault="00C04724" w:rsidP="00C04724">
      <w:pPr>
        <w:pStyle w:val="11"/>
        <w:rPr>
          <w:color w:val="auto"/>
        </w:rPr>
      </w:pPr>
      <w:r w:rsidRPr="00C04724">
        <w:rPr>
          <w:rFonts w:hint="eastAsia"/>
          <w:color w:val="auto"/>
        </w:rPr>
        <w:t>二、现金升级替代工具，超短期流动性选择——货币市场基金投资建议</w:t>
      </w:r>
    </w:p>
    <w:p w:rsidR="00CE7FA6" w:rsidRPr="004007BB" w:rsidRDefault="00C04724" w:rsidP="00CE7FA6">
      <w:pPr>
        <w:pStyle w:val="a0"/>
        <w:widowControl/>
        <w:numPr>
          <w:ilvl w:val="4"/>
          <w:numId w:val="3"/>
        </w:numPr>
        <w:rPr>
          <w:color w:val="auto"/>
        </w:rPr>
      </w:pPr>
      <w:r w:rsidRPr="004007BB">
        <w:rPr>
          <w:rFonts w:hint="eastAsia"/>
          <w:color w:val="auto"/>
        </w:rPr>
        <w:t>4</w:t>
      </w:r>
      <w:r w:rsidRPr="004007BB">
        <w:rPr>
          <w:rFonts w:hint="eastAsia"/>
          <w:color w:val="auto"/>
        </w:rPr>
        <w:t>月全部货币市场基金平均收益继续下行，其中新型互联网产品平均收益下行幅度较大，场内货币市场基金平均收益仅小幅下行。截至</w:t>
      </w:r>
      <w:r w:rsidRPr="004007BB">
        <w:rPr>
          <w:rFonts w:hint="eastAsia"/>
          <w:color w:val="auto"/>
        </w:rPr>
        <w:t>4</w:t>
      </w:r>
      <w:r w:rsidRPr="004007BB">
        <w:rPr>
          <w:rFonts w:hint="eastAsia"/>
          <w:color w:val="auto"/>
        </w:rPr>
        <w:t>月</w:t>
      </w:r>
      <w:r w:rsidRPr="004007BB">
        <w:rPr>
          <w:rFonts w:hint="eastAsia"/>
          <w:color w:val="auto"/>
        </w:rPr>
        <w:t>27</w:t>
      </w:r>
      <w:r w:rsidRPr="004007BB">
        <w:rPr>
          <w:rFonts w:hint="eastAsia"/>
          <w:color w:val="auto"/>
        </w:rPr>
        <w:t>日，全部货币基金平均</w:t>
      </w:r>
      <w:proofErr w:type="gramStart"/>
      <w:r w:rsidRPr="004007BB">
        <w:rPr>
          <w:rFonts w:hint="eastAsia"/>
          <w:color w:val="auto"/>
        </w:rPr>
        <w:t>收益环</w:t>
      </w:r>
      <w:proofErr w:type="gramEnd"/>
      <w:r w:rsidRPr="004007BB">
        <w:rPr>
          <w:rFonts w:hint="eastAsia"/>
          <w:color w:val="auto"/>
        </w:rPr>
        <w:t>比下行</w:t>
      </w:r>
      <w:r w:rsidRPr="004007BB">
        <w:rPr>
          <w:rFonts w:hint="eastAsia"/>
          <w:color w:val="auto"/>
        </w:rPr>
        <w:t>6BP</w:t>
      </w:r>
      <w:r w:rsidRPr="004007BB">
        <w:rPr>
          <w:rFonts w:hint="eastAsia"/>
          <w:color w:val="auto"/>
        </w:rPr>
        <w:t>至</w:t>
      </w:r>
      <w:r w:rsidRPr="004007BB">
        <w:rPr>
          <w:rFonts w:hint="eastAsia"/>
          <w:color w:val="auto"/>
        </w:rPr>
        <w:t>2.53%</w:t>
      </w:r>
      <w:r w:rsidRPr="004007BB">
        <w:rPr>
          <w:rFonts w:hint="eastAsia"/>
          <w:color w:val="auto"/>
        </w:rPr>
        <w:t>，收益水平已连续</w:t>
      </w:r>
      <w:r w:rsidRPr="004007BB">
        <w:rPr>
          <w:rFonts w:hint="eastAsia"/>
          <w:color w:val="auto"/>
        </w:rPr>
        <w:t>4</w:t>
      </w:r>
      <w:r w:rsidRPr="004007BB">
        <w:rPr>
          <w:rFonts w:hint="eastAsia"/>
          <w:color w:val="auto"/>
        </w:rPr>
        <w:t>个月累计下行</w:t>
      </w:r>
      <w:r w:rsidRPr="004007BB">
        <w:rPr>
          <w:rFonts w:hint="eastAsia"/>
          <w:color w:val="auto"/>
        </w:rPr>
        <w:t>32BP</w:t>
      </w:r>
      <w:r w:rsidRPr="004007BB">
        <w:rPr>
          <w:rFonts w:hint="eastAsia"/>
          <w:color w:val="auto"/>
        </w:rPr>
        <w:t>，累计下行幅度较为可观；同期新型互联网产品平均</w:t>
      </w:r>
      <w:proofErr w:type="gramStart"/>
      <w:r w:rsidRPr="004007BB">
        <w:rPr>
          <w:rFonts w:hint="eastAsia"/>
          <w:color w:val="auto"/>
        </w:rPr>
        <w:t>收益环</w:t>
      </w:r>
      <w:proofErr w:type="gramEnd"/>
      <w:r w:rsidRPr="004007BB">
        <w:rPr>
          <w:rFonts w:hint="eastAsia"/>
          <w:color w:val="auto"/>
        </w:rPr>
        <w:t>比下降</w:t>
      </w:r>
      <w:r w:rsidRPr="004007BB">
        <w:rPr>
          <w:rFonts w:hint="eastAsia"/>
          <w:color w:val="auto"/>
        </w:rPr>
        <w:t>14BP</w:t>
      </w:r>
      <w:r w:rsidRPr="004007BB">
        <w:rPr>
          <w:rFonts w:hint="eastAsia"/>
          <w:color w:val="auto"/>
        </w:rPr>
        <w:t>至</w:t>
      </w:r>
      <w:r w:rsidRPr="004007BB">
        <w:rPr>
          <w:rFonts w:hint="eastAsia"/>
          <w:color w:val="auto"/>
        </w:rPr>
        <w:t>2.58%</w:t>
      </w:r>
      <w:r w:rsidRPr="004007BB">
        <w:rPr>
          <w:rFonts w:hint="eastAsia"/>
          <w:color w:val="auto"/>
        </w:rPr>
        <w:t>，自</w:t>
      </w:r>
      <w:r w:rsidRPr="004007BB">
        <w:rPr>
          <w:rFonts w:hint="eastAsia"/>
          <w:color w:val="auto"/>
        </w:rPr>
        <w:t>2016</w:t>
      </w:r>
      <w:r w:rsidRPr="004007BB">
        <w:rPr>
          <w:rFonts w:hint="eastAsia"/>
          <w:color w:val="auto"/>
        </w:rPr>
        <w:t>年以来已累计下行</w:t>
      </w:r>
      <w:r w:rsidRPr="004007BB">
        <w:rPr>
          <w:rFonts w:hint="eastAsia"/>
          <w:color w:val="auto"/>
        </w:rPr>
        <w:t>59BP</w:t>
      </w:r>
      <w:r w:rsidRPr="004007BB">
        <w:rPr>
          <w:rFonts w:hint="eastAsia"/>
          <w:color w:val="auto"/>
        </w:rPr>
        <w:t>；继上月平均收</w:t>
      </w:r>
      <w:r w:rsidRPr="004007BB">
        <w:rPr>
          <w:rFonts w:hint="eastAsia"/>
          <w:color w:val="auto"/>
        </w:rPr>
        <w:lastRenderedPageBreak/>
        <w:t>益较大幅度下降之后，</w:t>
      </w:r>
      <w:r w:rsidRPr="004007BB">
        <w:rPr>
          <w:rFonts w:hint="eastAsia"/>
          <w:color w:val="auto"/>
        </w:rPr>
        <w:t>4</w:t>
      </w:r>
      <w:r w:rsidRPr="004007BB">
        <w:rPr>
          <w:rFonts w:hint="eastAsia"/>
          <w:color w:val="auto"/>
        </w:rPr>
        <w:t>月场内货币基金平均收益</w:t>
      </w:r>
      <w:r w:rsidRPr="004007BB">
        <w:rPr>
          <w:rFonts w:hint="eastAsia"/>
          <w:color w:val="auto"/>
        </w:rPr>
        <w:t>2.41%</w:t>
      </w:r>
      <w:r w:rsidRPr="004007BB">
        <w:rPr>
          <w:rFonts w:hint="eastAsia"/>
          <w:color w:val="auto"/>
        </w:rPr>
        <w:t>，环比仅小幅下行</w:t>
      </w:r>
      <w:r w:rsidRPr="004007BB">
        <w:rPr>
          <w:rFonts w:hint="eastAsia"/>
          <w:color w:val="auto"/>
        </w:rPr>
        <w:t>1BP</w:t>
      </w:r>
      <w:r w:rsidRPr="004007BB">
        <w:rPr>
          <w:rFonts w:hint="eastAsia"/>
          <w:color w:val="auto"/>
        </w:rPr>
        <w:t>。相比较而言，</w:t>
      </w:r>
      <w:r w:rsidRPr="004007BB">
        <w:rPr>
          <w:rFonts w:hint="eastAsia"/>
          <w:color w:val="auto"/>
        </w:rPr>
        <w:t>4</w:t>
      </w:r>
      <w:r w:rsidRPr="004007BB">
        <w:rPr>
          <w:rFonts w:hint="eastAsia"/>
          <w:color w:val="auto"/>
        </w:rPr>
        <w:t>月</w:t>
      </w:r>
      <w:r w:rsidRPr="004007BB">
        <w:rPr>
          <w:rFonts w:hint="eastAsia"/>
          <w:color w:val="auto"/>
        </w:rPr>
        <w:t>1</w:t>
      </w:r>
      <w:r w:rsidRPr="004007BB">
        <w:rPr>
          <w:rFonts w:hint="eastAsia"/>
          <w:color w:val="auto"/>
        </w:rPr>
        <w:t>周期限理财产品预期收益由上月的</w:t>
      </w:r>
      <w:r w:rsidRPr="004007BB">
        <w:rPr>
          <w:rFonts w:hint="eastAsia"/>
          <w:color w:val="auto"/>
        </w:rPr>
        <w:t>3.30%</w:t>
      </w:r>
      <w:r w:rsidRPr="004007BB">
        <w:rPr>
          <w:rFonts w:hint="eastAsia"/>
          <w:color w:val="auto"/>
        </w:rPr>
        <w:t>小幅上升至</w:t>
      </w:r>
      <w:r w:rsidRPr="004007BB">
        <w:rPr>
          <w:rFonts w:hint="eastAsia"/>
          <w:color w:val="auto"/>
        </w:rPr>
        <w:t>3.35%</w:t>
      </w:r>
      <w:r w:rsidRPr="004007BB">
        <w:rPr>
          <w:rFonts w:hint="eastAsia"/>
          <w:color w:val="auto"/>
        </w:rPr>
        <w:t>，银行理财产品与货币基金收益差距进一步拉大。</w:t>
      </w:r>
    </w:p>
    <w:tbl>
      <w:tblPr>
        <w:tblStyle w:val="GJStylesChartInsertSingleCol"/>
        <w:tblW w:w="7370" w:type="dxa"/>
        <w:tblInd w:w="3297" w:type="dxa"/>
        <w:tblLook w:val="0600" w:firstRow="0" w:lastRow="0" w:firstColumn="0" w:lastColumn="0" w:noHBand="1" w:noVBand="1"/>
      </w:tblPr>
      <w:tblGrid>
        <w:gridCol w:w="7545"/>
      </w:tblGrid>
      <w:tr w:rsidR="00CE7FA6" w:rsidTr="00CE7FA6">
        <w:tc>
          <w:tcPr>
            <w:tcW w:w="7370" w:type="dxa"/>
          </w:tcPr>
          <w:p w:rsidR="00CE7FA6" w:rsidRPr="00CE7FA6" w:rsidRDefault="00CE7FA6" w:rsidP="00CE7FA6">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19</w:t>
            </w:r>
            <w:r>
              <w:fldChar w:fldCharType="end"/>
            </w:r>
            <w:r>
              <w:rPr>
                <w:rFonts w:hint="eastAsia"/>
              </w:rPr>
              <w:t>：</w:t>
            </w:r>
            <w:r w:rsidRPr="005042F5">
              <w:rPr>
                <w:rFonts w:hint="eastAsia"/>
              </w:rPr>
              <w:t>全部货币市场基金、互联网产品、场内货币基金与理财收益率比较</w:t>
            </w:r>
          </w:p>
        </w:tc>
      </w:tr>
      <w:tr w:rsidR="00CE7FA6" w:rsidTr="00CE7FA6">
        <w:trPr>
          <w:trHeight w:val="3509"/>
        </w:trPr>
        <w:tc>
          <w:tcPr>
            <w:tcW w:w="7370" w:type="dxa"/>
          </w:tcPr>
          <w:p w:rsidR="00CE7FA6" w:rsidRPr="00CE7FA6" w:rsidRDefault="00CE7FA6" w:rsidP="00CE7FA6">
            <w:r>
              <w:rPr>
                <w:noProof/>
              </w:rPr>
              <w:drawing>
                <wp:inline distT="0" distB="0" distL="0" distR="0" wp14:anchorId="22EDD9C3">
                  <wp:extent cx="4791284" cy="301577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91906" cy="3016165"/>
                          </a:xfrm>
                          <a:prstGeom prst="rect">
                            <a:avLst/>
                          </a:prstGeom>
                          <a:noFill/>
                        </pic:spPr>
                      </pic:pic>
                    </a:graphicData>
                  </a:graphic>
                </wp:inline>
              </w:drawing>
            </w:r>
          </w:p>
        </w:tc>
      </w:tr>
      <w:tr w:rsidR="00CE7FA6" w:rsidTr="00CE7FA6">
        <w:tc>
          <w:tcPr>
            <w:tcW w:w="7370" w:type="dxa"/>
          </w:tcPr>
          <w:p w:rsidR="00CE7FA6" w:rsidRDefault="00CE7FA6" w:rsidP="00CE7FA6">
            <w:pPr>
              <w:pStyle w:val="GJStylesGraphSource"/>
            </w:pPr>
            <w:r>
              <w:rPr>
                <w:rFonts w:hint="eastAsia"/>
              </w:rPr>
              <w:t>注：</w:t>
            </w:r>
            <w:r>
              <w:rPr>
                <w:rFonts w:hint="eastAsia"/>
              </w:rPr>
              <w:t>4</w:t>
            </w:r>
            <w:r>
              <w:rPr>
                <w:rFonts w:hint="eastAsia"/>
              </w:rPr>
              <w:t>月数据截至</w:t>
            </w:r>
            <w:r>
              <w:rPr>
                <w:rFonts w:hint="eastAsia"/>
              </w:rPr>
              <w:t>4</w:t>
            </w:r>
            <w:r>
              <w:rPr>
                <w:rFonts w:hint="eastAsia"/>
              </w:rPr>
              <w:t>月</w:t>
            </w:r>
            <w:r>
              <w:rPr>
                <w:rFonts w:hint="eastAsia"/>
              </w:rPr>
              <w:t>27</w:t>
            </w:r>
            <w:r>
              <w:rPr>
                <w:rFonts w:hint="eastAsia"/>
              </w:rPr>
              <w:t>日。</w:t>
            </w:r>
          </w:p>
          <w:p w:rsidR="00CE7FA6" w:rsidRDefault="00CE7FA6" w:rsidP="00CE7FA6">
            <w:pPr>
              <w:pStyle w:val="GJStylesGraphSource"/>
            </w:pPr>
            <w:r>
              <w:rPr>
                <w:rFonts w:hint="eastAsia"/>
              </w:rPr>
              <w:t>来源：国金证券研究所，</w:t>
            </w:r>
            <w:r>
              <w:rPr>
                <w:rFonts w:hint="eastAsia"/>
              </w:rPr>
              <w:t>WIND</w:t>
            </w:r>
          </w:p>
        </w:tc>
      </w:tr>
    </w:tbl>
    <w:p w:rsidR="00C04724" w:rsidRPr="00CE7FA6" w:rsidRDefault="00C04724" w:rsidP="00CE7FA6">
      <w:pPr>
        <w:pStyle w:val="a0"/>
        <w:widowControl/>
        <w:numPr>
          <w:ilvl w:val="4"/>
          <w:numId w:val="3"/>
        </w:numPr>
        <w:rPr>
          <w:color w:val="auto"/>
        </w:rPr>
      </w:pPr>
      <w:r w:rsidRPr="00C04724">
        <w:rPr>
          <w:rFonts w:hint="eastAsia"/>
          <w:color w:val="auto"/>
        </w:rPr>
        <w:t>尽管在无风险利率下行背景下，货币市场基金平均收益水平持续下降，但两市振荡行情下市场风险偏好有所下调，货币基金作为现金管理工具仍具有一定的投资价值。在货币基金产品选择上，出于保证一定收益水平的考虑，建议选择规模中等偏上的产品以便更好地抵御盈余摊薄和赎回冲击；与此同时，出于保证流动性的考虑，建议关注新型互联网产品和场内货币基金产品。基于收益与流动性两方面</w:t>
      </w:r>
      <w:proofErr w:type="gramStart"/>
      <w:r w:rsidRPr="00C04724">
        <w:rPr>
          <w:rFonts w:hint="eastAsia"/>
          <w:color w:val="auto"/>
        </w:rPr>
        <w:t>考量</w:t>
      </w:r>
      <w:proofErr w:type="gramEnd"/>
      <w:r w:rsidRPr="00C04724">
        <w:rPr>
          <w:rFonts w:hint="eastAsia"/>
          <w:color w:val="auto"/>
        </w:rPr>
        <w:t>，我们重点推荐</w:t>
      </w:r>
      <w:r w:rsidR="00CE7FA6">
        <w:rPr>
          <w:rFonts w:hint="eastAsia"/>
          <w:color w:val="auto"/>
        </w:rPr>
        <w:t>兴全添利宝、华夏财富宝、嘉实货币、易方达易理财、嘉实活期宝、嘉实</w:t>
      </w:r>
      <w:r w:rsidR="004007BB">
        <w:rPr>
          <w:rFonts w:hint="eastAsia"/>
          <w:color w:val="auto"/>
        </w:rPr>
        <w:t>薪金宝、广发天天红、国金金腾通、</w:t>
      </w:r>
      <w:proofErr w:type="gramStart"/>
      <w:r w:rsidR="004007BB">
        <w:rPr>
          <w:rFonts w:hint="eastAsia"/>
          <w:color w:val="auto"/>
        </w:rPr>
        <w:t>汇添富</w:t>
      </w:r>
      <w:proofErr w:type="gramEnd"/>
      <w:r w:rsidR="004007BB">
        <w:rPr>
          <w:rFonts w:hint="eastAsia"/>
          <w:color w:val="auto"/>
        </w:rPr>
        <w:t>全额宝和中银活期宝</w:t>
      </w:r>
      <w:r w:rsidRPr="00CE7FA6">
        <w:rPr>
          <w:rFonts w:hint="eastAsia"/>
          <w:color w:val="auto"/>
        </w:rPr>
        <w:t>等产品供投资者选择。</w:t>
      </w:r>
    </w:p>
    <w:tbl>
      <w:tblPr>
        <w:tblStyle w:val="GJStylesChartInsertSingleCol"/>
        <w:tblW w:w="10771" w:type="dxa"/>
        <w:tblLayout w:type="fixed"/>
        <w:tblLook w:val="0600" w:firstRow="0" w:lastRow="0" w:firstColumn="0" w:lastColumn="0" w:noHBand="1" w:noVBand="1"/>
      </w:tblPr>
      <w:tblGrid>
        <w:gridCol w:w="993"/>
        <w:gridCol w:w="1161"/>
        <w:gridCol w:w="1077"/>
        <w:gridCol w:w="1077"/>
        <w:gridCol w:w="1077"/>
        <w:gridCol w:w="1077"/>
        <w:gridCol w:w="1077"/>
        <w:gridCol w:w="1077"/>
        <w:gridCol w:w="1077"/>
        <w:gridCol w:w="1078"/>
      </w:tblGrid>
      <w:tr w:rsidR="00CE7FA6" w:rsidTr="00CE7FA6">
        <w:tc>
          <w:tcPr>
            <w:tcW w:w="10771" w:type="dxa"/>
            <w:gridSpan w:val="10"/>
            <w:tcBorders>
              <w:bottom w:val="single" w:sz="4" w:space="0" w:color="00A0E9"/>
            </w:tcBorders>
          </w:tcPr>
          <w:p w:rsidR="00CE7FA6" w:rsidRPr="00CE7FA6" w:rsidRDefault="00CE7FA6" w:rsidP="00CE7FA6">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20</w:t>
            </w:r>
            <w:r>
              <w:fldChar w:fldCharType="end"/>
            </w:r>
            <w:r>
              <w:rPr>
                <w:rFonts w:hint="eastAsia"/>
              </w:rPr>
              <w:t>：</w:t>
            </w:r>
            <w:r>
              <w:rPr>
                <w:rFonts w:hint="eastAsia"/>
              </w:rPr>
              <w:t>2016</w:t>
            </w:r>
            <w:r>
              <w:rPr>
                <w:rFonts w:hint="eastAsia"/>
              </w:rPr>
              <w:t>年</w:t>
            </w:r>
            <w:r>
              <w:rPr>
                <w:rFonts w:hint="eastAsia"/>
              </w:rPr>
              <w:t>5</w:t>
            </w:r>
            <w:r>
              <w:rPr>
                <w:rFonts w:hint="eastAsia"/>
              </w:rPr>
              <w:t>月可重点关注的货币市场基金</w:t>
            </w:r>
          </w:p>
        </w:tc>
      </w:tr>
      <w:tr w:rsidR="00CE7FA6" w:rsidTr="00CE7FA6">
        <w:trPr>
          <w:trHeight w:val="328"/>
        </w:trPr>
        <w:tc>
          <w:tcPr>
            <w:tcW w:w="993" w:type="dxa"/>
            <w:tcBorders>
              <w:bottom w:val="single" w:sz="4" w:space="0" w:color="00A0E9"/>
              <w:right w:val="single" w:sz="4" w:space="0" w:color="00A0E9"/>
            </w:tcBorders>
            <w:vAlign w:val="center"/>
          </w:tcPr>
          <w:p w:rsidR="00CE7FA6" w:rsidRDefault="00CE7FA6" w:rsidP="009D6E57">
            <w:pPr>
              <w:jc w:val="center"/>
              <w:rPr>
                <w:rFonts w:ascii="楷体" w:eastAsia="楷体" w:hAnsi="楷体" w:cs="宋体"/>
                <w:b/>
                <w:bCs/>
                <w:color w:val="000000"/>
                <w:szCs w:val="18"/>
              </w:rPr>
            </w:pPr>
            <w:r>
              <w:rPr>
                <w:rFonts w:ascii="楷体" w:eastAsia="楷体" w:hAnsi="楷体" w:hint="eastAsia"/>
                <w:b/>
                <w:bCs/>
                <w:color w:val="000000"/>
                <w:szCs w:val="18"/>
              </w:rPr>
              <w:t>基金代码</w:t>
            </w:r>
          </w:p>
        </w:tc>
        <w:tc>
          <w:tcPr>
            <w:tcW w:w="1161" w:type="dxa"/>
            <w:tcBorders>
              <w:left w:val="single" w:sz="4" w:space="0" w:color="00A0E9"/>
              <w:bottom w:val="single" w:sz="4" w:space="0" w:color="00A0E9"/>
              <w:right w:val="single" w:sz="4" w:space="0" w:color="00A0E9"/>
            </w:tcBorders>
            <w:vAlign w:val="center"/>
          </w:tcPr>
          <w:p w:rsidR="00CE7FA6" w:rsidRDefault="00CE7FA6" w:rsidP="009D6E57">
            <w:pPr>
              <w:jc w:val="center"/>
              <w:rPr>
                <w:rFonts w:ascii="楷体" w:eastAsia="楷体" w:hAnsi="楷体" w:cs="宋体"/>
                <w:b/>
                <w:bCs/>
                <w:color w:val="000000"/>
                <w:szCs w:val="18"/>
              </w:rPr>
            </w:pPr>
            <w:r>
              <w:rPr>
                <w:rFonts w:ascii="楷体" w:eastAsia="楷体" w:hAnsi="楷体" w:hint="eastAsia"/>
                <w:b/>
                <w:bCs/>
                <w:color w:val="000000"/>
                <w:szCs w:val="18"/>
              </w:rPr>
              <w:t>基金名称</w:t>
            </w:r>
          </w:p>
        </w:tc>
        <w:tc>
          <w:tcPr>
            <w:tcW w:w="1077" w:type="dxa"/>
            <w:tcBorders>
              <w:left w:val="single" w:sz="4" w:space="0" w:color="00A0E9"/>
              <w:bottom w:val="single" w:sz="4" w:space="0" w:color="00A0E9"/>
              <w:right w:val="single" w:sz="4" w:space="0" w:color="00A0E9"/>
            </w:tcBorders>
            <w:vAlign w:val="center"/>
          </w:tcPr>
          <w:p w:rsidR="00CE7FA6" w:rsidRDefault="00CE7FA6" w:rsidP="009D6E57">
            <w:pPr>
              <w:jc w:val="center"/>
              <w:rPr>
                <w:rFonts w:ascii="楷体" w:eastAsia="楷体" w:hAnsi="楷体" w:cs="宋体"/>
                <w:b/>
                <w:bCs/>
                <w:color w:val="000000"/>
                <w:szCs w:val="18"/>
              </w:rPr>
            </w:pPr>
            <w:r>
              <w:rPr>
                <w:rFonts w:ascii="楷体" w:eastAsia="楷体" w:hAnsi="楷体" w:hint="eastAsia"/>
                <w:b/>
                <w:bCs/>
                <w:color w:val="000000"/>
                <w:szCs w:val="18"/>
              </w:rPr>
              <w:t>基金成立日</w:t>
            </w:r>
          </w:p>
        </w:tc>
        <w:tc>
          <w:tcPr>
            <w:tcW w:w="1077" w:type="dxa"/>
            <w:tcBorders>
              <w:left w:val="single" w:sz="4" w:space="0" w:color="00A0E9"/>
              <w:bottom w:val="single" w:sz="4" w:space="0" w:color="00A0E9"/>
              <w:right w:val="single" w:sz="4" w:space="0" w:color="00A0E9"/>
            </w:tcBorders>
            <w:vAlign w:val="center"/>
          </w:tcPr>
          <w:p w:rsidR="00CE7FA6" w:rsidRDefault="00CE7FA6" w:rsidP="009D6E57">
            <w:pPr>
              <w:jc w:val="center"/>
              <w:rPr>
                <w:rFonts w:ascii="楷体" w:eastAsia="楷体" w:hAnsi="楷体" w:cs="宋体"/>
                <w:b/>
                <w:bCs/>
                <w:color w:val="000000"/>
                <w:szCs w:val="18"/>
              </w:rPr>
            </w:pPr>
            <w:r>
              <w:rPr>
                <w:rFonts w:ascii="楷体" w:eastAsia="楷体" w:hAnsi="楷体" w:hint="eastAsia"/>
                <w:b/>
                <w:bCs/>
                <w:color w:val="000000"/>
                <w:szCs w:val="18"/>
              </w:rPr>
              <w:t>基金规模</w:t>
            </w:r>
          </w:p>
          <w:p w:rsidR="00CE7FA6" w:rsidRDefault="00CE7FA6" w:rsidP="009D6E57">
            <w:pPr>
              <w:jc w:val="center"/>
              <w:rPr>
                <w:rFonts w:ascii="楷体" w:eastAsia="楷体" w:hAnsi="楷体" w:cs="宋体"/>
                <w:b/>
                <w:bCs/>
                <w:color w:val="000000"/>
                <w:szCs w:val="18"/>
              </w:rPr>
            </w:pPr>
            <w:r>
              <w:rPr>
                <w:rFonts w:ascii="楷体" w:eastAsia="楷体" w:hAnsi="楷体" w:hint="eastAsia"/>
                <w:b/>
                <w:bCs/>
                <w:color w:val="000000"/>
                <w:szCs w:val="18"/>
              </w:rPr>
              <w:t>（亿元）</w:t>
            </w:r>
          </w:p>
        </w:tc>
        <w:tc>
          <w:tcPr>
            <w:tcW w:w="1077" w:type="dxa"/>
            <w:tcBorders>
              <w:left w:val="single" w:sz="4" w:space="0" w:color="00A0E9"/>
              <w:bottom w:val="single" w:sz="4" w:space="0" w:color="00A0E9"/>
              <w:right w:val="single" w:sz="4" w:space="0" w:color="00A0E9"/>
            </w:tcBorders>
            <w:vAlign w:val="center"/>
          </w:tcPr>
          <w:p w:rsidR="00CE7FA6" w:rsidRDefault="00CE7FA6" w:rsidP="009D6E57">
            <w:pPr>
              <w:jc w:val="center"/>
              <w:rPr>
                <w:rFonts w:ascii="楷体" w:eastAsia="楷体" w:hAnsi="楷体" w:cs="宋体"/>
                <w:b/>
                <w:bCs/>
                <w:color w:val="000000"/>
                <w:szCs w:val="18"/>
              </w:rPr>
            </w:pPr>
            <w:r>
              <w:rPr>
                <w:rFonts w:ascii="楷体" w:eastAsia="楷体" w:hAnsi="楷体" w:hint="eastAsia"/>
                <w:b/>
                <w:bCs/>
                <w:color w:val="000000"/>
                <w:szCs w:val="18"/>
              </w:rPr>
              <w:t>最新</w:t>
            </w:r>
            <w:proofErr w:type="gramStart"/>
            <w:r>
              <w:rPr>
                <w:rFonts w:ascii="楷体" w:eastAsia="楷体" w:hAnsi="楷体" w:hint="eastAsia"/>
                <w:b/>
                <w:bCs/>
                <w:color w:val="000000"/>
                <w:szCs w:val="18"/>
              </w:rPr>
              <w:t>7日年化收益率</w:t>
            </w:r>
            <w:proofErr w:type="gramEnd"/>
          </w:p>
          <w:p w:rsidR="00CE7FA6" w:rsidRDefault="00CE7FA6" w:rsidP="009D6E57">
            <w:pPr>
              <w:jc w:val="center"/>
              <w:rPr>
                <w:rFonts w:ascii="楷体" w:eastAsia="楷体" w:hAnsi="楷体" w:cs="宋体"/>
                <w:b/>
                <w:bCs/>
                <w:color w:val="000000"/>
                <w:szCs w:val="18"/>
              </w:rPr>
            </w:pPr>
            <w:r>
              <w:rPr>
                <w:rFonts w:ascii="楷体" w:eastAsia="楷体" w:hAnsi="楷体" w:hint="eastAsia"/>
                <w:b/>
                <w:bCs/>
                <w:color w:val="000000"/>
                <w:szCs w:val="18"/>
              </w:rPr>
              <w:t>（%）</w:t>
            </w:r>
          </w:p>
        </w:tc>
        <w:tc>
          <w:tcPr>
            <w:tcW w:w="1077" w:type="dxa"/>
            <w:tcBorders>
              <w:left w:val="single" w:sz="4" w:space="0" w:color="00A0E9"/>
              <w:bottom w:val="single" w:sz="4" w:space="0" w:color="00A0E9"/>
              <w:right w:val="single" w:sz="4" w:space="0" w:color="00A0E9"/>
            </w:tcBorders>
            <w:vAlign w:val="center"/>
          </w:tcPr>
          <w:p w:rsidR="00CE7FA6" w:rsidRDefault="00CE7FA6" w:rsidP="009D6E57">
            <w:pPr>
              <w:jc w:val="center"/>
              <w:rPr>
                <w:rFonts w:ascii="楷体" w:eastAsia="楷体" w:hAnsi="楷体" w:cs="宋体"/>
                <w:b/>
                <w:bCs/>
                <w:color w:val="000000"/>
                <w:szCs w:val="18"/>
              </w:rPr>
            </w:pPr>
            <w:r>
              <w:rPr>
                <w:rFonts w:ascii="楷体" w:eastAsia="楷体" w:hAnsi="楷体" w:hint="eastAsia"/>
                <w:b/>
                <w:bCs/>
                <w:color w:val="000000"/>
                <w:szCs w:val="18"/>
              </w:rPr>
              <w:t>上年</w:t>
            </w:r>
            <w:proofErr w:type="gramStart"/>
            <w:r>
              <w:rPr>
                <w:rFonts w:ascii="楷体" w:eastAsia="楷体" w:hAnsi="楷体" w:hint="eastAsia"/>
                <w:b/>
                <w:bCs/>
                <w:color w:val="000000"/>
                <w:szCs w:val="18"/>
              </w:rPr>
              <w:t>7日年化收益率</w:t>
            </w:r>
            <w:proofErr w:type="gramEnd"/>
            <w:r>
              <w:rPr>
                <w:rFonts w:ascii="楷体" w:eastAsia="楷体" w:hAnsi="楷体" w:hint="eastAsia"/>
                <w:b/>
                <w:bCs/>
                <w:color w:val="000000"/>
                <w:szCs w:val="18"/>
              </w:rPr>
              <w:t>均值 （%）</w:t>
            </w:r>
          </w:p>
        </w:tc>
        <w:tc>
          <w:tcPr>
            <w:tcW w:w="1077" w:type="dxa"/>
            <w:tcBorders>
              <w:left w:val="single" w:sz="4" w:space="0" w:color="00A0E9"/>
              <w:bottom w:val="single" w:sz="4" w:space="0" w:color="00A0E9"/>
              <w:right w:val="single" w:sz="4" w:space="0" w:color="00A0E9"/>
            </w:tcBorders>
            <w:vAlign w:val="center"/>
          </w:tcPr>
          <w:p w:rsidR="00CE7FA6" w:rsidRDefault="00CE7FA6" w:rsidP="009D6E57">
            <w:pPr>
              <w:jc w:val="center"/>
              <w:rPr>
                <w:rFonts w:ascii="楷体" w:eastAsia="楷体" w:hAnsi="楷体" w:cs="宋体"/>
                <w:b/>
                <w:bCs/>
                <w:color w:val="000000"/>
                <w:szCs w:val="18"/>
              </w:rPr>
            </w:pPr>
            <w:r>
              <w:rPr>
                <w:rFonts w:ascii="楷体" w:eastAsia="楷体" w:hAnsi="楷体" w:hint="eastAsia"/>
                <w:b/>
                <w:bCs/>
                <w:color w:val="000000"/>
                <w:szCs w:val="18"/>
              </w:rPr>
              <w:t>最新万份基金单位收益 （元）</w:t>
            </w:r>
          </w:p>
        </w:tc>
        <w:tc>
          <w:tcPr>
            <w:tcW w:w="1077" w:type="dxa"/>
            <w:tcBorders>
              <w:left w:val="single" w:sz="4" w:space="0" w:color="00A0E9"/>
              <w:bottom w:val="single" w:sz="4" w:space="0" w:color="00A0E9"/>
              <w:right w:val="single" w:sz="4" w:space="0" w:color="00A0E9"/>
            </w:tcBorders>
            <w:vAlign w:val="center"/>
          </w:tcPr>
          <w:p w:rsidR="00CE7FA6" w:rsidRDefault="00CE7FA6" w:rsidP="009D6E57">
            <w:pPr>
              <w:jc w:val="center"/>
              <w:rPr>
                <w:rFonts w:ascii="楷体" w:eastAsia="楷体" w:hAnsi="楷体" w:cs="宋体"/>
                <w:b/>
                <w:bCs/>
                <w:color w:val="000000"/>
                <w:szCs w:val="18"/>
              </w:rPr>
            </w:pPr>
            <w:r>
              <w:rPr>
                <w:rFonts w:ascii="楷体" w:eastAsia="楷体" w:hAnsi="楷体" w:hint="eastAsia"/>
                <w:b/>
                <w:bCs/>
                <w:color w:val="000000"/>
                <w:szCs w:val="18"/>
              </w:rPr>
              <w:t>上年万份基金单位收益均值（元）</w:t>
            </w:r>
          </w:p>
        </w:tc>
        <w:tc>
          <w:tcPr>
            <w:tcW w:w="1077" w:type="dxa"/>
            <w:tcBorders>
              <w:left w:val="single" w:sz="4" w:space="0" w:color="00A0E9"/>
              <w:bottom w:val="single" w:sz="4" w:space="0" w:color="00A0E9"/>
              <w:right w:val="single" w:sz="4" w:space="0" w:color="00A0E9"/>
            </w:tcBorders>
            <w:vAlign w:val="center"/>
          </w:tcPr>
          <w:p w:rsidR="00CE7FA6" w:rsidRDefault="00CE7FA6" w:rsidP="009D6E57">
            <w:pPr>
              <w:jc w:val="center"/>
              <w:rPr>
                <w:rFonts w:ascii="楷体" w:eastAsia="楷体" w:hAnsi="楷体" w:cs="宋体"/>
                <w:b/>
                <w:bCs/>
                <w:color w:val="000000"/>
                <w:szCs w:val="18"/>
              </w:rPr>
            </w:pPr>
            <w:r>
              <w:rPr>
                <w:rFonts w:ascii="楷体" w:eastAsia="楷体" w:hAnsi="楷体" w:hint="eastAsia"/>
                <w:b/>
                <w:bCs/>
                <w:color w:val="000000"/>
                <w:szCs w:val="18"/>
              </w:rPr>
              <w:t>偏离度均值（ %）</w:t>
            </w:r>
          </w:p>
        </w:tc>
        <w:tc>
          <w:tcPr>
            <w:tcW w:w="1078" w:type="dxa"/>
            <w:tcBorders>
              <w:left w:val="single" w:sz="4" w:space="0" w:color="00A0E9"/>
              <w:bottom w:val="single" w:sz="4" w:space="0" w:color="00A0E9"/>
            </w:tcBorders>
            <w:vAlign w:val="center"/>
          </w:tcPr>
          <w:p w:rsidR="00CE7FA6" w:rsidRDefault="00CE7FA6" w:rsidP="009D6E57">
            <w:pPr>
              <w:jc w:val="center"/>
              <w:rPr>
                <w:rFonts w:ascii="楷体" w:eastAsia="楷体" w:hAnsi="楷体" w:cs="宋体"/>
                <w:b/>
                <w:bCs/>
                <w:color w:val="000000"/>
                <w:szCs w:val="18"/>
              </w:rPr>
            </w:pPr>
            <w:r>
              <w:rPr>
                <w:rFonts w:ascii="楷体" w:eastAsia="楷体" w:hAnsi="楷体" w:hint="eastAsia"/>
                <w:b/>
                <w:bCs/>
                <w:color w:val="000000"/>
                <w:szCs w:val="18"/>
              </w:rPr>
              <w:t>投资组合平均剩余期限（天）</w:t>
            </w:r>
          </w:p>
        </w:tc>
      </w:tr>
      <w:tr w:rsidR="00CE7FA6" w:rsidTr="00CE7FA6">
        <w:trPr>
          <w:trHeight w:val="320"/>
        </w:trPr>
        <w:tc>
          <w:tcPr>
            <w:tcW w:w="993" w:type="dxa"/>
            <w:tcBorders>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000575</w:t>
            </w:r>
          </w:p>
        </w:tc>
        <w:tc>
          <w:tcPr>
            <w:tcW w:w="1161"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兴全添利宝</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2014-02-27</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723.58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3.13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3.51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1.03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1.16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0.12 </w:t>
            </w:r>
          </w:p>
        </w:tc>
        <w:tc>
          <w:tcPr>
            <w:tcW w:w="1078" w:type="dxa"/>
            <w:tcBorders>
              <w:left w:val="single" w:sz="4" w:space="0" w:color="00A0E9"/>
              <w:bottom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62</w:t>
            </w:r>
          </w:p>
        </w:tc>
      </w:tr>
      <w:tr w:rsidR="00CE7FA6" w:rsidTr="00CE7FA6">
        <w:trPr>
          <w:trHeight w:val="320"/>
        </w:trPr>
        <w:tc>
          <w:tcPr>
            <w:tcW w:w="993" w:type="dxa"/>
            <w:tcBorders>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000343</w:t>
            </w:r>
          </w:p>
        </w:tc>
        <w:tc>
          <w:tcPr>
            <w:tcW w:w="1161"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华夏财富宝</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2013-10-25</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549.21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2.52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3.49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0.68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1.15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0.08 </w:t>
            </w:r>
          </w:p>
        </w:tc>
        <w:tc>
          <w:tcPr>
            <w:tcW w:w="1078" w:type="dxa"/>
            <w:tcBorders>
              <w:left w:val="single" w:sz="4" w:space="0" w:color="00A0E9"/>
              <w:bottom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119</w:t>
            </w:r>
          </w:p>
        </w:tc>
      </w:tr>
      <w:tr w:rsidR="00CE7FA6" w:rsidTr="00CE7FA6">
        <w:trPr>
          <w:trHeight w:val="320"/>
        </w:trPr>
        <w:tc>
          <w:tcPr>
            <w:tcW w:w="993" w:type="dxa"/>
            <w:tcBorders>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070008</w:t>
            </w:r>
          </w:p>
        </w:tc>
        <w:tc>
          <w:tcPr>
            <w:tcW w:w="1161"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嘉</w:t>
            </w:r>
            <w:proofErr w:type="gramStart"/>
            <w:r w:rsidRPr="00CE7FA6">
              <w:rPr>
                <w:rFonts w:ascii="楷体" w:eastAsia="楷体" w:hAnsi="楷体" w:hint="eastAsia"/>
                <w:color w:val="000000"/>
                <w:szCs w:val="18"/>
              </w:rPr>
              <w:t>实货币</w:t>
            </w:r>
            <w:proofErr w:type="gramEnd"/>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2005-03-18</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612.14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2.40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3.50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0.64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1.14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0.09 </w:t>
            </w:r>
          </w:p>
        </w:tc>
        <w:tc>
          <w:tcPr>
            <w:tcW w:w="1078" w:type="dxa"/>
            <w:tcBorders>
              <w:left w:val="single" w:sz="4" w:space="0" w:color="00A0E9"/>
              <w:bottom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58</w:t>
            </w:r>
          </w:p>
        </w:tc>
      </w:tr>
      <w:tr w:rsidR="00CE7FA6" w:rsidTr="00CE7FA6">
        <w:trPr>
          <w:trHeight w:val="320"/>
        </w:trPr>
        <w:tc>
          <w:tcPr>
            <w:tcW w:w="993" w:type="dxa"/>
            <w:tcBorders>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000359</w:t>
            </w:r>
          </w:p>
        </w:tc>
        <w:tc>
          <w:tcPr>
            <w:tcW w:w="1161"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易方达易理财</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2013-10-24</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168.26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2.79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3.51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0.78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1.16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0.23 </w:t>
            </w:r>
          </w:p>
        </w:tc>
        <w:tc>
          <w:tcPr>
            <w:tcW w:w="1078" w:type="dxa"/>
            <w:tcBorders>
              <w:left w:val="single" w:sz="4" w:space="0" w:color="00A0E9"/>
              <w:bottom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86</w:t>
            </w:r>
          </w:p>
        </w:tc>
      </w:tr>
      <w:tr w:rsidR="00CE7FA6" w:rsidTr="00CE7FA6">
        <w:trPr>
          <w:trHeight w:val="320"/>
        </w:trPr>
        <w:tc>
          <w:tcPr>
            <w:tcW w:w="993" w:type="dxa"/>
            <w:tcBorders>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000464</w:t>
            </w:r>
          </w:p>
        </w:tc>
        <w:tc>
          <w:tcPr>
            <w:tcW w:w="1161"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嘉实活期宝</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2013-12-18</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167.12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3.17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3.81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0.67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1.24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0.23 </w:t>
            </w:r>
          </w:p>
        </w:tc>
        <w:tc>
          <w:tcPr>
            <w:tcW w:w="1078" w:type="dxa"/>
            <w:tcBorders>
              <w:left w:val="single" w:sz="4" w:space="0" w:color="00A0E9"/>
              <w:bottom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25</w:t>
            </w:r>
          </w:p>
        </w:tc>
      </w:tr>
      <w:tr w:rsidR="00CE7FA6" w:rsidTr="00CE7FA6">
        <w:trPr>
          <w:trHeight w:val="320"/>
        </w:trPr>
        <w:tc>
          <w:tcPr>
            <w:tcW w:w="993" w:type="dxa"/>
            <w:tcBorders>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000618</w:t>
            </w:r>
          </w:p>
        </w:tc>
        <w:tc>
          <w:tcPr>
            <w:tcW w:w="1161"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嘉实薪金宝</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2014-04-29</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165.21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2.36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3.52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0.63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1.15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0.19 </w:t>
            </w:r>
          </w:p>
        </w:tc>
        <w:tc>
          <w:tcPr>
            <w:tcW w:w="1078" w:type="dxa"/>
            <w:tcBorders>
              <w:left w:val="single" w:sz="4" w:space="0" w:color="00A0E9"/>
              <w:bottom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50</w:t>
            </w:r>
          </w:p>
        </w:tc>
      </w:tr>
      <w:tr w:rsidR="00CE7FA6" w:rsidTr="00CE7FA6">
        <w:trPr>
          <w:trHeight w:val="320"/>
        </w:trPr>
        <w:tc>
          <w:tcPr>
            <w:tcW w:w="993" w:type="dxa"/>
            <w:tcBorders>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000389</w:t>
            </w:r>
          </w:p>
        </w:tc>
        <w:tc>
          <w:tcPr>
            <w:tcW w:w="1161"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广发天天红</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2013-10-22</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340.32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2.68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3.47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0.71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1.14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0.15 </w:t>
            </w:r>
          </w:p>
        </w:tc>
        <w:tc>
          <w:tcPr>
            <w:tcW w:w="1078" w:type="dxa"/>
            <w:tcBorders>
              <w:left w:val="single" w:sz="4" w:space="0" w:color="00A0E9"/>
              <w:bottom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65</w:t>
            </w:r>
          </w:p>
        </w:tc>
      </w:tr>
      <w:tr w:rsidR="00CE7FA6" w:rsidTr="00CE7FA6">
        <w:trPr>
          <w:trHeight w:val="320"/>
        </w:trPr>
        <w:tc>
          <w:tcPr>
            <w:tcW w:w="993" w:type="dxa"/>
            <w:tcBorders>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000540</w:t>
            </w:r>
          </w:p>
        </w:tc>
        <w:tc>
          <w:tcPr>
            <w:tcW w:w="1161"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proofErr w:type="gramStart"/>
            <w:r w:rsidRPr="00CE7FA6">
              <w:rPr>
                <w:rFonts w:ascii="楷体" w:eastAsia="楷体" w:hAnsi="楷体" w:hint="eastAsia"/>
                <w:color w:val="000000"/>
                <w:szCs w:val="18"/>
              </w:rPr>
              <w:t>国金金腾通</w:t>
            </w:r>
            <w:proofErr w:type="gramEnd"/>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2014-02-17</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150.36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2.80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3.64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0.75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1.20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0.14 </w:t>
            </w:r>
          </w:p>
        </w:tc>
        <w:tc>
          <w:tcPr>
            <w:tcW w:w="1078" w:type="dxa"/>
            <w:tcBorders>
              <w:left w:val="single" w:sz="4" w:space="0" w:color="00A0E9"/>
              <w:bottom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59</w:t>
            </w:r>
          </w:p>
        </w:tc>
      </w:tr>
      <w:tr w:rsidR="00CE7FA6" w:rsidTr="00CE7FA6">
        <w:trPr>
          <w:trHeight w:val="320"/>
        </w:trPr>
        <w:tc>
          <w:tcPr>
            <w:tcW w:w="993" w:type="dxa"/>
            <w:tcBorders>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000397</w:t>
            </w:r>
          </w:p>
        </w:tc>
        <w:tc>
          <w:tcPr>
            <w:tcW w:w="1161"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proofErr w:type="gramStart"/>
            <w:r w:rsidRPr="00CE7FA6">
              <w:rPr>
                <w:rFonts w:ascii="楷体" w:eastAsia="楷体" w:hAnsi="楷体" w:hint="eastAsia"/>
                <w:color w:val="000000"/>
                <w:szCs w:val="18"/>
              </w:rPr>
              <w:t>汇添富</w:t>
            </w:r>
            <w:proofErr w:type="gramEnd"/>
            <w:r w:rsidRPr="00CE7FA6">
              <w:rPr>
                <w:rFonts w:ascii="楷体" w:eastAsia="楷体" w:hAnsi="楷体" w:hint="eastAsia"/>
                <w:color w:val="000000"/>
                <w:szCs w:val="18"/>
              </w:rPr>
              <w:t>全额宝</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2013-12-13</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139.11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2.49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3.53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0.68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1.16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0.11 </w:t>
            </w:r>
          </w:p>
        </w:tc>
        <w:tc>
          <w:tcPr>
            <w:tcW w:w="1078" w:type="dxa"/>
            <w:tcBorders>
              <w:left w:val="single" w:sz="4" w:space="0" w:color="00A0E9"/>
              <w:bottom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104</w:t>
            </w:r>
          </w:p>
        </w:tc>
      </w:tr>
      <w:tr w:rsidR="00CE7FA6" w:rsidTr="00CE7FA6">
        <w:trPr>
          <w:trHeight w:val="320"/>
        </w:trPr>
        <w:tc>
          <w:tcPr>
            <w:tcW w:w="993" w:type="dxa"/>
            <w:tcBorders>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000539</w:t>
            </w:r>
          </w:p>
        </w:tc>
        <w:tc>
          <w:tcPr>
            <w:tcW w:w="1161"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中银活期宝</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2014-02-14</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92.46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2.67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3.44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0.69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1.13 </w:t>
            </w:r>
          </w:p>
        </w:tc>
        <w:tc>
          <w:tcPr>
            <w:tcW w:w="1077" w:type="dxa"/>
            <w:tcBorders>
              <w:left w:val="single" w:sz="4" w:space="0" w:color="00A0E9"/>
              <w:bottom w:val="single" w:sz="4" w:space="0" w:color="00A0E9"/>
              <w:right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 xml:space="preserve">0.07 </w:t>
            </w:r>
          </w:p>
        </w:tc>
        <w:tc>
          <w:tcPr>
            <w:tcW w:w="1078" w:type="dxa"/>
            <w:tcBorders>
              <w:left w:val="single" w:sz="4" w:space="0" w:color="00A0E9"/>
              <w:bottom w:val="single" w:sz="4" w:space="0" w:color="00A0E9"/>
            </w:tcBorders>
            <w:vAlign w:val="center"/>
          </w:tcPr>
          <w:p w:rsidR="00CE7FA6" w:rsidRPr="00CE7FA6" w:rsidRDefault="00CE7FA6" w:rsidP="00CE7FA6">
            <w:pPr>
              <w:jc w:val="center"/>
              <w:rPr>
                <w:rFonts w:ascii="楷体" w:eastAsia="楷体" w:hAnsi="楷体"/>
                <w:color w:val="000000"/>
                <w:szCs w:val="18"/>
              </w:rPr>
            </w:pPr>
            <w:r w:rsidRPr="00CE7FA6">
              <w:rPr>
                <w:rFonts w:ascii="楷体" w:eastAsia="楷体" w:hAnsi="楷体" w:hint="eastAsia"/>
                <w:color w:val="000000"/>
                <w:szCs w:val="18"/>
              </w:rPr>
              <w:t>82</w:t>
            </w:r>
          </w:p>
        </w:tc>
      </w:tr>
      <w:tr w:rsidR="00CE7FA6" w:rsidTr="00EA3910">
        <w:trPr>
          <w:trHeight w:val="320"/>
        </w:trPr>
        <w:tc>
          <w:tcPr>
            <w:tcW w:w="10771" w:type="dxa"/>
            <w:gridSpan w:val="10"/>
            <w:tcBorders>
              <w:bottom w:val="single" w:sz="4" w:space="0" w:color="00A0E9"/>
            </w:tcBorders>
          </w:tcPr>
          <w:p w:rsidR="00CE7FA6" w:rsidRPr="00CE7FA6" w:rsidRDefault="00CE7FA6" w:rsidP="00CE7FA6">
            <w:r w:rsidRPr="00CE7FA6">
              <w:rPr>
                <w:rFonts w:hint="eastAsia"/>
              </w:rPr>
              <w:t>注：</w:t>
            </w:r>
            <w:proofErr w:type="gramStart"/>
            <w:r w:rsidRPr="00CE7FA6">
              <w:rPr>
                <w:rFonts w:hint="eastAsia"/>
              </w:rPr>
              <w:t>1</w:t>
            </w:r>
            <w:r w:rsidRPr="00CE7FA6">
              <w:rPr>
                <w:rFonts w:hint="eastAsia"/>
              </w:rPr>
              <w:t>、</w:t>
            </w:r>
            <w:r w:rsidRPr="00CE7FA6">
              <w:rPr>
                <w:rFonts w:hint="eastAsia"/>
              </w:rPr>
              <w:t>7</w:t>
            </w:r>
            <w:r w:rsidRPr="00CE7FA6">
              <w:rPr>
                <w:rFonts w:hint="eastAsia"/>
              </w:rPr>
              <w:t>日年化收益率</w:t>
            </w:r>
            <w:proofErr w:type="gramEnd"/>
            <w:r w:rsidRPr="00CE7FA6">
              <w:rPr>
                <w:rFonts w:hint="eastAsia"/>
              </w:rPr>
              <w:t>及万份基金单位收益数据截止至</w:t>
            </w:r>
            <w:r w:rsidRPr="00CE7FA6">
              <w:rPr>
                <w:rFonts w:hint="eastAsia"/>
              </w:rPr>
              <w:t>2016</w:t>
            </w:r>
            <w:r w:rsidRPr="00CE7FA6">
              <w:rPr>
                <w:rFonts w:hint="eastAsia"/>
              </w:rPr>
              <w:t>年</w:t>
            </w:r>
            <w:r w:rsidR="00F45BAA">
              <w:rPr>
                <w:rFonts w:hint="eastAsia"/>
              </w:rPr>
              <w:t>4</w:t>
            </w:r>
            <w:r w:rsidRPr="00CE7FA6">
              <w:rPr>
                <w:rFonts w:hint="eastAsia"/>
              </w:rPr>
              <w:t>月</w:t>
            </w:r>
            <w:r>
              <w:rPr>
                <w:rFonts w:hint="eastAsia"/>
              </w:rPr>
              <w:t>27</w:t>
            </w:r>
            <w:r w:rsidRPr="00CE7FA6">
              <w:rPr>
                <w:rFonts w:hint="eastAsia"/>
              </w:rPr>
              <w:t>日；</w:t>
            </w:r>
            <w:r w:rsidRPr="00CE7FA6">
              <w:rPr>
                <w:rFonts w:hint="eastAsia"/>
              </w:rPr>
              <w:t>2</w:t>
            </w:r>
            <w:r w:rsidRPr="00CE7FA6">
              <w:rPr>
                <w:rFonts w:hint="eastAsia"/>
              </w:rPr>
              <w:t>、基金规模截止至</w:t>
            </w:r>
            <w:r>
              <w:rPr>
                <w:rFonts w:hint="eastAsia"/>
              </w:rPr>
              <w:t>2016</w:t>
            </w:r>
            <w:r w:rsidRPr="00CE7FA6">
              <w:rPr>
                <w:rFonts w:hint="eastAsia"/>
              </w:rPr>
              <w:t>年</w:t>
            </w:r>
            <w:r>
              <w:rPr>
                <w:rFonts w:hint="eastAsia"/>
              </w:rPr>
              <w:t>1</w:t>
            </w:r>
            <w:r w:rsidRPr="00CE7FA6">
              <w:rPr>
                <w:rFonts w:hint="eastAsia"/>
              </w:rPr>
              <w:t>季度，分级基金</w:t>
            </w:r>
            <w:r w:rsidRPr="00CE7FA6">
              <w:rPr>
                <w:rFonts w:hint="eastAsia"/>
              </w:rPr>
              <w:t>A</w:t>
            </w:r>
            <w:r w:rsidRPr="00CE7FA6">
              <w:rPr>
                <w:rFonts w:hint="eastAsia"/>
              </w:rPr>
              <w:t>、</w:t>
            </w:r>
            <w:r w:rsidRPr="00CE7FA6">
              <w:rPr>
                <w:rFonts w:hint="eastAsia"/>
              </w:rPr>
              <w:t>B</w:t>
            </w:r>
            <w:r w:rsidRPr="00CE7FA6">
              <w:rPr>
                <w:rFonts w:hint="eastAsia"/>
              </w:rPr>
              <w:t>、</w:t>
            </w:r>
            <w:r w:rsidRPr="00CE7FA6">
              <w:rPr>
                <w:rFonts w:hint="eastAsia"/>
              </w:rPr>
              <w:t>C</w:t>
            </w:r>
            <w:r w:rsidRPr="00CE7FA6">
              <w:rPr>
                <w:rFonts w:hint="eastAsia"/>
              </w:rPr>
              <w:t>类份额合并考察；</w:t>
            </w:r>
            <w:r w:rsidRPr="00CE7FA6">
              <w:rPr>
                <w:rFonts w:hint="eastAsia"/>
              </w:rPr>
              <w:t>3</w:t>
            </w:r>
            <w:r w:rsidRPr="00CE7FA6">
              <w:rPr>
                <w:rFonts w:hint="eastAsia"/>
              </w:rPr>
              <w:t>、分级基金只考虑</w:t>
            </w:r>
            <w:r w:rsidRPr="00CE7FA6">
              <w:rPr>
                <w:rFonts w:hint="eastAsia"/>
              </w:rPr>
              <w:t>A</w:t>
            </w:r>
            <w:r w:rsidRPr="00CE7FA6">
              <w:rPr>
                <w:rFonts w:hint="eastAsia"/>
              </w:rPr>
              <w:t>类基金业绩；</w:t>
            </w:r>
            <w:r w:rsidRPr="00CE7FA6">
              <w:rPr>
                <w:rFonts w:hint="eastAsia"/>
              </w:rPr>
              <w:t>4</w:t>
            </w:r>
            <w:r w:rsidRPr="00CE7FA6">
              <w:rPr>
                <w:rFonts w:hint="eastAsia"/>
              </w:rPr>
              <w:t>、偏离度均值和组合平均剩余度均值为</w:t>
            </w:r>
            <w:r>
              <w:rPr>
                <w:rFonts w:hint="eastAsia"/>
              </w:rPr>
              <w:t>2016</w:t>
            </w:r>
            <w:r w:rsidRPr="00CE7FA6">
              <w:rPr>
                <w:rFonts w:hint="eastAsia"/>
              </w:rPr>
              <w:t>年</w:t>
            </w:r>
            <w:r>
              <w:rPr>
                <w:rFonts w:hint="eastAsia"/>
              </w:rPr>
              <w:t>1</w:t>
            </w:r>
            <w:r w:rsidRPr="00CE7FA6">
              <w:rPr>
                <w:rFonts w:hint="eastAsia"/>
              </w:rPr>
              <w:t>季度数据；</w:t>
            </w:r>
            <w:r w:rsidRPr="00CE7FA6">
              <w:rPr>
                <w:rFonts w:hint="eastAsia"/>
              </w:rPr>
              <w:t>5</w:t>
            </w:r>
            <w:r w:rsidRPr="00CE7FA6">
              <w:rPr>
                <w:rFonts w:hint="eastAsia"/>
              </w:rPr>
              <w:t>、偏离度均值为报告期内工作日偏离度的绝对值的简单平均值。</w:t>
            </w:r>
          </w:p>
        </w:tc>
      </w:tr>
      <w:tr w:rsidR="00CE7FA6" w:rsidTr="00CE7FA6">
        <w:tc>
          <w:tcPr>
            <w:tcW w:w="10771" w:type="dxa"/>
            <w:gridSpan w:val="10"/>
            <w:tcBorders>
              <w:top w:val="single" w:sz="4" w:space="0" w:color="00A0E9"/>
            </w:tcBorders>
          </w:tcPr>
          <w:p w:rsidR="00CE7FA6" w:rsidRDefault="00CE7FA6" w:rsidP="00CE7FA6">
            <w:pPr>
              <w:pStyle w:val="GJStylesGraphSource"/>
            </w:pPr>
            <w:r>
              <w:rPr>
                <w:rFonts w:hint="eastAsia"/>
              </w:rPr>
              <w:lastRenderedPageBreak/>
              <w:t>来源：国金证券研究所，</w:t>
            </w:r>
            <w:r>
              <w:rPr>
                <w:rFonts w:hint="eastAsia"/>
              </w:rPr>
              <w:t>WIND</w:t>
            </w:r>
          </w:p>
        </w:tc>
      </w:tr>
    </w:tbl>
    <w:p w:rsidR="004007BB" w:rsidRPr="00AF2B72" w:rsidRDefault="004007BB" w:rsidP="00D12D7D">
      <w:pPr>
        <w:pStyle w:val="11"/>
        <w:rPr>
          <w:color w:val="auto"/>
        </w:rPr>
      </w:pPr>
      <w:r>
        <w:rPr>
          <w:rFonts w:hint="eastAsia"/>
          <w:color w:val="auto"/>
        </w:rPr>
        <w:t>三、</w:t>
      </w:r>
      <w:r w:rsidRPr="00AF2B72">
        <w:rPr>
          <w:color w:val="auto"/>
        </w:rPr>
        <w:t>基金池及基金组合推荐</w:t>
      </w:r>
    </w:p>
    <w:p w:rsidR="004007BB" w:rsidRPr="00882C70" w:rsidRDefault="004007BB" w:rsidP="004007BB">
      <w:pPr>
        <w:pStyle w:val="a0"/>
        <w:widowControl/>
        <w:numPr>
          <w:ilvl w:val="4"/>
          <w:numId w:val="3"/>
        </w:numPr>
        <w:spacing w:line="240" w:lineRule="auto"/>
        <w:rPr>
          <w:color w:val="auto"/>
        </w:rPr>
      </w:pPr>
      <w:r w:rsidRPr="00882C70">
        <w:rPr>
          <w:color w:val="auto"/>
        </w:rPr>
        <w:t>根据前面各部分对相关市场以及各类产品投资操作策略的分析，建立国金</w:t>
      </w:r>
      <w:r>
        <w:rPr>
          <w:rFonts w:hint="eastAsia"/>
          <w:color w:val="auto"/>
        </w:rPr>
        <w:t>1605</w:t>
      </w:r>
      <w:r w:rsidRPr="00882C70">
        <w:rPr>
          <w:color w:val="auto"/>
        </w:rPr>
        <w:t>期基金组合如下表。为了方便投资者在配置之外选择重点的品种，我们对于相对更看好的个别基金加上</w:t>
      </w:r>
      <w:r w:rsidRPr="00A14AF0">
        <w:rPr>
          <w:rFonts w:hint="eastAsia"/>
          <w:color w:val="FF0000"/>
        </w:rPr>
        <w:t>★</w:t>
      </w:r>
      <w:r w:rsidRPr="00882C70">
        <w:rPr>
          <w:color w:val="auto"/>
        </w:rPr>
        <w:t>。</w:t>
      </w:r>
    </w:p>
    <w:tbl>
      <w:tblPr>
        <w:tblStyle w:val="GJStylesChartInsertDoubleCol"/>
        <w:tblW w:w="10771" w:type="dxa"/>
        <w:tblBorders>
          <w:top w:val="single" w:sz="4" w:space="0" w:color="00A0E9"/>
        </w:tblBorders>
        <w:tblLayout w:type="fixed"/>
        <w:tblLook w:val="07E0" w:firstRow="1" w:lastRow="1" w:firstColumn="1" w:lastColumn="1" w:noHBand="1" w:noVBand="1"/>
      </w:tblPr>
      <w:tblGrid>
        <w:gridCol w:w="1418"/>
        <w:gridCol w:w="1417"/>
        <w:gridCol w:w="1134"/>
        <w:gridCol w:w="851"/>
        <w:gridCol w:w="453"/>
        <w:gridCol w:w="256"/>
        <w:gridCol w:w="1275"/>
        <w:gridCol w:w="1418"/>
        <w:gridCol w:w="850"/>
        <w:gridCol w:w="851"/>
        <w:gridCol w:w="848"/>
      </w:tblGrid>
      <w:tr w:rsidR="004007BB" w:rsidTr="009D6E57">
        <w:tc>
          <w:tcPr>
            <w:cnfStyle w:val="001000000000" w:firstRow="0" w:lastRow="0" w:firstColumn="1" w:lastColumn="0" w:oddVBand="0" w:evenVBand="0" w:oddHBand="0" w:evenHBand="0" w:firstRowFirstColumn="0" w:firstRowLastColumn="0" w:lastRowFirstColumn="0" w:lastRowLastColumn="0"/>
            <w:tcW w:w="5273" w:type="dxa"/>
            <w:gridSpan w:val="5"/>
          </w:tcPr>
          <w:p w:rsidR="004007BB" w:rsidRPr="00F0288B" w:rsidRDefault="004007BB" w:rsidP="009D6E57">
            <w:pPr>
              <w:pStyle w:val="GJStylesGraphTitle"/>
            </w:pPr>
            <w:r w:rsidRPr="00F0288B">
              <w:rPr>
                <w:rFonts w:hint="eastAsia"/>
              </w:rPr>
              <w:t>图表</w:t>
            </w:r>
            <w:r w:rsidRPr="00F0288B">
              <w:fldChar w:fldCharType="begin"/>
            </w:r>
            <w:r w:rsidRPr="00F0288B">
              <w:instrText xml:space="preserve"> SEQ </w:instrText>
            </w:r>
            <w:r w:rsidRPr="00F0288B">
              <w:instrText>图表</w:instrText>
            </w:r>
            <w:r w:rsidRPr="00F0288B">
              <w:instrText xml:space="preserve"> \* ARABIC  \* MERGEFORMAT </w:instrText>
            </w:r>
            <w:r w:rsidRPr="00F0288B">
              <w:fldChar w:fldCharType="separate"/>
            </w:r>
            <w:r>
              <w:rPr>
                <w:noProof/>
              </w:rPr>
              <w:t>20</w:t>
            </w:r>
            <w:r w:rsidRPr="00F0288B">
              <w:rPr>
                <w:noProof/>
              </w:rPr>
              <w:fldChar w:fldCharType="end"/>
            </w:r>
            <w:r w:rsidRPr="00F0288B">
              <w:rPr>
                <w:rFonts w:hint="eastAsia"/>
              </w:rPr>
              <w:t>：固定收益基金相对收益组合</w:t>
            </w:r>
          </w:p>
        </w:tc>
        <w:tc>
          <w:tcPr>
            <w:tcW w:w="256" w:type="dxa"/>
          </w:tcPr>
          <w:p w:rsidR="004007BB" w:rsidRPr="00F0288B" w:rsidRDefault="004007BB" w:rsidP="009D6E57">
            <w:pPr>
              <w:pStyle w:val="GJStylesGraphTitle"/>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5242" w:type="dxa"/>
            <w:gridSpan w:val="5"/>
          </w:tcPr>
          <w:p w:rsidR="004007BB" w:rsidRPr="00F0288B" w:rsidRDefault="004007BB" w:rsidP="009D6E57">
            <w:pPr>
              <w:pStyle w:val="GJStylesGraphTitle"/>
            </w:pPr>
            <w:r w:rsidRPr="00F0288B">
              <w:rPr>
                <w:rFonts w:hint="eastAsia"/>
              </w:rPr>
              <w:t>图表</w:t>
            </w:r>
            <w:r w:rsidRPr="00F0288B">
              <w:fldChar w:fldCharType="begin"/>
            </w:r>
            <w:r w:rsidRPr="00F0288B">
              <w:instrText xml:space="preserve"> SEQ </w:instrText>
            </w:r>
            <w:r w:rsidRPr="00F0288B">
              <w:instrText>图表</w:instrText>
            </w:r>
            <w:r w:rsidRPr="00F0288B">
              <w:instrText xml:space="preserve"> \* ARABIC  \* MERGEFORMAT </w:instrText>
            </w:r>
            <w:r w:rsidRPr="00F0288B">
              <w:fldChar w:fldCharType="separate"/>
            </w:r>
            <w:r>
              <w:rPr>
                <w:noProof/>
              </w:rPr>
              <w:t>21</w:t>
            </w:r>
            <w:r w:rsidRPr="00F0288B">
              <w:rPr>
                <w:noProof/>
              </w:rPr>
              <w:fldChar w:fldCharType="end"/>
            </w:r>
            <w:r w:rsidRPr="00F0288B">
              <w:rPr>
                <w:rFonts w:hint="eastAsia"/>
              </w:rPr>
              <w:t>：固定收益基金绝对收益组合</w:t>
            </w:r>
          </w:p>
        </w:tc>
      </w:tr>
      <w:tr w:rsidR="004007BB" w:rsidTr="009D6E57">
        <w:trPr>
          <w:trHeight w:val="464"/>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A0E9"/>
              <w:left w:val="nil"/>
              <w:right w:val="single" w:sz="4" w:space="0" w:color="00A0E9"/>
            </w:tcBorders>
            <w:vAlign w:val="center"/>
          </w:tcPr>
          <w:p w:rsidR="004007BB" w:rsidRPr="00F0288B" w:rsidRDefault="004007BB" w:rsidP="009D6E57">
            <w:pPr>
              <w:jc w:val="center"/>
              <w:rPr>
                <w:rFonts w:ascii="宋体" w:eastAsia="宋体" w:hAnsi="宋体" w:cs="宋体"/>
                <w:szCs w:val="18"/>
              </w:rPr>
            </w:pPr>
            <w:r w:rsidRPr="00F0288B">
              <w:rPr>
                <w:rFonts w:hint="eastAsia"/>
                <w:szCs w:val="18"/>
              </w:rPr>
              <w:t>基金简称</w:t>
            </w:r>
          </w:p>
        </w:tc>
        <w:tc>
          <w:tcPr>
            <w:tcW w:w="1417" w:type="dxa"/>
            <w:tcBorders>
              <w:top w:val="single" w:sz="4" w:space="0" w:color="00A0E9"/>
              <w:left w:val="single" w:sz="4" w:space="0" w:color="00A0E9"/>
              <w:bottom w:val="single" w:sz="4" w:space="0" w:color="00A0E9"/>
              <w:right w:val="single" w:sz="4" w:space="0" w:color="00A0E9"/>
            </w:tcBorders>
            <w:vAlign w:val="center"/>
          </w:tcPr>
          <w:p w:rsidR="004007BB" w:rsidRPr="00F0288B"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F0288B">
              <w:rPr>
                <w:rFonts w:hint="eastAsia"/>
                <w:szCs w:val="18"/>
              </w:rPr>
              <w:t>基金类型</w:t>
            </w:r>
          </w:p>
        </w:tc>
        <w:tc>
          <w:tcPr>
            <w:tcW w:w="1134" w:type="dxa"/>
            <w:tcBorders>
              <w:top w:val="single" w:sz="4" w:space="0" w:color="00A0E9"/>
              <w:left w:val="single" w:sz="4" w:space="0" w:color="00A0E9"/>
              <w:bottom w:val="single" w:sz="4" w:space="0" w:color="00A0E9"/>
              <w:right w:val="single" w:sz="4" w:space="0" w:color="00A0E9"/>
            </w:tcBorders>
            <w:vAlign w:val="center"/>
          </w:tcPr>
          <w:p w:rsidR="004007BB" w:rsidRPr="00F0288B"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F0288B">
              <w:rPr>
                <w:rFonts w:hint="eastAsia"/>
                <w:szCs w:val="18"/>
              </w:rPr>
              <w:t>基金经理</w:t>
            </w:r>
          </w:p>
        </w:tc>
        <w:tc>
          <w:tcPr>
            <w:tcW w:w="851" w:type="dxa"/>
            <w:tcBorders>
              <w:top w:val="single" w:sz="4" w:space="0" w:color="00A0E9"/>
              <w:left w:val="single" w:sz="4" w:space="0" w:color="00A0E9"/>
              <w:bottom w:val="single" w:sz="4" w:space="0" w:color="00A0E9"/>
              <w:right w:val="single" w:sz="4" w:space="0" w:color="00A0E9"/>
            </w:tcBorders>
            <w:vAlign w:val="center"/>
          </w:tcPr>
          <w:p w:rsidR="004007BB" w:rsidRPr="00F0288B"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F0288B">
              <w:rPr>
                <w:rFonts w:hint="eastAsia"/>
                <w:szCs w:val="18"/>
              </w:rPr>
              <w:t>管理人</w:t>
            </w:r>
          </w:p>
        </w:tc>
        <w:tc>
          <w:tcPr>
            <w:tcW w:w="453" w:type="dxa"/>
            <w:tcBorders>
              <w:top w:val="single" w:sz="4" w:space="0" w:color="00A0E9"/>
              <w:left w:val="single" w:sz="4" w:space="0" w:color="00A0E9"/>
              <w:bottom w:val="single" w:sz="4" w:space="0" w:color="00A0E9"/>
              <w:right w:val="nil"/>
            </w:tcBorders>
            <w:vAlign w:val="center"/>
          </w:tcPr>
          <w:p w:rsidR="004007BB" w:rsidRPr="00F0288B"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F0288B">
              <w:rPr>
                <w:rFonts w:hint="eastAsia"/>
                <w:szCs w:val="18"/>
              </w:rPr>
              <w:t>权重</w:t>
            </w:r>
          </w:p>
        </w:tc>
        <w:tc>
          <w:tcPr>
            <w:tcW w:w="256" w:type="dxa"/>
            <w:vMerge w:val="restart"/>
            <w:tcBorders>
              <w:left w:val="nil"/>
            </w:tcBorders>
          </w:tcPr>
          <w:p w:rsidR="004007BB" w:rsidRPr="00F0288B" w:rsidRDefault="004007BB" w:rsidP="009D6E57">
            <w:pPr>
              <w:pStyle w:val="a0"/>
              <w:ind w:left="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00A0E9"/>
              <w:bottom w:val="single" w:sz="4" w:space="0" w:color="00A0E9"/>
              <w:right w:val="single" w:sz="4" w:space="0" w:color="00A0E9"/>
            </w:tcBorders>
            <w:vAlign w:val="center"/>
          </w:tcPr>
          <w:p w:rsidR="004007BB" w:rsidRPr="00F0288B"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F0288B">
              <w:rPr>
                <w:rFonts w:hint="eastAsia"/>
                <w:color w:val="000000"/>
                <w:szCs w:val="18"/>
              </w:rPr>
              <w:t>基金简称</w:t>
            </w:r>
          </w:p>
        </w:tc>
        <w:tc>
          <w:tcPr>
            <w:tcW w:w="1418" w:type="dxa"/>
            <w:tcBorders>
              <w:top w:val="single" w:sz="4" w:space="0" w:color="00A0E9"/>
              <w:left w:val="single" w:sz="4" w:space="0" w:color="00A0E9"/>
              <w:bottom w:val="single" w:sz="4" w:space="0" w:color="00A0E9"/>
              <w:right w:val="single" w:sz="4" w:space="0" w:color="00A0E9"/>
            </w:tcBorders>
            <w:vAlign w:val="center"/>
          </w:tcPr>
          <w:p w:rsidR="004007BB" w:rsidRPr="00F0288B"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F0288B">
              <w:rPr>
                <w:rFonts w:hint="eastAsia"/>
                <w:szCs w:val="18"/>
              </w:rPr>
              <w:t>基金类型</w:t>
            </w:r>
          </w:p>
        </w:tc>
        <w:tc>
          <w:tcPr>
            <w:tcW w:w="850" w:type="dxa"/>
            <w:tcBorders>
              <w:top w:val="single" w:sz="4" w:space="0" w:color="00A0E9"/>
              <w:left w:val="single" w:sz="4" w:space="0" w:color="00A0E9"/>
              <w:bottom w:val="single" w:sz="4" w:space="0" w:color="00A0E9"/>
              <w:right w:val="single" w:sz="4" w:space="0" w:color="00A0E9"/>
            </w:tcBorders>
            <w:vAlign w:val="center"/>
          </w:tcPr>
          <w:p w:rsidR="004007BB" w:rsidRPr="00F0288B"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F0288B">
              <w:rPr>
                <w:rFonts w:hint="eastAsia"/>
                <w:szCs w:val="18"/>
              </w:rPr>
              <w:t>基金经理</w:t>
            </w:r>
          </w:p>
        </w:tc>
        <w:tc>
          <w:tcPr>
            <w:tcW w:w="851" w:type="dxa"/>
            <w:tcBorders>
              <w:top w:val="single" w:sz="4" w:space="0" w:color="00A0E9"/>
              <w:left w:val="single" w:sz="4" w:space="0" w:color="00A0E9"/>
              <w:bottom w:val="single" w:sz="4" w:space="0" w:color="00A0E9"/>
              <w:right w:val="single" w:sz="4" w:space="0" w:color="00A0E9"/>
            </w:tcBorders>
            <w:vAlign w:val="center"/>
          </w:tcPr>
          <w:p w:rsidR="004007BB" w:rsidRPr="00F0288B"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F0288B">
              <w:rPr>
                <w:rFonts w:hint="eastAsia"/>
                <w:szCs w:val="18"/>
              </w:rPr>
              <w:t>管理人</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vAlign w:val="center"/>
          </w:tcPr>
          <w:p w:rsidR="004007BB" w:rsidRPr="00F0288B" w:rsidRDefault="004007BB" w:rsidP="009D6E57">
            <w:pPr>
              <w:jc w:val="center"/>
              <w:rPr>
                <w:rFonts w:ascii="宋体" w:eastAsia="宋体" w:hAnsi="宋体" w:cs="宋体"/>
                <w:szCs w:val="18"/>
              </w:rPr>
            </w:pPr>
            <w:r w:rsidRPr="00F0288B">
              <w:rPr>
                <w:rFonts w:hint="eastAsia"/>
                <w:szCs w:val="18"/>
              </w:rPr>
              <w:t>权重</w:t>
            </w:r>
          </w:p>
        </w:tc>
      </w:tr>
      <w:tr w:rsidR="004007BB" w:rsidTr="009D6E57">
        <w:trPr>
          <w:trHeight w:val="463"/>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A0E9"/>
              <w:left w:val="nil"/>
              <w:right w:val="single" w:sz="4" w:space="0" w:color="00A0E9"/>
            </w:tcBorders>
            <w:vAlign w:val="center"/>
          </w:tcPr>
          <w:p w:rsidR="004007BB" w:rsidRPr="00D12D7D" w:rsidRDefault="004007BB" w:rsidP="009D6E57">
            <w:pPr>
              <w:jc w:val="center"/>
              <w:rPr>
                <w:sz w:val="15"/>
                <w:szCs w:val="15"/>
              </w:rPr>
            </w:pPr>
            <w:proofErr w:type="gramStart"/>
            <w:r w:rsidRPr="00D12D7D">
              <w:rPr>
                <w:rFonts w:hint="eastAsia"/>
                <w:sz w:val="15"/>
                <w:szCs w:val="15"/>
              </w:rPr>
              <w:t>长信纯债壹号</w:t>
            </w:r>
            <w:proofErr w:type="gramEnd"/>
            <w:r w:rsidRPr="00D12D7D">
              <w:rPr>
                <w:rFonts w:hint="eastAsia"/>
                <w:b/>
                <w:bCs/>
                <w:color w:val="FF0000"/>
                <w:sz w:val="15"/>
                <w:szCs w:val="15"/>
                <w:vertAlign w:val="superscript"/>
              </w:rPr>
              <w:t>★</w:t>
            </w:r>
          </w:p>
        </w:tc>
        <w:tc>
          <w:tcPr>
            <w:tcW w:w="1417"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D12D7D">
              <w:rPr>
                <w:rFonts w:hint="eastAsia"/>
                <w:sz w:val="15"/>
                <w:szCs w:val="15"/>
              </w:rPr>
              <w:t>债券</w:t>
            </w:r>
            <w:r w:rsidRPr="00D12D7D">
              <w:rPr>
                <w:rFonts w:hint="eastAsia"/>
                <w:sz w:val="15"/>
                <w:szCs w:val="15"/>
              </w:rPr>
              <w:t>-</w:t>
            </w:r>
            <w:r w:rsidRPr="00D12D7D">
              <w:rPr>
                <w:rFonts w:hint="eastAsia"/>
                <w:sz w:val="15"/>
                <w:szCs w:val="15"/>
              </w:rPr>
              <w:t>完全债券型</w:t>
            </w:r>
          </w:p>
        </w:tc>
        <w:tc>
          <w:tcPr>
            <w:tcW w:w="1134"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D12D7D">
              <w:rPr>
                <w:rFonts w:hint="eastAsia"/>
                <w:sz w:val="15"/>
                <w:szCs w:val="15"/>
              </w:rPr>
              <w:t>张文琍</w:t>
            </w:r>
          </w:p>
        </w:tc>
        <w:tc>
          <w:tcPr>
            <w:tcW w:w="851"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D12D7D">
              <w:rPr>
                <w:rFonts w:hint="eastAsia"/>
                <w:sz w:val="15"/>
                <w:szCs w:val="15"/>
              </w:rPr>
              <w:t>长信</w:t>
            </w:r>
          </w:p>
        </w:tc>
        <w:tc>
          <w:tcPr>
            <w:tcW w:w="453" w:type="dxa"/>
            <w:tcBorders>
              <w:top w:val="single" w:sz="4" w:space="0" w:color="00A0E9"/>
              <w:left w:val="single" w:sz="4" w:space="0" w:color="00A0E9"/>
              <w:bottom w:val="single" w:sz="4" w:space="0" w:color="00A0E9"/>
              <w:right w:val="nil"/>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D12D7D">
              <w:rPr>
                <w:rFonts w:hint="eastAsia"/>
                <w:sz w:val="15"/>
                <w:szCs w:val="15"/>
              </w:rPr>
              <w:t>25%</w:t>
            </w:r>
          </w:p>
        </w:tc>
        <w:tc>
          <w:tcPr>
            <w:tcW w:w="256" w:type="dxa"/>
            <w:vMerge/>
            <w:tcBorders>
              <w:left w:val="nil"/>
            </w:tcBorders>
          </w:tcPr>
          <w:p w:rsidR="004007BB" w:rsidRPr="00D12D7D" w:rsidRDefault="004007BB" w:rsidP="009D6E57">
            <w:pPr>
              <w:pStyle w:val="a0"/>
              <w:ind w:left="0"/>
              <w:cnfStyle w:val="000000000000" w:firstRow="0" w:lastRow="0" w:firstColumn="0" w:lastColumn="0" w:oddVBand="0" w:evenVBand="0" w:oddHBand="0" w:evenHBand="0" w:firstRowFirstColumn="0" w:firstRowLastColumn="0" w:lastRowFirstColumn="0" w:lastRowLastColumn="0"/>
              <w:rPr>
                <w:color w:val="FF0000"/>
              </w:rPr>
            </w:pPr>
          </w:p>
        </w:tc>
        <w:tc>
          <w:tcPr>
            <w:tcW w:w="1275" w:type="dxa"/>
            <w:tcBorders>
              <w:top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FF0000"/>
                <w:sz w:val="15"/>
                <w:szCs w:val="15"/>
              </w:rPr>
            </w:pPr>
            <w:proofErr w:type="gramStart"/>
            <w:r w:rsidRPr="00D12D7D">
              <w:rPr>
                <w:rFonts w:hint="eastAsia"/>
                <w:sz w:val="15"/>
                <w:szCs w:val="15"/>
              </w:rPr>
              <w:t>新华纯债添利</w:t>
            </w:r>
            <w:proofErr w:type="gramEnd"/>
            <w:r w:rsidRPr="00D12D7D">
              <w:rPr>
                <w:rFonts w:hint="eastAsia"/>
                <w:b/>
                <w:bCs/>
                <w:color w:val="FF0000"/>
                <w:sz w:val="15"/>
                <w:szCs w:val="15"/>
                <w:vertAlign w:val="superscript"/>
              </w:rPr>
              <w:t>★</w:t>
            </w:r>
          </w:p>
        </w:tc>
        <w:tc>
          <w:tcPr>
            <w:tcW w:w="1418"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D12D7D">
              <w:rPr>
                <w:rFonts w:hint="eastAsia"/>
                <w:sz w:val="15"/>
                <w:szCs w:val="15"/>
              </w:rPr>
              <w:t>债券</w:t>
            </w:r>
            <w:r w:rsidRPr="00D12D7D">
              <w:rPr>
                <w:rFonts w:hint="eastAsia"/>
                <w:sz w:val="15"/>
                <w:szCs w:val="15"/>
              </w:rPr>
              <w:t>-</w:t>
            </w:r>
            <w:r w:rsidRPr="00D12D7D">
              <w:rPr>
                <w:rFonts w:hint="eastAsia"/>
                <w:sz w:val="15"/>
                <w:szCs w:val="15"/>
              </w:rPr>
              <w:t>完全债券型</w:t>
            </w:r>
          </w:p>
        </w:tc>
        <w:tc>
          <w:tcPr>
            <w:tcW w:w="850"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D12D7D">
              <w:rPr>
                <w:rFonts w:hint="eastAsia"/>
                <w:sz w:val="15"/>
                <w:szCs w:val="15"/>
              </w:rPr>
              <w:t>于泽雨</w:t>
            </w:r>
          </w:p>
        </w:tc>
        <w:tc>
          <w:tcPr>
            <w:tcW w:w="851"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D12D7D">
              <w:rPr>
                <w:rFonts w:hint="eastAsia"/>
                <w:sz w:val="15"/>
                <w:szCs w:val="15"/>
              </w:rPr>
              <w:t>新华</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vAlign w:val="center"/>
          </w:tcPr>
          <w:p w:rsidR="004007BB" w:rsidRPr="00D12D7D" w:rsidRDefault="004007BB" w:rsidP="009D6E57">
            <w:pPr>
              <w:jc w:val="center"/>
              <w:rPr>
                <w:rFonts w:ascii="宋体" w:eastAsia="宋体" w:hAnsi="宋体" w:cs="宋体"/>
                <w:sz w:val="15"/>
                <w:szCs w:val="15"/>
              </w:rPr>
            </w:pPr>
            <w:r w:rsidRPr="00D12D7D">
              <w:rPr>
                <w:rFonts w:hint="eastAsia"/>
                <w:sz w:val="15"/>
                <w:szCs w:val="15"/>
              </w:rPr>
              <w:t>50%</w:t>
            </w:r>
          </w:p>
        </w:tc>
      </w:tr>
      <w:tr w:rsidR="004007BB" w:rsidRPr="003D6713" w:rsidTr="009D6E57">
        <w:trPr>
          <w:trHeight w:val="463"/>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A0E9"/>
              <w:left w:val="nil"/>
              <w:right w:val="single" w:sz="4" w:space="0" w:color="00A0E9"/>
            </w:tcBorders>
            <w:vAlign w:val="center"/>
          </w:tcPr>
          <w:p w:rsidR="004007BB" w:rsidRPr="00D12D7D" w:rsidRDefault="004007BB" w:rsidP="009D6E57">
            <w:pPr>
              <w:jc w:val="center"/>
              <w:rPr>
                <w:color w:val="FF0000"/>
                <w:sz w:val="15"/>
                <w:szCs w:val="15"/>
              </w:rPr>
            </w:pPr>
            <w:r w:rsidRPr="00D12D7D">
              <w:rPr>
                <w:rFonts w:hint="eastAsia"/>
                <w:sz w:val="15"/>
                <w:szCs w:val="15"/>
              </w:rPr>
              <w:t>中</w:t>
            </w:r>
            <w:proofErr w:type="gramStart"/>
            <w:r w:rsidRPr="00D12D7D">
              <w:rPr>
                <w:rFonts w:hint="eastAsia"/>
                <w:sz w:val="15"/>
                <w:szCs w:val="15"/>
              </w:rPr>
              <w:t>邮稳定</w:t>
            </w:r>
            <w:proofErr w:type="gramEnd"/>
            <w:r w:rsidRPr="00D12D7D">
              <w:rPr>
                <w:rFonts w:hint="eastAsia"/>
                <w:sz w:val="15"/>
                <w:szCs w:val="15"/>
              </w:rPr>
              <w:t>收益</w:t>
            </w:r>
          </w:p>
        </w:tc>
        <w:tc>
          <w:tcPr>
            <w:tcW w:w="1417"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D12D7D">
              <w:rPr>
                <w:rFonts w:hint="eastAsia"/>
                <w:sz w:val="15"/>
                <w:szCs w:val="15"/>
              </w:rPr>
              <w:t>债券</w:t>
            </w:r>
            <w:r w:rsidRPr="00D12D7D">
              <w:rPr>
                <w:rFonts w:hint="eastAsia"/>
                <w:sz w:val="15"/>
                <w:szCs w:val="15"/>
              </w:rPr>
              <w:t>-</w:t>
            </w:r>
            <w:r w:rsidRPr="00D12D7D">
              <w:rPr>
                <w:rFonts w:hint="eastAsia"/>
                <w:sz w:val="15"/>
                <w:szCs w:val="15"/>
              </w:rPr>
              <w:t>完全债券型</w:t>
            </w:r>
          </w:p>
        </w:tc>
        <w:tc>
          <w:tcPr>
            <w:tcW w:w="1134"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D12D7D">
              <w:rPr>
                <w:rFonts w:hint="eastAsia"/>
                <w:sz w:val="15"/>
                <w:szCs w:val="15"/>
              </w:rPr>
              <w:t>张萌</w:t>
            </w:r>
            <w:r w:rsidRPr="00D12D7D">
              <w:rPr>
                <w:rFonts w:hint="eastAsia"/>
                <w:sz w:val="15"/>
                <w:szCs w:val="15"/>
              </w:rPr>
              <w:t xml:space="preserve"> </w:t>
            </w:r>
            <w:r w:rsidRPr="00D12D7D">
              <w:rPr>
                <w:rFonts w:hint="eastAsia"/>
                <w:sz w:val="15"/>
                <w:szCs w:val="15"/>
              </w:rPr>
              <w:t>吴昊</w:t>
            </w:r>
          </w:p>
        </w:tc>
        <w:tc>
          <w:tcPr>
            <w:tcW w:w="851"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D12D7D">
              <w:rPr>
                <w:rFonts w:hint="eastAsia"/>
                <w:sz w:val="15"/>
                <w:szCs w:val="15"/>
              </w:rPr>
              <w:t>中邮</w:t>
            </w:r>
          </w:p>
        </w:tc>
        <w:tc>
          <w:tcPr>
            <w:tcW w:w="453" w:type="dxa"/>
            <w:tcBorders>
              <w:top w:val="single" w:sz="4" w:space="0" w:color="00A0E9"/>
              <w:left w:val="single" w:sz="4" w:space="0" w:color="00A0E9"/>
              <w:bottom w:val="single" w:sz="4" w:space="0" w:color="00A0E9"/>
              <w:right w:val="nil"/>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D12D7D">
              <w:rPr>
                <w:rFonts w:hint="eastAsia"/>
                <w:sz w:val="15"/>
                <w:szCs w:val="15"/>
              </w:rPr>
              <w:t>25%</w:t>
            </w:r>
          </w:p>
        </w:tc>
        <w:tc>
          <w:tcPr>
            <w:tcW w:w="256" w:type="dxa"/>
            <w:vMerge/>
            <w:tcBorders>
              <w:left w:val="nil"/>
            </w:tcBorders>
          </w:tcPr>
          <w:p w:rsidR="004007BB" w:rsidRPr="00D12D7D" w:rsidRDefault="004007BB" w:rsidP="009D6E57">
            <w:pPr>
              <w:pStyle w:val="a0"/>
              <w:ind w:left="0"/>
              <w:cnfStyle w:val="000000000000" w:firstRow="0" w:lastRow="0" w:firstColumn="0" w:lastColumn="0" w:oddVBand="0" w:evenVBand="0" w:oddHBand="0" w:evenHBand="0" w:firstRowFirstColumn="0" w:firstRowLastColumn="0" w:lastRowFirstColumn="0" w:lastRowLastColumn="0"/>
              <w:rPr>
                <w:color w:val="FF0000"/>
              </w:rPr>
            </w:pPr>
          </w:p>
        </w:tc>
        <w:tc>
          <w:tcPr>
            <w:tcW w:w="1275" w:type="dxa"/>
            <w:tcBorders>
              <w:top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D12D7D">
              <w:rPr>
                <w:rFonts w:hint="eastAsia"/>
                <w:sz w:val="15"/>
                <w:szCs w:val="15"/>
              </w:rPr>
              <w:t>招商产业</w:t>
            </w:r>
          </w:p>
        </w:tc>
        <w:tc>
          <w:tcPr>
            <w:tcW w:w="1418"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D12D7D">
              <w:rPr>
                <w:rFonts w:hint="eastAsia"/>
                <w:sz w:val="15"/>
                <w:szCs w:val="15"/>
              </w:rPr>
              <w:t>债券</w:t>
            </w:r>
            <w:r w:rsidRPr="00D12D7D">
              <w:rPr>
                <w:rFonts w:hint="eastAsia"/>
                <w:sz w:val="15"/>
                <w:szCs w:val="15"/>
              </w:rPr>
              <w:t>-</w:t>
            </w:r>
            <w:r w:rsidRPr="00D12D7D">
              <w:rPr>
                <w:rFonts w:hint="eastAsia"/>
                <w:sz w:val="15"/>
                <w:szCs w:val="15"/>
              </w:rPr>
              <w:t>新股申购型</w:t>
            </w:r>
          </w:p>
        </w:tc>
        <w:tc>
          <w:tcPr>
            <w:tcW w:w="850"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D12D7D">
              <w:rPr>
                <w:rFonts w:cs="Arial" w:hint="eastAsia"/>
                <w:sz w:val="15"/>
                <w:szCs w:val="15"/>
              </w:rPr>
              <w:t>马龙</w:t>
            </w:r>
            <w:r w:rsidRPr="00D12D7D">
              <w:rPr>
                <w:rFonts w:cs="Arial" w:hint="eastAsia"/>
                <w:sz w:val="15"/>
                <w:szCs w:val="15"/>
              </w:rPr>
              <w:t xml:space="preserve"> </w:t>
            </w:r>
            <w:proofErr w:type="gramStart"/>
            <w:r w:rsidRPr="00D12D7D">
              <w:rPr>
                <w:rFonts w:cs="Arial" w:hint="eastAsia"/>
                <w:sz w:val="15"/>
                <w:szCs w:val="15"/>
              </w:rPr>
              <w:t>康晶</w:t>
            </w:r>
            <w:proofErr w:type="gramEnd"/>
          </w:p>
        </w:tc>
        <w:tc>
          <w:tcPr>
            <w:tcW w:w="851"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D12D7D">
              <w:rPr>
                <w:rFonts w:hint="eastAsia"/>
                <w:sz w:val="15"/>
                <w:szCs w:val="15"/>
              </w:rPr>
              <w:t>招商</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vAlign w:val="center"/>
          </w:tcPr>
          <w:p w:rsidR="004007BB" w:rsidRPr="00D12D7D" w:rsidRDefault="004007BB" w:rsidP="009D6E57">
            <w:pPr>
              <w:jc w:val="center"/>
              <w:rPr>
                <w:rFonts w:ascii="宋体" w:eastAsia="宋体" w:hAnsi="宋体" w:cs="宋体"/>
                <w:sz w:val="15"/>
                <w:szCs w:val="15"/>
              </w:rPr>
            </w:pPr>
            <w:r w:rsidRPr="00D12D7D">
              <w:rPr>
                <w:rFonts w:hint="eastAsia"/>
                <w:sz w:val="15"/>
                <w:szCs w:val="15"/>
              </w:rPr>
              <w:t>50%</w:t>
            </w:r>
          </w:p>
        </w:tc>
      </w:tr>
      <w:tr w:rsidR="004007BB" w:rsidTr="009D6E57">
        <w:trPr>
          <w:trHeight w:val="463"/>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A0E9"/>
              <w:left w:val="nil"/>
              <w:right w:val="single" w:sz="4" w:space="0" w:color="00A0E9"/>
            </w:tcBorders>
            <w:vAlign w:val="center"/>
          </w:tcPr>
          <w:p w:rsidR="004007BB" w:rsidRPr="00D12D7D" w:rsidRDefault="004007BB" w:rsidP="009D6E57">
            <w:pPr>
              <w:jc w:val="center"/>
              <w:rPr>
                <w:sz w:val="15"/>
                <w:szCs w:val="15"/>
              </w:rPr>
            </w:pPr>
            <w:proofErr w:type="gramStart"/>
            <w:r w:rsidRPr="00D12D7D">
              <w:rPr>
                <w:rFonts w:hint="eastAsia"/>
                <w:sz w:val="15"/>
                <w:szCs w:val="15"/>
              </w:rPr>
              <w:t>泰信周期</w:t>
            </w:r>
            <w:proofErr w:type="gramEnd"/>
            <w:r w:rsidRPr="00D12D7D">
              <w:rPr>
                <w:rFonts w:hint="eastAsia"/>
                <w:sz w:val="15"/>
                <w:szCs w:val="15"/>
              </w:rPr>
              <w:t>回报</w:t>
            </w:r>
            <w:r w:rsidRPr="00D12D7D">
              <w:rPr>
                <w:rFonts w:hint="eastAsia"/>
                <w:b/>
                <w:bCs/>
                <w:color w:val="FF0000"/>
                <w:sz w:val="15"/>
                <w:szCs w:val="15"/>
                <w:vertAlign w:val="superscript"/>
              </w:rPr>
              <w:t>★</w:t>
            </w:r>
          </w:p>
        </w:tc>
        <w:tc>
          <w:tcPr>
            <w:tcW w:w="1417"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D12D7D">
              <w:rPr>
                <w:rFonts w:hint="eastAsia"/>
                <w:sz w:val="15"/>
                <w:szCs w:val="15"/>
              </w:rPr>
              <w:t>债券</w:t>
            </w:r>
            <w:r w:rsidRPr="00D12D7D">
              <w:rPr>
                <w:rFonts w:hint="eastAsia"/>
                <w:sz w:val="15"/>
                <w:szCs w:val="15"/>
              </w:rPr>
              <w:t>-</w:t>
            </w:r>
            <w:r w:rsidRPr="00D12D7D">
              <w:rPr>
                <w:rFonts w:hint="eastAsia"/>
                <w:sz w:val="15"/>
                <w:szCs w:val="15"/>
              </w:rPr>
              <w:t>新股申购型</w:t>
            </w:r>
          </w:p>
        </w:tc>
        <w:tc>
          <w:tcPr>
            <w:tcW w:w="1134"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proofErr w:type="gramStart"/>
            <w:r w:rsidRPr="00D12D7D">
              <w:rPr>
                <w:rFonts w:hint="eastAsia"/>
                <w:sz w:val="15"/>
                <w:szCs w:val="15"/>
              </w:rPr>
              <w:t>何俊春</w:t>
            </w:r>
            <w:proofErr w:type="gramEnd"/>
          </w:p>
        </w:tc>
        <w:tc>
          <w:tcPr>
            <w:tcW w:w="851"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proofErr w:type="gramStart"/>
            <w:r w:rsidRPr="00D12D7D">
              <w:rPr>
                <w:rFonts w:hint="eastAsia"/>
                <w:sz w:val="15"/>
                <w:szCs w:val="15"/>
              </w:rPr>
              <w:t>泰信</w:t>
            </w:r>
            <w:proofErr w:type="gramEnd"/>
          </w:p>
        </w:tc>
        <w:tc>
          <w:tcPr>
            <w:tcW w:w="453" w:type="dxa"/>
            <w:tcBorders>
              <w:top w:val="single" w:sz="4" w:space="0" w:color="00A0E9"/>
              <w:left w:val="single" w:sz="4" w:space="0" w:color="00A0E9"/>
              <w:bottom w:val="single" w:sz="4" w:space="0" w:color="00A0E9"/>
              <w:right w:val="nil"/>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D12D7D">
              <w:rPr>
                <w:rFonts w:hint="eastAsia"/>
                <w:sz w:val="15"/>
                <w:szCs w:val="15"/>
              </w:rPr>
              <w:t>25%</w:t>
            </w:r>
          </w:p>
        </w:tc>
        <w:tc>
          <w:tcPr>
            <w:tcW w:w="256" w:type="dxa"/>
            <w:vMerge/>
            <w:tcBorders>
              <w:left w:val="nil"/>
            </w:tcBorders>
          </w:tcPr>
          <w:p w:rsidR="004007BB" w:rsidRPr="00D12D7D" w:rsidRDefault="004007BB" w:rsidP="009D6E57">
            <w:pPr>
              <w:pStyle w:val="a0"/>
              <w:ind w:left="0"/>
              <w:cnfStyle w:val="000000000000" w:firstRow="0" w:lastRow="0" w:firstColumn="0" w:lastColumn="0" w:oddVBand="0" w:evenVBand="0" w:oddHBand="0" w:evenHBand="0" w:firstRowFirstColumn="0" w:firstRowLastColumn="0" w:lastRowFirstColumn="0" w:lastRowLastColumn="0"/>
              <w:rPr>
                <w:color w:val="FF0000"/>
              </w:rPr>
            </w:pPr>
          </w:p>
        </w:tc>
        <w:tc>
          <w:tcPr>
            <w:cnfStyle w:val="000100000000" w:firstRow="0" w:lastRow="0" w:firstColumn="0" w:lastColumn="1" w:oddVBand="0" w:evenVBand="0" w:oddHBand="0" w:evenHBand="0" w:firstRowFirstColumn="0" w:firstRowLastColumn="0" w:lastRowFirstColumn="0" w:lastRowLastColumn="0"/>
            <w:tcW w:w="5242" w:type="dxa"/>
            <w:gridSpan w:val="5"/>
            <w:tcBorders>
              <w:top w:val="single" w:sz="4" w:space="0" w:color="00A0E9"/>
            </w:tcBorders>
          </w:tcPr>
          <w:p w:rsidR="004007BB" w:rsidRPr="00D12D7D" w:rsidRDefault="004007BB" w:rsidP="009D6E57">
            <w:pPr>
              <w:rPr>
                <w:color w:val="FF0000"/>
              </w:rPr>
            </w:pPr>
          </w:p>
        </w:tc>
      </w:tr>
      <w:tr w:rsidR="004007BB" w:rsidTr="009D6E57">
        <w:trPr>
          <w:trHeight w:val="463"/>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A0E9"/>
              <w:left w:val="nil"/>
              <w:right w:val="single" w:sz="4" w:space="0" w:color="00A0E9"/>
            </w:tcBorders>
            <w:vAlign w:val="center"/>
          </w:tcPr>
          <w:p w:rsidR="004007BB" w:rsidRPr="00D12D7D" w:rsidRDefault="004007BB" w:rsidP="004007BB">
            <w:pPr>
              <w:jc w:val="center"/>
              <w:rPr>
                <w:sz w:val="15"/>
                <w:szCs w:val="15"/>
              </w:rPr>
            </w:pPr>
            <w:r w:rsidRPr="00D12D7D">
              <w:rPr>
                <w:rFonts w:hint="eastAsia"/>
                <w:sz w:val="15"/>
                <w:szCs w:val="15"/>
              </w:rPr>
              <w:t>中银稳健添利</w:t>
            </w:r>
          </w:p>
        </w:tc>
        <w:tc>
          <w:tcPr>
            <w:tcW w:w="1417"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sz w:val="15"/>
                <w:szCs w:val="15"/>
              </w:rPr>
            </w:pPr>
            <w:r w:rsidRPr="00D12D7D">
              <w:rPr>
                <w:rFonts w:hint="eastAsia"/>
                <w:sz w:val="15"/>
                <w:szCs w:val="15"/>
              </w:rPr>
              <w:t>债券</w:t>
            </w:r>
            <w:r w:rsidRPr="00D12D7D">
              <w:rPr>
                <w:rFonts w:hint="eastAsia"/>
                <w:sz w:val="15"/>
                <w:szCs w:val="15"/>
              </w:rPr>
              <w:t>-</w:t>
            </w:r>
            <w:r w:rsidRPr="00D12D7D">
              <w:rPr>
                <w:rFonts w:hint="eastAsia"/>
                <w:sz w:val="15"/>
                <w:szCs w:val="15"/>
              </w:rPr>
              <w:t>普通债券型</w:t>
            </w:r>
          </w:p>
        </w:tc>
        <w:tc>
          <w:tcPr>
            <w:tcW w:w="1134"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sz w:val="15"/>
                <w:szCs w:val="15"/>
              </w:rPr>
            </w:pPr>
            <w:r w:rsidRPr="00D12D7D">
              <w:rPr>
                <w:rFonts w:hint="eastAsia"/>
                <w:sz w:val="15"/>
                <w:szCs w:val="15"/>
              </w:rPr>
              <w:t>陈玮</w:t>
            </w:r>
          </w:p>
        </w:tc>
        <w:tc>
          <w:tcPr>
            <w:tcW w:w="851" w:type="dxa"/>
            <w:tcBorders>
              <w:top w:val="single" w:sz="4" w:space="0" w:color="00A0E9"/>
              <w:left w:val="single" w:sz="4" w:space="0" w:color="00A0E9"/>
              <w:bottom w:val="single" w:sz="4" w:space="0" w:color="00A0E9"/>
              <w:right w:val="single" w:sz="4" w:space="0" w:color="00A0E9"/>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sz w:val="15"/>
                <w:szCs w:val="15"/>
              </w:rPr>
            </w:pPr>
            <w:r w:rsidRPr="00D12D7D">
              <w:rPr>
                <w:rFonts w:hint="eastAsia"/>
                <w:sz w:val="15"/>
                <w:szCs w:val="15"/>
              </w:rPr>
              <w:t>中银</w:t>
            </w:r>
          </w:p>
        </w:tc>
        <w:tc>
          <w:tcPr>
            <w:tcW w:w="453" w:type="dxa"/>
            <w:tcBorders>
              <w:top w:val="single" w:sz="4" w:space="0" w:color="00A0E9"/>
              <w:left w:val="single" w:sz="4" w:space="0" w:color="00A0E9"/>
              <w:bottom w:val="single" w:sz="4" w:space="0" w:color="00A0E9"/>
              <w:right w:val="nil"/>
            </w:tcBorders>
            <w:vAlign w:val="center"/>
          </w:tcPr>
          <w:p w:rsidR="004007BB" w:rsidRPr="00D12D7D" w:rsidRDefault="004007BB" w:rsidP="009D6E57">
            <w:pPr>
              <w:jc w:val="center"/>
              <w:cnfStyle w:val="000000000000" w:firstRow="0" w:lastRow="0" w:firstColumn="0" w:lastColumn="0" w:oddVBand="0" w:evenVBand="0" w:oddHBand="0" w:evenHBand="0" w:firstRowFirstColumn="0" w:firstRowLastColumn="0" w:lastRowFirstColumn="0" w:lastRowLastColumn="0"/>
              <w:rPr>
                <w:sz w:val="15"/>
                <w:szCs w:val="15"/>
              </w:rPr>
            </w:pPr>
            <w:r w:rsidRPr="00D12D7D">
              <w:rPr>
                <w:rFonts w:hint="eastAsia"/>
                <w:sz w:val="15"/>
                <w:szCs w:val="15"/>
              </w:rPr>
              <w:t>25%</w:t>
            </w:r>
          </w:p>
        </w:tc>
        <w:tc>
          <w:tcPr>
            <w:tcW w:w="256" w:type="dxa"/>
            <w:vMerge/>
            <w:tcBorders>
              <w:left w:val="nil"/>
            </w:tcBorders>
          </w:tcPr>
          <w:p w:rsidR="004007BB" w:rsidRPr="00D12D7D" w:rsidRDefault="004007BB" w:rsidP="009D6E57">
            <w:pPr>
              <w:pStyle w:val="a0"/>
              <w:ind w:left="0"/>
              <w:cnfStyle w:val="000000000000" w:firstRow="0" w:lastRow="0" w:firstColumn="0" w:lastColumn="0" w:oddVBand="0" w:evenVBand="0" w:oddHBand="0" w:evenHBand="0" w:firstRowFirstColumn="0" w:firstRowLastColumn="0" w:lastRowFirstColumn="0" w:lastRowLastColumn="0"/>
              <w:rPr>
                <w:color w:val="FF0000"/>
              </w:rPr>
            </w:pPr>
          </w:p>
        </w:tc>
        <w:tc>
          <w:tcPr>
            <w:cnfStyle w:val="000100000000" w:firstRow="0" w:lastRow="0" w:firstColumn="0" w:lastColumn="1" w:oddVBand="0" w:evenVBand="0" w:oddHBand="0" w:evenHBand="0" w:firstRowFirstColumn="0" w:firstRowLastColumn="0" w:lastRowFirstColumn="0" w:lastRowLastColumn="0"/>
            <w:tcW w:w="5242" w:type="dxa"/>
            <w:gridSpan w:val="5"/>
            <w:tcBorders>
              <w:top w:val="single" w:sz="4" w:space="0" w:color="00A0E9"/>
            </w:tcBorders>
          </w:tcPr>
          <w:p w:rsidR="004007BB" w:rsidRPr="00D12D7D" w:rsidRDefault="004007BB" w:rsidP="009D6E57">
            <w:pPr>
              <w:rPr>
                <w:color w:val="FF0000"/>
              </w:rPr>
            </w:pPr>
          </w:p>
        </w:tc>
      </w:tr>
      <w:tr w:rsidR="004007BB" w:rsidTr="009D6E57">
        <w:tc>
          <w:tcPr>
            <w:tcW w:w="5273" w:type="dxa"/>
            <w:gridSpan w:val="5"/>
            <w:tcBorders>
              <w:top w:val="single" w:sz="4" w:space="0" w:color="00A0E9"/>
            </w:tcBorders>
          </w:tcPr>
          <w:p w:rsidR="004007BB" w:rsidRDefault="004007BB" w:rsidP="009D6E57">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WIND</w:t>
            </w:r>
          </w:p>
        </w:tc>
        <w:tc>
          <w:tcPr>
            <w:tcW w:w="256" w:type="dxa"/>
          </w:tcPr>
          <w:p w:rsidR="004007BB" w:rsidRDefault="004007BB" w:rsidP="009D6E57">
            <w:pPr>
              <w:pStyle w:val="GJStylesGraphSource"/>
            </w:pPr>
          </w:p>
        </w:tc>
        <w:tc>
          <w:tcPr>
            <w:tcW w:w="5242" w:type="dxa"/>
            <w:gridSpan w:val="5"/>
          </w:tcPr>
          <w:p w:rsidR="004007BB" w:rsidRDefault="004007BB" w:rsidP="009D6E57">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Pr>
                <w:rFonts w:hint="eastAsia"/>
              </w:rPr>
              <w:t>WIND</w:t>
            </w:r>
          </w:p>
        </w:tc>
      </w:tr>
    </w:tbl>
    <w:tbl>
      <w:tblPr>
        <w:tblStyle w:val="GJStylesChartInsertSingleCol"/>
        <w:tblW w:w="10771" w:type="dxa"/>
        <w:tblBorders>
          <w:bottom w:val="single" w:sz="4" w:space="0" w:color="00A0E9"/>
          <w:insideV w:val="single" w:sz="4" w:space="0" w:color="00A0E9"/>
        </w:tblBorders>
        <w:tblLayout w:type="fixed"/>
        <w:tblLook w:val="0600" w:firstRow="0" w:lastRow="0" w:firstColumn="0" w:lastColumn="0" w:noHBand="1" w:noVBand="1"/>
      </w:tblPr>
      <w:tblGrid>
        <w:gridCol w:w="1565"/>
        <w:gridCol w:w="4672"/>
        <w:gridCol w:w="4534"/>
      </w:tblGrid>
      <w:tr w:rsidR="004007BB" w:rsidTr="009D6E57">
        <w:tc>
          <w:tcPr>
            <w:tcW w:w="10771" w:type="dxa"/>
            <w:gridSpan w:val="3"/>
          </w:tcPr>
          <w:p w:rsidR="004007BB" w:rsidRPr="00AF2B72" w:rsidRDefault="004007BB" w:rsidP="009D6E57">
            <w:pPr>
              <w:pStyle w:val="GJStylesGraphTitle"/>
            </w:pPr>
            <w:r>
              <w:rPr>
                <w:rFonts w:hint="eastAsia"/>
              </w:rPr>
              <w:t>图表</w:t>
            </w:r>
            <w:r>
              <w:fldChar w:fldCharType="begin"/>
            </w:r>
            <w:r>
              <w:instrText xml:space="preserve"> SEQ </w:instrText>
            </w:r>
            <w:r>
              <w:instrText>图表</w:instrText>
            </w:r>
            <w:r>
              <w:instrText xml:space="preserve"> \* ARABIC  \* MERGEFORMAT </w:instrText>
            </w:r>
            <w:r>
              <w:fldChar w:fldCharType="separate"/>
            </w:r>
            <w:r>
              <w:rPr>
                <w:noProof/>
              </w:rPr>
              <w:t>22</w:t>
            </w:r>
            <w:r>
              <w:rPr>
                <w:noProof/>
              </w:rPr>
              <w:fldChar w:fldCharType="end"/>
            </w:r>
            <w:r>
              <w:rPr>
                <w:rFonts w:hint="eastAsia"/>
              </w:rPr>
              <w:t>：组合说明</w:t>
            </w:r>
            <w:r w:rsidRPr="00AF2B72">
              <w:t xml:space="preserve"> </w:t>
            </w:r>
          </w:p>
        </w:tc>
      </w:tr>
      <w:tr w:rsidR="004007BB" w:rsidTr="009D6E57">
        <w:trPr>
          <w:trHeight w:val="404"/>
        </w:trPr>
        <w:tc>
          <w:tcPr>
            <w:tcW w:w="1565" w:type="dxa"/>
            <w:vAlign w:val="center"/>
          </w:tcPr>
          <w:p w:rsidR="004007BB" w:rsidRPr="007B4C4F" w:rsidRDefault="004007BB" w:rsidP="009D6E57">
            <w:pPr>
              <w:jc w:val="center"/>
              <w:rPr>
                <w:rFonts w:ascii="宋体" w:eastAsia="宋体" w:hAnsi="宋体" w:cs="宋体"/>
                <w:color w:val="000000"/>
                <w:szCs w:val="18"/>
              </w:rPr>
            </w:pPr>
          </w:p>
        </w:tc>
        <w:tc>
          <w:tcPr>
            <w:tcW w:w="4672" w:type="dxa"/>
            <w:vAlign w:val="center"/>
          </w:tcPr>
          <w:p w:rsidR="004007BB" w:rsidRPr="007B4C4F" w:rsidRDefault="004007BB" w:rsidP="009D6E57">
            <w:pPr>
              <w:jc w:val="center"/>
              <w:rPr>
                <w:rFonts w:ascii="宋体" w:eastAsia="宋体" w:hAnsi="宋体" w:cs="宋体"/>
                <w:b/>
                <w:color w:val="000000"/>
                <w:szCs w:val="18"/>
              </w:rPr>
            </w:pPr>
            <w:r w:rsidRPr="007B4C4F">
              <w:rPr>
                <w:rFonts w:ascii="宋体" w:eastAsia="宋体" w:hAnsi="宋体" w:hint="eastAsia"/>
                <w:b/>
                <w:color w:val="000000"/>
                <w:szCs w:val="18"/>
              </w:rPr>
              <w:t>相对收益组合</w:t>
            </w:r>
          </w:p>
        </w:tc>
        <w:tc>
          <w:tcPr>
            <w:tcW w:w="4534" w:type="dxa"/>
            <w:vAlign w:val="center"/>
          </w:tcPr>
          <w:p w:rsidR="004007BB" w:rsidRPr="007B4C4F" w:rsidRDefault="004007BB" w:rsidP="009D6E57">
            <w:pPr>
              <w:jc w:val="center"/>
              <w:rPr>
                <w:rFonts w:ascii="宋体" w:eastAsia="宋体" w:hAnsi="宋体" w:cs="宋体"/>
                <w:b/>
                <w:color w:val="000000"/>
                <w:szCs w:val="18"/>
              </w:rPr>
            </w:pPr>
            <w:r w:rsidRPr="007B4C4F">
              <w:rPr>
                <w:rFonts w:ascii="宋体" w:eastAsia="宋体" w:hAnsi="宋体" w:hint="eastAsia"/>
                <w:b/>
                <w:color w:val="000000"/>
                <w:szCs w:val="18"/>
              </w:rPr>
              <w:t>绝对收益组合</w:t>
            </w:r>
          </w:p>
        </w:tc>
      </w:tr>
      <w:tr w:rsidR="004007BB" w:rsidTr="009D6E57">
        <w:trPr>
          <w:trHeight w:val="575"/>
        </w:trPr>
        <w:tc>
          <w:tcPr>
            <w:tcW w:w="1565" w:type="dxa"/>
            <w:vAlign w:val="center"/>
          </w:tcPr>
          <w:p w:rsidR="004007BB" w:rsidRPr="007B4C4F" w:rsidRDefault="004007BB" w:rsidP="009D6E57">
            <w:pPr>
              <w:jc w:val="center"/>
              <w:rPr>
                <w:rFonts w:ascii="宋体" w:eastAsia="宋体" w:hAnsi="宋体" w:cs="宋体"/>
                <w:b/>
                <w:color w:val="000000"/>
                <w:szCs w:val="18"/>
              </w:rPr>
            </w:pPr>
            <w:r w:rsidRPr="007B4C4F">
              <w:rPr>
                <w:rFonts w:ascii="宋体" w:eastAsia="宋体" w:hAnsi="宋体" w:hint="eastAsia"/>
                <w:b/>
                <w:color w:val="000000"/>
                <w:szCs w:val="18"/>
              </w:rPr>
              <w:t>投资对象</w:t>
            </w:r>
          </w:p>
        </w:tc>
        <w:tc>
          <w:tcPr>
            <w:tcW w:w="4672" w:type="dxa"/>
            <w:vAlign w:val="center"/>
          </w:tcPr>
          <w:p w:rsidR="004007BB" w:rsidRPr="00935202" w:rsidRDefault="004007BB" w:rsidP="009D6E57">
            <w:pPr>
              <w:jc w:val="center"/>
              <w:rPr>
                <w:rFonts w:ascii="楷体_GB2312" w:hAnsi="宋体" w:cs="宋体"/>
                <w:color w:val="000000"/>
                <w:szCs w:val="18"/>
              </w:rPr>
            </w:pPr>
            <w:r w:rsidRPr="00935202">
              <w:rPr>
                <w:rFonts w:ascii="楷体_GB2312" w:hAnsi="宋体" w:hint="eastAsia"/>
                <w:color w:val="000000"/>
                <w:szCs w:val="18"/>
              </w:rPr>
              <w:t>涵盖债券型开放式基金/货币市场基金</w:t>
            </w:r>
          </w:p>
        </w:tc>
        <w:tc>
          <w:tcPr>
            <w:tcW w:w="4534" w:type="dxa"/>
            <w:vAlign w:val="center"/>
          </w:tcPr>
          <w:p w:rsidR="004007BB" w:rsidRPr="00935202" w:rsidRDefault="004007BB" w:rsidP="009D6E57">
            <w:pPr>
              <w:jc w:val="center"/>
              <w:rPr>
                <w:rFonts w:ascii="楷体_GB2312" w:hAnsi="宋体" w:cs="宋体"/>
                <w:color w:val="000000"/>
                <w:szCs w:val="18"/>
              </w:rPr>
            </w:pPr>
            <w:r w:rsidRPr="00935202">
              <w:rPr>
                <w:rFonts w:ascii="楷体_GB2312" w:hAnsi="宋体" w:hint="eastAsia"/>
                <w:color w:val="000000"/>
                <w:szCs w:val="18"/>
              </w:rPr>
              <w:t>以债券型开放式基金（或者类似固定收益类）/货币市场基金为主，两类产品配置比例不低于80%</w:t>
            </w:r>
          </w:p>
        </w:tc>
      </w:tr>
      <w:tr w:rsidR="004007BB" w:rsidTr="009D6E57">
        <w:trPr>
          <w:trHeight w:val="533"/>
        </w:trPr>
        <w:tc>
          <w:tcPr>
            <w:tcW w:w="1565" w:type="dxa"/>
            <w:vAlign w:val="center"/>
          </w:tcPr>
          <w:p w:rsidR="004007BB" w:rsidRPr="007B4C4F" w:rsidRDefault="004007BB" w:rsidP="009D6E57">
            <w:pPr>
              <w:jc w:val="center"/>
              <w:rPr>
                <w:rFonts w:ascii="宋体" w:eastAsia="宋体" w:hAnsi="宋体" w:cs="宋体"/>
                <w:b/>
                <w:color w:val="000000"/>
                <w:szCs w:val="18"/>
              </w:rPr>
            </w:pPr>
            <w:r w:rsidRPr="007B4C4F">
              <w:rPr>
                <w:rFonts w:ascii="宋体" w:eastAsia="宋体" w:hAnsi="宋体" w:hint="eastAsia"/>
                <w:b/>
                <w:color w:val="000000"/>
                <w:szCs w:val="18"/>
              </w:rPr>
              <w:t>组合目标</w:t>
            </w:r>
          </w:p>
        </w:tc>
        <w:tc>
          <w:tcPr>
            <w:tcW w:w="4672" w:type="dxa"/>
            <w:vAlign w:val="center"/>
          </w:tcPr>
          <w:p w:rsidR="004007BB" w:rsidRPr="00935202" w:rsidRDefault="004007BB" w:rsidP="009D6E57">
            <w:pPr>
              <w:jc w:val="center"/>
              <w:rPr>
                <w:rFonts w:ascii="楷体_GB2312" w:hAnsi="宋体" w:cs="宋体"/>
                <w:color w:val="000000"/>
                <w:szCs w:val="18"/>
              </w:rPr>
            </w:pPr>
            <w:r w:rsidRPr="00935202">
              <w:rPr>
                <w:rFonts w:ascii="楷体_GB2312" w:hAnsi="宋体" w:hint="eastAsia"/>
                <w:color w:val="000000"/>
                <w:szCs w:val="18"/>
              </w:rPr>
              <w:t>旨在取得超越业绩基准的相对收益，适合对自身风险定位清晰及有主动进行配置需求的投资者。</w:t>
            </w:r>
          </w:p>
        </w:tc>
        <w:tc>
          <w:tcPr>
            <w:tcW w:w="4534" w:type="dxa"/>
            <w:vAlign w:val="center"/>
          </w:tcPr>
          <w:p w:rsidR="004007BB" w:rsidRPr="00935202" w:rsidRDefault="004007BB" w:rsidP="009D6E57">
            <w:pPr>
              <w:jc w:val="center"/>
              <w:rPr>
                <w:rFonts w:ascii="楷体_GB2312" w:hAnsi="宋体" w:cs="宋体"/>
                <w:color w:val="000000"/>
                <w:szCs w:val="18"/>
              </w:rPr>
            </w:pPr>
            <w:r w:rsidRPr="00935202">
              <w:rPr>
                <w:rFonts w:ascii="楷体_GB2312" w:hAnsi="宋体" w:hint="eastAsia"/>
                <w:color w:val="000000"/>
                <w:szCs w:val="18"/>
              </w:rPr>
              <w:t>以获得绝对收益为目标，适合对自身风险定位不甚清晰、在保值基础上有适当增值需求的投资者。</w:t>
            </w:r>
          </w:p>
        </w:tc>
      </w:tr>
      <w:tr w:rsidR="004007BB" w:rsidTr="009D6E57">
        <w:trPr>
          <w:trHeight w:val="427"/>
        </w:trPr>
        <w:tc>
          <w:tcPr>
            <w:tcW w:w="1565" w:type="dxa"/>
            <w:vAlign w:val="center"/>
          </w:tcPr>
          <w:p w:rsidR="004007BB" w:rsidRPr="007B4C4F" w:rsidRDefault="004007BB" w:rsidP="009D6E57">
            <w:pPr>
              <w:jc w:val="center"/>
              <w:rPr>
                <w:rFonts w:ascii="宋体" w:eastAsia="宋体" w:hAnsi="宋体" w:cs="宋体"/>
                <w:b/>
                <w:color w:val="000000"/>
                <w:szCs w:val="18"/>
              </w:rPr>
            </w:pPr>
            <w:r w:rsidRPr="007B4C4F">
              <w:rPr>
                <w:rFonts w:ascii="宋体" w:eastAsia="宋体" w:hAnsi="宋体" w:hint="eastAsia"/>
                <w:b/>
                <w:color w:val="000000"/>
                <w:szCs w:val="18"/>
              </w:rPr>
              <w:t>业绩基准</w:t>
            </w:r>
          </w:p>
        </w:tc>
        <w:tc>
          <w:tcPr>
            <w:tcW w:w="4672" w:type="dxa"/>
            <w:vAlign w:val="center"/>
          </w:tcPr>
          <w:p w:rsidR="004007BB" w:rsidRPr="00935202" w:rsidRDefault="004007BB" w:rsidP="009D6E57">
            <w:pPr>
              <w:jc w:val="center"/>
              <w:rPr>
                <w:rFonts w:ascii="楷体_GB2312" w:hAnsi="宋体" w:cs="宋体"/>
                <w:color w:val="000000"/>
                <w:szCs w:val="18"/>
              </w:rPr>
            </w:pPr>
            <w:r w:rsidRPr="00935202">
              <w:rPr>
                <w:rFonts w:ascii="楷体_GB2312" w:hAnsi="宋体" w:hint="eastAsia"/>
                <w:color w:val="000000"/>
                <w:szCs w:val="18"/>
              </w:rPr>
              <w:t>债券型开放式基金收益指数</w:t>
            </w:r>
          </w:p>
        </w:tc>
        <w:tc>
          <w:tcPr>
            <w:tcW w:w="4534" w:type="dxa"/>
            <w:vAlign w:val="center"/>
          </w:tcPr>
          <w:p w:rsidR="004007BB" w:rsidRPr="00935202" w:rsidRDefault="004007BB" w:rsidP="009D6E57">
            <w:pPr>
              <w:jc w:val="center"/>
              <w:rPr>
                <w:rFonts w:ascii="楷体_GB2312" w:hAnsi="宋体" w:cs="宋体"/>
                <w:color w:val="000000"/>
                <w:szCs w:val="18"/>
              </w:rPr>
            </w:pPr>
            <w:r w:rsidRPr="00935202">
              <w:rPr>
                <w:rFonts w:ascii="楷体_GB2312" w:hAnsi="宋体" w:hint="eastAsia"/>
                <w:color w:val="000000"/>
                <w:szCs w:val="18"/>
              </w:rPr>
              <w:t>二年期定期存款税后利率</w:t>
            </w:r>
          </w:p>
        </w:tc>
      </w:tr>
    </w:tbl>
    <w:p w:rsidR="004007BB" w:rsidRPr="00AF2B72" w:rsidRDefault="004007BB" w:rsidP="004007BB">
      <w:pPr>
        <w:pStyle w:val="a0"/>
        <w:ind w:left="0"/>
        <w:jc w:val="left"/>
        <w:rPr>
          <w:sz w:val="15"/>
          <w:szCs w:val="15"/>
        </w:rPr>
      </w:pPr>
      <w:r w:rsidRPr="00AF2B72">
        <w:rPr>
          <w:rFonts w:hint="eastAsia"/>
          <w:sz w:val="15"/>
          <w:szCs w:val="15"/>
        </w:rPr>
        <w:t>来源：国金证券研究所</w:t>
      </w:r>
    </w:p>
    <w:p w:rsidR="00CE7FA6" w:rsidRDefault="00CE7FA6" w:rsidP="00C04724">
      <w:pPr>
        <w:pStyle w:val="a0"/>
        <w:widowControl/>
        <w:rPr>
          <w:color w:val="auto"/>
        </w:rPr>
      </w:pPr>
    </w:p>
    <w:p w:rsidR="0005161F" w:rsidRDefault="00557EF6" w:rsidP="00776898">
      <w:pPr>
        <w:pStyle w:val="a0"/>
        <w:pageBreakBefore/>
        <w:ind w:left="0"/>
      </w:pPr>
      <w:r>
        <w:rPr>
          <w:noProof/>
        </w:rPr>
        <w:lastRenderedPageBreak/>
        <w:pict>
          <v:shape id="Text Box 353" o:spid="_x0000_s1035" type="#_x0000_t202" style="position:absolute;left:0;text-align:left;margin-left:-7.05pt;margin-top:77.1pt;width:545.95pt;height:33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" filled="f" stroked="f">
            <v:textbox>
              <w:txbxContent>
                <w:p w:rsidR="00276AED" w:rsidRDefault="00276AED" w:rsidP="000E6AE0">
                  <w:pPr>
                    <w:pStyle w:val="a0"/>
                    <w:spacing w:after="40" w:line="200" w:lineRule="atLeast"/>
                    <w:ind w:left="0" w:rightChars="-27" w:right="-49" w:firstLineChars="22" w:firstLine="46"/>
                    <w:rPr>
                      <w:b/>
                      <w:bCs/>
                      <w:color w:val="auto"/>
                      <w:szCs w:val="15"/>
                    </w:rPr>
                  </w:pPr>
                  <w:r w:rsidRPr="009A3954">
                    <w:rPr>
                      <w:rFonts w:hint="eastAsia"/>
                      <w:b/>
                      <w:bCs/>
                      <w:color w:val="auto"/>
                      <w:szCs w:val="15"/>
                    </w:rPr>
                    <w:t>特别声明：</w:t>
                  </w:r>
                  <w:r w:rsidRPr="009A3954">
                    <w:rPr>
                      <w:b/>
                      <w:bCs/>
                      <w:color w:val="auto"/>
                      <w:szCs w:val="15"/>
                    </w:rPr>
                    <w:t xml:space="preserve"> </w:t>
                  </w:r>
                </w:p>
                <w:p w:rsidR="00276AED" w:rsidRPr="00EE31AB" w:rsidRDefault="00276AED" w:rsidP="00EE31AB">
                  <w:pPr>
                    <w:pStyle w:val="a0"/>
                    <w:spacing w:after="0" w:line="240" w:lineRule="auto"/>
                    <w:ind w:left="0" w:firstLine="420"/>
                    <w:jc w:val="left"/>
                    <w:rPr>
                      <w:b/>
                      <w:bCs/>
                      <w:color w:val="auto"/>
                      <w:szCs w:val="15"/>
                    </w:rPr>
                  </w:pPr>
                  <w:r w:rsidRPr="0038328E">
                    <w:rPr>
                      <w:rFonts w:ascii="楷体_GB2312" w:hAnsi="Tahoma" w:cs="Tahoma" w:hint="eastAsia"/>
                      <w:szCs w:val="21"/>
                    </w:rPr>
                    <w:t>国金证券股份有限公司经中国证券监督管理委员会批准，已具备证券投资咨询业务资格。</w:t>
                  </w:r>
                </w:p>
                <w:p w:rsidR="00276AED" w:rsidRDefault="00276AE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本报告版权归</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（以下简称</w:t>
                  </w:r>
                  <w:r>
                    <w:rPr>
                      <w:rFonts w:ascii="楷体_GB2312" w:hAnsi="Tahoma" w:cs="Tahoma"/>
                      <w:color w:val="000000"/>
                      <w:sz w:val="21"/>
                      <w:szCs w:val="21"/>
                    </w:rPr>
                    <w:t>“</w:t>
                  </w:r>
                  <w:r>
                    <w:rPr>
                      <w:rFonts w:ascii="楷体_GB2312" w:hAnsi="Tahoma" w:cs="Tahoma" w:hint="eastAsia"/>
                      <w:color w:val="000000"/>
                      <w:sz w:val="21"/>
                      <w:szCs w:val="21"/>
                    </w:rPr>
                    <w:t>国金证券</w:t>
                  </w:r>
                  <w:r>
                    <w:rPr>
                      <w:rFonts w:ascii="楷体_GB2312" w:hAnsi="Tahoma" w:cs="Tahoma"/>
                      <w:color w:val="000000"/>
                      <w:sz w:val="21"/>
                      <w:szCs w:val="21"/>
                    </w:rPr>
                    <w:t>”</w:t>
                  </w:r>
                  <w:r>
                    <w:rPr>
                      <w:rFonts w:ascii="楷体_GB2312" w:hAnsi="Tahoma" w:cs="Tahoma" w:hint="eastAsia"/>
                      <w:color w:val="000000"/>
                      <w:sz w:val="21"/>
                      <w:szCs w:val="21"/>
                    </w:rPr>
                    <w:t>）所有，未经事先书面授权，本报告的任何部分均不得以任何方式制作任何形式的拷贝，或再次分发给任何其他人，或以任何侵犯本公司版权的其他方式使用。经过书面授权的引用、刊发，需注明出处为</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，且不得对本报告进行任何有悖原意的删节和修改。</w:t>
                  </w:r>
                </w:p>
                <w:p w:rsidR="00276AED" w:rsidRDefault="00276AE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本报告的产生基于国金证券及其研究人员认为可信的公开资料或实地调研资料，但国金证券及其研究人员对这些信息的准确性和完整性不作任何保证，对由于该等问题产生的一切责任，国金证券不</w:t>
                  </w:r>
                  <w:proofErr w:type="gramStart"/>
                  <w:r>
                    <w:rPr>
                      <w:rFonts w:ascii="楷体_GB2312" w:hAnsi="Tahoma" w:cs="Tahoma" w:hint="eastAsia"/>
                      <w:color w:val="000000"/>
                      <w:sz w:val="21"/>
                      <w:szCs w:val="21"/>
                    </w:rPr>
                    <w:t>作出</w:t>
                  </w:r>
                  <w:proofErr w:type="gramEnd"/>
                  <w:r>
                    <w:rPr>
                      <w:rFonts w:ascii="楷体_GB2312" w:hAnsi="Tahoma" w:cs="Tahoma" w:hint="eastAsia"/>
                      <w:color w:val="000000"/>
                      <w:sz w:val="21"/>
                      <w:szCs w:val="21"/>
                    </w:rPr>
                    <w:t>任何担保。且本报告中的资料、意见、预测均反映报告初次公开发布时的判断，在</w:t>
                  </w:r>
                  <w:proofErr w:type="gramStart"/>
                  <w:r>
                    <w:rPr>
                      <w:rFonts w:ascii="楷体_GB2312" w:hAnsi="Tahoma" w:cs="Tahoma" w:hint="eastAsia"/>
                      <w:color w:val="000000"/>
                      <w:sz w:val="21"/>
                      <w:szCs w:val="21"/>
                    </w:rPr>
                    <w:t>不作事</w:t>
                  </w:r>
                  <w:proofErr w:type="gramEnd"/>
                  <w:r>
                    <w:rPr>
                      <w:rFonts w:ascii="楷体_GB2312" w:hAnsi="Tahoma" w:cs="Tahoma" w:hint="eastAsia"/>
                      <w:color w:val="000000"/>
                      <w:sz w:val="21"/>
                      <w:szCs w:val="21"/>
                    </w:rPr>
                    <w:t>先通知的情况下，可能会随时调整。</w:t>
                  </w:r>
                </w:p>
                <w:p w:rsidR="00276AED" w:rsidRDefault="00276AE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客户应当考虑到国金证券存在可能影响本报告客观性的利益冲突，而不应视本报告为</w:t>
                  </w:r>
                  <w:proofErr w:type="gramStart"/>
                  <w:r>
                    <w:rPr>
                      <w:rFonts w:ascii="楷体_GB2312" w:hAnsi="Tahoma" w:cs="Tahoma" w:hint="eastAsia"/>
                      <w:color w:val="000000"/>
                      <w:sz w:val="21"/>
                      <w:szCs w:val="21"/>
                    </w:rPr>
                    <w:t>作出</w:t>
                  </w:r>
                  <w:proofErr w:type="gramEnd"/>
                  <w:r>
                    <w:rPr>
                      <w:rFonts w:ascii="楷体_GB2312" w:hAnsi="Tahoma" w:cs="Tahoma" w:hint="eastAsia"/>
                      <w:color w:val="000000"/>
                      <w:sz w:val="21"/>
                      <w:szCs w:val="21"/>
                    </w:rPr>
                    <w:t>投资决策的唯一因素。本报告亦</w:t>
                  </w:r>
                  <w:proofErr w:type="gramStart"/>
                  <w:r>
                    <w:rPr>
                      <w:rFonts w:ascii="楷体_GB2312" w:hAnsi="Tahoma" w:cs="Tahoma" w:hint="eastAsia"/>
                      <w:color w:val="000000"/>
                      <w:sz w:val="21"/>
                      <w:szCs w:val="21"/>
                    </w:rPr>
                    <w:t>非作为</w:t>
                  </w:r>
                  <w:proofErr w:type="gramEnd"/>
                  <w:r>
                    <w:rPr>
                      <w:rFonts w:ascii="楷体_GB2312" w:hAnsi="Tahoma" w:cs="Tahoma" w:hint="eastAsia"/>
                      <w:color w:val="000000"/>
                      <w:sz w:val="21"/>
                      <w:szCs w:val="21"/>
                    </w:rPr>
                    <w:t>或被视为出售或购买证券或其他投资标的邀请。</w:t>
                  </w:r>
                </w:p>
                <w:p w:rsidR="00276AED" w:rsidRDefault="00276AE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证券研究报告是用于服务机构投资者和投资顾问的专业产品，使用时必须经专业人士进行解读。国金证券建议客户应考虑本报告的任何意见或建议是否符合其特定状况，以及（若有必要）咨询独立投资顾问。报告本身、报告中的信息或所表达意见也不构成投资、法律、会计或税务的最终操作建议，国金证券不就报告中的内容对最终操作建议做出任何担保。</w:t>
                  </w:r>
                </w:p>
                <w:p w:rsidR="00276AED" w:rsidRDefault="00276AE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在法律允许的情况下，国金证券的关联机构可能会持有报告中涉及的公司所发行的证券并进行交易，并可能为这些公司正在提供或争取提供多种金融服务。</w:t>
                  </w:r>
                </w:p>
                <w:p w:rsidR="00276AED" w:rsidRDefault="00276AED" w:rsidP="00DF32E3">
                  <w:pPr>
                    <w:ind w:firstLine="420"/>
                    <w:jc w:val="left"/>
                    <w:rPr>
                      <w:rFonts w:ascii="楷体_GB2312" w:hAnsi="Tahoma" w:cs="Tahoma"/>
                      <w:color w:val="000000"/>
                      <w:sz w:val="21"/>
                      <w:szCs w:val="21"/>
                    </w:rPr>
                  </w:pPr>
                  <w:r>
                    <w:rPr>
                      <w:rFonts w:ascii="楷体_GB2312" w:hAnsi="Tahoma" w:cs="Tahoma" w:hint="eastAsia"/>
                      <w:color w:val="000000"/>
                      <w:sz w:val="21"/>
                      <w:szCs w:val="21"/>
                    </w:rPr>
                    <w:t>本报告反映编写分析员的不同设想、见解及分析方法，故本报告所载观点可能与其他类似研究报告的观点及市场实际情况不一致，且收件人亦不会因为收到本报告而成为国金证券的客户。</w:t>
                  </w:r>
                </w:p>
                <w:p w:rsidR="00276AED" w:rsidRDefault="00276AED" w:rsidP="000E6AE0">
                  <w:pPr>
                    <w:pStyle w:val="a0"/>
                    <w:spacing w:after="40" w:line="200" w:lineRule="atLeast"/>
                    <w:ind w:left="0" w:rightChars="-27" w:right="-49"/>
                    <w:rPr>
                      <w:b/>
                      <w:bCs/>
                      <w:color w:val="auto"/>
                      <w:szCs w:val="15"/>
                    </w:rPr>
                  </w:pPr>
                  <w:r>
                    <w:rPr>
                      <w:rFonts w:eastAsia="宋体"/>
                      <w:b/>
                      <w:bCs/>
                      <w:szCs w:val="18"/>
                    </w:rPr>
                    <w:t xml:space="preserve">         </w:t>
                  </w:r>
                  <w:r>
                    <w:rPr>
                      <w:rFonts w:ascii="楷体_GB2312" w:hAnsi="Tahoma" w:cs="Tahoma" w:hint="eastAsia"/>
                      <w:szCs w:val="21"/>
                    </w:rPr>
                    <w:t>本报告仅供国金证券股份有限公司的机构客户使用；非国金证券客户擅自使用国金证券研究报告进行投资，遭受任何损失，国金证券不承担相关法律责任。</w:t>
                  </w:r>
                </w:p>
                <w:p w:rsidR="00276AED" w:rsidRDefault="00276AED" w:rsidP="000E6AE0">
                  <w:pPr>
                    <w:pStyle w:val="a0"/>
                    <w:spacing w:after="60"/>
                    <w:ind w:left="0" w:rightChars="-27" w:right="-49"/>
                    <w:rPr>
                      <w:color w:val="auto"/>
                      <w:szCs w:val="15"/>
                    </w:rPr>
                  </w:pPr>
                </w:p>
                <w:p w:rsidR="00497028" w:rsidRDefault="00497028" w:rsidP="000E6AE0">
                  <w:pPr>
                    <w:pStyle w:val="a0"/>
                    <w:spacing w:after="60"/>
                    <w:ind w:left="0" w:rightChars="-27" w:right="-49"/>
                    <w:rPr>
                      <w:color w:val="auto"/>
                      <w:szCs w:val="15"/>
                    </w:rPr>
                  </w:pPr>
                </w:p>
                <w:p w:rsidR="00497028" w:rsidRPr="000336C0" w:rsidRDefault="00497028" w:rsidP="000E6AE0">
                  <w:pPr>
                    <w:pStyle w:val="a0"/>
                    <w:spacing w:after="60"/>
                    <w:ind w:left="0" w:rightChars="-27" w:right="-49"/>
                    <w:rPr>
                      <w:color w:val="auto"/>
                      <w:szCs w:val="15"/>
                    </w:rPr>
                  </w:pPr>
                </w:p>
              </w:txbxContent>
            </v:textbox>
            <w10:wrap type="square" anchory="page"/>
          </v:shape>
        </w:pict>
      </w:r>
    </w:p>
    <w:p w:rsidR="00ED77B9" w:rsidRDefault="00ED77B9" w:rsidP="00ED77B9">
      <w:pPr>
        <w:spacing w:line="14" w:lineRule="exact"/>
      </w:pPr>
    </w:p>
    <w:p w:rsidR="00762F0E" w:rsidRPr="00ED77B9" w:rsidRDefault="00762F0E" w:rsidP="00ED77B9">
      <w:pPr>
        <w:spacing w:line="14" w:lineRule="exact"/>
      </w:pPr>
    </w:p>
    <w:p w:rsidR="00E1684A" w:rsidRDefault="00E1684A" w:rsidP="00E1684A">
      <w:pPr>
        <w:spacing w:line="14" w:lineRule="exact"/>
      </w:pPr>
    </w:p>
    <w:sdt>
      <w:sdtPr>
        <w:alias w:val="末页联系地址"/>
        <w:tag w:val="BDCONTENTCONTROL_2602561a-fc2b-4adc-befd-22fa63ba88c6"/>
        <w:id w:val="-1419249774"/>
        <w:placeholder>
          <w:docPart w:val="94B91127A09D4D26B4F544934F3B89B1"/>
        </w:placeholder>
      </w:sdtPr>
      <w:sdtEndPr/>
      <w:sdtContent>
        <w:p w:rsidR="004C64E0" w:rsidRDefault="004C64E0" w:rsidP="004C64E0">
          <w:pPr>
            <w:spacing w:line="14" w:lineRule="exact"/>
          </w:pPr>
        </w:p>
        <w:tbl>
          <w:tblPr>
            <w:tblW w:w="0" w:type="auto"/>
            <w:tblLayout w:type="fixed"/>
            <w:tblLook w:val="0000" w:firstRow="0" w:lastRow="0" w:firstColumn="0" w:lastColumn="0" w:noHBand="0" w:noVBand="0"/>
          </w:tblPr>
          <w:tblGrid>
            <w:gridCol w:w="3625"/>
            <w:gridCol w:w="3625"/>
            <w:gridCol w:w="3625"/>
          </w:tblGrid>
          <w:tr w:rsidR="004C64E0">
            <w:tc>
              <w:tcPr>
                <w:tcW w:w="3625" w:type="dxa"/>
              </w:tcPr>
              <w:p w:rsidR="004C64E0" w:rsidRPr="004C64E0" w:rsidRDefault="00D12D7D" w:rsidP="004C64E0">
                <w:pPr>
                  <w:spacing w:after="120" w:line="240" w:lineRule="exact"/>
                  <w:rPr>
                    <w:b/>
                  </w:rPr>
                </w:pPr>
                <w:r>
                  <w:rPr>
                    <w:rFonts w:hint="eastAsia"/>
                    <w:b/>
                  </w:rPr>
                  <w:t>上海</w:t>
                </w:r>
              </w:p>
            </w:tc>
            <w:tc>
              <w:tcPr>
                <w:tcW w:w="3625" w:type="dxa"/>
              </w:tcPr>
              <w:p w:rsidR="004C64E0" w:rsidRPr="004C64E0" w:rsidRDefault="00D12D7D" w:rsidP="004C64E0">
                <w:pPr>
                  <w:spacing w:after="120" w:line="240" w:lineRule="exact"/>
                  <w:rPr>
                    <w:b/>
                  </w:rPr>
                </w:pPr>
                <w:r>
                  <w:rPr>
                    <w:rFonts w:hint="eastAsia"/>
                    <w:b/>
                  </w:rPr>
                  <w:t>北京</w:t>
                </w:r>
              </w:p>
            </w:tc>
            <w:tc>
              <w:tcPr>
                <w:tcW w:w="3625" w:type="dxa"/>
              </w:tcPr>
              <w:p w:rsidR="004C64E0" w:rsidRPr="004C64E0" w:rsidRDefault="00D12D7D" w:rsidP="004C64E0">
                <w:pPr>
                  <w:spacing w:after="120" w:line="240" w:lineRule="exact"/>
                  <w:rPr>
                    <w:b/>
                  </w:rPr>
                </w:pPr>
                <w:r>
                  <w:rPr>
                    <w:rFonts w:hint="eastAsia"/>
                    <w:b/>
                  </w:rPr>
                  <w:t>深圳</w:t>
                </w:r>
              </w:p>
            </w:tc>
          </w:tr>
          <w:tr w:rsidR="004C64E0">
            <w:tc>
              <w:tcPr>
                <w:tcW w:w="3625" w:type="dxa"/>
              </w:tcPr>
              <w:p w:rsidR="00D12D7D" w:rsidRDefault="00D12D7D" w:rsidP="000B01C0">
                <w:pPr>
                  <w:spacing w:after="120" w:line="240" w:lineRule="exact"/>
                </w:pPr>
                <w:r>
                  <w:rPr>
                    <w:rFonts w:hint="eastAsia"/>
                  </w:rPr>
                  <w:t>电话：</w:t>
                </w:r>
                <w:r>
                  <w:rPr>
                    <w:rFonts w:hint="eastAsia"/>
                  </w:rPr>
                  <w:t>021-60753903</w:t>
                </w:r>
              </w:p>
              <w:p w:rsidR="00D12D7D" w:rsidRDefault="00D12D7D" w:rsidP="000B01C0">
                <w:pPr>
                  <w:spacing w:after="120" w:line="240" w:lineRule="exact"/>
                </w:pPr>
                <w:r>
                  <w:rPr>
                    <w:rFonts w:hint="eastAsia"/>
                  </w:rPr>
                  <w:t>传真：</w:t>
                </w:r>
                <w:r>
                  <w:rPr>
                    <w:rFonts w:hint="eastAsia"/>
                  </w:rPr>
                  <w:t>021-61038200</w:t>
                </w:r>
              </w:p>
              <w:p w:rsidR="00D12D7D" w:rsidRDefault="00D12D7D" w:rsidP="000B01C0">
                <w:pPr>
                  <w:spacing w:after="120" w:line="240" w:lineRule="exact"/>
                </w:pPr>
                <w:r>
                  <w:rPr>
                    <w:rFonts w:hint="eastAsia"/>
                  </w:rPr>
                  <w:t>邮箱：</w:t>
                </w:r>
                <w:r>
                  <w:rPr>
                    <w:rFonts w:hint="eastAsia"/>
                  </w:rPr>
                  <w:t>researchsh@gjzq.com.cn</w:t>
                </w:r>
              </w:p>
              <w:p w:rsidR="00D12D7D" w:rsidRDefault="00D12D7D" w:rsidP="000B01C0">
                <w:pPr>
                  <w:spacing w:after="120" w:line="240" w:lineRule="exact"/>
                </w:pPr>
                <w:r>
                  <w:rPr>
                    <w:rFonts w:hint="eastAsia"/>
                  </w:rPr>
                  <w:t>邮编：</w:t>
                </w:r>
                <w:r>
                  <w:rPr>
                    <w:rFonts w:hint="eastAsia"/>
                  </w:rPr>
                  <w:t>201204</w:t>
                </w:r>
              </w:p>
              <w:p w:rsidR="00D12D7D" w:rsidRDefault="00D12D7D" w:rsidP="000B01C0">
                <w:pPr>
                  <w:spacing w:after="120" w:line="240" w:lineRule="exact"/>
                </w:pPr>
                <w:r>
                  <w:rPr>
                    <w:rFonts w:hint="eastAsia"/>
                  </w:rPr>
                  <w:t>地址：上海浦东新区芳</w:t>
                </w:r>
                <w:proofErr w:type="gramStart"/>
                <w:r>
                  <w:rPr>
                    <w:rFonts w:hint="eastAsia"/>
                  </w:rPr>
                  <w:t>甸</w:t>
                </w:r>
                <w:proofErr w:type="gramEnd"/>
                <w:r>
                  <w:rPr>
                    <w:rFonts w:hint="eastAsia"/>
                  </w:rPr>
                  <w:t>路</w:t>
                </w:r>
                <w:r>
                  <w:rPr>
                    <w:rFonts w:hint="eastAsia"/>
                  </w:rPr>
                  <w:t>1088</w:t>
                </w:r>
                <w:r>
                  <w:rPr>
                    <w:rFonts w:hint="eastAsia"/>
                  </w:rPr>
                  <w:t>号</w:t>
                </w:r>
              </w:p>
              <w:p w:rsidR="004C64E0" w:rsidRDefault="00D12D7D" w:rsidP="000B01C0">
                <w:pPr>
                  <w:spacing w:after="120" w:line="240" w:lineRule="exact"/>
                </w:pPr>
                <w:r>
                  <w:rPr>
                    <w:rFonts w:hint="eastAsia"/>
                  </w:rPr>
                  <w:t xml:space="preserve">           </w:t>
                </w:r>
                <w:r>
                  <w:rPr>
                    <w:rFonts w:hint="eastAsia"/>
                  </w:rPr>
                  <w:t>紫竹国际大厦</w:t>
                </w:r>
                <w:r>
                  <w:rPr>
                    <w:rFonts w:hint="eastAsia"/>
                  </w:rPr>
                  <w:t>7</w:t>
                </w:r>
                <w:r>
                  <w:rPr>
                    <w:rFonts w:hint="eastAsia"/>
                  </w:rPr>
                  <w:t>楼</w:t>
                </w:r>
              </w:p>
            </w:tc>
            <w:tc>
              <w:tcPr>
                <w:tcW w:w="3625" w:type="dxa"/>
              </w:tcPr>
              <w:p w:rsidR="00D12D7D" w:rsidRDefault="00D12D7D" w:rsidP="000B01C0">
                <w:pPr>
                  <w:spacing w:after="120" w:line="240" w:lineRule="exact"/>
                </w:pPr>
                <w:r>
                  <w:rPr>
                    <w:rFonts w:hint="eastAsia"/>
                  </w:rPr>
                  <w:t>电话：</w:t>
                </w:r>
                <w:r>
                  <w:rPr>
                    <w:rFonts w:hint="eastAsia"/>
                  </w:rPr>
                  <w:t>010-66216979</w:t>
                </w:r>
              </w:p>
              <w:p w:rsidR="00D12D7D" w:rsidRDefault="00D12D7D" w:rsidP="000B01C0">
                <w:pPr>
                  <w:spacing w:after="120" w:line="240" w:lineRule="exact"/>
                </w:pPr>
                <w:r>
                  <w:rPr>
                    <w:rFonts w:hint="eastAsia"/>
                  </w:rPr>
                  <w:t>传真：</w:t>
                </w:r>
                <w:r>
                  <w:rPr>
                    <w:rFonts w:hint="eastAsia"/>
                  </w:rPr>
                  <w:t>010-66216793</w:t>
                </w:r>
              </w:p>
              <w:p w:rsidR="00D12D7D" w:rsidRDefault="00D12D7D" w:rsidP="000B01C0">
                <w:pPr>
                  <w:spacing w:after="120" w:line="240" w:lineRule="exact"/>
                </w:pPr>
                <w:r>
                  <w:rPr>
                    <w:rFonts w:hint="eastAsia"/>
                  </w:rPr>
                  <w:t>邮箱：</w:t>
                </w:r>
                <w:r>
                  <w:rPr>
                    <w:rFonts w:hint="eastAsia"/>
                  </w:rPr>
                  <w:t>researchbj@gjzq.com.cn</w:t>
                </w:r>
              </w:p>
              <w:p w:rsidR="00D12D7D" w:rsidRDefault="00D12D7D" w:rsidP="000B01C0">
                <w:pPr>
                  <w:spacing w:after="120" w:line="240" w:lineRule="exact"/>
                </w:pPr>
                <w:r>
                  <w:rPr>
                    <w:rFonts w:hint="eastAsia"/>
                  </w:rPr>
                  <w:t>邮编：</w:t>
                </w:r>
                <w:r>
                  <w:rPr>
                    <w:rFonts w:hint="eastAsia"/>
                  </w:rPr>
                  <w:t>100053</w:t>
                </w:r>
              </w:p>
              <w:p w:rsidR="004C64E0" w:rsidRDefault="00D12D7D" w:rsidP="000B01C0">
                <w:pPr>
                  <w:spacing w:after="120" w:line="240" w:lineRule="exact"/>
                </w:pPr>
                <w:r>
                  <w:rPr>
                    <w:rFonts w:hint="eastAsia"/>
                  </w:rPr>
                  <w:t>地址：中国北京西城区长椿街</w:t>
                </w:r>
                <w:r>
                  <w:rPr>
                    <w:rFonts w:hint="eastAsia"/>
                  </w:rPr>
                  <w:t>3</w:t>
                </w:r>
                <w:r>
                  <w:rPr>
                    <w:rFonts w:hint="eastAsia"/>
                  </w:rPr>
                  <w:t>号</w:t>
                </w:r>
                <w:r>
                  <w:rPr>
                    <w:rFonts w:hint="eastAsia"/>
                  </w:rPr>
                  <w:t xml:space="preserve">4 </w:t>
                </w:r>
                <w:r>
                  <w:rPr>
                    <w:rFonts w:hint="eastAsia"/>
                  </w:rPr>
                  <w:t>层</w:t>
                </w:r>
              </w:p>
            </w:tc>
            <w:tc>
              <w:tcPr>
                <w:tcW w:w="3625" w:type="dxa"/>
              </w:tcPr>
              <w:p w:rsidR="00D12D7D" w:rsidRDefault="00D12D7D" w:rsidP="000B01C0">
                <w:pPr>
                  <w:spacing w:after="120" w:line="240" w:lineRule="exact"/>
                </w:pPr>
                <w:r>
                  <w:rPr>
                    <w:rFonts w:hint="eastAsia"/>
                  </w:rPr>
                  <w:t>电话：</w:t>
                </w:r>
                <w:r>
                  <w:rPr>
                    <w:rFonts w:hint="eastAsia"/>
                  </w:rPr>
                  <w:t>0755-83831378</w:t>
                </w:r>
              </w:p>
              <w:p w:rsidR="00D12D7D" w:rsidRDefault="00D12D7D" w:rsidP="000B01C0">
                <w:pPr>
                  <w:spacing w:after="120" w:line="240" w:lineRule="exact"/>
                </w:pPr>
                <w:r>
                  <w:rPr>
                    <w:rFonts w:hint="eastAsia"/>
                  </w:rPr>
                  <w:t>传真：</w:t>
                </w:r>
                <w:r>
                  <w:rPr>
                    <w:rFonts w:hint="eastAsia"/>
                  </w:rPr>
                  <w:t>0755-83830558</w:t>
                </w:r>
              </w:p>
              <w:p w:rsidR="00D12D7D" w:rsidRDefault="00D12D7D" w:rsidP="000B01C0">
                <w:pPr>
                  <w:spacing w:after="120" w:line="240" w:lineRule="exact"/>
                </w:pPr>
                <w:r>
                  <w:rPr>
                    <w:rFonts w:hint="eastAsia"/>
                  </w:rPr>
                  <w:t>邮箱：</w:t>
                </w:r>
                <w:r>
                  <w:rPr>
                    <w:rFonts w:hint="eastAsia"/>
                  </w:rPr>
                  <w:t>researchsz@gjzq.com.cn</w:t>
                </w:r>
              </w:p>
              <w:p w:rsidR="00D12D7D" w:rsidRDefault="00D12D7D" w:rsidP="000B01C0">
                <w:pPr>
                  <w:spacing w:after="120" w:line="240" w:lineRule="exact"/>
                </w:pPr>
                <w:r>
                  <w:rPr>
                    <w:rFonts w:hint="eastAsia"/>
                  </w:rPr>
                  <w:t>邮编：</w:t>
                </w:r>
                <w:r>
                  <w:rPr>
                    <w:rFonts w:hint="eastAsia"/>
                  </w:rPr>
                  <w:t>518000</w:t>
                </w:r>
              </w:p>
              <w:p w:rsidR="00D12D7D" w:rsidRDefault="00D12D7D" w:rsidP="000B01C0">
                <w:pPr>
                  <w:spacing w:after="120" w:line="240" w:lineRule="exact"/>
                </w:pPr>
                <w:r>
                  <w:rPr>
                    <w:rFonts w:hint="eastAsia"/>
                  </w:rPr>
                  <w:t>地址：中国深圳福田区深南大道</w:t>
                </w:r>
                <w:r>
                  <w:rPr>
                    <w:rFonts w:hint="eastAsia"/>
                  </w:rPr>
                  <w:t>4001</w:t>
                </w:r>
                <w:r>
                  <w:rPr>
                    <w:rFonts w:hint="eastAsia"/>
                  </w:rPr>
                  <w:t>号</w:t>
                </w:r>
              </w:p>
              <w:p w:rsidR="004C64E0" w:rsidRDefault="00D12D7D" w:rsidP="000B01C0">
                <w:pPr>
                  <w:spacing w:after="120" w:line="240" w:lineRule="exact"/>
                </w:pPr>
                <w:r>
                  <w:rPr>
                    <w:rFonts w:hint="eastAsia"/>
                  </w:rPr>
                  <w:t xml:space="preserve">           </w:t>
                </w:r>
                <w:r>
                  <w:rPr>
                    <w:rFonts w:hint="eastAsia"/>
                  </w:rPr>
                  <w:t>时代金融中心</w:t>
                </w:r>
                <w:r>
                  <w:rPr>
                    <w:rFonts w:hint="eastAsia"/>
                  </w:rPr>
                  <w:t>7BD</w:t>
                </w:r>
              </w:p>
            </w:tc>
          </w:tr>
        </w:tbl>
        <w:p w:rsidR="00E1684A" w:rsidRDefault="00557EF6" w:rsidP="00D12D7D">
          <w:pPr>
            <w:spacing w:line="14" w:lineRule="exact"/>
          </w:pPr>
        </w:p>
      </w:sdtContent>
    </w:sdt>
    <w:p w:rsidR="005E311D" w:rsidRPr="00ED77B9" w:rsidRDefault="005E311D" w:rsidP="00ED77B9"/>
    <w:sectPr w:rsidR="005E311D" w:rsidRPr="00ED77B9" w:rsidSect="00A87799">
      <w:headerReference w:type="default" r:id="rId27"/>
      <w:footerReference w:type="even" r:id="rId28"/>
      <w:footerReference w:type="default" r:id="rId29"/>
      <w:headerReference w:type="first" r:id="rId30"/>
      <w:footerReference w:type="first" r:id="rId31"/>
      <w:type w:val="continuous"/>
      <w:pgSz w:w="11907" w:h="16840" w:code="9"/>
      <w:pgMar w:top="1440" w:right="624" w:bottom="1440" w:left="624" w:header="851"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EF6" w:rsidRDefault="00557EF6">
      <w:r>
        <w:separator/>
      </w:r>
    </w:p>
  </w:endnote>
  <w:endnote w:type="continuationSeparator" w:id="0">
    <w:p w:rsidR="00557EF6" w:rsidRDefault="0055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新宋体">
    <w:panose1 w:val="02010609030101010101"/>
    <w:charset w:val="86"/>
    <w:family w:val="modern"/>
    <w:pitch w:val="fixed"/>
    <w:sig w:usb0="00000003" w:usb1="288F0000" w:usb2="00000016" w:usb3="00000000" w:csb0="00040001" w:csb1="00000000"/>
  </w:font>
  <w:font w:name="Marlett">
    <w:panose1 w:val="00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ED" w:rsidRDefault="00276AE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76AED" w:rsidRDefault="00276AE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ED" w:rsidRPr="00A30364" w:rsidRDefault="00557EF6" w:rsidP="007F6DAF">
    <w:pPr>
      <w:pStyle w:val="a6"/>
      <w:pBdr>
        <w:bottom w:val="none" w:sz="0" w:space="0" w:color="auto"/>
      </w:pBdr>
      <w:rPr>
        <w:rFonts w:ascii="LucidaSans" w:hAnsi="LucidaSans"/>
        <w:b/>
      </w:rPr>
    </w:pPr>
    <w:r>
      <w:rPr>
        <w:noProof/>
      </w:rPr>
      <w:pict>
        <v:line id="Line 34" o:spid="_x0000_s205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5pt,-.6pt" to="54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" strokecolor="#00a0e9"/>
      </w:pict>
    </w:r>
    <w:r w:rsidR="00276AED" w:rsidRPr="00A30364">
      <w:rPr>
        <w:rFonts w:ascii="LucidaSans" w:hAnsi="LucidaSans"/>
        <w:b/>
        <w:szCs w:val="21"/>
      </w:rPr>
      <w:t xml:space="preserve">- </w:t>
    </w:r>
    <w:r w:rsidR="00276AED" w:rsidRPr="003C4E1B">
      <w:rPr>
        <w:b/>
        <w:szCs w:val="21"/>
      </w:rPr>
      <w:fldChar w:fldCharType="begin"/>
    </w:r>
    <w:r w:rsidR="00276AED" w:rsidRPr="003C4E1B">
      <w:rPr>
        <w:b/>
        <w:szCs w:val="21"/>
      </w:rPr>
      <w:instrText xml:space="preserve"> PAGE </w:instrText>
    </w:r>
    <w:r w:rsidR="00276AED" w:rsidRPr="003C4E1B">
      <w:rPr>
        <w:b/>
        <w:szCs w:val="21"/>
      </w:rPr>
      <w:fldChar w:fldCharType="separate"/>
    </w:r>
    <w:r w:rsidR="00E559CD">
      <w:rPr>
        <w:b/>
        <w:noProof/>
        <w:szCs w:val="21"/>
      </w:rPr>
      <w:t>2</w:t>
    </w:r>
    <w:r w:rsidR="00276AED" w:rsidRPr="003C4E1B">
      <w:rPr>
        <w:b/>
        <w:szCs w:val="21"/>
      </w:rPr>
      <w:fldChar w:fldCharType="end"/>
    </w:r>
    <w:r w:rsidR="00276AED" w:rsidRPr="00A30364">
      <w:rPr>
        <w:rFonts w:ascii="LucidaSans" w:hAnsi="LucidaSans"/>
        <w:b/>
        <w:szCs w:val="21"/>
      </w:rPr>
      <w:t xml:space="preserve"> -</w:t>
    </w:r>
  </w:p>
  <w:p w:rsidR="00276AED" w:rsidRDefault="00276AED" w:rsidP="0007511E">
    <w:pPr>
      <w:pStyle w:val="a6"/>
      <w:pBdr>
        <w:bottom w:val="none" w:sz="0" w:space="0" w:color="auto"/>
      </w:pBdr>
      <w:jc w:val="left"/>
      <w:rPr>
        <w:rFonts w:ascii="LucidaSans" w:hAnsi="LucidaSans"/>
      </w:rPr>
    </w:pPr>
    <w:r>
      <w:rPr>
        <w:rFonts w:ascii="LucidaSans" w:hAnsi="LucidaSans" w:hint="eastAsia"/>
      </w:rPr>
      <w:t>敬请参阅最后一页特别声明</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ED" w:rsidRPr="00A30364" w:rsidRDefault="00557EF6" w:rsidP="00A30364">
    <w:pPr>
      <w:pStyle w:val="a4"/>
      <w:tabs>
        <w:tab w:val="center" w:pos="5103"/>
      </w:tabs>
      <w:jc w:val="center"/>
      <w:rPr>
        <w:rFonts w:cs="Arial"/>
        <w:b/>
      </w:rPr>
    </w:pPr>
    <w:r>
      <w:rPr>
        <w:noProof/>
      </w:rPr>
      <w:pict>
        <v:line id="Line 35" o:spid="_x0000_s2055"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8pt,.5pt" to="57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" strokecolor="#00a0e9"/>
      </w:pict>
    </w:r>
    <w:r>
      <w:rPr>
        <w:noProof/>
      </w:rPr>
      <w:pict>
        <v:rect id="Rectangle 33" o:spid="_x0000_s2054" style="position:absolute;left:0;text-align:left;margin-left:-31.8pt;margin-top:24.65pt;width:596.1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" fillcolor="#eaeaea" stroked="f" strokecolor="#f8f8f8">
          <v:fill opacity="39321f"/>
          <v:textbox>
            <w:txbxContent>
              <w:p w:rsidR="00276AED" w:rsidRPr="0003281B" w:rsidRDefault="00276AED" w:rsidP="0003281B"/>
            </w:txbxContent>
          </v:textbox>
        </v:rect>
      </w:pict>
    </w:r>
    <w:r w:rsidR="00276AED" w:rsidRPr="00A30364">
      <w:rPr>
        <w:rFonts w:cs="Arial"/>
        <w:b/>
        <w:szCs w:val="21"/>
      </w:rPr>
      <w:t xml:space="preserve">- </w:t>
    </w:r>
    <w:r w:rsidR="00276AED" w:rsidRPr="00A30364">
      <w:rPr>
        <w:rFonts w:cs="Arial"/>
        <w:b/>
        <w:szCs w:val="21"/>
      </w:rPr>
      <w:fldChar w:fldCharType="begin"/>
    </w:r>
    <w:r w:rsidR="00276AED" w:rsidRPr="00A30364">
      <w:rPr>
        <w:rFonts w:cs="Arial"/>
        <w:b/>
        <w:szCs w:val="21"/>
      </w:rPr>
      <w:instrText xml:space="preserve"> PAGE </w:instrText>
    </w:r>
    <w:r w:rsidR="00276AED" w:rsidRPr="00A30364">
      <w:rPr>
        <w:rFonts w:cs="Arial"/>
        <w:b/>
        <w:szCs w:val="21"/>
      </w:rPr>
      <w:fldChar w:fldCharType="separate"/>
    </w:r>
    <w:r w:rsidR="00E559CD">
      <w:rPr>
        <w:rFonts w:cs="Arial"/>
        <w:b/>
        <w:noProof/>
        <w:szCs w:val="21"/>
      </w:rPr>
      <w:t>1</w:t>
    </w:r>
    <w:r w:rsidR="00276AED" w:rsidRPr="00A30364">
      <w:rPr>
        <w:rFonts w:cs="Arial"/>
        <w:b/>
        <w:szCs w:val="21"/>
      </w:rPr>
      <w:fldChar w:fldCharType="end"/>
    </w:r>
    <w:r w:rsidR="00276AED" w:rsidRPr="00A30364">
      <w:rPr>
        <w:rFonts w:cs="Arial"/>
        <w:b/>
        <w:szCs w:val="21"/>
      </w:rPr>
      <w:t xml:space="preserve"> -</w:t>
    </w:r>
  </w:p>
  <w:p w:rsidR="00276AED" w:rsidRDefault="00276AED">
    <w:r>
      <w:rPr>
        <w:rFonts w:cs="Arial" w:hint="eastAsia"/>
        <w:szCs w:val="18"/>
      </w:rPr>
      <w:t>敬请参阅最后一页特别声明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EF6" w:rsidRDefault="00557EF6">
      <w:r>
        <w:separator/>
      </w:r>
    </w:p>
  </w:footnote>
  <w:footnote w:type="continuationSeparator" w:id="0">
    <w:p w:rsidR="00557EF6" w:rsidRDefault="00557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ED" w:rsidRDefault="00557EF6" w:rsidP="00F72878">
    <w:pPr>
      <w:jc w:val="right"/>
    </w:pPr>
    <w:sdt>
      <w:sdtPr>
        <w:alias w:val="报告类型"/>
        <w:tag w:val="BDCONTENTCONTROL_451e08ee-3959-4251-8d5f-f302d5f0f153"/>
        <w:id w:val="631523797"/>
        <w:placeholder>
          <w:docPart w:val="840758A2AACC41E293F11170BDE67690"/>
        </w:placeholder>
        <w:text/>
      </w:sdtPr>
      <w:sdtEndPr/>
      <w:sdtContent>
        <w:r w:rsidR="00D12D7D">
          <w:rPr>
            <w:rFonts w:hint="eastAsia"/>
          </w:rPr>
          <w:t>基金投资策略报告</w:t>
        </w:r>
      </w:sdtContent>
    </w:sdt>
    <w:r>
      <w:rPr>
        <w:noProof/>
      </w:rPr>
      <w:pict>
        <v:shapetype id="_x0000_t202" coordsize="21600,21600" o:spt="202" path="m,l,21600r21600,l21600,xe">
          <v:stroke joinstyle="miter"/>
          <v:path gradientshapeok="t" o:connecttype="rect"/>
        </v:shapetype>
        <v:shape id="Text Box 18" o:spid="_x0000_s2058" type="#_x0000_t202" style="position:absolute;left:0;text-align:left;margin-left:-16.2pt;margin-top:31.05pt;width:101.45pt;height:29.7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" filled="f" stroked="f">
          <v:textbox style="mso-fit-shape-to-text:t">
            <w:txbxContent>
              <w:p w:rsidR="00276AED" w:rsidRPr="00E17DD1" w:rsidRDefault="00276AED" w:rsidP="005721EB">
                <w:r>
                  <w:rPr>
                    <w:noProof/>
                  </w:rPr>
                  <w:drawing>
                    <wp:inline distT="0" distB="0" distL="0" distR="0" wp14:anchorId="54CE2F58" wp14:editId="04FB2E6B">
                      <wp:extent cx="1095375" cy="276225"/>
                      <wp:effectExtent l="0" t="0" r="9525" b="9525"/>
                      <wp:docPr id="8" name="图片 2"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的-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p>
            </w:txbxContent>
          </v:textbox>
          <w10:wrap anchory="page"/>
        </v:shape>
      </w:pict>
    </w:r>
    <w:r>
      <w:rPr>
        <w:noProof/>
      </w:rPr>
      <w:pict>
        <v:line id="Line 27" o:spid="_x0000_s2057" style="position:absolute;left:0;text-align:left;z-index:25165619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3.8pt" to="548.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" strokecolor="#00a0e9"/>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ED" w:rsidRDefault="00276AED" w:rsidP="007F6DA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B7A"/>
    <w:multiLevelType w:val="multilevel"/>
    <w:tmpl w:val="3CDE5F16"/>
    <w:numStyleLink w:val="GJStylesContentMark"/>
  </w:abstractNum>
  <w:abstractNum w:abstractNumId="1">
    <w:nsid w:val="022C102E"/>
    <w:multiLevelType w:val="multilevel"/>
    <w:tmpl w:val="3CDE5F16"/>
    <w:numStyleLink w:val="GJStylesContentMark"/>
  </w:abstractNum>
  <w:abstractNum w:abstractNumId="2">
    <w:nsid w:val="04001E96"/>
    <w:multiLevelType w:val="multilevel"/>
    <w:tmpl w:val="1556E7D6"/>
    <w:numStyleLink w:val="GJStylesSummaryContentMark"/>
  </w:abstractNum>
  <w:abstractNum w:abstractNumId="3">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4">
    <w:nsid w:val="08333B74"/>
    <w:multiLevelType w:val="multilevel"/>
    <w:tmpl w:val="3CDE5F16"/>
    <w:numStyleLink w:val="GJStylesContentMark"/>
  </w:abstractNum>
  <w:abstractNum w:abstractNumId="5">
    <w:nsid w:val="08AF5ED3"/>
    <w:multiLevelType w:val="hybridMultilevel"/>
    <w:tmpl w:val="1FD23C90"/>
    <w:lvl w:ilvl="0" w:tplc="064266E0">
      <w:start w:val="1"/>
      <w:numFmt w:val="bullet"/>
      <w:lvlText w:val=""/>
      <w:lvlJc w:val="left"/>
      <w:pPr>
        <w:ind w:left="1241" w:hanging="420"/>
      </w:pPr>
      <w:rPr>
        <w:rFonts w:ascii="Wingdings 2" w:hAnsi="Wingdings 2" w:hint="default"/>
        <w:b w:val="0"/>
        <w:i w:val="0"/>
        <w:color w:val="auto"/>
        <w:sz w:val="18"/>
      </w:rPr>
    </w:lvl>
    <w:lvl w:ilvl="1" w:tplc="04090003" w:tentative="1">
      <w:start w:val="1"/>
      <w:numFmt w:val="bullet"/>
      <w:lvlText w:val=""/>
      <w:lvlJc w:val="left"/>
      <w:pPr>
        <w:ind w:left="1661" w:hanging="420"/>
      </w:pPr>
      <w:rPr>
        <w:rFonts w:ascii="Wingdings" w:hAnsi="Wingdings" w:hint="default"/>
      </w:rPr>
    </w:lvl>
    <w:lvl w:ilvl="2" w:tplc="04090005" w:tentative="1">
      <w:start w:val="1"/>
      <w:numFmt w:val="bullet"/>
      <w:lvlText w:val=""/>
      <w:lvlJc w:val="left"/>
      <w:pPr>
        <w:ind w:left="2081" w:hanging="420"/>
      </w:pPr>
      <w:rPr>
        <w:rFonts w:ascii="Wingdings" w:hAnsi="Wingdings" w:hint="default"/>
      </w:rPr>
    </w:lvl>
    <w:lvl w:ilvl="3" w:tplc="04090001" w:tentative="1">
      <w:start w:val="1"/>
      <w:numFmt w:val="bullet"/>
      <w:lvlText w:val=""/>
      <w:lvlJc w:val="left"/>
      <w:pPr>
        <w:ind w:left="2501" w:hanging="420"/>
      </w:pPr>
      <w:rPr>
        <w:rFonts w:ascii="Wingdings" w:hAnsi="Wingdings" w:hint="default"/>
      </w:rPr>
    </w:lvl>
    <w:lvl w:ilvl="4" w:tplc="04090003" w:tentative="1">
      <w:start w:val="1"/>
      <w:numFmt w:val="bullet"/>
      <w:lvlText w:val=""/>
      <w:lvlJc w:val="left"/>
      <w:pPr>
        <w:ind w:left="2921" w:hanging="420"/>
      </w:pPr>
      <w:rPr>
        <w:rFonts w:ascii="Wingdings" w:hAnsi="Wingdings" w:hint="default"/>
      </w:rPr>
    </w:lvl>
    <w:lvl w:ilvl="5" w:tplc="04090005" w:tentative="1">
      <w:start w:val="1"/>
      <w:numFmt w:val="bullet"/>
      <w:lvlText w:val=""/>
      <w:lvlJc w:val="left"/>
      <w:pPr>
        <w:ind w:left="3341" w:hanging="420"/>
      </w:pPr>
      <w:rPr>
        <w:rFonts w:ascii="Wingdings" w:hAnsi="Wingdings" w:hint="default"/>
      </w:rPr>
    </w:lvl>
    <w:lvl w:ilvl="6" w:tplc="04090001" w:tentative="1">
      <w:start w:val="1"/>
      <w:numFmt w:val="bullet"/>
      <w:lvlText w:val=""/>
      <w:lvlJc w:val="left"/>
      <w:pPr>
        <w:ind w:left="3761" w:hanging="420"/>
      </w:pPr>
      <w:rPr>
        <w:rFonts w:ascii="Wingdings" w:hAnsi="Wingdings" w:hint="default"/>
      </w:rPr>
    </w:lvl>
    <w:lvl w:ilvl="7" w:tplc="04090003" w:tentative="1">
      <w:start w:val="1"/>
      <w:numFmt w:val="bullet"/>
      <w:lvlText w:val=""/>
      <w:lvlJc w:val="left"/>
      <w:pPr>
        <w:ind w:left="4181" w:hanging="420"/>
      </w:pPr>
      <w:rPr>
        <w:rFonts w:ascii="Wingdings" w:hAnsi="Wingdings" w:hint="default"/>
      </w:rPr>
    </w:lvl>
    <w:lvl w:ilvl="8" w:tplc="04090005" w:tentative="1">
      <w:start w:val="1"/>
      <w:numFmt w:val="bullet"/>
      <w:lvlText w:val=""/>
      <w:lvlJc w:val="left"/>
      <w:pPr>
        <w:ind w:left="4601" w:hanging="420"/>
      </w:pPr>
      <w:rPr>
        <w:rFonts w:ascii="Wingdings" w:hAnsi="Wingdings" w:hint="default"/>
      </w:rPr>
    </w:lvl>
  </w:abstractNum>
  <w:abstractNum w:abstractNumId="6">
    <w:nsid w:val="093F6D8F"/>
    <w:multiLevelType w:val="hybridMultilevel"/>
    <w:tmpl w:val="B5F612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2434BC"/>
    <w:multiLevelType w:val="multilevel"/>
    <w:tmpl w:val="3CDE5F16"/>
    <w:numStyleLink w:val="GJStylesContentMark"/>
  </w:abstractNum>
  <w:abstractNum w:abstractNumId="8">
    <w:nsid w:val="161F4DCD"/>
    <w:multiLevelType w:val="multilevel"/>
    <w:tmpl w:val="1556E7D6"/>
    <w:numStyleLink w:val="GJStylesSummaryContentMark"/>
  </w:abstractNum>
  <w:abstractNum w:abstractNumId="9">
    <w:nsid w:val="16A5693A"/>
    <w:multiLevelType w:val="multilevel"/>
    <w:tmpl w:val="3CDE5F16"/>
    <w:numStyleLink w:val="GJStylesContentMark"/>
  </w:abstractNum>
  <w:abstractNum w:abstractNumId="10">
    <w:nsid w:val="209D5689"/>
    <w:multiLevelType w:val="hybridMultilevel"/>
    <w:tmpl w:val="1D1ABF00"/>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1E90D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226D6F70"/>
    <w:multiLevelType w:val="hybridMultilevel"/>
    <w:tmpl w:val="C9E4C4A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133399E"/>
    <w:multiLevelType w:val="multilevel"/>
    <w:tmpl w:val="1556E7D6"/>
    <w:styleLink w:val="GJStylesSummaryContentMark"/>
    <w:lvl w:ilvl="0">
      <w:start w:val="1"/>
      <w:numFmt w:val="bullet"/>
      <w:pStyle w:val="GJStylesSummaryContent"/>
      <w:lvlText w:val=""/>
      <w:lvlJc w:val="left"/>
      <w:pPr>
        <w:ind w:left="840" w:hanging="420"/>
      </w:pPr>
      <w:rPr>
        <w:rFonts w:ascii="Wingdings" w:hAnsi="Wingdings" w:hint="default"/>
        <w:b w:val="0"/>
        <w:i w:val="0"/>
        <w:color w:val="auto"/>
        <w:sz w:val="18"/>
      </w:rPr>
    </w:lvl>
    <w:lvl w:ilvl="1">
      <w:start w:val="1"/>
      <w:numFmt w:val="bullet"/>
      <w:pStyle w:val="GJStylesSummarySubContent"/>
      <w:lvlText w:val=""/>
      <w:lvlJc w:val="left"/>
      <w:pPr>
        <w:ind w:left="1260" w:hanging="420"/>
      </w:pPr>
      <w:rPr>
        <w:rFonts w:ascii="Wingdings 2" w:hAnsi="Wingdings 2" w:hint="default"/>
        <w:sz w:val="15"/>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33877569"/>
    <w:multiLevelType w:val="hybridMultilevel"/>
    <w:tmpl w:val="2FA8D094"/>
    <w:lvl w:ilvl="0" w:tplc="064266E0">
      <w:start w:val="1"/>
      <w:numFmt w:val="bullet"/>
      <w:lvlText w:val=""/>
      <w:lvlJc w:val="left"/>
      <w:pPr>
        <w:ind w:left="840" w:hanging="420"/>
      </w:pPr>
      <w:rPr>
        <w:rFonts w:ascii="Wingdings 2" w:hAnsi="Wingdings 2" w:hint="default"/>
        <w:b w:val="0"/>
        <w:i w:val="0"/>
        <w:color w:val="auto"/>
        <w:sz w:val="18"/>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36004F02"/>
    <w:multiLevelType w:val="multilevel"/>
    <w:tmpl w:val="3CDE5F16"/>
    <w:numStyleLink w:val="GJStylesContentMark"/>
  </w:abstractNum>
  <w:abstractNum w:abstractNumId="16">
    <w:nsid w:val="41A645CE"/>
    <w:multiLevelType w:val="multilevel"/>
    <w:tmpl w:val="3CDE5F16"/>
    <w:numStyleLink w:val="GJStylesContentMark"/>
  </w:abstractNum>
  <w:abstractNum w:abstractNumId="17">
    <w:nsid w:val="44D96BA6"/>
    <w:multiLevelType w:val="multilevel"/>
    <w:tmpl w:val="1556E7D6"/>
    <w:numStyleLink w:val="GJStylesSummaryContentMark"/>
  </w:abstractNum>
  <w:abstractNum w:abstractNumId="18">
    <w:nsid w:val="44E1352C"/>
    <w:multiLevelType w:val="multilevel"/>
    <w:tmpl w:val="3CDE5F16"/>
    <w:numStyleLink w:val="GJStylesContentMark"/>
  </w:abstractNum>
  <w:abstractNum w:abstractNumId="19">
    <w:nsid w:val="47567D89"/>
    <w:multiLevelType w:val="multilevel"/>
    <w:tmpl w:val="7CBE05E2"/>
    <w:styleLink w:val="GJStylesContentMarkWide"/>
    <w:lvl w:ilvl="0">
      <w:start w:val="1"/>
      <w:numFmt w:val="bullet"/>
      <w:lvlText w:val=""/>
      <w:lvlJc w:val="left"/>
      <w:pPr>
        <w:ind w:left="850" w:hanging="425"/>
      </w:pPr>
      <w:rPr>
        <w:rFonts w:ascii="Wingdings 2" w:hAnsi="Wingdings 2" w:hint="default"/>
        <w:color w:val="auto"/>
      </w:rPr>
    </w:lvl>
    <w:lvl w:ilvl="1">
      <w:start w:val="1"/>
      <w:numFmt w:val="bullet"/>
      <w:lvlText w:val=""/>
      <w:lvlJc w:val="left"/>
      <w:pPr>
        <w:ind w:left="1417" w:hanging="567"/>
      </w:pPr>
      <w:rPr>
        <w:rFonts w:ascii="Wingdings 2" w:hAnsi="Wingdings 2" w:hint="default"/>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0">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tentative="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1">
    <w:nsid w:val="4E0270AD"/>
    <w:multiLevelType w:val="multilevel"/>
    <w:tmpl w:val="3CDE5F16"/>
    <w:styleLink w:val="GJStylesContentMark"/>
    <w:lvl w:ilvl="0">
      <w:start w:val="1"/>
      <w:numFmt w:val="bullet"/>
      <w:pStyle w:val="GJStylesContentThirdTitle"/>
      <w:lvlText w:val=""/>
      <w:lvlJc w:val="left"/>
      <w:pPr>
        <w:tabs>
          <w:tab w:val="num" w:pos="3430"/>
        </w:tabs>
        <w:ind w:left="3799" w:hanging="369"/>
      </w:pPr>
      <w:rPr>
        <w:rFonts w:ascii="Wingdings 2" w:hAnsi="Wingdings 2" w:hint="default"/>
        <w:color w:val="auto"/>
      </w:rPr>
    </w:lvl>
    <w:lvl w:ilvl="1">
      <w:start w:val="1"/>
      <w:numFmt w:val="bullet"/>
      <w:pStyle w:val="GJStylesContentFourTitle"/>
      <w:lvlText w:val=""/>
      <w:lvlJc w:val="left"/>
      <w:pPr>
        <w:ind w:left="4190" w:hanging="419"/>
      </w:pPr>
      <w:rPr>
        <w:rFonts w:ascii="Wingdings 2" w:hAnsi="Wingdings 2"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4E7C3CC1"/>
    <w:multiLevelType w:val="hybridMultilevel"/>
    <w:tmpl w:val="60FAACEA"/>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tentative="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064266E0">
      <w:start w:val="1"/>
      <w:numFmt w:val="bullet"/>
      <w:lvlText w:val=""/>
      <w:lvlJc w:val="left"/>
      <w:pPr>
        <w:tabs>
          <w:tab w:val="num" w:pos="4191"/>
        </w:tabs>
        <w:ind w:left="4191" w:hanging="420"/>
      </w:pPr>
      <w:rPr>
        <w:rFonts w:ascii="Wingdings 2" w:hAnsi="Wingdings 2" w:hint="default"/>
        <w:b w:val="0"/>
        <w:i w:val="0"/>
        <w:color w:val="auto"/>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3">
    <w:nsid w:val="515021FA"/>
    <w:multiLevelType w:val="multilevel"/>
    <w:tmpl w:val="1556E7D6"/>
    <w:numStyleLink w:val="GJStylesSummaryContentMark"/>
  </w:abstractNum>
  <w:abstractNum w:abstractNumId="24">
    <w:nsid w:val="5ADD1880"/>
    <w:multiLevelType w:val="hybridMultilevel"/>
    <w:tmpl w:val="3358225E"/>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5DD2D9F"/>
    <w:multiLevelType w:val="multilevel"/>
    <w:tmpl w:val="3CDE5F16"/>
    <w:numStyleLink w:val="GJStylesContentMark"/>
  </w:abstractNum>
  <w:abstractNum w:abstractNumId="26">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abstractNum w:abstractNumId="27">
    <w:nsid w:val="686369BF"/>
    <w:multiLevelType w:val="multilevel"/>
    <w:tmpl w:val="1556E7D6"/>
    <w:numStyleLink w:val="GJStylesSummaryContentMark"/>
  </w:abstractNum>
  <w:abstractNum w:abstractNumId="28">
    <w:nsid w:val="6BF1418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nsid w:val="72754749"/>
    <w:multiLevelType w:val="multilevel"/>
    <w:tmpl w:val="1556E7D6"/>
    <w:numStyleLink w:val="GJStylesSummaryContentMark"/>
  </w:abstractNum>
  <w:abstractNum w:abstractNumId="30">
    <w:nsid w:val="73777A50"/>
    <w:multiLevelType w:val="multilevel"/>
    <w:tmpl w:val="3CDE5F16"/>
    <w:numStyleLink w:val="GJStylesContentMark"/>
  </w:abstractNum>
  <w:abstractNum w:abstractNumId="31">
    <w:nsid w:val="743E305A"/>
    <w:multiLevelType w:val="hybridMultilevel"/>
    <w:tmpl w:val="6196488C"/>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C284D5A"/>
    <w:multiLevelType w:val="multilevel"/>
    <w:tmpl w:val="3CDE5F16"/>
    <w:numStyleLink w:val="GJStylesContentMark"/>
  </w:abstractNum>
  <w:abstractNum w:abstractNumId="33">
    <w:nsid w:val="7C8139AA"/>
    <w:multiLevelType w:val="multilevel"/>
    <w:tmpl w:val="3CDE5F16"/>
    <w:numStyleLink w:val="GJStylesContentMark"/>
  </w:abstractNum>
  <w:num w:numId="1">
    <w:abstractNumId w:val="26"/>
  </w:num>
  <w:num w:numId="2">
    <w:abstractNumId w:val="3"/>
  </w:num>
  <w:num w:numId="3">
    <w:abstractNumId w:val="20"/>
  </w:num>
  <w:num w:numId="4">
    <w:abstractNumId w:val="22"/>
  </w:num>
  <w:num w:numId="5">
    <w:abstractNumId w:val="10"/>
  </w:num>
  <w:num w:numId="6">
    <w:abstractNumId w:val="13"/>
  </w:num>
  <w:num w:numId="7">
    <w:abstractNumId w:val="21"/>
  </w:num>
  <w:num w:numId="8">
    <w:abstractNumId w:val="27"/>
  </w:num>
  <w:num w:numId="9">
    <w:abstractNumId w:val="15"/>
  </w:num>
  <w:num w:numId="10">
    <w:abstractNumId w:val="19"/>
  </w:num>
  <w:num w:numId="11">
    <w:abstractNumId w:val="28"/>
  </w:num>
  <w:num w:numId="12">
    <w:abstractNumId w:val="2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 w:numId="16">
    <w:abstractNumId w:val="8"/>
  </w:num>
  <w:num w:numId="17">
    <w:abstractNumId w:val="23"/>
  </w:num>
  <w:num w:numId="18">
    <w:abstractNumId w:val="17"/>
  </w:num>
  <w:num w:numId="19">
    <w:abstractNumId w:val="29"/>
  </w:num>
  <w:num w:numId="20">
    <w:abstractNumId w:val="11"/>
  </w:num>
  <w:num w:numId="21">
    <w:abstractNumId w:val="16"/>
  </w:num>
  <w:num w:numId="22">
    <w:abstractNumId w:val="0"/>
  </w:num>
  <w:num w:numId="23">
    <w:abstractNumId w:val="18"/>
  </w:num>
  <w:num w:numId="24">
    <w:abstractNumId w:val="9"/>
  </w:num>
  <w:num w:numId="25">
    <w:abstractNumId w:val="1"/>
  </w:num>
  <w:num w:numId="26">
    <w:abstractNumId w:val="7"/>
  </w:num>
  <w:num w:numId="27">
    <w:abstractNumId w:val="25"/>
  </w:num>
  <w:num w:numId="28">
    <w:abstractNumId w:val="4"/>
  </w:num>
  <w:num w:numId="29">
    <w:abstractNumId w:val="30"/>
  </w:num>
  <w:num w:numId="30">
    <w:abstractNumId w:val="32"/>
  </w:num>
  <w:num w:numId="31">
    <w:abstractNumId w:val="33"/>
  </w:num>
  <w:num w:numId="32">
    <w:abstractNumId w:val="31"/>
  </w:num>
  <w:num w:numId="33">
    <w:abstractNumId w:val="6"/>
  </w:num>
  <w:num w:numId="34">
    <w:abstractNumId w:val="14"/>
  </w:num>
  <w:num w:numId="3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9" style="mso-position-horizontal-relative:page;mso-position-vertical-relative:page" fill="f" fillcolor="blue" strokecolor="blue">
      <v:fill color="blue" on="f"/>
      <v:stroke color="blue"/>
      <o:colormru v:ext="edit" colors="#d7e4f0,#7494c3,#003765"/>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D29C4"/>
    <w:rsid w:val="000004CC"/>
    <w:rsid w:val="00002BE4"/>
    <w:rsid w:val="00003774"/>
    <w:rsid w:val="00004320"/>
    <w:rsid w:val="0000572E"/>
    <w:rsid w:val="000106FC"/>
    <w:rsid w:val="00013EB2"/>
    <w:rsid w:val="0001492B"/>
    <w:rsid w:val="00014B77"/>
    <w:rsid w:val="00014F51"/>
    <w:rsid w:val="0002045A"/>
    <w:rsid w:val="000219EC"/>
    <w:rsid w:val="00021A32"/>
    <w:rsid w:val="000221E8"/>
    <w:rsid w:val="0002347C"/>
    <w:rsid w:val="00023D3A"/>
    <w:rsid w:val="00025049"/>
    <w:rsid w:val="00026458"/>
    <w:rsid w:val="00030007"/>
    <w:rsid w:val="00031106"/>
    <w:rsid w:val="000319DC"/>
    <w:rsid w:val="00032255"/>
    <w:rsid w:val="0003281B"/>
    <w:rsid w:val="00032EE6"/>
    <w:rsid w:val="00033099"/>
    <w:rsid w:val="000336C0"/>
    <w:rsid w:val="000343B3"/>
    <w:rsid w:val="00034B6F"/>
    <w:rsid w:val="000368BD"/>
    <w:rsid w:val="000374D7"/>
    <w:rsid w:val="000424AC"/>
    <w:rsid w:val="00043630"/>
    <w:rsid w:val="00044C1E"/>
    <w:rsid w:val="00045BB2"/>
    <w:rsid w:val="000464EF"/>
    <w:rsid w:val="00051253"/>
    <w:rsid w:val="0005161F"/>
    <w:rsid w:val="00051AFD"/>
    <w:rsid w:val="000528A0"/>
    <w:rsid w:val="000528AB"/>
    <w:rsid w:val="00054005"/>
    <w:rsid w:val="000576EE"/>
    <w:rsid w:val="0006128E"/>
    <w:rsid w:val="000622E5"/>
    <w:rsid w:val="0006435D"/>
    <w:rsid w:val="00070B6F"/>
    <w:rsid w:val="00070EA5"/>
    <w:rsid w:val="00070F25"/>
    <w:rsid w:val="00071EB8"/>
    <w:rsid w:val="000748FA"/>
    <w:rsid w:val="00074B53"/>
    <w:rsid w:val="0007511E"/>
    <w:rsid w:val="00080902"/>
    <w:rsid w:val="00080AF3"/>
    <w:rsid w:val="000810F3"/>
    <w:rsid w:val="00082E94"/>
    <w:rsid w:val="0008444C"/>
    <w:rsid w:val="00090567"/>
    <w:rsid w:val="00090CDA"/>
    <w:rsid w:val="00091670"/>
    <w:rsid w:val="00091CB7"/>
    <w:rsid w:val="000939AA"/>
    <w:rsid w:val="000943F5"/>
    <w:rsid w:val="00094710"/>
    <w:rsid w:val="00096DCC"/>
    <w:rsid w:val="00096FFB"/>
    <w:rsid w:val="000A2612"/>
    <w:rsid w:val="000A44D7"/>
    <w:rsid w:val="000A6D82"/>
    <w:rsid w:val="000A7456"/>
    <w:rsid w:val="000A7AA6"/>
    <w:rsid w:val="000A7D02"/>
    <w:rsid w:val="000B001B"/>
    <w:rsid w:val="000B01C0"/>
    <w:rsid w:val="000B07ED"/>
    <w:rsid w:val="000B0E6B"/>
    <w:rsid w:val="000B265D"/>
    <w:rsid w:val="000B50B1"/>
    <w:rsid w:val="000B539C"/>
    <w:rsid w:val="000B5C96"/>
    <w:rsid w:val="000B78AA"/>
    <w:rsid w:val="000C065B"/>
    <w:rsid w:val="000C0A3A"/>
    <w:rsid w:val="000C2404"/>
    <w:rsid w:val="000C2EDE"/>
    <w:rsid w:val="000C484B"/>
    <w:rsid w:val="000C7D66"/>
    <w:rsid w:val="000C7EB1"/>
    <w:rsid w:val="000D1948"/>
    <w:rsid w:val="000D3153"/>
    <w:rsid w:val="000D5698"/>
    <w:rsid w:val="000D688F"/>
    <w:rsid w:val="000E12FC"/>
    <w:rsid w:val="000E2FF4"/>
    <w:rsid w:val="000E40C9"/>
    <w:rsid w:val="000E6203"/>
    <w:rsid w:val="000E6AE0"/>
    <w:rsid w:val="000F2643"/>
    <w:rsid w:val="000F4AB0"/>
    <w:rsid w:val="000F5142"/>
    <w:rsid w:val="000F61F9"/>
    <w:rsid w:val="000F72BA"/>
    <w:rsid w:val="000F738D"/>
    <w:rsid w:val="001025A9"/>
    <w:rsid w:val="00102FCE"/>
    <w:rsid w:val="001064A9"/>
    <w:rsid w:val="0010686C"/>
    <w:rsid w:val="00106ADD"/>
    <w:rsid w:val="00106FF6"/>
    <w:rsid w:val="001119C0"/>
    <w:rsid w:val="00113F7E"/>
    <w:rsid w:val="0011478F"/>
    <w:rsid w:val="001151C1"/>
    <w:rsid w:val="00122401"/>
    <w:rsid w:val="00122D86"/>
    <w:rsid w:val="00123AF2"/>
    <w:rsid w:val="00127D52"/>
    <w:rsid w:val="00130A54"/>
    <w:rsid w:val="00131E05"/>
    <w:rsid w:val="00132E65"/>
    <w:rsid w:val="00132E70"/>
    <w:rsid w:val="00133402"/>
    <w:rsid w:val="0013548E"/>
    <w:rsid w:val="0013641C"/>
    <w:rsid w:val="001377EB"/>
    <w:rsid w:val="00141C49"/>
    <w:rsid w:val="00141C88"/>
    <w:rsid w:val="0014285A"/>
    <w:rsid w:val="0014388E"/>
    <w:rsid w:val="00146968"/>
    <w:rsid w:val="00147350"/>
    <w:rsid w:val="00150313"/>
    <w:rsid w:val="001503CD"/>
    <w:rsid w:val="00150417"/>
    <w:rsid w:val="0015120D"/>
    <w:rsid w:val="0015265C"/>
    <w:rsid w:val="0015543F"/>
    <w:rsid w:val="0015629E"/>
    <w:rsid w:val="001602B1"/>
    <w:rsid w:val="0016153B"/>
    <w:rsid w:val="0016156D"/>
    <w:rsid w:val="00161CE1"/>
    <w:rsid w:val="00164EE1"/>
    <w:rsid w:val="00165EA0"/>
    <w:rsid w:val="00167E1A"/>
    <w:rsid w:val="00170C24"/>
    <w:rsid w:val="00176A15"/>
    <w:rsid w:val="00180167"/>
    <w:rsid w:val="00180272"/>
    <w:rsid w:val="00180733"/>
    <w:rsid w:val="001809E2"/>
    <w:rsid w:val="00181A5B"/>
    <w:rsid w:val="001820D1"/>
    <w:rsid w:val="001829B0"/>
    <w:rsid w:val="001837D4"/>
    <w:rsid w:val="00183D27"/>
    <w:rsid w:val="001865C6"/>
    <w:rsid w:val="001865FF"/>
    <w:rsid w:val="00186750"/>
    <w:rsid w:val="00194D9A"/>
    <w:rsid w:val="00194F5F"/>
    <w:rsid w:val="001953A5"/>
    <w:rsid w:val="001A0044"/>
    <w:rsid w:val="001A07F2"/>
    <w:rsid w:val="001A091B"/>
    <w:rsid w:val="001A1E48"/>
    <w:rsid w:val="001A247C"/>
    <w:rsid w:val="001A24EA"/>
    <w:rsid w:val="001A2AD4"/>
    <w:rsid w:val="001A2C79"/>
    <w:rsid w:val="001A3994"/>
    <w:rsid w:val="001A4819"/>
    <w:rsid w:val="001A67A0"/>
    <w:rsid w:val="001A6CF8"/>
    <w:rsid w:val="001B07C4"/>
    <w:rsid w:val="001B1467"/>
    <w:rsid w:val="001B2725"/>
    <w:rsid w:val="001B4033"/>
    <w:rsid w:val="001B4237"/>
    <w:rsid w:val="001B47B2"/>
    <w:rsid w:val="001B5CE8"/>
    <w:rsid w:val="001B6452"/>
    <w:rsid w:val="001C118C"/>
    <w:rsid w:val="001C1C32"/>
    <w:rsid w:val="001C40DD"/>
    <w:rsid w:val="001C4CE3"/>
    <w:rsid w:val="001C52BA"/>
    <w:rsid w:val="001C5AA3"/>
    <w:rsid w:val="001C5C2B"/>
    <w:rsid w:val="001C7914"/>
    <w:rsid w:val="001D0A95"/>
    <w:rsid w:val="001D0F58"/>
    <w:rsid w:val="001D24A0"/>
    <w:rsid w:val="001D3958"/>
    <w:rsid w:val="001D3DC3"/>
    <w:rsid w:val="001D4A05"/>
    <w:rsid w:val="001D7559"/>
    <w:rsid w:val="001E1FDB"/>
    <w:rsid w:val="001E24A0"/>
    <w:rsid w:val="001E5CB0"/>
    <w:rsid w:val="001E6529"/>
    <w:rsid w:val="001E72F3"/>
    <w:rsid w:val="001E7B3E"/>
    <w:rsid w:val="001F0514"/>
    <w:rsid w:val="001F1AE5"/>
    <w:rsid w:val="001F1EDA"/>
    <w:rsid w:val="001F2D26"/>
    <w:rsid w:val="001F4836"/>
    <w:rsid w:val="001F5094"/>
    <w:rsid w:val="001F79C4"/>
    <w:rsid w:val="00200D33"/>
    <w:rsid w:val="0020190A"/>
    <w:rsid w:val="00203AB8"/>
    <w:rsid w:val="0020511C"/>
    <w:rsid w:val="00205425"/>
    <w:rsid w:val="00205844"/>
    <w:rsid w:val="00206A8D"/>
    <w:rsid w:val="002071A0"/>
    <w:rsid w:val="002078CF"/>
    <w:rsid w:val="00212F4D"/>
    <w:rsid w:val="00213251"/>
    <w:rsid w:val="00213D4E"/>
    <w:rsid w:val="002170D3"/>
    <w:rsid w:val="00220363"/>
    <w:rsid w:val="00220D09"/>
    <w:rsid w:val="0022215E"/>
    <w:rsid w:val="00224810"/>
    <w:rsid w:val="0022768D"/>
    <w:rsid w:val="00230996"/>
    <w:rsid w:val="0023347E"/>
    <w:rsid w:val="00233B04"/>
    <w:rsid w:val="002347F7"/>
    <w:rsid w:val="00234C04"/>
    <w:rsid w:val="0024043A"/>
    <w:rsid w:val="002412D0"/>
    <w:rsid w:val="002416F4"/>
    <w:rsid w:val="00243205"/>
    <w:rsid w:val="0024447F"/>
    <w:rsid w:val="0024569B"/>
    <w:rsid w:val="002463F9"/>
    <w:rsid w:val="0025246E"/>
    <w:rsid w:val="00255EE8"/>
    <w:rsid w:val="00257C5B"/>
    <w:rsid w:val="00261B2D"/>
    <w:rsid w:val="00261E81"/>
    <w:rsid w:val="00262373"/>
    <w:rsid w:val="00263585"/>
    <w:rsid w:val="00264D37"/>
    <w:rsid w:val="002711AC"/>
    <w:rsid w:val="00273AF6"/>
    <w:rsid w:val="00275A0E"/>
    <w:rsid w:val="0027674A"/>
    <w:rsid w:val="00276AED"/>
    <w:rsid w:val="002807D9"/>
    <w:rsid w:val="002838A3"/>
    <w:rsid w:val="00284A26"/>
    <w:rsid w:val="0029022C"/>
    <w:rsid w:val="00292EB6"/>
    <w:rsid w:val="002978EA"/>
    <w:rsid w:val="002A1CCE"/>
    <w:rsid w:val="002A1D2C"/>
    <w:rsid w:val="002A24F5"/>
    <w:rsid w:val="002A5003"/>
    <w:rsid w:val="002A673A"/>
    <w:rsid w:val="002A6F88"/>
    <w:rsid w:val="002A771D"/>
    <w:rsid w:val="002B45D1"/>
    <w:rsid w:val="002B487A"/>
    <w:rsid w:val="002B4981"/>
    <w:rsid w:val="002C0205"/>
    <w:rsid w:val="002C0377"/>
    <w:rsid w:val="002C07DE"/>
    <w:rsid w:val="002C0968"/>
    <w:rsid w:val="002C456B"/>
    <w:rsid w:val="002C4E0E"/>
    <w:rsid w:val="002C4E8C"/>
    <w:rsid w:val="002C5AE2"/>
    <w:rsid w:val="002C6A7A"/>
    <w:rsid w:val="002D08AF"/>
    <w:rsid w:val="002D14E8"/>
    <w:rsid w:val="002D2654"/>
    <w:rsid w:val="002D29C4"/>
    <w:rsid w:val="002D3454"/>
    <w:rsid w:val="002D3741"/>
    <w:rsid w:val="002D4069"/>
    <w:rsid w:val="002E0D03"/>
    <w:rsid w:val="002E1B35"/>
    <w:rsid w:val="002E3E22"/>
    <w:rsid w:val="002E4642"/>
    <w:rsid w:val="002E5D74"/>
    <w:rsid w:val="002E61EA"/>
    <w:rsid w:val="002E6511"/>
    <w:rsid w:val="002E75AF"/>
    <w:rsid w:val="002E7EC3"/>
    <w:rsid w:val="002F25DE"/>
    <w:rsid w:val="002F355F"/>
    <w:rsid w:val="002F593A"/>
    <w:rsid w:val="002F5AE7"/>
    <w:rsid w:val="002F5BF7"/>
    <w:rsid w:val="002F6E11"/>
    <w:rsid w:val="00302B7E"/>
    <w:rsid w:val="003071B6"/>
    <w:rsid w:val="00307994"/>
    <w:rsid w:val="003127AF"/>
    <w:rsid w:val="00313166"/>
    <w:rsid w:val="003136D8"/>
    <w:rsid w:val="0031538A"/>
    <w:rsid w:val="00317099"/>
    <w:rsid w:val="003170B2"/>
    <w:rsid w:val="00317266"/>
    <w:rsid w:val="00320A7A"/>
    <w:rsid w:val="003224F1"/>
    <w:rsid w:val="00323DF0"/>
    <w:rsid w:val="003257B9"/>
    <w:rsid w:val="003277D6"/>
    <w:rsid w:val="003326E4"/>
    <w:rsid w:val="00340097"/>
    <w:rsid w:val="00340945"/>
    <w:rsid w:val="00341662"/>
    <w:rsid w:val="00341675"/>
    <w:rsid w:val="00342B1B"/>
    <w:rsid w:val="00344C85"/>
    <w:rsid w:val="003453BD"/>
    <w:rsid w:val="00346273"/>
    <w:rsid w:val="00347FF1"/>
    <w:rsid w:val="00351D32"/>
    <w:rsid w:val="0035208F"/>
    <w:rsid w:val="003551E8"/>
    <w:rsid w:val="00355A8C"/>
    <w:rsid w:val="003565F8"/>
    <w:rsid w:val="0035779A"/>
    <w:rsid w:val="0036471C"/>
    <w:rsid w:val="00366D76"/>
    <w:rsid w:val="00370570"/>
    <w:rsid w:val="003708AB"/>
    <w:rsid w:val="00373BE5"/>
    <w:rsid w:val="00374401"/>
    <w:rsid w:val="00375560"/>
    <w:rsid w:val="003770F6"/>
    <w:rsid w:val="00377B46"/>
    <w:rsid w:val="00377B96"/>
    <w:rsid w:val="00380602"/>
    <w:rsid w:val="00380A4C"/>
    <w:rsid w:val="0038171D"/>
    <w:rsid w:val="003823A5"/>
    <w:rsid w:val="003825A9"/>
    <w:rsid w:val="00383ECB"/>
    <w:rsid w:val="00385FE5"/>
    <w:rsid w:val="00390CEC"/>
    <w:rsid w:val="00391640"/>
    <w:rsid w:val="00392C2D"/>
    <w:rsid w:val="00392D30"/>
    <w:rsid w:val="003940E0"/>
    <w:rsid w:val="003A2F11"/>
    <w:rsid w:val="003A439D"/>
    <w:rsid w:val="003A54F6"/>
    <w:rsid w:val="003A604C"/>
    <w:rsid w:val="003A7A25"/>
    <w:rsid w:val="003B0DF7"/>
    <w:rsid w:val="003B1653"/>
    <w:rsid w:val="003B181C"/>
    <w:rsid w:val="003B4003"/>
    <w:rsid w:val="003B4093"/>
    <w:rsid w:val="003B66EA"/>
    <w:rsid w:val="003C07FD"/>
    <w:rsid w:val="003C100F"/>
    <w:rsid w:val="003C3975"/>
    <w:rsid w:val="003C3B56"/>
    <w:rsid w:val="003C4E1B"/>
    <w:rsid w:val="003C56FF"/>
    <w:rsid w:val="003D04AA"/>
    <w:rsid w:val="003D2CEC"/>
    <w:rsid w:val="003D34BE"/>
    <w:rsid w:val="003D637B"/>
    <w:rsid w:val="003D6C0B"/>
    <w:rsid w:val="003D7790"/>
    <w:rsid w:val="003E0662"/>
    <w:rsid w:val="003E19C5"/>
    <w:rsid w:val="003E588D"/>
    <w:rsid w:val="003E7A24"/>
    <w:rsid w:val="003F1DFD"/>
    <w:rsid w:val="003F4374"/>
    <w:rsid w:val="003F44DF"/>
    <w:rsid w:val="003F5FAF"/>
    <w:rsid w:val="003F5FC8"/>
    <w:rsid w:val="003F69AD"/>
    <w:rsid w:val="003F70C5"/>
    <w:rsid w:val="00400104"/>
    <w:rsid w:val="004007BB"/>
    <w:rsid w:val="004008F6"/>
    <w:rsid w:val="00404001"/>
    <w:rsid w:val="00405E6E"/>
    <w:rsid w:val="00406323"/>
    <w:rsid w:val="00411188"/>
    <w:rsid w:val="00411272"/>
    <w:rsid w:val="0041633D"/>
    <w:rsid w:val="004173B9"/>
    <w:rsid w:val="0041785A"/>
    <w:rsid w:val="004201B5"/>
    <w:rsid w:val="004220C6"/>
    <w:rsid w:val="00422B94"/>
    <w:rsid w:val="0042700B"/>
    <w:rsid w:val="004305C0"/>
    <w:rsid w:val="00431896"/>
    <w:rsid w:val="00432354"/>
    <w:rsid w:val="0043239D"/>
    <w:rsid w:val="00436046"/>
    <w:rsid w:val="004406DF"/>
    <w:rsid w:val="00440764"/>
    <w:rsid w:val="00441C53"/>
    <w:rsid w:val="004426FD"/>
    <w:rsid w:val="00442D78"/>
    <w:rsid w:val="00446939"/>
    <w:rsid w:val="00451748"/>
    <w:rsid w:val="00460D1B"/>
    <w:rsid w:val="00461F8F"/>
    <w:rsid w:val="00462605"/>
    <w:rsid w:val="00463263"/>
    <w:rsid w:val="0046331E"/>
    <w:rsid w:val="004652B5"/>
    <w:rsid w:val="00465D01"/>
    <w:rsid w:val="00466EE2"/>
    <w:rsid w:val="00467264"/>
    <w:rsid w:val="00470E0A"/>
    <w:rsid w:val="004720B7"/>
    <w:rsid w:val="004733CD"/>
    <w:rsid w:val="0047552D"/>
    <w:rsid w:val="00475F78"/>
    <w:rsid w:val="004763E7"/>
    <w:rsid w:val="00476412"/>
    <w:rsid w:val="00480AD3"/>
    <w:rsid w:val="0048332D"/>
    <w:rsid w:val="00484816"/>
    <w:rsid w:val="00487051"/>
    <w:rsid w:val="00487AA2"/>
    <w:rsid w:val="00490982"/>
    <w:rsid w:val="0049143A"/>
    <w:rsid w:val="00491683"/>
    <w:rsid w:val="00496669"/>
    <w:rsid w:val="00497028"/>
    <w:rsid w:val="004A0D0B"/>
    <w:rsid w:val="004A4FC7"/>
    <w:rsid w:val="004B14CE"/>
    <w:rsid w:val="004B15F5"/>
    <w:rsid w:val="004B4DD6"/>
    <w:rsid w:val="004B5B71"/>
    <w:rsid w:val="004B5D30"/>
    <w:rsid w:val="004B6C64"/>
    <w:rsid w:val="004B6D3C"/>
    <w:rsid w:val="004C1881"/>
    <w:rsid w:val="004C3757"/>
    <w:rsid w:val="004C4283"/>
    <w:rsid w:val="004C64E0"/>
    <w:rsid w:val="004D0440"/>
    <w:rsid w:val="004D1494"/>
    <w:rsid w:val="004D28D0"/>
    <w:rsid w:val="004D3BFA"/>
    <w:rsid w:val="004D5C9F"/>
    <w:rsid w:val="004D76AE"/>
    <w:rsid w:val="004D7D64"/>
    <w:rsid w:val="004D7FB3"/>
    <w:rsid w:val="004E0A1B"/>
    <w:rsid w:val="004E1C83"/>
    <w:rsid w:val="004E2B78"/>
    <w:rsid w:val="004E2C0D"/>
    <w:rsid w:val="004E2E08"/>
    <w:rsid w:val="004E2F6D"/>
    <w:rsid w:val="004E30B3"/>
    <w:rsid w:val="004E3213"/>
    <w:rsid w:val="004E4D0F"/>
    <w:rsid w:val="004E55B6"/>
    <w:rsid w:val="004E61F8"/>
    <w:rsid w:val="004E627E"/>
    <w:rsid w:val="004E6829"/>
    <w:rsid w:val="004E76D0"/>
    <w:rsid w:val="004F03CC"/>
    <w:rsid w:val="004F0AB3"/>
    <w:rsid w:val="004F2784"/>
    <w:rsid w:val="004F3338"/>
    <w:rsid w:val="004F3AE7"/>
    <w:rsid w:val="004F57FE"/>
    <w:rsid w:val="004F5D04"/>
    <w:rsid w:val="004F7C74"/>
    <w:rsid w:val="00501C4D"/>
    <w:rsid w:val="00505788"/>
    <w:rsid w:val="00507170"/>
    <w:rsid w:val="00510D65"/>
    <w:rsid w:val="00511E6C"/>
    <w:rsid w:val="005157E6"/>
    <w:rsid w:val="00515D58"/>
    <w:rsid w:val="005214D7"/>
    <w:rsid w:val="005217AE"/>
    <w:rsid w:val="00523011"/>
    <w:rsid w:val="005231B8"/>
    <w:rsid w:val="0052506B"/>
    <w:rsid w:val="005264A1"/>
    <w:rsid w:val="0052755F"/>
    <w:rsid w:val="00527CB3"/>
    <w:rsid w:val="00535B28"/>
    <w:rsid w:val="005363E6"/>
    <w:rsid w:val="00536940"/>
    <w:rsid w:val="00537116"/>
    <w:rsid w:val="005379A0"/>
    <w:rsid w:val="0054081F"/>
    <w:rsid w:val="0054218B"/>
    <w:rsid w:val="00544037"/>
    <w:rsid w:val="005519C0"/>
    <w:rsid w:val="005526E7"/>
    <w:rsid w:val="00552C2F"/>
    <w:rsid w:val="00554DE2"/>
    <w:rsid w:val="005552A5"/>
    <w:rsid w:val="005553CC"/>
    <w:rsid w:val="00555C07"/>
    <w:rsid w:val="005577B5"/>
    <w:rsid w:val="00557EF6"/>
    <w:rsid w:val="0056136E"/>
    <w:rsid w:val="00561E96"/>
    <w:rsid w:val="005631D5"/>
    <w:rsid w:val="00563BB7"/>
    <w:rsid w:val="0056434B"/>
    <w:rsid w:val="005657EA"/>
    <w:rsid w:val="00567DC4"/>
    <w:rsid w:val="00570976"/>
    <w:rsid w:val="00570D00"/>
    <w:rsid w:val="005721EB"/>
    <w:rsid w:val="00572FFB"/>
    <w:rsid w:val="00573AE0"/>
    <w:rsid w:val="00580667"/>
    <w:rsid w:val="00580A28"/>
    <w:rsid w:val="00581E5D"/>
    <w:rsid w:val="00581FA9"/>
    <w:rsid w:val="0058200E"/>
    <w:rsid w:val="005820FB"/>
    <w:rsid w:val="005843E0"/>
    <w:rsid w:val="005854BE"/>
    <w:rsid w:val="00585557"/>
    <w:rsid w:val="00587714"/>
    <w:rsid w:val="00587C3D"/>
    <w:rsid w:val="00590348"/>
    <w:rsid w:val="0059131D"/>
    <w:rsid w:val="00592AA9"/>
    <w:rsid w:val="005930C5"/>
    <w:rsid w:val="00594E62"/>
    <w:rsid w:val="00594EEE"/>
    <w:rsid w:val="005973E6"/>
    <w:rsid w:val="005A26BC"/>
    <w:rsid w:val="005A4369"/>
    <w:rsid w:val="005A4767"/>
    <w:rsid w:val="005A603C"/>
    <w:rsid w:val="005A66A2"/>
    <w:rsid w:val="005A6A6A"/>
    <w:rsid w:val="005B069B"/>
    <w:rsid w:val="005B247E"/>
    <w:rsid w:val="005B30C9"/>
    <w:rsid w:val="005C0169"/>
    <w:rsid w:val="005C2514"/>
    <w:rsid w:val="005C3784"/>
    <w:rsid w:val="005C466C"/>
    <w:rsid w:val="005C4C98"/>
    <w:rsid w:val="005C6B60"/>
    <w:rsid w:val="005C75E8"/>
    <w:rsid w:val="005C7721"/>
    <w:rsid w:val="005D0C99"/>
    <w:rsid w:val="005D19EF"/>
    <w:rsid w:val="005D3C8E"/>
    <w:rsid w:val="005D402F"/>
    <w:rsid w:val="005D7926"/>
    <w:rsid w:val="005D7B38"/>
    <w:rsid w:val="005E0923"/>
    <w:rsid w:val="005E0E69"/>
    <w:rsid w:val="005E2988"/>
    <w:rsid w:val="005E2B56"/>
    <w:rsid w:val="005E311D"/>
    <w:rsid w:val="005E36A8"/>
    <w:rsid w:val="005E3EAC"/>
    <w:rsid w:val="005E477F"/>
    <w:rsid w:val="005E4C41"/>
    <w:rsid w:val="005E54E0"/>
    <w:rsid w:val="005E6F7A"/>
    <w:rsid w:val="005E7F08"/>
    <w:rsid w:val="005F0D29"/>
    <w:rsid w:val="005F30C9"/>
    <w:rsid w:val="005F59CA"/>
    <w:rsid w:val="005F77FF"/>
    <w:rsid w:val="0060216C"/>
    <w:rsid w:val="00602631"/>
    <w:rsid w:val="006034B8"/>
    <w:rsid w:val="006041F6"/>
    <w:rsid w:val="00607327"/>
    <w:rsid w:val="00607BAA"/>
    <w:rsid w:val="00612794"/>
    <w:rsid w:val="006127F6"/>
    <w:rsid w:val="00612DD1"/>
    <w:rsid w:val="00612F8D"/>
    <w:rsid w:val="006140D2"/>
    <w:rsid w:val="00615281"/>
    <w:rsid w:val="00615CB2"/>
    <w:rsid w:val="00616BEA"/>
    <w:rsid w:val="00621D58"/>
    <w:rsid w:val="0062368A"/>
    <w:rsid w:val="0062489C"/>
    <w:rsid w:val="00624E42"/>
    <w:rsid w:val="00626256"/>
    <w:rsid w:val="00626F55"/>
    <w:rsid w:val="0062762D"/>
    <w:rsid w:val="00631C3D"/>
    <w:rsid w:val="00631EAF"/>
    <w:rsid w:val="00632EA0"/>
    <w:rsid w:val="00637FAA"/>
    <w:rsid w:val="0064126A"/>
    <w:rsid w:val="006449BF"/>
    <w:rsid w:val="00645394"/>
    <w:rsid w:val="006458BA"/>
    <w:rsid w:val="0064599D"/>
    <w:rsid w:val="0064780A"/>
    <w:rsid w:val="00647BD2"/>
    <w:rsid w:val="00651244"/>
    <w:rsid w:val="00652C9C"/>
    <w:rsid w:val="00655332"/>
    <w:rsid w:val="006555FA"/>
    <w:rsid w:val="006574A0"/>
    <w:rsid w:val="0065788C"/>
    <w:rsid w:val="006632A4"/>
    <w:rsid w:val="006674BF"/>
    <w:rsid w:val="006679ED"/>
    <w:rsid w:val="006700B1"/>
    <w:rsid w:val="006705A4"/>
    <w:rsid w:val="006705BA"/>
    <w:rsid w:val="006734B1"/>
    <w:rsid w:val="006762EA"/>
    <w:rsid w:val="0068056C"/>
    <w:rsid w:val="00681B2E"/>
    <w:rsid w:val="00682AD3"/>
    <w:rsid w:val="00682C2A"/>
    <w:rsid w:val="006841B6"/>
    <w:rsid w:val="0068469E"/>
    <w:rsid w:val="00686AC0"/>
    <w:rsid w:val="00686C0A"/>
    <w:rsid w:val="00687D39"/>
    <w:rsid w:val="00690713"/>
    <w:rsid w:val="00692C07"/>
    <w:rsid w:val="00695547"/>
    <w:rsid w:val="00695970"/>
    <w:rsid w:val="00697F39"/>
    <w:rsid w:val="006A19A5"/>
    <w:rsid w:val="006A214A"/>
    <w:rsid w:val="006A4CF3"/>
    <w:rsid w:val="006A5A9C"/>
    <w:rsid w:val="006A6902"/>
    <w:rsid w:val="006B0416"/>
    <w:rsid w:val="006B0553"/>
    <w:rsid w:val="006B146F"/>
    <w:rsid w:val="006B1684"/>
    <w:rsid w:val="006B2CDC"/>
    <w:rsid w:val="006B65A4"/>
    <w:rsid w:val="006B74A8"/>
    <w:rsid w:val="006B75C5"/>
    <w:rsid w:val="006C248C"/>
    <w:rsid w:val="006C2895"/>
    <w:rsid w:val="006C5074"/>
    <w:rsid w:val="006C6C4E"/>
    <w:rsid w:val="006C7622"/>
    <w:rsid w:val="006C7EB4"/>
    <w:rsid w:val="006D0435"/>
    <w:rsid w:val="006D08C1"/>
    <w:rsid w:val="006D1E53"/>
    <w:rsid w:val="006D493F"/>
    <w:rsid w:val="006D4BFD"/>
    <w:rsid w:val="006D5CDF"/>
    <w:rsid w:val="006D770C"/>
    <w:rsid w:val="006E1B4B"/>
    <w:rsid w:val="006E208A"/>
    <w:rsid w:val="006E3D11"/>
    <w:rsid w:val="006E40C7"/>
    <w:rsid w:val="006E4121"/>
    <w:rsid w:val="006E4A68"/>
    <w:rsid w:val="006E516D"/>
    <w:rsid w:val="006E551C"/>
    <w:rsid w:val="006E7425"/>
    <w:rsid w:val="006F074B"/>
    <w:rsid w:val="006F5B97"/>
    <w:rsid w:val="006F659C"/>
    <w:rsid w:val="006F74CD"/>
    <w:rsid w:val="007007AC"/>
    <w:rsid w:val="0070117D"/>
    <w:rsid w:val="00701FE8"/>
    <w:rsid w:val="00702391"/>
    <w:rsid w:val="00702BA4"/>
    <w:rsid w:val="0070455D"/>
    <w:rsid w:val="00704CDB"/>
    <w:rsid w:val="00705D4B"/>
    <w:rsid w:val="00711211"/>
    <w:rsid w:val="00713304"/>
    <w:rsid w:val="00715A81"/>
    <w:rsid w:val="0071687A"/>
    <w:rsid w:val="007172E8"/>
    <w:rsid w:val="007217A1"/>
    <w:rsid w:val="00722B64"/>
    <w:rsid w:val="00722D30"/>
    <w:rsid w:val="00725738"/>
    <w:rsid w:val="00730B1B"/>
    <w:rsid w:val="007331A2"/>
    <w:rsid w:val="007348B4"/>
    <w:rsid w:val="00734EDE"/>
    <w:rsid w:val="0073585A"/>
    <w:rsid w:val="00737F27"/>
    <w:rsid w:val="00744C7E"/>
    <w:rsid w:val="00744E53"/>
    <w:rsid w:val="007474B2"/>
    <w:rsid w:val="007476DC"/>
    <w:rsid w:val="0075038E"/>
    <w:rsid w:val="007545AC"/>
    <w:rsid w:val="0075491B"/>
    <w:rsid w:val="007601FD"/>
    <w:rsid w:val="00760542"/>
    <w:rsid w:val="007605C0"/>
    <w:rsid w:val="00760E29"/>
    <w:rsid w:val="00762C2C"/>
    <w:rsid w:val="00762F0E"/>
    <w:rsid w:val="00763539"/>
    <w:rsid w:val="00763F69"/>
    <w:rsid w:val="0076629A"/>
    <w:rsid w:val="00767BD1"/>
    <w:rsid w:val="00773239"/>
    <w:rsid w:val="00776739"/>
    <w:rsid w:val="00776898"/>
    <w:rsid w:val="00777222"/>
    <w:rsid w:val="007774CA"/>
    <w:rsid w:val="00777AD0"/>
    <w:rsid w:val="007823D1"/>
    <w:rsid w:val="00782C5F"/>
    <w:rsid w:val="007830D0"/>
    <w:rsid w:val="00784D23"/>
    <w:rsid w:val="00785EA8"/>
    <w:rsid w:val="00786160"/>
    <w:rsid w:val="007867E9"/>
    <w:rsid w:val="00791DC7"/>
    <w:rsid w:val="00792DB7"/>
    <w:rsid w:val="00795251"/>
    <w:rsid w:val="0079581C"/>
    <w:rsid w:val="007966C4"/>
    <w:rsid w:val="0079679B"/>
    <w:rsid w:val="007A0F8B"/>
    <w:rsid w:val="007A6317"/>
    <w:rsid w:val="007B2943"/>
    <w:rsid w:val="007B33CC"/>
    <w:rsid w:val="007B4897"/>
    <w:rsid w:val="007B4F41"/>
    <w:rsid w:val="007B7701"/>
    <w:rsid w:val="007C03B5"/>
    <w:rsid w:val="007C43D9"/>
    <w:rsid w:val="007D0FE7"/>
    <w:rsid w:val="007D2023"/>
    <w:rsid w:val="007D3C1D"/>
    <w:rsid w:val="007D4315"/>
    <w:rsid w:val="007D44C5"/>
    <w:rsid w:val="007D6D43"/>
    <w:rsid w:val="007E0E76"/>
    <w:rsid w:val="007E1530"/>
    <w:rsid w:val="007E2D2F"/>
    <w:rsid w:val="007E6A11"/>
    <w:rsid w:val="007E7584"/>
    <w:rsid w:val="007E7B9C"/>
    <w:rsid w:val="007F139B"/>
    <w:rsid w:val="007F3E0D"/>
    <w:rsid w:val="007F47E6"/>
    <w:rsid w:val="007F55E1"/>
    <w:rsid w:val="007F6DAF"/>
    <w:rsid w:val="00801AEC"/>
    <w:rsid w:val="00802801"/>
    <w:rsid w:val="00803125"/>
    <w:rsid w:val="0080465B"/>
    <w:rsid w:val="008075AB"/>
    <w:rsid w:val="00810034"/>
    <w:rsid w:val="00810AF3"/>
    <w:rsid w:val="00811195"/>
    <w:rsid w:val="008115BF"/>
    <w:rsid w:val="00811FDF"/>
    <w:rsid w:val="0081271C"/>
    <w:rsid w:val="00813E5F"/>
    <w:rsid w:val="008149F5"/>
    <w:rsid w:val="008161DE"/>
    <w:rsid w:val="008166BC"/>
    <w:rsid w:val="0082027C"/>
    <w:rsid w:val="008215C5"/>
    <w:rsid w:val="00821BFC"/>
    <w:rsid w:val="00822A22"/>
    <w:rsid w:val="00823BFC"/>
    <w:rsid w:val="008255F7"/>
    <w:rsid w:val="00825E50"/>
    <w:rsid w:val="008277E9"/>
    <w:rsid w:val="00830A03"/>
    <w:rsid w:val="008328BD"/>
    <w:rsid w:val="00832F33"/>
    <w:rsid w:val="00832FAF"/>
    <w:rsid w:val="008333EC"/>
    <w:rsid w:val="0083429C"/>
    <w:rsid w:val="0083469E"/>
    <w:rsid w:val="00835678"/>
    <w:rsid w:val="00835EBF"/>
    <w:rsid w:val="00844CA4"/>
    <w:rsid w:val="00845E8A"/>
    <w:rsid w:val="00847743"/>
    <w:rsid w:val="00851088"/>
    <w:rsid w:val="00851E51"/>
    <w:rsid w:val="0085663E"/>
    <w:rsid w:val="00856F5F"/>
    <w:rsid w:val="008571C1"/>
    <w:rsid w:val="00860476"/>
    <w:rsid w:val="008613D5"/>
    <w:rsid w:val="00861D1B"/>
    <w:rsid w:val="00862063"/>
    <w:rsid w:val="008658D1"/>
    <w:rsid w:val="008659CB"/>
    <w:rsid w:val="00865BF6"/>
    <w:rsid w:val="00870BE1"/>
    <w:rsid w:val="00874885"/>
    <w:rsid w:val="008759B9"/>
    <w:rsid w:val="00875D81"/>
    <w:rsid w:val="00876236"/>
    <w:rsid w:val="00876C71"/>
    <w:rsid w:val="00880158"/>
    <w:rsid w:val="0088240B"/>
    <w:rsid w:val="008833C2"/>
    <w:rsid w:val="0088353F"/>
    <w:rsid w:val="0088660A"/>
    <w:rsid w:val="00887569"/>
    <w:rsid w:val="00890060"/>
    <w:rsid w:val="00890FB0"/>
    <w:rsid w:val="00892B55"/>
    <w:rsid w:val="0089353A"/>
    <w:rsid w:val="0089479E"/>
    <w:rsid w:val="00896133"/>
    <w:rsid w:val="008965B6"/>
    <w:rsid w:val="008A1050"/>
    <w:rsid w:val="008A166D"/>
    <w:rsid w:val="008A177A"/>
    <w:rsid w:val="008A5083"/>
    <w:rsid w:val="008A5660"/>
    <w:rsid w:val="008A56B1"/>
    <w:rsid w:val="008A6B4E"/>
    <w:rsid w:val="008B55D2"/>
    <w:rsid w:val="008B589E"/>
    <w:rsid w:val="008B630C"/>
    <w:rsid w:val="008C0F60"/>
    <w:rsid w:val="008C2784"/>
    <w:rsid w:val="008C372B"/>
    <w:rsid w:val="008C3894"/>
    <w:rsid w:val="008D1275"/>
    <w:rsid w:val="008D3BFE"/>
    <w:rsid w:val="008D4BDD"/>
    <w:rsid w:val="008D618B"/>
    <w:rsid w:val="008E0B17"/>
    <w:rsid w:val="008E32FA"/>
    <w:rsid w:val="008E3508"/>
    <w:rsid w:val="008E48A4"/>
    <w:rsid w:val="008E4CDF"/>
    <w:rsid w:val="008E7493"/>
    <w:rsid w:val="008F0756"/>
    <w:rsid w:val="008F0A0A"/>
    <w:rsid w:val="008F10B3"/>
    <w:rsid w:val="008F1154"/>
    <w:rsid w:val="008F3450"/>
    <w:rsid w:val="008F44DD"/>
    <w:rsid w:val="008F4E49"/>
    <w:rsid w:val="008F6C62"/>
    <w:rsid w:val="00900A1A"/>
    <w:rsid w:val="00901D05"/>
    <w:rsid w:val="00903607"/>
    <w:rsid w:val="0090542D"/>
    <w:rsid w:val="009079C7"/>
    <w:rsid w:val="009109E1"/>
    <w:rsid w:val="00910D05"/>
    <w:rsid w:val="0091261A"/>
    <w:rsid w:val="009159A5"/>
    <w:rsid w:val="00920642"/>
    <w:rsid w:val="0092107F"/>
    <w:rsid w:val="00921FFD"/>
    <w:rsid w:val="0092214A"/>
    <w:rsid w:val="00923FB1"/>
    <w:rsid w:val="0092522B"/>
    <w:rsid w:val="00926B68"/>
    <w:rsid w:val="00927E78"/>
    <w:rsid w:val="00930158"/>
    <w:rsid w:val="0093075E"/>
    <w:rsid w:val="009308D9"/>
    <w:rsid w:val="00932738"/>
    <w:rsid w:val="009335AD"/>
    <w:rsid w:val="00933643"/>
    <w:rsid w:val="0093436C"/>
    <w:rsid w:val="00934E9C"/>
    <w:rsid w:val="0093541A"/>
    <w:rsid w:val="00935AB0"/>
    <w:rsid w:val="0093710B"/>
    <w:rsid w:val="009373DF"/>
    <w:rsid w:val="0093755B"/>
    <w:rsid w:val="00937948"/>
    <w:rsid w:val="00940623"/>
    <w:rsid w:val="0094185B"/>
    <w:rsid w:val="00941934"/>
    <w:rsid w:val="00943DDB"/>
    <w:rsid w:val="009461CC"/>
    <w:rsid w:val="00950BC2"/>
    <w:rsid w:val="0095104E"/>
    <w:rsid w:val="00951F8A"/>
    <w:rsid w:val="00954446"/>
    <w:rsid w:val="0095477E"/>
    <w:rsid w:val="0095520B"/>
    <w:rsid w:val="009556ED"/>
    <w:rsid w:val="009562F7"/>
    <w:rsid w:val="009603EE"/>
    <w:rsid w:val="0096171F"/>
    <w:rsid w:val="00962919"/>
    <w:rsid w:val="00962978"/>
    <w:rsid w:val="00962AD2"/>
    <w:rsid w:val="00962B43"/>
    <w:rsid w:val="00971B71"/>
    <w:rsid w:val="00974941"/>
    <w:rsid w:val="0097507B"/>
    <w:rsid w:val="00975BA1"/>
    <w:rsid w:val="00980398"/>
    <w:rsid w:val="009815A4"/>
    <w:rsid w:val="00981CA7"/>
    <w:rsid w:val="00984591"/>
    <w:rsid w:val="00985093"/>
    <w:rsid w:val="00987F76"/>
    <w:rsid w:val="00991C46"/>
    <w:rsid w:val="009926D7"/>
    <w:rsid w:val="009945DC"/>
    <w:rsid w:val="009A00B8"/>
    <w:rsid w:val="009A2024"/>
    <w:rsid w:val="009A2B1D"/>
    <w:rsid w:val="009A3954"/>
    <w:rsid w:val="009A3A41"/>
    <w:rsid w:val="009A6C6F"/>
    <w:rsid w:val="009A7C65"/>
    <w:rsid w:val="009B162F"/>
    <w:rsid w:val="009B2174"/>
    <w:rsid w:val="009B362F"/>
    <w:rsid w:val="009B7C68"/>
    <w:rsid w:val="009C0521"/>
    <w:rsid w:val="009C0970"/>
    <w:rsid w:val="009C3A92"/>
    <w:rsid w:val="009C4027"/>
    <w:rsid w:val="009C42C6"/>
    <w:rsid w:val="009C4D15"/>
    <w:rsid w:val="009C4FAD"/>
    <w:rsid w:val="009C503B"/>
    <w:rsid w:val="009C52CC"/>
    <w:rsid w:val="009C5559"/>
    <w:rsid w:val="009C58A2"/>
    <w:rsid w:val="009C6555"/>
    <w:rsid w:val="009C778D"/>
    <w:rsid w:val="009D02B5"/>
    <w:rsid w:val="009D12EF"/>
    <w:rsid w:val="009D38CF"/>
    <w:rsid w:val="009D3FCD"/>
    <w:rsid w:val="009E270D"/>
    <w:rsid w:val="009E2E84"/>
    <w:rsid w:val="009E4C78"/>
    <w:rsid w:val="009E5884"/>
    <w:rsid w:val="009E659D"/>
    <w:rsid w:val="009F0616"/>
    <w:rsid w:val="009F337F"/>
    <w:rsid w:val="009F417D"/>
    <w:rsid w:val="009F543B"/>
    <w:rsid w:val="009F6FB0"/>
    <w:rsid w:val="009F756D"/>
    <w:rsid w:val="009F7DBC"/>
    <w:rsid w:val="009F7DD3"/>
    <w:rsid w:val="00A00AFC"/>
    <w:rsid w:val="00A00CF8"/>
    <w:rsid w:val="00A019AE"/>
    <w:rsid w:val="00A033D7"/>
    <w:rsid w:val="00A05AC0"/>
    <w:rsid w:val="00A07BC8"/>
    <w:rsid w:val="00A07EB0"/>
    <w:rsid w:val="00A102CE"/>
    <w:rsid w:val="00A12CFE"/>
    <w:rsid w:val="00A13F8E"/>
    <w:rsid w:val="00A145D2"/>
    <w:rsid w:val="00A23EA1"/>
    <w:rsid w:val="00A25AC1"/>
    <w:rsid w:val="00A30364"/>
    <w:rsid w:val="00A30984"/>
    <w:rsid w:val="00A31566"/>
    <w:rsid w:val="00A315DF"/>
    <w:rsid w:val="00A32549"/>
    <w:rsid w:val="00A35FB1"/>
    <w:rsid w:val="00A36146"/>
    <w:rsid w:val="00A36869"/>
    <w:rsid w:val="00A369C7"/>
    <w:rsid w:val="00A37C50"/>
    <w:rsid w:val="00A44748"/>
    <w:rsid w:val="00A44BEA"/>
    <w:rsid w:val="00A452E3"/>
    <w:rsid w:val="00A47C08"/>
    <w:rsid w:val="00A47CAC"/>
    <w:rsid w:val="00A508B5"/>
    <w:rsid w:val="00A50B9B"/>
    <w:rsid w:val="00A51718"/>
    <w:rsid w:val="00A57A7B"/>
    <w:rsid w:val="00A57BE7"/>
    <w:rsid w:val="00A57D4D"/>
    <w:rsid w:val="00A61BB7"/>
    <w:rsid w:val="00A61F07"/>
    <w:rsid w:val="00A6208B"/>
    <w:rsid w:val="00A6332F"/>
    <w:rsid w:val="00A64CA3"/>
    <w:rsid w:val="00A64F1A"/>
    <w:rsid w:val="00A664B7"/>
    <w:rsid w:val="00A67D93"/>
    <w:rsid w:val="00A70D1D"/>
    <w:rsid w:val="00A75115"/>
    <w:rsid w:val="00A7551A"/>
    <w:rsid w:val="00A75A43"/>
    <w:rsid w:val="00A75A5C"/>
    <w:rsid w:val="00A77640"/>
    <w:rsid w:val="00A80AFF"/>
    <w:rsid w:val="00A83296"/>
    <w:rsid w:val="00A85D34"/>
    <w:rsid w:val="00A85E1D"/>
    <w:rsid w:val="00A87799"/>
    <w:rsid w:val="00A913FD"/>
    <w:rsid w:val="00A91F69"/>
    <w:rsid w:val="00A92F07"/>
    <w:rsid w:val="00A942A6"/>
    <w:rsid w:val="00A95D35"/>
    <w:rsid w:val="00A970AA"/>
    <w:rsid w:val="00AA1FCB"/>
    <w:rsid w:val="00AA352E"/>
    <w:rsid w:val="00AA433A"/>
    <w:rsid w:val="00AA72B1"/>
    <w:rsid w:val="00AB17B5"/>
    <w:rsid w:val="00AB4DAC"/>
    <w:rsid w:val="00AB5CBD"/>
    <w:rsid w:val="00AB7354"/>
    <w:rsid w:val="00AC0181"/>
    <w:rsid w:val="00AC2283"/>
    <w:rsid w:val="00AC6120"/>
    <w:rsid w:val="00AC6FE7"/>
    <w:rsid w:val="00AC71D8"/>
    <w:rsid w:val="00AD0301"/>
    <w:rsid w:val="00AD22F8"/>
    <w:rsid w:val="00AD2696"/>
    <w:rsid w:val="00AD297C"/>
    <w:rsid w:val="00AD29BB"/>
    <w:rsid w:val="00AD2A71"/>
    <w:rsid w:val="00AD35F6"/>
    <w:rsid w:val="00AD5558"/>
    <w:rsid w:val="00AD55F6"/>
    <w:rsid w:val="00AD5990"/>
    <w:rsid w:val="00AD6381"/>
    <w:rsid w:val="00AD6D9A"/>
    <w:rsid w:val="00AE0BE5"/>
    <w:rsid w:val="00AE3A9E"/>
    <w:rsid w:val="00AE3F64"/>
    <w:rsid w:val="00AE49ED"/>
    <w:rsid w:val="00AE6908"/>
    <w:rsid w:val="00AE7573"/>
    <w:rsid w:val="00AF07C5"/>
    <w:rsid w:val="00AF0E8B"/>
    <w:rsid w:val="00AF0F46"/>
    <w:rsid w:val="00AF1034"/>
    <w:rsid w:val="00AF1478"/>
    <w:rsid w:val="00AF1A71"/>
    <w:rsid w:val="00AF3E5C"/>
    <w:rsid w:val="00AF5906"/>
    <w:rsid w:val="00AF6158"/>
    <w:rsid w:val="00AF63BA"/>
    <w:rsid w:val="00AF6816"/>
    <w:rsid w:val="00AF7797"/>
    <w:rsid w:val="00AF7B22"/>
    <w:rsid w:val="00B000AE"/>
    <w:rsid w:val="00B008AE"/>
    <w:rsid w:val="00B00D1C"/>
    <w:rsid w:val="00B00F87"/>
    <w:rsid w:val="00B01432"/>
    <w:rsid w:val="00B04095"/>
    <w:rsid w:val="00B0623D"/>
    <w:rsid w:val="00B10465"/>
    <w:rsid w:val="00B11D6E"/>
    <w:rsid w:val="00B122E6"/>
    <w:rsid w:val="00B1325D"/>
    <w:rsid w:val="00B144F9"/>
    <w:rsid w:val="00B162F1"/>
    <w:rsid w:val="00B17211"/>
    <w:rsid w:val="00B20A98"/>
    <w:rsid w:val="00B215DE"/>
    <w:rsid w:val="00B2248E"/>
    <w:rsid w:val="00B2302F"/>
    <w:rsid w:val="00B24D51"/>
    <w:rsid w:val="00B27EA0"/>
    <w:rsid w:val="00B309C5"/>
    <w:rsid w:val="00B30C90"/>
    <w:rsid w:val="00B31600"/>
    <w:rsid w:val="00B31E57"/>
    <w:rsid w:val="00B32585"/>
    <w:rsid w:val="00B32C58"/>
    <w:rsid w:val="00B33F67"/>
    <w:rsid w:val="00B378BB"/>
    <w:rsid w:val="00B41264"/>
    <w:rsid w:val="00B4179A"/>
    <w:rsid w:val="00B41954"/>
    <w:rsid w:val="00B41C50"/>
    <w:rsid w:val="00B430E2"/>
    <w:rsid w:val="00B4402C"/>
    <w:rsid w:val="00B448AC"/>
    <w:rsid w:val="00B470F3"/>
    <w:rsid w:val="00B502CC"/>
    <w:rsid w:val="00B50BA6"/>
    <w:rsid w:val="00B519F1"/>
    <w:rsid w:val="00B536C2"/>
    <w:rsid w:val="00B553D5"/>
    <w:rsid w:val="00B55B90"/>
    <w:rsid w:val="00B55C36"/>
    <w:rsid w:val="00B562FD"/>
    <w:rsid w:val="00B56F70"/>
    <w:rsid w:val="00B57793"/>
    <w:rsid w:val="00B60C5A"/>
    <w:rsid w:val="00B6136C"/>
    <w:rsid w:val="00B62EAA"/>
    <w:rsid w:val="00B632AD"/>
    <w:rsid w:val="00B66B66"/>
    <w:rsid w:val="00B66E74"/>
    <w:rsid w:val="00B711CA"/>
    <w:rsid w:val="00B76C95"/>
    <w:rsid w:val="00B77545"/>
    <w:rsid w:val="00B777C6"/>
    <w:rsid w:val="00B80444"/>
    <w:rsid w:val="00B809FF"/>
    <w:rsid w:val="00B80CE3"/>
    <w:rsid w:val="00B84184"/>
    <w:rsid w:val="00B869D0"/>
    <w:rsid w:val="00B87E5D"/>
    <w:rsid w:val="00B92C98"/>
    <w:rsid w:val="00B938A5"/>
    <w:rsid w:val="00B94A44"/>
    <w:rsid w:val="00B94F90"/>
    <w:rsid w:val="00B960C7"/>
    <w:rsid w:val="00BA154C"/>
    <w:rsid w:val="00BA5C0B"/>
    <w:rsid w:val="00BA6B17"/>
    <w:rsid w:val="00BA7362"/>
    <w:rsid w:val="00BB0995"/>
    <w:rsid w:val="00BB143E"/>
    <w:rsid w:val="00BB20E6"/>
    <w:rsid w:val="00BB2FC8"/>
    <w:rsid w:val="00BB5C0B"/>
    <w:rsid w:val="00BB782F"/>
    <w:rsid w:val="00BC40C3"/>
    <w:rsid w:val="00BC4CAC"/>
    <w:rsid w:val="00BC5610"/>
    <w:rsid w:val="00BC7273"/>
    <w:rsid w:val="00BC7E24"/>
    <w:rsid w:val="00BD07BC"/>
    <w:rsid w:val="00BD1541"/>
    <w:rsid w:val="00BD428E"/>
    <w:rsid w:val="00BD4485"/>
    <w:rsid w:val="00BD4986"/>
    <w:rsid w:val="00BD6D8E"/>
    <w:rsid w:val="00BD743F"/>
    <w:rsid w:val="00BE6A9C"/>
    <w:rsid w:val="00BE7640"/>
    <w:rsid w:val="00BF2810"/>
    <w:rsid w:val="00BF4D5B"/>
    <w:rsid w:val="00BF7897"/>
    <w:rsid w:val="00C01E70"/>
    <w:rsid w:val="00C04724"/>
    <w:rsid w:val="00C058D3"/>
    <w:rsid w:val="00C06C0A"/>
    <w:rsid w:val="00C0737C"/>
    <w:rsid w:val="00C079F8"/>
    <w:rsid w:val="00C10763"/>
    <w:rsid w:val="00C11CC4"/>
    <w:rsid w:val="00C120BB"/>
    <w:rsid w:val="00C127B3"/>
    <w:rsid w:val="00C130D1"/>
    <w:rsid w:val="00C13461"/>
    <w:rsid w:val="00C1451E"/>
    <w:rsid w:val="00C150F4"/>
    <w:rsid w:val="00C15488"/>
    <w:rsid w:val="00C15B98"/>
    <w:rsid w:val="00C1688F"/>
    <w:rsid w:val="00C16C65"/>
    <w:rsid w:val="00C16CDF"/>
    <w:rsid w:val="00C176E8"/>
    <w:rsid w:val="00C20B7C"/>
    <w:rsid w:val="00C215E1"/>
    <w:rsid w:val="00C217C1"/>
    <w:rsid w:val="00C22DC8"/>
    <w:rsid w:val="00C23F0E"/>
    <w:rsid w:val="00C26336"/>
    <w:rsid w:val="00C27FE3"/>
    <w:rsid w:val="00C306A7"/>
    <w:rsid w:val="00C32FCC"/>
    <w:rsid w:val="00C364C7"/>
    <w:rsid w:val="00C370A2"/>
    <w:rsid w:val="00C417E2"/>
    <w:rsid w:val="00C41A11"/>
    <w:rsid w:val="00C4401F"/>
    <w:rsid w:val="00C454E3"/>
    <w:rsid w:val="00C45835"/>
    <w:rsid w:val="00C5382F"/>
    <w:rsid w:val="00C55C5C"/>
    <w:rsid w:val="00C56991"/>
    <w:rsid w:val="00C61578"/>
    <w:rsid w:val="00C61ADA"/>
    <w:rsid w:val="00C63440"/>
    <w:rsid w:val="00C63D0E"/>
    <w:rsid w:val="00C6515F"/>
    <w:rsid w:val="00C65BB3"/>
    <w:rsid w:val="00C666EF"/>
    <w:rsid w:val="00C67DEC"/>
    <w:rsid w:val="00C70382"/>
    <w:rsid w:val="00C7043F"/>
    <w:rsid w:val="00C70ACB"/>
    <w:rsid w:val="00C71EC4"/>
    <w:rsid w:val="00C7305C"/>
    <w:rsid w:val="00C73873"/>
    <w:rsid w:val="00C7580B"/>
    <w:rsid w:val="00C802FD"/>
    <w:rsid w:val="00C80C32"/>
    <w:rsid w:val="00C81367"/>
    <w:rsid w:val="00C816B6"/>
    <w:rsid w:val="00C8340F"/>
    <w:rsid w:val="00C863B4"/>
    <w:rsid w:val="00C878FE"/>
    <w:rsid w:val="00C879E5"/>
    <w:rsid w:val="00C905C3"/>
    <w:rsid w:val="00C905CA"/>
    <w:rsid w:val="00C91119"/>
    <w:rsid w:val="00C92873"/>
    <w:rsid w:val="00CA0051"/>
    <w:rsid w:val="00CA12CC"/>
    <w:rsid w:val="00CA2D5D"/>
    <w:rsid w:val="00CA3395"/>
    <w:rsid w:val="00CA5E46"/>
    <w:rsid w:val="00CA6998"/>
    <w:rsid w:val="00CA6D1B"/>
    <w:rsid w:val="00CA6DA2"/>
    <w:rsid w:val="00CB3A22"/>
    <w:rsid w:val="00CB6B37"/>
    <w:rsid w:val="00CB7ED2"/>
    <w:rsid w:val="00CC01ED"/>
    <w:rsid w:val="00CC0A1A"/>
    <w:rsid w:val="00CC15A1"/>
    <w:rsid w:val="00CC2931"/>
    <w:rsid w:val="00CC2999"/>
    <w:rsid w:val="00CC3C0D"/>
    <w:rsid w:val="00CC4A26"/>
    <w:rsid w:val="00CC567B"/>
    <w:rsid w:val="00CC5AFC"/>
    <w:rsid w:val="00CC68CA"/>
    <w:rsid w:val="00CD01DC"/>
    <w:rsid w:val="00CD06F0"/>
    <w:rsid w:val="00CD0A23"/>
    <w:rsid w:val="00CD3691"/>
    <w:rsid w:val="00CD4747"/>
    <w:rsid w:val="00CD493B"/>
    <w:rsid w:val="00CD49A0"/>
    <w:rsid w:val="00CD77E6"/>
    <w:rsid w:val="00CD78A9"/>
    <w:rsid w:val="00CE0530"/>
    <w:rsid w:val="00CE298E"/>
    <w:rsid w:val="00CE367B"/>
    <w:rsid w:val="00CE4EE7"/>
    <w:rsid w:val="00CE6DE4"/>
    <w:rsid w:val="00CE78EA"/>
    <w:rsid w:val="00CE7FA6"/>
    <w:rsid w:val="00CF03A8"/>
    <w:rsid w:val="00CF0796"/>
    <w:rsid w:val="00CF2E18"/>
    <w:rsid w:val="00CF4016"/>
    <w:rsid w:val="00D01486"/>
    <w:rsid w:val="00D0229A"/>
    <w:rsid w:val="00D025A7"/>
    <w:rsid w:val="00D03E8D"/>
    <w:rsid w:val="00D03F79"/>
    <w:rsid w:val="00D04196"/>
    <w:rsid w:val="00D05580"/>
    <w:rsid w:val="00D06BE7"/>
    <w:rsid w:val="00D06D42"/>
    <w:rsid w:val="00D1027F"/>
    <w:rsid w:val="00D114FC"/>
    <w:rsid w:val="00D12D7D"/>
    <w:rsid w:val="00D1466A"/>
    <w:rsid w:val="00D15665"/>
    <w:rsid w:val="00D16BA6"/>
    <w:rsid w:val="00D204A6"/>
    <w:rsid w:val="00D2211C"/>
    <w:rsid w:val="00D241B9"/>
    <w:rsid w:val="00D25E30"/>
    <w:rsid w:val="00D27C3A"/>
    <w:rsid w:val="00D27D2B"/>
    <w:rsid w:val="00D27F21"/>
    <w:rsid w:val="00D3249E"/>
    <w:rsid w:val="00D326C6"/>
    <w:rsid w:val="00D35E73"/>
    <w:rsid w:val="00D363F5"/>
    <w:rsid w:val="00D4047F"/>
    <w:rsid w:val="00D40EE0"/>
    <w:rsid w:val="00D41C33"/>
    <w:rsid w:val="00D432F3"/>
    <w:rsid w:val="00D43EEE"/>
    <w:rsid w:val="00D51476"/>
    <w:rsid w:val="00D547D3"/>
    <w:rsid w:val="00D54847"/>
    <w:rsid w:val="00D54A89"/>
    <w:rsid w:val="00D6002D"/>
    <w:rsid w:val="00D60A0A"/>
    <w:rsid w:val="00D61BF6"/>
    <w:rsid w:val="00D62C60"/>
    <w:rsid w:val="00D6489F"/>
    <w:rsid w:val="00D6603A"/>
    <w:rsid w:val="00D67069"/>
    <w:rsid w:val="00D7090A"/>
    <w:rsid w:val="00D713D9"/>
    <w:rsid w:val="00D72499"/>
    <w:rsid w:val="00D7479F"/>
    <w:rsid w:val="00D75E4D"/>
    <w:rsid w:val="00D770A5"/>
    <w:rsid w:val="00D77A48"/>
    <w:rsid w:val="00D8039A"/>
    <w:rsid w:val="00D8043F"/>
    <w:rsid w:val="00D826BC"/>
    <w:rsid w:val="00D85A2A"/>
    <w:rsid w:val="00D8633B"/>
    <w:rsid w:val="00D8702B"/>
    <w:rsid w:val="00D906D1"/>
    <w:rsid w:val="00D91695"/>
    <w:rsid w:val="00D94163"/>
    <w:rsid w:val="00D94734"/>
    <w:rsid w:val="00D95CC6"/>
    <w:rsid w:val="00DA0D60"/>
    <w:rsid w:val="00DA3445"/>
    <w:rsid w:val="00DA754B"/>
    <w:rsid w:val="00DB00E5"/>
    <w:rsid w:val="00DB104A"/>
    <w:rsid w:val="00DB197D"/>
    <w:rsid w:val="00DB31B5"/>
    <w:rsid w:val="00DB3E55"/>
    <w:rsid w:val="00DB3FDF"/>
    <w:rsid w:val="00DB6127"/>
    <w:rsid w:val="00DB6C03"/>
    <w:rsid w:val="00DC0877"/>
    <w:rsid w:val="00DC152E"/>
    <w:rsid w:val="00DC171E"/>
    <w:rsid w:val="00DC351C"/>
    <w:rsid w:val="00DC40A0"/>
    <w:rsid w:val="00DC44B1"/>
    <w:rsid w:val="00DC7302"/>
    <w:rsid w:val="00DC78A4"/>
    <w:rsid w:val="00DD4128"/>
    <w:rsid w:val="00DD454D"/>
    <w:rsid w:val="00DD73D8"/>
    <w:rsid w:val="00DE27B1"/>
    <w:rsid w:val="00DE3439"/>
    <w:rsid w:val="00DE37A4"/>
    <w:rsid w:val="00DE3B39"/>
    <w:rsid w:val="00DE4246"/>
    <w:rsid w:val="00DE4D09"/>
    <w:rsid w:val="00DE77DD"/>
    <w:rsid w:val="00DF08C2"/>
    <w:rsid w:val="00DF1D5B"/>
    <w:rsid w:val="00DF1D70"/>
    <w:rsid w:val="00DF215E"/>
    <w:rsid w:val="00DF32E3"/>
    <w:rsid w:val="00DF3F7F"/>
    <w:rsid w:val="00DF4B51"/>
    <w:rsid w:val="00DF4DEA"/>
    <w:rsid w:val="00DF5D66"/>
    <w:rsid w:val="00DF63DF"/>
    <w:rsid w:val="00DF673B"/>
    <w:rsid w:val="00DF6879"/>
    <w:rsid w:val="00DF7336"/>
    <w:rsid w:val="00DF7782"/>
    <w:rsid w:val="00E00A3D"/>
    <w:rsid w:val="00E00C1F"/>
    <w:rsid w:val="00E03080"/>
    <w:rsid w:val="00E0328A"/>
    <w:rsid w:val="00E0445C"/>
    <w:rsid w:val="00E04B45"/>
    <w:rsid w:val="00E06242"/>
    <w:rsid w:val="00E06BA9"/>
    <w:rsid w:val="00E07986"/>
    <w:rsid w:val="00E152CF"/>
    <w:rsid w:val="00E15ED7"/>
    <w:rsid w:val="00E1684A"/>
    <w:rsid w:val="00E17DD1"/>
    <w:rsid w:val="00E2030E"/>
    <w:rsid w:val="00E22F31"/>
    <w:rsid w:val="00E24594"/>
    <w:rsid w:val="00E258A9"/>
    <w:rsid w:val="00E25A4C"/>
    <w:rsid w:val="00E2714E"/>
    <w:rsid w:val="00E27FAA"/>
    <w:rsid w:val="00E30954"/>
    <w:rsid w:val="00E31FC8"/>
    <w:rsid w:val="00E40992"/>
    <w:rsid w:val="00E437F1"/>
    <w:rsid w:val="00E44E9A"/>
    <w:rsid w:val="00E452D1"/>
    <w:rsid w:val="00E52A4D"/>
    <w:rsid w:val="00E52ACB"/>
    <w:rsid w:val="00E53D30"/>
    <w:rsid w:val="00E5487C"/>
    <w:rsid w:val="00E54B00"/>
    <w:rsid w:val="00E559CD"/>
    <w:rsid w:val="00E56CBE"/>
    <w:rsid w:val="00E56D1E"/>
    <w:rsid w:val="00E573A3"/>
    <w:rsid w:val="00E57F29"/>
    <w:rsid w:val="00E606C1"/>
    <w:rsid w:val="00E63279"/>
    <w:rsid w:val="00E65253"/>
    <w:rsid w:val="00E6739E"/>
    <w:rsid w:val="00E71818"/>
    <w:rsid w:val="00E72E1E"/>
    <w:rsid w:val="00E73EF7"/>
    <w:rsid w:val="00E742E7"/>
    <w:rsid w:val="00E76E54"/>
    <w:rsid w:val="00E822A2"/>
    <w:rsid w:val="00E83728"/>
    <w:rsid w:val="00E83CEE"/>
    <w:rsid w:val="00E8464C"/>
    <w:rsid w:val="00E84E98"/>
    <w:rsid w:val="00E866E8"/>
    <w:rsid w:val="00E917FA"/>
    <w:rsid w:val="00E930A4"/>
    <w:rsid w:val="00E94C5B"/>
    <w:rsid w:val="00E965AE"/>
    <w:rsid w:val="00E9690E"/>
    <w:rsid w:val="00E96A51"/>
    <w:rsid w:val="00E96B67"/>
    <w:rsid w:val="00EA035A"/>
    <w:rsid w:val="00EA05A4"/>
    <w:rsid w:val="00EA0E2C"/>
    <w:rsid w:val="00EA1C5C"/>
    <w:rsid w:val="00EA26A4"/>
    <w:rsid w:val="00EA29A7"/>
    <w:rsid w:val="00EA47DD"/>
    <w:rsid w:val="00EA5C44"/>
    <w:rsid w:val="00EB010E"/>
    <w:rsid w:val="00EB0D39"/>
    <w:rsid w:val="00EB1297"/>
    <w:rsid w:val="00EB3014"/>
    <w:rsid w:val="00EB347E"/>
    <w:rsid w:val="00EB4811"/>
    <w:rsid w:val="00EB50EF"/>
    <w:rsid w:val="00EB510E"/>
    <w:rsid w:val="00EB58BA"/>
    <w:rsid w:val="00EB6B04"/>
    <w:rsid w:val="00EB7E79"/>
    <w:rsid w:val="00EC13C9"/>
    <w:rsid w:val="00EC39AA"/>
    <w:rsid w:val="00EC4C27"/>
    <w:rsid w:val="00EC7E3D"/>
    <w:rsid w:val="00ED04DF"/>
    <w:rsid w:val="00ED1E8B"/>
    <w:rsid w:val="00ED2883"/>
    <w:rsid w:val="00ED3B60"/>
    <w:rsid w:val="00ED3DFF"/>
    <w:rsid w:val="00ED5E78"/>
    <w:rsid w:val="00ED77B9"/>
    <w:rsid w:val="00EE0135"/>
    <w:rsid w:val="00EE0794"/>
    <w:rsid w:val="00EE177C"/>
    <w:rsid w:val="00EE31AB"/>
    <w:rsid w:val="00EE3E9A"/>
    <w:rsid w:val="00EE5794"/>
    <w:rsid w:val="00EE57AC"/>
    <w:rsid w:val="00EF0008"/>
    <w:rsid w:val="00EF0F62"/>
    <w:rsid w:val="00EF14CF"/>
    <w:rsid w:val="00EF1EE3"/>
    <w:rsid w:val="00EF2286"/>
    <w:rsid w:val="00EF2325"/>
    <w:rsid w:val="00EF2532"/>
    <w:rsid w:val="00EF3436"/>
    <w:rsid w:val="00EF459C"/>
    <w:rsid w:val="00EF701A"/>
    <w:rsid w:val="00EF773D"/>
    <w:rsid w:val="00EF7A94"/>
    <w:rsid w:val="00F01B4B"/>
    <w:rsid w:val="00F01C75"/>
    <w:rsid w:val="00F02606"/>
    <w:rsid w:val="00F02920"/>
    <w:rsid w:val="00F02CD6"/>
    <w:rsid w:val="00F030FF"/>
    <w:rsid w:val="00F036B0"/>
    <w:rsid w:val="00F05934"/>
    <w:rsid w:val="00F075F5"/>
    <w:rsid w:val="00F07F3C"/>
    <w:rsid w:val="00F17075"/>
    <w:rsid w:val="00F200D4"/>
    <w:rsid w:val="00F23BE3"/>
    <w:rsid w:val="00F30157"/>
    <w:rsid w:val="00F32B4B"/>
    <w:rsid w:val="00F36359"/>
    <w:rsid w:val="00F402B7"/>
    <w:rsid w:val="00F410B3"/>
    <w:rsid w:val="00F439D9"/>
    <w:rsid w:val="00F44303"/>
    <w:rsid w:val="00F44DA7"/>
    <w:rsid w:val="00F4529A"/>
    <w:rsid w:val="00F45BAA"/>
    <w:rsid w:val="00F50E94"/>
    <w:rsid w:val="00F53E5B"/>
    <w:rsid w:val="00F53EC1"/>
    <w:rsid w:val="00F62A61"/>
    <w:rsid w:val="00F633BF"/>
    <w:rsid w:val="00F64C9D"/>
    <w:rsid w:val="00F66AF3"/>
    <w:rsid w:val="00F700AA"/>
    <w:rsid w:val="00F707F6"/>
    <w:rsid w:val="00F70B30"/>
    <w:rsid w:val="00F70D3B"/>
    <w:rsid w:val="00F72878"/>
    <w:rsid w:val="00F72FA2"/>
    <w:rsid w:val="00F73F87"/>
    <w:rsid w:val="00F7444E"/>
    <w:rsid w:val="00F74FDF"/>
    <w:rsid w:val="00F7767D"/>
    <w:rsid w:val="00F80C1B"/>
    <w:rsid w:val="00F80F6E"/>
    <w:rsid w:val="00F81232"/>
    <w:rsid w:val="00F8255C"/>
    <w:rsid w:val="00F82C30"/>
    <w:rsid w:val="00F82E4D"/>
    <w:rsid w:val="00F832F8"/>
    <w:rsid w:val="00F84E6C"/>
    <w:rsid w:val="00F86AD7"/>
    <w:rsid w:val="00F876B7"/>
    <w:rsid w:val="00F9044A"/>
    <w:rsid w:val="00F9054F"/>
    <w:rsid w:val="00F96DC7"/>
    <w:rsid w:val="00F97A03"/>
    <w:rsid w:val="00FA0F5D"/>
    <w:rsid w:val="00FA1F69"/>
    <w:rsid w:val="00FA2F76"/>
    <w:rsid w:val="00FA534D"/>
    <w:rsid w:val="00FA7E3B"/>
    <w:rsid w:val="00FB0642"/>
    <w:rsid w:val="00FB12F7"/>
    <w:rsid w:val="00FB1B14"/>
    <w:rsid w:val="00FB25E7"/>
    <w:rsid w:val="00FB2B46"/>
    <w:rsid w:val="00FB47B0"/>
    <w:rsid w:val="00FB532C"/>
    <w:rsid w:val="00FB6A2C"/>
    <w:rsid w:val="00FC0459"/>
    <w:rsid w:val="00FC1D99"/>
    <w:rsid w:val="00FC4436"/>
    <w:rsid w:val="00FC4938"/>
    <w:rsid w:val="00FC5174"/>
    <w:rsid w:val="00FC5BFD"/>
    <w:rsid w:val="00FC6C81"/>
    <w:rsid w:val="00FC6E86"/>
    <w:rsid w:val="00FC6FDE"/>
    <w:rsid w:val="00FC7516"/>
    <w:rsid w:val="00FD041A"/>
    <w:rsid w:val="00FD15EA"/>
    <w:rsid w:val="00FD2FD7"/>
    <w:rsid w:val="00FD739A"/>
    <w:rsid w:val="00FD75EA"/>
    <w:rsid w:val="00FD76A4"/>
    <w:rsid w:val="00FE3C9D"/>
    <w:rsid w:val="00FE42FE"/>
    <w:rsid w:val="00FE4387"/>
    <w:rsid w:val="00FE4B43"/>
    <w:rsid w:val="00FE77C4"/>
    <w:rsid w:val="00FE7E07"/>
    <w:rsid w:val="00FF095C"/>
    <w:rsid w:val="00FF0983"/>
    <w:rsid w:val="00FF2B4F"/>
    <w:rsid w:val="00FF2B89"/>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style="mso-position-horizontal-relative:page;mso-position-vertical-relative:page" fill="f" fillcolor="blue" strokecolor="blue">
      <v:fill color="blue" on="f"/>
      <v:stroke color="blue"/>
      <o:colormru v:ext="edit" colors="#d7e4f0,#7494c3,#00376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D7D"/>
    <w:pPr>
      <w:widowControl w:val="0"/>
      <w:jc w:val="both"/>
    </w:pPr>
    <w:rPr>
      <w:rFonts w:ascii="Arial" w:eastAsia="楷体_GB2312" w:hAnsi="Arial"/>
      <w:kern w:val="2"/>
      <w:sz w:val="18"/>
      <w:szCs w:val="22"/>
    </w:rPr>
  </w:style>
  <w:style w:type="paragraph" w:styleId="1">
    <w:name w:val="heading 1"/>
    <w:basedOn w:val="a"/>
    <w:next w:val="a"/>
    <w:qFormat/>
    <w:rsid w:val="00BB0995"/>
    <w:pPr>
      <w:keepNext/>
      <w:outlineLvl w:val="0"/>
    </w:pPr>
    <w:rPr>
      <w:b/>
      <w:bCs/>
    </w:rPr>
  </w:style>
  <w:style w:type="paragraph" w:styleId="2">
    <w:name w:val="heading 2"/>
    <w:basedOn w:val="a"/>
    <w:next w:val="a"/>
    <w:qFormat/>
    <w:rsid w:val="00BB0995"/>
    <w:pPr>
      <w:keepNext/>
      <w:spacing w:after="120"/>
      <w:ind w:left="2552"/>
      <w:outlineLvl w:val="1"/>
    </w:pPr>
    <w:rPr>
      <w:b/>
      <w:bCs/>
      <w:sz w:val="24"/>
      <w:szCs w:val="24"/>
    </w:rPr>
  </w:style>
  <w:style w:type="paragraph" w:styleId="3">
    <w:name w:val="heading 3"/>
    <w:basedOn w:val="a"/>
    <w:next w:val="a0"/>
    <w:qFormat/>
    <w:rsid w:val="00BB0995"/>
    <w:pPr>
      <w:spacing w:before="120" w:after="120"/>
      <w:ind w:left="2552"/>
      <w:outlineLvl w:val="2"/>
    </w:pPr>
    <w:rPr>
      <w:b/>
      <w:bCs/>
      <w:color w:val="0000FF"/>
    </w:rPr>
  </w:style>
  <w:style w:type="paragraph" w:styleId="4">
    <w:name w:val="heading 4"/>
    <w:basedOn w:val="a"/>
    <w:next w:val="a0"/>
    <w:qFormat/>
    <w:rsid w:val="00BB0995"/>
    <w:pPr>
      <w:keepNext/>
      <w:spacing w:before="120"/>
      <w:ind w:left="2552"/>
      <w:outlineLvl w:val="3"/>
    </w:pPr>
    <w:rPr>
      <w:b/>
      <w:bCs/>
      <w:szCs w:val="18"/>
    </w:rPr>
  </w:style>
  <w:style w:type="paragraph" w:styleId="5">
    <w:name w:val="heading 5"/>
    <w:basedOn w:val="a"/>
    <w:next w:val="a"/>
    <w:qFormat/>
    <w:rsid w:val="00BB0995"/>
    <w:pPr>
      <w:keepNext/>
      <w:framePr w:hSpace="180" w:wrap="auto" w:vAnchor="text" w:hAnchor="page" w:x="1182" w:y="2599"/>
      <w:spacing w:before="40" w:after="200"/>
      <w:outlineLvl w:val="4"/>
    </w:pPr>
    <w:rPr>
      <w:i/>
      <w:iCs/>
      <w:sz w:val="16"/>
      <w:szCs w:val="16"/>
    </w:rPr>
  </w:style>
  <w:style w:type="paragraph" w:styleId="6">
    <w:name w:val="heading 6"/>
    <w:basedOn w:val="a"/>
    <w:next w:val="a"/>
    <w:qFormat/>
    <w:rsid w:val="00BB0995"/>
    <w:pPr>
      <w:keepNext/>
      <w:ind w:left="112"/>
      <w:outlineLvl w:val="5"/>
    </w:pPr>
    <w:rPr>
      <w:b/>
      <w:bCs/>
      <w:color w:val="000000"/>
      <w:sz w:val="16"/>
      <w:szCs w:val="16"/>
      <w:lang w:val="en-AU"/>
    </w:rPr>
  </w:style>
  <w:style w:type="paragraph" w:styleId="7">
    <w:name w:val="heading 7"/>
    <w:basedOn w:val="a"/>
    <w:next w:val="a"/>
    <w:qFormat/>
    <w:rsid w:val="00BB0995"/>
    <w:pPr>
      <w:keepNext/>
      <w:outlineLvl w:val="6"/>
    </w:pPr>
    <w:rPr>
      <w:b/>
      <w:bCs/>
      <w:color w:val="000000"/>
      <w:sz w:val="15"/>
      <w:szCs w:val="15"/>
      <w:lang w:val="en-AU"/>
    </w:rPr>
  </w:style>
  <w:style w:type="paragraph" w:styleId="8">
    <w:name w:val="heading 8"/>
    <w:basedOn w:val="a"/>
    <w:next w:val="a"/>
    <w:qFormat/>
    <w:rsid w:val="00BB0995"/>
    <w:pPr>
      <w:keepNext/>
      <w:spacing w:before="80" w:after="40"/>
      <w:ind w:left="86"/>
      <w:jc w:val="left"/>
      <w:outlineLvl w:val="7"/>
    </w:pPr>
    <w:rPr>
      <w:b/>
      <w:bCs/>
      <w:color w:val="000000"/>
      <w:sz w:val="16"/>
      <w:szCs w:val="16"/>
      <w:lang w:val="en-AU"/>
    </w:rPr>
  </w:style>
  <w:style w:type="paragraph" w:styleId="9">
    <w:name w:val="heading 9"/>
    <w:basedOn w:val="a"/>
    <w:next w:val="a"/>
    <w:qFormat/>
    <w:rsid w:val="00BB0995"/>
    <w:pPr>
      <w:keepNext/>
      <w:outlineLvl w:val="8"/>
    </w:pPr>
    <w:rPr>
      <w:rFonts w:ascii="Lucida Sans" w:hAnsi="Lucida Sans"/>
      <w:b/>
      <w:bCs/>
      <w:color w:val="000000"/>
      <w:sz w:val="14"/>
      <w:szCs w:val="1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BB0995"/>
    <w:pPr>
      <w:spacing w:after="120" w:line="240" w:lineRule="exact"/>
      <w:ind w:left="3402"/>
    </w:pPr>
    <w:rPr>
      <w:color w:val="000000"/>
      <w:sz w:val="21"/>
    </w:rPr>
  </w:style>
  <w:style w:type="paragraph" w:customStyle="1" w:styleId="Contact">
    <w:name w:val="Contact"/>
    <w:basedOn w:val="a"/>
    <w:rsid w:val="00BB0995"/>
    <w:pPr>
      <w:framePr w:w="2285" w:h="289" w:hSpace="210" w:wrap="auto" w:vAnchor="page" w:hAnchor="page" w:x="901" w:y="3571" w:anchorLock="1"/>
    </w:pPr>
    <w:rPr>
      <w:color w:val="000000"/>
      <w:sz w:val="16"/>
      <w:szCs w:val="16"/>
    </w:rPr>
  </w:style>
  <w:style w:type="paragraph" w:styleId="a4">
    <w:name w:val="footer"/>
    <w:basedOn w:val="a"/>
    <w:link w:val="Char0"/>
    <w:uiPriority w:val="99"/>
    <w:unhideWhenUsed/>
    <w:rsid w:val="00D12D7D"/>
    <w:pPr>
      <w:tabs>
        <w:tab w:val="center" w:pos="4153"/>
        <w:tab w:val="right" w:pos="8306"/>
      </w:tabs>
      <w:snapToGrid w:val="0"/>
      <w:jc w:val="left"/>
    </w:pPr>
    <w:rPr>
      <w:szCs w:val="18"/>
    </w:rPr>
  </w:style>
  <w:style w:type="paragraph" w:customStyle="1" w:styleId="FootnoteNoline">
    <w:name w:val="FootnoteNoline"/>
    <w:basedOn w:val="a"/>
    <w:next w:val="a0"/>
    <w:rsid w:val="00D85A2A"/>
    <w:pPr>
      <w:tabs>
        <w:tab w:val="right" w:pos="10065"/>
      </w:tabs>
      <w:spacing w:before="40" w:after="160"/>
      <w:ind w:left="3402"/>
    </w:pPr>
    <w:rPr>
      <w:rFonts w:cs="Arial"/>
      <w:color w:val="000000"/>
      <w:sz w:val="15"/>
      <w:szCs w:val="14"/>
    </w:rPr>
  </w:style>
  <w:style w:type="paragraph" w:customStyle="1" w:styleId="Table">
    <w:name w:val="Table"/>
    <w:basedOn w:val="a"/>
    <w:rsid w:val="00BB0995"/>
    <w:pPr>
      <w:spacing w:before="20" w:after="20"/>
      <w:jc w:val="right"/>
    </w:pPr>
    <w:rPr>
      <w:rFonts w:cs="Arial"/>
      <w:color w:val="000000"/>
      <w:szCs w:val="16"/>
    </w:rPr>
  </w:style>
  <w:style w:type="paragraph" w:customStyle="1" w:styleId="Headline">
    <w:name w:val="Headline"/>
    <w:next w:val="a"/>
    <w:rsid w:val="00BB0995"/>
    <w:pPr>
      <w:spacing w:line="1200" w:lineRule="exact"/>
      <w:ind w:left="-56"/>
      <w:jc w:val="both"/>
    </w:pPr>
    <w:rPr>
      <w:rFonts w:ascii="LucidaT" w:hAnsi="LucidaT"/>
      <w:color w:val="000000"/>
      <w:position w:val="6"/>
      <w:sz w:val="120"/>
      <w:szCs w:val="120"/>
      <w:lang w:val="en-GB"/>
    </w:rPr>
  </w:style>
  <w:style w:type="paragraph" w:customStyle="1" w:styleId="Disclaimer">
    <w:name w:val="Disclaimer"/>
    <w:basedOn w:val="a"/>
    <w:rsid w:val="00BB0995"/>
    <w:pPr>
      <w:pBdr>
        <w:top w:val="single" w:sz="6" w:space="3" w:color="FF0000"/>
      </w:pBdr>
      <w:spacing w:before="60"/>
    </w:pPr>
    <w:rPr>
      <w:sz w:val="12"/>
      <w:szCs w:val="12"/>
    </w:rPr>
  </w:style>
  <w:style w:type="paragraph" w:customStyle="1" w:styleId="Disclaimer1">
    <w:name w:val="Disclaimer1"/>
    <w:basedOn w:val="Disclaimer"/>
    <w:rsid w:val="00BB0995"/>
    <w:pPr>
      <w:pBdr>
        <w:top w:val="single" w:sz="6" w:space="2" w:color="auto"/>
        <w:bottom w:val="single" w:sz="6" w:space="2" w:color="auto"/>
      </w:pBdr>
      <w:ind w:right="-1"/>
    </w:pPr>
  </w:style>
  <w:style w:type="paragraph" w:customStyle="1" w:styleId="StoryTitle">
    <w:name w:val="StoryTitle"/>
    <w:basedOn w:val="a"/>
    <w:rsid w:val="00BB0995"/>
    <w:pPr>
      <w:spacing w:before="120" w:after="120"/>
      <w:ind w:left="2552"/>
    </w:pPr>
    <w:rPr>
      <w:b/>
      <w:bCs/>
      <w:color w:val="FF0000"/>
      <w:sz w:val="32"/>
      <w:szCs w:val="32"/>
    </w:rPr>
  </w:style>
  <w:style w:type="character" w:styleId="a5">
    <w:name w:val="page number"/>
    <w:basedOn w:val="a1"/>
    <w:rsid w:val="00BB0995"/>
  </w:style>
  <w:style w:type="paragraph" w:customStyle="1" w:styleId="AnalystWk">
    <w:name w:val="AnalystWk"/>
    <w:basedOn w:val="a"/>
    <w:rsid w:val="00BB0995"/>
    <w:pPr>
      <w:framePr w:w="2285" w:h="289" w:hSpace="210" w:wrap="auto" w:vAnchor="page" w:hAnchor="page" w:x="901" w:y="3571" w:anchorLock="1"/>
      <w:spacing w:before="120"/>
      <w:ind w:right="-108"/>
      <w:jc w:val="left"/>
    </w:pPr>
    <w:rPr>
      <w:b/>
      <w:bCs/>
      <w:color w:val="0000FF"/>
      <w:szCs w:val="18"/>
    </w:rPr>
  </w:style>
  <w:style w:type="paragraph" w:customStyle="1" w:styleId="Coverage">
    <w:name w:val="Coverage"/>
    <w:basedOn w:val="a"/>
    <w:rsid w:val="00BB0995"/>
    <w:pPr>
      <w:framePr w:w="2285" w:h="289" w:hSpace="210" w:wrap="auto" w:vAnchor="page" w:hAnchor="page" w:x="901" w:y="3571" w:anchorLock="1"/>
      <w:tabs>
        <w:tab w:val="center" w:pos="4320"/>
        <w:tab w:val="right" w:pos="8640"/>
      </w:tabs>
    </w:pPr>
    <w:rPr>
      <w:b/>
      <w:bCs/>
      <w:color w:val="FF0000"/>
      <w:sz w:val="16"/>
      <w:szCs w:val="16"/>
    </w:rPr>
  </w:style>
  <w:style w:type="paragraph" w:customStyle="1" w:styleId="Location">
    <w:name w:val="Location"/>
    <w:basedOn w:val="a"/>
    <w:rsid w:val="00BB0995"/>
    <w:pPr>
      <w:framePr w:w="2285" w:h="289" w:hSpace="210" w:wrap="auto" w:vAnchor="page" w:hAnchor="page" w:x="901" w:y="3571" w:anchorLock="1"/>
      <w:tabs>
        <w:tab w:val="center" w:pos="4320"/>
        <w:tab w:val="right" w:pos="8640"/>
      </w:tabs>
      <w:ind w:right="-108"/>
      <w:jc w:val="left"/>
    </w:pPr>
    <w:rPr>
      <w:color w:val="000000"/>
      <w:szCs w:val="18"/>
    </w:rPr>
  </w:style>
  <w:style w:type="paragraph" w:styleId="a6">
    <w:name w:val="header"/>
    <w:basedOn w:val="a"/>
    <w:link w:val="Char1"/>
    <w:uiPriority w:val="99"/>
    <w:unhideWhenUsed/>
    <w:rsid w:val="00D12D7D"/>
    <w:pPr>
      <w:pBdr>
        <w:bottom w:val="single" w:sz="6" w:space="1" w:color="auto"/>
      </w:pBdr>
      <w:tabs>
        <w:tab w:val="center" w:pos="4153"/>
        <w:tab w:val="right" w:pos="8306"/>
      </w:tabs>
      <w:snapToGrid w:val="0"/>
      <w:jc w:val="center"/>
    </w:pPr>
    <w:rPr>
      <w:szCs w:val="18"/>
    </w:rPr>
  </w:style>
  <w:style w:type="paragraph" w:customStyle="1" w:styleId="RecomPara">
    <w:name w:val="RecomPara"/>
    <w:basedOn w:val="a"/>
    <w:rsid w:val="00BB0995"/>
    <w:pPr>
      <w:shd w:val="pct5" w:color="000000" w:fill="FFFFFF"/>
      <w:spacing w:before="240" w:after="200"/>
    </w:pPr>
    <w:rPr>
      <w:color w:val="000000"/>
    </w:rPr>
  </w:style>
  <w:style w:type="paragraph" w:customStyle="1" w:styleId="RecomLine">
    <w:name w:val="RecomLine"/>
    <w:rsid w:val="00BB0995"/>
    <w:pPr>
      <w:spacing w:before="120"/>
    </w:pPr>
    <w:rPr>
      <w:rFonts w:ascii="LucidaSans" w:hAnsi="LucidaSans"/>
      <w:b/>
      <w:bCs/>
      <w:color w:val="000000"/>
      <w:lang w:val="en-GB"/>
    </w:rPr>
  </w:style>
  <w:style w:type="paragraph" w:customStyle="1" w:styleId="Marginnotes">
    <w:name w:val="Margin notes"/>
    <w:basedOn w:val="a"/>
    <w:rsid w:val="00BB0995"/>
    <w:pPr>
      <w:framePr w:w="2285" w:h="289" w:hSpace="215" w:wrap="auto" w:vAnchor="text" w:hAnchor="page" w:x="886" w:y="29" w:anchorLock="1"/>
      <w:shd w:val="solid" w:color="FFFFFF" w:fill="FFFFFF"/>
      <w:jc w:val="left"/>
    </w:pPr>
    <w:rPr>
      <w:b/>
      <w:bCs/>
      <w:color w:val="FF0000"/>
      <w:sz w:val="16"/>
      <w:szCs w:val="16"/>
    </w:rPr>
  </w:style>
  <w:style w:type="paragraph" w:customStyle="1" w:styleId="Logo">
    <w:name w:val="Logo"/>
    <w:basedOn w:val="a"/>
    <w:rsid w:val="00BB0995"/>
    <w:pPr>
      <w:jc w:val="left"/>
    </w:pPr>
    <w:rPr>
      <w:sz w:val="16"/>
      <w:szCs w:val="16"/>
    </w:rPr>
  </w:style>
  <w:style w:type="paragraph" w:customStyle="1" w:styleId="Dateline">
    <w:name w:val="Dateline"/>
    <w:basedOn w:val="a"/>
    <w:rsid w:val="00BB0995"/>
    <w:pPr>
      <w:tabs>
        <w:tab w:val="right" w:pos="7535"/>
        <w:tab w:val="right" w:pos="10206"/>
      </w:tabs>
      <w:spacing w:before="240"/>
      <w:jc w:val="left"/>
    </w:pPr>
    <w:rPr>
      <w:b/>
      <w:bCs/>
      <w:sz w:val="16"/>
      <w:szCs w:val="16"/>
    </w:rPr>
  </w:style>
  <w:style w:type="paragraph" w:customStyle="1" w:styleId="AnalystHJ">
    <w:name w:val="AnalystHJ"/>
    <w:basedOn w:val="a6"/>
    <w:rsid w:val="00BB0995"/>
    <w:pPr>
      <w:tabs>
        <w:tab w:val="center" w:pos="4320"/>
        <w:tab w:val="right" w:pos="8640"/>
      </w:tabs>
      <w:ind w:left="-80" w:right="-108"/>
      <w:jc w:val="left"/>
    </w:pPr>
    <w:rPr>
      <w:sz w:val="16"/>
      <w:szCs w:val="16"/>
    </w:rPr>
  </w:style>
  <w:style w:type="paragraph" w:customStyle="1" w:styleId="SourceLarge">
    <w:name w:val="SourceLarge"/>
    <w:rsid w:val="00BB0995"/>
    <w:pPr>
      <w:tabs>
        <w:tab w:val="left" w:pos="5216"/>
        <w:tab w:val="right" w:pos="9866"/>
      </w:tabs>
      <w:suppressAutoHyphens/>
      <w:spacing w:line="160" w:lineRule="atLeast"/>
    </w:pPr>
    <w:rPr>
      <w:rFonts w:ascii="LucidaSans" w:hAnsi="LucidaSans"/>
      <w:sz w:val="12"/>
      <w:szCs w:val="12"/>
      <w:lang w:val="en-GB"/>
    </w:rPr>
  </w:style>
  <w:style w:type="paragraph" w:customStyle="1" w:styleId="SourceSmall">
    <w:name w:val="SourceSmall"/>
    <w:rsid w:val="00BB0995"/>
    <w:pPr>
      <w:tabs>
        <w:tab w:val="left" w:pos="6521"/>
        <w:tab w:val="right" w:pos="9866"/>
      </w:tabs>
      <w:suppressAutoHyphens/>
      <w:spacing w:line="160" w:lineRule="atLeast"/>
      <w:ind w:left="2608"/>
    </w:pPr>
    <w:rPr>
      <w:rFonts w:ascii="LucidaSans" w:hAnsi="LucidaSans"/>
      <w:sz w:val="12"/>
      <w:szCs w:val="12"/>
      <w:lang w:val="en-GB"/>
    </w:rPr>
  </w:style>
  <w:style w:type="paragraph" w:customStyle="1" w:styleId="SubTitleLargeTable">
    <w:name w:val="SubTitleLargeTable"/>
    <w:rsid w:val="00D85A2A"/>
    <w:pPr>
      <w:keepNext/>
      <w:pBdr>
        <w:top w:val="single" w:sz="6" w:space="1" w:color="666699"/>
      </w:pBdr>
      <w:suppressAutoHyphens/>
      <w:spacing w:after="40" w:line="240" w:lineRule="atLeast"/>
    </w:pPr>
    <w:rPr>
      <w:rFonts w:ascii="Arial" w:eastAsia="楷体_GB2312" w:hAnsi="Arial" w:cs="Arial"/>
      <w:b/>
      <w:bCs/>
      <w:i/>
      <w:iCs/>
      <w:color w:val="000000"/>
      <w:sz w:val="21"/>
      <w:szCs w:val="21"/>
      <w:lang w:val="en-GB"/>
    </w:rPr>
  </w:style>
  <w:style w:type="paragraph" w:customStyle="1" w:styleId="SubTitleSmallTable">
    <w:name w:val="SubTitleSmallTable"/>
    <w:rsid w:val="00BB0995"/>
    <w:pPr>
      <w:tabs>
        <w:tab w:val="left" w:pos="993"/>
      </w:tabs>
      <w:suppressAutoHyphens/>
      <w:spacing w:after="40"/>
      <w:ind w:left="2608"/>
    </w:pPr>
    <w:rPr>
      <w:rFonts w:ascii="LucidaSans" w:hAnsi="LucidaSans"/>
      <w:b/>
      <w:bCs/>
      <w:noProof/>
    </w:rPr>
  </w:style>
  <w:style w:type="paragraph" w:customStyle="1" w:styleId="TitleLargeTable">
    <w:name w:val="TitleLargeTable"/>
    <w:next w:val="SubTitleLargeTable"/>
    <w:rsid w:val="00BB0995"/>
    <w:pPr>
      <w:keepNext/>
      <w:suppressAutoHyphens/>
      <w:spacing w:after="40" w:line="200" w:lineRule="atLeast"/>
    </w:pPr>
    <w:rPr>
      <w:rFonts w:ascii="Arial" w:eastAsia="楷体_GB2312" w:hAnsi="Arial" w:cs="Arial"/>
      <w:sz w:val="18"/>
      <w:szCs w:val="16"/>
      <w:lang w:val="en-GB"/>
    </w:rPr>
  </w:style>
  <w:style w:type="paragraph" w:customStyle="1" w:styleId="TitleSmallTable">
    <w:name w:val="TitleSmallTable"/>
    <w:next w:val="SubTitleSmallTable"/>
    <w:rsid w:val="00BB0995"/>
    <w:pPr>
      <w:keepNext/>
      <w:suppressAutoHyphens/>
      <w:spacing w:after="40" w:line="200" w:lineRule="atLeast"/>
      <w:ind w:left="2608"/>
    </w:pPr>
    <w:rPr>
      <w:rFonts w:ascii="LucidaSans" w:hAnsi="LucidaSans"/>
      <w:sz w:val="16"/>
      <w:szCs w:val="16"/>
      <w:lang w:val="en-GB"/>
    </w:rPr>
  </w:style>
  <w:style w:type="paragraph" w:customStyle="1" w:styleId="TableFirst">
    <w:name w:val="TableFirst"/>
    <w:basedOn w:val="Table"/>
    <w:rsid w:val="00BB0995"/>
    <w:pPr>
      <w:spacing w:before="60" w:after="0"/>
    </w:pPr>
    <w:rPr>
      <w:color w:val="auto"/>
      <w:lang w:val="en-AU"/>
    </w:rPr>
  </w:style>
  <w:style w:type="paragraph" w:customStyle="1" w:styleId="Descriptor">
    <w:name w:val="Descriptor"/>
    <w:basedOn w:val="a"/>
    <w:rsid w:val="00BB0995"/>
    <w:pPr>
      <w:spacing w:before="60"/>
      <w:jc w:val="left"/>
    </w:pPr>
    <w:rPr>
      <w:b/>
      <w:bCs/>
      <w:color w:val="000000"/>
    </w:rPr>
  </w:style>
  <w:style w:type="paragraph" w:customStyle="1" w:styleId="BulletCoverpage">
    <w:name w:val="Bullet Cover page"/>
    <w:basedOn w:val="a"/>
    <w:rsid w:val="00BB0995"/>
    <w:pPr>
      <w:numPr>
        <w:numId w:val="1"/>
      </w:numPr>
      <w:suppressAutoHyphens/>
      <w:spacing w:after="200" w:line="240" w:lineRule="atLeast"/>
    </w:pPr>
  </w:style>
  <w:style w:type="paragraph" w:customStyle="1" w:styleId="BulletedHeading">
    <w:name w:val="Bulleted Heading"/>
    <w:basedOn w:val="a"/>
    <w:next w:val="a"/>
    <w:rsid w:val="00BB0995"/>
    <w:pPr>
      <w:suppressAutoHyphens/>
      <w:spacing w:after="60" w:line="240" w:lineRule="atLeast"/>
      <w:ind w:left="2609" w:hanging="352"/>
    </w:pPr>
    <w:rPr>
      <w:rFonts w:ascii="LucidaT" w:hAnsi="LucidaT"/>
      <w:szCs w:val="18"/>
    </w:rPr>
  </w:style>
  <w:style w:type="paragraph" w:customStyle="1" w:styleId="SideComments">
    <w:name w:val="SideComments"/>
    <w:rsid w:val="00D12D7D"/>
    <w:pPr>
      <w:spacing w:line="200" w:lineRule="atLeast"/>
      <w:ind w:firstLineChars="200" w:firstLine="200"/>
      <w:jc w:val="both"/>
    </w:pPr>
    <w:rPr>
      <w:rFonts w:ascii="Arial" w:eastAsia="楷体_GB2312" w:hAnsi="Arial"/>
      <w:b/>
      <w:color w:val="000000"/>
      <w:kern w:val="2"/>
      <w:sz w:val="21"/>
      <w:szCs w:val="22"/>
    </w:rPr>
  </w:style>
  <w:style w:type="paragraph" w:customStyle="1" w:styleId="TableFirst-p1">
    <w:name w:val="TableFirst-p1"/>
    <w:rsid w:val="00BB0995"/>
    <w:pPr>
      <w:tabs>
        <w:tab w:val="right" w:pos="1871"/>
        <w:tab w:val="right" w:pos="3107"/>
        <w:tab w:val="right" w:pos="4258"/>
        <w:tab w:val="right" w:pos="5329"/>
        <w:tab w:val="right" w:pos="6406"/>
        <w:tab w:val="right" w:pos="7483"/>
      </w:tabs>
      <w:spacing w:before="40"/>
      <w:jc w:val="both"/>
    </w:pPr>
    <w:rPr>
      <w:rFonts w:ascii="LucidaSans" w:hAnsi="LucidaSans"/>
      <w:sz w:val="16"/>
      <w:szCs w:val="16"/>
      <w:lang w:val="en-GB" w:eastAsia="en-US"/>
    </w:rPr>
  </w:style>
  <w:style w:type="paragraph" w:customStyle="1" w:styleId="TableTitleFirst-p1">
    <w:name w:val="TableTitleFirst-p1"/>
    <w:rsid w:val="00BB0995"/>
    <w:pPr>
      <w:pBdr>
        <w:top w:val="single" w:sz="6" w:space="0" w:color="auto"/>
        <w:between w:val="single" w:sz="6" w:space="5" w:color="auto"/>
      </w:pBdr>
      <w:tabs>
        <w:tab w:val="right" w:pos="1871"/>
        <w:tab w:val="right" w:pos="4252"/>
        <w:tab w:val="right" w:pos="5329"/>
        <w:tab w:val="right" w:pos="6406"/>
        <w:tab w:val="right" w:pos="7483"/>
      </w:tabs>
      <w:spacing w:before="57"/>
      <w:jc w:val="both"/>
    </w:pPr>
    <w:rPr>
      <w:rFonts w:ascii="LucidaSans" w:hAnsi="LucidaSans"/>
      <w:b/>
      <w:bCs/>
      <w:sz w:val="16"/>
      <w:szCs w:val="16"/>
      <w:lang w:val="en-AU" w:eastAsia="en-US"/>
    </w:rPr>
  </w:style>
  <w:style w:type="paragraph" w:customStyle="1" w:styleId="TableTitle">
    <w:name w:val="TableTitle"/>
    <w:rsid w:val="00BB0995"/>
    <w:pPr>
      <w:keepNext/>
      <w:pBdr>
        <w:top w:val="single" w:sz="8" w:space="2" w:color="FF0000"/>
        <w:bottom w:val="single" w:sz="6" w:space="1" w:color="808080"/>
        <w:between w:val="single" w:sz="2" w:space="2" w:color="auto"/>
      </w:pBdr>
      <w:tabs>
        <w:tab w:val="right" w:pos="1928"/>
        <w:tab w:val="right" w:pos="3118"/>
        <w:tab w:val="right" w:pos="3969"/>
        <w:tab w:val="right" w:pos="4932"/>
        <w:tab w:val="right" w:pos="5777"/>
        <w:tab w:val="right" w:pos="6690"/>
        <w:tab w:val="right" w:pos="7483"/>
        <w:tab w:val="right" w:pos="8504"/>
        <w:tab w:val="right" w:pos="9354"/>
        <w:tab w:val="right" w:pos="10205"/>
      </w:tabs>
      <w:spacing w:before="20" w:after="20"/>
      <w:jc w:val="both"/>
    </w:pPr>
    <w:rPr>
      <w:rFonts w:ascii="LucidaSans" w:hAnsi="LucidaSans"/>
      <w:b/>
      <w:bCs/>
      <w:sz w:val="18"/>
      <w:szCs w:val="18"/>
      <w:lang w:val="en-GB" w:eastAsia="en-US"/>
    </w:rPr>
  </w:style>
  <w:style w:type="paragraph" w:customStyle="1" w:styleId="Analyst">
    <w:name w:val="Analyst"/>
    <w:rsid w:val="00BB0995"/>
    <w:pPr>
      <w:spacing w:before="1" w:after="1"/>
      <w:ind w:left="1" w:right="1" w:firstLine="1"/>
      <w:jc w:val="right"/>
    </w:pPr>
    <w:rPr>
      <w:rFonts w:ascii="LucidaSans" w:hAnsi="LucidaSans"/>
      <w:b/>
      <w:bCs/>
      <w:color w:val="000000"/>
      <w:sz w:val="18"/>
      <w:szCs w:val="18"/>
      <w:lang w:val="en-GB"/>
    </w:rPr>
  </w:style>
  <w:style w:type="paragraph" w:customStyle="1" w:styleId="CoverBullet">
    <w:name w:val="Cover Bullet"/>
    <w:rsid w:val="00BB0995"/>
    <w:pPr>
      <w:numPr>
        <w:numId w:val="2"/>
      </w:numPr>
      <w:spacing w:before="120" w:after="120"/>
      <w:ind w:left="357" w:hanging="357"/>
    </w:pPr>
    <w:rPr>
      <w:rFonts w:ascii="LucidaSans" w:hAnsi="LucidaSans"/>
      <w:b/>
      <w:bCs/>
      <w:lang w:val="en-GB"/>
    </w:rPr>
  </w:style>
  <w:style w:type="paragraph" w:customStyle="1" w:styleId="Target">
    <w:name w:val="Target"/>
    <w:basedOn w:val="Call"/>
    <w:rsid w:val="00BB0995"/>
    <w:pPr>
      <w:pBdr>
        <w:top w:val="none" w:sz="0" w:space="0" w:color="auto"/>
        <w:bottom w:val="dashDotStroked" w:sz="24" w:space="1" w:color="FF0000"/>
      </w:pBdr>
    </w:pPr>
  </w:style>
  <w:style w:type="paragraph" w:customStyle="1" w:styleId="Call">
    <w:name w:val="Call"/>
    <w:basedOn w:val="a"/>
    <w:next w:val="RecomPara"/>
    <w:rsid w:val="00BB0995"/>
    <w:pPr>
      <w:pBdr>
        <w:top w:val="dashDotStroked" w:sz="24" w:space="4" w:color="FF0000"/>
      </w:pBdr>
      <w:shd w:val="pct5" w:color="000000" w:fill="FFFFFF"/>
      <w:tabs>
        <w:tab w:val="left" w:pos="2558"/>
      </w:tabs>
    </w:pPr>
    <w:rPr>
      <w:b/>
      <w:bCs/>
      <w:color w:val="0000FF"/>
    </w:rPr>
  </w:style>
  <w:style w:type="paragraph" w:customStyle="1" w:styleId="TableLast">
    <w:name w:val="TableLast"/>
    <w:basedOn w:val="Table"/>
    <w:rsid w:val="00BB0995"/>
    <w:pPr>
      <w:spacing w:before="0" w:after="60"/>
      <w:jc w:val="both"/>
    </w:pPr>
    <w:rPr>
      <w:color w:val="auto"/>
      <w:lang w:val="en-AU" w:eastAsia="en-US"/>
    </w:rPr>
  </w:style>
  <w:style w:type="paragraph" w:customStyle="1" w:styleId="Contents">
    <w:name w:val="Contents"/>
    <w:basedOn w:val="AnalystWk"/>
    <w:rsid w:val="00BB0995"/>
    <w:pPr>
      <w:framePr w:wrap="auto"/>
      <w:tabs>
        <w:tab w:val="right" w:pos="2127"/>
      </w:tabs>
      <w:spacing w:before="240"/>
      <w:ind w:left="142" w:hanging="142"/>
    </w:pPr>
    <w:rPr>
      <w:sz w:val="16"/>
      <w:szCs w:val="16"/>
    </w:rPr>
  </w:style>
  <w:style w:type="paragraph" w:styleId="a7">
    <w:name w:val="Body Text Indent"/>
    <w:basedOn w:val="a"/>
    <w:rsid w:val="00BB0995"/>
    <w:pPr>
      <w:tabs>
        <w:tab w:val="left" w:pos="284"/>
        <w:tab w:val="left" w:pos="2520"/>
      </w:tabs>
    </w:pPr>
    <w:rPr>
      <w:i/>
      <w:iCs/>
    </w:rPr>
  </w:style>
  <w:style w:type="paragraph" w:styleId="20">
    <w:name w:val="Body Text Indent 2"/>
    <w:basedOn w:val="a"/>
    <w:rsid w:val="00BB0995"/>
    <w:pPr>
      <w:ind w:left="2520"/>
    </w:pPr>
    <w:rPr>
      <w:b/>
      <w:bCs/>
      <w:i/>
      <w:iCs/>
    </w:rPr>
  </w:style>
  <w:style w:type="paragraph" w:customStyle="1" w:styleId="bo">
    <w:name w:val="bo"/>
    <w:basedOn w:val="1"/>
    <w:rsid w:val="00BB0995"/>
    <w:pPr>
      <w:tabs>
        <w:tab w:val="left" w:pos="284"/>
      </w:tabs>
    </w:pPr>
    <w:rPr>
      <w:i/>
      <w:iCs/>
    </w:rPr>
  </w:style>
  <w:style w:type="paragraph" w:customStyle="1" w:styleId="ChartComments">
    <w:name w:val="ChartComments"/>
    <w:basedOn w:val="a"/>
    <w:rsid w:val="00BB0995"/>
    <w:pPr>
      <w:shd w:val="solid" w:color="FFFFFF" w:fill="FFFFFF"/>
      <w:suppressAutoHyphens/>
      <w:spacing w:after="80" w:line="200" w:lineRule="atLeast"/>
      <w:ind w:right="284"/>
      <w:jc w:val="right"/>
    </w:pPr>
    <w:rPr>
      <w:b/>
      <w:bCs/>
      <w:color w:val="000000"/>
      <w:sz w:val="16"/>
      <w:szCs w:val="16"/>
    </w:rPr>
  </w:style>
  <w:style w:type="paragraph" w:customStyle="1" w:styleId="Celldata">
    <w:name w:val="Cell data"/>
    <w:basedOn w:val="a"/>
    <w:rsid w:val="00BB0995"/>
    <w:pPr>
      <w:spacing w:after="20" w:line="180" w:lineRule="atLeast"/>
      <w:ind w:left="28" w:right="57"/>
      <w:jc w:val="left"/>
    </w:pPr>
    <w:rPr>
      <w:sz w:val="14"/>
      <w:szCs w:val="14"/>
    </w:rPr>
  </w:style>
  <w:style w:type="paragraph" w:customStyle="1" w:styleId="SectionTitle">
    <w:name w:val="SectionTitle"/>
    <w:basedOn w:val="StoryTitle"/>
    <w:rsid w:val="00BB0995"/>
    <w:pPr>
      <w:spacing w:before="240"/>
    </w:pPr>
  </w:style>
  <w:style w:type="paragraph" w:customStyle="1" w:styleId="TableTitleFirst">
    <w:name w:val="TableTitleFirst"/>
    <w:basedOn w:val="a"/>
    <w:rsid w:val="00BB0995"/>
    <w:pPr>
      <w:spacing w:before="60" w:after="20"/>
    </w:pPr>
    <w:rPr>
      <w:b/>
      <w:bCs/>
      <w:color w:val="000000"/>
      <w:sz w:val="16"/>
      <w:szCs w:val="16"/>
      <w:lang w:eastAsia="en-US"/>
    </w:rPr>
  </w:style>
  <w:style w:type="paragraph" w:customStyle="1" w:styleId="TableTitleLast">
    <w:name w:val="TableTitleLast"/>
    <w:basedOn w:val="Table"/>
    <w:rsid w:val="00BB0995"/>
    <w:pPr>
      <w:spacing w:after="60"/>
      <w:jc w:val="both"/>
    </w:pPr>
    <w:rPr>
      <w:b/>
      <w:bCs/>
      <w:color w:val="auto"/>
      <w:lang w:eastAsia="en-US"/>
    </w:rPr>
  </w:style>
  <w:style w:type="paragraph" w:customStyle="1" w:styleId="CompanyHead">
    <w:name w:val="CompanyHead"/>
    <w:basedOn w:val="a0"/>
    <w:rsid w:val="00BB0995"/>
    <w:pPr>
      <w:tabs>
        <w:tab w:val="right" w:pos="2410"/>
        <w:tab w:val="left" w:pos="2552"/>
        <w:tab w:val="right" w:pos="10205"/>
      </w:tabs>
      <w:ind w:left="0"/>
    </w:pPr>
    <w:rPr>
      <w:b/>
      <w:bCs/>
      <w:color w:val="FF0000"/>
    </w:rPr>
  </w:style>
  <w:style w:type="paragraph" w:styleId="30">
    <w:name w:val="Body Text 3"/>
    <w:basedOn w:val="a"/>
    <w:rsid w:val="00BB0995"/>
    <w:rPr>
      <w:szCs w:val="18"/>
    </w:rPr>
  </w:style>
  <w:style w:type="paragraph" w:customStyle="1" w:styleId="body">
    <w:name w:val="body"/>
    <w:basedOn w:val="a"/>
    <w:rsid w:val="00BB0995"/>
    <w:rPr>
      <w:noProof/>
    </w:rPr>
  </w:style>
  <w:style w:type="paragraph" w:customStyle="1" w:styleId="font5">
    <w:name w:val="font5"/>
    <w:basedOn w:val="a"/>
    <w:rsid w:val="00BB0995"/>
    <w:pPr>
      <w:spacing w:before="100" w:beforeAutospacing="1" w:after="100" w:afterAutospacing="1"/>
      <w:jc w:val="left"/>
    </w:pPr>
    <w:rPr>
      <w:rFonts w:ascii="宋体" w:hAnsi="宋体"/>
      <w:szCs w:val="18"/>
    </w:rPr>
  </w:style>
  <w:style w:type="paragraph" w:customStyle="1" w:styleId="font6">
    <w:name w:val="font6"/>
    <w:basedOn w:val="a"/>
    <w:rsid w:val="00BB0995"/>
    <w:pPr>
      <w:spacing w:before="100" w:beforeAutospacing="1" w:after="100" w:afterAutospacing="1"/>
      <w:jc w:val="left"/>
    </w:pPr>
    <w:rPr>
      <w:rFonts w:ascii="宋体" w:hAnsi="宋体"/>
    </w:rPr>
  </w:style>
  <w:style w:type="paragraph" w:customStyle="1" w:styleId="font7">
    <w:name w:val="font7"/>
    <w:basedOn w:val="a"/>
    <w:rsid w:val="00BB0995"/>
    <w:pPr>
      <w:spacing w:before="100" w:beforeAutospacing="1" w:after="100" w:afterAutospacing="1"/>
      <w:jc w:val="left"/>
    </w:pPr>
    <w:rPr>
      <w:rFonts w:ascii="宋体" w:hAnsi="宋体"/>
      <w:b/>
      <w:bCs/>
    </w:rPr>
  </w:style>
  <w:style w:type="paragraph" w:customStyle="1" w:styleId="xl24">
    <w:name w:val="xl24"/>
    <w:basedOn w:val="a"/>
    <w:rsid w:val="00BB0995"/>
    <w:pPr>
      <w:spacing w:before="100" w:beforeAutospacing="1" w:after="100" w:afterAutospacing="1"/>
      <w:jc w:val="left"/>
    </w:pPr>
    <w:rPr>
      <w:rFonts w:ascii="宋体" w:hAnsi="宋体"/>
      <w:sz w:val="24"/>
      <w:szCs w:val="24"/>
    </w:rPr>
  </w:style>
  <w:style w:type="paragraph" w:customStyle="1" w:styleId="xl25">
    <w:name w:val="xl25"/>
    <w:basedOn w:val="a"/>
    <w:rsid w:val="00BB0995"/>
    <w:pPr>
      <w:spacing w:before="100" w:beforeAutospacing="1" w:after="100" w:afterAutospacing="1"/>
      <w:jc w:val="left"/>
    </w:pPr>
    <w:rPr>
      <w:rFonts w:ascii="宋体" w:hAnsi="宋体"/>
      <w:b/>
      <w:bCs/>
      <w:sz w:val="24"/>
      <w:szCs w:val="24"/>
    </w:rPr>
  </w:style>
  <w:style w:type="paragraph" w:customStyle="1" w:styleId="xl27">
    <w:name w:val="xl27"/>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28">
    <w:name w:val="xl28"/>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30">
    <w:name w:val="xl30"/>
    <w:basedOn w:val="a"/>
    <w:rsid w:val="00BB0995"/>
    <w:pPr>
      <w:spacing w:before="100" w:beforeAutospacing="1" w:after="100" w:afterAutospacing="1"/>
      <w:jc w:val="right"/>
    </w:pPr>
    <w:rPr>
      <w:rFonts w:ascii="Arial Unicode MS" w:eastAsia="Arial Unicode MS" w:hAnsi="Arial Unicode MS"/>
      <w:sz w:val="24"/>
      <w:szCs w:val="24"/>
    </w:rPr>
  </w:style>
  <w:style w:type="character" w:styleId="a8">
    <w:name w:val="footnote reference"/>
    <w:semiHidden/>
    <w:rsid w:val="00BB0995"/>
    <w:rPr>
      <w:vertAlign w:val="superscript"/>
    </w:rPr>
  </w:style>
  <w:style w:type="paragraph" w:styleId="a9">
    <w:name w:val="footnote text"/>
    <w:basedOn w:val="a"/>
    <w:semiHidden/>
    <w:rsid w:val="00BB0995"/>
    <w:pPr>
      <w:snapToGrid w:val="0"/>
      <w:jc w:val="left"/>
    </w:pPr>
    <w:rPr>
      <w:szCs w:val="18"/>
    </w:rPr>
  </w:style>
  <w:style w:type="paragraph" w:styleId="31">
    <w:name w:val="Body Text Indent 3"/>
    <w:basedOn w:val="a"/>
    <w:rsid w:val="00BB0995"/>
    <w:pPr>
      <w:spacing w:line="288" w:lineRule="auto"/>
      <w:ind w:firstLineChars="197" w:firstLine="295"/>
    </w:pPr>
    <w:rPr>
      <w:rFonts w:ascii="宋体" w:hAnsi="宋体"/>
      <w:color w:val="0000FF"/>
      <w:sz w:val="15"/>
      <w:szCs w:val="15"/>
    </w:rPr>
  </w:style>
  <w:style w:type="character" w:styleId="aa">
    <w:name w:val="Hyperlink"/>
    <w:uiPriority w:val="99"/>
    <w:rsid w:val="00BB0995"/>
    <w:rPr>
      <w:color w:val="0000FF"/>
      <w:u w:val="single"/>
    </w:rPr>
  </w:style>
  <w:style w:type="paragraph" w:styleId="ab">
    <w:name w:val="Date"/>
    <w:basedOn w:val="a"/>
    <w:next w:val="a"/>
    <w:rsid w:val="00BB0995"/>
    <w:pPr>
      <w:ind w:leftChars="2500" w:left="100"/>
    </w:pPr>
    <w:rPr>
      <w:rFonts w:ascii="宋体" w:hAnsi="宋体"/>
      <w:szCs w:val="18"/>
    </w:rPr>
  </w:style>
  <w:style w:type="paragraph" w:styleId="ac">
    <w:name w:val="table of figures"/>
    <w:basedOn w:val="a"/>
    <w:next w:val="a"/>
    <w:uiPriority w:val="99"/>
    <w:rsid w:val="00BB0995"/>
    <w:pPr>
      <w:widowControl/>
      <w:spacing w:line="312" w:lineRule="auto"/>
      <w:ind w:left="3402"/>
    </w:pPr>
    <w:rPr>
      <w:color w:val="000000"/>
      <w:sz w:val="21"/>
    </w:rPr>
  </w:style>
  <w:style w:type="character" w:styleId="ad">
    <w:name w:val="FollowedHyperlink"/>
    <w:rsid w:val="00BB0995"/>
    <w:rPr>
      <w:color w:val="800080"/>
      <w:u w:val="single"/>
    </w:rPr>
  </w:style>
  <w:style w:type="paragraph" w:customStyle="1" w:styleId="21">
    <w:name w:val="模板标题2"/>
    <w:basedOn w:val="a0"/>
    <w:next w:val="a0"/>
    <w:rsid w:val="00BB0995"/>
    <w:pPr>
      <w:outlineLvl w:val="1"/>
    </w:pPr>
    <w:rPr>
      <w:b/>
      <w:bCs/>
      <w:color w:val="01659D"/>
    </w:rPr>
  </w:style>
  <w:style w:type="paragraph" w:customStyle="1" w:styleId="10">
    <w:name w:val="样式1"/>
    <w:basedOn w:val="a0"/>
    <w:next w:val="21"/>
    <w:rsid w:val="00BB0995"/>
    <w:rPr>
      <w:sz w:val="24"/>
    </w:rPr>
  </w:style>
  <w:style w:type="paragraph" w:customStyle="1" w:styleId="11">
    <w:name w:val="模板标题1"/>
    <w:basedOn w:val="21"/>
    <w:next w:val="a0"/>
    <w:rsid w:val="00BB0995"/>
    <w:pPr>
      <w:spacing w:after="240" w:line="300" w:lineRule="exact"/>
      <w:outlineLvl w:val="0"/>
    </w:pPr>
    <w:rPr>
      <w:sz w:val="24"/>
    </w:rPr>
  </w:style>
  <w:style w:type="paragraph" w:customStyle="1" w:styleId="ae">
    <w:name w:val="模板目录标题"/>
    <w:basedOn w:val="a0"/>
    <w:next w:val="12"/>
    <w:rsid w:val="00BB0995"/>
    <w:pPr>
      <w:tabs>
        <w:tab w:val="right" w:leader="dot" w:pos="10649"/>
      </w:tabs>
      <w:spacing w:line="480" w:lineRule="exact"/>
    </w:pPr>
    <w:rPr>
      <w:b/>
      <w:sz w:val="28"/>
    </w:rPr>
  </w:style>
  <w:style w:type="paragraph" w:styleId="12">
    <w:name w:val="toc 1"/>
    <w:basedOn w:val="GJStylesMuluContent1"/>
    <w:next w:val="a"/>
    <w:autoRedefine/>
    <w:uiPriority w:val="39"/>
    <w:rsid w:val="00BB0995"/>
  </w:style>
  <w:style w:type="paragraph" w:styleId="22">
    <w:name w:val="toc 2"/>
    <w:basedOn w:val="GJStylesMuluContent2"/>
    <w:next w:val="a"/>
    <w:autoRedefine/>
    <w:uiPriority w:val="39"/>
    <w:rsid w:val="00730B1B"/>
  </w:style>
  <w:style w:type="paragraph" w:customStyle="1" w:styleId="13">
    <w:name w:val="模板标题1(段前分页)"/>
    <w:basedOn w:val="11"/>
    <w:next w:val="21"/>
    <w:rsid w:val="00BB0995"/>
    <w:pPr>
      <w:pageBreakBefore/>
    </w:pPr>
    <w:rPr>
      <w:bCs w:val="0"/>
    </w:rPr>
  </w:style>
  <w:style w:type="paragraph" w:styleId="32">
    <w:name w:val="toc 3"/>
    <w:basedOn w:val="a"/>
    <w:next w:val="a"/>
    <w:autoRedefine/>
    <w:semiHidden/>
    <w:rsid w:val="00BB0995"/>
    <w:pPr>
      <w:ind w:leftChars="400" w:left="840"/>
    </w:pPr>
  </w:style>
  <w:style w:type="paragraph" w:styleId="40">
    <w:name w:val="toc 4"/>
    <w:basedOn w:val="a"/>
    <w:next w:val="a"/>
    <w:autoRedefine/>
    <w:semiHidden/>
    <w:rsid w:val="00BB0995"/>
    <w:pPr>
      <w:ind w:leftChars="600" w:left="1260"/>
    </w:pPr>
  </w:style>
  <w:style w:type="paragraph" w:styleId="50">
    <w:name w:val="toc 5"/>
    <w:basedOn w:val="a"/>
    <w:next w:val="a"/>
    <w:autoRedefine/>
    <w:semiHidden/>
    <w:rsid w:val="00BB0995"/>
    <w:pPr>
      <w:ind w:leftChars="800" w:left="1680"/>
    </w:pPr>
  </w:style>
  <w:style w:type="paragraph" w:styleId="60">
    <w:name w:val="toc 6"/>
    <w:basedOn w:val="a"/>
    <w:next w:val="a"/>
    <w:autoRedefine/>
    <w:semiHidden/>
    <w:rsid w:val="00BB0995"/>
    <w:pPr>
      <w:ind w:leftChars="1000" w:left="2100"/>
    </w:pPr>
  </w:style>
  <w:style w:type="paragraph" w:styleId="70">
    <w:name w:val="toc 7"/>
    <w:basedOn w:val="a"/>
    <w:next w:val="a"/>
    <w:autoRedefine/>
    <w:semiHidden/>
    <w:rsid w:val="00BB0995"/>
    <w:pPr>
      <w:ind w:leftChars="1200" w:left="2520"/>
    </w:pPr>
  </w:style>
  <w:style w:type="paragraph" w:styleId="80">
    <w:name w:val="toc 8"/>
    <w:basedOn w:val="a"/>
    <w:next w:val="a"/>
    <w:autoRedefine/>
    <w:semiHidden/>
    <w:rsid w:val="00BB0995"/>
    <w:pPr>
      <w:ind w:leftChars="1400" w:left="2940"/>
    </w:pPr>
  </w:style>
  <w:style w:type="paragraph" w:styleId="90">
    <w:name w:val="toc 9"/>
    <w:basedOn w:val="a"/>
    <w:next w:val="a"/>
    <w:autoRedefine/>
    <w:semiHidden/>
    <w:rsid w:val="00BB0995"/>
    <w:pPr>
      <w:ind w:leftChars="1600" w:left="3360"/>
    </w:pPr>
  </w:style>
  <w:style w:type="table" w:styleId="af">
    <w:name w:val="Table Grid"/>
    <w:basedOn w:val="a2"/>
    <w:uiPriority w:val="59"/>
    <w:rsid w:val="00D12D7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模板标题111"/>
    <w:basedOn w:val="11"/>
    <w:next w:val="SubTitleLargeTable"/>
    <w:rsid w:val="00AF1034"/>
    <w:pPr>
      <w:keepNext/>
    </w:pPr>
  </w:style>
  <w:style w:type="paragraph" w:customStyle="1" w:styleId="14">
    <w:name w:val="模板标题1（段前分页）"/>
    <w:basedOn w:val="11"/>
    <w:next w:val="21"/>
    <w:rsid w:val="00E54B00"/>
    <w:pPr>
      <w:pageBreakBefore/>
    </w:pPr>
  </w:style>
  <w:style w:type="paragraph" w:styleId="af0">
    <w:name w:val="Balloon Text"/>
    <w:basedOn w:val="a"/>
    <w:link w:val="Char2"/>
    <w:rsid w:val="00A61F07"/>
    <w:rPr>
      <w:szCs w:val="18"/>
    </w:rPr>
  </w:style>
  <w:style w:type="character" w:customStyle="1" w:styleId="Char2">
    <w:name w:val="批注框文本 Char"/>
    <w:link w:val="af0"/>
    <w:rsid w:val="00A61F07"/>
    <w:rPr>
      <w:rFonts w:ascii="Arial" w:eastAsia="楷体_GB2312" w:hAnsi="Arial"/>
      <w:sz w:val="18"/>
      <w:szCs w:val="18"/>
      <w:lang w:val="en-GB"/>
    </w:rPr>
  </w:style>
  <w:style w:type="character" w:customStyle="1" w:styleId="Char">
    <w:name w:val="正文文本 Char"/>
    <w:link w:val="a0"/>
    <w:rsid w:val="005A66A2"/>
    <w:rPr>
      <w:rFonts w:ascii="Arial" w:eastAsia="楷体_GB2312" w:hAnsi="Arial" w:cs="Arial"/>
      <w:color w:val="000000"/>
      <w:sz w:val="21"/>
      <w:lang w:val="en-GB"/>
    </w:rPr>
  </w:style>
  <w:style w:type="paragraph" w:styleId="af1">
    <w:name w:val="Document Map"/>
    <w:basedOn w:val="a"/>
    <w:link w:val="Char3"/>
    <w:rsid w:val="0003281B"/>
    <w:rPr>
      <w:rFonts w:ascii="宋体" w:eastAsia="宋体"/>
      <w:szCs w:val="18"/>
    </w:rPr>
  </w:style>
  <w:style w:type="character" w:customStyle="1" w:styleId="Char3">
    <w:name w:val="文档结构图 Char"/>
    <w:link w:val="af1"/>
    <w:rsid w:val="0003281B"/>
    <w:rPr>
      <w:rFonts w:ascii="宋体" w:hAnsi="Arial"/>
      <w:sz w:val="18"/>
      <w:szCs w:val="18"/>
      <w:lang w:val="en-GB"/>
    </w:rPr>
  </w:style>
  <w:style w:type="character" w:customStyle="1" w:styleId="Char1">
    <w:name w:val="页眉 Char"/>
    <w:link w:val="a6"/>
    <w:uiPriority w:val="99"/>
    <w:rsid w:val="00D12D7D"/>
    <w:rPr>
      <w:rFonts w:ascii="Arial" w:eastAsia="楷体_GB2312" w:hAnsi="Arial"/>
      <w:kern w:val="2"/>
      <w:sz w:val="18"/>
      <w:szCs w:val="18"/>
    </w:rPr>
  </w:style>
  <w:style w:type="character" w:customStyle="1" w:styleId="Char0">
    <w:name w:val="页脚 Char"/>
    <w:link w:val="a4"/>
    <w:uiPriority w:val="99"/>
    <w:rsid w:val="00D12D7D"/>
    <w:rPr>
      <w:rFonts w:ascii="Arial" w:eastAsia="楷体_GB2312" w:hAnsi="Arial"/>
      <w:kern w:val="2"/>
      <w:sz w:val="18"/>
      <w:szCs w:val="18"/>
    </w:rPr>
  </w:style>
  <w:style w:type="paragraph" w:customStyle="1" w:styleId="GJStylesSummaryTitle">
    <w:name w:val="GJ_Styles_Summary_Title"/>
    <w:qFormat/>
    <w:rsid w:val="00D12D7D"/>
    <w:pPr>
      <w:spacing w:afterLines="50" w:after="50"/>
      <w:jc w:val="both"/>
    </w:pPr>
    <w:rPr>
      <w:rFonts w:ascii="Arial" w:eastAsia="楷体_GB2312" w:hAnsi="Arial"/>
      <w:b/>
      <w:color w:val="000000"/>
      <w:kern w:val="2"/>
      <w:sz w:val="24"/>
      <w:szCs w:val="22"/>
    </w:rPr>
  </w:style>
  <w:style w:type="paragraph" w:customStyle="1" w:styleId="GJStylesSummaryContent">
    <w:name w:val="GJ_Styles_Summary_Content"/>
    <w:qFormat/>
    <w:rsid w:val="00D12D7D"/>
    <w:pPr>
      <w:numPr>
        <w:numId w:val="13"/>
      </w:numPr>
      <w:spacing w:afterLines="50" w:after="50" w:line="240" w:lineRule="exact"/>
      <w:jc w:val="both"/>
    </w:pPr>
    <w:rPr>
      <w:rFonts w:ascii="Arial" w:eastAsia="楷体_GB2312" w:hAnsi="Arial"/>
      <w:color w:val="000000"/>
      <w:kern w:val="2"/>
      <w:sz w:val="21"/>
      <w:szCs w:val="22"/>
    </w:rPr>
  </w:style>
  <w:style w:type="paragraph" w:customStyle="1" w:styleId="GJStylesSummarySubContent">
    <w:name w:val="GJ_Styles_Summary_SubContent"/>
    <w:qFormat/>
    <w:rsid w:val="00D12D7D"/>
    <w:pPr>
      <w:numPr>
        <w:ilvl w:val="1"/>
        <w:numId w:val="13"/>
      </w:numPr>
      <w:spacing w:after="156"/>
      <w:jc w:val="both"/>
    </w:pPr>
    <w:rPr>
      <w:rFonts w:ascii="Arial" w:eastAsia="楷体_GB2312" w:hAnsi="Arial"/>
      <w:color w:val="000000"/>
      <w:kern w:val="2"/>
      <w:sz w:val="21"/>
      <w:szCs w:val="22"/>
    </w:rPr>
  </w:style>
  <w:style w:type="paragraph" w:customStyle="1" w:styleId="GJStylesSummaryContentNoMark">
    <w:name w:val="GJ_Styles_Summary_Content_NoMark"/>
    <w:qFormat/>
    <w:rsid w:val="00D12D7D"/>
    <w:pPr>
      <w:spacing w:afterLines="50" w:after="50" w:line="240" w:lineRule="exact"/>
      <w:jc w:val="both"/>
    </w:pPr>
    <w:rPr>
      <w:rFonts w:ascii="Arial" w:eastAsia="楷体_GB2312" w:hAnsi="Arial"/>
      <w:color w:val="000000"/>
      <w:kern w:val="2"/>
      <w:sz w:val="21"/>
      <w:szCs w:val="22"/>
    </w:rPr>
  </w:style>
  <w:style w:type="numbering" w:customStyle="1" w:styleId="GJStylesSummaryContentMark">
    <w:name w:val="GJ_Styles_Summary_Content_Mark"/>
    <w:uiPriority w:val="99"/>
    <w:rsid w:val="00D12D7D"/>
    <w:pPr>
      <w:numPr>
        <w:numId w:val="6"/>
      </w:numPr>
    </w:pPr>
  </w:style>
  <w:style w:type="paragraph" w:customStyle="1" w:styleId="GJStylesContentFirTitle">
    <w:name w:val="GJ_Styles_Content_FirTitle"/>
    <w:qFormat/>
    <w:rsid w:val="00D12D7D"/>
    <w:pPr>
      <w:spacing w:after="240" w:line="300" w:lineRule="exact"/>
      <w:ind w:left="3402"/>
      <w:jc w:val="both"/>
      <w:outlineLvl w:val="0"/>
    </w:pPr>
    <w:rPr>
      <w:rFonts w:ascii="Arial" w:eastAsia="楷体_GB2312" w:hAnsi="Arial"/>
      <w:b/>
      <w:kern w:val="2"/>
      <w:sz w:val="24"/>
      <w:szCs w:val="22"/>
    </w:rPr>
  </w:style>
  <w:style w:type="paragraph" w:customStyle="1" w:styleId="GJStylesContentSecTitle">
    <w:name w:val="GJ_Styles_Content_SecTitle"/>
    <w:qFormat/>
    <w:rsid w:val="00D12D7D"/>
    <w:pPr>
      <w:spacing w:after="120" w:line="240" w:lineRule="exact"/>
      <w:ind w:left="3402"/>
      <w:jc w:val="both"/>
      <w:outlineLvl w:val="1"/>
    </w:pPr>
    <w:rPr>
      <w:rFonts w:ascii="Arial" w:eastAsia="楷体_GB2312" w:hAnsi="Arial"/>
      <w:b/>
      <w:kern w:val="2"/>
      <w:sz w:val="21"/>
      <w:szCs w:val="22"/>
    </w:rPr>
  </w:style>
  <w:style w:type="paragraph" w:customStyle="1" w:styleId="GJStylesContentThirdTitle">
    <w:name w:val="GJ_Styles_Content_ThirdTitle"/>
    <w:qFormat/>
    <w:rsid w:val="00D12D7D"/>
    <w:pPr>
      <w:numPr>
        <w:numId w:val="7"/>
      </w:numPr>
      <w:spacing w:after="120" w:line="240" w:lineRule="exact"/>
      <w:jc w:val="both"/>
    </w:pPr>
    <w:rPr>
      <w:rFonts w:ascii="Arial" w:eastAsia="楷体_GB2312" w:hAnsi="Arial"/>
      <w:kern w:val="2"/>
      <w:sz w:val="21"/>
      <w:szCs w:val="22"/>
    </w:rPr>
  </w:style>
  <w:style w:type="paragraph" w:customStyle="1" w:styleId="GJStylesContentFourTitle">
    <w:name w:val="GJ_Styles_Content_FourTitle"/>
    <w:qFormat/>
    <w:rsid w:val="00D12D7D"/>
    <w:pPr>
      <w:numPr>
        <w:ilvl w:val="1"/>
        <w:numId w:val="7"/>
      </w:numPr>
      <w:spacing w:after="120" w:line="240" w:lineRule="exact"/>
      <w:jc w:val="both"/>
    </w:pPr>
    <w:rPr>
      <w:rFonts w:ascii="Arial" w:eastAsia="楷体_GB2312" w:hAnsi="Arial"/>
      <w:kern w:val="2"/>
      <w:sz w:val="21"/>
      <w:szCs w:val="22"/>
    </w:rPr>
  </w:style>
  <w:style w:type="paragraph" w:customStyle="1" w:styleId="GJStylesContentContent">
    <w:name w:val="GJ_Styles_Content_Content"/>
    <w:qFormat/>
    <w:rsid w:val="00D12D7D"/>
    <w:pPr>
      <w:spacing w:after="120" w:line="240" w:lineRule="exact"/>
      <w:ind w:left="3402" w:firstLineChars="200" w:firstLine="200"/>
      <w:jc w:val="both"/>
    </w:pPr>
    <w:rPr>
      <w:rFonts w:ascii="Arial" w:eastAsia="楷体_GB2312" w:hAnsi="Arial"/>
      <w:kern w:val="2"/>
      <w:sz w:val="21"/>
      <w:szCs w:val="22"/>
    </w:rPr>
  </w:style>
  <w:style w:type="paragraph" w:customStyle="1" w:styleId="GJStylesGraphTitle">
    <w:name w:val="GJ_Styles_Graph_Title"/>
    <w:qFormat/>
    <w:rsid w:val="00D12D7D"/>
    <w:pPr>
      <w:keepNext/>
      <w:suppressAutoHyphens/>
      <w:spacing w:after="40" w:line="240" w:lineRule="atLeast"/>
      <w:jc w:val="both"/>
    </w:pPr>
    <w:rPr>
      <w:rFonts w:ascii="Arial" w:eastAsia="楷体_GB2312" w:hAnsi="Arial"/>
      <w:b/>
      <w:i/>
      <w:color w:val="000000"/>
      <w:kern w:val="2"/>
      <w:sz w:val="21"/>
      <w:szCs w:val="22"/>
    </w:rPr>
  </w:style>
  <w:style w:type="paragraph" w:customStyle="1" w:styleId="GJStylesGraphSource">
    <w:name w:val="GJ_Styles_Graph_Source"/>
    <w:qFormat/>
    <w:rsid w:val="00D12D7D"/>
    <w:pPr>
      <w:spacing w:before="40" w:after="160"/>
      <w:jc w:val="both"/>
    </w:pPr>
    <w:rPr>
      <w:rFonts w:ascii="Arial" w:eastAsia="楷体_GB2312" w:hAnsi="Arial"/>
      <w:color w:val="000000"/>
      <w:kern w:val="2"/>
      <w:sz w:val="15"/>
      <w:szCs w:val="22"/>
    </w:rPr>
  </w:style>
  <w:style w:type="numbering" w:customStyle="1" w:styleId="GJStylesContentMark">
    <w:name w:val="GJ_Styles_Content_Mark"/>
    <w:uiPriority w:val="99"/>
    <w:rsid w:val="00D12D7D"/>
    <w:pPr>
      <w:numPr>
        <w:numId w:val="7"/>
      </w:numPr>
    </w:pPr>
  </w:style>
  <w:style w:type="paragraph" w:customStyle="1" w:styleId="GJStylesContentFirTitleWide">
    <w:name w:val="GJ_Styles_Content_FirTitle_Wide"/>
    <w:qFormat/>
    <w:rsid w:val="00D12D7D"/>
    <w:pPr>
      <w:spacing w:after="240" w:line="300" w:lineRule="exact"/>
      <w:jc w:val="both"/>
      <w:outlineLvl w:val="0"/>
    </w:pPr>
    <w:rPr>
      <w:rFonts w:ascii="Arial" w:eastAsia="楷体_GB2312" w:hAnsi="Arial"/>
      <w:b/>
      <w:kern w:val="2"/>
      <w:sz w:val="24"/>
      <w:szCs w:val="22"/>
    </w:rPr>
  </w:style>
  <w:style w:type="paragraph" w:customStyle="1" w:styleId="GJStylesContentSecTitleWide">
    <w:name w:val="GJ_Styles_Content_SecTitle_Wide"/>
    <w:qFormat/>
    <w:rsid w:val="00D12D7D"/>
    <w:pPr>
      <w:spacing w:after="120" w:line="240" w:lineRule="exact"/>
      <w:jc w:val="both"/>
      <w:outlineLvl w:val="1"/>
    </w:pPr>
    <w:rPr>
      <w:rFonts w:ascii="Arial" w:eastAsia="楷体_GB2312" w:hAnsi="Arial"/>
      <w:b/>
      <w:kern w:val="2"/>
      <w:sz w:val="21"/>
      <w:szCs w:val="22"/>
    </w:rPr>
  </w:style>
  <w:style w:type="paragraph" w:customStyle="1" w:styleId="GJStylesContentThirdTitleWide">
    <w:name w:val="GJ_Styles_Content_ThirdTitle_Wide"/>
    <w:qFormat/>
    <w:rsid w:val="00D12D7D"/>
    <w:pPr>
      <w:numPr>
        <w:numId w:val="26"/>
      </w:numPr>
      <w:spacing w:after="120" w:line="240" w:lineRule="exact"/>
      <w:jc w:val="both"/>
    </w:pPr>
    <w:rPr>
      <w:rFonts w:ascii="Arial" w:eastAsia="楷体_GB2312" w:hAnsi="Arial"/>
      <w:kern w:val="2"/>
      <w:sz w:val="21"/>
      <w:szCs w:val="22"/>
    </w:rPr>
  </w:style>
  <w:style w:type="paragraph" w:customStyle="1" w:styleId="GJStylesContentFourTitleWide">
    <w:name w:val="GJ_Styles_Content_FourTitle_Wide"/>
    <w:qFormat/>
    <w:rsid w:val="00D12D7D"/>
    <w:pPr>
      <w:numPr>
        <w:ilvl w:val="1"/>
        <w:numId w:val="26"/>
      </w:numPr>
      <w:spacing w:after="120" w:line="240" w:lineRule="exact"/>
      <w:jc w:val="both"/>
    </w:pPr>
    <w:rPr>
      <w:rFonts w:ascii="Arial" w:eastAsia="楷体_GB2312" w:hAnsi="Arial"/>
      <w:kern w:val="2"/>
      <w:sz w:val="21"/>
      <w:szCs w:val="22"/>
    </w:rPr>
  </w:style>
  <w:style w:type="paragraph" w:customStyle="1" w:styleId="GJStylesContentContentWide">
    <w:name w:val="GJ_Styles_Content_Content_Wide"/>
    <w:qFormat/>
    <w:rsid w:val="00D12D7D"/>
    <w:pPr>
      <w:spacing w:after="120" w:line="240" w:lineRule="exact"/>
      <w:ind w:firstLineChars="200" w:firstLine="200"/>
      <w:jc w:val="both"/>
    </w:pPr>
    <w:rPr>
      <w:rFonts w:ascii="Arial" w:eastAsia="楷体_GB2312" w:hAnsi="Arial"/>
      <w:kern w:val="2"/>
      <w:sz w:val="21"/>
      <w:szCs w:val="22"/>
    </w:rPr>
  </w:style>
  <w:style w:type="paragraph" w:customStyle="1" w:styleId="GJReportFirPageRelaReports">
    <w:name w:val="GJ_Report_FirPage_RelaReports"/>
    <w:qFormat/>
    <w:rsid w:val="00D12D7D"/>
    <w:pPr>
      <w:jc w:val="both"/>
    </w:pPr>
    <w:rPr>
      <w:rFonts w:ascii="Arial" w:eastAsia="楷体_GB2312" w:hAnsi="Arial"/>
      <w:kern w:val="2"/>
      <w:sz w:val="18"/>
      <w:szCs w:val="22"/>
    </w:rPr>
  </w:style>
  <w:style w:type="paragraph" w:customStyle="1" w:styleId="GJReportFirPageAuthorName">
    <w:name w:val="GJ_Report_FirPage_Author_Name"/>
    <w:qFormat/>
    <w:rsid w:val="00D12D7D"/>
    <w:pPr>
      <w:jc w:val="both"/>
    </w:pPr>
    <w:rPr>
      <w:rFonts w:ascii="Arial" w:eastAsia="楷体_GB2312" w:hAnsi="Arial"/>
      <w:b/>
      <w:kern w:val="2"/>
      <w:sz w:val="21"/>
      <w:szCs w:val="22"/>
    </w:rPr>
  </w:style>
  <w:style w:type="paragraph" w:customStyle="1" w:styleId="GJReportFirPageAuthorEmail">
    <w:name w:val="GJ_Report_FirPage_Author_Email"/>
    <w:qFormat/>
    <w:rsid w:val="00D12D7D"/>
    <w:pPr>
      <w:jc w:val="both"/>
    </w:pPr>
    <w:rPr>
      <w:rFonts w:ascii="Arial" w:eastAsia="楷体_GB2312" w:hAnsi="Arial"/>
      <w:b/>
      <w:kern w:val="2"/>
      <w:sz w:val="13"/>
      <w:szCs w:val="22"/>
    </w:rPr>
  </w:style>
  <w:style w:type="paragraph" w:customStyle="1" w:styleId="GJStylesTableTitleSuo">
    <w:name w:val="GJ_Styles_Table_Title_Suo"/>
    <w:qFormat/>
    <w:rsid w:val="00D12D7D"/>
    <w:pPr>
      <w:keepNext/>
      <w:pBdr>
        <w:top w:val="single" w:sz="4" w:space="1" w:color="00A0E9"/>
      </w:pBdr>
      <w:suppressAutoHyphens/>
      <w:spacing w:after="40" w:line="240" w:lineRule="atLeast"/>
      <w:ind w:left="3402"/>
      <w:jc w:val="both"/>
    </w:pPr>
    <w:rPr>
      <w:rFonts w:ascii="Arial" w:eastAsia="楷体_GB2312" w:hAnsi="Arial"/>
      <w:b/>
      <w:i/>
      <w:color w:val="000000"/>
      <w:kern w:val="2"/>
      <w:sz w:val="21"/>
      <w:szCs w:val="22"/>
    </w:rPr>
  </w:style>
  <w:style w:type="paragraph" w:customStyle="1" w:styleId="GJStylesTableSourceSuo">
    <w:name w:val="GJ_Styles_Table_Source_Suo"/>
    <w:qFormat/>
    <w:rsid w:val="00D12D7D"/>
    <w:pPr>
      <w:spacing w:before="40" w:after="160"/>
      <w:ind w:left="3402"/>
      <w:jc w:val="both"/>
    </w:pPr>
    <w:rPr>
      <w:rFonts w:ascii="Arial" w:eastAsia="楷体_GB2312" w:hAnsi="Arial"/>
      <w:color w:val="000000"/>
      <w:kern w:val="2"/>
      <w:sz w:val="15"/>
      <w:szCs w:val="22"/>
    </w:rPr>
  </w:style>
  <w:style w:type="numbering" w:customStyle="1" w:styleId="GJStylesContentMarkWide">
    <w:name w:val="GJ_Styles_Content_Mark_Wide"/>
    <w:uiPriority w:val="99"/>
    <w:rsid w:val="00D12D7D"/>
    <w:pPr>
      <w:numPr>
        <w:numId w:val="10"/>
      </w:numPr>
    </w:pPr>
  </w:style>
  <w:style w:type="table" w:customStyle="1" w:styleId="GJStylesChartInsertSingleCol">
    <w:name w:val="GJ_Styles_Chart_InsertSingleCol"/>
    <w:basedOn w:val="a2"/>
    <w:uiPriority w:val="99"/>
    <w:qFormat/>
    <w:rsid w:val="00D12D7D"/>
    <w:rPr>
      <w:rFonts w:ascii="Calibri" w:hAnsi="Calibri"/>
    </w:rPr>
    <w:tblPr>
      <w:tblInd w:w="0" w:type="dxa"/>
      <w:tblBorders>
        <w:top w:val="single" w:sz="4" w:space="0" w:color="00A0E9"/>
        <w:insideH w:val="single" w:sz="4" w:space="0" w:color="00A0E9"/>
      </w:tblBorders>
      <w:tblCellMar>
        <w:top w:w="0" w:type="dxa"/>
        <w:left w:w="108" w:type="dxa"/>
        <w:bottom w:w="0" w:type="dxa"/>
        <w:right w:w="108" w:type="dxa"/>
      </w:tblCellMar>
    </w:tblPr>
    <w:tcPr>
      <w:tcMar>
        <w:left w:w="0" w:type="dxa"/>
        <w:right w:w="0" w:type="dxa"/>
      </w:tcMar>
    </w:tcPr>
    <w:tblStylePr w:type="firstRow">
      <w:pPr>
        <w:wordWrap/>
        <w:jc w:val="left"/>
      </w:pPr>
    </w:tblStylePr>
    <w:tblStylePr w:type="lastRow">
      <w:pPr>
        <w:wordWrap/>
        <w:jc w:val="left"/>
      </w:pPr>
    </w:tblStylePr>
  </w:style>
  <w:style w:type="table" w:customStyle="1" w:styleId="GJStylesChartInsertDoubleCol">
    <w:name w:val="GJ_Styles_Chart_InsertDoubleCol"/>
    <w:basedOn w:val="a2"/>
    <w:uiPriority w:val="99"/>
    <w:qFormat/>
    <w:rsid w:val="00D12D7D"/>
    <w:rPr>
      <w:rFonts w:ascii="Calibri" w:hAnsi="Calibri"/>
    </w:rPr>
    <w:tblPr>
      <w:tblInd w:w="0" w:type="dxa"/>
      <w:tblCellMar>
        <w:top w:w="0" w:type="dxa"/>
        <w:left w:w="108" w:type="dxa"/>
        <w:bottom w:w="0" w:type="dxa"/>
        <w:right w:w="108" w:type="dxa"/>
      </w:tblCellMar>
    </w:tblPr>
    <w:tcPr>
      <w:tcMar>
        <w:left w:w="0" w:type="dxa"/>
        <w:right w:w="0" w:type="dxa"/>
      </w:tcMar>
    </w:tcPr>
    <w:tblStylePr w:type="firstCol">
      <w:tblPr/>
      <w:tcPr>
        <w:tcBorders>
          <w:top w:val="single" w:sz="4" w:space="0" w:color="00A0E9"/>
          <w:insideH w:val="single" w:sz="4" w:space="0" w:color="00A0E9"/>
        </w:tcBorders>
      </w:tcPr>
    </w:tblStylePr>
    <w:tblStylePr w:type="lastCol">
      <w:tblPr/>
      <w:tcPr>
        <w:tcBorders>
          <w:top w:val="single" w:sz="4" w:space="0" w:color="00A0E9"/>
          <w:insideH w:val="single" w:sz="4" w:space="0" w:color="00A0E9"/>
        </w:tcBorders>
      </w:tcPr>
    </w:tblStylePr>
  </w:style>
  <w:style w:type="paragraph" w:customStyle="1" w:styleId="GJStylesTableTitle">
    <w:name w:val="GJ_Styles_Table_Title"/>
    <w:qFormat/>
    <w:rsid w:val="00D12D7D"/>
    <w:pPr>
      <w:keepNext/>
      <w:pBdr>
        <w:top w:val="single" w:sz="4" w:space="1" w:color="00A0E9"/>
      </w:pBdr>
      <w:suppressAutoHyphens/>
      <w:spacing w:after="40" w:line="240" w:lineRule="atLeast"/>
      <w:jc w:val="both"/>
    </w:pPr>
    <w:rPr>
      <w:rFonts w:ascii="Arial" w:eastAsia="楷体_GB2312" w:hAnsi="Arial"/>
      <w:b/>
      <w:i/>
      <w:color w:val="000000"/>
      <w:kern w:val="2"/>
      <w:sz w:val="21"/>
      <w:szCs w:val="22"/>
    </w:rPr>
  </w:style>
  <w:style w:type="table" w:customStyle="1" w:styleId="GJStylesTableDefalutStyle">
    <w:name w:val="GJ_Styles_Table_DefalutStyle"/>
    <w:basedOn w:val="a2"/>
    <w:uiPriority w:val="99"/>
    <w:qFormat/>
    <w:rsid w:val="00D12D7D"/>
    <w:rPr>
      <w:rFonts w:ascii="Arial" w:eastAsia="楷体_GB2312" w:hAnsi="Arial"/>
      <w:color w:val="000000"/>
      <w:sz w:val="18"/>
    </w:rPr>
    <w:tblPr>
      <w:tblInd w:w="0" w:type="dxa"/>
      <w:tblBorders>
        <w:top w:val="single" w:sz="4" w:space="0" w:color="00A0E9"/>
        <w:bottom w:val="single" w:sz="4" w:space="0" w:color="00A0E9"/>
      </w:tblBorders>
      <w:tblCellMar>
        <w:top w:w="0" w:type="dxa"/>
        <w:left w:w="108" w:type="dxa"/>
        <w:bottom w:w="0" w:type="dxa"/>
        <w:right w:w="108" w:type="dxa"/>
      </w:tblCellMar>
    </w:tblPr>
    <w:tblStylePr w:type="firstRow">
      <w:pPr>
        <w:wordWrap/>
        <w:jc w:val="center"/>
      </w:pPr>
      <w:rPr>
        <w:b/>
      </w:rPr>
      <w:tblPr/>
      <w:tcPr>
        <w:tcBorders>
          <w:bottom w:val="single" w:sz="4" w:space="0" w:color="BFBFBF"/>
        </w:tcBorders>
      </w:tcPr>
    </w:tblStylePr>
  </w:style>
  <w:style w:type="paragraph" w:customStyle="1" w:styleId="GJStylesTableTitleRed">
    <w:name w:val="GJ_Styles_Table_Title_Red"/>
    <w:qFormat/>
    <w:rsid w:val="00D12D7D"/>
    <w:pPr>
      <w:keepNext/>
      <w:pBdr>
        <w:top w:val="single" w:sz="4" w:space="1" w:color="C00000"/>
      </w:pBdr>
      <w:suppressAutoHyphens/>
      <w:spacing w:after="40" w:line="240" w:lineRule="atLeast"/>
      <w:jc w:val="both"/>
    </w:pPr>
    <w:rPr>
      <w:rFonts w:ascii="Arial" w:eastAsia="楷体_GB2312" w:hAnsi="Arial"/>
      <w:b/>
      <w:i/>
      <w:color w:val="000000"/>
      <w:kern w:val="2"/>
      <w:sz w:val="21"/>
      <w:szCs w:val="22"/>
    </w:rPr>
  </w:style>
  <w:style w:type="paragraph" w:customStyle="1" w:styleId="GJStylesTableTitleSuoRed">
    <w:name w:val="GJ_Styles_Table_Title_Suo_Red"/>
    <w:qFormat/>
    <w:rsid w:val="00D12D7D"/>
    <w:pPr>
      <w:keepNext/>
      <w:pBdr>
        <w:top w:val="single" w:sz="4" w:space="1" w:color="C00000"/>
      </w:pBdr>
      <w:suppressAutoHyphens/>
      <w:spacing w:after="40" w:line="240" w:lineRule="atLeast"/>
      <w:ind w:left="3402"/>
      <w:jc w:val="both"/>
    </w:pPr>
    <w:rPr>
      <w:rFonts w:ascii="Arial" w:eastAsia="楷体_GB2312" w:hAnsi="Arial"/>
      <w:b/>
      <w:i/>
      <w:color w:val="000000"/>
      <w:kern w:val="2"/>
      <w:sz w:val="21"/>
      <w:szCs w:val="22"/>
    </w:rPr>
  </w:style>
  <w:style w:type="table" w:customStyle="1" w:styleId="GJStylesTableDefalutStyleRed">
    <w:name w:val="GJ_Styles_Table_DefalutStyle_Red"/>
    <w:basedOn w:val="a2"/>
    <w:uiPriority w:val="99"/>
    <w:qFormat/>
    <w:rsid w:val="00D12D7D"/>
    <w:rPr>
      <w:rFonts w:ascii="Arial" w:eastAsia="楷体_GB2312" w:hAnsi="Arial"/>
      <w:sz w:val="18"/>
    </w:rPr>
    <w:tblPr>
      <w:tblInd w:w="0" w:type="dxa"/>
      <w:tblBorders>
        <w:top w:val="single" w:sz="4" w:space="0" w:color="C00000"/>
        <w:bottom w:val="single" w:sz="4" w:space="0" w:color="C00000"/>
      </w:tblBorders>
      <w:tblCellMar>
        <w:top w:w="0" w:type="dxa"/>
        <w:left w:w="108" w:type="dxa"/>
        <w:bottom w:w="0" w:type="dxa"/>
        <w:right w:w="108" w:type="dxa"/>
      </w:tblCellMar>
    </w:tblPr>
    <w:tblStylePr w:type="firstRow">
      <w:rPr>
        <w:b/>
      </w:rPr>
      <w:tblPr/>
      <w:tcPr>
        <w:tcBorders>
          <w:bottom w:val="single" w:sz="4" w:space="0" w:color="BFBFBF"/>
        </w:tcBorders>
      </w:tcPr>
    </w:tblStylePr>
  </w:style>
  <w:style w:type="table" w:customStyle="1" w:styleId="GJStylesChartInsertSingleColRed">
    <w:name w:val="GJ_Styles_Chart_InsertSingleCol_Red"/>
    <w:basedOn w:val="a2"/>
    <w:uiPriority w:val="99"/>
    <w:qFormat/>
    <w:rsid w:val="00D12D7D"/>
    <w:rPr>
      <w:rFonts w:ascii="Calibri" w:hAnsi="Calibri"/>
    </w:rPr>
    <w:tblPr>
      <w:tblInd w:w="0" w:type="dxa"/>
      <w:tblBorders>
        <w:top w:val="single" w:sz="4" w:space="0" w:color="C00000"/>
        <w:insideH w:val="single" w:sz="4" w:space="0" w:color="C00000"/>
      </w:tblBorders>
      <w:tblCellMar>
        <w:top w:w="0" w:type="dxa"/>
        <w:left w:w="108" w:type="dxa"/>
        <w:bottom w:w="0" w:type="dxa"/>
        <w:right w:w="108" w:type="dxa"/>
      </w:tblCellMar>
    </w:tblPr>
  </w:style>
  <w:style w:type="table" w:customStyle="1" w:styleId="GJStylesChartInsertDoubleColRed">
    <w:name w:val="GJ_Styles_Chart_InsertDoubleCol_Red"/>
    <w:basedOn w:val="a2"/>
    <w:uiPriority w:val="99"/>
    <w:qFormat/>
    <w:rsid w:val="00D12D7D"/>
    <w:rPr>
      <w:rFonts w:ascii="Calibri" w:hAnsi="Calibri"/>
    </w:rPr>
    <w:tblPr>
      <w:tblInd w:w="0" w:type="dxa"/>
      <w:tblCellMar>
        <w:top w:w="0" w:type="dxa"/>
        <w:left w:w="108" w:type="dxa"/>
        <w:bottom w:w="0" w:type="dxa"/>
        <w:right w:w="108" w:type="dxa"/>
      </w:tblCellMar>
    </w:tblPr>
    <w:tblStylePr w:type="firstCol">
      <w:tblPr/>
      <w:tcPr>
        <w:tcBorders>
          <w:top w:val="single" w:sz="4" w:space="0" w:color="C00000"/>
          <w:insideH w:val="single" w:sz="4" w:space="0" w:color="C00000"/>
        </w:tcBorders>
      </w:tcPr>
    </w:tblStylePr>
    <w:tblStylePr w:type="lastCol">
      <w:tblPr/>
      <w:tcPr>
        <w:tcBorders>
          <w:top w:val="single" w:sz="4" w:space="0" w:color="C00000"/>
          <w:insideH w:val="single" w:sz="4" w:space="0" w:color="C00000"/>
        </w:tcBorders>
      </w:tcPr>
    </w:tblStylePr>
  </w:style>
  <w:style w:type="paragraph" w:customStyle="1" w:styleId="GJStylesMuluTitle">
    <w:name w:val="GJ_Styles_Mulu_Title"/>
    <w:rsid w:val="00D12D7D"/>
    <w:pPr>
      <w:spacing w:after="120" w:line="480" w:lineRule="exact"/>
      <w:ind w:left="3402"/>
      <w:jc w:val="both"/>
    </w:pPr>
    <w:rPr>
      <w:rFonts w:ascii="Arial" w:eastAsia="楷体_GB2312" w:hAnsi="Arial"/>
      <w:b/>
      <w:color w:val="000000"/>
      <w:kern w:val="2"/>
      <w:sz w:val="28"/>
      <w:szCs w:val="22"/>
    </w:rPr>
  </w:style>
  <w:style w:type="paragraph" w:customStyle="1" w:styleId="GJStylesMuluContent1">
    <w:name w:val="GJ_Styles_Mulu_Content1"/>
    <w:rsid w:val="00D12D7D"/>
    <w:pPr>
      <w:spacing w:line="312" w:lineRule="auto"/>
      <w:ind w:left="3402"/>
      <w:jc w:val="both"/>
    </w:pPr>
    <w:rPr>
      <w:rFonts w:ascii="Arial" w:eastAsia="楷体_GB2312" w:hAnsi="Arial"/>
      <w:color w:val="000000"/>
      <w:kern w:val="2"/>
      <w:sz w:val="21"/>
      <w:szCs w:val="22"/>
    </w:rPr>
  </w:style>
  <w:style w:type="paragraph" w:customStyle="1" w:styleId="GJStylesMuluContent2">
    <w:name w:val="GJ_Styles_Mulu_Content2"/>
    <w:rsid w:val="00D12D7D"/>
    <w:pPr>
      <w:spacing w:line="312" w:lineRule="auto"/>
      <w:ind w:leftChars="2000" w:left="2000"/>
      <w:jc w:val="both"/>
    </w:pPr>
    <w:rPr>
      <w:rFonts w:ascii="Arial" w:eastAsia="楷体_GB2312" w:hAnsi="Arial"/>
      <w:color w:val="000000"/>
      <w:kern w:val="2"/>
      <w:sz w:val="21"/>
      <w:szCs w:val="22"/>
    </w:rPr>
  </w:style>
  <w:style w:type="character" w:styleId="af2">
    <w:name w:val="Placeholder Text"/>
    <w:basedOn w:val="a1"/>
    <w:uiPriority w:val="99"/>
    <w:semiHidden/>
    <w:rsid w:val="00DC78A4"/>
    <w:rPr>
      <w:color w:val="808080"/>
    </w:rPr>
  </w:style>
  <w:style w:type="table" w:customStyle="1" w:styleId="GJStylesTableRatStyle">
    <w:name w:val="GJ_Styles_Table_RatStyle"/>
    <w:basedOn w:val="a2"/>
    <w:uiPriority w:val="99"/>
    <w:qFormat/>
    <w:rsid w:val="00D12D7D"/>
    <w:pPr>
      <w:jc w:val="center"/>
    </w:pPr>
    <w:rPr>
      <w:rFonts w:ascii="Arial" w:eastAsia="楷体_GB2312" w:hAnsi="Arial"/>
      <w:color w:val="000000"/>
      <w:sz w:val="18"/>
    </w:rPr>
    <w:tblPr>
      <w:tblInd w:w="0" w:type="dxa"/>
      <w:tblBorders>
        <w:top w:val="single" w:sz="4" w:space="0" w:color="C0C0C0"/>
        <w:bottom w:val="single" w:sz="4" w:space="0" w:color="C0C0C0"/>
        <w:insideH w:val="single" w:sz="4" w:space="0" w:color="C0C0C0"/>
      </w:tblBorders>
      <w:tblCellMar>
        <w:top w:w="0" w:type="dxa"/>
        <w:left w:w="0" w:type="dxa"/>
        <w:bottom w:w="0" w:type="dxa"/>
        <w:right w:w="28" w:type="dxa"/>
      </w:tblCellMar>
    </w:tblPr>
    <w:tcPr>
      <w:vAlign w:val="center"/>
    </w:tcPr>
    <w:tblStylePr w:type="firstRow">
      <w:pPr>
        <w:wordWrap/>
        <w:jc w:val="center"/>
        <w:outlineLvl w:val="9"/>
      </w:pPr>
      <w:rPr>
        <w:rFonts w:ascii="Arial" w:eastAsia="新宋体" w:hAnsi="Arial"/>
        <w:b/>
        <w:i w:val="0"/>
        <w:color w:val="000000"/>
        <w:sz w:val="18"/>
      </w:rPr>
      <w:tblPr/>
      <w:tcPr>
        <w:tcBorders>
          <w:top w:val="single" w:sz="4" w:space="0" w:color="BFBFBF"/>
          <w:left w:val="nil"/>
          <w:bottom w:val="single" w:sz="4" w:space="0" w:color="BFBFBF"/>
          <w:right w:val="nil"/>
          <w:insideH w:val="nil"/>
          <w:insideV w:val="nil"/>
          <w:tl2br w:val="nil"/>
          <w:tr2bl w:val="nil"/>
        </w:tcBorders>
      </w:tcPr>
    </w:tblStylePr>
  </w:style>
  <w:style w:type="table" w:customStyle="1" w:styleId="GJStylesTableRatStyle2">
    <w:name w:val="GJ_Styles_Table_RatStyle_2"/>
    <w:basedOn w:val="a2"/>
    <w:uiPriority w:val="99"/>
    <w:qFormat/>
    <w:rsid w:val="00D12D7D"/>
    <w:pPr>
      <w:jc w:val="center"/>
    </w:pPr>
    <w:rPr>
      <w:rFonts w:ascii="Arial" w:eastAsia="楷体_GB2312" w:hAnsi="Arial"/>
      <w:color w:val="000000"/>
      <w:sz w:val="18"/>
    </w:rPr>
    <w:tblPr>
      <w:tblInd w:w="0" w:type="dxa"/>
      <w:tblBorders>
        <w:top w:val="single" w:sz="4" w:space="0" w:color="00A0E9"/>
        <w:bottom w:val="single" w:sz="4" w:space="0" w:color="00A0E9"/>
      </w:tblBorders>
      <w:tblCellMar>
        <w:top w:w="0" w:type="dxa"/>
        <w:left w:w="0" w:type="dxa"/>
        <w:bottom w:w="0" w:type="dxa"/>
        <w:right w:w="28" w:type="dxa"/>
      </w:tblCellMar>
    </w:tblPr>
    <w:tcPr>
      <w:shd w:val="clear" w:color="auto" w:fill="FFFFFF"/>
      <w:vAlign w:val="center"/>
    </w:tcPr>
    <w:tblStylePr w:type="firstRow">
      <w:rPr>
        <w:rFonts w:ascii="新宋体" w:eastAsia="新宋体"/>
        <w:b/>
        <w:i w:val="0"/>
        <w:color w:val="000000"/>
        <w:sz w:val="18"/>
      </w:rPr>
      <w:tblPr/>
      <w:tcPr>
        <w:tcBorders>
          <w:top w:val="single" w:sz="4" w:space="0" w:color="00A0E9"/>
          <w:left w:val="nil"/>
          <w:bottom w:val="nil"/>
          <w:right w:val="nil"/>
          <w:insideH w:val="nil"/>
          <w:insideV w:val="nil"/>
          <w:tl2br w:val="nil"/>
          <w:tr2bl w:val="nil"/>
        </w:tcBorders>
        <w:shd w:val="clear" w:color="auto" w:fill="FFFFFF"/>
      </w:tcPr>
    </w:tblStylePr>
  </w:style>
  <w:style w:type="table" w:customStyle="1" w:styleId="GJStylesTableRatStyle3">
    <w:name w:val="GJ_Styles_Table_RatStyle_3"/>
    <w:basedOn w:val="a2"/>
    <w:uiPriority w:val="99"/>
    <w:qFormat/>
    <w:rsid w:val="00D12D7D"/>
    <w:pPr>
      <w:jc w:val="center"/>
    </w:pPr>
    <w:rPr>
      <w:rFonts w:ascii="Arial" w:eastAsia="楷体_GB2312" w:hAnsi="Arial"/>
      <w:sz w:val="18"/>
    </w:rPr>
    <w:tblPr>
      <w:tblInd w:w="0" w:type="dxa"/>
      <w:tblBorders>
        <w:insideH w:val="single" w:sz="6" w:space="0" w:color="C0C0C0"/>
      </w:tblBorders>
      <w:tblCellMar>
        <w:top w:w="0" w:type="dxa"/>
        <w:left w:w="0" w:type="dxa"/>
        <w:bottom w:w="0" w:type="dxa"/>
        <w:right w:w="0" w:type="dxa"/>
      </w:tblCellMar>
    </w:tblPr>
  </w:style>
  <w:style w:type="table" w:customStyle="1" w:styleId="GJStylesTableRatStyle4">
    <w:name w:val="GJ_Styles_Table_RatStyle_4"/>
    <w:basedOn w:val="a2"/>
    <w:uiPriority w:val="99"/>
    <w:qFormat/>
    <w:rsid w:val="00D12D7D"/>
    <w:rPr>
      <w:rFonts w:ascii="Arial" w:eastAsia="楷体_GB2312" w:hAnsi="Arial"/>
      <w:sz w:val="21"/>
    </w:rPr>
    <w:tblPr>
      <w:tblInd w:w="0" w:type="dxa"/>
      <w:tblCellMar>
        <w:top w:w="0" w:type="dxa"/>
        <w:left w:w="0" w:type="dxa"/>
        <w:bottom w:w="0" w:type="dxa"/>
        <w:right w:w="0" w:type="dxa"/>
      </w:tblCellMar>
    </w:tblPr>
    <w:tblStylePr w:type="firstRow">
      <w:rPr>
        <w:rFonts w:ascii="Arial" w:eastAsia="新宋体" w:hAnsi="Arial"/>
        <w:b/>
        <w:i w:val="0"/>
        <w:sz w:val="21"/>
      </w:rPr>
    </w:tblStylePr>
  </w:style>
  <w:style w:type="table" w:customStyle="1" w:styleId="GJStylesTableRatStyle5">
    <w:name w:val="GJ_Styles_Table_RatStyle_5"/>
    <w:basedOn w:val="a2"/>
    <w:uiPriority w:val="99"/>
    <w:qFormat/>
    <w:rsid w:val="00D12D7D"/>
    <w:pPr>
      <w:spacing w:after="120" w:line="240" w:lineRule="exact"/>
      <w:jc w:val="both"/>
    </w:pPr>
    <w:rPr>
      <w:rFonts w:ascii="Calibri" w:hAnsi="Calibri"/>
    </w:rPr>
    <w:tblPr>
      <w:tblInd w:w="0" w:type="dxa"/>
      <w:tblCellMar>
        <w:top w:w="0" w:type="dxa"/>
        <w:left w:w="108" w:type="dxa"/>
        <w:bottom w:w="0" w:type="dxa"/>
        <w:right w:w="108" w:type="dxa"/>
      </w:tblCellMar>
    </w:tblPr>
  </w:style>
  <w:style w:type="table" w:customStyle="1" w:styleId="GJStylesTableRatStyle6">
    <w:name w:val="GJ_Styles_Table_RatStyle_6"/>
    <w:basedOn w:val="a2"/>
    <w:uiPriority w:val="99"/>
    <w:qFormat/>
    <w:rsid w:val="00D12D7D"/>
    <w:pPr>
      <w:jc w:val="right"/>
    </w:pPr>
    <w:rPr>
      <w:rFonts w:ascii="Arial" w:eastAsia="楷体_GB2312" w:hAnsi="Arial"/>
      <w:sz w:val="18"/>
    </w:rPr>
    <w:tblPr>
      <w:tblInd w:w="0" w:type="dxa"/>
      <w:tblCellMar>
        <w:top w:w="0" w:type="dxa"/>
        <w:left w:w="0" w:type="dxa"/>
        <w:bottom w:w="0" w:type="dxa"/>
        <w:right w:w="0" w:type="dxa"/>
      </w:tblCellMar>
    </w:tblPr>
    <w:tblStylePr w:type="firstCol">
      <w:pPr>
        <w:jc w:val="center"/>
      </w:pPr>
      <w:rPr>
        <w:rFonts w:ascii="Arial" w:eastAsia="新宋体" w:hAnsi="Arial"/>
        <w:b w:val="0"/>
        <w:i w:val="0"/>
        <w:sz w:val="18"/>
      </w:rPr>
      <w:tblPr/>
      <w:tcPr>
        <w:tcBorders>
          <w:top w:val="nil"/>
          <w:left w:val="nil"/>
          <w:bottom w:val="nil"/>
          <w:right w:val="nil"/>
          <w:insideH w:val="nil"/>
          <w:insideV w:val="nil"/>
          <w:tl2br w:val="nil"/>
          <w:tr2bl w:val="nil"/>
        </w:tcBorders>
        <w:vAlign w:val="center"/>
      </w:tcPr>
    </w:tblStylePr>
  </w:style>
  <w:style w:type="table" w:customStyle="1" w:styleId="GJStylesTableRatStyle7">
    <w:name w:val="GJ_Styles_Table_RatStyle_7"/>
    <w:basedOn w:val="a2"/>
    <w:uiPriority w:val="99"/>
    <w:qFormat/>
    <w:rsid w:val="00D12D7D"/>
    <w:pPr>
      <w:jc w:val="both"/>
    </w:pPr>
    <w:rPr>
      <w:rFonts w:ascii="Calibri" w:eastAsia="楷体_GB2312" w:hAnsi="Calibri"/>
      <w:b/>
      <w:sz w:val="13"/>
    </w:rPr>
    <w:tblPr>
      <w:tblInd w:w="-34" w:type="dxa"/>
      <w:tblCellMar>
        <w:top w:w="0" w:type="dxa"/>
        <w:left w:w="0" w:type="dxa"/>
        <w:bottom w:w="0" w:type="dxa"/>
        <w:right w:w="0" w:type="dxa"/>
      </w:tblCellMar>
    </w:tblPr>
    <w:tblStylePr w:type="firstRow">
      <w:pPr>
        <w:jc w:val="both"/>
      </w:pPr>
      <w:rPr>
        <w:rFonts w:ascii="Arial" w:eastAsia="Marlett" w:hAnsi="Arial"/>
        <w:b/>
        <w:i w:val="0"/>
        <w:sz w:val="21"/>
      </w:rPr>
    </w:tblStylePr>
    <w:tblStylePr w:type="lastRow">
      <w:pPr>
        <w:jc w:val="both"/>
      </w:pPr>
      <w:rPr>
        <w:rFonts w:ascii="Arial" w:eastAsia="Marlett" w:hAnsi="Arial"/>
        <w:b/>
        <w:i w:val="0"/>
        <w:sz w:val="13"/>
      </w:rPr>
    </w:tblStylePr>
  </w:style>
  <w:style w:type="paragraph" w:styleId="af3">
    <w:name w:val="List Paragraph"/>
    <w:basedOn w:val="a"/>
    <w:uiPriority w:val="34"/>
    <w:qFormat/>
    <w:rsid w:val="00C0472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0">
    <w:name w:val="GJStylesSummaryContentMark"/>
    <w:pPr>
      <w:numPr>
        <w:numId w:val="6"/>
      </w:numPr>
    </w:pPr>
  </w:style>
  <w:style w:type="numbering" w:customStyle="1" w:styleId="Contact">
    <w:name w:val="GJStylesContentMarkWide"/>
    <w:pPr>
      <w:numPr>
        <w:numId w:val="10"/>
      </w:numPr>
    </w:pPr>
  </w:style>
  <w:style w:type="numbering" w:customStyle="1" w:styleId="a4">
    <w:name w:val="GJStylesContentMark"/>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igData\&#22269;&#37329;Word&#25554;&#20214;\config\Word\RptTemplate\&#19987;&#39064;&#25253;&#21578;&#19975;&#33021;&#2925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9D90470EF114B86992C40E1FC1939B5"/>
        <w:category>
          <w:name w:val="常规"/>
          <w:gallery w:val="placeholder"/>
        </w:category>
        <w:types>
          <w:type w:val="bbPlcHdr"/>
        </w:types>
        <w:behaviors>
          <w:behavior w:val="content"/>
        </w:behaviors>
        <w:guid w:val="{94D3F791-F5FE-4225-B806-E31B95C0BB90}"/>
      </w:docPartPr>
      <w:docPartBody>
        <w:p w:rsidR="00CE7C65" w:rsidRDefault="001A3AC1">
          <w:pPr>
            <w:pStyle w:val="79D90470EF114B86992C40E1FC1939B5"/>
          </w:pPr>
          <w:r w:rsidRPr="001C4667">
            <w:rPr>
              <w:rStyle w:val="a3"/>
              <w:rFonts w:hint="eastAsia"/>
            </w:rPr>
            <w:t>单击此处输入文字。</w:t>
          </w:r>
        </w:p>
      </w:docPartBody>
    </w:docPart>
    <w:docPart>
      <w:docPartPr>
        <w:name w:val="94B91127A09D4D26B4F544934F3B89B1"/>
        <w:category>
          <w:name w:val="常规"/>
          <w:gallery w:val="placeholder"/>
        </w:category>
        <w:types>
          <w:type w:val="bbPlcHdr"/>
        </w:types>
        <w:behaviors>
          <w:behavior w:val="content"/>
        </w:behaviors>
        <w:guid w:val="{012CAABF-9460-415A-A126-2D2C70BAC4ED}"/>
      </w:docPartPr>
      <w:docPartBody>
        <w:p w:rsidR="00CE7C65" w:rsidRDefault="001A3AC1">
          <w:pPr>
            <w:pStyle w:val="94B91127A09D4D26B4F544934F3B89B1"/>
          </w:pPr>
          <w:r w:rsidRPr="004F02EC">
            <w:rPr>
              <w:rStyle w:val="a3"/>
              <w:rFonts w:hint="eastAsia"/>
            </w:rPr>
            <w:t>单击此处输入文字。</w:t>
          </w:r>
        </w:p>
      </w:docPartBody>
    </w:docPart>
    <w:docPart>
      <w:docPartPr>
        <w:name w:val="840758A2AACC41E293F11170BDE67690"/>
        <w:category>
          <w:name w:val="常规"/>
          <w:gallery w:val="placeholder"/>
        </w:category>
        <w:types>
          <w:type w:val="bbPlcHdr"/>
        </w:types>
        <w:behaviors>
          <w:behavior w:val="content"/>
        </w:behaviors>
        <w:guid w:val="{E4110D4A-2718-4E9D-90E8-677B58F15A9A}"/>
      </w:docPartPr>
      <w:docPartBody>
        <w:p w:rsidR="00493FDB" w:rsidRDefault="00CE7C65">
          <w:r w:rsidRPr="007B6872">
            <w:rPr>
              <w:rStyle w:val="a3"/>
              <w:rFonts w:hint="eastAsia"/>
            </w:rPr>
            <w:t>报告类型</w:t>
          </w:r>
        </w:p>
      </w:docPartBody>
    </w:docPart>
    <w:docPart>
      <w:docPartPr>
        <w:name w:val="3AF98DB354EF4549AB0BE78C83817B67"/>
        <w:category>
          <w:name w:val="常规"/>
          <w:gallery w:val="placeholder"/>
        </w:category>
        <w:types>
          <w:type w:val="bbPlcHdr"/>
        </w:types>
        <w:behaviors>
          <w:behavior w:val="content"/>
        </w:behaviors>
        <w:guid w:val="{C08525B6-5C9A-43DA-8AE2-343F4B4955BF}"/>
      </w:docPartPr>
      <w:docPartBody>
        <w:p w:rsidR="00493FDB" w:rsidRDefault="00CE7C65">
          <w:r w:rsidRPr="007B6872">
            <w:rPr>
              <w:rStyle w:val="a3"/>
              <w:rFonts w:hint="eastAsia"/>
            </w:rPr>
            <w:t>报告日期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新宋体">
    <w:panose1 w:val="02010609030101010101"/>
    <w:charset w:val="86"/>
    <w:family w:val="modern"/>
    <w:pitch w:val="fixed"/>
    <w:sig w:usb0="00000003" w:usb1="288F0000" w:usb2="00000016" w:usb3="00000000" w:csb0="00040001" w:csb1="00000000"/>
  </w:font>
  <w:font w:name="Marlett">
    <w:panose1 w:val="00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D9"/>
    <w:rsid w:val="00005396"/>
    <w:rsid w:val="001A3AC1"/>
    <w:rsid w:val="003371D9"/>
    <w:rsid w:val="00493FDB"/>
    <w:rsid w:val="00B40D30"/>
    <w:rsid w:val="00CE7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C65"/>
    <w:rPr>
      <w:color w:val="808080"/>
    </w:rPr>
  </w:style>
  <w:style w:type="paragraph" w:customStyle="1" w:styleId="79D90470EF114B86992C40E1FC1939B5">
    <w:name w:val="79D90470EF114B86992C40E1FC1939B5"/>
    <w:pPr>
      <w:widowControl w:val="0"/>
      <w:jc w:val="both"/>
    </w:pPr>
  </w:style>
  <w:style w:type="paragraph" w:customStyle="1" w:styleId="94B91127A09D4D26B4F544934F3B89B1">
    <w:name w:val="94B91127A09D4D26B4F544934F3B89B1"/>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C65"/>
    <w:rPr>
      <w:color w:val="808080"/>
    </w:rPr>
  </w:style>
  <w:style w:type="paragraph" w:customStyle="1" w:styleId="79D90470EF114B86992C40E1FC1939B5">
    <w:name w:val="79D90470EF114B86992C40E1FC1939B5"/>
    <w:pPr>
      <w:widowControl w:val="0"/>
      <w:jc w:val="both"/>
    </w:pPr>
  </w:style>
  <w:style w:type="paragraph" w:customStyle="1" w:styleId="94B91127A09D4D26B4F544934F3B89B1">
    <w:name w:val="94B91127A09D4D26B4F544934F3B89B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FB44C-ACD6-4678-8E6A-0C785966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专题报告万能版.dotx</Template>
  <TotalTime>318</TotalTime>
  <Pages>11</Pages>
  <Words>2140</Words>
  <Characters>12200</Characters>
  <Application>Microsoft Office Word</Application>
  <DocSecurity>0</DocSecurity>
  <Lines>101</Lines>
  <Paragraphs>28</Paragraphs>
  <ScaleCrop>false</ScaleCrop>
  <Company/>
  <LinksUpToDate>false</LinksUpToDate>
  <CharactersWithSpaces>14312</CharactersWithSpaces>
  <SharedDoc>false</SharedDoc>
  <HLinks>
    <vt:vector size="60" baseType="variant">
      <vt:variant>
        <vt:i4>1179710</vt:i4>
      </vt:variant>
      <vt:variant>
        <vt:i4>59</vt:i4>
      </vt:variant>
      <vt:variant>
        <vt:i4>0</vt:i4>
      </vt:variant>
      <vt:variant>
        <vt:i4>5</vt:i4>
      </vt:variant>
      <vt:variant>
        <vt:lpwstr/>
      </vt:variant>
      <vt:variant>
        <vt:lpwstr>_Toc240795531</vt:lpwstr>
      </vt:variant>
      <vt:variant>
        <vt:i4>2031673</vt:i4>
      </vt:variant>
      <vt:variant>
        <vt:i4>50</vt:i4>
      </vt:variant>
      <vt:variant>
        <vt:i4>0</vt:i4>
      </vt:variant>
      <vt:variant>
        <vt:i4>5</vt:i4>
      </vt:variant>
      <vt:variant>
        <vt:lpwstr/>
      </vt:variant>
      <vt:variant>
        <vt:lpwstr>_Toc239840639</vt:lpwstr>
      </vt:variant>
      <vt:variant>
        <vt:i4>2031673</vt:i4>
      </vt:variant>
      <vt:variant>
        <vt:i4>44</vt:i4>
      </vt:variant>
      <vt:variant>
        <vt:i4>0</vt:i4>
      </vt:variant>
      <vt:variant>
        <vt:i4>5</vt:i4>
      </vt:variant>
      <vt:variant>
        <vt:lpwstr/>
      </vt:variant>
      <vt:variant>
        <vt:lpwstr>_Toc239840638</vt:lpwstr>
      </vt:variant>
      <vt:variant>
        <vt:i4>2031673</vt:i4>
      </vt:variant>
      <vt:variant>
        <vt:i4>38</vt:i4>
      </vt:variant>
      <vt:variant>
        <vt:i4>0</vt:i4>
      </vt:variant>
      <vt:variant>
        <vt:i4>5</vt:i4>
      </vt:variant>
      <vt:variant>
        <vt:lpwstr/>
      </vt:variant>
      <vt:variant>
        <vt:lpwstr>_Toc239840637</vt:lpwstr>
      </vt:variant>
      <vt:variant>
        <vt:i4>2031673</vt:i4>
      </vt:variant>
      <vt:variant>
        <vt:i4>32</vt:i4>
      </vt:variant>
      <vt:variant>
        <vt:i4>0</vt:i4>
      </vt:variant>
      <vt:variant>
        <vt:i4>5</vt:i4>
      </vt:variant>
      <vt:variant>
        <vt:lpwstr/>
      </vt:variant>
      <vt:variant>
        <vt:lpwstr>_Toc239840636</vt:lpwstr>
      </vt:variant>
      <vt:variant>
        <vt:i4>2031673</vt:i4>
      </vt:variant>
      <vt:variant>
        <vt:i4>26</vt:i4>
      </vt:variant>
      <vt:variant>
        <vt:i4>0</vt:i4>
      </vt:variant>
      <vt:variant>
        <vt:i4>5</vt:i4>
      </vt:variant>
      <vt:variant>
        <vt:lpwstr/>
      </vt:variant>
      <vt:variant>
        <vt:lpwstr>_Toc239840635</vt:lpwstr>
      </vt:variant>
      <vt:variant>
        <vt:i4>2031673</vt:i4>
      </vt:variant>
      <vt:variant>
        <vt:i4>20</vt:i4>
      </vt:variant>
      <vt:variant>
        <vt:i4>0</vt:i4>
      </vt:variant>
      <vt:variant>
        <vt:i4>5</vt:i4>
      </vt:variant>
      <vt:variant>
        <vt:lpwstr/>
      </vt:variant>
      <vt:variant>
        <vt:lpwstr>_Toc239840634</vt:lpwstr>
      </vt:variant>
      <vt:variant>
        <vt:i4>2031673</vt:i4>
      </vt:variant>
      <vt:variant>
        <vt:i4>14</vt:i4>
      </vt:variant>
      <vt:variant>
        <vt:i4>0</vt:i4>
      </vt:variant>
      <vt:variant>
        <vt:i4>5</vt:i4>
      </vt:variant>
      <vt:variant>
        <vt:lpwstr/>
      </vt:variant>
      <vt:variant>
        <vt:lpwstr>_Toc239840633</vt:lpwstr>
      </vt:variant>
      <vt:variant>
        <vt:i4>2031673</vt:i4>
      </vt:variant>
      <vt:variant>
        <vt:i4>8</vt:i4>
      </vt:variant>
      <vt:variant>
        <vt:i4>0</vt:i4>
      </vt:variant>
      <vt:variant>
        <vt:i4>5</vt:i4>
      </vt:variant>
      <vt:variant>
        <vt:lpwstr/>
      </vt:variant>
      <vt:variant>
        <vt:lpwstr>_Toc239840632</vt:lpwstr>
      </vt:variant>
      <vt:variant>
        <vt:i4>2031673</vt:i4>
      </vt:variant>
      <vt:variant>
        <vt:i4>2</vt:i4>
      </vt:variant>
      <vt:variant>
        <vt:i4>0</vt:i4>
      </vt:variant>
      <vt:variant>
        <vt:i4>5</vt:i4>
      </vt:variant>
      <vt:variant>
        <vt:lpwstr/>
      </vt:variant>
      <vt:variant>
        <vt:lpwstr>_Toc239840631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公司研究</dc:title>
  <dc:subject>公司研究</dc:subject>
  <dc:creator>gjzq</dc:creator>
  <cp:keywords>模板</cp:keywords>
  <cp:lastModifiedBy>翁倩岚</cp:lastModifiedBy>
  <cp:revision>10</cp:revision>
  <cp:lastPrinted>2014-10-10T02:53:00Z</cp:lastPrinted>
  <dcterms:created xsi:type="dcterms:W3CDTF">2016-04-29T01:59:00Z</dcterms:created>
  <dcterms:modified xsi:type="dcterms:W3CDTF">2016-05-03T08:24:00Z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DCONTENTCONTROL_7592d0e5-15bb-4c61-826b-158ffdefbf84">
    <vt:lpwstr>GetData?Formula=PVBBUigiUmVwb3J0RGF0ZSIp&amp;FunctionName=PAR&amp;ContentType=TEXT&amp;Caption=报告日期&amp;DatasourceType=PAR&amp;StyleId=&amp;Other=yyyy年MM月dd日&amp;IsOnlyRefresh=False</vt:lpwstr>
  </property>
  <property fmtid="{D5CDD505-2E9C-101B-9397-08002B2CF9AE}" pid="3" name="BDCONTENTCONTROL_5c179c93-3177-4ab7-ae62-1dc3677fa3d8">
    <vt:lpwstr>GetData?Formula=PVBBUigiUmVwb3J0RGF0ZSIp&amp;FunctionName=PAR&amp;ContentType=TEXT&amp;Caption=报告日期&amp;DatasourceType=PAR&amp;StyleId=&amp;Other=yyyy年MM月dd日&amp;IsOnlyRefresh=False</vt:lpwstr>
  </property>
  <property fmtid="{D5CDD505-2E9C-101B-9397-08002B2CF9AE}" pid="4" name="BDCONTENTCONTROL_041a4771-0be9-4b94-b712-4a498ce28cf4">
    <vt:lpwstr>GetData?Formula=PVBBUigiQ29tUmFuayIp&amp;FunctionName=PAR&amp;ContentType=TEXT&amp;Caption=投资评级&amp;DatasourceType=PAR&amp;StyleId=&amp;Other=&amp;IsOnlyRefresh=False</vt:lpwstr>
  </property>
  <property fmtid="{D5CDD505-2E9C-101B-9397-08002B2CF9AE}" pid="5" name="BDCONTENTCONTROL_1bc0465d-2dae-4eb8-b81d-d7fb89f80052">
    <vt:lpwstr>GetData?Formula=PVBBUigiUmFua0FqdXN0Iik=&amp;FunctionName=PAR&amp;ContentType=TEXT&amp;Caption=评级变动&amp;DatasourceType=PAR&amp;StyleId=&amp;Other=&amp;IsOnlyRefresh=False</vt:lpwstr>
  </property>
  <property fmtid="{D5CDD505-2E9C-101B-9397-08002B2CF9AE}" pid="6" name="BDCONTENTCONTROL_2602561a-fc2b-4adc-befd-22fa63ba88c6">
    <vt:lpwstr>GetData?Formula=PURJWSgiUG9zdFNlcnZpY2UuYXNweD9TZXJ2aWNlPVN1YmplY3REYXRhU2VydmljZS5HZXRzJkZ1bmN0aW9uPUdldHNTZXJ2aWNlJkZMQUc9MSZPQkpfVldfSUQ9MTMwMDAwMDEiKQ==&amp;FunctionName=DIY&amp;ContentType=TABLE&amp;Caption=末页联系地址&amp;DatasourceType=DIYTable&amp;StyleId=0&amp;Other=13000001</vt:lpwstr>
  </property>
  <property fmtid="{D5CDD505-2E9C-101B-9397-08002B2CF9AE}" pid="7" name="BDCONTENTCONTROL_2602561a-fc2b-4adc-befd-22fa63ba88c6#2">
    <vt:lpwstr>&amp;IsOnlyRefresh=True&amp;StartRow=1&amp;RemainRows=2</vt:lpwstr>
  </property>
  <property fmtid="{D5CDD505-2E9C-101B-9397-08002B2CF9AE}" pid="8" name="BDCONTENTCONTROL_3add0a4e-8415-463a-afb4-ccd2e0c28ff9">
    <vt:lpwstr>GetData?Formula=PURJWSgiUG9zdFNlcnZpY2UuYXNweD9TZXJ2aWNlPVN1YmplY3REYXRhU2VydmljZS5HZXRzJkZ1bmN0aW9uPUdldHNTZXJ2aWNlJkZMQUc9MSZPQkpfVldfSUQ9MTMwMDAwMDUmQkRfQ09ERT0nNjAwMDI4JyZSZXBvcnREYXRlPScyMDA3JTJGNyUyRjExJTIwMCUzQTAwJTNBMDAnJm9yZGVyPSU3QiUyMkElMjIlM0E</vt:lpwstr>
  </property>
  <property fmtid="{D5CDD505-2E9C-101B-9397-08002B2CF9AE}" pid="9" name="BDCONTENTCONTROL_3add0a4e-8415-463a-afb4-ccd2e0c28ff9#2">
    <vt:lpwstr>wJTdEIik=&amp;FunctionName=DIY&amp;ContentType=TABLE&amp;Caption=报告评级比率分析&amp;DatasourceType=DIYTable&amp;StyleId=0&amp;Other=13000005&amp;IsOnlyRefresh=False</vt:lpwstr>
  </property>
  <property fmtid="{D5CDD505-2E9C-101B-9397-08002B2CF9AE}" pid="10" name="BDCONTENTCONTROL_a8d4360b-f486-4c10-adb5-ce3260e60d2a">
    <vt:lpwstr>GetData?Formula=PURJWSgiUG9zdFNlcnZpY2UuYXNweD9TZXJ2aWNlPVN1YmplY3REYXRhU2VydmljZS5HZXRzJkZ1bmN0aW9uPUdldHNTZXJ2aWNlJkZMQUc9MSZPQkpfVldfSUQ9MTMwMDAwMDUmQkRfQ09ERT0nNjAwMDI4JyZSZXBvcnREYXRlPScyMDE0LTktMjYnJm9yZGVyPSU3QiUyMkElMjIlM0EwJTdEIik=&amp;FunctionName=D</vt:lpwstr>
  </property>
  <property fmtid="{D5CDD505-2E9C-101B-9397-08002B2CF9AE}" pid="11" name="BDCONTENTCONTROL_a8d4360b-f486-4c10-adb5-ce3260e60d2a#2">
    <vt:lpwstr>IY&amp;ContentType=TABLE&amp;Caption=报告评级比率分析&amp;DatasourceType=DIYTable&amp;StyleId=0&amp;Other=13000005&amp;IsOnlyRefresh=False</vt:lpwstr>
  </property>
  <property fmtid="{D5CDD505-2E9C-101B-9397-08002B2CF9AE}" pid="12" name="BDCONTENTCONTROL_836ae175-361a-4de8-98eb-6e727a235a8c">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3" name="BDCONTENTCONTROL_836ae175-361a-4de8-98eb-6e727a235a8c#2">
    <vt:lpwstr>IY&amp;ContentType=TABLE&amp;Caption=报告评级比率分析&amp;DatasourceType=DIYTable&amp;StyleId=0&amp;Other=13000005&amp;IsOnlyRefresh=False</vt:lpwstr>
  </property>
  <property fmtid="{D5CDD505-2E9C-101B-9397-08002B2CF9AE}" pid="14" name="BDCONTENTCONTROL_fa65df0e-cad1-46fd-8d9a-66943b5311b5">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5" name="BDCONTENTCONTROL_fa65df0e-cad1-46fd-8d9a-66943b5311b5#2">
    <vt:lpwstr>IY&amp;ContentType=TABLE&amp;Caption=报告评级比率分析&amp;DatasourceType=DIYTable&amp;StyleId=0&amp;Other=13000005&amp;IsOnlyRefresh=False</vt:lpwstr>
  </property>
  <property fmtid="{D5CDD505-2E9C-101B-9397-08002B2CF9AE}" pid="16" name="BDCONTENTCONTROL_9b7c2d7f-a274-48a5-ade1-684fed3c8341">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7" name="BDCONTENTCONTROL_9b7c2d7f-a274-48a5-ade1-684fed3c8341#2">
    <vt:lpwstr>IY&amp;ContentType=TABLE&amp;Caption=报告评级比率分析&amp;DatasourceType=DIYTable&amp;StyleId=0&amp;Other=13000005&amp;IsOnlyRefresh=False</vt:lpwstr>
  </property>
  <property fmtid="{D5CDD505-2E9C-101B-9397-08002B2CF9AE}" pid="18" name="BDCONTENTCONTROL_6c067a8c-6d03-438e-9514-ba2fec9aa546#2">
    <vt:lpwstr>iKQ==&amp;FunctionName=DIY&amp;ContentType=TABLE&amp;Caption=报告评级比率分析&amp;DatasourceType=DIYTable&amp;StyleId=0&amp;Other=13000005&amp;IsOnlyRefresh=True&amp;StartRow=1&amp;RemainRows=6</vt:lpwstr>
  </property>
  <property fmtid="{D5CDD505-2E9C-101B-9397-08002B2CF9AE}" pid="19" name="RankAjust_Value">
    <vt:lpwstr>1</vt:lpwstr>
  </property>
  <property fmtid="{D5CDD505-2E9C-101B-9397-08002B2CF9AE}" pid="20" name="RankAjust_DisplayName">
    <vt:lpwstr>首次评级</vt:lpwstr>
  </property>
  <property fmtid="{D5CDD505-2E9C-101B-9397-08002B2CF9AE}" pid="21" name="BDCONTENTCONTROL_90a28eaf-840e-4104-995f-66ef522ba654">
    <vt:lpwstr>GetData?Formula=PVBBUigiQWltUHJpY2VIaWdoIik=&amp;FunctionName=PAR&amp;ContentType=TEXT&amp;Caption=目标价上限&amp;DatasourceType=PAR&amp;StyleId=&amp;Other=&amp;IsOnlyRefresh=False&amp;IsDataSubmission=</vt:lpwstr>
  </property>
  <property fmtid="{D5CDD505-2E9C-101B-9397-08002B2CF9AE}" pid="22" name="BDCONTENTCONTROL_33fd6f44-455f-4b93-8c76-ff7ef6f5596b">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3" name="BDCONTENTCONTROL_33fd6f44-455f-4b93-8c76-ff7ef6f5596b#2">
    <vt:lpwstr>荐和股价走势图&amp;DatasourceType=DIYChart&amp;StyleId=45&amp;Other={"ID":45,"IsTile":false,"Title":null,"Height":2.0,"Width":3.0,"TemplateName":null,"StyleName":null,"IsExpand":false,"IsCustom":false,"IsMainMinValue":false,"IsSecMinValue":false,"IsDataLabel":false,"IsRefre</vt:lpwstr>
  </property>
  <property fmtid="{D5CDD505-2E9C-101B-9397-08002B2CF9AE}" pid="24" name="BDCONTENTCONTROL_33fd6f44-455f-4b93-8c76-ff7ef6f5596b#3">
    <vt:lpwstr>shTemplate":false,"CustomKey":null,"ObjViewID":"13000008"}&amp;IsOnlyRefresh=False&amp;IsDataSubmission=&amp;ContentColor=</vt:lpwstr>
  </property>
  <property fmtid="{D5CDD505-2E9C-101B-9397-08002B2CF9AE}" pid="25" name="BDCONTENTCONTROL_ce083c24-69a8-4a3c-be7d-5984dfcd714f">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6" name="BDCONTENTCONTROL_ce083c24-69a8-4a3c-be7d-5984dfcd714f#2">
    <vt:lpwstr>荐和股价走势图&amp;DatasourceType=DIYChart&amp;StyleId=45&amp;Other={"ID":45,"IsTile":false,"Title":null,"Height":2.3,"Width":3.0,"TemplateName":null,"StyleName":null,"IsExpand":false,"IsCustom":false,"IsMainMinValue":false,"IsSecMinValue":false,"IsDataLabel":false,"IsRefre</vt:lpwstr>
  </property>
  <property fmtid="{D5CDD505-2E9C-101B-9397-08002B2CF9AE}" pid="27" name="BDCONTENTCONTROL_ce083c24-69a8-4a3c-be7d-5984dfcd714f#3">
    <vt:lpwstr>shTemplate":false,"CustomKey":null,"ObjViewID":"13000008"}&amp;IsOnlyRefresh=False&amp;IsDataSubmission=&amp;ContentColor=</vt:lpwstr>
  </property>
  <property fmtid="{D5CDD505-2E9C-101B-9397-08002B2CF9AE}" pid="28" name="BDCONTENTCONTROL_0694d7ec-429e-443a-8333-6c91828fed93">
    <vt:lpwstr>GetData?Formula=PURJWSgiUG9zdFNlcnZpY2UuYXNweD9TZXJ2aWNlPVN1YmplY3REYXRhU2VydmljZS5HZXRzJkZ1bmN0aW9uPUdldHNTZXJ2aWNlJkZMQUc9MSZPQkpfVldfSUQ9MTMwMDAwMjcmVGl0bGU9JyR7QkRDT05URU5UQ09OVFJPTF9BVVRPX1NBVkVfVGl0bGV9JyZSZXBvcnREYXRlPScke1JlcG9ydERhdGVfVmFsdWV9JyI</vt:lpwstr>
  </property>
  <property fmtid="{D5CDD505-2E9C-101B-9397-08002B2CF9AE}" pid="29" name="BDCONTENTCONTROL_0694d7ec-429e-443a-8333-6c91828fed93#2">
    <vt:lpwstr>p&amp;FunctionName=DIY&amp;ContentType=TABLE&amp;Caption=专题相关报告万能版&amp;DatasourceType=DIYTable&amp;StyleId=0&amp;Other=13000027&amp;IsOnlyRefresh=True&amp;StartRow=0&amp;RemainRows=5&amp;IsDataSubmission=&amp;ContentColor=&amp;HiddenCondition=&amp;Filter=</vt:lpwstr>
  </property>
  <property fmtid="{D5CDD505-2E9C-101B-9397-08002B2CF9AE}" pid="30" name="BDCONTENTCONTROL_84bd61de-94b7-4c7c-8f81-60dfebe1887e">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1" name="BDCONTENTCONTROL_AUTO_SAVE_Title&#10;_DisplayName">
    <vt:lpwstr>XX专题分析报告</vt:lpwstr>
  </property>
  <property fmtid="{D5CDD505-2E9C-101B-9397-08002B2CF9AE}" pid="32" name="BDCONTENTCONTROL_3df14c52-472a-44c1-9e63-51d70c06bfcd">
    <vt:lpwstr>GetData?Formula=PURJWSgiUG9zdFNlcnZpY2UuYXNweD9TZXJ2aWNlPVN1YmplY3REYXRhU2VydmljZS5HZXRzJkZ1bmN0aW9uPUdldHNTZXJ2aWNlJkZMQUc9MSZPQkpfVldfSUQ9MTMwMDAwMDQmVVNFUklEPScke1N0YWZmSURfVmFsdWV9JyIp&amp;FunctionName=DIY&amp;ContentType=TABLE&amp;Caption=作者展示&amp;DatasourceType=DIY</vt:lpwstr>
  </property>
  <property fmtid="{D5CDD505-2E9C-101B-9397-08002B2CF9AE}" pid="33" name="BDCONTENTCONTROL_3df14c52-472a-44c1-9e63-51d70c06bfcd#2">
    <vt:lpwstr>Table&amp;StyleId=44&amp;Other=13000004&amp;IsOnlyRefresh=True&amp;StartRow=1&amp;RemainRows=1&amp;IsDataSubmission=&amp;ContentColor=&amp;HiddenCondition=&amp;Filter=</vt:lpwstr>
  </property>
  <property fmtid="{D5CDD505-2E9C-101B-9397-08002B2CF9AE}" pid="34" name="BDCONTENTCONTROL_451e08ee-3959-4251-8d5f-f302d5f0f153">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5" name="BDCONTENTCONTROL_AUTO_SAVE_Title_DisplayName">
    <vt:lpwstr>XX专题分析报告</vt:lpwstr>
  </property>
  <property fmtid="{D5CDD505-2E9C-101B-9397-08002B2CF9AE}" pid="36" name="BD_Doc_Temp_ID">
    <vt:lpwstr>5e948b54-e541-4db6-8ba7-916d8fbd29a8</vt:lpwstr>
  </property>
  <property fmtid="{D5CDD505-2E9C-101B-9397-08002B2CF9AE}" pid="37" name="ReportType1_Value">
    <vt:lpwstr>ff80808147862c3b01478666abf202d0</vt:lpwstr>
  </property>
  <property fmtid="{D5CDD505-2E9C-101B-9397-08002B2CF9AE}" pid="38" name="ReportType1_DisplayName">
    <vt:lpwstr>基金投资策略报告</vt:lpwstr>
  </property>
  <property fmtid="{D5CDD505-2E9C-101B-9397-08002B2CF9AE}" pid="39" name="ReportDate_Value">
    <vt:lpwstr>2016-04-29</vt:lpwstr>
  </property>
  <property fmtid="{D5CDD505-2E9C-101B-9397-08002B2CF9AE}" pid="40" name="ReportDate_DisplayName">
    <vt:lpwstr>2016年04月29日</vt:lpwstr>
  </property>
  <property fmtid="{D5CDD505-2E9C-101B-9397-08002B2CF9AE}" pid="41" name="StaffID_Value">
    <vt:lpwstr>ff8080814e6798ae014eafe3699c2bf5;</vt:lpwstr>
  </property>
  <property fmtid="{D5CDD505-2E9C-101B-9397-08002B2CF9AE}" pid="42" name="StaffID_DisplayName">
    <vt:lpwstr>马赛楠-公募产品组;</vt:lpwstr>
  </property>
  <property fmtid="{D5CDD505-2E9C-101B-9397-08002B2CF9AE}" pid="43" name="TemplateID">
    <vt:lpwstr> </vt:lpwstr>
  </property>
  <property fmtid="{D5CDD505-2E9C-101B-9397-08002B2CF9AE}" pid="44" name="BDCONTENTCONTROL_AUTO_SAVE_SubTitle">
    <vt:lpwstr>震荡市场风控先行，缩短久期稳健操作</vt:lpwstr>
  </property>
  <property fmtid="{D5CDD505-2E9C-101B-9397-08002B2CF9AE}" pid="45" name="BDCONTENTCONTROL_AUTO_SAVE_Summary">
    <vt:lpwstr>基本结论_x000d_震荡市场风控先行，缩短久期稳健操作——开放型债券基金投资建议_x000d_主要受年初两月经济疲弱影响，1季度国内生产总值同比增速小幅下行。进入3月后经济阶段性有所回暖，工业、固定资产投资及消费均有所好转，通胀风险下降。但高频数据显示，目前工业增速及房地产销售有放缓迹象，短期需求刺激政策作用下经济改善持续性尚存疑问。_x000d_4月货币政策短期化及对冲意图特征明显，在上旬资金面较为充裕的阶段资金投放力度较弱，而后随着短期扰动因素增多公开市场操作及MLF投放力度有所增强。5月资金面在税款上缴等短期因素冲击下仍将面临阶段性</vt:lpwstr>
  </property>
  <property fmtid="{D5CDD505-2E9C-101B-9397-08002B2CF9AE}" pid="46" name="BDCONTENTCONTROL_AUTO_SAVE_Summary#2">
    <vt:lpwstr>波动，但预计货币政策可以较为有效的对冲资金面波动。同时通胀涨势温和但仍将限制货币政策宽松空间，货币政策大规模宽松可能性不大。整体来看，后续流动性稳定性仍旧较弱，资金面整体将维持适度宽松。_x000d_4月债券市场震荡幅度加大，信用债及利率债市场均出现显著回调。本轮调整除了受到基本面好转、通胀温和回升和流动性波动等此前已经存在的利空因素压制之外，还受到被动去杠杆、信用违约及营改增等短期因素扰动。5月多重利空因素影响之下债券市场将持续震荡行情，预计市场情绪将维持谨慎，以静待环境发生进一步变化。_x000d_进入4月后债券市场在多重利</vt:lpwstr>
  </property>
  <property fmtid="{D5CDD505-2E9C-101B-9397-08002B2CF9AE}" pid="47" name="BDCONTENTCONTROL_AUTO_SAVE_Summary#3">
    <vt:lpwstr>空因素影响之下出现大幅调整，预计2季度债市表现将弱于1季度。当前投资者对债券市场短期震荡预期较为一致，对中长期行情判断存在差异，预计短期内市场操作将以谨慎防御为主。具体到债券基金选择上，目前市场调整过程中建议以整体投资风格谨慎、注重风险防控为首要条件；其次，建议重点关注在市场下行阶段能够及时缩短久期并控制杠杆的基金，以保证投资组合流动性。此外，在目前股债两市仅存结构性机会的背景之下，建议关注管理人债券投资能力及投资灵活性，同时关注普通型债基的股票波段操作水平。_x000d_现金升级替代工具，超短期流动性选择——货币市</vt:lpwstr>
  </property>
  <property fmtid="{D5CDD505-2E9C-101B-9397-08002B2CF9AE}" pid="48" name="BDCONTENTCONTROL_AUTO_SAVE_Summary#4">
    <vt:lpwstr>场基金投资建议_x000d_尽管在无风险利率下行背景下，货币市场基金平均收益水平持续下降，但两市振荡行情下市场风险偏好有所下调，货币基金作为现金管理工具仍具有一定的投资价值。在货币基金产品选择上，出于保证一定收益水平的考虑，建议选择规模中等偏上的产品以便更好地抵御盈余摊薄和赎回冲击；与此同时，出于保证流动性的考虑，建议关注新型互联网产品和场内货币基金。_x000d_固定收益基金相对收益组合_x000d__x0007__x000d__x0007_固定收益基金绝对收益组合_x000d__x0007__x000d__x0007_基金名称_x000d__x0007_基金类型_x000d__x0007_权重_x000d__x0007__x000d__x0007_基金名称_x000d__x0007_基金类型_x000d__x0007_权重_x000d__x0007__x000d__x0007_长信纯债壹号★_x000d__x0007_债券-完全债</vt:lpwstr>
  </property>
  <property fmtid="{D5CDD505-2E9C-101B-9397-08002B2CF9AE}" pid="49" name="BDCONTENTCONTROL_AUTO_SAVE_Summary#5">
    <vt:lpwstr>券型_x000d__x0007_25%_x000d__x0007__x000d__x0007_新华纯债添利★_x000d__x0007_债券-完全债券型_x000d__x0007_50%_x000d__x0007__x000d__x0007_中邮稳定收益_x000d__x0007_债券-完全债券型_x000d__x0007_25%_x000d__x0007__x000d__x0007_招商产业_x000d__x0007_债券-新股申购型_x000d__x0007_50%_x000d__x0007__x000d__x0007_泰信周期回报★_x000d__x0007_债券-新股申购型_x000d__x0007_25%_x000d__x0007__x000d__x0007__x000d__x0007__x000d__x0007__x000d__x0007__x000d__x0007_中银稳健添利_x000d__x0007_债券-普通债券型_x000d__x0007_25%_x000d__x0007__x000d__x0007__x000d__x0007__x000d__x0007__x000d__x0007__x000d__x0007_</vt:lpwstr>
  </property>
</Properties>
</file>