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BA6BA1" w:rsidRPr="00892126" w:rsidTr="00FF3942">
        <w:trPr>
          <w:trHeight w:val="532"/>
        </w:trPr>
        <w:tc>
          <w:tcPr>
            <w:tcW w:w="7621" w:type="dxa"/>
            <w:tcBorders>
              <w:top w:val="single" w:sz="4" w:space="0" w:color="auto"/>
            </w:tcBorders>
            <w:shd w:val="clear" w:color="auto" w:fill="F0EAC6"/>
          </w:tcPr>
          <w:p w:rsidR="00BA6BA1" w:rsidRPr="00C97435" w:rsidRDefault="00BA6BA1" w:rsidP="00FF3942">
            <w:pPr>
              <w:rPr>
                <w:rFonts w:ascii="Arial" w:hAnsi="Arial" w:cs="Arial"/>
                <w:b/>
                <w:sz w:val="32"/>
              </w:rPr>
            </w:pPr>
            <w:proofErr w:type="gramStart"/>
            <w:r>
              <w:rPr>
                <w:rFonts w:ascii="Arial" w:hAnsi="Arial" w:cs="Arial"/>
                <w:b/>
                <w:sz w:val="32"/>
              </w:rPr>
              <w:t>凯</w:t>
            </w:r>
            <w:proofErr w:type="gramEnd"/>
            <w:r>
              <w:rPr>
                <w:rFonts w:ascii="Arial" w:hAnsi="Arial" w:cs="Arial"/>
                <w:b/>
                <w:sz w:val="32"/>
              </w:rPr>
              <w:t>石公</w:t>
            </w:r>
            <w:proofErr w:type="gramStart"/>
            <w:r>
              <w:rPr>
                <w:rFonts w:ascii="Arial" w:hAnsi="Arial" w:cs="Arial"/>
                <w:b/>
                <w:sz w:val="32"/>
              </w:rPr>
              <w:t>募基金</w:t>
            </w:r>
            <w:proofErr w:type="gramEnd"/>
            <w:r w:rsidR="001500A2">
              <w:rPr>
                <w:rFonts w:ascii="Arial" w:hAnsi="Arial" w:cs="Arial" w:hint="eastAsia"/>
                <w:b/>
                <w:sz w:val="32"/>
              </w:rPr>
              <w:t>月</w:t>
            </w:r>
            <w:r w:rsidRPr="00C97435">
              <w:rPr>
                <w:rFonts w:ascii="Arial" w:hAnsi="Arial" w:cs="Arial"/>
                <w:b/>
                <w:sz w:val="32"/>
              </w:rPr>
              <w:t>报</w:t>
            </w:r>
          </w:p>
          <w:p w:rsidR="00BA6BA1" w:rsidRPr="00D17A8C" w:rsidRDefault="00BA6BA1" w:rsidP="00655DE9">
            <w:pPr>
              <w:rPr>
                <w:rFonts w:ascii="Arial" w:hAnsi="Arial" w:cs="Arial"/>
                <w:b/>
                <w:sz w:val="32"/>
              </w:rPr>
            </w:pPr>
            <w:r w:rsidRPr="00C97435">
              <w:rPr>
                <w:rFonts w:ascii="Arial" w:hAnsi="Arial" w:cs="Arial"/>
                <w:b/>
                <w:sz w:val="32"/>
              </w:rPr>
              <w:softHyphen/>
            </w:r>
            <w:r w:rsidRPr="00C97435">
              <w:rPr>
                <w:rFonts w:ascii="Arial" w:hAnsi="Arial" w:cs="Arial"/>
                <w:b/>
                <w:sz w:val="32"/>
              </w:rPr>
              <w:softHyphen/>
              <w:t>——</w:t>
            </w:r>
            <w:r w:rsidR="00436CC2">
              <w:rPr>
                <w:rFonts w:ascii="Arial" w:hAnsi="Arial" w:cs="Arial" w:hint="eastAsia"/>
                <w:b/>
                <w:sz w:val="32"/>
              </w:rPr>
              <w:t>悲惨</w:t>
            </w:r>
            <w:r w:rsidR="00436CC2">
              <w:rPr>
                <w:rFonts w:ascii="Arial" w:hAnsi="Arial" w:cs="Arial" w:hint="eastAsia"/>
                <w:b/>
                <w:sz w:val="32"/>
              </w:rPr>
              <w:t>4</w:t>
            </w:r>
            <w:r w:rsidR="00436CC2">
              <w:rPr>
                <w:rFonts w:ascii="Arial" w:hAnsi="Arial" w:cs="Arial" w:hint="eastAsia"/>
                <w:b/>
                <w:sz w:val="32"/>
              </w:rPr>
              <w:t>月</w:t>
            </w:r>
            <w:proofErr w:type="gramStart"/>
            <w:r w:rsidR="00F83596">
              <w:rPr>
                <w:rFonts w:ascii="Arial" w:hAnsi="Arial" w:cs="Arial"/>
                <w:b/>
                <w:sz w:val="32"/>
              </w:rPr>
              <w:t>股债双杀</w:t>
            </w:r>
            <w:proofErr w:type="gramEnd"/>
            <w:r w:rsidR="00C13036">
              <w:rPr>
                <w:rFonts w:ascii="Arial" w:hAnsi="Arial" w:cs="Arial" w:hint="eastAsia"/>
                <w:b/>
                <w:sz w:val="32"/>
              </w:rPr>
              <w:t>，</w:t>
            </w:r>
            <w:r w:rsidR="008F0FC8">
              <w:rPr>
                <w:rFonts w:ascii="Arial" w:hAnsi="Arial" w:cs="Arial" w:hint="eastAsia"/>
                <w:b/>
                <w:sz w:val="32"/>
              </w:rPr>
              <w:t>商品</w:t>
            </w:r>
            <w:r w:rsidR="001E63D2">
              <w:rPr>
                <w:rFonts w:ascii="Arial" w:hAnsi="Arial" w:cs="Arial" w:hint="eastAsia"/>
                <w:b/>
                <w:sz w:val="32"/>
              </w:rPr>
              <w:t>基金</w:t>
            </w:r>
            <w:r w:rsidR="00436CC2">
              <w:rPr>
                <w:rFonts w:ascii="Arial" w:hAnsi="Arial" w:cs="Arial" w:hint="eastAsia"/>
                <w:b/>
                <w:sz w:val="32"/>
              </w:rPr>
              <w:t>成唯一亮点</w:t>
            </w:r>
            <w:r w:rsidR="00655DE9" w:rsidRPr="00D17A8C">
              <w:rPr>
                <w:rFonts w:ascii="Arial" w:hAnsi="Arial" w:cs="Arial"/>
                <w:b/>
                <w:sz w:val="32"/>
              </w:rPr>
              <w:t xml:space="preserve"> </w:t>
            </w:r>
          </w:p>
        </w:tc>
      </w:tr>
      <w:tr w:rsidR="00BA6BA1" w:rsidRPr="00C97435" w:rsidTr="00FF3942">
        <w:trPr>
          <w:trHeight w:val="11778"/>
        </w:trPr>
        <w:tc>
          <w:tcPr>
            <w:tcW w:w="7621" w:type="dxa"/>
          </w:tcPr>
          <w:p w:rsidR="00BA6BA1" w:rsidRPr="00D917E9" w:rsidRDefault="00F83596" w:rsidP="00FF3942">
            <w:pPr>
              <w:pStyle w:val="a6"/>
              <w:numPr>
                <w:ilvl w:val="0"/>
                <w:numId w:val="3"/>
              </w:numPr>
              <w:spacing w:line="300" w:lineRule="auto"/>
              <w:ind w:firstLineChars="0"/>
              <w:rPr>
                <w:rStyle w:val="textsmall2"/>
                <w:rFonts w:ascii="楷体_GB2312" w:hAnsi="Arial" w:cs="Arial"/>
                <w:b/>
                <w:color w:val="000000"/>
                <w:sz w:val="22"/>
                <w:szCs w:val="22"/>
              </w:rPr>
            </w:pPr>
            <w:r>
              <w:rPr>
                <w:rStyle w:val="textsmall2"/>
                <w:rFonts w:ascii="楷体_GB2312" w:hAnsi="Arial" w:cs="Arial" w:hint="eastAsia"/>
                <w:b/>
                <w:color w:val="000000"/>
                <w:sz w:val="22"/>
                <w:szCs w:val="22"/>
              </w:rPr>
              <w:t>四</w:t>
            </w:r>
            <w:r w:rsidR="001500A2">
              <w:rPr>
                <w:rStyle w:val="textsmall2"/>
                <w:rFonts w:ascii="楷体_GB2312" w:hAnsi="Arial" w:cs="Arial" w:hint="eastAsia"/>
                <w:b/>
                <w:color w:val="000000"/>
                <w:sz w:val="22"/>
                <w:szCs w:val="22"/>
              </w:rPr>
              <w:t>月</w:t>
            </w:r>
            <w:r w:rsidR="00BA6BA1" w:rsidRPr="00D917E9">
              <w:rPr>
                <w:rStyle w:val="textsmall2"/>
                <w:rFonts w:ascii="楷体_GB2312" w:hAnsi="Arial" w:cs="Arial" w:hint="eastAsia"/>
                <w:b/>
                <w:color w:val="000000"/>
                <w:sz w:val="22"/>
                <w:szCs w:val="22"/>
              </w:rPr>
              <w:t>资本市场回顾</w:t>
            </w:r>
          </w:p>
          <w:p w:rsidR="002872DA" w:rsidRDefault="00BA6BA1" w:rsidP="00FF3942">
            <w:pPr>
              <w:rPr>
                <w:rFonts w:ascii="Arial" w:hAnsi="Arial" w:cs="Arial"/>
                <w:color w:val="000000" w:themeColor="text1"/>
                <w:sz w:val="18"/>
                <w:szCs w:val="20"/>
              </w:rPr>
            </w:pPr>
            <w:r w:rsidRPr="00DD0C71">
              <w:rPr>
                <w:rStyle w:val="textsmall2"/>
                <w:rFonts w:ascii="Arial" w:hAnsi="Arial" w:cs="Arial"/>
                <w:b/>
                <w:sz w:val="18"/>
                <w:szCs w:val="20"/>
              </w:rPr>
              <w:t>A</w:t>
            </w:r>
            <w:r w:rsidRPr="00DD0C71">
              <w:rPr>
                <w:rStyle w:val="textsmall2"/>
                <w:rFonts w:ascii="Arial" w:hAnsi="Arial" w:cs="Arial" w:hint="eastAsia"/>
                <w:b/>
                <w:sz w:val="18"/>
                <w:szCs w:val="20"/>
              </w:rPr>
              <w:t>股市场：</w:t>
            </w:r>
            <w:r w:rsidR="002872DA" w:rsidRPr="002872DA">
              <w:rPr>
                <w:rFonts w:ascii="Arial" w:hAnsi="Arial" w:cs="Arial" w:hint="eastAsia"/>
                <w:b/>
                <w:color w:val="000000" w:themeColor="text1"/>
                <w:sz w:val="18"/>
                <w:szCs w:val="20"/>
              </w:rPr>
              <w:t>震荡走高又缩量下跌，存量资金博弈，市场人气不足。</w:t>
            </w:r>
            <w:r w:rsidR="002872DA" w:rsidRPr="002872DA">
              <w:rPr>
                <w:rFonts w:ascii="Arial" w:hAnsi="Arial" w:cs="Arial" w:hint="eastAsia"/>
                <w:color w:val="000000" w:themeColor="text1"/>
                <w:sz w:val="18"/>
                <w:szCs w:val="20"/>
              </w:rPr>
              <w:t>4</w:t>
            </w:r>
            <w:r w:rsidR="002872DA" w:rsidRPr="002872DA">
              <w:rPr>
                <w:rFonts w:ascii="Arial" w:hAnsi="Arial" w:cs="Arial" w:hint="eastAsia"/>
                <w:color w:val="000000" w:themeColor="text1"/>
                <w:sz w:val="18"/>
                <w:szCs w:val="20"/>
              </w:rPr>
              <w:t>月前半月，上证指数震荡走高，在</w:t>
            </w:r>
            <w:r w:rsidR="002872DA" w:rsidRPr="002872DA">
              <w:rPr>
                <w:rFonts w:ascii="Arial" w:hAnsi="Arial" w:cs="Arial" w:hint="eastAsia"/>
                <w:color w:val="000000" w:themeColor="text1"/>
                <w:sz w:val="18"/>
                <w:szCs w:val="20"/>
              </w:rPr>
              <w:t>4</w:t>
            </w:r>
            <w:r w:rsidR="002872DA" w:rsidRPr="002872DA">
              <w:rPr>
                <w:rFonts w:ascii="Arial" w:hAnsi="Arial" w:cs="Arial" w:hint="eastAsia"/>
                <w:color w:val="000000" w:themeColor="text1"/>
                <w:sz w:val="18"/>
                <w:szCs w:val="20"/>
              </w:rPr>
              <w:t>月</w:t>
            </w:r>
            <w:r w:rsidR="002872DA" w:rsidRPr="002872DA">
              <w:rPr>
                <w:rFonts w:ascii="Arial" w:hAnsi="Arial" w:cs="Arial" w:hint="eastAsia"/>
                <w:color w:val="000000" w:themeColor="text1"/>
                <w:sz w:val="18"/>
                <w:szCs w:val="20"/>
              </w:rPr>
              <w:t>14</w:t>
            </w:r>
            <w:r w:rsidR="002872DA" w:rsidRPr="002872DA">
              <w:rPr>
                <w:rFonts w:ascii="Arial" w:hAnsi="Arial" w:cs="Arial" w:hint="eastAsia"/>
                <w:color w:val="000000" w:themeColor="text1"/>
                <w:sz w:val="18"/>
                <w:szCs w:val="20"/>
              </w:rPr>
              <w:t>日创下三个月收盘新高。然而，</w:t>
            </w:r>
            <w:r w:rsidR="002872DA" w:rsidRPr="002872DA">
              <w:rPr>
                <w:rFonts w:ascii="Arial" w:hAnsi="Arial" w:cs="Arial" w:hint="eastAsia"/>
                <w:color w:val="000000" w:themeColor="text1"/>
                <w:sz w:val="18"/>
                <w:szCs w:val="20"/>
              </w:rPr>
              <w:t>4</w:t>
            </w:r>
            <w:r w:rsidR="002872DA" w:rsidRPr="002872DA">
              <w:rPr>
                <w:rFonts w:ascii="Arial" w:hAnsi="Arial" w:cs="Arial" w:hint="eastAsia"/>
                <w:color w:val="000000" w:themeColor="text1"/>
                <w:sz w:val="18"/>
                <w:szCs w:val="20"/>
              </w:rPr>
              <w:t>月</w:t>
            </w:r>
            <w:r w:rsidR="002872DA" w:rsidRPr="002872DA">
              <w:rPr>
                <w:rFonts w:ascii="Arial" w:hAnsi="Arial" w:cs="Arial" w:hint="eastAsia"/>
                <w:color w:val="000000" w:themeColor="text1"/>
                <w:sz w:val="18"/>
                <w:szCs w:val="20"/>
              </w:rPr>
              <w:t>20</w:t>
            </w:r>
            <w:r w:rsidR="002872DA" w:rsidRPr="002872DA">
              <w:rPr>
                <w:rFonts w:ascii="Arial" w:hAnsi="Arial" w:cs="Arial" w:hint="eastAsia"/>
                <w:color w:val="000000" w:themeColor="text1"/>
                <w:sz w:val="18"/>
                <w:szCs w:val="20"/>
              </w:rPr>
              <w:t>日的一次放量杀</w:t>
            </w:r>
            <w:proofErr w:type="gramStart"/>
            <w:r w:rsidR="002872DA" w:rsidRPr="002872DA">
              <w:rPr>
                <w:rFonts w:ascii="Arial" w:hAnsi="Arial" w:cs="Arial" w:hint="eastAsia"/>
                <w:color w:val="000000" w:themeColor="text1"/>
                <w:sz w:val="18"/>
                <w:szCs w:val="20"/>
              </w:rPr>
              <w:t>跌完全</w:t>
            </w:r>
            <w:proofErr w:type="gramEnd"/>
            <w:r w:rsidR="002872DA" w:rsidRPr="002872DA">
              <w:rPr>
                <w:rFonts w:ascii="Arial" w:hAnsi="Arial" w:cs="Arial" w:hint="eastAsia"/>
                <w:color w:val="000000" w:themeColor="text1"/>
                <w:sz w:val="18"/>
                <w:szCs w:val="20"/>
              </w:rPr>
              <w:t>侵蚀了</w:t>
            </w:r>
            <w:r w:rsidR="002872DA" w:rsidRPr="002872DA">
              <w:rPr>
                <w:rFonts w:ascii="Arial" w:hAnsi="Arial" w:cs="Arial" w:hint="eastAsia"/>
                <w:color w:val="000000" w:themeColor="text1"/>
                <w:sz w:val="18"/>
                <w:szCs w:val="20"/>
              </w:rPr>
              <w:t>4</w:t>
            </w:r>
            <w:r w:rsidR="002872DA" w:rsidRPr="002872DA">
              <w:rPr>
                <w:rFonts w:ascii="Arial" w:hAnsi="Arial" w:cs="Arial" w:hint="eastAsia"/>
                <w:color w:val="000000" w:themeColor="text1"/>
                <w:sz w:val="18"/>
                <w:szCs w:val="20"/>
              </w:rPr>
              <w:t>月以来的涨幅，且自此之后，全部</w:t>
            </w:r>
            <w:r w:rsidR="002872DA" w:rsidRPr="002872DA">
              <w:rPr>
                <w:rFonts w:ascii="Arial" w:hAnsi="Arial" w:cs="Arial" w:hint="eastAsia"/>
                <w:color w:val="000000" w:themeColor="text1"/>
                <w:sz w:val="18"/>
                <w:szCs w:val="20"/>
              </w:rPr>
              <w:t>A</w:t>
            </w:r>
            <w:r w:rsidR="002872DA" w:rsidRPr="002872DA">
              <w:rPr>
                <w:rFonts w:ascii="Arial" w:hAnsi="Arial" w:cs="Arial" w:hint="eastAsia"/>
                <w:color w:val="000000" w:themeColor="text1"/>
                <w:sz w:val="18"/>
                <w:szCs w:val="20"/>
              </w:rPr>
              <w:t>股的日均成交额及两融余额均一蹶不振。截至</w:t>
            </w:r>
            <w:r w:rsidR="002872DA" w:rsidRPr="002872DA">
              <w:rPr>
                <w:rFonts w:ascii="Arial" w:hAnsi="Arial" w:cs="Arial" w:hint="eastAsia"/>
                <w:color w:val="000000" w:themeColor="text1"/>
                <w:sz w:val="18"/>
                <w:szCs w:val="20"/>
              </w:rPr>
              <w:t>4</w:t>
            </w:r>
            <w:r w:rsidR="002872DA" w:rsidRPr="002872DA">
              <w:rPr>
                <w:rFonts w:ascii="Arial" w:hAnsi="Arial" w:cs="Arial" w:hint="eastAsia"/>
                <w:color w:val="000000" w:themeColor="text1"/>
                <w:sz w:val="18"/>
                <w:szCs w:val="20"/>
              </w:rPr>
              <w:t>月</w:t>
            </w:r>
            <w:r w:rsidR="002872DA" w:rsidRPr="002872DA">
              <w:rPr>
                <w:rFonts w:ascii="Arial" w:hAnsi="Arial" w:cs="Arial" w:hint="eastAsia"/>
                <w:color w:val="000000" w:themeColor="text1"/>
                <w:sz w:val="18"/>
                <w:szCs w:val="20"/>
              </w:rPr>
              <w:t>28</w:t>
            </w:r>
            <w:r w:rsidR="002872DA" w:rsidRPr="002872DA">
              <w:rPr>
                <w:rFonts w:ascii="Arial" w:hAnsi="Arial" w:cs="Arial" w:hint="eastAsia"/>
                <w:color w:val="000000" w:themeColor="text1"/>
                <w:sz w:val="18"/>
                <w:szCs w:val="20"/>
              </w:rPr>
              <w:t>日，沪深两市两融余额合计</w:t>
            </w:r>
            <w:r w:rsidR="002872DA" w:rsidRPr="002872DA">
              <w:rPr>
                <w:rFonts w:ascii="Arial" w:hAnsi="Arial" w:cs="Arial" w:hint="eastAsia"/>
                <w:color w:val="000000" w:themeColor="text1"/>
                <w:sz w:val="18"/>
                <w:szCs w:val="20"/>
              </w:rPr>
              <w:t>8669</w:t>
            </w:r>
            <w:r w:rsidR="002872DA" w:rsidRPr="002872DA">
              <w:rPr>
                <w:rFonts w:ascii="Arial" w:hAnsi="Arial" w:cs="Arial" w:hint="eastAsia"/>
                <w:color w:val="000000" w:themeColor="text1"/>
                <w:sz w:val="18"/>
                <w:szCs w:val="20"/>
              </w:rPr>
              <w:t>亿元，</w:t>
            </w:r>
            <w:r w:rsidR="002872DA" w:rsidRPr="002872DA">
              <w:rPr>
                <w:rFonts w:ascii="Arial" w:hAnsi="Arial" w:cs="Arial" w:hint="eastAsia"/>
                <w:color w:val="000000" w:themeColor="text1"/>
                <w:sz w:val="18"/>
                <w:szCs w:val="20"/>
              </w:rPr>
              <w:t xml:space="preserve"> 4</w:t>
            </w:r>
            <w:r w:rsidR="002872DA" w:rsidRPr="002872DA">
              <w:rPr>
                <w:rFonts w:ascii="Arial" w:hAnsi="Arial" w:cs="Arial" w:hint="eastAsia"/>
                <w:color w:val="000000" w:themeColor="text1"/>
                <w:sz w:val="18"/>
                <w:szCs w:val="20"/>
              </w:rPr>
              <w:t>月最后一周全部</w:t>
            </w:r>
            <w:r w:rsidR="002872DA" w:rsidRPr="002872DA">
              <w:rPr>
                <w:rFonts w:ascii="Arial" w:hAnsi="Arial" w:cs="Arial" w:hint="eastAsia"/>
                <w:color w:val="000000" w:themeColor="text1"/>
                <w:sz w:val="18"/>
                <w:szCs w:val="20"/>
              </w:rPr>
              <w:t>A</w:t>
            </w:r>
            <w:r w:rsidR="002872DA" w:rsidRPr="002872DA">
              <w:rPr>
                <w:rFonts w:ascii="Arial" w:hAnsi="Arial" w:cs="Arial" w:hint="eastAsia"/>
                <w:color w:val="000000" w:themeColor="text1"/>
                <w:sz w:val="18"/>
                <w:szCs w:val="20"/>
              </w:rPr>
              <w:t>股的日成交金额均值为不足</w:t>
            </w:r>
            <w:r w:rsidR="002872DA" w:rsidRPr="002872DA">
              <w:rPr>
                <w:rFonts w:ascii="Arial" w:hAnsi="Arial" w:cs="Arial" w:hint="eastAsia"/>
                <w:color w:val="000000" w:themeColor="text1"/>
                <w:sz w:val="18"/>
                <w:szCs w:val="20"/>
              </w:rPr>
              <w:t>4000</w:t>
            </w:r>
            <w:r w:rsidR="002872DA" w:rsidRPr="002872DA">
              <w:rPr>
                <w:rFonts w:ascii="Arial" w:hAnsi="Arial" w:cs="Arial" w:hint="eastAsia"/>
                <w:color w:val="000000" w:themeColor="text1"/>
                <w:sz w:val="18"/>
                <w:szCs w:val="20"/>
              </w:rPr>
              <w:t>亿，资金已经连续</w:t>
            </w:r>
            <w:r w:rsidR="002872DA" w:rsidRPr="002872DA">
              <w:rPr>
                <w:rFonts w:ascii="Arial" w:hAnsi="Arial" w:cs="Arial" w:hint="eastAsia"/>
                <w:color w:val="000000" w:themeColor="text1"/>
                <w:sz w:val="18"/>
                <w:szCs w:val="20"/>
              </w:rPr>
              <w:t>12</w:t>
            </w:r>
            <w:r w:rsidR="002872DA" w:rsidRPr="002872DA">
              <w:rPr>
                <w:rFonts w:ascii="Arial" w:hAnsi="Arial" w:cs="Arial" w:hint="eastAsia"/>
                <w:color w:val="000000" w:themeColor="text1"/>
                <w:sz w:val="18"/>
                <w:szCs w:val="20"/>
              </w:rPr>
              <w:t>日净流出。全月来看，上证综指跌</w:t>
            </w:r>
            <w:r w:rsidR="002872DA" w:rsidRPr="002872DA">
              <w:rPr>
                <w:rFonts w:ascii="Arial" w:hAnsi="Arial" w:cs="Arial" w:hint="eastAsia"/>
                <w:color w:val="000000" w:themeColor="text1"/>
                <w:sz w:val="18"/>
                <w:szCs w:val="20"/>
              </w:rPr>
              <w:t>2.18%</w:t>
            </w:r>
            <w:r w:rsidR="002872DA" w:rsidRPr="002872DA">
              <w:rPr>
                <w:rFonts w:ascii="Arial" w:hAnsi="Arial" w:cs="Arial" w:hint="eastAsia"/>
                <w:color w:val="000000" w:themeColor="text1"/>
                <w:sz w:val="18"/>
                <w:szCs w:val="20"/>
              </w:rPr>
              <w:t>，沪深</w:t>
            </w:r>
            <w:r w:rsidR="002872DA" w:rsidRPr="002872DA">
              <w:rPr>
                <w:rFonts w:ascii="Arial" w:hAnsi="Arial" w:cs="Arial" w:hint="eastAsia"/>
                <w:color w:val="000000" w:themeColor="text1"/>
                <w:sz w:val="18"/>
                <w:szCs w:val="20"/>
              </w:rPr>
              <w:t>300</w:t>
            </w:r>
            <w:r w:rsidR="002872DA" w:rsidRPr="002872DA">
              <w:rPr>
                <w:rFonts w:ascii="Arial" w:hAnsi="Arial" w:cs="Arial" w:hint="eastAsia"/>
                <w:color w:val="000000" w:themeColor="text1"/>
                <w:sz w:val="18"/>
                <w:szCs w:val="20"/>
              </w:rPr>
              <w:t>跌</w:t>
            </w:r>
            <w:r w:rsidR="002872DA" w:rsidRPr="002872DA">
              <w:rPr>
                <w:rFonts w:ascii="Arial" w:hAnsi="Arial" w:cs="Arial" w:hint="eastAsia"/>
                <w:color w:val="000000" w:themeColor="text1"/>
                <w:sz w:val="18"/>
                <w:szCs w:val="20"/>
              </w:rPr>
              <w:t>1.91%</w:t>
            </w:r>
            <w:r w:rsidR="002872DA" w:rsidRPr="002872DA">
              <w:rPr>
                <w:rFonts w:ascii="Arial" w:hAnsi="Arial" w:cs="Arial" w:hint="eastAsia"/>
                <w:color w:val="000000" w:themeColor="text1"/>
                <w:sz w:val="18"/>
                <w:szCs w:val="20"/>
              </w:rPr>
              <w:t>，中小板指跌</w:t>
            </w:r>
            <w:r w:rsidR="002872DA" w:rsidRPr="002872DA">
              <w:rPr>
                <w:rFonts w:ascii="Arial" w:hAnsi="Arial" w:cs="Arial" w:hint="eastAsia"/>
                <w:color w:val="000000" w:themeColor="text1"/>
                <w:sz w:val="18"/>
                <w:szCs w:val="20"/>
              </w:rPr>
              <w:t>3.61%</w:t>
            </w:r>
            <w:r w:rsidR="002872DA" w:rsidRPr="002872DA">
              <w:rPr>
                <w:rFonts w:ascii="Arial" w:hAnsi="Arial" w:cs="Arial" w:hint="eastAsia"/>
                <w:color w:val="000000" w:themeColor="text1"/>
                <w:sz w:val="18"/>
                <w:szCs w:val="20"/>
              </w:rPr>
              <w:t>、创业板指跌</w:t>
            </w:r>
            <w:r w:rsidR="002872DA" w:rsidRPr="002872DA">
              <w:rPr>
                <w:rFonts w:ascii="Arial" w:hAnsi="Arial" w:cs="Arial" w:hint="eastAsia"/>
                <w:color w:val="000000" w:themeColor="text1"/>
                <w:sz w:val="18"/>
                <w:szCs w:val="20"/>
              </w:rPr>
              <w:t>4.45%</w:t>
            </w:r>
            <w:r w:rsidR="002872DA" w:rsidRPr="002872DA">
              <w:rPr>
                <w:rFonts w:ascii="Arial" w:hAnsi="Arial" w:cs="Arial" w:hint="eastAsia"/>
                <w:color w:val="000000" w:themeColor="text1"/>
                <w:sz w:val="18"/>
                <w:szCs w:val="20"/>
              </w:rPr>
              <w:t>。</w:t>
            </w:r>
            <w:r w:rsidR="002872DA" w:rsidRPr="002872DA">
              <w:rPr>
                <w:rFonts w:ascii="Arial" w:hAnsi="Arial" w:cs="Arial" w:hint="eastAsia"/>
                <w:color w:val="000000" w:themeColor="text1"/>
                <w:sz w:val="18"/>
                <w:szCs w:val="20"/>
              </w:rPr>
              <w:t>29</w:t>
            </w:r>
            <w:r w:rsidR="002872DA" w:rsidRPr="002872DA">
              <w:rPr>
                <w:rFonts w:ascii="Arial" w:hAnsi="Arial" w:cs="Arial" w:hint="eastAsia"/>
                <w:color w:val="000000" w:themeColor="text1"/>
                <w:sz w:val="18"/>
                <w:szCs w:val="20"/>
              </w:rPr>
              <w:t>个中信</w:t>
            </w:r>
            <w:proofErr w:type="gramStart"/>
            <w:r w:rsidR="002872DA" w:rsidRPr="002872DA">
              <w:rPr>
                <w:rFonts w:ascii="Arial" w:hAnsi="Arial" w:cs="Arial" w:hint="eastAsia"/>
                <w:color w:val="000000" w:themeColor="text1"/>
                <w:sz w:val="18"/>
                <w:szCs w:val="20"/>
              </w:rPr>
              <w:t>一级行业</w:t>
            </w:r>
            <w:proofErr w:type="gramEnd"/>
            <w:r w:rsidR="002872DA" w:rsidRPr="002872DA">
              <w:rPr>
                <w:rFonts w:ascii="Arial" w:hAnsi="Arial" w:cs="Arial" w:hint="eastAsia"/>
                <w:color w:val="000000" w:themeColor="text1"/>
                <w:sz w:val="18"/>
                <w:szCs w:val="20"/>
              </w:rPr>
              <w:t>有</w:t>
            </w:r>
            <w:r w:rsidR="002872DA" w:rsidRPr="002872DA">
              <w:rPr>
                <w:rFonts w:ascii="Arial" w:hAnsi="Arial" w:cs="Arial" w:hint="eastAsia"/>
                <w:color w:val="000000" w:themeColor="text1"/>
                <w:sz w:val="18"/>
                <w:szCs w:val="20"/>
              </w:rPr>
              <w:t>7</w:t>
            </w:r>
            <w:r w:rsidR="002872DA" w:rsidRPr="002872DA">
              <w:rPr>
                <w:rFonts w:ascii="Arial" w:hAnsi="Arial" w:cs="Arial" w:hint="eastAsia"/>
                <w:color w:val="000000" w:themeColor="text1"/>
                <w:sz w:val="18"/>
                <w:szCs w:val="20"/>
              </w:rPr>
              <w:t>个行业上涨，其中煤炭（</w:t>
            </w:r>
            <w:r w:rsidR="002872DA" w:rsidRPr="002872DA">
              <w:rPr>
                <w:rFonts w:ascii="Arial" w:hAnsi="Arial" w:cs="Arial" w:hint="eastAsia"/>
                <w:color w:val="000000" w:themeColor="text1"/>
                <w:sz w:val="18"/>
                <w:szCs w:val="20"/>
              </w:rPr>
              <w:t>6.95%</w:t>
            </w:r>
            <w:r w:rsidR="002872DA" w:rsidRPr="002872DA">
              <w:rPr>
                <w:rFonts w:ascii="Arial" w:hAnsi="Arial" w:cs="Arial" w:hint="eastAsia"/>
                <w:color w:val="000000" w:themeColor="text1"/>
                <w:sz w:val="18"/>
                <w:szCs w:val="20"/>
              </w:rPr>
              <w:t>）、食品饮料（</w:t>
            </w:r>
            <w:r w:rsidR="002872DA" w:rsidRPr="002872DA">
              <w:rPr>
                <w:rFonts w:ascii="Arial" w:hAnsi="Arial" w:cs="Arial" w:hint="eastAsia"/>
                <w:color w:val="000000" w:themeColor="text1"/>
                <w:sz w:val="18"/>
                <w:szCs w:val="20"/>
              </w:rPr>
              <w:t>1.46%</w:t>
            </w:r>
            <w:r w:rsidR="002872DA" w:rsidRPr="002872DA">
              <w:rPr>
                <w:rFonts w:ascii="Arial" w:hAnsi="Arial" w:cs="Arial" w:hint="eastAsia"/>
                <w:color w:val="000000" w:themeColor="text1"/>
                <w:sz w:val="18"/>
                <w:szCs w:val="20"/>
              </w:rPr>
              <w:t>）银行（</w:t>
            </w:r>
            <w:r w:rsidR="002872DA" w:rsidRPr="002872DA">
              <w:rPr>
                <w:rFonts w:ascii="Arial" w:hAnsi="Arial" w:cs="Arial" w:hint="eastAsia"/>
                <w:color w:val="000000" w:themeColor="text1"/>
                <w:sz w:val="18"/>
                <w:szCs w:val="20"/>
              </w:rPr>
              <w:t>1.39%</w:t>
            </w:r>
            <w:r w:rsidR="002872DA" w:rsidRPr="002872DA">
              <w:rPr>
                <w:rFonts w:ascii="Arial" w:hAnsi="Arial" w:cs="Arial" w:hint="eastAsia"/>
                <w:color w:val="000000" w:themeColor="text1"/>
                <w:sz w:val="18"/>
                <w:szCs w:val="20"/>
              </w:rPr>
              <w:t>）等行业表现相对较好，计算机（</w:t>
            </w:r>
            <w:r w:rsidR="002872DA" w:rsidRPr="002872DA">
              <w:rPr>
                <w:rFonts w:ascii="Arial" w:hAnsi="Arial" w:cs="Arial" w:hint="eastAsia"/>
                <w:color w:val="000000" w:themeColor="text1"/>
                <w:sz w:val="18"/>
                <w:szCs w:val="20"/>
              </w:rPr>
              <w:t>-7.95%</w:t>
            </w:r>
            <w:r w:rsidR="002872DA" w:rsidRPr="002872DA">
              <w:rPr>
                <w:rFonts w:ascii="Arial" w:hAnsi="Arial" w:cs="Arial" w:hint="eastAsia"/>
                <w:color w:val="000000" w:themeColor="text1"/>
                <w:sz w:val="18"/>
                <w:szCs w:val="20"/>
              </w:rPr>
              <w:t>）、传媒（</w:t>
            </w:r>
            <w:r w:rsidR="002872DA" w:rsidRPr="002872DA">
              <w:rPr>
                <w:rFonts w:ascii="Arial" w:hAnsi="Arial" w:cs="Arial" w:hint="eastAsia"/>
                <w:color w:val="000000" w:themeColor="text1"/>
                <w:sz w:val="18"/>
                <w:szCs w:val="20"/>
              </w:rPr>
              <w:t>-7.17%</w:t>
            </w:r>
            <w:r w:rsidR="002872DA" w:rsidRPr="002872DA">
              <w:rPr>
                <w:rFonts w:ascii="Arial" w:hAnsi="Arial" w:cs="Arial" w:hint="eastAsia"/>
                <w:color w:val="000000" w:themeColor="text1"/>
                <w:sz w:val="18"/>
                <w:szCs w:val="20"/>
              </w:rPr>
              <w:t>）、国防军工（</w:t>
            </w:r>
            <w:r w:rsidR="002872DA" w:rsidRPr="002872DA">
              <w:rPr>
                <w:rFonts w:ascii="Arial" w:hAnsi="Arial" w:cs="Arial" w:hint="eastAsia"/>
                <w:color w:val="000000" w:themeColor="text1"/>
                <w:sz w:val="18"/>
                <w:szCs w:val="20"/>
              </w:rPr>
              <w:t>-6.39%</w:t>
            </w:r>
            <w:r w:rsidR="002872DA" w:rsidRPr="002872DA">
              <w:rPr>
                <w:rFonts w:ascii="Arial" w:hAnsi="Arial" w:cs="Arial" w:hint="eastAsia"/>
                <w:color w:val="000000" w:themeColor="text1"/>
                <w:sz w:val="18"/>
                <w:szCs w:val="20"/>
              </w:rPr>
              <w:t>）等行业表现垫底。</w:t>
            </w:r>
          </w:p>
          <w:p w:rsidR="00BA6BA1" w:rsidRPr="00DD0C71" w:rsidRDefault="00BA6BA1" w:rsidP="00FF3942">
            <w:pPr>
              <w:rPr>
                <w:rStyle w:val="textsmall2"/>
                <w:rFonts w:ascii="Arial" w:hAnsi="Arial" w:cs="Arial"/>
                <w:sz w:val="18"/>
                <w:szCs w:val="20"/>
              </w:rPr>
            </w:pPr>
            <w:r w:rsidRPr="00DD0C71">
              <w:rPr>
                <w:rStyle w:val="textsmall2"/>
                <w:rFonts w:ascii="Arial" w:hAnsi="Arial" w:cs="Arial" w:hint="eastAsia"/>
                <w:b/>
                <w:sz w:val="18"/>
                <w:szCs w:val="20"/>
              </w:rPr>
              <w:t>国内债市：</w:t>
            </w:r>
            <w:r w:rsidR="00136B87" w:rsidRPr="00136B87">
              <w:rPr>
                <w:rStyle w:val="textsmall2"/>
                <w:rFonts w:ascii="Arial" w:hAnsi="Arial" w:cs="Arial" w:hint="eastAsia"/>
                <w:b/>
                <w:sz w:val="18"/>
                <w:szCs w:val="20"/>
              </w:rPr>
              <w:t>资金</w:t>
            </w:r>
            <w:proofErr w:type="gramStart"/>
            <w:r w:rsidR="00136B87" w:rsidRPr="00136B87">
              <w:rPr>
                <w:rStyle w:val="textsmall2"/>
                <w:rFonts w:ascii="Arial" w:hAnsi="Arial" w:cs="Arial" w:hint="eastAsia"/>
                <w:b/>
                <w:sz w:val="18"/>
                <w:szCs w:val="20"/>
              </w:rPr>
              <w:t>面易紧难松</w:t>
            </w:r>
            <w:proofErr w:type="gramEnd"/>
            <w:r w:rsidR="00136B87" w:rsidRPr="00136B87">
              <w:rPr>
                <w:rStyle w:val="textsmall2"/>
                <w:rFonts w:ascii="Arial" w:hAnsi="Arial" w:cs="Arial" w:hint="eastAsia"/>
                <w:b/>
                <w:sz w:val="18"/>
                <w:szCs w:val="20"/>
              </w:rPr>
              <w:t>、信用风险频发，债市调整</w:t>
            </w:r>
            <w:r w:rsidR="00F77834">
              <w:rPr>
                <w:rStyle w:val="textsmall2"/>
                <w:rFonts w:ascii="Arial" w:hAnsi="Arial" w:cs="Arial" w:hint="eastAsia"/>
                <w:b/>
                <w:sz w:val="18"/>
                <w:szCs w:val="20"/>
              </w:rPr>
              <w:t>中</w:t>
            </w:r>
            <w:r w:rsidR="00136B87" w:rsidRPr="00136B87">
              <w:rPr>
                <w:rStyle w:val="textsmall2"/>
                <w:rFonts w:ascii="Arial" w:hAnsi="Arial" w:cs="Arial" w:hint="eastAsia"/>
                <w:b/>
                <w:sz w:val="18"/>
                <w:szCs w:val="20"/>
              </w:rPr>
              <w:t>。</w:t>
            </w:r>
            <w:r w:rsidR="00136B87" w:rsidRPr="00136B87">
              <w:rPr>
                <w:rStyle w:val="textsmall2"/>
                <w:rFonts w:ascii="Arial" w:hAnsi="Arial" w:cs="Arial" w:hint="eastAsia"/>
                <w:sz w:val="18"/>
                <w:szCs w:val="20"/>
              </w:rPr>
              <w:t>4</w:t>
            </w:r>
            <w:r w:rsidR="00136B87">
              <w:rPr>
                <w:rStyle w:val="textsmall2"/>
                <w:rFonts w:ascii="Arial" w:hAnsi="Arial" w:cs="Arial" w:hint="eastAsia"/>
                <w:sz w:val="18"/>
                <w:szCs w:val="20"/>
              </w:rPr>
              <w:t>月</w:t>
            </w:r>
            <w:r w:rsidR="00136B87" w:rsidRPr="00136B87">
              <w:rPr>
                <w:rStyle w:val="textsmall2"/>
                <w:rFonts w:ascii="Arial" w:hAnsi="Arial" w:cs="Arial" w:hint="eastAsia"/>
                <w:sz w:val="18"/>
                <w:szCs w:val="20"/>
              </w:rPr>
              <w:t>银行间资金</w:t>
            </w:r>
            <w:proofErr w:type="gramStart"/>
            <w:r w:rsidR="00136B87" w:rsidRPr="00136B87">
              <w:rPr>
                <w:rStyle w:val="textsmall2"/>
                <w:rFonts w:ascii="Arial" w:hAnsi="Arial" w:cs="Arial" w:hint="eastAsia"/>
                <w:sz w:val="18"/>
                <w:szCs w:val="20"/>
              </w:rPr>
              <w:t>面整体</w:t>
            </w:r>
            <w:proofErr w:type="gramEnd"/>
            <w:r w:rsidR="00136B87" w:rsidRPr="00136B87">
              <w:rPr>
                <w:rStyle w:val="textsmall2"/>
                <w:rFonts w:ascii="Arial" w:hAnsi="Arial" w:cs="Arial" w:hint="eastAsia"/>
                <w:sz w:val="18"/>
                <w:szCs w:val="20"/>
              </w:rPr>
              <w:t>偏紧，货币利率整体上行。同时，信用违约事件导致的市场风险偏好降低使得债市调整幅度更大。为了缓解资金面紧张的局面，银行体系流动性合理充裕，央行分别在上月</w:t>
            </w:r>
            <w:r w:rsidR="00136B87" w:rsidRPr="00136B87">
              <w:rPr>
                <w:rStyle w:val="textsmall2"/>
                <w:rFonts w:ascii="Arial" w:hAnsi="Arial" w:cs="Arial" w:hint="eastAsia"/>
                <w:sz w:val="18"/>
                <w:szCs w:val="20"/>
              </w:rPr>
              <w:t>13</w:t>
            </w:r>
            <w:r w:rsidR="00136B87" w:rsidRPr="00136B87">
              <w:rPr>
                <w:rStyle w:val="textsmall2"/>
                <w:rFonts w:ascii="Arial" w:hAnsi="Arial" w:cs="Arial" w:hint="eastAsia"/>
                <w:sz w:val="18"/>
                <w:szCs w:val="20"/>
              </w:rPr>
              <w:t>日、</w:t>
            </w:r>
            <w:r w:rsidR="00136B87" w:rsidRPr="00136B87">
              <w:rPr>
                <w:rStyle w:val="textsmall2"/>
                <w:rFonts w:ascii="Arial" w:hAnsi="Arial" w:cs="Arial" w:hint="eastAsia"/>
                <w:sz w:val="18"/>
                <w:szCs w:val="20"/>
              </w:rPr>
              <w:t>18</w:t>
            </w:r>
            <w:r w:rsidR="00136B87" w:rsidRPr="00136B87">
              <w:rPr>
                <w:rStyle w:val="textsmall2"/>
                <w:rFonts w:ascii="Arial" w:hAnsi="Arial" w:cs="Arial" w:hint="eastAsia"/>
                <w:sz w:val="18"/>
                <w:szCs w:val="20"/>
              </w:rPr>
              <w:t>日、</w:t>
            </w:r>
            <w:r w:rsidR="00136B87" w:rsidRPr="00136B87">
              <w:rPr>
                <w:rStyle w:val="textsmall2"/>
                <w:rFonts w:ascii="Arial" w:hAnsi="Arial" w:cs="Arial" w:hint="eastAsia"/>
                <w:sz w:val="18"/>
                <w:szCs w:val="20"/>
              </w:rPr>
              <w:t>25</w:t>
            </w:r>
            <w:r w:rsidR="00136B87" w:rsidRPr="00136B87">
              <w:rPr>
                <w:rStyle w:val="textsmall2"/>
                <w:rFonts w:ascii="Arial" w:hAnsi="Arial" w:cs="Arial" w:hint="eastAsia"/>
                <w:sz w:val="18"/>
                <w:szCs w:val="20"/>
              </w:rPr>
              <w:t>日开展</w:t>
            </w:r>
            <w:r w:rsidR="00136B87" w:rsidRPr="00136B87">
              <w:rPr>
                <w:rStyle w:val="textsmall2"/>
                <w:rFonts w:ascii="Arial" w:hAnsi="Arial" w:cs="Arial" w:hint="eastAsia"/>
                <w:sz w:val="18"/>
                <w:szCs w:val="20"/>
              </w:rPr>
              <w:t>MLF</w:t>
            </w:r>
            <w:r w:rsidR="00136B87">
              <w:rPr>
                <w:rStyle w:val="textsmall2"/>
                <w:rFonts w:ascii="Arial" w:hAnsi="Arial" w:cs="Arial" w:hint="eastAsia"/>
                <w:sz w:val="18"/>
                <w:szCs w:val="20"/>
              </w:rPr>
              <w:t>操作</w:t>
            </w:r>
            <w:r w:rsidR="00136B87" w:rsidRPr="00136B87">
              <w:rPr>
                <w:rStyle w:val="textsmall2"/>
                <w:rFonts w:ascii="Arial" w:hAnsi="Arial" w:cs="Arial" w:hint="eastAsia"/>
                <w:sz w:val="18"/>
                <w:szCs w:val="20"/>
              </w:rPr>
              <w:t>。但整体而言，央行滚动投放资金的方式，导致机构对资金面形成不安全感，也直接影响资金出借方的积极性。在</w:t>
            </w:r>
            <w:r w:rsidR="00136B87" w:rsidRPr="00136B87">
              <w:rPr>
                <w:rStyle w:val="textsmall2"/>
                <w:rFonts w:ascii="Arial" w:hAnsi="Arial" w:cs="Arial" w:hint="eastAsia"/>
                <w:sz w:val="18"/>
                <w:szCs w:val="20"/>
              </w:rPr>
              <w:t>4</w:t>
            </w:r>
            <w:r w:rsidR="00136B87" w:rsidRPr="00136B87">
              <w:rPr>
                <w:rStyle w:val="textsmall2"/>
                <w:rFonts w:ascii="Arial" w:hAnsi="Arial" w:cs="Arial" w:hint="eastAsia"/>
                <w:sz w:val="18"/>
                <w:szCs w:val="20"/>
              </w:rPr>
              <w:t>月最后一周，或许是央行持续净投放的累积效应显现，货币利率有短暂的下行，而一旦资金面稍有缓和，公开市场立刻净回笼资金，使得资金</w:t>
            </w:r>
            <w:proofErr w:type="gramStart"/>
            <w:r w:rsidR="00136B87" w:rsidRPr="00136B87">
              <w:rPr>
                <w:rStyle w:val="textsmall2"/>
                <w:rFonts w:ascii="Arial" w:hAnsi="Arial" w:cs="Arial" w:hint="eastAsia"/>
                <w:sz w:val="18"/>
                <w:szCs w:val="20"/>
              </w:rPr>
              <w:t>面易紧难松</w:t>
            </w:r>
            <w:proofErr w:type="gramEnd"/>
            <w:r w:rsidR="00136B87" w:rsidRPr="00136B87">
              <w:rPr>
                <w:rStyle w:val="textsmall2"/>
                <w:rFonts w:ascii="Arial" w:hAnsi="Arial" w:cs="Arial" w:hint="eastAsia"/>
                <w:sz w:val="18"/>
                <w:szCs w:val="20"/>
              </w:rPr>
              <w:t>。短端</w:t>
            </w:r>
            <w:r w:rsidR="00136B87" w:rsidRPr="00136B87">
              <w:rPr>
                <w:rStyle w:val="textsmall2"/>
                <w:rFonts w:ascii="Arial" w:hAnsi="Arial" w:cs="Arial" w:hint="eastAsia"/>
                <w:sz w:val="18"/>
                <w:szCs w:val="20"/>
              </w:rPr>
              <w:t>7</w:t>
            </w:r>
            <w:r w:rsidR="00136B87" w:rsidRPr="00136B87">
              <w:rPr>
                <w:rStyle w:val="textsmall2"/>
                <w:rFonts w:ascii="Arial" w:hAnsi="Arial" w:cs="Arial" w:hint="eastAsia"/>
                <w:sz w:val="18"/>
                <w:szCs w:val="20"/>
              </w:rPr>
              <w:t>天逆回购招标利率仍维持在</w:t>
            </w:r>
            <w:r w:rsidR="00136B87" w:rsidRPr="00136B87">
              <w:rPr>
                <w:rStyle w:val="textsmall2"/>
                <w:rFonts w:ascii="Arial" w:hAnsi="Arial" w:cs="Arial" w:hint="eastAsia"/>
                <w:sz w:val="18"/>
                <w:szCs w:val="20"/>
              </w:rPr>
              <w:t>2.25%</w:t>
            </w:r>
            <w:r w:rsidR="00136B87" w:rsidRPr="00136B87">
              <w:rPr>
                <w:rStyle w:val="textsmall2"/>
                <w:rFonts w:ascii="Arial" w:hAnsi="Arial" w:cs="Arial" w:hint="eastAsia"/>
                <w:sz w:val="18"/>
                <w:szCs w:val="20"/>
              </w:rPr>
              <w:t>不变。银行间</w:t>
            </w:r>
            <w:r w:rsidR="00136B87" w:rsidRPr="00136B87">
              <w:rPr>
                <w:rStyle w:val="textsmall2"/>
                <w:rFonts w:ascii="Arial" w:hAnsi="Arial" w:cs="Arial" w:hint="eastAsia"/>
                <w:sz w:val="18"/>
                <w:szCs w:val="20"/>
              </w:rPr>
              <w:t>7</w:t>
            </w:r>
            <w:r w:rsidR="00136B87" w:rsidRPr="00136B87">
              <w:rPr>
                <w:rStyle w:val="textsmall2"/>
                <w:rFonts w:ascii="Arial" w:hAnsi="Arial" w:cs="Arial" w:hint="eastAsia"/>
                <w:sz w:val="18"/>
                <w:szCs w:val="20"/>
              </w:rPr>
              <w:t>天回购利率</w:t>
            </w:r>
            <w:r w:rsidR="00136B87" w:rsidRPr="00136B87">
              <w:rPr>
                <w:rStyle w:val="textsmall2"/>
                <w:rFonts w:ascii="Arial" w:hAnsi="Arial" w:cs="Arial" w:hint="eastAsia"/>
                <w:sz w:val="18"/>
                <w:szCs w:val="20"/>
              </w:rPr>
              <w:t>R007</w:t>
            </w:r>
            <w:r w:rsidR="00136B87" w:rsidRPr="00136B87">
              <w:rPr>
                <w:rStyle w:val="textsmall2"/>
                <w:rFonts w:ascii="Arial" w:hAnsi="Arial" w:cs="Arial" w:hint="eastAsia"/>
                <w:sz w:val="18"/>
                <w:szCs w:val="20"/>
              </w:rPr>
              <w:t>较前周上升</w:t>
            </w:r>
            <w:r w:rsidR="00136B87" w:rsidRPr="00136B87">
              <w:rPr>
                <w:rStyle w:val="textsmall2"/>
                <w:rFonts w:ascii="Arial" w:hAnsi="Arial" w:cs="Arial" w:hint="eastAsia"/>
                <w:sz w:val="18"/>
                <w:szCs w:val="20"/>
              </w:rPr>
              <w:t>10bp</w:t>
            </w:r>
            <w:r w:rsidR="00136B87" w:rsidRPr="00136B87">
              <w:rPr>
                <w:rStyle w:val="textsmall2"/>
                <w:rFonts w:ascii="Arial" w:hAnsi="Arial" w:cs="Arial" w:hint="eastAsia"/>
                <w:sz w:val="18"/>
                <w:szCs w:val="20"/>
              </w:rPr>
              <w:t>至</w:t>
            </w:r>
            <w:r w:rsidR="00136B87" w:rsidRPr="00136B87">
              <w:rPr>
                <w:rStyle w:val="textsmall2"/>
                <w:rFonts w:ascii="Arial" w:hAnsi="Arial" w:cs="Arial" w:hint="eastAsia"/>
                <w:sz w:val="18"/>
                <w:szCs w:val="20"/>
              </w:rPr>
              <w:t>2.61%</w:t>
            </w:r>
            <w:r w:rsidR="00136B87" w:rsidRPr="00136B87">
              <w:rPr>
                <w:rStyle w:val="textsmall2"/>
                <w:rFonts w:ascii="Arial" w:hAnsi="Arial" w:cs="Arial" w:hint="eastAsia"/>
                <w:sz w:val="18"/>
                <w:szCs w:val="20"/>
              </w:rPr>
              <w:t>，隔夜回购利率</w:t>
            </w:r>
            <w:r w:rsidR="00136B87" w:rsidRPr="00136B87">
              <w:rPr>
                <w:rStyle w:val="textsmall2"/>
                <w:rFonts w:ascii="Arial" w:hAnsi="Arial" w:cs="Arial" w:hint="eastAsia"/>
                <w:sz w:val="18"/>
                <w:szCs w:val="20"/>
              </w:rPr>
              <w:t>R001</w:t>
            </w:r>
            <w:r w:rsidR="00136B87" w:rsidRPr="00136B87">
              <w:rPr>
                <w:rStyle w:val="textsmall2"/>
                <w:rFonts w:ascii="Arial" w:hAnsi="Arial" w:cs="Arial" w:hint="eastAsia"/>
                <w:sz w:val="18"/>
                <w:szCs w:val="20"/>
              </w:rPr>
              <w:t>与前周相比保持不变。</w:t>
            </w:r>
            <w:proofErr w:type="gramStart"/>
            <w:r w:rsidR="00136B87" w:rsidRPr="00136B87">
              <w:rPr>
                <w:rStyle w:val="textsmall2"/>
                <w:rFonts w:ascii="Arial" w:hAnsi="Arial" w:cs="Arial" w:hint="eastAsia"/>
                <w:sz w:val="18"/>
                <w:szCs w:val="20"/>
              </w:rPr>
              <w:t>4</w:t>
            </w:r>
            <w:r w:rsidR="00136B87" w:rsidRPr="00136B87">
              <w:rPr>
                <w:rStyle w:val="textsmall2"/>
                <w:rFonts w:ascii="Arial" w:hAnsi="Arial" w:cs="Arial" w:hint="eastAsia"/>
                <w:sz w:val="18"/>
                <w:szCs w:val="20"/>
              </w:rPr>
              <w:t>月中债总净价</w:t>
            </w:r>
            <w:proofErr w:type="gramEnd"/>
            <w:r w:rsidR="00136B87" w:rsidRPr="00136B87">
              <w:rPr>
                <w:rStyle w:val="textsmall2"/>
                <w:rFonts w:ascii="Arial" w:hAnsi="Arial" w:cs="Arial" w:hint="eastAsia"/>
                <w:sz w:val="18"/>
                <w:szCs w:val="20"/>
              </w:rPr>
              <w:t>指数下跌</w:t>
            </w:r>
            <w:r w:rsidR="00136B87" w:rsidRPr="00136B87">
              <w:rPr>
                <w:rStyle w:val="textsmall2"/>
                <w:rFonts w:ascii="Arial" w:hAnsi="Arial" w:cs="Arial" w:hint="eastAsia"/>
                <w:sz w:val="18"/>
                <w:szCs w:val="20"/>
              </w:rPr>
              <w:t>1.10%</w:t>
            </w:r>
            <w:r w:rsidR="00136B87" w:rsidRPr="00136B87">
              <w:rPr>
                <w:rStyle w:val="textsmall2"/>
                <w:rFonts w:ascii="Arial" w:hAnsi="Arial" w:cs="Arial" w:hint="eastAsia"/>
                <w:sz w:val="18"/>
                <w:szCs w:val="20"/>
              </w:rPr>
              <w:t>，中</w:t>
            </w:r>
            <w:proofErr w:type="gramStart"/>
            <w:r w:rsidR="00136B87" w:rsidRPr="00136B87">
              <w:rPr>
                <w:rStyle w:val="textsmall2"/>
                <w:rFonts w:ascii="Arial" w:hAnsi="Arial" w:cs="Arial" w:hint="eastAsia"/>
                <w:sz w:val="18"/>
                <w:szCs w:val="20"/>
              </w:rPr>
              <w:t>债企业债总</w:t>
            </w:r>
            <w:proofErr w:type="gramEnd"/>
            <w:r w:rsidR="00136B87" w:rsidRPr="00136B87">
              <w:rPr>
                <w:rStyle w:val="textsmall2"/>
                <w:rFonts w:ascii="Arial" w:hAnsi="Arial" w:cs="Arial" w:hint="eastAsia"/>
                <w:sz w:val="18"/>
                <w:szCs w:val="20"/>
              </w:rPr>
              <w:t>净价指数跌</w:t>
            </w:r>
            <w:r w:rsidR="00136B87" w:rsidRPr="00136B87">
              <w:rPr>
                <w:rStyle w:val="textsmall2"/>
                <w:rFonts w:ascii="Arial" w:hAnsi="Arial" w:cs="Arial" w:hint="eastAsia"/>
                <w:sz w:val="18"/>
                <w:szCs w:val="20"/>
              </w:rPr>
              <w:t>2.09%</w:t>
            </w:r>
            <w:r w:rsidR="00136B87" w:rsidRPr="00136B87">
              <w:rPr>
                <w:rStyle w:val="textsmall2"/>
                <w:rFonts w:ascii="Arial" w:hAnsi="Arial" w:cs="Arial" w:hint="eastAsia"/>
                <w:sz w:val="18"/>
                <w:szCs w:val="20"/>
              </w:rPr>
              <w:t>，中债国债总净价指数跌</w:t>
            </w:r>
            <w:r w:rsidR="00136B87" w:rsidRPr="00136B87">
              <w:rPr>
                <w:rStyle w:val="textsmall2"/>
                <w:rFonts w:ascii="Arial" w:hAnsi="Arial" w:cs="Arial" w:hint="eastAsia"/>
                <w:sz w:val="18"/>
                <w:szCs w:val="20"/>
              </w:rPr>
              <w:t>1.12%</w:t>
            </w:r>
            <w:r w:rsidR="00136B87" w:rsidRPr="00136B87">
              <w:rPr>
                <w:rStyle w:val="textsmall2"/>
                <w:rFonts w:ascii="Arial" w:hAnsi="Arial" w:cs="Arial" w:hint="eastAsia"/>
                <w:sz w:val="18"/>
                <w:szCs w:val="20"/>
              </w:rPr>
              <w:t>，中</w:t>
            </w:r>
            <w:proofErr w:type="gramStart"/>
            <w:r w:rsidR="00136B87" w:rsidRPr="00136B87">
              <w:rPr>
                <w:rStyle w:val="textsmall2"/>
                <w:rFonts w:ascii="Arial" w:hAnsi="Arial" w:cs="Arial" w:hint="eastAsia"/>
                <w:sz w:val="18"/>
                <w:szCs w:val="20"/>
              </w:rPr>
              <w:t>证转债跌</w:t>
            </w:r>
            <w:proofErr w:type="gramEnd"/>
            <w:r w:rsidR="00136B87" w:rsidRPr="00136B87">
              <w:rPr>
                <w:rStyle w:val="textsmall2"/>
                <w:rFonts w:ascii="Arial" w:hAnsi="Arial" w:cs="Arial" w:hint="eastAsia"/>
                <w:sz w:val="18"/>
                <w:szCs w:val="20"/>
              </w:rPr>
              <w:t>2.77%</w:t>
            </w:r>
            <w:r w:rsidR="00136B87" w:rsidRPr="00136B87">
              <w:rPr>
                <w:rStyle w:val="textsmall2"/>
                <w:rFonts w:ascii="Arial" w:hAnsi="Arial" w:cs="Arial" w:hint="eastAsia"/>
                <w:sz w:val="18"/>
                <w:szCs w:val="20"/>
              </w:rPr>
              <w:t>。</w:t>
            </w:r>
          </w:p>
          <w:p w:rsidR="00BA6BA1" w:rsidRPr="00DD0C71" w:rsidRDefault="00BA6BA1" w:rsidP="00FF3942">
            <w:pPr>
              <w:rPr>
                <w:rStyle w:val="textsmall2"/>
                <w:rFonts w:ascii="Arial" w:hAnsi="Arial" w:cs="Arial"/>
                <w:sz w:val="18"/>
                <w:szCs w:val="20"/>
              </w:rPr>
            </w:pPr>
            <w:r w:rsidRPr="00DD0C71">
              <w:rPr>
                <w:rStyle w:val="textsmall2"/>
                <w:rFonts w:ascii="Arial" w:hAnsi="Arial" w:cs="Arial" w:hint="eastAsia"/>
                <w:b/>
                <w:sz w:val="18"/>
                <w:szCs w:val="20"/>
              </w:rPr>
              <w:t>海外市场：</w:t>
            </w:r>
            <w:r w:rsidR="00B95C53" w:rsidRPr="00B95C53">
              <w:rPr>
                <w:rFonts w:ascii="Arial" w:hAnsi="Arial" w:cs="Arial" w:hint="eastAsia"/>
                <w:b/>
                <w:color w:val="000000" w:themeColor="text1"/>
                <w:sz w:val="18"/>
                <w:szCs w:val="20"/>
              </w:rPr>
              <w:t>日</w:t>
            </w:r>
            <w:proofErr w:type="gramStart"/>
            <w:r w:rsidR="00B95C53" w:rsidRPr="00B95C53">
              <w:rPr>
                <w:rFonts w:ascii="Arial" w:hAnsi="Arial" w:cs="Arial" w:hint="eastAsia"/>
                <w:b/>
                <w:color w:val="000000" w:themeColor="text1"/>
                <w:sz w:val="18"/>
                <w:szCs w:val="20"/>
              </w:rPr>
              <w:t>银决议引美指</w:t>
            </w:r>
            <w:proofErr w:type="gramEnd"/>
            <w:r w:rsidR="00B95C53" w:rsidRPr="00B95C53">
              <w:rPr>
                <w:rFonts w:ascii="Arial" w:hAnsi="Arial" w:cs="Arial" w:hint="eastAsia"/>
                <w:b/>
                <w:color w:val="000000" w:themeColor="text1"/>
                <w:sz w:val="18"/>
                <w:szCs w:val="20"/>
              </w:rPr>
              <w:t>大跌，全球股市涨跌不一。</w:t>
            </w:r>
            <w:r w:rsidR="00B95C53" w:rsidRPr="00B95C53">
              <w:rPr>
                <w:rFonts w:ascii="Arial" w:hAnsi="Arial" w:cs="Arial" w:hint="eastAsia"/>
                <w:color w:val="000000" w:themeColor="text1"/>
                <w:sz w:val="18"/>
                <w:szCs w:val="20"/>
              </w:rPr>
              <w:t>4</w:t>
            </w:r>
            <w:r w:rsidR="00B95C53" w:rsidRPr="00B95C53">
              <w:rPr>
                <w:rFonts w:ascii="Arial" w:hAnsi="Arial" w:cs="Arial" w:hint="eastAsia"/>
                <w:color w:val="000000" w:themeColor="text1"/>
                <w:sz w:val="18"/>
                <w:szCs w:val="20"/>
              </w:rPr>
              <w:t>月中旬，在中国部分经济数据回暖</w:t>
            </w:r>
            <w:r w:rsidR="001E63D2">
              <w:rPr>
                <w:rFonts w:ascii="Arial" w:hAnsi="Arial" w:cs="Arial" w:hint="eastAsia"/>
                <w:color w:val="000000" w:themeColor="text1"/>
                <w:sz w:val="18"/>
                <w:szCs w:val="20"/>
              </w:rPr>
              <w:t>的</w:t>
            </w:r>
            <w:r w:rsidR="00B95C53" w:rsidRPr="00B95C53">
              <w:rPr>
                <w:rFonts w:ascii="Arial" w:hAnsi="Arial" w:cs="Arial" w:hint="eastAsia"/>
                <w:color w:val="000000" w:themeColor="text1"/>
                <w:sz w:val="18"/>
                <w:szCs w:val="20"/>
              </w:rPr>
              <w:t>提振下，美元有小幅上涨。然而</w:t>
            </w:r>
            <w:r w:rsidR="00B95C53">
              <w:rPr>
                <w:rFonts w:ascii="Arial" w:hAnsi="Arial" w:cs="Arial" w:hint="eastAsia"/>
                <w:color w:val="000000" w:themeColor="text1"/>
                <w:sz w:val="18"/>
                <w:szCs w:val="20"/>
              </w:rPr>
              <w:t>月末</w:t>
            </w:r>
            <w:r w:rsidR="00B95C53" w:rsidRPr="00B95C53">
              <w:rPr>
                <w:rFonts w:ascii="Arial" w:hAnsi="Arial" w:cs="Arial" w:hint="eastAsia"/>
                <w:color w:val="000000" w:themeColor="text1"/>
                <w:sz w:val="18"/>
                <w:szCs w:val="20"/>
              </w:rPr>
              <w:t>，日本央行随后公布了其利率决议表示维持现有的货币政策不变，与市场此前的预期相背，导致美元指数出现比较剧烈的下跌，跌至八个月低位，触及</w:t>
            </w:r>
            <w:r w:rsidR="00B95C53" w:rsidRPr="00B95C53">
              <w:rPr>
                <w:rFonts w:ascii="Arial" w:hAnsi="Arial" w:cs="Arial" w:hint="eastAsia"/>
                <w:color w:val="000000" w:themeColor="text1"/>
                <w:sz w:val="18"/>
                <w:szCs w:val="20"/>
              </w:rPr>
              <w:t>93</w:t>
            </w:r>
            <w:r w:rsidR="00B95C53" w:rsidRPr="00B95C53">
              <w:rPr>
                <w:rFonts w:ascii="Arial" w:hAnsi="Arial" w:cs="Arial" w:hint="eastAsia"/>
                <w:color w:val="000000" w:themeColor="text1"/>
                <w:sz w:val="18"/>
                <w:szCs w:val="20"/>
              </w:rPr>
              <w:t>关口。</w:t>
            </w:r>
            <w:r w:rsidR="00B51D8E" w:rsidRPr="00B51D8E">
              <w:rPr>
                <w:rFonts w:ascii="Arial" w:hAnsi="Arial" w:cs="Arial" w:hint="eastAsia"/>
                <w:b/>
                <w:color w:val="000000" w:themeColor="text1"/>
                <w:sz w:val="18"/>
                <w:szCs w:val="20"/>
              </w:rPr>
              <w:t>金价上涨，</w:t>
            </w:r>
            <w:proofErr w:type="gramStart"/>
            <w:r w:rsidR="00B51D8E" w:rsidRPr="00B51D8E">
              <w:rPr>
                <w:rFonts w:ascii="Arial" w:hAnsi="Arial" w:cs="Arial" w:hint="eastAsia"/>
                <w:b/>
                <w:color w:val="000000" w:themeColor="text1"/>
                <w:sz w:val="18"/>
                <w:szCs w:val="20"/>
              </w:rPr>
              <w:t>原油涨幅</w:t>
            </w:r>
            <w:proofErr w:type="gramEnd"/>
            <w:r w:rsidR="00B51D8E" w:rsidRPr="00B51D8E">
              <w:rPr>
                <w:rFonts w:ascii="Arial" w:hAnsi="Arial" w:cs="Arial" w:hint="eastAsia"/>
                <w:b/>
                <w:color w:val="000000" w:themeColor="text1"/>
                <w:sz w:val="18"/>
                <w:szCs w:val="20"/>
              </w:rPr>
              <w:t>亮眼。</w:t>
            </w:r>
            <w:r w:rsidR="00B51D8E" w:rsidRPr="00B51D8E">
              <w:rPr>
                <w:rFonts w:ascii="Arial" w:hAnsi="Arial" w:cs="Arial" w:hint="eastAsia"/>
                <w:color w:val="000000" w:themeColor="text1"/>
                <w:sz w:val="18"/>
                <w:szCs w:val="20"/>
              </w:rPr>
              <w:t>黄金市场在先小幅波动的情况下，临近月末忽然发力，，金价大涨触及</w:t>
            </w:r>
            <w:r w:rsidR="00B51D8E" w:rsidRPr="00B51D8E">
              <w:rPr>
                <w:rFonts w:ascii="Arial" w:hAnsi="Arial" w:cs="Arial" w:hint="eastAsia"/>
                <w:color w:val="000000" w:themeColor="text1"/>
                <w:sz w:val="18"/>
                <w:szCs w:val="20"/>
              </w:rPr>
              <w:t>15</w:t>
            </w:r>
            <w:r w:rsidR="00B51D8E" w:rsidRPr="00B51D8E">
              <w:rPr>
                <w:rFonts w:ascii="Arial" w:hAnsi="Arial" w:cs="Arial" w:hint="eastAsia"/>
                <w:color w:val="000000" w:themeColor="text1"/>
                <w:sz w:val="18"/>
                <w:szCs w:val="20"/>
              </w:rPr>
              <w:t>个月高位，。而原油价格在四月可谓一路高歌，尽管</w:t>
            </w:r>
            <w:proofErr w:type="gramStart"/>
            <w:r w:rsidR="00B51D8E" w:rsidRPr="00B51D8E">
              <w:rPr>
                <w:rFonts w:ascii="Arial" w:hAnsi="Arial" w:cs="Arial" w:hint="eastAsia"/>
                <w:color w:val="000000" w:themeColor="text1"/>
                <w:sz w:val="18"/>
                <w:szCs w:val="20"/>
              </w:rPr>
              <w:t>多哈冻产惨遭</w:t>
            </w:r>
            <w:proofErr w:type="gramEnd"/>
            <w:r w:rsidR="00B51D8E" w:rsidRPr="00B51D8E">
              <w:rPr>
                <w:rFonts w:ascii="Arial" w:hAnsi="Arial" w:cs="Arial" w:hint="eastAsia"/>
                <w:color w:val="000000" w:themeColor="text1"/>
                <w:sz w:val="18"/>
                <w:szCs w:val="20"/>
              </w:rPr>
              <w:t>“夭折”，但市场早有预期，加之美国原油产量连续第</w:t>
            </w:r>
            <w:r w:rsidR="00B51D8E" w:rsidRPr="00B51D8E">
              <w:rPr>
                <w:rFonts w:ascii="Arial" w:hAnsi="Arial" w:cs="Arial" w:hint="eastAsia"/>
                <w:color w:val="000000" w:themeColor="text1"/>
                <w:sz w:val="18"/>
                <w:szCs w:val="20"/>
              </w:rPr>
              <w:t>7</w:t>
            </w:r>
            <w:r w:rsidR="00B51D8E" w:rsidRPr="00B51D8E">
              <w:rPr>
                <w:rFonts w:ascii="Arial" w:hAnsi="Arial" w:cs="Arial" w:hint="eastAsia"/>
                <w:color w:val="000000" w:themeColor="text1"/>
                <w:sz w:val="18"/>
                <w:szCs w:val="20"/>
              </w:rPr>
              <w:t>周下降、美元汇率走软，推动油价创近</w:t>
            </w:r>
            <w:r w:rsidR="00B51D8E" w:rsidRPr="00B51D8E">
              <w:rPr>
                <w:rFonts w:ascii="Arial" w:hAnsi="Arial" w:cs="Arial" w:hint="eastAsia"/>
                <w:color w:val="000000" w:themeColor="text1"/>
                <w:sz w:val="18"/>
                <w:szCs w:val="20"/>
              </w:rPr>
              <w:t>6</w:t>
            </w:r>
            <w:r w:rsidR="00B51D8E" w:rsidRPr="00B51D8E">
              <w:rPr>
                <w:rFonts w:ascii="Arial" w:hAnsi="Arial" w:cs="Arial" w:hint="eastAsia"/>
                <w:color w:val="000000" w:themeColor="text1"/>
                <w:sz w:val="18"/>
                <w:szCs w:val="20"/>
              </w:rPr>
              <w:t>个月来新高。全月油价上涨</w:t>
            </w:r>
            <w:r w:rsidR="00B51D8E" w:rsidRPr="00B51D8E">
              <w:rPr>
                <w:rFonts w:ascii="Arial" w:hAnsi="Arial" w:cs="Arial" w:hint="eastAsia"/>
                <w:color w:val="000000" w:themeColor="text1"/>
                <w:sz w:val="18"/>
                <w:szCs w:val="20"/>
              </w:rPr>
              <w:t>20.68%</w:t>
            </w:r>
            <w:r w:rsidR="00B51D8E" w:rsidRPr="00B51D8E">
              <w:rPr>
                <w:rFonts w:ascii="Arial" w:hAnsi="Arial" w:cs="Arial" w:hint="eastAsia"/>
                <w:color w:val="000000" w:themeColor="text1"/>
                <w:sz w:val="18"/>
                <w:szCs w:val="20"/>
              </w:rPr>
              <w:t>，表现十分亮眼。</w:t>
            </w:r>
          </w:p>
          <w:p w:rsidR="00BA6BA1" w:rsidRPr="00DD0C71" w:rsidRDefault="00F83596" w:rsidP="00FF3942">
            <w:pPr>
              <w:pStyle w:val="a6"/>
              <w:numPr>
                <w:ilvl w:val="0"/>
                <w:numId w:val="3"/>
              </w:numPr>
              <w:spacing w:line="300" w:lineRule="auto"/>
              <w:ind w:firstLineChars="0"/>
              <w:rPr>
                <w:rStyle w:val="textsmall2"/>
                <w:rFonts w:ascii="Arial" w:hAnsi="Arial" w:cs="Arial"/>
                <w:b/>
                <w:color w:val="000000"/>
                <w:szCs w:val="22"/>
              </w:rPr>
            </w:pPr>
            <w:r>
              <w:rPr>
                <w:rStyle w:val="textsmall2"/>
                <w:rFonts w:ascii="Arial" w:hAnsi="Arial" w:cs="Arial" w:hint="eastAsia"/>
                <w:b/>
                <w:color w:val="000000"/>
                <w:szCs w:val="22"/>
              </w:rPr>
              <w:t>四月</w:t>
            </w:r>
            <w:r w:rsidR="00BA6BA1" w:rsidRPr="00DD0C71">
              <w:rPr>
                <w:rStyle w:val="textsmall2"/>
                <w:rFonts w:ascii="Arial" w:hAnsi="Arial" w:cs="Arial" w:hint="eastAsia"/>
                <w:b/>
                <w:color w:val="000000"/>
                <w:szCs w:val="22"/>
              </w:rPr>
              <w:t>基金表现回顾</w:t>
            </w:r>
          </w:p>
          <w:p w:rsidR="00BA6BA1" w:rsidRPr="00DD0C71" w:rsidRDefault="00BA6BA1" w:rsidP="00FF3942">
            <w:pPr>
              <w:rPr>
                <w:rFonts w:ascii="Arial" w:hAnsi="Arial" w:cs="Arial"/>
                <w:sz w:val="18"/>
                <w:szCs w:val="20"/>
              </w:rPr>
            </w:pPr>
            <w:proofErr w:type="gramStart"/>
            <w:r w:rsidRPr="00DD0C71">
              <w:rPr>
                <w:rFonts w:ascii="Arial" w:hAnsi="Arial" w:cs="Arial" w:hint="eastAsia"/>
                <w:b/>
                <w:sz w:val="18"/>
                <w:szCs w:val="20"/>
              </w:rPr>
              <w:t>股混基金</w:t>
            </w:r>
            <w:proofErr w:type="gramEnd"/>
            <w:r w:rsidRPr="00DD0C71">
              <w:rPr>
                <w:rFonts w:ascii="Arial" w:hAnsi="Arial" w:cs="Arial" w:hint="eastAsia"/>
                <w:b/>
                <w:sz w:val="18"/>
                <w:szCs w:val="20"/>
              </w:rPr>
              <w:t>业绩：</w:t>
            </w:r>
            <w:r w:rsidRPr="00DD0C71">
              <w:rPr>
                <w:rFonts w:ascii="Arial" w:hAnsi="Arial" w:cs="Arial" w:hint="eastAsia"/>
                <w:sz w:val="18"/>
                <w:szCs w:val="20"/>
              </w:rPr>
              <w:t>普通股</w:t>
            </w:r>
            <w:proofErr w:type="gramStart"/>
            <w:r w:rsidRPr="00DD0C71">
              <w:rPr>
                <w:rFonts w:ascii="Arial" w:hAnsi="Arial" w:cs="Arial" w:hint="eastAsia"/>
                <w:sz w:val="18"/>
                <w:szCs w:val="20"/>
              </w:rPr>
              <w:t>基平均</w:t>
            </w:r>
            <w:proofErr w:type="gramEnd"/>
            <w:r w:rsidRPr="00DD0C71">
              <w:rPr>
                <w:rFonts w:ascii="Arial" w:hAnsi="Arial" w:cs="Arial" w:hint="eastAsia"/>
                <w:sz w:val="18"/>
                <w:szCs w:val="20"/>
              </w:rPr>
              <w:t>收益为</w:t>
            </w:r>
            <w:r w:rsidRPr="00DD0C71">
              <w:rPr>
                <w:rFonts w:ascii="Arial" w:hAnsi="Arial" w:cs="Arial"/>
                <w:sz w:val="18"/>
                <w:szCs w:val="20"/>
              </w:rPr>
              <w:t>-</w:t>
            </w:r>
            <w:r w:rsidR="00263FE0">
              <w:rPr>
                <w:rFonts w:ascii="Arial" w:hAnsi="Arial" w:cs="Arial" w:hint="eastAsia"/>
                <w:sz w:val="18"/>
                <w:szCs w:val="20"/>
              </w:rPr>
              <w:t>0.91</w:t>
            </w:r>
            <w:r w:rsidRPr="00DD0C71">
              <w:rPr>
                <w:rFonts w:ascii="Arial" w:hAnsi="Arial" w:cs="Arial"/>
                <w:sz w:val="18"/>
                <w:szCs w:val="20"/>
              </w:rPr>
              <w:t>%</w:t>
            </w:r>
            <w:r w:rsidRPr="00DD0C71">
              <w:rPr>
                <w:rFonts w:ascii="Arial" w:hAnsi="Arial" w:cs="Arial" w:hint="eastAsia"/>
                <w:sz w:val="18"/>
                <w:szCs w:val="20"/>
              </w:rPr>
              <w:t>，指数</w:t>
            </w:r>
            <w:proofErr w:type="gramStart"/>
            <w:r w:rsidRPr="00DD0C71">
              <w:rPr>
                <w:rFonts w:ascii="Arial" w:hAnsi="Arial" w:cs="Arial" w:hint="eastAsia"/>
                <w:sz w:val="18"/>
                <w:szCs w:val="20"/>
              </w:rPr>
              <w:t>股基平均</w:t>
            </w:r>
            <w:proofErr w:type="gramEnd"/>
            <w:r w:rsidRPr="00DD0C71">
              <w:rPr>
                <w:rFonts w:ascii="Arial" w:hAnsi="Arial" w:cs="Arial" w:hint="eastAsia"/>
                <w:sz w:val="18"/>
                <w:szCs w:val="20"/>
              </w:rPr>
              <w:t>收益为</w:t>
            </w:r>
            <w:r w:rsidRPr="00DD0C71">
              <w:rPr>
                <w:rFonts w:ascii="Arial" w:hAnsi="Arial" w:cs="Arial"/>
                <w:sz w:val="18"/>
                <w:szCs w:val="20"/>
              </w:rPr>
              <w:t>-</w:t>
            </w:r>
            <w:r w:rsidR="00263FE0">
              <w:rPr>
                <w:rFonts w:ascii="Arial" w:hAnsi="Arial" w:cs="Arial" w:hint="eastAsia"/>
                <w:sz w:val="18"/>
                <w:szCs w:val="20"/>
              </w:rPr>
              <w:t>2.07</w:t>
            </w:r>
            <w:r w:rsidRPr="00DD0C71">
              <w:rPr>
                <w:rFonts w:ascii="Arial" w:hAnsi="Arial" w:cs="Arial"/>
                <w:sz w:val="18"/>
                <w:szCs w:val="20"/>
              </w:rPr>
              <w:t>%</w:t>
            </w:r>
            <w:r w:rsidRPr="00DD0C71">
              <w:rPr>
                <w:rFonts w:ascii="Arial" w:hAnsi="Arial" w:cs="Arial" w:hint="eastAsia"/>
                <w:sz w:val="18"/>
                <w:szCs w:val="20"/>
              </w:rPr>
              <w:t>。</w:t>
            </w:r>
            <w:proofErr w:type="gramStart"/>
            <w:r w:rsidRPr="00DD0C71">
              <w:rPr>
                <w:rFonts w:ascii="Arial" w:hAnsi="Arial" w:cs="Arial" w:hint="eastAsia"/>
                <w:sz w:val="18"/>
                <w:szCs w:val="20"/>
              </w:rPr>
              <w:t>偏股型平均</w:t>
            </w:r>
            <w:proofErr w:type="gramEnd"/>
            <w:r w:rsidRPr="00DD0C71">
              <w:rPr>
                <w:rFonts w:ascii="Arial" w:hAnsi="Arial" w:cs="Arial" w:hint="eastAsia"/>
                <w:sz w:val="18"/>
                <w:szCs w:val="20"/>
              </w:rPr>
              <w:t>收益为</w:t>
            </w:r>
            <w:r w:rsidRPr="00DD0C71">
              <w:rPr>
                <w:rFonts w:ascii="Arial" w:hAnsi="Arial" w:cs="Arial"/>
                <w:sz w:val="18"/>
                <w:szCs w:val="20"/>
              </w:rPr>
              <w:t>-</w:t>
            </w:r>
            <w:r w:rsidR="00263FE0">
              <w:rPr>
                <w:rFonts w:ascii="Arial" w:hAnsi="Arial" w:cs="Arial" w:hint="eastAsia"/>
                <w:sz w:val="18"/>
                <w:szCs w:val="20"/>
              </w:rPr>
              <w:t>1.29</w:t>
            </w:r>
            <w:r w:rsidRPr="00DD0C71">
              <w:rPr>
                <w:rFonts w:ascii="Arial" w:hAnsi="Arial" w:cs="Arial"/>
                <w:sz w:val="18"/>
                <w:szCs w:val="20"/>
              </w:rPr>
              <w:t>%</w:t>
            </w:r>
            <w:r w:rsidRPr="00DD0C71">
              <w:rPr>
                <w:rFonts w:ascii="Arial" w:hAnsi="Arial" w:cs="Arial" w:hint="eastAsia"/>
                <w:sz w:val="18"/>
                <w:szCs w:val="20"/>
              </w:rPr>
              <w:t>，</w:t>
            </w:r>
            <w:proofErr w:type="gramStart"/>
            <w:r w:rsidRPr="00DD0C71">
              <w:rPr>
                <w:rFonts w:ascii="Arial" w:hAnsi="Arial" w:cs="Arial" w:hint="eastAsia"/>
                <w:sz w:val="18"/>
                <w:szCs w:val="20"/>
              </w:rPr>
              <w:t>偏债型</w:t>
            </w:r>
            <w:proofErr w:type="gramEnd"/>
            <w:r w:rsidRPr="00DD0C71">
              <w:rPr>
                <w:rFonts w:ascii="Arial" w:hAnsi="Arial" w:cs="Arial" w:hint="eastAsia"/>
                <w:sz w:val="18"/>
                <w:szCs w:val="20"/>
              </w:rPr>
              <w:t>产品平均收益为</w:t>
            </w:r>
            <w:r w:rsidRPr="00DD0C71">
              <w:rPr>
                <w:rFonts w:ascii="Arial" w:hAnsi="Arial" w:cs="Arial"/>
                <w:sz w:val="18"/>
                <w:szCs w:val="20"/>
              </w:rPr>
              <w:t>-0.</w:t>
            </w:r>
            <w:r w:rsidR="00263FE0">
              <w:rPr>
                <w:rFonts w:ascii="Arial" w:hAnsi="Arial" w:cs="Arial" w:hint="eastAsia"/>
                <w:sz w:val="18"/>
                <w:szCs w:val="20"/>
              </w:rPr>
              <w:t>48</w:t>
            </w:r>
            <w:r w:rsidRPr="00DD0C71">
              <w:rPr>
                <w:rFonts w:ascii="Arial" w:hAnsi="Arial" w:cs="Arial"/>
                <w:sz w:val="18"/>
                <w:szCs w:val="20"/>
              </w:rPr>
              <w:t>%</w:t>
            </w:r>
            <w:r w:rsidRPr="00DD0C71">
              <w:rPr>
                <w:rFonts w:ascii="Arial" w:hAnsi="Arial" w:cs="Arial" w:hint="eastAsia"/>
                <w:sz w:val="18"/>
                <w:szCs w:val="20"/>
              </w:rPr>
              <w:t>，灵活配置</w:t>
            </w:r>
            <w:proofErr w:type="gramStart"/>
            <w:r w:rsidRPr="00DD0C71">
              <w:rPr>
                <w:rFonts w:ascii="Arial" w:hAnsi="Arial" w:cs="Arial" w:hint="eastAsia"/>
                <w:sz w:val="18"/>
                <w:szCs w:val="20"/>
              </w:rPr>
              <w:t>型平均</w:t>
            </w:r>
            <w:proofErr w:type="gramEnd"/>
            <w:r w:rsidRPr="00DD0C71">
              <w:rPr>
                <w:rFonts w:ascii="Arial" w:hAnsi="Arial" w:cs="Arial" w:hint="eastAsia"/>
                <w:sz w:val="18"/>
                <w:szCs w:val="20"/>
              </w:rPr>
              <w:t>收益为</w:t>
            </w:r>
            <w:r w:rsidRPr="00DD0C71">
              <w:rPr>
                <w:rFonts w:ascii="Arial" w:hAnsi="Arial" w:cs="Arial"/>
                <w:sz w:val="18"/>
                <w:szCs w:val="20"/>
              </w:rPr>
              <w:t>-</w:t>
            </w:r>
            <w:r w:rsidR="00263FE0">
              <w:rPr>
                <w:rFonts w:ascii="Arial" w:hAnsi="Arial" w:cs="Arial" w:hint="eastAsia"/>
                <w:sz w:val="18"/>
                <w:szCs w:val="20"/>
              </w:rPr>
              <w:t>0.69</w:t>
            </w:r>
            <w:r w:rsidRPr="00DD0C71">
              <w:rPr>
                <w:rFonts w:ascii="Arial" w:hAnsi="Arial" w:cs="Arial"/>
                <w:sz w:val="18"/>
                <w:szCs w:val="20"/>
              </w:rPr>
              <w:t>%</w:t>
            </w:r>
            <w:r w:rsidRPr="00DD0C71">
              <w:rPr>
                <w:rFonts w:ascii="Arial" w:hAnsi="Arial" w:cs="Arial" w:hint="eastAsia"/>
                <w:sz w:val="18"/>
                <w:szCs w:val="20"/>
              </w:rPr>
              <w:t>，平衡</w:t>
            </w:r>
            <w:proofErr w:type="gramStart"/>
            <w:r w:rsidRPr="00DD0C71">
              <w:rPr>
                <w:rFonts w:ascii="Arial" w:hAnsi="Arial" w:cs="Arial" w:hint="eastAsia"/>
                <w:sz w:val="18"/>
                <w:szCs w:val="20"/>
              </w:rPr>
              <w:t>型平均</w:t>
            </w:r>
            <w:proofErr w:type="gramEnd"/>
            <w:r w:rsidRPr="00DD0C71">
              <w:rPr>
                <w:rFonts w:ascii="Arial" w:hAnsi="Arial" w:cs="Arial" w:hint="eastAsia"/>
                <w:sz w:val="18"/>
                <w:szCs w:val="20"/>
              </w:rPr>
              <w:t>收益为</w:t>
            </w:r>
            <w:r w:rsidRPr="00DD0C71">
              <w:rPr>
                <w:rFonts w:ascii="Arial" w:hAnsi="Arial" w:cs="Arial"/>
                <w:sz w:val="18"/>
                <w:szCs w:val="20"/>
              </w:rPr>
              <w:t>-</w:t>
            </w:r>
            <w:r w:rsidR="00263FE0">
              <w:rPr>
                <w:rFonts w:ascii="Arial" w:hAnsi="Arial" w:cs="Arial" w:hint="eastAsia"/>
                <w:sz w:val="18"/>
                <w:szCs w:val="20"/>
              </w:rPr>
              <w:t>1.37</w:t>
            </w:r>
            <w:r w:rsidRPr="00DD0C71">
              <w:rPr>
                <w:rFonts w:ascii="Arial" w:hAnsi="Arial" w:cs="Arial"/>
                <w:sz w:val="18"/>
                <w:szCs w:val="20"/>
              </w:rPr>
              <w:t>%</w:t>
            </w:r>
            <w:r w:rsidRPr="00DD0C71">
              <w:rPr>
                <w:rFonts w:ascii="Arial" w:hAnsi="Arial" w:cs="Arial" w:hint="eastAsia"/>
                <w:sz w:val="18"/>
                <w:szCs w:val="20"/>
              </w:rPr>
              <w:t>。</w:t>
            </w:r>
          </w:p>
          <w:p w:rsidR="00BA6BA1" w:rsidRPr="00DD0C71" w:rsidRDefault="00BA6BA1" w:rsidP="00FF3942">
            <w:pPr>
              <w:rPr>
                <w:rFonts w:ascii="Arial" w:hAnsi="Arial" w:cs="Arial"/>
                <w:sz w:val="18"/>
                <w:szCs w:val="20"/>
              </w:rPr>
            </w:pPr>
            <w:r w:rsidRPr="00DD0C71">
              <w:rPr>
                <w:rFonts w:ascii="Arial" w:hAnsi="Arial" w:cs="Arial" w:hint="eastAsia"/>
                <w:b/>
                <w:sz w:val="18"/>
                <w:szCs w:val="20"/>
              </w:rPr>
              <w:t>固定收益基金：</w:t>
            </w:r>
            <w:proofErr w:type="gramStart"/>
            <w:r w:rsidRPr="00DD0C71">
              <w:rPr>
                <w:rFonts w:ascii="Arial" w:hAnsi="Arial" w:cs="Arial" w:hint="eastAsia"/>
                <w:sz w:val="18"/>
                <w:szCs w:val="20"/>
              </w:rPr>
              <w:t>纯债基金</w:t>
            </w:r>
            <w:proofErr w:type="gramEnd"/>
            <w:r w:rsidRPr="00DD0C71">
              <w:rPr>
                <w:rFonts w:ascii="Arial" w:hAnsi="Arial" w:cs="Arial" w:hint="eastAsia"/>
                <w:sz w:val="18"/>
                <w:szCs w:val="20"/>
              </w:rPr>
              <w:t>平均收益为</w:t>
            </w:r>
            <w:r w:rsidRPr="00DD0C71">
              <w:rPr>
                <w:rFonts w:ascii="Arial" w:hAnsi="Arial" w:cs="Arial"/>
                <w:sz w:val="18"/>
                <w:szCs w:val="20"/>
              </w:rPr>
              <w:t>-</w:t>
            </w:r>
            <w:r w:rsidR="00263FE0">
              <w:rPr>
                <w:rFonts w:ascii="Arial" w:hAnsi="Arial" w:cs="Arial" w:hint="eastAsia"/>
                <w:sz w:val="18"/>
                <w:szCs w:val="20"/>
              </w:rPr>
              <w:t>1.03</w:t>
            </w:r>
            <w:r w:rsidRPr="00DD0C71">
              <w:rPr>
                <w:rFonts w:ascii="Arial" w:hAnsi="Arial" w:cs="Arial"/>
                <w:sz w:val="18"/>
                <w:szCs w:val="20"/>
              </w:rPr>
              <w:t>%</w:t>
            </w:r>
            <w:r w:rsidRPr="00DD0C71">
              <w:rPr>
                <w:rFonts w:ascii="Arial" w:hAnsi="Arial" w:cs="Arial" w:hint="eastAsia"/>
                <w:sz w:val="18"/>
                <w:szCs w:val="20"/>
              </w:rPr>
              <w:t>，一级</w:t>
            </w:r>
            <w:proofErr w:type="gramStart"/>
            <w:r w:rsidRPr="00DD0C71">
              <w:rPr>
                <w:rFonts w:ascii="Arial" w:hAnsi="Arial" w:cs="Arial" w:hint="eastAsia"/>
                <w:sz w:val="18"/>
                <w:szCs w:val="20"/>
              </w:rPr>
              <w:t>债基平均</w:t>
            </w:r>
            <w:proofErr w:type="gramEnd"/>
            <w:r w:rsidRPr="00DD0C71">
              <w:rPr>
                <w:rFonts w:ascii="Arial" w:hAnsi="Arial" w:cs="Arial" w:hint="eastAsia"/>
                <w:sz w:val="18"/>
                <w:szCs w:val="20"/>
              </w:rPr>
              <w:t>收益为</w:t>
            </w:r>
            <w:r w:rsidRPr="00DD0C71">
              <w:rPr>
                <w:rFonts w:ascii="Arial" w:hAnsi="Arial" w:cs="Arial"/>
                <w:sz w:val="18"/>
                <w:szCs w:val="20"/>
              </w:rPr>
              <w:t>-</w:t>
            </w:r>
            <w:r w:rsidR="00263FE0">
              <w:rPr>
                <w:rFonts w:ascii="Arial" w:hAnsi="Arial" w:cs="Arial" w:hint="eastAsia"/>
                <w:sz w:val="18"/>
                <w:szCs w:val="20"/>
              </w:rPr>
              <w:t>1.05</w:t>
            </w:r>
            <w:r w:rsidRPr="00DD0C71">
              <w:rPr>
                <w:rFonts w:ascii="Arial" w:hAnsi="Arial" w:cs="Arial"/>
                <w:sz w:val="18"/>
                <w:szCs w:val="20"/>
              </w:rPr>
              <w:t>%</w:t>
            </w:r>
            <w:r w:rsidRPr="00DD0C71">
              <w:rPr>
                <w:rFonts w:ascii="Arial" w:hAnsi="Arial" w:cs="Arial" w:hint="eastAsia"/>
                <w:sz w:val="18"/>
                <w:szCs w:val="20"/>
              </w:rPr>
              <w:t>，二级</w:t>
            </w:r>
            <w:proofErr w:type="gramStart"/>
            <w:r w:rsidRPr="00DD0C71">
              <w:rPr>
                <w:rFonts w:ascii="Arial" w:hAnsi="Arial" w:cs="Arial" w:hint="eastAsia"/>
                <w:sz w:val="18"/>
                <w:szCs w:val="20"/>
              </w:rPr>
              <w:t>债基平均</w:t>
            </w:r>
            <w:proofErr w:type="gramEnd"/>
            <w:r w:rsidRPr="00DD0C71">
              <w:rPr>
                <w:rFonts w:ascii="Arial" w:hAnsi="Arial" w:cs="Arial" w:hint="eastAsia"/>
                <w:sz w:val="18"/>
                <w:szCs w:val="20"/>
              </w:rPr>
              <w:t>收益为</w:t>
            </w:r>
            <w:r w:rsidRPr="00DD0C71">
              <w:rPr>
                <w:rFonts w:ascii="Arial" w:hAnsi="Arial" w:cs="Arial"/>
                <w:sz w:val="18"/>
                <w:szCs w:val="20"/>
              </w:rPr>
              <w:t>-1.</w:t>
            </w:r>
            <w:r w:rsidR="00263FE0">
              <w:rPr>
                <w:rFonts w:ascii="Arial" w:hAnsi="Arial" w:cs="Arial" w:hint="eastAsia"/>
                <w:sz w:val="18"/>
                <w:szCs w:val="20"/>
              </w:rPr>
              <w:t>19</w:t>
            </w:r>
            <w:r w:rsidRPr="00DD0C71">
              <w:rPr>
                <w:rFonts w:ascii="Arial" w:hAnsi="Arial" w:cs="Arial"/>
                <w:sz w:val="18"/>
                <w:szCs w:val="20"/>
              </w:rPr>
              <w:t>%</w:t>
            </w:r>
            <w:r w:rsidRPr="00DD0C71">
              <w:rPr>
                <w:rFonts w:ascii="Arial" w:hAnsi="Arial" w:cs="Arial" w:hint="eastAsia"/>
                <w:sz w:val="18"/>
                <w:szCs w:val="20"/>
              </w:rPr>
              <w:t>。货币基金</w:t>
            </w:r>
            <w:proofErr w:type="gramStart"/>
            <w:r w:rsidRPr="00DD0C71">
              <w:rPr>
                <w:rFonts w:ascii="Arial" w:hAnsi="Arial" w:cs="Arial" w:hint="eastAsia"/>
                <w:sz w:val="18"/>
                <w:szCs w:val="20"/>
              </w:rPr>
              <w:t>七日年化收益率</w:t>
            </w:r>
            <w:proofErr w:type="gramEnd"/>
            <w:r w:rsidRPr="00DD0C71">
              <w:rPr>
                <w:rFonts w:ascii="Arial" w:hAnsi="Arial" w:cs="Arial" w:hint="eastAsia"/>
                <w:sz w:val="18"/>
                <w:szCs w:val="20"/>
              </w:rPr>
              <w:t>均值为</w:t>
            </w:r>
            <w:r w:rsidRPr="00DD0C71">
              <w:rPr>
                <w:rFonts w:ascii="Arial" w:hAnsi="Arial" w:cs="Arial"/>
                <w:sz w:val="18"/>
                <w:szCs w:val="20"/>
              </w:rPr>
              <w:t>2.5</w:t>
            </w:r>
            <w:r w:rsidR="00263FE0">
              <w:rPr>
                <w:rFonts w:ascii="Arial" w:hAnsi="Arial" w:cs="Arial" w:hint="eastAsia"/>
                <w:sz w:val="18"/>
                <w:szCs w:val="20"/>
              </w:rPr>
              <w:t>6</w:t>
            </w:r>
            <w:r w:rsidRPr="00DD0C71">
              <w:rPr>
                <w:rFonts w:ascii="Arial" w:hAnsi="Arial" w:cs="Arial"/>
                <w:sz w:val="18"/>
                <w:szCs w:val="20"/>
              </w:rPr>
              <w:t>%</w:t>
            </w:r>
            <w:r w:rsidRPr="00DD0C71">
              <w:rPr>
                <w:rFonts w:ascii="Arial" w:hAnsi="Arial" w:cs="Arial" w:hint="eastAsia"/>
                <w:sz w:val="18"/>
                <w:szCs w:val="20"/>
              </w:rPr>
              <w:t>。</w:t>
            </w:r>
          </w:p>
          <w:p w:rsidR="00BA6BA1" w:rsidRPr="00DD0C71" w:rsidRDefault="00BA6BA1" w:rsidP="00FF3942">
            <w:pPr>
              <w:rPr>
                <w:rFonts w:ascii="Arial" w:hAnsi="Arial" w:cs="Arial"/>
                <w:sz w:val="18"/>
                <w:szCs w:val="20"/>
              </w:rPr>
            </w:pPr>
            <w:r w:rsidRPr="00DD0C71">
              <w:rPr>
                <w:rFonts w:ascii="Arial" w:hAnsi="Arial" w:cs="Arial" w:hint="eastAsia"/>
                <w:b/>
                <w:sz w:val="18"/>
              </w:rPr>
              <w:t>商品及对冲基金：</w:t>
            </w:r>
            <w:r w:rsidRPr="00DD0C71">
              <w:rPr>
                <w:rFonts w:ascii="Arial" w:hAnsi="Arial" w:cs="Arial" w:hint="eastAsia"/>
                <w:sz w:val="18"/>
                <w:szCs w:val="20"/>
              </w:rPr>
              <w:t>商品基金平均上涨</w:t>
            </w:r>
            <w:r w:rsidRPr="00DD0C71">
              <w:rPr>
                <w:rFonts w:ascii="Arial" w:hAnsi="Arial" w:cs="Arial"/>
                <w:sz w:val="18"/>
                <w:szCs w:val="20"/>
              </w:rPr>
              <w:t>1.83%</w:t>
            </w:r>
            <w:r w:rsidRPr="00DD0C71">
              <w:rPr>
                <w:rFonts w:ascii="Arial" w:hAnsi="Arial" w:cs="Arial" w:hint="eastAsia"/>
                <w:sz w:val="18"/>
                <w:szCs w:val="20"/>
              </w:rPr>
              <w:t>，以绝对收益为投资目标的股票多空类产品平均收益为</w:t>
            </w:r>
            <w:r w:rsidRPr="00DD0C71">
              <w:rPr>
                <w:rFonts w:ascii="Arial" w:hAnsi="Arial" w:cs="Arial"/>
                <w:sz w:val="18"/>
                <w:szCs w:val="20"/>
              </w:rPr>
              <w:t>-0.26%</w:t>
            </w:r>
            <w:r w:rsidRPr="00DD0C71">
              <w:rPr>
                <w:rFonts w:ascii="Arial" w:hAnsi="Arial" w:cs="Arial" w:hint="eastAsia"/>
                <w:sz w:val="18"/>
                <w:szCs w:val="20"/>
              </w:rPr>
              <w:t>。</w:t>
            </w:r>
          </w:p>
          <w:p w:rsidR="00BA6BA1" w:rsidRPr="00DD0C71" w:rsidRDefault="00BA6BA1" w:rsidP="00FF3942">
            <w:pPr>
              <w:rPr>
                <w:rStyle w:val="textsmall2"/>
                <w:rFonts w:ascii="Arial" w:hAnsi="Arial" w:cs="Arial"/>
                <w:sz w:val="18"/>
                <w:szCs w:val="20"/>
              </w:rPr>
            </w:pPr>
            <w:r w:rsidRPr="00DD0C71">
              <w:rPr>
                <w:rStyle w:val="textsmall2"/>
                <w:rFonts w:ascii="Arial" w:hAnsi="Arial" w:cs="Arial"/>
                <w:b/>
                <w:sz w:val="18"/>
                <w:szCs w:val="20"/>
              </w:rPr>
              <w:t>QDII</w:t>
            </w:r>
            <w:r w:rsidRPr="00DD0C71">
              <w:rPr>
                <w:rStyle w:val="textsmall2"/>
                <w:rFonts w:ascii="Arial" w:hAnsi="Arial" w:cs="Arial" w:hint="eastAsia"/>
                <w:b/>
                <w:sz w:val="18"/>
                <w:szCs w:val="20"/>
              </w:rPr>
              <w:t>基金</w:t>
            </w:r>
            <w:r w:rsidRPr="00DD0C71">
              <w:rPr>
                <w:rStyle w:val="textsmall2"/>
                <w:rFonts w:ascii="Arial" w:hAnsi="Arial" w:cs="Arial"/>
                <w:b/>
                <w:sz w:val="18"/>
                <w:szCs w:val="20"/>
              </w:rPr>
              <w:t>:</w:t>
            </w:r>
            <w:r w:rsidRPr="00DD0C71">
              <w:rPr>
                <w:sz w:val="20"/>
              </w:rPr>
              <w:t xml:space="preserve"> </w:t>
            </w:r>
            <w:r w:rsidRPr="00DD0C71">
              <w:rPr>
                <w:rFonts w:ascii="Arial" w:hAnsi="Arial" w:cs="Arial"/>
                <w:sz w:val="18"/>
                <w:szCs w:val="20"/>
              </w:rPr>
              <w:t xml:space="preserve"> QDII</w:t>
            </w:r>
            <w:r w:rsidRPr="00DD0C71">
              <w:rPr>
                <w:rFonts w:ascii="Arial" w:hAnsi="Arial" w:cs="Arial" w:hint="eastAsia"/>
                <w:sz w:val="18"/>
                <w:szCs w:val="20"/>
              </w:rPr>
              <w:t>基金平均收益为</w:t>
            </w:r>
            <w:r w:rsidR="00263FE0">
              <w:rPr>
                <w:rFonts w:ascii="Arial" w:hAnsi="Arial" w:cs="Arial" w:hint="eastAsia"/>
                <w:sz w:val="18"/>
                <w:szCs w:val="20"/>
              </w:rPr>
              <w:t>1.82</w:t>
            </w:r>
            <w:r w:rsidRPr="00DD0C71">
              <w:rPr>
                <w:rFonts w:ascii="Arial" w:hAnsi="Arial" w:cs="Arial"/>
                <w:sz w:val="18"/>
                <w:szCs w:val="20"/>
              </w:rPr>
              <w:t>%</w:t>
            </w:r>
            <w:r w:rsidRPr="00DD0C71">
              <w:rPr>
                <w:rFonts w:ascii="Arial" w:hAnsi="Arial" w:cs="Arial" w:hint="eastAsia"/>
                <w:sz w:val="18"/>
                <w:szCs w:val="20"/>
              </w:rPr>
              <w:t>，从具体品种来看，</w:t>
            </w:r>
            <w:r w:rsidR="00263FE0">
              <w:rPr>
                <w:rFonts w:ascii="Arial" w:hAnsi="Arial" w:cs="Arial" w:hint="eastAsia"/>
                <w:sz w:val="18"/>
                <w:szCs w:val="20"/>
              </w:rPr>
              <w:t>大宗商品、天然资源、生物医疗</w:t>
            </w:r>
            <w:r w:rsidRPr="00DD0C71">
              <w:rPr>
                <w:rFonts w:ascii="Arial" w:hAnsi="Arial" w:cs="Arial" w:hint="eastAsia"/>
                <w:sz w:val="18"/>
                <w:szCs w:val="20"/>
              </w:rPr>
              <w:t>主题</w:t>
            </w:r>
            <w:r w:rsidRPr="00DD0C71">
              <w:rPr>
                <w:rFonts w:ascii="Arial" w:hAnsi="Arial" w:cs="Arial"/>
                <w:sz w:val="18"/>
                <w:szCs w:val="20"/>
              </w:rPr>
              <w:t>QDII</w:t>
            </w:r>
            <w:r w:rsidRPr="00DD0C71">
              <w:rPr>
                <w:rFonts w:ascii="Arial" w:hAnsi="Arial" w:cs="Arial" w:hint="eastAsia"/>
                <w:sz w:val="18"/>
                <w:szCs w:val="20"/>
              </w:rPr>
              <w:t>表现最好，房地产</w:t>
            </w:r>
            <w:r w:rsidR="00263FE0">
              <w:rPr>
                <w:rFonts w:ascii="Arial" w:hAnsi="Arial" w:cs="Arial" w:hint="eastAsia"/>
                <w:sz w:val="18"/>
                <w:szCs w:val="20"/>
              </w:rPr>
              <w:t>、美股、港股</w:t>
            </w:r>
            <w:r w:rsidRPr="00DD0C71">
              <w:rPr>
                <w:rFonts w:ascii="Arial" w:hAnsi="Arial" w:cs="Arial" w:hint="eastAsia"/>
                <w:sz w:val="18"/>
                <w:szCs w:val="20"/>
              </w:rPr>
              <w:t>主题</w:t>
            </w:r>
            <w:r w:rsidRPr="00DD0C71">
              <w:rPr>
                <w:rFonts w:ascii="Arial" w:hAnsi="Arial" w:cs="Arial"/>
                <w:sz w:val="18"/>
                <w:szCs w:val="20"/>
              </w:rPr>
              <w:t xml:space="preserve"> QDII</w:t>
            </w:r>
            <w:r w:rsidRPr="00DD0C71">
              <w:rPr>
                <w:rFonts w:ascii="Arial" w:hAnsi="Arial" w:cs="Arial" w:hint="eastAsia"/>
                <w:sz w:val="18"/>
                <w:szCs w:val="20"/>
              </w:rPr>
              <w:t>表现较差。</w:t>
            </w:r>
          </w:p>
          <w:p w:rsidR="00BA6BA1" w:rsidRPr="00DD0C71" w:rsidRDefault="00BA6BA1" w:rsidP="00FF3942">
            <w:pPr>
              <w:pStyle w:val="a6"/>
              <w:numPr>
                <w:ilvl w:val="0"/>
                <w:numId w:val="3"/>
              </w:numPr>
              <w:spacing w:line="300" w:lineRule="auto"/>
              <w:ind w:firstLineChars="0"/>
              <w:rPr>
                <w:rStyle w:val="textsmall2"/>
                <w:rFonts w:ascii="Arial" w:hAnsi="Arial" w:cs="Arial"/>
                <w:b/>
                <w:color w:val="000000"/>
                <w:szCs w:val="22"/>
              </w:rPr>
            </w:pPr>
            <w:r w:rsidRPr="00DD0C71">
              <w:rPr>
                <w:rStyle w:val="textsmall2"/>
                <w:rFonts w:ascii="Arial" w:hAnsi="Arial" w:cs="Arial" w:hint="eastAsia"/>
                <w:b/>
                <w:color w:val="000000"/>
                <w:szCs w:val="22"/>
              </w:rPr>
              <w:t>未来基金投资策略</w:t>
            </w:r>
          </w:p>
          <w:p w:rsidR="008A075D" w:rsidRPr="008A075D" w:rsidRDefault="008A075D" w:rsidP="008A075D">
            <w:pPr>
              <w:rPr>
                <w:rFonts w:ascii="Arial" w:hAnsi="Arial" w:cs="Arial" w:hint="eastAsia"/>
                <w:b/>
                <w:sz w:val="18"/>
                <w:szCs w:val="20"/>
              </w:rPr>
            </w:pPr>
            <w:proofErr w:type="gramStart"/>
            <w:r w:rsidRPr="008A075D">
              <w:rPr>
                <w:rFonts w:ascii="Arial" w:hAnsi="Arial" w:cs="Arial" w:hint="eastAsia"/>
                <w:b/>
                <w:sz w:val="18"/>
                <w:szCs w:val="20"/>
              </w:rPr>
              <w:t>股混基金</w:t>
            </w:r>
            <w:proofErr w:type="gramEnd"/>
            <w:r w:rsidRPr="008A075D">
              <w:rPr>
                <w:rFonts w:ascii="Arial" w:hAnsi="Arial" w:cs="Arial" w:hint="eastAsia"/>
                <w:b/>
                <w:sz w:val="18"/>
                <w:szCs w:val="20"/>
              </w:rPr>
              <w:t>投资方面相对谨慎。</w:t>
            </w:r>
            <w:bookmarkStart w:id="0" w:name="_GoBack"/>
            <w:r w:rsidRPr="008A075D">
              <w:rPr>
                <w:rFonts w:ascii="Arial" w:hAnsi="Arial" w:cs="Arial" w:hint="eastAsia"/>
                <w:sz w:val="18"/>
                <w:szCs w:val="20"/>
              </w:rPr>
              <w:t>经济基本面和汇率等方面的利好已经被市场充分认可因此预期差修正带来的上行日益衰竭，股市缺乏新的上行逻辑，加上债市风险频发、货币利率难下、市场情绪低迷等都成为制约市场的负面因素，短期市场将呈现出易下难上的局面。</w:t>
            </w:r>
            <w:proofErr w:type="gramStart"/>
            <w:r w:rsidRPr="008A075D">
              <w:rPr>
                <w:rFonts w:ascii="Arial" w:hAnsi="Arial" w:cs="Arial" w:hint="eastAsia"/>
                <w:sz w:val="18"/>
                <w:szCs w:val="20"/>
              </w:rPr>
              <w:t>股混基金</w:t>
            </w:r>
            <w:proofErr w:type="gramEnd"/>
            <w:r w:rsidRPr="008A075D">
              <w:rPr>
                <w:rFonts w:ascii="Arial" w:hAnsi="Arial" w:cs="Arial" w:hint="eastAsia"/>
                <w:sz w:val="18"/>
                <w:szCs w:val="20"/>
              </w:rPr>
              <w:t>投资上，短期我们建议投资者保持中等偏低的</w:t>
            </w:r>
            <w:proofErr w:type="gramStart"/>
            <w:r w:rsidRPr="008A075D">
              <w:rPr>
                <w:rFonts w:ascii="Arial" w:hAnsi="Arial" w:cs="Arial" w:hint="eastAsia"/>
                <w:sz w:val="18"/>
                <w:szCs w:val="20"/>
              </w:rPr>
              <w:t>仓位</w:t>
            </w:r>
            <w:proofErr w:type="gramEnd"/>
            <w:r w:rsidRPr="008A075D">
              <w:rPr>
                <w:rFonts w:ascii="Arial" w:hAnsi="Arial" w:cs="Arial" w:hint="eastAsia"/>
                <w:sz w:val="18"/>
                <w:szCs w:val="20"/>
              </w:rPr>
              <w:t>，结构性机会将是主基调，但由于当前的结构性机会呈现快速轮动持续性差的特点，建议投资者在风格上成长、周期均衡配置为好</w:t>
            </w:r>
            <w:r w:rsidRPr="008A075D">
              <w:rPr>
                <w:rFonts w:ascii="Arial" w:hAnsi="Arial" w:cs="Arial" w:hint="eastAsia"/>
                <w:sz w:val="18"/>
                <w:szCs w:val="20"/>
              </w:rPr>
              <w:t>。</w:t>
            </w:r>
            <w:r w:rsidRPr="008A075D">
              <w:rPr>
                <w:rFonts w:ascii="Arial" w:hAnsi="Arial" w:cs="Arial" w:hint="eastAsia"/>
                <w:sz w:val="18"/>
                <w:szCs w:val="20"/>
              </w:rPr>
              <w:t>长期而言，我们维持</w:t>
            </w:r>
            <w:r w:rsidRPr="008A075D">
              <w:rPr>
                <w:rFonts w:ascii="Arial" w:hAnsi="Arial" w:cs="Arial" w:hint="eastAsia"/>
                <w:sz w:val="18"/>
                <w:szCs w:val="20"/>
              </w:rPr>
              <w:t>A</w:t>
            </w:r>
            <w:r w:rsidRPr="008A075D">
              <w:rPr>
                <w:rFonts w:ascii="Arial" w:hAnsi="Arial" w:cs="Arial" w:hint="eastAsia"/>
                <w:sz w:val="18"/>
                <w:szCs w:val="20"/>
              </w:rPr>
              <w:t>股处在底部区域的判断，长线投资者尤其</w:t>
            </w:r>
            <w:proofErr w:type="gramStart"/>
            <w:r w:rsidRPr="008A075D">
              <w:rPr>
                <w:rFonts w:ascii="Arial" w:hAnsi="Arial" w:cs="Arial" w:hint="eastAsia"/>
                <w:sz w:val="18"/>
                <w:szCs w:val="20"/>
              </w:rPr>
              <w:t>是定投投资者</w:t>
            </w:r>
            <w:proofErr w:type="gramEnd"/>
            <w:r w:rsidRPr="008A075D">
              <w:rPr>
                <w:rFonts w:ascii="Arial" w:hAnsi="Arial" w:cs="Arial" w:hint="eastAsia"/>
                <w:sz w:val="18"/>
                <w:szCs w:val="20"/>
              </w:rPr>
              <w:t>可以分批介入布局。</w:t>
            </w:r>
            <w:bookmarkEnd w:id="0"/>
          </w:p>
          <w:p w:rsidR="008A075D" w:rsidRPr="008A075D" w:rsidRDefault="008A075D" w:rsidP="008A075D">
            <w:pPr>
              <w:rPr>
                <w:rFonts w:ascii="Arial" w:hAnsi="Arial" w:cs="Arial" w:hint="eastAsia"/>
                <w:sz w:val="18"/>
                <w:szCs w:val="20"/>
              </w:rPr>
            </w:pPr>
            <w:r w:rsidRPr="008A075D">
              <w:rPr>
                <w:rFonts w:ascii="Arial" w:hAnsi="Arial" w:cs="Arial" w:hint="eastAsia"/>
                <w:b/>
                <w:sz w:val="18"/>
                <w:szCs w:val="20"/>
              </w:rPr>
              <w:t>固定收益基金投资方面风险才刚刚显现。</w:t>
            </w:r>
            <w:r w:rsidRPr="008A075D">
              <w:rPr>
                <w:rFonts w:ascii="Arial" w:hAnsi="Arial" w:cs="Arial" w:hint="eastAsia"/>
                <w:sz w:val="18"/>
                <w:szCs w:val="20"/>
              </w:rPr>
              <w:t>铁物资等重大信用事件后续处理方案如何，二</w:t>
            </w:r>
            <w:r w:rsidRPr="008A075D">
              <w:rPr>
                <w:rFonts w:ascii="Arial" w:hAnsi="Arial" w:cs="Arial" w:hint="eastAsia"/>
                <w:sz w:val="18"/>
                <w:szCs w:val="20"/>
              </w:rPr>
              <w:t>季度年报和跟踪评级的集中披露都会导致再融资条件的变化。因此</w:t>
            </w:r>
            <w:r w:rsidRPr="008A075D">
              <w:rPr>
                <w:rFonts w:ascii="Arial" w:hAnsi="Arial" w:cs="Arial" w:hint="eastAsia"/>
                <w:sz w:val="18"/>
                <w:szCs w:val="20"/>
              </w:rPr>
              <w:t>5</w:t>
            </w:r>
            <w:r w:rsidRPr="008A075D">
              <w:rPr>
                <w:rFonts w:ascii="Arial" w:hAnsi="Arial" w:cs="Arial" w:hint="eastAsia"/>
                <w:sz w:val="18"/>
                <w:szCs w:val="20"/>
              </w:rPr>
              <w:t>月</w:t>
            </w:r>
            <w:r w:rsidRPr="008A075D">
              <w:rPr>
                <w:rFonts w:ascii="Arial" w:hAnsi="Arial" w:cs="Arial" w:hint="eastAsia"/>
                <w:sz w:val="18"/>
                <w:szCs w:val="20"/>
              </w:rPr>
              <w:t>可能仍是信用</w:t>
            </w:r>
            <w:proofErr w:type="gramStart"/>
            <w:r w:rsidRPr="008A075D">
              <w:rPr>
                <w:rFonts w:ascii="Arial" w:hAnsi="Arial" w:cs="Arial" w:hint="eastAsia"/>
                <w:sz w:val="18"/>
                <w:szCs w:val="20"/>
              </w:rPr>
              <w:t>债面临</w:t>
            </w:r>
            <w:proofErr w:type="gramEnd"/>
            <w:r w:rsidRPr="008A075D">
              <w:rPr>
                <w:rFonts w:ascii="Arial" w:hAnsi="Arial" w:cs="Arial" w:hint="eastAsia"/>
                <w:sz w:val="18"/>
                <w:szCs w:val="20"/>
              </w:rPr>
              <w:t>风险较高的时段，投资者采取防御为主的策略是合理的。对于有债券基金刚性配置需求的投资者，当前在</w:t>
            </w:r>
            <w:proofErr w:type="gramStart"/>
            <w:r w:rsidRPr="008A075D">
              <w:rPr>
                <w:rFonts w:ascii="Arial" w:hAnsi="Arial" w:cs="Arial" w:hint="eastAsia"/>
                <w:sz w:val="18"/>
                <w:szCs w:val="20"/>
              </w:rPr>
              <w:t>债基产品</w:t>
            </w:r>
            <w:proofErr w:type="gramEnd"/>
            <w:r w:rsidRPr="008A075D">
              <w:rPr>
                <w:rFonts w:ascii="Arial" w:hAnsi="Arial" w:cs="Arial" w:hint="eastAsia"/>
                <w:sz w:val="18"/>
                <w:szCs w:val="20"/>
              </w:rPr>
              <w:t>上要强调风险控制，建议</w:t>
            </w:r>
            <w:proofErr w:type="gramStart"/>
            <w:r w:rsidRPr="008A075D">
              <w:rPr>
                <w:rFonts w:ascii="Arial" w:hAnsi="Arial" w:cs="Arial" w:hint="eastAsia"/>
                <w:sz w:val="18"/>
                <w:szCs w:val="20"/>
              </w:rPr>
              <w:t>精选久期短</w:t>
            </w:r>
            <w:proofErr w:type="gramEnd"/>
            <w:r w:rsidRPr="008A075D">
              <w:rPr>
                <w:rFonts w:ascii="Arial" w:hAnsi="Arial" w:cs="Arial" w:hint="eastAsia"/>
                <w:sz w:val="18"/>
                <w:szCs w:val="20"/>
              </w:rPr>
              <w:t>、杠杆较低和持券信用等级较高</w:t>
            </w:r>
            <w:r w:rsidRPr="008A075D">
              <w:rPr>
                <w:rFonts w:ascii="Arial" w:hAnsi="Arial" w:cs="Arial" w:hint="eastAsia"/>
                <w:sz w:val="18"/>
                <w:szCs w:val="20"/>
              </w:rPr>
              <w:t>的基金，例如以短融为主要投资标的</w:t>
            </w:r>
            <w:proofErr w:type="gramStart"/>
            <w:r w:rsidRPr="008A075D">
              <w:rPr>
                <w:rFonts w:ascii="Arial" w:hAnsi="Arial" w:cs="Arial" w:hint="eastAsia"/>
                <w:sz w:val="18"/>
                <w:szCs w:val="20"/>
              </w:rPr>
              <w:t>的短融基金</w:t>
            </w:r>
            <w:proofErr w:type="gramEnd"/>
            <w:r w:rsidRPr="008A075D">
              <w:rPr>
                <w:rFonts w:ascii="Arial" w:hAnsi="Arial" w:cs="Arial" w:hint="eastAsia"/>
                <w:sz w:val="18"/>
                <w:szCs w:val="20"/>
              </w:rPr>
              <w:t>是当前防守较好的品种</w:t>
            </w:r>
            <w:r w:rsidRPr="008A075D">
              <w:rPr>
                <w:rFonts w:ascii="Arial" w:hAnsi="Arial" w:cs="Arial" w:hint="eastAsia"/>
                <w:sz w:val="18"/>
                <w:szCs w:val="20"/>
              </w:rPr>
              <w:t>。</w:t>
            </w:r>
          </w:p>
          <w:p w:rsidR="00BA6BA1" w:rsidRPr="007C4A6B" w:rsidRDefault="008A075D" w:rsidP="008A075D">
            <w:r w:rsidRPr="008A075D">
              <w:rPr>
                <w:rFonts w:ascii="Arial" w:hAnsi="Arial" w:cs="Arial" w:hint="eastAsia"/>
                <w:b/>
                <w:sz w:val="18"/>
                <w:szCs w:val="20"/>
              </w:rPr>
              <w:t>建议关注黄金和大宗商品类</w:t>
            </w:r>
            <w:r w:rsidRPr="008A075D">
              <w:rPr>
                <w:rFonts w:ascii="Arial" w:hAnsi="Arial" w:cs="Arial" w:hint="eastAsia"/>
                <w:b/>
                <w:sz w:val="18"/>
                <w:szCs w:val="20"/>
              </w:rPr>
              <w:t>QDII</w:t>
            </w:r>
            <w:r w:rsidRPr="008A075D">
              <w:rPr>
                <w:rFonts w:ascii="Arial" w:hAnsi="Arial" w:cs="Arial" w:hint="eastAsia"/>
                <w:b/>
                <w:sz w:val="18"/>
                <w:szCs w:val="20"/>
              </w:rPr>
              <w:t>。</w:t>
            </w:r>
            <w:r w:rsidRPr="008A075D">
              <w:rPr>
                <w:rFonts w:ascii="Arial" w:hAnsi="Arial" w:cs="Arial" w:hint="eastAsia"/>
                <w:sz w:val="18"/>
                <w:szCs w:val="20"/>
              </w:rPr>
              <w:t>随着近期美元指数走弱，</w:t>
            </w:r>
            <w:r w:rsidRPr="008A075D">
              <w:rPr>
                <w:rFonts w:ascii="Arial" w:hAnsi="Arial" w:cs="Arial" w:hint="eastAsia"/>
                <w:sz w:val="18"/>
                <w:szCs w:val="20"/>
              </w:rPr>
              <w:t>QDII</w:t>
            </w:r>
            <w:r w:rsidRPr="008A075D">
              <w:rPr>
                <w:rFonts w:ascii="Arial" w:hAnsi="Arial" w:cs="Arial" w:hint="eastAsia"/>
                <w:sz w:val="18"/>
                <w:szCs w:val="20"/>
              </w:rPr>
              <w:t>中投资大宗商品和商品基金均走强，我们认为这类基金的投资逻辑在</w:t>
            </w:r>
            <w:r w:rsidRPr="008A075D">
              <w:rPr>
                <w:rFonts w:ascii="Arial" w:hAnsi="Arial" w:cs="Arial" w:hint="eastAsia"/>
                <w:sz w:val="18"/>
                <w:szCs w:val="20"/>
              </w:rPr>
              <w:t>5</w:t>
            </w:r>
            <w:r w:rsidRPr="008A075D">
              <w:rPr>
                <w:rFonts w:ascii="Arial" w:hAnsi="Arial" w:cs="Arial" w:hint="eastAsia"/>
                <w:sz w:val="18"/>
                <w:szCs w:val="20"/>
              </w:rPr>
              <w:t>月有望延续。</w:t>
            </w:r>
            <w:r w:rsidRPr="008A075D">
              <w:rPr>
                <w:rFonts w:ascii="Arial" w:hAnsi="Arial" w:cs="Arial" w:hint="eastAsia"/>
                <w:sz w:val="18"/>
                <w:szCs w:val="20"/>
              </w:rPr>
              <w:t>2016</w:t>
            </w:r>
            <w:r w:rsidRPr="008A075D">
              <w:rPr>
                <w:rFonts w:ascii="Arial" w:hAnsi="Arial" w:cs="Arial" w:hint="eastAsia"/>
                <w:sz w:val="18"/>
                <w:szCs w:val="20"/>
              </w:rPr>
              <w:t>年以来虽然黄金已经经历了大幅上涨，但在全球经济低迷和货币超发的大背景下，黄金的保值和抗通胀价值显现。油气能源等大宗商品主题基金方面，全球货币超发带来的</w:t>
            </w:r>
            <w:proofErr w:type="gramStart"/>
            <w:r w:rsidRPr="008A075D">
              <w:rPr>
                <w:rFonts w:ascii="Arial" w:hAnsi="Arial" w:cs="Arial" w:hint="eastAsia"/>
                <w:sz w:val="18"/>
                <w:szCs w:val="20"/>
              </w:rPr>
              <w:t>通胀担忧</w:t>
            </w:r>
            <w:proofErr w:type="gramEnd"/>
            <w:r w:rsidRPr="008A075D">
              <w:rPr>
                <w:rFonts w:ascii="Arial" w:hAnsi="Arial" w:cs="Arial" w:hint="eastAsia"/>
                <w:sz w:val="18"/>
                <w:szCs w:val="20"/>
              </w:rPr>
              <w:t>和中国经济回暖带来的需求</w:t>
            </w:r>
            <w:proofErr w:type="gramStart"/>
            <w:r w:rsidRPr="008A075D">
              <w:rPr>
                <w:rFonts w:ascii="Arial" w:hAnsi="Arial" w:cs="Arial" w:hint="eastAsia"/>
                <w:sz w:val="18"/>
                <w:szCs w:val="20"/>
              </w:rPr>
              <w:t>端改善</w:t>
            </w:r>
            <w:proofErr w:type="gramEnd"/>
            <w:r w:rsidRPr="008A075D">
              <w:rPr>
                <w:rFonts w:ascii="Arial" w:hAnsi="Arial" w:cs="Arial" w:hint="eastAsia"/>
                <w:sz w:val="18"/>
                <w:szCs w:val="20"/>
              </w:rPr>
              <w:t>等都有利于推升大宗商品价格。</w:t>
            </w:r>
          </w:p>
        </w:tc>
      </w:tr>
    </w:tbl>
    <w:p w:rsidR="00BA6BA1" w:rsidRPr="00C97435" w:rsidRDefault="00BA6BA1" w:rsidP="00BA6BA1">
      <w:pPr>
        <w:tabs>
          <w:tab w:val="left" w:pos="900"/>
        </w:tabs>
        <w:jc w:val="left"/>
        <w:rPr>
          <w:rFonts w:ascii="Arial" w:hAnsi="Arial" w:cs="Arial"/>
          <w:b/>
        </w:rPr>
        <w:sectPr w:rsidR="00BA6BA1" w:rsidRPr="00C97435" w:rsidSect="00FF3942">
          <w:headerReference w:type="default" r:id="rId8"/>
          <w:footerReference w:type="default" r:id="rId9"/>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9264" behindDoc="0" locked="0" layoutInCell="1" allowOverlap="1" wp14:anchorId="65D1FE54" wp14:editId="4416BE26">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BC2" w:rsidRPr="004071E8" w:rsidRDefault="00123BC2" w:rsidP="00BA6BA1">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123BC2" w:rsidRPr="006D5835" w:rsidTr="00FF3942">
                              <w:trPr>
                                <w:cantSplit/>
                                <w:trHeight w:val="764"/>
                              </w:trPr>
                              <w:tc>
                                <w:tcPr>
                                  <w:tcW w:w="2899" w:type="dxa"/>
                                  <w:shd w:val="clear" w:color="auto" w:fill="F0EAC6"/>
                                  <w:vAlign w:val="center"/>
                                </w:tcPr>
                                <w:p w:rsidR="00123BC2" w:rsidRPr="006D5835" w:rsidRDefault="00123BC2" w:rsidP="00BA6BA1">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2016-05</w:t>
                                  </w:r>
                                  <w:r w:rsidRPr="00537295">
                                    <w:rPr>
                                      <w:rFonts w:ascii="Arial" w:cs="Arial" w:hint="eastAsia"/>
                                      <w:b/>
                                      <w:sz w:val="18"/>
                                      <w:szCs w:val="16"/>
                                    </w:rPr>
                                    <w:t>-</w:t>
                                  </w:r>
                                  <w:r>
                                    <w:rPr>
                                      <w:rFonts w:ascii="Arial" w:cs="Arial" w:hint="eastAsia"/>
                                      <w:b/>
                                      <w:sz w:val="18"/>
                                      <w:szCs w:val="16"/>
                                    </w:rPr>
                                    <w:t>03</w:t>
                                  </w:r>
                                </w:p>
                              </w:tc>
                            </w:tr>
                            <w:tr w:rsidR="00123BC2" w:rsidRPr="006D5835" w:rsidTr="00FF3942">
                              <w:trPr>
                                <w:cantSplit/>
                                <w:trHeight w:val="2023"/>
                              </w:trPr>
                              <w:tc>
                                <w:tcPr>
                                  <w:tcW w:w="2899" w:type="dxa"/>
                                  <w:tcBorders>
                                    <w:top w:val="single" w:sz="4" w:space="0" w:color="auto"/>
                                    <w:bottom w:val="single" w:sz="4" w:space="0" w:color="auto"/>
                                  </w:tcBorders>
                                  <w:shd w:val="clear" w:color="auto" w:fill="F0EAC6"/>
                                </w:tcPr>
                                <w:p w:rsidR="00123BC2" w:rsidRDefault="00123BC2" w:rsidP="00FF3942">
                                  <w:pPr>
                                    <w:rPr>
                                      <w:rFonts w:ascii="Arial" w:cs="Arial"/>
                                      <w:b/>
                                      <w:sz w:val="18"/>
                                      <w:szCs w:val="16"/>
                                    </w:rPr>
                                  </w:pPr>
                                </w:p>
                                <w:p w:rsidR="00123BC2" w:rsidRPr="00C97435" w:rsidRDefault="00123BC2" w:rsidP="00FF3942"/>
                                <w:p w:rsidR="00123BC2" w:rsidRPr="00F277FE" w:rsidRDefault="00123BC2" w:rsidP="00FF3942">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123BC2" w:rsidRPr="00537295" w:rsidRDefault="00123BC2" w:rsidP="00FF3942">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123BC2" w:rsidRDefault="00123BC2" w:rsidP="00FF3942">
                                  <w:pPr>
                                    <w:ind w:firstLineChars="50" w:firstLine="80"/>
                                    <w:rPr>
                                      <w:rFonts w:ascii="Arial" w:cs="Arial"/>
                                      <w:sz w:val="16"/>
                                      <w:szCs w:val="16"/>
                                    </w:rPr>
                                  </w:pPr>
                                </w:p>
                                <w:p w:rsidR="00123BC2" w:rsidRPr="00812308" w:rsidRDefault="00123BC2" w:rsidP="00FF3942">
                                  <w:pPr>
                                    <w:rPr>
                                      <w:rFonts w:ascii="Arial" w:cs="Arial"/>
                                      <w:b/>
                                      <w:sz w:val="18"/>
                                      <w:szCs w:val="16"/>
                                    </w:rPr>
                                  </w:pPr>
                                  <w:r w:rsidRPr="00812308">
                                    <w:rPr>
                                      <w:rFonts w:ascii="Arial" w:cs="Arial" w:hint="eastAsia"/>
                                      <w:b/>
                                      <w:sz w:val="18"/>
                                      <w:szCs w:val="16"/>
                                    </w:rPr>
                                    <w:t>分析师：</w:t>
                                  </w:r>
                                  <w:r>
                                    <w:rPr>
                                      <w:rFonts w:ascii="Arial" w:cs="Arial" w:hint="eastAsia"/>
                                      <w:b/>
                                      <w:sz w:val="18"/>
                                      <w:szCs w:val="16"/>
                                    </w:rPr>
                                    <w:t>俞辰瑶</w:t>
                                  </w:r>
                                </w:p>
                                <w:p w:rsidR="00123BC2" w:rsidRPr="00812308" w:rsidRDefault="00123BC2" w:rsidP="00FF3942">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Pr>
                                      <w:rFonts w:ascii="Arial" w:cs="Arial" w:hint="eastAsia"/>
                                      <w:sz w:val="18"/>
                                      <w:szCs w:val="16"/>
                                    </w:rPr>
                                    <w:t>yucy</w:t>
                                  </w:r>
                                  <w:r w:rsidRPr="00812308">
                                    <w:rPr>
                                      <w:rFonts w:ascii="Arial" w:cs="Arial" w:hint="eastAsia"/>
                                      <w:sz w:val="18"/>
                                      <w:szCs w:val="16"/>
                                    </w:rPr>
                                    <w:t>@vstone.com.cn</w:t>
                                  </w:r>
                                </w:p>
                                <w:p w:rsidR="00123BC2" w:rsidRPr="00F853B7" w:rsidRDefault="00123BC2" w:rsidP="00FF3942">
                                  <w:pPr>
                                    <w:rPr>
                                      <w:rFonts w:ascii="Arial" w:hAnsi="Arial" w:cs="Arial"/>
                                      <w:sz w:val="16"/>
                                      <w:szCs w:val="16"/>
                                    </w:rPr>
                                  </w:pPr>
                                </w:p>
                              </w:tc>
                            </w:tr>
                            <w:tr w:rsidR="00123BC2" w:rsidRPr="006D5835" w:rsidTr="00FF3942">
                              <w:trPr>
                                <w:cantSplit/>
                                <w:trHeight w:val="10189"/>
                              </w:trPr>
                              <w:tc>
                                <w:tcPr>
                                  <w:tcW w:w="2899" w:type="dxa"/>
                                  <w:tcBorders>
                                    <w:top w:val="single" w:sz="4" w:space="0" w:color="auto"/>
                                  </w:tcBorders>
                                  <w:shd w:val="clear" w:color="auto" w:fill="F0EAC6"/>
                                </w:tcPr>
                                <w:p w:rsidR="00123BC2" w:rsidRPr="00C97435" w:rsidRDefault="00123BC2" w:rsidP="00FF3942">
                                  <w:pPr>
                                    <w:rPr>
                                      <w:rFonts w:ascii="Arial" w:cs="Arial"/>
                                      <w:b/>
                                      <w:sz w:val="18"/>
                                      <w:szCs w:val="16"/>
                                    </w:rPr>
                                  </w:pPr>
                                </w:p>
                                <w:p w:rsidR="00123BC2" w:rsidRPr="00C97435" w:rsidRDefault="00123BC2" w:rsidP="00FF3942">
                                  <w:pPr>
                                    <w:rPr>
                                      <w:rFonts w:ascii="Arial" w:cs="Arial"/>
                                      <w:b/>
                                      <w:sz w:val="18"/>
                                      <w:szCs w:val="16"/>
                                    </w:rPr>
                                  </w:pPr>
                                  <w:r w:rsidRPr="00C97435">
                                    <w:rPr>
                                      <w:rFonts w:ascii="Arial" w:cs="Arial" w:hint="eastAsia"/>
                                      <w:b/>
                                      <w:sz w:val="18"/>
                                      <w:szCs w:val="16"/>
                                    </w:rPr>
                                    <w:t>相关报告</w:t>
                                  </w:r>
                                </w:p>
                                <w:p w:rsidR="00123BC2" w:rsidRPr="007C4597" w:rsidRDefault="00123BC2" w:rsidP="00FF3942">
                                  <w:pPr>
                                    <w:rPr>
                                      <w:rFonts w:ascii="Arial" w:cs="Arial"/>
                                      <w:sz w:val="18"/>
                                      <w:szCs w:val="16"/>
                                    </w:rPr>
                                  </w:pPr>
                                </w:p>
                              </w:tc>
                            </w:tr>
                          </w:tbl>
                          <w:p w:rsidR="00123BC2" w:rsidRPr="004071E8" w:rsidRDefault="00123BC2" w:rsidP="00BA6BA1">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123BC2" w:rsidRPr="004071E8" w:rsidRDefault="00123BC2" w:rsidP="00BA6BA1">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123BC2" w:rsidRPr="006D5835" w:rsidTr="00FF3942">
                        <w:trPr>
                          <w:cantSplit/>
                          <w:trHeight w:val="764"/>
                        </w:trPr>
                        <w:tc>
                          <w:tcPr>
                            <w:tcW w:w="2899" w:type="dxa"/>
                            <w:shd w:val="clear" w:color="auto" w:fill="F0EAC6"/>
                            <w:vAlign w:val="center"/>
                          </w:tcPr>
                          <w:p w:rsidR="00123BC2" w:rsidRPr="006D5835" w:rsidRDefault="00123BC2" w:rsidP="00BA6BA1">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2016-05</w:t>
                            </w:r>
                            <w:r w:rsidRPr="00537295">
                              <w:rPr>
                                <w:rFonts w:ascii="Arial" w:cs="Arial" w:hint="eastAsia"/>
                                <w:b/>
                                <w:sz w:val="18"/>
                                <w:szCs w:val="16"/>
                              </w:rPr>
                              <w:t>-</w:t>
                            </w:r>
                            <w:r>
                              <w:rPr>
                                <w:rFonts w:ascii="Arial" w:cs="Arial" w:hint="eastAsia"/>
                                <w:b/>
                                <w:sz w:val="18"/>
                                <w:szCs w:val="16"/>
                              </w:rPr>
                              <w:t>03</w:t>
                            </w:r>
                          </w:p>
                        </w:tc>
                      </w:tr>
                      <w:tr w:rsidR="00123BC2" w:rsidRPr="006D5835" w:rsidTr="00FF3942">
                        <w:trPr>
                          <w:cantSplit/>
                          <w:trHeight w:val="2023"/>
                        </w:trPr>
                        <w:tc>
                          <w:tcPr>
                            <w:tcW w:w="2899" w:type="dxa"/>
                            <w:tcBorders>
                              <w:top w:val="single" w:sz="4" w:space="0" w:color="auto"/>
                              <w:bottom w:val="single" w:sz="4" w:space="0" w:color="auto"/>
                            </w:tcBorders>
                            <w:shd w:val="clear" w:color="auto" w:fill="F0EAC6"/>
                          </w:tcPr>
                          <w:p w:rsidR="00123BC2" w:rsidRDefault="00123BC2" w:rsidP="00FF3942">
                            <w:pPr>
                              <w:rPr>
                                <w:rFonts w:ascii="Arial" w:cs="Arial"/>
                                <w:b/>
                                <w:sz w:val="18"/>
                                <w:szCs w:val="16"/>
                              </w:rPr>
                            </w:pPr>
                          </w:p>
                          <w:p w:rsidR="00123BC2" w:rsidRPr="00C97435" w:rsidRDefault="00123BC2" w:rsidP="00FF3942"/>
                          <w:p w:rsidR="00123BC2" w:rsidRPr="00F277FE" w:rsidRDefault="00123BC2" w:rsidP="00FF3942">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123BC2" w:rsidRPr="00537295" w:rsidRDefault="00123BC2" w:rsidP="00FF3942">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123BC2" w:rsidRDefault="00123BC2" w:rsidP="00FF3942">
                            <w:pPr>
                              <w:ind w:firstLineChars="50" w:firstLine="80"/>
                              <w:rPr>
                                <w:rFonts w:ascii="Arial" w:cs="Arial"/>
                                <w:sz w:val="16"/>
                                <w:szCs w:val="16"/>
                              </w:rPr>
                            </w:pPr>
                          </w:p>
                          <w:p w:rsidR="00123BC2" w:rsidRPr="00812308" w:rsidRDefault="00123BC2" w:rsidP="00FF3942">
                            <w:pPr>
                              <w:rPr>
                                <w:rFonts w:ascii="Arial" w:cs="Arial"/>
                                <w:b/>
                                <w:sz w:val="18"/>
                                <w:szCs w:val="16"/>
                              </w:rPr>
                            </w:pPr>
                            <w:r w:rsidRPr="00812308">
                              <w:rPr>
                                <w:rFonts w:ascii="Arial" w:cs="Arial" w:hint="eastAsia"/>
                                <w:b/>
                                <w:sz w:val="18"/>
                                <w:szCs w:val="16"/>
                              </w:rPr>
                              <w:t>分析师：</w:t>
                            </w:r>
                            <w:r>
                              <w:rPr>
                                <w:rFonts w:ascii="Arial" w:cs="Arial" w:hint="eastAsia"/>
                                <w:b/>
                                <w:sz w:val="18"/>
                                <w:szCs w:val="16"/>
                              </w:rPr>
                              <w:t>俞辰瑶</w:t>
                            </w:r>
                          </w:p>
                          <w:p w:rsidR="00123BC2" w:rsidRPr="00812308" w:rsidRDefault="00123BC2" w:rsidP="00FF3942">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Pr>
                                <w:rFonts w:ascii="Arial" w:cs="Arial" w:hint="eastAsia"/>
                                <w:sz w:val="18"/>
                                <w:szCs w:val="16"/>
                              </w:rPr>
                              <w:t>yucy</w:t>
                            </w:r>
                            <w:r w:rsidRPr="00812308">
                              <w:rPr>
                                <w:rFonts w:ascii="Arial" w:cs="Arial" w:hint="eastAsia"/>
                                <w:sz w:val="18"/>
                                <w:szCs w:val="16"/>
                              </w:rPr>
                              <w:t>@vstone.com.cn</w:t>
                            </w:r>
                          </w:p>
                          <w:p w:rsidR="00123BC2" w:rsidRPr="00F853B7" w:rsidRDefault="00123BC2" w:rsidP="00FF3942">
                            <w:pPr>
                              <w:rPr>
                                <w:rFonts w:ascii="Arial" w:hAnsi="Arial" w:cs="Arial"/>
                                <w:sz w:val="16"/>
                                <w:szCs w:val="16"/>
                              </w:rPr>
                            </w:pPr>
                          </w:p>
                        </w:tc>
                      </w:tr>
                      <w:tr w:rsidR="00123BC2" w:rsidRPr="006D5835" w:rsidTr="00FF3942">
                        <w:trPr>
                          <w:cantSplit/>
                          <w:trHeight w:val="10189"/>
                        </w:trPr>
                        <w:tc>
                          <w:tcPr>
                            <w:tcW w:w="2899" w:type="dxa"/>
                            <w:tcBorders>
                              <w:top w:val="single" w:sz="4" w:space="0" w:color="auto"/>
                            </w:tcBorders>
                            <w:shd w:val="clear" w:color="auto" w:fill="F0EAC6"/>
                          </w:tcPr>
                          <w:p w:rsidR="00123BC2" w:rsidRPr="00C97435" w:rsidRDefault="00123BC2" w:rsidP="00FF3942">
                            <w:pPr>
                              <w:rPr>
                                <w:rFonts w:ascii="Arial" w:cs="Arial"/>
                                <w:b/>
                                <w:sz w:val="18"/>
                                <w:szCs w:val="16"/>
                              </w:rPr>
                            </w:pPr>
                          </w:p>
                          <w:p w:rsidR="00123BC2" w:rsidRPr="00C97435" w:rsidRDefault="00123BC2" w:rsidP="00FF3942">
                            <w:pPr>
                              <w:rPr>
                                <w:rFonts w:ascii="Arial" w:cs="Arial"/>
                                <w:b/>
                                <w:sz w:val="18"/>
                                <w:szCs w:val="16"/>
                              </w:rPr>
                            </w:pPr>
                            <w:r w:rsidRPr="00C97435">
                              <w:rPr>
                                <w:rFonts w:ascii="Arial" w:cs="Arial" w:hint="eastAsia"/>
                                <w:b/>
                                <w:sz w:val="18"/>
                                <w:szCs w:val="16"/>
                              </w:rPr>
                              <w:t>相关报告</w:t>
                            </w:r>
                          </w:p>
                          <w:p w:rsidR="00123BC2" w:rsidRPr="007C4597" w:rsidRDefault="00123BC2" w:rsidP="00FF3942">
                            <w:pPr>
                              <w:rPr>
                                <w:rFonts w:ascii="Arial" w:cs="Arial"/>
                                <w:sz w:val="18"/>
                                <w:szCs w:val="16"/>
                              </w:rPr>
                            </w:pPr>
                          </w:p>
                        </w:tc>
                      </w:tr>
                    </w:tbl>
                    <w:p w:rsidR="00123BC2" w:rsidRPr="004071E8" w:rsidRDefault="00123BC2" w:rsidP="00BA6BA1">
                      <w:pPr>
                        <w:rPr>
                          <w:rFonts w:ascii="楷体_GB2312"/>
                        </w:rPr>
                      </w:pPr>
                    </w:p>
                  </w:txbxContent>
                </v:textbox>
              </v:shape>
            </w:pict>
          </mc:Fallback>
        </mc:AlternateContent>
      </w:r>
      <w:r>
        <w:rPr>
          <w:rFonts w:ascii="Arial" w:hAnsi="Arial" w:cs="Arial" w:hint="eastAsia"/>
          <w:b/>
        </w:rPr>
        <w:t>。</w:t>
      </w:r>
    </w:p>
    <w:p w:rsidR="00BA6BA1" w:rsidRPr="00C97435" w:rsidRDefault="00BA6BA1" w:rsidP="00BA6BA1">
      <w:pPr>
        <w:pStyle w:val="a6"/>
        <w:numPr>
          <w:ilvl w:val="0"/>
          <w:numId w:val="1"/>
        </w:numPr>
        <w:ind w:firstLineChars="0"/>
        <w:rPr>
          <w:rFonts w:ascii="Arial" w:hAnsi="Arial" w:cs="Arial"/>
          <w:b/>
          <w:color w:val="996600"/>
          <w:sz w:val="32"/>
          <w:szCs w:val="28"/>
        </w:rPr>
      </w:pPr>
      <w:bookmarkStart w:id="1" w:name="_Toc431285223"/>
      <w:r w:rsidRPr="00C97435">
        <w:rPr>
          <w:rFonts w:ascii="Arial" w:hAnsi="Arial" w:cs="Arial"/>
          <w:noProof/>
          <w:sz w:val="20"/>
          <w:szCs w:val="20"/>
        </w:rPr>
        <w:lastRenderedPageBreak/>
        <mc:AlternateContent>
          <mc:Choice Requires="wps">
            <w:drawing>
              <wp:anchor distT="0" distB="0" distL="0" distR="0" simplePos="0" relativeHeight="251660288" behindDoc="0" locked="0" layoutInCell="1" allowOverlap="0" wp14:anchorId="37898548" wp14:editId="31CAEDF4">
                <wp:simplePos x="0" y="0"/>
                <wp:positionH relativeFrom="page">
                  <wp:posOffset>327804</wp:posOffset>
                </wp:positionH>
                <wp:positionV relativeFrom="paragraph">
                  <wp:posOffset>31295</wp:posOffset>
                </wp:positionV>
                <wp:extent cx="2441051" cy="8816196"/>
                <wp:effectExtent l="0" t="0" r="0" b="444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6196"/>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123BC2" w:rsidRPr="00A64D32" w:rsidTr="00FF3942">
                              <w:trPr>
                                <w:trHeight w:val="417"/>
                              </w:trPr>
                              <w:tc>
                                <w:tcPr>
                                  <w:tcW w:w="1276" w:type="dxa"/>
                                  <w:tcBorders>
                                    <w:top w:val="single" w:sz="8" w:space="0" w:color="000000"/>
                                    <w:bottom w:val="single" w:sz="8" w:space="0" w:color="000000"/>
                                    <w:right w:val="nil"/>
                                  </w:tcBorders>
                                  <w:shd w:val="clear" w:color="F79646" w:fill="F79646"/>
                                  <w:vAlign w:val="center"/>
                                  <w:hideMark/>
                                </w:tcPr>
                                <w:p w:rsidR="00123BC2" w:rsidRPr="00A64D32" w:rsidRDefault="00123BC2" w:rsidP="00FF394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123BC2" w:rsidRPr="00A64D32" w:rsidRDefault="00123BC2" w:rsidP="00E033DD">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4</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4</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30</w:t>
                                  </w:r>
                                </w:p>
                              </w:tc>
                            </w:tr>
                            <w:tr w:rsidR="00123BC2" w:rsidRPr="00A64D32" w:rsidTr="00FF3942">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123BC2" w:rsidRPr="003175BA" w:rsidRDefault="00123BC2" w:rsidP="00FF3942">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123BC2" w:rsidRPr="003175BA" w:rsidRDefault="00123BC2" w:rsidP="00FF3942">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123BC2" w:rsidRPr="003175BA" w:rsidRDefault="00123BC2" w:rsidP="00FF3942">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23BC2" w:rsidRPr="00A64D32" w:rsidTr="00FF3942">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3F211B" w:rsidRDefault="00123BC2" w:rsidP="00FF3942">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2938.32</w:t>
                                  </w:r>
                                </w:p>
                              </w:tc>
                              <w:tc>
                                <w:tcPr>
                                  <w:tcW w:w="1134" w:type="dxa"/>
                                  <w:tcBorders>
                                    <w:top w:val="nil"/>
                                    <w:left w:val="nil"/>
                                    <w:bottom w:val="single" w:sz="8" w:space="0" w:color="000000"/>
                                    <w:right w:val="nil"/>
                                  </w:tcBorders>
                                  <w:shd w:val="clear" w:color="D9D9D9" w:fill="D9D9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-2.18</w:t>
                                  </w:r>
                                </w:p>
                              </w:tc>
                            </w:tr>
                            <w:tr w:rsidR="00123BC2" w:rsidRPr="00A64D32" w:rsidTr="00FF3942">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123BC2" w:rsidRPr="003F211B" w:rsidRDefault="00123BC2" w:rsidP="00FF3942">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3156.75</w:t>
                                  </w:r>
                                </w:p>
                              </w:tc>
                              <w:tc>
                                <w:tcPr>
                                  <w:tcW w:w="1134" w:type="dxa"/>
                                  <w:tcBorders>
                                    <w:top w:val="nil"/>
                                    <w:left w:val="nil"/>
                                    <w:bottom w:val="single" w:sz="8" w:space="0" w:color="000000"/>
                                    <w:right w:val="nil"/>
                                  </w:tcBorders>
                                  <w:shd w:val="clear" w:color="auto" w:fill="auto"/>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-1.91</w:t>
                                  </w:r>
                                </w:p>
                              </w:tc>
                            </w:tr>
                            <w:tr w:rsidR="00123BC2" w:rsidRPr="00A64D32" w:rsidTr="00FF3942">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3F211B" w:rsidRDefault="00123BC2" w:rsidP="00FF3942">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6616.83</w:t>
                                  </w:r>
                                </w:p>
                              </w:tc>
                              <w:tc>
                                <w:tcPr>
                                  <w:tcW w:w="1134" w:type="dxa"/>
                                  <w:tcBorders>
                                    <w:top w:val="nil"/>
                                    <w:left w:val="nil"/>
                                    <w:bottom w:val="single" w:sz="8" w:space="0" w:color="000000"/>
                                    <w:right w:val="nil"/>
                                  </w:tcBorders>
                                  <w:shd w:val="clear" w:color="D9D9D9" w:fill="D9D9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-3.61</w:t>
                                  </w:r>
                                </w:p>
                              </w:tc>
                            </w:tr>
                            <w:tr w:rsidR="00123BC2" w:rsidRPr="00A64D32" w:rsidTr="00FF3942">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123BC2" w:rsidRPr="003F211B" w:rsidRDefault="00123BC2" w:rsidP="00FF3942">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2138.74</w:t>
                                  </w:r>
                                </w:p>
                              </w:tc>
                              <w:tc>
                                <w:tcPr>
                                  <w:tcW w:w="1134" w:type="dxa"/>
                                  <w:tcBorders>
                                    <w:top w:val="nil"/>
                                    <w:left w:val="nil"/>
                                    <w:bottom w:val="single" w:sz="8" w:space="0" w:color="000000"/>
                                    <w:right w:val="nil"/>
                                  </w:tcBorders>
                                  <w:shd w:val="clear" w:color="auto" w:fill="auto"/>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-4.45</w:t>
                                  </w:r>
                                </w:p>
                              </w:tc>
                            </w:tr>
                            <w:tr w:rsidR="00123BC2" w:rsidRPr="00A64D32" w:rsidTr="00FF3942">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3F211B" w:rsidRDefault="00123BC2" w:rsidP="00FF3942">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118.57</w:t>
                                  </w:r>
                                </w:p>
                              </w:tc>
                              <w:tc>
                                <w:tcPr>
                                  <w:tcW w:w="1134" w:type="dxa"/>
                                  <w:tcBorders>
                                    <w:top w:val="nil"/>
                                    <w:left w:val="nil"/>
                                    <w:bottom w:val="single" w:sz="8" w:space="0" w:color="000000"/>
                                    <w:right w:val="nil"/>
                                  </w:tcBorders>
                                  <w:shd w:val="clear" w:color="D9D9D9" w:fill="D9D9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-1.10</w:t>
                                  </w:r>
                                </w:p>
                              </w:tc>
                            </w:tr>
                            <w:tr w:rsidR="00123BC2" w:rsidRPr="00A64D32" w:rsidTr="00FF3942">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123BC2" w:rsidRPr="003F211B" w:rsidRDefault="00123BC2" w:rsidP="00FF3942">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91.40</w:t>
                                  </w:r>
                                </w:p>
                              </w:tc>
                              <w:tc>
                                <w:tcPr>
                                  <w:tcW w:w="1134" w:type="dxa"/>
                                  <w:tcBorders>
                                    <w:top w:val="single" w:sz="8" w:space="0" w:color="000000"/>
                                    <w:left w:val="nil"/>
                                    <w:bottom w:val="single" w:sz="8" w:space="0" w:color="000000"/>
                                    <w:right w:val="nil"/>
                                  </w:tcBorders>
                                  <w:shd w:val="clear" w:color="D9D9D9"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-2.09</w:t>
                                  </w:r>
                                </w:p>
                              </w:tc>
                            </w:tr>
                            <w:tr w:rsidR="00123BC2" w:rsidRPr="00A64D32" w:rsidTr="00FF3942">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123BC2" w:rsidRPr="003F211B" w:rsidRDefault="00123BC2" w:rsidP="00FF3942">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120.11</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-1.12</w:t>
                                  </w:r>
                                </w:p>
                              </w:tc>
                            </w:tr>
                            <w:tr w:rsidR="00123BC2" w:rsidRPr="00A64D32" w:rsidTr="00FF3942">
                              <w:trPr>
                                <w:trHeight w:val="435"/>
                              </w:trPr>
                              <w:tc>
                                <w:tcPr>
                                  <w:tcW w:w="1276" w:type="dxa"/>
                                  <w:tcBorders>
                                    <w:top w:val="single" w:sz="8" w:space="0" w:color="000000"/>
                                    <w:bottom w:val="single" w:sz="8" w:space="0" w:color="000000"/>
                                    <w:right w:val="nil"/>
                                  </w:tcBorders>
                                  <w:shd w:val="clear" w:color="F79646" w:fill="F79646"/>
                                  <w:vAlign w:val="center"/>
                                  <w:hideMark/>
                                </w:tcPr>
                                <w:p w:rsidR="00123BC2" w:rsidRPr="00A64D32" w:rsidRDefault="00123BC2" w:rsidP="00FF394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123BC2" w:rsidRPr="00A64D32" w:rsidRDefault="00123BC2" w:rsidP="00E033DD">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4</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4</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30</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auto" w:fill="auto"/>
                                  <w:vAlign w:val="center"/>
                                </w:tcPr>
                                <w:p w:rsidR="00123BC2" w:rsidRPr="003175BA" w:rsidRDefault="00123BC2" w:rsidP="00FF3942">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123BC2" w:rsidRPr="003175BA" w:rsidRDefault="00123BC2" w:rsidP="00FF3942">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123BC2" w:rsidRPr="003175BA" w:rsidRDefault="00123BC2" w:rsidP="00FF3942">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A64D32" w:rsidRDefault="00123BC2" w:rsidP="0055617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100</w:t>
                                  </w:r>
                                </w:p>
                              </w:tc>
                              <w:tc>
                                <w:tcPr>
                                  <w:tcW w:w="986" w:type="dxa"/>
                                  <w:tcBorders>
                                    <w:top w:val="nil"/>
                                    <w:left w:val="nil"/>
                                    <w:bottom w:val="single" w:sz="8" w:space="0" w:color="000000"/>
                                    <w:right w:val="single" w:sz="8" w:space="0" w:color="000000"/>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4341.30</w:t>
                                  </w:r>
                                </w:p>
                              </w:tc>
                              <w:tc>
                                <w:tcPr>
                                  <w:tcW w:w="1134" w:type="dxa"/>
                                  <w:tcBorders>
                                    <w:top w:val="nil"/>
                                    <w:left w:val="nil"/>
                                    <w:bottom w:val="single" w:sz="8" w:space="0" w:color="000000"/>
                                    <w:right w:val="nil"/>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-3.17</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23BC2" w:rsidRPr="00A64D32" w:rsidRDefault="00123BC2" w:rsidP="00FF3942">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2065.30</w:t>
                                  </w:r>
                                </w:p>
                              </w:tc>
                              <w:tc>
                                <w:tcPr>
                                  <w:tcW w:w="1134" w:type="dxa"/>
                                  <w:tcBorders>
                                    <w:top w:val="nil"/>
                                    <w:left w:val="nil"/>
                                    <w:bottom w:val="single" w:sz="8" w:space="0" w:color="000000"/>
                                    <w:right w:val="nil"/>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0.27</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A64D32" w:rsidRDefault="00123BC2" w:rsidP="00FF3942">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17773.64</w:t>
                                  </w:r>
                                </w:p>
                              </w:tc>
                              <w:tc>
                                <w:tcPr>
                                  <w:tcW w:w="1134" w:type="dxa"/>
                                  <w:tcBorders>
                                    <w:top w:val="nil"/>
                                    <w:left w:val="nil"/>
                                    <w:bottom w:val="single" w:sz="8" w:space="0" w:color="000000"/>
                                    <w:right w:val="nil"/>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0.50</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21067.05</w:t>
                                  </w:r>
                                </w:p>
                              </w:tc>
                              <w:tc>
                                <w:tcPr>
                                  <w:tcW w:w="1134" w:type="dxa"/>
                                  <w:tcBorders>
                                    <w:top w:val="nil"/>
                                    <w:left w:val="nil"/>
                                    <w:bottom w:val="single" w:sz="8" w:space="0" w:color="000000"/>
                                    <w:right w:val="nil"/>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1.40</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16666.05</w:t>
                                  </w:r>
                                </w:p>
                              </w:tc>
                              <w:tc>
                                <w:tcPr>
                                  <w:tcW w:w="1134" w:type="dxa"/>
                                  <w:tcBorders>
                                    <w:top w:val="nil"/>
                                    <w:left w:val="nil"/>
                                    <w:bottom w:val="single" w:sz="8" w:space="0" w:color="000000"/>
                                    <w:right w:val="nil"/>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-0.55</w:t>
                                  </w:r>
                                </w:p>
                              </w:tc>
                            </w:tr>
                            <w:tr w:rsidR="00123BC2" w:rsidRPr="00A64D32" w:rsidTr="00FF3942">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341.48</w:t>
                                  </w:r>
                                </w:p>
                              </w:tc>
                              <w:tc>
                                <w:tcPr>
                                  <w:tcW w:w="1134" w:type="dxa"/>
                                  <w:tcBorders>
                                    <w:top w:val="nil"/>
                                    <w:left w:val="nil"/>
                                    <w:bottom w:val="single" w:sz="8" w:space="0" w:color="auto"/>
                                    <w:right w:val="nil"/>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1.17</w:t>
                                  </w:r>
                                </w:p>
                              </w:tc>
                            </w:tr>
                            <w:tr w:rsidR="00123BC2" w:rsidRPr="00A64D32" w:rsidTr="00FF3942">
                              <w:trPr>
                                <w:trHeight w:val="435"/>
                              </w:trPr>
                              <w:tc>
                                <w:tcPr>
                                  <w:tcW w:w="1276" w:type="dxa"/>
                                  <w:tcBorders>
                                    <w:top w:val="single" w:sz="8" w:space="0" w:color="000000"/>
                                    <w:bottom w:val="single" w:sz="8" w:space="0" w:color="000000"/>
                                    <w:right w:val="nil"/>
                                  </w:tcBorders>
                                  <w:shd w:val="clear" w:color="F79646" w:fill="F79646"/>
                                  <w:vAlign w:val="center"/>
                                  <w:hideMark/>
                                </w:tcPr>
                                <w:p w:rsidR="00123BC2" w:rsidRPr="00A64D32" w:rsidRDefault="00123BC2" w:rsidP="00FF394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123BC2" w:rsidRPr="00A64D32" w:rsidRDefault="00123BC2" w:rsidP="00E033DD">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4</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4</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30</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auto" w:fill="auto"/>
                                  <w:vAlign w:val="center"/>
                                </w:tcPr>
                                <w:p w:rsidR="00123BC2" w:rsidRPr="003175BA" w:rsidRDefault="00123BC2" w:rsidP="00FF3942">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123BC2" w:rsidRPr="003175BA" w:rsidRDefault="00123BC2" w:rsidP="00FF3942">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123BC2" w:rsidRPr="003175BA" w:rsidRDefault="00123BC2" w:rsidP="00FF3942">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93.05</w:t>
                                  </w:r>
                                </w:p>
                              </w:tc>
                              <w:tc>
                                <w:tcPr>
                                  <w:tcW w:w="1134" w:type="dxa"/>
                                  <w:tcBorders>
                                    <w:top w:val="nil"/>
                                    <w:left w:val="nil"/>
                                    <w:bottom w:val="single" w:sz="8" w:space="0" w:color="000000"/>
                                    <w:right w:val="nil"/>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-1.67</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120.44</w:t>
                                  </w:r>
                                </w:p>
                              </w:tc>
                              <w:tc>
                                <w:tcPr>
                                  <w:tcW w:w="1134" w:type="dxa"/>
                                  <w:tcBorders>
                                    <w:top w:val="nil"/>
                                    <w:left w:val="nil"/>
                                    <w:bottom w:val="single" w:sz="8" w:space="0" w:color="000000"/>
                                    <w:right w:val="nil"/>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1294.90</w:t>
                                  </w:r>
                                </w:p>
                              </w:tc>
                              <w:tc>
                                <w:tcPr>
                                  <w:tcW w:w="1134" w:type="dxa"/>
                                  <w:tcBorders>
                                    <w:top w:val="nil"/>
                                    <w:left w:val="nil"/>
                                    <w:bottom w:val="single" w:sz="8" w:space="0" w:color="000000"/>
                                    <w:right w:val="nil"/>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4.90</w:t>
                                  </w:r>
                                </w:p>
                              </w:tc>
                            </w:tr>
                            <w:tr w:rsidR="00123BC2" w:rsidRPr="00A64D32" w:rsidTr="00FF3942">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45.99</w:t>
                                  </w:r>
                                </w:p>
                              </w:tc>
                              <w:tc>
                                <w:tcPr>
                                  <w:tcW w:w="1134" w:type="dxa"/>
                                  <w:tcBorders>
                                    <w:top w:val="nil"/>
                                    <w:left w:val="nil"/>
                                    <w:bottom w:val="single" w:sz="8" w:space="0" w:color="auto"/>
                                    <w:right w:val="nil"/>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20.68</w:t>
                                  </w:r>
                                </w:p>
                              </w:tc>
                            </w:tr>
                          </w:tbl>
                          <w:p w:rsidR="00123BC2" w:rsidRPr="00AD43BA" w:rsidRDefault="00123BC2" w:rsidP="00BA6BA1">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123BC2" w:rsidRPr="00A64D32" w:rsidTr="00FF3942">
                              <w:trPr>
                                <w:trHeight w:val="435"/>
                                <w:jc w:val="center"/>
                              </w:trPr>
                              <w:tc>
                                <w:tcPr>
                                  <w:tcW w:w="3494" w:type="dxa"/>
                                  <w:tcBorders>
                                    <w:left w:val="nil"/>
                                    <w:right w:val="nil"/>
                                  </w:tcBorders>
                                  <w:shd w:val="clear" w:color="F79646" w:fill="F79646"/>
                                  <w:vAlign w:val="center"/>
                                  <w:hideMark/>
                                </w:tcPr>
                                <w:p w:rsidR="00123BC2" w:rsidRDefault="00123BC2" w:rsidP="00E033DD">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1147F2">
                                    <w:rPr>
                                      <w:rFonts w:ascii="Arial" w:cs="Arial"/>
                                      <w:b/>
                                      <w:sz w:val="16"/>
                                      <w:szCs w:val="16"/>
                                    </w:rPr>
                                    <w:t>2016.0</w:t>
                                  </w:r>
                                  <w:r>
                                    <w:rPr>
                                      <w:rFonts w:ascii="Arial" w:cs="Arial" w:hint="eastAsia"/>
                                      <w:b/>
                                      <w:sz w:val="16"/>
                                      <w:szCs w:val="16"/>
                                    </w:rPr>
                                    <w:t>4</w:t>
                                  </w:r>
                                  <w:r w:rsidRPr="001147F2">
                                    <w:rPr>
                                      <w:rFonts w:ascii="Arial" w:cs="Arial"/>
                                      <w:b/>
                                      <w:sz w:val="16"/>
                                      <w:szCs w:val="16"/>
                                    </w:rPr>
                                    <w:t>.</w:t>
                                  </w:r>
                                  <w:r>
                                    <w:rPr>
                                      <w:rFonts w:ascii="Arial" w:cs="Arial" w:hint="eastAsia"/>
                                      <w:b/>
                                      <w:sz w:val="16"/>
                                      <w:szCs w:val="16"/>
                                    </w:rPr>
                                    <w:t>01</w:t>
                                  </w:r>
                                  <w:r w:rsidRPr="001147F2">
                                    <w:rPr>
                                      <w:rFonts w:ascii="Arial" w:cs="Arial"/>
                                      <w:b/>
                                      <w:sz w:val="16"/>
                                      <w:szCs w:val="16"/>
                                    </w:rPr>
                                    <w:t>-2016.0</w:t>
                                  </w:r>
                                  <w:r>
                                    <w:rPr>
                                      <w:rFonts w:ascii="Arial" w:cs="Arial" w:hint="eastAsia"/>
                                      <w:b/>
                                      <w:sz w:val="16"/>
                                      <w:szCs w:val="16"/>
                                    </w:rPr>
                                    <w:t>4</w:t>
                                  </w:r>
                                  <w:r w:rsidRPr="001147F2">
                                    <w:rPr>
                                      <w:rFonts w:ascii="Arial" w:cs="Arial"/>
                                      <w:b/>
                                      <w:sz w:val="16"/>
                                      <w:szCs w:val="16"/>
                                    </w:rPr>
                                    <w:t>.</w:t>
                                  </w:r>
                                  <w:r>
                                    <w:rPr>
                                      <w:rFonts w:ascii="Arial" w:cs="Arial" w:hint="eastAsia"/>
                                      <w:b/>
                                      <w:sz w:val="16"/>
                                      <w:szCs w:val="16"/>
                                    </w:rPr>
                                    <w:t>30</w:t>
                                  </w:r>
                                </w:p>
                              </w:tc>
                            </w:tr>
                            <w:tr w:rsidR="00123BC2" w:rsidRPr="00A64D32" w:rsidTr="00E033DD">
                              <w:trPr>
                                <w:trHeight w:val="2474"/>
                                <w:jc w:val="center"/>
                              </w:trPr>
                              <w:tc>
                                <w:tcPr>
                                  <w:tcW w:w="3494" w:type="dxa"/>
                                  <w:shd w:val="clear" w:color="auto" w:fill="auto"/>
                                  <w:vAlign w:val="center"/>
                                  <w:hideMark/>
                                </w:tcPr>
                                <w:p w:rsidR="00123BC2" w:rsidRPr="00A64D32" w:rsidRDefault="00123BC2" w:rsidP="00FF3942">
                                  <w:pPr>
                                    <w:widowControl/>
                                    <w:jc w:val="center"/>
                                    <w:rPr>
                                      <w:rFonts w:ascii="楷体" w:eastAsia="楷体" w:hAnsi="楷体" w:cs="宋体"/>
                                      <w:color w:val="000000"/>
                                      <w:kern w:val="0"/>
                                      <w:sz w:val="16"/>
                                      <w:szCs w:val="16"/>
                                    </w:rPr>
                                  </w:pPr>
                                  <w:r>
                                    <w:rPr>
                                      <w:noProof/>
                                    </w:rPr>
                                    <w:drawing>
                                      <wp:inline distT="0" distB="0" distL="0" distR="0" wp14:anchorId="62C7CB77" wp14:editId="0D3C1D0B">
                                        <wp:extent cx="2085975" cy="3619500"/>
                                        <wp:effectExtent l="0" t="0" r="9525" b="190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123BC2" w:rsidRPr="00BC1770" w:rsidRDefault="00123BC2" w:rsidP="00BA6BA1">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8pt;margin-top:2.45pt;width:192.2pt;height:694.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123BC2" w:rsidRPr="00A64D32" w:rsidTr="00FF3942">
                        <w:trPr>
                          <w:trHeight w:val="417"/>
                        </w:trPr>
                        <w:tc>
                          <w:tcPr>
                            <w:tcW w:w="1276" w:type="dxa"/>
                            <w:tcBorders>
                              <w:top w:val="single" w:sz="8" w:space="0" w:color="000000"/>
                              <w:bottom w:val="single" w:sz="8" w:space="0" w:color="000000"/>
                              <w:right w:val="nil"/>
                            </w:tcBorders>
                            <w:shd w:val="clear" w:color="F79646" w:fill="F79646"/>
                            <w:vAlign w:val="center"/>
                            <w:hideMark/>
                          </w:tcPr>
                          <w:p w:rsidR="00123BC2" w:rsidRPr="00A64D32" w:rsidRDefault="00123BC2" w:rsidP="00FF394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123BC2" w:rsidRPr="00A64D32" w:rsidRDefault="00123BC2" w:rsidP="00E033DD">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4</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4</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30</w:t>
                            </w:r>
                          </w:p>
                        </w:tc>
                      </w:tr>
                      <w:tr w:rsidR="00123BC2" w:rsidRPr="00A64D32" w:rsidTr="00FF3942">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123BC2" w:rsidRPr="003175BA" w:rsidRDefault="00123BC2" w:rsidP="00FF3942">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123BC2" w:rsidRPr="003175BA" w:rsidRDefault="00123BC2" w:rsidP="00FF3942">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123BC2" w:rsidRPr="003175BA" w:rsidRDefault="00123BC2" w:rsidP="00FF3942">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23BC2" w:rsidRPr="00A64D32" w:rsidTr="00FF3942">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3F211B" w:rsidRDefault="00123BC2" w:rsidP="00FF3942">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2938.32</w:t>
                            </w:r>
                          </w:p>
                        </w:tc>
                        <w:tc>
                          <w:tcPr>
                            <w:tcW w:w="1134" w:type="dxa"/>
                            <w:tcBorders>
                              <w:top w:val="nil"/>
                              <w:left w:val="nil"/>
                              <w:bottom w:val="single" w:sz="8" w:space="0" w:color="000000"/>
                              <w:right w:val="nil"/>
                            </w:tcBorders>
                            <w:shd w:val="clear" w:color="D9D9D9" w:fill="D9D9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-2.18</w:t>
                            </w:r>
                          </w:p>
                        </w:tc>
                      </w:tr>
                      <w:tr w:rsidR="00123BC2" w:rsidRPr="00A64D32" w:rsidTr="00FF3942">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123BC2" w:rsidRPr="003F211B" w:rsidRDefault="00123BC2" w:rsidP="00FF3942">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3156.75</w:t>
                            </w:r>
                          </w:p>
                        </w:tc>
                        <w:tc>
                          <w:tcPr>
                            <w:tcW w:w="1134" w:type="dxa"/>
                            <w:tcBorders>
                              <w:top w:val="nil"/>
                              <w:left w:val="nil"/>
                              <w:bottom w:val="single" w:sz="8" w:space="0" w:color="000000"/>
                              <w:right w:val="nil"/>
                            </w:tcBorders>
                            <w:shd w:val="clear" w:color="auto" w:fill="auto"/>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-1.91</w:t>
                            </w:r>
                          </w:p>
                        </w:tc>
                      </w:tr>
                      <w:tr w:rsidR="00123BC2" w:rsidRPr="00A64D32" w:rsidTr="00FF3942">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3F211B" w:rsidRDefault="00123BC2" w:rsidP="00FF3942">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6616.83</w:t>
                            </w:r>
                          </w:p>
                        </w:tc>
                        <w:tc>
                          <w:tcPr>
                            <w:tcW w:w="1134" w:type="dxa"/>
                            <w:tcBorders>
                              <w:top w:val="nil"/>
                              <w:left w:val="nil"/>
                              <w:bottom w:val="single" w:sz="8" w:space="0" w:color="000000"/>
                              <w:right w:val="nil"/>
                            </w:tcBorders>
                            <w:shd w:val="clear" w:color="D9D9D9" w:fill="D9D9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-3.61</w:t>
                            </w:r>
                          </w:p>
                        </w:tc>
                      </w:tr>
                      <w:tr w:rsidR="00123BC2" w:rsidRPr="00A64D32" w:rsidTr="00FF3942">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123BC2" w:rsidRPr="003F211B" w:rsidRDefault="00123BC2" w:rsidP="00FF3942">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2138.74</w:t>
                            </w:r>
                          </w:p>
                        </w:tc>
                        <w:tc>
                          <w:tcPr>
                            <w:tcW w:w="1134" w:type="dxa"/>
                            <w:tcBorders>
                              <w:top w:val="nil"/>
                              <w:left w:val="nil"/>
                              <w:bottom w:val="single" w:sz="8" w:space="0" w:color="000000"/>
                              <w:right w:val="nil"/>
                            </w:tcBorders>
                            <w:shd w:val="clear" w:color="auto" w:fill="auto"/>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-4.45</w:t>
                            </w:r>
                          </w:p>
                        </w:tc>
                      </w:tr>
                      <w:tr w:rsidR="00123BC2" w:rsidRPr="00A64D32" w:rsidTr="00FF3942">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3F211B" w:rsidRDefault="00123BC2" w:rsidP="00FF3942">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118.57</w:t>
                            </w:r>
                          </w:p>
                        </w:tc>
                        <w:tc>
                          <w:tcPr>
                            <w:tcW w:w="1134" w:type="dxa"/>
                            <w:tcBorders>
                              <w:top w:val="nil"/>
                              <w:left w:val="nil"/>
                              <w:bottom w:val="single" w:sz="8" w:space="0" w:color="000000"/>
                              <w:right w:val="nil"/>
                            </w:tcBorders>
                            <w:shd w:val="clear" w:color="D9D9D9" w:fill="D9D9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-1.10</w:t>
                            </w:r>
                          </w:p>
                        </w:tc>
                      </w:tr>
                      <w:tr w:rsidR="00123BC2" w:rsidRPr="00A64D32" w:rsidTr="00FF3942">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123BC2" w:rsidRPr="003F211B" w:rsidRDefault="00123BC2" w:rsidP="00FF3942">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91.40</w:t>
                            </w:r>
                          </w:p>
                        </w:tc>
                        <w:tc>
                          <w:tcPr>
                            <w:tcW w:w="1134" w:type="dxa"/>
                            <w:tcBorders>
                              <w:top w:val="single" w:sz="8" w:space="0" w:color="000000"/>
                              <w:left w:val="nil"/>
                              <w:bottom w:val="single" w:sz="8" w:space="0" w:color="000000"/>
                              <w:right w:val="nil"/>
                            </w:tcBorders>
                            <w:shd w:val="clear" w:color="D9D9D9"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-2.09</w:t>
                            </w:r>
                          </w:p>
                        </w:tc>
                      </w:tr>
                      <w:tr w:rsidR="00123BC2" w:rsidRPr="00A64D32" w:rsidTr="00FF3942">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123BC2" w:rsidRPr="003F211B" w:rsidRDefault="00123BC2" w:rsidP="00FF3942">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120.11</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-1.12</w:t>
                            </w:r>
                          </w:p>
                        </w:tc>
                      </w:tr>
                      <w:tr w:rsidR="00123BC2" w:rsidRPr="00A64D32" w:rsidTr="00FF3942">
                        <w:trPr>
                          <w:trHeight w:val="435"/>
                        </w:trPr>
                        <w:tc>
                          <w:tcPr>
                            <w:tcW w:w="1276" w:type="dxa"/>
                            <w:tcBorders>
                              <w:top w:val="single" w:sz="8" w:space="0" w:color="000000"/>
                              <w:bottom w:val="single" w:sz="8" w:space="0" w:color="000000"/>
                              <w:right w:val="nil"/>
                            </w:tcBorders>
                            <w:shd w:val="clear" w:color="F79646" w:fill="F79646"/>
                            <w:vAlign w:val="center"/>
                            <w:hideMark/>
                          </w:tcPr>
                          <w:p w:rsidR="00123BC2" w:rsidRPr="00A64D32" w:rsidRDefault="00123BC2" w:rsidP="00FF394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123BC2" w:rsidRPr="00A64D32" w:rsidRDefault="00123BC2" w:rsidP="00E033DD">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4</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4</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30</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auto" w:fill="auto"/>
                            <w:vAlign w:val="center"/>
                          </w:tcPr>
                          <w:p w:rsidR="00123BC2" w:rsidRPr="003175BA" w:rsidRDefault="00123BC2" w:rsidP="00FF3942">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123BC2" w:rsidRPr="003175BA" w:rsidRDefault="00123BC2" w:rsidP="00FF3942">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123BC2" w:rsidRPr="003175BA" w:rsidRDefault="00123BC2" w:rsidP="00FF3942">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A64D32" w:rsidRDefault="00123BC2" w:rsidP="0055617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100</w:t>
                            </w:r>
                          </w:p>
                        </w:tc>
                        <w:tc>
                          <w:tcPr>
                            <w:tcW w:w="986" w:type="dxa"/>
                            <w:tcBorders>
                              <w:top w:val="nil"/>
                              <w:left w:val="nil"/>
                              <w:bottom w:val="single" w:sz="8" w:space="0" w:color="000000"/>
                              <w:right w:val="single" w:sz="8" w:space="0" w:color="000000"/>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4341.30</w:t>
                            </w:r>
                          </w:p>
                        </w:tc>
                        <w:tc>
                          <w:tcPr>
                            <w:tcW w:w="1134" w:type="dxa"/>
                            <w:tcBorders>
                              <w:top w:val="nil"/>
                              <w:left w:val="nil"/>
                              <w:bottom w:val="single" w:sz="8" w:space="0" w:color="000000"/>
                              <w:right w:val="nil"/>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-3.17</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23BC2" w:rsidRPr="00A64D32" w:rsidRDefault="00123BC2" w:rsidP="00FF3942">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2065.30</w:t>
                            </w:r>
                          </w:p>
                        </w:tc>
                        <w:tc>
                          <w:tcPr>
                            <w:tcW w:w="1134" w:type="dxa"/>
                            <w:tcBorders>
                              <w:top w:val="nil"/>
                              <w:left w:val="nil"/>
                              <w:bottom w:val="single" w:sz="8" w:space="0" w:color="000000"/>
                              <w:right w:val="nil"/>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0.27</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A64D32" w:rsidRDefault="00123BC2" w:rsidP="00FF3942">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17773.64</w:t>
                            </w:r>
                          </w:p>
                        </w:tc>
                        <w:tc>
                          <w:tcPr>
                            <w:tcW w:w="1134" w:type="dxa"/>
                            <w:tcBorders>
                              <w:top w:val="nil"/>
                              <w:left w:val="nil"/>
                              <w:bottom w:val="single" w:sz="8" w:space="0" w:color="000000"/>
                              <w:right w:val="nil"/>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0.50</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21067.05</w:t>
                            </w:r>
                          </w:p>
                        </w:tc>
                        <w:tc>
                          <w:tcPr>
                            <w:tcW w:w="1134" w:type="dxa"/>
                            <w:tcBorders>
                              <w:top w:val="nil"/>
                              <w:left w:val="nil"/>
                              <w:bottom w:val="single" w:sz="8" w:space="0" w:color="000000"/>
                              <w:right w:val="nil"/>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1.40</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16666.05</w:t>
                            </w:r>
                          </w:p>
                        </w:tc>
                        <w:tc>
                          <w:tcPr>
                            <w:tcW w:w="1134" w:type="dxa"/>
                            <w:tcBorders>
                              <w:top w:val="nil"/>
                              <w:left w:val="nil"/>
                              <w:bottom w:val="single" w:sz="8" w:space="0" w:color="000000"/>
                              <w:right w:val="nil"/>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-0.55</w:t>
                            </w:r>
                          </w:p>
                        </w:tc>
                      </w:tr>
                      <w:tr w:rsidR="00123BC2" w:rsidRPr="00A64D32" w:rsidTr="00FF3942">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341.48</w:t>
                            </w:r>
                          </w:p>
                        </w:tc>
                        <w:tc>
                          <w:tcPr>
                            <w:tcW w:w="1134" w:type="dxa"/>
                            <w:tcBorders>
                              <w:top w:val="nil"/>
                              <w:left w:val="nil"/>
                              <w:bottom w:val="single" w:sz="8" w:space="0" w:color="auto"/>
                              <w:right w:val="nil"/>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1.17</w:t>
                            </w:r>
                          </w:p>
                        </w:tc>
                      </w:tr>
                      <w:tr w:rsidR="00123BC2" w:rsidRPr="00A64D32" w:rsidTr="00FF3942">
                        <w:trPr>
                          <w:trHeight w:val="435"/>
                        </w:trPr>
                        <w:tc>
                          <w:tcPr>
                            <w:tcW w:w="1276" w:type="dxa"/>
                            <w:tcBorders>
                              <w:top w:val="single" w:sz="8" w:space="0" w:color="000000"/>
                              <w:bottom w:val="single" w:sz="8" w:space="0" w:color="000000"/>
                              <w:right w:val="nil"/>
                            </w:tcBorders>
                            <w:shd w:val="clear" w:color="F79646" w:fill="F79646"/>
                            <w:vAlign w:val="center"/>
                            <w:hideMark/>
                          </w:tcPr>
                          <w:p w:rsidR="00123BC2" w:rsidRPr="00A64D32" w:rsidRDefault="00123BC2" w:rsidP="00FF394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123BC2" w:rsidRPr="00A64D32" w:rsidRDefault="00123BC2" w:rsidP="00E033DD">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4</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4</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30</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auto" w:fill="auto"/>
                            <w:vAlign w:val="center"/>
                          </w:tcPr>
                          <w:p w:rsidR="00123BC2" w:rsidRPr="003175BA" w:rsidRDefault="00123BC2" w:rsidP="00FF3942">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123BC2" w:rsidRPr="003175BA" w:rsidRDefault="00123BC2" w:rsidP="00FF3942">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123BC2" w:rsidRPr="003175BA" w:rsidRDefault="00123BC2" w:rsidP="00FF3942">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93.05</w:t>
                            </w:r>
                          </w:p>
                        </w:tc>
                        <w:tc>
                          <w:tcPr>
                            <w:tcW w:w="1134" w:type="dxa"/>
                            <w:tcBorders>
                              <w:top w:val="nil"/>
                              <w:left w:val="nil"/>
                              <w:bottom w:val="single" w:sz="8" w:space="0" w:color="000000"/>
                              <w:right w:val="nil"/>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-1.67</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120.44</w:t>
                            </w:r>
                          </w:p>
                        </w:tc>
                        <w:tc>
                          <w:tcPr>
                            <w:tcW w:w="1134" w:type="dxa"/>
                            <w:tcBorders>
                              <w:top w:val="nil"/>
                              <w:left w:val="nil"/>
                              <w:bottom w:val="single" w:sz="8" w:space="0" w:color="000000"/>
                              <w:right w:val="nil"/>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123BC2" w:rsidRPr="00A64D32" w:rsidTr="00FF3942">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1294.90</w:t>
                            </w:r>
                          </w:p>
                        </w:tc>
                        <w:tc>
                          <w:tcPr>
                            <w:tcW w:w="1134" w:type="dxa"/>
                            <w:tcBorders>
                              <w:top w:val="nil"/>
                              <w:left w:val="nil"/>
                              <w:bottom w:val="single" w:sz="8" w:space="0" w:color="000000"/>
                              <w:right w:val="nil"/>
                            </w:tcBorders>
                            <w:shd w:val="clear" w:color="D9D9D9" w:fill="D9D9D9"/>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4.90</w:t>
                            </w:r>
                          </w:p>
                        </w:tc>
                      </w:tr>
                      <w:tr w:rsidR="00123BC2" w:rsidRPr="00A64D32" w:rsidTr="00FF3942">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123BC2" w:rsidRPr="00A64D32" w:rsidRDefault="00123BC2" w:rsidP="00FF394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45.99</w:t>
                            </w:r>
                          </w:p>
                        </w:tc>
                        <w:tc>
                          <w:tcPr>
                            <w:tcW w:w="1134" w:type="dxa"/>
                            <w:tcBorders>
                              <w:top w:val="nil"/>
                              <w:left w:val="nil"/>
                              <w:bottom w:val="single" w:sz="8" w:space="0" w:color="auto"/>
                              <w:right w:val="nil"/>
                            </w:tcBorders>
                            <w:shd w:val="clear" w:color="auto" w:fill="auto"/>
                            <w:vAlign w:val="center"/>
                          </w:tcPr>
                          <w:p w:rsidR="00123BC2" w:rsidRDefault="00123BC2">
                            <w:pPr>
                              <w:jc w:val="center"/>
                              <w:rPr>
                                <w:rFonts w:ascii="楷体" w:eastAsia="楷体" w:hAnsi="楷体" w:cs="宋体"/>
                                <w:color w:val="000000"/>
                                <w:sz w:val="16"/>
                                <w:szCs w:val="16"/>
                              </w:rPr>
                            </w:pPr>
                            <w:r>
                              <w:rPr>
                                <w:rFonts w:ascii="楷体" w:eastAsia="楷体" w:hAnsi="楷体" w:hint="eastAsia"/>
                                <w:color w:val="000000"/>
                                <w:sz w:val="16"/>
                                <w:szCs w:val="16"/>
                              </w:rPr>
                              <w:t>20.68</w:t>
                            </w:r>
                          </w:p>
                        </w:tc>
                      </w:tr>
                    </w:tbl>
                    <w:p w:rsidR="00123BC2" w:rsidRPr="00AD43BA" w:rsidRDefault="00123BC2" w:rsidP="00BA6BA1">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123BC2" w:rsidRPr="00A64D32" w:rsidTr="00FF3942">
                        <w:trPr>
                          <w:trHeight w:val="435"/>
                          <w:jc w:val="center"/>
                        </w:trPr>
                        <w:tc>
                          <w:tcPr>
                            <w:tcW w:w="3494" w:type="dxa"/>
                            <w:tcBorders>
                              <w:left w:val="nil"/>
                              <w:right w:val="nil"/>
                            </w:tcBorders>
                            <w:shd w:val="clear" w:color="F79646" w:fill="F79646"/>
                            <w:vAlign w:val="center"/>
                            <w:hideMark/>
                          </w:tcPr>
                          <w:p w:rsidR="00123BC2" w:rsidRDefault="00123BC2" w:rsidP="00E033DD">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1147F2">
                              <w:rPr>
                                <w:rFonts w:ascii="Arial" w:cs="Arial"/>
                                <w:b/>
                                <w:sz w:val="16"/>
                                <w:szCs w:val="16"/>
                              </w:rPr>
                              <w:t>2016.0</w:t>
                            </w:r>
                            <w:r>
                              <w:rPr>
                                <w:rFonts w:ascii="Arial" w:cs="Arial" w:hint="eastAsia"/>
                                <w:b/>
                                <w:sz w:val="16"/>
                                <w:szCs w:val="16"/>
                              </w:rPr>
                              <w:t>4</w:t>
                            </w:r>
                            <w:r w:rsidRPr="001147F2">
                              <w:rPr>
                                <w:rFonts w:ascii="Arial" w:cs="Arial"/>
                                <w:b/>
                                <w:sz w:val="16"/>
                                <w:szCs w:val="16"/>
                              </w:rPr>
                              <w:t>.</w:t>
                            </w:r>
                            <w:r>
                              <w:rPr>
                                <w:rFonts w:ascii="Arial" w:cs="Arial" w:hint="eastAsia"/>
                                <w:b/>
                                <w:sz w:val="16"/>
                                <w:szCs w:val="16"/>
                              </w:rPr>
                              <w:t>01</w:t>
                            </w:r>
                            <w:r w:rsidRPr="001147F2">
                              <w:rPr>
                                <w:rFonts w:ascii="Arial" w:cs="Arial"/>
                                <w:b/>
                                <w:sz w:val="16"/>
                                <w:szCs w:val="16"/>
                              </w:rPr>
                              <w:t>-2016.0</w:t>
                            </w:r>
                            <w:r>
                              <w:rPr>
                                <w:rFonts w:ascii="Arial" w:cs="Arial" w:hint="eastAsia"/>
                                <w:b/>
                                <w:sz w:val="16"/>
                                <w:szCs w:val="16"/>
                              </w:rPr>
                              <w:t>4</w:t>
                            </w:r>
                            <w:r w:rsidRPr="001147F2">
                              <w:rPr>
                                <w:rFonts w:ascii="Arial" w:cs="Arial"/>
                                <w:b/>
                                <w:sz w:val="16"/>
                                <w:szCs w:val="16"/>
                              </w:rPr>
                              <w:t>.</w:t>
                            </w:r>
                            <w:r>
                              <w:rPr>
                                <w:rFonts w:ascii="Arial" w:cs="Arial" w:hint="eastAsia"/>
                                <w:b/>
                                <w:sz w:val="16"/>
                                <w:szCs w:val="16"/>
                              </w:rPr>
                              <w:t>30</w:t>
                            </w:r>
                          </w:p>
                        </w:tc>
                      </w:tr>
                      <w:tr w:rsidR="00123BC2" w:rsidRPr="00A64D32" w:rsidTr="00E033DD">
                        <w:trPr>
                          <w:trHeight w:val="2474"/>
                          <w:jc w:val="center"/>
                        </w:trPr>
                        <w:tc>
                          <w:tcPr>
                            <w:tcW w:w="3494" w:type="dxa"/>
                            <w:shd w:val="clear" w:color="auto" w:fill="auto"/>
                            <w:vAlign w:val="center"/>
                            <w:hideMark/>
                          </w:tcPr>
                          <w:p w:rsidR="00123BC2" w:rsidRPr="00A64D32" w:rsidRDefault="00123BC2" w:rsidP="00FF3942">
                            <w:pPr>
                              <w:widowControl/>
                              <w:jc w:val="center"/>
                              <w:rPr>
                                <w:rFonts w:ascii="楷体" w:eastAsia="楷体" w:hAnsi="楷体" w:cs="宋体"/>
                                <w:color w:val="000000"/>
                                <w:kern w:val="0"/>
                                <w:sz w:val="16"/>
                                <w:szCs w:val="16"/>
                              </w:rPr>
                            </w:pPr>
                            <w:r>
                              <w:rPr>
                                <w:noProof/>
                              </w:rPr>
                              <w:drawing>
                                <wp:inline distT="0" distB="0" distL="0" distR="0" wp14:anchorId="62C7CB77" wp14:editId="0D3C1D0B">
                                  <wp:extent cx="2085975" cy="3619500"/>
                                  <wp:effectExtent l="0" t="0" r="9525" b="190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123BC2" w:rsidRPr="00BC1770" w:rsidRDefault="00123BC2" w:rsidP="00BA6BA1">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F83596">
        <w:rPr>
          <w:rFonts w:ascii="Arial" w:hAnsi="Arial" w:cs="Arial" w:hint="eastAsia"/>
          <w:b/>
          <w:color w:val="996600"/>
          <w:sz w:val="32"/>
          <w:szCs w:val="28"/>
        </w:rPr>
        <w:t>四月</w:t>
      </w:r>
      <w:r w:rsidRPr="00C97435">
        <w:rPr>
          <w:rFonts w:ascii="Arial" w:hAnsi="Arial" w:cs="Arial"/>
          <w:b/>
          <w:color w:val="996600"/>
          <w:sz w:val="32"/>
          <w:szCs w:val="28"/>
        </w:rPr>
        <w:t>资本市场回顾</w:t>
      </w:r>
      <w:bookmarkEnd w:id="1"/>
    </w:p>
    <w:p w:rsidR="00BA6BA1" w:rsidRPr="002D6DED" w:rsidRDefault="00BA6BA1" w:rsidP="00BA6BA1">
      <w:pPr>
        <w:pStyle w:val="a5"/>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A</w:t>
      </w:r>
      <w:r w:rsidRPr="002D6DED">
        <w:rPr>
          <w:rFonts w:ascii="Arial" w:eastAsia="楷体_GB2312" w:hAnsi="Arial" w:cs="Arial"/>
          <w:b/>
          <w:bCs/>
          <w:color w:val="002060"/>
          <w:kern w:val="0"/>
          <w:sz w:val="24"/>
          <w:szCs w:val="13"/>
        </w:rPr>
        <w:t>股市场</w:t>
      </w:r>
    </w:p>
    <w:p w:rsidR="00BA6BA1" w:rsidRPr="00F32B67" w:rsidRDefault="00C13036" w:rsidP="00BA6BA1">
      <w:pPr>
        <w:pStyle w:val="a5"/>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震荡走高又缩量下跌，</w:t>
      </w:r>
      <w:r w:rsidR="006B2C07">
        <w:rPr>
          <w:rFonts w:ascii="Arial" w:eastAsia="楷体_GB2312" w:hAnsi="Arial" w:cs="Arial" w:hint="eastAsia"/>
          <w:b/>
          <w:color w:val="auto"/>
          <w:sz w:val="20"/>
          <w:szCs w:val="20"/>
        </w:rPr>
        <w:t>存量资金博弈</w:t>
      </w:r>
      <w:r w:rsidR="00994057">
        <w:rPr>
          <w:rFonts w:ascii="Arial" w:eastAsia="楷体_GB2312" w:hAnsi="Arial" w:cs="Arial" w:hint="eastAsia"/>
          <w:b/>
          <w:color w:val="auto"/>
          <w:sz w:val="20"/>
          <w:szCs w:val="20"/>
        </w:rPr>
        <w:t>，市场人气不足</w:t>
      </w:r>
      <w:r w:rsidR="00BA6BA1" w:rsidRPr="00F32B67">
        <w:rPr>
          <w:rFonts w:ascii="Arial" w:eastAsia="楷体_GB2312" w:hAnsi="Arial" w:cs="Arial" w:hint="eastAsia"/>
          <w:b/>
          <w:color w:val="auto"/>
          <w:sz w:val="20"/>
          <w:szCs w:val="20"/>
        </w:rPr>
        <w:t>。</w:t>
      </w:r>
      <w:r w:rsidR="006B2C07" w:rsidRPr="006B2C07">
        <w:rPr>
          <w:rFonts w:ascii="Arial" w:eastAsia="楷体_GB2312" w:hAnsi="Arial" w:cs="Arial" w:hint="eastAsia"/>
          <w:color w:val="auto"/>
          <w:sz w:val="20"/>
          <w:szCs w:val="20"/>
        </w:rPr>
        <w:t>4</w:t>
      </w:r>
      <w:r w:rsidR="006B2C07" w:rsidRPr="006B2C07">
        <w:rPr>
          <w:rFonts w:ascii="Arial" w:eastAsia="楷体_GB2312" w:hAnsi="Arial" w:cs="Arial" w:hint="eastAsia"/>
          <w:color w:val="auto"/>
          <w:sz w:val="20"/>
          <w:szCs w:val="20"/>
        </w:rPr>
        <w:t>月以来，</w:t>
      </w:r>
      <w:r w:rsidR="006B2C07">
        <w:rPr>
          <w:rFonts w:ascii="Arial" w:eastAsia="楷体_GB2312" w:hAnsi="Arial" w:cs="Arial" w:hint="eastAsia"/>
          <w:color w:val="auto"/>
          <w:sz w:val="20"/>
          <w:szCs w:val="20"/>
        </w:rPr>
        <w:t>市场基本处于在</w:t>
      </w:r>
      <w:r w:rsidR="006B2C07">
        <w:rPr>
          <w:rFonts w:ascii="Arial" w:eastAsia="楷体_GB2312" w:hAnsi="Arial" w:cs="Arial" w:hint="eastAsia"/>
          <w:color w:val="auto"/>
          <w:sz w:val="20"/>
          <w:szCs w:val="20"/>
        </w:rPr>
        <w:t>3000</w:t>
      </w:r>
      <w:r w:rsidR="006B2C07">
        <w:rPr>
          <w:rFonts w:ascii="Arial" w:eastAsia="楷体_GB2312" w:hAnsi="Arial" w:cs="Arial" w:hint="eastAsia"/>
          <w:color w:val="auto"/>
          <w:sz w:val="20"/>
          <w:szCs w:val="20"/>
        </w:rPr>
        <w:t>点附近震荡的状态。</w:t>
      </w:r>
      <w:r w:rsidR="006B2C07">
        <w:rPr>
          <w:rFonts w:ascii="Arial" w:eastAsia="楷体_GB2312" w:hAnsi="Arial" w:cs="Arial" w:hint="eastAsia"/>
          <w:color w:val="auto"/>
          <w:sz w:val="20"/>
          <w:szCs w:val="20"/>
        </w:rPr>
        <w:t>4</w:t>
      </w:r>
      <w:r w:rsidR="006B2C07">
        <w:rPr>
          <w:rFonts w:ascii="Arial" w:eastAsia="楷体_GB2312" w:hAnsi="Arial" w:cs="Arial" w:hint="eastAsia"/>
          <w:color w:val="auto"/>
          <w:sz w:val="20"/>
          <w:szCs w:val="20"/>
        </w:rPr>
        <w:t>月前半月，</w:t>
      </w:r>
      <w:r w:rsidR="006B2C07" w:rsidRPr="006B2C07">
        <w:rPr>
          <w:rFonts w:ascii="Arial" w:eastAsia="楷体_GB2312" w:hAnsi="Arial" w:cs="Arial" w:hint="eastAsia"/>
          <w:color w:val="auto"/>
          <w:sz w:val="20"/>
          <w:szCs w:val="20"/>
        </w:rPr>
        <w:t>受证券公司风险控制指标调整及多重经济数据利好的影响，</w:t>
      </w:r>
      <w:r w:rsidR="006B2C07">
        <w:rPr>
          <w:rFonts w:ascii="Arial" w:eastAsia="楷体_GB2312" w:hAnsi="Arial" w:cs="Arial" w:hint="eastAsia"/>
          <w:color w:val="auto"/>
          <w:sz w:val="20"/>
          <w:szCs w:val="20"/>
        </w:rPr>
        <w:t>上证指数震荡走高，在</w:t>
      </w:r>
      <w:r w:rsidR="006B2C07">
        <w:rPr>
          <w:rFonts w:ascii="Arial" w:eastAsia="楷体_GB2312" w:hAnsi="Arial" w:cs="Arial" w:hint="eastAsia"/>
          <w:color w:val="auto"/>
          <w:sz w:val="20"/>
          <w:szCs w:val="20"/>
        </w:rPr>
        <w:t>4</w:t>
      </w:r>
      <w:r w:rsidR="006B2C07">
        <w:rPr>
          <w:rFonts w:ascii="Arial" w:eastAsia="楷体_GB2312" w:hAnsi="Arial" w:cs="Arial" w:hint="eastAsia"/>
          <w:color w:val="auto"/>
          <w:sz w:val="20"/>
          <w:szCs w:val="20"/>
        </w:rPr>
        <w:t>月</w:t>
      </w:r>
      <w:r w:rsidR="006B2C07">
        <w:rPr>
          <w:rFonts w:ascii="Arial" w:eastAsia="楷体_GB2312" w:hAnsi="Arial" w:cs="Arial" w:hint="eastAsia"/>
          <w:color w:val="auto"/>
          <w:sz w:val="20"/>
          <w:szCs w:val="20"/>
        </w:rPr>
        <w:t>14</w:t>
      </w:r>
      <w:r w:rsidR="006B2C07">
        <w:rPr>
          <w:rFonts w:ascii="Arial" w:eastAsia="楷体_GB2312" w:hAnsi="Arial" w:cs="Arial" w:hint="eastAsia"/>
          <w:color w:val="auto"/>
          <w:sz w:val="20"/>
          <w:szCs w:val="20"/>
        </w:rPr>
        <w:t>日创下三个月收盘新高，两融余额也在当天达到</w:t>
      </w:r>
      <w:r w:rsidR="006B2C07">
        <w:rPr>
          <w:rFonts w:ascii="Arial" w:eastAsia="楷体_GB2312" w:hAnsi="Arial" w:cs="Arial" w:hint="eastAsia"/>
          <w:color w:val="auto"/>
          <w:sz w:val="20"/>
          <w:szCs w:val="20"/>
        </w:rPr>
        <w:t>2</w:t>
      </w:r>
      <w:r w:rsidR="006B2C07">
        <w:rPr>
          <w:rFonts w:ascii="Arial" w:eastAsia="楷体_GB2312" w:hAnsi="Arial" w:cs="Arial" w:hint="eastAsia"/>
          <w:color w:val="auto"/>
          <w:sz w:val="20"/>
          <w:szCs w:val="20"/>
        </w:rPr>
        <w:t>月</w:t>
      </w:r>
      <w:r w:rsidR="006B2C07">
        <w:rPr>
          <w:rFonts w:ascii="Arial" w:eastAsia="楷体_GB2312" w:hAnsi="Arial" w:cs="Arial" w:hint="eastAsia"/>
          <w:color w:val="auto"/>
          <w:sz w:val="20"/>
          <w:szCs w:val="20"/>
        </w:rPr>
        <w:t>3</w:t>
      </w:r>
      <w:r w:rsidR="006B2C07">
        <w:rPr>
          <w:rFonts w:ascii="Arial" w:eastAsia="楷体_GB2312" w:hAnsi="Arial" w:cs="Arial" w:hint="eastAsia"/>
          <w:color w:val="auto"/>
          <w:sz w:val="20"/>
          <w:szCs w:val="20"/>
        </w:rPr>
        <w:t>日以来的新高。然而，</w:t>
      </w:r>
      <w:r w:rsidR="006B2C07">
        <w:rPr>
          <w:rFonts w:ascii="Arial" w:eastAsia="楷体_GB2312" w:hAnsi="Arial" w:cs="Arial" w:hint="eastAsia"/>
          <w:color w:val="auto"/>
          <w:sz w:val="20"/>
          <w:szCs w:val="20"/>
        </w:rPr>
        <w:t>4</w:t>
      </w:r>
      <w:r w:rsidR="006B2C07">
        <w:rPr>
          <w:rFonts w:ascii="Arial" w:eastAsia="楷体_GB2312" w:hAnsi="Arial" w:cs="Arial" w:hint="eastAsia"/>
          <w:color w:val="auto"/>
          <w:sz w:val="20"/>
          <w:szCs w:val="20"/>
        </w:rPr>
        <w:t>月</w:t>
      </w:r>
      <w:r w:rsidR="006B2C07">
        <w:rPr>
          <w:rFonts w:ascii="Arial" w:eastAsia="楷体_GB2312" w:hAnsi="Arial" w:cs="Arial" w:hint="eastAsia"/>
          <w:color w:val="auto"/>
          <w:sz w:val="20"/>
          <w:szCs w:val="20"/>
        </w:rPr>
        <w:t>20</w:t>
      </w:r>
      <w:r w:rsidR="006B2C07">
        <w:rPr>
          <w:rFonts w:ascii="Arial" w:eastAsia="楷体_GB2312" w:hAnsi="Arial" w:cs="Arial" w:hint="eastAsia"/>
          <w:color w:val="auto"/>
          <w:sz w:val="20"/>
          <w:szCs w:val="20"/>
        </w:rPr>
        <w:t>日的一次放量杀</w:t>
      </w:r>
      <w:proofErr w:type="gramStart"/>
      <w:r w:rsidR="006B2C07">
        <w:rPr>
          <w:rFonts w:ascii="Arial" w:eastAsia="楷体_GB2312" w:hAnsi="Arial" w:cs="Arial" w:hint="eastAsia"/>
          <w:color w:val="auto"/>
          <w:sz w:val="20"/>
          <w:szCs w:val="20"/>
        </w:rPr>
        <w:t>跌</w:t>
      </w:r>
      <w:r w:rsidR="00F27D6A">
        <w:rPr>
          <w:rFonts w:ascii="Arial" w:eastAsia="楷体_GB2312" w:hAnsi="Arial" w:cs="Arial" w:hint="eastAsia"/>
          <w:color w:val="auto"/>
          <w:sz w:val="20"/>
          <w:szCs w:val="20"/>
        </w:rPr>
        <w:t>完全</w:t>
      </w:r>
      <w:proofErr w:type="gramEnd"/>
      <w:r w:rsidR="00F27D6A">
        <w:rPr>
          <w:rFonts w:ascii="Arial" w:eastAsia="楷体_GB2312" w:hAnsi="Arial" w:cs="Arial" w:hint="eastAsia"/>
          <w:color w:val="auto"/>
          <w:sz w:val="20"/>
          <w:szCs w:val="20"/>
        </w:rPr>
        <w:t>侵蚀了</w:t>
      </w:r>
      <w:r w:rsidR="00F27D6A">
        <w:rPr>
          <w:rFonts w:ascii="Arial" w:eastAsia="楷体_GB2312" w:hAnsi="Arial" w:cs="Arial" w:hint="eastAsia"/>
          <w:color w:val="auto"/>
          <w:sz w:val="20"/>
          <w:szCs w:val="20"/>
        </w:rPr>
        <w:t>4</w:t>
      </w:r>
      <w:r w:rsidR="00F27D6A">
        <w:rPr>
          <w:rFonts w:ascii="Arial" w:eastAsia="楷体_GB2312" w:hAnsi="Arial" w:cs="Arial" w:hint="eastAsia"/>
          <w:color w:val="auto"/>
          <w:sz w:val="20"/>
          <w:szCs w:val="20"/>
        </w:rPr>
        <w:t>月以来的涨幅，且自此之后，全部</w:t>
      </w:r>
      <w:r w:rsidR="00F27D6A">
        <w:rPr>
          <w:rFonts w:ascii="Arial" w:eastAsia="楷体_GB2312" w:hAnsi="Arial" w:cs="Arial" w:hint="eastAsia"/>
          <w:color w:val="auto"/>
          <w:sz w:val="20"/>
          <w:szCs w:val="20"/>
        </w:rPr>
        <w:t>A</w:t>
      </w:r>
      <w:r w:rsidR="00F27D6A">
        <w:rPr>
          <w:rFonts w:ascii="Arial" w:eastAsia="楷体_GB2312" w:hAnsi="Arial" w:cs="Arial" w:hint="eastAsia"/>
          <w:color w:val="auto"/>
          <w:sz w:val="20"/>
          <w:szCs w:val="20"/>
        </w:rPr>
        <w:t>股的日均成交额及两融余额均一蹶不振。</w:t>
      </w:r>
      <w:r w:rsidR="00BA6BA1" w:rsidRPr="00F32B67">
        <w:rPr>
          <w:rFonts w:ascii="Arial" w:eastAsia="楷体_GB2312" w:hAnsi="Arial" w:cs="Arial" w:hint="eastAsia"/>
          <w:color w:val="auto"/>
          <w:sz w:val="20"/>
          <w:szCs w:val="20"/>
        </w:rPr>
        <w:t>截至</w:t>
      </w:r>
      <w:r w:rsidR="00F27D6A">
        <w:rPr>
          <w:rFonts w:ascii="Arial" w:eastAsia="楷体_GB2312" w:hAnsi="Arial" w:cs="Arial" w:hint="eastAsia"/>
          <w:color w:val="auto"/>
          <w:sz w:val="20"/>
          <w:szCs w:val="20"/>
        </w:rPr>
        <w:t>4</w:t>
      </w:r>
      <w:r w:rsidR="00F27D6A">
        <w:rPr>
          <w:rFonts w:ascii="Arial" w:eastAsia="楷体_GB2312" w:hAnsi="Arial" w:cs="Arial" w:hint="eastAsia"/>
          <w:color w:val="auto"/>
          <w:sz w:val="20"/>
          <w:szCs w:val="20"/>
        </w:rPr>
        <w:t>月</w:t>
      </w:r>
      <w:r w:rsidR="00F27D6A">
        <w:rPr>
          <w:rFonts w:ascii="Arial" w:eastAsia="楷体_GB2312" w:hAnsi="Arial" w:cs="Arial" w:hint="eastAsia"/>
          <w:color w:val="auto"/>
          <w:sz w:val="20"/>
          <w:szCs w:val="20"/>
        </w:rPr>
        <w:t>28</w:t>
      </w:r>
      <w:r w:rsidR="00F27D6A">
        <w:rPr>
          <w:rFonts w:ascii="Arial" w:eastAsia="楷体_GB2312" w:hAnsi="Arial" w:cs="Arial" w:hint="eastAsia"/>
          <w:color w:val="auto"/>
          <w:sz w:val="20"/>
          <w:szCs w:val="20"/>
        </w:rPr>
        <w:t>日</w:t>
      </w:r>
      <w:r w:rsidR="00BA6BA1" w:rsidRPr="00F32B67">
        <w:rPr>
          <w:rFonts w:ascii="Arial" w:eastAsia="楷体_GB2312" w:hAnsi="Arial" w:cs="Arial" w:hint="eastAsia"/>
          <w:color w:val="auto"/>
          <w:sz w:val="20"/>
          <w:szCs w:val="20"/>
        </w:rPr>
        <w:t>，沪深两市两融余额合计</w:t>
      </w:r>
      <w:r w:rsidR="00BA6BA1" w:rsidRPr="00F32B67">
        <w:rPr>
          <w:rFonts w:ascii="Arial" w:eastAsia="楷体_GB2312" w:hAnsi="Arial" w:cs="Arial" w:hint="eastAsia"/>
          <w:color w:val="auto"/>
          <w:sz w:val="20"/>
          <w:szCs w:val="20"/>
        </w:rPr>
        <w:t>8</w:t>
      </w:r>
      <w:r w:rsidR="00F27D6A">
        <w:rPr>
          <w:rFonts w:ascii="Arial" w:eastAsia="楷体_GB2312" w:hAnsi="Arial" w:cs="Arial" w:hint="eastAsia"/>
          <w:color w:val="auto"/>
          <w:sz w:val="20"/>
          <w:szCs w:val="20"/>
        </w:rPr>
        <w:t>669</w:t>
      </w:r>
      <w:r w:rsidR="00BA6BA1" w:rsidRPr="00F32B67">
        <w:rPr>
          <w:rFonts w:ascii="Arial" w:eastAsia="楷体_GB2312" w:hAnsi="Arial" w:cs="Arial" w:hint="eastAsia"/>
          <w:color w:val="auto"/>
          <w:sz w:val="20"/>
          <w:szCs w:val="20"/>
        </w:rPr>
        <w:t>亿元，</w:t>
      </w:r>
      <w:r w:rsidR="00F27D6A" w:rsidRPr="00F27D6A">
        <w:rPr>
          <w:rFonts w:ascii="Arial" w:eastAsia="楷体_GB2312" w:hAnsi="Arial" w:cs="Arial" w:hint="eastAsia"/>
          <w:color w:val="auto"/>
          <w:sz w:val="20"/>
          <w:szCs w:val="20"/>
        </w:rPr>
        <w:t>持续刷新</w:t>
      </w:r>
      <w:r w:rsidR="00F27D6A" w:rsidRPr="00F27D6A">
        <w:rPr>
          <w:rFonts w:ascii="Arial" w:eastAsia="楷体_GB2312" w:hAnsi="Arial" w:cs="Arial" w:hint="eastAsia"/>
          <w:color w:val="auto"/>
          <w:sz w:val="20"/>
          <w:szCs w:val="20"/>
        </w:rPr>
        <w:t>3</w:t>
      </w:r>
      <w:r w:rsidR="00F27D6A" w:rsidRPr="00F27D6A">
        <w:rPr>
          <w:rFonts w:ascii="Arial" w:eastAsia="楷体_GB2312" w:hAnsi="Arial" w:cs="Arial" w:hint="eastAsia"/>
          <w:color w:val="auto"/>
          <w:sz w:val="20"/>
          <w:szCs w:val="20"/>
        </w:rPr>
        <w:t>月</w:t>
      </w:r>
      <w:r w:rsidR="00F27D6A" w:rsidRPr="00F27D6A">
        <w:rPr>
          <w:rFonts w:ascii="Arial" w:eastAsia="楷体_GB2312" w:hAnsi="Arial" w:cs="Arial" w:hint="eastAsia"/>
          <w:color w:val="auto"/>
          <w:sz w:val="20"/>
          <w:szCs w:val="20"/>
        </w:rPr>
        <w:t>21</w:t>
      </w:r>
      <w:r w:rsidR="00F27D6A">
        <w:rPr>
          <w:rFonts w:ascii="Arial" w:eastAsia="楷体_GB2312" w:hAnsi="Arial" w:cs="Arial" w:hint="eastAsia"/>
          <w:color w:val="auto"/>
          <w:sz w:val="20"/>
          <w:szCs w:val="20"/>
        </w:rPr>
        <w:t>日以来新低</w:t>
      </w:r>
      <w:r w:rsidR="00BA6BA1" w:rsidRPr="004E0E69">
        <w:rPr>
          <w:rFonts w:ascii="Arial" w:eastAsia="楷体_GB2312" w:hAnsi="Arial" w:cs="Arial" w:hint="eastAsia"/>
          <w:color w:val="auto"/>
          <w:sz w:val="20"/>
          <w:szCs w:val="20"/>
        </w:rPr>
        <w:t>。</w:t>
      </w:r>
      <w:r w:rsidR="00F27D6A">
        <w:rPr>
          <w:rFonts w:ascii="Arial" w:eastAsia="楷体_GB2312" w:hAnsi="Arial" w:cs="Arial" w:hint="eastAsia"/>
          <w:color w:val="auto"/>
          <w:sz w:val="20"/>
          <w:szCs w:val="20"/>
        </w:rPr>
        <w:t>4</w:t>
      </w:r>
      <w:r w:rsidR="00F27D6A">
        <w:rPr>
          <w:rFonts w:ascii="Arial" w:eastAsia="楷体_GB2312" w:hAnsi="Arial" w:cs="Arial" w:hint="eastAsia"/>
          <w:color w:val="auto"/>
          <w:sz w:val="20"/>
          <w:szCs w:val="20"/>
        </w:rPr>
        <w:t>月最后一周</w:t>
      </w:r>
      <w:r w:rsidR="00BA6BA1" w:rsidRPr="004E0E69">
        <w:rPr>
          <w:rFonts w:ascii="Arial" w:eastAsia="楷体_GB2312" w:hAnsi="Arial" w:cs="Arial" w:hint="eastAsia"/>
          <w:color w:val="auto"/>
          <w:sz w:val="20"/>
          <w:szCs w:val="20"/>
        </w:rPr>
        <w:t>全</w:t>
      </w:r>
      <w:r w:rsidR="00BA6BA1" w:rsidRPr="004E0E69">
        <w:rPr>
          <w:rFonts w:ascii="Arial" w:eastAsia="楷体_GB2312" w:hAnsi="Arial" w:cs="Arial"/>
          <w:color w:val="auto"/>
          <w:sz w:val="20"/>
          <w:szCs w:val="20"/>
        </w:rPr>
        <w:t>部</w:t>
      </w:r>
      <w:r w:rsidR="00BA6BA1" w:rsidRPr="004E0E69">
        <w:rPr>
          <w:rFonts w:ascii="Arial" w:eastAsia="楷体_GB2312" w:hAnsi="Arial" w:cs="Arial"/>
          <w:color w:val="auto"/>
          <w:sz w:val="20"/>
          <w:szCs w:val="20"/>
        </w:rPr>
        <w:t>A</w:t>
      </w:r>
      <w:r w:rsidR="00BA6BA1" w:rsidRPr="004E0E69">
        <w:rPr>
          <w:rFonts w:ascii="Arial" w:eastAsia="楷体_GB2312" w:hAnsi="Arial" w:cs="Arial"/>
          <w:color w:val="auto"/>
          <w:sz w:val="20"/>
          <w:szCs w:val="20"/>
        </w:rPr>
        <w:t>股的日成交金额均值为</w:t>
      </w:r>
      <w:r w:rsidR="00F27D6A">
        <w:rPr>
          <w:rFonts w:ascii="Arial" w:eastAsia="楷体_GB2312" w:hAnsi="Arial" w:cs="Arial" w:hint="eastAsia"/>
          <w:color w:val="auto"/>
          <w:sz w:val="20"/>
          <w:szCs w:val="20"/>
        </w:rPr>
        <w:t>不足</w:t>
      </w:r>
      <w:r w:rsidR="00F27D6A">
        <w:rPr>
          <w:rFonts w:ascii="Arial" w:eastAsia="楷体_GB2312" w:hAnsi="Arial" w:cs="Arial" w:hint="eastAsia"/>
          <w:color w:val="auto"/>
          <w:sz w:val="20"/>
          <w:szCs w:val="20"/>
        </w:rPr>
        <w:t>4000</w:t>
      </w:r>
      <w:r w:rsidR="00BA6BA1" w:rsidRPr="004E0E69">
        <w:rPr>
          <w:rFonts w:ascii="Arial" w:eastAsia="楷体_GB2312" w:hAnsi="Arial" w:cs="Arial" w:hint="eastAsia"/>
          <w:color w:val="auto"/>
          <w:sz w:val="20"/>
          <w:szCs w:val="20"/>
        </w:rPr>
        <w:t>亿，</w:t>
      </w:r>
      <w:r w:rsidR="00F27D6A">
        <w:rPr>
          <w:rFonts w:ascii="Arial" w:eastAsia="楷体_GB2312" w:hAnsi="Arial" w:cs="Arial" w:hint="eastAsia"/>
          <w:color w:val="auto"/>
          <w:sz w:val="20"/>
          <w:szCs w:val="20"/>
        </w:rPr>
        <w:t>也创阶段新低</w:t>
      </w:r>
      <w:r w:rsidR="00BA6BA1" w:rsidRPr="004E0E69">
        <w:rPr>
          <w:rFonts w:ascii="Arial" w:eastAsia="楷体_GB2312" w:hAnsi="Arial" w:cs="Arial"/>
          <w:color w:val="auto"/>
          <w:sz w:val="20"/>
          <w:szCs w:val="20"/>
        </w:rPr>
        <w:t>。</w:t>
      </w:r>
      <w:r w:rsidR="00F27D6A" w:rsidRPr="00F27D6A">
        <w:rPr>
          <w:rFonts w:ascii="Arial" w:eastAsia="楷体_GB2312" w:hAnsi="Arial" w:cs="Arial" w:hint="eastAsia"/>
          <w:color w:val="auto"/>
          <w:sz w:val="20"/>
          <w:szCs w:val="20"/>
        </w:rPr>
        <w:t>资金已经连续</w:t>
      </w:r>
      <w:r w:rsidR="00F27D6A" w:rsidRPr="00F27D6A">
        <w:rPr>
          <w:rFonts w:ascii="Arial" w:eastAsia="楷体_GB2312" w:hAnsi="Arial" w:cs="Arial" w:hint="eastAsia"/>
          <w:color w:val="auto"/>
          <w:sz w:val="20"/>
          <w:szCs w:val="20"/>
        </w:rPr>
        <w:t>1</w:t>
      </w:r>
      <w:r w:rsidR="00F27D6A">
        <w:rPr>
          <w:rFonts w:ascii="Arial" w:eastAsia="楷体_GB2312" w:hAnsi="Arial" w:cs="Arial" w:hint="eastAsia"/>
          <w:color w:val="auto"/>
          <w:sz w:val="20"/>
          <w:szCs w:val="20"/>
        </w:rPr>
        <w:t>2</w:t>
      </w:r>
      <w:r w:rsidR="00F27D6A" w:rsidRPr="00F27D6A">
        <w:rPr>
          <w:rFonts w:ascii="Arial" w:eastAsia="楷体_GB2312" w:hAnsi="Arial" w:cs="Arial" w:hint="eastAsia"/>
          <w:color w:val="auto"/>
          <w:sz w:val="20"/>
          <w:szCs w:val="20"/>
        </w:rPr>
        <w:t>日净流出，场内更多的是存量资金之间的</w:t>
      </w:r>
      <w:r w:rsidR="00F27D6A">
        <w:rPr>
          <w:rFonts w:ascii="Arial" w:eastAsia="楷体_GB2312" w:hAnsi="Arial" w:cs="Arial" w:hint="eastAsia"/>
          <w:color w:val="auto"/>
          <w:sz w:val="20"/>
          <w:szCs w:val="20"/>
        </w:rPr>
        <w:t>博弈</w:t>
      </w:r>
      <w:r w:rsidR="00F27D6A" w:rsidRPr="00F27D6A">
        <w:rPr>
          <w:rFonts w:ascii="Arial" w:eastAsia="楷体_GB2312" w:hAnsi="Arial" w:cs="Arial" w:hint="eastAsia"/>
          <w:color w:val="auto"/>
          <w:sz w:val="20"/>
          <w:szCs w:val="20"/>
        </w:rPr>
        <w:t>。</w:t>
      </w:r>
      <w:r w:rsidR="00BA6BA1" w:rsidRPr="004E0E69">
        <w:rPr>
          <w:rFonts w:ascii="Arial" w:eastAsia="楷体_GB2312" w:hAnsi="Arial" w:cs="Arial"/>
          <w:color w:val="auto"/>
          <w:sz w:val="20"/>
          <w:szCs w:val="20"/>
        </w:rPr>
        <w:t>全</w:t>
      </w:r>
      <w:r w:rsidR="00F27D6A">
        <w:rPr>
          <w:rFonts w:ascii="Arial" w:eastAsia="楷体_GB2312" w:hAnsi="Arial" w:cs="Arial" w:hint="eastAsia"/>
          <w:color w:val="auto"/>
          <w:sz w:val="20"/>
          <w:szCs w:val="20"/>
        </w:rPr>
        <w:t>月</w:t>
      </w:r>
      <w:r w:rsidR="00BA6BA1" w:rsidRPr="004E0E69">
        <w:rPr>
          <w:rFonts w:ascii="Arial" w:eastAsia="楷体_GB2312" w:hAnsi="Arial" w:cs="Arial"/>
          <w:color w:val="auto"/>
          <w:sz w:val="20"/>
          <w:szCs w:val="20"/>
        </w:rPr>
        <w:t>来看，</w:t>
      </w:r>
      <w:r w:rsidR="00BA6BA1" w:rsidRPr="004E0E69">
        <w:rPr>
          <w:rFonts w:ascii="Arial" w:eastAsia="楷体_GB2312" w:hAnsi="Arial" w:cs="Arial" w:hint="eastAsia"/>
          <w:color w:val="auto"/>
          <w:sz w:val="20"/>
          <w:szCs w:val="20"/>
        </w:rPr>
        <w:t>上证综指跌</w:t>
      </w:r>
      <w:r w:rsidR="00F27D6A">
        <w:rPr>
          <w:rFonts w:ascii="Arial" w:eastAsia="楷体_GB2312" w:hAnsi="Arial" w:cs="Arial" w:hint="eastAsia"/>
          <w:color w:val="auto"/>
          <w:sz w:val="20"/>
          <w:szCs w:val="20"/>
        </w:rPr>
        <w:t>2.18</w:t>
      </w:r>
      <w:r w:rsidR="00BA6BA1" w:rsidRPr="004E0E69">
        <w:rPr>
          <w:rFonts w:ascii="Arial" w:eastAsia="楷体_GB2312" w:hAnsi="Arial" w:cs="Arial" w:hint="eastAsia"/>
          <w:color w:val="auto"/>
          <w:sz w:val="20"/>
          <w:szCs w:val="20"/>
        </w:rPr>
        <w:t>%</w:t>
      </w:r>
      <w:r w:rsidR="00BA6BA1" w:rsidRPr="004E0E69">
        <w:rPr>
          <w:rFonts w:ascii="Arial" w:eastAsia="楷体_GB2312" w:hAnsi="Arial" w:cs="Arial"/>
          <w:color w:val="auto"/>
          <w:sz w:val="20"/>
          <w:szCs w:val="20"/>
        </w:rPr>
        <w:t>，沪深</w:t>
      </w:r>
      <w:r w:rsidR="00BA6BA1" w:rsidRPr="004E0E69">
        <w:rPr>
          <w:rFonts w:ascii="Arial" w:eastAsia="楷体_GB2312" w:hAnsi="Arial" w:cs="Arial"/>
          <w:color w:val="auto"/>
          <w:sz w:val="20"/>
          <w:szCs w:val="20"/>
        </w:rPr>
        <w:t>300</w:t>
      </w:r>
      <w:r w:rsidR="00BA6BA1" w:rsidRPr="004E0E69">
        <w:rPr>
          <w:rFonts w:ascii="Arial" w:eastAsia="楷体_GB2312" w:hAnsi="Arial" w:cs="Arial" w:hint="eastAsia"/>
          <w:color w:val="auto"/>
          <w:sz w:val="20"/>
          <w:szCs w:val="20"/>
        </w:rPr>
        <w:t>跌</w:t>
      </w:r>
      <w:r w:rsidR="00F27D6A">
        <w:rPr>
          <w:rFonts w:ascii="Arial" w:eastAsia="楷体_GB2312" w:hAnsi="Arial" w:cs="Arial" w:hint="eastAsia"/>
          <w:color w:val="auto"/>
          <w:sz w:val="20"/>
          <w:szCs w:val="20"/>
        </w:rPr>
        <w:t>1.91</w:t>
      </w:r>
      <w:r w:rsidR="00BA6BA1" w:rsidRPr="004E0E69">
        <w:rPr>
          <w:rFonts w:ascii="Arial" w:eastAsia="楷体_GB2312" w:hAnsi="Arial" w:cs="Arial"/>
          <w:color w:val="auto"/>
          <w:sz w:val="20"/>
          <w:szCs w:val="20"/>
        </w:rPr>
        <w:t>%</w:t>
      </w:r>
      <w:r w:rsidR="00BA6BA1" w:rsidRPr="004E0E69">
        <w:rPr>
          <w:rFonts w:ascii="Arial" w:eastAsia="楷体_GB2312" w:hAnsi="Arial" w:cs="Arial"/>
          <w:color w:val="auto"/>
          <w:sz w:val="20"/>
          <w:szCs w:val="20"/>
        </w:rPr>
        <w:t>，中小板指</w:t>
      </w:r>
      <w:r w:rsidR="00BA6BA1" w:rsidRPr="004E0E69">
        <w:rPr>
          <w:rFonts w:ascii="Arial" w:eastAsia="楷体_GB2312" w:hAnsi="Arial" w:cs="Arial" w:hint="eastAsia"/>
          <w:color w:val="auto"/>
          <w:sz w:val="20"/>
          <w:szCs w:val="20"/>
        </w:rPr>
        <w:t>跌</w:t>
      </w:r>
      <w:r w:rsidR="00F27D6A">
        <w:rPr>
          <w:rFonts w:ascii="Arial" w:eastAsia="楷体_GB2312" w:hAnsi="Arial" w:cs="Arial" w:hint="eastAsia"/>
          <w:color w:val="auto"/>
          <w:sz w:val="20"/>
          <w:szCs w:val="20"/>
        </w:rPr>
        <w:t>3.61</w:t>
      </w:r>
      <w:r w:rsidR="00BA6BA1" w:rsidRPr="004E0E69">
        <w:rPr>
          <w:rFonts w:ascii="Arial" w:eastAsia="楷体_GB2312" w:hAnsi="Arial" w:cs="Arial"/>
          <w:color w:val="auto"/>
          <w:sz w:val="20"/>
          <w:szCs w:val="20"/>
        </w:rPr>
        <w:t>%</w:t>
      </w:r>
      <w:r w:rsidR="00BA6BA1" w:rsidRPr="004E0E69">
        <w:rPr>
          <w:rFonts w:ascii="Arial" w:eastAsia="楷体_GB2312" w:hAnsi="Arial" w:cs="Arial"/>
          <w:color w:val="auto"/>
          <w:sz w:val="20"/>
          <w:szCs w:val="20"/>
        </w:rPr>
        <w:t>、创业板指</w:t>
      </w:r>
      <w:r w:rsidR="00BA6BA1" w:rsidRPr="004E0E69">
        <w:rPr>
          <w:rFonts w:ascii="Arial" w:eastAsia="楷体_GB2312" w:hAnsi="Arial" w:cs="Arial" w:hint="eastAsia"/>
          <w:color w:val="auto"/>
          <w:sz w:val="20"/>
          <w:szCs w:val="20"/>
        </w:rPr>
        <w:t>跌</w:t>
      </w:r>
      <w:r w:rsidR="00F27D6A">
        <w:rPr>
          <w:rFonts w:ascii="Arial" w:eastAsia="楷体_GB2312" w:hAnsi="Arial" w:cs="Arial" w:hint="eastAsia"/>
          <w:color w:val="auto"/>
          <w:sz w:val="20"/>
          <w:szCs w:val="20"/>
        </w:rPr>
        <w:t>4.45</w:t>
      </w:r>
      <w:r w:rsidR="00BA6BA1" w:rsidRPr="004E0E69">
        <w:rPr>
          <w:rFonts w:ascii="Arial" w:eastAsia="楷体_GB2312" w:hAnsi="Arial" w:cs="Arial"/>
          <w:color w:val="auto"/>
          <w:sz w:val="20"/>
          <w:szCs w:val="20"/>
        </w:rPr>
        <w:t>%</w:t>
      </w:r>
      <w:r w:rsidR="00BA6BA1" w:rsidRPr="004E0E69">
        <w:rPr>
          <w:rFonts w:ascii="Arial" w:eastAsia="楷体_GB2312" w:hAnsi="Arial" w:cs="Arial"/>
          <w:color w:val="auto"/>
          <w:sz w:val="20"/>
          <w:szCs w:val="20"/>
        </w:rPr>
        <w:t>。从</w:t>
      </w:r>
      <w:r w:rsidR="00BA6BA1" w:rsidRPr="004E0E69">
        <w:rPr>
          <w:rFonts w:ascii="Arial" w:eastAsia="楷体_GB2312" w:hAnsi="Arial" w:cs="Arial" w:hint="eastAsia"/>
          <w:color w:val="auto"/>
          <w:sz w:val="20"/>
          <w:szCs w:val="20"/>
        </w:rPr>
        <w:t>概念板块来</w:t>
      </w:r>
      <w:r w:rsidR="00BA6BA1" w:rsidRPr="004E0E69">
        <w:rPr>
          <w:rFonts w:ascii="Arial" w:eastAsia="楷体_GB2312" w:hAnsi="Arial" w:cs="Arial"/>
          <w:color w:val="auto"/>
          <w:sz w:val="20"/>
          <w:szCs w:val="20"/>
        </w:rPr>
        <w:t>看，</w:t>
      </w:r>
      <w:r w:rsidR="003B50CB">
        <w:rPr>
          <w:rFonts w:ascii="Arial" w:eastAsia="楷体_GB2312" w:hAnsi="Arial" w:cs="Arial" w:hint="eastAsia"/>
          <w:color w:val="auto"/>
          <w:sz w:val="20"/>
          <w:szCs w:val="20"/>
        </w:rPr>
        <w:t>次新股指数</w:t>
      </w:r>
      <w:r w:rsidR="00BA6BA1" w:rsidRPr="004E0E69">
        <w:rPr>
          <w:rFonts w:ascii="Arial" w:eastAsia="楷体_GB2312" w:hAnsi="Arial" w:cs="Arial" w:hint="eastAsia"/>
          <w:color w:val="auto"/>
          <w:sz w:val="20"/>
          <w:szCs w:val="20"/>
        </w:rPr>
        <w:t>（</w:t>
      </w:r>
      <w:r w:rsidR="003B50CB">
        <w:rPr>
          <w:rFonts w:ascii="Arial" w:eastAsia="楷体_GB2312" w:hAnsi="Arial" w:cs="Arial" w:hint="eastAsia"/>
          <w:color w:val="auto"/>
          <w:sz w:val="20"/>
          <w:szCs w:val="20"/>
        </w:rPr>
        <w:t>31.67</w:t>
      </w:r>
      <w:r w:rsidR="00BA6BA1" w:rsidRPr="004E0E69">
        <w:rPr>
          <w:rFonts w:ascii="Arial" w:eastAsia="楷体_GB2312" w:hAnsi="Arial" w:cs="Arial" w:hint="eastAsia"/>
          <w:color w:val="auto"/>
          <w:sz w:val="20"/>
          <w:szCs w:val="20"/>
        </w:rPr>
        <w:t>%</w:t>
      </w:r>
      <w:r w:rsidR="00BA6BA1" w:rsidRPr="004E0E69">
        <w:rPr>
          <w:rFonts w:ascii="Arial" w:eastAsia="楷体_GB2312" w:hAnsi="Arial" w:cs="Arial" w:hint="eastAsia"/>
          <w:color w:val="auto"/>
          <w:sz w:val="20"/>
          <w:szCs w:val="20"/>
        </w:rPr>
        <w:t>）、</w:t>
      </w:r>
      <w:r w:rsidR="003B50CB">
        <w:rPr>
          <w:rFonts w:ascii="Arial" w:eastAsia="楷体_GB2312" w:hAnsi="Arial" w:cs="Arial" w:hint="eastAsia"/>
          <w:color w:val="auto"/>
          <w:sz w:val="20"/>
          <w:szCs w:val="20"/>
        </w:rPr>
        <w:t>稀土永磁</w:t>
      </w:r>
      <w:r w:rsidR="00BA6BA1" w:rsidRPr="004E0E69">
        <w:rPr>
          <w:rFonts w:ascii="Arial" w:eastAsia="楷体_GB2312" w:hAnsi="Arial" w:cs="Arial" w:hint="eastAsia"/>
          <w:color w:val="auto"/>
          <w:sz w:val="20"/>
          <w:szCs w:val="20"/>
        </w:rPr>
        <w:t>指数（</w:t>
      </w:r>
      <w:r w:rsidR="003B50CB">
        <w:rPr>
          <w:rFonts w:ascii="Arial" w:eastAsia="楷体_GB2312" w:hAnsi="Arial" w:cs="Arial" w:hint="eastAsia"/>
          <w:color w:val="auto"/>
          <w:sz w:val="20"/>
          <w:szCs w:val="20"/>
        </w:rPr>
        <w:t>7.31</w:t>
      </w:r>
      <w:r w:rsidR="00BA6BA1" w:rsidRPr="004E0E69">
        <w:rPr>
          <w:rFonts w:ascii="Arial" w:eastAsia="楷体_GB2312" w:hAnsi="Arial" w:cs="Arial" w:hint="eastAsia"/>
          <w:color w:val="auto"/>
          <w:sz w:val="20"/>
          <w:szCs w:val="20"/>
        </w:rPr>
        <w:t>%</w:t>
      </w:r>
      <w:r w:rsidR="00BA6BA1" w:rsidRPr="004E0E69">
        <w:rPr>
          <w:rFonts w:ascii="Arial" w:eastAsia="楷体_GB2312" w:hAnsi="Arial" w:cs="Arial" w:hint="eastAsia"/>
          <w:color w:val="auto"/>
          <w:sz w:val="20"/>
          <w:szCs w:val="20"/>
        </w:rPr>
        <w:t>）、</w:t>
      </w:r>
      <w:r w:rsidR="003B50CB">
        <w:rPr>
          <w:rFonts w:ascii="Arial" w:eastAsia="楷体_GB2312" w:hAnsi="Arial" w:cs="Arial" w:hint="eastAsia"/>
          <w:color w:val="auto"/>
          <w:sz w:val="20"/>
          <w:szCs w:val="20"/>
        </w:rPr>
        <w:t>锂电池</w:t>
      </w:r>
      <w:r w:rsidR="00BA6BA1" w:rsidRPr="004E0E69">
        <w:rPr>
          <w:rFonts w:ascii="Arial" w:eastAsia="楷体_GB2312" w:hAnsi="Arial" w:cs="Arial" w:hint="eastAsia"/>
          <w:color w:val="auto"/>
          <w:sz w:val="20"/>
          <w:szCs w:val="20"/>
        </w:rPr>
        <w:t>指数（</w:t>
      </w:r>
      <w:r w:rsidR="003B50CB">
        <w:rPr>
          <w:rFonts w:ascii="Arial" w:eastAsia="楷体_GB2312" w:hAnsi="Arial" w:cs="Arial" w:hint="eastAsia"/>
          <w:color w:val="auto"/>
          <w:sz w:val="20"/>
          <w:szCs w:val="20"/>
        </w:rPr>
        <w:t>6.41</w:t>
      </w:r>
      <w:r w:rsidR="00BA6BA1" w:rsidRPr="004E0E69">
        <w:rPr>
          <w:rFonts w:ascii="Arial" w:eastAsia="楷体_GB2312" w:hAnsi="Arial" w:cs="Arial" w:hint="eastAsia"/>
          <w:color w:val="auto"/>
          <w:sz w:val="20"/>
          <w:szCs w:val="20"/>
        </w:rPr>
        <w:t>%</w:t>
      </w:r>
      <w:r w:rsidR="00BA6BA1" w:rsidRPr="004E0E69">
        <w:rPr>
          <w:rFonts w:ascii="Arial" w:eastAsia="楷体_GB2312" w:hAnsi="Arial" w:cs="Arial" w:hint="eastAsia"/>
          <w:color w:val="auto"/>
          <w:sz w:val="20"/>
          <w:szCs w:val="20"/>
        </w:rPr>
        <w:t>）</w:t>
      </w:r>
      <w:r w:rsidR="00BA6BA1" w:rsidRPr="004E0E69">
        <w:rPr>
          <w:rFonts w:ascii="Arial" w:eastAsia="楷体_GB2312" w:hAnsi="Arial" w:cs="Arial"/>
          <w:color w:val="auto"/>
          <w:sz w:val="20"/>
          <w:szCs w:val="20"/>
        </w:rPr>
        <w:t>表现较好。</w:t>
      </w:r>
      <w:r w:rsidR="00BA6BA1" w:rsidRPr="004E0E69">
        <w:rPr>
          <w:rFonts w:ascii="Arial" w:eastAsia="楷体_GB2312" w:hAnsi="Arial" w:cs="Arial"/>
          <w:color w:val="auto"/>
          <w:sz w:val="20"/>
          <w:szCs w:val="20"/>
        </w:rPr>
        <w:t>29</w:t>
      </w:r>
      <w:r w:rsidR="00BA6BA1" w:rsidRPr="004E0E69">
        <w:rPr>
          <w:rFonts w:ascii="Arial" w:eastAsia="楷体_GB2312" w:hAnsi="Arial" w:cs="Arial"/>
          <w:color w:val="auto"/>
          <w:sz w:val="20"/>
          <w:szCs w:val="20"/>
        </w:rPr>
        <w:t>个中信</w:t>
      </w:r>
      <w:proofErr w:type="gramStart"/>
      <w:r w:rsidR="00BA6BA1" w:rsidRPr="004E0E69">
        <w:rPr>
          <w:rFonts w:ascii="Arial" w:eastAsia="楷体_GB2312" w:hAnsi="Arial" w:cs="Arial"/>
          <w:color w:val="auto"/>
          <w:sz w:val="20"/>
          <w:szCs w:val="20"/>
        </w:rPr>
        <w:t>一级行业</w:t>
      </w:r>
      <w:proofErr w:type="gramEnd"/>
      <w:r w:rsidR="003B50CB">
        <w:rPr>
          <w:rFonts w:ascii="Arial" w:eastAsia="楷体_GB2312" w:hAnsi="Arial" w:cs="Arial" w:hint="eastAsia"/>
          <w:color w:val="auto"/>
          <w:sz w:val="20"/>
          <w:szCs w:val="20"/>
        </w:rPr>
        <w:t>有</w:t>
      </w:r>
      <w:r w:rsidR="003B50CB">
        <w:rPr>
          <w:rFonts w:ascii="Arial" w:eastAsia="楷体_GB2312" w:hAnsi="Arial" w:cs="Arial" w:hint="eastAsia"/>
          <w:color w:val="auto"/>
          <w:sz w:val="20"/>
          <w:szCs w:val="20"/>
        </w:rPr>
        <w:t>7</w:t>
      </w:r>
      <w:r w:rsidR="003B50CB">
        <w:rPr>
          <w:rFonts w:ascii="Arial" w:eastAsia="楷体_GB2312" w:hAnsi="Arial" w:cs="Arial" w:hint="eastAsia"/>
          <w:color w:val="auto"/>
          <w:sz w:val="20"/>
          <w:szCs w:val="20"/>
        </w:rPr>
        <w:t>个行业上涨</w:t>
      </w:r>
      <w:r w:rsidR="00BA6BA1" w:rsidRPr="004E0E69">
        <w:rPr>
          <w:rFonts w:ascii="Arial" w:eastAsia="楷体_GB2312" w:hAnsi="Arial" w:cs="Arial"/>
          <w:color w:val="auto"/>
          <w:sz w:val="20"/>
          <w:szCs w:val="20"/>
        </w:rPr>
        <w:t>，其中</w:t>
      </w:r>
      <w:r w:rsidR="003B50CB">
        <w:rPr>
          <w:rFonts w:ascii="Arial" w:eastAsia="楷体_GB2312" w:hAnsi="Arial" w:cs="Arial" w:hint="eastAsia"/>
          <w:color w:val="auto"/>
          <w:sz w:val="20"/>
          <w:szCs w:val="20"/>
        </w:rPr>
        <w:t>煤炭</w:t>
      </w:r>
      <w:r w:rsidR="00BA6BA1" w:rsidRPr="004E0E69">
        <w:rPr>
          <w:rFonts w:ascii="Arial" w:eastAsia="楷体_GB2312" w:hAnsi="Arial" w:cs="Arial"/>
          <w:color w:val="auto"/>
          <w:sz w:val="20"/>
          <w:szCs w:val="20"/>
        </w:rPr>
        <w:t>（</w:t>
      </w:r>
      <w:r w:rsidR="003B50CB">
        <w:rPr>
          <w:rFonts w:ascii="Arial" w:eastAsia="楷体_GB2312" w:hAnsi="Arial" w:cs="Arial" w:hint="eastAsia"/>
          <w:color w:val="auto"/>
          <w:sz w:val="20"/>
          <w:szCs w:val="20"/>
        </w:rPr>
        <w:t>6.95</w:t>
      </w:r>
      <w:r w:rsidR="00BA6BA1" w:rsidRPr="004E0E69">
        <w:rPr>
          <w:rFonts w:ascii="Arial" w:eastAsia="楷体_GB2312" w:hAnsi="Arial" w:cs="Arial"/>
          <w:color w:val="auto"/>
          <w:sz w:val="20"/>
          <w:szCs w:val="20"/>
        </w:rPr>
        <w:t>%</w:t>
      </w:r>
      <w:r w:rsidR="00BA6BA1" w:rsidRPr="004E0E69">
        <w:rPr>
          <w:rFonts w:ascii="Arial" w:eastAsia="楷体_GB2312" w:hAnsi="Arial" w:cs="Arial"/>
          <w:color w:val="auto"/>
          <w:sz w:val="20"/>
          <w:szCs w:val="20"/>
        </w:rPr>
        <w:t>）、</w:t>
      </w:r>
      <w:r w:rsidR="003B50CB">
        <w:rPr>
          <w:rFonts w:ascii="Arial" w:eastAsia="楷体_GB2312" w:hAnsi="Arial" w:cs="Arial" w:hint="eastAsia"/>
          <w:color w:val="auto"/>
          <w:sz w:val="20"/>
          <w:szCs w:val="20"/>
        </w:rPr>
        <w:t>食品饮料</w:t>
      </w:r>
      <w:r w:rsidR="00BA6BA1" w:rsidRPr="004E0E69">
        <w:rPr>
          <w:rFonts w:ascii="Arial" w:eastAsia="楷体_GB2312" w:hAnsi="Arial" w:cs="Arial"/>
          <w:color w:val="auto"/>
          <w:sz w:val="20"/>
          <w:szCs w:val="20"/>
        </w:rPr>
        <w:t>（</w:t>
      </w:r>
      <w:r w:rsidR="003B50CB">
        <w:rPr>
          <w:rFonts w:ascii="Arial" w:eastAsia="楷体_GB2312" w:hAnsi="Arial" w:cs="Arial" w:hint="eastAsia"/>
          <w:color w:val="auto"/>
          <w:sz w:val="20"/>
          <w:szCs w:val="20"/>
        </w:rPr>
        <w:t>1.46</w:t>
      </w:r>
      <w:r w:rsidR="00BA6BA1" w:rsidRPr="004E0E69">
        <w:rPr>
          <w:rFonts w:ascii="Arial" w:eastAsia="楷体_GB2312" w:hAnsi="Arial" w:cs="Arial"/>
          <w:color w:val="auto"/>
          <w:sz w:val="20"/>
          <w:szCs w:val="20"/>
        </w:rPr>
        <w:t>%</w:t>
      </w:r>
      <w:r w:rsidR="00BA6BA1" w:rsidRPr="004E0E69">
        <w:rPr>
          <w:rFonts w:ascii="Arial" w:eastAsia="楷体_GB2312" w:hAnsi="Arial" w:cs="Arial"/>
          <w:color w:val="auto"/>
          <w:sz w:val="20"/>
          <w:szCs w:val="20"/>
        </w:rPr>
        <w:t>）</w:t>
      </w:r>
      <w:r w:rsidR="003B50CB">
        <w:rPr>
          <w:rFonts w:ascii="Arial" w:eastAsia="楷体_GB2312" w:hAnsi="Arial" w:cs="Arial" w:hint="eastAsia"/>
          <w:color w:val="auto"/>
          <w:sz w:val="20"/>
          <w:szCs w:val="20"/>
        </w:rPr>
        <w:t>银行</w:t>
      </w:r>
      <w:r w:rsidR="00BA6BA1" w:rsidRPr="004E0E69">
        <w:rPr>
          <w:rFonts w:ascii="Arial" w:eastAsia="楷体_GB2312" w:hAnsi="Arial" w:cs="Arial"/>
          <w:color w:val="auto"/>
          <w:sz w:val="20"/>
          <w:szCs w:val="20"/>
        </w:rPr>
        <w:t>（</w:t>
      </w:r>
      <w:r w:rsidR="003B50CB">
        <w:rPr>
          <w:rFonts w:ascii="Arial" w:eastAsia="楷体_GB2312" w:hAnsi="Arial" w:cs="Arial" w:hint="eastAsia"/>
          <w:color w:val="auto"/>
          <w:sz w:val="20"/>
          <w:szCs w:val="20"/>
        </w:rPr>
        <w:t>1.39</w:t>
      </w:r>
      <w:r w:rsidR="00BA6BA1" w:rsidRPr="004E0E69">
        <w:rPr>
          <w:rFonts w:ascii="Arial" w:eastAsia="楷体_GB2312" w:hAnsi="Arial" w:cs="Arial"/>
          <w:color w:val="auto"/>
          <w:sz w:val="20"/>
          <w:szCs w:val="20"/>
        </w:rPr>
        <w:t>%</w:t>
      </w:r>
      <w:r w:rsidR="00BA6BA1" w:rsidRPr="004E0E69">
        <w:rPr>
          <w:rFonts w:ascii="Arial" w:eastAsia="楷体_GB2312" w:hAnsi="Arial" w:cs="Arial"/>
          <w:color w:val="auto"/>
          <w:sz w:val="20"/>
          <w:szCs w:val="20"/>
        </w:rPr>
        <w:t>）等行业</w:t>
      </w:r>
      <w:r w:rsidR="00BA6BA1" w:rsidRPr="004E0E69">
        <w:rPr>
          <w:rFonts w:ascii="Arial" w:eastAsia="楷体_GB2312" w:hAnsi="Arial" w:cs="Arial" w:hint="eastAsia"/>
          <w:color w:val="auto"/>
          <w:sz w:val="20"/>
          <w:szCs w:val="20"/>
        </w:rPr>
        <w:t>表现</w:t>
      </w:r>
      <w:r w:rsidR="00BA6BA1" w:rsidRPr="004E0E69">
        <w:rPr>
          <w:rFonts w:ascii="Arial" w:eastAsia="楷体_GB2312" w:hAnsi="Arial" w:cs="Arial"/>
          <w:color w:val="auto"/>
          <w:sz w:val="20"/>
          <w:szCs w:val="20"/>
        </w:rPr>
        <w:t>相对较好，</w:t>
      </w:r>
      <w:r w:rsidR="00BA6BA1" w:rsidRPr="004E0E69">
        <w:rPr>
          <w:rFonts w:ascii="Arial" w:eastAsia="楷体_GB2312" w:hAnsi="Arial" w:cs="Arial" w:hint="eastAsia"/>
          <w:color w:val="auto"/>
          <w:sz w:val="20"/>
          <w:szCs w:val="20"/>
        </w:rPr>
        <w:t>计算机</w:t>
      </w:r>
      <w:r w:rsidR="00BA6BA1" w:rsidRPr="004E0E69">
        <w:rPr>
          <w:rFonts w:ascii="Arial" w:eastAsia="楷体_GB2312" w:hAnsi="Arial" w:cs="Arial"/>
          <w:color w:val="auto"/>
          <w:sz w:val="20"/>
          <w:szCs w:val="20"/>
        </w:rPr>
        <w:t>（</w:t>
      </w:r>
      <w:r w:rsidR="00BA6BA1" w:rsidRPr="004E0E69">
        <w:rPr>
          <w:rFonts w:ascii="Arial" w:eastAsia="楷体_GB2312" w:hAnsi="Arial" w:cs="Arial" w:hint="eastAsia"/>
          <w:color w:val="auto"/>
          <w:sz w:val="20"/>
          <w:szCs w:val="20"/>
        </w:rPr>
        <w:t>-</w:t>
      </w:r>
      <w:r w:rsidR="003B50CB">
        <w:rPr>
          <w:rFonts w:ascii="Arial" w:eastAsia="楷体_GB2312" w:hAnsi="Arial" w:cs="Arial" w:hint="eastAsia"/>
          <w:color w:val="auto"/>
          <w:sz w:val="20"/>
          <w:szCs w:val="20"/>
        </w:rPr>
        <w:t>7.95</w:t>
      </w:r>
      <w:r w:rsidR="00BA6BA1" w:rsidRPr="004E0E69">
        <w:rPr>
          <w:rFonts w:ascii="Arial" w:eastAsia="楷体_GB2312" w:hAnsi="Arial" w:cs="Arial"/>
          <w:color w:val="auto"/>
          <w:sz w:val="20"/>
          <w:szCs w:val="20"/>
        </w:rPr>
        <w:t>%</w:t>
      </w:r>
      <w:r w:rsidR="00BA6BA1" w:rsidRPr="004E0E69">
        <w:rPr>
          <w:rFonts w:ascii="Arial" w:eastAsia="楷体_GB2312" w:hAnsi="Arial" w:cs="Arial"/>
          <w:color w:val="auto"/>
          <w:sz w:val="20"/>
          <w:szCs w:val="20"/>
        </w:rPr>
        <w:t>）、</w:t>
      </w:r>
      <w:r w:rsidR="00BA6BA1" w:rsidRPr="004E0E69">
        <w:rPr>
          <w:rFonts w:ascii="Arial" w:eastAsia="楷体_GB2312" w:hAnsi="Arial" w:cs="Arial" w:hint="eastAsia"/>
          <w:color w:val="auto"/>
          <w:sz w:val="20"/>
          <w:szCs w:val="20"/>
        </w:rPr>
        <w:t>传媒</w:t>
      </w:r>
      <w:r w:rsidR="00BA6BA1" w:rsidRPr="004E0E69">
        <w:rPr>
          <w:rFonts w:ascii="Arial" w:eastAsia="楷体_GB2312" w:hAnsi="Arial" w:cs="Arial"/>
          <w:color w:val="auto"/>
          <w:sz w:val="20"/>
          <w:szCs w:val="20"/>
        </w:rPr>
        <w:t>（</w:t>
      </w:r>
      <w:r w:rsidR="00BA6BA1" w:rsidRPr="004E0E69">
        <w:rPr>
          <w:rFonts w:ascii="Arial" w:eastAsia="楷体_GB2312" w:hAnsi="Arial" w:cs="Arial" w:hint="eastAsia"/>
          <w:color w:val="auto"/>
          <w:sz w:val="20"/>
          <w:szCs w:val="20"/>
        </w:rPr>
        <w:t>-</w:t>
      </w:r>
      <w:r w:rsidR="003B50CB">
        <w:rPr>
          <w:rFonts w:ascii="Arial" w:eastAsia="楷体_GB2312" w:hAnsi="Arial" w:cs="Arial" w:hint="eastAsia"/>
          <w:color w:val="auto"/>
          <w:sz w:val="20"/>
          <w:szCs w:val="20"/>
        </w:rPr>
        <w:t>7.17</w:t>
      </w:r>
      <w:r w:rsidR="00BA6BA1" w:rsidRPr="004E0E69">
        <w:rPr>
          <w:rFonts w:ascii="Arial" w:eastAsia="楷体_GB2312" w:hAnsi="Arial" w:cs="Arial"/>
          <w:color w:val="auto"/>
          <w:sz w:val="20"/>
          <w:szCs w:val="20"/>
        </w:rPr>
        <w:t>%</w:t>
      </w:r>
      <w:r w:rsidR="00BA6BA1" w:rsidRPr="004E0E69">
        <w:rPr>
          <w:rFonts w:ascii="Arial" w:eastAsia="楷体_GB2312" w:hAnsi="Arial" w:cs="Arial"/>
          <w:color w:val="auto"/>
          <w:sz w:val="20"/>
          <w:szCs w:val="20"/>
        </w:rPr>
        <w:t>）、</w:t>
      </w:r>
      <w:r w:rsidR="003B50CB">
        <w:rPr>
          <w:rFonts w:ascii="Arial" w:eastAsia="楷体_GB2312" w:hAnsi="Arial" w:cs="Arial" w:hint="eastAsia"/>
          <w:color w:val="auto"/>
          <w:sz w:val="20"/>
          <w:szCs w:val="20"/>
        </w:rPr>
        <w:t>国防军工</w:t>
      </w:r>
      <w:r w:rsidR="00BA6BA1" w:rsidRPr="004E0E69">
        <w:rPr>
          <w:rFonts w:ascii="Arial" w:eastAsia="楷体_GB2312" w:hAnsi="Arial" w:cs="Arial"/>
          <w:color w:val="auto"/>
          <w:sz w:val="20"/>
          <w:szCs w:val="20"/>
        </w:rPr>
        <w:t>（</w:t>
      </w:r>
      <w:r w:rsidR="00BA6BA1" w:rsidRPr="004E0E69">
        <w:rPr>
          <w:rFonts w:ascii="Arial" w:eastAsia="楷体_GB2312" w:hAnsi="Arial" w:cs="Arial" w:hint="eastAsia"/>
          <w:color w:val="auto"/>
          <w:sz w:val="20"/>
          <w:szCs w:val="20"/>
        </w:rPr>
        <w:t>-</w:t>
      </w:r>
      <w:r w:rsidR="003B50CB">
        <w:rPr>
          <w:rFonts w:ascii="Arial" w:eastAsia="楷体_GB2312" w:hAnsi="Arial" w:cs="Arial" w:hint="eastAsia"/>
          <w:color w:val="auto"/>
          <w:sz w:val="20"/>
          <w:szCs w:val="20"/>
        </w:rPr>
        <w:t>6.39</w:t>
      </w:r>
      <w:r w:rsidR="00BA6BA1" w:rsidRPr="004E0E69">
        <w:rPr>
          <w:rFonts w:ascii="Arial" w:eastAsia="楷体_GB2312" w:hAnsi="Arial" w:cs="Arial"/>
          <w:color w:val="auto"/>
          <w:sz w:val="20"/>
          <w:szCs w:val="20"/>
        </w:rPr>
        <w:t>%</w:t>
      </w:r>
      <w:r w:rsidR="00BA6BA1" w:rsidRPr="004E0E69">
        <w:rPr>
          <w:rFonts w:ascii="Arial" w:eastAsia="楷体_GB2312" w:hAnsi="Arial" w:cs="Arial"/>
          <w:color w:val="auto"/>
          <w:sz w:val="20"/>
          <w:szCs w:val="20"/>
        </w:rPr>
        <w:t>）等行业</w:t>
      </w:r>
      <w:r w:rsidR="00BA6BA1" w:rsidRPr="004E0E69">
        <w:rPr>
          <w:rFonts w:ascii="Arial" w:eastAsia="楷体_GB2312" w:hAnsi="Arial" w:cs="Arial" w:hint="eastAsia"/>
          <w:color w:val="auto"/>
          <w:sz w:val="20"/>
          <w:szCs w:val="20"/>
        </w:rPr>
        <w:t>表现垫底</w:t>
      </w:r>
      <w:r w:rsidR="00BA6BA1" w:rsidRPr="004E0E69">
        <w:rPr>
          <w:rFonts w:ascii="Arial" w:eastAsia="楷体_GB2312" w:hAnsi="Arial" w:cs="Arial"/>
          <w:color w:val="auto"/>
          <w:sz w:val="20"/>
          <w:szCs w:val="20"/>
        </w:rPr>
        <w:t>。</w:t>
      </w:r>
    </w:p>
    <w:p w:rsidR="00BA6BA1" w:rsidRPr="002D6DED" w:rsidRDefault="00BA6BA1" w:rsidP="00BA6BA1">
      <w:pPr>
        <w:pStyle w:val="a5"/>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国内债券市场</w:t>
      </w:r>
    </w:p>
    <w:p w:rsidR="00BA6BA1" w:rsidRPr="00630DF1" w:rsidRDefault="00BA6BA1" w:rsidP="00F77834">
      <w:pPr>
        <w:pStyle w:val="a5"/>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3B2663">
        <w:rPr>
          <w:rFonts w:ascii="Arial" w:eastAsia="楷体_GB2312" w:hAnsi="Arial" w:cs="Arial" w:hint="eastAsia"/>
          <w:b/>
          <w:color w:val="auto"/>
          <w:sz w:val="20"/>
          <w:szCs w:val="20"/>
        </w:rPr>
        <w:t>资金面</w:t>
      </w:r>
      <w:r w:rsidR="00F77834">
        <w:rPr>
          <w:rFonts w:ascii="Arial" w:eastAsia="楷体_GB2312" w:hAnsi="Arial" w:cs="Arial" w:hint="eastAsia"/>
          <w:b/>
          <w:color w:val="auto"/>
          <w:sz w:val="20"/>
          <w:szCs w:val="20"/>
        </w:rPr>
        <w:t>紧平衡，</w:t>
      </w:r>
      <w:r>
        <w:rPr>
          <w:rFonts w:ascii="Arial" w:eastAsia="楷体_GB2312" w:hAnsi="Arial" w:cs="Arial" w:hint="eastAsia"/>
          <w:b/>
          <w:color w:val="auto"/>
          <w:sz w:val="20"/>
          <w:szCs w:val="20"/>
        </w:rPr>
        <w:t>信用风险</w:t>
      </w:r>
      <w:r w:rsidR="009D6F00">
        <w:rPr>
          <w:rFonts w:ascii="Arial" w:eastAsia="楷体_GB2312" w:hAnsi="Arial" w:cs="Arial" w:hint="eastAsia"/>
          <w:b/>
          <w:color w:val="auto"/>
          <w:sz w:val="20"/>
          <w:szCs w:val="20"/>
        </w:rPr>
        <w:t>频发，</w:t>
      </w:r>
      <w:r w:rsidR="00136B87">
        <w:rPr>
          <w:rFonts w:ascii="Arial" w:eastAsia="楷体_GB2312" w:hAnsi="Arial" w:cs="Arial" w:hint="eastAsia"/>
          <w:b/>
          <w:color w:val="auto"/>
          <w:sz w:val="20"/>
          <w:szCs w:val="20"/>
        </w:rPr>
        <w:t>债市</w:t>
      </w:r>
      <w:r w:rsidRPr="003B2663">
        <w:rPr>
          <w:rFonts w:ascii="Arial" w:eastAsia="楷体_GB2312" w:hAnsi="Arial" w:cs="Arial" w:hint="eastAsia"/>
          <w:b/>
          <w:color w:val="auto"/>
          <w:sz w:val="20"/>
          <w:szCs w:val="20"/>
        </w:rPr>
        <w:t>调整</w:t>
      </w:r>
      <w:r w:rsidR="00F77834">
        <w:rPr>
          <w:rFonts w:ascii="Arial" w:eastAsia="楷体_GB2312" w:hAnsi="Arial" w:cs="Arial" w:hint="eastAsia"/>
          <w:b/>
          <w:color w:val="auto"/>
          <w:sz w:val="20"/>
          <w:szCs w:val="20"/>
        </w:rPr>
        <w:t>中</w:t>
      </w:r>
      <w:r w:rsidRPr="003B2663">
        <w:rPr>
          <w:rFonts w:ascii="Arial" w:eastAsia="楷体_GB2312" w:hAnsi="Arial" w:cs="Arial"/>
          <w:b/>
          <w:color w:val="000000" w:themeColor="text1"/>
          <w:sz w:val="20"/>
          <w:szCs w:val="20"/>
        </w:rPr>
        <w:t>。</w:t>
      </w:r>
      <w:r w:rsidR="00711FB3">
        <w:rPr>
          <w:rFonts w:ascii="Arial" w:eastAsia="楷体_GB2312" w:hAnsi="Arial" w:cs="Arial" w:hint="eastAsia"/>
          <w:color w:val="000000" w:themeColor="text1"/>
          <w:sz w:val="20"/>
          <w:szCs w:val="20"/>
        </w:rPr>
        <w:t>4</w:t>
      </w:r>
      <w:r w:rsidR="00711FB3">
        <w:rPr>
          <w:rFonts w:ascii="Arial" w:eastAsia="楷体_GB2312" w:hAnsi="Arial" w:cs="Arial" w:hint="eastAsia"/>
          <w:color w:val="000000" w:themeColor="text1"/>
          <w:sz w:val="20"/>
          <w:szCs w:val="20"/>
        </w:rPr>
        <w:t>月债市</w:t>
      </w:r>
      <w:r w:rsidR="00711FB3" w:rsidRPr="00711FB3">
        <w:rPr>
          <w:rFonts w:ascii="Arial" w:eastAsia="楷体_GB2312" w:hAnsi="Arial" w:cs="Arial" w:hint="eastAsia"/>
          <w:color w:val="000000" w:themeColor="text1"/>
          <w:sz w:val="20"/>
          <w:szCs w:val="20"/>
        </w:rPr>
        <w:t>受季度缴税逐渐临近以及</w:t>
      </w:r>
      <w:r w:rsidR="00210DA1">
        <w:rPr>
          <w:rFonts w:ascii="Arial" w:eastAsia="楷体_GB2312" w:hAnsi="Arial" w:cs="Arial" w:hint="eastAsia"/>
          <w:color w:val="000000" w:themeColor="text1"/>
          <w:sz w:val="20"/>
          <w:szCs w:val="20"/>
        </w:rPr>
        <w:t>MLF</w:t>
      </w:r>
      <w:r w:rsidR="00711FB3" w:rsidRPr="00711FB3">
        <w:rPr>
          <w:rFonts w:ascii="Arial" w:eastAsia="楷体_GB2312" w:hAnsi="Arial" w:cs="Arial" w:hint="eastAsia"/>
          <w:color w:val="000000" w:themeColor="text1"/>
          <w:sz w:val="20"/>
          <w:szCs w:val="20"/>
        </w:rPr>
        <w:t>大量到期影响，</w:t>
      </w:r>
      <w:proofErr w:type="gramStart"/>
      <w:r w:rsidR="00711FB3" w:rsidRPr="00711FB3">
        <w:rPr>
          <w:rFonts w:ascii="Arial" w:eastAsia="楷体_GB2312" w:hAnsi="Arial" w:cs="Arial" w:hint="eastAsia"/>
          <w:color w:val="000000" w:themeColor="text1"/>
          <w:sz w:val="20"/>
          <w:szCs w:val="20"/>
        </w:rPr>
        <w:t>大行融出</w:t>
      </w:r>
      <w:proofErr w:type="gramEnd"/>
      <w:r w:rsidR="00711FB3" w:rsidRPr="00711FB3">
        <w:rPr>
          <w:rFonts w:ascii="Arial" w:eastAsia="楷体_GB2312" w:hAnsi="Arial" w:cs="Arial" w:hint="eastAsia"/>
          <w:color w:val="000000" w:themeColor="text1"/>
          <w:sz w:val="20"/>
          <w:szCs w:val="20"/>
        </w:rPr>
        <w:t>谨慎，</w:t>
      </w:r>
      <w:r w:rsidR="00210DA1">
        <w:rPr>
          <w:rFonts w:ascii="Arial" w:eastAsia="楷体_GB2312" w:hAnsi="Arial" w:cs="Arial" w:hint="eastAsia"/>
          <w:color w:val="000000" w:themeColor="text1"/>
          <w:sz w:val="20"/>
          <w:szCs w:val="20"/>
        </w:rPr>
        <w:t>而</w:t>
      </w:r>
      <w:r w:rsidR="00210DA1" w:rsidRPr="00210DA1">
        <w:rPr>
          <w:rFonts w:ascii="Arial" w:eastAsia="楷体_GB2312" w:hAnsi="Arial" w:cs="Arial" w:hint="eastAsia"/>
          <w:color w:val="000000" w:themeColor="text1"/>
          <w:sz w:val="20"/>
          <w:szCs w:val="20"/>
        </w:rPr>
        <w:t>MPA</w:t>
      </w:r>
      <w:r w:rsidR="00210DA1" w:rsidRPr="00210DA1">
        <w:rPr>
          <w:rFonts w:ascii="Arial" w:eastAsia="楷体_GB2312" w:hAnsi="Arial" w:cs="Arial" w:hint="eastAsia"/>
          <w:color w:val="000000" w:themeColor="text1"/>
          <w:sz w:val="20"/>
          <w:szCs w:val="20"/>
        </w:rPr>
        <w:t>考核和“营改增”助</w:t>
      </w:r>
      <w:proofErr w:type="gramStart"/>
      <w:r w:rsidR="00210DA1" w:rsidRPr="00210DA1">
        <w:rPr>
          <w:rFonts w:ascii="Arial" w:eastAsia="楷体_GB2312" w:hAnsi="Arial" w:cs="Arial" w:hint="eastAsia"/>
          <w:color w:val="000000" w:themeColor="text1"/>
          <w:sz w:val="20"/>
          <w:szCs w:val="20"/>
        </w:rPr>
        <w:t>推市场</w:t>
      </w:r>
      <w:proofErr w:type="gramEnd"/>
      <w:r w:rsidR="00210DA1" w:rsidRPr="00210DA1">
        <w:rPr>
          <w:rFonts w:ascii="Arial" w:eastAsia="楷体_GB2312" w:hAnsi="Arial" w:cs="Arial" w:hint="eastAsia"/>
          <w:color w:val="000000" w:themeColor="text1"/>
          <w:sz w:val="20"/>
          <w:szCs w:val="20"/>
        </w:rPr>
        <w:t>谨慎情绪，近段时间</w:t>
      </w:r>
      <w:r w:rsidR="00711FB3" w:rsidRPr="00711FB3">
        <w:rPr>
          <w:rFonts w:ascii="Arial" w:eastAsia="楷体_GB2312" w:hAnsi="Arial" w:cs="Arial" w:hint="eastAsia"/>
          <w:color w:val="000000" w:themeColor="text1"/>
          <w:sz w:val="20"/>
          <w:szCs w:val="20"/>
        </w:rPr>
        <w:t>银行间资金</w:t>
      </w:r>
      <w:proofErr w:type="gramStart"/>
      <w:r w:rsidR="00711FB3" w:rsidRPr="00711FB3">
        <w:rPr>
          <w:rFonts w:ascii="Arial" w:eastAsia="楷体_GB2312" w:hAnsi="Arial" w:cs="Arial" w:hint="eastAsia"/>
          <w:color w:val="000000" w:themeColor="text1"/>
          <w:sz w:val="20"/>
          <w:szCs w:val="20"/>
        </w:rPr>
        <w:t>面</w:t>
      </w:r>
      <w:r w:rsidR="00711FB3">
        <w:rPr>
          <w:rFonts w:ascii="Arial" w:eastAsia="楷体_GB2312" w:hAnsi="Arial" w:cs="Arial" w:hint="eastAsia"/>
          <w:color w:val="000000" w:themeColor="text1"/>
          <w:sz w:val="20"/>
          <w:szCs w:val="20"/>
        </w:rPr>
        <w:t>整体</w:t>
      </w:r>
      <w:proofErr w:type="gramEnd"/>
      <w:r w:rsidR="00711FB3">
        <w:rPr>
          <w:rFonts w:ascii="Arial" w:eastAsia="楷体_GB2312" w:hAnsi="Arial" w:cs="Arial" w:hint="eastAsia"/>
          <w:color w:val="000000" w:themeColor="text1"/>
          <w:sz w:val="20"/>
          <w:szCs w:val="20"/>
        </w:rPr>
        <w:t>偏紧</w:t>
      </w:r>
      <w:r w:rsidR="00B34F86">
        <w:rPr>
          <w:rFonts w:ascii="Arial" w:eastAsia="楷体_GB2312" w:hAnsi="Arial" w:cs="Arial" w:hint="eastAsia"/>
          <w:color w:val="000000" w:themeColor="text1"/>
          <w:sz w:val="20"/>
          <w:szCs w:val="20"/>
        </w:rPr>
        <w:t>，货币利率整体上行。同时，</w:t>
      </w:r>
      <w:r w:rsidR="00B34F86" w:rsidRPr="00B34F86">
        <w:rPr>
          <w:rFonts w:ascii="Arial" w:eastAsia="楷体_GB2312" w:hAnsi="Arial" w:cs="Arial" w:hint="eastAsia"/>
          <w:color w:val="000000" w:themeColor="text1"/>
          <w:sz w:val="20"/>
          <w:szCs w:val="20"/>
        </w:rPr>
        <w:t>信用违约事件导致的市场风险偏好降低使得</w:t>
      </w:r>
      <w:r w:rsidR="00B34F86">
        <w:rPr>
          <w:rFonts w:ascii="Arial" w:eastAsia="楷体_GB2312" w:hAnsi="Arial" w:cs="Arial" w:hint="eastAsia"/>
          <w:color w:val="000000" w:themeColor="text1"/>
          <w:sz w:val="20"/>
          <w:szCs w:val="20"/>
        </w:rPr>
        <w:t>债市</w:t>
      </w:r>
      <w:r w:rsidR="00B34F86" w:rsidRPr="00B34F86">
        <w:rPr>
          <w:rFonts w:ascii="Arial" w:eastAsia="楷体_GB2312" w:hAnsi="Arial" w:cs="Arial" w:hint="eastAsia"/>
          <w:color w:val="000000" w:themeColor="text1"/>
          <w:sz w:val="20"/>
          <w:szCs w:val="20"/>
        </w:rPr>
        <w:t>调整幅度更大</w:t>
      </w:r>
      <w:r w:rsidR="00B34F86">
        <w:rPr>
          <w:rFonts w:ascii="Arial" w:eastAsia="楷体_GB2312" w:hAnsi="Arial" w:cs="Arial" w:hint="eastAsia"/>
          <w:color w:val="000000" w:themeColor="text1"/>
          <w:sz w:val="20"/>
          <w:szCs w:val="20"/>
        </w:rPr>
        <w:t>。为了缓解资金面紧张的局面，</w:t>
      </w:r>
      <w:r w:rsidR="00B34F86" w:rsidRPr="00B34F86">
        <w:rPr>
          <w:rFonts w:ascii="Arial" w:eastAsia="楷体_GB2312" w:hAnsi="Arial" w:cs="Arial" w:hint="eastAsia"/>
          <w:color w:val="000000" w:themeColor="text1"/>
          <w:sz w:val="20"/>
          <w:szCs w:val="20"/>
        </w:rPr>
        <w:t>银行体系流动性合理充裕</w:t>
      </w:r>
      <w:r w:rsidR="00B34F86">
        <w:rPr>
          <w:rFonts w:ascii="Arial" w:eastAsia="楷体_GB2312" w:hAnsi="Arial" w:cs="Arial" w:hint="eastAsia"/>
          <w:color w:val="000000" w:themeColor="text1"/>
          <w:sz w:val="20"/>
          <w:szCs w:val="20"/>
        </w:rPr>
        <w:t>，央行分别在上月</w:t>
      </w:r>
      <w:r w:rsidR="00B34F86">
        <w:rPr>
          <w:rFonts w:ascii="Arial" w:eastAsia="楷体_GB2312" w:hAnsi="Arial" w:cs="Arial" w:hint="eastAsia"/>
          <w:color w:val="000000" w:themeColor="text1"/>
          <w:sz w:val="20"/>
          <w:szCs w:val="20"/>
        </w:rPr>
        <w:t>13</w:t>
      </w:r>
      <w:r w:rsidR="00B34F86">
        <w:rPr>
          <w:rFonts w:ascii="Arial" w:eastAsia="楷体_GB2312" w:hAnsi="Arial" w:cs="Arial" w:hint="eastAsia"/>
          <w:color w:val="000000" w:themeColor="text1"/>
          <w:sz w:val="20"/>
          <w:szCs w:val="20"/>
        </w:rPr>
        <w:t>日、</w:t>
      </w:r>
      <w:r w:rsidR="00B34F86">
        <w:rPr>
          <w:rFonts w:ascii="Arial" w:eastAsia="楷体_GB2312" w:hAnsi="Arial" w:cs="Arial" w:hint="eastAsia"/>
          <w:color w:val="000000" w:themeColor="text1"/>
          <w:sz w:val="20"/>
          <w:szCs w:val="20"/>
        </w:rPr>
        <w:t>18</w:t>
      </w:r>
      <w:r w:rsidR="00B34F86">
        <w:rPr>
          <w:rFonts w:ascii="Arial" w:eastAsia="楷体_GB2312" w:hAnsi="Arial" w:cs="Arial" w:hint="eastAsia"/>
          <w:color w:val="000000" w:themeColor="text1"/>
          <w:sz w:val="20"/>
          <w:szCs w:val="20"/>
        </w:rPr>
        <w:t>日、</w:t>
      </w:r>
      <w:r w:rsidR="00B34F86">
        <w:rPr>
          <w:rFonts w:ascii="Arial" w:eastAsia="楷体_GB2312" w:hAnsi="Arial" w:cs="Arial" w:hint="eastAsia"/>
          <w:color w:val="000000" w:themeColor="text1"/>
          <w:sz w:val="20"/>
          <w:szCs w:val="20"/>
        </w:rPr>
        <w:t>25</w:t>
      </w:r>
      <w:r w:rsidR="00B34F86">
        <w:rPr>
          <w:rFonts w:ascii="Arial" w:eastAsia="楷体_GB2312" w:hAnsi="Arial" w:cs="Arial" w:hint="eastAsia"/>
          <w:color w:val="000000" w:themeColor="text1"/>
          <w:sz w:val="20"/>
          <w:szCs w:val="20"/>
        </w:rPr>
        <w:t>日开展</w:t>
      </w:r>
      <w:r w:rsidR="00B34F86">
        <w:rPr>
          <w:rFonts w:ascii="Arial" w:eastAsia="楷体_GB2312" w:hAnsi="Arial" w:cs="Arial" w:hint="eastAsia"/>
          <w:color w:val="000000" w:themeColor="text1"/>
          <w:sz w:val="20"/>
          <w:szCs w:val="20"/>
        </w:rPr>
        <w:t>MLF</w:t>
      </w:r>
      <w:r w:rsidR="00B34F86">
        <w:rPr>
          <w:rFonts w:ascii="Arial" w:eastAsia="楷体_GB2312" w:hAnsi="Arial" w:cs="Arial" w:hint="eastAsia"/>
          <w:color w:val="000000" w:themeColor="text1"/>
          <w:sz w:val="20"/>
          <w:szCs w:val="20"/>
        </w:rPr>
        <w:t>操作，分别为</w:t>
      </w:r>
      <w:r w:rsidR="00B34F86">
        <w:rPr>
          <w:rFonts w:ascii="Arial" w:eastAsia="楷体_GB2312" w:hAnsi="Arial" w:cs="Arial" w:hint="eastAsia"/>
          <w:color w:val="000000" w:themeColor="text1"/>
          <w:sz w:val="20"/>
          <w:szCs w:val="20"/>
        </w:rPr>
        <w:t>2855</w:t>
      </w:r>
      <w:r w:rsidR="00B34F86">
        <w:rPr>
          <w:rFonts w:ascii="Arial" w:eastAsia="楷体_GB2312" w:hAnsi="Arial" w:cs="Arial" w:hint="eastAsia"/>
          <w:color w:val="000000" w:themeColor="text1"/>
          <w:sz w:val="20"/>
          <w:szCs w:val="20"/>
        </w:rPr>
        <w:t>亿、</w:t>
      </w:r>
      <w:r w:rsidR="00B34F86">
        <w:rPr>
          <w:rFonts w:ascii="Arial" w:eastAsia="楷体_GB2312" w:hAnsi="Arial" w:cs="Arial" w:hint="eastAsia"/>
          <w:color w:val="000000" w:themeColor="text1"/>
          <w:sz w:val="20"/>
          <w:szCs w:val="20"/>
        </w:rPr>
        <w:t>1625</w:t>
      </w:r>
      <w:r w:rsidR="00B34F86">
        <w:rPr>
          <w:rFonts w:ascii="Arial" w:eastAsia="楷体_GB2312" w:hAnsi="Arial" w:cs="Arial" w:hint="eastAsia"/>
          <w:color w:val="000000" w:themeColor="text1"/>
          <w:sz w:val="20"/>
          <w:szCs w:val="20"/>
        </w:rPr>
        <w:t>亿、</w:t>
      </w:r>
      <w:r w:rsidR="00B34F86">
        <w:rPr>
          <w:rFonts w:ascii="Arial" w:eastAsia="楷体_GB2312" w:hAnsi="Arial" w:cs="Arial" w:hint="eastAsia"/>
          <w:color w:val="000000" w:themeColor="text1"/>
          <w:sz w:val="20"/>
          <w:szCs w:val="20"/>
        </w:rPr>
        <w:t>2670</w:t>
      </w:r>
      <w:r w:rsidR="00B34F86">
        <w:rPr>
          <w:rFonts w:ascii="Arial" w:eastAsia="楷体_GB2312" w:hAnsi="Arial" w:cs="Arial" w:hint="eastAsia"/>
          <w:color w:val="000000" w:themeColor="text1"/>
          <w:sz w:val="20"/>
          <w:szCs w:val="20"/>
        </w:rPr>
        <w:t>亿元。</w:t>
      </w:r>
      <w:r w:rsidR="00210DA1" w:rsidRPr="00210DA1">
        <w:rPr>
          <w:rFonts w:ascii="Arial" w:eastAsia="楷体_GB2312" w:hAnsi="Arial" w:cs="Arial" w:hint="eastAsia"/>
          <w:color w:val="000000" w:themeColor="text1"/>
          <w:sz w:val="20"/>
          <w:szCs w:val="20"/>
        </w:rPr>
        <w:t>但整体而言，央行滚动投放资金的方式，导致机构对资金面形成不安全感，也直接影响资金出借方的积极性。</w:t>
      </w:r>
      <w:r w:rsidR="00210DA1">
        <w:rPr>
          <w:rFonts w:ascii="Arial" w:eastAsia="楷体_GB2312" w:hAnsi="Arial" w:cs="Arial" w:hint="eastAsia"/>
          <w:color w:val="000000" w:themeColor="text1"/>
          <w:sz w:val="20"/>
          <w:szCs w:val="20"/>
        </w:rPr>
        <w:t>在</w:t>
      </w:r>
      <w:r w:rsidR="00210DA1">
        <w:rPr>
          <w:rFonts w:ascii="Arial" w:eastAsia="楷体_GB2312" w:hAnsi="Arial" w:cs="Arial" w:hint="eastAsia"/>
          <w:color w:val="000000" w:themeColor="text1"/>
          <w:sz w:val="20"/>
          <w:szCs w:val="20"/>
        </w:rPr>
        <w:t>4</w:t>
      </w:r>
      <w:r w:rsidR="00210DA1">
        <w:rPr>
          <w:rFonts w:ascii="Arial" w:eastAsia="楷体_GB2312" w:hAnsi="Arial" w:cs="Arial" w:hint="eastAsia"/>
          <w:color w:val="000000" w:themeColor="text1"/>
          <w:sz w:val="20"/>
          <w:szCs w:val="20"/>
        </w:rPr>
        <w:t>月最后一周</w:t>
      </w:r>
      <w:r w:rsidR="007141D9">
        <w:rPr>
          <w:rFonts w:ascii="Arial" w:eastAsia="楷体_GB2312" w:hAnsi="Arial" w:cs="Arial" w:hint="eastAsia"/>
          <w:color w:val="000000" w:themeColor="text1"/>
          <w:sz w:val="20"/>
          <w:szCs w:val="20"/>
        </w:rPr>
        <w:t>，或许是</w:t>
      </w:r>
      <w:r w:rsidR="00822FAD" w:rsidRPr="007141D9">
        <w:rPr>
          <w:rFonts w:ascii="Arial" w:eastAsia="楷体_GB2312" w:hAnsi="Arial" w:cs="Arial" w:hint="eastAsia"/>
          <w:color w:val="000000" w:themeColor="text1"/>
          <w:sz w:val="20"/>
          <w:szCs w:val="20"/>
        </w:rPr>
        <w:t>央行持续净投放的累积效应显现，</w:t>
      </w:r>
      <w:r w:rsidR="007141D9">
        <w:rPr>
          <w:rFonts w:ascii="Arial" w:eastAsia="楷体_GB2312" w:hAnsi="Arial" w:cs="Arial" w:hint="eastAsia"/>
          <w:color w:val="000000" w:themeColor="text1"/>
          <w:sz w:val="20"/>
          <w:szCs w:val="20"/>
        </w:rPr>
        <w:t>货币利率有短暂的下行，</w:t>
      </w:r>
      <w:r w:rsidR="007141D9" w:rsidRPr="007141D9">
        <w:rPr>
          <w:rFonts w:ascii="Arial" w:eastAsia="楷体_GB2312" w:hAnsi="Arial" w:cs="Arial" w:hint="eastAsia"/>
          <w:color w:val="000000" w:themeColor="text1"/>
          <w:sz w:val="20"/>
          <w:szCs w:val="20"/>
        </w:rPr>
        <w:t>而一旦资金面稍有缓和，</w:t>
      </w:r>
      <w:r w:rsidR="007141D9">
        <w:rPr>
          <w:rFonts w:ascii="Arial" w:eastAsia="楷体_GB2312" w:hAnsi="Arial" w:cs="Arial" w:hint="eastAsia"/>
          <w:color w:val="000000" w:themeColor="text1"/>
          <w:sz w:val="20"/>
          <w:szCs w:val="20"/>
        </w:rPr>
        <w:t>公开市场立刻净回笼资金，使得资金面</w:t>
      </w:r>
      <w:r w:rsidR="00F77834">
        <w:rPr>
          <w:rFonts w:ascii="Arial" w:eastAsia="楷体_GB2312" w:hAnsi="Arial" w:cs="Arial" w:hint="eastAsia"/>
          <w:color w:val="000000" w:themeColor="text1"/>
          <w:sz w:val="20"/>
          <w:szCs w:val="20"/>
        </w:rPr>
        <w:t>大致维持紧平衡的状态</w:t>
      </w:r>
      <w:r w:rsidR="007141D9">
        <w:rPr>
          <w:rFonts w:ascii="Arial" w:eastAsia="楷体_GB2312" w:hAnsi="Arial" w:cs="Arial" w:hint="eastAsia"/>
          <w:color w:val="000000" w:themeColor="text1"/>
          <w:sz w:val="20"/>
          <w:szCs w:val="20"/>
        </w:rPr>
        <w:t>。</w:t>
      </w:r>
      <w:r w:rsidR="00210DA1" w:rsidRPr="00210DA1">
        <w:rPr>
          <w:rFonts w:ascii="Arial" w:eastAsia="楷体_GB2312" w:hAnsi="Arial" w:cs="Arial" w:hint="eastAsia"/>
          <w:color w:val="000000" w:themeColor="text1"/>
          <w:sz w:val="20"/>
          <w:szCs w:val="20"/>
        </w:rPr>
        <w:t>因此，判断后期央行流动性投放的节奏还会较为被动，随时调整收放保持水位稳定，实际的效果就是流动性并不会过于宽松。</w:t>
      </w:r>
      <w:r w:rsidR="00822FAD" w:rsidRPr="00822FAD">
        <w:rPr>
          <w:rFonts w:ascii="Arial" w:eastAsia="楷体_GB2312" w:hAnsi="Arial" w:cs="Arial" w:hint="eastAsia"/>
          <w:color w:val="000000" w:themeColor="text1"/>
          <w:sz w:val="20"/>
          <w:szCs w:val="20"/>
        </w:rPr>
        <w:t>短端</w:t>
      </w:r>
      <w:r w:rsidR="00822FAD" w:rsidRPr="00822FAD">
        <w:rPr>
          <w:rFonts w:ascii="Arial" w:eastAsia="楷体_GB2312" w:hAnsi="Arial" w:cs="Arial" w:hint="eastAsia"/>
          <w:color w:val="000000" w:themeColor="text1"/>
          <w:sz w:val="20"/>
          <w:szCs w:val="20"/>
        </w:rPr>
        <w:t>7</w:t>
      </w:r>
      <w:r w:rsidR="00822FAD" w:rsidRPr="00822FAD">
        <w:rPr>
          <w:rFonts w:ascii="Arial" w:eastAsia="楷体_GB2312" w:hAnsi="Arial" w:cs="Arial" w:hint="eastAsia"/>
          <w:color w:val="000000" w:themeColor="text1"/>
          <w:sz w:val="20"/>
          <w:szCs w:val="20"/>
        </w:rPr>
        <w:t>天逆回购招标利率仍维持在</w:t>
      </w:r>
      <w:r w:rsidR="00822FAD" w:rsidRPr="00822FAD">
        <w:rPr>
          <w:rFonts w:ascii="Arial" w:eastAsia="楷体_GB2312" w:hAnsi="Arial" w:cs="Arial" w:hint="eastAsia"/>
          <w:color w:val="000000" w:themeColor="text1"/>
          <w:sz w:val="20"/>
          <w:szCs w:val="20"/>
        </w:rPr>
        <w:t>2.25%</w:t>
      </w:r>
      <w:r w:rsidR="00822FAD" w:rsidRPr="00822FAD">
        <w:rPr>
          <w:rFonts w:ascii="Arial" w:eastAsia="楷体_GB2312" w:hAnsi="Arial" w:cs="Arial" w:hint="eastAsia"/>
          <w:color w:val="000000" w:themeColor="text1"/>
          <w:sz w:val="20"/>
          <w:szCs w:val="20"/>
        </w:rPr>
        <w:t>不变。银行间</w:t>
      </w:r>
      <w:r w:rsidR="00822FAD" w:rsidRPr="00822FAD">
        <w:rPr>
          <w:rFonts w:ascii="Arial" w:eastAsia="楷体_GB2312" w:hAnsi="Arial" w:cs="Arial" w:hint="eastAsia"/>
          <w:color w:val="000000" w:themeColor="text1"/>
          <w:sz w:val="20"/>
          <w:szCs w:val="20"/>
        </w:rPr>
        <w:t>7</w:t>
      </w:r>
      <w:r w:rsidR="00822FAD" w:rsidRPr="00822FAD">
        <w:rPr>
          <w:rFonts w:ascii="Arial" w:eastAsia="楷体_GB2312" w:hAnsi="Arial" w:cs="Arial" w:hint="eastAsia"/>
          <w:color w:val="000000" w:themeColor="text1"/>
          <w:sz w:val="20"/>
          <w:szCs w:val="20"/>
        </w:rPr>
        <w:t>天回购利率</w:t>
      </w:r>
      <w:r w:rsidR="00822FAD" w:rsidRPr="00822FAD">
        <w:rPr>
          <w:rFonts w:ascii="Arial" w:eastAsia="楷体_GB2312" w:hAnsi="Arial" w:cs="Arial" w:hint="eastAsia"/>
          <w:color w:val="000000" w:themeColor="text1"/>
          <w:sz w:val="20"/>
          <w:szCs w:val="20"/>
        </w:rPr>
        <w:t>R007</w:t>
      </w:r>
      <w:r w:rsidR="00822FAD" w:rsidRPr="00822FAD">
        <w:rPr>
          <w:rFonts w:ascii="Arial" w:eastAsia="楷体_GB2312" w:hAnsi="Arial" w:cs="Arial" w:hint="eastAsia"/>
          <w:color w:val="000000" w:themeColor="text1"/>
          <w:sz w:val="20"/>
          <w:szCs w:val="20"/>
        </w:rPr>
        <w:t>较前周上升</w:t>
      </w:r>
      <w:r w:rsidR="00822FAD" w:rsidRPr="00822FAD">
        <w:rPr>
          <w:rFonts w:ascii="Arial" w:eastAsia="楷体_GB2312" w:hAnsi="Arial" w:cs="Arial" w:hint="eastAsia"/>
          <w:color w:val="000000" w:themeColor="text1"/>
          <w:sz w:val="20"/>
          <w:szCs w:val="20"/>
        </w:rPr>
        <w:t>10bp</w:t>
      </w:r>
      <w:r w:rsidR="00822FAD" w:rsidRPr="00822FAD">
        <w:rPr>
          <w:rFonts w:ascii="Arial" w:eastAsia="楷体_GB2312" w:hAnsi="Arial" w:cs="Arial" w:hint="eastAsia"/>
          <w:color w:val="000000" w:themeColor="text1"/>
          <w:sz w:val="20"/>
          <w:szCs w:val="20"/>
        </w:rPr>
        <w:t>至</w:t>
      </w:r>
      <w:r w:rsidR="00822FAD" w:rsidRPr="00822FAD">
        <w:rPr>
          <w:rFonts w:ascii="Arial" w:eastAsia="楷体_GB2312" w:hAnsi="Arial" w:cs="Arial" w:hint="eastAsia"/>
          <w:color w:val="000000" w:themeColor="text1"/>
          <w:sz w:val="20"/>
          <w:szCs w:val="20"/>
        </w:rPr>
        <w:t>2.6</w:t>
      </w:r>
      <w:r w:rsidR="00210DA1">
        <w:rPr>
          <w:rFonts w:ascii="Arial" w:eastAsia="楷体_GB2312" w:hAnsi="Arial" w:cs="Arial" w:hint="eastAsia"/>
          <w:color w:val="000000" w:themeColor="text1"/>
          <w:sz w:val="20"/>
          <w:szCs w:val="20"/>
        </w:rPr>
        <w:t>1</w:t>
      </w:r>
      <w:r w:rsidR="00822FAD" w:rsidRPr="00822FAD">
        <w:rPr>
          <w:rFonts w:ascii="Arial" w:eastAsia="楷体_GB2312" w:hAnsi="Arial" w:cs="Arial" w:hint="eastAsia"/>
          <w:color w:val="000000" w:themeColor="text1"/>
          <w:sz w:val="20"/>
          <w:szCs w:val="20"/>
        </w:rPr>
        <w:t>%</w:t>
      </w:r>
      <w:r w:rsidR="00822FAD" w:rsidRPr="00822FAD">
        <w:rPr>
          <w:rFonts w:ascii="Arial" w:eastAsia="楷体_GB2312" w:hAnsi="Arial" w:cs="Arial" w:hint="eastAsia"/>
          <w:color w:val="000000" w:themeColor="text1"/>
          <w:sz w:val="20"/>
          <w:szCs w:val="20"/>
        </w:rPr>
        <w:t>，隔夜回购利率</w:t>
      </w:r>
      <w:r w:rsidR="00822FAD" w:rsidRPr="00822FAD">
        <w:rPr>
          <w:rFonts w:ascii="Arial" w:eastAsia="楷体_GB2312" w:hAnsi="Arial" w:cs="Arial" w:hint="eastAsia"/>
          <w:color w:val="000000" w:themeColor="text1"/>
          <w:sz w:val="20"/>
          <w:szCs w:val="20"/>
        </w:rPr>
        <w:t>R001</w:t>
      </w:r>
      <w:r w:rsidR="00210DA1">
        <w:rPr>
          <w:rFonts w:ascii="Arial" w:eastAsia="楷体_GB2312" w:hAnsi="Arial" w:cs="Arial" w:hint="eastAsia"/>
          <w:color w:val="000000" w:themeColor="text1"/>
          <w:sz w:val="20"/>
          <w:szCs w:val="20"/>
        </w:rPr>
        <w:t>与</w:t>
      </w:r>
      <w:r w:rsidR="00822FAD" w:rsidRPr="00822FAD">
        <w:rPr>
          <w:rFonts w:ascii="Arial" w:eastAsia="楷体_GB2312" w:hAnsi="Arial" w:cs="Arial" w:hint="eastAsia"/>
          <w:color w:val="000000" w:themeColor="text1"/>
          <w:sz w:val="20"/>
          <w:szCs w:val="20"/>
        </w:rPr>
        <w:t>前周</w:t>
      </w:r>
      <w:r w:rsidR="00210DA1">
        <w:rPr>
          <w:rFonts w:ascii="Arial" w:eastAsia="楷体_GB2312" w:hAnsi="Arial" w:cs="Arial" w:hint="eastAsia"/>
          <w:color w:val="000000" w:themeColor="text1"/>
          <w:sz w:val="20"/>
          <w:szCs w:val="20"/>
        </w:rPr>
        <w:t>相比保持不变</w:t>
      </w:r>
      <w:r w:rsidR="00822FAD" w:rsidRPr="00822FAD">
        <w:rPr>
          <w:rFonts w:ascii="Arial" w:eastAsia="楷体_GB2312" w:hAnsi="Arial" w:cs="Arial" w:hint="eastAsia"/>
          <w:color w:val="000000" w:themeColor="text1"/>
          <w:sz w:val="20"/>
          <w:szCs w:val="20"/>
        </w:rPr>
        <w:t>。</w:t>
      </w:r>
      <w:r w:rsidR="00F77834" w:rsidRPr="00F77834">
        <w:rPr>
          <w:rFonts w:ascii="Arial" w:eastAsia="楷体_GB2312" w:hAnsi="Arial" w:cs="Arial" w:hint="eastAsia"/>
          <w:color w:val="000000" w:themeColor="text1"/>
          <w:sz w:val="20"/>
          <w:szCs w:val="20"/>
        </w:rPr>
        <w:t>4</w:t>
      </w:r>
      <w:r w:rsidR="00F77834" w:rsidRPr="00F77834">
        <w:rPr>
          <w:rFonts w:ascii="Arial" w:eastAsia="楷体_GB2312" w:hAnsi="Arial" w:cs="Arial" w:hint="eastAsia"/>
          <w:color w:val="000000" w:themeColor="text1"/>
          <w:sz w:val="20"/>
          <w:szCs w:val="20"/>
        </w:rPr>
        <w:t>月的最后一周，债券市场开始出现企稳迹象，利率</w:t>
      </w:r>
      <w:proofErr w:type="gramStart"/>
      <w:r w:rsidR="00F77834" w:rsidRPr="00F77834">
        <w:rPr>
          <w:rFonts w:ascii="Arial" w:eastAsia="楷体_GB2312" w:hAnsi="Arial" w:cs="Arial" w:hint="eastAsia"/>
          <w:color w:val="000000" w:themeColor="text1"/>
          <w:sz w:val="20"/>
          <w:szCs w:val="20"/>
        </w:rPr>
        <w:t>债出现</w:t>
      </w:r>
      <w:proofErr w:type="gramEnd"/>
      <w:r w:rsidR="00F77834" w:rsidRPr="00F77834">
        <w:rPr>
          <w:rFonts w:ascii="Arial" w:eastAsia="楷体_GB2312" w:hAnsi="Arial" w:cs="Arial" w:hint="eastAsia"/>
          <w:color w:val="000000" w:themeColor="text1"/>
          <w:sz w:val="20"/>
          <w:szCs w:val="20"/>
        </w:rPr>
        <w:t>了持续的收益率下行，信用债收益率也出现企稳迹象，</w:t>
      </w:r>
      <w:r w:rsidR="00F77834">
        <w:rPr>
          <w:rFonts w:ascii="Arial" w:eastAsia="楷体_GB2312" w:hAnsi="Arial" w:cs="Arial" w:hint="eastAsia"/>
          <w:color w:val="000000" w:themeColor="text1"/>
          <w:sz w:val="20"/>
          <w:szCs w:val="20"/>
        </w:rPr>
        <w:t>随着提前偿付终止，调</w:t>
      </w:r>
      <w:r w:rsidR="00F77834" w:rsidRPr="00F77834">
        <w:rPr>
          <w:rFonts w:ascii="Arial" w:eastAsia="楷体_GB2312" w:hAnsi="Arial" w:cs="Arial" w:hint="eastAsia"/>
          <w:color w:val="000000" w:themeColor="text1"/>
          <w:sz w:val="20"/>
          <w:szCs w:val="20"/>
        </w:rPr>
        <w:t>整势头出现了</w:t>
      </w:r>
      <w:r w:rsidR="00F77834">
        <w:rPr>
          <w:rFonts w:ascii="Arial" w:eastAsia="楷体_GB2312" w:hAnsi="Arial" w:cs="Arial" w:hint="eastAsia"/>
          <w:color w:val="000000" w:themeColor="text1"/>
          <w:sz w:val="20"/>
          <w:szCs w:val="20"/>
        </w:rPr>
        <w:t>一些</w:t>
      </w:r>
      <w:r w:rsidR="00F77834" w:rsidRPr="00F77834">
        <w:rPr>
          <w:rFonts w:ascii="Arial" w:eastAsia="楷体_GB2312" w:hAnsi="Arial" w:cs="Arial" w:hint="eastAsia"/>
          <w:color w:val="000000" w:themeColor="text1"/>
          <w:sz w:val="20"/>
          <w:szCs w:val="20"/>
        </w:rPr>
        <w:t>放缓迹象。</w:t>
      </w:r>
      <w:proofErr w:type="gramStart"/>
      <w:r w:rsidR="009D6F00">
        <w:rPr>
          <w:rFonts w:ascii="Arial" w:eastAsia="楷体_GB2312" w:hAnsi="Arial" w:cs="Arial" w:hint="eastAsia"/>
          <w:color w:val="000000" w:themeColor="text1"/>
          <w:sz w:val="20"/>
          <w:szCs w:val="20"/>
        </w:rPr>
        <w:t>4</w:t>
      </w:r>
      <w:r w:rsidR="009D6F00">
        <w:rPr>
          <w:rFonts w:ascii="Arial" w:eastAsia="楷体_GB2312" w:hAnsi="Arial" w:cs="Arial" w:hint="eastAsia"/>
          <w:color w:val="000000" w:themeColor="text1"/>
          <w:sz w:val="20"/>
          <w:szCs w:val="20"/>
        </w:rPr>
        <w:t>月</w:t>
      </w:r>
      <w:r w:rsidR="00822FAD" w:rsidRPr="00822FAD">
        <w:rPr>
          <w:rFonts w:ascii="Arial" w:eastAsia="楷体_GB2312" w:hAnsi="Arial" w:cs="Arial" w:hint="eastAsia"/>
          <w:color w:val="000000" w:themeColor="text1"/>
          <w:sz w:val="20"/>
          <w:szCs w:val="20"/>
        </w:rPr>
        <w:t>中债总净价</w:t>
      </w:r>
      <w:proofErr w:type="gramEnd"/>
      <w:r w:rsidR="00822FAD" w:rsidRPr="00822FAD">
        <w:rPr>
          <w:rFonts w:ascii="Arial" w:eastAsia="楷体_GB2312" w:hAnsi="Arial" w:cs="Arial" w:hint="eastAsia"/>
          <w:color w:val="000000" w:themeColor="text1"/>
          <w:sz w:val="20"/>
          <w:szCs w:val="20"/>
        </w:rPr>
        <w:t>指数</w:t>
      </w:r>
      <w:r w:rsidR="009D6F00">
        <w:rPr>
          <w:rFonts w:ascii="Arial" w:eastAsia="楷体_GB2312" w:hAnsi="Arial" w:cs="Arial" w:hint="eastAsia"/>
          <w:color w:val="000000" w:themeColor="text1"/>
          <w:sz w:val="20"/>
          <w:szCs w:val="20"/>
        </w:rPr>
        <w:t>下跌</w:t>
      </w:r>
      <w:r w:rsidR="009D6F00">
        <w:rPr>
          <w:rFonts w:ascii="Arial" w:eastAsia="楷体_GB2312" w:hAnsi="Arial" w:cs="Arial" w:hint="eastAsia"/>
          <w:color w:val="000000" w:themeColor="text1"/>
          <w:sz w:val="20"/>
          <w:szCs w:val="20"/>
        </w:rPr>
        <w:t>1.10</w:t>
      </w:r>
      <w:r w:rsidR="00822FAD" w:rsidRPr="00822FAD">
        <w:rPr>
          <w:rFonts w:ascii="Arial" w:eastAsia="楷体_GB2312" w:hAnsi="Arial" w:cs="Arial" w:hint="eastAsia"/>
          <w:color w:val="000000" w:themeColor="text1"/>
          <w:sz w:val="20"/>
          <w:szCs w:val="20"/>
        </w:rPr>
        <w:t>%</w:t>
      </w:r>
      <w:r w:rsidR="00822FAD" w:rsidRPr="00822FAD">
        <w:rPr>
          <w:rFonts w:ascii="Arial" w:eastAsia="楷体_GB2312" w:hAnsi="Arial" w:cs="Arial" w:hint="eastAsia"/>
          <w:color w:val="000000" w:themeColor="text1"/>
          <w:sz w:val="20"/>
          <w:szCs w:val="20"/>
        </w:rPr>
        <w:t>，中</w:t>
      </w:r>
      <w:proofErr w:type="gramStart"/>
      <w:r w:rsidR="00822FAD" w:rsidRPr="00822FAD">
        <w:rPr>
          <w:rFonts w:ascii="Arial" w:eastAsia="楷体_GB2312" w:hAnsi="Arial" w:cs="Arial" w:hint="eastAsia"/>
          <w:color w:val="000000" w:themeColor="text1"/>
          <w:sz w:val="20"/>
          <w:szCs w:val="20"/>
        </w:rPr>
        <w:t>债企业债总</w:t>
      </w:r>
      <w:proofErr w:type="gramEnd"/>
      <w:r w:rsidR="00822FAD" w:rsidRPr="00822FAD">
        <w:rPr>
          <w:rFonts w:ascii="Arial" w:eastAsia="楷体_GB2312" w:hAnsi="Arial" w:cs="Arial" w:hint="eastAsia"/>
          <w:color w:val="000000" w:themeColor="text1"/>
          <w:sz w:val="20"/>
          <w:szCs w:val="20"/>
        </w:rPr>
        <w:t>净价指数跌</w:t>
      </w:r>
      <w:r w:rsidR="009D6F00">
        <w:rPr>
          <w:rFonts w:ascii="Arial" w:eastAsia="楷体_GB2312" w:hAnsi="Arial" w:cs="Arial" w:hint="eastAsia"/>
          <w:color w:val="000000" w:themeColor="text1"/>
          <w:sz w:val="20"/>
          <w:szCs w:val="20"/>
        </w:rPr>
        <w:t>2.09</w:t>
      </w:r>
      <w:r w:rsidR="00822FAD" w:rsidRPr="00822FAD">
        <w:rPr>
          <w:rFonts w:ascii="Arial" w:eastAsia="楷体_GB2312" w:hAnsi="Arial" w:cs="Arial" w:hint="eastAsia"/>
          <w:color w:val="000000" w:themeColor="text1"/>
          <w:sz w:val="20"/>
          <w:szCs w:val="20"/>
        </w:rPr>
        <w:t>%</w:t>
      </w:r>
      <w:r w:rsidR="00822FAD" w:rsidRPr="00822FAD">
        <w:rPr>
          <w:rFonts w:ascii="Arial" w:eastAsia="楷体_GB2312" w:hAnsi="Arial" w:cs="Arial" w:hint="eastAsia"/>
          <w:color w:val="000000" w:themeColor="text1"/>
          <w:sz w:val="20"/>
          <w:szCs w:val="20"/>
        </w:rPr>
        <w:t>，中债国债总净价指数</w:t>
      </w:r>
      <w:r w:rsidR="009D6F00">
        <w:rPr>
          <w:rFonts w:ascii="Arial" w:eastAsia="楷体_GB2312" w:hAnsi="Arial" w:cs="Arial" w:hint="eastAsia"/>
          <w:color w:val="000000" w:themeColor="text1"/>
          <w:sz w:val="20"/>
          <w:szCs w:val="20"/>
        </w:rPr>
        <w:t>跌</w:t>
      </w:r>
      <w:r w:rsidR="009D6F00">
        <w:rPr>
          <w:rFonts w:ascii="Arial" w:eastAsia="楷体_GB2312" w:hAnsi="Arial" w:cs="Arial" w:hint="eastAsia"/>
          <w:color w:val="000000" w:themeColor="text1"/>
          <w:sz w:val="20"/>
          <w:szCs w:val="20"/>
        </w:rPr>
        <w:t>1.12</w:t>
      </w:r>
      <w:r w:rsidR="00822FAD" w:rsidRPr="00822FAD">
        <w:rPr>
          <w:rFonts w:ascii="Arial" w:eastAsia="楷体_GB2312" w:hAnsi="Arial" w:cs="Arial" w:hint="eastAsia"/>
          <w:color w:val="000000" w:themeColor="text1"/>
          <w:sz w:val="20"/>
          <w:szCs w:val="20"/>
        </w:rPr>
        <w:t>%</w:t>
      </w:r>
      <w:r w:rsidR="00822FAD" w:rsidRPr="00822FAD">
        <w:rPr>
          <w:rFonts w:ascii="Arial" w:eastAsia="楷体_GB2312" w:hAnsi="Arial" w:cs="Arial" w:hint="eastAsia"/>
          <w:color w:val="000000" w:themeColor="text1"/>
          <w:sz w:val="20"/>
          <w:szCs w:val="20"/>
        </w:rPr>
        <w:t>，中</w:t>
      </w:r>
      <w:proofErr w:type="gramStart"/>
      <w:r w:rsidR="00822FAD" w:rsidRPr="00822FAD">
        <w:rPr>
          <w:rFonts w:ascii="Arial" w:eastAsia="楷体_GB2312" w:hAnsi="Arial" w:cs="Arial" w:hint="eastAsia"/>
          <w:color w:val="000000" w:themeColor="text1"/>
          <w:sz w:val="20"/>
          <w:szCs w:val="20"/>
        </w:rPr>
        <w:t>证转债跌</w:t>
      </w:r>
      <w:proofErr w:type="gramEnd"/>
      <w:r w:rsidR="009D6F00">
        <w:rPr>
          <w:rFonts w:ascii="Arial" w:eastAsia="楷体_GB2312" w:hAnsi="Arial" w:cs="Arial" w:hint="eastAsia"/>
          <w:color w:val="000000" w:themeColor="text1"/>
          <w:sz w:val="20"/>
          <w:szCs w:val="20"/>
        </w:rPr>
        <w:t>2.77</w:t>
      </w:r>
      <w:r w:rsidR="00822FAD" w:rsidRPr="00822FAD">
        <w:rPr>
          <w:rFonts w:ascii="Arial" w:eastAsia="楷体_GB2312" w:hAnsi="Arial" w:cs="Arial" w:hint="eastAsia"/>
          <w:color w:val="000000" w:themeColor="text1"/>
          <w:sz w:val="20"/>
          <w:szCs w:val="20"/>
        </w:rPr>
        <w:t>%</w:t>
      </w:r>
      <w:r w:rsidR="00822FAD" w:rsidRPr="00822FAD">
        <w:rPr>
          <w:rFonts w:ascii="Arial" w:eastAsia="楷体_GB2312" w:hAnsi="Arial" w:cs="Arial" w:hint="eastAsia"/>
          <w:color w:val="000000" w:themeColor="text1"/>
          <w:sz w:val="20"/>
          <w:szCs w:val="20"/>
        </w:rPr>
        <w:t>。</w:t>
      </w:r>
    </w:p>
    <w:p w:rsidR="00BA6BA1" w:rsidRPr="002D6DED" w:rsidRDefault="00BA6BA1" w:rsidP="00BA6BA1">
      <w:pPr>
        <w:pStyle w:val="a5"/>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海外市场</w:t>
      </w:r>
    </w:p>
    <w:p w:rsidR="00BA6BA1" w:rsidRPr="00E762E6" w:rsidRDefault="001C5697" w:rsidP="00BA6BA1">
      <w:pPr>
        <w:pStyle w:val="a5"/>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Pr>
          <w:rFonts w:ascii="Arial" w:eastAsia="楷体_GB2312" w:hAnsi="Arial" w:cs="Arial" w:hint="eastAsia"/>
          <w:b/>
          <w:color w:val="000000" w:themeColor="text1"/>
          <w:sz w:val="20"/>
          <w:szCs w:val="20"/>
        </w:rPr>
        <w:t>日</w:t>
      </w:r>
      <w:proofErr w:type="gramStart"/>
      <w:r>
        <w:rPr>
          <w:rFonts w:ascii="Arial" w:eastAsia="楷体_GB2312" w:hAnsi="Arial" w:cs="Arial" w:hint="eastAsia"/>
          <w:b/>
          <w:color w:val="000000" w:themeColor="text1"/>
          <w:sz w:val="20"/>
          <w:szCs w:val="20"/>
        </w:rPr>
        <w:t>银</w:t>
      </w:r>
      <w:r w:rsidR="00556176">
        <w:rPr>
          <w:rFonts w:ascii="Arial" w:eastAsia="楷体_GB2312" w:hAnsi="Arial" w:cs="Arial" w:hint="eastAsia"/>
          <w:b/>
          <w:color w:val="000000" w:themeColor="text1"/>
          <w:sz w:val="20"/>
          <w:szCs w:val="20"/>
        </w:rPr>
        <w:t>决议引美指</w:t>
      </w:r>
      <w:proofErr w:type="gramEnd"/>
      <w:r w:rsidR="00556176">
        <w:rPr>
          <w:rFonts w:ascii="Arial" w:eastAsia="楷体_GB2312" w:hAnsi="Arial" w:cs="Arial" w:hint="eastAsia"/>
          <w:b/>
          <w:color w:val="000000" w:themeColor="text1"/>
          <w:sz w:val="20"/>
          <w:szCs w:val="20"/>
        </w:rPr>
        <w:t>大跌</w:t>
      </w:r>
      <w:r w:rsidR="00BA6BA1">
        <w:rPr>
          <w:rFonts w:ascii="Arial" w:eastAsia="楷体_GB2312" w:hAnsi="Arial" w:cs="Arial" w:hint="eastAsia"/>
          <w:b/>
          <w:color w:val="000000" w:themeColor="text1"/>
          <w:sz w:val="20"/>
          <w:szCs w:val="20"/>
        </w:rPr>
        <w:t>，全球股市涨跌不一</w:t>
      </w:r>
      <w:r w:rsidR="00BA6BA1" w:rsidRPr="00E762E6">
        <w:rPr>
          <w:rFonts w:ascii="Arial" w:eastAsia="楷体_GB2312" w:hAnsi="Arial" w:cs="Arial" w:hint="eastAsia"/>
          <w:b/>
          <w:color w:val="000000" w:themeColor="text1"/>
          <w:sz w:val="20"/>
          <w:szCs w:val="20"/>
        </w:rPr>
        <w:t>。</w:t>
      </w:r>
      <w:r w:rsidR="00556176" w:rsidRPr="00556176">
        <w:rPr>
          <w:rFonts w:ascii="Arial" w:eastAsia="楷体_GB2312" w:hAnsi="Arial" w:cs="Arial" w:hint="eastAsia"/>
          <w:color w:val="000000" w:themeColor="text1"/>
          <w:sz w:val="20"/>
          <w:szCs w:val="20"/>
        </w:rPr>
        <w:t>4</w:t>
      </w:r>
      <w:r w:rsidR="00556176" w:rsidRPr="00556176">
        <w:rPr>
          <w:rFonts w:ascii="Arial" w:eastAsia="楷体_GB2312" w:hAnsi="Arial" w:cs="Arial" w:hint="eastAsia"/>
          <w:color w:val="000000" w:themeColor="text1"/>
          <w:sz w:val="20"/>
          <w:szCs w:val="20"/>
        </w:rPr>
        <w:t>月中</w:t>
      </w:r>
      <w:r w:rsidR="00556176">
        <w:rPr>
          <w:rFonts w:ascii="Arial" w:eastAsia="楷体_GB2312" w:hAnsi="Arial" w:cs="Arial" w:hint="eastAsia"/>
          <w:color w:val="000000" w:themeColor="text1"/>
          <w:sz w:val="20"/>
          <w:szCs w:val="20"/>
        </w:rPr>
        <w:t>旬，</w:t>
      </w:r>
      <w:r w:rsidRPr="001C5697">
        <w:rPr>
          <w:rFonts w:ascii="Arial" w:eastAsia="楷体_GB2312" w:hAnsi="Arial" w:cs="Arial" w:hint="eastAsia"/>
          <w:color w:val="000000" w:themeColor="text1"/>
          <w:sz w:val="20"/>
          <w:szCs w:val="20"/>
        </w:rPr>
        <w:t>在中国部分经济数据回暖</w:t>
      </w:r>
      <w:r w:rsidR="001E63D2">
        <w:rPr>
          <w:rFonts w:ascii="Arial" w:eastAsia="楷体_GB2312" w:hAnsi="Arial" w:cs="Arial" w:hint="eastAsia"/>
          <w:color w:val="000000" w:themeColor="text1"/>
          <w:sz w:val="20"/>
          <w:szCs w:val="20"/>
        </w:rPr>
        <w:t>的提振</w:t>
      </w:r>
      <w:r w:rsidR="00556176">
        <w:rPr>
          <w:rFonts w:ascii="Arial" w:eastAsia="楷体_GB2312" w:hAnsi="Arial" w:cs="Arial" w:hint="eastAsia"/>
          <w:color w:val="000000" w:themeColor="text1"/>
          <w:sz w:val="20"/>
          <w:szCs w:val="20"/>
        </w:rPr>
        <w:t>下，美元有小幅上涨。</w:t>
      </w:r>
      <w:r w:rsidR="00556176">
        <w:rPr>
          <w:rFonts w:ascii="Arial" w:eastAsia="楷体_GB2312" w:hAnsi="Arial" w:cs="Arial" w:hint="eastAsia"/>
          <w:color w:val="000000" w:themeColor="text1"/>
          <w:sz w:val="20"/>
          <w:szCs w:val="20"/>
        </w:rPr>
        <w:t>4</w:t>
      </w:r>
      <w:r w:rsidR="00556176">
        <w:rPr>
          <w:rFonts w:ascii="Arial" w:eastAsia="楷体_GB2312" w:hAnsi="Arial" w:cs="Arial" w:hint="eastAsia"/>
          <w:color w:val="000000" w:themeColor="text1"/>
          <w:sz w:val="20"/>
          <w:szCs w:val="20"/>
        </w:rPr>
        <w:t>月</w:t>
      </w:r>
      <w:r w:rsidR="00556176">
        <w:rPr>
          <w:rFonts w:ascii="Arial" w:eastAsia="楷体_GB2312" w:hAnsi="Arial" w:cs="Arial" w:hint="eastAsia"/>
          <w:color w:val="000000" w:themeColor="text1"/>
          <w:sz w:val="20"/>
          <w:szCs w:val="20"/>
        </w:rPr>
        <w:t>28</w:t>
      </w:r>
      <w:r w:rsidR="00556176">
        <w:rPr>
          <w:rFonts w:ascii="Arial" w:eastAsia="楷体_GB2312" w:hAnsi="Arial" w:cs="Arial" w:hint="eastAsia"/>
          <w:color w:val="000000" w:themeColor="text1"/>
          <w:sz w:val="20"/>
          <w:szCs w:val="20"/>
        </w:rPr>
        <w:t>日凌晨，美联储公布了利率会议结果为保持现有的利率不变，与市场预期一致</w:t>
      </w:r>
      <w:r w:rsidRPr="001C5697">
        <w:rPr>
          <w:rFonts w:ascii="Arial" w:eastAsia="楷体_GB2312" w:hAnsi="Arial" w:cs="Arial" w:hint="eastAsia"/>
          <w:color w:val="000000" w:themeColor="text1"/>
          <w:sz w:val="20"/>
          <w:szCs w:val="20"/>
        </w:rPr>
        <w:t>。</w:t>
      </w:r>
      <w:r w:rsidR="00556176">
        <w:rPr>
          <w:rFonts w:ascii="Arial" w:eastAsia="楷体_GB2312" w:hAnsi="Arial" w:cs="Arial" w:hint="eastAsia"/>
          <w:color w:val="000000" w:themeColor="text1"/>
          <w:sz w:val="20"/>
          <w:szCs w:val="20"/>
        </w:rPr>
        <w:t>然而，日本央行随后公布了其利率决议表示维持现有的货币政策不变，与市场此前的预期相背，导致美元指数出现比较剧烈的下跌，跌至八个月低位，触及</w:t>
      </w:r>
      <w:r w:rsidR="00556176">
        <w:rPr>
          <w:rFonts w:ascii="Arial" w:eastAsia="楷体_GB2312" w:hAnsi="Arial" w:cs="Arial" w:hint="eastAsia"/>
          <w:color w:val="000000" w:themeColor="text1"/>
          <w:sz w:val="20"/>
          <w:szCs w:val="20"/>
        </w:rPr>
        <w:t>93</w:t>
      </w:r>
      <w:r w:rsidR="00556176">
        <w:rPr>
          <w:rFonts w:ascii="Arial" w:eastAsia="楷体_GB2312" w:hAnsi="Arial" w:cs="Arial" w:hint="eastAsia"/>
          <w:color w:val="000000" w:themeColor="text1"/>
          <w:sz w:val="20"/>
          <w:szCs w:val="20"/>
        </w:rPr>
        <w:t>关口。</w:t>
      </w:r>
      <w:r w:rsidR="00BA6BA1" w:rsidRPr="00697F65">
        <w:rPr>
          <w:rFonts w:ascii="Arial" w:eastAsia="楷体_GB2312" w:hAnsi="Arial" w:cs="Arial" w:hint="eastAsia"/>
          <w:color w:val="000000" w:themeColor="text1"/>
          <w:sz w:val="20"/>
          <w:szCs w:val="20"/>
        </w:rPr>
        <w:t>全</w:t>
      </w:r>
      <w:r w:rsidR="00556176">
        <w:rPr>
          <w:rFonts w:ascii="Arial" w:eastAsia="楷体_GB2312" w:hAnsi="Arial" w:cs="Arial" w:hint="eastAsia"/>
          <w:color w:val="000000" w:themeColor="text1"/>
          <w:sz w:val="20"/>
          <w:szCs w:val="20"/>
        </w:rPr>
        <w:t>月</w:t>
      </w:r>
      <w:r w:rsidR="00BA6BA1" w:rsidRPr="00697F65">
        <w:rPr>
          <w:rFonts w:ascii="Arial" w:eastAsia="楷体_GB2312" w:hAnsi="Arial" w:cs="Arial" w:hint="eastAsia"/>
          <w:color w:val="000000" w:themeColor="text1"/>
          <w:sz w:val="20"/>
          <w:szCs w:val="20"/>
        </w:rPr>
        <w:t>来看，美国市场，标普、道指上周分别累计上涨</w:t>
      </w:r>
      <w:r w:rsidR="00BA6BA1" w:rsidRPr="00697F65">
        <w:rPr>
          <w:rFonts w:ascii="Arial" w:eastAsia="楷体_GB2312" w:hAnsi="Arial" w:cs="Arial" w:hint="eastAsia"/>
          <w:color w:val="000000" w:themeColor="text1"/>
          <w:sz w:val="20"/>
          <w:szCs w:val="20"/>
        </w:rPr>
        <w:t>0.</w:t>
      </w:r>
      <w:r w:rsidR="00556176">
        <w:rPr>
          <w:rFonts w:ascii="Arial" w:eastAsia="楷体_GB2312" w:hAnsi="Arial" w:cs="Arial" w:hint="eastAsia"/>
          <w:color w:val="000000" w:themeColor="text1"/>
          <w:sz w:val="20"/>
          <w:szCs w:val="20"/>
        </w:rPr>
        <w:t>27</w:t>
      </w:r>
      <w:r w:rsidR="00BA6BA1" w:rsidRPr="00697F65">
        <w:rPr>
          <w:rFonts w:ascii="Arial" w:eastAsia="楷体_GB2312" w:hAnsi="Arial" w:cs="Arial" w:hint="eastAsia"/>
          <w:color w:val="000000" w:themeColor="text1"/>
          <w:sz w:val="20"/>
          <w:szCs w:val="20"/>
        </w:rPr>
        <w:t>%</w:t>
      </w:r>
      <w:r w:rsidR="00BA6BA1" w:rsidRPr="00697F65">
        <w:rPr>
          <w:rFonts w:ascii="Arial" w:eastAsia="楷体_GB2312" w:hAnsi="Arial" w:cs="Arial" w:hint="eastAsia"/>
          <w:color w:val="000000" w:themeColor="text1"/>
          <w:sz w:val="20"/>
          <w:szCs w:val="20"/>
        </w:rPr>
        <w:t>、</w:t>
      </w:r>
      <w:r w:rsidR="00BA6BA1" w:rsidRPr="00697F65">
        <w:rPr>
          <w:rFonts w:ascii="Arial" w:eastAsia="楷体_GB2312" w:hAnsi="Arial" w:cs="Arial" w:hint="eastAsia"/>
          <w:color w:val="000000" w:themeColor="text1"/>
          <w:sz w:val="20"/>
          <w:szCs w:val="20"/>
        </w:rPr>
        <w:t>0.5</w:t>
      </w:r>
      <w:r w:rsidR="00556176">
        <w:rPr>
          <w:rFonts w:ascii="Arial" w:eastAsia="楷体_GB2312" w:hAnsi="Arial" w:cs="Arial" w:hint="eastAsia"/>
          <w:color w:val="000000" w:themeColor="text1"/>
          <w:sz w:val="20"/>
          <w:szCs w:val="20"/>
        </w:rPr>
        <w:t>0</w:t>
      </w:r>
      <w:r w:rsidR="00BA6BA1" w:rsidRPr="00697F65">
        <w:rPr>
          <w:rFonts w:ascii="Arial" w:eastAsia="楷体_GB2312" w:hAnsi="Arial" w:cs="Arial" w:hint="eastAsia"/>
          <w:color w:val="000000" w:themeColor="text1"/>
          <w:sz w:val="20"/>
          <w:szCs w:val="20"/>
        </w:rPr>
        <w:t>%</w:t>
      </w:r>
      <w:r w:rsidR="00556176">
        <w:rPr>
          <w:rFonts w:ascii="Arial" w:eastAsia="楷体_GB2312" w:hAnsi="Arial" w:cs="Arial" w:hint="eastAsia"/>
          <w:color w:val="000000" w:themeColor="text1"/>
          <w:sz w:val="20"/>
          <w:szCs w:val="20"/>
        </w:rPr>
        <w:t>，纳斯达克</w:t>
      </w:r>
      <w:r w:rsidR="00556176">
        <w:rPr>
          <w:rFonts w:ascii="Arial" w:eastAsia="楷体_GB2312" w:hAnsi="Arial" w:cs="Arial" w:hint="eastAsia"/>
          <w:color w:val="000000" w:themeColor="text1"/>
          <w:sz w:val="20"/>
          <w:szCs w:val="20"/>
        </w:rPr>
        <w:t>100</w:t>
      </w:r>
      <w:r w:rsidR="00BA6BA1" w:rsidRPr="00697F65">
        <w:rPr>
          <w:rFonts w:ascii="Arial" w:eastAsia="楷体_GB2312" w:hAnsi="Arial" w:cs="Arial" w:hint="eastAsia"/>
          <w:color w:val="000000" w:themeColor="text1"/>
          <w:sz w:val="20"/>
          <w:szCs w:val="20"/>
        </w:rPr>
        <w:t>下跌</w:t>
      </w:r>
      <w:r w:rsidR="00556176">
        <w:rPr>
          <w:rFonts w:ascii="Arial" w:eastAsia="楷体_GB2312" w:hAnsi="Arial" w:cs="Arial" w:hint="eastAsia"/>
          <w:color w:val="000000" w:themeColor="text1"/>
          <w:sz w:val="20"/>
          <w:szCs w:val="20"/>
        </w:rPr>
        <w:t>3.17</w:t>
      </w:r>
      <w:r w:rsidR="00BA6BA1" w:rsidRPr="00697F65">
        <w:rPr>
          <w:rFonts w:ascii="Arial" w:eastAsia="楷体_GB2312" w:hAnsi="Arial" w:cs="Arial" w:hint="eastAsia"/>
          <w:color w:val="000000" w:themeColor="text1"/>
          <w:sz w:val="20"/>
          <w:szCs w:val="20"/>
        </w:rPr>
        <w:t>%</w:t>
      </w:r>
      <w:r w:rsidR="00BA6BA1" w:rsidRPr="00697F65">
        <w:rPr>
          <w:rFonts w:ascii="Arial" w:eastAsia="楷体_GB2312" w:hAnsi="Arial" w:cs="Arial" w:hint="eastAsia"/>
          <w:color w:val="000000" w:themeColor="text1"/>
          <w:sz w:val="20"/>
          <w:szCs w:val="20"/>
        </w:rPr>
        <w:t>；欧洲市场，德国</w:t>
      </w:r>
      <w:r w:rsidR="00BA6BA1" w:rsidRPr="00697F65">
        <w:rPr>
          <w:rFonts w:ascii="Arial" w:eastAsia="楷体_GB2312" w:hAnsi="Arial" w:cs="Arial" w:hint="eastAsia"/>
          <w:color w:val="000000" w:themeColor="text1"/>
          <w:sz w:val="20"/>
          <w:szCs w:val="20"/>
        </w:rPr>
        <w:t>DAX</w:t>
      </w:r>
      <w:r w:rsidR="00BA6BA1" w:rsidRPr="00697F65">
        <w:rPr>
          <w:rFonts w:ascii="Arial" w:eastAsia="楷体_GB2312" w:hAnsi="Arial" w:cs="Arial" w:hint="eastAsia"/>
          <w:color w:val="000000" w:themeColor="text1"/>
          <w:sz w:val="20"/>
          <w:szCs w:val="20"/>
        </w:rPr>
        <w:t>指数、法国</w:t>
      </w:r>
      <w:r w:rsidR="00BA6BA1" w:rsidRPr="00697F65">
        <w:rPr>
          <w:rFonts w:ascii="Arial" w:eastAsia="楷体_GB2312" w:hAnsi="Arial" w:cs="Arial" w:hint="eastAsia"/>
          <w:color w:val="000000" w:themeColor="text1"/>
          <w:sz w:val="20"/>
          <w:szCs w:val="20"/>
        </w:rPr>
        <w:t>CAC40</w:t>
      </w:r>
      <w:r w:rsidR="00BA6BA1" w:rsidRPr="00697F65">
        <w:rPr>
          <w:rFonts w:ascii="Arial" w:eastAsia="楷体_GB2312" w:hAnsi="Arial" w:cs="Arial" w:hint="eastAsia"/>
          <w:color w:val="000000" w:themeColor="text1"/>
          <w:sz w:val="20"/>
          <w:szCs w:val="20"/>
        </w:rPr>
        <w:t>指数、英国富时</w:t>
      </w:r>
      <w:r w:rsidR="00BA6BA1" w:rsidRPr="00697F65">
        <w:rPr>
          <w:rFonts w:ascii="Arial" w:eastAsia="楷体_GB2312" w:hAnsi="Arial" w:cs="Arial" w:hint="eastAsia"/>
          <w:color w:val="000000" w:themeColor="text1"/>
          <w:sz w:val="20"/>
          <w:szCs w:val="20"/>
        </w:rPr>
        <w:t>100</w:t>
      </w:r>
      <w:r w:rsidR="00BA6BA1" w:rsidRPr="00697F65">
        <w:rPr>
          <w:rFonts w:ascii="Arial" w:eastAsia="楷体_GB2312" w:hAnsi="Arial" w:cs="Arial" w:hint="eastAsia"/>
          <w:color w:val="000000" w:themeColor="text1"/>
          <w:sz w:val="20"/>
          <w:szCs w:val="20"/>
        </w:rPr>
        <w:t>指数上周涨跌幅分别为</w:t>
      </w:r>
      <w:r w:rsidR="00556176">
        <w:rPr>
          <w:rFonts w:ascii="Arial" w:eastAsia="楷体_GB2312" w:hAnsi="Arial" w:cs="Arial" w:hint="eastAsia"/>
          <w:color w:val="000000" w:themeColor="text1"/>
          <w:sz w:val="20"/>
          <w:szCs w:val="20"/>
        </w:rPr>
        <w:t>0.74</w:t>
      </w:r>
      <w:r w:rsidR="00BA6BA1" w:rsidRPr="00697F65">
        <w:rPr>
          <w:rFonts w:ascii="Arial" w:eastAsia="楷体_GB2312" w:hAnsi="Arial" w:cs="Arial" w:hint="eastAsia"/>
          <w:color w:val="000000" w:themeColor="text1"/>
          <w:sz w:val="20"/>
          <w:szCs w:val="20"/>
        </w:rPr>
        <w:t>%</w:t>
      </w:r>
      <w:r w:rsidR="00BA6BA1" w:rsidRPr="00697F65">
        <w:rPr>
          <w:rFonts w:ascii="Arial" w:eastAsia="楷体_GB2312" w:hAnsi="Arial" w:cs="Arial" w:hint="eastAsia"/>
          <w:color w:val="000000" w:themeColor="text1"/>
          <w:sz w:val="20"/>
          <w:szCs w:val="20"/>
        </w:rPr>
        <w:t>、</w:t>
      </w:r>
      <w:r w:rsidR="00BA6BA1" w:rsidRPr="00697F65">
        <w:rPr>
          <w:rFonts w:ascii="Arial" w:eastAsia="楷体_GB2312" w:hAnsi="Arial" w:cs="Arial" w:hint="eastAsia"/>
          <w:color w:val="000000" w:themeColor="text1"/>
          <w:sz w:val="20"/>
          <w:szCs w:val="20"/>
        </w:rPr>
        <w:t>1.</w:t>
      </w:r>
      <w:r w:rsidR="00556176">
        <w:rPr>
          <w:rFonts w:ascii="Arial" w:eastAsia="楷体_GB2312" w:hAnsi="Arial" w:cs="Arial" w:hint="eastAsia"/>
          <w:color w:val="000000" w:themeColor="text1"/>
          <w:sz w:val="20"/>
          <w:szCs w:val="20"/>
        </w:rPr>
        <w:t>00</w:t>
      </w:r>
      <w:r w:rsidR="00BA6BA1" w:rsidRPr="00697F65">
        <w:rPr>
          <w:rFonts w:ascii="Arial" w:eastAsia="楷体_GB2312" w:hAnsi="Arial" w:cs="Arial" w:hint="eastAsia"/>
          <w:color w:val="000000" w:themeColor="text1"/>
          <w:sz w:val="20"/>
          <w:szCs w:val="20"/>
        </w:rPr>
        <w:t>%</w:t>
      </w:r>
      <w:r w:rsidR="00BA6BA1" w:rsidRPr="00697F65">
        <w:rPr>
          <w:rFonts w:ascii="Arial" w:eastAsia="楷体_GB2312" w:hAnsi="Arial" w:cs="Arial" w:hint="eastAsia"/>
          <w:color w:val="000000" w:themeColor="text1"/>
          <w:sz w:val="20"/>
          <w:szCs w:val="20"/>
        </w:rPr>
        <w:t>、</w:t>
      </w:r>
      <w:r w:rsidR="00556176">
        <w:rPr>
          <w:rFonts w:ascii="Arial" w:eastAsia="楷体_GB2312" w:hAnsi="Arial" w:cs="Arial" w:hint="eastAsia"/>
          <w:color w:val="000000" w:themeColor="text1"/>
          <w:sz w:val="20"/>
          <w:szCs w:val="20"/>
        </w:rPr>
        <w:t>1.08</w:t>
      </w:r>
      <w:r w:rsidR="00BA6BA1" w:rsidRPr="00697F65">
        <w:rPr>
          <w:rFonts w:ascii="Arial" w:eastAsia="楷体_GB2312" w:hAnsi="Arial" w:cs="Arial" w:hint="eastAsia"/>
          <w:color w:val="000000" w:themeColor="text1"/>
          <w:sz w:val="20"/>
          <w:szCs w:val="20"/>
        </w:rPr>
        <w:t>%</w:t>
      </w:r>
      <w:r w:rsidR="00BA6BA1" w:rsidRPr="00697F65">
        <w:rPr>
          <w:rFonts w:ascii="Arial" w:eastAsia="楷体_GB2312" w:hAnsi="Arial" w:cs="Arial" w:hint="eastAsia"/>
          <w:color w:val="000000" w:themeColor="text1"/>
          <w:sz w:val="20"/>
          <w:szCs w:val="20"/>
        </w:rPr>
        <w:t>。</w:t>
      </w:r>
    </w:p>
    <w:p w:rsidR="00BA6BA1" w:rsidRPr="00E762E6" w:rsidRDefault="00BA6BA1" w:rsidP="00B51D8E">
      <w:pPr>
        <w:pStyle w:val="a5"/>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Pr>
          <w:rFonts w:ascii="Arial" w:eastAsia="楷体_GB2312" w:hAnsi="Arial" w:cs="Arial" w:hint="eastAsia"/>
          <w:b/>
          <w:color w:val="000000" w:themeColor="text1"/>
          <w:sz w:val="20"/>
          <w:szCs w:val="20"/>
        </w:rPr>
        <w:t>金价</w:t>
      </w:r>
      <w:r w:rsidR="00532D79">
        <w:rPr>
          <w:rFonts w:ascii="Arial" w:eastAsia="楷体_GB2312" w:hAnsi="Arial" w:cs="Arial" w:hint="eastAsia"/>
          <w:b/>
          <w:color w:val="000000" w:themeColor="text1"/>
          <w:sz w:val="20"/>
          <w:szCs w:val="20"/>
        </w:rPr>
        <w:t>上涨</w:t>
      </w:r>
      <w:r>
        <w:rPr>
          <w:rFonts w:ascii="Arial" w:eastAsia="楷体_GB2312" w:hAnsi="Arial" w:cs="Arial" w:hint="eastAsia"/>
          <w:b/>
          <w:color w:val="000000" w:themeColor="text1"/>
          <w:sz w:val="20"/>
          <w:szCs w:val="20"/>
        </w:rPr>
        <w:t>，</w:t>
      </w:r>
      <w:proofErr w:type="gramStart"/>
      <w:r>
        <w:rPr>
          <w:rFonts w:ascii="Arial" w:eastAsia="楷体_GB2312" w:hAnsi="Arial" w:cs="Arial" w:hint="eastAsia"/>
          <w:b/>
          <w:color w:val="000000" w:themeColor="text1"/>
          <w:sz w:val="20"/>
          <w:szCs w:val="20"/>
        </w:rPr>
        <w:t>原油</w:t>
      </w:r>
      <w:r w:rsidR="00532D79">
        <w:rPr>
          <w:rFonts w:ascii="Arial" w:eastAsia="楷体_GB2312" w:hAnsi="Arial" w:cs="Arial" w:hint="eastAsia"/>
          <w:b/>
          <w:color w:val="000000" w:themeColor="text1"/>
          <w:sz w:val="20"/>
          <w:szCs w:val="20"/>
        </w:rPr>
        <w:t>涨幅</w:t>
      </w:r>
      <w:proofErr w:type="gramEnd"/>
      <w:r w:rsidR="00532D79">
        <w:rPr>
          <w:rFonts w:ascii="Arial" w:eastAsia="楷体_GB2312" w:hAnsi="Arial" w:cs="Arial" w:hint="eastAsia"/>
          <w:b/>
          <w:color w:val="000000" w:themeColor="text1"/>
          <w:sz w:val="20"/>
          <w:szCs w:val="20"/>
        </w:rPr>
        <w:t>亮眼</w:t>
      </w:r>
      <w:r w:rsidRPr="00E762E6">
        <w:rPr>
          <w:rFonts w:ascii="Arial" w:eastAsia="楷体_GB2312" w:hAnsi="Arial" w:cs="Arial" w:hint="eastAsia"/>
          <w:b/>
          <w:color w:val="000000" w:themeColor="text1"/>
          <w:sz w:val="20"/>
          <w:szCs w:val="20"/>
        </w:rPr>
        <w:t>。</w:t>
      </w:r>
      <w:r w:rsidR="00532D79" w:rsidRPr="00532D79">
        <w:rPr>
          <w:rFonts w:ascii="Arial" w:eastAsia="楷体_GB2312" w:hAnsi="Arial" w:cs="Arial" w:hint="eastAsia"/>
          <w:color w:val="000000" w:themeColor="text1"/>
          <w:sz w:val="20"/>
          <w:szCs w:val="20"/>
        </w:rPr>
        <w:t>黄金市场在先小幅波动的情况下，临近</w:t>
      </w:r>
      <w:r w:rsidR="00532D79">
        <w:rPr>
          <w:rFonts w:ascii="Arial" w:eastAsia="楷体_GB2312" w:hAnsi="Arial" w:cs="Arial" w:hint="eastAsia"/>
          <w:color w:val="000000" w:themeColor="text1"/>
          <w:sz w:val="20"/>
          <w:szCs w:val="20"/>
        </w:rPr>
        <w:t>月</w:t>
      </w:r>
      <w:r w:rsidR="00532D79" w:rsidRPr="00532D79">
        <w:rPr>
          <w:rFonts w:ascii="Arial" w:eastAsia="楷体_GB2312" w:hAnsi="Arial" w:cs="Arial" w:hint="eastAsia"/>
          <w:color w:val="000000" w:themeColor="text1"/>
          <w:sz w:val="20"/>
          <w:szCs w:val="20"/>
        </w:rPr>
        <w:t>末忽然发力，</w:t>
      </w:r>
      <w:r w:rsidR="001E63D2">
        <w:rPr>
          <w:rFonts w:ascii="Arial" w:eastAsia="楷体_GB2312" w:hAnsi="Arial" w:cs="Arial" w:hint="eastAsia"/>
          <w:color w:val="000000" w:themeColor="text1"/>
          <w:sz w:val="20"/>
          <w:szCs w:val="20"/>
        </w:rPr>
        <w:t>在</w:t>
      </w:r>
      <w:r w:rsidR="00532D79" w:rsidRPr="00532D79">
        <w:rPr>
          <w:rFonts w:ascii="Arial" w:eastAsia="楷体_GB2312" w:hAnsi="Arial" w:cs="Arial" w:hint="eastAsia"/>
          <w:color w:val="000000" w:themeColor="text1"/>
          <w:sz w:val="20"/>
          <w:szCs w:val="20"/>
        </w:rPr>
        <w:t>日本央行利率决议余波后美元持续疲软，</w:t>
      </w:r>
      <w:r w:rsidR="001E63D2">
        <w:rPr>
          <w:rFonts w:ascii="Arial" w:eastAsia="楷体_GB2312" w:hAnsi="Arial" w:cs="Arial" w:hint="eastAsia"/>
          <w:color w:val="000000" w:themeColor="text1"/>
          <w:sz w:val="20"/>
          <w:szCs w:val="20"/>
        </w:rPr>
        <w:t>以及</w:t>
      </w:r>
      <w:r w:rsidR="00532D79" w:rsidRPr="00532D79">
        <w:rPr>
          <w:rFonts w:ascii="Arial" w:eastAsia="楷体_GB2312" w:hAnsi="Arial" w:cs="Arial" w:hint="eastAsia"/>
          <w:color w:val="000000" w:themeColor="text1"/>
          <w:sz w:val="20"/>
          <w:szCs w:val="20"/>
        </w:rPr>
        <w:t>美国经济数据又表现平淡的双重推动下，金价大涨触及</w:t>
      </w:r>
      <w:r w:rsidR="00532D79" w:rsidRPr="00532D79">
        <w:rPr>
          <w:rFonts w:ascii="Arial" w:eastAsia="楷体_GB2312" w:hAnsi="Arial" w:cs="Arial" w:hint="eastAsia"/>
          <w:color w:val="000000" w:themeColor="text1"/>
          <w:sz w:val="20"/>
          <w:szCs w:val="20"/>
        </w:rPr>
        <w:t>15</w:t>
      </w:r>
      <w:r w:rsidR="00532D79" w:rsidRPr="00532D79">
        <w:rPr>
          <w:rFonts w:ascii="Arial" w:eastAsia="楷体_GB2312" w:hAnsi="Arial" w:cs="Arial" w:hint="eastAsia"/>
          <w:color w:val="000000" w:themeColor="text1"/>
          <w:sz w:val="20"/>
          <w:szCs w:val="20"/>
        </w:rPr>
        <w:t>个月高位，并且逼近</w:t>
      </w:r>
      <w:r w:rsidR="00532D79" w:rsidRPr="00532D79">
        <w:rPr>
          <w:rFonts w:ascii="Arial" w:eastAsia="楷体_GB2312" w:hAnsi="Arial" w:cs="Arial" w:hint="eastAsia"/>
          <w:color w:val="000000" w:themeColor="text1"/>
          <w:sz w:val="20"/>
          <w:szCs w:val="20"/>
        </w:rPr>
        <w:t>1300</w:t>
      </w:r>
      <w:r w:rsidR="00532D79" w:rsidRPr="00532D79">
        <w:rPr>
          <w:rFonts w:ascii="Arial" w:eastAsia="楷体_GB2312" w:hAnsi="Arial" w:cs="Arial" w:hint="eastAsia"/>
          <w:color w:val="000000" w:themeColor="text1"/>
          <w:sz w:val="20"/>
          <w:szCs w:val="20"/>
        </w:rPr>
        <w:t>美元</w:t>
      </w:r>
      <w:r w:rsidR="00532D79" w:rsidRPr="00532D79">
        <w:rPr>
          <w:rFonts w:ascii="Arial" w:eastAsia="楷体_GB2312" w:hAnsi="Arial" w:cs="Arial" w:hint="eastAsia"/>
          <w:color w:val="000000" w:themeColor="text1"/>
          <w:sz w:val="20"/>
          <w:szCs w:val="20"/>
        </w:rPr>
        <w:t>/</w:t>
      </w:r>
      <w:r w:rsidR="00532D79" w:rsidRPr="00532D79">
        <w:rPr>
          <w:rFonts w:ascii="Arial" w:eastAsia="楷体_GB2312" w:hAnsi="Arial" w:cs="Arial" w:hint="eastAsia"/>
          <w:color w:val="000000" w:themeColor="text1"/>
          <w:sz w:val="20"/>
          <w:szCs w:val="20"/>
        </w:rPr>
        <w:t>盎司关</w:t>
      </w:r>
      <w:r w:rsidR="00532D79" w:rsidRPr="00532D79">
        <w:rPr>
          <w:rFonts w:ascii="Arial" w:eastAsia="楷体_GB2312" w:hAnsi="Arial" w:cs="Arial" w:hint="eastAsia"/>
          <w:color w:val="000000" w:themeColor="text1"/>
          <w:sz w:val="20"/>
          <w:szCs w:val="20"/>
        </w:rPr>
        <w:lastRenderedPageBreak/>
        <w:t>口。</w:t>
      </w:r>
      <w:r w:rsidR="00B51D8E">
        <w:rPr>
          <w:rFonts w:ascii="Arial" w:eastAsia="楷体_GB2312" w:hAnsi="Arial" w:cs="Arial" w:hint="eastAsia"/>
          <w:color w:val="000000" w:themeColor="text1"/>
          <w:sz w:val="20"/>
          <w:szCs w:val="20"/>
        </w:rPr>
        <w:t>而原油价格在</w:t>
      </w:r>
      <w:r w:rsidR="001E63D2">
        <w:rPr>
          <w:rFonts w:ascii="Arial" w:eastAsia="楷体_GB2312" w:hAnsi="Arial" w:cs="Arial" w:hint="eastAsia"/>
          <w:color w:val="000000" w:themeColor="text1"/>
          <w:sz w:val="20"/>
          <w:szCs w:val="20"/>
        </w:rPr>
        <w:t>4</w:t>
      </w:r>
      <w:r w:rsidR="00B51D8E">
        <w:rPr>
          <w:rFonts w:ascii="Arial" w:eastAsia="楷体_GB2312" w:hAnsi="Arial" w:cs="Arial" w:hint="eastAsia"/>
          <w:color w:val="000000" w:themeColor="text1"/>
          <w:sz w:val="20"/>
          <w:szCs w:val="20"/>
        </w:rPr>
        <w:t>月可谓一路高歌，尽管</w:t>
      </w:r>
      <w:r w:rsidR="00B51D8E" w:rsidRPr="00B51D8E">
        <w:rPr>
          <w:rFonts w:ascii="Arial" w:eastAsia="楷体_GB2312" w:hAnsi="Arial" w:cs="Arial" w:hint="eastAsia"/>
          <w:color w:val="000000" w:themeColor="text1"/>
          <w:sz w:val="20"/>
          <w:szCs w:val="20"/>
        </w:rPr>
        <w:t>多哈冻产惨遭“夭折”</w:t>
      </w:r>
      <w:r w:rsidR="00B51D8E">
        <w:rPr>
          <w:rFonts w:ascii="Arial" w:eastAsia="楷体_GB2312" w:hAnsi="Arial" w:cs="Arial" w:hint="eastAsia"/>
          <w:color w:val="000000" w:themeColor="text1"/>
          <w:sz w:val="20"/>
          <w:szCs w:val="20"/>
        </w:rPr>
        <w:t>，但市场早有预期，加之</w:t>
      </w:r>
      <w:r w:rsidR="00B51D8E" w:rsidRPr="00B51D8E">
        <w:rPr>
          <w:rFonts w:ascii="Arial" w:eastAsia="楷体_GB2312" w:hAnsi="Arial" w:cs="Arial" w:hint="eastAsia"/>
          <w:color w:val="000000" w:themeColor="text1"/>
          <w:sz w:val="20"/>
          <w:szCs w:val="20"/>
        </w:rPr>
        <w:t>美国原油产量连续第</w:t>
      </w:r>
      <w:r w:rsidR="00B51D8E" w:rsidRPr="00B51D8E">
        <w:rPr>
          <w:rFonts w:ascii="Arial" w:eastAsia="楷体_GB2312" w:hAnsi="Arial" w:cs="Arial" w:hint="eastAsia"/>
          <w:color w:val="000000" w:themeColor="text1"/>
          <w:sz w:val="20"/>
          <w:szCs w:val="20"/>
        </w:rPr>
        <w:t>7</w:t>
      </w:r>
      <w:r w:rsidR="00B51D8E" w:rsidRPr="00B51D8E">
        <w:rPr>
          <w:rFonts w:ascii="Arial" w:eastAsia="楷体_GB2312" w:hAnsi="Arial" w:cs="Arial" w:hint="eastAsia"/>
          <w:color w:val="000000" w:themeColor="text1"/>
          <w:sz w:val="20"/>
          <w:szCs w:val="20"/>
        </w:rPr>
        <w:t>周下降、美元汇率走软，推动油价创近</w:t>
      </w:r>
      <w:r w:rsidR="00B51D8E" w:rsidRPr="00B51D8E">
        <w:rPr>
          <w:rFonts w:ascii="Arial" w:eastAsia="楷体_GB2312" w:hAnsi="Arial" w:cs="Arial" w:hint="eastAsia"/>
          <w:color w:val="000000" w:themeColor="text1"/>
          <w:sz w:val="20"/>
          <w:szCs w:val="20"/>
        </w:rPr>
        <w:t>6</w:t>
      </w:r>
      <w:r w:rsidR="00B51D8E" w:rsidRPr="00B51D8E">
        <w:rPr>
          <w:rFonts w:ascii="Arial" w:eastAsia="楷体_GB2312" w:hAnsi="Arial" w:cs="Arial" w:hint="eastAsia"/>
          <w:color w:val="000000" w:themeColor="text1"/>
          <w:sz w:val="20"/>
          <w:szCs w:val="20"/>
        </w:rPr>
        <w:t>个月来新高。</w:t>
      </w:r>
      <w:r w:rsidR="00B51D8E">
        <w:rPr>
          <w:rFonts w:ascii="Arial" w:eastAsia="楷体_GB2312" w:hAnsi="Arial" w:cs="Arial" w:hint="eastAsia"/>
          <w:color w:val="000000" w:themeColor="text1"/>
          <w:sz w:val="20"/>
          <w:szCs w:val="20"/>
        </w:rPr>
        <w:t>全月油价上涨</w:t>
      </w:r>
      <w:r w:rsidR="00B51D8E">
        <w:rPr>
          <w:rFonts w:ascii="Arial" w:eastAsia="楷体_GB2312" w:hAnsi="Arial" w:cs="Arial" w:hint="eastAsia"/>
          <w:color w:val="000000" w:themeColor="text1"/>
          <w:sz w:val="20"/>
          <w:szCs w:val="20"/>
        </w:rPr>
        <w:t>20.68%</w:t>
      </w:r>
      <w:r w:rsidR="00B51D8E">
        <w:rPr>
          <w:rFonts w:ascii="Arial" w:eastAsia="楷体_GB2312" w:hAnsi="Arial" w:cs="Arial" w:hint="eastAsia"/>
          <w:color w:val="000000" w:themeColor="text1"/>
          <w:sz w:val="20"/>
          <w:szCs w:val="20"/>
        </w:rPr>
        <w:t>，表现十分亮眼。</w:t>
      </w:r>
    </w:p>
    <w:tbl>
      <w:tblPr>
        <w:tblpPr w:leftFromText="180" w:rightFromText="180" w:vertAnchor="text" w:horzAnchor="margin" w:tblpY="180"/>
        <w:tblW w:w="3701" w:type="dxa"/>
        <w:tblLook w:val="04A0" w:firstRow="1" w:lastRow="0" w:firstColumn="1" w:lastColumn="0" w:noHBand="0" w:noVBand="1"/>
      </w:tblPr>
      <w:tblGrid>
        <w:gridCol w:w="2283"/>
        <w:gridCol w:w="1418"/>
      </w:tblGrid>
      <w:tr w:rsidR="00BA6BA1" w:rsidRPr="00666174" w:rsidTr="00FF3942">
        <w:trPr>
          <w:trHeight w:val="270"/>
        </w:trPr>
        <w:tc>
          <w:tcPr>
            <w:tcW w:w="3701" w:type="dxa"/>
            <w:gridSpan w:val="2"/>
            <w:tcBorders>
              <w:top w:val="single" w:sz="4" w:space="0" w:color="auto"/>
              <w:bottom w:val="single" w:sz="4" w:space="0" w:color="auto"/>
            </w:tcBorders>
            <w:shd w:val="clear" w:color="000000" w:fill="F79646"/>
            <w:vAlign w:val="center"/>
            <w:hideMark/>
          </w:tcPr>
          <w:p w:rsidR="00BA6BA1" w:rsidRPr="00666174" w:rsidRDefault="00BA6BA1" w:rsidP="00FF3942">
            <w:pPr>
              <w:widowControl/>
              <w:jc w:val="center"/>
              <w:rPr>
                <w:rFonts w:ascii="楷体" w:eastAsia="楷体" w:hAnsi="楷体" w:cs="宋体"/>
                <w:b/>
                <w:bCs/>
                <w:color w:val="000000" w:themeColor="text1"/>
                <w:kern w:val="0"/>
                <w:sz w:val="20"/>
                <w:szCs w:val="20"/>
              </w:rPr>
            </w:pPr>
            <w:r w:rsidRPr="00666174">
              <w:rPr>
                <w:rFonts w:ascii="楷体" w:eastAsia="楷体" w:hAnsi="楷体" w:cs="宋体" w:hint="eastAsia"/>
                <w:b/>
                <w:bCs/>
                <w:color w:val="000000" w:themeColor="text1"/>
                <w:kern w:val="0"/>
                <w:sz w:val="20"/>
                <w:szCs w:val="20"/>
              </w:rPr>
              <w:t>国内经济重要数据</w:t>
            </w:r>
          </w:p>
        </w:tc>
      </w:tr>
      <w:tr w:rsidR="00BA6BA1" w:rsidRPr="00666174" w:rsidTr="00FF3942">
        <w:trPr>
          <w:trHeight w:val="270"/>
        </w:trPr>
        <w:tc>
          <w:tcPr>
            <w:tcW w:w="2283" w:type="dxa"/>
            <w:tcBorders>
              <w:top w:val="nil"/>
              <w:bottom w:val="single" w:sz="4" w:space="0" w:color="auto"/>
              <w:right w:val="single" w:sz="4" w:space="0" w:color="auto"/>
            </w:tcBorders>
            <w:shd w:val="clear" w:color="000000" w:fill="D9D9D9"/>
            <w:vAlign w:val="center"/>
            <w:hideMark/>
          </w:tcPr>
          <w:p w:rsidR="00BA6BA1" w:rsidRPr="00666174" w:rsidRDefault="00BA6BA1" w:rsidP="00FF3942">
            <w:pPr>
              <w:widowControl/>
              <w:jc w:val="center"/>
              <w:rPr>
                <w:rFonts w:ascii="楷体" w:eastAsia="楷体" w:hAnsi="楷体" w:cs="宋体"/>
                <w:b/>
                <w:bCs/>
                <w:color w:val="000000" w:themeColor="text1"/>
                <w:kern w:val="0"/>
                <w:sz w:val="18"/>
                <w:szCs w:val="18"/>
              </w:rPr>
            </w:pPr>
            <w:r w:rsidRPr="00666174">
              <w:rPr>
                <w:rFonts w:ascii="楷体" w:eastAsia="楷体" w:hAnsi="楷体" w:cs="宋体" w:hint="eastAsia"/>
                <w:b/>
                <w:bCs/>
                <w:color w:val="000000" w:themeColor="text1"/>
                <w:kern w:val="0"/>
                <w:sz w:val="18"/>
                <w:szCs w:val="18"/>
              </w:rPr>
              <w:t>项目</w:t>
            </w:r>
          </w:p>
        </w:tc>
        <w:tc>
          <w:tcPr>
            <w:tcW w:w="1418" w:type="dxa"/>
            <w:tcBorders>
              <w:top w:val="nil"/>
              <w:left w:val="nil"/>
              <w:bottom w:val="single" w:sz="4" w:space="0" w:color="auto"/>
            </w:tcBorders>
            <w:shd w:val="clear" w:color="000000" w:fill="D9D9D9"/>
            <w:vAlign w:val="center"/>
            <w:hideMark/>
          </w:tcPr>
          <w:p w:rsidR="00BA6BA1" w:rsidRPr="00666174" w:rsidRDefault="00BA6BA1" w:rsidP="00FF3942">
            <w:pPr>
              <w:widowControl/>
              <w:jc w:val="center"/>
              <w:rPr>
                <w:rFonts w:ascii="楷体" w:eastAsia="楷体" w:hAnsi="楷体" w:cs="宋体"/>
                <w:b/>
                <w:bCs/>
                <w:color w:val="000000" w:themeColor="text1"/>
                <w:kern w:val="0"/>
                <w:sz w:val="18"/>
                <w:szCs w:val="18"/>
              </w:rPr>
            </w:pPr>
            <w:r w:rsidRPr="00666174">
              <w:rPr>
                <w:rFonts w:ascii="楷体" w:eastAsia="楷体" w:hAnsi="楷体" w:cs="宋体" w:hint="eastAsia"/>
                <w:b/>
                <w:bCs/>
                <w:color w:val="000000" w:themeColor="text1"/>
                <w:kern w:val="0"/>
                <w:sz w:val="18"/>
                <w:szCs w:val="18"/>
              </w:rPr>
              <w:t>数据</w:t>
            </w:r>
          </w:p>
        </w:tc>
      </w:tr>
      <w:tr w:rsidR="00BA6BA1" w:rsidRPr="00666174" w:rsidTr="00FF3942">
        <w:trPr>
          <w:trHeight w:val="270"/>
        </w:trPr>
        <w:tc>
          <w:tcPr>
            <w:tcW w:w="2283" w:type="dxa"/>
            <w:tcBorders>
              <w:top w:val="nil"/>
              <w:bottom w:val="single" w:sz="4" w:space="0" w:color="auto"/>
              <w:right w:val="single" w:sz="4" w:space="0" w:color="auto"/>
            </w:tcBorders>
            <w:shd w:val="clear" w:color="auto" w:fill="auto"/>
            <w:noWrap/>
            <w:vAlign w:val="center"/>
          </w:tcPr>
          <w:p w:rsidR="00BA6BA1" w:rsidRPr="00666174" w:rsidRDefault="008C4151" w:rsidP="00FF3942">
            <w:pPr>
              <w:jc w:val="center"/>
              <w:rPr>
                <w:rFonts w:ascii="楷体" w:eastAsia="楷体" w:hAnsi="楷体" w:cs="宋体"/>
                <w:color w:val="000000" w:themeColor="text1"/>
                <w:sz w:val="16"/>
                <w:szCs w:val="16"/>
              </w:rPr>
            </w:pPr>
            <w:r w:rsidRPr="008C4151">
              <w:rPr>
                <w:rFonts w:ascii="楷体" w:eastAsia="楷体" w:hAnsi="楷体" w:cs="宋体" w:hint="eastAsia"/>
                <w:color w:val="000000" w:themeColor="text1"/>
                <w:sz w:val="16"/>
                <w:szCs w:val="16"/>
              </w:rPr>
              <w:t>3月</w:t>
            </w:r>
            <w:r w:rsidR="00ED0705">
              <w:rPr>
                <w:rFonts w:ascii="楷体" w:eastAsia="楷体" w:hAnsi="楷体" w:cs="宋体" w:hint="eastAsia"/>
                <w:color w:val="000000" w:themeColor="text1"/>
                <w:sz w:val="16"/>
                <w:szCs w:val="16"/>
              </w:rPr>
              <w:t>规模以上</w:t>
            </w:r>
            <w:r w:rsidRPr="008C4151">
              <w:rPr>
                <w:rFonts w:ascii="楷体" w:eastAsia="楷体" w:hAnsi="楷体" w:cs="宋体" w:hint="eastAsia"/>
                <w:color w:val="000000" w:themeColor="text1"/>
                <w:sz w:val="16"/>
                <w:szCs w:val="16"/>
              </w:rPr>
              <w:t>工业企业利润</w:t>
            </w:r>
          </w:p>
        </w:tc>
        <w:tc>
          <w:tcPr>
            <w:tcW w:w="1418" w:type="dxa"/>
            <w:tcBorders>
              <w:top w:val="nil"/>
              <w:left w:val="nil"/>
              <w:bottom w:val="single" w:sz="4" w:space="0" w:color="auto"/>
            </w:tcBorders>
            <w:shd w:val="clear" w:color="auto" w:fill="auto"/>
            <w:noWrap/>
            <w:vAlign w:val="center"/>
          </w:tcPr>
          <w:p w:rsidR="00BA6BA1" w:rsidRPr="00666174" w:rsidRDefault="008C4151" w:rsidP="00FF3942">
            <w:pPr>
              <w:jc w:val="center"/>
              <w:rPr>
                <w:rFonts w:ascii="楷体" w:eastAsia="楷体" w:hAnsi="楷体" w:cs="宋体"/>
                <w:color w:val="000000" w:themeColor="text1"/>
                <w:sz w:val="16"/>
                <w:szCs w:val="16"/>
              </w:rPr>
            </w:pPr>
            <w:r>
              <w:rPr>
                <w:rFonts w:ascii="楷体" w:eastAsia="楷体" w:hAnsi="楷体" w:cs="宋体"/>
                <w:color w:val="000000" w:themeColor="text1"/>
                <w:sz w:val="16"/>
                <w:szCs w:val="16"/>
              </w:rPr>
              <w:t>同比增长</w:t>
            </w:r>
            <w:r>
              <w:rPr>
                <w:rFonts w:ascii="楷体" w:eastAsia="楷体" w:hAnsi="楷体" w:cs="宋体" w:hint="eastAsia"/>
                <w:color w:val="000000" w:themeColor="text1"/>
                <w:sz w:val="16"/>
                <w:szCs w:val="16"/>
              </w:rPr>
              <w:t>11.1%</w:t>
            </w:r>
          </w:p>
        </w:tc>
      </w:tr>
      <w:tr w:rsidR="00BA6BA1" w:rsidRPr="00666174" w:rsidTr="00FF3942">
        <w:trPr>
          <w:trHeight w:val="270"/>
        </w:trPr>
        <w:tc>
          <w:tcPr>
            <w:tcW w:w="2283" w:type="dxa"/>
            <w:tcBorders>
              <w:top w:val="nil"/>
              <w:bottom w:val="single" w:sz="4" w:space="0" w:color="auto"/>
              <w:right w:val="single" w:sz="4" w:space="0" w:color="auto"/>
            </w:tcBorders>
            <w:shd w:val="clear" w:color="000000" w:fill="D9D9D9"/>
            <w:noWrap/>
            <w:vAlign w:val="center"/>
          </w:tcPr>
          <w:p w:rsidR="00BA6BA1" w:rsidRPr="00666174" w:rsidRDefault="003521BD" w:rsidP="003521BD">
            <w:pPr>
              <w:jc w:val="center"/>
              <w:rPr>
                <w:rFonts w:ascii="楷体" w:eastAsia="楷体" w:hAnsi="楷体" w:cs="宋体"/>
                <w:color w:val="000000" w:themeColor="text1"/>
                <w:sz w:val="16"/>
                <w:szCs w:val="16"/>
              </w:rPr>
            </w:pPr>
            <w:r w:rsidRPr="003521BD">
              <w:rPr>
                <w:rFonts w:ascii="楷体" w:eastAsia="楷体" w:hAnsi="楷体" w:cs="宋体" w:hint="eastAsia"/>
                <w:color w:val="000000" w:themeColor="text1"/>
                <w:sz w:val="16"/>
                <w:szCs w:val="16"/>
              </w:rPr>
              <w:t>1-3月</w:t>
            </w:r>
            <w:r>
              <w:rPr>
                <w:rFonts w:ascii="楷体" w:eastAsia="楷体" w:hAnsi="楷体" w:cs="宋体" w:hint="eastAsia"/>
                <w:color w:val="000000" w:themeColor="text1"/>
                <w:sz w:val="16"/>
                <w:szCs w:val="16"/>
              </w:rPr>
              <w:t>全国规模以上工业企业</w:t>
            </w:r>
            <w:r w:rsidRPr="003521BD">
              <w:rPr>
                <w:rFonts w:ascii="楷体" w:eastAsia="楷体" w:hAnsi="楷体" w:cs="宋体" w:hint="eastAsia"/>
                <w:color w:val="000000" w:themeColor="text1"/>
                <w:sz w:val="16"/>
                <w:szCs w:val="16"/>
              </w:rPr>
              <w:t>利润</w:t>
            </w:r>
          </w:p>
        </w:tc>
        <w:tc>
          <w:tcPr>
            <w:tcW w:w="1418" w:type="dxa"/>
            <w:tcBorders>
              <w:top w:val="nil"/>
              <w:left w:val="nil"/>
              <w:bottom w:val="single" w:sz="4" w:space="0" w:color="auto"/>
            </w:tcBorders>
            <w:shd w:val="clear" w:color="000000" w:fill="D9D9D9"/>
            <w:noWrap/>
            <w:vAlign w:val="center"/>
          </w:tcPr>
          <w:p w:rsidR="00BA6BA1" w:rsidRPr="003521BD" w:rsidRDefault="003521BD" w:rsidP="00FF3942">
            <w:pPr>
              <w:jc w:val="center"/>
              <w:rPr>
                <w:rFonts w:ascii="楷体" w:eastAsia="楷体" w:hAnsi="楷体" w:cs="宋体"/>
                <w:color w:val="000000" w:themeColor="text1"/>
                <w:sz w:val="16"/>
                <w:szCs w:val="16"/>
              </w:rPr>
            </w:pPr>
            <w:r>
              <w:rPr>
                <w:rFonts w:ascii="楷体" w:eastAsia="楷体" w:hAnsi="楷体" w:cs="宋体"/>
                <w:color w:val="000000" w:themeColor="text1"/>
                <w:sz w:val="16"/>
                <w:szCs w:val="16"/>
              </w:rPr>
              <w:t>同比增长</w:t>
            </w:r>
            <w:r>
              <w:rPr>
                <w:rFonts w:ascii="楷体" w:eastAsia="楷体" w:hAnsi="楷体" w:cs="宋体" w:hint="eastAsia"/>
                <w:color w:val="000000" w:themeColor="text1"/>
                <w:sz w:val="16"/>
                <w:szCs w:val="16"/>
              </w:rPr>
              <w:t>7.4%</w:t>
            </w:r>
          </w:p>
        </w:tc>
      </w:tr>
      <w:tr w:rsidR="00BA6BA1" w:rsidRPr="00666174" w:rsidTr="00FF3942">
        <w:trPr>
          <w:trHeight w:val="270"/>
        </w:trPr>
        <w:tc>
          <w:tcPr>
            <w:tcW w:w="2283" w:type="dxa"/>
            <w:tcBorders>
              <w:top w:val="nil"/>
              <w:bottom w:val="single" w:sz="4" w:space="0" w:color="auto"/>
              <w:right w:val="single" w:sz="4" w:space="0" w:color="auto"/>
            </w:tcBorders>
            <w:shd w:val="clear" w:color="auto" w:fill="auto"/>
            <w:noWrap/>
            <w:vAlign w:val="center"/>
          </w:tcPr>
          <w:p w:rsidR="00BA6BA1" w:rsidRPr="00666174" w:rsidRDefault="007D63AD" w:rsidP="00FF3942">
            <w:pPr>
              <w:jc w:val="center"/>
              <w:rPr>
                <w:rFonts w:ascii="楷体" w:eastAsia="楷体" w:hAnsi="楷体" w:cs="宋体"/>
                <w:color w:val="000000" w:themeColor="text1"/>
                <w:sz w:val="16"/>
                <w:szCs w:val="16"/>
              </w:rPr>
            </w:pPr>
            <w:r>
              <w:rPr>
                <w:rFonts w:ascii="楷体" w:eastAsia="楷体" w:hAnsi="楷体" w:cs="宋体" w:hint="eastAsia"/>
                <w:color w:val="000000" w:themeColor="text1"/>
                <w:sz w:val="16"/>
                <w:szCs w:val="16"/>
              </w:rPr>
              <w:t>4月官方制造业PMI</w:t>
            </w:r>
          </w:p>
        </w:tc>
        <w:tc>
          <w:tcPr>
            <w:tcW w:w="1418" w:type="dxa"/>
            <w:tcBorders>
              <w:top w:val="nil"/>
              <w:left w:val="nil"/>
              <w:bottom w:val="single" w:sz="4" w:space="0" w:color="auto"/>
            </w:tcBorders>
            <w:shd w:val="clear" w:color="auto" w:fill="auto"/>
            <w:noWrap/>
            <w:vAlign w:val="center"/>
          </w:tcPr>
          <w:p w:rsidR="00BA6BA1" w:rsidRPr="00666174" w:rsidRDefault="007D63AD" w:rsidP="00FF3942">
            <w:pPr>
              <w:jc w:val="center"/>
              <w:rPr>
                <w:rFonts w:ascii="楷体" w:eastAsia="楷体" w:hAnsi="楷体" w:cs="宋体"/>
                <w:color w:val="000000" w:themeColor="text1"/>
                <w:sz w:val="16"/>
                <w:szCs w:val="16"/>
              </w:rPr>
            </w:pPr>
            <w:r>
              <w:rPr>
                <w:rFonts w:ascii="楷体" w:eastAsia="楷体" w:hAnsi="楷体" w:cs="宋体" w:hint="eastAsia"/>
                <w:color w:val="000000" w:themeColor="text1"/>
                <w:sz w:val="16"/>
                <w:szCs w:val="16"/>
              </w:rPr>
              <w:t>50.1%</w:t>
            </w:r>
          </w:p>
        </w:tc>
      </w:tr>
      <w:tr w:rsidR="00BA6BA1" w:rsidRPr="00666174" w:rsidTr="00FF3942">
        <w:trPr>
          <w:trHeight w:val="270"/>
        </w:trPr>
        <w:tc>
          <w:tcPr>
            <w:tcW w:w="2283" w:type="dxa"/>
            <w:tcBorders>
              <w:top w:val="nil"/>
              <w:bottom w:val="single" w:sz="4" w:space="0" w:color="auto"/>
              <w:right w:val="single" w:sz="4" w:space="0" w:color="auto"/>
            </w:tcBorders>
            <w:shd w:val="clear" w:color="000000" w:fill="D9D9D9"/>
            <w:noWrap/>
            <w:vAlign w:val="center"/>
          </w:tcPr>
          <w:p w:rsidR="00BA6BA1" w:rsidRPr="00666174" w:rsidRDefault="007D63AD" w:rsidP="00FF3942">
            <w:pPr>
              <w:widowControl/>
              <w:jc w:val="center"/>
              <w:rPr>
                <w:rFonts w:ascii="楷体" w:eastAsia="楷体" w:hAnsi="楷体" w:cs="宋体"/>
                <w:color w:val="000000" w:themeColor="text1"/>
                <w:kern w:val="0"/>
                <w:sz w:val="16"/>
                <w:szCs w:val="16"/>
              </w:rPr>
            </w:pPr>
            <w:r>
              <w:rPr>
                <w:rFonts w:ascii="楷体" w:eastAsia="楷体" w:hAnsi="楷体" w:cs="宋体" w:hint="eastAsia"/>
                <w:color w:val="000000" w:themeColor="text1"/>
                <w:kern w:val="0"/>
                <w:sz w:val="16"/>
                <w:szCs w:val="16"/>
              </w:rPr>
              <w:t>4月官方非制造业活动指数</w:t>
            </w:r>
          </w:p>
        </w:tc>
        <w:tc>
          <w:tcPr>
            <w:tcW w:w="1418" w:type="dxa"/>
            <w:tcBorders>
              <w:top w:val="nil"/>
              <w:left w:val="nil"/>
              <w:bottom w:val="single" w:sz="4" w:space="0" w:color="auto"/>
            </w:tcBorders>
            <w:shd w:val="clear" w:color="000000" w:fill="D9D9D9"/>
            <w:noWrap/>
            <w:vAlign w:val="center"/>
          </w:tcPr>
          <w:p w:rsidR="00BA6BA1" w:rsidRPr="00666174" w:rsidRDefault="007D63AD" w:rsidP="00FF3942">
            <w:pPr>
              <w:widowControl/>
              <w:jc w:val="center"/>
              <w:rPr>
                <w:rFonts w:ascii="楷体" w:eastAsia="楷体" w:hAnsi="楷体" w:cs="宋体"/>
                <w:color w:val="000000" w:themeColor="text1"/>
                <w:kern w:val="0"/>
                <w:sz w:val="16"/>
                <w:szCs w:val="16"/>
              </w:rPr>
            </w:pPr>
            <w:r>
              <w:rPr>
                <w:rFonts w:ascii="楷体" w:eastAsia="楷体" w:hAnsi="楷体" w:cs="宋体" w:hint="eastAsia"/>
                <w:color w:val="000000" w:themeColor="text1"/>
                <w:kern w:val="0"/>
                <w:sz w:val="16"/>
                <w:szCs w:val="16"/>
              </w:rPr>
              <w:t>53.5%</w:t>
            </w:r>
          </w:p>
        </w:tc>
      </w:tr>
      <w:tr w:rsidR="00BA6BA1" w:rsidRPr="00666174" w:rsidTr="00FF3942">
        <w:trPr>
          <w:trHeight w:val="270"/>
        </w:trPr>
        <w:tc>
          <w:tcPr>
            <w:tcW w:w="2283" w:type="dxa"/>
            <w:tcBorders>
              <w:top w:val="nil"/>
              <w:bottom w:val="single" w:sz="4" w:space="0" w:color="auto"/>
              <w:right w:val="single" w:sz="4" w:space="0" w:color="auto"/>
            </w:tcBorders>
            <w:shd w:val="clear" w:color="auto" w:fill="auto"/>
            <w:noWrap/>
            <w:vAlign w:val="center"/>
          </w:tcPr>
          <w:p w:rsidR="00BA6BA1" w:rsidRDefault="00BA6BA1" w:rsidP="00FF3942">
            <w:pPr>
              <w:jc w:val="center"/>
              <w:rPr>
                <w:rFonts w:ascii="楷体" w:eastAsia="楷体" w:hAnsi="楷体" w:cs="宋体"/>
                <w:color w:val="000000" w:themeColor="text1"/>
                <w:sz w:val="16"/>
                <w:szCs w:val="16"/>
              </w:rPr>
            </w:pPr>
          </w:p>
        </w:tc>
        <w:tc>
          <w:tcPr>
            <w:tcW w:w="1418" w:type="dxa"/>
            <w:tcBorders>
              <w:top w:val="nil"/>
              <w:left w:val="nil"/>
              <w:bottom w:val="single" w:sz="4" w:space="0" w:color="auto"/>
            </w:tcBorders>
            <w:shd w:val="clear" w:color="auto" w:fill="auto"/>
            <w:noWrap/>
            <w:vAlign w:val="center"/>
          </w:tcPr>
          <w:p w:rsidR="00BA6BA1" w:rsidRDefault="00BA6BA1" w:rsidP="00FF3942">
            <w:pPr>
              <w:jc w:val="center"/>
              <w:rPr>
                <w:rFonts w:ascii="楷体" w:eastAsia="楷体" w:hAnsi="楷体" w:cs="宋体"/>
                <w:color w:val="000000" w:themeColor="text1"/>
                <w:sz w:val="16"/>
                <w:szCs w:val="16"/>
              </w:rPr>
            </w:pPr>
          </w:p>
        </w:tc>
      </w:tr>
      <w:tr w:rsidR="00BA6BA1" w:rsidRPr="00666174" w:rsidTr="00FF3942">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BA6BA1" w:rsidRPr="00666174" w:rsidRDefault="00BA6BA1" w:rsidP="00FF3942">
            <w:pPr>
              <w:widowControl/>
              <w:jc w:val="center"/>
              <w:rPr>
                <w:rFonts w:ascii="楷体" w:eastAsia="楷体" w:hAnsi="楷体" w:cs="宋体"/>
                <w:color w:val="000000" w:themeColor="text1"/>
                <w:kern w:val="0"/>
                <w:sz w:val="16"/>
                <w:szCs w:val="16"/>
              </w:rPr>
            </w:pPr>
          </w:p>
        </w:tc>
        <w:tc>
          <w:tcPr>
            <w:tcW w:w="1418" w:type="dxa"/>
            <w:tcBorders>
              <w:top w:val="nil"/>
              <w:left w:val="nil"/>
              <w:bottom w:val="single" w:sz="4" w:space="0" w:color="auto"/>
            </w:tcBorders>
            <w:shd w:val="clear" w:color="auto" w:fill="D9D9D9" w:themeFill="background1" w:themeFillShade="D9"/>
            <w:noWrap/>
            <w:vAlign w:val="center"/>
          </w:tcPr>
          <w:p w:rsidR="00BA6BA1" w:rsidRPr="00666174" w:rsidRDefault="00BA6BA1" w:rsidP="00FF3942">
            <w:pPr>
              <w:widowControl/>
              <w:jc w:val="center"/>
              <w:rPr>
                <w:rFonts w:ascii="楷体" w:eastAsia="楷体" w:hAnsi="楷体" w:cs="宋体"/>
                <w:color w:val="000000" w:themeColor="text1"/>
                <w:kern w:val="0"/>
                <w:sz w:val="16"/>
                <w:szCs w:val="16"/>
              </w:rPr>
            </w:pPr>
          </w:p>
        </w:tc>
      </w:tr>
      <w:tr w:rsidR="00BA6BA1" w:rsidRPr="00666174" w:rsidTr="00FF3942">
        <w:trPr>
          <w:trHeight w:val="270"/>
        </w:trPr>
        <w:tc>
          <w:tcPr>
            <w:tcW w:w="3701" w:type="dxa"/>
            <w:gridSpan w:val="2"/>
            <w:tcBorders>
              <w:top w:val="single" w:sz="4" w:space="0" w:color="auto"/>
              <w:bottom w:val="single" w:sz="4" w:space="0" w:color="auto"/>
            </w:tcBorders>
            <w:shd w:val="clear" w:color="000000" w:fill="F79646"/>
            <w:vAlign w:val="center"/>
            <w:hideMark/>
          </w:tcPr>
          <w:p w:rsidR="00BA6BA1" w:rsidRPr="00666174" w:rsidRDefault="00BA6BA1" w:rsidP="00FF3942">
            <w:pPr>
              <w:widowControl/>
              <w:jc w:val="center"/>
              <w:rPr>
                <w:rFonts w:ascii="楷体" w:eastAsia="楷体" w:hAnsi="楷体" w:cs="宋体"/>
                <w:b/>
                <w:bCs/>
                <w:color w:val="000000" w:themeColor="text1"/>
                <w:kern w:val="0"/>
                <w:sz w:val="20"/>
                <w:szCs w:val="20"/>
              </w:rPr>
            </w:pPr>
            <w:r w:rsidRPr="00666174">
              <w:rPr>
                <w:rFonts w:ascii="楷体" w:eastAsia="楷体" w:hAnsi="楷体" w:cs="宋体" w:hint="eastAsia"/>
                <w:b/>
                <w:bCs/>
                <w:color w:val="000000" w:themeColor="text1"/>
                <w:kern w:val="0"/>
                <w:sz w:val="20"/>
                <w:szCs w:val="20"/>
              </w:rPr>
              <w:t>海外经济重要数据</w:t>
            </w:r>
          </w:p>
        </w:tc>
      </w:tr>
      <w:tr w:rsidR="00BA6BA1" w:rsidRPr="00666174" w:rsidTr="00FF3942">
        <w:trPr>
          <w:trHeight w:val="300"/>
        </w:trPr>
        <w:tc>
          <w:tcPr>
            <w:tcW w:w="2283" w:type="dxa"/>
            <w:tcBorders>
              <w:top w:val="nil"/>
              <w:bottom w:val="single" w:sz="4" w:space="0" w:color="auto"/>
              <w:right w:val="single" w:sz="4" w:space="0" w:color="auto"/>
            </w:tcBorders>
            <w:shd w:val="clear" w:color="000000" w:fill="D9D9D9"/>
            <w:vAlign w:val="center"/>
            <w:hideMark/>
          </w:tcPr>
          <w:p w:rsidR="00BA6BA1" w:rsidRPr="00666174" w:rsidRDefault="00BA6BA1" w:rsidP="00FF3942">
            <w:pPr>
              <w:widowControl/>
              <w:jc w:val="center"/>
              <w:rPr>
                <w:rFonts w:ascii="楷体" w:eastAsia="楷体" w:hAnsi="楷体" w:cs="宋体"/>
                <w:b/>
                <w:bCs/>
                <w:color w:val="000000" w:themeColor="text1"/>
                <w:kern w:val="0"/>
                <w:sz w:val="18"/>
                <w:szCs w:val="18"/>
              </w:rPr>
            </w:pPr>
            <w:r w:rsidRPr="00666174">
              <w:rPr>
                <w:rFonts w:ascii="楷体" w:eastAsia="楷体" w:hAnsi="楷体" w:cs="宋体" w:hint="eastAsia"/>
                <w:b/>
                <w:bCs/>
                <w:color w:val="000000" w:themeColor="text1"/>
                <w:kern w:val="0"/>
                <w:sz w:val="18"/>
                <w:szCs w:val="18"/>
              </w:rPr>
              <w:t>项目</w:t>
            </w:r>
          </w:p>
        </w:tc>
        <w:tc>
          <w:tcPr>
            <w:tcW w:w="1418" w:type="dxa"/>
            <w:tcBorders>
              <w:top w:val="nil"/>
              <w:left w:val="nil"/>
              <w:bottom w:val="single" w:sz="4" w:space="0" w:color="auto"/>
            </w:tcBorders>
            <w:shd w:val="clear" w:color="000000" w:fill="D9D9D9"/>
            <w:vAlign w:val="center"/>
            <w:hideMark/>
          </w:tcPr>
          <w:p w:rsidR="00BA6BA1" w:rsidRPr="00666174" w:rsidRDefault="00BA6BA1" w:rsidP="00FF3942">
            <w:pPr>
              <w:widowControl/>
              <w:jc w:val="center"/>
              <w:rPr>
                <w:rFonts w:ascii="楷体" w:eastAsia="楷体" w:hAnsi="楷体" w:cs="宋体"/>
                <w:b/>
                <w:bCs/>
                <w:color w:val="000000" w:themeColor="text1"/>
                <w:kern w:val="0"/>
                <w:sz w:val="18"/>
                <w:szCs w:val="18"/>
              </w:rPr>
            </w:pPr>
            <w:r w:rsidRPr="00666174">
              <w:rPr>
                <w:rFonts w:ascii="楷体" w:eastAsia="楷体" w:hAnsi="楷体" w:cs="宋体" w:hint="eastAsia"/>
                <w:b/>
                <w:bCs/>
                <w:color w:val="000000" w:themeColor="text1"/>
                <w:kern w:val="0"/>
                <w:sz w:val="18"/>
                <w:szCs w:val="18"/>
              </w:rPr>
              <w:t>数据</w:t>
            </w:r>
          </w:p>
        </w:tc>
      </w:tr>
      <w:tr w:rsidR="00BA6BA1" w:rsidRPr="00666174" w:rsidTr="00FF3942">
        <w:trPr>
          <w:trHeight w:val="270"/>
        </w:trPr>
        <w:tc>
          <w:tcPr>
            <w:tcW w:w="2283" w:type="dxa"/>
            <w:tcBorders>
              <w:top w:val="nil"/>
              <w:bottom w:val="single" w:sz="4" w:space="0" w:color="auto"/>
              <w:right w:val="single" w:sz="4" w:space="0" w:color="auto"/>
            </w:tcBorders>
            <w:shd w:val="clear" w:color="auto" w:fill="auto"/>
            <w:noWrap/>
            <w:vAlign w:val="center"/>
          </w:tcPr>
          <w:p w:rsidR="00BA6BA1" w:rsidRPr="00666174" w:rsidRDefault="00BA6BA1" w:rsidP="00BA6BA1">
            <w:pPr>
              <w:widowControl/>
              <w:jc w:val="left"/>
              <w:rPr>
                <w:rFonts w:ascii="楷体" w:eastAsia="楷体" w:hAnsi="楷体"/>
                <w:color w:val="000000" w:themeColor="text1"/>
                <w:sz w:val="16"/>
                <w:szCs w:val="16"/>
              </w:rPr>
            </w:pPr>
            <w:r w:rsidRPr="00666174">
              <w:rPr>
                <w:rFonts w:ascii="楷体" w:eastAsia="楷体" w:hAnsi="楷体"/>
                <w:color w:val="000000" w:themeColor="text1"/>
                <w:sz w:val="16"/>
                <w:szCs w:val="16"/>
              </w:rPr>
              <w:t>美国</w:t>
            </w:r>
            <w:r w:rsidRPr="00666174">
              <w:rPr>
                <w:rFonts w:ascii="楷体" w:eastAsia="楷体" w:hAnsi="楷体" w:hint="eastAsia"/>
                <w:color w:val="000000" w:themeColor="text1"/>
                <w:sz w:val="16"/>
                <w:szCs w:val="16"/>
              </w:rPr>
              <w:t>：</w:t>
            </w:r>
            <w:r>
              <w:rPr>
                <w:rFonts w:ascii="楷体" w:eastAsia="楷体" w:hAnsi="楷体" w:hint="eastAsia"/>
                <w:color w:val="000000" w:themeColor="text1"/>
                <w:sz w:val="16"/>
                <w:szCs w:val="16"/>
              </w:rPr>
              <w:t>3月新屋销售</w:t>
            </w:r>
          </w:p>
        </w:tc>
        <w:tc>
          <w:tcPr>
            <w:tcW w:w="1418" w:type="dxa"/>
            <w:tcBorders>
              <w:top w:val="nil"/>
              <w:left w:val="nil"/>
              <w:bottom w:val="single" w:sz="4" w:space="0" w:color="auto"/>
            </w:tcBorders>
            <w:shd w:val="clear" w:color="auto" w:fill="auto"/>
            <w:noWrap/>
            <w:vAlign w:val="center"/>
          </w:tcPr>
          <w:p w:rsidR="00BA6BA1" w:rsidRPr="00666174" w:rsidRDefault="00BA6BA1" w:rsidP="00FF3942">
            <w:pPr>
              <w:widowControl/>
              <w:jc w:val="center"/>
              <w:rPr>
                <w:rFonts w:ascii="楷体" w:eastAsia="楷体" w:hAnsi="楷体"/>
                <w:color w:val="000000" w:themeColor="text1"/>
                <w:sz w:val="16"/>
                <w:szCs w:val="16"/>
              </w:rPr>
            </w:pPr>
            <w:r>
              <w:rPr>
                <w:rFonts w:ascii="楷体" w:eastAsia="楷体" w:hAnsi="楷体" w:hint="eastAsia"/>
                <w:color w:val="000000" w:themeColor="text1"/>
                <w:sz w:val="16"/>
                <w:szCs w:val="16"/>
              </w:rPr>
              <w:t>环比-1.5%</w:t>
            </w:r>
          </w:p>
        </w:tc>
      </w:tr>
      <w:tr w:rsidR="00BA6BA1" w:rsidRPr="00666174" w:rsidTr="00FF3942">
        <w:trPr>
          <w:trHeight w:val="270"/>
        </w:trPr>
        <w:tc>
          <w:tcPr>
            <w:tcW w:w="2283" w:type="dxa"/>
            <w:tcBorders>
              <w:top w:val="nil"/>
              <w:bottom w:val="single" w:sz="4" w:space="0" w:color="auto"/>
              <w:right w:val="single" w:sz="4" w:space="0" w:color="auto"/>
            </w:tcBorders>
            <w:shd w:val="clear" w:color="000000" w:fill="D9D9D9"/>
            <w:noWrap/>
            <w:vAlign w:val="center"/>
          </w:tcPr>
          <w:p w:rsidR="00BA6BA1" w:rsidRPr="00666174" w:rsidRDefault="00532D79" w:rsidP="00BA6BA1">
            <w:pPr>
              <w:widowControl/>
              <w:jc w:val="left"/>
              <w:rPr>
                <w:rFonts w:ascii="楷体" w:eastAsia="楷体" w:hAnsi="楷体"/>
                <w:color w:val="000000" w:themeColor="text1"/>
                <w:sz w:val="16"/>
                <w:szCs w:val="16"/>
              </w:rPr>
            </w:pPr>
            <w:r>
              <w:rPr>
                <w:rFonts w:ascii="楷体" w:eastAsia="楷体" w:hAnsi="楷体"/>
                <w:color w:val="000000" w:themeColor="text1"/>
                <w:sz w:val="16"/>
                <w:szCs w:val="16"/>
              </w:rPr>
              <w:t>美国</w:t>
            </w:r>
            <w:r>
              <w:rPr>
                <w:rFonts w:ascii="楷体" w:eastAsia="楷体" w:hAnsi="楷体" w:hint="eastAsia"/>
                <w:color w:val="000000" w:themeColor="text1"/>
                <w:sz w:val="16"/>
                <w:szCs w:val="16"/>
              </w:rPr>
              <w:t>：</w:t>
            </w:r>
            <w:r>
              <w:rPr>
                <w:rFonts w:hint="eastAsia"/>
              </w:rPr>
              <w:t xml:space="preserve"> </w:t>
            </w:r>
            <w:r w:rsidRPr="00532D79">
              <w:rPr>
                <w:rFonts w:ascii="楷体" w:eastAsia="楷体" w:hAnsi="楷体" w:hint="eastAsia"/>
                <w:color w:val="000000" w:themeColor="text1"/>
                <w:sz w:val="16"/>
                <w:szCs w:val="16"/>
              </w:rPr>
              <w:t>GDP折合年率</w:t>
            </w:r>
          </w:p>
        </w:tc>
        <w:tc>
          <w:tcPr>
            <w:tcW w:w="1418" w:type="dxa"/>
            <w:tcBorders>
              <w:top w:val="nil"/>
              <w:left w:val="nil"/>
              <w:bottom w:val="single" w:sz="4" w:space="0" w:color="auto"/>
            </w:tcBorders>
            <w:shd w:val="clear" w:color="000000" w:fill="D9D9D9"/>
            <w:noWrap/>
            <w:vAlign w:val="center"/>
          </w:tcPr>
          <w:p w:rsidR="00BA6BA1" w:rsidRPr="00666174" w:rsidRDefault="00532D79" w:rsidP="00FF3942">
            <w:pPr>
              <w:widowControl/>
              <w:jc w:val="center"/>
              <w:rPr>
                <w:rFonts w:ascii="楷体" w:eastAsia="楷体" w:hAnsi="楷体"/>
                <w:color w:val="000000" w:themeColor="text1"/>
                <w:sz w:val="16"/>
                <w:szCs w:val="16"/>
              </w:rPr>
            </w:pPr>
            <w:r>
              <w:rPr>
                <w:rFonts w:ascii="楷体" w:eastAsia="楷体" w:hAnsi="楷体"/>
                <w:color w:val="000000" w:themeColor="text1"/>
                <w:sz w:val="16"/>
                <w:szCs w:val="16"/>
              </w:rPr>
              <w:t>增长</w:t>
            </w:r>
            <w:r>
              <w:rPr>
                <w:rFonts w:ascii="楷体" w:eastAsia="楷体" w:hAnsi="楷体" w:hint="eastAsia"/>
                <w:color w:val="000000" w:themeColor="text1"/>
                <w:sz w:val="16"/>
                <w:szCs w:val="16"/>
              </w:rPr>
              <w:t>0.5%</w:t>
            </w:r>
          </w:p>
        </w:tc>
      </w:tr>
      <w:tr w:rsidR="00BA6BA1" w:rsidRPr="00666174" w:rsidTr="00FF3942">
        <w:trPr>
          <w:trHeight w:val="270"/>
        </w:trPr>
        <w:tc>
          <w:tcPr>
            <w:tcW w:w="2283" w:type="dxa"/>
            <w:tcBorders>
              <w:top w:val="nil"/>
              <w:bottom w:val="single" w:sz="4" w:space="0" w:color="auto"/>
              <w:right w:val="single" w:sz="4" w:space="0" w:color="auto"/>
            </w:tcBorders>
            <w:shd w:val="clear" w:color="auto" w:fill="auto"/>
            <w:noWrap/>
            <w:vAlign w:val="center"/>
          </w:tcPr>
          <w:p w:rsidR="00BA6BA1" w:rsidRPr="00666174" w:rsidRDefault="00BA6BA1" w:rsidP="00BA6BA1">
            <w:pPr>
              <w:widowControl/>
              <w:jc w:val="left"/>
              <w:rPr>
                <w:rFonts w:ascii="楷体" w:eastAsia="楷体" w:hAnsi="楷体"/>
                <w:color w:val="000000" w:themeColor="text1"/>
                <w:sz w:val="16"/>
                <w:szCs w:val="16"/>
              </w:rPr>
            </w:pPr>
          </w:p>
        </w:tc>
        <w:tc>
          <w:tcPr>
            <w:tcW w:w="1418" w:type="dxa"/>
            <w:tcBorders>
              <w:top w:val="nil"/>
              <w:left w:val="nil"/>
              <w:bottom w:val="single" w:sz="4" w:space="0" w:color="auto"/>
            </w:tcBorders>
            <w:shd w:val="clear" w:color="auto" w:fill="auto"/>
            <w:noWrap/>
            <w:vAlign w:val="center"/>
          </w:tcPr>
          <w:p w:rsidR="00BA6BA1" w:rsidRPr="00666174" w:rsidRDefault="00BA6BA1" w:rsidP="00FF3942">
            <w:pPr>
              <w:widowControl/>
              <w:jc w:val="center"/>
              <w:rPr>
                <w:rFonts w:ascii="楷体" w:eastAsia="楷体" w:hAnsi="楷体"/>
                <w:color w:val="000000" w:themeColor="text1"/>
                <w:sz w:val="16"/>
                <w:szCs w:val="16"/>
              </w:rPr>
            </w:pPr>
          </w:p>
        </w:tc>
      </w:tr>
      <w:tr w:rsidR="00BA6BA1" w:rsidRPr="00666174" w:rsidTr="00FF3942">
        <w:trPr>
          <w:trHeight w:val="270"/>
        </w:trPr>
        <w:tc>
          <w:tcPr>
            <w:tcW w:w="2283" w:type="dxa"/>
            <w:tcBorders>
              <w:top w:val="nil"/>
              <w:bottom w:val="single" w:sz="4" w:space="0" w:color="auto"/>
              <w:right w:val="single" w:sz="4" w:space="0" w:color="auto"/>
            </w:tcBorders>
            <w:shd w:val="clear" w:color="000000" w:fill="D9D9D9"/>
            <w:noWrap/>
            <w:vAlign w:val="center"/>
          </w:tcPr>
          <w:p w:rsidR="00BA6BA1" w:rsidRPr="00666174" w:rsidRDefault="00BA6BA1" w:rsidP="00BA6BA1">
            <w:pPr>
              <w:widowControl/>
              <w:jc w:val="left"/>
              <w:rPr>
                <w:rFonts w:ascii="楷体" w:eastAsia="楷体" w:hAnsi="楷体"/>
                <w:color w:val="000000" w:themeColor="text1"/>
                <w:sz w:val="16"/>
                <w:szCs w:val="16"/>
              </w:rPr>
            </w:pPr>
            <w:r w:rsidRPr="00452D7C">
              <w:rPr>
                <w:rFonts w:ascii="Arial" w:hAnsi="Arial" w:cs="Arial"/>
                <w:b/>
                <w:bCs/>
                <w:noProof/>
                <w:color w:val="002060"/>
                <w:kern w:val="0"/>
                <w:sz w:val="24"/>
                <w:szCs w:val="13"/>
              </w:rPr>
              <mc:AlternateContent>
                <mc:Choice Requires="wps">
                  <w:drawing>
                    <wp:anchor distT="0" distB="0" distL="114300" distR="114300" simplePos="0" relativeHeight="251662336" behindDoc="0" locked="0" layoutInCell="1" allowOverlap="1" wp14:anchorId="4360E5A8" wp14:editId="77572AD4">
                      <wp:simplePos x="0" y="0"/>
                      <wp:positionH relativeFrom="column">
                        <wp:posOffset>-78105</wp:posOffset>
                      </wp:positionH>
                      <wp:positionV relativeFrom="paragraph">
                        <wp:posOffset>130810</wp:posOffset>
                      </wp:positionV>
                      <wp:extent cx="2154555" cy="214630"/>
                      <wp:effectExtent l="0" t="0" r="0" b="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214630"/>
                              </a:xfrm>
                              <a:prstGeom prst="rect">
                                <a:avLst/>
                              </a:prstGeom>
                              <a:noFill/>
                              <a:ln w="9525">
                                <a:noFill/>
                                <a:miter lim="800000"/>
                                <a:headEnd/>
                                <a:tailEnd/>
                              </a:ln>
                            </wps:spPr>
                            <wps:txbx>
                              <w:txbxContent>
                                <w:p w:rsidR="00123BC2" w:rsidRPr="00B33891" w:rsidRDefault="00123BC2" w:rsidP="00BA6BA1">
                                  <w:pPr>
                                    <w:rPr>
                                      <w:rFonts w:ascii="楷体" w:eastAsia="楷体" w:hAnsi="楷体" w:cs="宋体"/>
                                      <w:b/>
                                      <w:bCs/>
                                      <w:kern w:val="0"/>
                                      <w:sz w:val="16"/>
                                      <w:szCs w:val="16"/>
                                      <w:lang w:val="en-GB"/>
                                    </w:rPr>
                                  </w:pPr>
                                  <w:r w:rsidRPr="00B33891">
                                    <w:rPr>
                                      <w:rFonts w:ascii="楷体" w:eastAsia="楷体" w:hAnsi="楷体" w:cs="宋体" w:hint="eastAsia"/>
                                      <w:b/>
                                      <w:bCs/>
                                      <w:kern w:val="0"/>
                                      <w:sz w:val="16"/>
                                      <w:szCs w:val="16"/>
                                      <w:lang w:val="en-GB"/>
                                    </w:rPr>
                                    <w:t>数据来源：</w:t>
                                  </w:r>
                                  <w:proofErr w:type="gramStart"/>
                                  <w:r w:rsidRPr="00B33891">
                                    <w:rPr>
                                      <w:rFonts w:ascii="楷体" w:eastAsia="楷体" w:hAnsi="楷体" w:cs="宋体" w:hint="eastAsia"/>
                                      <w:b/>
                                      <w:bCs/>
                                      <w:kern w:val="0"/>
                                      <w:sz w:val="16"/>
                                      <w:szCs w:val="16"/>
                                      <w:lang w:val="en-GB"/>
                                    </w:rPr>
                                    <w:t>凯</w:t>
                                  </w:r>
                                  <w:proofErr w:type="gramEnd"/>
                                  <w:r w:rsidRPr="00B33891">
                                    <w:rPr>
                                      <w:rFonts w:ascii="楷体" w:eastAsia="楷体" w:hAnsi="楷体" w:cs="宋体" w:hint="eastAsia"/>
                                      <w:b/>
                                      <w:bCs/>
                                      <w:kern w:val="0"/>
                                      <w:sz w:val="16"/>
                                      <w:szCs w:val="16"/>
                                      <w:lang w:val="en-GB"/>
                                    </w:rPr>
                                    <w:t>石、WIND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15pt;margin-top:10.3pt;width:169.65pt;height:1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" filled="f" stroked="f">
                      <v:textbox>
                        <w:txbxContent>
                          <w:p w:rsidR="00123BC2" w:rsidRPr="00B33891" w:rsidRDefault="00123BC2" w:rsidP="00BA6BA1">
                            <w:pPr>
                              <w:rPr>
                                <w:rFonts w:ascii="楷体" w:eastAsia="楷体" w:hAnsi="楷体" w:cs="宋体"/>
                                <w:b/>
                                <w:bCs/>
                                <w:kern w:val="0"/>
                                <w:sz w:val="16"/>
                                <w:szCs w:val="16"/>
                                <w:lang w:val="en-GB"/>
                              </w:rPr>
                            </w:pPr>
                            <w:r w:rsidRPr="00B33891">
                              <w:rPr>
                                <w:rFonts w:ascii="楷体" w:eastAsia="楷体" w:hAnsi="楷体" w:cs="宋体" w:hint="eastAsia"/>
                                <w:b/>
                                <w:bCs/>
                                <w:kern w:val="0"/>
                                <w:sz w:val="16"/>
                                <w:szCs w:val="16"/>
                                <w:lang w:val="en-GB"/>
                              </w:rPr>
                              <w:t>数据来源：</w:t>
                            </w:r>
                            <w:proofErr w:type="gramStart"/>
                            <w:r w:rsidRPr="00B33891">
                              <w:rPr>
                                <w:rFonts w:ascii="楷体" w:eastAsia="楷体" w:hAnsi="楷体" w:cs="宋体" w:hint="eastAsia"/>
                                <w:b/>
                                <w:bCs/>
                                <w:kern w:val="0"/>
                                <w:sz w:val="16"/>
                                <w:szCs w:val="16"/>
                                <w:lang w:val="en-GB"/>
                              </w:rPr>
                              <w:t>凯</w:t>
                            </w:r>
                            <w:proofErr w:type="gramEnd"/>
                            <w:r w:rsidRPr="00B33891">
                              <w:rPr>
                                <w:rFonts w:ascii="楷体" w:eastAsia="楷体" w:hAnsi="楷体" w:cs="宋体" w:hint="eastAsia"/>
                                <w:b/>
                                <w:bCs/>
                                <w:kern w:val="0"/>
                                <w:sz w:val="16"/>
                                <w:szCs w:val="16"/>
                                <w:lang w:val="en-GB"/>
                              </w:rPr>
                              <w:t>石、WIND</w:t>
                            </w:r>
                          </w:p>
                        </w:txbxContent>
                      </v:textbox>
                    </v:shape>
                  </w:pict>
                </mc:Fallback>
              </mc:AlternateContent>
            </w:r>
          </w:p>
        </w:tc>
        <w:tc>
          <w:tcPr>
            <w:tcW w:w="1418" w:type="dxa"/>
            <w:tcBorders>
              <w:top w:val="nil"/>
              <w:left w:val="nil"/>
              <w:bottom w:val="single" w:sz="4" w:space="0" w:color="auto"/>
            </w:tcBorders>
            <w:shd w:val="clear" w:color="000000" w:fill="D9D9D9"/>
            <w:noWrap/>
            <w:vAlign w:val="center"/>
          </w:tcPr>
          <w:p w:rsidR="00BA6BA1" w:rsidRPr="00666174" w:rsidRDefault="00BA6BA1" w:rsidP="00FF3942">
            <w:pPr>
              <w:widowControl/>
              <w:jc w:val="center"/>
              <w:rPr>
                <w:rFonts w:ascii="楷体" w:eastAsia="楷体" w:hAnsi="楷体"/>
                <w:color w:val="000000" w:themeColor="text1"/>
                <w:sz w:val="16"/>
                <w:szCs w:val="16"/>
              </w:rPr>
            </w:pPr>
          </w:p>
        </w:tc>
      </w:tr>
    </w:tbl>
    <w:p w:rsidR="00BA6BA1" w:rsidRPr="00C97435" w:rsidRDefault="00F83596" w:rsidP="00BA6BA1">
      <w:pPr>
        <w:pStyle w:val="a6"/>
        <w:numPr>
          <w:ilvl w:val="0"/>
          <w:numId w:val="1"/>
        </w:numPr>
        <w:ind w:left="643" w:hangingChars="200" w:hanging="643"/>
        <w:rPr>
          <w:rFonts w:ascii="Arial" w:hAnsi="Arial" w:cs="Arial"/>
          <w:b/>
          <w:color w:val="996600"/>
          <w:sz w:val="32"/>
          <w:szCs w:val="28"/>
        </w:rPr>
      </w:pPr>
      <w:r>
        <w:rPr>
          <w:rFonts w:ascii="Arial" w:hAnsi="Arial" w:cs="Arial" w:hint="eastAsia"/>
          <w:b/>
          <w:color w:val="996600"/>
          <w:sz w:val="32"/>
          <w:szCs w:val="28"/>
        </w:rPr>
        <w:t>四月</w:t>
      </w:r>
      <w:r w:rsidR="00BA6BA1" w:rsidRPr="00C97435">
        <w:rPr>
          <w:rFonts w:ascii="Arial" w:hAnsi="Arial" w:cs="Arial"/>
          <w:b/>
          <w:color w:val="996600"/>
          <w:sz w:val="32"/>
          <w:szCs w:val="28"/>
        </w:rPr>
        <w:t>基金表现回顾</w:t>
      </w:r>
      <w:r w:rsidR="00BA6BA1" w:rsidRPr="00C97435">
        <w:rPr>
          <w:rFonts w:ascii="Arial" w:hAnsi="Arial" w:cs="Arial"/>
          <w:b/>
          <w:color w:val="996600"/>
          <w:sz w:val="32"/>
          <w:szCs w:val="28"/>
        </w:rPr>
        <w:t xml:space="preserve"> </w:t>
      </w:r>
    </w:p>
    <w:p w:rsidR="00BA6BA1" w:rsidRDefault="00BA6BA1" w:rsidP="00BA6BA1">
      <w:pPr>
        <w:pStyle w:val="a5"/>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股票基金</w:t>
      </w:r>
    </w:p>
    <w:p w:rsidR="00BA6BA1" w:rsidRPr="002D6DED" w:rsidRDefault="00BA6BA1" w:rsidP="00BA6BA1">
      <w:pPr>
        <w:pStyle w:val="a5"/>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上</w:t>
      </w:r>
      <w:r w:rsidR="00F83596">
        <w:rPr>
          <w:rFonts w:ascii="Arial" w:eastAsia="楷体_GB2312" w:hAnsi="Arial" w:cs="Arial" w:hint="eastAsia"/>
          <w:color w:val="auto"/>
          <w:sz w:val="20"/>
          <w:szCs w:val="20"/>
        </w:rPr>
        <w:t>月</w:t>
      </w:r>
      <w:r>
        <w:rPr>
          <w:rFonts w:ascii="Arial" w:eastAsia="楷体_GB2312" w:hAnsi="Arial" w:cs="Arial" w:hint="eastAsia"/>
          <w:color w:val="auto"/>
          <w:sz w:val="20"/>
          <w:szCs w:val="20"/>
        </w:rPr>
        <w:t>股票基金</w:t>
      </w:r>
      <w:r w:rsidRPr="002D6DED">
        <w:rPr>
          <w:rFonts w:ascii="Arial" w:eastAsia="楷体_GB2312" w:hAnsi="Arial" w:cs="Arial"/>
          <w:color w:val="auto"/>
          <w:sz w:val="20"/>
          <w:szCs w:val="20"/>
        </w:rPr>
        <w:t>平均收益为</w:t>
      </w:r>
      <w:r>
        <w:rPr>
          <w:rFonts w:ascii="Arial" w:eastAsia="楷体_GB2312" w:hAnsi="Arial" w:cs="Arial" w:hint="eastAsia"/>
          <w:color w:val="auto"/>
          <w:sz w:val="20"/>
          <w:szCs w:val="20"/>
        </w:rPr>
        <w:t>-</w:t>
      </w:r>
      <w:r w:rsidR="00F83596">
        <w:rPr>
          <w:rFonts w:ascii="Arial" w:eastAsia="楷体_GB2312" w:hAnsi="Arial" w:cs="Arial" w:hint="eastAsia"/>
          <w:color w:val="auto"/>
          <w:sz w:val="20"/>
          <w:szCs w:val="20"/>
        </w:rPr>
        <w:t>1.76</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。具体来看，普通股</w:t>
      </w:r>
      <w:proofErr w:type="gramStart"/>
      <w:r w:rsidRPr="002D6DED">
        <w:rPr>
          <w:rFonts w:ascii="Arial" w:eastAsia="楷体_GB2312" w:hAnsi="Arial" w:cs="Arial"/>
          <w:color w:val="auto"/>
          <w:sz w:val="20"/>
          <w:szCs w:val="20"/>
        </w:rPr>
        <w:t>基平均</w:t>
      </w:r>
      <w:proofErr w:type="gramEnd"/>
      <w:r w:rsidRPr="002D6DED">
        <w:rPr>
          <w:rFonts w:ascii="Arial" w:eastAsia="楷体_GB2312" w:hAnsi="Arial" w:cs="Arial"/>
          <w:color w:val="auto"/>
          <w:sz w:val="20"/>
          <w:szCs w:val="20"/>
        </w:rPr>
        <w:t>收益为</w:t>
      </w:r>
      <w:r>
        <w:rPr>
          <w:rFonts w:ascii="Arial" w:eastAsia="楷体_GB2312" w:hAnsi="Arial" w:cs="Arial" w:hint="eastAsia"/>
          <w:color w:val="auto"/>
          <w:sz w:val="20"/>
          <w:szCs w:val="20"/>
        </w:rPr>
        <w:t>-</w:t>
      </w:r>
      <w:r w:rsidR="00F83596">
        <w:rPr>
          <w:rFonts w:ascii="Arial" w:eastAsia="楷体_GB2312" w:hAnsi="Arial" w:cs="Arial" w:hint="eastAsia"/>
          <w:color w:val="auto"/>
          <w:sz w:val="20"/>
          <w:szCs w:val="20"/>
        </w:rPr>
        <w:t>0.91</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F83596">
        <w:rPr>
          <w:rFonts w:ascii="Arial" w:eastAsia="楷体_GB2312" w:hAnsi="Arial" w:cs="Arial" w:hint="eastAsia"/>
          <w:color w:val="auto"/>
          <w:sz w:val="20"/>
          <w:szCs w:val="20"/>
        </w:rPr>
        <w:t>33%</w:t>
      </w:r>
      <w:r w:rsidR="00F83596">
        <w:rPr>
          <w:rFonts w:ascii="Arial" w:eastAsia="楷体_GB2312" w:hAnsi="Arial" w:cs="Arial" w:hint="eastAsia"/>
          <w:color w:val="auto"/>
          <w:sz w:val="20"/>
          <w:szCs w:val="20"/>
        </w:rPr>
        <w:t>的产品</w:t>
      </w:r>
      <w:r>
        <w:rPr>
          <w:rFonts w:ascii="Arial" w:eastAsia="楷体_GB2312" w:hAnsi="Arial" w:cs="Arial"/>
          <w:color w:val="auto"/>
          <w:sz w:val="20"/>
          <w:szCs w:val="20"/>
        </w:rPr>
        <w:t>为</w:t>
      </w:r>
      <w:r w:rsidR="00F83596">
        <w:rPr>
          <w:rFonts w:ascii="Arial" w:eastAsia="楷体_GB2312" w:hAnsi="Arial" w:cs="Arial" w:hint="eastAsia"/>
          <w:color w:val="auto"/>
          <w:sz w:val="20"/>
          <w:szCs w:val="20"/>
        </w:rPr>
        <w:t>正收益</w:t>
      </w:r>
      <w:proofErr w:type="gramStart"/>
      <w:r>
        <w:rPr>
          <w:rFonts w:ascii="Arial" w:eastAsia="楷体_GB2312" w:hAnsi="Arial" w:cs="Arial"/>
          <w:color w:val="auto"/>
          <w:sz w:val="20"/>
          <w:szCs w:val="20"/>
        </w:rPr>
        <w:t>收益</w:t>
      </w:r>
      <w:proofErr w:type="gramEnd"/>
      <w:r>
        <w:rPr>
          <w:rFonts w:ascii="Arial" w:eastAsia="楷体_GB2312" w:hAnsi="Arial" w:cs="Arial" w:hint="eastAsia"/>
          <w:color w:val="auto"/>
          <w:sz w:val="20"/>
          <w:szCs w:val="20"/>
        </w:rPr>
        <w:t>，</w:t>
      </w:r>
      <w:r w:rsidRPr="002D6DED">
        <w:rPr>
          <w:rFonts w:ascii="Arial" w:eastAsia="楷体_GB2312" w:hAnsi="Arial" w:cs="Arial"/>
          <w:color w:val="auto"/>
          <w:sz w:val="20"/>
          <w:szCs w:val="20"/>
        </w:rPr>
        <w:t>最高收益为</w:t>
      </w:r>
      <w:r w:rsidR="00FF3942">
        <w:rPr>
          <w:rFonts w:ascii="Arial" w:eastAsia="楷体_GB2312" w:hAnsi="Arial" w:cs="Arial"/>
          <w:color w:val="auto"/>
          <w:sz w:val="20"/>
          <w:szCs w:val="20"/>
        </w:rPr>
        <w:t>招商医药健康产业</w:t>
      </w:r>
      <w:r w:rsidRPr="002D6DED">
        <w:rPr>
          <w:rFonts w:ascii="Arial" w:eastAsia="楷体_GB2312" w:hAnsi="Arial" w:cs="Arial"/>
          <w:color w:val="auto"/>
          <w:sz w:val="20"/>
          <w:szCs w:val="20"/>
        </w:rPr>
        <w:t>的</w:t>
      </w:r>
      <w:r w:rsidR="00FF3942">
        <w:rPr>
          <w:rFonts w:ascii="Arial" w:eastAsia="楷体_GB2312" w:hAnsi="Arial" w:cs="Arial" w:hint="eastAsia"/>
          <w:color w:val="auto"/>
          <w:sz w:val="20"/>
          <w:szCs w:val="20"/>
        </w:rPr>
        <w:t>7.34</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。指数</w:t>
      </w:r>
      <w:proofErr w:type="gramStart"/>
      <w:r w:rsidRPr="002D6DED">
        <w:rPr>
          <w:rFonts w:ascii="Arial" w:eastAsia="楷体_GB2312" w:hAnsi="Arial" w:cs="Arial"/>
          <w:color w:val="auto"/>
          <w:sz w:val="20"/>
          <w:szCs w:val="20"/>
        </w:rPr>
        <w:t>股基平均</w:t>
      </w:r>
      <w:proofErr w:type="gramEnd"/>
      <w:r w:rsidRPr="002D6DED">
        <w:rPr>
          <w:rFonts w:ascii="Arial" w:eastAsia="楷体_GB2312" w:hAnsi="Arial" w:cs="Arial"/>
          <w:color w:val="auto"/>
          <w:sz w:val="20"/>
          <w:szCs w:val="20"/>
        </w:rPr>
        <w:t>收益为</w:t>
      </w:r>
      <w:r>
        <w:rPr>
          <w:rFonts w:ascii="Arial" w:eastAsia="楷体_GB2312" w:hAnsi="Arial" w:cs="Arial" w:hint="eastAsia"/>
          <w:color w:val="auto"/>
          <w:sz w:val="20"/>
          <w:szCs w:val="20"/>
        </w:rPr>
        <w:t>-</w:t>
      </w:r>
      <w:r w:rsidR="00F83596">
        <w:rPr>
          <w:rFonts w:ascii="Arial" w:eastAsia="楷体_GB2312" w:hAnsi="Arial" w:cs="Arial" w:hint="eastAsia"/>
          <w:color w:val="auto"/>
          <w:sz w:val="20"/>
          <w:szCs w:val="20"/>
        </w:rPr>
        <w:t>2.07</w:t>
      </w:r>
      <w:r w:rsidRPr="002D6DED">
        <w:rPr>
          <w:rFonts w:ascii="Arial" w:eastAsia="楷体_GB2312" w:hAnsi="Arial" w:cs="Arial"/>
          <w:color w:val="auto"/>
          <w:sz w:val="20"/>
          <w:szCs w:val="20"/>
        </w:rPr>
        <w:t>%</w:t>
      </w:r>
      <w:r>
        <w:rPr>
          <w:rFonts w:ascii="Arial" w:eastAsia="楷体_GB2312" w:hAnsi="Arial" w:cs="Arial" w:hint="eastAsia"/>
          <w:color w:val="auto"/>
          <w:sz w:val="20"/>
          <w:szCs w:val="20"/>
        </w:rPr>
        <w:t>，仅有</w:t>
      </w:r>
      <w:r w:rsidR="00F83596">
        <w:rPr>
          <w:rFonts w:ascii="Arial" w:eastAsia="楷体_GB2312" w:hAnsi="Arial" w:cs="Arial" w:hint="eastAsia"/>
          <w:color w:val="auto"/>
          <w:sz w:val="20"/>
          <w:szCs w:val="20"/>
        </w:rPr>
        <w:t>10%</w:t>
      </w:r>
      <w:r w:rsidR="00F83596">
        <w:rPr>
          <w:rFonts w:ascii="Arial" w:eastAsia="楷体_GB2312" w:hAnsi="Arial" w:cs="Arial" w:hint="eastAsia"/>
          <w:color w:val="auto"/>
          <w:sz w:val="20"/>
          <w:szCs w:val="20"/>
        </w:rPr>
        <w:t>的</w:t>
      </w:r>
      <w:r>
        <w:rPr>
          <w:rFonts w:ascii="Arial" w:eastAsia="楷体_GB2312" w:hAnsi="Arial" w:cs="Arial"/>
          <w:color w:val="auto"/>
          <w:sz w:val="20"/>
          <w:szCs w:val="20"/>
        </w:rPr>
        <w:t>产品上涨</w:t>
      </w:r>
      <w:r w:rsidRPr="002D6DED">
        <w:rPr>
          <w:rFonts w:ascii="Arial" w:eastAsia="楷体_GB2312" w:hAnsi="Arial" w:cs="Arial"/>
          <w:color w:val="auto"/>
          <w:sz w:val="20"/>
          <w:szCs w:val="20"/>
        </w:rPr>
        <w:t>，最高收益为</w:t>
      </w:r>
      <w:r w:rsidR="00FF3942">
        <w:rPr>
          <w:rFonts w:ascii="Arial" w:eastAsia="楷体_GB2312" w:hAnsi="Arial" w:cs="Arial" w:hint="eastAsia"/>
          <w:color w:val="auto"/>
          <w:sz w:val="20"/>
          <w:szCs w:val="20"/>
        </w:rPr>
        <w:t>招商中证煤炭</w:t>
      </w:r>
      <w:r w:rsidRPr="002D6DED">
        <w:rPr>
          <w:rFonts w:ascii="Arial" w:eastAsia="楷体_GB2312" w:hAnsi="Arial" w:cs="Arial"/>
          <w:color w:val="auto"/>
          <w:sz w:val="20"/>
          <w:szCs w:val="20"/>
        </w:rPr>
        <w:t>的</w:t>
      </w:r>
      <w:r w:rsidR="00FF3942">
        <w:rPr>
          <w:rFonts w:ascii="Arial" w:eastAsia="楷体_GB2312" w:hAnsi="Arial" w:cs="Arial" w:hint="eastAsia"/>
          <w:color w:val="auto"/>
          <w:sz w:val="20"/>
          <w:szCs w:val="20"/>
        </w:rPr>
        <w:t>7.58</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p>
    <w:p w:rsidR="00BA6BA1" w:rsidRDefault="00BA6BA1" w:rsidP="00BA6BA1">
      <w:pPr>
        <w:pStyle w:val="a5"/>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color w:val="auto"/>
          <w:sz w:val="20"/>
          <w:szCs w:val="20"/>
        </w:rPr>
        <w:t>从投资范围来看</w:t>
      </w:r>
      <w:r>
        <w:rPr>
          <w:rFonts w:ascii="Arial" w:eastAsia="楷体_GB2312" w:hAnsi="Arial" w:cs="Arial" w:hint="eastAsia"/>
          <w:color w:val="auto"/>
          <w:sz w:val="20"/>
          <w:szCs w:val="20"/>
        </w:rPr>
        <w:t>，</w:t>
      </w:r>
      <w:r w:rsidR="00FF3942">
        <w:rPr>
          <w:rFonts w:ascii="Arial" w:eastAsia="楷体_GB2312" w:hAnsi="Arial" w:cs="Arial" w:hint="eastAsia"/>
          <w:color w:val="auto"/>
          <w:sz w:val="20"/>
          <w:szCs w:val="20"/>
        </w:rPr>
        <w:t>医药健康</w:t>
      </w:r>
      <w:r>
        <w:rPr>
          <w:rFonts w:ascii="Arial" w:eastAsia="楷体_GB2312" w:hAnsi="Arial" w:cs="Arial" w:hint="eastAsia"/>
          <w:color w:val="auto"/>
          <w:sz w:val="20"/>
          <w:szCs w:val="20"/>
        </w:rPr>
        <w:t>、</w:t>
      </w:r>
      <w:r w:rsidR="00FF3942">
        <w:rPr>
          <w:rFonts w:ascii="Arial" w:eastAsia="楷体_GB2312" w:hAnsi="Arial" w:cs="Arial" w:hint="eastAsia"/>
          <w:color w:val="auto"/>
          <w:sz w:val="20"/>
          <w:szCs w:val="20"/>
        </w:rPr>
        <w:t>煤炭、能源</w:t>
      </w:r>
      <w:r>
        <w:rPr>
          <w:rFonts w:ascii="Arial" w:eastAsia="楷体_GB2312" w:hAnsi="Arial" w:cs="Arial" w:hint="eastAsia"/>
          <w:color w:val="auto"/>
          <w:sz w:val="20"/>
          <w:szCs w:val="20"/>
        </w:rPr>
        <w:t>主题基金表现较好</w:t>
      </w:r>
      <w:r w:rsidRPr="002D6DED">
        <w:rPr>
          <w:rFonts w:ascii="Arial" w:eastAsia="楷体_GB2312" w:hAnsi="Arial" w:cs="Arial"/>
          <w:color w:val="auto"/>
          <w:sz w:val="20"/>
          <w:szCs w:val="20"/>
        </w:rPr>
        <w:t>。</w:t>
      </w:r>
      <w:proofErr w:type="gramStart"/>
      <w:r>
        <w:rPr>
          <w:rFonts w:ascii="Arial" w:eastAsia="楷体_GB2312" w:hAnsi="Arial" w:cs="Arial"/>
          <w:color w:val="auto"/>
          <w:sz w:val="20"/>
          <w:szCs w:val="20"/>
        </w:rPr>
        <w:t>收益居</w:t>
      </w:r>
      <w:proofErr w:type="gramEnd"/>
      <w:r>
        <w:rPr>
          <w:rFonts w:ascii="Arial" w:eastAsia="楷体_GB2312" w:hAnsi="Arial" w:cs="Arial"/>
          <w:color w:val="auto"/>
          <w:sz w:val="20"/>
          <w:szCs w:val="20"/>
        </w:rPr>
        <w:t>前的基金有</w:t>
      </w:r>
      <w:r w:rsidR="00FF3942">
        <w:rPr>
          <w:rFonts w:ascii="Arial" w:eastAsia="楷体_GB2312" w:hAnsi="Arial" w:cs="Arial"/>
          <w:color w:val="auto"/>
          <w:sz w:val="20"/>
          <w:szCs w:val="20"/>
        </w:rPr>
        <w:t>招商中证煤炭</w:t>
      </w:r>
      <w:r w:rsidR="00FF3942">
        <w:rPr>
          <w:rFonts w:ascii="Arial" w:eastAsia="楷体_GB2312" w:hAnsi="Arial" w:cs="Arial" w:hint="eastAsia"/>
          <w:color w:val="auto"/>
          <w:sz w:val="20"/>
          <w:szCs w:val="20"/>
        </w:rPr>
        <w:t>（</w:t>
      </w:r>
      <w:r w:rsidR="00FF3942">
        <w:rPr>
          <w:rFonts w:ascii="Arial" w:eastAsia="楷体_GB2312" w:hAnsi="Arial" w:cs="Arial" w:hint="eastAsia"/>
          <w:color w:val="auto"/>
          <w:sz w:val="20"/>
          <w:szCs w:val="20"/>
        </w:rPr>
        <w:t>7.58%</w:t>
      </w:r>
      <w:r w:rsidR="00FF3942">
        <w:rPr>
          <w:rFonts w:ascii="Arial" w:eastAsia="楷体_GB2312" w:hAnsi="Arial" w:cs="Arial" w:hint="eastAsia"/>
          <w:color w:val="auto"/>
          <w:sz w:val="20"/>
          <w:szCs w:val="20"/>
        </w:rPr>
        <w:t>），招商医药健康产业</w:t>
      </w:r>
      <w:r>
        <w:rPr>
          <w:rFonts w:ascii="Arial" w:eastAsia="楷体_GB2312" w:hAnsi="Arial" w:cs="Arial" w:hint="eastAsia"/>
          <w:color w:val="auto"/>
          <w:sz w:val="20"/>
          <w:szCs w:val="20"/>
        </w:rPr>
        <w:t>（</w:t>
      </w:r>
      <w:r>
        <w:rPr>
          <w:rFonts w:ascii="Arial" w:eastAsia="楷体_GB2312" w:hAnsi="Arial" w:cs="Arial" w:hint="eastAsia"/>
          <w:color w:val="auto"/>
          <w:sz w:val="20"/>
          <w:szCs w:val="20"/>
        </w:rPr>
        <w:t>0</w:t>
      </w:r>
      <w:r w:rsidR="00FF3942">
        <w:rPr>
          <w:rFonts w:ascii="Arial" w:eastAsia="楷体_GB2312" w:hAnsi="Arial" w:cs="Arial" w:hint="eastAsia"/>
          <w:color w:val="auto"/>
          <w:sz w:val="20"/>
          <w:szCs w:val="20"/>
        </w:rPr>
        <w:t>7.34</w:t>
      </w:r>
      <w:r>
        <w:rPr>
          <w:rFonts w:ascii="Arial" w:eastAsia="楷体_GB2312" w:hAnsi="Arial" w:cs="Arial" w:hint="eastAsia"/>
          <w:color w:val="auto"/>
          <w:sz w:val="20"/>
          <w:szCs w:val="20"/>
        </w:rPr>
        <w:t>%</w:t>
      </w:r>
      <w:r>
        <w:rPr>
          <w:rFonts w:ascii="Arial" w:eastAsia="楷体_GB2312" w:hAnsi="Arial" w:cs="Arial" w:hint="eastAsia"/>
          <w:color w:val="auto"/>
          <w:sz w:val="20"/>
          <w:szCs w:val="20"/>
        </w:rPr>
        <w:t>）、</w:t>
      </w:r>
      <w:r w:rsidR="00FF3942">
        <w:rPr>
          <w:rFonts w:ascii="Arial" w:eastAsia="楷体_GB2312" w:hAnsi="Arial" w:cs="Arial" w:hint="eastAsia"/>
          <w:color w:val="auto"/>
          <w:sz w:val="20"/>
          <w:szCs w:val="20"/>
        </w:rPr>
        <w:t>富国中证煤炭（</w:t>
      </w:r>
      <w:r w:rsidR="00FF3942">
        <w:rPr>
          <w:rFonts w:ascii="Arial" w:eastAsia="楷体_GB2312" w:hAnsi="Arial" w:cs="Arial" w:hint="eastAsia"/>
          <w:color w:val="auto"/>
          <w:sz w:val="20"/>
          <w:szCs w:val="20"/>
        </w:rPr>
        <w:t>6.80%</w:t>
      </w:r>
      <w:r w:rsidR="00FF3942">
        <w:rPr>
          <w:rFonts w:ascii="Arial" w:eastAsia="楷体_GB2312" w:hAnsi="Arial" w:cs="Arial" w:hint="eastAsia"/>
          <w:color w:val="auto"/>
          <w:sz w:val="20"/>
          <w:szCs w:val="20"/>
        </w:rPr>
        <w:t>）、国泰大健康</w:t>
      </w:r>
      <w:r>
        <w:rPr>
          <w:rFonts w:ascii="Arial" w:eastAsia="楷体_GB2312" w:hAnsi="Arial" w:cs="Arial" w:hint="eastAsia"/>
          <w:color w:val="auto"/>
          <w:sz w:val="20"/>
          <w:szCs w:val="20"/>
        </w:rPr>
        <w:t>（</w:t>
      </w:r>
      <w:r w:rsidR="00FF3942">
        <w:rPr>
          <w:rFonts w:ascii="Arial" w:eastAsia="楷体_GB2312" w:hAnsi="Arial" w:cs="Arial" w:hint="eastAsia"/>
          <w:color w:val="auto"/>
          <w:sz w:val="20"/>
          <w:szCs w:val="20"/>
        </w:rPr>
        <w:t>4.18</w:t>
      </w:r>
      <w:r>
        <w:rPr>
          <w:rFonts w:ascii="Arial" w:eastAsia="楷体_GB2312" w:hAnsi="Arial" w:cs="Arial" w:hint="eastAsia"/>
          <w:color w:val="auto"/>
          <w:sz w:val="20"/>
          <w:szCs w:val="20"/>
        </w:rPr>
        <w:t>%</w:t>
      </w:r>
      <w:r>
        <w:rPr>
          <w:rFonts w:ascii="Arial" w:eastAsia="楷体_GB2312" w:hAnsi="Arial" w:cs="Arial" w:hint="eastAsia"/>
          <w:color w:val="auto"/>
          <w:sz w:val="20"/>
          <w:szCs w:val="20"/>
        </w:rPr>
        <w:t>）、</w:t>
      </w:r>
      <w:proofErr w:type="gramStart"/>
      <w:r w:rsidR="00FF3942">
        <w:rPr>
          <w:rFonts w:ascii="Arial" w:eastAsia="楷体_GB2312" w:hAnsi="Arial" w:cs="Arial" w:hint="eastAsia"/>
          <w:color w:val="auto"/>
          <w:sz w:val="20"/>
          <w:szCs w:val="20"/>
        </w:rPr>
        <w:t>汇添富</w:t>
      </w:r>
      <w:proofErr w:type="gramEnd"/>
      <w:r w:rsidR="00FF3942">
        <w:rPr>
          <w:rFonts w:ascii="Arial" w:eastAsia="楷体_GB2312" w:hAnsi="Arial" w:cs="Arial" w:hint="eastAsia"/>
          <w:color w:val="auto"/>
          <w:sz w:val="20"/>
          <w:szCs w:val="20"/>
        </w:rPr>
        <w:t>中证能源</w:t>
      </w:r>
      <w:r w:rsidR="00FF3942">
        <w:rPr>
          <w:rFonts w:ascii="Arial" w:eastAsia="楷体_GB2312" w:hAnsi="Arial" w:cs="Arial" w:hint="eastAsia"/>
          <w:color w:val="auto"/>
          <w:sz w:val="20"/>
          <w:szCs w:val="20"/>
        </w:rPr>
        <w:t>ETF</w:t>
      </w:r>
      <w:r w:rsidR="00FF3942">
        <w:rPr>
          <w:rFonts w:ascii="Arial" w:eastAsia="楷体_GB2312" w:hAnsi="Arial" w:cs="Arial" w:hint="eastAsia"/>
          <w:color w:val="auto"/>
          <w:sz w:val="20"/>
          <w:szCs w:val="20"/>
        </w:rPr>
        <w:t>（</w:t>
      </w:r>
      <w:r w:rsidR="00FF3942">
        <w:rPr>
          <w:rFonts w:ascii="Arial" w:eastAsia="楷体_GB2312" w:hAnsi="Arial" w:cs="Arial" w:hint="eastAsia"/>
          <w:color w:val="auto"/>
          <w:sz w:val="20"/>
          <w:szCs w:val="20"/>
        </w:rPr>
        <w:t>3.31%</w:t>
      </w:r>
      <w:r w:rsidR="00FF3942">
        <w:rPr>
          <w:rFonts w:ascii="Arial" w:eastAsia="楷体_GB2312" w:hAnsi="Arial" w:cs="Arial" w:hint="eastAsia"/>
          <w:color w:val="auto"/>
          <w:sz w:val="20"/>
          <w:szCs w:val="20"/>
        </w:rPr>
        <w:t>）</w:t>
      </w:r>
      <w:r>
        <w:rPr>
          <w:rFonts w:ascii="Arial" w:eastAsia="楷体_GB2312" w:hAnsi="Arial" w:cs="Arial" w:hint="eastAsia"/>
          <w:color w:val="auto"/>
          <w:sz w:val="20"/>
          <w:szCs w:val="20"/>
        </w:rPr>
        <w:t>等。</w:t>
      </w:r>
    </w:p>
    <w:p w:rsidR="00BA6BA1" w:rsidRPr="00EA3DC4" w:rsidRDefault="00BA6BA1" w:rsidP="00BA6BA1">
      <w:pPr>
        <w:pStyle w:val="a5"/>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混合基金</w:t>
      </w:r>
    </w:p>
    <w:p w:rsidR="00BA6BA1" w:rsidRPr="002D6DED" w:rsidRDefault="00FF3942" w:rsidP="00FF3942">
      <w:pPr>
        <w:pStyle w:val="a5"/>
        <w:spacing w:afterLines="100" w:after="240" w:line="260" w:lineRule="exact"/>
        <w:ind w:leftChars="1822" w:left="3826" w:rightChars="-34" w:right="-71" w:firstLineChars="200" w:firstLine="400"/>
        <w:rPr>
          <w:rFonts w:ascii="Arial" w:eastAsia="楷体_GB2312" w:hAnsi="Arial" w:cs="Arial"/>
          <w:color w:val="auto"/>
          <w:sz w:val="20"/>
          <w:szCs w:val="20"/>
        </w:rPr>
      </w:pPr>
      <w:r w:rsidRPr="00FF3942">
        <w:rPr>
          <w:rFonts w:ascii="Arial" w:eastAsia="楷体_GB2312" w:hAnsi="Arial" w:cs="Arial" w:hint="eastAsia"/>
          <w:color w:val="auto"/>
          <w:sz w:val="20"/>
          <w:szCs w:val="20"/>
        </w:rPr>
        <w:t>混合基金得益于</w:t>
      </w:r>
      <w:proofErr w:type="gramStart"/>
      <w:r w:rsidRPr="00FF3942">
        <w:rPr>
          <w:rFonts w:ascii="Arial" w:eastAsia="楷体_GB2312" w:hAnsi="Arial" w:cs="Arial" w:hint="eastAsia"/>
          <w:color w:val="auto"/>
          <w:sz w:val="20"/>
          <w:szCs w:val="20"/>
        </w:rPr>
        <w:t>仓位</w:t>
      </w:r>
      <w:proofErr w:type="gramEnd"/>
      <w:r w:rsidRPr="00FF3942">
        <w:rPr>
          <w:rFonts w:ascii="Arial" w:eastAsia="楷体_GB2312" w:hAnsi="Arial" w:cs="Arial" w:hint="eastAsia"/>
          <w:color w:val="auto"/>
          <w:sz w:val="20"/>
          <w:szCs w:val="20"/>
        </w:rPr>
        <w:t>灵活控制其表现优于股票基金</w:t>
      </w:r>
      <w:r w:rsidR="00BA6BA1" w:rsidRPr="002D6DED">
        <w:rPr>
          <w:rFonts w:ascii="Arial" w:eastAsia="楷体_GB2312" w:hAnsi="Arial" w:cs="Arial"/>
          <w:color w:val="auto"/>
          <w:sz w:val="20"/>
          <w:szCs w:val="20"/>
        </w:rPr>
        <w:t>，</w:t>
      </w:r>
      <w:r w:rsidR="00BA6BA1">
        <w:rPr>
          <w:rFonts w:ascii="Arial" w:eastAsia="楷体_GB2312" w:hAnsi="Arial" w:cs="Arial"/>
          <w:color w:val="auto"/>
          <w:sz w:val="20"/>
          <w:szCs w:val="20"/>
        </w:rPr>
        <w:t>其</w:t>
      </w:r>
      <w:r w:rsidR="00BA6BA1" w:rsidRPr="002D6DED">
        <w:rPr>
          <w:rFonts w:ascii="Arial" w:eastAsia="楷体_GB2312" w:hAnsi="Arial" w:cs="Arial"/>
          <w:color w:val="auto"/>
          <w:sz w:val="20"/>
          <w:szCs w:val="20"/>
        </w:rPr>
        <w:t>平均收益为</w:t>
      </w:r>
      <w:r w:rsidR="00BA6BA1">
        <w:rPr>
          <w:rFonts w:ascii="Arial" w:eastAsia="楷体_GB2312" w:hAnsi="Arial" w:cs="Arial" w:hint="eastAsia"/>
          <w:color w:val="auto"/>
          <w:sz w:val="20"/>
          <w:szCs w:val="20"/>
        </w:rPr>
        <w:t>-</w:t>
      </w:r>
      <w:r w:rsidR="00F83596">
        <w:rPr>
          <w:rFonts w:ascii="Arial" w:eastAsia="楷体_GB2312" w:hAnsi="Arial" w:cs="Arial" w:hint="eastAsia"/>
          <w:color w:val="auto"/>
          <w:sz w:val="20"/>
          <w:szCs w:val="20"/>
        </w:rPr>
        <w:t>0.88</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。其中，</w:t>
      </w:r>
      <w:proofErr w:type="gramStart"/>
      <w:r w:rsidR="00BA6BA1" w:rsidRPr="002D6DED">
        <w:rPr>
          <w:rFonts w:ascii="Arial" w:eastAsia="楷体_GB2312" w:hAnsi="Arial" w:cs="Arial"/>
          <w:color w:val="auto"/>
          <w:sz w:val="20"/>
          <w:szCs w:val="20"/>
        </w:rPr>
        <w:t>偏股型平均</w:t>
      </w:r>
      <w:proofErr w:type="gramEnd"/>
      <w:r w:rsidR="00BA6BA1" w:rsidRPr="002D6DED">
        <w:rPr>
          <w:rFonts w:ascii="Arial" w:eastAsia="楷体_GB2312" w:hAnsi="Arial" w:cs="Arial"/>
          <w:color w:val="auto"/>
          <w:sz w:val="20"/>
          <w:szCs w:val="20"/>
        </w:rPr>
        <w:t>收益为</w:t>
      </w:r>
      <w:r w:rsidR="00BA6BA1">
        <w:rPr>
          <w:rFonts w:ascii="Arial" w:eastAsia="楷体_GB2312" w:hAnsi="Arial" w:cs="Arial" w:hint="eastAsia"/>
          <w:color w:val="auto"/>
          <w:sz w:val="20"/>
          <w:szCs w:val="20"/>
        </w:rPr>
        <w:t>-</w:t>
      </w:r>
      <w:r w:rsidR="00F83596">
        <w:rPr>
          <w:rFonts w:ascii="Arial" w:eastAsia="楷体_GB2312" w:hAnsi="Arial" w:cs="Arial" w:hint="eastAsia"/>
          <w:color w:val="auto"/>
          <w:sz w:val="20"/>
          <w:szCs w:val="20"/>
        </w:rPr>
        <w:t>1.29</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w:t>
      </w:r>
      <w:proofErr w:type="gramStart"/>
      <w:r w:rsidR="00BA6BA1" w:rsidRPr="002D6DED">
        <w:rPr>
          <w:rFonts w:ascii="Arial" w:eastAsia="楷体_GB2312" w:hAnsi="Arial" w:cs="Arial"/>
          <w:color w:val="auto"/>
          <w:sz w:val="20"/>
          <w:szCs w:val="20"/>
        </w:rPr>
        <w:t>偏债型</w:t>
      </w:r>
      <w:proofErr w:type="gramEnd"/>
      <w:r w:rsidR="00BA6BA1" w:rsidRPr="002D6DED">
        <w:rPr>
          <w:rFonts w:ascii="Arial" w:eastAsia="楷体_GB2312" w:hAnsi="Arial" w:cs="Arial"/>
          <w:color w:val="auto"/>
          <w:sz w:val="20"/>
          <w:szCs w:val="20"/>
        </w:rPr>
        <w:t>产品平均收益为</w:t>
      </w:r>
      <w:r w:rsidR="00BA6BA1">
        <w:rPr>
          <w:rFonts w:ascii="Arial" w:eastAsia="楷体_GB2312" w:hAnsi="Arial" w:cs="Arial" w:hint="eastAsia"/>
          <w:color w:val="auto"/>
          <w:sz w:val="20"/>
          <w:szCs w:val="20"/>
        </w:rPr>
        <w:t>-0.</w:t>
      </w:r>
      <w:r w:rsidR="00F83596">
        <w:rPr>
          <w:rFonts w:ascii="Arial" w:eastAsia="楷体_GB2312" w:hAnsi="Arial" w:cs="Arial" w:hint="eastAsia"/>
          <w:color w:val="auto"/>
          <w:sz w:val="20"/>
          <w:szCs w:val="20"/>
        </w:rPr>
        <w:t>48</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，灵活配置</w:t>
      </w:r>
      <w:proofErr w:type="gramStart"/>
      <w:r w:rsidR="00BA6BA1" w:rsidRPr="002D6DED">
        <w:rPr>
          <w:rFonts w:ascii="Arial" w:eastAsia="楷体_GB2312" w:hAnsi="Arial" w:cs="Arial"/>
          <w:color w:val="auto"/>
          <w:sz w:val="20"/>
          <w:szCs w:val="20"/>
        </w:rPr>
        <w:t>型平均</w:t>
      </w:r>
      <w:proofErr w:type="gramEnd"/>
      <w:r w:rsidR="00BA6BA1" w:rsidRPr="002D6DED">
        <w:rPr>
          <w:rFonts w:ascii="Arial" w:eastAsia="楷体_GB2312" w:hAnsi="Arial" w:cs="Arial"/>
          <w:color w:val="auto"/>
          <w:sz w:val="20"/>
          <w:szCs w:val="20"/>
        </w:rPr>
        <w:t>收益为</w:t>
      </w:r>
      <w:r w:rsidR="00BA6BA1">
        <w:rPr>
          <w:rFonts w:ascii="Arial" w:eastAsia="楷体_GB2312" w:hAnsi="Arial" w:cs="Arial" w:hint="eastAsia"/>
          <w:color w:val="auto"/>
          <w:sz w:val="20"/>
          <w:szCs w:val="20"/>
        </w:rPr>
        <w:t>-</w:t>
      </w:r>
      <w:r w:rsidR="00F83596">
        <w:rPr>
          <w:rFonts w:ascii="Arial" w:eastAsia="楷体_GB2312" w:hAnsi="Arial" w:cs="Arial" w:hint="eastAsia"/>
          <w:color w:val="auto"/>
          <w:sz w:val="20"/>
          <w:szCs w:val="20"/>
        </w:rPr>
        <w:t>0.69</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，平衡</w:t>
      </w:r>
      <w:proofErr w:type="gramStart"/>
      <w:r w:rsidR="00BA6BA1" w:rsidRPr="002D6DED">
        <w:rPr>
          <w:rFonts w:ascii="Arial" w:eastAsia="楷体_GB2312" w:hAnsi="Arial" w:cs="Arial"/>
          <w:color w:val="auto"/>
          <w:sz w:val="20"/>
          <w:szCs w:val="20"/>
        </w:rPr>
        <w:t>型平均</w:t>
      </w:r>
      <w:proofErr w:type="gramEnd"/>
      <w:r w:rsidR="00BA6BA1" w:rsidRPr="002D6DED">
        <w:rPr>
          <w:rFonts w:ascii="Arial" w:eastAsia="楷体_GB2312" w:hAnsi="Arial" w:cs="Arial"/>
          <w:color w:val="auto"/>
          <w:sz w:val="20"/>
          <w:szCs w:val="20"/>
        </w:rPr>
        <w:t>收益为</w:t>
      </w:r>
      <w:r w:rsidR="00BA6BA1">
        <w:rPr>
          <w:rFonts w:ascii="Arial" w:eastAsia="楷体_GB2312" w:hAnsi="Arial" w:cs="Arial" w:hint="eastAsia"/>
          <w:color w:val="auto"/>
          <w:sz w:val="20"/>
          <w:szCs w:val="20"/>
        </w:rPr>
        <w:t>-</w:t>
      </w:r>
      <w:r w:rsidR="00F83596">
        <w:rPr>
          <w:rFonts w:ascii="Arial" w:eastAsia="楷体_GB2312" w:hAnsi="Arial" w:cs="Arial" w:hint="eastAsia"/>
          <w:color w:val="auto"/>
          <w:sz w:val="20"/>
          <w:szCs w:val="20"/>
        </w:rPr>
        <w:t>1.37</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w:t>
      </w:r>
    </w:p>
    <w:tbl>
      <w:tblPr>
        <w:tblpPr w:leftFromText="180" w:rightFromText="180" w:vertAnchor="text" w:horzAnchor="margin" w:tblpY="150"/>
        <w:tblW w:w="368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BA6BA1" w:rsidRPr="00282400" w:rsidTr="00FF3942">
        <w:trPr>
          <w:trHeight w:val="415"/>
        </w:trPr>
        <w:tc>
          <w:tcPr>
            <w:tcW w:w="3686" w:type="dxa"/>
            <w:gridSpan w:val="4"/>
            <w:shd w:val="clear" w:color="000000" w:fill="F79646"/>
            <w:vAlign w:val="center"/>
            <w:hideMark/>
          </w:tcPr>
          <w:p w:rsidR="00BA6BA1" w:rsidRPr="00282400" w:rsidRDefault="00BA6BA1" w:rsidP="00FF3942">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F83596" w:rsidRPr="00282400" w:rsidTr="00FF3942">
        <w:trPr>
          <w:trHeight w:val="285"/>
        </w:trPr>
        <w:tc>
          <w:tcPr>
            <w:tcW w:w="993" w:type="dxa"/>
            <w:vMerge w:val="restart"/>
            <w:shd w:val="clear" w:color="auto" w:fill="auto"/>
            <w:vAlign w:val="center"/>
            <w:hideMark/>
          </w:tcPr>
          <w:p w:rsidR="00F83596" w:rsidRPr="00282400" w:rsidRDefault="00F83596"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F83596" w:rsidRDefault="00F83596">
            <w:pPr>
              <w:jc w:val="center"/>
              <w:rPr>
                <w:rFonts w:ascii="楷体" w:eastAsia="楷体" w:hAnsi="楷体" w:cs="宋体"/>
                <w:color w:val="000000"/>
                <w:sz w:val="15"/>
                <w:szCs w:val="15"/>
              </w:rPr>
            </w:pPr>
            <w:r>
              <w:rPr>
                <w:rFonts w:ascii="楷体" w:eastAsia="楷体" w:hAnsi="楷体" w:hint="eastAsia"/>
                <w:color w:val="000000"/>
                <w:sz w:val="15"/>
                <w:szCs w:val="15"/>
              </w:rPr>
              <w:t>-1.76</w:t>
            </w:r>
          </w:p>
        </w:tc>
        <w:tc>
          <w:tcPr>
            <w:tcW w:w="992" w:type="dxa"/>
            <w:shd w:val="clear" w:color="000000" w:fill="D9D9D9"/>
            <w:vAlign w:val="center"/>
            <w:hideMark/>
          </w:tcPr>
          <w:p w:rsidR="00F83596" w:rsidRPr="00282400" w:rsidRDefault="00F83596"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-0.91</w:t>
            </w:r>
          </w:p>
        </w:tc>
      </w:tr>
      <w:tr w:rsidR="00F83596" w:rsidRPr="00282400" w:rsidTr="00FF3942">
        <w:trPr>
          <w:trHeight w:val="285"/>
        </w:trPr>
        <w:tc>
          <w:tcPr>
            <w:tcW w:w="993" w:type="dxa"/>
            <w:vMerge/>
            <w:vAlign w:val="center"/>
            <w:hideMark/>
          </w:tcPr>
          <w:p w:rsidR="00F83596" w:rsidRPr="00282400" w:rsidRDefault="00F83596" w:rsidP="00FF3942">
            <w:pPr>
              <w:widowControl/>
              <w:jc w:val="left"/>
              <w:rPr>
                <w:rFonts w:ascii="楷体" w:eastAsia="楷体" w:hAnsi="楷体" w:cs="宋体"/>
                <w:color w:val="000000"/>
                <w:kern w:val="0"/>
                <w:sz w:val="16"/>
                <w:szCs w:val="16"/>
              </w:rPr>
            </w:pPr>
          </w:p>
        </w:tc>
        <w:tc>
          <w:tcPr>
            <w:tcW w:w="709" w:type="dxa"/>
            <w:vMerge/>
            <w:vAlign w:val="center"/>
            <w:hideMark/>
          </w:tcPr>
          <w:p w:rsidR="00F83596" w:rsidRPr="001F6AB0" w:rsidRDefault="00F83596" w:rsidP="00FF3942">
            <w:pPr>
              <w:widowControl/>
              <w:jc w:val="center"/>
              <w:rPr>
                <w:rStyle w:val="textsmall2"/>
                <w:rFonts w:ascii="Arial" w:hAnsi="Arial" w:cs="Arial"/>
                <w:sz w:val="16"/>
                <w:szCs w:val="16"/>
              </w:rPr>
            </w:pPr>
          </w:p>
        </w:tc>
        <w:tc>
          <w:tcPr>
            <w:tcW w:w="992" w:type="dxa"/>
            <w:shd w:val="clear" w:color="auto" w:fill="auto"/>
            <w:vAlign w:val="center"/>
            <w:hideMark/>
          </w:tcPr>
          <w:p w:rsidR="00F83596" w:rsidRPr="00282400" w:rsidRDefault="00F83596" w:rsidP="00FF394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-2.07</w:t>
            </w:r>
          </w:p>
        </w:tc>
      </w:tr>
      <w:tr w:rsidR="00F83596" w:rsidRPr="00282400" w:rsidTr="00FF3942">
        <w:trPr>
          <w:trHeight w:val="285"/>
        </w:trPr>
        <w:tc>
          <w:tcPr>
            <w:tcW w:w="993" w:type="dxa"/>
            <w:vMerge w:val="restart"/>
            <w:shd w:val="clear" w:color="auto" w:fill="auto"/>
            <w:vAlign w:val="center"/>
            <w:hideMark/>
          </w:tcPr>
          <w:p w:rsidR="00F83596" w:rsidRPr="00282400" w:rsidRDefault="00F83596"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F83596" w:rsidRDefault="00F83596">
            <w:pPr>
              <w:jc w:val="center"/>
              <w:rPr>
                <w:rFonts w:ascii="楷体" w:eastAsia="楷体" w:hAnsi="楷体" w:cs="宋体"/>
                <w:color w:val="000000"/>
                <w:sz w:val="15"/>
                <w:szCs w:val="15"/>
              </w:rPr>
            </w:pPr>
            <w:r>
              <w:rPr>
                <w:rFonts w:ascii="楷体" w:eastAsia="楷体" w:hAnsi="楷体" w:hint="eastAsia"/>
                <w:color w:val="000000"/>
                <w:sz w:val="15"/>
                <w:szCs w:val="15"/>
              </w:rPr>
              <w:t>-0.88</w:t>
            </w:r>
          </w:p>
        </w:tc>
        <w:tc>
          <w:tcPr>
            <w:tcW w:w="992" w:type="dxa"/>
            <w:shd w:val="clear" w:color="000000" w:fill="D9D9D9"/>
            <w:vAlign w:val="center"/>
            <w:hideMark/>
          </w:tcPr>
          <w:p w:rsidR="00F83596" w:rsidRPr="00282400" w:rsidRDefault="00F83596" w:rsidP="00FF394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-1.29</w:t>
            </w:r>
          </w:p>
        </w:tc>
      </w:tr>
      <w:tr w:rsidR="00F83596" w:rsidRPr="00282400" w:rsidTr="00FF3942">
        <w:trPr>
          <w:trHeight w:val="285"/>
        </w:trPr>
        <w:tc>
          <w:tcPr>
            <w:tcW w:w="993" w:type="dxa"/>
            <w:vMerge/>
            <w:vAlign w:val="center"/>
            <w:hideMark/>
          </w:tcPr>
          <w:p w:rsidR="00F83596" w:rsidRPr="00282400" w:rsidRDefault="00F83596" w:rsidP="00FF3942">
            <w:pPr>
              <w:widowControl/>
              <w:jc w:val="left"/>
              <w:rPr>
                <w:rFonts w:ascii="楷体" w:eastAsia="楷体" w:hAnsi="楷体" w:cs="宋体"/>
                <w:color w:val="000000"/>
                <w:kern w:val="0"/>
                <w:sz w:val="16"/>
                <w:szCs w:val="16"/>
              </w:rPr>
            </w:pPr>
          </w:p>
        </w:tc>
        <w:tc>
          <w:tcPr>
            <w:tcW w:w="709" w:type="dxa"/>
            <w:vMerge/>
            <w:vAlign w:val="center"/>
            <w:hideMark/>
          </w:tcPr>
          <w:p w:rsidR="00F83596" w:rsidRPr="001F6AB0" w:rsidRDefault="00F83596" w:rsidP="00FF3942">
            <w:pPr>
              <w:widowControl/>
              <w:jc w:val="center"/>
              <w:rPr>
                <w:rStyle w:val="textsmall2"/>
                <w:rFonts w:ascii="Arial" w:hAnsi="Arial" w:cs="Arial"/>
                <w:sz w:val="16"/>
                <w:szCs w:val="16"/>
              </w:rPr>
            </w:pPr>
          </w:p>
        </w:tc>
        <w:tc>
          <w:tcPr>
            <w:tcW w:w="992" w:type="dxa"/>
            <w:shd w:val="clear" w:color="auto" w:fill="auto"/>
            <w:vAlign w:val="center"/>
            <w:hideMark/>
          </w:tcPr>
          <w:p w:rsidR="00F83596" w:rsidRPr="00282400" w:rsidRDefault="00F83596" w:rsidP="00FF394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-0.48</w:t>
            </w:r>
          </w:p>
        </w:tc>
      </w:tr>
      <w:tr w:rsidR="00F83596" w:rsidRPr="00282400" w:rsidTr="00FF3942">
        <w:trPr>
          <w:trHeight w:val="285"/>
        </w:trPr>
        <w:tc>
          <w:tcPr>
            <w:tcW w:w="993" w:type="dxa"/>
            <w:vMerge/>
            <w:vAlign w:val="center"/>
            <w:hideMark/>
          </w:tcPr>
          <w:p w:rsidR="00F83596" w:rsidRPr="00282400" w:rsidRDefault="00F83596" w:rsidP="00FF3942">
            <w:pPr>
              <w:widowControl/>
              <w:jc w:val="left"/>
              <w:rPr>
                <w:rFonts w:ascii="楷体" w:eastAsia="楷体" w:hAnsi="楷体" w:cs="宋体"/>
                <w:color w:val="000000"/>
                <w:kern w:val="0"/>
                <w:sz w:val="16"/>
                <w:szCs w:val="16"/>
              </w:rPr>
            </w:pPr>
          </w:p>
        </w:tc>
        <w:tc>
          <w:tcPr>
            <w:tcW w:w="709" w:type="dxa"/>
            <w:vMerge/>
            <w:vAlign w:val="center"/>
            <w:hideMark/>
          </w:tcPr>
          <w:p w:rsidR="00F83596" w:rsidRPr="001F6AB0" w:rsidRDefault="00F83596" w:rsidP="00FF3942">
            <w:pPr>
              <w:widowControl/>
              <w:jc w:val="center"/>
              <w:rPr>
                <w:rStyle w:val="textsmall2"/>
                <w:rFonts w:ascii="Arial" w:hAnsi="Arial" w:cs="Arial"/>
                <w:sz w:val="16"/>
                <w:szCs w:val="16"/>
              </w:rPr>
            </w:pPr>
          </w:p>
        </w:tc>
        <w:tc>
          <w:tcPr>
            <w:tcW w:w="992" w:type="dxa"/>
            <w:shd w:val="clear" w:color="000000" w:fill="D9D9D9"/>
            <w:vAlign w:val="center"/>
            <w:hideMark/>
          </w:tcPr>
          <w:p w:rsidR="00F83596" w:rsidRPr="00282400" w:rsidRDefault="00F83596"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-0.69</w:t>
            </w:r>
          </w:p>
        </w:tc>
      </w:tr>
      <w:tr w:rsidR="00F83596" w:rsidRPr="00282400" w:rsidTr="00FF3942">
        <w:trPr>
          <w:trHeight w:val="285"/>
        </w:trPr>
        <w:tc>
          <w:tcPr>
            <w:tcW w:w="993" w:type="dxa"/>
            <w:vMerge/>
            <w:vAlign w:val="center"/>
            <w:hideMark/>
          </w:tcPr>
          <w:p w:rsidR="00F83596" w:rsidRPr="00282400" w:rsidRDefault="00F83596" w:rsidP="00FF3942">
            <w:pPr>
              <w:widowControl/>
              <w:jc w:val="left"/>
              <w:rPr>
                <w:rFonts w:ascii="楷体" w:eastAsia="楷体" w:hAnsi="楷体" w:cs="宋体"/>
                <w:color w:val="000000"/>
                <w:kern w:val="0"/>
                <w:sz w:val="16"/>
                <w:szCs w:val="16"/>
              </w:rPr>
            </w:pPr>
          </w:p>
        </w:tc>
        <w:tc>
          <w:tcPr>
            <w:tcW w:w="709" w:type="dxa"/>
            <w:vMerge/>
            <w:vAlign w:val="center"/>
            <w:hideMark/>
          </w:tcPr>
          <w:p w:rsidR="00F83596" w:rsidRPr="001F6AB0" w:rsidRDefault="00F83596" w:rsidP="00FF3942">
            <w:pPr>
              <w:widowControl/>
              <w:jc w:val="center"/>
              <w:rPr>
                <w:rStyle w:val="textsmall2"/>
                <w:rFonts w:ascii="Arial" w:hAnsi="Arial" w:cs="Arial"/>
                <w:sz w:val="16"/>
                <w:szCs w:val="16"/>
              </w:rPr>
            </w:pPr>
          </w:p>
        </w:tc>
        <w:tc>
          <w:tcPr>
            <w:tcW w:w="992" w:type="dxa"/>
            <w:shd w:val="clear" w:color="auto" w:fill="auto"/>
            <w:vAlign w:val="center"/>
            <w:hideMark/>
          </w:tcPr>
          <w:p w:rsidR="00F83596" w:rsidRPr="00282400" w:rsidRDefault="00F83596"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-1.37</w:t>
            </w:r>
          </w:p>
        </w:tc>
      </w:tr>
      <w:tr w:rsidR="00F83596" w:rsidRPr="00282400" w:rsidTr="00FF3942">
        <w:trPr>
          <w:trHeight w:val="285"/>
        </w:trPr>
        <w:tc>
          <w:tcPr>
            <w:tcW w:w="993" w:type="dxa"/>
            <w:vMerge w:val="restart"/>
            <w:shd w:val="clear" w:color="auto" w:fill="auto"/>
            <w:vAlign w:val="center"/>
            <w:hideMark/>
          </w:tcPr>
          <w:p w:rsidR="00F83596" w:rsidRPr="00282400" w:rsidRDefault="00F83596"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F83596" w:rsidRDefault="00F83596">
            <w:pPr>
              <w:jc w:val="center"/>
              <w:rPr>
                <w:rFonts w:ascii="楷体" w:eastAsia="楷体" w:hAnsi="楷体" w:cs="宋体"/>
                <w:color w:val="000000"/>
                <w:sz w:val="15"/>
                <w:szCs w:val="15"/>
              </w:rPr>
            </w:pPr>
            <w:r>
              <w:rPr>
                <w:rFonts w:ascii="楷体" w:eastAsia="楷体" w:hAnsi="楷体" w:hint="eastAsia"/>
                <w:color w:val="000000"/>
                <w:sz w:val="15"/>
                <w:szCs w:val="15"/>
              </w:rPr>
              <w:t>-1.09</w:t>
            </w:r>
          </w:p>
        </w:tc>
        <w:tc>
          <w:tcPr>
            <w:tcW w:w="992" w:type="dxa"/>
            <w:shd w:val="clear" w:color="000000" w:fill="D9D9D9"/>
            <w:vAlign w:val="center"/>
            <w:hideMark/>
          </w:tcPr>
          <w:p w:rsidR="00F83596" w:rsidRPr="00282400" w:rsidRDefault="00F83596" w:rsidP="00FF394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-1.03</w:t>
            </w:r>
          </w:p>
        </w:tc>
      </w:tr>
      <w:tr w:rsidR="00F83596" w:rsidRPr="00282400" w:rsidTr="00FF3942">
        <w:trPr>
          <w:trHeight w:val="285"/>
        </w:trPr>
        <w:tc>
          <w:tcPr>
            <w:tcW w:w="993" w:type="dxa"/>
            <w:vMerge/>
            <w:vAlign w:val="center"/>
            <w:hideMark/>
          </w:tcPr>
          <w:p w:rsidR="00F83596" w:rsidRPr="00282400" w:rsidRDefault="00F83596" w:rsidP="00FF3942">
            <w:pPr>
              <w:widowControl/>
              <w:jc w:val="left"/>
              <w:rPr>
                <w:rFonts w:ascii="楷体" w:eastAsia="楷体" w:hAnsi="楷体" w:cs="宋体"/>
                <w:color w:val="000000"/>
                <w:kern w:val="0"/>
                <w:sz w:val="16"/>
                <w:szCs w:val="16"/>
              </w:rPr>
            </w:pPr>
          </w:p>
        </w:tc>
        <w:tc>
          <w:tcPr>
            <w:tcW w:w="709" w:type="dxa"/>
            <w:vMerge/>
            <w:vAlign w:val="center"/>
            <w:hideMark/>
          </w:tcPr>
          <w:p w:rsidR="00F83596" w:rsidRPr="001F6AB0" w:rsidRDefault="00F83596" w:rsidP="00FF3942">
            <w:pPr>
              <w:widowControl/>
              <w:jc w:val="center"/>
              <w:rPr>
                <w:rStyle w:val="textsmall2"/>
                <w:rFonts w:ascii="Arial" w:hAnsi="Arial" w:cs="Arial"/>
                <w:sz w:val="16"/>
                <w:szCs w:val="16"/>
              </w:rPr>
            </w:pPr>
          </w:p>
        </w:tc>
        <w:tc>
          <w:tcPr>
            <w:tcW w:w="992" w:type="dxa"/>
            <w:shd w:val="clear" w:color="auto" w:fill="auto"/>
            <w:vAlign w:val="center"/>
            <w:hideMark/>
          </w:tcPr>
          <w:p w:rsidR="00F83596" w:rsidRPr="00282400" w:rsidRDefault="00F83596" w:rsidP="00FF394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-1.05</w:t>
            </w:r>
          </w:p>
        </w:tc>
      </w:tr>
      <w:tr w:rsidR="00F83596" w:rsidRPr="00282400" w:rsidTr="00FF3942">
        <w:trPr>
          <w:trHeight w:val="285"/>
        </w:trPr>
        <w:tc>
          <w:tcPr>
            <w:tcW w:w="993" w:type="dxa"/>
            <w:vMerge/>
            <w:vAlign w:val="center"/>
            <w:hideMark/>
          </w:tcPr>
          <w:p w:rsidR="00F83596" w:rsidRPr="00282400" w:rsidRDefault="00F83596" w:rsidP="00FF3942">
            <w:pPr>
              <w:widowControl/>
              <w:jc w:val="left"/>
              <w:rPr>
                <w:rFonts w:ascii="楷体" w:eastAsia="楷体" w:hAnsi="楷体" w:cs="宋体"/>
                <w:color w:val="000000"/>
                <w:kern w:val="0"/>
                <w:sz w:val="16"/>
                <w:szCs w:val="16"/>
              </w:rPr>
            </w:pPr>
          </w:p>
        </w:tc>
        <w:tc>
          <w:tcPr>
            <w:tcW w:w="709" w:type="dxa"/>
            <w:vMerge/>
            <w:vAlign w:val="center"/>
            <w:hideMark/>
          </w:tcPr>
          <w:p w:rsidR="00F83596" w:rsidRPr="001F6AB0" w:rsidRDefault="00F83596" w:rsidP="00FF3942">
            <w:pPr>
              <w:widowControl/>
              <w:jc w:val="center"/>
              <w:rPr>
                <w:rStyle w:val="textsmall2"/>
                <w:rFonts w:ascii="Arial" w:hAnsi="Arial" w:cs="Arial"/>
                <w:sz w:val="16"/>
                <w:szCs w:val="16"/>
              </w:rPr>
            </w:pPr>
          </w:p>
        </w:tc>
        <w:tc>
          <w:tcPr>
            <w:tcW w:w="992" w:type="dxa"/>
            <w:shd w:val="clear" w:color="000000" w:fill="D9D9D9"/>
            <w:vAlign w:val="center"/>
            <w:hideMark/>
          </w:tcPr>
          <w:p w:rsidR="00F83596" w:rsidRPr="00282400" w:rsidRDefault="00F83596" w:rsidP="00FF394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-1.19</w:t>
            </w:r>
          </w:p>
        </w:tc>
      </w:tr>
      <w:tr w:rsidR="00F83596" w:rsidRPr="00282400" w:rsidTr="00FF3942">
        <w:trPr>
          <w:trHeight w:val="285"/>
        </w:trPr>
        <w:tc>
          <w:tcPr>
            <w:tcW w:w="993" w:type="dxa"/>
            <w:vMerge/>
            <w:tcBorders>
              <w:bottom w:val="single" w:sz="4" w:space="0" w:color="auto"/>
            </w:tcBorders>
            <w:vAlign w:val="center"/>
            <w:hideMark/>
          </w:tcPr>
          <w:p w:rsidR="00F83596" w:rsidRPr="00282400" w:rsidRDefault="00F83596" w:rsidP="00FF3942">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F83596" w:rsidRPr="001F6AB0" w:rsidRDefault="00F83596" w:rsidP="00FF3942">
            <w:pPr>
              <w:widowControl/>
              <w:jc w:val="center"/>
              <w:rPr>
                <w:rStyle w:val="textsmall2"/>
                <w:rFonts w:ascii="Arial" w:hAnsi="Arial" w:cs="Arial"/>
                <w:sz w:val="16"/>
                <w:szCs w:val="16"/>
              </w:rPr>
            </w:pPr>
          </w:p>
        </w:tc>
        <w:tc>
          <w:tcPr>
            <w:tcW w:w="992" w:type="dxa"/>
            <w:shd w:val="clear" w:color="auto" w:fill="auto"/>
            <w:vAlign w:val="center"/>
            <w:hideMark/>
          </w:tcPr>
          <w:p w:rsidR="00F83596" w:rsidRPr="00282400" w:rsidRDefault="00F83596" w:rsidP="00FF3942">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-1.24</w:t>
            </w:r>
          </w:p>
        </w:tc>
      </w:tr>
      <w:tr w:rsidR="00F83596" w:rsidRPr="00282400" w:rsidTr="00FF3942">
        <w:trPr>
          <w:trHeight w:val="285"/>
        </w:trPr>
        <w:tc>
          <w:tcPr>
            <w:tcW w:w="993" w:type="dxa"/>
            <w:shd w:val="clear" w:color="auto" w:fill="D9D9D9" w:themeFill="background1" w:themeFillShade="D9"/>
            <w:vAlign w:val="center"/>
            <w:hideMark/>
          </w:tcPr>
          <w:p w:rsidR="00F83596" w:rsidRPr="00282400" w:rsidRDefault="00F83596"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F83596" w:rsidRDefault="00F83596">
            <w:pPr>
              <w:jc w:val="center"/>
              <w:rPr>
                <w:rFonts w:ascii="楷体" w:eastAsia="楷体" w:hAnsi="楷体" w:cs="宋体"/>
                <w:color w:val="000000"/>
                <w:sz w:val="13"/>
                <w:szCs w:val="13"/>
              </w:rPr>
            </w:pPr>
            <w:r>
              <w:rPr>
                <w:rFonts w:ascii="楷体" w:eastAsia="楷体" w:hAnsi="楷体" w:hint="eastAsia"/>
                <w:color w:val="000000"/>
                <w:sz w:val="13"/>
                <w:szCs w:val="13"/>
              </w:rPr>
              <w:t>4.78</w:t>
            </w:r>
          </w:p>
        </w:tc>
        <w:tc>
          <w:tcPr>
            <w:tcW w:w="992" w:type="dxa"/>
            <w:shd w:val="clear" w:color="000000" w:fill="D9D9D9"/>
            <w:vAlign w:val="center"/>
            <w:hideMark/>
          </w:tcPr>
          <w:p w:rsidR="00F83596" w:rsidRPr="00282400" w:rsidRDefault="00F83596"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-0.34</w:t>
            </w:r>
          </w:p>
        </w:tc>
      </w:tr>
      <w:tr w:rsidR="00BA6BA1" w:rsidRPr="00282400" w:rsidTr="00FF3942">
        <w:trPr>
          <w:trHeight w:val="270"/>
        </w:trPr>
        <w:tc>
          <w:tcPr>
            <w:tcW w:w="1702" w:type="dxa"/>
            <w:gridSpan w:val="2"/>
            <w:vMerge w:val="restart"/>
            <w:shd w:val="clear" w:color="auto" w:fill="auto"/>
            <w:vAlign w:val="center"/>
            <w:hideMark/>
          </w:tcPr>
          <w:p w:rsidR="00BA6BA1" w:rsidRPr="007E41EC" w:rsidRDefault="00BA6BA1"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BA6BA1" w:rsidRPr="00AE4A7A" w:rsidRDefault="00BA6BA1" w:rsidP="00FF3942">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BA6BA1" w:rsidRPr="008151BA" w:rsidRDefault="00BA6BA1" w:rsidP="00F83596">
            <w:pPr>
              <w:jc w:val="center"/>
              <w:rPr>
                <w:rFonts w:ascii="楷体" w:eastAsia="楷体" w:hAnsi="楷体"/>
                <w:color w:val="000000"/>
                <w:sz w:val="15"/>
                <w:szCs w:val="15"/>
              </w:rPr>
            </w:pPr>
            <w:r w:rsidRPr="001147F2">
              <w:rPr>
                <w:rFonts w:ascii="楷体" w:eastAsia="楷体" w:hAnsi="楷体"/>
                <w:color w:val="000000"/>
                <w:sz w:val="15"/>
                <w:szCs w:val="15"/>
              </w:rPr>
              <w:t>2.</w:t>
            </w:r>
            <w:r>
              <w:rPr>
                <w:rFonts w:ascii="楷体" w:eastAsia="楷体" w:hAnsi="楷体" w:hint="eastAsia"/>
                <w:color w:val="000000"/>
                <w:sz w:val="15"/>
                <w:szCs w:val="15"/>
              </w:rPr>
              <w:t>5</w:t>
            </w:r>
            <w:r w:rsidR="00F83596">
              <w:rPr>
                <w:rFonts w:ascii="楷体" w:eastAsia="楷体" w:hAnsi="楷体" w:hint="eastAsia"/>
                <w:color w:val="000000"/>
                <w:sz w:val="15"/>
                <w:szCs w:val="15"/>
              </w:rPr>
              <w:t>6</w:t>
            </w:r>
            <w:r w:rsidRPr="001147F2">
              <w:rPr>
                <w:rFonts w:ascii="楷体" w:eastAsia="楷体" w:hAnsi="楷体"/>
                <w:color w:val="000000"/>
                <w:sz w:val="15"/>
                <w:szCs w:val="15"/>
              </w:rPr>
              <w:tab/>
            </w:r>
          </w:p>
        </w:tc>
      </w:tr>
      <w:tr w:rsidR="00BA6BA1" w:rsidRPr="00282400" w:rsidTr="00FF3942">
        <w:trPr>
          <w:trHeight w:val="285"/>
        </w:trPr>
        <w:tc>
          <w:tcPr>
            <w:tcW w:w="1702" w:type="dxa"/>
            <w:gridSpan w:val="2"/>
            <w:vMerge/>
            <w:vAlign w:val="center"/>
            <w:hideMark/>
          </w:tcPr>
          <w:p w:rsidR="00BA6BA1" w:rsidRPr="00282400" w:rsidRDefault="00BA6BA1" w:rsidP="00FF3942">
            <w:pPr>
              <w:widowControl/>
              <w:jc w:val="left"/>
              <w:rPr>
                <w:rFonts w:ascii="楷体" w:eastAsia="楷体" w:hAnsi="楷体" w:cs="宋体"/>
                <w:color w:val="000000"/>
                <w:kern w:val="0"/>
                <w:sz w:val="16"/>
                <w:szCs w:val="16"/>
              </w:rPr>
            </w:pPr>
          </w:p>
        </w:tc>
        <w:tc>
          <w:tcPr>
            <w:tcW w:w="1984" w:type="dxa"/>
            <w:gridSpan w:val="2"/>
            <w:vMerge/>
            <w:vAlign w:val="center"/>
            <w:hideMark/>
          </w:tcPr>
          <w:p w:rsidR="00BA6BA1" w:rsidRPr="00282400" w:rsidRDefault="00BA6BA1" w:rsidP="00FF3942">
            <w:pPr>
              <w:widowControl/>
              <w:jc w:val="left"/>
              <w:rPr>
                <w:rFonts w:ascii="楷体" w:eastAsia="楷体" w:hAnsi="楷体" w:cs="宋体"/>
                <w:color w:val="000000"/>
                <w:kern w:val="0"/>
                <w:sz w:val="16"/>
                <w:szCs w:val="16"/>
              </w:rPr>
            </w:pPr>
          </w:p>
        </w:tc>
      </w:tr>
      <w:tr w:rsidR="00F83596" w:rsidRPr="00282400" w:rsidTr="00FF3942">
        <w:trPr>
          <w:trHeight w:val="285"/>
        </w:trPr>
        <w:tc>
          <w:tcPr>
            <w:tcW w:w="993" w:type="dxa"/>
            <w:vMerge w:val="restart"/>
            <w:shd w:val="clear" w:color="auto" w:fill="auto"/>
            <w:vAlign w:val="center"/>
            <w:hideMark/>
          </w:tcPr>
          <w:p w:rsidR="00F83596" w:rsidRPr="00282400" w:rsidRDefault="00F83596"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F83596" w:rsidRPr="001F6AB0" w:rsidRDefault="00F83596" w:rsidP="00FF3942">
            <w:pPr>
              <w:jc w:val="center"/>
              <w:rPr>
                <w:rFonts w:ascii="楷体" w:eastAsia="楷体" w:hAnsi="楷体"/>
                <w:color w:val="000000"/>
                <w:sz w:val="16"/>
                <w:szCs w:val="16"/>
              </w:rPr>
            </w:pPr>
            <w:r>
              <w:rPr>
                <w:rFonts w:ascii="楷体" w:eastAsia="楷体" w:hAnsi="楷体" w:hint="eastAsia"/>
                <w:color w:val="000000"/>
                <w:sz w:val="16"/>
                <w:szCs w:val="16"/>
              </w:rPr>
              <w:t>1.82</w:t>
            </w:r>
          </w:p>
        </w:tc>
        <w:tc>
          <w:tcPr>
            <w:tcW w:w="992" w:type="dxa"/>
            <w:shd w:val="clear" w:color="000000" w:fill="D9D9D9"/>
            <w:vAlign w:val="center"/>
            <w:hideMark/>
          </w:tcPr>
          <w:p w:rsidR="00F83596" w:rsidRPr="00282400" w:rsidRDefault="00F83596"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1.86</w:t>
            </w:r>
          </w:p>
        </w:tc>
      </w:tr>
      <w:tr w:rsidR="00F83596" w:rsidRPr="00282400" w:rsidTr="00FF3942">
        <w:trPr>
          <w:trHeight w:val="285"/>
        </w:trPr>
        <w:tc>
          <w:tcPr>
            <w:tcW w:w="993" w:type="dxa"/>
            <w:vMerge/>
            <w:vAlign w:val="center"/>
            <w:hideMark/>
          </w:tcPr>
          <w:p w:rsidR="00F83596" w:rsidRPr="00282400" w:rsidRDefault="00F83596" w:rsidP="00FF3942">
            <w:pPr>
              <w:widowControl/>
              <w:jc w:val="left"/>
              <w:rPr>
                <w:rFonts w:ascii="楷体" w:eastAsia="楷体" w:hAnsi="楷体" w:cs="宋体"/>
                <w:color w:val="000000"/>
                <w:kern w:val="0"/>
                <w:sz w:val="16"/>
                <w:szCs w:val="16"/>
              </w:rPr>
            </w:pPr>
          </w:p>
        </w:tc>
        <w:tc>
          <w:tcPr>
            <w:tcW w:w="709" w:type="dxa"/>
            <w:vMerge/>
            <w:vAlign w:val="center"/>
            <w:hideMark/>
          </w:tcPr>
          <w:p w:rsidR="00F83596" w:rsidRPr="00282400" w:rsidRDefault="00F83596" w:rsidP="00FF3942">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F83596" w:rsidRPr="00282400" w:rsidRDefault="00F83596"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1.44</w:t>
            </w:r>
          </w:p>
        </w:tc>
      </w:tr>
      <w:tr w:rsidR="00F83596" w:rsidRPr="00282400" w:rsidTr="00FF3942">
        <w:trPr>
          <w:trHeight w:val="285"/>
        </w:trPr>
        <w:tc>
          <w:tcPr>
            <w:tcW w:w="993" w:type="dxa"/>
            <w:vMerge/>
            <w:vAlign w:val="center"/>
            <w:hideMark/>
          </w:tcPr>
          <w:p w:rsidR="00F83596" w:rsidRPr="00282400" w:rsidRDefault="00F83596" w:rsidP="00FF3942">
            <w:pPr>
              <w:widowControl/>
              <w:jc w:val="left"/>
              <w:rPr>
                <w:rFonts w:ascii="楷体" w:eastAsia="楷体" w:hAnsi="楷体" w:cs="宋体"/>
                <w:color w:val="000000"/>
                <w:kern w:val="0"/>
                <w:sz w:val="16"/>
                <w:szCs w:val="16"/>
              </w:rPr>
            </w:pPr>
          </w:p>
        </w:tc>
        <w:tc>
          <w:tcPr>
            <w:tcW w:w="709" w:type="dxa"/>
            <w:vMerge/>
            <w:vAlign w:val="center"/>
            <w:hideMark/>
          </w:tcPr>
          <w:p w:rsidR="00F83596" w:rsidRPr="00282400" w:rsidRDefault="00F83596" w:rsidP="00FF3942">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F83596" w:rsidRPr="00282400" w:rsidRDefault="00F83596"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1.02</w:t>
            </w:r>
          </w:p>
        </w:tc>
      </w:tr>
      <w:tr w:rsidR="00F83596" w:rsidRPr="00282400" w:rsidTr="00FF3942">
        <w:trPr>
          <w:trHeight w:val="285"/>
        </w:trPr>
        <w:tc>
          <w:tcPr>
            <w:tcW w:w="993" w:type="dxa"/>
            <w:vMerge/>
            <w:vAlign w:val="center"/>
            <w:hideMark/>
          </w:tcPr>
          <w:p w:rsidR="00F83596" w:rsidRPr="00282400" w:rsidRDefault="00F83596" w:rsidP="00FF3942">
            <w:pPr>
              <w:widowControl/>
              <w:jc w:val="left"/>
              <w:rPr>
                <w:rFonts w:ascii="楷体" w:eastAsia="楷体" w:hAnsi="楷体" w:cs="宋体"/>
                <w:color w:val="000000"/>
                <w:kern w:val="0"/>
                <w:sz w:val="16"/>
                <w:szCs w:val="16"/>
              </w:rPr>
            </w:pPr>
          </w:p>
        </w:tc>
        <w:tc>
          <w:tcPr>
            <w:tcW w:w="709" w:type="dxa"/>
            <w:vMerge/>
            <w:vAlign w:val="center"/>
            <w:hideMark/>
          </w:tcPr>
          <w:p w:rsidR="00F83596" w:rsidRPr="00282400" w:rsidRDefault="00F83596" w:rsidP="00FF3942">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F83596" w:rsidRPr="00282400" w:rsidRDefault="00F83596" w:rsidP="00FF3942">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F83596" w:rsidRDefault="00F83596">
            <w:pPr>
              <w:jc w:val="center"/>
              <w:rPr>
                <w:rFonts w:ascii="楷体" w:eastAsia="楷体" w:hAnsi="楷体" w:cs="宋体"/>
                <w:color w:val="000000"/>
                <w:sz w:val="16"/>
                <w:szCs w:val="16"/>
              </w:rPr>
            </w:pPr>
            <w:r>
              <w:rPr>
                <w:rFonts w:ascii="楷体" w:eastAsia="楷体" w:hAnsi="楷体" w:hint="eastAsia"/>
                <w:color w:val="000000"/>
                <w:sz w:val="16"/>
                <w:szCs w:val="16"/>
              </w:rPr>
              <w:t>2.99</w:t>
            </w:r>
          </w:p>
        </w:tc>
      </w:tr>
    </w:tbl>
    <w:p w:rsidR="00BA6BA1" w:rsidRPr="002D6DED" w:rsidRDefault="00BA6BA1" w:rsidP="00BA6BA1">
      <w:pPr>
        <w:pStyle w:val="a5"/>
        <w:spacing w:beforeLines="100" w:before="240" w:afterLines="100" w:after="240" w:line="260" w:lineRule="exact"/>
        <w:ind w:leftChars="0" w:left="0" w:rightChars="-34" w:right="-71" w:firstLineChars="300" w:firstLine="600"/>
        <w:rPr>
          <w:rFonts w:ascii="Arial" w:eastAsia="楷体_GB2312" w:hAnsi="Arial" w:cs="Arial"/>
          <w:color w:val="auto"/>
          <w:sz w:val="20"/>
          <w:szCs w:val="20"/>
        </w:rPr>
      </w:pPr>
      <w:proofErr w:type="gramStart"/>
      <w:r w:rsidRPr="002D6DED">
        <w:rPr>
          <w:rFonts w:ascii="Arial" w:eastAsia="楷体_GB2312" w:hAnsi="Arial" w:cs="Arial"/>
          <w:color w:val="auto"/>
          <w:sz w:val="20"/>
          <w:szCs w:val="20"/>
        </w:rPr>
        <w:t>偏股型</w:t>
      </w:r>
      <w:proofErr w:type="gramEnd"/>
      <w:r w:rsidRPr="002D6DED">
        <w:rPr>
          <w:rFonts w:ascii="Arial" w:eastAsia="楷体_GB2312" w:hAnsi="Arial" w:cs="Arial"/>
          <w:color w:val="auto"/>
          <w:sz w:val="20"/>
          <w:szCs w:val="20"/>
        </w:rPr>
        <w:t>产品</w:t>
      </w:r>
      <w:r w:rsidR="00F83596">
        <w:rPr>
          <w:rFonts w:ascii="Arial" w:eastAsia="楷体_GB2312" w:hAnsi="Arial" w:cs="Arial" w:hint="eastAsia"/>
          <w:color w:val="auto"/>
          <w:sz w:val="20"/>
          <w:szCs w:val="20"/>
        </w:rPr>
        <w:t>中</w:t>
      </w:r>
      <w:r w:rsidR="00F83596">
        <w:rPr>
          <w:rFonts w:ascii="Arial" w:eastAsia="楷体_GB2312" w:hAnsi="Arial" w:cs="Arial" w:hint="eastAsia"/>
          <w:color w:val="auto"/>
          <w:sz w:val="20"/>
          <w:szCs w:val="20"/>
        </w:rPr>
        <w:t>27%</w:t>
      </w:r>
      <w:r>
        <w:rPr>
          <w:rFonts w:ascii="Arial" w:eastAsia="楷体_GB2312" w:hAnsi="Arial" w:cs="Arial" w:hint="eastAsia"/>
          <w:color w:val="auto"/>
          <w:sz w:val="20"/>
          <w:szCs w:val="20"/>
        </w:rPr>
        <w:t>产品收益为正</w:t>
      </w:r>
      <w:r w:rsidRPr="002D6DED">
        <w:rPr>
          <w:rFonts w:ascii="Arial" w:eastAsia="楷体_GB2312" w:hAnsi="Arial" w:cs="Arial"/>
          <w:color w:val="auto"/>
          <w:sz w:val="20"/>
          <w:szCs w:val="20"/>
        </w:rPr>
        <w:t>，</w:t>
      </w:r>
      <w:r w:rsidR="00FF3942">
        <w:rPr>
          <w:rFonts w:ascii="Arial" w:eastAsia="楷体_GB2312" w:hAnsi="Arial" w:cs="Arial"/>
          <w:color w:val="auto"/>
          <w:sz w:val="20"/>
          <w:szCs w:val="20"/>
        </w:rPr>
        <w:t>最高收益</w:t>
      </w:r>
      <w:r w:rsidRPr="002D6DED">
        <w:rPr>
          <w:rFonts w:ascii="Arial" w:eastAsia="楷体_GB2312" w:hAnsi="Arial" w:cs="Arial"/>
          <w:color w:val="auto"/>
          <w:sz w:val="20"/>
          <w:szCs w:val="20"/>
        </w:rPr>
        <w:t>为</w:t>
      </w:r>
      <w:r w:rsidR="00E02B06">
        <w:rPr>
          <w:rFonts w:ascii="Arial" w:eastAsia="楷体_GB2312" w:hAnsi="Arial" w:cs="Arial" w:hint="eastAsia"/>
          <w:color w:val="auto"/>
          <w:sz w:val="20"/>
          <w:szCs w:val="20"/>
        </w:rPr>
        <w:t>华宝兴业资源优选</w:t>
      </w:r>
      <w:r w:rsidRPr="002D6DED">
        <w:rPr>
          <w:rFonts w:ascii="Arial" w:eastAsia="楷体_GB2312" w:hAnsi="Arial" w:cs="Arial"/>
          <w:color w:val="auto"/>
          <w:sz w:val="20"/>
          <w:szCs w:val="20"/>
        </w:rPr>
        <w:t>的</w:t>
      </w:r>
      <w:r w:rsidR="00E02B06">
        <w:rPr>
          <w:rFonts w:ascii="Arial" w:eastAsia="楷体_GB2312" w:hAnsi="Arial" w:cs="Arial" w:hint="eastAsia"/>
          <w:color w:val="auto"/>
          <w:sz w:val="20"/>
          <w:szCs w:val="20"/>
        </w:rPr>
        <w:t>6.72</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。灵活型产品中，</w:t>
      </w:r>
      <w:r w:rsidR="00F83596">
        <w:rPr>
          <w:rFonts w:ascii="Arial" w:eastAsia="楷体_GB2312" w:hAnsi="Arial" w:cs="Arial" w:hint="eastAsia"/>
          <w:color w:val="auto"/>
          <w:sz w:val="20"/>
          <w:szCs w:val="20"/>
        </w:rPr>
        <w:t>29</w:t>
      </w:r>
      <w:r>
        <w:rPr>
          <w:rFonts w:ascii="Arial" w:eastAsia="楷体_GB2312" w:hAnsi="Arial" w:cs="Arial" w:hint="eastAsia"/>
          <w:color w:val="auto"/>
          <w:sz w:val="20"/>
          <w:szCs w:val="20"/>
        </w:rPr>
        <w:t>%</w:t>
      </w:r>
      <w:r>
        <w:rPr>
          <w:rFonts w:ascii="Arial" w:eastAsia="楷体_GB2312" w:hAnsi="Arial" w:cs="Arial" w:hint="eastAsia"/>
          <w:color w:val="auto"/>
          <w:sz w:val="20"/>
          <w:szCs w:val="20"/>
        </w:rPr>
        <w:t>产品收益为正</w:t>
      </w:r>
      <w:r w:rsidRPr="002D6DED">
        <w:rPr>
          <w:rFonts w:ascii="Arial" w:eastAsia="楷体_GB2312" w:hAnsi="Arial" w:cs="Arial"/>
          <w:color w:val="auto"/>
          <w:sz w:val="20"/>
          <w:szCs w:val="20"/>
        </w:rPr>
        <w:t>，最高收益为</w:t>
      </w:r>
      <w:r w:rsidRPr="00421A7C">
        <w:rPr>
          <w:rFonts w:ascii="Arial" w:eastAsia="楷体_GB2312" w:hAnsi="Arial" w:cs="Arial" w:hint="eastAsia"/>
          <w:color w:val="auto"/>
          <w:sz w:val="20"/>
          <w:szCs w:val="20"/>
        </w:rPr>
        <w:t>德</w:t>
      </w:r>
      <w:proofErr w:type="gramStart"/>
      <w:r w:rsidRPr="00421A7C">
        <w:rPr>
          <w:rFonts w:ascii="Arial" w:eastAsia="楷体_GB2312" w:hAnsi="Arial" w:cs="Arial" w:hint="eastAsia"/>
          <w:color w:val="auto"/>
          <w:sz w:val="20"/>
          <w:szCs w:val="20"/>
        </w:rPr>
        <w:t>邦</w:t>
      </w:r>
      <w:proofErr w:type="gramEnd"/>
      <w:r w:rsidRPr="00421A7C">
        <w:rPr>
          <w:rFonts w:ascii="Arial" w:eastAsia="楷体_GB2312" w:hAnsi="Arial" w:cs="Arial" w:hint="eastAsia"/>
          <w:color w:val="auto"/>
          <w:sz w:val="20"/>
          <w:szCs w:val="20"/>
        </w:rPr>
        <w:t>新添利</w:t>
      </w:r>
      <w:r w:rsidRPr="00421A7C">
        <w:rPr>
          <w:rFonts w:ascii="Arial" w:eastAsia="楷体_GB2312" w:hAnsi="Arial" w:cs="Arial" w:hint="eastAsia"/>
          <w:color w:val="auto"/>
          <w:sz w:val="20"/>
          <w:szCs w:val="20"/>
        </w:rPr>
        <w:t>C</w:t>
      </w:r>
      <w:r w:rsidRPr="00421A7C">
        <w:rPr>
          <w:rFonts w:ascii="Arial" w:eastAsia="楷体_GB2312" w:hAnsi="Arial" w:cs="Arial"/>
          <w:color w:val="auto"/>
          <w:sz w:val="20"/>
          <w:szCs w:val="20"/>
        </w:rPr>
        <w:t>的</w:t>
      </w:r>
      <w:r w:rsidRPr="00421A7C">
        <w:rPr>
          <w:rFonts w:ascii="Arial" w:eastAsia="楷体_GB2312" w:hAnsi="Arial" w:cs="Arial" w:hint="eastAsia"/>
          <w:color w:val="auto"/>
          <w:sz w:val="20"/>
          <w:szCs w:val="20"/>
        </w:rPr>
        <w:t>47.</w:t>
      </w:r>
      <w:r w:rsidR="00E02B06">
        <w:rPr>
          <w:rFonts w:ascii="Arial" w:eastAsia="楷体_GB2312" w:hAnsi="Arial" w:cs="Arial" w:hint="eastAsia"/>
          <w:color w:val="auto"/>
          <w:sz w:val="20"/>
          <w:szCs w:val="20"/>
        </w:rPr>
        <w:t>48</w:t>
      </w:r>
      <w:r w:rsidRPr="00421A7C">
        <w:rPr>
          <w:rFonts w:ascii="Arial" w:eastAsia="楷体_GB2312" w:hAnsi="Arial" w:cs="Arial"/>
          <w:color w:val="auto"/>
          <w:sz w:val="20"/>
          <w:szCs w:val="20"/>
        </w:rPr>
        <w:t>%</w:t>
      </w:r>
      <w:r w:rsidRPr="00421A7C">
        <w:rPr>
          <w:rFonts w:ascii="Arial" w:eastAsia="楷体_GB2312" w:hAnsi="Arial" w:cs="Arial" w:hint="eastAsia"/>
          <w:color w:val="auto"/>
          <w:sz w:val="20"/>
          <w:szCs w:val="20"/>
        </w:rPr>
        <w:t>（大额赎回）</w:t>
      </w:r>
      <w:r w:rsidRPr="00421A7C">
        <w:rPr>
          <w:rFonts w:ascii="Arial" w:eastAsia="楷体_GB2312" w:hAnsi="Arial" w:cs="Arial"/>
          <w:color w:val="auto"/>
          <w:sz w:val="20"/>
          <w:szCs w:val="20"/>
        </w:rPr>
        <w:t>。</w:t>
      </w:r>
      <w:r w:rsidRPr="00421A7C">
        <w:rPr>
          <w:rFonts w:ascii="Arial" w:eastAsia="楷体_GB2312" w:hAnsi="Arial" w:cs="Arial" w:hint="eastAsia"/>
          <w:color w:val="auto"/>
          <w:sz w:val="20"/>
          <w:szCs w:val="20"/>
        </w:rPr>
        <w:t>21</w:t>
      </w:r>
      <w:r w:rsidRPr="00421A7C">
        <w:rPr>
          <w:rFonts w:ascii="Arial" w:eastAsia="楷体_GB2312" w:hAnsi="Arial" w:cs="Arial" w:hint="eastAsia"/>
          <w:color w:val="auto"/>
          <w:sz w:val="20"/>
          <w:szCs w:val="20"/>
        </w:rPr>
        <w:t>只</w:t>
      </w:r>
      <w:r w:rsidRPr="00421A7C">
        <w:rPr>
          <w:rFonts w:ascii="Arial" w:eastAsia="楷体_GB2312" w:hAnsi="Arial" w:cs="Arial"/>
          <w:color w:val="auto"/>
          <w:sz w:val="20"/>
          <w:szCs w:val="20"/>
        </w:rPr>
        <w:t>平</w:t>
      </w:r>
      <w:r>
        <w:rPr>
          <w:rFonts w:ascii="Arial" w:eastAsia="楷体_GB2312" w:hAnsi="Arial" w:cs="Arial"/>
          <w:color w:val="auto"/>
          <w:sz w:val="20"/>
          <w:szCs w:val="20"/>
        </w:rPr>
        <w:t>衡型产品</w:t>
      </w:r>
      <w:r w:rsidR="00F83596">
        <w:rPr>
          <w:rFonts w:ascii="Arial" w:eastAsia="楷体_GB2312" w:hAnsi="Arial" w:cs="Arial" w:hint="eastAsia"/>
          <w:color w:val="auto"/>
          <w:sz w:val="20"/>
          <w:szCs w:val="20"/>
        </w:rPr>
        <w:t>4</w:t>
      </w:r>
      <w:r w:rsidR="00F83596">
        <w:rPr>
          <w:rFonts w:ascii="Arial" w:eastAsia="楷体_GB2312" w:hAnsi="Arial" w:cs="Arial" w:hint="eastAsia"/>
          <w:color w:val="auto"/>
          <w:sz w:val="20"/>
          <w:szCs w:val="20"/>
        </w:rPr>
        <w:t>只收益为正</w:t>
      </w:r>
      <w:r w:rsidRPr="002D6DED">
        <w:rPr>
          <w:rFonts w:ascii="Arial" w:eastAsia="楷体_GB2312" w:hAnsi="Arial" w:cs="Arial"/>
          <w:color w:val="auto"/>
          <w:sz w:val="20"/>
          <w:szCs w:val="20"/>
        </w:rPr>
        <w:t>，最高收益为</w:t>
      </w:r>
      <w:r w:rsidR="00E02B06">
        <w:rPr>
          <w:rFonts w:ascii="Arial" w:eastAsia="楷体_GB2312" w:hAnsi="Arial" w:cs="Arial" w:hint="eastAsia"/>
          <w:color w:val="auto"/>
          <w:sz w:val="20"/>
          <w:szCs w:val="20"/>
        </w:rPr>
        <w:t>交银定期支付双</w:t>
      </w:r>
      <w:proofErr w:type="gramStart"/>
      <w:r w:rsidR="00E02B06">
        <w:rPr>
          <w:rFonts w:ascii="Arial" w:eastAsia="楷体_GB2312" w:hAnsi="Arial" w:cs="Arial" w:hint="eastAsia"/>
          <w:color w:val="auto"/>
          <w:sz w:val="20"/>
          <w:szCs w:val="20"/>
        </w:rPr>
        <w:t>息平衡</w:t>
      </w:r>
      <w:proofErr w:type="gramEnd"/>
      <w:r w:rsidRPr="002D6DED">
        <w:rPr>
          <w:rFonts w:ascii="Arial" w:eastAsia="楷体_GB2312" w:hAnsi="Arial" w:cs="Arial"/>
          <w:color w:val="auto"/>
          <w:sz w:val="20"/>
          <w:szCs w:val="20"/>
        </w:rPr>
        <w:t>的</w:t>
      </w:r>
      <w:r w:rsidR="00E02B06">
        <w:rPr>
          <w:rFonts w:ascii="Arial" w:eastAsia="楷体_GB2312" w:hAnsi="Arial" w:cs="Arial" w:hint="eastAsia"/>
          <w:color w:val="auto"/>
          <w:sz w:val="20"/>
          <w:szCs w:val="20"/>
        </w:rPr>
        <w:t>1.42</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proofErr w:type="gramStart"/>
      <w:r w:rsidRPr="002D6DED">
        <w:rPr>
          <w:rFonts w:ascii="Arial" w:eastAsia="楷体_GB2312" w:hAnsi="Arial" w:cs="Arial"/>
          <w:color w:val="auto"/>
          <w:sz w:val="20"/>
          <w:szCs w:val="20"/>
        </w:rPr>
        <w:t>偏债型</w:t>
      </w:r>
      <w:proofErr w:type="gramEnd"/>
      <w:r w:rsidRPr="002D6DED">
        <w:rPr>
          <w:rFonts w:ascii="Arial" w:eastAsia="楷体_GB2312" w:hAnsi="Arial" w:cs="Arial"/>
          <w:color w:val="auto"/>
          <w:sz w:val="20"/>
          <w:szCs w:val="20"/>
        </w:rPr>
        <w:t>产品中，</w:t>
      </w:r>
      <w:r w:rsidR="00F83596">
        <w:rPr>
          <w:rFonts w:ascii="Arial" w:eastAsia="楷体_GB2312" w:hAnsi="Arial" w:cs="Arial" w:hint="eastAsia"/>
          <w:color w:val="auto"/>
          <w:sz w:val="20"/>
          <w:szCs w:val="20"/>
        </w:rPr>
        <w:t>22</w:t>
      </w:r>
      <w:r>
        <w:rPr>
          <w:rFonts w:ascii="Arial" w:eastAsia="楷体_GB2312" w:hAnsi="Arial" w:cs="Arial" w:hint="eastAsia"/>
          <w:color w:val="auto"/>
          <w:sz w:val="20"/>
          <w:szCs w:val="20"/>
        </w:rPr>
        <w:t>%</w:t>
      </w:r>
      <w:r>
        <w:rPr>
          <w:rFonts w:ascii="Arial" w:eastAsia="楷体_GB2312" w:hAnsi="Arial" w:cs="Arial" w:hint="eastAsia"/>
          <w:color w:val="auto"/>
          <w:sz w:val="20"/>
          <w:szCs w:val="20"/>
        </w:rPr>
        <w:t>产品收益为正</w:t>
      </w:r>
      <w:r w:rsidRPr="002D6DED">
        <w:rPr>
          <w:rFonts w:ascii="Arial" w:eastAsia="楷体_GB2312" w:hAnsi="Arial" w:cs="Arial"/>
          <w:color w:val="auto"/>
          <w:sz w:val="20"/>
          <w:szCs w:val="20"/>
        </w:rPr>
        <w:t>，最高收益为</w:t>
      </w:r>
      <w:r w:rsidR="00E02B06">
        <w:rPr>
          <w:rFonts w:ascii="Arial" w:eastAsia="楷体_GB2312" w:hAnsi="Arial" w:cs="Arial" w:hint="eastAsia"/>
          <w:color w:val="auto"/>
          <w:sz w:val="20"/>
          <w:szCs w:val="20"/>
        </w:rPr>
        <w:t>华商双翼</w:t>
      </w:r>
      <w:r w:rsidRPr="002D6DED">
        <w:rPr>
          <w:rFonts w:ascii="Arial" w:eastAsia="楷体_GB2312" w:hAnsi="Arial" w:cs="Arial"/>
          <w:color w:val="auto"/>
          <w:sz w:val="20"/>
          <w:szCs w:val="20"/>
        </w:rPr>
        <w:t>的</w:t>
      </w:r>
      <w:r w:rsidR="00E02B06">
        <w:rPr>
          <w:rFonts w:ascii="Arial" w:eastAsia="楷体_GB2312" w:hAnsi="Arial" w:cs="Arial" w:hint="eastAsia"/>
          <w:color w:val="auto"/>
          <w:sz w:val="20"/>
          <w:szCs w:val="20"/>
        </w:rPr>
        <w:t>1.50</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p>
    <w:p w:rsidR="00BA6BA1" w:rsidRPr="002D6DED" w:rsidRDefault="00BA6BA1" w:rsidP="00BA6BA1">
      <w:pPr>
        <w:pStyle w:val="a5"/>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债券基金</w:t>
      </w:r>
    </w:p>
    <w:p w:rsidR="00BA6BA1" w:rsidRPr="002D6DED" w:rsidRDefault="00BA6BA1" w:rsidP="00BA6BA1">
      <w:pPr>
        <w:pStyle w:val="a5"/>
        <w:spacing w:beforeLines="100" w:before="240" w:afterLines="100" w:after="240" w:line="260" w:lineRule="exact"/>
        <w:ind w:leftChars="1822" w:left="3826" w:rightChars="-34" w:right="-71" w:firstLineChars="212" w:firstLine="424"/>
        <w:rPr>
          <w:rFonts w:ascii="Arial" w:eastAsia="楷体_GB2312" w:hAnsi="Arial" w:cs="Arial"/>
          <w:b/>
          <w:color w:val="auto"/>
          <w:sz w:val="20"/>
          <w:szCs w:val="20"/>
        </w:rPr>
      </w:pPr>
      <w:r>
        <w:rPr>
          <w:rFonts w:ascii="Arial" w:eastAsia="楷体_GB2312" w:hAnsi="Arial" w:cs="Arial" w:hint="eastAsia"/>
          <w:color w:val="auto"/>
          <w:sz w:val="20"/>
          <w:szCs w:val="20"/>
        </w:rPr>
        <w:t>债券型基金平均收益为</w:t>
      </w:r>
      <w:r w:rsidR="00F83596">
        <w:rPr>
          <w:rFonts w:ascii="Arial" w:eastAsia="楷体_GB2312" w:hAnsi="Arial" w:cs="Arial" w:hint="eastAsia"/>
          <w:color w:val="auto"/>
          <w:sz w:val="20"/>
          <w:szCs w:val="20"/>
        </w:rPr>
        <w:t>-1.09</w:t>
      </w:r>
      <w:r>
        <w:rPr>
          <w:rFonts w:ascii="Arial" w:eastAsia="楷体_GB2312" w:hAnsi="Arial" w:cs="Arial" w:hint="eastAsia"/>
          <w:color w:val="auto"/>
          <w:sz w:val="20"/>
          <w:szCs w:val="20"/>
        </w:rPr>
        <w:t>%</w:t>
      </w:r>
      <w:r>
        <w:rPr>
          <w:rFonts w:ascii="Arial" w:eastAsia="楷体_GB2312" w:hAnsi="Arial" w:cs="Arial" w:hint="eastAsia"/>
          <w:color w:val="auto"/>
          <w:sz w:val="20"/>
          <w:szCs w:val="20"/>
        </w:rPr>
        <w:t>，二级债基表现差于一级债基</w:t>
      </w:r>
      <w:r w:rsidRPr="002D6DED">
        <w:rPr>
          <w:rFonts w:ascii="Arial" w:eastAsia="楷体_GB2312" w:hAnsi="Arial" w:cs="Arial"/>
          <w:color w:val="auto"/>
          <w:sz w:val="20"/>
          <w:szCs w:val="20"/>
        </w:rPr>
        <w:t>。其中，</w:t>
      </w:r>
      <w:proofErr w:type="gramStart"/>
      <w:r w:rsidRPr="002D6DED">
        <w:rPr>
          <w:rFonts w:ascii="Arial" w:eastAsia="楷体_GB2312" w:hAnsi="Arial" w:cs="Arial"/>
          <w:color w:val="auto"/>
          <w:sz w:val="20"/>
          <w:szCs w:val="20"/>
        </w:rPr>
        <w:t>纯债基金</w:t>
      </w:r>
      <w:proofErr w:type="gramEnd"/>
      <w:r w:rsidRPr="002D6DED">
        <w:rPr>
          <w:rFonts w:ascii="Arial" w:eastAsia="楷体_GB2312" w:hAnsi="Arial" w:cs="Arial"/>
          <w:color w:val="auto"/>
          <w:sz w:val="20"/>
          <w:szCs w:val="20"/>
        </w:rPr>
        <w:t>平均收益为</w:t>
      </w:r>
      <w:r>
        <w:rPr>
          <w:rFonts w:ascii="Arial" w:eastAsia="楷体_GB2312" w:hAnsi="Arial" w:cs="Arial" w:hint="eastAsia"/>
          <w:color w:val="auto"/>
          <w:sz w:val="20"/>
          <w:szCs w:val="20"/>
        </w:rPr>
        <w:t>-</w:t>
      </w:r>
      <w:r w:rsidR="00F83596">
        <w:rPr>
          <w:rFonts w:ascii="Arial" w:eastAsia="楷体_GB2312" w:hAnsi="Arial" w:cs="Arial" w:hint="eastAsia"/>
          <w:color w:val="auto"/>
          <w:sz w:val="20"/>
          <w:szCs w:val="20"/>
        </w:rPr>
        <w:t>1.03</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Pr>
          <w:rFonts w:ascii="Arial" w:eastAsia="楷体_GB2312" w:hAnsi="Arial" w:cs="Arial" w:hint="eastAsia"/>
          <w:color w:val="auto"/>
          <w:sz w:val="20"/>
          <w:szCs w:val="20"/>
        </w:rPr>
        <w:t>仅</w:t>
      </w:r>
      <w:r w:rsidR="00F83596">
        <w:rPr>
          <w:rFonts w:ascii="Arial" w:eastAsia="楷体_GB2312" w:hAnsi="Arial" w:cs="Arial" w:hint="eastAsia"/>
          <w:color w:val="auto"/>
          <w:sz w:val="20"/>
          <w:szCs w:val="20"/>
        </w:rPr>
        <w:t>5</w:t>
      </w:r>
      <w:r>
        <w:rPr>
          <w:rFonts w:ascii="Arial" w:eastAsia="楷体_GB2312" w:hAnsi="Arial" w:cs="Arial" w:hint="eastAsia"/>
          <w:color w:val="auto"/>
          <w:sz w:val="20"/>
          <w:szCs w:val="20"/>
        </w:rPr>
        <w:t>%</w:t>
      </w:r>
      <w:r>
        <w:rPr>
          <w:rFonts w:ascii="Arial" w:eastAsia="楷体_GB2312" w:hAnsi="Arial" w:cs="Arial" w:hint="eastAsia"/>
          <w:color w:val="auto"/>
          <w:sz w:val="20"/>
          <w:szCs w:val="20"/>
        </w:rPr>
        <w:t>产品收益为正</w:t>
      </w:r>
      <w:r w:rsidRPr="002D6DED">
        <w:rPr>
          <w:rFonts w:ascii="Arial" w:eastAsia="楷体_GB2312" w:hAnsi="Arial" w:cs="Arial"/>
          <w:color w:val="auto"/>
          <w:sz w:val="20"/>
          <w:szCs w:val="20"/>
        </w:rPr>
        <w:t>，</w:t>
      </w:r>
      <w:proofErr w:type="gramStart"/>
      <w:r w:rsidR="00E7782E">
        <w:rPr>
          <w:rFonts w:ascii="Arial" w:eastAsia="楷体_GB2312" w:hAnsi="Arial" w:cs="Arial" w:hint="eastAsia"/>
          <w:color w:val="auto"/>
          <w:sz w:val="20"/>
          <w:szCs w:val="20"/>
        </w:rPr>
        <w:t>华润元大</w:t>
      </w:r>
      <w:proofErr w:type="gramEnd"/>
      <w:r w:rsidR="00E7782E">
        <w:rPr>
          <w:rFonts w:ascii="Arial" w:eastAsia="楷体_GB2312" w:hAnsi="Arial" w:cs="Arial" w:hint="eastAsia"/>
          <w:color w:val="auto"/>
          <w:sz w:val="20"/>
          <w:szCs w:val="20"/>
        </w:rPr>
        <w:t>稳健收益</w:t>
      </w:r>
      <w:r w:rsidR="00E7782E">
        <w:rPr>
          <w:rFonts w:ascii="Arial" w:eastAsia="楷体_GB2312" w:hAnsi="Arial" w:cs="Arial" w:hint="eastAsia"/>
          <w:color w:val="auto"/>
          <w:sz w:val="20"/>
          <w:szCs w:val="20"/>
        </w:rPr>
        <w:t>C</w:t>
      </w:r>
      <w:r w:rsidRPr="002D6DED">
        <w:rPr>
          <w:rFonts w:ascii="Arial" w:eastAsia="楷体_GB2312" w:hAnsi="Arial" w:cs="Arial"/>
          <w:color w:val="auto"/>
          <w:sz w:val="20"/>
          <w:szCs w:val="20"/>
        </w:rPr>
        <w:t>（</w:t>
      </w:r>
      <w:r w:rsidR="00E7782E">
        <w:rPr>
          <w:rFonts w:ascii="Arial" w:eastAsia="楷体_GB2312" w:hAnsi="Arial" w:cs="Arial" w:hint="eastAsia"/>
          <w:color w:val="auto"/>
          <w:sz w:val="20"/>
          <w:szCs w:val="20"/>
        </w:rPr>
        <w:t>4.76</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）涨幅最大。一级</w:t>
      </w:r>
      <w:proofErr w:type="gramStart"/>
      <w:r w:rsidRPr="002D6DED">
        <w:rPr>
          <w:rFonts w:ascii="Arial" w:eastAsia="楷体_GB2312" w:hAnsi="Arial" w:cs="Arial"/>
          <w:color w:val="auto"/>
          <w:sz w:val="20"/>
          <w:szCs w:val="20"/>
        </w:rPr>
        <w:t>债基平均</w:t>
      </w:r>
      <w:proofErr w:type="gramEnd"/>
      <w:r w:rsidRPr="002D6DED">
        <w:rPr>
          <w:rFonts w:ascii="Arial" w:eastAsia="楷体_GB2312" w:hAnsi="Arial" w:cs="Arial"/>
          <w:color w:val="auto"/>
          <w:sz w:val="20"/>
          <w:szCs w:val="20"/>
        </w:rPr>
        <w:t>收益为</w:t>
      </w:r>
      <w:r>
        <w:rPr>
          <w:rFonts w:ascii="Arial" w:eastAsia="楷体_GB2312" w:hAnsi="Arial" w:cs="Arial" w:hint="eastAsia"/>
          <w:color w:val="auto"/>
          <w:sz w:val="20"/>
          <w:szCs w:val="20"/>
        </w:rPr>
        <w:t>-</w:t>
      </w:r>
      <w:r w:rsidR="00F83596">
        <w:rPr>
          <w:rFonts w:ascii="Arial" w:eastAsia="楷体_GB2312" w:hAnsi="Arial" w:cs="Arial" w:hint="eastAsia"/>
          <w:color w:val="auto"/>
          <w:sz w:val="20"/>
          <w:szCs w:val="20"/>
        </w:rPr>
        <w:t>1.05</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Pr>
          <w:rFonts w:ascii="Arial" w:eastAsia="楷体_GB2312" w:hAnsi="Arial" w:cs="Arial" w:hint="eastAsia"/>
          <w:color w:val="auto"/>
          <w:sz w:val="20"/>
          <w:szCs w:val="20"/>
        </w:rPr>
        <w:t>仅</w:t>
      </w:r>
      <w:r>
        <w:rPr>
          <w:rFonts w:ascii="Arial" w:eastAsia="楷体_GB2312" w:hAnsi="Arial" w:cs="Arial" w:hint="eastAsia"/>
          <w:color w:val="auto"/>
          <w:sz w:val="20"/>
          <w:szCs w:val="20"/>
        </w:rPr>
        <w:t>2%</w:t>
      </w:r>
      <w:r>
        <w:rPr>
          <w:rFonts w:ascii="Arial" w:eastAsia="楷体_GB2312" w:hAnsi="Arial" w:cs="Arial" w:hint="eastAsia"/>
          <w:color w:val="auto"/>
          <w:sz w:val="20"/>
          <w:szCs w:val="20"/>
        </w:rPr>
        <w:t>产品收益为正</w:t>
      </w:r>
      <w:r w:rsidRPr="002D6DED">
        <w:rPr>
          <w:rFonts w:ascii="Arial" w:eastAsia="楷体_GB2312" w:hAnsi="Arial" w:cs="Arial"/>
          <w:color w:val="auto"/>
          <w:sz w:val="20"/>
          <w:szCs w:val="20"/>
        </w:rPr>
        <w:t>，最高收益为</w:t>
      </w:r>
      <w:r w:rsidR="00E7782E">
        <w:rPr>
          <w:rFonts w:ascii="Arial" w:eastAsia="楷体_GB2312" w:hAnsi="Arial" w:cs="Arial" w:hint="eastAsia"/>
          <w:color w:val="auto"/>
          <w:sz w:val="20"/>
          <w:szCs w:val="20"/>
        </w:rPr>
        <w:t>海</w:t>
      </w:r>
      <w:proofErr w:type="gramStart"/>
      <w:r w:rsidR="00E7782E">
        <w:rPr>
          <w:rFonts w:ascii="Arial" w:eastAsia="楷体_GB2312" w:hAnsi="Arial" w:cs="Arial" w:hint="eastAsia"/>
          <w:color w:val="auto"/>
          <w:sz w:val="20"/>
          <w:szCs w:val="20"/>
        </w:rPr>
        <w:t>富通双</w:t>
      </w:r>
      <w:proofErr w:type="gramEnd"/>
      <w:r w:rsidR="00E7782E">
        <w:rPr>
          <w:rFonts w:ascii="Arial" w:eastAsia="楷体_GB2312" w:hAnsi="Arial" w:cs="Arial" w:hint="eastAsia"/>
          <w:color w:val="auto"/>
          <w:sz w:val="20"/>
          <w:szCs w:val="20"/>
        </w:rPr>
        <w:t>利分级</w:t>
      </w:r>
      <w:r>
        <w:rPr>
          <w:rFonts w:ascii="Arial" w:eastAsia="楷体_GB2312" w:hAnsi="Arial" w:cs="Arial" w:hint="eastAsia"/>
          <w:color w:val="auto"/>
          <w:sz w:val="20"/>
          <w:szCs w:val="20"/>
        </w:rPr>
        <w:t>的</w:t>
      </w:r>
      <w:r>
        <w:rPr>
          <w:rFonts w:ascii="Arial" w:eastAsia="楷体_GB2312" w:hAnsi="Arial" w:cs="Arial" w:hint="eastAsia"/>
          <w:color w:val="auto"/>
          <w:sz w:val="20"/>
          <w:szCs w:val="20"/>
        </w:rPr>
        <w:t>0.</w:t>
      </w:r>
      <w:r w:rsidR="00E7782E">
        <w:rPr>
          <w:rFonts w:ascii="Arial" w:eastAsia="楷体_GB2312" w:hAnsi="Arial" w:cs="Arial" w:hint="eastAsia"/>
          <w:color w:val="auto"/>
          <w:sz w:val="20"/>
          <w:szCs w:val="20"/>
        </w:rPr>
        <w:t>17</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。二级</w:t>
      </w:r>
      <w:proofErr w:type="gramStart"/>
      <w:r w:rsidRPr="002D6DED">
        <w:rPr>
          <w:rFonts w:ascii="Arial" w:eastAsia="楷体_GB2312" w:hAnsi="Arial" w:cs="Arial"/>
          <w:color w:val="auto"/>
          <w:sz w:val="20"/>
          <w:szCs w:val="20"/>
        </w:rPr>
        <w:t>债基平均</w:t>
      </w:r>
      <w:proofErr w:type="gramEnd"/>
      <w:r w:rsidRPr="002D6DED">
        <w:rPr>
          <w:rFonts w:ascii="Arial" w:eastAsia="楷体_GB2312" w:hAnsi="Arial" w:cs="Arial"/>
          <w:color w:val="auto"/>
          <w:sz w:val="20"/>
          <w:szCs w:val="20"/>
        </w:rPr>
        <w:t>收益为</w:t>
      </w:r>
      <w:r>
        <w:rPr>
          <w:rFonts w:ascii="Arial" w:eastAsia="楷体_GB2312" w:hAnsi="Arial" w:cs="Arial" w:hint="eastAsia"/>
          <w:color w:val="auto"/>
          <w:sz w:val="20"/>
          <w:szCs w:val="20"/>
        </w:rPr>
        <w:t>-1.</w:t>
      </w:r>
      <w:r w:rsidR="00F83596">
        <w:rPr>
          <w:rFonts w:ascii="Arial" w:eastAsia="楷体_GB2312" w:hAnsi="Arial" w:cs="Arial" w:hint="eastAsia"/>
          <w:color w:val="auto"/>
          <w:sz w:val="20"/>
          <w:szCs w:val="20"/>
        </w:rPr>
        <w:t>19</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F83596">
        <w:rPr>
          <w:rFonts w:ascii="Arial" w:eastAsia="楷体_GB2312" w:hAnsi="Arial" w:cs="Arial" w:hint="eastAsia"/>
          <w:color w:val="auto"/>
          <w:sz w:val="20"/>
          <w:szCs w:val="20"/>
        </w:rPr>
        <w:t>7</w:t>
      </w:r>
      <w:r>
        <w:rPr>
          <w:rFonts w:ascii="Arial" w:eastAsia="楷体_GB2312" w:hAnsi="Arial" w:cs="Arial" w:hint="eastAsia"/>
          <w:color w:val="auto"/>
          <w:sz w:val="20"/>
          <w:szCs w:val="20"/>
        </w:rPr>
        <w:t>%</w:t>
      </w:r>
      <w:r>
        <w:rPr>
          <w:rFonts w:ascii="Arial" w:eastAsia="楷体_GB2312" w:hAnsi="Arial" w:cs="Arial"/>
          <w:color w:val="auto"/>
          <w:sz w:val="20"/>
          <w:szCs w:val="20"/>
        </w:rPr>
        <w:t>产品收益为正</w:t>
      </w:r>
      <w:r w:rsidRPr="002D6DED">
        <w:rPr>
          <w:rFonts w:ascii="Arial" w:eastAsia="楷体_GB2312" w:hAnsi="Arial" w:cs="Arial"/>
          <w:color w:val="auto"/>
          <w:sz w:val="20"/>
          <w:szCs w:val="20"/>
        </w:rPr>
        <w:t>，最高收益为</w:t>
      </w:r>
      <w:proofErr w:type="gramStart"/>
      <w:r w:rsidR="00E7782E">
        <w:rPr>
          <w:rFonts w:ascii="Arial" w:eastAsia="楷体_GB2312" w:hAnsi="Arial" w:cs="Arial" w:hint="eastAsia"/>
          <w:color w:val="auto"/>
          <w:sz w:val="20"/>
          <w:szCs w:val="20"/>
        </w:rPr>
        <w:t>华商双债</w:t>
      </w:r>
      <w:proofErr w:type="gramEnd"/>
      <w:r w:rsidR="00E7782E">
        <w:rPr>
          <w:rFonts w:ascii="Arial" w:eastAsia="楷体_GB2312" w:hAnsi="Arial" w:cs="Arial" w:hint="eastAsia"/>
          <w:color w:val="auto"/>
          <w:sz w:val="20"/>
          <w:szCs w:val="20"/>
        </w:rPr>
        <w:t>丰利</w:t>
      </w:r>
      <w:r w:rsidR="00E7782E">
        <w:rPr>
          <w:rFonts w:ascii="Arial" w:eastAsia="楷体_GB2312" w:hAnsi="Arial" w:cs="Arial" w:hint="eastAsia"/>
          <w:color w:val="auto"/>
          <w:sz w:val="20"/>
          <w:szCs w:val="20"/>
        </w:rPr>
        <w:t>A</w:t>
      </w:r>
      <w:r w:rsidRPr="002D6DED">
        <w:rPr>
          <w:rFonts w:ascii="Arial" w:eastAsia="楷体_GB2312" w:hAnsi="Arial" w:cs="Arial"/>
          <w:color w:val="auto"/>
          <w:sz w:val="20"/>
          <w:szCs w:val="20"/>
        </w:rPr>
        <w:t>的</w:t>
      </w:r>
      <w:r>
        <w:rPr>
          <w:rFonts w:ascii="Arial" w:eastAsia="楷体_GB2312" w:hAnsi="Arial" w:cs="Arial" w:hint="eastAsia"/>
          <w:color w:val="auto"/>
          <w:sz w:val="20"/>
          <w:szCs w:val="20"/>
        </w:rPr>
        <w:t>0.</w:t>
      </w:r>
      <w:r w:rsidR="00E7782E">
        <w:rPr>
          <w:rFonts w:ascii="Arial" w:eastAsia="楷体_GB2312" w:hAnsi="Arial" w:cs="Arial" w:hint="eastAsia"/>
          <w:color w:val="auto"/>
          <w:sz w:val="20"/>
          <w:szCs w:val="20"/>
        </w:rPr>
        <w:t>38</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。指数</w:t>
      </w:r>
      <w:proofErr w:type="gramStart"/>
      <w:r w:rsidRPr="002D6DED">
        <w:rPr>
          <w:rFonts w:ascii="Arial" w:eastAsia="楷体_GB2312" w:hAnsi="Arial" w:cs="Arial"/>
          <w:color w:val="auto"/>
          <w:sz w:val="20"/>
          <w:szCs w:val="20"/>
        </w:rPr>
        <w:t>债基平均</w:t>
      </w:r>
      <w:proofErr w:type="gramEnd"/>
      <w:r w:rsidRPr="002D6DED">
        <w:rPr>
          <w:rFonts w:ascii="Arial" w:eastAsia="楷体_GB2312" w:hAnsi="Arial" w:cs="Arial"/>
          <w:color w:val="auto"/>
          <w:sz w:val="20"/>
          <w:szCs w:val="20"/>
        </w:rPr>
        <w:t>收益为</w:t>
      </w:r>
      <w:r>
        <w:rPr>
          <w:rFonts w:ascii="Arial" w:eastAsia="楷体_GB2312" w:hAnsi="Arial" w:cs="Arial" w:hint="eastAsia"/>
          <w:color w:val="auto"/>
          <w:sz w:val="20"/>
          <w:szCs w:val="20"/>
        </w:rPr>
        <w:t>-</w:t>
      </w:r>
      <w:r w:rsidR="00F83596">
        <w:rPr>
          <w:rFonts w:ascii="Arial" w:eastAsia="楷体_GB2312" w:hAnsi="Arial" w:cs="Arial" w:hint="eastAsia"/>
          <w:color w:val="auto"/>
          <w:sz w:val="20"/>
          <w:szCs w:val="20"/>
        </w:rPr>
        <w:t>1.24</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Pr>
          <w:rFonts w:ascii="Arial" w:eastAsia="楷体_GB2312" w:hAnsi="Arial" w:cs="Arial" w:hint="eastAsia"/>
          <w:color w:val="auto"/>
          <w:sz w:val="20"/>
          <w:szCs w:val="20"/>
        </w:rPr>
        <w:t>所有产品</w:t>
      </w:r>
      <w:r>
        <w:rPr>
          <w:rFonts w:ascii="Arial" w:eastAsia="楷体_GB2312" w:hAnsi="Arial" w:cs="Arial"/>
          <w:color w:val="auto"/>
          <w:sz w:val="20"/>
          <w:szCs w:val="20"/>
        </w:rPr>
        <w:t>收益均为</w:t>
      </w:r>
      <w:r>
        <w:rPr>
          <w:rFonts w:ascii="Arial" w:eastAsia="楷体_GB2312" w:hAnsi="Arial" w:cs="Arial" w:hint="eastAsia"/>
          <w:color w:val="auto"/>
          <w:sz w:val="20"/>
          <w:szCs w:val="20"/>
        </w:rPr>
        <w:t>负，</w:t>
      </w:r>
      <w:r w:rsidRPr="002D6DED">
        <w:rPr>
          <w:rFonts w:ascii="Arial" w:eastAsia="楷体_GB2312" w:hAnsi="Arial" w:cs="Arial"/>
          <w:color w:val="auto"/>
          <w:sz w:val="20"/>
          <w:szCs w:val="20"/>
        </w:rPr>
        <w:t>最高收益为</w:t>
      </w:r>
      <w:r>
        <w:rPr>
          <w:rFonts w:ascii="Arial" w:eastAsia="楷体_GB2312" w:hAnsi="Arial" w:cs="Arial" w:hint="eastAsia"/>
          <w:color w:val="auto"/>
          <w:sz w:val="20"/>
          <w:szCs w:val="20"/>
        </w:rPr>
        <w:t>德</w:t>
      </w:r>
      <w:proofErr w:type="gramStart"/>
      <w:r>
        <w:rPr>
          <w:rFonts w:ascii="Arial" w:eastAsia="楷体_GB2312" w:hAnsi="Arial" w:cs="Arial" w:hint="eastAsia"/>
          <w:color w:val="auto"/>
          <w:sz w:val="20"/>
          <w:szCs w:val="20"/>
        </w:rPr>
        <w:t>邦</w:t>
      </w:r>
      <w:proofErr w:type="gramEnd"/>
      <w:r>
        <w:rPr>
          <w:rFonts w:ascii="Arial" w:eastAsia="楷体_GB2312" w:hAnsi="Arial" w:cs="Arial" w:hint="eastAsia"/>
          <w:color w:val="auto"/>
          <w:sz w:val="20"/>
          <w:szCs w:val="20"/>
        </w:rPr>
        <w:t>企债分级</w:t>
      </w:r>
      <w:r w:rsidRPr="002D6DED">
        <w:rPr>
          <w:rFonts w:ascii="Arial" w:eastAsia="楷体_GB2312" w:hAnsi="Arial" w:cs="Arial"/>
          <w:color w:val="auto"/>
          <w:sz w:val="20"/>
          <w:szCs w:val="20"/>
        </w:rPr>
        <w:t>的</w:t>
      </w:r>
      <w:r>
        <w:rPr>
          <w:rFonts w:ascii="Arial" w:eastAsia="楷体_GB2312" w:hAnsi="Arial" w:cs="Arial" w:hint="eastAsia"/>
          <w:color w:val="auto"/>
          <w:sz w:val="20"/>
          <w:szCs w:val="20"/>
        </w:rPr>
        <w:t>-0.</w:t>
      </w:r>
      <w:r w:rsidR="003C1E50">
        <w:rPr>
          <w:rFonts w:ascii="Arial" w:eastAsia="楷体_GB2312" w:hAnsi="Arial" w:cs="Arial" w:hint="eastAsia"/>
          <w:color w:val="auto"/>
          <w:sz w:val="20"/>
          <w:szCs w:val="20"/>
        </w:rPr>
        <w:t>28</w:t>
      </w:r>
      <w:r w:rsidRPr="002D6DED">
        <w:rPr>
          <w:rFonts w:ascii="Arial" w:eastAsia="楷体_GB2312" w:hAnsi="Arial" w:cs="Arial"/>
          <w:color w:val="auto"/>
          <w:sz w:val="20"/>
          <w:szCs w:val="20"/>
        </w:rPr>
        <w:t>%</w:t>
      </w:r>
      <w:r>
        <w:rPr>
          <w:rFonts w:ascii="Arial" w:eastAsia="楷体_GB2312" w:hAnsi="Arial" w:cs="Arial" w:hint="eastAsia"/>
          <w:color w:val="auto"/>
          <w:sz w:val="20"/>
          <w:szCs w:val="20"/>
        </w:rPr>
        <w:t>。</w:t>
      </w:r>
    </w:p>
    <w:p w:rsidR="00BA6BA1" w:rsidRPr="00812308" w:rsidRDefault="00BA6BA1" w:rsidP="00BA6BA1">
      <w:pPr>
        <w:pStyle w:val="a5"/>
        <w:numPr>
          <w:ilvl w:val="0"/>
          <w:numId w:val="2"/>
        </w:numPr>
        <w:spacing w:beforeLines="100" w:before="240" w:afterLines="100" w:after="240" w:line="260" w:lineRule="exact"/>
        <w:ind w:leftChars="0" w:left="987" w:rightChars="-34" w:right="-71"/>
        <w:rPr>
          <w:rFonts w:ascii="楷体_GB2312" w:eastAsia="楷体_GB2312" w:hAnsi="Arial" w:cs="Arial"/>
          <w:b/>
          <w:bCs/>
          <w:color w:val="002060"/>
          <w:kern w:val="0"/>
          <w:sz w:val="24"/>
          <w:szCs w:val="13"/>
        </w:rPr>
      </w:pPr>
      <w:r w:rsidRPr="00812308">
        <w:rPr>
          <w:rFonts w:ascii="楷体_GB2312" w:eastAsia="楷体_GB2312" w:hAnsi="Arial" w:cs="Arial" w:hint="eastAsia"/>
          <w:b/>
          <w:bCs/>
          <w:color w:val="002060"/>
          <w:kern w:val="0"/>
          <w:sz w:val="24"/>
          <w:szCs w:val="13"/>
        </w:rPr>
        <w:t>商品基金及对冲基金</w:t>
      </w:r>
    </w:p>
    <w:p w:rsidR="00BA6BA1" w:rsidRPr="002D6DED" w:rsidRDefault="00FF06FA" w:rsidP="00BA6BA1">
      <w:pPr>
        <w:pStyle w:val="a5"/>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在</w:t>
      </w:r>
      <w:r>
        <w:rPr>
          <w:rFonts w:ascii="Arial" w:eastAsia="楷体_GB2312" w:hAnsi="Arial" w:cs="Arial" w:hint="eastAsia"/>
          <w:color w:val="auto"/>
          <w:sz w:val="20"/>
          <w:szCs w:val="20"/>
        </w:rPr>
        <w:t>4</w:t>
      </w:r>
      <w:r>
        <w:rPr>
          <w:rFonts w:ascii="Arial" w:eastAsia="楷体_GB2312" w:hAnsi="Arial" w:cs="Arial" w:hint="eastAsia"/>
          <w:color w:val="auto"/>
          <w:sz w:val="20"/>
          <w:szCs w:val="20"/>
        </w:rPr>
        <w:t>月股债双杀的情况下，商品基金表现亮眼，</w:t>
      </w:r>
      <w:r w:rsidR="00BA6BA1" w:rsidRPr="002D6DED">
        <w:rPr>
          <w:rFonts w:ascii="Arial" w:eastAsia="楷体_GB2312" w:hAnsi="Arial" w:cs="Arial"/>
          <w:color w:val="auto"/>
          <w:sz w:val="20"/>
          <w:szCs w:val="20"/>
        </w:rPr>
        <w:t>平均</w:t>
      </w:r>
      <w:r w:rsidR="00BA6BA1">
        <w:rPr>
          <w:rFonts w:ascii="Arial" w:eastAsia="楷体_GB2312" w:hAnsi="Arial" w:cs="Arial" w:hint="eastAsia"/>
          <w:color w:val="auto"/>
          <w:sz w:val="20"/>
          <w:szCs w:val="20"/>
        </w:rPr>
        <w:t>上涨</w:t>
      </w:r>
      <w:r w:rsidR="00F83596">
        <w:rPr>
          <w:rFonts w:ascii="Arial" w:eastAsia="楷体_GB2312" w:hAnsi="Arial" w:cs="Arial" w:hint="eastAsia"/>
          <w:color w:val="auto"/>
          <w:sz w:val="20"/>
          <w:szCs w:val="20"/>
        </w:rPr>
        <w:t>4.78</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w:t>
      </w:r>
      <w:r w:rsidR="00BA6BA1">
        <w:rPr>
          <w:rFonts w:ascii="Arial" w:eastAsia="楷体_GB2312" w:hAnsi="Arial" w:cs="Arial" w:hint="eastAsia"/>
          <w:color w:val="auto"/>
          <w:sz w:val="20"/>
          <w:szCs w:val="20"/>
        </w:rPr>
        <w:t>其中国投瑞银白银期货涨幅最大</w:t>
      </w:r>
      <w:r w:rsidR="00BA6BA1">
        <w:rPr>
          <w:rFonts w:ascii="Arial" w:eastAsia="楷体_GB2312" w:hAnsi="Arial" w:cs="Arial"/>
          <w:color w:val="auto"/>
          <w:sz w:val="20"/>
          <w:szCs w:val="20"/>
        </w:rPr>
        <w:t>，</w:t>
      </w:r>
      <w:r w:rsidR="00BA6BA1">
        <w:rPr>
          <w:rFonts w:ascii="Arial" w:eastAsia="楷体_GB2312" w:hAnsi="Arial" w:cs="Arial" w:hint="eastAsia"/>
          <w:color w:val="auto"/>
          <w:sz w:val="20"/>
          <w:szCs w:val="20"/>
        </w:rPr>
        <w:t>涨</w:t>
      </w:r>
      <w:r w:rsidR="003C1E50">
        <w:rPr>
          <w:rFonts w:ascii="Arial" w:eastAsia="楷体_GB2312" w:hAnsi="Arial" w:cs="Arial" w:hint="eastAsia"/>
          <w:color w:val="auto"/>
          <w:sz w:val="20"/>
          <w:szCs w:val="20"/>
        </w:rPr>
        <w:t>10.19</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。以绝对收益为投资目标的股票多空类产品平均收益为</w:t>
      </w:r>
      <w:r w:rsidR="00BA6BA1">
        <w:rPr>
          <w:rFonts w:ascii="Arial" w:eastAsia="楷体_GB2312" w:hAnsi="Arial" w:cs="Arial" w:hint="eastAsia"/>
          <w:color w:val="auto"/>
          <w:sz w:val="20"/>
          <w:szCs w:val="20"/>
        </w:rPr>
        <w:t>-0.</w:t>
      </w:r>
      <w:r w:rsidR="00F83596">
        <w:rPr>
          <w:rFonts w:ascii="Arial" w:eastAsia="楷体_GB2312" w:hAnsi="Arial" w:cs="Arial" w:hint="eastAsia"/>
          <w:color w:val="auto"/>
          <w:sz w:val="20"/>
          <w:szCs w:val="20"/>
        </w:rPr>
        <w:t>34</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，最高收益为</w:t>
      </w:r>
      <w:r w:rsidR="00C15A75">
        <w:rPr>
          <w:rFonts w:ascii="Arial" w:eastAsia="楷体_GB2312" w:hAnsi="Arial" w:cs="Arial" w:hint="eastAsia"/>
          <w:color w:val="auto"/>
          <w:sz w:val="20"/>
          <w:szCs w:val="20"/>
        </w:rPr>
        <w:t>广发对冲套利</w:t>
      </w:r>
      <w:r w:rsidR="00BA6BA1" w:rsidRPr="002D6DED">
        <w:rPr>
          <w:rFonts w:ascii="Arial" w:eastAsia="楷体_GB2312" w:hAnsi="Arial" w:cs="Arial"/>
          <w:color w:val="auto"/>
          <w:sz w:val="20"/>
          <w:szCs w:val="20"/>
        </w:rPr>
        <w:t>的</w:t>
      </w:r>
      <w:r w:rsidR="00C15A75">
        <w:rPr>
          <w:rFonts w:ascii="Arial" w:eastAsia="楷体_GB2312" w:hAnsi="Arial" w:cs="Arial" w:hint="eastAsia"/>
          <w:color w:val="auto"/>
          <w:sz w:val="20"/>
          <w:szCs w:val="20"/>
        </w:rPr>
        <w:t>0.27</w:t>
      </w:r>
      <w:r w:rsidR="00BA6BA1" w:rsidRPr="002D6DED">
        <w:rPr>
          <w:rFonts w:ascii="Arial" w:eastAsia="楷体_GB2312" w:hAnsi="Arial" w:cs="Arial"/>
          <w:color w:val="auto"/>
          <w:sz w:val="20"/>
          <w:szCs w:val="20"/>
        </w:rPr>
        <w:t>%</w:t>
      </w:r>
      <w:r w:rsidR="00BA6BA1">
        <w:rPr>
          <w:rFonts w:ascii="Arial" w:eastAsia="楷体_GB2312" w:hAnsi="Arial" w:cs="Arial" w:hint="eastAsia"/>
          <w:color w:val="auto"/>
          <w:sz w:val="20"/>
          <w:szCs w:val="20"/>
        </w:rPr>
        <w:t>。</w:t>
      </w:r>
    </w:p>
    <w:p w:rsidR="00BA6BA1" w:rsidRPr="002D6DED" w:rsidRDefault="00BA6BA1" w:rsidP="00BA6BA1">
      <w:pPr>
        <w:pStyle w:val="a5"/>
        <w:numPr>
          <w:ilvl w:val="0"/>
          <w:numId w:val="2"/>
        </w:numPr>
        <w:spacing w:beforeLines="100" w:before="240" w:afterLines="100" w:after="240" w:line="260" w:lineRule="exact"/>
        <w:ind w:leftChars="0" w:left="4395" w:rightChars="-34" w:right="-71" w:firstLine="0"/>
        <w:rPr>
          <w:rFonts w:ascii="Arial" w:eastAsia="楷体_GB2312" w:hAnsi="Arial" w:cs="Arial"/>
          <w:b/>
          <w:bCs/>
          <w:color w:val="002060"/>
          <w:kern w:val="0"/>
          <w:sz w:val="24"/>
          <w:szCs w:val="13"/>
        </w:rPr>
      </w:pPr>
      <w:r w:rsidRPr="002D6DED">
        <w:rPr>
          <w:rFonts w:ascii="Arial" w:eastAsia="楷体_GB2312" w:hAnsi="Arial" w:cs="Arial"/>
          <w:noProof/>
          <w:sz w:val="20"/>
          <w:szCs w:val="20"/>
        </w:rPr>
        <mc:AlternateContent>
          <mc:Choice Requires="wps">
            <w:drawing>
              <wp:anchor distT="0" distB="0" distL="0" distR="0" simplePos="0" relativeHeight="251661312" behindDoc="0" locked="0" layoutInCell="1" allowOverlap="0" wp14:anchorId="6BBEF165" wp14:editId="173F9E97">
                <wp:simplePos x="0" y="0"/>
                <wp:positionH relativeFrom="page">
                  <wp:posOffset>375920</wp:posOffset>
                </wp:positionH>
                <wp:positionV relativeFrom="paragraph">
                  <wp:posOffset>152975</wp:posOffset>
                </wp:positionV>
                <wp:extent cx="2154555" cy="107251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072515"/>
                        </a:xfrm>
                        <a:prstGeom prst="rect">
                          <a:avLst/>
                        </a:prstGeom>
                        <a:noFill/>
                        <a:ln w="9525">
                          <a:noFill/>
                          <a:miter lim="800000"/>
                          <a:headEnd/>
                          <a:tailEnd/>
                        </a:ln>
                      </wps:spPr>
                      <wps:txbx>
                        <w:txbxContent>
                          <w:p w:rsidR="00123BC2" w:rsidRPr="00593057" w:rsidRDefault="00123BC2" w:rsidP="00BA6BA1">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6pt;margin-top:12.05pt;width:169.65pt;height:84.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" o:allowoverlap="f" filled="f" stroked="f">
                <v:textbox>
                  <w:txbxContent>
                    <w:p w:rsidR="00123BC2" w:rsidRPr="00593057" w:rsidRDefault="00123BC2" w:rsidP="00BA6BA1">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Pr="002D6DED">
        <w:rPr>
          <w:rFonts w:ascii="Arial" w:eastAsia="楷体_GB2312" w:hAnsi="Arial" w:cs="Arial"/>
          <w:b/>
          <w:bCs/>
          <w:color w:val="002060"/>
          <w:kern w:val="0"/>
          <w:sz w:val="24"/>
          <w:szCs w:val="13"/>
        </w:rPr>
        <w:t>货币基金</w:t>
      </w:r>
    </w:p>
    <w:p w:rsidR="00BA6BA1" w:rsidRPr="002D6DED" w:rsidRDefault="00FF3942" w:rsidP="00BA6BA1">
      <w:pPr>
        <w:pStyle w:val="a5"/>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color w:val="auto"/>
          <w:sz w:val="20"/>
          <w:szCs w:val="20"/>
        </w:rPr>
        <w:t>月末</w:t>
      </w:r>
      <w:r w:rsidR="00BA6BA1">
        <w:rPr>
          <w:rFonts w:ascii="Arial" w:eastAsia="楷体_GB2312" w:hAnsi="Arial" w:cs="Arial"/>
          <w:color w:val="auto"/>
          <w:sz w:val="20"/>
          <w:szCs w:val="20"/>
        </w:rPr>
        <w:t>货币基金</w:t>
      </w:r>
      <w:proofErr w:type="gramStart"/>
      <w:r w:rsidR="00BA6BA1">
        <w:rPr>
          <w:rFonts w:ascii="Arial" w:eastAsia="楷体_GB2312" w:hAnsi="Arial" w:cs="Arial"/>
          <w:color w:val="auto"/>
          <w:sz w:val="20"/>
          <w:szCs w:val="20"/>
        </w:rPr>
        <w:t>年化收益</w:t>
      </w:r>
      <w:proofErr w:type="gramEnd"/>
      <w:r w:rsidR="00BA6BA1">
        <w:rPr>
          <w:rFonts w:ascii="Arial" w:eastAsia="楷体_GB2312" w:hAnsi="Arial" w:cs="Arial" w:hint="eastAsia"/>
          <w:color w:val="auto"/>
          <w:sz w:val="20"/>
          <w:szCs w:val="20"/>
        </w:rPr>
        <w:t>略有</w:t>
      </w:r>
      <w:r>
        <w:rPr>
          <w:rFonts w:ascii="Arial" w:eastAsia="楷体_GB2312" w:hAnsi="Arial" w:cs="Arial" w:hint="eastAsia"/>
          <w:color w:val="auto"/>
          <w:sz w:val="20"/>
          <w:szCs w:val="20"/>
        </w:rPr>
        <w:t>回升</w:t>
      </w:r>
      <w:r w:rsidR="00BA6BA1">
        <w:rPr>
          <w:rFonts w:ascii="Arial" w:eastAsia="楷体_GB2312" w:hAnsi="Arial" w:cs="Arial"/>
          <w:color w:val="auto"/>
          <w:sz w:val="20"/>
          <w:szCs w:val="20"/>
        </w:rPr>
        <w:t>。</w:t>
      </w:r>
      <w:r w:rsidR="00BA6BA1">
        <w:rPr>
          <w:rFonts w:ascii="Arial" w:eastAsia="楷体_GB2312" w:hAnsi="Arial" w:cs="Arial" w:hint="eastAsia"/>
          <w:color w:val="auto"/>
          <w:sz w:val="20"/>
          <w:szCs w:val="20"/>
        </w:rPr>
        <w:t>4</w:t>
      </w:r>
      <w:r w:rsidR="00BA6BA1">
        <w:rPr>
          <w:rFonts w:ascii="Arial" w:eastAsia="楷体_GB2312" w:hAnsi="Arial" w:cs="Arial" w:hint="eastAsia"/>
          <w:color w:val="auto"/>
          <w:sz w:val="20"/>
          <w:szCs w:val="20"/>
        </w:rPr>
        <w:t>月</w:t>
      </w:r>
      <w:r w:rsidR="00F83596">
        <w:rPr>
          <w:rFonts w:ascii="Arial" w:eastAsia="楷体_GB2312" w:hAnsi="Arial" w:cs="Arial" w:hint="eastAsia"/>
          <w:color w:val="auto"/>
          <w:sz w:val="20"/>
          <w:szCs w:val="20"/>
        </w:rPr>
        <w:t>29</w:t>
      </w:r>
      <w:r w:rsidR="00BA6BA1">
        <w:rPr>
          <w:rFonts w:ascii="Arial" w:eastAsia="楷体_GB2312" w:hAnsi="Arial" w:cs="Arial" w:hint="eastAsia"/>
          <w:color w:val="auto"/>
          <w:sz w:val="20"/>
          <w:szCs w:val="20"/>
        </w:rPr>
        <w:t>日，</w:t>
      </w:r>
      <w:r w:rsidR="00BA6BA1" w:rsidRPr="002D6DED">
        <w:rPr>
          <w:rFonts w:ascii="Arial" w:eastAsia="楷体_GB2312" w:hAnsi="Arial" w:cs="Arial"/>
          <w:color w:val="auto"/>
          <w:sz w:val="20"/>
          <w:szCs w:val="20"/>
        </w:rPr>
        <w:t>货币基金</w:t>
      </w:r>
      <w:proofErr w:type="gramStart"/>
      <w:r w:rsidR="00BA6BA1" w:rsidRPr="002D6DED">
        <w:rPr>
          <w:rFonts w:ascii="Arial" w:eastAsia="楷体_GB2312" w:hAnsi="Arial" w:cs="Arial"/>
          <w:color w:val="auto"/>
          <w:sz w:val="20"/>
          <w:szCs w:val="20"/>
        </w:rPr>
        <w:t>七日年化收益率</w:t>
      </w:r>
      <w:proofErr w:type="gramEnd"/>
      <w:r w:rsidR="00BA6BA1" w:rsidRPr="002D6DED">
        <w:rPr>
          <w:rFonts w:ascii="Arial" w:eastAsia="楷体_GB2312" w:hAnsi="Arial" w:cs="Arial"/>
          <w:color w:val="auto"/>
          <w:sz w:val="20"/>
          <w:szCs w:val="20"/>
        </w:rPr>
        <w:t>均值为</w:t>
      </w:r>
      <w:r w:rsidR="00BA6BA1">
        <w:rPr>
          <w:rFonts w:ascii="Arial" w:eastAsia="楷体_GB2312" w:hAnsi="Arial" w:cs="Arial"/>
          <w:color w:val="auto"/>
          <w:sz w:val="20"/>
          <w:szCs w:val="20"/>
        </w:rPr>
        <w:t>2.</w:t>
      </w:r>
      <w:r w:rsidR="00BA6BA1" w:rsidRPr="00EA5F67">
        <w:rPr>
          <w:rFonts w:ascii="Arial" w:eastAsia="楷体_GB2312" w:hAnsi="Arial" w:cs="Arial" w:hint="eastAsia"/>
          <w:color w:val="auto"/>
          <w:sz w:val="20"/>
          <w:szCs w:val="20"/>
        </w:rPr>
        <w:t xml:space="preserve"> </w:t>
      </w:r>
      <w:r w:rsidR="00BA6BA1">
        <w:rPr>
          <w:rFonts w:ascii="Arial" w:eastAsia="楷体_GB2312" w:hAnsi="Arial" w:cs="Arial" w:hint="eastAsia"/>
          <w:color w:val="auto"/>
          <w:sz w:val="20"/>
          <w:szCs w:val="20"/>
        </w:rPr>
        <w:t>5</w:t>
      </w:r>
      <w:r w:rsidR="00F83596">
        <w:rPr>
          <w:rFonts w:ascii="Arial" w:eastAsia="楷体_GB2312" w:hAnsi="Arial" w:cs="Arial" w:hint="eastAsia"/>
          <w:color w:val="auto"/>
          <w:sz w:val="20"/>
          <w:szCs w:val="20"/>
        </w:rPr>
        <w:t>6</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w:t>
      </w:r>
      <w:proofErr w:type="gramStart"/>
      <w:r w:rsidR="00C15A75">
        <w:rPr>
          <w:rFonts w:ascii="Arial" w:eastAsia="楷体_GB2312" w:hAnsi="Arial" w:cs="Arial" w:hint="eastAsia"/>
          <w:color w:val="auto"/>
          <w:sz w:val="20"/>
          <w:szCs w:val="20"/>
        </w:rPr>
        <w:t>中融货币</w:t>
      </w:r>
      <w:proofErr w:type="gramEnd"/>
      <w:r w:rsidR="00C15A75">
        <w:rPr>
          <w:rFonts w:ascii="Arial" w:eastAsia="楷体_GB2312" w:hAnsi="Arial" w:cs="Arial" w:hint="eastAsia"/>
          <w:color w:val="auto"/>
          <w:sz w:val="20"/>
          <w:szCs w:val="20"/>
        </w:rPr>
        <w:t>C</w:t>
      </w:r>
      <w:r w:rsidR="00BA6BA1" w:rsidRPr="002D6DED">
        <w:rPr>
          <w:rFonts w:ascii="Arial" w:eastAsia="楷体_GB2312" w:hAnsi="Arial" w:cs="Arial"/>
          <w:color w:val="auto"/>
          <w:sz w:val="20"/>
          <w:szCs w:val="20"/>
        </w:rPr>
        <w:t>（</w:t>
      </w:r>
      <w:r w:rsidR="00C15A75">
        <w:rPr>
          <w:rFonts w:ascii="Arial" w:eastAsia="楷体_GB2312" w:hAnsi="Arial" w:cs="Arial" w:hint="eastAsia"/>
          <w:color w:val="auto"/>
          <w:sz w:val="20"/>
          <w:szCs w:val="20"/>
        </w:rPr>
        <w:t>5.41</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w:t>
      </w:r>
      <w:r w:rsidR="00C15A75">
        <w:rPr>
          <w:rFonts w:ascii="Arial" w:eastAsia="楷体_GB2312" w:hAnsi="Arial" w:cs="Arial" w:hint="eastAsia"/>
          <w:color w:val="auto"/>
          <w:sz w:val="20"/>
          <w:szCs w:val="20"/>
        </w:rPr>
        <w:t>万家现金宝</w:t>
      </w:r>
      <w:r w:rsidR="00BA6BA1" w:rsidRPr="002D6DED">
        <w:rPr>
          <w:rFonts w:ascii="Arial" w:eastAsia="楷体_GB2312" w:hAnsi="Arial" w:cs="Arial"/>
          <w:color w:val="auto"/>
          <w:sz w:val="20"/>
          <w:szCs w:val="20"/>
        </w:rPr>
        <w:t>（</w:t>
      </w:r>
      <w:r w:rsidR="00C15A75">
        <w:rPr>
          <w:rFonts w:ascii="Arial" w:eastAsia="楷体_GB2312" w:hAnsi="Arial" w:cs="Arial" w:hint="eastAsia"/>
          <w:color w:val="auto"/>
          <w:sz w:val="20"/>
          <w:szCs w:val="20"/>
        </w:rPr>
        <w:t>5.16</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w:t>
      </w:r>
      <w:r w:rsidR="00BA6BA1">
        <w:rPr>
          <w:rFonts w:ascii="Arial" w:eastAsia="楷体_GB2312" w:hAnsi="Arial" w:cs="Arial"/>
          <w:color w:val="auto"/>
          <w:sz w:val="20"/>
          <w:szCs w:val="20"/>
        </w:rPr>
        <w:t>七日</w:t>
      </w:r>
      <w:proofErr w:type="gramStart"/>
      <w:r w:rsidR="00BA6BA1">
        <w:rPr>
          <w:rFonts w:ascii="Arial" w:eastAsia="楷体_GB2312" w:hAnsi="Arial" w:cs="Arial"/>
          <w:color w:val="auto"/>
          <w:sz w:val="20"/>
          <w:szCs w:val="20"/>
        </w:rPr>
        <w:t>年化收益</w:t>
      </w:r>
      <w:proofErr w:type="gramEnd"/>
      <w:r w:rsidR="00BA6BA1">
        <w:rPr>
          <w:rFonts w:ascii="Arial" w:eastAsia="楷体_GB2312" w:hAnsi="Arial" w:cs="Arial"/>
          <w:color w:val="auto"/>
          <w:sz w:val="20"/>
          <w:szCs w:val="20"/>
        </w:rPr>
        <w:t>最高。从收益区间来看，有</w:t>
      </w:r>
      <w:r>
        <w:rPr>
          <w:rFonts w:ascii="Arial" w:eastAsia="楷体_GB2312" w:hAnsi="Arial" w:cs="Arial" w:hint="eastAsia"/>
          <w:color w:val="auto"/>
          <w:sz w:val="20"/>
          <w:szCs w:val="20"/>
        </w:rPr>
        <w:t>5</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的产品七日</w:t>
      </w:r>
      <w:proofErr w:type="gramStart"/>
      <w:r w:rsidR="00BA6BA1" w:rsidRPr="002D6DED">
        <w:rPr>
          <w:rFonts w:ascii="Arial" w:eastAsia="楷体_GB2312" w:hAnsi="Arial" w:cs="Arial"/>
          <w:color w:val="auto"/>
          <w:sz w:val="20"/>
          <w:szCs w:val="20"/>
        </w:rPr>
        <w:t>年化收益</w:t>
      </w:r>
      <w:proofErr w:type="gramEnd"/>
      <w:r w:rsidR="00BA6BA1" w:rsidRPr="002D6DED">
        <w:rPr>
          <w:rFonts w:ascii="Arial" w:eastAsia="楷体_GB2312" w:hAnsi="Arial" w:cs="Arial"/>
          <w:color w:val="auto"/>
          <w:sz w:val="20"/>
          <w:szCs w:val="20"/>
        </w:rPr>
        <w:t>超</w:t>
      </w:r>
      <w:r w:rsidR="00BA6BA1" w:rsidRPr="002D6DED">
        <w:rPr>
          <w:rFonts w:ascii="Arial" w:eastAsia="楷体_GB2312" w:hAnsi="Arial" w:cs="Arial"/>
          <w:color w:val="auto"/>
          <w:sz w:val="20"/>
          <w:szCs w:val="20"/>
        </w:rPr>
        <w:t>4%</w:t>
      </w:r>
      <w:r w:rsidR="00BA6BA1" w:rsidRPr="002D6DED">
        <w:rPr>
          <w:rFonts w:ascii="Arial" w:eastAsia="楷体_GB2312" w:hAnsi="Arial" w:cs="Arial"/>
          <w:color w:val="auto"/>
          <w:sz w:val="20"/>
          <w:szCs w:val="20"/>
        </w:rPr>
        <w:t>，</w:t>
      </w:r>
      <w:r>
        <w:rPr>
          <w:rFonts w:ascii="Arial" w:eastAsia="楷体_GB2312" w:hAnsi="Arial" w:cs="Arial" w:hint="eastAsia"/>
          <w:color w:val="auto"/>
          <w:sz w:val="20"/>
          <w:szCs w:val="20"/>
        </w:rPr>
        <w:t>12</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的产品收益在</w:t>
      </w:r>
      <w:r w:rsidR="00BA6BA1" w:rsidRPr="002D6DED">
        <w:rPr>
          <w:rFonts w:ascii="Arial" w:eastAsia="楷体_GB2312" w:hAnsi="Arial" w:cs="Arial"/>
          <w:color w:val="auto"/>
          <w:sz w:val="20"/>
          <w:szCs w:val="20"/>
        </w:rPr>
        <w:t>3%-4%</w:t>
      </w:r>
      <w:r w:rsidR="00BA6BA1" w:rsidRPr="002D6DED">
        <w:rPr>
          <w:rFonts w:ascii="Arial" w:eastAsia="楷体_GB2312" w:hAnsi="Arial" w:cs="Arial"/>
          <w:color w:val="auto"/>
          <w:sz w:val="20"/>
          <w:szCs w:val="20"/>
        </w:rPr>
        <w:t>之间，</w:t>
      </w:r>
      <w:r w:rsidR="00BA6BA1">
        <w:rPr>
          <w:rFonts w:ascii="Arial" w:eastAsia="楷体_GB2312" w:hAnsi="Arial" w:cs="Arial" w:hint="eastAsia"/>
          <w:color w:val="auto"/>
          <w:sz w:val="20"/>
          <w:szCs w:val="20"/>
        </w:rPr>
        <w:t>7</w:t>
      </w:r>
      <w:r>
        <w:rPr>
          <w:rFonts w:ascii="Arial" w:eastAsia="楷体_GB2312" w:hAnsi="Arial" w:cs="Arial" w:hint="eastAsia"/>
          <w:color w:val="auto"/>
          <w:sz w:val="20"/>
          <w:szCs w:val="20"/>
        </w:rPr>
        <w:t>2</w:t>
      </w:r>
      <w:r w:rsidR="00BA6BA1" w:rsidRPr="002D6DED">
        <w:rPr>
          <w:rFonts w:ascii="Arial" w:eastAsia="楷体_GB2312" w:hAnsi="Arial" w:cs="Arial"/>
          <w:color w:val="auto"/>
          <w:sz w:val="20"/>
          <w:szCs w:val="20"/>
        </w:rPr>
        <w:t>%</w:t>
      </w:r>
      <w:r w:rsidR="00BA6BA1" w:rsidRPr="002D6DED">
        <w:rPr>
          <w:rFonts w:ascii="Arial" w:eastAsia="楷体_GB2312" w:hAnsi="Arial" w:cs="Arial"/>
          <w:color w:val="auto"/>
          <w:sz w:val="20"/>
          <w:szCs w:val="20"/>
        </w:rPr>
        <w:t>的产品收益在</w:t>
      </w:r>
      <w:r w:rsidR="00BA6BA1" w:rsidRPr="002D6DED">
        <w:rPr>
          <w:rFonts w:ascii="Arial" w:eastAsia="楷体_GB2312" w:hAnsi="Arial" w:cs="Arial"/>
          <w:color w:val="auto"/>
          <w:sz w:val="20"/>
          <w:szCs w:val="20"/>
        </w:rPr>
        <w:t>2%-3%</w:t>
      </w:r>
      <w:r w:rsidR="00BA6BA1" w:rsidRPr="002D6DED">
        <w:rPr>
          <w:rFonts w:ascii="Arial" w:eastAsia="楷体_GB2312" w:hAnsi="Arial" w:cs="Arial"/>
          <w:color w:val="auto"/>
          <w:sz w:val="20"/>
          <w:szCs w:val="20"/>
        </w:rPr>
        <w:t>之间。</w:t>
      </w:r>
    </w:p>
    <w:p w:rsidR="00BA6BA1" w:rsidRPr="002D6DED" w:rsidRDefault="00BA6BA1" w:rsidP="00BA6BA1">
      <w:pPr>
        <w:pStyle w:val="a5"/>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QDII</w:t>
      </w:r>
      <w:r w:rsidRPr="002D6DED">
        <w:rPr>
          <w:rFonts w:ascii="Arial" w:eastAsia="楷体_GB2312" w:hAnsi="Arial" w:cs="Arial"/>
          <w:b/>
          <w:bCs/>
          <w:color w:val="002060"/>
          <w:kern w:val="0"/>
          <w:sz w:val="24"/>
          <w:szCs w:val="13"/>
        </w:rPr>
        <w:t>基金</w:t>
      </w:r>
    </w:p>
    <w:p w:rsidR="00BA6BA1" w:rsidRPr="00C57975" w:rsidRDefault="00BA6BA1" w:rsidP="00C13036">
      <w:pPr>
        <w:pStyle w:val="a5"/>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QDII</w:t>
      </w:r>
      <w:r>
        <w:rPr>
          <w:rFonts w:ascii="Arial" w:eastAsia="楷体_GB2312" w:hAnsi="Arial" w:cs="Arial"/>
          <w:color w:val="auto"/>
          <w:sz w:val="20"/>
          <w:szCs w:val="20"/>
        </w:rPr>
        <w:t>基金</w:t>
      </w:r>
      <w:r w:rsidRPr="002D6DED">
        <w:rPr>
          <w:rFonts w:ascii="Arial" w:eastAsia="楷体_GB2312" w:hAnsi="Arial" w:cs="Arial"/>
          <w:color w:val="auto"/>
          <w:sz w:val="20"/>
          <w:szCs w:val="20"/>
        </w:rPr>
        <w:t>平均收益为</w:t>
      </w:r>
      <w:r w:rsidR="00FF3942">
        <w:rPr>
          <w:rFonts w:ascii="Arial" w:eastAsia="楷体_GB2312" w:hAnsi="Arial" w:cs="Arial" w:hint="eastAsia"/>
          <w:color w:val="auto"/>
          <w:sz w:val="20"/>
          <w:szCs w:val="20"/>
        </w:rPr>
        <w:t>1.82</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，其中</w:t>
      </w:r>
      <w:r w:rsidR="00C15A75">
        <w:rPr>
          <w:rFonts w:ascii="Arial" w:eastAsia="楷体_GB2312" w:hAnsi="Arial" w:cs="Arial" w:hint="eastAsia"/>
          <w:color w:val="auto"/>
          <w:sz w:val="20"/>
          <w:szCs w:val="20"/>
        </w:rPr>
        <w:t>华</w:t>
      </w:r>
      <w:proofErr w:type="gramStart"/>
      <w:r w:rsidR="00C15A75">
        <w:rPr>
          <w:rFonts w:ascii="Arial" w:eastAsia="楷体_GB2312" w:hAnsi="Arial" w:cs="Arial" w:hint="eastAsia"/>
          <w:color w:val="auto"/>
          <w:sz w:val="20"/>
          <w:szCs w:val="20"/>
        </w:rPr>
        <w:t>宝兴业标普油气</w:t>
      </w:r>
      <w:proofErr w:type="gramEnd"/>
      <w:r w:rsidR="00C15A75">
        <w:rPr>
          <w:rFonts w:ascii="Arial" w:eastAsia="楷体_GB2312" w:hAnsi="Arial" w:cs="Arial" w:hint="eastAsia"/>
          <w:color w:val="auto"/>
          <w:sz w:val="20"/>
          <w:szCs w:val="20"/>
        </w:rPr>
        <w:t>人民币</w:t>
      </w:r>
      <w:r w:rsidRPr="002D6DED">
        <w:rPr>
          <w:rFonts w:ascii="Arial" w:eastAsia="楷体_GB2312" w:hAnsi="Arial" w:cs="Arial"/>
          <w:color w:val="auto"/>
          <w:sz w:val="20"/>
          <w:szCs w:val="20"/>
        </w:rPr>
        <w:t>表现最好，</w:t>
      </w:r>
      <w:r w:rsidRPr="002D6DED">
        <w:rPr>
          <w:rFonts w:ascii="Arial" w:eastAsia="楷体_GB2312" w:hAnsi="Arial" w:cs="Arial"/>
          <w:color w:val="auto"/>
          <w:sz w:val="20"/>
          <w:szCs w:val="20"/>
        </w:rPr>
        <w:lastRenderedPageBreak/>
        <w:t>涨</w:t>
      </w:r>
      <w:r w:rsidR="00C15A75">
        <w:rPr>
          <w:rFonts w:ascii="Arial" w:eastAsia="楷体_GB2312" w:hAnsi="Arial" w:cs="Arial" w:hint="eastAsia"/>
          <w:color w:val="auto"/>
          <w:sz w:val="20"/>
          <w:szCs w:val="20"/>
        </w:rPr>
        <w:t>17.98</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Pr>
          <w:rFonts w:ascii="Arial" w:eastAsia="楷体_GB2312" w:hAnsi="Arial" w:cs="Arial"/>
          <w:color w:val="auto"/>
          <w:sz w:val="20"/>
          <w:szCs w:val="20"/>
        </w:rPr>
        <w:t>从具体品种来看，</w:t>
      </w:r>
      <w:r w:rsidR="00C15A75">
        <w:rPr>
          <w:rFonts w:ascii="Arial" w:eastAsia="楷体_GB2312" w:hAnsi="Arial" w:cs="Arial" w:hint="eastAsia"/>
          <w:color w:val="auto"/>
          <w:sz w:val="20"/>
          <w:szCs w:val="20"/>
        </w:rPr>
        <w:t>大宗商品</w:t>
      </w:r>
      <w:r>
        <w:rPr>
          <w:rFonts w:ascii="Arial" w:eastAsia="楷体_GB2312" w:hAnsi="Arial" w:cs="Arial" w:hint="eastAsia"/>
          <w:color w:val="auto"/>
          <w:sz w:val="20"/>
          <w:szCs w:val="20"/>
        </w:rPr>
        <w:t>、</w:t>
      </w:r>
      <w:r w:rsidR="00C15A75">
        <w:rPr>
          <w:rFonts w:ascii="Arial" w:eastAsia="楷体_GB2312" w:hAnsi="Arial" w:cs="Arial" w:hint="eastAsia"/>
          <w:color w:val="auto"/>
          <w:sz w:val="20"/>
          <w:szCs w:val="20"/>
        </w:rPr>
        <w:t>天然资源、生物医疗</w:t>
      </w:r>
      <w:r>
        <w:rPr>
          <w:rFonts w:ascii="Arial" w:eastAsia="楷体_GB2312" w:hAnsi="Arial" w:cs="Arial" w:hint="eastAsia"/>
          <w:color w:val="auto"/>
          <w:sz w:val="20"/>
          <w:szCs w:val="20"/>
        </w:rPr>
        <w:t>主题</w:t>
      </w:r>
      <w:r>
        <w:rPr>
          <w:rFonts w:ascii="Arial" w:eastAsia="楷体_GB2312" w:hAnsi="Arial" w:cs="Arial" w:hint="eastAsia"/>
          <w:color w:val="auto"/>
          <w:sz w:val="20"/>
          <w:szCs w:val="20"/>
        </w:rPr>
        <w:t>QDII</w:t>
      </w:r>
      <w:r>
        <w:rPr>
          <w:rFonts w:ascii="Arial" w:eastAsia="楷体_GB2312" w:hAnsi="Arial" w:cs="Arial"/>
          <w:color w:val="auto"/>
          <w:sz w:val="20"/>
          <w:szCs w:val="20"/>
        </w:rPr>
        <w:t>表现</w:t>
      </w:r>
      <w:r>
        <w:rPr>
          <w:rFonts w:ascii="Arial" w:eastAsia="楷体_GB2312" w:hAnsi="Arial" w:cs="Arial" w:hint="eastAsia"/>
          <w:color w:val="auto"/>
          <w:sz w:val="20"/>
          <w:szCs w:val="20"/>
        </w:rPr>
        <w:t>最</w:t>
      </w:r>
      <w:r w:rsidRPr="002D6DED">
        <w:rPr>
          <w:rFonts w:ascii="Arial" w:eastAsia="楷体_GB2312" w:hAnsi="Arial" w:cs="Arial"/>
          <w:color w:val="auto"/>
          <w:sz w:val="20"/>
          <w:szCs w:val="20"/>
        </w:rPr>
        <w:t>好，</w:t>
      </w:r>
      <w:r w:rsidR="00C15A75">
        <w:rPr>
          <w:rFonts w:ascii="Arial" w:eastAsia="楷体_GB2312" w:hAnsi="Arial" w:cs="Arial" w:hint="eastAsia"/>
          <w:color w:val="auto"/>
          <w:sz w:val="20"/>
          <w:szCs w:val="20"/>
        </w:rPr>
        <w:t>房地产、</w:t>
      </w:r>
      <w:r w:rsidR="00263FE0">
        <w:rPr>
          <w:rFonts w:ascii="Arial" w:eastAsia="楷体_GB2312" w:hAnsi="Arial" w:cs="Arial" w:hint="eastAsia"/>
          <w:color w:val="auto"/>
          <w:sz w:val="20"/>
          <w:szCs w:val="20"/>
        </w:rPr>
        <w:t>美股、港股</w:t>
      </w:r>
      <w:r>
        <w:rPr>
          <w:rFonts w:ascii="Arial" w:eastAsia="楷体_GB2312" w:hAnsi="Arial" w:cs="Arial"/>
          <w:color w:val="auto"/>
          <w:sz w:val="20"/>
          <w:szCs w:val="20"/>
        </w:rPr>
        <w:t>主题</w:t>
      </w:r>
      <w:r w:rsidRPr="002D6DED">
        <w:rPr>
          <w:rFonts w:ascii="Arial" w:eastAsia="楷体_GB2312" w:hAnsi="Arial" w:cs="Arial"/>
          <w:color w:val="auto"/>
          <w:sz w:val="20"/>
          <w:szCs w:val="20"/>
        </w:rPr>
        <w:t xml:space="preserve"> QDII</w:t>
      </w:r>
      <w:r>
        <w:rPr>
          <w:rFonts w:ascii="Arial" w:eastAsia="楷体_GB2312" w:hAnsi="Arial" w:cs="Arial"/>
          <w:color w:val="auto"/>
          <w:sz w:val="20"/>
          <w:szCs w:val="20"/>
        </w:rPr>
        <w:t>表现</w:t>
      </w:r>
      <w:r>
        <w:rPr>
          <w:rFonts w:ascii="Arial" w:eastAsia="楷体_GB2312" w:hAnsi="Arial" w:cs="Arial" w:hint="eastAsia"/>
          <w:color w:val="auto"/>
          <w:sz w:val="20"/>
          <w:szCs w:val="20"/>
        </w:rPr>
        <w:t>较差</w:t>
      </w:r>
      <w:r w:rsidRPr="002D6DED">
        <w:rPr>
          <w:rFonts w:ascii="Arial" w:eastAsia="楷体_GB2312" w:hAnsi="Arial" w:cs="Arial"/>
          <w:color w:val="auto"/>
          <w:sz w:val="20"/>
          <w:szCs w:val="20"/>
        </w:rPr>
        <w:t>。</w:t>
      </w:r>
    </w:p>
    <w:tbl>
      <w:tblPr>
        <w:tblpPr w:leftFromText="180" w:rightFromText="180" w:vertAnchor="text" w:horzAnchor="margin" w:tblpY="-39"/>
        <w:tblW w:w="3970" w:type="dxa"/>
        <w:tblLayout w:type="fixed"/>
        <w:tblLook w:val="04A0" w:firstRow="1" w:lastRow="0" w:firstColumn="1" w:lastColumn="0" w:noHBand="0" w:noVBand="1"/>
      </w:tblPr>
      <w:tblGrid>
        <w:gridCol w:w="709"/>
        <w:gridCol w:w="817"/>
        <w:gridCol w:w="1701"/>
        <w:gridCol w:w="743"/>
      </w:tblGrid>
      <w:tr w:rsidR="00BA6BA1" w:rsidRPr="00A12428" w:rsidTr="00FF3942">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BA6BA1" w:rsidRPr="00A12428" w:rsidRDefault="00BA6BA1" w:rsidP="00FF3942">
            <w:pPr>
              <w:widowControl/>
              <w:jc w:val="center"/>
              <w:rPr>
                <w:rFonts w:ascii="Arial" w:eastAsia="楷体" w:hAnsi="Arial" w:cs="Arial"/>
                <w:b/>
                <w:sz w:val="20"/>
                <w:szCs w:val="20"/>
              </w:rPr>
            </w:pPr>
            <w:r w:rsidRPr="00A12428">
              <w:rPr>
                <w:rFonts w:ascii="Arial" w:eastAsia="楷体" w:hAnsi="Arial" w:cs="Arial"/>
                <w:b/>
                <w:sz w:val="20"/>
                <w:szCs w:val="20"/>
              </w:rPr>
              <w:t>类型</w:t>
            </w:r>
          </w:p>
        </w:tc>
        <w:tc>
          <w:tcPr>
            <w:tcW w:w="817" w:type="dxa"/>
            <w:tcBorders>
              <w:top w:val="single" w:sz="4" w:space="0" w:color="auto"/>
              <w:left w:val="single" w:sz="4" w:space="0" w:color="auto"/>
              <w:bottom w:val="single" w:sz="4" w:space="0" w:color="auto"/>
            </w:tcBorders>
            <w:shd w:val="clear" w:color="F79646" w:fill="F79646"/>
            <w:vAlign w:val="center"/>
            <w:hideMark/>
          </w:tcPr>
          <w:p w:rsidR="00BA6BA1" w:rsidRPr="00A12428" w:rsidRDefault="00BA6BA1" w:rsidP="00FF3942">
            <w:pPr>
              <w:widowControl/>
              <w:jc w:val="center"/>
              <w:rPr>
                <w:rFonts w:ascii="Arial" w:eastAsia="楷体" w:hAnsi="Arial" w:cs="Arial"/>
                <w:b/>
                <w:sz w:val="20"/>
                <w:szCs w:val="20"/>
              </w:rPr>
            </w:pPr>
            <w:r w:rsidRPr="00A12428">
              <w:rPr>
                <w:rFonts w:ascii="Arial" w:eastAsia="楷体" w:hAnsi="Arial" w:cs="Arial"/>
                <w:b/>
                <w:sz w:val="20"/>
                <w:szCs w:val="20"/>
              </w:rPr>
              <w:t>代码</w:t>
            </w:r>
          </w:p>
        </w:tc>
        <w:tc>
          <w:tcPr>
            <w:tcW w:w="1701" w:type="dxa"/>
            <w:tcBorders>
              <w:top w:val="single" w:sz="4" w:space="0" w:color="auto"/>
              <w:bottom w:val="single" w:sz="4" w:space="0" w:color="auto"/>
            </w:tcBorders>
            <w:shd w:val="clear" w:color="F79646" w:fill="F79646"/>
            <w:vAlign w:val="center"/>
            <w:hideMark/>
          </w:tcPr>
          <w:p w:rsidR="00BA6BA1" w:rsidRPr="00A12428" w:rsidRDefault="00BA6BA1" w:rsidP="00FF3942">
            <w:pPr>
              <w:widowControl/>
              <w:jc w:val="center"/>
              <w:rPr>
                <w:rFonts w:ascii="Arial" w:eastAsia="楷体" w:hAnsi="Arial" w:cs="Arial"/>
                <w:b/>
                <w:sz w:val="20"/>
                <w:szCs w:val="20"/>
              </w:rPr>
            </w:pPr>
            <w:r w:rsidRPr="00A12428">
              <w:rPr>
                <w:rFonts w:ascii="Arial" w:eastAsia="楷体" w:hAnsi="Arial" w:cs="Arial"/>
                <w:b/>
                <w:sz w:val="20"/>
                <w:szCs w:val="20"/>
              </w:rPr>
              <w:t>简称</w:t>
            </w:r>
          </w:p>
        </w:tc>
        <w:tc>
          <w:tcPr>
            <w:tcW w:w="743" w:type="dxa"/>
            <w:tcBorders>
              <w:top w:val="single" w:sz="4" w:space="0" w:color="auto"/>
              <w:bottom w:val="single" w:sz="4" w:space="0" w:color="auto"/>
            </w:tcBorders>
            <w:shd w:val="clear" w:color="F79646" w:fill="F79646"/>
            <w:vAlign w:val="center"/>
            <w:hideMark/>
          </w:tcPr>
          <w:p w:rsidR="00BA6BA1" w:rsidRPr="00A12428" w:rsidRDefault="00BA6BA1" w:rsidP="00FF3942">
            <w:pPr>
              <w:widowControl/>
              <w:jc w:val="left"/>
              <w:rPr>
                <w:rFonts w:ascii="Arial" w:eastAsia="楷体" w:hAnsi="Arial" w:cs="Arial"/>
                <w:b/>
                <w:sz w:val="18"/>
                <w:szCs w:val="18"/>
              </w:rPr>
            </w:pPr>
            <w:r w:rsidRPr="00A12428">
              <w:rPr>
                <w:rFonts w:ascii="Arial" w:eastAsia="楷体" w:hAnsi="Arial" w:cs="Arial"/>
                <w:b/>
                <w:sz w:val="18"/>
                <w:szCs w:val="18"/>
              </w:rPr>
              <w:t>涨跌</w:t>
            </w:r>
            <w:r w:rsidRPr="00A12428">
              <w:rPr>
                <w:rFonts w:ascii="Arial" w:eastAsia="楷体" w:hAnsi="Arial" w:cs="Arial"/>
                <w:b/>
                <w:sz w:val="18"/>
                <w:szCs w:val="18"/>
              </w:rPr>
              <w:t>%</w:t>
            </w:r>
          </w:p>
        </w:tc>
      </w:tr>
      <w:tr w:rsidR="00FF3942" w:rsidRPr="00B80614" w:rsidTr="00FF3942">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FF3942" w:rsidRPr="00A12428" w:rsidRDefault="00FF3942" w:rsidP="00FF3942">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普通股基</w:t>
            </w:r>
          </w:p>
        </w:tc>
        <w:tc>
          <w:tcPr>
            <w:tcW w:w="817" w:type="dxa"/>
            <w:tcBorders>
              <w:top w:val="single" w:sz="4" w:space="0" w:color="auto"/>
              <w:left w:val="single" w:sz="4" w:space="0" w:color="auto"/>
            </w:tcBorders>
            <w:shd w:val="clear" w:color="auto" w:fill="FFFFFF" w:themeFill="background1"/>
            <w:vAlign w:val="center"/>
            <w:hideMark/>
          </w:tcPr>
          <w:p w:rsidR="00FF3942" w:rsidRPr="00FF3942" w:rsidRDefault="00FF3942">
            <w:pPr>
              <w:rPr>
                <w:rFonts w:ascii="楷体" w:eastAsia="楷体" w:hAnsi="楷体"/>
                <w:color w:val="000000"/>
                <w:sz w:val="16"/>
                <w:szCs w:val="16"/>
              </w:rPr>
            </w:pPr>
            <w:r>
              <w:rPr>
                <w:rFonts w:ascii="楷体" w:eastAsia="楷体" w:hAnsi="楷体" w:hint="eastAsia"/>
                <w:color w:val="000000"/>
                <w:sz w:val="16"/>
                <w:szCs w:val="16"/>
              </w:rPr>
              <w:t>000960.</w:t>
            </w:r>
          </w:p>
        </w:tc>
        <w:tc>
          <w:tcPr>
            <w:tcW w:w="1701" w:type="dxa"/>
            <w:tcBorders>
              <w:top w:val="single" w:sz="4" w:space="0" w:color="auto"/>
            </w:tcBorders>
            <w:shd w:val="clear" w:color="auto" w:fill="FFFFFF" w:themeFill="background1"/>
            <w:vAlign w:val="center"/>
            <w:hideMark/>
          </w:tcPr>
          <w:p w:rsidR="00FF3942" w:rsidRPr="00FF3942" w:rsidRDefault="00FF3942">
            <w:pPr>
              <w:rPr>
                <w:rFonts w:ascii="楷体" w:eastAsia="楷体" w:hAnsi="楷体"/>
                <w:color w:val="000000"/>
                <w:sz w:val="16"/>
                <w:szCs w:val="16"/>
              </w:rPr>
            </w:pPr>
            <w:r w:rsidRPr="00FF3942">
              <w:rPr>
                <w:rFonts w:ascii="楷体" w:eastAsia="楷体" w:hAnsi="楷体" w:hint="eastAsia"/>
                <w:color w:val="000000"/>
                <w:sz w:val="16"/>
                <w:szCs w:val="16"/>
              </w:rPr>
              <w:t>招商医药健康产业</w:t>
            </w:r>
          </w:p>
        </w:tc>
        <w:tc>
          <w:tcPr>
            <w:tcW w:w="743" w:type="dxa"/>
            <w:tcBorders>
              <w:top w:val="single" w:sz="4" w:space="0" w:color="auto"/>
            </w:tcBorders>
            <w:shd w:val="clear" w:color="auto" w:fill="FFFFFF" w:themeFill="background1"/>
            <w:vAlign w:val="center"/>
            <w:hideMark/>
          </w:tcPr>
          <w:p w:rsidR="00FF3942" w:rsidRPr="00FF3942" w:rsidRDefault="00FF3942">
            <w:pPr>
              <w:jc w:val="right"/>
              <w:rPr>
                <w:rFonts w:ascii="楷体" w:eastAsia="楷体" w:hAnsi="楷体"/>
                <w:color w:val="000000"/>
                <w:sz w:val="16"/>
                <w:szCs w:val="16"/>
              </w:rPr>
            </w:pPr>
            <w:r w:rsidRPr="00FF3942">
              <w:rPr>
                <w:rFonts w:ascii="楷体" w:eastAsia="楷体" w:hAnsi="楷体" w:hint="eastAsia"/>
                <w:color w:val="000000"/>
                <w:sz w:val="16"/>
                <w:szCs w:val="16"/>
              </w:rPr>
              <w:t>7.34</w:t>
            </w:r>
          </w:p>
        </w:tc>
      </w:tr>
      <w:tr w:rsidR="00FF3942" w:rsidRPr="00B80614" w:rsidTr="00FF3942">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FF3942" w:rsidRPr="00A12428" w:rsidRDefault="00FF3942" w:rsidP="00FF3942">
            <w:pPr>
              <w:jc w:val="left"/>
              <w:rPr>
                <w:rFonts w:ascii="Arial" w:eastAsia="楷体" w:hAnsi="Arial" w:cs="Arial"/>
                <w:b/>
                <w:bCs/>
                <w:color w:val="000000"/>
                <w:kern w:val="0"/>
                <w:sz w:val="18"/>
                <w:szCs w:val="18"/>
              </w:rPr>
            </w:pPr>
          </w:p>
        </w:tc>
        <w:tc>
          <w:tcPr>
            <w:tcW w:w="817" w:type="dxa"/>
            <w:tcBorders>
              <w:left w:val="single" w:sz="4" w:space="0" w:color="auto"/>
            </w:tcBorders>
            <w:shd w:val="clear" w:color="auto" w:fill="FFFFFF" w:themeFill="background1"/>
            <w:vAlign w:val="center"/>
            <w:hideMark/>
          </w:tcPr>
          <w:p w:rsidR="00FF3942" w:rsidRPr="00FF3942" w:rsidRDefault="00FF3942">
            <w:pPr>
              <w:rPr>
                <w:rFonts w:ascii="楷体" w:eastAsia="楷体" w:hAnsi="楷体"/>
                <w:color w:val="000000"/>
                <w:sz w:val="16"/>
                <w:szCs w:val="16"/>
              </w:rPr>
            </w:pPr>
            <w:r>
              <w:rPr>
                <w:rFonts w:ascii="楷体" w:eastAsia="楷体" w:hAnsi="楷体" w:hint="eastAsia"/>
                <w:color w:val="000000"/>
                <w:sz w:val="16"/>
                <w:szCs w:val="16"/>
              </w:rPr>
              <w:t>000457.</w:t>
            </w:r>
          </w:p>
        </w:tc>
        <w:tc>
          <w:tcPr>
            <w:tcW w:w="1701" w:type="dxa"/>
            <w:shd w:val="clear" w:color="auto" w:fill="FFFFFF" w:themeFill="background1"/>
            <w:vAlign w:val="center"/>
            <w:hideMark/>
          </w:tcPr>
          <w:p w:rsidR="00FF3942" w:rsidRPr="00FF3942" w:rsidRDefault="00FF3942">
            <w:pPr>
              <w:rPr>
                <w:rFonts w:ascii="楷体" w:eastAsia="楷体" w:hAnsi="楷体"/>
                <w:color w:val="000000"/>
                <w:sz w:val="16"/>
                <w:szCs w:val="16"/>
              </w:rPr>
            </w:pPr>
            <w:r w:rsidRPr="00FF3942">
              <w:rPr>
                <w:rFonts w:ascii="楷体" w:eastAsia="楷体" w:hAnsi="楷体" w:hint="eastAsia"/>
                <w:color w:val="000000"/>
                <w:sz w:val="16"/>
                <w:szCs w:val="16"/>
              </w:rPr>
              <w:t>上投摩根核心成长</w:t>
            </w:r>
          </w:p>
        </w:tc>
        <w:tc>
          <w:tcPr>
            <w:tcW w:w="743" w:type="dxa"/>
            <w:shd w:val="clear" w:color="auto" w:fill="FFFFFF" w:themeFill="background1"/>
            <w:vAlign w:val="center"/>
            <w:hideMark/>
          </w:tcPr>
          <w:p w:rsidR="00FF3942" w:rsidRPr="00FF3942" w:rsidRDefault="00FF3942">
            <w:pPr>
              <w:jc w:val="right"/>
              <w:rPr>
                <w:rFonts w:ascii="楷体" w:eastAsia="楷体" w:hAnsi="楷体"/>
                <w:color w:val="000000"/>
                <w:sz w:val="16"/>
                <w:szCs w:val="16"/>
              </w:rPr>
            </w:pPr>
            <w:r w:rsidRPr="00FF3942">
              <w:rPr>
                <w:rFonts w:ascii="楷体" w:eastAsia="楷体" w:hAnsi="楷体" w:hint="eastAsia"/>
                <w:color w:val="000000"/>
                <w:sz w:val="16"/>
                <w:szCs w:val="16"/>
              </w:rPr>
              <w:t>4.45</w:t>
            </w:r>
          </w:p>
        </w:tc>
      </w:tr>
      <w:tr w:rsidR="00FF3942" w:rsidRPr="00B80614" w:rsidTr="00FF3942">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FF3942" w:rsidRPr="00A12428" w:rsidRDefault="00FF3942" w:rsidP="00FF3942">
            <w:pPr>
              <w:widowControl/>
              <w:jc w:val="left"/>
              <w:rPr>
                <w:rFonts w:ascii="Arial" w:eastAsia="楷体" w:hAnsi="Arial" w:cs="Arial"/>
                <w:b/>
                <w:bCs/>
                <w:color w:val="000000"/>
                <w:kern w:val="0"/>
                <w:sz w:val="18"/>
                <w:szCs w:val="18"/>
              </w:rPr>
            </w:pPr>
          </w:p>
        </w:tc>
        <w:tc>
          <w:tcPr>
            <w:tcW w:w="817" w:type="dxa"/>
            <w:tcBorders>
              <w:left w:val="single" w:sz="4" w:space="0" w:color="auto"/>
              <w:bottom w:val="single" w:sz="4" w:space="0" w:color="auto"/>
            </w:tcBorders>
            <w:shd w:val="clear" w:color="auto" w:fill="FFFFFF" w:themeFill="background1"/>
            <w:vAlign w:val="center"/>
            <w:hideMark/>
          </w:tcPr>
          <w:p w:rsidR="00FF3942" w:rsidRPr="00FF3942" w:rsidRDefault="00FF3942">
            <w:pPr>
              <w:rPr>
                <w:rFonts w:ascii="楷体" w:eastAsia="楷体" w:hAnsi="楷体"/>
                <w:color w:val="000000"/>
                <w:sz w:val="16"/>
                <w:szCs w:val="16"/>
              </w:rPr>
            </w:pPr>
            <w:r>
              <w:rPr>
                <w:rFonts w:ascii="楷体" w:eastAsia="楷体" w:hAnsi="楷体" w:hint="eastAsia"/>
                <w:color w:val="000000"/>
                <w:sz w:val="16"/>
                <w:szCs w:val="16"/>
              </w:rPr>
              <w:t>000628.</w:t>
            </w:r>
          </w:p>
        </w:tc>
        <w:tc>
          <w:tcPr>
            <w:tcW w:w="1701" w:type="dxa"/>
            <w:tcBorders>
              <w:bottom w:val="single" w:sz="4" w:space="0" w:color="auto"/>
            </w:tcBorders>
            <w:shd w:val="clear" w:color="auto" w:fill="FFFFFF" w:themeFill="background1"/>
            <w:vAlign w:val="center"/>
            <w:hideMark/>
          </w:tcPr>
          <w:p w:rsidR="00FF3942" w:rsidRPr="00FF3942" w:rsidRDefault="00FF3942">
            <w:pPr>
              <w:rPr>
                <w:rFonts w:ascii="楷体" w:eastAsia="楷体" w:hAnsi="楷体"/>
                <w:color w:val="000000"/>
                <w:sz w:val="16"/>
                <w:szCs w:val="16"/>
              </w:rPr>
            </w:pPr>
            <w:r w:rsidRPr="00FF3942">
              <w:rPr>
                <w:rFonts w:ascii="楷体" w:eastAsia="楷体" w:hAnsi="楷体" w:hint="eastAsia"/>
                <w:color w:val="000000"/>
                <w:sz w:val="16"/>
                <w:szCs w:val="16"/>
              </w:rPr>
              <w:t>大成高新技术产业</w:t>
            </w:r>
          </w:p>
        </w:tc>
        <w:tc>
          <w:tcPr>
            <w:tcW w:w="743" w:type="dxa"/>
            <w:tcBorders>
              <w:bottom w:val="single" w:sz="4" w:space="0" w:color="auto"/>
            </w:tcBorders>
            <w:shd w:val="clear" w:color="auto" w:fill="FFFFFF" w:themeFill="background1"/>
            <w:vAlign w:val="center"/>
            <w:hideMark/>
          </w:tcPr>
          <w:p w:rsidR="00FF3942" w:rsidRPr="00FF3942" w:rsidRDefault="00FF3942">
            <w:pPr>
              <w:jc w:val="right"/>
              <w:rPr>
                <w:rFonts w:ascii="楷体" w:eastAsia="楷体" w:hAnsi="楷体"/>
                <w:color w:val="000000"/>
                <w:sz w:val="16"/>
                <w:szCs w:val="16"/>
              </w:rPr>
            </w:pPr>
            <w:r w:rsidRPr="00FF3942">
              <w:rPr>
                <w:rFonts w:ascii="楷体" w:eastAsia="楷体" w:hAnsi="楷体" w:hint="eastAsia"/>
                <w:color w:val="000000"/>
                <w:sz w:val="16"/>
                <w:szCs w:val="16"/>
              </w:rPr>
              <w:t>4.29</w:t>
            </w:r>
          </w:p>
        </w:tc>
      </w:tr>
      <w:tr w:rsidR="00FF3942" w:rsidRPr="00B80614" w:rsidTr="00FF3942">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FF3942" w:rsidRPr="00A12428" w:rsidRDefault="00FF3942" w:rsidP="00FF3942">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指数股基</w:t>
            </w:r>
            <w:proofErr w:type="gramEnd"/>
          </w:p>
        </w:tc>
        <w:tc>
          <w:tcPr>
            <w:tcW w:w="817" w:type="dxa"/>
            <w:tcBorders>
              <w:top w:val="single" w:sz="4" w:space="0" w:color="auto"/>
              <w:left w:val="nil"/>
              <w:bottom w:val="nil"/>
              <w:right w:val="nil"/>
            </w:tcBorders>
            <w:shd w:val="clear" w:color="auto" w:fill="F2F2F2" w:themeFill="background1" w:themeFillShade="F2"/>
            <w:vAlign w:val="center"/>
            <w:hideMark/>
          </w:tcPr>
          <w:p w:rsidR="00FF3942" w:rsidRPr="00FF3942" w:rsidRDefault="00FF3942">
            <w:pPr>
              <w:rPr>
                <w:rFonts w:ascii="楷体" w:eastAsia="楷体" w:hAnsi="楷体"/>
                <w:color w:val="000000"/>
                <w:sz w:val="16"/>
                <w:szCs w:val="16"/>
              </w:rPr>
            </w:pPr>
            <w:r>
              <w:rPr>
                <w:rFonts w:ascii="楷体" w:eastAsia="楷体" w:hAnsi="楷体" w:hint="eastAsia"/>
                <w:color w:val="000000"/>
                <w:sz w:val="16"/>
                <w:szCs w:val="16"/>
              </w:rPr>
              <w:t>161724.</w:t>
            </w:r>
          </w:p>
        </w:tc>
        <w:tc>
          <w:tcPr>
            <w:tcW w:w="1701" w:type="dxa"/>
            <w:tcBorders>
              <w:top w:val="single" w:sz="4" w:space="0" w:color="auto"/>
              <w:left w:val="nil"/>
              <w:bottom w:val="nil"/>
              <w:right w:val="nil"/>
            </w:tcBorders>
            <w:shd w:val="clear" w:color="auto" w:fill="F2F2F2" w:themeFill="background1" w:themeFillShade="F2"/>
            <w:vAlign w:val="center"/>
            <w:hideMark/>
          </w:tcPr>
          <w:p w:rsidR="00FF3942" w:rsidRPr="00FF3942" w:rsidRDefault="00FF3942">
            <w:pPr>
              <w:rPr>
                <w:rFonts w:ascii="楷体" w:eastAsia="楷体" w:hAnsi="楷体"/>
                <w:color w:val="000000"/>
                <w:sz w:val="16"/>
                <w:szCs w:val="16"/>
              </w:rPr>
            </w:pPr>
            <w:r w:rsidRPr="00FF3942">
              <w:rPr>
                <w:rFonts w:ascii="楷体" w:eastAsia="楷体" w:hAnsi="楷体" w:hint="eastAsia"/>
                <w:color w:val="000000"/>
                <w:sz w:val="16"/>
                <w:szCs w:val="16"/>
              </w:rPr>
              <w:t>招商中证煤炭</w:t>
            </w:r>
          </w:p>
        </w:tc>
        <w:tc>
          <w:tcPr>
            <w:tcW w:w="743" w:type="dxa"/>
            <w:tcBorders>
              <w:top w:val="single" w:sz="4" w:space="0" w:color="auto"/>
              <w:left w:val="nil"/>
              <w:bottom w:val="nil"/>
              <w:right w:val="nil"/>
            </w:tcBorders>
            <w:shd w:val="clear" w:color="auto" w:fill="F2F2F2" w:themeFill="background1" w:themeFillShade="F2"/>
            <w:vAlign w:val="center"/>
            <w:hideMark/>
          </w:tcPr>
          <w:p w:rsidR="00FF3942" w:rsidRPr="00FF3942" w:rsidRDefault="00FF3942">
            <w:pPr>
              <w:jc w:val="right"/>
              <w:rPr>
                <w:rFonts w:ascii="楷体" w:eastAsia="楷体" w:hAnsi="楷体"/>
                <w:color w:val="000000"/>
                <w:sz w:val="16"/>
                <w:szCs w:val="16"/>
              </w:rPr>
            </w:pPr>
            <w:r w:rsidRPr="00FF3942">
              <w:rPr>
                <w:rFonts w:ascii="楷体" w:eastAsia="楷体" w:hAnsi="楷体" w:hint="eastAsia"/>
                <w:color w:val="000000"/>
                <w:sz w:val="16"/>
                <w:szCs w:val="16"/>
              </w:rPr>
              <w:t>7.58</w:t>
            </w:r>
          </w:p>
        </w:tc>
      </w:tr>
      <w:tr w:rsidR="00FF3942" w:rsidRPr="00B80614" w:rsidTr="00FF3942">
        <w:trPr>
          <w:trHeight w:val="284"/>
        </w:trPr>
        <w:tc>
          <w:tcPr>
            <w:tcW w:w="709" w:type="dxa"/>
            <w:vMerge/>
            <w:tcBorders>
              <w:left w:val="nil"/>
              <w:right w:val="single" w:sz="8" w:space="0" w:color="000000"/>
            </w:tcBorders>
            <w:shd w:val="clear" w:color="auto" w:fill="F2F2F2" w:themeFill="background1" w:themeFillShade="F2"/>
            <w:vAlign w:val="center"/>
            <w:hideMark/>
          </w:tcPr>
          <w:p w:rsidR="00FF3942" w:rsidRPr="00A12428" w:rsidRDefault="00FF3942" w:rsidP="00FF3942">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FF3942" w:rsidRPr="00FF3942" w:rsidRDefault="00FF3942">
            <w:pPr>
              <w:rPr>
                <w:rFonts w:ascii="楷体" w:eastAsia="楷体" w:hAnsi="楷体"/>
                <w:color w:val="000000"/>
                <w:sz w:val="16"/>
                <w:szCs w:val="16"/>
              </w:rPr>
            </w:pPr>
            <w:r>
              <w:rPr>
                <w:rFonts w:ascii="楷体" w:eastAsia="楷体" w:hAnsi="楷体" w:hint="eastAsia"/>
                <w:color w:val="000000"/>
                <w:sz w:val="16"/>
                <w:szCs w:val="16"/>
              </w:rPr>
              <w:t>161032.</w:t>
            </w:r>
          </w:p>
        </w:tc>
        <w:tc>
          <w:tcPr>
            <w:tcW w:w="1701" w:type="dxa"/>
            <w:tcBorders>
              <w:top w:val="nil"/>
              <w:left w:val="nil"/>
              <w:bottom w:val="nil"/>
              <w:right w:val="nil"/>
            </w:tcBorders>
            <w:shd w:val="clear" w:color="auto" w:fill="F2F2F2" w:themeFill="background1" w:themeFillShade="F2"/>
            <w:vAlign w:val="center"/>
            <w:hideMark/>
          </w:tcPr>
          <w:p w:rsidR="00FF3942" w:rsidRPr="00FF3942" w:rsidRDefault="00FF3942">
            <w:pPr>
              <w:rPr>
                <w:rFonts w:ascii="楷体" w:eastAsia="楷体" w:hAnsi="楷体"/>
                <w:color w:val="000000"/>
                <w:sz w:val="16"/>
                <w:szCs w:val="16"/>
              </w:rPr>
            </w:pPr>
            <w:r w:rsidRPr="00FF3942">
              <w:rPr>
                <w:rFonts w:ascii="楷体" w:eastAsia="楷体" w:hAnsi="楷体" w:hint="eastAsia"/>
                <w:color w:val="000000"/>
                <w:sz w:val="16"/>
                <w:szCs w:val="16"/>
              </w:rPr>
              <w:t>富国中证煤炭</w:t>
            </w:r>
          </w:p>
        </w:tc>
        <w:tc>
          <w:tcPr>
            <w:tcW w:w="743" w:type="dxa"/>
            <w:tcBorders>
              <w:top w:val="nil"/>
              <w:left w:val="nil"/>
              <w:bottom w:val="nil"/>
              <w:right w:val="nil"/>
            </w:tcBorders>
            <w:shd w:val="clear" w:color="auto" w:fill="F2F2F2" w:themeFill="background1" w:themeFillShade="F2"/>
            <w:vAlign w:val="center"/>
            <w:hideMark/>
          </w:tcPr>
          <w:p w:rsidR="00FF3942" w:rsidRPr="00FF3942" w:rsidRDefault="00FF3942">
            <w:pPr>
              <w:jc w:val="right"/>
              <w:rPr>
                <w:rFonts w:ascii="楷体" w:eastAsia="楷体" w:hAnsi="楷体"/>
                <w:color w:val="000000"/>
                <w:sz w:val="16"/>
                <w:szCs w:val="16"/>
              </w:rPr>
            </w:pPr>
            <w:r w:rsidRPr="00FF3942">
              <w:rPr>
                <w:rFonts w:ascii="楷体" w:eastAsia="楷体" w:hAnsi="楷体" w:hint="eastAsia"/>
                <w:color w:val="000000"/>
                <w:sz w:val="16"/>
                <w:szCs w:val="16"/>
              </w:rPr>
              <w:t>6.80</w:t>
            </w:r>
          </w:p>
        </w:tc>
      </w:tr>
      <w:tr w:rsidR="00FF3942" w:rsidRPr="00B80614" w:rsidTr="00FF3942">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FF3942" w:rsidRPr="00A12428" w:rsidRDefault="00FF3942" w:rsidP="00FF3942">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FF3942" w:rsidRPr="00FF3942" w:rsidRDefault="00FF3942">
            <w:pPr>
              <w:rPr>
                <w:rFonts w:ascii="楷体" w:eastAsia="楷体" w:hAnsi="楷体"/>
                <w:color w:val="000000"/>
                <w:sz w:val="16"/>
                <w:szCs w:val="16"/>
              </w:rPr>
            </w:pPr>
            <w:r>
              <w:rPr>
                <w:rFonts w:ascii="楷体" w:eastAsia="楷体" w:hAnsi="楷体" w:hint="eastAsia"/>
                <w:color w:val="000000"/>
                <w:sz w:val="16"/>
                <w:szCs w:val="16"/>
              </w:rPr>
              <w:t>168204.</w:t>
            </w:r>
          </w:p>
        </w:tc>
        <w:tc>
          <w:tcPr>
            <w:tcW w:w="1701" w:type="dxa"/>
            <w:tcBorders>
              <w:top w:val="nil"/>
              <w:left w:val="nil"/>
              <w:bottom w:val="single" w:sz="8" w:space="0" w:color="000000"/>
              <w:right w:val="nil"/>
            </w:tcBorders>
            <w:shd w:val="clear" w:color="auto" w:fill="F2F2F2" w:themeFill="background1" w:themeFillShade="F2"/>
            <w:vAlign w:val="center"/>
            <w:hideMark/>
          </w:tcPr>
          <w:p w:rsidR="00FF3942" w:rsidRPr="00FF3942" w:rsidRDefault="00FF3942">
            <w:pPr>
              <w:rPr>
                <w:rFonts w:ascii="楷体" w:eastAsia="楷体" w:hAnsi="楷体"/>
                <w:color w:val="000000"/>
                <w:sz w:val="16"/>
                <w:szCs w:val="16"/>
              </w:rPr>
            </w:pPr>
            <w:proofErr w:type="gramStart"/>
            <w:r w:rsidRPr="00FF3942">
              <w:rPr>
                <w:rFonts w:ascii="楷体" w:eastAsia="楷体" w:hAnsi="楷体" w:hint="eastAsia"/>
                <w:color w:val="000000"/>
                <w:sz w:val="16"/>
                <w:szCs w:val="16"/>
              </w:rPr>
              <w:t>中融中</w:t>
            </w:r>
            <w:proofErr w:type="gramEnd"/>
            <w:r w:rsidRPr="00FF3942">
              <w:rPr>
                <w:rFonts w:ascii="楷体" w:eastAsia="楷体" w:hAnsi="楷体" w:hint="eastAsia"/>
                <w:color w:val="000000"/>
                <w:sz w:val="16"/>
                <w:szCs w:val="16"/>
              </w:rPr>
              <w:t>证煤炭</w:t>
            </w:r>
          </w:p>
        </w:tc>
        <w:tc>
          <w:tcPr>
            <w:tcW w:w="743" w:type="dxa"/>
            <w:tcBorders>
              <w:top w:val="nil"/>
              <w:left w:val="nil"/>
              <w:bottom w:val="single" w:sz="8" w:space="0" w:color="000000"/>
              <w:right w:val="nil"/>
            </w:tcBorders>
            <w:shd w:val="clear" w:color="auto" w:fill="F2F2F2" w:themeFill="background1" w:themeFillShade="F2"/>
            <w:vAlign w:val="center"/>
            <w:hideMark/>
          </w:tcPr>
          <w:p w:rsidR="00FF3942" w:rsidRPr="00FF3942" w:rsidRDefault="00FF3942">
            <w:pPr>
              <w:jc w:val="right"/>
              <w:rPr>
                <w:rFonts w:ascii="楷体" w:eastAsia="楷体" w:hAnsi="楷体"/>
                <w:color w:val="000000"/>
                <w:sz w:val="16"/>
                <w:szCs w:val="16"/>
              </w:rPr>
            </w:pPr>
            <w:r w:rsidRPr="00FF3942">
              <w:rPr>
                <w:rFonts w:ascii="楷体" w:eastAsia="楷体" w:hAnsi="楷体" w:hint="eastAsia"/>
                <w:color w:val="000000"/>
                <w:sz w:val="16"/>
                <w:szCs w:val="16"/>
              </w:rPr>
              <w:t>6.36</w:t>
            </w:r>
          </w:p>
        </w:tc>
      </w:tr>
      <w:tr w:rsidR="00E02B06" w:rsidRPr="00B80614" w:rsidTr="00FF3942">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E02B06" w:rsidRPr="00A12428" w:rsidRDefault="00E02B06" w:rsidP="00FF3942">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混合偏股</w:t>
            </w:r>
            <w:proofErr w:type="gramEnd"/>
          </w:p>
        </w:tc>
        <w:tc>
          <w:tcPr>
            <w:tcW w:w="817" w:type="dxa"/>
            <w:tcBorders>
              <w:top w:val="nil"/>
              <w:left w:val="nil"/>
              <w:bottom w:val="nil"/>
              <w:right w:val="nil"/>
            </w:tcBorders>
            <w:shd w:val="clear" w:color="auto" w:fill="FFFFFF" w:themeFill="background1"/>
            <w:vAlign w:val="center"/>
            <w:hideMark/>
          </w:tcPr>
          <w:p w:rsidR="00E02B06" w:rsidRPr="00E02B06" w:rsidRDefault="00E02B06">
            <w:pPr>
              <w:rPr>
                <w:rFonts w:ascii="楷体" w:eastAsia="楷体" w:hAnsi="楷体"/>
                <w:color w:val="000000"/>
                <w:sz w:val="16"/>
                <w:szCs w:val="16"/>
              </w:rPr>
            </w:pPr>
            <w:r>
              <w:rPr>
                <w:rFonts w:ascii="楷体" w:eastAsia="楷体" w:hAnsi="楷体" w:hint="eastAsia"/>
                <w:color w:val="000000"/>
                <w:sz w:val="16"/>
                <w:szCs w:val="16"/>
              </w:rPr>
              <w:t>240022.</w:t>
            </w:r>
          </w:p>
        </w:tc>
        <w:tc>
          <w:tcPr>
            <w:tcW w:w="1701" w:type="dxa"/>
            <w:tcBorders>
              <w:top w:val="nil"/>
              <w:left w:val="nil"/>
              <w:bottom w:val="nil"/>
              <w:right w:val="nil"/>
            </w:tcBorders>
            <w:shd w:val="clear" w:color="auto" w:fill="FFFFFF" w:themeFill="background1"/>
            <w:vAlign w:val="center"/>
            <w:hideMark/>
          </w:tcPr>
          <w:p w:rsidR="00E02B06" w:rsidRPr="00E02B06" w:rsidRDefault="00E02B06">
            <w:pPr>
              <w:rPr>
                <w:rFonts w:ascii="楷体" w:eastAsia="楷体" w:hAnsi="楷体"/>
                <w:color w:val="000000"/>
                <w:sz w:val="16"/>
                <w:szCs w:val="16"/>
              </w:rPr>
            </w:pPr>
            <w:r w:rsidRPr="00E02B06">
              <w:rPr>
                <w:rFonts w:ascii="楷体" w:eastAsia="楷体" w:hAnsi="楷体" w:hint="eastAsia"/>
                <w:color w:val="000000"/>
                <w:sz w:val="16"/>
                <w:szCs w:val="16"/>
              </w:rPr>
              <w:t>华宝兴业资源优选</w:t>
            </w:r>
          </w:p>
        </w:tc>
        <w:tc>
          <w:tcPr>
            <w:tcW w:w="743" w:type="dxa"/>
            <w:tcBorders>
              <w:top w:val="nil"/>
              <w:left w:val="nil"/>
              <w:bottom w:val="nil"/>
              <w:right w:val="nil"/>
            </w:tcBorders>
            <w:shd w:val="clear" w:color="auto" w:fill="FFFFFF" w:themeFill="background1"/>
            <w:vAlign w:val="center"/>
            <w:hideMark/>
          </w:tcPr>
          <w:p w:rsidR="00E02B06" w:rsidRPr="00E02B06" w:rsidRDefault="00E02B06">
            <w:pPr>
              <w:jc w:val="right"/>
              <w:rPr>
                <w:rFonts w:ascii="楷体" w:eastAsia="楷体" w:hAnsi="楷体"/>
                <w:color w:val="000000"/>
                <w:sz w:val="16"/>
                <w:szCs w:val="16"/>
              </w:rPr>
            </w:pPr>
            <w:r w:rsidRPr="00E02B06">
              <w:rPr>
                <w:rFonts w:ascii="楷体" w:eastAsia="楷体" w:hAnsi="楷体" w:hint="eastAsia"/>
                <w:color w:val="000000"/>
                <w:sz w:val="16"/>
                <w:szCs w:val="16"/>
              </w:rPr>
              <w:t>6.72</w:t>
            </w:r>
          </w:p>
        </w:tc>
      </w:tr>
      <w:tr w:rsidR="00E02B06" w:rsidRPr="00B80614" w:rsidTr="00FF3942">
        <w:trPr>
          <w:trHeight w:val="284"/>
        </w:trPr>
        <w:tc>
          <w:tcPr>
            <w:tcW w:w="709" w:type="dxa"/>
            <w:vMerge/>
            <w:tcBorders>
              <w:left w:val="nil"/>
              <w:right w:val="single" w:sz="8" w:space="0" w:color="000000"/>
            </w:tcBorders>
            <w:shd w:val="clear" w:color="auto" w:fill="FFFFFF" w:themeFill="background1"/>
            <w:vAlign w:val="center"/>
            <w:hideMark/>
          </w:tcPr>
          <w:p w:rsidR="00E02B06" w:rsidRPr="00A12428" w:rsidRDefault="00E02B06" w:rsidP="00FF3942">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E02B06" w:rsidRPr="00E02B06" w:rsidRDefault="00E02B06">
            <w:pPr>
              <w:rPr>
                <w:rFonts w:ascii="楷体" w:eastAsia="楷体" w:hAnsi="楷体"/>
                <w:color w:val="000000"/>
                <w:sz w:val="16"/>
                <w:szCs w:val="16"/>
              </w:rPr>
            </w:pPr>
            <w:r>
              <w:rPr>
                <w:rFonts w:ascii="楷体" w:eastAsia="楷体" w:hAnsi="楷体" w:hint="eastAsia"/>
                <w:color w:val="000000"/>
                <w:sz w:val="16"/>
                <w:szCs w:val="16"/>
              </w:rPr>
              <w:t>090007.</w:t>
            </w:r>
          </w:p>
        </w:tc>
        <w:tc>
          <w:tcPr>
            <w:tcW w:w="1701" w:type="dxa"/>
            <w:tcBorders>
              <w:top w:val="nil"/>
              <w:left w:val="nil"/>
              <w:bottom w:val="nil"/>
              <w:right w:val="nil"/>
            </w:tcBorders>
            <w:shd w:val="clear" w:color="auto" w:fill="FFFFFF" w:themeFill="background1"/>
            <w:vAlign w:val="center"/>
            <w:hideMark/>
          </w:tcPr>
          <w:p w:rsidR="00E02B06" w:rsidRPr="00E02B06" w:rsidRDefault="00E02B06">
            <w:pPr>
              <w:rPr>
                <w:rFonts w:ascii="楷体" w:eastAsia="楷体" w:hAnsi="楷体"/>
                <w:color w:val="000000"/>
                <w:sz w:val="16"/>
                <w:szCs w:val="16"/>
              </w:rPr>
            </w:pPr>
            <w:r w:rsidRPr="00E02B06">
              <w:rPr>
                <w:rFonts w:ascii="楷体" w:eastAsia="楷体" w:hAnsi="楷体" w:hint="eastAsia"/>
                <w:color w:val="000000"/>
                <w:sz w:val="16"/>
                <w:szCs w:val="16"/>
              </w:rPr>
              <w:t>大成策略回报</w:t>
            </w:r>
          </w:p>
        </w:tc>
        <w:tc>
          <w:tcPr>
            <w:tcW w:w="743" w:type="dxa"/>
            <w:tcBorders>
              <w:top w:val="nil"/>
              <w:left w:val="nil"/>
              <w:bottom w:val="nil"/>
              <w:right w:val="nil"/>
            </w:tcBorders>
            <w:shd w:val="clear" w:color="auto" w:fill="FFFFFF" w:themeFill="background1"/>
            <w:vAlign w:val="center"/>
            <w:hideMark/>
          </w:tcPr>
          <w:p w:rsidR="00E02B06" w:rsidRPr="00E02B06" w:rsidRDefault="00E02B06">
            <w:pPr>
              <w:jc w:val="right"/>
              <w:rPr>
                <w:rFonts w:ascii="楷体" w:eastAsia="楷体" w:hAnsi="楷体"/>
                <w:color w:val="000000"/>
                <w:sz w:val="16"/>
                <w:szCs w:val="16"/>
              </w:rPr>
            </w:pPr>
            <w:r w:rsidRPr="00E02B06">
              <w:rPr>
                <w:rFonts w:ascii="楷体" w:eastAsia="楷体" w:hAnsi="楷体" w:hint="eastAsia"/>
                <w:color w:val="000000"/>
                <w:sz w:val="16"/>
                <w:szCs w:val="16"/>
              </w:rPr>
              <w:t>4.71</w:t>
            </w:r>
          </w:p>
        </w:tc>
      </w:tr>
      <w:tr w:rsidR="00E02B06" w:rsidRPr="00B80614" w:rsidTr="00FF3942">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E02B06" w:rsidRPr="00A12428" w:rsidRDefault="00E02B06" w:rsidP="00FF3942">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E02B06" w:rsidRPr="00E02B06" w:rsidRDefault="00E02B06">
            <w:pPr>
              <w:rPr>
                <w:rFonts w:ascii="楷体" w:eastAsia="楷体" w:hAnsi="楷体"/>
                <w:color w:val="000000"/>
                <w:sz w:val="16"/>
                <w:szCs w:val="16"/>
              </w:rPr>
            </w:pPr>
            <w:r>
              <w:rPr>
                <w:rFonts w:ascii="楷体" w:eastAsia="楷体" w:hAnsi="楷体" w:hint="eastAsia"/>
                <w:color w:val="000000"/>
                <w:sz w:val="16"/>
                <w:szCs w:val="16"/>
              </w:rPr>
              <w:t>090013.</w:t>
            </w:r>
          </w:p>
        </w:tc>
        <w:tc>
          <w:tcPr>
            <w:tcW w:w="1701" w:type="dxa"/>
            <w:tcBorders>
              <w:top w:val="nil"/>
              <w:left w:val="nil"/>
              <w:bottom w:val="single" w:sz="8" w:space="0" w:color="000000"/>
              <w:right w:val="nil"/>
            </w:tcBorders>
            <w:shd w:val="clear" w:color="auto" w:fill="FFFFFF" w:themeFill="background1"/>
            <w:vAlign w:val="center"/>
            <w:hideMark/>
          </w:tcPr>
          <w:p w:rsidR="00E02B06" w:rsidRPr="00E02B06" w:rsidRDefault="00E02B06">
            <w:pPr>
              <w:rPr>
                <w:rFonts w:ascii="楷体" w:eastAsia="楷体" w:hAnsi="楷体"/>
                <w:color w:val="000000"/>
                <w:sz w:val="16"/>
                <w:szCs w:val="16"/>
              </w:rPr>
            </w:pPr>
            <w:r w:rsidRPr="00E02B06">
              <w:rPr>
                <w:rFonts w:ascii="楷体" w:eastAsia="楷体" w:hAnsi="楷体" w:hint="eastAsia"/>
                <w:color w:val="000000"/>
                <w:sz w:val="16"/>
                <w:szCs w:val="16"/>
              </w:rPr>
              <w:t>大成竞争优势</w:t>
            </w:r>
          </w:p>
        </w:tc>
        <w:tc>
          <w:tcPr>
            <w:tcW w:w="743" w:type="dxa"/>
            <w:tcBorders>
              <w:top w:val="nil"/>
              <w:left w:val="nil"/>
              <w:bottom w:val="single" w:sz="8" w:space="0" w:color="000000"/>
              <w:right w:val="nil"/>
            </w:tcBorders>
            <w:shd w:val="clear" w:color="auto" w:fill="FFFFFF" w:themeFill="background1"/>
            <w:vAlign w:val="center"/>
            <w:hideMark/>
          </w:tcPr>
          <w:p w:rsidR="00E02B06" w:rsidRPr="00E02B06" w:rsidRDefault="00E02B06">
            <w:pPr>
              <w:jc w:val="right"/>
              <w:rPr>
                <w:rFonts w:ascii="楷体" w:eastAsia="楷体" w:hAnsi="楷体"/>
                <w:color w:val="000000"/>
                <w:sz w:val="16"/>
                <w:szCs w:val="16"/>
              </w:rPr>
            </w:pPr>
            <w:r w:rsidRPr="00E02B06">
              <w:rPr>
                <w:rFonts w:ascii="楷体" w:eastAsia="楷体" w:hAnsi="楷体" w:hint="eastAsia"/>
                <w:color w:val="000000"/>
                <w:sz w:val="16"/>
                <w:szCs w:val="16"/>
              </w:rPr>
              <w:t>4.39</w:t>
            </w:r>
          </w:p>
        </w:tc>
      </w:tr>
      <w:tr w:rsidR="00E02B06" w:rsidRPr="00B80614" w:rsidTr="00FF3942">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E02B06" w:rsidRPr="00A12428" w:rsidRDefault="00E02B06" w:rsidP="00FF3942">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混合偏债</w:t>
            </w:r>
            <w:proofErr w:type="gramEnd"/>
          </w:p>
        </w:tc>
        <w:tc>
          <w:tcPr>
            <w:tcW w:w="817" w:type="dxa"/>
            <w:tcBorders>
              <w:top w:val="nil"/>
              <w:left w:val="nil"/>
              <w:bottom w:val="nil"/>
              <w:right w:val="nil"/>
            </w:tcBorders>
            <w:shd w:val="clear" w:color="auto" w:fill="F2F2F2" w:themeFill="background1" w:themeFillShade="F2"/>
            <w:vAlign w:val="center"/>
            <w:hideMark/>
          </w:tcPr>
          <w:p w:rsidR="00E02B06" w:rsidRPr="00E02B06" w:rsidRDefault="00E02B06">
            <w:pPr>
              <w:rPr>
                <w:rFonts w:ascii="楷体" w:eastAsia="楷体" w:hAnsi="楷体"/>
                <w:color w:val="000000"/>
                <w:sz w:val="16"/>
                <w:szCs w:val="16"/>
              </w:rPr>
            </w:pPr>
            <w:r>
              <w:rPr>
                <w:rFonts w:ascii="楷体" w:eastAsia="楷体" w:hAnsi="楷体" w:hint="eastAsia"/>
                <w:color w:val="000000"/>
                <w:sz w:val="16"/>
                <w:szCs w:val="16"/>
              </w:rPr>
              <w:t>001448.</w:t>
            </w:r>
          </w:p>
        </w:tc>
        <w:tc>
          <w:tcPr>
            <w:tcW w:w="1701" w:type="dxa"/>
            <w:tcBorders>
              <w:top w:val="nil"/>
              <w:left w:val="nil"/>
              <w:bottom w:val="nil"/>
              <w:right w:val="nil"/>
            </w:tcBorders>
            <w:shd w:val="clear" w:color="auto" w:fill="F2F2F2" w:themeFill="background1" w:themeFillShade="F2"/>
            <w:vAlign w:val="center"/>
            <w:hideMark/>
          </w:tcPr>
          <w:p w:rsidR="00E02B06" w:rsidRPr="00E02B06" w:rsidRDefault="00E02B06">
            <w:pPr>
              <w:rPr>
                <w:rFonts w:ascii="楷体" w:eastAsia="楷体" w:hAnsi="楷体"/>
                <w:color w:val="000000"/>
                <w:sz w:val="16"/>
                <w:szCs w:val="16"/>
              </w:rPr>
            </w:pPr>
            <w:r w:rsidRPr="00E02B06">
              <w:rPr>
                <w:rFonts w:ascii="楷体" w:eastAsia="楷体" w:hAnsi="楷体" w:hint="eastAsia"/>
                <w:color w:val="000000"/>
                <w:sz w:val="16"/>
                <w:szCs w:val="16"/>
              </w:rPr>
              <w:t>华商双翼</w:t>
            </w:r>
          </w:p>
        </w:tc>
        <w:tc>
          <w:tcPr>
            <w:tcW w:w="743" w:type="dxa"/>
            <w:tcBorders>
              <w:top w:val="nil"/>
              <w:left w:val="nil"/>
              <w:bottom w:val="nil"/>
              <w:right w:val="nil"/>
            </w:tcBorders>
            <w:shd w:val="clear" w:color="auto" w:fill="F2F2F2" w:themeFill="background1" w:themeFillShade="F2"/>
            <w:vAlign w:val="center"/>
            <w:hideMark/>
          </w:tcPr>
          <w:p w:rsidR="00E02B06" w:rsidRPr="00E02B06" w:rsidRDefault="00E02B06">
            <w:pPr>
              <w:jc w:val="right"/>
              <w:rPr>
                <w:rFonts w:ascii="楷体" w:eastAsia="楷体" w:hAnsi="楷体"/>
                <w:color w:val="000000"/>
                <w:sz w:val="16"/>
                <w:szCs w:val="16"/>
              </w:rPr>
            </w:pPr>
            <w:r w:rsidRPr="00E02B06">
              <w:rPr>
                <w:rFonts w:ascii="楷体" w:eastAsia="楷体" w:hAnsi="楷体" w:hint="eastAsia"/>
                <w:color w:val="000000"/>
                <w:sz w:val="16"/>
                <w:szCs w:val="16"/>
              </w:rPr>
              <w:t>1.50</w:t>
            </w:r>
          </w:p>
        </w:tc>
      </w:tr>
      <w:tr w:rsidR="00E02B06" w:rsidRPr="00B80614" w:rsidTr="00FF3942">
        <w:trPr>
          <w:trHeight w:val="284"/>
        </w:trPr>
        <w:tc>
          <w:tcPr>
            <w:tcW w:w="709" w:type="dxa"/>
            <w:vMerge/>
            <w:tcBorders>
              <w:left w:val="nil"/>
              <w:right w:val="single" w:sz="8" w:space="0" w:color="000000"/>
            </w:tcBorders>
            <w:shd w:val="clear" w:color="auto" w:fill="F2F2F2" w:themeFill="background1" w:themeFillShade="F2"/>
            <w:vAlign w:val="center"/>
            <w:hideMark/>
          </w:tcPr>
          <w:p w:rsidR="00E02B06" w:rsidRPr="00A12428" w:rsidRDefault="00E02B06" w:rsidP="00FF3942">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E02B06" w:rsidRPr="00E02B06" w:rsidRDefault="00E02B06">
            <w:pPr>
              <w:rPr>
                <w:rFonts w:ascii="楷体" w:eastAsia="楷体" w:hAnsi="楷体"/>
                <w:color w:val="000000"/>
                <w:sz w:val="16"/>
                <w:szCs w:val="16"/>
              </w:rPr>
            </w:pPr>
            <w:r>
              <w:rPr>
                <w:rFonts w:ascii="楷体" w:eastAsia="楷体" w:hAnsi="楷体" w:hint="eastAsia"/>
                <w:color w:val="000000"/>
                <w:sz w:val="16"/>
                <w:szCs w:val="16"/>
              </w:rPr>
              <w:t>001571.</w:t>
            </w:r>
          </w:p>
        </w:tc>
        <w:tc>
          <w:tcPr>
            <w:tcW w:w="1701" w:type="dxa"/>
            <w:tcBorders>
              <w:top w:val="nil"/>
              <w:left w:val="nil"/>
              <w:bottom w:val="nil"/>
              <w:right w:val="nil"/>
            </w:tcBorders>
            <w:shd w:val="clear" w:color="auto" w:fill="F2F2F2" w:themeFill="background1" w:themeFillShade="F2"/>
            <w:vAlign w:val="center"/>
            <w:hideMark/>
          </w:tcPr>
          <w:p w:rsidR="00E02B06" w:rsidRPr="00E02B06" w:rsidRDefault="00E02B06">
            <w:pPr>
              <w:rPr>
                <w:rFonts w:ascii="楷体" w:eastAsia="楷体" w:hAnsi="楷体"/>
                <w:color w:val="000000"/>
                <w:sz w:val="16"/>
                <w:szCs w:val="16"/>
              </w:rPr>
            </w:pPr>
            <w:proofErr w:type="gramStart"/>
            <w:r w:rsidRPr="00E02B06">
              <w:rPr>
                <w:rFonts w:ascii="楷体" w:eastAsia="楷体" w:hAnsi="楷体" w:hint="eastAsia"/>
                <w:color w:val="000000"/>
                <w:sz w:val="16"/>
                <w:szCs w:val="16"/>
              </w:rPr>
              <w:t>嘉合磐石</w:t>
            </w:r>
            <w:proofErr w:type="gramEnd"/>
            <w:r w:rsidRPr="00E02B06">
              <w:rPr>
                <w:rFonts w:ascii="楷体" w:eastAsia="楷体" w:hAnsi="楷体" w:hint="eastAsia"/>
                <w:color w:val="000000"/>
                <w:sz w:val="16"/>
                <w:szCs w:val="16"/>
              </w:rPr>
              <w:t>A</w:t>
            </w:r>
          </w:p>
        </w:tc>
        <w:tc>
          <w:tcPr>
            <w:tcW w:w="743" w:type="dxa"/>
            <w:tcBorders>
              <w:top w:val="nil"/>
              <w:left w:val="nil"/>
              <w:bottom w:val="nil"/>
              <w:right w:val="nil"/>
            </w:tcBorders>
            <w:shd w:val="clear" w:color="auto" w:fill="F2F2F2" w:themeFill="background1" w:themeFillShade="F2"/>
            <w:vAlign w:val="center"/>
            <w:hideMark/>
          </w:tcPr>
          <w:p w:rsidR="00E02B06" w:rsidRPr="00E02B06" w:rsidRDefault="00E02B06">
            <w:pPr>
              <w:jc w:val="right"/>
              <w:rPr>
                <w:rFonts w:ascii="楷体" w:eastAsia="楷体" w:hAnsi="楷体"/>
                <w:color w:val="000000"/>
                <w:sz w:val="16"/>
                <w:szCs w:val="16"/>
              </w:rPr>
            </w:pPr>
            <w:r w:rsidRPr="00E02B06">
              <w:rPr>
                <w:rFonts w:ascii="楷体" w:eastAsia="楷体" w:hAnsi="楷体" w:hint="eastAsia"/>
                <w:color w:val="000000"/>
                <w:sz w:val="16"/>
                <w:szCs w:val="16"/>
              </w:rPr>
              <w:t>1.09</w:t>
            </w:r>
          </w:p>
        </w:tc>
      </w:tr>
      <w:tr w:rsidR="00E02B06" w:rsidRPr="00B80614" w:rsidTr="00FF3942">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E02B06" w:rsidRPr="00A12428" w:rsidRDefault="00E02B06" w:rsidP="00FF3942">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E02B06" w:rsidRPr="00E02B06" w:rsidRDefault="00E02B06">
            <w:pPr>
              <w:rPr>
                <w:rFonts w:ascii="楷体" w:eastAsia="楷体" w:hAnsi="楷体"/>
                <w:color w:val="000000"/>
                <w:sz w:val="16"/>
                <w:szCs w:val="16"/>
              </w:rPr>
            </w:pPr>
            <w:r>
              <w:rPr>
                <w:rFonts w:ascii="楷体" w:eastAsia="楷体" w:hAnsi="楷体" w:hint="eastAsia"/>
                <w:color w:val="000000"/>
                <w:sz w:val="16"/>
                <w:szCs w:val="16"/>
              </w:rPr>
              <w:t>202212.</w:t>
            </w:r>
          </w:p>
        </w:tc>
        <w:tc>
          <w:tcPr>
            <w:tcW w:w="1701" w:type="dxa"/>
            <w:tcBorders>
              <w:top w:val="nil"/>
              <w:left w:val="nil"/>
              <w:bottom w:val="single" w:sz="8" w:space="0" w:color="000000"/>
              <w:right w:val="nil"/>
            </w:tcBorders>
            <w:shd w:val="clear" w:color="auto" w:fill="F2F2F2" w:themeFill="background1" w:themeFillShade="F2"/>
            <w:vAlign w:val="center"/>
            <w:hideMark/>
          </w:tcPr>
          <w:p w:rsidR="00E02B06" w:rsidRPr="00E02B06" w:rsidRDefault="00E02B06">
            <w:pPr>
              <w:rPr>
                <w:rFonts w:ascii="楷体" w:eastAsia="楷体" w:hAnsi="楷体"/>
                <w:color w:val="000000"/>
                <w:sz w:val="16"/>
                <w:szCs w:val="16"/>
              </w:rPr>
            </w:pPr>
            <w:r w:rsidRPr="00E02B06">
              <w:rPr>
                <w:rFonts w:ascii="楷体" w:eastAsia="楷体" w:hAnsi="楷体" w:hint="eastAsia"/>
                <w:color w:val="000000"/>
                <w:sz w:val="16"/>
                <w:szCs w:val="16"/>
              </w:rPr>
              <w:t>南方保本</w:t>
            </w:r>
          </w:p>
        </w:tc>
        <w:tc>
          <w:tcPr>
            <w:tcW w:w="743" w:type="dxa"/>
            <w:tcBorders>
              <w:top w:val="nil"/>
              <w:left w:val="nil"/>
              <w:bottom w:val="single" w:sz="8" w:space="0" w:color="000000"/>
              <w:right w:val="nil"/>
            </w:tcBorders>
            <w:shd w:val="clear" w:color="auto" w:fill="F2F2F2" w:themeFill="background1" w:themeFillShade="F2"/>
            <w:vAlign w:val="center"/>
            <w:hideMark/>
          </w:tcPr>
          <w:p w:rsidR="00E02B06" w:rsidRPr="00E02B06" w:rsidRDefault="00E02B06">
            <w:pPr>
              <w:jc w:val="right"/>
              <w:rPr>
                <w:rFonts w:ascii="楷体" w:eastAsia="楷体" w:hAnsi="楷体"/>
                <w:color w:val="000000"/>
                <w:sz w:val="16"/>
                <w:szCs w:val="16"/>
              </w:rPr>
            </w:pPr>
            <w:r w:rsidRPr="00E02B06">
              <w:rPr>
                <w:rFonts w:ascii="楷体" w:eastAsia="楷体" w:hAnsi="楷体" w:hint="eastAsia"/>
                <w:color w:val="000000"/>
                <w:sz w:val="16"/>
                <w:szCs w:val="16"/>
              </w:rPr>
              <w:t>0.60</w:t>
            </w:r>
          </w:p>
        </w:tc>
      </w:tr>
      <w:tr w:rsidR="00E02B06" w:rsidRPr="00B80614" w:rsidTr="00FF3942">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E02B06" w:rsidRPr="00A12428" w:rsidRDefault="00E02B06" w:rsidP="00FF3942">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混合灵活</w:t>
            </w:r>
          </w:p>
        </w:tc>
        <w:tc>
          <w:tcPr>
            <w:tcW w:w="817" w:type="dxa"/>
            <w:tcBorders>
              <w:top w:val="nil"/>
              <w:left w:val="nil"/>
              <w:bottom w:val="nil"/>
              <w:right w:val="nil"/>
            </w:tcBorders>
            <w:shd w:val="clear" w:color="auto" w:fill="FFFFFF" w:themeFill="background1"/>
            <w:vAlign w:val="center"/>
            <w:hideMark/>
          </w:tcPr>
          <w:p w:rsidR="00E02B06" w:rsidRPr="00E02B06" w:rsidRDefault="00E02B06">
            <w:pPr>
              <w:rPr>
                <w:rFonts w:ascii="楷体" w:eastAsia="楷体" w:hAnsi="楷体"/>
                <w:color w:val="000000"/>
                <w:sz w:val="16"/>
                <w:szCs w:val="16"/>
              </w:rPr>
            </w:pPr>
            <w:r>
              <w:rPr>
                <w:rFonts w:ascii="楷体" w:eastAsia="楷体" w:hAnsi="楷体" w:hint="eastAsia"/>
                <w:color w:val="000000"/>
                <w:sz w:val="16"/>
                <w:szCs w:val="16"/>
              </w:rPr>
              <w:t>002441.</w:t>
            </w:r>
          </w:p>
        </w:tc>
        <w:tc>
          <w:tcPr>
            <w:tcW w:w="1701" w:type="dxa"/>
            <w:tcBorders>
              <w:top w:val="nil"/>
              <w:left w:val="nil"/>
              <w:bottom w:val="nil"/>
              <w:right w:val="nil"/>
            </w:tcBorders>
            <w:shd w:val="clear" w:color="auto" w:fill="FFFFFF" w:themeFill="background1"/>
            <w:vAlign w:val="center"/>
            <w:hideMark/>
          </w:tcPr>
          <w:p w:rsidR="00E02B06" w:rsidRPr="00E02B06" w:rsidRDefault="00E02B06">
            <w:pPr>
              <w:rPr>
                <w:rFonts w:ascii="楷体" w:eastAsia="楷体" w:hAnsi="楷体"/>
                <w:color w:val="000000"/>
                <w:sz w:val="16"/>
                <w:szCs w:val="16"/>
              </w:rPr>
            </w:pPr>
            <w:r w:rsidRPr="00E02B06">
              <w:rPr>
                <w:rFonts w:ascii="楷体" w:eastAsia="楷体" w:hAnsi="楷体" w:hint="eastAsia"/>
                <w:color w:val="000000"/>
                <w:sz w:val="16"/>
                <w:szCs w:val="16"/>
              </w:rPr>
              <w:t>德</w:t>
            </w:r>
            <w:proofErr w:type="gramStart"/>
            <w:r w:rsidRPr="00E02B06">
              <w:rPr>
                <w:rFonts w:ascii="楷体" w:eastAsia="楷体" w:hAnsi="楷体" w:hint="eastAsia"/>
                <w:color w:val="000000"/>
                <w:sz w:val="16"/>
                <w:szCs w:val="16"/>
              </w:rPr>
              <w:t>邦</w:t>
            </w:r>
            <w:proofErr w:type="gramEnd"/>
            <w:r w:rsidRPr="00E02B06">
              <w:rPr>
                <w:rFonts w:ascii="楷体" w:eastAsia="楷体" w:hAnsi="楷体" w:hint="eastAsia"/>
                <w:color w:val="000000"/>
                <w:sz w:val="16"/>
                <w:szCs w:val="16"/>
              </w:rPr>
              <w:t>新添利C</w:t>
            </w:r>
          </w:p>
        </w:tc>
        <w:tc>
          <w:tcPr>
            <w:tcW w:w="743" w:type="dxa"/>
            <w:tcBorders>
              <w:top w:val="nil"/>
              <w:left w:val="nil"/>
              <w:bottom w:val="nil"/>
              <w:right w:val="nil"/>
            </w:tcBorders>
            <w:shd w:val="clear" w:color="auto" w:fill="FFFFFF" w:themeFill="background1"/>
            <w:vAlign w:val="center"/>
            <w:hideMark/>
          </w:tcPr>
          <w:p w:rsidR="00E02B06" w:rsidRPr="00E02B06" w:rsidRDefault="00E02B06">
            <w:pPr>
              <w:jc w:val="right"/>
              <w:rPr>
                <w:rFonts w:ascii="楷体" w:eastAsia="楷体" w:hAnsi="楷体"/>
                <w:color w:val="000000"/>
                <w:sz w:val="16"/>
                <w:szCs w:val="16"/>
              </w:rPr>
            </w:pPr>
            <w:r w:rsidRPr="00E02B06">
              <w:rPr>
                <w:rFonts w:ascii="楷体" w:eastAsia="楷体" w:hAnsi="楷体" w:hint="eastAsia"/>
                <w:color w:val="000000"/>
                <w:sz w:val="16"/>
                <w:szCs w:val="16"/>
              </w:rPr>
              <w:t>47.48</w:t>
            </w:r>
          </w:p>
        </w:tc>
      </w:tr>
      <w:tr w:rsidR="00E02B06" w:rsidRPr="00B80614" w:rsidTr="00FF3942">
        <w:trPr>
          <w:trHeight w:val="284"/>
        </w:trPr>
        <w:tc>
          <w:tcPr>
            <w:tcW w:w="709" w:type="dxa"/>
            <w:vMerge/>
            <w:tcBorders>
              <w:left w:val="nil"/>
              <w:right w:val="single" w:sz="8" w:space="0" w:color="000000"/>
            </w:tcBorders>
            <w:shd w:val="clear" w:color="auto" w:fill="FFFFFF" w:themeFill="background1"/>
            <w:vAlign w:val="center"/>
            <w:hideMark/>
          </w:tcPr>
          <w:p w:rsidR="00E02B06" w:rsidRPr="00A12428" w:rsidRDefault="00E02B06" w:rsidP="00FF3942">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E02B06" w:rsidRPr="00E02B06" w:rsidRDefault="00E02B06">
            <w:pPr>
              <w:rPr>
                <w:rFonts w:ascii="楷体" w:eastAsia="楷体" w:hAnsi="楷体"/>
                <w:color w:val="000000"/>
                <w:sz w:val="16"/>
                <w:szCs w:val="16"/>
              </w:rPr>
            </w:pPr>
            <w:r>
              <w:rPr>
                <w:rFonts w:ascii="楷体" w:eastAsia="楷体" w:hAnsi="楷体" w:hint="eastAsia"/>
                <w:color w:val="000000"/>
                <w:sz w:val="16"/>
                <w:szCs w:val="16"/>
              </w:rPr>
              <w:t>002186.</w:t>
            </w:r>
          </w:p>
        </w:tc>
        <w:tc>
          <w:tcPr>
            <w:tcW w:w="1701" w:type="dxa"/>
            <w:tcBorders>
              <w:top w:val="nil"/>
              <w:left w:val="nil"/>
              <w:bottom w:val="nil"/>
              <w:right w:val="nil"/>
            </w:tcBorders>
            <w:shd w:val="clear" w:color="auto" w:fill="FFFFFF" w:themeFill="background1"/>
            <w:vAlign w:val="center"/>
            <w:hideMark/>
          </w:tcPr>
          <w:p w:rsidR="00E02B06" w:rsidRPr="00E02B06" w:rsidRDefault="00E02B06">
            <w:pPr>
              <w:rPr>
                <w:rFonts w:ascii="楷体" w:eastAsia="楷体" w:hAnsi="楷体"/>
                <w:color w:val="000000"/>
                <w:sz w:val="16"/>
                <w:szCs w:val="16"/>
              </w:rPr>
            </w:pPr>
            <w:r w:rsidRPr="00E02B06">
              <w:rPr>
                <w:rFonts w:ascii="楷体" w:eastAsia="楷体" w:hAnsi="楷体" w:hint="eastAsia"/>
                <w:color w:val="000000"/>
                <w:sz w:val="16"/>
                <w:szCs w:val="16"/>
              </w:rPr>
              <w:t>国联安鑫享C</w:t>
            </w:r>
          </w:p>
        </w:tc>
        <w:tc>
          <w:tcPr>
            <w:tcW w:w="743" w:type="dxa"/>
            <w:tcBorders>
              <w:top w:val="nil"/>
              <w:left w:val="nil"/>
              <w:bottom w:val="nil"/>
              <w:right w:val="nil"/>
            </w:tcBorders>
            <w:shd w:val="clear" w:color="auto" w:fill="FFFFFF" w:themeFill="background1"/>
            <w:vAlign w:val="center"/>
            <w:hideMark/>
          </w:tcPr>
          <w:p w:rsidR="00E02B06" w:rsidRPr="00E02B06" w:rsidRDefault="00E02B06">
            <w:pPr>
              <w:jc w:val="right"/>
              <w:rPr>
                <w:rFonts w:ascii="楷体" w:eastAsia="楷体" w:hAnsi="楷体"/>
                <w:color w:val="000000"/>
                <w:sz w:val="16"/>
                <w:szCs w:val="16"/>
              </w:rPr>
            </w:pPr>
            <w:r w:rsidRPr="00E02B06">
              <w:rPr>
                <w:rFonts w:ascii="楷体" w:eastAsia="楷体" w:hAnsi="楷体" w:hint="eastAsia"/>
                <w:color w:val="000000"/>
                <w:sz w:val="16"/>
                <w:szCs w:val="16"/>
              </w:rPr>
              <w:t>36.20</w:t>
            </w:r>
          </w:p>
        </w:tc>
      </w:tr>
      <w:tr w:rsidR="00E02B06" w:rsidRPr="00B80614" w:rsidTr="00FF3942">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E02B06" w:rsidRPr="00A12428" w:rsidRDefault="00E02B06" w:rsidP="00FF3942">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E02B06" w:rsidRPr="00E02B06" w:rsidRDefault="00E02B06">
            <w:pPr>
              <w:rPr>
                <w:rFonts w:ascii="楷体" w:eastAsia="楷体" w:hAnsi="楷体"/>
                <w:color w:val="000000"/>
                <w:sz w:val="16"/>
                <w:szCs w:val="16"/>
              </w:rPr>
            </w:pPr>
            <w:r>
              <w:rPr>
                <w:rFonts w:ascii="楷体" w:eastAsia="楷体" w:hAnsi="楷体" w:hint="eastAsia"/>
                <w:color w:val="000000"/>
                <w:sz w:val="16"/>
                <w:szCs w:val="16"/>
              </w:rPr>
              <w:t>002082.</w:t>
            </w:r>
          </w:p>
        </w:tc>
        <w:tc>
          <w:tcPr>
            <w:tcW w:w="1701" w:type="dxa"/>
            <w:tcBorders>
              <w:top w:val="nil"/>
              <w:left w:val="nil"/>
              <w:bottom w:val="single" w:sz="8" w:space="0" w:color="000000"/>
              <w:right w:val="nil"/>
            </w:tcBorders>
            <w:shd w:val="clear" w:color="auto" w:fill="FFFFFF" w:themeFill="background1"/>
            <w:vAlign w:val="center"/>
            <w:hideMark/>
          </w:tcPr>
          <w:p w:rsidR="00E02B06" w:rsidRPr="00E02B06" w:rsidRDefault="00E02B06">
            <w:pPr>
              <w:rPr>
                <w:rFonts w:ascii="楷体" w:eastAsia="楷体" w:hAnsi="楷体"/>
                <w:color w:val="000000"/>
                <w:sz w:val="16"/>
                <w:szCs w:val="16"/>
              </w:rPr>
            </w:pPr>
            <w:r w:rsidRPr="00E02B06">
              <w:rPr>
                <w:rFonts w:ascii="楷体" w:eastAsia="楷体" w:hAnsi="楷体" w:hint="eastAsia"/>
                <w:color w:val="000000"/>
                <w:sz w:val="16"/>
                <w:szCs w:val="16"/>
              </w:rPr>
              <w:t>华泰柏瑞激励动力C</w:t>
            </w:r>
          </w:p>
        </w:tc>
        <w:tc>
          <w:tcPr>
            <w:tcW w:w="743" w:type="dxa"/>
            <w:tcBorders>
              <w:top w:val="nil"/>
              <w:left w:val="nil"/>
              <w:bottom w:val="single" w:sz="8" w:space="0" w:color="000000"/>
              <w:right w:val="nil"/>
            </w:tcBorders>
            <w:shd w:val="clear" w:color="auto" w:fill="FFFFFF" w:themeFill="background1"/>
            <w:vAlign w:val="center"/>
            <w:hideMark/>
          </w:tcPr>
          <w:p w:rsidR="00E02B06" w:rsidRPr="00E02B06" w:rsidRDefault="00E02B06">
            <w:pPr>
              <w:jc w:val="right"/>
              <w:rPr>
                <w:rFonts w:ascii="楷体" w:eastAsia="楷体" w:hAnsi="楷体"/>
                <w:color w:val="000000"/>
                <w:sz w:val="16"/>
                <w:szCs w:val="16"/>
              </w:rPr>
            </w:pPr>
            <w:r w:rsidRPr="00E02B06">
              <w:rPr>
                <w:rFonts w:ascii="楷体" w:eastAsia="楷体" w:hAnsi="楷体" w:hint="eastAsia"/>
                <w:color w:val="000000"/>
                <w:sz w:val="16"/>
                <w:szCs w:val="16"/>
              </w:rPr>
              <w:t>12.12</w:t>
            </w:r>
          </w:p>
        </w:tc>
      </w:tr>
      <w:tr w:rsidR="00E02B06" w:rsidRPr="00B80614" w:rsidTr="00FF3942">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E02B06" w:rsidRPr="00A12428" w:rsidRDefault="00E02B06" w:rsidP="00FF3942">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混合平衡</w:t>
            </w:r>
          </w:p>
        </w:tc>
        <w:tc>
          <w:tcPr>
            <w:tcW w:w="817" w:type="dxa"/>
            <w:tcBorders>
              <w:top w:val="nil"/>
              <w:left w:val="nil"/>
              <w:bottom w:val="nil"/>
              <w:right w:val="nil"/>
            </w:tcBorders>
            <w:shd w:val="clear" w:color="auto" w:fill="F2F2F2" w:themeFill="background1" w:themeFillShade="F2"/>
            <w:vAlign w:val="center"/>
            <w:hideMark/>
          </w:tcPr>
          <w:p w:rsidR="00E02B06" w:rsidRPr="00E02B06" w:rsidRDefault="00E02B06">
            <w:pPr>
              <w:rPr>
                <w:rFonts w:ascii="楷体" w:eastAsia="楷体" w:hAnsi="楷体"/>
                <w:color w:val="000000"/>
                <w:sz w:val="16"/>
                <w:szCs w:val="16"/>
              </w:rPr>
            </w:pPr>
            <w:r>
              <w:rPr>
                <w:rFonts w:ascii="楷体" w:eastAsia="楷体" w:hAnsi="楷体" w:hint="eastAsia"/>
                <w:color w:val="000000"/>
                <w:sz w:val="16"/>
                <w:szCs w:val="16"/>
              </w:rPr>
              <w:t>519732.</w:t>
            </w:r>
          </w:p>
        </w:tc>
        <w:tc>
          <w:tcPr>
            <w:tcW w:w="1701" w:type="dxa"/>
            <w:tcBorders>
              <w:top w:val="nil"/>
              <w:left w:val="nil"/>
              <w:bottom w:val="nil"/>
              <w:right w:val="nil"/>
            </w:tcBorders>
            <w:shd w:val="clear" w:color="auto" w:fill="F2F2F2" w:themeFill="background1" w:themeFillShade="F2"/>
            <w:vAlign w:val="center"/>
            <w:hideMark/>
          </w:tcPr>
          <w:p w:rsidR="00E02B06" w:rsidRPr="00E02B06" w:rsidRDefault="00E02B06">
            <w:pPr>
              <w:rPr>
                <w:rFonts w:ascii="楷体" w:eastAsia="楷体" w:hAnsi="楷体"/>
                <w:color w:val="000000"/>
                <w:sz w:val="16"/>
                <w:szCs w:val="16"/>
              </w:rPr>
            </w:pPr>
            <w:r w:rsidRPr="00E02B06">
              <w:rPr>
                <w:rFonts w:ascii="楷体" w:eastAsia="楷体" w:hAnsi="楷体" w:hint="eastAsia"/>
                <w:color w:val="000000"/>
                <w:sz w:val="16"/>
                <w:szCs w:val="16"/>
              </w:rPr>
              <w:t>交银定期支付双</w:t>
            </w:r>
            <w:proofErr w:type="gramStart"/>
            <w:r w:rsidRPr="00E02B06">
              <w:rPr>
                <w:rFonts w:ascii="楷体" w:eastAsia="楷体" w:hAnsi="楷体" w:hint="eastAsia"/>
                <w:color w:val="000000"/>
                <w:sz w:val="16"/>
                <w:szCs w:val="16"/>
              </w:rPr>
              <w:t>息平衡</w:t>
            </w:r>
            <w:proofErr w:type="gramEnd"/>
          </w:p>
        </w:tc>
        <w:tc>
          <w:tcPr>
            <w:tcW w:w="743" w:type="dxa"/>
            <w:tcBorders>
              <w:top w:val="nil"/>
              <w:left w:val="nil"/>
              <w:bottom w:val="nil"/>
              <w:right w:val="nil"/>
            </w:tcBorders>
            <w:shd w:val="clear" w:color="auto" w:fill="F2F2F2" w:themeFill="background1" w:themeFillShade="F2"/>
            <w:vAlign w:val="center"/>
            <w:hideMark/>
          </w:tcPr>
          <w:p w:rsidR="00E02B06" w:rsidRPr="00E02B06" w:rsidRDefault="00E02B06">
            <w:pPr>
              <w:jc w:val="right"/>
              <w:rPr>
                <w:rFonts w:ascii="楷体" w:eastAsia="楷体" w:hAnsi="楷体"/>
                <w:color w:val="000000"/>
                <w:sz w:val="16"/>
                <w:szCs w:val="16"/>
              </w:rPr>
            </w:pPr>
            <w:r w:rsidRPr="00E02B06">
              <w:rPr>
                <w:rFonts w:ascii="楷体" w:eastAsia="楷体" w:hAnsi="楷体" w:hint="eastAsia"/>
                <w:color w:val="000000"/>
                <w:sz w:val="16"/>
                <w:szCs w:val="16"/>
              </w:rPr>
              <w:t>1.42</w:t>
            </w:r>
          </w:p>
        </w:tc>
      </w:tr>
      <w:tr w:rsidR="00E02B06" w:rsidRPr="00B80614" w:rsidTr="00FF3942">
        <w:trPr>
          <w:trHeight w:val="284"/>
        </w:trPr>
        <w:tc>
          <w:tcPr>
            <w:tcW w:w="709" w:type="dxa"/>
            <w:vMerge/>
            <w:tcBorders>
              <w:left w:val="nil"/>
              <w:right w:val="single" w:sz="8" w:space="0" w:color="000000"/>
            </w:tcBorders>
            <w:shd w:val="clear" w:color="auto" w:fill="F2F2F2" w:themeFill="background1" w:themeFillShade="F2"/>
            <w:vAlign w:val="center"/>
            <w:hideMark/>
          </w:tcPr>
          <w:p w:rsidR="00E02B06" w:rsidRPr="00A12428" w:rsidRDefault="00E02B06" w:rsidP="00FF3942">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E02B06" w:rsidRPr="00E02B06" w:rsidRDefault="00E02B06">
            <w:pPr>
              <w:rPr>
                <w:rFonts w:ascii="楷体" w:eastAsia="楷体" w:hAnsi="楷体"/>
                <w:color w:val="000000"/>
                <w:sz w:val="16"/>
                <w:szCs w:val="16"/>
              </w:rPr>
            </w:pPr>
            <w:r>
              <w:rPr>
                <w:rFonts w:ascii="楷体" w:eastAsia="楷体" w:hAnsi="楷体" w:hint="eastAsia"/>
                <w:color w:val="000000"/>
                <w:sz w:val="16"/>
                <w:szCs w:val="16"/>
              </w:rPr>
              <w:t>090001.</w:t>
            </w:r>
          </w:p>
        </w:tc>
        <w:tc>
          <w:tcPr>
            <w:tcW w:w="1701" w:type="dxa"/>
            <w:tcBorders>
              <w:top w:val="nil"/>
              <w:left w:val="nil"/>
              <w:bottom w:val="nil"/>
              <w:right w:val="nil"/>
            </w:tcBorders>
            <w:shd w:val="clear" w:color="auto" w:fill="F2F2F2" w:themeFill="background1" w:themeFillShade="F2"/>
            <w:vAlign w:val="center"/>
            <w:hideMark/>
          </w:tcPr>
          <w:p w:rsidR="00E02B06" w:rsidRPr="00E02B06" w:rsidRDefault="00E02B06">
            <w:pPr>
              <w:rPr>
                <w:rFonts w:ascii="楷体" w:eastAsia="楷体" w:hAnsi="楷体"/>
                <w:color w:val="000000"/>
                <w:sz w:val="16"/>
                <w:szCs w:val="16"/>
              </w:rPr>
            </w:pPr>
            <w:r w:rsidRPr="00E02B06">
              <w:rPr>
                <w:rFonts w:ascii="楷体" w:eastAsia="楷体" w:hAnsi="楷体" w:hint="eastAsia"/>
                <w:color w:val="000000"/>
                <w:sz w:val="16"/>
                <w:szCs w:val="16"/>
              </w:rPr>
              <w:t>大成价值增长</w:t>
            </w:r>
          </w:p>
        </w:tc>
        <w:tc>
          <w:tcPr>
            <w:tcW w:w="743" w:type="dxa"/>
            <w:tcBorders>
              <w:top w:val="nil"/>
              <w:left w:val="nil"/>
              <w:bottom w:val="nil"/>
              <w:right w:val="nil"/>
            </w:tcBorders>
            <w:shd w:val="clear" w:color="auto" w:fill="F2F2F2" w:themeFill="background1" w:themeFillShade="F2"/>
            <w:vAlign w:val="center"/>
            <w:hideMark/>
          </w:tcPr>
          <w:p w:rsidR="00E02B06" w:rsidRPr="00E02B06" w:rsidRDefault="00E02B06">
            <w:pPr>
              <w:jc w:val="right"/>
              <w:rPr>
                <w:rFonts w:ascii="楷体" w:eastAsia="楷体" w:hAnsi="楷体"/>
                <w:color w:val="000000"/>
                <w:sz w:val="16"/>
                <w:szCs w:val="16"/>
              </w:rPr>
            </w:pPr>
            <w:r w:rsidRPr="00E02B06">
              <w:rPr>
                <w:rFonts w:ascii="楷体" w:eastAsia="楷体" w:hAnsi="楷体" w:hint="eastAsia"/>
                <w:color w:val="000000"/>
                <w:sz w:val="16"/>
                <w:szCs w:val="16"/>
              </w:rPr>
              <w:t>0.47</w:t>
            </w:r>
          </w:p>
        </w:tc>
      </w:tr>
      <w:tr w:rsidR="00E02B06" w:rsidRPr="00B80614" w:rsidTr="00FF3942">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E02B06" w:rsidRPr="00A12428" w:rsidRDefault="00E02B06" w:rsidP="00FF3942">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E02B06" w:rsidRPr="00E02B06" w:rsidRDefault="00E02B06">
            <w:pPr>
              <w:rPr>
                <w:rFonts w:ascii="楷体" w:eastAsia="楷体" w:hAnsi="楷体"/>
                <w:color w:val="000000"/>
                <w:sz w:val="16"/>
                <w:szCs w:val="16"/>
              </w:rPr>
            </w:pPr>
            <w:r>
              <w:rPr>
                <w:rFonts w:ascii="楷体" w:eastAsia="楷体" w:hAnsi="楷体" w:hint="eastAsia"/>
                <w:color w:val="000000"/>
                <w:sz w:val="16"/>
                <w:szCs w:val="16"/>
              </w:rPr>
              <w:t>000749.</w:t>
            </w:r>
          </w:p>
        </w:tc>
        <w:tc>
          <w:tcPr>
            <w:tcW w:w="1701" w:type="dxa"/>
            <w:tcBorders>
              <w:top w:val="nil"/>
              <w:left w:val="nil"/>
              <w:bottom w:val="single" w:sz="8" w:space="0" w:color="000000"/>
              <w:right w:val="nil"/>
            </w:tcBorders>
            <w:shd w:val="clear" w:color="auto" w:fill="F2F2F2" w:themeFill="background1" w:themeFillShade="F2"/>
            <w:vAlign w:val="center"/>
            <w:hideMark/>
          </w:tcPr>
          <w:p w:rsidR="00E02B06" w:rsidRPr="00E02B06" w:rsidRDefault="00E02B06">
            <w:pPr>
              <w:rPr>
                <w:rFonts w:ascii="楷体" w:eastAsia="楷体" w:hAnsi="楷体"/>
                <w:color w:val="000000"/>
                <w:sz w:val="16"/>
                <w:szCs w:val="16"/>
              </w:rPr>
            </w:pPr>
            <w:r w:rsidRPr="00E02B06">
              <w:rPr>
                <w:rFonts w:ascii="楷体" w:eastAsia="楷体" w:hAnsi="楷体" w:hint="eastAsia"/>
                <w:color w:val="000000"/>
                <w:sz w:val="16"/>
                <w:szCs w:val="16"/>
              </w:rPr>
              <w:t>国金通用</w:t>
            </w:r>
            <w:proofErr w:type="gramStart"/>
            <w:r w:rsidRPr="00E02B06">
              <w:rPr>
                <w:rFonts w:ascii="楷体" w:eastAsia="楷体" w:hAnsi="楷体" w:hint="eastAsia"/>
                <w:color w:val="000000"/>
                <w:sz w:val="16"/>
                <w:szCs w:val="16"/>
              </w:rPr>
              <w:t>鑫</w:t>
            </w:r>
            <w:proofErr w:type="gramEnd"/>
            <w:r w:rsidRPr="00E02B06">
              <w:rPr>
                <w:rFonts w:ascii="楷体" w:eastAsia="楷体" w:hAnsi="楷体" w:hint="eastAsia"/>
                <w:color w:val="000000"/>
                <w:sz w:val="16"/>
                <w:szCs w:val="16"/>
              </w:rPr>
              <w:t>安保本</w:t>
            </w:r>
          </w:p>
        </w:tc>
        <w:tc>
          <w:tcPr>
            <w:tcW w:w="743" w:type="dxa"/>
            <w:tcBorders>
              <w:top w:val="nil"/>
              <w:left w:val="nil"/>
              <w:bottom w:val="single" w:sz="8" w:space="0" w:color="000000"/>
              <w:right w:val="nil"/>
            </w:tcBorders>
            <w:shd w:val="clear" w:color="auto" w:fill="F2F2F2" w:themeFill="background1" w:themeFillShade="F2"/>
            <w:vAlign w:val="center"/>
            <w:hideMark/>
          </w:tcPr>
          <w:p w:rsidR="00E02B06" w:rsidRPr="00E02B06" w:rsidRDefault="00E02B06">
            <w:pPr>
              <w:jc w:val="right"/>
              <w:rPr>
                <w:rFonts w:ascii="楷体" w:eastAsia="楷体" w:hAnsi="楷体"/>
                <w:color w:val="000000"/>
                <w:sz w:val="16"/>
                <w:szCs w:val="16"/>
              </w:rPr>
            </w:pPr>
            <w:r w:rsidRPr="00E02B06">
              <w:rPr>
                <w:rFonts w:ascii="楷体" w:eastAsia="楷体" w:hAnsi="楷体" w:hint="eastAsia"/>
                <w:color w:val="000000"/>
                <w:sz w:val="16"/>
                <w:szCs w:val="16"/>
              </w:rPr>
              <w:t>0.10</w:t>
            </w:r>
          </w:p>
        </w:tc>
      </w:tr>
      <w:tr w:rsidR="00E7782E" w:rsidRPr="00B80614" w:rsidTr="00FF3942">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E7782E" w:rsidRPr="00A12428" w:rsidRDefault="00E7782E" w:rsidP="00FF3942">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纯债基金</w:t>
            </w:r>
            <w:proofErr w:type="gramEnd"/>
          </w:p>
        </w:tc>
        <w:tc>
          <w:tcPr>
            <w:tcW w:w="817" w:type="dxa"/>
            <w:tcBorders>
              <w:top w:val="nil"/>
              <w:left w:val="nil"/>
              <w:bottom w:val="nil"/>
              <w:right w:val="nil"/>
            </w:tcBorders>
            <w:shd w:val="clear" w:color="auto" w:fill="FFFFFF" w:themeFill="background1"/>
            <w:vAlign w:val="center"/>
            <w:hideMark/>
          </w:tcPr>
          <w:p w:rsidR="00E7782E" w:rsidRPr="00E7782E" w:rsidRDefault="00E7782E">
            <w:pPr>
              <w:rPr>
                <w:rFonts w:ascii="楷体" w:eastAsia="楷体" w:hAnsi="楷体"/>
                <w:color w:val="000000"/>
                <w:sz w:val="16"/>
                <w:szCs w:val="16"/>
              </w:rPr>
            </w:pPr>
            <w:r>
              <w:rPr>
                <w:rFonts w:ascii="楷体" w:eastAsia="楷体" w:hAnsi="楷体" w:hint="eastAsia"/>
                <w:color w:val="000000"/>
                <w:sz w:val="16"/>
                <w:szCs w:val="16"/>
              </w:rPr>
              <w:t>001213.</w:t>
            </w:r>
          </w:p>
        </w:tc>
        <w:tc>
          <w:tcPr>
            <w:tcW w:w="1701" w:type="dxa"/>
            <w:tcBorders>
              <w:top w:val="nil"/>
              <w:left w:val="nil"/>
              <w:bottom w:val="nil"/>
              <w:right w:val="nil"/>
            </w:tcBorders>
            <w:shd w:val="clear" w:color="auto" w:fill="FFFFFF" w:themeFill="background1"/>
            <w:vAlign w:val="center"/>
            <w:hideMark/>
          </w:tcPr>
          <w:p w:rsidR="00E7782E" w:rsidRPr="00E7782E" w:rsidRDefault="00E7782E">
            <w:pPr>
              <w:rPr>
                <w:rFonts w:ascii="楷体" w:eastAsia="楷体" w:hAnsi="楷体"/>
                <w:color w:val="000000"/>
                <w:sz w:val="16"/>
                <w:szCs w:val="16"/>
              </w:rPr>
            </w:pPr>
            <w:proofErr w:type="gramStart"/>
            <w:r w:rsidRPr="00E7782E">
              <w:rPr>
                <w:rFonts w:ascii="楷体" w:eastAsia="楷体" w:hAnsi="楷体" w:hint="eastAsia"/>
                <w:color w:val="000000"/>
                <w:sz w:val="16"/>
                <w:szCs w:val="16"/>
              </w:rPr>
              <w:t>华润元大</w:t>
            </w:r>
            <w:proofErr w:type="gramEnd"/>
            <w:r w:rsidRPr="00E7782E">
              <w:rPr>
                <w:rFonts w:ascii="楷体" w:eastAsia="楷体" w:hAnsi="楷体" w:hint="eastAsia"/>
                <w:color w:val="000000"/>
                <w:sz w:val="16"/>
                <w:szCs w:val="16"/>
              </w:rPr>
              <w:t>稳健收益C</w:t>
            </w:r>
          </w:p>
        </w:tc>
        <w:tc>
          <w:tcPr>
            <w:tcW w:w="743" w:type="dxa"/>
            <w:tcBorders>
              <w:top w:val="nil"/>
              <w:left w:val="nil"/>
              <w:bottom w:val="nil"/>
              <w:right w:val="nil"/>
            </w:tcBorders>
            <w:shd w:val="clear" w:color="auto" w:fill="FFFFFF" w:themeFill="background1"/>
            <w:vAlign w:val="center"/>
            <w:hideMark/>
          </w:tcPr>
          <w:p w:rsidR="00E7782E" w:rsidRPr="00E7782E" w:rsidRDefault="00E7782E">
            <w:pPr>
              <w:jc w:val="right"/>
              <w:rPr>
                <w:rFonts w:ascii="楷体" w:eastAsia="楷体" w:hAnsi="楷体"/>
                <w:color w:val="000000"/>
                <w:sz w:val="16"/>
                <w:szCs w:val="16"/>
              </w:rPr>
            </w:pPr>
            <w:r w:rsidRPr="00E7782E">
              <w:rPr>
                <w:rFonts w:ascii="楷体" w:eastAsia="楷体" w:hAnsi="楷体" w:hint="eastAsia"/>
                <w:color w:val="000000"/>
                <w:sz w:val="16"/>
                <w:szCs w:val="16"/>
              </w:rPr>
              <w:t>4.76</w:t>
            </w:r>
          </w:p>
        </w:tc>
      </w:tr>
      <w:tr w:rsidR="00E7782E" w:rsidRPr="00B80614" w:rsidTr="00FF3942">
        <w:trPr>
          <w:trHeight w:val="284"/>
        </w:trPr>
        <w:tc>
          <w:tcPr>
            <w:tcW w:w="709" w:type="dxa"/>
            <w:vMerge/>
            <w:tcBorders>
              <w:left w:val="nil"/>
              <w:right w:val="single" w:sz="8" w:space="0" w:color="000000"/>
            </w:tcBorders>
            <w:shd w:val="clear" w:color="auto" w:fill="FFFFFF" w:themeFill="background1"/>
            <w:vAlign w:val="center"/>
            <w:hideMark/>
          </w:tcPr>
          <w:p w:rsidR="00E7782E" w:rsidRPr="00A12428" w:rsidRDefault="00E7782E" w:rsidP="00FF3942">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E7782E" w:rsidRPr="00E7782E" w:rsidRDefault="00E7782E">
            <w:pPr>
              <w:rPr>
                <w:rFonts w:ascii="楷体" w:eastAsia="楷体" w:hAnsi="楷体"/>
                <w:color w:val="000000"/>
                <w:sz w:val="16"/>
                <w:szCs w:val="16"/>
              </w:rPr>
            </w:pPr>
            <w:r>
              <w:rPr>
                <w:rFonts w:ascii="楷体" w:eastAsia="楷体" w:hAnsi="楷体" w:hint="eastAsia"/>
                <w:color w:val="000000"/>
                <w:sz w:val="16"/>
                <w:szCs w:val="16"/>
              </w:rPr>
              <w:t>001368.</w:t>
            </w:r>
          </w:p>
        </w:tc>
        <w:tc>
          <w:tcPr>
            <w:tcW w:w="1701" w:type="dxa"/>
            <w:tcBorders>
              <w:top w:val="nil"/>
              <w:left w:val="nil"/>
              <w:bottom w:val="nil"/>
              <w:right w:val="nil"/>
            </w:tcBorders>
            <w:shd w:val="clear" w:color="auto" w:fill="FFFFFF" w:themeFill="background1"/>
            <w:vAlign w:val="center"/>
            <w:hideMark/>
          </w:tcPr>
          <w:p w:rsidR="00E7782E" w:rsidRPr="00E7782E" w:rsidRDefault="00E7782E">
            <w:pPr>
              <w:rPr>
                <w:rFonts w:ascii="楷体" w:eastAsia="楷体" w:hAnsi="楷体"/>
                <w:color w:val="000000"/>
                <w:sz w:val="16"/>
                <w:szCs w:val="16"/>
              </w:rPr>
            </w:pPr>
            <w:r w:rsidRPr="00E7782E">
              <w:rPr>
                <w:rFonts w:ascii="楷体" w:eastAsia="楷体" w:hAnsi="楷体" w:hint="eastAsia"/>
                <w:color w:val="000000"/>
                <w:sz w:val="16"/>
                <w:szCs w:val="16"/>
              </w:rPr>
              <w:t>兴业稳固收益一年</w:t>
            </w:r>
          </w:p>
        </w:tc>
        <w:tc>
          <w:tcPr>
            <w:tcW w:w="743" w:type="dxa"/>
            <w:tcBorders>
              <w:top w:val="nil"/>
              <w:left w:val="nil"/>
              <w:bottom w:val="nil"/>
              <w:right w:val="nil"/>
            </w:tcBorders>
            <w:shd w:val="clear" w:color="auto" w:fill="FFFFFF" w:themeFill="background1"/>
            <w:vAlign w:val="center"/>
            <w:hideMark/>
          </w:tcPr>
          <w:p w:rsidR="00E7782E" w:rsidRPr="00E7782E" w:rsidRDefault="00E7782E">
            <w:pPr>
              <w:jc w:val="right"/>
              <w:rPr>
                <w:rFonts w:ascii="楷体" w:eastAsia="楷体" w:hAnsi="楷体"/>
                <w:color w:val="000000"/>
                <w:sz w:val="16"/>
                <w:szCs w:val="16"/>
              </w:rPr>
            </w:pPr>
            <w:r w:rsidRPr="00E7782E">
              <w:rPr>
                <w:rFonts w:ascii="楷体" w:eastAsia="楷体" w:hAnsi="楷体" w:hint="eastAsia"/>
                <w:color w:val="000000"/>
                <w:sz w:val="16"/>
                <w:szCs w:val="16"/>
              </w:rPr>
              <w:t>0.30</w:t>
            </w:r>
          </w:p>
        </w:tc>
      </w:tr>
      <w:tr w:rsidR="00E7782E" w:rsidRPr="00B80614" w:rsidTr="00FF3942">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E7782E" w:rsidRPr="00A12428" w:rsidRDefault="00E7782E" w:rsidP="00FF3942">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E7782E" w:rsidRPr="00E7782E" w:rsidRDefault="00E7782E">
            <w:pPr>
              <w:rPr>
                <w:rFonts w:ascii="楷体" w:eastAsia="楷体" w:hAnsi="楷体"/>
                <w:color w:val="000000"/>
                <w:sz w:val="16"/>
                <w:szCs w:val="16"/>
              </w:rPr>
            </w:pPr>
            <w:r>
              <w:rPr>
                <w:rFonts w:ascii="楷体" w:eastAsia="楷体" w:hAnsi="楷体" w:hint="eastAsia"/>
                <w:color w:val="000000"/>
                <w:sz w:val="16"/>
                <w:szCs w:val="16"/>
              </w:rPr>
              <w:t>519953.</w:t>
            </w:r>
          </w:p>
        </w:tc>
        <w:tc>
          <w:tcPr>
            <w:tcW w:w="1701" w:type="dxa"/>
            <w:tcBorders>
              <w:top w:val="nil"/>
              <w:left w:val="nil"/>
              <w:bottom w:val="single" w:sz="8" w:space="0" w:color="000000"/>
              <w:right w:val="nil"/>
            </w:tcBorders>
            <w:shd w:val="clear" w:color="auto" w:fill="FFFFFF" w:themeFill="background1"/>
            <w:vAlign w:val="center"/>
            <w:hideMark/>
          </w:tcPr>
          <w:p w:rsidR="00E7782E" w:rsidRPr="00E7782E" w:rsidRDefault="00E7782E">
            <w:pPr>
              <w:rPr>
                <w:rFonts w:ascii="楷体" w:eastAsia="楷体" w:hAnsi="楷体"/>
                <w:color w:val="000000"/>
                <w:sz w:val="16"/>
                <w:szCs w:val="16"/>
              </w:rPr>
            </w:pPr>
            <w:r w:rsidRPr="00E7782E">
              <w:rPr>
                <w:rFonts w:ascii="楷体" w:eastAsia="楷体" w:hAnsi="楷体" w:hint="eastAsia"/>
                <w:color w:val="000000"/>
                <w:sz w:val="16"/>
                <w:szCs w:val="16"/>
              </w:rPr>
              <w:t>长信富</w:t>
            </w:r>
            <w:proofErr w:type="gramStart"/>
            <w:r w:rsidRPr="00E7782E">
              <w:rPr>
                <w:rFonts w:ascii="楷体" w:eastAsia="楷体" w:hAnsi="楷体" w:hint="eastAsia"/>
                <w:color w:val="000000"/>
                <w:sz w:val="16"/>
                <w:szCs w:val="16"/>
              </w:rPr>
              <w:t>海纯债</w:t>
            </w:r>
            <w:proofErr w:type="gramEnd"/>
            <w:r w:rsidRPr="00E7782E">
              <w:rPr>
                <w:rFonts w:ascii="楷体" w:eastAsia="楷体" w:hAnsi="楷体" w:hint="eastAsia"/>
                <w:color w:val="000000"/>
                <w:sz w:val="16"/>
                <w:szCs w:val="16"/>
              </w:rPr>
              <w:t>一年</w:t>
            </w:r>
          </w:p>
        </w:tc>
        <w:tc>
          <w:tcPr>
            <w:tcW w:w="743" w:type="dxa"/>
            <w:tcBorders>
              <w:top w:val="nil"/>
              <w:left w:val="nil"/>
              <w:bottom w:val="single" w:sz="8" w:space="0" w:color="000000"/>
              <w:right w:val="nil"/>
            </w:tcBorders>
            <w:shd w:val="clear" w:color="auto" w:fill="FFFFFF" w:themeFill="background1"/>
            <w:vAlign w:val="center"/>
            <w:hideMark/>
          </w:tcPr>
          <w:p w:rsidR="00E7782E" w:rsidRPr="00E7782E" w:rsidRDefault="00E7782E">
            <w:pPr>
              <w:jc w:val="right"/>
              <w:rPr>
                <w:rFonts w:ascii="楷体" w:eastAsia="楷体" w:hAnsi="楷体"/>
                <w:color w:val="000000"/>
                <w:sz w:val="16"/>
                <w:szCs w:val="16"/>
              </w:rPr>
            </w:pPr>
            <w:r w:rsidRPr="00E7782E">
              <w:rPr>
                <w:rFonts w:ascii="楷体" w:eastAsia="楷体" w:hAnsi="楷体" w:hint="eastAsia"/>
                <w:color w:val="000000"/>
                <w:sz w:val="16"/>
                <w:szCs w:val="16"/>
              </w:rPr>
              <w:t>0.24</w:t>
            </w:r>
          </w:p>
        </w:tc>
      </w:tr>
      <w:tr w:rsidR="00E7782E" w:rsidRPr="00B80614" w:rsidTr="00FF3942">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E7782E" w:rsidRPr="00A12428" w:rsidRDefault="00E7782E" w:rsidP="00FF3942">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一级债基</w:t>
            </w:r>
            <w:proofErr w:type="gramEnd"/>
          </w:p>
        </w:tc>
        <w:tc>
          <w:tcPr>
            <w:tcW w:w="817" w:type="dxa"/>
            <w:tcBorders>
              <w:top w:val="nil"/>
              <w:left w:val="nil"/>
              <w:bottom w:val="nil"/>
              <w:right w:val="nil"/>
            </w:tcBorders>
            <w:shd w:val="clear" w:color="auto" w:fill="F2F2F2" w:themeFill="background1" w:themeFillShade="F2"/>
            <w:vAlign w:val="center"/>
            <w:hideMark/>
          </w:tcPr>
          <w:p w:rsidR="00E7782E" w:rsidRPr="00E7782E" w:rsidRDefault="00E7782E">
            <w:pPr>
              <w:rPr>
                <w:rFonts w:ascii="楷体" w:eastAsia="楷体" w:hAnsi="楷体"/>
                <w:color w:val="000000"/>
                <w:sz w:val="16"/>
                <w:szCs w:val="16"/>
              </w:rPr>
            </w:pPr>
            <w:r>
              <w:rPr>
                <w:rFonts w:ascii="楷体" w:eastAsia="楷体" w:hAnsi="楷体" w:hint="eastAsia"/>
                <w:color w:val="000000"/>
                <w:sz w:val="16"/>
                <w:szCs w:val="16"/>
              </w:rPr>
              <w:t>519055.</w:t>
            </w:r>
          </w:p>
        </w:tc>
        <w:tc>
          <w:tcPr>
            <w:tcW w:w="1701" w:type="dxa"/>
            <w:tcBorders>
              <w:top w:val="nil"/>
              <w:left w:val="nil"/>
              <w:bottom w:val="nil"/>
              <w:right w:val="nil"/>
            </w:tcBorders>
            <w:shd w:val="clear" w:color="auto" w:fill="F2F2F2" w:themeFill="background1" w:themeFillShade="F2"/>
            <w:vAlign w:val="center"/>
            <w:hideMark/>
          </w:tcPr>
          <w:p w:rsidR="00E7782E" w:rsidRPr="00E7782E" w:rsidRDefault="00E7782E">
            <w:pPr>
              <w:rPr>
                <w:rFonts w:ascii="楷体" w:eastAsia="楷体" w:hAnsi="楷体"/>
                <w:color w:val="000000"/>
                <w:sz w:val="16"/>
                <w:szCs w:val="16"/>
              </w:rPr>
            </w:pPr>
            <w:r w:rsidRPr="00E7782E">
              <w:rPr>
                <w:rFonts w:ascii="楷体" w:eastAsia="楷体" w:hAnsi="楷体" w:hint="eastAsia"/>
                <w:color w:val="000000"/>
                <w:sz w:val="16"/>
                <w:szCs w:val="16"/>
              </w:rPr>
              <w:t>海</w:t>
            </w:r>
            <w:proofErr w:type="gramStart"/>
            <w:r w:rsidRPr="00E7782E">
              <w:rPr>
                <w:rFonts w:ascii="楷体" w:eastAsia="楷体" w:hAnsi="楷体" w:hint="eastAsia"/>
                <w:color w:val="000000"/>
                <w:sz w:val="16"/>
                <w:szCs w:val="16"/>
              </w:rPr>
              <w:t>富通双</w:t>
            </w:r>
            <w:proofErr w:type="gramEnd"/>
            <w:r w:rsidRPr="00E7782E">
              <w:rPr>
                <w:rFonts w:ascii="楷体" w:eastAsia="楷体" w:hAnsi="楷体" w:hint="eastAsia"/>
                <w:color w:val="000000"/>
                <w:sz w:val="16"/>
                <w:szCs w:val="16"/>
              </w:rPr>
              <w:t>利分级</w:t>
            </w:r>
          </w:p>
        </w:tc>
        <w:tc>
          <w:tcPr>
            <w:tcW w:w="743" w:type="dxa"/>
            <w:tcBorders>
              <w:top w:val="nil"/>
              <w:left w:val="nil"/>
              <w:bottom w:val="nil"/>
              <w:right w:val="nil"/>
            </w:tcBorders>
            <w:shd w:val="clear" w:color="auto" w:fill="F2F2F2" w:themeFill="background1" w:themeFillShade="F2"/>
            <w:vAlign w:val="center"/>
            <w:hideMark/>
          </w:tcPr>
          <w:p w:rsidR="00E7782E" w:rsidRPr="00E7782E" w:rsidRDefault="00E7782E">
            <w:pPr>
              <w:jc w:val="right"/>
              <w:rPr>
                <w:rFonts w:ascii="楷体" w:eastAsia="楷体" w:hAnsi="楷体"/>
                <w:color w:val="000000"/>
                <w:sz w:val="16"/>
                <w:szCs w:val="16"/>
              </w:rPr>
            </w:pPr>
            <w:r w:rsidRPr="00E7782E">
              <w:rPr>
                <w:rFonts w:ascii="楷体" w:eastAsia="楷体" w:hAnsi="楷体" w:hint="eastAsia"/>
                <w:color w:val="000000"/>
                <w:sz w:val="16"/>
                <w:szCs w:val="16"/>
              </w:rPr>
              <w:t>0.17</w:t>
            </w:r>
          </w:p>
        </w:tc>
      </w:tr>
      <w:tr w:rsidR="00E7782E" w:rsidRPr="00B80614" w:rsidTr="00FF3942">
        <w:trPr>
          <w:trHeight w:val="284"/>
        </w:trPr>
        <w:tc>
          <w:tcPr>
            <w:tcW w:w="709" w:type="dxa"/>
            <w:vMerge/>
            <w:tcBorders>
              <w:left w:val="nil"/>
              <w:right w:val="single" w:sz="8" w:space="0" w:color="000000"/>
            </w:tcBorders>
            <w:shd w:val="clear" w:color="auto" w:fill="F2F2F2" w:themeFill="background1" w:themeFillShade="F2"/>
            <w:vAlign w:val="center"/>
            <w:hideMark/>
          </w:tcPr>
          <w:p w:rsidR="00E7782E" w:rsidRPr="00A12428" w:rsidRDefault="00E7782E" w:rsidP="00FF3942">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E7782E" w:rsidRPr="00E7782E" w:rsidRDefault="00E7782E">
            <w:pPr>
              <w:rPr>
                <w:rFonts w:ascii="楷体" w:eastAsia="楷体" w:hAnsi="楷体"/>
                <w:color w:val="000000"/>
                <w:sz w:val="16"/>
                <w:szCs w:val="16"/>
              </w:rPr>
            </w:pPr>
            <w:r>
              <w:rPr>
                <w:rFonts w:ascii="楷体" w:eastAsia="楷体" w:hAnsi="楷体" w:hint="eastAsia"/>
                <w:color w:val="000000"/>
                <w:sz w:val="16"/>
                <w:szCs w:val="16"/>
              </w:rPr>
              <w:t>310378.</w:t>
            </w:r>
          </w:p>
        </w:tc>
        <w:tc>
          <w:tcPr>
            <w:tcW w:w="1701" w:type="dxa"/>
            <w:tcBorders>
              <w:top w:val="nil"/>
              <w:left w:val="nil"/>
              <w:bottom w:val="nil"/>
              <w:right w:val="nil"/>
            </w:tcBorders>
            <w:shd w:val="clear" w:color="auto" w:fill="F2F2F2" w:themeFill="background1" w:themeFillShade="F2"/>
            <w:vAlign w:val="center"/>
            <w:hideMark/>
          </w:tcPr>
          <w:p w:rsidR="00E7782E" w:rsidRPr="00E7782E" w:rsidRDefault="00E7782E">
            <w:pPr>
              <w:rPr>
                <w:rFonts w:ascii="楷体" w:eastAsia="楷体" w:hAnsi="楷体"/>
                <w:color w:val="000000"/>
                <w:sz w:val="16"/>
                <w:szCs w:val="16"/>
              </w:rPr>
            </w:pPr>
            <w:proofErr w:type="gramStart"/>
            <w:r w:rsidRPr="00E7782E">
              <w:rPr>
                <w:rFonts w:ascii="楷体" w:eastAsia="楷体" w:hAnsi="楷体" w:hint="eastAsia"/>
                <w:color w:val="000000"/>
                <w:sz w:val="16"/>
                <w:szCs w:val="16"/>
              </w:rPr>
              <w:t>申万菱信添</w:t>
            </w:r>
            <w:proofErr w:type="gramEnd"/>
            <w:r w:rsidRPr="00E7782E">
              <w:rPr>
                <w:rFonts w:ascii="楷体" w:eastAsia="楷体" w:hAnsi="楷体" w:hint="eastAsia"/>
                <w:color w:val="000000"/>
                <w:sz w:val="16"/>
                <w:szCs w:val="16"/>
              </w:rPr>
              <w:t>益宝A</w:t>
            </w:r>
          </w:p>
        </w:tc>
        <w:tc>
          <w:tcPr>
            <w:tcW w:w="743" w:type="dxa"/>
            <w:tcBorders>
              <w:top w:val="nil"/>
              <w:left w:val="nil"/>
              <w:bottom w:val="nil"/>
              <w:right w:val="nil"/>
            </w:tcBorders>
            <w:shd w:val="clear" w:color="auto" w:fill="F2F2F2" w:themeFill="background1" w:themeFillShade="F2"/>
            <w:vAlign w:val="center"/>
            <w:hideMark/>
          </w:tcPr>
          <w:p w:rsidR="00E7782E" w:rsidRPr="00E7782E" w:rsidRDefault="00E7782E">
            <w:pPr>
              <w:jc w:val="right"/>
              <w:rPr>
                <w:rFonts w:ascii="楷体" w:eastAsia="楷体" w:hAnsi="楷体"/>
                <w:color w:val="000000"/>
                <w:sz w:val="16"/>
                <w:szCs w:val="16"/>
              </w:rPr>
            </w:pPr>
            <w:r w:rsidRPr="00E7782E">
              <w:rPr>
                <w:rFonts w:ascii="楷体" w:eastAsia="楷体" w:hAnsi="楷体" w:hint="eastAsia"/>
                <w:color w:val="000000"/>
                <w:sz w:val="16"/>
                <w:szCs w:val="16"/>
              </w:rPr>
              <w:t>0.00</w:t>
            </w:r>
          </w:p>
        </w:tc>
      </w:tr>
      <w:tr w:rsidR="00E7782E" w:rsidRPr="00B80614" w:rsidTr="00FF3942">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E7782E" w:rsidRPr="00A12428" w:rsidRDefault="00E7782E" w:rsidP="00FF3942">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E7782E" w:rsidRPr="00E7782E" w:rsidRDefault="00E7782E">
            <w:pPr>
              <w:rPr>
                <w:rFonts w:ascii="楷体" w:eastAsia="楷体" w:hAnsi="楷体"/>
                <w:color w:val="000000"/>
                <w:sz w:val="16"/>
                <w:szCs w:val="16"/>
              </w:rPr>
            </w:pPr>
            <w:r>
              <w:rPr>
                <w:rFonts w:ascii="楷体" w:eastAsia="楷体" w:hAnsi="楷体" w:hint="eastAsia"/>
                <w:color w:val="000000"/>
                <w:sz w:val="16"/>
                <w:szCs w:val="16"/>
              </w:rPr>
              <w:t>164302.</w:t>
            </w:r>
          </w:p>
        </w:tc>
        <w:tc>
          <w:tcPr>
            <w:tcW w:w="1701" w:type="dxa"/>
            <w:tcBorders>
              <w:top w:val="nil"/>
              <w:left w:val="nil"/>
              <w:bottom w:val="single" w:sz="8" w:space="0" w:color="000000"/>
              <w:right w:val="nil"/>
            </w:tcBorders>
            <w:shd w:val="clear" w:color="auto" w:fill="F2F2F2" w:themeFill="background1" w:themeFillShade="F2"/>
            <w:vAlign w:val="center"/>
            <w:hideMark/>
          </w:tcPr>
          <w:p w:rsidR="00E7782E" w:rsidRPr="00E7782E" w:rsidRDefault="00E7782E">
            <w:pPr>
              <w:rPr>
                <w:rFonts w:ascii="楷体" w:eastAsia="楷体" w:hAnsi="楷体"/>
                <w:color w:val="000000"/>
                <w:sz w:val="16"/>
                <w:szCs w:val="16"/>
              </w:rPr>
            </w:pPr>
            <w:r w:rsidRPr="00E7782E">
              <w:rPr>
                <w:rFonts w:ascii="楷体" w:eastAsia="楷体" w:hAnsi="楷体" w:hint="eastAsia"/>
                <w:color w:val="000000"/>
                <w:sz w:val="16"/>
                <w:szCs w:val="16"/>
              </w:rPr>
              <w:t>新华惠鑫分级</w:t>
            </w:r>
          </w:p>
        </w:tc>
        <w:tc>
          <w:tcPr>
            <w:tcW w:w="743" w:type="dxa"/>
            <w:tcBorders>
              <w:top w:val="nil"/>
              <w:left w:val="nil"/>
              <w:bottom w:val="single" w:sz="8" w:space="0" w:color="000000"/>
              <w:right w:val="nil"/>
            </w:tcBorders>
            <w:shd w:val="clear" w:color="auto" w:fill="F2F2F2" w:themeFill="background1" w:themeFillShade="F2"/>
            <w:vAlign w:val="center"/>
            <w:hideMark/>
          </w:tcPr>
          <w:p w:rsidR="00E7782E" w:rsidRPr="00E7782E" w:rsidRDefault="00E7782E">
            <w:pPr>
              <w:jc w:val="right"/>
              <w:rPr>
                <w:rFonts w:ascii="楷体" w:eastAsia="楷体" w:hAnsi="楷体"/>
                <w:color w:val="000000"/>
                <w:sz w:val="16"/>
                <w:szCs w:val="16"/>
              </w:rPr>
            </w:pPr>
            <w:r w:rsidRPr="00E7782E">
              <w:rPr>
                <w:rFonts w:ascii="楷体" w:eastAsia="楷体" w:hAnsi="楷体" w:hint="eastAsia"/>
                <w:color w:val="000000"/>
                <w:sz w:val="16"/>
                <w:szCs w:val="16"/>
              </w:rPr>
              <w:t>0.00</w:t>
            </w:r>
          </w:p>
        </w:tc>
      </w:tr>
      <w:tr w:rsidR="00E7782E" w:rsidRPr="00B80614" w:rsidTr="00FF3942">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E7782E" w:rsidRPr="00A12428" w:rsidRDefault="00E7782E" w:rsidP="00FF3942">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二级债基</w:t>
            </w:r>
            <w:proofErr w:type="gramEnd"/>
          </w:p>
        </w:tc>
        <w:tc>
          <w:tcPr>
            <w:tcW w:w="817" w:type="dxa"/>
            <w:tcBorders>
              <w:top w:val="nil"/>
              <w:left w:val="nil"/>
              <w:bottom w:val="nil"/>
              <w:right w:val="nil"/>
            </w:tcBorders>
            <w:shd w:val="clear" w:color="auto" w:fill="FFFFFF" w:themeFill="background1"/>
            <w:vAlign w:val="center"/>
            <w:hideMark/>
          </w:tcPr>
          <w:p w:rsidR="00E7782E" w:rsidRPr="00E7782E" w:rsidRDefault="00E7782E">
            <w:pPr>
              <w:rPr>
                <w:rFonts w:ascii="楷体" w:eastAsia="楷体" w:hAnsi="楷体"/>
                <w:color w:val="000000"/>
                <w:sz w:val="16"/>
                <w:szCs w:val="16"/>
              </w:rPr>
            </w:pPr>
            <w:r>
              <w:rPr>
                <w:rFonts w:ascii="楷体" w:eastAsia="楷体" w:hAnsi="楷体" w:hint="eastAsia"/>
                <w:color w:val="000000"/>
                <w:sz w:val="16"/>
                <w:szCs w:val="16"/>
              </w:rPr>
              <w:t>000463.</w:t>
            </w:r>
          </w:p>
        </w:tc>
        <w:tc>
          <w:tcPr>
            <w:tcW w:w="1701" w:type="dxa"/>
            <w:tcBorders>
              <w:top w:val="nil"/>
              <w:left w:val="nil"/>
              <w:bottom w:val="nil"/>
              <w:right w:val="nil"/>
            </w:tcBorders>
            <w:shd w:val="clear" w:color="auto" w:fill="FFFFFF" w:themeFill="background1"/>
            <w:vAlign w:val="center"/>
            <w:hideMark/>
          </w:tcPr>
          <w:p w:rsidR="00E7782E" w:rsidRPr="00E7782E" w:rsidRDefault="00E7782E">
            <w:pPr>
              <w:rPr>
                <w:rFonts w:ascii="楷体" w:eastAsia="楷体" w:hAnsi="楷体"/>
                <w:color w:val="000000"/>
                <w:sz w:val="16"/>
                <w:szCs w:val="16"/>
              </w:rPr>
            </w:pPr>
            <w:proofErr w:type="gramStart"/>
            <w:r w:rsidRPr="00E7782E">
              <w:rPr>
                <w:rFonts w:ascii="楷体" w:eastAsia="楷体" w:hAnsi="楷体" w:hint="eastAsia"/>
                <w:color w:val="000000"/>
                <w:sz w:val="16"/>
                <w:szCs w:val="16"/>
              </w:rPr>
              <w:t>华商双债</w:t>
            </w:r>
            <w:proofErr w:type="gramEnd"/>
            <w:r w:rsidRPr="00E7782E">
              <w:rPr>
                <w:rFonts w:ascii="楷体" w:eastAsia="楷体" w:hAnsi="楷体" w:hint="eastAsia"/>
                <w:color w:val="000000"/>
                <w:sz w:val="16"/>
                <w:szCs w:val="16"/>
              </w:rPr>
              <w:t>丰利A</w:t>
            </w:r>
          </w:p>
        </w:tc>
        <w:tc>
          <w:tcPr>
            <w:tcW w:w="743" w:type="dxa"/>
            <w:tcBorders>
              <w:top w:val="nil"/>
              <w:left w:val="nil"/>
              <w:bottom w:val="nil"/>
              <w:right w:val="nil"/>
            </w:tcBorders>
            <w:shd w:val="clear" w:color="auto" w:fill="FFFFFF" w:themeFill="background1"/>
            <w:vAlign w:val="center"/>
            <w:hideMark/>
          </w:tcPr>
          <w:p w:rsidR="00E7782E" w:rsidRPr="00E7782E" w:rsidRDefault="00E7782E">
            <w:pPr>
              <w:jc w:val="right"/>
              <w:rPr>
                <w:rFonts w:ascii="楷体" w:eastAsia="楷体" w:hAnsi="楷体"/>
                <w:color w:val="000000"/>
                <w:sz w:val="16"/>
                <w:szCs w:val="16"/>
              </w:rPr>
            </w:pPr>
            <w:r w:rsidRPr="00E7782E">
              <w:rPr>
                <w:rFonts w:ascii="楷体" w:eastAsia="楷体" w:hAnsi="楷体" w:hint="eastAsia"/>
                <w:color w:val="000000"/>
                <w:sz w:val="16"/>
                <w:szCs w:val="16"/>
              </w:rPr>
              <w:t>0.38</w:t>
            </w:r>
          </w:p>
        </w:tc>
      </w:tr>
      <w:tr w:rsidR="00E7782E" w:rsidRPr="00B80614" w:rsidTr="00FF3942">
        <w:trPr>
          <w:trHeight w:val="284"/>
        </w:trPr>
        <w:tc>
          <w:tcPr>
            <w:tcW w:w="709" w:type="dxa"/>
            <w:vMerge/>
            <w:tcBorders>
              <w:left w:val="nil"/>
              <w:right w:val="single" w:sz="8" w:space="0" w:color="000000"/>
            </w:tcBorders>
            <w:shd w:val="clear" w:color="auto" w:fill="FFFFFF" w:themeFill="background1"/>
            <w:vAlign w:val="center"/>
            <w:hideMark/>
          </w:tcPr>
          <w:p w:rsidR="00E7782E" w:rsidRPr="00A12428" w:rsidRDefault="00E7782E" w:rsidP="00FF3942">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E7782E" w:rsidRPr="00E7782E" w:rsidRDefault="00E7782E">
            <w:pPr>
              <w:rPr>
                <w:rFonts w:ascii="楷体" w:eastAsia="楷体" w:hAnsi="楷体"/>
                <w:color w:val="000000"/>
                <w:sz w:val="16"/>
                <w:szCs w:val="16"/>
              </w:rPr>
            </w:pPr>
            <w:r>
              <w:rPr>
                <w:rFonts w:ascii="楷体" w:eastAsia="楷体" w:hAnsi="楷体" w:hint="eastAsia"/>
                <w:color w:val="000000"/>
                <w:sz w:val="16"/>
                <w:szCs w:val="16"/>
              </w:rPr>
              <w:t>485111.</w:t>
            </w:r>
          </w:p>
        </w:tc>
        <w:tc>
          <w:tcPr>
            <w:tcW w:w="1701" w:type="dxa"/>
            <w:tcBorders>
              <w:top w:val="nil"/>
              <w:left w:val="nil"/>
              <w:bottom w:val="nil"/>
              <w:right w:val="nil"/>
            </w:tcBorders>
            <w:shd w:val="clear" w:color="auto" w:fill="FFFFFF" w:themeFill="background1"/>
            <w:vAlign w:val="center"/>
            <w:hideMark/>
          </w:tcPr>
          <w:p w:rsidR="00E7782E" w:rsidRPr="00E7782E" w:rsidRDefault="00E7782E">
            <w:pPr>
              <w:rPr>
                <w:rFonts w:ascii="楷体" w:eastAsia="楷体" w:hAnsi="楷体"/>
                <w:color w:val="000000"/>
                <w:sz w:val="16"/>
                <w:szCs w:val="16"/>
              </w:rPr>
            </w:pPr>
            <w:r w:rsidRPr="00E7782E">
              <w:rPr>
                <w:rFonts w:ascii="楷体" w:eastAsia="楷体" w:hAnsi="楷体" w:hint="eastAsia"/>
                <w:color w:val="000000"/>
                <w:sz w:val="16"/>
                <w:szCs w:val="16"/>
              </w:rPr>
              <w:t>工</w:t>
            </w:r>
            <w:proofErr w:type="gramStart"/>
            <w:r w:rsidRPr="00E7782E">
              <w:rPr>
                <w:rFonts w:ascii="楷体" w:eastAsia="楷体" w:hAnsi="楷体" w:hint="eastAsia"/>
                <w:color w:val="000000"/>
                <w:sz w:val="16"/>
                <w:szCs w:val="16"/>
              </w:rPr>
              <w:t>银瑞信双</w:t>
            </w:r>
            <w:proofErr w:type="gramEnd"/>
            <w:r w:rsidRPr="00E7782E">
              <w:rPr>
                <w:rFonts w:ascii="楷体" w:eastAsia="楷体" w:hAnsi="楷体" w:hint="eastAsia"/>
                <w:color w:val="000000"/>
                <w:sz w:val="16"/>
                <w:szCs w:val="16"/>
              </w:rPr>
              <w:t>利A</w:t>
            </w:r>
          </w:p>
        </w:tc>
        <w:tc>
          <w:tcPr>
            <w:tcW w:w="743" w:type="dxa"/>
            <w:tcBorders>
              <w:top w:val="nil"/>
              <w:left w:val="nil"/>
              <w:bottom w:val="nil"/>
              <w:right w:val="nil"/>
            </w:tcBorders>
            <w:shd w:val="clear" w:color="auto" w:fill="FFFFFF" w:themeFill="background1"/>
            <w:vAlign w:val="center"/>
            <w:hideMark/>
          </w:tcPr>
          <w:p w:rsidR="00E7782E" w:rsidRPr="00E7782E" w:rsidRDefault="00E7782E">
            <w:pPr>
              <w:jc w:val="right"/>
              <w:rPr>
                <w:rFonts w:ascii="楷体" w:eastAsia="楷体" w:hAnsi="楷体"/>
                <w:color w:val="000000"/>
                <w:sz w:val="16"/>
                <w:szCs w:val="16"/>
              </w:rPr>
            </w:pPr>
            <w:r w:rsidRPr="00E7782E">
              <w:rPr>
                <w:rFonts w:ascii="楷体" w:eastAsia="楷体" w:hAnsi="楷体" w:hint="eastAsia"/>
                <w:color w:val="000000"/>
                <w:sz w:val="16"/>
                <w:szCs w:val="16"/>
              </w:rPr>
              <w:t>0.36</w:t>
            </w:r>
          </w:p>
        </w:tc>
      </w:tr>
      <w:tr w:rsidR="00E7782E" w:rsidRPr="00B80614" w:rsidTr="00FF3942">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E7782E" w:rsidRPr="00A12428" w:rsidRDefault="00E7782E" w:rsidP="00FF3942">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E7782E" w:rsidRPr="00E7782E" w:rsidRDefault="00E7782E">
            <w:pPr>
              <w:rPr>
                <w:rFonts w:ascii="楷体" w:eastAsia="楷体" w:hAnsi="楷体"/>
                <w:color w:val="000000"/>
                <w:sz w:val="16"/>
                <w:szCs w:val="16"/>
              </w:rPr>
            </w:pPr>
            <w:r>
              <w:rPr>
                <w:rFonts w:ascii="楷体" w:eastAsia="楷体" w:hAnsi="楷体" w:hint="eastAsia"/>
                <w:color w:val="000000"/>
                <w:sz w:val="16"/>
                <w:szCs w:val="16"/>
              </w:rPr>
              <w:t>000466.</w:t>
            </w:r>
          </w:p>
        </w:tc>
        <w:tc>
          <w:tcPr>
            <w:tcW w:w="1701" w:type="dxa"/>
            <w:tcBorders>
              <w:top w:val="nil"/>
              <w:left w:val="nil"/>
              <w:bottom w:val="single" w:sz="8" w:space="0" w:color="000000"/>
              <w:right w:val="nil"/>
            </w:tcBorders>
            <w:shd w:val="clear" w:color="auto" w:fill="FFFFFF" w:themeFill="background1"/>
            <w:vAlign w:val="center"/>
            <w:hideMark/>
          </w:tcPr>
          <w:p w:rsidR="00E7782E" w:rsidRPr="00E7782E" w:rsidRDefault="00E7782E">
            <w:pPr>
              <w:rPr>
                <w:rFonts w:ascii="楷体" w:eastAsia="楷体" w:hAnsi="楷体"/>
                <w:color w:val="000000"/>
                <w:sz w:val="16"/>
                <w:szCs w:val="16"/>
              </w:rPr>
            </w:pPr>
            <w:r w:rsidRPr="00E7782E">
              <w:rPr>
                <w:rFonts w:ascii="楷体" w:eastAsia="楷体" w:hAnsi="楷体" w:hint="eastAsia"/>
                <w:color w:val="000000"/>
                <w:sz w:val="16"/>
                <w:szCs w:val="16"/>
              </w:rPr>
              <w:t>融通</w:t>
            </w:r>
            <w:proofErr w:type="gramStart"/>
            <w:r w:rsidRPr="00E7782E">
              <w:rPr>
                <w:rFonts w:ascii="楷体" w:eastAsia="楷体" w:hAnsi="楷体" w:hint="eastAsia"/>
                <w:color w:val="000000"/>
                <w:sz w:val="16"/>
                <w:szCs w:val="16"/>
              </w:rPr>
              <w:t>通</w:t>
            </w:r>
            <w:proofErr w:type="gramEnd"/>
            <w:r w:rsidRPr="00E7782E">
              <w:rPr>
                <w:rFonts w:ascii="楷体" w:eastAsia="楷体" w:hAnsi="楷体" w:hint="eastAsia"/>
                <w:color w:val="000000"/>
                <w:sz w:val="16"/>
                <w:szCs w:val="16"/>
              </w:rPr>
              <w:t>瑞AB</w:t>
            </w:r>
          </w:p>
        </w:tc>
        <w:tc>
          <w:tcPr>
            <w:tcW w:w="743" w:type="dxa"/>
            <w:tcBorders>
              <w:top w:val="nil"/>
              <w:left w:val="nil"/>
              <w:bottom w:val="single" w:sz="8" w:space="0" w:color="000000"/>
              <w:right w:val="nil"/>
            </w:tcBorders>
            <w:shd w:val="clear" w:color="auto" w:fill="FFFFFF" w:themeFill="background1"/>
            <w:vAlign w:val="center"/>
            <w:hideMark/>
          </w:tcPr>
          <w:p w:rsidR="00E7782E" w:rsidRPr="00E7782E" w:rsidRDefault="00E7782E">
            <w:pPr>
              <w:jc w:val="right"/>
              <w:rPr>
                <w:rFonts w:ascii="楷体" w:eastAsia="楷体" w:hAnsi="楷体"/>
                <w:color w:val="000000"/>
                <w:sz w:val="16"/>
                <w:szCs w:val="16"/>
              </w:rPr>
            </w:pPr>
            <w:r w:rsidRPr="00E7782E">
              <w:rPr>
                <w:rFonts w:ascii="楷体" w:eastAsia="楷体" w:hAnsi="楷体" w:hint="eastAsia"/>
                <w:color w:val="000000"/>
                <w:sz w:val="16"/>
                <w:szCs w:val="16"/>
              </w:rPr>
              <w:t>0.20</w:t>
            </w:r>
          </w:p>
        </w:tc>
      </w:tr>
      <w:tr w:rsidR="003C1E50" w:rsidRPr="00B80614" w:rsidTr="00FF3942">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3C1E50" w:rsidRPr="00A12428" w:rsidRDefault="003C1E50" w:rsidP="00FF3942">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指数债基</w:t>
            </w:r>
            <w:proofErr w:type="gramEnd"/>
          </w:p>
        </w:tc>
        <w:tc>
          <w:tcPr>
            <w:tcW w:w="817" w:type="dxa"/>
            <w:tcBorders>
              <w:top w:val="nil"/>
              <w:left w:val="nil"/>
              <w:bottom w:val="nil"/>
              <w:right w:val="nil"/>
            </w:tcBorders>
            <w:shd w:val="clear" w:color="auto" w:fill="F2F2F2" w:themeFill="background1" w:themeFillShade="F2"/>
            <w:vAlign w:val="center"/>
            <w:hideMark/>
          </w:tcPr>
          <w:p w:rsidR="003C1E50" w:rsidRPr="003C1E50" w:rsidRDefault="003C1E50">
            <w:pPr>
              <w:rPr>
                <w:rFonts w:ascii="楷体" w:eastAsia="楷体" w:hAnsi="楷体"/>
                <w:color w:val="000000"/>
                <w:sz w:val="16"/>
                <w:szCs w:val="16"/>
              </w:rPr>
            </w:pPr>
            <w:r>
              <w:rPr>
                <w:rFonts w:ascii="楷体" w:eastAsia="楷体" w:hAnsi="楷体" w:hint="eastAsia"/>
                <w:color w:val="000000"/>
                <w:sz w:val="16"/>
                <w:szCs w:val="16"/>
              </w:rPr>
              <w:t>167701.</w:t>
            </w:r>
          </w:p>
        </w:tc>
        <w:tc>
          <w:tcPr>
            <w:tcW w:w="1701" w:type="dxa"/>
            <w:tcBorders>
              <w:top w:val="nil"/>
              <w:left w:val="nil"/>
              <w:bottom w:val="nil"/>
              <w:right w:val="nil"/>
            </w:tcBorders>
            <w:shd w:val="clear" w:color="auto" w:fill="F2F2F2" w:themeFill="background1" w:themeFillShade="F2"/>
            <w:vAlign w:val="center"/>
            <w:hideMark/>
          </w:tcPr>
          <w:p w:rsidR="003C1E50" w:rsidRPr="003C1E50" w:rsidRDefault="003C1E50">
            <w:pPr>
              <w:rPr>
                <w:rFonts w:ascii="楷体" w:eastAsia="楷体" w:hAnsi="楷体"/>
                <w:color w:val="000000"/>
                <w:sz w:val="16"/>
                <w:szCs w:val="16"/>
              </w:rPr>
            </w:pPr>
            <w:r w:rsidRPr="003C1E50">
              <w:rPr>
                <w:rFonts w:ascii="楷体" w:eastAsia="楷体" w:hAnsi="楷体" w:hint="eastAsia"/>
                <w:color w:val="000000"/>
                <w:sz w:val="16"/>
                <w:szCs w:val="16"/>
              </w:rPr>
              <w:t>德</w:t>
            </w:r>
            <w:proofErr w:type="gramStart"/>
            <w:r w:rsidRPr="003C1E50">
              <w:rPr>
                <w:rFonts w:ascii="楷体" w:eastAsia="楷体" w:hAnsi="楷体" w:hint="eastAsia"/>
                <w:color w:val="000000"/>
                <w:sz w:val="16"/>
                <w:szCs w:val="16"/>
              </w:rPr>
              <w:t>邦</w:t>
            </w:r>
            <w:proofErr w:type="gramEnd"/>
            <w:r w:rsidRPr="003C1E50">
              <w:rPr>
                <w:rFonts w:ascii="楷体" w:eastAsia="楷体" w:hAnsi="楷体" w:hint="eastAsia"/>
                <w:color w:val="000000"/>
                <w:sz w:val="16"/>
                <w:szCs w:val="16"/>
              </w:rPr>
              <w:t>企债分级</w:t>
            </w:r>
          </w:p>
        </w:tc>
        <w:tc>
          <w:tcPr>
            <w:tcW w:w="743" w:type="dxa"/>
            <w:tcBorders>
              <w:top w:val="nil"/>
              <w:left w:val="nil"/>
              <w:bottom w:val="nil"/>
              <w:right w:val="nil"/>
            </w:tcBorders>
            <w:shd w:val="clear" w:color="auto" w:fill="F2F2F2" w:themeFill="background1" w:themeFillShade="F2"/>
            <w:vAlign w:val="center"/>
            <w:hideMark/>
          </w:tcPr>
          <w:p w:rsidR="003C1E50" w:rsidRPr="003C1E50" w:rsidRDefault="003C1E50">
            <w:pPr>
              <w:jc w:val="right"/>
              <w:rPr>
                <w:rFonts w:ascii="楷体" w:eastAsia="楷体" w:hAnsi="楷体"/>
                <w:color w:val="000000"/>
                <w:sz w:val="16"/>
                <w:szCs w:val="16"/>
              </w:rPr>
            </w:pPr>
            <w:r w:rsidRPr="003C1E50">
              <w:rPr>
                <w:rFonts w:ascii="楷体" w:eastAsia="楷体" w:hAnsi="楷体" w:hint="eastAsia"/>
                <w:color w:val="000000"/>
                <w:sz w:val="16"/>
                <w:szCs w:val="16"/>
              </w:rPr>
              <w:t>-0.28</w:t>
            </w:r>
          </w:p>
        </w:tc>
      </w:tr>
      <w:tr w:rsidR="003C1E50" w:rsidRPr="00B80614" w:rsidTr="00FF3942">
        <w:trPr>
          <w:trHeight w:val="284"/>
        </w:trPr>
        <w:tc>
          <w:tcPr>
            <w:tcW w:w="709" w:type="dxa"/>
            <w:vMerge/>
            <w:tcBorders>
              <w:left w:val="nil"/>
              <w:right w:val="single" w:sz="8" w:space="0" w:color="000000"/>
            </w:tcBorders>
            <w:shd w:val="clear" w:color="auto" w:fill="F2F2F2" w:themeFill="background1" w:themeFillShade="F2"/>
            <w:vAlign w:val="center"/>
            <w:hideMark/>
          </w:tcPr>
          <w:p w:rsidR="003C1E50" w:rsidRPr="00A12428" w:rsidRDefault="003C1E50" w:rsidP="00FF3942">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3C1E50" w:rsidRPr="003C1E50" w:rsidRDefault="003C1E50">
            <w:pPr>
              <w:rPr>
                <w:rFonts w:ascii="楷体" w:eastAsia="楷体" w:hAnsi="楷体"/>
                <w:color w:val="000000"/>
                <w:sz w:val="16"/>
                <w:szCs w:val="16"/>
              </w:rPr>
            </w:pPr>
            <w:r w:rsidRPr="003C1E50">
              <w:rPr>
                <w:rFonts w:ascii="楷体" w:eastAsia="楷体" w:hAnsi="楷体" w:hint="eastAsia"/>
                <w:color w:val="000000"/>
                <w:sz w:val="16"/>
                <w:szCs w:val="16"/>
              </w:rPr>
              <w:t>510</w:t>
            </w:r>
            <w:r>
              <w:rPr>
                <w:rFonts w:ascii="楷体" w:eastAsia="楷体" w:hAnsi="楷体" w:hint="eastAsia"/>
                <w:color w:val="000000"/>
                <w:sz w:val="16"/>
                <w:szCs w:val="16"/>
              </w:rPr>
              <w:t>080.</w:t>
            </w:r>
          </w:p>
        </w:tc>
        <w:tc>
          <w:tcPr>
            <w:tcW w:w="1701" w:type="dxa"/>
            <w:tcBorders>
              <w:top w:val="nil"/>
              <w:left w:val="nil"/>
              <w:bottom w:val="nil"/>
              <w:right w:val="nil"/>
            </w:tcBorders>
            <w:shd w:val="clear" w:color="auto" w:fill="F2F2F2" w:themeFill="background1" w:themeFillShade="F2"/>
            <w:vAlign w:val="center"/>
            <w:hideMark/>
          </w:tcPr>
          <w:p w:rsidR="003C1E50" w:rsidRPr="003C1E50" w:rsidRDefault="003C1E50">
            <w:pPr>
              <w:rPr>
                <w:rFonts w:ascii="楷体" w:eastAsia="楷体" w:hAnsi="楷体"/>
                <w:color w:val="000000"/>
                <w:sz w:val="16"/>
                <w:szCs w:val="16"/>
              </w:rPr>
            </w:pPr>
            <w:r w:rsidRPr="003C1E50">
              <w:rPr>
                <w:rFonts w:ascii="楷体" w:eastAsia="楷体" w:hAnsi="楷体" w:hint="eastAsia"/>
                <w:color w:val="000000"/>
                <w:sz w:val="16"/>
                <w:szCs w:val="16"/>
              </w:rPr>
              <w:t>长盛中</w:t>
            </w:r>
            <w:proofErr w:type="gramStart"/>
            <w:r w:rsidRPr="003C1E50">
              <w:rPr>
                <w:rFonts w:ascii="楷体" w:eastAsia="楷体" w:hAnsi="楷体" w:hint="eastAsia"/>
                <w:color w:val="000000"/>
                <w:sz w:val="16"/>
                <w:szCs w:val="16"/>
              </w:rPr>
              <w:t>信全债</w:t>
            </w:r>
            <w:proofErr w:type="gramEnd"/>
          </w:p>
        </w:tc>
        <w:tc>
          <w:tcPr>
            <w:tcW w:w="743" w:type="dxa"/>
            <w:tcBorders>
              <w:top w:val="nil"/>
              <w:left w:val="nil"/>
              <w:bottom w:val="nil"/>
              <w:right w:val="nil"/>
            </w:tcBorders>
            <w:shd w:val="clear" w:color="auto" w:fill="F2F2F2" w:themeFill="background1" w:themeFillShade="F2"/>
            <w:vAlign w:val="center"/>
            <w:hideMark/>
          </w:tcPr>
          <w:p w:rsidR="003C1E50" w:rsidRPr="003C1E50" w:rsidRDefault="003C1E50">
            <w:pPr>
              <w:jc w:val="right"/>
              <w:rPr>
                <w:rFonts w:ascii="楷体" w:eastAsia="楷体" w:hAnsi="楷体"/>
                <w:color w:val="000000"/>
                <w:sz w:val="16"/>
                <w:szCs w:val="16"/>
              </w:rPr>
            </w:pPr>
            <w:r w:rsidRPr="003C1E50">
              <w:rPr>
                <w:rFonts w:ascii="楷体" w:eastAsia="楷体" w:hAnsi="楷体" w:hint="eastAsia"/>
                <w:color w:val="000000"/>
                <w:sz w:val="16"/>
                <w:szCs w:val="16"/>
              </w:rPr>
              <w:t>-0.33</w:t>
            </w:r>
          </w:p>
        </w:tc>
      </w:tr>
      <w:tr w:rsidR="003C1E50" w:rsidRPr="00B80614" w:rsidTr="00FF3942">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3C1E50" w:rsidRPr="00A12428" w:rsidRDefault="003C1E50" w:rsidP="00FF3942">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3C1E50" w:rsidRPr="003C1E50" w:rsidRDefault="003C1E50">
            <w:pPr>
              <w:rPr>
                <w:rFonts w:ascii="楷体" w:eastAsia="楷体" w:hAnsi="楷体"/>
                <w:color w:val="000000"/>
                <w:sz w:val="16"/>
                <w:szCs w:val="16"/>
              </w:rPr>
            </w:pPr>
            <w:r>
              <w:rPr>
                <w:rFonts w:ascii="楷体" w:eastAsia="楷体" w:hAnsi="楷体" w:hint="eastAsia"/>
                <w:color w:val="000000"/>
                <w:sz w:val="16"/>
                <w:szCs w:val="16"/>
              </w:rPr>
              <w:t>511210.</w:t>
            </w:r>
          </w:p>
        </w:tc>
        <w:tc>
          <w:tcPr>
            <w:tcW w:w="1701" w:type="dxa"/>
            <w:tcBorders>
              <w:top w:val="nil"/>
              <w:left w:val="nil"/>
              <w:bottom w:val="single" w:sz="8" w:space="0" w:color="000000"/>
              <w:right w:val="nil"/>
            </w:tcBorders>
            <w:shd w:val="clear" w:color="auto" w:fill="F2F2F2" w:themeFill="background1" w:themeFillShade="F2"/>
            <w:vAlign w:val="center"/>
            <w:hideMark/>
          </w:tcPr>
          <w:p w:rsidR="003C1E50" w:rsidRPr="003C1E50" w:rsidRDefault="003C1E50">
            <w:pPr>
              <w:rPr>
                <w:rFonts w:ascii="楷体" w:eastAsia="楷体" w:hAnsi="楷体"/>
                <w:color w:val="000000"/>
                <w:sz w:val="16"/>
                <w:szCs w:val="16"/>
              </w:rPr>
            </w:pPr>
            <w:r w:rsidRPr="003C1E50">
              <w:rPr>
                <w:rFonts w:ascii="楷体" w:eastAsia="楷体" w:hAnsi="楷体" w:hint="eastAsia"/>
                <w:color w:val="000000"/>
                <w:sz w:val="16"/>
                <w:szCs w:val="16"/>
              </w:rPr>
              <w:t>博时</w:t>
            </w:r>
            <w:proofErr w:type="gramStart"/>
            <w:r w:rsidRPr="003C1E50">
              <w:rPr>
                <w:rFonts w:ascii="楷体" w:eastAsia="楷体" w:hAnsi="楷体" w:hint="eastAsia"/>
                <w:color w:val="000000"/>
                <w:sz w:val="16"/>
                <w:szCs w:val="16"/>
              </w:rPr>
              <w:t>上证企债</w:t>
            </w:r>
            <w:proofErr w:type="gramEnd"/>
            <w:r w:rsidRPr="003C1E50">
              <w:rPr>
                <w:rFonts w:ascii="楷体" w:eastAsia="楷体" w:hAnsi="楷体" w:hint="eastAsia"/>
                <w:color w:val="000000"/>
                <w:sz w:val="16"/>
                <w:szCs w:val="16"/>
              </w:rPr>
              <w:t>30ETF</w:t>
            </w:r>
          </w:p>
        </w:tc>
        <w:tc>
          <w:tcPr>
            <w:tcW w:w="743" w:type="dxa"/>
            <w:tcBorders>
              <w:top w:val="nil"/>
              <w:left w:val="nil"/>
              <w:bottom w:val="single" w:sz="8" w:space="0" w:color="000000"/>
              <w:right w:val="nil"/>
            </w:tcBorders>
            <w:shd w:val="clear" w:color="auto" w:fill="F2F2F2" w:themeFill="background1" w:themeFillShade="F2"/>
            <w:vAlign w:val="center"/>
            <w:hideMark/>
          </w:tcPr>
          <w:p w:rsidR="003C1E50" w:rsidRPr="003C1E50" w:rsidRDefault="003C1E50">
            <w:pPr>
              <w:jc w:val="right"/>
              <w:rPr>
                <w:rFonts w:ascii="楷体" w:eastAsia="楷体" w:hAnsi="楷体"/>
                <w:color w:val="000000"/>
                <w:sz w:val="16"/>
                <w:szCs w:val="16"/>
              </w:rPr>
            </w:pPr>
            <w:r w:rsidRPr="003C1E50">
              <w:rPr>
                <w:rFonts w:ascii="楷体" w:eastAsia="楷体" w:hAnsi="楷体" w:hint="eastAsia"/>
                <w:color w:val="000000"/>
                <w:sz w:val="16"/>
                <w:szCs w:val="16"/>
              </w:rPr>
              <w:t>-0.36</w:t>
            </w:r>
          </w:p>
        </w:tc>
      </w:tr>
      <w:tr w:rsidR="00C15A75" w:rsidRPr="00B80614" w:rsidTr="00FF3942">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15A75" w:rsidRPr="00A12428" w:rsidRDefault="00C15A75" w:rsidP="00FF3942">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货币基金</w:t>
            </w:r>
            <w:r w:rsidRPr="00A12428">
              <w:rPr>
                <w:rFonts w:ascii="Arial" w:eastAsia="楷体" w:hAnsi="Arial" w:cs="Arial"/>
                <w:color w:val="000000"/>
                <w:kern w:val="0"/>
                <w:sz w:val="13"/>
                <w:szCs w:val="13"/>
              </w:rPr>
              <w:t>（七日年化）</w:t>
            </w:r>
          </w:p>
        </w:tc>
        <w:tc>
          <w:tcPr>
            <w:tcW w:w="817" w:type="dxa"/>
            <w:tcBorders>
              <w:top w:val="nil"/>
              <w:left w:val="nil"/>
              <w:bottom w:val="nil"/>
              <w:right w:val="nil"/>
            </w:tcBorders>
            <w:shd w:val="clear" w:color="auto" w:fill="FFFFFF" w:themeFill="background1"/>
            <w:vAlign w:val="center"/>
            <w:hideMark/>
          </w:tcPr>
          <w:p w:rsidR="00C15A75" w:rsidRPr="00C15A75" w:rsidRDefault="00C15A75">
            <w:pPr>
              <w:rPr>
                <w:rFonts w:ascii="楷体" w:eastAsia="楷体" w:hAnsi="楷体"/>
                <w:color w:val="000000"/>
                <w:sz w:val="16"/>
                <w:szCs w:val="16"/>
              </w:rPr>
            </w:pPr>
            <w:r>
              <w:rPr>
                <w:rFonts w:ascii="楷体" w:eastAsia="楷体" w:hAnsi="楷体" w:hint="eastAsia"/>
                <w:color w:val="000000"/>
                <w:sz w:val="16"/>
                <w:szCs w:val="16"/>
              </w:rPr>
              <w:t>000846.</w:t>
            </w:r>
          </w:p>
        </w:tc>
        <w:tc>
          <w:tcPr>
            <w:tcW w:w="1701" w:type="dxa"/>
            <w:tcBorders>
              <w:top w:val="nil"/>
              <w:left w:val="nil"/>
              <w:bottom w:val="nil"/>
              <w:right w:val="nil"/>
            </w:tcBorders>
            <w:shd w:val="clear" w:color="auto" w:fill="FFFFFF" w:themeFill="background1"/>
            <w:vAlign w:val="center"/>
            <w:hideMark/>
          </w:tcPr>
          <w:p w:rsidR="00C15A75" w:rsidRPr="00C15A75" w:rsidRDefault="00C15A75">
            <w:pPr>
              <w:rPr>
                <w:rFonts w:ascii="楷体" w:eastAsia="楷体" w:hAnsi="楷体"/>
                <w:color w:val="000000"/>
                <w:sz w:val="16"/>
                <w:szCs w:val="16"/>
              </w:rPr>
            </w:pPr>
            <w:proofErr w:type="gramStart"/>
            <w:r w:rsidRPr="00C15A75">
              <w:rPr>
                <w:rFonts w:ascii="楷体" w:eastAsia="楷体" w:hAnsi="楷体" w:hint="eastAsia"/>
                <w:color w:val="000000"/>
                <w:sz w:val="16"/>
                <w:szCs w:val="16"/>
              </w:rPr>
              <w:t>中融货币</w:t>
            </w:r>
            <w:proofErr w:type="gramEnd"/>
            <w:r w:rsidRPr="00C15A75">
              <w:rPr>
                <w:rFonts w:ascii="楷体" w:eastAsia="楷体" w:hAnsi="楷体" w:hint="eastAsia"/>
                <w:color w:val="000000"/>
                <w:sz w:val="16"/>
                <w:szCs w:val="16"/>
              </w:rPr>
              <w:t>C</w:t>
            </w:r>
          </w:p>
        </w:tc>
        <w:tc>
          <w:tcPr>
            <w:tcW w:w="743" w:type="dxa"/>
            <w:tcBorders>
              <w:top w:val="nil"/>
              <w:left w:val="nil"/>
              <w:bottom w:val="nil"/>
              <w:right w:val="nil"/>
            </w:tcBorders>
            <w:shd w:val="clear" w:color="auto" w:fill="FFFFFF" w:themeFill="background1"/>
            <w:vAlign w:val="center"/>
            <w:hideMark/>
          </w:tcPr>
          <w:p w:rsidR="00C15A75" w:rsidRPr="00C15A75" w:rsidRDefault="00C15A75">
            <w:pPr>
              <w:jc w:val="right"/>
              <w:rPr>
                <w:rFonts w:ascii="楷体" w:eastAsia="楷体" w:hAnsi="楷体"/>
                <w:color w:val="000000"/>
                <w:sz w:val="16"/>
                <w:szCs w:val="16"/>
              </w:rPr>
            </w:pPr>
            <w:r w:rsidRPr="00C15A75">
              <w:rPr>
                <w:rFonts w:ascii="楷体" w:eastAsia="楷体" w:hAnsi="楷体" w:hint="eastAsia"/>
                <w:color w:val="000000"/>
                <w:sz w:val="16"/>
                <w:szCs w:val="16"/>
              </w:rPr>
              <w:t>5.41</w:t>
            </w:r>
          </w:p>
        </w:tc>
      </w:tr>
      <w:tr w:rsidR="00C15A75" w:rsidRPr="00B80614" w:rsidTr="00FF3942">
        <w:trPr>
          <w:trHeight w:val="284"/>
        </w:trPr>
        <w:tc>
          <w:tcPr>
            <w:tcW w:w="709" w:type="dxa"/>
            <w:vMerge/>
            <w:tcBorders>
              <w:left w:val="nil"/>
              <w:right w:val="single" w:sz="8" w:space="0" w:color="000000"/>
            </w:tcBorders>
            <w:shd w:val="clear" w:color="auto" w:fill="FFFFFF" w:themeFill="background1"/>
            <w:vAlign w:val="center"/>
            <w:hideMark/>
          </w:tcPr>
          <w:p w:rsidR="00C15A75" w:rsidRPr="00A12428" w:rsidRDefault="00C15A75" w:rsidP="00FF3942">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C15A75" w:rsidRPr="00C15A75" w:rsidRDefault="00C15A75">
            <w:pPr>
              <w:rPr>
                <w:rFonts w:ascii="楷体" w:eastAsia="楷体" w:hAnsi="楷体"/>
                <w:color w:val="000000"/>
                <w:sz w:val="16"/>
                <w:szCs w:val="16"/>
              </w:rPr>
            </w:pPr>
            <w:r>
              <w:rPr>
                <w:rFonts w:ascii="楷体" w:eastAsia="楷体" w:hAnsi="楷体" w:hint="eastAsia"/>
                <w:color w:val="000000"/>
                <w:sz w:val="16"/>
                <w:szCs w:val="16"/>
              </w:rPr>
              <w:t>000773.</w:t>
            </w:r>
          </w:p>
        </w:tc>
        <w:tc>
          <w:tcPr>
            <w:tcW w:w="1701" w:type="dxa"/>
            <w:tcBorders>
              <w:top w:val="nil"/>
              <w:left w:val="nil"/>
              <w:bottom w:val="nil"/>
              <w:right w:val="nil"/>
            </w:tcBorders>
            <w:shd w:val="clear" w:color="auto" w:fill="FFFFFF" w:themeFill="background1"/>
            <w:vAlign w:val="center"/>
            <w:hideMark/>
          </w:tcPr>
          <w:p w:rsidR="00C15A75" w:rsidRPr="00C15A75" w:rsidRDefault="00C15A75">
            <w:pPr>
              <w:rPr>
                <w:rFonts w:ascii="楷体" w:eastAsia="楷体" w:hAnsi="楷体"/>
                <w:color w:val="000000"/>
                <w:sz w:val="16"/>
                <w:szCs w:val="16"/>
              </w:rPr>
            </w:pPr>
            <w:r w:rsidRPr="00C15A75">
              <w:rPr>
                <w:rFonts w:ascii="楷体" w:eastAsia="楷体" w:hAnsi="楷体" w:hint="eastAsia"/>
                <w:color w:val="000000"/>
                <w:sz w:val="16"/>
                <w:szCs w:val="16"/>
              </w:rPr>
              <w:t>万家现金宝</w:t>
            </w:r>
          </w:p>
        </w:tc>
        <w:tc>
          <w:tcPr>
            <w:tcW w:w="743" w:type="dxa"/>
            <w:tcBorders>
              <w:top w:val="nil"/>
              <w:left w:val="nil"/>
              <w:bottom w:val="nil"/>
              <w:right w:val="nil"/>
            </w:tcBorders>
            <w:shd w:val="clear" w:color="auto" w:fill="FFFFFF" w:themeFill="background1"/>
            <w:vAlign w:val="center"/>
            <w:hideMark/>
          </w:tcPr>
          <w:p w:rsidR="00C15A75" w:rsidRPr="00C15A75" w:rsidRDefault="00C15A75">
            <w:pPr>
              <w:jc w:val="right"/>
              <w:rPr>
                <w:rFonts w:ascii="楷体" w:eastAsia="楷体" w:hAnsi="楷体"/>
                <w:color w:val="000000"/>
                <w:sz w:val="16"/>
                <w:szCs w:val="16"/>
              </w:rPr>
            </w:pPr>
            <w:r w:rsidRPr="00C15A75">
              <w:rPr>
                <w:rFonts w:ascii="楷体" w:eastAsia="楷体" w:hAnsi="楷体" w:hint="eastAsia"/>
                <w:color w:val="000000"/>
                <w:sz w:val="16"/>
                <w:szCs w:val="16"/>
              </w:rPr>
              <w:t>5.16</w:t>
            </w:r>
          </w:p>
        </w:tc>
      </w:tr>
      <w:tr w:rsidR="00C15A75" w:rsidRPr="00B80614" w:rsidTr="00FF3942">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15A75" w:rsidRPr="00A12428" w:rsidRDefault="00C15A75" w:rsidP="00FF3942">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C15A75" w:rsidRPr="00C15A75" w:rsidRDefault="00C15A75">
            <w:pPr>
              <w:rPr>
                <w:rFonts w:ascii="楷体" w:eastAsia="楷体" w:hAnsi="楷体"/>
                <w:color w:val="000000"/>
                <w:sz w:val="16"/>
                <w:szCs w:val="16"/>
              </w:rPr>
            </w:pPr>
            <w:r>
              <w:rPr>
                <w:rFonts w:ascii="楷体" w:eastAsia="楷体" w:hAnsi="楷体" w:hint="eastAsia"/>
                <w:color w:val="000000"/>
                <w:sz w:val="16"/>
                <w:szCs w:val="16"/>
              </w:rPr>
              <w:t>001693.</w:t>
            </w:r>
          </w:p>
        </w:tc>
        <w:tc>
          <w:tcPr>
            <w:tcW w:w="1701" w:type="dxa"/>
            <w:tcBorders>
              <w:top w:val="nil"/>
              <w:left w:val="nil"/>
              <w:bottom w:val="single" w:sz="8" w:space="0" w:color="000000"/>
              <w:right w:val="nil"/>
            </w:tcBorders>
            <w:shd w:val="clear" w:color="auto" w:fill="FFFFFF" w:themeFill="background1"/>
            <w:vAlign w:val="center"/>
            <w:hideMark/>
          </w:tcPr>
          <w:p w:rsidR="00C15A75" w:rsidRPr="00C15A75" w:rsidRDefault="00C15A75">
            <w:pPr>
              <w:rPr>
                <w:rFonts w:ascii="楷体" w:eastAsia="楷体" w:hAnsi="楷体"/>
                <w:color w:val="000000"/>
                <w:sz w:val="16"/>
                <w:szCs w:val="16"/>
              </w:rPr>
            </w:pPr>
            <w:proofErr w:type="gramStart"/>
            <w:r w:rsidRPr="00C15A75">
              <w:rPr>
                <w:rFonts w:ascii="楷体" w:eastAsia="楷体" w:hAnsi="楷体" w:hint="eastAsia"/>
                <w:color w:val="000000"/>
                <w:sz w:val="16"/>
                <w:szCs w:val="16"/>
              </w:rPr>
              <w:t>招商招利1个月</w:t>
            </w:r>
            <w:proofErr w:type="gramEnd"/>
            <w:r w:rsidRPr="00C15A75">
              <w:rPr>
                <w:rFonts w:ascii="楷体" w:eastAsia="楷体" w:hAnsi="楷体" w:hint="eastAsia"/>
                <w:color w:val="000000"/>
                <w:sz w:val="16"/>
                <w:szCs w:val="16"/>
              </w:rPr>
              <w:t>C</w:t>
            </w:r>
          </w:p>
        </w:tc>
        <w:tc>
          <w:tcPr>
            <w:tcW w:w="743" w:type="dxa"/>
            <w:tcBorders>
              <w:top w:val="nil"/>
              <w:left w:val="nil"/>
              <w:bottom w:val="single" w:sz="8" w:space="0" w:color="000000"/>
              <w:right w:val="nil"/>
            </w:tcBorders>
            <w:shd w:val="clear" w:color="auto" w:fill="FFFFFF" w:themeFill="background1"/>
            <w:vAlign w:val="center"/>
            <w:hideMark/>
          </w:tcPr>
          <w:p w:rsidR="00C15A75" w:rsidRPr="00C15A75" w:rsidRDefault="00C15A75">
            <w:pPr>
              <w:jc w:val="right"/>
              <w:rPr>
                <w:rFonts w:ascii="楷体" w:eastAsia="楷体" w:hAnsi="楷体"/>
                <w:color w:val="000000"/>
                <w:sz w:val="16"/>
                <w:szCs w:val="16"/>
              </w:rPr>
            </w:pPr>
            <w:r w:rsidRPr="00C15A75">
              <w:rPr>
                <w:rFonts w:ascii="楷体" w:eastAsia="楷体" w:hAnsi="楷体" w:hint="eastAsia"/>
                <w:color w:val="000000"/>
                <w:sz w:val="16"/>
                <w:szCs w:val="16"/>
              </w:rPr>
              <w:t>4.99</w:t>
            </w:r>
          </w:p>
        </w:tc>
      </w:tr>
      <w:tr w:rsidR="00BA6BA1" w:rsidRPr="00B80614" w:rsidTr="00FF3942">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BA6BA1" w:rsidRPr="00A12428" w:rsidRDefault="00BA6BA1" w:rsidP="00FF3942">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商品基金</w:t>
            </w:r>
          </w:p>
        </w:tc>
        <w:tc>
          <w:tcPr>
            <w:tcW w:w="817" w:type="dxa"/>
            <w:tcBorders>
              <w:top w:val="nil"/>
              <w:left w:val="nil"/>
              <w:bottom w:val="single" w:sz="8" w:space="0" w:color="000000"/>
              <w:right w:val="nil"/>
            </w:tcBorders>
            <w:shd w:val="clear" w:color="auto" w:fill="F2F2F2" w:themeFill="background1" w:themeFillShade="F2"/>
            <w:vAlign w:val="center"/>
            <w:hideMark/>
          </w:tcPr>
          <w:p w:rsidR="00BA6BA1" w:rsidRPr="00B80614" w:rsidRDefault="00BA6BA1" w:rsidP="00FF3942">
            <w:pPr>
              <w:rPr>
                <w:rFonts w:ascii="楷体" w:eastAsia="楷体" w:hAnsi="楷体" w:cs="宋体"/>
                <w:color w:val="000000"/>
                <w:sz w:val="16"/>
                <w:szCs w:val="16"/>
              </w:rPr>
            </w:pPr>
            <w:r w:rsidRPr="00B80614">
              <w:rPr>
                <w:rFonts w:ascii="楷体" w:eastAsia="楷体" w:hAnsi="楷体" w:hint="eastAsia"/>
                <w:color w:val="000000"/>
                <w:sz w:val="16"/>
                <w:szCs w:val="16"/>
              </w:rPr>
              <w:t>161226</w:t>
            </w:r>
          </w:p>
        </w:tc>
        <w:tc>
          <w:tcPr>
            <w:tcW w:w="1701" w:type="dxa"/>
            <w:tcBorders>
              <w:top w:val="nil"/>
              <w:left w:val="nil"/>
              <w:bottom w:val="single" w:sz="8" w:space="0" w:color="000000"/>
              <w:right w:val="nil"/>
            </w:tcBorders>
            <w:shd w:val="clear" w:color="auto" w:fill="F2F2F2" w:themeFill="background1" w:themeFillShade="F2"/>
            <w:vAlign w:val="center"/>
            <w:hideMark/>
          </w:tcPr>
          <w:p w:rsidR="00BA6BA1" w:rsidRPr="00B80614" w:rsidRDefault="00BA6BA1" w:rsidP="00FF3942">
            <w:pPr>
              <w:rPr>
                <w:rFonts w:ascii="楷体" w:eastAsia="楷体" w:hAnsi="楷体" w:cs="宋体"/>
                <w:color w:val="000000"/>
                <w:sz w:val="16"/>
                <w:szCs w:val="16"/>
              </w:rPr>
            </w:pPr>
            <w:r w:rsidRPr="00B80614">
              <w:rPr>
                <w:rFonts w:ascii="楷体" w:eastAsia="楷体" w:hAnsi="楷体" w:hint="eastAsia"/>
                <w:color w:val="000000"/>
                <w:sz w:val="16"/>
                <w:szCs w:val="16"/>
              </w:rPr>
              <w:t>国</w:t>
            </w:r>
            <w:proofErr w:type="gramStart"/>
            <w:r w:rsidRPr="00B80614">
              <w:rPr>
                <w:rFonts w:ascii="楷体" w:eastAsia="楷体" w:hAnsi="楷体" w:hint="eastAsia"/>
                <w:color w:val="000000"/>
                <w:sz w:val="16"/>
                <w:szCs w:val="16"/>
              </w:rPr>
              <w:t>投瑞银白</w:t>
            </w:r>
            <w:proofErr w:type="gramEnd"/>
            <w:r w:rsidRPr="00B80614">
              <w:rPr>
                <w:rFonts w:ascii="楷体" w:eastAsia="楷体" w:hAnsi="楷体" w:hint="eastAsia"/>
                <w:color w:val="000000"/>
                <w:sz w:val="16"/>
                <w:szCs w:val="16"/>
              </w:rPr>
              <w:t>银期货</w:t>
            </w:r>
          </w:p>
        </w:tc>
        <w:tc>
          <w:tcPr>
            <w:tcW w:w="743" w:type="dxa"/>
            <w:tcBorders>
              <w:top w:val="nil"/>
              <w:left w:val="nil"/>
              <w:bottom w:val="single" w:sz="8" w:space="0" w:color="000000"/>
              <w:right w:val="nil"/>
            </w:tcBorders>
            <w:shd w:val="clear" w:color="auto" w:fill="F2F2F2" w:themeFill="background1" w:themeFillShade="F2"/>
            <w:vAlign w:val="center"/>
            <w:hideMark/>
          </w:tcPr>
          <w:p w:rsidR="00BA6BA1" w:rsidRPr="00B80614" w:rsidRDefault="00C15A75" w:rsidP="00FF3942">
            <w:pPr>
              <w:jc w:val="right"/>
              <w:rPr>
                <w:rFonts w:ascii="楷体" w:eastAsia="楷体" w:hAnsi="楷体" w:cs="宋体"/>
                <w:color w:val="000000"/>
                <w:sz w:val="16"/>
                <w:szCs w:val="16"/>
              </w:rPr>
            </w:pPr>
            <w:r>
              <w:rPr>
                <w:rFonts w:ascii="楷体" w:eastAsia="楷体" w:hAnsi="楷体" w:hint="eastAsia"/>
                <w:color w:val="000000"/>
                <w:sz w:val="16"/>
                <w:szCs w:val="16"/>
              </w:rPr>
              <w:t>10.19</w:t>
            </w:r>
          </w:p>
        </w:tc>
      </w:tr>
      <w:tr w:rsidR="00C15A75" w:rsidRPr="00B80614" w:rsidTr="00FF3942">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15A75" w:rsidRPr="00A12428" w:rsidRDefault="00C15A75" w:rsidP="00FF3942">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QDII</w:t>
            </w:r>
          </w:p>
        </w:tc>
        <w:tc>
          <w:tcPr>
            <w:tcW w:w="817" w:type="dxa"/>
            <w:tcBorders>
              <w:top w:val="nil"/>
              <w:left w:val="nil"/>
              <w:bottom w:val="nil"/>
              <w:right w:val="nil"/>
            </w:tcBorders>
            <w:shd w:val="clear" w:color="auto" w:fill="FFFFFF" w:themeFill="background1"/>
            <w:vAlign w:val="center"/>
            <w:hideMark/>
          </w:tcPr>
          <w:p w:rsidR="00C15A75" w:rsidRPr="00C15A75" w:rsidRDefault="00C15A75">
            <w:pPr>
              <w:rPr>
                <w:rFonts w:ascii="楷体" w:eastAsia="楷体" w:hAnsi="楷体"/>
                <w:color w:val="000000"/>
                <w:sz w:val="16"/>
                <w:szCs w:val="16"/>
              </w:rPr>
            </w:pPr>
            <w:r>
              <w:rPr>
                <w:rFonts w:ascii="楷体" w:eastAsia="楷体" w:hAnsi="楷体" w:hint="eastAsia"/>
                <w:color w:val="000000"/>
                <w:sz w:val="16"/>
                <w:szCs w:val="16"/>
              </w:rPr>
              <w:t>162411.</w:t>
            </w:r>
          </w:p>
        </w:tc>
        <w:tc>
          <w:tcPr>
            <w:tcW w:w="1701" w:type="dxa"/>
            <w:tcBorders>
              <w:top w:val="nil"/>
              <w:left w:val="nil"/>
              <w:bottom w:val="nil"/>
              <w:right w:val="nil"/>
            </w:tcBorders>
            <w:shd w:val="clear" w:color="auto" w:fill="FFFFFF" w:themeFill="background1"/>
            <w:vAlign w:val="center"/>
            <w:hideMark/>
          </w:tcPr>
          <w:p w:rsidR="00C15A75" w:rsidRPr="00C15A75" w:rsidRDefault="00C15A75">
            <w:pPr>
              <w:rPr>
                <w:rFonts w:ascii="楷体" w:eastAsia="楷体" w:hAnsi="楷体"/>
                <w:color w:val="000000"/>
                <w:sz w:val="16"/>
                <w:szCs w:val="16"/>
              </w:rPr>
            </w:pPr>
            <w:r w:rsidRPr="00C15A75">
              <w:rPr>
                <w:rFonts w:ascii="楷体" w:eastAsia="楷体" w:hAnsi="楷体" w:hint="eastAsia"/>
                <w:color w:val="000000"/>
                <w:sz w:val="16"/>
                <w:szCs w:val="16"/>
              </w:rPr>
              <w:t>华</w:t>
            </w:r>
            <w:proofErr w:type="gramStart"/>
            <w:r w:rsidRPr="00C15A75">
              <w:rPr>
                <w:rFonts w:ascii="楷体" w:eastAsia="楷体" w:hAnsi="楷体" w:hint="eastAsia"/>
                <w:color w:val="000000"/>
                <w:sz w:val="16"/>
                <w:szCs w:val="16"/>
              </w:rPr>
              <w:t>宝兴业标普油气</w:t>
            </w:r>
            <w:proofErr w:type="gramEnd"/>
            <w:r w:rsidRPr="00C15A75">
              <w:rPr>
                <w:rFonts w:ascii="楷体" w:eastAsia="楷体" w:hAnsi="楷体" w:hint="eastAsia"/>
                <w:color w:val="000000"/>
                <w:sz w:val="16"/>
                <w:szCs w:val="16"/>
              </w:rPr>
              <w:t>人民币</w:t>
            </w:r>
          </w:p>
        </w:tc>
        <w:tc>
          <w:tcPr>
            <w:tcW w:w="743" w:type="dxa"/>
            <w:tcBorders>
              <w:top w:val="nil"/>
              <w:left w:val="nil"/>
              <w:bottom w:val="nil"/>
              <w:right w:val="nil"/>
            </w:tcBorders>
            <w:shd w:val="clear" w:color="auto" w:fill="FFFFFF" w:themeFill="background1"/>
            <w:vAlign w:val="center"/>
            <w:hideMark/>
          </w:tcPr>
          <w:p w:rsidR="00C15A75" w:rsidRPr="00C15A75" w:rsidRDefault="00C15A75">
            <w:pPr>
              <w:jc w:val="right"/>
              <w:rPr>
                <w:rFonts w:ascii="楷体" w:eastAsia="楷体" w:hAnsi="楷体"/>
                <w:color w:val="000000"/>
                <w:sz w:val="16"/>
                <w:szCs w:val="16"/>
              </w:rPr>
            </w:pPr>
            <w:r w:rsidRPr="00C15A75">
              <w:rPr>
                <w:rFonts w:ascii="楷体" w:eastAsia="楷体" w:hAnsi="楷体" w:hint="eastAsia"/>
                <w:color w:val="000000"/>
                <w:sz w:val="16"/>
                <w:szCs w:val="16"/>
              </w:rPr>
              <w:t>17.98</w:t>
            </w:r>
          </w:p>
        </w:tc>
      </w:tr>
      <w:tr w:rsidR="00C15A75" w:rsidRPr="00B80614" w:rsidTr="00FF3942">
        <w:trPr>
          <w:trHeight w:val="284"/>
        </w:trPr>
        <w:tc>
          <w:tcPr>
            <w:tcW w:w="709" w:type="dxa"/>
            <w:vMerge/>
            <w:tcBorders>
              <w:left w:val="nil"/>
              <w:right w:val="single" w:sz="8" w:space="0" w:color="000000"/>
            </w:tcBorders>
            <w:shd w:val="clear" w:color="auto" w:fill="FFFFFF" w:themeFill="background1"/>
            <w:vAlign w:val="center"/>
            <w:hideMark/>
          </w:tcPr>
          <w:p w:rsidR="00C15A75" w:rsidRPr="00A12428" w:rsidRDefault="00C15A75" w:rsidP="00FF3942">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C15A75" w:rsidRPr="00C15A75" w:rsidRDefault="00C15A75">
            <w:pPr>
              <w:rPr>
                <w:rFonts w:ascii="楷体" w:eastAsia="楷体" w:hAnsi="楷体"/>
                <w:color w:val="000000"/>
                <w:sz w:val="16"/>
                <w:szCs w:val="16"/>
              </w:rPr>
            </w:pPr>
            <w:r>
              <w:rPr>
                <w:rFonts w:ascii="楷体" w:eastAsia="楷体" w:hAnsi="楷体" w:hint="eastAsia"/>
                <w:color w:val="000000"/>
                <w:sz w:val="16"/>
                <w:szCs w:val="16"/>
              </w:rPr>
              <w:t>160216.</w:t>
            </w:r>
          </w:p>
        </w:tc>
        <w:tc>
          <w:tcPr>
            <w:tcW w:w="1701" w:type="dxa"/>
            <w:tcBorders>
              <w:top w:val="nil"/>
              <w:left w:val="nil"/>
              <w:bottom w:val="nil"/>
              <w:right w:val="nil"/>
            </w:tcBorders>
            <w:shd w:val="clear" w:color="auto" w:fill="FFFFFF" w:themeFill="background1"/>
            <w:vAlign w:val="center"/>
            <w:hideMark/>
          </w:tcPr>
          <w:p w:rsidR="00C15A75" w:rsidRPr="00C15A75" w:rsidRDefault="00C15A75">
            <w:pPr>
              <w:rPr>
                <w:rFonts w:ascii="楷体" w:eastAsia="楷体" w:hAnsi="楷体"/>
                <w:color w:val="000000"/>
                <w:sz w:val="16"/>
                <w:szCs w:val="16"/>
              </w:rPr>
            </w:pPr>
            <w:r w:rsidRPr="00C15A75">
              <w:rPr>
                <w:rFonts w:ascii="楷体" w:eastAsia="楷体" w:hAnsi="楷体" w:hint="eastAsia"/>
                <w:color w:val="000000"/>
                <w:sz w:val="16"/>
                <w:szCs w:val="16"/>
              </w:rPr>
              <w:t>国泰大宗商品</w:t>
            </w:r>
          </w:p>
        </w:tc>
        <w:tc>
          <w:tcPr>
            <w:tcW w:w="743" w:type="dxa"/>
            <w:tcBorders>
              <w:top w:val="nil"/>
              <w:left w:val="nil"/>
              <w:bottom w:val="nil"/>
              <w:right w:val="nil"/>
            </w:tcBorders>
            <w:shd w:val="clear" w:color="auto" w:fill="FFFFFF" w:themeFill="background1"/>
            <w:vAlign w:val="center"/>
            <w:hideMark/>
          </w:tcPr>
          <w:p w:rsidR="00C15A75" w:rsidRPr="00C15A75" w:rsidRDefault="00C15A75">
            <w:pPr>
              <w:jc w:val="right"/>
              <w:rPr>
                <w:rFonts w:ascii="楷体" w:eastAsia="楷体" w:hAnsi="楷体"/>
                <w:color w:val="000000"/>
                <w:sz w:val="16"/>
                <w:szCs w:val="16"/>
              </w:rPr>
            </w:pPr>
            <w:r w:rsidRPr="00C15A75">
              <w:rPr>
                <w:rFonts w:ascii="楷体" w:eastAsia="楷体" w:hAnsi="楷体" w:hint="eastAsia"/>
                <w:color w:val="000000"/>
                <w:sz w:val="16"/>
                <w:szCs w:val="16"/>
              </w:rPr>
              <w:t>15.93</w:t>
            </w:r>
          </w:p>
        </w:tc>
      </w:tr>
      <w:tr w:rsidR="00C15A75" w:rsidRPr="00B80614" w:rsidTr="00FF3942">
        <w:trPr>
          <w:trHeight w:val="284"/>
        </w:trPr>
        <w:tc>
          <w:tcPr>
            <w:tcW w:w="709" w:type="dxa"/>
            <w:vMerge/>
            <w:tcBorders>
              <w:left w:val="nil"/>
              <w:bottom w:val="single" w:sz="12" w:space="0" w:color="auto"/>
              <w:right w:val="single" w:sz="8" w:space="0" w:color="000000"/>
            </w:tcBorders>
            <w:shd w:val="clear" w:color="auto" w:fill="FFFFFF" w:themeFill="background1"/>
            <w:vAlign w:val="center"/>
            <w:hideMark/>
          </w:tcPr>
          <w:p w:rsidR="00C15A75" w:rsidRPr="00A12428" w:rsidRDefault="00C15A75" w:rsidP="00FF3942">
            <w:pPr>
              <w:widowControl/>
              <w:jc w:val="left"/>
              <w:rPr>
                <w:rFonts w:ascii="Arial" w:eastAsia="楷体" w:hAnsi="Arial" w:cs="Arial"/>
                <w:b/>
                <w:bCs/>
                <w:color w:val="000000"/>
                <w:kern w:val="0"/>
                <w:sz w:val="18"/>
                <w:szCs w:val="18"/>
              </w:rPr>
            </w:pPr>
          </w:p>
        </w:tc>
        <w:tc>
          <w:tcPr>
            <w:tcW w:w="817" w:type="dxa"/>
            <w:tcBorders>
              <w:top w:val="nil"/>
              <w:left w:val="nil"/>
              <w:bottom w:val="single" w:sz="12" w:space="0" w:color="auto"/>
              <w:right w:val="nil"/>
            </w:tcBorders>
            <w:shd w:val="clear" w:color="auto" w:fill="FFFFFF" w:themeFill="background1"/>
            <w:vAlign w:val="center"/>
            <w:hideMark/>
          </w:tcPr>
          <w:p w:rsidR="00C15A75" w:rsidRPr="00C15A75" w:rsidRDefault="00C15A75">
            <w:pPr>
              <w:rPr>
                <w:rFonts w:ascii="楷体" w:eastAsia="楷体" w:hAnsi="楷体"/>
                <w:color w:val="000000"/>
                <w:sz w:val="16"/>
                <w:szCs w:val="16"/>
              </w:rPr>
            </w:pPr>
            <w:r>
              <w:rPr>
                <w:rFonts w:ascii="楷体" w:eastAsia="楷体" w:hAnsi="楷体" w:hint="eastAsia"/>
                <w:color w:val="000000"/>
                <w:sz w:val="16"/>
                <w:szCs w:val="16"/>
              </w:rPr>
              <w:t>000049.</w:t>
            </w:r>
          </w:p>
        </w:tc>
        <w:tc>
          <w:tcPr>
            <w:tcW w:w="1701" w:type="dxa"/>
            <w:tcBorders>
              <w:top w:val="nil"/>
              <w:left w:val="nil"/>
              <w:bottom w:val="single" w:sz="12" w:space="0" w:color="auto"/>
              <w:right w:val="nil"/>
            </w:tcBorders>
            <w:shd w:val="clear" w:color="auto" w:fill="FFFFFF" w:themeFill="background1"/>
            <w:vAlign w:val="center"/>
            <w:hideMark/>
          </w:tcPr>
          <w:p w:rsidR="00C15A75" w:rsidRPr="00C15A75" w:rsidRDefault="00C15A75">
            <w:pPr>
              <w:rPr>
                <w:rFonts w:ascii="楷体" w:eastAsia="楷体" w:hAnsi="楷体"/>
                <w:color w:val="000000"/>
                <w:sz w:val="16"/>
                <w:szCs w:val="16"/>
              </w:rPr>
            </w:pPr>
            <w:r w:rsidRPr="00C15A75">
              <w:rPr>
                <w:rFonts w:ascii="楷体" w:eastAsia="楷体" w:hAnsi="楷体" w:hint="eastAsia"/>
                <w:color w:val="000000"/>
                <w:sz w:val="16"/>
                <w:szCs w:val="16"/>
              </w:rPr>
              <w:t>中银</w:t>
            </w:r>
            <w:proofErr w:type="gramStart"/>
            <w:r w:rsidRPr="00C15A75">
              <w:rPr>
                <w:rFonts w:ascii="楷体" w:eastAsia="楷体" w:hAnsi="楷体" w:hint="eastAsia"/>
                <w:color w:val="000000"/>
                <w:sz w:val="16"/>
                <w:szCs w:val="16"/>
              </w:rPr>
              <w:t>标普全球</w:t>
            </w:r>
            <w:proofErr w:type="gramEnd"/>
            <w:r w:rsidRPr="00C15A75">
              <w:rPr>
                <w:rFonts w:ascii="楷体" w:eastAsia="楷体" w:hAnsi="楷体" w:hint="eastAsia"/>
                <w:color w:val="000000"/>
                <w:sz w:val="16"/>
                <w:szCs w:val="16"/>
              </w:rPr>
              <w:t>精选</w:t>
            </w:r>
          </w:p>
        </w:tc>
        <w:tc>
          <w:tcPr>
            <w:tcW w:w="743" w:type="dxa"/>
            <w:tcBorders>
              <w:top w:val="nil"/>
              <w:left w:val="nil"/>
              <w:bottom w:val="single" w:sz="12" w:space="0" w:color="auto"/>
              <w:right w:val="nil"/>
            </w:tcBorders>
            <w:shd w:val="clear" w:color="auto" w:fill="FFFFFF" w:themeFill="background1"/>
            <w:vAlign w:val="center"/>
            <w:hideMark/>
          </w:tcPr>
          <w:p w:rsidR="00C15A75" w:rsidRPr="00C15A75" w:rsidRDefault="00C15A75">
            <w:pPr>
              <w:jc w:val="right"/>
              <w:rPr>
                <w:rFonts w:ascii="楷体" w:eastAsia="楷体" w:hAnsi="楷体"/>
                <w:color w:val="000000"/>
                <w:sz w:val="16"/>
                <w:szCs w:val="16"/>
              </w:rPr>
            </w:pPr>
            <w:r w:rsidRPr="00C15A75">
              <w:rPr>
                <w:rFonts w:ascii="楷体" w:eastAsia="楷体" w:hAnsi="楷体" w:hint="eastAsia"/>
                <w:color w:val="000000"/>
                <w:sz w:val="16"/>
                <w:szCs w:val="16"/>
              </w:rPr>
              <w:t>11.90</w:t>
            </w:r>
          </w:p>
        </w:tc>
      </w:tr>
      <w:tr w:rsidR="00BA6BA1" w:rsidRPr="00A12428" w:rsidTr="00FF3942">
        <w:trPr>
          <w:trHeight w:val="284"/>
        </w:trPr>
        <w:tc>
          <w:tcPr>
            <w:tcW w:w="3970" w:type="dxa"/>
            <w:gridSpan w:val="4"/>
            <w:tcBorders>
              <w:top w:val="single" w:sz="12" w:space="0" w:color="auto"/>
              <w:left w:val="nil"/>
            </w:tcBorders>
            <w:shd w:val="clear" w:color="auto" w:fill="FFFFFF" w:themeFill="background1"/>
            <w:vAlign w:val="center"/>
          </w:tcPr>
          <w:p w:rsidR="00BA6BA1" w:rsidRPr="005B500F" w:rsidRDefault="00BA6BA1" w:rsidP="00FF3942">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c>
      </w:tr>
    </w:tbl>
    <w:p w:rsidR="00BA6BA1" w:rsidRPr="00A1602E" w:rsidRDefault="00BA6BA1" w:rsidP="00BA6BA1">
      <w:pPr>
        <w:pStyle w:val="a6"/>
        <w:numPr>
          <w:ilvl w:val="0"/>
          <w:numId w:val="1"/>
        </w:numPr>
        <w:ind w:left="643" w:hangingChars="200" w:hanging="643"/>
        <w:rPr>
          <w:rFonts w:ascii="Arial" w:hAnsi="Arial" w:cs="Arial"/>
          <w:b/>
          <w:color w:val="996600"/>
          <w:sz w:val="32"/>
          <w:szCs w:val="28"/>
        </w:rPr>
      </w:pPr>
      <w:r w:rsidRPr="00C97435">
        <w:rPr>
          <w:rFonts w:ascii="Arial" w:hAnsi="Arial" w:cs="Arial"/>
          <w:b/>
          <w:color w:val="996600"/>
          <w:sz w:val="32"/>
          <w:szCs w:val="28"/>
        </w:rPr>
        <w:t>未来基金投资策略</w:t>
      </w:r>
    </w:p>
    <w:p w:rsidR="00BA6BA1" w:rsidRDefault="008A075D" w:rsidP="008A075D">
      <w:pPr>
        <w:pStyle w:val="a5"/>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proofErr w:type="gramStart"/>
      <w:r>
        <w:rPr>
          <w:rFonts w:ascii="Arial" w:eastAsia="楷体_GB2312" w:hAnsi="Arial" w:cs="Arial"/>
          <w:b/>
          <w:color w:val="auto"/>
          <w:sz w:val="20"/>
          <w:szCs w:val="20"/>
        </w:rPr>
        <w:t>股混基金</w:t>
      </w:r>
      <w:proofErr w:type="gramEnd"/>
      <w:r>
        <w:rPr>
          <w:rFonts w:ascii="Arial" w:eastAsia="楷体_GB2312" w:hAnsi="Arial" w:cs="Arial"/>
          <w:b/>
          <w:color w:val="auto"/>
          <w:sz w:val="20"/>
          <w:szCs w:val="20"/>
        </w:rPr>
        <w:t>投资方面</w:t>
      </w:r>
      <w:r>
        <w:rPr>
          <w:rFonts w:ascii="Arial" w:eastAsia="楷体_GB2312" w:hAnsi="Arial" w:cs="Arial" w:hint="eastAsia"/>
          <w:b/>
          <w:color w:val="auto"/>
          <w:sz w:val="20"/>
          <w:szCs w:val="20"/>
        </w:rPr>
        <w:t>相对谨慎。</w:t>
      </w:r>
      <w:r w:rsidRPr="008A075D">
        <w:rPr>
          <w:rFonts w:ascii="Arial" w:eastAsia="楷体_GB2312" w:hAnsi="Arial" w:cs="Arial" w:hint="eastAsia"/>
          <w:color w:val="auto"/>
          <w:sz w:val="20"/>
          <w:szCs w:val="20"/>
        </w:rPr>
        <w:t>一方面</w:t>
      </w:r>
      <w:r>
        <w:rPr>
          <w:rFonts w:ascii="Arial" w:eastAsia="楷体_GB2312" w:hAnsi="Arial" w:cs="Arial" w:hint="eastAsia"/>
          <w:color w:val="000000" w:themeColor="text1"/>
          <w:sz w:val="20"/>
          <w:szCs w:val="20"/>
        </w:rPr>
        <w:t>，</w:t>
      </w:r>
      <w:r w:rsidR="00BA6BA1" w:rsidRPr="006F7D36">
        <w:rPr>
          <w:rFonts w:ascii="Arial" w:eastAsia="楷体_GB2312" w:hAnsi="Arial" w:cs="Arial" w:hint="eastAsia"/>
          <w:color w:val="000000" w:themeColor="text1"/>
          <w:sz w:val="20"/>
          <w:szCs w:val="20"/>
        </w:rPr>
        <w:t>经济</w:t>
      </w:r>
      <w:proofErr w:type="gramStart"/>
      <w:r w:rsidR="00BA6BA1" w:rsidRPr="006F7D36">
        <w:rPr>
          <w:rFonts w:ascii="Arial" w:eastAsia="楷体_GB2312" w:hAnsi="Arial" w:cs="Arial" w:hint="eastAsia"/>
          <w:color w:val="000000" w:themeColor="text1"/>
          <w:sz w:val="20"/>
          <w:szCs w:val="20"/>
        </w:rPr>
        <w:t>基本面</w:t>
      </w:r>
      <w:r w:rsidR="00BA6BA1">
        <w:rPr>
          <w:rFonts w:ascii="Arial" w:eastAsia="楷体_GB2312" w:hAnsi="Arial" w:cs="Arial" w:hint="eastAsia"/>
          <w:color w:val="000000" w:themeColor="text1"/>
          <w:sz w:val="20"/>
          <w:szCs w:val="20"/>
        </w:rPr>
        <w:t>企稳</w:t>
      </w:r>
      <w:proofErr w:type="gramEnd"/>
      <w:r w:rsidR="00BA6BA1" w:rsidRPr="006F7D36">
        <w:rPr>
          <w:rFonts w:ascii="Arial" w:eastAsia="楷体_GB2312" w:hAnsi="Arial" w:cs="Arial" w:hint="eastAsia"/>
          <w:color w:val="000000" w:themeColor="text1"/>
          <w:sz w:val="20"/>
          <w:szCs w:val="20"/>
        </w:rPr>
        <w:t>，</w:t>
      </w:r>
      <w:r w:rsidR="00BA6BA1">
        <w:rPr>
          <w:rFonts w:ascii="Arial" w:eastAsia="楷体_GB2312" w:hAnsi="Arial" w:cs="Arial" w:hint="eastAsia"/>
          <w:color w:val="000000" w:themeColor="text1"/>
          <w:sz w:val="20"/>
          <w:szCs w:val="20"/>
        </w:rPr>
        <w:t>汇率阶段性持稳，</w:t>
      </w:r>
      <w:r w:rsidR="00BA6BA1" w:rsidRPr="006F7D36">
        <w:rPr>
          <w:rFonts w:ascii="Arial" w:eastAsia="楷体_GB2312" w:hAnsi="Arial" w:cs="Arial" w:hint="eastAsia"/>
          <w:color w:val="000000" w:themeColor="text1"/>
          <w:sz w:val="20"/>
          <w:szCs w:val="20"/>
        </w:rPr>
        <w:t>政策面持续稳定，</w:t>
      </w:r>
      <w:r w:rsidR="00BA6BA1">
        <w:rPr>
          <w:rFonts w:ascii="Arial" w:eastAsia="楷体_GB2312" w:hAnsi="Arial" w:cs="Arial" w:hint="eastAsia"/>
          <w:color w:val="000000" w:themeColor="text1"/>
          <w:sz w:val="20"/>
          <w:szCs w:val="20"/>
        </w:rPr>
        <w:t>财政政策继续发力等</w:t>
      </w:r>
      <w:r>
        <w:rPr>
          <w:rFonts w:ascii="Arial" w:eastAsia="楷体_GB2312" w:hAnsi="Arial" w:cs="Arial" w:hint="eastAsia"/>
          <w:color w:val="000000" w:themeColor="text1"/>
          <w:sz w:val="20"/>
          <w:szCs w:val="20"/>
        </w:rPr>
        <w:t>前期的利好因素对市场影响弱化</w:t>
      </w:r>
      <w:r w:rsidR="00BA6BA1">
        <w:rPr>
          <w:rFonts w:ascii="Arial" w:eastAsia="楷体_GB2312" w:hAnsi="Arial" w:cs="Arial" w:hint="eastAsia"/>
          <w:color w:val="000000" w:themeColor="text1"/>
          <w:sz w:val="20"/>
          <w:szCs w:val="20"/>
        </w:rPr>
        <w:t>。</w:t>
      </w:r>
      <w:r>
        <w:rPr>
          <w:rFonts w:ascii="Arial" w:eastAsia="楷体_GB2312" w:hAnsi="Arial" w:cs="Arial" w:hint="eastAsia"/>
          <w:color w:val="000000" w:themeColor="text1"/>
          <w:sz w:val="20"/>
          <w:szCs w:val="20"/>
        </w:rPr>
        <w:t>另一方面，</w:t>
      </w:r>
      <w:r w:rsidR="00BA6BA1">
        <w:rPr>
          <w:rFonts w:ascii="Arial" w:eastAsia="楷体_GB2312" w:hAnsi="Arial" w:cs="Arial" w:hint="eastAsia"/>
          <w:color w:val="000000" w:themeColor="text1"/>
          <w:sz w:val="20"/>
          <w:szCs w:val="20"/>
        </w:rPr>
        <w:t>利空因素初步显现，主要是流动性和市场面</w:t>
      </w:r>
      <w:r w:rsidR="00123BC2">
        <w:rPr>
          <w:rFonts w:ascii="Arial" w:eastAsia="楷体_GB2312" w:hAnsi="Arial" w:cs="Arial" w:hint="eastAsia"/>
          <w:color w:val="000000" w:themeColor="text1"/>
          <w:sz w:val="20"/>
          <w:szCs w:val="20"/>
        </w:rPr>
        <w:t>上的投资者风险偏好下行。</w:t>
      </w:r>
      <w:r w:rsidR="00BA6BA1">
        <w:rPr>
          <w:rFonts w:ascii="Arial" w:eastAsia="楷体_GB2312" w:hAnsi="Arial" w:cs="Arial" w:hint="eastAsia"/>
          <w:color w:val="000000" w:themeColor="text1"/>
          <w:sz w:val="20"/>
          <w:szCs w:val="20"/>
        </w:rPr>
        <w:t>流动性方面</w:t>
      </w:r>
      <w:r w:rsidR="00123BC2">
        <w:rPr>
          <w:rFonts w:ascii="Arial" w:eastAsia="楷体_GB2312" w:hAnsi="Arial" w:cs="Arial" w:hint="eastAsia"/>
          <w:color w:val="000000" w:themeColor="text1"/>
          <w:sz w:val="20"/>
          <w:szCs w:val="20"/>
        </w:rPr>
        <w:t>，</w:t>
      </w:r>
      <w:r w:rsidR="00BA6BA1">
        <w:rPr>
          <w:rFonts w:ascii="Arial" w:eastAsia="楷体_GB2312" w:hAnsi="Arial" w:cs="Arial" w:hint="eastAsia"/>
          <w:color w:val="000000" w:themeColor="text1"/>
          <w:sz w:val="20"/>
          <w:szCs w:val="20"/>
        </w:rPr>
        <w:t>大</w:t>
      </w:r>
      <w:r w:rsidR="00BA6BA1" w:rsidRPr="006F7D36">
        <w:rPr>
          <w:rFonts w:ascii="Arial" w:eastAsia="楷体_GB2312" w:hAnsi="Arial" w:cs="Arial" w:hint="eastAsia"/>
          <w:color w:val="000000" w:themeColor="text1"/>
          <w:sz w:val="20"/>
          <w:szCs w:val="20"/>
        </w:rPr>
        <w:t>资金面</w:t>
      </w:r>
      <w:r w:rsidR="00123BC2">
        <w:rPr>
          <w:rFonts w:ascii="Arial" w:eastAsia="楷体_GB2312" w:hAnsi="Arial" w:cs="Arial" w:hint="eastAsia"/>
          <w:color w:val="000000" w:themeColor="text1"/>
          <w:sz w:val="20"/>
          <w:szCs w:val="20"/>
        </w:rPr>
        <w:t>上货币利率难降，主要是受制于通胀和房地产、大宗商品都价格上行对货币政策的压力，而股市资金面方面</w:t>
      </w:r>
      <w:r w:rsidR="00BA6BA1">
        <w:rPr>
          <w:rFonts w:ascii="Arial" w:eastAsia="楷体_GB2312" w:hAnsi="Arial" w:cs="Arial" w:hint="eastAsia"/>
          <w:color w:val="000000" w:themeColor="text1"/>
          <w:sz w:val="20"/>
          <w:szCs w:val="20"/>
        </w:rPr>
        <w:t>重回存量博弈</w:t>
      </w:r>
      <w:r w:rsidR="00123BC2">
        <w:rPr>
          <w:rFonts w:ascii="Arial" w:eastAsia="楷体_GB2312" w:hAnsi="Arial" w:cs="Arial" w:hint="eastAsia"/>
          <w:color w:val="000000" w:themeColor="text1"/>
          <w:sz w:val="20"/>
          <w:szCs w:val="20"/>
        </w:rPr>
        <w:t>特征明显。市场面上，经过</w:t>
      </w:r>
      <w:r w:rsidR="00123BC2">
        <w:rPr>
          <w:rFonts w:ascii="Arial" w:eastAsia="楷体_GB2312" w:hAnsi="Arial" w:cs="Arial" w:hint="eastAsia"/>
          <w:color w:val="000000" w:themeColor="text1"/>
          <w:sz w:val="20"/>
          <w:szCs w:val="20"/>
        </w:rPr>
        <w:t>4</w:t>
      </w:r>
      <w:r w:rsidR="00123BC2">
        <w:rPr>
          <w:rFonts w:ascii="Arial" w:eastAsia="楷体_GB2312" w:hAnsi="Arial" w:cs="Arial" w:hint="eastAsia"/>
          <w:color w:val="000000" w:themeColor="text1"/>
          <w:sz w:val="20"/>
          <w:szCs w:val="20"/>
        </w:rPr>
        <w:t>月的反复缩量窄幅震荡市场情绪低落，同时对债市信用风险、大股东</w:t>
      </w:r>
      <w:proofErr w:type="gramStart"/>
      <w:r w:rsidR="00123BC2">
        <w:rPr>
          <w:rFonts w:ascii="Arial" w:eastAsia="楷体_GB2312" w:hAnsi="Arial" w:cs="Arial" w:hint="eastAsia"/>
          <w:color w:val="000000" w:themeColor="text1"/>
          <w:sz w:val="20"/>
          <w:szCs w:val="20"/>
        </w:rPr>
        <w:t>减持等风险</w:t>
      </w:r>
      <w:proofErr w:type="gramEnd"/>
      <w:r w:rsidR="00123BC2">
        <w:rPr>
          <w:rFonts w:ascii="Arial" w:eastAsia="楷体_GB2312" w:hAnsi="Arial" w:cs="Arial" w:hint="eastAsia"/>
          <w:color w:val="000000" w:themeColor="text1"/>
          <w:sz w:val="20"/>
          <w:szCs w:val="20"/>
        </w:rPr>
        <w:t>的担忧使得市场风险偏好明显下行。总体来看，对</w:t>
      </w:r>
      <w:r w:rsidR="00123BC2">
        <w:rPr>
          <w:rFonts w:ascii="Arial" w:eastAsia="楷体_GB2312" w:hAnsi="Arial" w:cs="Arial" w:hint="eastAsia"/>
          <w:color w:val="000000" w:themeColor="text1"/>
          <w:sz w:val="20"/>
          <w:szCs w:val="20"/>
        </w:rPr>
        <w:t>5</w:t>
      </w:r>
      <w:r w:rsidR="00123BC2">
        <w:rPr>
          <w:rFonts w:ascii="Arial" w:eastAsia="楷体_GB2312" w:hAnsi="Arial" w:cs="Arial" w:hint="eastAsia"/>
          <w:color w:val="000000" w:themeColor="text1"/>
          <w:sz w:val="20"/>
          <w:szCs w:val="20"/>
        </w:rPr>
        <w:t>月市场整体走势我们相对谨慎，原因在于经济基本面和汇率等方面的利好已经被市场充分认可因此预期差修正带来的上行日益衰竭，股市缺乏新的上行逻辑，加上债市风险频发、货币利率难下、市场情绪低迷等都成为制约市场的负面因素，短期市场将</w:t>
      </w:r>
      <w:r>
        <w:rPr>
          <w:rFonts w:ascii="Arial" w:eastAsia="楷体_GB2312" w:hAnsi="Arial" w:cs="Arial" w:hint="eastAsia"/>
          <w:color w:val="000000" w:themeColor="text1"/>
          <w:sz w:val="20"/>
          <w:szCs w:val="20"/>
        </w:rPr>
        <w:t>呈现出易下难上的局面。</w:t>
      </w:r>
      <w:proofErr w:type="gramStart"/>
      <w:r>
        <w:rPr>
          <w:rFonts w:ascii="Arial" w:eastAsia="楷体_GB2312" w:hAnsi="Arial" w:cs="Arial" w:hint="eastAsia"/>
          <w:color w:val="000000" w:themeColor="text1"/>
          <w:sz w:val="20"/>
          <w:szCs w:val="20"/>
        </w:rPr>
        <w:t>股混基金</w:t>
      </w:r>
      <w:proofErr w:type="gramEnd"/>
      <w:r>
        <w:rPr>
          <w:rFonts w:ascii="Arial" w:eastAsia="楷体_GB2312" w:hAnsi="Arial" w:cs="Arial" w:hint="eastAsia"/>
          <w:color w:val="000000" w:themeColor="text1"/>
          <w:sz w:val="20"/>
          <w:szCs w:val="20"/>
        </w:rPr>
        <w:t>投资</w:t>
      </w:r>
      <w:r w:rsidR="00123BC2">
        <w:rPr>
          <w:rFonts w:ascii="Arial" w:eastAsia="楷体_GB2312" w:hAnsi="Arial" w:cs="Arial" w:hint="eastAsia"/>
          <w:color w:val="000000" w:themeColor="text1"/>
          <w:sz w:val="20"/>
          <w:szCs w:val="20"/>
        </w:rPr>
        <w:t>上，</w:t>
      </w:r>
      <w:r w:rsidR="00BA6BA1">
        <w:rPr>
          <w:rFonts w:ascii="Arial" w:eastAsia="楷体_GB2312" w:hAnsi="Arial" w:cs="Arial" w:hint="eastAsia"/>
          <w:color w:val="000000" w:themeColor="text1"/>
          <w:sz w:val="20"/>
          <w:szCs w:val="20"/>
        </w:rPr>
        <w:t>短期我们建议投资者</w:t>
      </w:r>
      <w:r w:rsidR="00123BC2">
        <w:rPr>
          <w:rFonts w:ascii="Arial" w:eastAsia="楷体_GB2312" w:hAnsi="Arial" w:cs="Arial" w:hint="eastAsia"/>
          <w:color w:val="000000" w:themeColor="text1"/>
          <w:sz w:val="20"/>
          <w:szCs w:val="20"/>
        </w:rPr>
        <w:t>保持中等偏低的</w:t>
      </w:r>
      <w:proofErr w:type="gramStart"/>
      <w:r w:rsidR="00123BC2">
        <w:rPr>
          <w:rFonts w:ascii="Arial" w:eastAsia="楷体_GB2312" w:hAnsi="Arial" w:cs="Arial" w:hint="eastAsia"/>
          <w:color w:val="000000" w:themeColor="text1"/>
          <w:sz w:val="20"/>
          <w:szCs w:val="20"/>
        </w:rPr>
        <w:t>仓位</w:t>
      </w:r>
      <w:proofErr w:type="gramEnd"/>
      <w:r w:rsidR="00123BC2">
        <w:rPr>
          <w:rFonts w:ascii="Arial" w:eastAsia="楷体_GB2312" w:hAnsi="Arial" w:cs="Arial" w:hint="eastAsia"/>
          <w:color w:val="000000" w:themeColor="text1"/>
          <w:sz w:val="20"/>
          <w:szCs w:val="20"/>
        </w:rPr>
        <w:t>，</w:t>
      </w:r>
      <w:r w:rsidR="00BA6BA1">
        <w:rPr>
          <w:rFonts w:ascii="Arial" w:eastAsia="楷体_GB2312" w:hAnsi="Arial" w:cs="Arial" w:hint="eastAsia"/>
          <w:color w:val="000000" w:themeColor="text1"/>
          <w:sz w:val="20"/>
          <w:szCs w:val="20"/>
        </w:rPr>
        <w:t>结构性机会将是主基调，</w:t>
      </w:r>
      <w:r w:rsidR="00123BC2">
        <w:rPr>
          <w:rFonts w:ascii="Arial" w:eastAsia="楷体_GB2312" w:hAnsi="Arial" w:cs="Arial" w:hint="eastAsia"/>
          <w:color w:val="000000" w:themeColor="text1"/>
          <w:sz w:val="20"/>
          <w:szCs w:val="20"/>
        </w:rPr>
        <w:t>但由于当前的结构性机会呈现快速轮动持续性差的特点，</w:t>
      </w:r>
      <w:r w:rsidR="00BA6BA1" w:rsidRPr="000C2467">
        <w:rPr>
          <w:rFonts w:ascii="Arial" w:eastAsia="楷体_GB2312" w:hAnsi="Arial" w:cs="Arial" w:hint="eastAsia"/>
          <w:color w:val="auto"/>
          <w:sz w:val="20"/>
          <w:szCs w:val="20"/>
        </w:rPr>
        <w:t>建议</w:t>
      </w:r>
      <w:r w:rsidR="00123BC2">
        <w:rPr>
          <w:rFonts w:ascii="Arial" w:eastAsia="楷体_GB2312" w:hAnsi="Arial" w:cs="Arial" w:hint="eastAsia"/>
          <w:color w:val="auto"/>
          <w:sz w:val="20"/>
          <w:szCs w:val="20"/>
        </w:rPr>
        <w:t>投资者在风格上</w:t>
      </w:r>
      <w:r w:rsidR="00BA6BA1" w:rsidRPr="000C2467">
        <w:rPr>
          <w:rFonts w:ascii="Arial" w:eastAsia="楷体_GB2312" w:hAnsi="Arial" w:cs="Arial" w:hint="eastAsia"/>
          <w:color w:val="auto"/>
          <w:sz w:val="20"/>
          <w:szCs w:val="20"/>
        </w:rPr>
        <w:t>成长、周期均衡配置为好，价值周期将受益于供给</w:t>
      </w:r>
      <w:proofErr w:type="gramStart"/>
      <w:r w:rsidR="00BA6BA1" w:rsidRPr="000C2467">
        <w:rPr>
          <w:rFonts w:ascii="Arial" w:eastAsia="楷体_GB2312" w:hAnsi="Arial" w:cs="Arial" w:hint="eastAsia"/>
          <w:color w:val="auto"/>
          <w:sz w:val="20"/>
          <w:szCs w:val="20"/>
        </w:rPr>
        <w:t>侧改革</w:t>
      </w:r>
      <w:proofErr w:type="gramEnd"/>
      <w:r w:rsidR="00BA6BA1" w:rsidRPr="000C2467">
        <w:rPr>
          <w:rFonts w:ascii="Arial" w:eastAsia="楷体_GB2312" w:hAnsi="Arial" w:cs="Arial" w:hint="eastAsia"/>
          <w:color w:val="auto"/>
          <w:sz w:val="20"/>
          <w:szCs w:val="20"/>
        </w:rPr>
        <w:t>和经济企稳，而成长风格代表的新兴产业依然是未来中国经济的希望所在，同时从今年市场实际表现看，风格切换和轮</w:t>
      </w:r>
      <w:proofErr w:type="gramStart"/>
      <w:r w:rsidR="00BA6BA1" w:rsidRPr="000C2467">
        <w:rPr>
          <w:rFonts w:ascii="Arial" w:eastAsia="楷体_GB2312" w:hAnsi="Arial" w:cs="Arial" w:hint="eastAsia"/>
          <w:color w:val="auto"/>
          <w:sz w:val="20"/>
          <w:szCs w:val="20"/>
        </w:rPr>
        <w:t>动更加</w:t>
      </w:r>
      <w:proofErr w:type="gramEnd"/>
      <w:r w:rsidR="00BA6BA1" w:rsidRPr="000C2467">
        <w:rPr>
          <w:rFonts w:ascii="Arial" w:eastAsia="楷体_GB2312" w:hAnsi="Arial" w:cs="Arial" w:hint="eastAsia"/>
          <w:color w:val="auto"/>
          <w:sz w:val="20"/>
          <w:szCs w:val="20"/>
        </w:rPr>
        <w:t>频繁，捕捉难度不断加大不如进行相对均衡的配置。在弱市市场中投资者对业绩的关注</w:t>
      </w:r>
      <w:proofErr w:type="gramStart"/>
      <w:r w:rsidR="00BA6BA1" w:rsidRPr="000C2467">
        <w:rPr>
          <w:rFonts w:ascii="Arial" w:eastAsia="楷体_GB2312" w:hAnsi="Arial" w:cs="Arial" w:hint="eastAsia"/>
          <w:color w:val="auto"/>
          <w:sz w:val="20"/>
          <w:szCs w:val="20"/>
        </w:rPr>
        <w:t>度显著</w:t>
      </w:r>
      <w:proofErr w:type="gramEnd"/>
      <w:r w:rsidR="00BA6BA1" w:rsidRPr="000C2467">
        <w:rPr>
          <w:rFonts w:ascii="Arial" w:eastAsia="楷体_GB2312" w:hAnsi="Arial" w:cs="Arial" w:hint="eastAsia"/>
          <w:color w:val="auto"/>
          <w:sz w:val="20"/>
          <w:szCs w:val="20"/>
        </w:rPr>
        <w:t>提高，我们建议当前以稳健成长风格基金配置为主，这类基金主要投资业绩平稳增长的大消费、医药、中游机械制造等板块，优选重视个股估值和业绩稳定性的基金经理。长期而言，我们维持</w:t>
      </w:r>
      <w:r w:rsidR="00BA6BA1" w:rsidRPr="000C2467">
        <w:rPr>
          <w:rFonts w:ascii="Arial" w:eastAsia="楷体_GB2312" w:hAnsi="Arial" w:cs="Arial" w:hint="eastAsia"/>
          <w:color w:val="auto"/>
          <w:sz w:val="20"/>
          <w:szCs w:val="20"/>
        </w:rPr>
        <w:t>A</w:t>
      </w:r>
      <w:r w:rsidR="00BA6BA1" w:rsidRPr="000C2467">
        <w:rPr>
          <w:rFonts w:ascii="Arial" w:eastAsia="楷体_GB2312" w:hAnsi="Arial" w:cs="Arial" w:hint="eastAsia"/>
          <w:color w:val="auto"/>
          <w:sz w:val="20"/>
          <w:szCs w:val="20"/>
        </w:rPr>
        <w:t>股处在底部区域的判断，经济筑底回升的过程相当漫长，</w:t>
      </w:r>
      <w:r w:rsidR="00123BC2">
        <w:rPr>
          <w:rFonts w:ascii="Arial" w:eastAsia="楷体_GB2312" w:hAnsi="Arial" w:cs="Arial" w:hint="eastAsia"/>
          <w:color w:val="auto"/>
          <w:sz w:val="20"/>
          <w:szCs w:val="20"/>
        </w:rPr>
        <w:t>长周期看</w:t>
      </w:r>
      <w:r w:rsidR="00BA6BA1" w:rsidRPr="000C2467">
        <w:rPr>
          <w:rFonts w:ascii="Arial" w:eastAsia="楷体_GB2312" w:hAnsi="Arial" w:cs="Arial" w:hint="eastAsia"/>
          <w:color w:val="auto"/>
          <w:sz w:val="20"/>
          <w:szCs w:val="20"/>
        </w:rPr>
        <w:t>货币政策依然处在降息周期内，相比于债市、房地产、海外股市等，</w:t>
      </w:r>
      <w:r w:rsidR="00BA6BA1" w:rsidRPr="000C2467">
        <w:rPr>
          <w:rFonts w:ascii="Arial" w:eastAsia="楷体_GB2312" w:hAnsi="Arial" w:cs="Arial" w:hint="eastAsia"/>
          <w:color w:val="auto"/>
          <w:sz w:val="20"/>
          <w:szCs w:val="20"/>
        </w:rPr>
        <w:t>A</w:t>
      </w:r>
      <w:r w:rsidR="00BA6BA1" w:rsidRPr="000C2467">
        <w:rPr>
          <w:rFonts w:ascii="Arial" w:eastAsia="楷体_GB2312" w:hAnsi="Arial" w:cs="Arial" w:hint="eastAsia"/>
          <w:color w:val="auto"/>
          <w:sz w:val="20"/>
          <w:szCs w:val="20"/>
        </w:rPr>
        <w:t>股依然是性价比较高的资产。长线投资者尤其</w:t>
      </w:r>
      <w:proofErr w:type="gramStart"/>
      <w:r w:rsidR="00BA6BA1" w:rsidRPr="000C2467">
        <w:rPr>
          <w:rFonts w:ascii="Arial" w:eastAsia="楷体_GB2312" w:hAnsi="Arial" w:cs="Arial" w:hint="eastAsia"/>
          <w:color w:val="auto"/>
          <w:sz w:val="20"/>
          <w:szCs w:val="20"/>
        </w:rPr>
        <w:t>是定投投资者</w:t>
      </w:r>
      <w:proofErr w:type="gramEnd"/>
      <w:r w:rsidR="00BA6BA1" w:rsidRPr="000C2467">
        <w:rPr>
          <w:rFonts w:ascii="Arial" w:eastAsia="楷体_GB2312" w:hAnsi="Arial" w:cs="Arial" w:hint="eastAsia"/>
          <w:color w:val="auto"/>
          <w:sz w:val="20"/>
          <w:szCs w:val="20"/>
        </w:rPr>
        <w:t>可以分批介入布局。</w:t>
      </w:r>
    </w:p>
    <w:p w:rsidR="00BA6BA1" w:rsidRDefault="00BA6BA1" w:rsidP="00CF5295">
      <w:pPr>
        <w:pStyle w:val="a5"/>
        <w:spacing w:beforeLines="100" w:before="240" w:afterLines="100" w:after="240" w:line="260" w:lineRule="exact"/>
        <w:ind w:leftChars="1822" w:left="3826" w:rightChars="-34" w:right="-71" w:firstLineChars="212" w:firstLine="426"/>
        <w:rPr>
          <w:rFonts w:ascii="Arial" w:eastAsia="楷体_GB2312" w:hAnsi="Arial" w:cs="Arial"/>
          <w:b/>
          <w:color w:val="auto"/>
          <w:sz w:val="20"/>
          <w:szCs w:val="20"/>
        </w:rPr>
      </w:pPr>
      <w:r w:rsidRPr="00E762E6">
        <w:rPr>
          <w:rFonts w:ascii="Arial" w:eastAsia="楷体_GB2312" w:hAnsi="Arial" w:cs="Arial"/>
          <w:b/>
          <w:color w:val="auto"/>
          <w:sz w:val="20"/>
          <w:szCs w:val="20"/>
        </w:rPr>
        <w:t>固定收益基金投资方面</w:t>
      </w:r>
      <w:r w:rsidR="008A075D">
        <w:rPr>
          <w:rFonts w:ascii="Arial" w:eastAsia="楷体_GB2312" w:hAnsi="Arial" w:cs="Arial" w:hint="eastAsia"/>
          <w:b/>
          <w:color w:val="auto"/>
          <w:sz w:val="20"/>
          <w:szCs w:val="20"/>
        </w:rPr>
        <w:t>风险才刚刚显现。</w:t>
      </w:r>
      <w:r w:rsidRPr="00436CC2">
        <w:rPr>
          <w:rFonts w:ascii="Arial" w:eastAsia="楷体_GB2312" w:hAnsi="Arial" w:cs="Arial" w:hint="eastAsia"/>
          <w:color w:val="auto"/>
          <w:sz w:val="20"/>
          <w:szCs w:val="20"/>
        </w:rPr>
        <w:t>4</w:t>
      </w:r>
      <w:r w:rsidRPr="00436CC2">
        <w:rPr>
          <w:rFonts w:ascii="Arial" w:eastAsia="楷体_GB2312" w:hAnsi="Arial" w:cs="Arial" w:hint="eastAsia"/>
          <w:color w:val="auto"/>
          <w:sz w:val="20"/>
          <w:szCs w:val="20"/>
        </w:rPr>
        <w:t>月以来债市已经出现了较大幅度的调整，</w:t>
      </w:r>
      <w:r w:rsidR="00F77834" w:rsidRPr="00436CC2">
        <w:rPr>
          <w:rFonts w:ascii="Arial" w:eastAsia="楷体_GB2312" w:hAnsi="Arial" w:cs="Arial" w:hint="eastAsia"/>
          <w:color w:val="auto"/>
          <w:sz w:val="20"/>
          <w:szCs w:val="20"/>
        </w:rPr>
        <w:t xml:space="preserve"> 4</w:t>
      </w:r>
      <w:r w:rsidR="00F77834" w:rsidRPr="00436CC2">
        <w:rPr>
          <w:rFonts w:ascii="Arial" w:eastAsia="楷体_GB2312" w:hAnsi="Arial" w:cs="Arial" w:hint="eastAsia"/>
          <w:color w:val="auto"/>
          <w:sz w:val="20"/>
          <w:szCs w:val="20"/>
        </w:rPr>
        <w:t>月最后一周，债券市场开始出现企稳迹象，利率债率先走出调整，出现了持续的收益率下行，而信用债收益率也出现企稳迹象，</w:t>
      </w:r>
      <w:r w:rsidR="00F77834" w:rsidRPr="00436CC2">
        <w:rPr>
          <w:rFonts w:ascii="Arial" w:eastAsia="楷体_GB2312" w:hAnsi="Arial" w:cs="Arial" w:hint="eastAsia"/>
          <w:color w:val="auto"/>
          <w:sz w:val="20"/>
          <w:szCs w:val="20"/>
        </w:rPr>
        <w:t xml:space="preserve"> 4 </w:t>
      </w:r>
      <w:r w:rsidR="00F77834" w:rsidRPr="00436CC2">
        <w:rPr>
          <w:rFonts w:ascii="Arial" w:eastAsia="楷体_GB2312" w:hAnsi="Arial" w:cs="Arial" w:hint="eastAsia"/>
          <w:color w:val="auto"/>
          <w:sz w:val="20"/>
          <w:szCs w:val="20"/>
        </w:rPr>
        <w:t>月份开始的这一波市场调整势头出现了一些放缓迹象，但是投资者对于入场时机以及投资选择上仍需谨慎。</w:t>
      </w:r>
      <w:r w:rsidR="00CF5295" w:rsidRPr="00436CC2">
        <w:rPr>
          <w:rFonts w:ascii="Arial" w:eastAsia="楷体_GB2312" w:hAnsi="Arial" w:cs="Arial" w:hint="eastAsia"/>
          <w:color w:val="auto"/>
          <w:sz w:val="20"/>
          <w:szCs w:val="20"/>
        </w:rPr>
        <w:t>目前来看，铁物资等重大信用事件后续处理方案如何，二季度年报和跟踪评级的集中披露都会导致再融资条件的变化。因此二季度可能仍是信用债面临风险较高的时段，投资者采取防御为主的策略是合理的。</w:t>
      </w:r>
      <w:r>
        <w:rPr>
          <w:rFonts w:ascii="Arial" w:eastAsia="楷体_GB2312" w:hAnsi="Arial" w:cs="Arial" w:hint="eastAsia"/>
          <w:color w:val="auto"/>
          <w:sz w:val="20"/>
          <w:szCs w:val="20"/>
        </w:rPr>
        <w:t>债券内部券种选择上，利</w:t>
      </w:r>
      <w:r w:rsidRPr="00E762E6">
        <w:rPr>
          <w:rFonts w:ascii="Arial" w:eastAsia="楷体_GB2312" w:hAnsi="Arial" w:cs="Arial" w:hint="eastAsia"/>
          <w:color w:val="auto"/>
          <w:sz w:val="20"/>
          <w:szCs w:val="20"/>
        </w:rPr>
        <w:t>率债方面，虽然通胀压力随着</w:t>
      </w:r>
      <w:r w:rsidRPr="00E762E6">
        <w:rPr>
          <w:rFonts w:ascii="Arial" w:eastAsia="楷体_GB2312" w:hAnsi="Arial" w:cs="Arial" w:hint="eastAsia"/>
          <w:color w:val="auto"/>
          <w:sz w:val="20"/>
          <w:szCs w:val="20"/>
        </w:rPr>
        <w:t>3</w:t>
      </w:r>
      <w:r w:rsidRPr="00E762E6">
        <w:rPr>
          <w:rFonts w:ascii="Arial" w:eastAsia="楷体_GB2312" w:hAnsi="Arial" w:cs="Arial" w:hint="eastAsia"/>
          <w:color w:val="auto"/>
          <w:sz w:val="20"/>
          <w:szCs w:val="20"/>
        </w:rPr>
        <w:t>月</w:t>
      </w:r>
      <w:r w:rsidRPr="00E762E6">
        <w:rPr>
          <w:rFonts w:ascii="Arial" w:eastAsia="楷体_GB2312" w:hAnsi="Arial" w:cs="Arial" w:hint="eastAsia"/>
          <w:color w:val="auto"/>
          <w:sz w:val="20"/>
          <w:szCs w:val="20"/>
        </w:rPr>
        <w:t>CPI</w:t>
      </w:r>
      <w:r w:rsidRPr="00E762E6">
        <w:rPr>
          <w:rFonts w:ascii="Arial" w:eastAsia="楷体_GB2312" w:hAnsi="Arial" w:cs="Arial" w:hint="eastAsia"/>
          <w:color w:val="auto"/>
          <w:sz w:val="20"/>
          <w:szCs w:val="20"/>
        </w:rPr>
        <w:t>的公布暂时消减，但经济走稳和供给冲击给债市带来的压力仍在，调整仍将延续，尤其是长</w:t>
      </w:r>
      <w:proofErr w:type="gramStart"/>
      <w:r w:rsidRPr="00E762E6">
        <w:rPr>
          <w:rFonts w:ascii="Arial" w:eastAsia="楷体_GB2312" w:hAnsi="Arial" w:cs="Arial" w:hint="eastAsia"/>
          <w:color w:val="auto"/>
          <w:sz w:val="20"/>
          <w:szCs w:val="20"/>
        </w:rPr>
        <w:t>债压力</w:t>
      </w:r>
      <w:proofErr w:type="gramEnd"/>
      <w:r w:rsidRPr="00E762E6">
        <w:rPr>
          <w:rFonts w:ascii="Arial" w:eastAsia="楷体_GB2312" w:hAnsi="Arial" w:cs="Arial" w:hint="eastAsia"/>
          <w:color w:val="auto"/>
          <w:sz w:val="20"/>
          <w:szCs w:val="20"/>
        </w:rPr>
        <w:t>较大</w:t>
      </w:r>
      <w:r>
        <w:rPr>
          <w:rFonts w:ascii="Arial" w:eastAsia="楷体_GB2312" w:hAnsi="Arial" w:cs="Arial" w:hint="eastAsia"/>
          <w:color w:val="auto"/>
          <w:sz w:val="20"/>
          <w:szCs w:val="20"/>
        </w:rPr>
        <w:t>，</w:t>
      </w:r>
      <w:r w:rsidRPr="00E762E6">
        <w:rPr>
          <w:rFonts w:ascii="Arial" w:eastAsia="楷体_GB2312" w:hAnsi="Arial" w:cs="Arial" w:hint="eastAsia"/>
          <w:color w:val="auto"/>
          <w:sz w:val="20"/>
          <w:szCs w:val="20"/>
        </w:rPr>
        <w:t>因此</w:t>
      </w:r>
      <w:proofErr w:type="gramStart"/>
      <w:r w:rsidRPr="00E762E6">
        <w:rPr>
          <w:rFonts w:ascii="Arial" w:eastAsia="楷体_GB2312" w:hAnsi="Arial" w:cs="Arial" w:hint="eastAsia"/>
          <w:color w:val="auto"/>
          <w:sz w:val="20"/>
          <w:szCs w:val="20"/>
        </w:rPr>
        <w:t>控制久期和</w:t>
      </w:r>
      <w:proofErr w:type="gramEnd"/>
      <w:r w:rsidRPr="00E762E6">
        <w:rPr>
          <w:rFonts w:ascii="Arial" w:eastAsia="楷体_GB2312" w:hAnsi="Arial" w:cs="Arial" w:hint="eastAsia"/>
          <w:color w:val="auto"/>
          <w:sz w:val="20"/>
          <w:szCs w:val="20"/>
        </w:rPr>
        <w:t>杠杆防守为上。信用债方面，在当前经济疲软、微观企业经营举步维艰的情形下，国企、</w:t>
      </w:r>
      <w:proofErr w:type="gramStart"/>
      <w:r w:rsidRPr="00E762E6">
        <w:rPr>
          <w:rFonts w:ascii="Arial" w:eastAsia="楷体_GB2312" w:hAnsi="Arial" w:cs="Arial" w:hint="eastAsia"/>
          <w:color w:val="auto"/>
          <w:sz w:val="20"/>
          <w:szCs w:val="20"/>
        </w:rPr>
        <w:t>央企的</w:t>
      </w:r>
      <w:proofErr w:type="gramEnd"/>
      <w:r w:rsidRPr="00E762E6">
        <w:rPr>
          <w:rFonts w:ascii="Arial" w:eastAsia="楷体_GB2312" w:hAnsi="Arial" w:cs="Arial" w:hint="eastAsia"/>
          <w:color w:val="auto"/>
          <w:sz w:val="20"/>
          <w:szCs w:val="20"/>
        </w:rPr>
        <w:t>刚性兑付频频被打破，近期信用评级遭到下调的事件也屡屡出现</w:t>
      </w:r>
      <w:r>
        <w:rPr>
          <w:rFonts w:ascii="Arial" w:eastAsia="楷体_GB2312" w:hAnsi="Arial" w:cs="Arial" w:hint="eastAsia"/>
          <w:color w:val="auto"/>
          <w:sz w:val="20"/>
          <w:szCs w:val="20"/>
        </w:rPr>
        <w:t>，</w:t>
      </w:r>
      <w:r w:rsidRPr="00E762E6">
        <w:rPr>
          <w:rFonts w:ascii="Arial" w:eastAsia="楷体_GB2312" w:hAnsi="Arial" w:cs="Arial" w:hint="eastAsia"/>
          <w:color w:val="auto"/>
          <w:sz w:val="20"/>
          <w:szCs w:val="20"/>
        </w:rPr>
        <w:t>因此</w:t>
      </w:r>
      <w:r>
        <w:rPr>
          <w:rFonts w:ascii="Arial" w:eastAsia="楷体_GB2312" w:hAnsi="Arial" w:cs="Arial" w:hint="eastAsia"/>
          <w:color w:val="auto"/>
          <w:sz w:val="20"/>
          <w:szCs w:val="20"/>
        </w:rPr>
        <w:t>当前</w:t>
      </w:r>
      <w:r w:rsidRPr="00E762E6">
        <w:rPr>
          <w:rFonts w:ascii="Arial" w:eastAsia="楷体_GB2312" w:hAnsi="Arial" w:cs="Arial" w:hint="eastAsia"/>
          <w:color w:val="auto"/>
          <w:sz w:val="20"/>
          <w:szCs w:val="20"/>
        </w:rPr>
        <w:t>谨慎选择投中高信用等级、经营业绩良好的公司债券作为配置对象，避免“踩雷”</w:t>
      </w:r>
      <w:r>
        <w:rPr>
          <w:rFonts w:ascii="Arial" w:eastAsia="楷体_GB2312" w:hAnsi="Arial" w:cs="Arial" w:hint="eastAsia"/>
          <w:color w:val="auto"/>
          <w:sz w:val="20"/>
          <w:szCs w:val="20"/>
        </w:rPr>
        <w:t>为上</w:t>
      </w:r>
      <w:r w:rsidRPr="00E762E6">
        <w:rPr>
          <w:rFonts w:ascii="Arial" w:eastAsia="楷体_GB2312" w:hAnsi="Arial" w:cs="Arial" w:hint="eastAsia"/>
          <w:color w:val="auto"/>
          <w:sz w:val="20"/>
          <w:szCs w:val="20"/>
        </w:rPr>
        <w:t>。</w:t>
      </w:r>
      <w:r>
        <w:rPr>
          <w:rFonts w:ascii="Arial" w:eastAsia="楷体_GB2312" w:hAnsi="Arial" w:cs="Arial" w:hint="eastAsia"/>
          <w:color w:val="auto"/>
          <w:sz w:val="20"/>
          <w:szCs w:val="20"/>
        </w:rPr>
        <w:t>对于</w:t>
      </w:r>
      <w:r w:rsidRPr="00CC4F7C">
        <w:rPr>
          <w:rFonts w:ascii="Arial" w:eastAsia="楷体_GB2312" w:hAnsi="Arial" w:cs="Arial" w:hint="eastAsia"/>
          <w:color w:val="auto"/>
          <w:sz w:val="20"/>
          <w:szCs w:val="20"/>
        </w:rPr>
        <w:t>有</w:t>
      </w:r>
      <w:r w:rsidRPr="00DD0C71">
        <w:rPr>
          <w:rFonts w:ascii="Arial" w:eastAsia="楷体_GB2312" w:hAnsi="Arial" w:cs="Arial" w:hint="eastAsia"/>
          <w:color w:val="auto"/>
          <w:sz w:val="20"/>
          <w:szCs w:val="20"/>
        </w:rPr>
        <w:t>债券基金刚性</w:t>
      </w:r>
      <w:r>
        <w:rPr>
          <w:rFonts w:ascii="Arial" w:eastAsia="楷体_GB2312" w:hAnsi="Arial" w:cs="Arial" w:hint="eastAsia"/>
          <w:color w:val="auto"/>
          <w:sz w:val="20"/>
          <w:szCs w:val="20"/>
        </w:rPr>
        <w:t>配置</w:t>
      </w:r>
      <w:r w:rsidRPr="00DD0C71">
        <w:rPr>
          <w:rFonts w:ascii="Arial" w:eastAsia="楷体_GB2312" w:hAnsi="Arial" w:cs="Arial" w:hint="eastAsia"/>
          <w:color w:val="auto"/>
          <w:sz w:val="20"/>
          <w:szCs w:val="20"/>
        </w:rPr>
        <w:t>需求的投资者，当前在</w:t>
      </w:r>
      <w:proofErr w:type="gramStart"/>
      <w:r w:rsidRPr="00DD0C71">
        <w:rPr>
          <w:rFonts w:ascii="Arial" w:eastAsia="楷体_GB2312" w:hAnsi="Arial" w:cs="Arial" w:hint="eastAsia"/>
          <w:color w:val="auto"/>
          <w:sz w:val="20"/>
          <w:szCs w:val="20"/>
        </w:rPr>
        <w:t>债基产品</w:t>
      </w:r>
      <w:proofErr w:type="gramEnd"/>
      <w:r w:rsidRPr="00DD0C71">
        <w:rPr>
          <w:rFonts w:ascii="Arial" w:eastAsia="楷体_GB2312" w:hAnsi="Arial" w:cs="Arial" w:hint="eastAsia"/>
          <w:color w:val="auto"/>
          <w:sz w:val="20"/>
          <w:szCs w:val="20"/>
        </w:rPr>
        <w:t>上要强调风险控制，</w:t>
      </w:r>
      <w:r w:rsidRPr="00CC4F7C">
        <w:rPr>
          <w:rFonts w:ascii="Arial" w:eastAsia="楷体_GB2312" w:hAnsi="Arial" w:cs="Arial" w:hint="eastAsia"/>
          <w:color w:val="auto"/>
          <w:sz w:val="20"/>
          <w:szCs w:val="20"/>
        </w:rPr>
        <w:t>建议</w:t>
      </w:r>
      <w:proofErr w:type="gramStart"/>
      <w:r w:rsidRPr="00CC4F7C">
        <w:rPr>
          <w:rFonts w:ascii="Arial" w:eastAsia="楷体_GB2312" w:hAnsi="Arial" w:cs="Arial" w:hint="eastAsia"/>
          <w:color w:val="auto"/>
          <w:sz w:val="20"/>
          <w:szCs w:val="20"/>
        </w:rPr>
        <w:t>精选久期短</w:t>
      </w:r>
      <w:proofErr w:type="gramEnd"/>
      <w:r w:rsidRPr="00CC4F7C">
        <w:rPr>
          <w:rFonts w:ascii="Arial" w:eastAsia="楷体_GB2312" w:hAnsi="Arial" w:cs="Arial" w:hint="eastAsia"/>
          <w:color w:val="auto"/>
          <w:sz w:val="20"/>
          <w:szCs w:val="20"/>
        </w:rPr>
        <w:t>、杠杆较低和持券信用等级较高的基金，</w:t>
      </w:r>
      <w:r>
        <w:rPr>
          <w:rFonts w:ascii="Arial" w:eastAsia="楷体_GB2312" w:hAnsi="Arial" w:cs="Arial" w:hint="eastAsia"/>
          <w:color w:val="auto"/>
          <w:sz w:val="20"/>
          <w:szCs w:val="20"/>
        </w:rPr>
        <w:t>例如以短融为主要投资标的</w:t>
      </w:r>
      <w:proofErr w:type="gramStart"/>
      <w:r>
        <w:rPr>
          <w:rFonts w:ascii="Arial" w:eastAsia="楷体_GB2312" w:hAnsi="Arial" w:cs="Arial" w:hint="eastAsia"/>
          <w:color w:val="auto"/>
          <w:sz w:val="20"/>
          <w:szCs w:val="20"/>
        </w:rPr>
        <w:t>的短融基金</w:t>
      </w:r>
      <w:proofErr w:type="gramEnd"/>
      <w:r>
        <w:rPr>
          <w:rFonts w:ascii="Arial" w:eastAsia="楷体_GB2312" w:hAnsi="Arial" w:cs="Arial" w:hint="eastAsia"/>
          <w:color w:val="auto"/>
          <w:sz w:val="20"/>
          <w:szCs w:val="20"/>
        </w:rPr>
        <w:t>是当前防守较好的品种</w:t>
      </w:r>
      <w:r w:rsidRPr="00E762E6">
        <w:rPr>
          <w:rFonts w:ascii="Arial" w:eastAsia="楷体_GB2312" w:hAnsi="Arial" w:cs="Arial"/>
          <w:color w:val="auto"/>
          <w:sz w:val="20"/>
          <w:szCs w:val="20"/>
        </w:rPr>
        <w:t>。</w:t>
      </w:r>
      <w:r>
        <w:rPr>
          <w:rFonts w:ascii="Arial" w:eastAsia="楷体_GB2312" w:hAnsi="Arial" w:cs="Arial" w:hint="eastAsia"/>
          <w:color w:val="auto"/>
          <w:sz w:val="20"/>
          <w:szCs w:val="20"/>
        </w:rPr>
        <w:t>此外，参与股市和转债</w:t>
      </w:r>
      <w:proofErr w:type="gramStart"/>
      <w:r>
        <w:rPr>
          <w:rFonts w:ascii="Arial" w:eastAsia="楷体_GB2312" w:hAnsi="Arial" w:cs="Arial" w:hint="eastAsia"/>
          <w:color w:val="auto"/>
          <w:sz w:val="20"/>
          <w:szCs w:val="20"/>
        </w:rPr>
        <w:t>的债基也</w:t>
      </w:r>
      <w:proofErr w:type="gramEnd"/>
      <w:r>
        <w:rPr>
          <w:rFonts w:ascii="Arial" w:eastAsia="楷体_GB2312" w:hAnsi="Arial" w:cs="Arial" w:hint="eastAsia"/>
          <w:color w:val="auto"/>
          <w:sz w:val="20"/>
          <w:szCs w:val="20"/>
        </w:rPr>
        <w:t>可以适当关注，尤其是基金经理大类资产配置能力较强的，在股</w:t>
      </w:r>
      <w:proofErr w:type="gramStart"/>
      <w:r>
        <w:rPr>
          <w:rFonts w:ascii="Arial" w:eastAsia="楷体_GB2312" w:hAnsi="Arial" w:cs="Arial" w:hint="eastAsia"/>
          <w:color w:val="auto"/>
          <w:sz w:val="20"/>
          <w:szCs w:val="20"/>
        </w:rPr>
        <w:t>债之间</w:t>
      </w:r>
      <w:proofErr w:type="gramEnd"/>
      <w:r>
        <w:rPr>
          <w:rFonts w:ascii="Arial" w:eastAsia="楷体_GB2312" w:hAnsi="Arial" w:cs="Arial" w:hint="eastAsia"/>
          <w:color w:val="auto"/>
          <w:sz w:val="20"/>
          <w:szCs w:val="20"/>
        </w:rPr>
        <w:t>进行切换可以适当降低单一</w:t>
      </w:r>
      <w:r w:rsidRPr="008A075D">
        <w:rPr>
          <w:rFonts w:ascii="Arial" w:eastAsia="楷体_GB2312" w:hAnsi="Arial" w:cs="Arial" w:hint="eastAsia"/>
          <w:color w:val="auto"/>
          <w:sz w:val="20"/>
          <w:szCs w:val="20"/>
        </w:rPr>
        <w:t>债</w:t>
      </w:r>
      <w:r>
        <w:rPr>
          <w:rFonts w:ascii="Arial" w:eastAsia="楷体_GB2312" w:hAnsi="Arial" w:cs="Arial" w:hint="eastAsia"/>
          <w:color w:val="auto"/>
          <w:sz w:val="20"/>
          <w:szCs w:val="20"/>
        </w:rPr>
        <w:t>市风险。</w:t>
      </w:r>
    </w:p>
    <w:p w:rsidR="00BA6BA1" w:rsidRDefault="00BA6BA1" w:rsidP="008A075D">
      <w:pPr>
        <w:pStyle w:val="a5"/>
        <w:spacing w:beforeLines="100" w:before="240" w:afterLines="100" w:after="240" w:line="260" w:lineRule="exact"/>
        <w:ind w:leftChars="1957" w:left="4110" w:rightChars="-34" w:right="-71" w:firstLineChars="169" w:firstLine="339"/>
        <w:rPr>
          <w:rFonts w:ascii="Arial" w:hAnsi="Arial" w:cs="Arial"/>
          <w:sz w:val="36"/>
          <w:szCs w:val="34"/>
        </w:rPr>
      </w:pPr>
      <w:r w:rsidRPr="008A075D">
        <w:rPr>
          <w:rFonts w:ascii="Arial" w:eastAsia="楷体_GB2312" w:hAnsi="Arial" w:cs="Arial" w:hint="eastAsia"/>
          <w:b/>
          <w:color w:val="auto"/>
          <w:sz w:val="20"/>
          <w:szCs w:val="20"/>
        </w:rPr>
        <w:t xml:space="preserve"> </w:t>
      </w:r>
      <w:r w:rsidRPr="008A075D">
        <w:rPr>
          <w:rFonts w:ascii="Arial" w:eastAsia="楷体_GB2312" w:hAnsi="Arial" w:cs="Arial"/>
          <w:b/>
          <w:color w:val="auto"/>
          <w:sz w:val="20"/>
          <w:szCs w:val="20"/>
        </w:rPr>
        <w:t>建</w:t>
      </w:r>
      <w:r w:rsidRPr="008A075D">
        <w:rPr>
          <w:rFonts w:ascii="Arial" w:eastAsia="楷体_GB2312" w:hAnsi="Arial" w:cs="Arial" w:hint="eastAsia"/>
          <w:b/>
          <w:color w:val="auto"/>
          <w:sz w:val="20"/>
          <w:szCs w:val="20"/>
        </w:rPr>
        <w:t>议关注黄金</w:t>
      </w:r>
      <w:r w:rsidR="00436CC2" w:rsidRPr="008A075D">
        <w:rPr>
          <w:rFonts w:ascii="Arial" w:eastAsia="楷体_GB2312" w:hAnsi="Arial" w:cs="Arial" w:hint="eastAsia"/>
          <w:b/>
          <w:color w:val="auto"/>
          <w:sz w:val="20"/>
          <w:szCs w:val="20"/>
        </w:rPr>
        <w:t>和</w:t>
      </w:r>
      <w:r w:rsidRPr="008A075D">
        <w:rPr>
          <w:rFonts w:ascii="Arial" w:eastAsia="楷体_GB2312" w:hAnsi="Arial" w:cs="Arial" w:hint="eastAsia"/>
          <w:b/>
          <w:color w:val="auto"/>
          <w:sz w:val="20"/>
          <w:szCs w:val="20"/>
        </w:rPr>
        <w:t>大宗商品类</w:t>
      </w:r>
      <w:r w:rsidRPr="008A075D">
        <w:rPr>
          <w:rFonts w:ascii="Arial" w:eastAsia="楷体_GB2312" w:hAnsi="Arial" w:cs="Arial" w:hint="eastAsia"/>
          <w:b/>
          <w:color w:val="auto"/>
          <w:sz w:val="20"/>
          <w:szCs w:val="20"/>
        </w:rPr>
        <w:t>QDII</w:t>
      </w:r>
      <w:r w:rsidRPr="008A075D">
        <w:rPr>
          <w:rFonts w:ascii="Arial" w:eastAsia="楷体_GB2312" w:hAnsi="Arial" w:cs="Arial" w:hint="eastAsia"/>
          <w:b/>
          <w:color w:val="auto"/>
          <w:sz w:val="20"/>
          <w:szCs w:val="20"/>
        </w:rPr>
        <w:t>。</w:t>
      </w:r>
      <w:r w:rsidR="00436CC2" w:rsidRPr="008A075D">
        <w:rPr>
          <w:rFonts w:ascii="Arial" w:eastAsia="楷体_GB2312" w:hAnsi="Arial" w:cs="Arial" w:hint="eastAsia"/>
          <w:color w:val="auto"/>
          <w:sz w:val="20"/>
          <w:szCs w:val="20"/>
        </w:rPr>
        <w:t>随着近期美元指数走弱，</w:t>
      </w:r>
      <w:r w:rsidR="00436CC2" w:rsidRPr="008A075D">
        <w:rPr>
          <w:rFonts w:ascii="Arial" w:eastAsia="楷体_GB2312" w:hAnsi="Arial" w:cs="Arial" w:hint="eastAsia"/>
          <w:color w:val="auto"/>
          <w:sz w:val="20"/>
          <w:szCs w:val="20"/>
        </w:rPr>
        <w:t>QDII</w:t>
      </w:r>
      <w:r w:rsidR="00436CC2" w:rsidRPr="008A075D">
        <w:rPr>
          <w:rFonts w:ascii="Arial" w:eastAsia="楷体_GB2312" w:hAnsi="Arial" w:cs="Arial" w:hint="eastAsia"/>
          <w:color w:val="auto"/>
          <w:sz w:val="20"/>
          <w:szCs w:val="20"/>
        </w:rPr>
        <w:t>中投资大宗商品和商品基金均走强，我们认为这类基金的投资逻辑在</w:t>
      </w:r>
      <w:r w:rsidR="00436CC2" w:rsidRPr="008A075D">
        <w:rPr>
          <w:rFonts w:ascii="Arial" w:eastAsia="楷体_GB2312" w:hAnsi="Arial" w:cs="Arial" w:hint="eastAsia"/>
          <w:color w:val="auto"/>
          <w:sz w:val="20"/>
          <w:szCs w:val="20"/>
        </w:rPr>
        <w:t>5</w:t>
      </w:r>
      <w:r w:rsidR="008A075D">
        <w:rPr>
          <w:rFonts w:ascii="Arial" w:eastAsia="楷体_GB2312" w:hAnsi="Arial" w:cs="Arial" w:hint="eastAsia"/>
          <w:color w:val="auto"/>
          <w:sz w:val="20"/>
          <w:szCs w:val="20"/>
        </w:rPr>
        <w:t>月有望</w:t>
      </w:r>
      <w:r w:rsidR="00436CC2" w:rsidRPr="008A075D">
        <w:rPr>
          <w:rFonts w:ascii="Arial" w:eastAsia="楷体_GB2312" w:hAnsi="Arial" w:cs="Arial" w:hint="eastAsia"/>
          <w:color w:val="auto"/>
          <w:sz w:val="20"/>
          <w:szCs w:val="20"/>
        </w:rPr>
        <w:t>延续。</w:t>
      </w:r>
      <w:r w:rsidR="001B4900" w:rsidRPr="00436CC2">
        <w:rPr>
          <w:rFonts w:ascii="Arial" w:eastAsia="楷体_GB2312" w:hAnsi="Arial" w:cs="Arial" w:hint="eastAsia"/>
          <w:color w:val="auto"/>
          <w:sz w:val="20"/>
          <w:szCs w:val="20"/>
        </w:rPr>
        <w:t>2016</w:t>
      </w:r>
      <w:r w:rsidR="00436CC2" w:rsidRPr="00436CC2">
        <w:rPr>
          <w:rFonts w:ascii="Arial" w:eastAsia="楷体_GB2312" w:hAnsi="Arial" w:cs="Arial" w:hint="eastAsia"/>
          <w:color w:val="auto"/>
          <w:sz w:val="20"/>
          <w:szCs w:val="20"/>
        </w:rPr>
        <w:t>年以来虽然黄金已经经历了大幅上涨，但在全球经济低迷和货币超发的大背景下，黄金的保值和抗通胀价值显现</w:t>
      </w:r>
      <w:r w:rsidRPr="00436CC2">
        <w:rPr>
          <w:rFonts w:ascii="Arial" w:eastAsia="楷体_GB2312" w:hAnsi="Arial" w:cs="Arial" w:hint="eastAsia"/>
          <w:color w:val="auto"/>
          <w:sz w:val="20"/>
          <w:szCs w:val="20"/>
        </w:rPr>
        <w:t>。油气能源等大宗商品主题基金方面，</w:t>
      </w:r>
      <w:r w:rsidR="00436CC2">
        <w:rPr>
          <w:rFonts w:ascii="Arial" w:eastAsia="楷体_GB2312" w:hAnsi="Arial" w:cs="Arial" w:hint="eastAsia"/>
          <w:color w:val="auto"/>
          <w:sz w:val="20"/>
          <w:szCs w:val="20"/>
        </w:rPr>
        <w:t>全球货币超发带来的</w:t>
      </w:r>
      <w:proofErr w:type="gramStart"/>
      <w:r w:rsidR="00436CC2">
        <w:rPr>
          <w:rFonts w:ascii="Arial" w:eastAsia="楷体_GB2312" w:hAnsi="Arial" w:cs="Arial" w:hint="eastAsia"/>
          <w:color w:val="auto"/>
          <w:sz w:val="20"/>
          <w:szCs w:val="20"/>
        </w:rPr>
        <w:t>通胀担忧</w:t>
      </w:r>
      <w:proofErr w:type="gramEnd"/>
      <w:r w:rsidR="00436CC2">
        <w:rPr>
          <w:rFonts w:ascii="Arial" w:eastAsia="楷体_GB2312" w:hAnsi="Arial" w:cs="Arial" w:hint="eastAsia"/>
          <w:color w:val="auto"/>
          <w:sz w:val="20"/>
          <w:szCs w:val="20"/>
        </w:rPr>
        <w:t>和中国</w:t>
      </w:r>
      <w:r w:rsidRPr="00ED6145">
        <w:rPr>
          <w:rFonts w:ascii="Arial" w:eastAsia="楷体_GB2312" w:hAnsi="Arial" w:cs="Arial" w:hint="eastAsia"/>
          <w:color w:val="auto"/>
          <w:sz w:val="20"/>
          <w:szCs w:val="20"/>
        </w:rPr>
        <w:t>经济回暖</w:t>
      </w:r>
      <w:r w:rsidR="00436CC2">
        <w:rPr>
          <w:rFonts w:ascii="Arial" w:eastAsia="楷体_GB2312" w:hAnsi="Arial" w:cs="Arial" w:hint="eastAsia"/>
          <w:color w:val="auto"/>
          <w:sz w:val="20"/>
          <w:szCs w:val="20"/>
        </w:rPr>
        <w:t>带来的需求</w:t>
      </w:r>
      <w:proofErr w:type="gramStart"/>
      <w:r w:rsidR="00436CC2">
        <w:rPr>
          <w:rFonts w:ascii="Arial" w:eastAsia="楷体_GB2312" w:hAnsi="Arial" w:cs="Arial" w:hint="eastAsia"/>
          <w:color w:val="auto"/>
          <w:sz w:val="20"/>
          <w:szCs w:val="20"/>
        </w:rPr>
        <w:t>端改善</w:t>
      </w:r>
      <w:proofErr w:type="gramEnd"/>
      <w:r w:rsidR="00436CC2">
        <w:rPr>
          <w:rFonts w:ascii="Arial" w:eastAsia="楷体_GB2312" w:hAnsi="Arial" w:cs="Arial" w:hint="eastAsia"/>
          <w:color w:val="auto"/>
          <w:sz w:val="20"/>
          <w:szCs w:val="20"/>
        </w:rPr>
        <w:t>等都有利于推升大宗商品价格。</w:t>
      </w:r>
      <w:r w:rsidRPr="00DE1137">
        <w:rPr>
          <w:rFonts w:ascii="Arial" w:hAnsi="Arial" w:cs="Arial"/>
          <w:sz w:val="36"/>
          <w:szCs w:val="34"/>
        </w:rPr>
        <w:br w:type="page"/>
      </w:r>
    </w:p>
    <w:p w:rsidR="00BA6BA1" w:rsidRPr="00AD065B" w:rsidRDefault="00BA6BA1" w:rsidP="00BA6BA1">
      <w:pPr>
        <w:widowControl/>
        <w:jc w:val="left"/>
        <w:rPr>
          <w:rFonts w:ascii="Arial" w:hAnsi="Arial" w:cs="Arial"/>
          <w:b/>
          <w:color w:val="000080"/>
          <w:kern w:val="0"/>
          <w:sz w:val="32"/>
          <w:szCs w:val="20"/>
        </w:rPr>
      </w:pPr>
      <w:r w:rsidRPr="00AD065B">
        <w:rPr>
          <w:rFonts w:ascii="Arial" w:hAnsi="Arial" w:cs="Arial"/>
          <w:b/>
          <w:color w:val="000080"/>
          <w:kern w:val="0"/>
          <w:sz w:val="32"/>
          <w:szCs w:val="20"/>
        </w:rPr>
        <w:lastRenderedPageBreak/>
        <w:t>免责声明</w:t>
      </w:r>
    </w:p>
    <w:p w:rsidR="00BA6BA1" w:rsidRPr="001805EA" w:rsidRDefault="00BA6BA1" w:rsidP="00BA6BA1">
      <w:pPr>
        <w:rPr>
          <w:rFonts w:ascii="Arial" w:hAnsi="Arial" w:cs="Arial"/>
          <w:b/>
          <w:color w:val="000080"/>
          <w:kern w:val="0"/>
          <w:sz w:val="20"/>
          <w:szCs w:val="20"/>
        </w:rPr>
      </w:pPr>
    </w:p>
    <w:p w:rsidR="00BA6BA1" w:rsidRPr="001805EA" w:rsidRDefault="00BA6BA1" w:rsidP="00BA6BA1">
      <w:pPr>
        <w:rPr>
          <w:rFonts w:ascii="Arial" w:hAnsi="Arial" w:cs="Arial"/>
          <w:sz w:val="20"/>
          <w:szCs w:val="20"/>
        </w:rPr>
      </w:pPr>
      <w:r w:rsidRPr="001805EA">
        <w:rPr>
          <w:rFonts w:ascii="Arial" w:hAnsi="Arial" w:cs="Arial"/>
          <w:sz w:val="20"/>
          <w:szCs w:val="20"/>
        </w:rPr>
        <w:t>本报告中的所有内容版权均属上海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石财富基金销售有限公司（以下简称</w:t>
      </w:r>
      <w:r w:rsidRPr="001805EA">
        <w:rPr>
          <w:rFonts w:ascii="Arial" w:hAnsi="Arial" w:cs="Arial"/>
          <w:sz w:val="20"/>
          <w:szCs w:val="20"/>
        </w:rPr>
        <w:t>“</w:t>
      </w:r>
      <w:r w:rsidRPr="001805EA">
        <w:rPr>
          <w:rFonts w:ascii="Arial" w:hAnsi="Arial" w:cs="Arial"/>
          <w:sz w:val="20"/>
          <w:szCs w:val="20"/>
        </w:rPr>
        <w:t>本公司</w:t>
      </w:r>
      <w:r w:rsidRPr="001805EA">
        <w:rPr>
          <w:rFonts w:ascii="Arial" w:hAnsi="Arial" w:cs="Arial"/>
          <w:sz w:val="20"/>
          <w:szCs w:val="20"/>
        </w:rPr>
        <w:t>”</w:t>
      </w:r>
      <w:r w:rsidRPr="001805EA">
        <w:rPr>
          <w:rFonts w:ascii="Arial" w:hAnsi="Arial" w:cs="Arial"/>
          <w:sz w:val="20"/>
          <w:szCs w:val="20"/>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石财富基金销售有限公司研究中心，且不得对本文进行任何有悖原意的引用和删改。</w:t>
      </w:r>
    </w:p>
    <w:p w:rsidR="00BA6BA1" w:rsidRPr="001805EA" w:rsidRDefault="00BA6BA1" w:rsidP="00BA6BA1">
      <w:pPr>
        <w:rPr>
          <w:rFonts w:ascii="Arial" w:hAnsi="Arial" w:cs="Arial"/>
          <w:sz w:val="20"/>
          <w:szCs w:val="20"/>
        </w:rPr>
      </w:pPr>
    </w:p>
    <w:p w:rsidR="00BA6BA1" w:rsidRPr="001805EA" w:rsidRDefault="00BA6BA1" w:rsidP="00BA6BA1">
      <w:pPr>
        <w:rPr>
          <w:rFonts w:ascii="Arial" w:hAnsi="Arial" w:cs="Arial"/>
          <w:sz w:val="20"/>
          <w:szCs w:val="20"/>
        </w:rPr>
      </w:pPr>
      <w:r w:rsidRPr="001805EA">
        <w:rPr>
          <w:rFonts w:ascii="Arial" w:hAnsi="Arial"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A6BA1" w:rsidRPr="001805EA" w:rsidRDefault="00BA6BA1" w:rsidP="00BA6BA1">
      <w:pPr>
        <w:rPr>
          <w:rFonts w:ascii="Arial" w:hAnsi="Arial" w:cs="Arial"/>
          <w:sz w:val="20"/>
          <w:szCs w:val="20"/>
        </w:rPr>
      </w:pPr>
    </w:p>
    <w:p w:rsidR="00BA6BA1" w:rsidRPr="001805EA" w:rsidRDefault="00BA6BA1" w:rsidP="00BA6BA1">
      <w:pPr>
        <w:rPr>
          <w:rFonts w:ascii="Arial" w:hAnsi="Arial" w:cs="Arial"/>
          <w:sz w:val="20"/>
          <w:szCs w:val="20"/>
        </w:rPr>
      </w:pPr>
      <w:r w:rsidRPr="001805EA">
        <w:rPr>
          <w:rFonts w:ascii="Arial" w:hAnsi="Arial"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A6BA1" w:rsidRPr="00C97435" w:rsidRDefault="00BA6BA1" w:rsidP="00BA6BA1">
      <w:pPr>
        <w:ind w:rightChars="26" w:right="55"/>
        <w:rPr>
          <w:rFonts w:ascii="Arial" w:hAnsi="Arial" w:cs="Arial"/>
          <w:sz w:val="13"/>
        </w:rPr>
      </w:pPr>
    </w:p>
    <w:p w:rsidR="00BA6BA1" w:rsidRPr="008C25B9" w:rsidRDefault="00BA6BA1" w:rsidP="00BA6BA1"/>
    <w:p w:rsidR="00BA6BA1" w:rsidRPr="00BC0BDC" w:rsidRDefault="00BA6BA1" w:rsidP="00BA6BA1"/>
    <w:p w:rsidR="00FF3942" w:rsidRPr="00BA6BA1" w:rsidRDefault="00FF3942"/>
    <w:sectPr w:rsidR="00FF3942" w:rsidRPr="00BA6BA1" w:rsidSect="00FF3942">
      <w:headerReference w:type="default" r:id="rId11"/>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7C" w:rsidRDefault="00EC507C">
      <w:r>
        <w:separator/>
      </w:r>
    </w:p>
  </w:endnote>
  <w:endnote w:type="continuationSeparator" w:id="0">
    <w:p w:rsidR="00EC507C" w:rsidRDefault="00EC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大黑简">
    <w:altName w:val="宋体"/>
    <w:charset w:val="86"/>
    <w:family w:val="modern"/>
    <w:pitch w:val="fixed"/>
    <w:sig w:usb0="00000001" w:usb1="080E0800" w:usb2="00000012" w:usb3="00000000" w:csb0="00040000"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C2" w:rsidRPr="00D52111" w:rsidRDefault="00123BC2" w:rsidP="00FF3942">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56192" behindDoc="0" locked="0" layoutInCell="1" allowOverlap="1" wp14:anchorId="3731238D" wp14:editId="732DAB3E">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58240" behindDoc="0" locked="0" layoutInCell="1" allowOverlap="1" wp14:anchorId="3A0F4D41" wp14:editId="78138775">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8A075D" w:rsidRPr="008A075D">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8A075D" w:rsidRPr="008A075D">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123BC2" w:rsidRDefault="00123BC2">
    <w:pPr>
      <w:pStyle w:val="a4"/>
      <w:rPr>
        <w:sz w:val="4"/>
        <w:szCs w:val="4"/>
      </w:rPr>
    </w:pPr>
  </w:p>
  <w:p w:rsidR="00123BC2" w:rsidRDefault="00123BC2">
    <w:pPr>
      <w:pStyle w:val="a4"/>
      <w:rPr>
        <w:rFonts w:ascii="楷体_GB2312"/>
        <w:sz w:val="4"/>
        <w:szCs w:val="4"/>
      </w:rPr>
    </w:pPr>
  </w:p>
  <w:p w:rsidR="00123BC2" w:rsidRPr="00F957FD" w:rsidRDefault="00123BC2" w:rsidP="00FF3942">
    <w:pPr>
      <w:pStyle w:val="a4"/>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7C" w:rsidRDefault="00EC507C">
      <w:r>
        <w:separator/>
      </w:r>
    </w:p>
  </w:footnote>
  <w:footnote w:type="continuationSeparator" w:id="0">
    <w:p w:rsidR="00EC507C" w:rsidRDefault="00EC5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C2" w:rsidRDefault="00123BC2">
    <w:pPr>
      <w:pStyle w:val="a3"/>
      <w:pBdr>
        <w:bottom w:val="none" w:sz="0" w:space="0" w:color="auto"/>
      </w:pBdr>
    </w:pPr>
    <w:r>
      <w:rPr>
        <w:rFonts w:ascii="Arial" w:hAnsi="Arial" w:cs="Arial"/>
        <w:noProof/>
      </w:rPr>
      <w:drawing>
        <wp:anchor distT="0" distB="0" distL="114300" distR="114300" simplePos="0" relativeHeight="251654144" behindDoc="0" locked="0" layoutInCell="1" allowOverlap="1" wp14:anchorId="6CA1DD61" wp14:editId="18B6D37E">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3BC2" w:rsidRDefault="00123BC2">
    <w:r>
      <w:rPr>
        <w:noProof/>
      </w:rPr>
      <mc:AlternateContent>
        <mc:Choice Requires="wps">
          <w:drawing>
            <wp:anchor distT="0" distB="0" distL="114300" distR="114300" simplePos="0" relativeHeight="251661312" behindDoc="0" locked="0" layoutInCell="1" allowOverlap="1" wp14:anchorId="38DC48FD" wp14:editId="75E8DEEF">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BC2" w:rsidRPr="00880D7C" w:rsidRDefault="00123BC2" w:rsidP="00FF3942">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123BC2" w:rsidRPr="00880D7C" w:rsidRDefault="00123BC2" w:rsidP="00FF3942">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1BD6C8A" wp14:editId="5AF9AB65">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C2" w:rsidRDefault="00123BC2">
    <w:pPr>
      <w:pStyle w:val="a3"/>
      <w:pBdr>
        <w:bottom w:val="none" w:sz="0" w:space="0" w:color="auto"/>
      </w:pBdr>
      <w:jc w:val="both"/>
    </w:pPr>
    <w:r>
      <w:rPr>
        <w:noProof/>
      </w:rPr>
      <mc:AlternateContent>
        <mc:Choice Requires="wps">
          <w:drawing>
            <wp:anchor distT="0" distB="0" distL="114300" distR="114300" simplePos="0" relativeHeight="251655168" behindDoc="0" locked="0" layoutInCell="1" allowOverlap="1" wp14:anchorId="05697791" wp14:editId="3A1C97FE">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BC2" w:rsidRPr="00880D7C" w:rsidRDefault="00123BC2" w:rsidP="00FF394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123BC2" w:rsidRPr="00880D7C" w:rsidRDefault="00123BC2" w:rsidP="00FF394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59264" behindDoc="0" locked="0" layoutInCell="1" allowOverlap="1" wp14:anchorId="75FFCC74" wp14:editId="71536E88">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123BC2" w:rsidRDefault="00123BC2">
    <w:pPr>
      <w:pStyle w:val="a3"/>
      <w:pBdr>
        <w:bottom w:val="none" w:sz="0" w:space="0" w:color="auto"/>
      </w:pBdr>
      <w:spacing w:line="120" w:lineRule="exact"/>
      <w:jc w:val="both"/>
    </w:pPr>
    <w:r>
      <w:rPr>
        <w:noProof/>
      </w:rPr>
      <mc:AlternateContent>
        <mc:Choice Requires="wps">
          <w:drawing>
            <wp:anchor distT="0" distB="0" distL="114300" distR="114300" simplePos="0" relativeHeight="251657216" behindDoc="0" locked="0" layoutInCell="1" allowOverlap="1" wp14:anchorId="28C442EE" wp14:editId="0C48711E">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4pt;height:11.4pt" o:bullet="t">
        <v:imagedata r:id="rId1" o:title="msoDF97"/>
      </v:shape>
    </w:pict>
  </w:numPicBullet>
  <w:numPicBullet w:numPicBulletId="1">
    <w:pict>
      <v:shape id="_x0000_i1045" type="#_x0000_t75" style="width:11.4pt;height:11.4pt" o:bullet="t">
        <v:imagedata r:id="rId2" o:title="msoA66A"/>
      </v:shape>
    </w:pict>
  </w:numPicBullet>
  <w:abstractNum w:abstractNumId="0">
    <w:nsid w:val="0AB744F3"/>
    <w:multiLevelType w:val="hybridMultilevel"/>
    <w:tmpl w:val="B2A6FCCA"/>
    <w:lvl w:ilvl="0" w:tplc="04090007">
      <w:start w:val="1"/>
      <w:numFmt w:val="bullet"/>
      <w:lvlText w:val=""/>
      <w:lvlPicBulletId w:val="1"/>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05A4E40E"/>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E7240534"/>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A1"/>
    <w:rsid w:val="00095267"/>
    <w:rsid w:val="000F3D68"/>
    <w:rsid w:val="00104A8D"/>
    <w:rsid w:val="00123BC2"/>
    <w:rsid w:val="00136B87"/>
    <w:rsid w:val="0014299B"/>
    <w:rsid w:val="001500A2"/>
    <w:rsid w:val="001B4900"/>
    <w:rsid w:val="001C5697"/>
    <w:rsid w:val="001E63D2"/>
    <w:rsid w:val="00210DA1"/>
    <w:rsid w:val="00263FE0"/>
    <w:rsid w:val="002872DA"/>
    <w:rsid w:val="003521BD"/>
    <w:rsid w:val="00371D19"/>
    <w:rsid w:val="003B50CB"/>
    <w:rsid w:val="003C1E50"/>
    <w:rsid w:val="00436CC2"/>
    <w:rsid w:val="004A691D"/>
    <w:rsid w:val="00532D79"/>
    <w:rsid w:val="00556176"/>
    <w:rsid w:val="00655DE9"/>
    <w:rsid w:val="006B2C07"/>
    <w:rsid w:val="00711FB3"/>
    <w:rsid w:val="007141D9"/>
    <w:rsid w:val="007C289D"/>
    <w:rsid w:val="007D63AD"/>
    <w:rsid w:val="00822FAD"/>
    <w:rsid w:val="008A075D"/>
    <w:rsid w:val="008A1003"/>
    <w:rsid w:val="008C3178"/>
    <w:rsid w:val="008C4151"/>
    <w:rsid w:val="008F0FC8"/>
    <w:rsid w:val="00914FC7"/>
    <w:rsid w:val="00994057"/>
    <w:rsid w:val="009D6F00"/>
    <w:rsid w:val="00B254C5"/>
    <w:rsid w:val="00B34F86"/>
    <w:rsid w:val="00B51D8E"/>
    <w:rsid w:val="00B95C53"/>
    <w:rsid w:val="00BA6BA1"/>
    <w:rsid w:val="00C05E13"/>
    <w:rsid w:val="00C13036"/>
    <w:rsid w:val="00C15A75"/>
    <w:rsid w:val="00C62003"/>
    <w:rsid w:val="00CF5295"/>
    <w:rsid w:val="00E02B06"/>
    <w:rsid w:val="00E033DD"/>
    <w:rsid w:val="00E55CC2"/>
    <w:rsid w:val="00E7782E"/>
    <w:rsid w:val="00EB2CED"/>
    <w:rsid w:val="00EC507C"/>
    <w:rsid w:val="00ED0705"/>
    <w:rsid w:val="00F27D6A"/>
    <w:rsid w:val="00F77834"/>
    <w:rsid w:val="00F83596"/>
    <w:rsid w:val="00FF06FA"/>
    <w:rsid w:val="00FF3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BA6BA1"/>
    <w:pPr>
      <w:widowControl w:val="0"/>
      <w:jc w:val="both"/>
    </w:pPr>
    <w:rPr>
      <w:rFonts w:ascii="Times New Roman" w:eastAsia="楷体_GB2312" w:hAnsi="Times New Roman" w:cs="Times New Roman"/>
      <w:szCs w:val="24"/>
    </w:rPr>
  </w:style>
  <w:style w:type="paragraph" w:styleId="3">
    <w:name w:val="heading 3"/>
    <w:basedOn w:val="a"/>
    <w:next w:val="a"/>
    <w:link w:val="3Char"/>
    <w:uiPriority w:val="9"/>
    <w:semiHidden/>
    <w:unhideWhenUsed/>
    <w:qFormat/>
    <w:rsid w:val="00BA6B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A6B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A6BA1"/>
    <w:rPr>
      <w:rFonts w:ascii="Times New Roman" w:eastAsia="楷体_GB2312" w:hAnsi="Times New Roman" w:cs="Times New Roman"/>
      <w:sz w:val="18"/>
      <w:szCs w:val="18"/>
    </w:rPr>
  </w:style>
  <w:style w:type="paragraph" w:styleId="a4">
    <w:name w:val="footer"/>
    <w:basedOn w:val="a"/>
    <w:link w:val="Char0"/>
    <w:rsid w:val="00BA6BA1"/>
    <w:pPr>
      <w:tabs>
        <w:tab w:val="center" w:pos="4153"/>
        <w:tab w:val="right" w:pos="8306"/>
      </w:tabs>
      <w:snapToGrid w:val="0"/>
      <w:jc w:val="left"/>
    </w:pPr>
    <w:rPr>
      <w:sz w:val="18"/>
      <w:szCs w:val="18"/>
    </w:rPr>
  </w:style>
  <w:style w:type="character" w:customStyle="1" w:styleId="Char0">
    <w:name w:val="页脚 Char"/>
    <w:basedOn w:val="a0"/>
    <w:link w:val="a4"/>
    <w:rsid w:val="00BA6BA1"/>
    <w:rPr>
      <w:rFonts w:ascii="Times New Roman" w:eastAsia="楷体_GB2312" w:hAnsi="Times New Roman" w:cs="Times New Roman"/>
      <w:sz w:val="18"/>
      <w:szCs w:val="18"/>
    </w:rPr>
  </w:style>
  <w:style w:type="paragraph" w:styleId="a5">
    <w:name w:val="Block Text"/>
    <w:basedOn w:val="a"/>
    <w:rsid w:val="00BA6BA1"/>
    <w:pPr>
      <w:ind w:leftChars="1553" w:left="3261" w:rightChars="26" w:right="55" w:firstLine="1"/>
      <w:jc w:val="left"/>
    </w:pPr>
    <w:rPr>
      <w:rFonts w:eastAsia="汉仪大黑简"/>
      <w:color w:val="000000"/>
      <w:sz w:val="18"/>
    </w:rPr>
  </w:style>
  <w:style w:type="paragraph" w:styleId="a6">
    <w:name w:val="List Paragraph"/>
    <w:basedOn w:val="a"/>
    <w:uiPriority w:val="99"/>
    <w:qFormat/>
    <w:rsid w:val="00BA6BA1"/>
    <w:pPr>
      <w:ind w:firstLineChars="200" w:firstLine="420"/>
    </w:pPr>
  </w:style>
  <w:style w:type="character" w:customStyle="1" w:styleId="textsmall2">
    <w:name w:val="text_small2"/>
    <w:basedOn w:val="a0"/>
    <w:rsid w:val="00BA6BA1"/>
  </w:style>
  <w:style w:type="character" w:customStyle="1" w:styleId="3Char">
    <w:name w:val="标题 3 Char"/>
    <w:basedOn w:val="a0"/>
    <w:link w:val="3"/>
    <w:uiPriority w:val="9"/>
    <w:semiHidden/>
    <w:rsid w:val="00BA6BA1"/>
    <w:rPr>
      <w:rFonts w:ascii="Times New Roman" w:eastAsia="楷体_GB2312" w:hAnsi="Times New Roman" w:cs="Times New Roman"/>
      <w:b/>
      <w:bCs/>
      <w:sz w:val="32"/>
      <w:szCs w:val="32"/>
    </w:rPr>
  </w:style>
  <w:style w:type="paragraph" w:styleId="a7">
    <w:name w:val="Balloon Text"/>
    <w:basedOn w:val="a"/>
    <w:link w:val="Char1"/>
    <w:uiPriority w:val="99"/>
    <w:semiHidden/>
    <w:unhideWhenUsed/>
    <w:rsid w:val="00BA6BA1"/>
    <w:rPr>
      <w:sz w:val="18"/>
      <w:szCs w:val="18"/>
    </w:rPr>
  </w:style>
  <w:style w:type="character" w:customStyle="1" w:styleId="Char1">
    <w:name w:val="批注框文本 Char"/>
    <w:basedOn w:val="a0"/>
    <w:link w:val="a7"/>
    <w:uiPriority w:val="99"/>
    <w:semiHidden/>
    <w:rsid w:val="00BA6BA1"/>
    <w:rPr>
      <w:rFonts w:ascii="Times New Roman" w:eastAsia="楷体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BA6BA1"/>
    <w:pPr>
      <w:widowControl w:val="0"/>
      <w:jc w:val="both"/>
    </w:pPr>
    <w:rPr>
      <w:rFonts w:ascii="Times New Roman" w:eastAsia="楷体_GB2312" w:hAnsi="Times New Roman" w:cs="Times New Roman"/>
      <w:szCs w:val="24"/>
    </w:rPr>
  </w:style>
  <w:style w:type="paragraph" w:styleId="3">
    <w:name w:val="heading 3"/>
    <w:basedOn w:val="a"/>
    <w:next w:val="a"/>
    <w:link w:val="3Char"/>
    <w:uiPriority w:val="9"/>
    <w:semiHidden/>
    <w:unhideWhenUsed/>
    <w:qFormat/>
    <w:rsid w:val="00BA6B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A6B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A6BA1"/>
    <w:rPr>
      <w:rFonts w:ascii="Times New Roman" w:eastAsia="楷体_GB2312" w:hAnsi="Times New Roman" w:cs="Times New Roman"/>
      <w:sz w:val="18"/>
      <w:szCs w:val="18"/>
    </w:rPr>
  </w:style>
  <w:style w:type="paragraph" w:styleId="a4">
    <w:name w:val="footer"/>
    <w:basedOn w:val="a"/>
    <w:link w:val="Char0"/>
    <w:rsid w:val="00BA6BA1"/>
    <w:pPr>
      <w:tabs>
        <w:tab w:val="center" w:pos="4153"/>
        <w:tab w:val="right" w:pos="8306"/>
      </w:tabs>
      <w:snapToGrid w:val="0"/>
      <w:jc w:val="left"/>
    </w:pPr>
    <w:rPr>
      <w:sz w:val="18"/>
      <w:szCs w:val="18"/>
    </w:rPr>
  </w:style>
  <w:style w:type="character" w:customStyle="1" w:styleId="Char0">
    <w:name w:val="页脚 Char"/>
    <w:basedOn w:val="a0"/>
    <w:link w:val="a4"/>
    <w:rsid w:val="00BA6BA1"/>
    <w:rPr>
      <w:rFonts w:ascii="Times New Roman" w:eastAsia="楷体_GB2312" w:hAnsi="Times New Roman" w:cs="Times New Roman"/>
      <w:sz w:val="18"/>
      <w:szCs w:val="18"/>
    </w:rPr>
  </w:style>
  <w:style w:type="paragraph" w:styleId="a5">
    <w:name w:val="Block Text"/>
    <w:basedOn w:val="a"/>
    <w:rsid w:val="00BA6BA1"/>
    <w:pPr>
      <w:ind w:leftChars="1553" w:left="3261" w:rightChars="26" w:right="55" w:firstLine="1"/>
      <w:jc w:val="left"/>
    </w:pPr>
    <w:rPr>
      <w:rFonts w:eastAsia="汉仪大黑简"/>
      <w:color w:val="000000"/>
      <w:sz w:val="18"/>
    </w:rPr>
  </w:style>
  <w:style w:type="paragraph" w:styleId="a6">
    <w:name w:val="List Paragraph"/>
    <w:basedOn w:val="a"/>
    <w:uiPriority w:val="99"/>
    <w:qFormat/>
    <w:rsid w:val="00BA6BA1"/>
    <w:pPr>
      <w:ind w:firstLineChars="200" w:firstLine="420"/>
    </w:pPr>
  </w:style>
  <w:style w:type="character" w:customStyle="1" w:styleId="textsmall2">
    <w:name w:val="text_small2"/>
    <w:basedOn w:val="a0"/>
    <w:rsid w:val="00BA6BA1"/>
  </w:style>
  <w:style w:type="character" w:customStyle="1" w:styleId="3Char">
    <w:name w:val="标题 3 Char"/>
    <w:basedOn w:val="a0"/>
    <w:link w:val="3"/>
    <w:uiPriority w:val="9"/>
    <w:semiHidden/>
    <w:rsid w:val="00BA6BA1"/>
    <w:rPr>
      <w:rFonts w:ascii="Times New Roman" w:eastAsia="楷体_GB2312" w:hAnsi="Times New Roman" w:cs="Times New Roman"/>
      <w:b/>
      <w:bCs/>
      <w:sz w:val="32"/>
      <w:szCs w:val="32"/>
    </w:rPr>
  </w:style>
  <w:style w:type="paragraph" w:styleId="a7">
    <w:name w:val="Balloon Text"/>
    <w:basedOn w:val="a"/>
    <w:link w:val="Char1"/>
    <w:uiPriority w:val="99"/>
    <w:semiHidden/>
    <w:unhideWhenUsed/>
    <w:rsid w:val="00BA6BA1"/>
    <w:rPr>
      <w:sz w:val="18"/>
      <w:szCs w:val="18"/>
    </w:rPr>
  </w:style>
  <w:style w:type="character" w:customStyle="1" w:styleId="Char1">
    <w:name w:val="批注框文本 Char"/>
    <w:basedOn w:val="a0"/>
    <w:link w:val="a7"/>
    <w:uiPriority w:val="99"/>
    <w:semiHidden/>
    <w:rsid w:val="00BA6BA1"/>
    <w:rPr>
      <w:rFonts w:ascii="Times New Roman" w:eastAsia="楷体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报告图表!$B$29</c:f>
              <c:strCache>
                <c:ptCount val="1"/>
                <c:pt idx="0">
                  <c:v>涨跌</c:v>
                </c:pt>
              </c:strCache>
            </c:strRef>
          </c:tx>
          <c:invertIfNegative val="0"/>
          <c:cat>
            <c:strRef>
              <c:f>报告图表!$A$30:$A$58</c:f>
              <c:strCache>
                <c:ptCount val="29"/>
                <c:pt idx="0">
                  <c:v>计算机</c:v>
                </c:pt>
                <c:pt idx="1">
                  <c:v>传媒</c:v>
                </c:pt>
                <c:pt idx="2">
                  <c:v>国防军工</c:v>
                </c:pt>
                <c:pt idx="3">
                  <c:v>交通运输</c:v>
                </c:pt>
                <c:pt idx="4">
                  <c:v>农林牧渔</c:v>
                </c:pt>
                <c:pt idx="5">
                  <c:v>餐饮旅游</c:v>
                </c:pt>
                <c:pt idx="6">
                  <c:v>非银行金融</c:v>
                </c:pt>
                <c:pt idx="7">
                  <c:v>建筑</c:v>
                </c:pt>
                <c:pt idx="8">
                  <c:v>机械</c:v>
                </c:pt>
                <c:pt idx="9">
                  <c:v>商贸零售</c:v>
                </c:pt>
                <c:pt idx="10">
                  <c:v>电力及公用事业</c:v>
                </c:pt>
                <c:pt idx="11">
                  <c:v>电子元器件</c:v>
                </c:pt>
                <c:pt idx="12">
                  <c:v>纺织服装</c:v>
                </c:pt>
                <c:pt idx="13">
                  <c:v>医药</c:v>
                </c:pt>
                <c:pt idx="14">
                  <c:v>电力设备</c:v>
                </c:pt>
                <c:pt idx="15">
                  <c:v>房地产</c:v>
                </c:pt>
                <c:pt idx="16">
                  <c:v>轻工制造</c:v>
                </c:pt>
                <c:pt idx="17">
                  <c:v>建材</c:v>
                </c:pt>
                <c:pt idx="18">
                  <c:v>基础化工</c:v>
                </c:pt>
                <c:pt idx="19">
                  <c:v>通信</c:v>
                </c:pt>
                <c:pt idx="20">
                  <c:v>综合</c:v>
                </c:pt>
                <c:pt idx="21">
                  <c:v>汽车</c:v>
                </c:pt>
                <c:pt idx="22">
                  <c:v>家电</c:v>
                </c:pt>
                <c:pt idx="23">
                  <c:v>有色金属</c:v>
                </c:pt>
                <c:pt idx="24">
                  <c:v>石油石化</c:v>
                </c:pt>
                <c:pt idx="25">
                  <c:v>钢铁</c:v>
                </c:pt>
                <c:pt idx="26">
                  <c:v>银行</c:v>
                </c:pt>
                <c:pt idx="27">
                  <c:v>食品饮料</c:v>
                </c:pt>
                <c:pt idx="28">
                  <c:v>煤炭</c:v>
                </c:pt>
              </c:strCache>
            </c:strRef>
          </c:cat>
          <c:val>
            <c:numRef>
              <c:f>报告图表!$B$30:$B$58</c:f>
              <c:numCache>
                <c:formatCode>0.00%</c:formatCode>
                <c:ptCount val="29"/>
                <c:pt idx="0">
                  <c:v>-7.9529849640912142E-2</c:v>
                </c:pt>
                <c:pt idx="1">
                  <c:v>-7.1708690635147621E-2</c:v>
                </c:pt>
                <c:pt idx="2">
                  <c:v>-6.3872244231709785E-2</c:v>
                </c:pt>
                <c:pt idx="3">
                  <c:v>-4.8743396599668747E-2</c:v>
                </c:pt>
                <c:pt idx="4">
                  <c:v>-4.4034344091002708E-2</c:v>
                </c:pt>
                <c:pt idx="5">
                  <c:v>-4.1462517815836882E-2</c:v>
                </c:pt>
                <c:pt idx="6">
                  <c:v>-3.5590685874814176E-2</c:v>
                </c:pt>
                <c:pt idx="7">
                  <c:v>-3.5267985721059603E-2</c:v>
                </c:pt>
                <c:pt idx="8">
                  <c:v>-2.6933036609536387E-2</c:v>
                </c:pt>
                <c:pt idx="9">
                  <c:v>-2.5929834412390607E-2</c:v>
                </c:pt>
                <c:pt idx="10">
                  <c:v>-2.5848031965423734E-2</c:v>
                </c:pt>
                <c:pt idx="11">
                  <c:v>-2.4200351593178016E-2</c:v>
                </c:pt>
                <c:pt idx="12">
                  <c:v>-2.3287463551671994E-2</c:v>
                </c:pt>
                <c:pt idx="13">
                  <c:v>-1.5649795807515243E-2</c:v>
                </c:pt>
                <c:pt idx="14">
                  <c:v>-1.4946634948625359E-2</c:v>
                </c:pt>
                <c:pt idx="15">
                  <c:v>-1.3347350203259611E-2</c:v>
                </c:pt>
                <c:pt idx="16">
                  <c:v>-1.2159016671416611E-2</c:v>
                </c:pt>
                <c:pt idx="17">
                  <c:v>-9.1675326331212004E-3</c:v>
                </c:pt>
                <c:pt idx="18">
                  <c:v>-7.8284831073256456E-3</c:v>
                </c:pt>
                <c:pt idx="19">
                  <c:v>-6.2976298343041526E-3</c:v>
                </c:pt>
                <c:pt idx="20">
                  <c:v>-6.2271739010040239E-3</c:v>
                </c:pt>
                <c:pt idx="21">
                  <c:v>-5.8946143987492761E-5</c:v>
                </c:pt>
                <c:pt idx="22">
                  <c:v>8.8621571855096448E-4</c:v>
                </c:pt>
                <c:pt idx="23">
                  <c:v>5.36824967534133E-3</c:v>
                </c:pt>
                <c:pt idx="24">
                  <c:v>8.1033058297816929E-3</c:v>
                </c:pt>
                <c:pt idx="25">
                  <c:v>1.3319214195011808E-2</c:v>
                </c:pt>
                <c:pt idx="26">
                  <c:v>1.3881066293491395E-2</c:v>
                </c:pt>
                <c:pt idx="27">
                  <c:v>1.4597020267317573E-2</c:v>
                </c:pt>
                <c:pt idx="28">
                  <c:v>6.9520501834771764E-2</c:v>
                </c:pt>
              </c:numCache>
            </c:numRef>
          </c:val>
        </c:ser>
        <c:dLbls>
          <c:showLegendKey val="0"/>
          <c:showVal val="0"/>
          <c:showCatName val="0"/>
          <c:showSerName val="0"/>
          <c:showPercent val="0"/>
          <c:showBubbleSize val="0"/>
        </c:dLbls>
        <c:gapWidth val="150"/>
        <c:axId val="236811264"/>
        <c:axId val="343141184"/>
      </c:barChart>
      <c:catAx>
        <c:axId val="236811264"/>
        <c:scaling>
          <c:orientation val="minMax"/>
        </c:scaling>
        <c:delete val="0"/>
        <c:axPos val="l"/>
        <c:majorTickMark val="out"/>
        <c:minorTickMark val="none"/>
        <c:tickLblPos val="low"/>
        <c:txPr>
          <a:bodyPr/>
          <a:lstStyle/>
          <a:p>
            <a:pPr>
              <a:defRPr sz="700"/>
            </a:pPr>
            <a:endParaRPr lang="zh-CN"/>
          </a:p>
        </c:txPr>
        <c:crossAx val="343141184"/>
        <c:crosses val="autoZero"/>
        <c:auto val="1"/>
        <c:lblAlgn val="ctr"/>
        <c:lblOffset val="100"/>
        <c:noMultiLvlLbl val="0"/>
      </c:catAx>
      <c:valAx>
        <c:axId val="343141184"/>
        <c:scaling>
          <c:orientation val="minMax"/>
        </c:scaling>
        <c:delete val="0"/>
        <c:axPos val="b"/>
        <c:majorGridlines/>
        <c:numFmt formatCode="0%" sourceLinked="0"/>
        <c:majorTickMark val="out"/>
        <c:minorTickMark val="none"/>
        <c:tickLblPos val="nextTo"/>
        <c:txPr>
          <a:bodyPr/>
          <a:lstStyle/>
          <a:p>
            <a:pPr>
              <a:defRPr sz="700"/>
            </a:pPr>
            <a:endParaRPr lang="zh-CN"/>
          </a:p>
        </c:txPr>
        <c:crossAx val="23681126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341</TotalTime>
  <Pages>1</Pages>
  <Words>1203</Words>
  <Characters>6860</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俞辰瑶</dc:creator>
  <cp:lastModifiedBy>sangliuyu@hotmail.com</cp:lastModifiedBy>
  <cp:revision>29</cp:revision>
  <dcterms:created xsi:type="dcterms:W3CDTF">2016-04-26T08:21:00Z</dcterms:created>
  <dcterms:modified xsi:type="dcterms:W3CDTF">2016-05-02T18:11:00Z</dcterms:modified>
</cp:coreProperties>
</file>