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21" w:type="dxa"/>
        <w:tblLayout w:type="fixed"/>
        <w:tblLook w:val="0000" w:firstRow="0" w:lastRow="0" w:firstColumn="0" w:lastColumn="0" w:noHBand="0" w:noVBand="0"/>
      </w:tblPr>
      <w:tblGrid>
        <w:gridCol w:w="7621"/>
      </w:tblGrid>
      <w:tr w:rsidR="00BC0BDC" w:rsidRPr="00892126" w:rsidTr="00FA7E9A">
        <w:trPr>
          <w:trHeight w:val="532"/>
        </w:trPr>
        <w:tc>
          <w:tcPr>
            <w:tcW w:w="7621" w:type="dxa"/>
            <w:tcBorders>
              <w:top w:val="single" w:sz="4" w:space="0" w:color="auto"/>
            </w:tcBorders>
            <w:shd w:val="clear" w:color="auto" w:fill="F0EAC6"/>
          </w:tcPr>
          <w:p w:rsidR="00BC0BDC" w:rsidRPr="00C97435" w:rsidRDefault="00BC0BDC" w:rsidP="00FA7E9A">
            <w:pPr>
              <w:rPr>
                <w:rFonts w:ascii="Arial" w:hAnsi="Arial" w:cs="Arial"/>
                <w:b/>
                <w:sz w:val="32"/>
              </w:rPr>
            </w:pPr>
            <w:bookmarkStart w:id="0" w:name="_GoBack"/>
            <w:bookmarkEnd w:id="0"/>
            <w:proofErr w:type="gramStart"/>
            <w:r>
              <w:rPr>
                <w:rFonts w:ascii="Arial" w:hAnsi="Arial" w:cs="Arial"/>
                <w:b/>
                <w:sz w:val="32"/>
              </w:rPr>
              <w:t>凯</w:t>
            </w:r>
            <w:proofErr w:type="gramEnd"/>
            <w:r>
              <w:rPr>
                <w:rFonts w:ascii="Arial" w:hAnsi="Arial" w:cs="Arial"/>
                <w:b/>
                <w:sz w:val="32"/>
              </w:rPr>
              <w:t>石公</w:t>
            </w:r>
            <w:proofErr w:type="gramStart"/>
            <w:r>
              <w:rPr>
                <w:rFonts w:ascii="Arial" w:hAnsi="Arial" w:cs="Arial"/>
                <w:b/>
                <w:sz w:val="32"/>
              </w:rPr>
              <w:t>募基金</w:t>
            </w:r>
            <w:proofErr w:type="gramEnd"/>
            <w:r>
              <w:rPr>
                <w:rFonts w:ascii="Arial" w:hAnsi="Arial" w:cs="Arial" w:hint="eastAsia"/>
                <w:b/>
                <w:sz w:val="32"/>
              </w:rPr>
              <w:t>周</w:t>
            </w:r>
            <w:r w:rsidRPr="00C97435">
              <w:rPr>
                <w:rFonts w:ascii="Arial" w:hAnsi="Arial" w:cs="Arial"/>
                <w:b/>
                <w:sz w:val="32"/>
              </w:rPr>
              <w:t>报</w:t>
            </w:r>
          </w:p>
          <w:p w:rsidR="00BC0BDC" w:rsidRPr="00D17A8C" w:rsidRDefault="00BC0BDC" w:rsidP="00593FEC">
            <w:pPr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894FAD">
              <w:rPr>
                <w:rFonts w:ascii="Arial" w:hAnsi="Arial" w:cs="Arial"/>
                <w:b/>
                <w:sz w:val="32"/>
              </w:rPr>
              <w:t>股</w:t>
            </w:r>
            <w:proofErr w:type="gramStart"/>
            <w:r w:rsidR="00894FAD">
              <w:rPr>
                <w:rFonts w:ascii="Arial" w:hAnsi="Arial" w:cs="Arial"/>
                <w:b/>
                <w:sz w:val="32"/>
              </w:rPr>
              <w:t>债调整</w:t>
            </w:r>
            <w:proofErr w:type="gramEnd"/>
            <w:r w:rsidR="00894FAD">
              <w:rPr>
                <w:rFonts w:ascii="Arial" w:hAnsi="Arial" w:cs="Arial"/>
                <w:b/>
                <w:sz w:val="32"/>
              </w:rPr>
              <w:t>中</w:t>
            </w:r>
            <w:r w:rsidR="00894FAD">
              <w:rPr>
                <w:rFonts w:ascii="Arial" w:hAnsi="Arial" w:cs="Arial" w:hint="eastAsia"/>
                <w:b/>
                <w:sz w:val="32"/>
              </w:rPr>
              <w:t>，</w:t>
            </w:r>
            <w:r w:rsidR="00E44ED5">
              <w:rPr>
                <w:rFonts w:ascii="Arial" w:hAnsi="Arial" w:cs="Arial" w:hint="eastAsia"/>
                <w:b/>
                <w:sz w:val="32"/>
              </w:rPr>
              <w:t>防守</w:t>
            </w:r>
            <w:r w:rsidR="00E44ED5">
              <w:rPr>
                <w:rFonts w:ascii="Arial" w:hAnsi="Arial" w:cs="Arial"/>
                <w:b/>
                <w:sz w:val="32"/>
              </w:rPr>
              <w:t>仍是首</w:t>
            </w:r>
            <w:proofErr w:type="gramStart"/>
            <w:r w:rsidR="00E44ED5">
              <w:rPr>
                <w:rFonts w:ascii="Arial" w:hAnsi="Arial" w:cs="Arial"/>
                <w:b/>
                <w:sz w:val="32"/>
              </w:rPr>
              <w:t>务</w:t>
            </w:r>
            <w:proofErr w:type="gramEnd"/>
          </w:p>
        </w:tc>
      </w:tr>
      <w:tr w:rsidR="00BC0BDC" w:rsidRPr="00C97435" w:rsidTr="00FA7E9A">
        <w:trPr>
          <w:trHeight w:val="11778"/>
        </w:trPr>
        <w:tc>
          <w:tcPr>
            <w:tcW w:w="7621" w:type="dxa"/>
          </w:tcPr>
          <w:p w:rsidR="00BC0BDC" w:rsidRPr="00D917E9" w:rsidRDefault="00BC0BDC" w:rsidP="00FA7E9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楷体_GB2312" w:hAnsi="Arial" w:cs="Arial"/>
                <w:b/>
                <w:color w:val="000000"/>
                <w:sz w:val="22"/>
                <w:szCs w:val="22"/>
              </w:rPr>
            </w:pPr>
            <w:r w:rsidRPr="00D917E9">
              <w:rPr>
                <w:rStyle w:val="textsmall2"/>
                <w:rFonts w:ascii="楷体_GB2312" w:hAnsi="Arial" w:cs="Arial" w:hint="eastAsia"/>
                <w:b/>
                <w:color w:val="000000"/>
                <w:sz w:val="22"/>
                <w:szCs w:val="22"/>
              </w:rPr>
              <w:t>一周资本市场回顾</w:t>
            </w:r>
          </w:p>
          <w:p w:rsidR="00BC0BDC" w:rsidRPr="00AA37BA" w:rsidRDefault="00BC0BDC" w:rsidP="00FA7E9A">
            <w:pPr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AA37BA">
              <w:rPr>
                <w:rStyle w:val="textsmall2"/>
                <w:rFonts w:ascii="Arial" w:hAnsi="Arial" w:cs="Arial"/>
                <w:b/>
                <w:sz w:val="18"/>
                <w:szCs w:val="20"/>
              </w:rPr>
              <w:t>A</w:t>
            </w: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股市场：</w:t>
            </w:r>
            <w:r w:rsidR="004E0E69" w:rsidRPr="00AA37BA">
              <w:rPr>
                <w:rFonts w:ascii="Arial" w:hAnsi="Arial" w:cs="Arial" w:hint="eastAsia"/>
                <w:b/>
                <w:color w:val="000000" w:themeColor="text1"/>
                <w:sz w:val="18"/>
                <w:szCs w:val="20"/>
              </w:rPr>
              <w:t>沪指周中跳水，日均成交量大幅萎缩。</w:t>
            </w:r>
            <w:r w:rsidR="00697F65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上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周上证指数在周一低位震荡周二略收涨的情况下，周三遭遇放量杀跌，一度触及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2905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点，创一个月来新低。尽管银行股护盘，但周四依旧尾盘跳水。同时，全周日均成交量大幅萎缩。全周来看，上证综指跌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3.86%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，沪深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300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跌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2.97%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，中小板指跌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5.71%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、创业板指跌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7.48%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。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29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个中信</w:t>
            </w:r>
            <w:proofErr w:type="gramStart"/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一级行业</w:t>
            </w:r>
            <w:proofErr w:type="gramEnd"/>
            <w:r w:rsidR="00B2020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几乎全部下跌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，其中银行（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0.52%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）、非银行金融（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-2.63%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）、煤炭（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-2.64%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）等行业表现相对较好，计算机（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-10.52%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）、传媒（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-9.42%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）、综合（</w:t>
            </w:r>
            <w:r w:rsidR="004E0E69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-7.67%</w:t>
            </w:r>
            <w:r w:rsidR="004E0E69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）等行业表现垫底。</w:t>
            </w:r>
          </w:p>
          <w:p w:rsidR="00BC0BDC" w:rsidRPr="00AA37BA" w:rsidRDefault="00BC0BDC" w:rsidP="00FA7E9A">
            <w:pPr>
              <w:rPr>
                <w:rStyle w:val="textsmall2"/>
                <w:rFonts w:ascii="Arial" w:hAnsi="Arial" w:cs="Arial"/>
                <w:sz w:val="18"/>
                <w:szCs w:val="20"/>
              </w:rPr>
            </w:pP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国内债市：</w:t>
            </w:r>
            <w:r w:rsidR="003B2663"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资金面趋紧</w:t>
            </w:r>
            <w:r w:rsidR="00026BEB"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、信用风险担忧等使得</w:t>
            </w:r>
            <w:r w:rsidR="003B2663"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债市继续调整。</w:t>
            </w:r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上周</w:t>
            </w:r>
            <w:r w:rsidR="00026BEB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MLF</w:t>
            </w:r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续作难改资金面趋紧，经济数据与金融数据向好也没有带来信用利差的缩窄，债市延续下跌趋势，并且信用违约事件导致的市场风险偏好降低使得信用</w:t>
            </w:r>
            <w:proofErr w:type="gramStart"/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债调整</w:t>
            </w:r>
            <w:proofErr w:type="gramEnd"/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幅度更大。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尽管</w:t>
            </w:r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央行上周公开市场净投放</w:t>
            </w:r>
            <w:r w:rsidR="00026BEB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6800</w:t>
            </w:r>
            <w:r w:rsidR="00026BEB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亿，同时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续作了</w:t>
            </w:r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MLF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对冲掉</w:t>
            </w:r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MLF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到期资金量逾八成，但银行间市场资金价格仍出现上涨态势</w:t>
            </w:r>
            <w:r w:rsidR="00E44ED5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货币利率继续回升。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一级市场方面，招标利率</w:t>
            </w:r>
            <w:r w:rsidR="00E44ED5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继续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走高。二级市场方面，受资金面继续趋紧和市场情绪仍偏谨慎的影响，现券收益率普遍继续上行。全周</w:t>
            </w:r>
            <w:proofErr w:type="gramStart"/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中债总净价</w:t>
            </w:r>
            <w:proofErr w:type="gramEnd"/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指数跌</w:t>
            </w:r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0.51%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，中</w:t>
            </w:r>
            <w:proofErr w:type="gramStart"/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债企业债总</w:t>
            </w:r>
            <w:proofErr w:type="gramEnd"/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净价指数跌</w:t>
            </w:r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0.73%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，中债国债总净价指数跌</w:t>
            </w:r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0.48%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，中</w:t>
            </w:r>
            <w:proofErr w:type="gramStart"/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证转债跌</w:t>
            </w:r>
            <w:proofErr w:type="gramEnd"/>
            <w:r w:rsidR="003B2663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2.27%</w:t>
            </w:r>
            <w:r w:rsidR="003B2663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。</w:t>
            </w:r>
          </w:p>
          <w:p w:rsidR="00BC0BDC" w:rsidRPr="00AA37BA" w:rsidRDefault="00BC0BDC" w:rsidP="00FA7E9A">
            <w:pPr>
              <w:rPr>
                <w:rStyle w:val="textsmall2"/>
                <w:rFonts w:ascii="Arial" w:hAnsi="Arial" w:cs="Arial"/>
                <w:sz w:val="18"/>
                <w:szCs w:val="20"/>
              </w:rPr>
            </w:pP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海外市场：</w:t>
            </w:r>
            <w:r w:rsidR="00CB711D" w:rsidRPr="00AA37BA">
              <w:rPr>
                <w:rFonts w:ascii="Arial" w:hAnsi="Arial" w:cs="Arial" w:hint="eastAsia"/>
                <w:b/>
                <w:color w:val="000000" w:themeColor="text1"/>
                <w:sz w:val="18"/>
                <w:szCs w:val="20"/>
              </w:rPr>
              <w:t>美元小幅上涨，全球股市涨跌不一。</w:t>
            </w:r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受油价上涨、风险资产偏好变化、</w:t>
            </w:r>
            <w:proofErr w:type="gramStart"/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财报公布</w:t>
            </w:r>
            <w:proofErr w:type="gramEnd"/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、欧央行会议等多重影响，全球股市在上周涨跌不一。美国</w:t>
            </w:r>
            <w:proofErr w:type="gramStart"/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初请失业金数据</w:t>
            </w:r>
            <w:proofErr w:type="gramEnd"/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好于预期，虽然领先指标不及预期，但仍然显示出美国经济增速有所加快，美元指数获得支撑，美元指数小幅上涨</w:t>
            </w:r>
            <w:r w:rsidR="00CB711D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0.39</w:t>
            </w:r>
            <w:r w:rsidR="00835FC2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%</w:t>
            </w:r>
            <w:r w:rsidR="00CB711D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。</w:t>
            </w:r>
            <w:r w:rsidR="00211C06" w:rsidRPr="00AA37BA">
              <w:rPr>
                <w:rFonts w:ascii="Arial" w:hAnsi="Arial" w:cs="Arial" w:hint="eastAsia"/>
                <w:b/>
                <w:color w:val="000000" w:themeColor="text1"/>
                <w:sz w:val="18"/>
                <w:szCs w:val="20"/>
              </w:rPr>
              <w:t>金价冲高回落，原油持续走高</w:t>
            </w:r>
            <w:r w:rsidR="00211C06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。尽管</w:t>
            </w:r>
            <w:proofErr w:type="gramStart"/>
            <w:r w:rsidR="00211C06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多哈冻产惨遭</w:t>
            </w:r>
            <w:proofErr w:type="gramEnd"/>
            <w:r w:rsidR="00211C06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“夭折”，但由于科威特石油工人罢工，美国</w:t>
            </w:r>
            <w:r w:rsidR="00211C06" w:rsidRPr="00AA37BA">
              <w:rPr>
                <w:rFonts w:ascii="Arial" w:hAnsi="Arial" w:cs="Arial"/>
                <w:color w:val="000000" w:themeColor="text1"/>
                <w:sz w:val="18"/>
                <w:szCs w:val="20"/>
              </w:rPr>
              <w:t>EIA</w:t>
            </w:r>
            <w:r w:rsidR="00211C06" w:rsidRPr="00AA37BA">
              <w:rPr>
                <w:rFonts w:ascii="Arial" w:hAnsi="Arial" w:cs="Arial" w:hint="eastAsia"/>
                <w:color w:val="000000" w:themeColor="text1"/>
                <w:sz w:val="18"/>
                <w:szCs w:val="20"/>
              </w:rPr>
              <w:t>原油库存增幅不及预期，同时原油产量持续下滑，推动油价持续走高，连续第三周上涨。</w:t>
            </w:r>
          </w:p>
          <w:p w:rsidR="00BC0BDC" w:rsidRPr="00AA37BA" w:rsidRDefault="00BC0BDC" w:rsidP="00FA7E9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2"/>
              </w:rPr>
            </w:pPr>
            <w:r w:rsidRPr="00AA37BA">
              <w:rPr>
                <w:rStyle w:val="textsmall2"/>
                <w:rFonts w:ascii="Arial" w:hAnsi="Arial" w:cs="Arial" w:hint="eastAsia"/>
                <w:b/>
                <w:color w:val="000000"/>
                <w:szCs w:val="22"/>
              </w:rPr>
              <w:t>一周基金表现回顾</w:t>
            </w:r>
          </w:p>
          <w:p w:rsidR="00BC0BDC" w:rsidRPr="00AA37BA" w:rsidRDefault="00BC0BDC" w:rsidP="00FA7E9A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AA37BA">
              <w:rPr>
                <w:rFonts w:ascii="Arial" w:hAnsi="Arial" w:cs="Arial" w:hint="eastAsia"/>
                <w:b/>
                <w:sz w:val="18"/>
                <w:szCs w:val="20"/>
              </w:rPr>
              <w:t>股混基金</w:t>
            </w:r>
            <w:proofErr w:type="gramEnd"/>
            <w:r w:rsidRPr="00AA37BA">
              <w:rPr>
                <w:rFonts w:ascii="Arial" w:hAnsi="Arial" w:cs="Arial" w:hint="eastAsia"/>
                <w:b/>
                <w:sz w:val="18"/>
                <w:szCs w:val="20"/>
              </w:rPr>
              <w:t>业绩：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普通股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基平均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-4.55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，指数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股基平均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-4.10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。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偏股型平均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-4.70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偏债型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产品平均收益为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-0.64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，灵活配置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型平均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-2.29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，平衡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型平均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-3.77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。</w:t>
            </w:r>
          </w:p>
          <w:p w:rsidR="00BC0BDC" w:rsidRPr="00AA37BA" w:rsidRDefault="00BC0BDC" w:rsidP="00FA7E9A">
            <w:pPr>
              <w:rPr>
                <w:rFonts w:ascii="Arial" w:hAnsi="Arial" w:cs="Arial"/>
                <w:sz w:val="18"/>
                <w:szCs w:val="20"/>
              </w:rPr>
            </w:pPr>
            <w:r w:rsidRPr="00AA37BA">
              <w:rPr>
                <w:rFonts w:ascii="Arial" w:hAnsi="Arial" w:cs="Arial" w:hint="eastAsia"/>
                <w:b/>
                <w:sz w:val="18"/>
                <w:szCs w:val="20"/>
              </w:rPr>
              <w:t>固定收益基金：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纯债基金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平均收益为</w:t>
            </w:r>
            <w:r w:rsidRPr="00AA37BA">
              <w:rPr>
                <w:rFonts w:ascii="Arial" w:hAnsi="Arial" w:cs="Arial"/>
                <w:sz w:val="18"/>
                <w:szCs w:val="20"/>
              </w:rPr>
              <w:t>-0.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42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，一级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债基平均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Pr="00AA37BA">
              <w:rPr>
                <w:rFonts w:ascii="Arial" w:hAnsi="Arial" w:cs="Arial"/>
                <w:sz w:val="18"/>
                <w:szCs w:val="20"/>
              </w:rPr>
              <w:t>-0.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48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，二级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债基平均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-1.04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。货币基金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七日年化收益率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均值为</w:t>
            </w:r>
            <w:r w:rsidRPr="00AA37BA">
              <w:rPr>
                <w:rFonts w:ascii="Arial" w:hAnsi="Arial" w:cs="Arial"/>
                <w:sz w:val="18"/>
                <w:szCs w:val="20"/>
              </w:rPr>
              <w:t>2.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51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。</w:t>
            </w:r>
          </w:p>
          <w:p w:rsidR="00BC0BDC" w:rsidRPr="00AA37BA" w:rsidRDefault="00BC0BDC" w:rsidP="00FA7E9A">
            <w:pPr>
              <w:rPr>
                <w:rFonts w:ascii="Arial" w:hAnsi="Arial" w:cs="Arial"/>
                <w:sz w:val="18"/>
                <w:szCs w:val="20"/>
              </w:rPr>
            </w:pPr>
            <w:r w:rsidRPr="00AA37BA">
              <w:rPr>
                <w:rFonts w:ascii="Arial" w:hAnsi="Arial" w:cs="Arial" w:hint="eastAsia"/>
                <w:b/>
                <w:sz w:val="18"/>
              </w:rPr>
              <w:t>商品及对冲基金：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商品基金平均上涨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1.83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，以绝对收益为投资目标的股票多空类产品平均收益为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-0.26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。</w:t>
            </w:r>
          </w:p>
          <w:p w:rsidR="00BC0BDC" w:rsidRPr="00AA37BA" w:rsidRDefault="00BC0BDC" w:rsidP="00FA7E9A">
            <w:pPr>
              <w:rPr>
                <w:rStyle w:val="textsmall2"/>
                <w:rFonts w:ascii="Arial" w:hAnsi="Arial" w:cs="Arial"/>
                <w:sz w:val="18"/>
                <w:szCs w:val="20"/>
              </w:rPr>
            </w:pPr>
            <w:r w:rsidRPr="00AA37BA">
              <w:rPr>
                <w:rStyle w:val="textsmall2"/>
                <w:rFonts w:ascii="Arial" w:hAnsi="Arial" w:cs="Arial"/>
                <w:b/>
                <w:sz w:val="18"/>
                <w:szCs w:val="20"/>
              </w:rPr>
              <w:t>QDII</w:t>
            </w: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基金</w:t>
            </w:r>
            <w:r w:rsidRPr="00AA37BA">
              <w:rPr>
                <w:rStyle w:val="textsmall2"/>
                <w:rFonts w:ascii="Arial" w:hAnsi="Arial" w:cs="Arial"/>
                <w:b/>
                <w:sz w:val="18"/>
                <w:szCs w:val="20"/>
              </w:rPr>
              <w:t>:</w:t>
            </w:r>
            <w:r w:rsidRPr="00AA37BA">
              <w:rPr>
                <w:sz w:val="20"/>
              </w:rPr>
              <w:t xml:space="preserve"> </w:t>
            </w:r>
            <w:r w:rsidRPr="00AA37BA">
              <w:rPr>
                <w:rFonts w:ascii="Arial" w:hAnsi="Arial" w:cs="Arial"/>
                <w:sz w:val="18"/>
                <w:szCs w:val="20"/>
              </w:rPr>
              <w:t xml:space="preserve"> QDII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基金平均收益为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0.13</w:t>
            </w:r>
            <w:r w:rsidRPr="00AA37BA">
              <w:rPr>
                <w:rFonts w:ascii="Arial" w:hAnsi="Arial" w:cs="Arial"/>
                <w:sz w:val="18"/>
                <w:szCs w:val="20"/>
              </w:rPr>
              <w:t>%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，从具体品种来看，资源</w:t>
            </w:r>
            <w:r w:rsidR="00421A7C" w:rsidRPr="00AA37BA">
              <w:rPr>
                <w:rFonts w:ascii="Arial" w:hAnsi="Arial" w:cs="Arial" w:hint="eastAsia"/>
                <w:sz w:val="18"/>
                <w:szCs w:val="20"/>
              </w:rPr>
              <w:t>、德国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30</w:t>
            </w:r>
            <w:r w:rsidR="00421A7C" w:rsidRPr="00AA37BA">
              <w:rPr>
                <w:rFonts w:ascii="Arial" w:hAnsi="Arial" w:cs="Arial" w:hint="eastAsia"/>
                <w:sz w:val="18"/>
                <w:szCs w:val="20"/>
              </w:rPr>
              <w:t>（</w:t>
            </w:r>
            <w:r w:rsidR="00421A7C" w:rsidRPr="00AA37BA">
              <w:rPr>
                <w:rFonts w:ascii="Arial" w:hAnsi="Arial" w:cs="Arial"/>
                <w:sz w:val="18"/>
                <w:szCs w:val="20"/>
              </w:rPr>
              <w:t>DAX</w:t>
            </w:r>
            <w:r w:rsidR="00421A7C" w:rsidRPr="00AA37BA">
              <w:rPr>
                <w:rFonts w:ascii="Arial" w:hAnsi="Arial" w:cs="Arial" w:hint="eastAsia"/>
                <w:sz w:val="18"/>
                <w:szCs w:val="20"/>
              </w:rPr>
              <w:t>）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主题</w:t>
            </w:r>
            <w:r w:rsidRPr="00AA37BA">
              <w:rPr>
                <w:rFonts w:ascii="Arial" w:hAnsi="Arial" w:cs="Arial"/>
                <w:sz w:val="18"/>
                <w:szCs w:val="20"/>
              </w:rPr>
              <w:t>QDII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表现最好，</w:t>
            </w:r>
            <w:r w:rsidR="00421A7C" w:rsidRPr="00AA37BA">
              <w:rPr>
                <w:rFonts w:ascii="Arial" w:hAnsi="Arial" w:cs="Arial" w:hint="eastAsia"/>
                <w:sz w:val="18"/>
                <w:szCs w:val="20"/>
              </w:rPr>
              <w:t>互联网、房地产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主题</w:t>
            </w:r>
            <w:r w:rsidRPr="00AA37BA">
              <w:rPr>
                <w:rFonts w:ascii="Arial" w:hAnsi="Arial" w:cs="Arial"/>
                <w:sz w:val="18"/>
                <w:szCs w:val="20"/>
              </w:rPr>
              <w:t xml:space="preserve"> QDII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表现较差。</w:t>
            </w:r>
          </w:p>
          <w:p w:rsidR="00BC0BDC" w:rsidRPr="00AA37BA" w:rsidRDefault="00BC0BDC" w:rsidP="00FA7E9A">
            <w:pPr>
              <w:pStyle w:val="a6"/>
              <w:numPr>
                <w:ilvl w:val="0"/>
                <w:numId w:val="3"/>
              </w:numPr>
              <w:spacing w:line="300" w:lineRule="auto"/>
              <w:ind w:firstLineChars="0"/>
              <w:rPr>
                <w:rStyle w:val="textsmall2"/>
                <w:rFonts w:ascii="Arial" w:hAnsi="Arial" w:cs="Arial"/>
                <w:b/>
                <w:color w:val="000000"/>
                <w:szCs w:val="22"/>
              </w:rPr>
            </w:pPr>
            <w:r w:rsidRPr="00AA37BA">
              <w:rPr>
                <w:rStyle w:val="textsmall2"/>
                <w:rFonts w:ascii="Arial" w:hAnsi="Arial" w:cs="Arial" w:hint="eastAsia"/>
                <w:b/>
                <w:color w:val="000000"/>
                <w:szCs w:val="22"/>
              </w:rPr>
              <w:t>未来基金投资策略</w:t>
            </w:r>
          </w:p>
          <w:p w:rsidR="00BC0BDC" w:rsidRPr="00AA37BA" w:rsidRDefault="00BC0BDC" w:rsidP="00FA7E9A">
            <w:pPr>
              <w:rPr>
                <w:rFonts w:ascii="Arial" w:hAnsi="Arial" w:cs="Arial"/>
                <w:sz w:val="18"/>
                <w:szCs w:val="20"/>
              </w:rPr>
            </w:pPr>
            <w:proofErr w:type="gramStart"/>
            <w:r w:rsidRPr="00AA37BA">
              <w:rPr>
                <w:rFonts w:ascii="Arial" w:hAnsi="Arial" w:cs="Arial" w:hint="eastAsia"/>
                <w:b/>
                <w:sz w:val="18"/>
                <w:szCs w:val="20"/>
              </w:rPr>
              <w:t>股混基金</w:t>
            </w:r>
            <w:proofErr w:type="gramEnd"/>
            <w:r w:rsidRPr="00AA37BA">
              <w:rPr>
                <w:rFonts w:ascii="Arial" w:hAnsi="Arial" w:cs="Arial" w:hint="eastAsia"/>
                <w:b/>
                <w:sz w:val="18"/>
                <w:szCs w:val="20"/>
              </w:rPr>
              <w:t>投资方面，</w:t>
            </w:r>
            <w:r w:rsidR="00026BEB" w:rsidRPr="00AA37BA">
              <w:rPr>
                <w:rFonts w:ascii="Arial" w:hAnsi="Arial" w:cs="Arial" w:hint="eastAsia"/>
                <w:sz w:val="18"/>
                <w:szCs w:val="20"/>
              </w:rPr>
              <w:t>当前市场又进入到新的相对稳态中，前期的利好因素逐步稳定对市场影响弱化，</w:t>
            </w:r>
            <w:r w:rsidR="00602B42" w:rsidRPr="00602B42">
              <w:rPr>
                <w:rFonts w:ascii="Arial" w:hAnsi="Arial" w:cs="Arial" w:hint="eastAsia"/>
                <w:sz w:val="18"/>
                <w:szCs w:val="20"/>
              </w:rPr>
              <w:t>如经济</w:t>
            </w:r>
            <w:proofErr w:type="gramStart"/>
            <w:r w:rsidR="00602B42" w:rsidRPr="00602B42">
              <w:rPr>
                <w:rFonts w:ascii="Arial" w:hAnsi="Arial" w:cs="Arial" w:hint="eastAsia"/>
                <w:sz w:val="18"/>
                <w:szCs w:val="20"/>
              </w:rPr>
              <w:t>基本面企稳</w:t>
            </w:r>
            <w:proofErr w:type="gramEnd"/>
            <w:r w:rsidR="00602B42" w:rsidRPr="00602B42">
              <w:rPr>
                <w:rFonts w:ascii="Arial" w:hAnsi="Arial" w:cs="Arial" w:hint="eastAsia"/>
                <w:sz w:val="18"/>
                <w:szCs w:val="20"/>
              </w:rPr>
              <w:t>，汇率阶段性持稳，政策面持续稳定，财政政策继续发力等。</w:t>
            </w:r>
            <w:r w:rsidR="00602B42">
              <w:rPr>
                <w:rFonts w:ascii="Arial" w:hAnsi="Arial" w:cs="Arial" w:hint="eastAsia"/>
                <w:sz w:val="18"/>
                <w:szCs w:val="20"/>
              </w:rPr>
              <w:t>但</w:t>
            </w:r>
            <w:r w:rsidR="00026BEB" w:rsidRPr="00AA37BA">
              <w:rPr>
                <w:rFonts w:ascii="Arial" w:hAnsi="Arial" w:cs="Arial" w:hint="eastAsia"/>
                <w:sz w:val="18"/>
                <w:szCs w:val="20"/>
              </w:rPr>
              <w:t>利空因素初步显现，主要是流动性和市场面，流动性方面大资金面目前处于较为紧张状态，叠加违约对流动性的影响，这对市场影响偏利空，股市资金面方面市场重回存量博弈的结构，难以支撑趋势性大涨行情。而市场面方面，经历</w:t>
            </w:r>
            <w:r w:rsidR="00026BEB" w:rsidRPr="00AA37BA">
              <w:rPr>
                <w:rFonts w:ascii="Arial" w:hAnsi="Arial" w:cs="Arial"/>
                <w:sz w:val="18"/>
                <w:szCs w:val="20"/>
              </w:rPr>
              <w:t>3</w:t>
            </w:r>
            <w:r w:rsidR="00026BEB" w:rsidRPr="00AA37BA">
              <w:rPr>
                <w:rFonts w:ascii="Arial" w:hAnsi="Arial" w:cs="Arial" w:hint="eastAsia"/>
                <w:sz w:val="18"/>
                <w:szCs w:val="20"/>
              </w:rPr>
              <w:t>月份以来的反弹，市场面临自发的调整需求。短期我们建议投资者多关注资金面方面的风险情况，但也不必过分悲观，因为如果没有大利空出现市场预期仍以震荡为主，结构性机会将是主基调，建议投资者控制</w:t>
            </w:r>
            <w:proofErr w:type="gramStart"/>
            <w:r w:rsidR="00026BEB" w:rsidRPr="00AA37BA">
              <w:rPr>
                <w:rFonts w:ascii="Arial" w:hAnsi="Arial" w:cs="Arial" w:hint="eastAsia"/>
                <w:sz w:val="18"/>
                <w:szCs w:val="20"/>
              </w:rPr>
              <w:t>仓位</w:t>
            </w:r>
            <w:proofErr w:type="gramEnd"/>
            <w:r w:rsidR="00026BEB" w:rsidRPr="00AA37BA">
              <w:rPr>
                <w:rFonts w:ascii="Arial" w:hAnsi="Arial" w:cs="Arial" w:hint="eastAsia"/>
                <w:sz w:val="18"/>
                <w:szCs w:val="20"/>
              </w:rPr>
              <w:t>把握结构性机会。</w:t>
            </w:r>
            <w:r w:rsidRPr="00AA37BA">
              <w:rPr>
                <w:rFonts w:ascii="Arial" w:hAnsi="Arial" w:cs="Arial" w:hint="eastAsia"/>
                <w:sz w:val="18"/>
                <w:szCs w:val="20"/>
              </w:rPr>
              <w:t>风格配置上建议成长、周期均衡配置为好，价值周期将受益于供给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侧改革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和经济企稳，而成长风格代表的新兴产业依然是未来中国经济的希望所在，同时从今年市场实际表现看，风格切换和轮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动更加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频繁，捕捉难度不断加大不如进行相对均衡的配置。在弱市市场中投资者对业绩的关注</w:t>
            </w:r>
            <w:proofErr w:type="gramStart"/>
            <w:r w:rsidRPr="00AA37BA">
              <w:rPr>
                <w:rFonts w:ascii="Arial" w:hAnsi="Arial" w:cs="Arial" w:hint="eastAsia"/>
                <w:sz w:val="18"/>
                <w:szCs w:val="20"/>
              </w:rPr>
              <w:t>度显著</w:t>
            </w:r>
            <w:proofErr w:type="gramEnd"/>
            <w:r w:rsidRPr="00AA37BA">
              <w:rPr>
                <w:rFonts w:ascii="Arial" w:hAnsi="Arial" w:cs="Arial" w:hint="eastAsia"/>
                <w:sz w:val="18"/>
                <w:szCs w:val="20"/>
              </w:rPr>
              <w:t>提高，投资者可以加配稳健成长风格基金。</w:t>
            </w:r>
          </w:p>
          <w:p w:rsidR="00BC0BDC" w:rsidRPr="00AA37BA" w:rsidRDefault="00BC0BDC" w:rsidP="00FA7E9A">
            <w:pPr>
              <w:rPr>
                <w:rStyle w:val="textsmall2"/>
                <w:rFonts w:ascii="Arial" w:hAnsi="Arial" w:cs="Arial"/>
                <w:sz w:val="18"/>
                <w:szCs w:val="20"/>
              </w:rPr>
            </w:pP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固定收益基金投资方面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，</w:t>
            </w:r>
            <w:r w:rsidR="008107DF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正如我们一直强调的债券市场处于高位，也一直建议投资者谨慎参与，虽然</w:t>
            </w:r>
            <w:r w:rsidR="008107DF" w:rsidRPr="00AA37BA">
              <w:rPr>
                <w:rStyle w:val="textsmall2"/>
                <w:rFonts w:ascii="Arial" w:hAnsi="Arial" w:cs="Arial"/>
                <w:sz w:val="18"/>
                <w:szCs w:val="20"/>
              </w:rPr>
              <w:t>4</w:t>
            </w:r>
            <w:r w:rsidR="008107DF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月以来债市已经出现了较大幅度的调整，但我们强调债市入场时机还未到，投资者继续观望为上。</w:t>
            </w:r>
            <w:r w:rsidR="00835FC2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对于有债券基金刚性配置需求的投资者，当前在</w:t>
            </w:r>
            <w:proofErr w:type="gramStart"/>
            <w:r w:rsidR="00835FC2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债基产品</w:t>
            </w:r>
            <w:proofErr w:type="gramEnd"/>
            <w:r w:rsidR="00835FC2"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上要强调风险控制，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建议投资组合精选久期、杠杆和信用等级，关注参与股票和转债的大类资产配置灵活型品种。</w:t>
            </w:r>
          </w:p>
          <w:p w:rsidR="00BC0BDC" w:rsidRPr="007C4A6B" w:rsidRDefault="00BC0BDC" w:rsidP="00FA7E9A">
            <w:r w:rsidRPr="00AA37BA">
              <w:rPr>
                <w:rStyle w:val="textsmall2"/>
                <w:rFonts w:ascii="Arial" w:hAnsi="Arial" w:cs="Arial"/>
                <w:b/>
                <w:sz w:val="18"/>
                <w:szCs w:val="20"/>
              </w:rPr>
              <w:t>QDII</w:t>
            </w:r>
            <w:r w:rsidRPr="00AA37BA">
              <w:rPr>
                <w:rStyle w:val="textsmall2"/>
                <w:rFonts w:ascii="Arial" w:hAnsi="Arial" w:cs="Arial" w:hint="eastAsia"/>
                <w:b/>
                <w:sz w:val="18"/>
                <w:szCs w:val="20"/>
              </w:rPr>
              <w:t>及商品基金等投资方面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，建议关注黄金</w:t>
            </w:r>
            <w:r w:rsidRPr="00AA37BA">
              <w:rPr>
                <w:rStyle w:val="textsmall2"/>
                <w:rFonts w:ascii="Arial" w:hAnsi="Arial" w:cs="Arial"/>
                <w:sz w:val="18"/>
                <w:szCs w:val="20"/>
              </w:rPr>
              <w:t>QDII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波段机会和大宗商品类</w:t>
            </w:r>
            <w:r w:rsidRPr="00AA37BA">
              <w:rPr>
                <w:rStyle w:val="textsmall2"/>
                <w:rFonts w:ascii="Arial" w:hAnsi="Arial" w:cs="Arial"/>
                <w:sz w:val="18"/>
                <w:szCs w:val="20"/>
              </w:rPr>
              <w:t>QDII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长期布局机会，大宗商品</w:t>
            </w:r>
            <w:r w:rsidRPr="00AA37BA">
              <w:rPr>
                <w:rStyle w:val="textsmall2"/>
                <w:rFonts w:ascii="Arial" w:hAnsi="Arial" w:cs="Arial"/>
                <w:sz w:val="18"/>
                <w:szCs w:val="20"/>
              </w:rPr>
              <w:t>QDII</w:t>
            </w:r>
            <w:r w:rsidRPr="00AA37BA">
              <w:rPr>
                <w:rStyle w:val="textsmall2"/>
                <w:rFonts w:ascii="Arial" w:hAnsi="Arial" w:cs="Arial" w:hint="eastAsia"/>
                <w:sz w:val="18"/>
                <w:szCs w:val="20"/>
              </w:rPr>
              <w:t>配置价值突显。</w:t>
            </w:r>
          </w:p>
        </w:tc>
      </w:tr>
    </w:tbl>
    <w:p w:rsidR="00BC0BDC" w:rsidRPr="00C97435" w:rsidRDefault="00BC0BDC" w:rsidP="00BC0BDC">
      <w:pPr>
        <w:tabs>
          <w:tab w:val="left" w:pos="900"/>
        </w:tabs>
        <w:jc w:val="left"/>
        <w:rPr>
          <w:rFonts w:ascii="Arial" w:hAnsi="Arial" w:cs="Arial"/>
          <w:b/>
        </w:rPr>
        <w:sectPr w:rsidR="00BC0BDC" w:rsidRPr="00C97435" w:rsidSect="00FA7E9A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DC5928" wp14:editId="765523B4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490" w:rsidRPr="004071E8" w:rsidRDefault="00D86490" w:rsidP="00BC0BD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D86490" w:rsidRPr="006D5835" w:rsidTr="00FA7E9A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D86490" w:rsidRPr="006D5835" w:rsidRDefault="00D86490" w:rsidP="00593FE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2016-04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86490" w:rsidRPr="006D5835" w:rsidTr="00FA7E9A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D86490" w:rsidRDefault="00D86490" w:rsidP="00FA7E9A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D86490" w:rsidRPr="00C97435" w:rsidRDefault="00D86490" w:rsidP="00FA7E9A"/>
                                <w:p w:rsidR="00D86490" w:rsidRPr="00F277FE" w:rsidRDefault="00D86490" w:rsidP="00FA7E9A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D86490" w:rsidRPr="00537295" w:rsidRDefault="00D86490" w:rsidP="00FA7E9A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D86490" w:rsidRDefault="00D86490" w:rsidP="00FA7E9A">
                                  <w:pPr>
                                    <w:ind w:firstLineChars="50" w:firstLine="80"/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86490" w:rsidRPr="00812308" w:rsidRDefault="00D86490" w:rsidP="00FA7E9A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俞辰瑶</w:t>
                                  </w:r>
                                </w:p>
                                <w:p w:rsidR="00D86490" w:rsidRPr="00812308" w:rsidRDefault="00D86490" w:rsidP="00FA7E9A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yucy</w:t>
                                  </w:r>
                                  <w:r w:rsidRPr="00812308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@vstone.com.cn</w:t>
                                  </w:r>
                                </w:p>
                                <w:p w:rsidR="00D86490" w:rsidRPr="00F853B7" w:rsidRDefault="00D86490" w:rsidP="00FA7E9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86490" w:rsidRPr="006D5835" w:rsidTr="00FA7E9A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D86490" w:rsidRPr="00C97435" w:rsidRDefault="00D86490" w:rsidP="00FA7E9A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D86490" w:rsidRPr="00C97435" w:rsidRDefault="00D86490" w:rsidP="00FA7E9A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  <w:p w:rsidR="00D86490" w:rsidRPr="007C4597" w:rsidRDefault="00D86490" w:rsidP="00FA7E9A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6490" w:rsidRPr="004071E8" w:rsidRDefault="00D86490" w:rsidP="00BC0BD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D86490" w:rsidRPr="004071E8" w:rsidRDefault="00D86490" w:rsidP="00BC0BD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D86490" w:rsidRPr="006D5835" w:rsidTr="00FA7E9A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D86490" w:rsidRPr="006D5835" w:rsidRDefault="00D86490" w:rsidP="00593FE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2016-04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25</w:t>
                            </w:r>
                          </w:p>
                        </w:tc>
                      </w:tr>
                      <w:tr w:rsidR="00D86490" w:rsidRPr="006D5835" w:rsidTr="00FA7E9A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D86490" w:rsidRDefault="00D86490" w:rsidP="00FA7E9A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D86490" w:rsidRPr="00C97435" w:rsidRDefault="00D86490" w:rsidP="00FA7E9A"/>
                          <w:p w:rsidR="00D86490" w:rsidRPr="00F277FE" w:rsidRDefault="00D86490" w:rsidP="00FA7E9A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D86490" w:rsidRPr="00537295" w:rsidRDefault="00D86490" w:rsidP="00FA7E9A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D86490" w:rsidRDefault="00D86490" w:rsidP="00FA7E9A">
                            <w:pPr>
                              <w:ind w:firstLineChars="50" w:firstLine="80"/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86490" w:rsidRPr="00812308" w:rsidRDefault="00D86490" w:rsidP="00FA7E9A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俞辰瑶</w:t>
                            </w:r>
                          </w:p>
                          <w:p w:rsidR="00D86490" w:rsidRPr="00812308" w:rsidRDefault="00D86490" w:rsidP="00FA7E9A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yucy</w:t>
                            </w:r>
                            <w:r w:rsidRPr="00812308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@vstone.com.cn</w:t>
                            </w:r>
                          </w:p>
                          <w:p w:rsidR="00D86490" w:rsidRPr="00F853B7" w:rsidRDefault="00D86490" w:rsidP="00FA7E9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86490" w:rsidRPr="006D5835" w:rsidTr="00FA7E9A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D86490" w:rsidRPr="00C97435" w:rsidRDefault="00D86490" w:rsidP="00FA7E9A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D86490" w:rsidRPr="00C97435" w:rsidRDefault="00D86490" w:rsidP="00FA7E9A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  <w:p w:rsidR="00D86490" w:rsidRPr="007C4597" w:rsidRDefault="00D86490" w:rsidP="00FA7E9A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D86490" w:rsidRPr="004071E8" w:rsidRDefault="00D86490" w:rsidP="00BC0BD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eastAsia"/>
          <w:b/>
        </w:rPr>
        <w:t>。</w:t>
      </w:r>
    </w:p>
    <w:p w:rsidR="00BC0BDC" w:rsidRPr="00C97435" w:rsidRDefault="00BC0BDC" w:rsidP="00BC0BDC">
      <w:pPr>
        <w:pStyle w:val="a6"/>
        <w:numPr>
          <w:ilvl w:val="0"/>
          <w:numId w:val="1"/>
        </w:numPr>
        <w:ind w:firstLineChars="0"/>
        <w:rPr>
          <w:rFonts w:ascii="Arial" w:hAnsi="Arial" w:cs="Arial"/>
          <w:b/>
          <w:color w:val="996600"/>
          <w:sz w:val="32"/>
          <w:szCs w:val="28"/>
        </w:rPr>
      </w:pPr>
      <w:bookmarkStart w:id="1" w:name="_Toc431285223"/>
      <w:r w:rsidRPr="00C97435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0" wp14:anchorId="3B4797DE" wp14:editId="4499F3A5">
                <wp:simplePos x="0" y="0"/>
                <wp:positionH relativeFrom="page">
                  <wp:posOffset>327804</wp:posOffset>
                </wp:positionH>
                <wp:positionV relativeFrom="paragraph">
                  <wp:posOffset>31295</wp:posOffset>
                </wp:positionV>
                <wp:extent cx="2441051" cy="8816196"/>
                <wp:effectExtent l="0" t="0" r="0" b="444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88161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53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42"/>
                              <w:gridCol w:w="986"/>
                              <w:gridCol w:w="1134"/>
                            </w:tblGrid>
                            <w:tr w:rsidR="00D86490" w:rsidRPr="00A64D32" w:rsidTr="00FA7E9A">
                              <w:trPr>
                                <w:trHeight w:val="417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国内市场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C519A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18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上证综指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2959.24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-3.86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沪深300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3174.90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-2.97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中小板指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6611.61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-5.71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创业板指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2136.92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-7.48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F211B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中债总净价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118.70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-0.51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中</w:t>
                                  </w:r>
                                  <w:proofErr w:type="gramStart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债企业债总</w:t>
                                  </w:r>
                                  <w:proofErr w:type="gramEnd"/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5"/>
                                      <w:szCs w:val="15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91.88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-0.73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3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D86490" w:rsidRPr="003F211B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中债国债</w:t>
                                  </w:r>
                                  <w:r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总</w:t>
                                  </w:r>
                                  <w:r w:rsidRPr="003F211B">
                                    <w:rPr>
                                      <w:rStyle w:val="textsmall2"/>
                                      <w:rFonts w:ascii="楷体" w:eastAsia="楷体" w:hAnsi="楷体" w:cs="Arial" w:hint="eastAsia"/>
                                      <w:sz w:val="16"/>
                                      <w:szCs w:val="16"/>
                                    </w:rPr>
                                    <w:t>净价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120.26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-0.48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海外市场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C519A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18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纳斯达克100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4540.80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-1.52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标普</w:t>
                                  </w:r>
                                  <w:proofErr w:type="gramEnd"/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2091.48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0.52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道琼斯工业指数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17982.52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0.59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恒生指数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21622.25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0.71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日经225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17363.62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4.30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359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泛欧斯托克600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349.59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1.65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435"/>
                              </w:trPr>
                              <w:tc>
                                <w:tcPr>
                                  <w:tcW w:w="127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2262" w:type="dxa"/>
                                  <w:gridSpan w:val="3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Pr="00A64D32" w:rsidRDefault="00D86490" w:rsidP="00C519AE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18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color w:val="000000"/>
                                      <w:kern w:val="0"/>
                                      <w:sz w:val="18"/>
                                      <w:szCs w:val="16"/>
                                      <w:lang w:val="en-GB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指数名称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收盘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Pr="003175BA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区间涨幅</w:t>
                                  </w:r>
                                  <w:proofErr w:type="gramEnd"/>
                                  <w:r w:rsidRPr="003175BA">
                                    <w:rPr>
                                      <w:rFonts w:ascii="楷体" w:eastAsia="楷体" w:hAnsi="楷体" w:cs="宋体" w:hint="eastAsia"/>
                                      <w:b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 xml:space="preserve"> %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美元指数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95.08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0.39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人民币指数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120.52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0.04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85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COMEX黄金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1233.70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D9D9D9" w:fill="D9D9D9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-0.16</w:t>
                                  </w:r>
                                </w:p>
                              </w:tc>
                            </w:tr>
                            <w:tr w:rsidR="00D86490" w:rsidRPr="00A64D32" w:rsidTr="00FA7E9A">
                              <w:trPr>
                                <w:trHeight w:val="270"/>
                              </w:trPr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top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A64D32">
                                    <w:rPr>
                                      <w:rFonts w:ascii="楷体" w:eastAsia="楷体" w:hAnsi="楷体" w:cs="宋体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NYMEX原油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43.75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D86490" w:rsidRDefault="00D86490">
                                  <w:pPr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8.29</w:t>
                                  </w:r>
                                </w:p>
                              </w:tc>
                            </w:tr>
                          </w:tbl>
                          <w:p w:rsidR="00D86490" w:rsidRPr="00AD43BA" w:rsidRDefault="00D86490" w:rsidP="00BC0BDC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  <w:tbl>
                            <w:tblPr>
                              <w:tblW w:w="3494" w:type="dxa"/>
                              <w:jc w:val="center"/>
                              <w:tblInd w:w="-10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8" w:space="0" w:color="000000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94"/>
                            </w:tblGrid>
                            <w:tr w:rsidR="00D86490" w:rsidRPr="00A64D32" w:rsidTr="00FA7E9A"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F79646" w:fill="F79646"/>
                                  <w:vAlign w:val="center"/>
                                  <w:hideMark/>
                                </w:tcPr>
                                <w:p w:rsidR="00D86490" w:rsidRDefault="00D86490" w:rsidP="00057E5D">
                                  <w:pPr>
                                    <w:jc w:val="center"/>
                                  </w:pPr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中信</w:t>
                                  </w:r>
                                  <w:proofErr w:type="gramStart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一级行业</w:t>
                                  </w:r>
                                  <w:proofErr w:type="gramEnd"/>
                                  <w:r w:rsidRPr="00DD0B1C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涨跌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-2016.0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1147F2">
                                    <w:rPr>
                                      <w:rFonts w:ascii="Arial" w:cs="Arial"/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86490" w:rsidRPr="00A64D32" w:rsidTr="00057E5D">
                              <w:trPr>
                                <w:trHeight w:val="2474"/>
                                <w:jc w:val="center"/>
                              </w:trPr>
                              <w:tc>
                                <w:tcPr>
                                  <w:tcW w:w="3494" w:type="dxa"/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86490" w:rsidRPr="00A64D32" w:rsidRDefault="00D86490" w:rsidP="00FA7E9A">
                                  <w:pPr>
                                    <w:widowControl/>
                                    <w:jc w:val="center"/>
                                    <w:rPr>
                                      <w:rFonts w:ascii="楷体" w:eastAsia="楷体" w:hAnsi="楷体" w:cs="宋体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768501A" wp14:editId="37D5BE0D">
                                        <wp:extent cx="2035834" cy="3510950"/>
                                        <wp:effectExtent l="0" t="0" r="21590" b="13335"/>
                                        <wp:docPr id="14" name="图表 1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chart">
                                            <c:chart xmlns:c="http://schemas.openxmlformats.org/drawingml/2006/chart" xmlns:r="http://schemas.openxmlformats.org/officeDocument/2006/relationships" r:id="rId11"/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D86490" w:rsidRPr="00BC1770" w:rsidRDefault="00D86490" w:rsidP="00BC0BDC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27" type="#_x0000_t202" style="position:absolute;left:0;text-align:left;margin-left:25.8pt;margin-top:2.45pt;width:192.2pt;height:694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" o:allowoverlap="f" stroked="f">
                <v:textbox>
                  <w:txbxContent>
                    <w:tbl>
                      <w:tblPr>
                        <w:tblW w:w="353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42"/>
                        <w:gridCol w:w="986"/>
                        <w:gridCol w:w="1134"/>
                      </w:tblGrid>
                      <w:tr w:rsidR="00D86490" w:rsidRPr="00A64D32" w:rsidTr="00FA7E9A">
                        <w:trPr>
                          <w:trHeight w:val="417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国内市场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C519A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18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24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FFFFFF" w:themeFill="background1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上证综指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2959.24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-3.86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沪深300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3174.90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-2.97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中小板指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6611.61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-5.71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创业板指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2136.92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-7.48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F211B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中债总净价</w:t>
                            </w:r>
                            <w:proofErr w:type="gramEnd"/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118.70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-0.51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中</w:t>
                            </w:r>
                            <w:proofErr w:type="gramStart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债企业债总</w:t>
                            </w:r>
                            <w:proofErr w:type="gramEnd"/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5"/>
                                <w:szCs w:val="15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91.88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-0.73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3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D86490" w:rsidRPr="003F211B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中债国债</w:t>
                            </w:r>
                            <w:r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总</w:t>
                            </w:r>
                            <w:r w:rsidRPr="003F211B">
                              <w:rPr>
                                <w:rStyle w:val="textsmall2"/>
                                <w:rFonts w:ascii="楷体" w:eastAsia="楷体" w:hAnsi="楷体" w:cs="Arial" w:hint="eastAsia"/>
                                <w:sz w:val="16"/>
                                <w:szCs w:val="16"/>
                              </w:rPr>
                              <w:t>净价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120.26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-0.48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海外市场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C519A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18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24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纳斯达克100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4540.80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-1.52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标普</w:t>
                            </w:r>
                            <w:proofErr w:type="gramEnd"/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2091.48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0.52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道琼斯工业指数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17982.52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0.59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恒生指数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21622.25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0.71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日经225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17363.62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4.30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359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泛欧斯托克600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349.59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1.65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435"/>
                        </w:trPr>
                        <w:tc>
                          <w:tcPr>
                            <w:tcW w:w="127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2262" w:type="dxa"/>
                            <w:gridSpan w:val="3"/>
                            <w:tcBorders>
                              <w:top w:val="single" w:sz="8" w:space="0" w:color="auto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Pr="00A64D32" w:rsidRDefault="00D86490" w:rsidP="00C519AE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18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-2016.0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4</w:t>
                            </w:r>
                            <w:r w:rsidRPr="001147F2"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6"/>
                                <w:lang w:val="en-GB"/>
                              </w:rPr>
                              <w:t>24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指数名称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收盘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Pr="003175BA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区间涨幅</w:t>
                            </w:r>
                            <w:proofErr w:type="gramEnd"/>
                            <w:r w:rsidRPr="003175BA">
                              <w:rPr>
                                <w:rFonts w:ascii="楷体" w:eastAsia="楷体" w:hAnsi="楷体" w:cs="宋体" w:hint="eastAsia"/>
                                <w:b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%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美元指数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95.08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0.39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人民币指数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120.52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0.04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85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COMEX黄金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1233.70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D9D9D9" w:fill="D9D9D9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-0.16</w:t>
                            </w:r>
                          </w:p>
                        </w:tc>
                      </w:tr>
                      <w:tr w:rsidR="00D86490" w:rsidRPr="00A64D32" w:rsidTr="00FA7E9A">
                        <w:trPr>
                          <w:trHeight w:val="270"/>
                        </w:trPr>
                        <w:tc>
                          <w:tcPr>
                            <w:tcW w:w="1418" w:type="dxa"/>
                            <w:gridSpan w:val="2"/>
                            <w:tcBorders>
                              <w:top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64D32">
                              <w:rPr>
                                <w:rFonts w:ascii="楷体" w:eastAsia="楷体" w:hAnsi="楷体" w:cs="宋体" w:hint="eastAsia"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NYMEX原油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43.75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:rsidR="00D86490" w:rsidRDefault="00D86490">
                            <w:pPr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楷体" w:eastAsia="楷体" w:hAnsi="楷体" w:hint="eastAsia"/>
                                <w:color w:val="000000"/>
                                <w:sz w:val="16"/>
                                <w:szCs w:val="16"/>
                              </w:rPr>
                              <w:t>8.29</w:t>
                            </w:r>
                          </w:p>
                        </w:tc>
                      </w:tr>
                    </w:tbl>
                    <w:p w:rsidR="00D86490" w:rsidRPr="00AD43BA" w:rsidRDefault="00D86490" w:rsidP="00BC0BDC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  <w:tbl>
                      <w:tblPr>
                        <w:tblW w:w="3494" w:type="dxa"/>
                        <w:jc w:val="center"/>
                        <w:tblInd w:w="-10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94"/>
                      </w:tblGrid>
                      <w:tr w:rsidR="00D86490" w:rsidRPr="00A64D32" w:rsidTr="00FA7E9A">
                        <w:trPr>
                          <w:trHeight w:val="435"/>
                          <w:jc w:val="center"/>
                        </w:trPr>
                        <w:tc>
                          <w:tcPr>
                            <w:tcW w:w="3494" w:type="dxa"/>
                            <w:tcBorders>
                              <w:left w:val="nil"/>
                              <w:right w:val="nil"/>
                            </w:tcBorders>
                            <w:shd w:val="clear" w:color="F79646" w:fill="F79646"/>
                            <w:vAlign w:val="center"/>
                            <w:hideMark/>
                          </w:tcPr>
                          <w:p w:rsidR="00D86490" w:rsidRDefault="00D86490" w:rsidP="00057E5D">
                            <w:pPr>
                              <w:jc w:val="center"/>
                            </w:pPr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中信</w:t>
                            </w:r>
                            <w:proofErr w:type="gramStart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一级行业</w:t>
                            </w:r>
                            <w:proofErr w:type="gramEnd"/>
                            <w:r w:rsidRPr="00DD0B1C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涨跌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18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-2016.0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4</w:t>
                            </w:r>
                            <w:r w:rsidRPr="001147F2">
                              <w:rPr>
                                <w:rFonts w:asci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c>
                      </w:tr>
                      <w:tr w:rsidR="00D86490" w:rsidRPr="00A64D32" w:rsidTr="00057E5D">
                        <w:trPr>
                          <w:trHeight w:val="2474"/>
                          <w:jc w:val="center"/>
                        </w:trPr>
                        <w:tc>
                          <w:tcPr>
                            <w:tcW w:w="3494" w:type="dxa"/>
                            <w:shd w:val="clear" w:color="auto" w:fill="auto"/>
                            <w:vAlign w:val="center"/>
                            <w:hideMark/>
                          </w:tcPr>
                          <w:p w:rsidR="00D86490" w:rsidRPr="00A64D32" w:rsidRDefault="00D86490" w:rsidP="00FA7E9A">
                            <w:pPr>
                              <w:widowControl/>
                              <w:jc w:val="center"/>
                              <w:rPr>
                                <w:rFonts w:ascii="楷体" w:eastAsia="楷体" w:hAnsi="楷体" w:cs="宋体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68501A" wp14:editId="37D5BE0D">
                                  <wp:extent cx="2035834" cy="3510950"/>
                                  <wp:effectExtent l="0" t="0" r="21590" b="13335"/>
                                  <wp:docPr id="14" name="图表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1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D86490" w:rsidRPr="00BC1770" w:rsidRDefault="00D86490" w:rsidP="00BC0BDC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97435">
        <w:rPr>
          <w:rFonts w:ascii="Arial" w:hAnsi="Arial" w:cs="Arial"/>
          <w:b/>
          <w:color w:val="996600"/>
          <w:sz w:val="32"/>
          <w:szCs w:val="28"/>
        </w:rPr>
        <w:t>一周资本市场回顾</w:t>
      </w:r>
      <w:bookmarkEnd w:id="1"/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A</w: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股市场</w:t>
      </w:r>
    </w:p>
    <w:p w:rsidR="00BC0BDC" w:rsidRPr="00F32B67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沪指</w:t>
      </w:r>
      <w:r w:rsidR="00865466">
        <w:rPr>
          <w:rFonts w:ascii="Arial" w:eastAsia="楷体_GB2312" w:hAnsi="Arial" w:cs="Arial" w:hint="eastAsia"/>
          <w:b/>
          <w:color w:val="auto"/>
          <w:sz w:val="20"/>
          <w:szCs w:val="20"/>
        </w:rPr>
        <w:t>周中跳水</w:t>
      </w:r>
      <w:r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，</w:t>
      </w:r>
      <w:r w:rsidR="00865466">
        <w:rPr>
          <w:rFonts w:ascii="Arial" w:eastAsia="楷体_GB2312" w:hAnsi="Arial" w:cs="Arial" w:hint="eastAsia"/>
          <w:b/>
          <w:color w:val="auto"/>
          <w:sz w:val="20"/>
          <w:szCs w:val="20"/>
        </w:rPr>
        <w:t>日均成交量大幅萎缩</w:t>
      </w:r>
      <w:r w:rsidRPr="00F32B67">
        <w:rPr>
          <w:rFonts w:ascii="Arial" w:eastAsia="楷体_GB2312" w:hAnsi="Arial" w:cs="Arial" w:hint="eastAsia"/>
          <w:b/>
          <w:color w:val="auto"/>
          <w:sz w:val="20"/>
          <w:szCs w:val="20"/>
        </w:rPr>
        <w:t>。</w:t>
      </w:r>
      <w:r w:rsidR="00697F65">
        <w:rPr>
          <w:rFonts w:ascii="Arial" w:eastAsia="楷体_GB2312" w:hAnsi="Arial" w:cs="Arial" w:hint="eastAsia"/>
          <w:color w:val="auto"/>
          <w:sz w:val="20"/>
          <w:szCs w:val="20"/>
        </w:rPr>
        <w:t>上</w:t>
      </w:r>
      <w:r w:rsidR="00865466">
        <w:rPr>
          <w:rFonts w:ascii="Arial" w:eastAsia="楷体_GB2312" w:hAnsi="Arial" w:cs="Arial" w:hint="eastAsia"/>
          <w:color w:val="auto"/>
          <w:sz w:val="20"/>
          <w:szCs w:val="20"/>
        </w:rPr>
        <w:t>周上证指数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在周一低位震荡周二略收涨的情况下，周三遭遇放量杀跌，一度触及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2905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点，创一个月来新低。尽管银行股护盘，但周四依旧尾盘跳水。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同时，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全周日均成交量除周三外均大幅萎缩。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截至周四，沪深两市两融余额合计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8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764</w:t>
      </w:r>
      <w:r w:rsidRPr="00F32B67">
        <w:rPr>
          <w:rFonts w:ascii="Arial" w:eastAsia="楷体_GB2312" w:hAnsi="Arial" w:cs="Arial" w:hint="eastAsia"/>
          <w:color w:val="auto"/>
          <w:sz w:val="20"/>
          <w:szCs w:val="20"/>
        </w:rPr>
        <w:t>亿元，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不足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8800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894FAD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创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 w:rsidR="004E0E69">
        <w:rPr>
          <w:rFonts w:ascii="Arial" w:eastAsia="楷体_GB2312" w:hAnsi="Arial" w:cs="Arial" w:hint="eastAsia"/>
          <w:color w:val="auto"/>
          <w:sz w:val="20"/>
          <w:szCs w:val="20"/>
        </w:rPr>
        <w:t>日以来</w:t>
      </w:r>
      <w:r w:rsidR="004E0E69" w:rsidRPr="004E0E69">
        <w:rPr>
          <w:rFonts w:ascii="Arial" w:eastAsia="楷体_GB2312" w:hAnsi="Arial" w:cs="Arial" w:hint="eastAsia"/>
          <w:color w:val="auto"/>
          <w:sz w:val="20"/>
          <w:szCs w:val="20"/>
        </w:rPr>
        <w:t>低点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。上周全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部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A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股的日成交金额均值为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5649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亿，环比下降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13.9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。全周来看，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上证综指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3.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86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，沪深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300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2.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97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，中小板指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5.71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、创业板指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7.48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。从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概念板块来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看，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稀土永磁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指数（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1.76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北部湾区自贸区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指数（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-1.74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次新股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指数（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-1.86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表现较好。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29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个中信</w:t>
      </w:r>
      <w:proofErr w:type="gramStart"/>
      <w:r w:rsidRPr="004E0E69">
        <w:rPr>
          <w:rFonts w:ascii="Arial" w:eastAsia="楷体_GB2312" w:hAnsi="Arial" w:cs="Arial"/>
          <w:color w:val="auto"/>
          <w:sz w:val="20"/>
          <w:szCs w:val="20"/>
        </w:rPr>
        <w:t>一级行业</w:t>
      </w:r>
      <w:proofErr w:type="gramEnd"/>
      <w:r w:rsidR="001C1A6C">
        <w:rPr>
          <w:rFonts w:ascii="Arial" w:eastAsia="楷体_GB2312" w:hAnsi="Arial" w:cs="Arial" w:hint="eastAsia"/>
          <w:color w:val="auto"/>
          <w:sz w:val="20"/>
          <w:szCs w:val="20"/>
        </w:rPr>
        <w:t>几乎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 w:rsidR="001C1A6C">
        <w:rPr>
          <w:rFonts w:ascii="Arial" w:eastAsia="楷体_GB2312" w:hAnsi="Arial" w:cs="Arial" w:hint="eastAsia"/>
          <w:color w:val="auto"/>
          <w:sz w:val="20"/>
          <w:szCs w:val="20"/>
        </w:rPr>
        <w:t>下跌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，其中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银行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0.52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非银行金融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-2.63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煤炭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-2.64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）等行业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="00627151" w:rsidRPr="004E0E69">
        <w:rPr>
          <w:rFonts w:ascii="Arial" w:eastAsia="楷体_GB2312" w:hAnsi="Arial" w:cs="Arial"/>
          <w:color w:val="auto"/>
          <w:sz w:val="20"/>
          <w:szCs w:val="20"/>
        </w:rPr>
        <w:t>相对较好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计算机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-10.52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传媒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-9.42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综合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-7.67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）等行业</w:t>
      </w:r>
      <w:r w:rsidR="00627151" w:rsidRPr="004E0E69"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Pr="004E0E69">
        <w:rPr>
          <w:rFonts w:ascii="Arial" w:eastAsia="楷体_GB2312" w:hAnsi="Arial" w:cs="Arial" w:hint="eastAsia"/>
          <w:color w:val="auto"/>
          <w:sz w:val="20"/>
          <w:szCs w:val="20"/>
        </w:rPr>
        <w:t>垫底</w:t>
      </w:r>
      <w:r w:rsidRPr="004E0E69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国内债券市场</w:t>
      </w:r>
    </w:p>
    <w:p w:rsidR="00BC0BDC" w:rsidRPr="00630DF1" w:rsidRDefault="009F7456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r w:rsidRPr="003B2663">
        <w:rPr>
          <w:rFonts w:ascii="Arial" w:eastAsia="楷体_GB2312" w:hAnsi="Arial" w:cs="Arial" w:hint="eastAsia"/>
          <w:b/>
          <w:color w:val="auto"/>
          <w:sz w:val="20"/>
          <w:szCs w:val="20"/>
        </w:rPr>
        <w:t>资金面趋紧</w:t>
      </w:r>
      <w:r w:rsidR="001C1A6C">
        <w:rPr>
          <w:rFonts w:ascii="Arial" w:eastAsia="楷体_GB2312" w:hAnsi="Arial" w:cs="Arial" w:hint="eastAsia"/>
          <w:b/>
          <w:color w:val="auto"/>
          <w:sz w:val="20"/>
          <w:szCs w:val="20"/>
        </w:rPr>
        <w:t>、信用风险担忧等使得</w:t>
      </w:r>
      <w:r w:rsidR="005F622B" w:rsidRPr="003B2663">
        <w:rPr>
          <w:rFonts w:ascii="Arial" w:eastAsia="楷体_GB2312" w:hAnsi="Arial" w:cs="Arial" w:hint="eastAsia"/>
          <w:b/>
          <w:color w:val="auto"/>
          <w:sz w:val="20"/>
          <w:szCs w:val="20"/>
        </w:rPr>
        <w:t>债市继续调整</w:t>
      </w:r>
      <w:r w:rsidR="00BC0BDC" w:rsidRPr="003B2663">
        <w:rPr>
          <w:rFonts w:ascii="Arial" w:eastAsia="楷体_GB2312" w:hAnsi="Arial" w:cs="Arial"/>
          <w:b/>
          <w:color w:val="000000" w:themeColor="text1"/>
          <w:sz w:val="20"/>
          <w:szCs w:val="20"/>
        </w:rPr>
        <w:t>。</w:t>
      </w:r>
      <w:r w:rsidR="001C1A6C" w:rsidRPr="00AA37BA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上周</w:t>
      </w:r>
      <w:r w:rsidR="001C5CB5" w:rsidRPr="00AA37BA">
        <w:rPr>
          <w:rFonts w:ascii="Arial" w:eastAsia="楷体_GB2312" w:hAnsi="Arial" w:cs="Arial"/>
          <w:color w:val="000000" w:themeColor="text1"/>
          <w:sz w:val="20"/>
          <w:szCs w:val="20"/>
        </w:rPr>
        <w:t>MLF</w:t>
      </w:r>
      <w:r w:rsidR="001C5CB5" w:rsidRPr="00AA37BA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续作难改资金</w:t>
      </w:r>
      <w:r w:rsidR="00026BEB">
        <w:rPr>
          <w:rFonts w:ascii="Arial" w:eastAsia="楷体_GB2312" w:hAnsi="Arial" w:cs="Arial" w:hint="eastAsia"/>
          <w:color w:val="000000" w:themeColor="text1"/>
          <w:sz w:val="20"/>
          <w:szCs w:val="20"/>
        </w:rPr>
        <w:t>面</w:t>
      </w:r>
      <w:r w:rsidR="001C5CB5" w:rsidRPr="00AA37BA">
        <w:rPr>
          <w:rFonts w:ascii="Arial" w:eastAsia="楷体_GB2312" w:hAnsi="Arial" w:cs="Arial" w:hint="eastAsia"/>
          <w:color w:val="000000" w:themeColor="text1"/>
          <w:sz w:val="20"/>
          <w:szCs w:val="20"/>
        </w:rPr>
        <w:t>趋紧，</w:t>
      </w:r>
      <w:r w:rsidR="001C5CB5" w:rsidRPr="003B2663">
        <w:rPr>
          <w:rFonts w:ascii="Arial" w:eastAsia="楷体_GB2312" w:hAnsi="Arial" w:cs="Arial" w:hint="eastAsia"/>
          <w:color w:val="auto"/>
          <w:sz w:val="20"/>
          <w:szCs w:val="20"/>
        </w:rPr>
        <w:t>经济数据与金融数据向好</w:t>
      </w:r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也</w:t>
      </w:r>
      <w:r w:rsidR="001C5CB5" w:rsidRPr="003B2663">
        <w:rPr>
          <w:rFonts w:ascii="Arial" w:eastAsia="楷体_GB2312" w:hAnsi="Arial" w:cs="Arial" w:hint="eastAsia"/>
          <w:color w:val="auto"/>
          <w:sz w:val="20"/>
          <w:szCs w:val="20"/>
        </w:rPr>
        <w:t>没有带来信用利差的缩窄，</w:t>
      </w:r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债市延续下跌趋势，并且</w:t>
      </w:r>
      <w:r w:rsidR="001C5CB5" w:rsidRPr="003B2663">
        <w:rPr>
          <w:rFonts w:ascii="Arial" w:eastAsia="楷体_GB2312" w:hAnsi="Arial" w:cs="Arial" w:hint="eastAsia"/>
          <w:color w:val="auto"/>
          <w:sz w:val="20"/>
          <w:szCs w:val="20"/>
        </w:rPr>
        <w:t>信用违约事件导致的市场风险偏好降低</w:t>
      </w:r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使得信用</w:t>
      </w:r>
      <w:proofErr w:type="gramStart"/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债调整</w:t>
      </w:r>
      <w:proofErr w:type="gramEnd"/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幅度更大。具体来看，资金面方面虽然</w:t>
      </w:r>
      <w:r w:rsidR="00BC0BDC" w:rsidRPr="003B2663">
        <w:rPr>
          <w:rFonts w:ascii="Arial" w:eastAsia="楷体_GB2312" w:hAnsi="Arial" w:cs="Arial" w:hint="eastAsia"/>
          <w:color w:val="auto"/>
          <w:sz w:val="20"/>
          <w:szCs w:val="20"/>
        </w:rPr>
        <w:t>央行上周公开市场净投放</w:t>
      </w:r>
      <w:r w:rsidR="00F56A36" w:rsidRPr="003B2663">
        <w:rPr>
          <w:rFonts w:ascii="Arial" w:eastAsia="楷体_GB2312" w:hAnsi="Arial" w:cs="Arial" w:hint="eastAsia"/>
          <w:color w:val="auto"/>
          <w:sz w:val="20"/>
          <w:szCs w:val="20"/>
        </w:rPr>
        <w:t>6800</w:t>
      </w:r>
      <w:r w:rsidR="00BC0BDC" w:rsidRPr="003B2663">
        <w:rPr>
          <w:rFonts w:ascii="Arial" w:eastAsia="楷体_GB2312" w:hAnsi="Arial" w:cs="Arial" w:hint="eastAsia"/>
          <w:color w:val="auto"/>
          <w:sz w:val="20"/>
          <w:szCs w:val="20"/>
        </w:rPr>
        <w:t>亿</w:t>
      </w:r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同时</w:t>
      </w:r>
      <w:r w:rsidR="001C5CB5">
        <w:rPr>
          <w:rFonts w:ascii="Arial" w:eastAsia="楷体_GB2312" w:hAnsi="Arial" w:cs="Arial" w:hint="eastAsia"/>
          <w:color w:val="auto"/>
          <w:sz w:val="20"/>
          <w:szCs w:val="20"/>
        </w:rPr>
        <w:t>在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13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日和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18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日均续作了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，这两天的操作已对冲掉本周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MLF</w:t>
      </w:r>
      <w:r w:rsidRPr="003B2663">
        <w:rPr>
          <w:rFonts w:ascii="Arial" w:eastAsia="楷体_GB2312" w:hAnsi="Arial" w:cs="Arial" w:hint="eastAsia"/>
          <w:color w:val="auto"/>
          <w:sz w:val="20"/>
          <w:szCs w:val="20"/>
        </w:rPr>
        <w:t>到期资金量的逾八成，但银行间市场资金价格仍出现上涨态势，</w:t>
      </w:r>
      <w:r w:rsidR="00D86490">
        <w:rPr>
          <w:rFonts w:ascii="Arial" w:eastAsia="楷体_GB2312" w:hAnsi="Arial" w:cs="Arial" w:hint="eastAsia"/>
          <w:color w:val="auto"/>
          <w:sz w:val="20"/>
          <w:szCs w:val="20"/>
        </w:rPr>
        <w:t>货币利率继续回升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。短端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天逆回购招标利率仍维持在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2.25%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不变。银行间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7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天回购利率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R007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6bp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2.51%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，隔夜回购利率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R001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较前周上升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5bp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至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2.07%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F622B" w:rsidRPr="003B2663">
        <w:rPr>
          <w:rFonts w:ascii="Arial" w:eastAsia="楷体_GB2312" w:hAnsi="Arial" w:cs="Arial" w:hint="eastAsia"/>
          <w:color w:val="auto"/>
          <w:sz w:val="20"/>
          <w:szCs w:val="20"/>
        </w:rPr>
        <w:t>一级市场方面，</w:t>
      </w:r>
      <w:r w:rsidR="00E44ED5">
        <w:rPr>
          <w:rFonts w:ascii="Arial" w:eastAsia="楷体_GB2312" w:hAnsi="Arial" w:cs="Arial" w:hint="eastAsia"/>
          <w:color w:val="auto"/>
          <w:sz w:val="20"/>
          <w:szCs w:val="20"/>
        </w:rPr>
        <w:t>上周利率债</w:t>
      </w:r>
      <w:proofErr w:type="gramStart"/>
      <w:r w:rsidR="00E44ED5">
        <w:rPr>
          <w:rFonts w:ascii="Arial" w:eastAsia="楷体_GB2312" w:hAnsi="Arial" w:cs="Arial" w:hint="eastAsia"/>
          <w:color w:val="auto"/>
          <w:sz w:val="20"/>
          <w:szCs w:val="20"/>
        </w:rPr>
        <w:t>供给仍</w:t>
      </w:r>
      <w:proofErr w:type="gramEnd"/>
      <w:r w:rsidR="00E44ED5">
        <w:rPr>
          <w:rFonts w:ascii="Arial" w:eastAsia="楷体_GB2312" w:hAnsi="Arial" w:cs="Arial" w:hint="eastAsia"/>
          <w:color w:val="auto"/>
          <w:sz w:val="20"/>
          <w:szCs w:val="20"/>
        </w:rPr>
        <w:t>多，叠加信用违约、营改增、资金面趋紧等因素影响，招标利率大幅上升</w:t>
      </w:r>
      <w:r w:rsidR="003B2663" w:rsidRPr="003B2663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5F622B" w:rsidRPr="003B2663">
        <w:rPr>
          <w:rFonts w:ascii="Arial" w:eastAsia="楷体_GB2312" w:hAnsi="Arial" w:cs="Arial" w:hint="eastAsia"/>
          <w:color w:val="auto"/>
          <w:sz w:val="20"/>
          <w:szCs w:val="20"/>
        </w:rPr>
        <w:t>二级市场方面，受资金面继续趋紧和市场情绪仍偏谨慎的影响，现券收益率普遍继续上行。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全周</w:t>
      </w:r>
      <w:proofErr w:type="gramStart"/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中债总净价</w:t>
      </w:r>
      <w:proofErr w:type="gramEnd"/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指数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51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债企业债总</w:t>
      </w:r>
      <w:proofErr w:type="gramEnd"/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净价指数跌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0.73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，中债国债总净价指数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0.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48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，中</w:t>
      </w:r>
      <w:proofErr w:type="gramStart"/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证转债</w:t>
      </w:r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跌</w:t>
      </w:r>
      <w:proofErr w:type="gramEnd"/>
      <w:r w:rsidR="00D86490" w:rsidRPr="003B2663">
        <w:rPr>
          <w:rFonts w:ascii="Arial" w:eastAsia="楷体_GB2312" w:hAnsi="Arial" w:cs="Arial" w:hint="eastAsia"/>
          <w:color w:val="auto"/>
          <w:sz w:val="20"/>
          <w:szCs w:val="20"/>
        </w:rPr>
        <w:t>2.27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D86490" w:rsidRPr="003B2663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海外市场</w:t>
      </w:r>
    </w:p>
    <w:p w:rsidR="00BC0BDC" w:rsidRPr="00E762E6" w:rsidRDefault="00CB711D" w:rsidP="00057E5D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美元小幅上涨</w:t>
      </w:r>
      <w:r w:rsidR="00BC0BDC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，全球股市</w:t>
      </w:r>
      <w:r w:rsidR="00FB14D9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涨跌不一</w:t>
      </w:r>
      <w:r w:rsidR="00BC0BDC" w:rsidRPr="00E762E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受油价上涨、风险资产偏好变化、</w:t>
      </w:r>
      <w:proofErr w:type="gramStart"/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财报公布</w:t>
      </w:r>
      <w:proofErr w:type="gramEnd"/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、欧央行会议等多重影响，全球股市在上周涨跌不一。</w:t>
      </w:r>
      <w:r w:rsidR="00697F65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美国</w:t>
      </w:r>
      <w:proofErr w:type="gramStart"/>
      <w:r w:rsidR="00697F65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初请失业金数据</w:t>
      </w:r>
      <w:proofErr w:type="gramEnd"/>
      <w:r w:rsidR="00697F65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好于预期，虽然</w:t>
      </w:r>
      <w:r w:rsidR="00894FAD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一些</w:t>
      </w:r>
      <w:r w:rsidR="00697F65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领先指标不及预期，但仍然显示出美国经济增速有所加快，美元指数获得支撑，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美元指数小幅上涨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0.39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全周来看，美国市场，标普、道指上周分别累计上涨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0.52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0.59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proofErr w:type="gramStart"/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纳指下跌</w:t>
      </w:r>
      <w:proofErr w:type="gramEnd"/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1.52%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；欧洲市场，德国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DAX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指数、法国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CAC40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指数、英国富时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100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指数上周涨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跌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幅分别为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3.20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1.66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、</w:t>
      </w:r>
      <w:r w:rsidR="00354F69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-0.53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%</w:t>
      </w:r>
      <w:r w:rsidR="00BC0BDC" w:rsidRP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</w:p>
    <w:p w:rsidR="00BC0BDC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000000" w:themeColor="text1"/>
          <w:sz w:val="20"/>
          <w:szCs w:val="20"/>
        </w:rPr>
      </w:pP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金价</w:t>
      </w:r>
      <w:r w:rsidR="00211C0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冲高回落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，原油</w:t>
      </w:r>
      <w:r w:rsidR="003807BD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持续走高</w:t>
      </w:r>
      <w:r w:rsidRPr="00E762E6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金价</w:t>
      </w:r>
      <w:r w:rsid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在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</w:t>
      </w:r>
      <w:r w:rsid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周前三个交易日上涨后，</w:t>
      </w:r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周四</w:t>
      </w:r>
      <w:r w:rsid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由于</w:t>
      </w:r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欧洲</w:t>
      </w:r>
      <w:proofErr w:type="gramStart"/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央行决议</w:t>
      </w:r>
      <w:proofErr w:type="gramEnd"/>
      <w:r w:rsid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上欧洲央行行长德拉基</w:t>
      </w:r>
      <w:r w:rsidR="00894FAD">
        <w:rPr>
          <w:rFonts w:ascii="Arial" w:eastAsia="楷体_GB2312" w:hAnsi="Arial" w:cs="Arial" w:hint="eastAsia"/>
          <w:color w:val="000000" w:themeColor="text1"/>
          <w:sz w:val="20"/>
          <w:szCs w:val="20"/>
        </w:rPr>
        <w:t>的</w:t>
      </w:r>
      <w:r w:rsid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言</w:t>
      </w:r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论，欧元尽数收回当日涨幅，美元出现探底回升，打压黄金和白银价格。同时，美国</w:t>
      </w:r>
      <w:proofErr w:type="gramStart"/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初请失业金数据</w:t>
      </w:r>
      <w:proofErr w:type="gramEnd"/>
      <w:r w:rsidR="00211C06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好于预期，虽然领先指标不及预期，但仍然显示出美国经济增速有所加快，美元指数获得支撑，打压黄金和白银走势</w:t>
      </w:r>
      <w:r w:rsidR="00697F65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因</w:t>
      </w:r>
      <w:proofErr w:type="gramStart"/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多哈冻产惨遭</w:t>
      </w:r>
      <w:proofErr w:type="gramEnd"/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“夭折”，</w:t>
      </w:r>
      <w:proofErr w:type="gramStart"/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周一美</w:t>
      </w:r>
      <w:proofErr w:type="gramEnd"/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油布油开盘重挫逾</w:t>
      </w:r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6%</w:t>
      </w:r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。但由于科威特石油工人罢工，美国</w:t>
      </w:r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EIA</w:t>
      </w:r>
      <w:r w:rsidR="003807BD" w:rsidRPr="00211C0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原油库存增幅不及预期，同时原油产量持续下滑，推动油价持续走高，连续第三周上涨。</w:t>
      </w:r>
    </w:p>
    <w:p w:rsidR="00BC0BDC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p w:rsidR="00BC0BDC" w:rsidRPr="00E762E6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margin" w:tblpY="180"/>
        <w:tblW w:w="3701" w:type="dxa"/>
        <w:tblLook w:val="04A0" w:firstRow="1" w:lastRow="0" w:firstColumn="1" w:lastColumn="0" w:noHBand="0" w:noVBand="1"/>
      </w:tblPr>
      <w:tblGrid>
        <w:gridCol w:w="2283"/>
        <w:gridCol w:w="1418"/>
      </w:tblGrid>
      <w:tr w:rsidR="00BC0BDC" w:rsidRPr="00666174" w:rsidTr="00FA7E9A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国内经济重要数据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3月CPI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同比上涨2.3%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3月PPI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同比下降4.3%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3月出口（按美元计）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同比增长11.5%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2F627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3月M2货币供应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  <w:t>同比增长</w:t>
            </w: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13.4%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DC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A43770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3月新增人民币贷款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0BDC" w:rsidRDefault="00BC0BDC" w:rsidP="00FA7E9A">
            <w:pPr>
              <w:jc w:val="center"/>
              <w:rPr>
                <w:rFonts w:ascii="楷体" w:eastAsia="楷体" w:hAnsi="楷体" w:cs="宋体"/>
                <w:color w:val="000000" w:themeColor="text1"/>
                <w:sz w:val="16"/>
                <w:szCs w:val="16"/>
              </w:rPr>
            </w:pPr>
            <w:r w:rsidRPr="00A43770">
              <w:rPr>
                <w:rFonts w:ascii="楷体" w:eastAsia="楷体" w:hAnsi="楷体" w:cs="宋体" w:hint="eastAsia"/>
                <w:color w:val="000000" w:themeColor="text1"/>
                <w:sz w:val="16"/>
                <w:szCs w:val="16"/>
              </w:rPr>
              <w:t>13700亿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 w:rsidRPr="002F6279"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一季度GDP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楷体" w:eastAsia="楷体" w:hAnsi="楷体" w:cs="宋体" w:hint="eastAsia"/>
                <w:color w:val="000000" w:themeColor="text1"/>
                <w:kern w:val="0"/>
                <w:sz w:val="16"/>
                <w:szCs w:val="16"/>
              </w:rPr>
              <w:t>6.7%</w:t>
            </w:r>
          </w:p>
        </w:tc>
      </w:tr>
      <w:tr w:rsidR="00BC0BDC" w:rsidRPr="00666174" w:rsidTr="00FA7E9A">
        <w:trPr>
          <w:trHeight w:val="270"/>
        </w:trPr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79646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海外经济重要数据</w:t>
            </w:r>
          </w:p>
        </w:tc>
      </w:tr>
      <w:tr w:rsidR="00BC0BDC" w:rsidRPr="00666174" w:rsidTr="00FA7E9A">
        <w:trPr>
          <w:trHeight w:val="30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项目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vAlign w:val="center"/>
            <w:hideMark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66174">
              <w:rPr>
                <w:rFonts w:ascii="楷体" w:eastAsia="楷体" w:hAnsi="楷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数据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 w:rsidRPr="00666174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新屋开工率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FA7E9A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环比-8.8%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BC0BDC" w:rsidP="00BC0BD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 w:rsidRPr="00666174"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：3月成屋</w:t>
            </w:r>
            <w:proofErr w:type="gramStart"/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销售</w:t>
            </w:r>
            <w:r w:rsidR="001A7B03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年化月率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1A7B03" w:rsidP="00FA7E9A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上升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5.1%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BC0BDC" w:rsidP="00BC0BD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美国：</w:t>
            </w:r>
            <w:r w:rsidR="001A7B03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3月营建许可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0BDC" w:rsidRPr="00666174" w:rsidRDefault="001A7B03" w:rsidP="00FA7E9A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108.6万</w:t>
            </w:r>
          </w:p>
        </w:tc>
      </w:tr>
      <w:tr w:rsidR="00BC0BDC" w:rsidRPr="00666174" w:rsidTr="00FA7E9A">
        <w:trPr>
          <w:trHeight w:val="270"/>
        </w:trPr>
        <w:tc>
          <w:tcPr>
            <w:tcW w:w="228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3807BD" w:rsidP="00BC0BDC">
            <w:pPr>
              <w:widowControl/>
              <w:jc w:val="left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/>
                <w:color w:val="000000" w:themeColor="text1"/>
                <w:sz w:val="16"/>
                <w:szCs w:val="16"/>
              </w:rPr>
              <w:t>美国</w:t>
            </w: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：</w:t>
            </w:r>
            <w:r w:rsidR="00211C06">
              <w:rPr>
                <w:rFonts w:hint="eastAsia"/>
              </w:rPr>
              <w:t xml:space="preserve"> </w:t>
            </w:r>
            <w:r w:rsidR="00211C06" w:rsidRPr="00211C06"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4月制造业PMI初值</w:t>
            </w:r>
            <w:r w:rsidR="00BC0BDC" w:rsidRPr="00452D7C">
              <w:rPr>
                <w:rFonts w:ascii="Arial" w:hAnsi="Arial" w:cs="Arial"/>
                <w:b/>
                <w:bCs/>
                <w:noProof/>
                <w:color w:val="002060"/>
                <w:kern w:val="0"/>
                <w:sz w:val="24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A185C7" wp14:editId="39960A0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130810</wp:posOffset>
                      </wp:positionV>
                      <wp:extent cx="2154555" cy="214630"/>
                      <wp:effectExtent l="0" t="0" r="0" b="0"/>
                      <wp:wrapNone/>
                      <wp:docPr id="1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4555" cy="2146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86490" w:rsidRPr="00B33891" w:rsidRDefault="00D86490" w:rsidP="00BC0BDC">
                                  <w:pPr>
                                    <w:rPr>
                                      <w:rFonts w:ascii="楷体" w:eastAsia="楷体" w:hAnsi="楷体" w:cs="宋体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数据来源：</w:t>
                                  </w:r>
                                  <w:proofErr w:type="gramStart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凯</w:t>
                                  </w:r>
                                  <w:proofErr w:type="gramEnd"/>
                                  <w:r w:rsidRPr="00B33891">
                                    <w:rPr>
                                      <w:rFonts w:ascii="楷体" w:eastAsia="楷体" w:hAnsi="楷体" w:cs="宋体" w:hint="eastAsia"/>
                                      <w:b/>
                                      <w:bCs/>
                                      <w:kern w:val="0"/>
                                      <w:sz w:val="16"/>
                                      <w:szCs w:val="16"/>
                                      <w:lang w:val="en-GB"/>
                                    </w:rPr>
                                    <w:t>石、WIND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-6.15pt;margin-top:10.3pt;width:169.65pt;height:1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" filled="f" stroked="f">
                      <v:textbox>
                        <w:txbxContent>
                          <w:p w:rsidR="00D86490" w:rsidRPr="00B33891" w:rsidRDefault="00D86490" w:rsidP="00BC0BDC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 w:rsidRPr="00B33891"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BC0BDC" w:rsidRPr="00666174" w:rsidRDefault="00211C06" w:rsidP="00FA7E9A">
            <w:pPr>
              <w:widowControl/>
              <w:jc w:val="center"/>
              <w:rPr>
                <w:rFonts w:ascii="楷体" w:eastAsia="楷体" w:hAnsi="楷体"/>
                <w:color w:val="000000" w:themeColor="text1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 w:themeColor="text1"/>
                <w:sz w:val="16"/>
                <w:szCs w:val="16"/>
              </w:rPr>
              <w:t>50.8</w:t>
            </w:r>
          </w:p>
        </w:tc>
      </w:tr>
    </w:tbl>
    <w:p w:rsidR="00BC0BDC" w:rsidRPr="00C97435" w:rsidRDefault="00BC0BDC" w:rsidP="00BC0BDC">
      <w:pPr>
        <w:pStyle w:val="a6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一周基金表现回顾</w:t>
      </w:r>
      <w:r w:rsidRPr="00C97435">
        <w:rPr>
          <w:rFonts w:ascii="Arial" w:hAnsi="Arial" w:cs="Arial"/>
          <w:b/>
          <w:color w:val="996600"/>
          <w:sz w:val="32"/>
          <w:szCs w:val="28"/>
        </w:rPr>
        <w:t xml:space="preserve"> </w:t>
      </w:r>
    </w:p>
    <w:p w:rsidR="00BC0BDC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股票基金</w:t>
      </w:r>
    </w:p>
    <w:p w:rsidR="00BC0BDC" w:rsidRPr="002D6DED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上周股票基金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-4.22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。具体来看，普通股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-4.55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所有</w:t>
      </w:r>
      <w:r>
        <w:rPr>
          <w:rFonts w:ascii="Arial" w:eastAsia="楷体_GB2312" w:hAnsi="Arial" w:cs="Arial"/>
          <w:color w:val="auto"/>
          <w:sz w:val="20"/>
          <w:szCs w:val="20"/>
        </w:rPr>
        <w:t>产品</w:t>
      </w:r>
      <w:r w:rsidR="00682C16">
        <w:rPr>
          <w:rFonts w:ascii="Arial" w:eastAsia="楷体_GB2312" w:hAnsi="Arial" w:cs="Arial"/>
          <w:color w:val="auto"/>
          <w:sz w:val="20"/>
          <w:szCs w:val="20"/>
        </w:rPr>
        <w:t>均</w:t>
      </w:r>
      <w:r>
        <w:rPr>
          <w:rFonts w:ascii="Arial" w:eastAsia="楷体_GB2312" w:hAnsi="Arial" w:cs="Arial"/>
          <w:color w:val="auto"/>
          <w:sz w:val="20"/>
          <w:szCs w:val="20"/>
        </w:rPr>
        <w:t>为负收益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银战略</w:t>
      </w:r>
      <w:proofErr w:type="gramEnd"/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新兴产业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-0.10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股基平均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-4.10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仅有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="00682C16">
        <w:rPr>
          <w:rFonts w:ascii="Arial" w:eastAsia="楷体_GB2312" w:hAnsi="Arial" w:cs="Arial"/>
          <w:color w:val="auto"/>
          <w:sz w:val="20"/>
          <w:szCs w:val="20"/>
        </w:rPr>
        <w:t>产品</w:t>
      </w:r>
      <w:r>
        <w:rPr>
          <w:rFonts w:ascii="Arial" w:eastAsia="楷体_GB2312" w:hAnsi="Arial" w:cs="Arial"/>
          <w:color w:val="auto"/>
          <w:sz w:val="20"/>
          <w:szCs w:val="20"/>
        </w:rPr>
        <w:t>上涨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（占比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2%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EB3D52">
        <w:rPr>
          <w:rFonts w:ascii="Arial" w:eastAsia="楷体_GB2312" w:hAnsi="Arial" w:cs="Arial" w:hint="eastAsia"/>
          <w:color w:val="auto"/>
          <w:sz w:val="20"/>
          <w:szCs w:val="20"/>
        </w:rPr>
        <w:t>方正富邦中</w:t>
      </w:r>
      <w:proofErr w:type="gramStart"/>
      <w:r w:rsidR="00EB3D52">
        <w:rPr>
          <w:rFonts w:ascii="Arial" w:eastAsia="楷体_GB2312" w:hAnsi="Arial" w:cs="Arial" w:hint="eastAsia"/>
          <w:color w:val="auto"/>
          <w:sz w:val="20"/>
          <w:szCs w:val="20"/>
        </w:rPr>
        <w:t>证保险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EB3D52">
        <w:rPr>
          <w:rFonts w:ascii="Arial" w:eastAsia="楷体_GB2312" w:hAnsi="Arial" w:cs="Arial" w:hint="eastAsia"/>
          <w:color w:val="auto"/>
          <w:sz w:val="20"/>
          <w:szCs w:val="20"/>
        </w:rPr>
        <w:t>0.75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C0BDC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从投资范围来看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银行保险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新兴产业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主题基金表现较好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收益居</w:t>
      </w:r>
      <w:proofErr w:type="gramEnd"/>
      <w:r>
        <w:rPr>
          <w:rFonts w:ascii="Arial" w:eastAsia="楷体_GB2312" w:hAnsi="Arial" w:cs="Arial"/>
          <w:color w:val="auto"/>
          <w:sz w:val="20"/>
          <w:szCs w:val="20"/>
        </w:rPr>
        <w:t>前的基金有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方正富邦中证保险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0.75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富国中证银行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0.57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易方达银行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0.44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）、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银战略</w:t>
      </w:r>
      <w:proofErr w:type="gramEnd"/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新兴产业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-0.10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）、富国新兴产业（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-0.52%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等。</w:t>
      </w:r>
    </w:p>
    <w:p w:rsidR="00BC0BDC" w:rsidRPr="00EA3DC4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C97435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混合基金</w:t>
      </w:r>
    </w:p>
    <w:p w:rsidR="00BC0BDC" w:rsidRPr="002D6DED" w:rsidRDefault="00BC0BDC" w:rsidP="00BC0BDC">
      <w:pPr>
        <w:pStyle w:val="a5"/>
        <w:spacing w:afterLines="100" w:after="240" w:line="260" w:lineRule="exact"/>
        <w:ind w:leftChars="1822" w:left="3826" w:rightChars="-34" w:right="-71" w:firstLineChars="200" w:firstLine="400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混合基金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表现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好</w:t>
      </w:r>
      <w:r>
        <w:rPr>
          <w:rFonts w:ascii="Arial" w:eastAsia="楷体_GB2312" w:hAnsi="Arial" w:cs="Arial"/>
          <w:color w:val="auto"/>
          <w:sz w:val="20"/>
          <w:szCs w:val="20"/>
        </w:rPr>
        <w:t>于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股票基金，</w:t>
      </w:r>
      <w:r>
        <w:rPr>
          <w:rFonts w:ascii="Arial" w:eastAsia="楷体_GB2312" w:hAnsi="Arial" w:cs="Arial"/>
          <w:color w:val="auto"/>
          <w:sz w:val="20"/>
          <w:szCs w:val="20"/>
        </w:rPr>
        <w:t>其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-2.92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-4.70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产品平均收益为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-0.64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，灵活配置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-2.29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，平衡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型平均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-3.77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tbl>
      <w:tblPr>
        <w:tblpPr w:leftFromText="180" w:rightFromText="180" w:vertAnchor="text" w:horzAnchor="margin" w:tblpY="150"/>
        <w:tblW w:w="368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9"/>
        <w:gridCol w:w="992"/>
        <w:gridCol w:w="992"/>
      </w:tblGrid>
      <w:tr w:rsidR="00BC0BDC" w:rsidRPr="00282400" w:rsidTr="00FA7E9A">
        <w:trPr>
          <w:trHeight w:val="415"/>
        </w:trPr>
        <w:tc>
          <w:tcPr>
            <w:tcW w:w="3686" w:type="dxa"/>
            <w:gridSpan w:val="4"/>
            <w:shd w:val="clear" w:color="000000" w:fill="F79646"/>
            <w:vAlign w:val="center"/>
            <w:hideMark/>
          </w:tcPr>
          <w:p w:rsidR="00BC0BDC" w:rsidRPr="00282400" w:rsidRDefault="00BC0BDC" w:rsidP="00FA7E9A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公</w:t>
            </w:r>
            <w:proofErr w:type="gramStart"/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募基金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区间</w:t>
            </w:r>
            <w:r w:rsidRPr="00282400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收益%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6AB0" w:rsidRP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1F6AB0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-4.22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普通股基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-4.55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指数股基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-4.10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6AB0" w:rsidRP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1F6AB0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-2.92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混合偏股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-4.70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混合偏债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-0.64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混合灵活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-2.29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混合平衡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-3.77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债券基金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6AB0" w:rsidRP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1F6AB0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纯债基金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-0.42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一级债基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-0.48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二级债基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-1.04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F6AB0" w:rsidRPr="001F6AB0" w:rsidRDefault="001F6AB0" w:rsidP="00FA7E9A">
            <w:pPr>
              <w:widowControl/>
              <w:jc w:val="center"/>
              <w:rPr>
                <w:rStyle w:val="textsmall2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指数债基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-0.67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商品基金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1F6AB0" w:rsidRP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1F6AB0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股票多空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-0.26</w:t>
            </w:r>
          </w:p>
        </w:tc>
      </w:tr>
      <w:tr w:rsidR="00BC0BDC" w:rsidRPr="00282400" w:rsidTr="00FA7E9A">
        <w:trPr>
          <w:trHeight w:val="270"/>
        </w:trPr>
        <w:tc>
          <w:tcPr>
            <w:tcW w:w="1702" w:type="dxa"/>
            <w:gridSpan w:val="2"/>
            <w:vMerge w:val="restart"/>
            <w:shd w:val="clear" w:color="auto" w:fill="auto"/>
            <w:vAlign w:val="center"/>
            <w:hideMark/>
          </w:tcPr>
          <w:p w:rsidR="00BC0BDC" w:rsidRPr="007E41EC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货币基金</w:t>
            </w:r>
          </w:p>
          <w:p w:rsidR="00BC0BDC" w:rsidRPr="00AE4A7A" w:rsidRDefault="00BC0BDC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3"/>
                <w:szCs w:val="13"/>
              </w:rPr>
            </w:pPr>
            <w:proofErr w:type="gramStart"/>
            <w:r w:rsidRPr="00AE4A7A">
              <w:rPr>
                <w:rFonts w:ascii="楷体" w:eastAsia="楷体" w:hAnsi="楷体" w:cs="宋体" w:hint="eastAsia"/>
                <w:color w:val="000000"/>
                <w:kern w:val="0"/>
                <w:sz w:val="13"/>
                <w:szCs w:val="13"/>
              </w:rPr>
              <w:t>七日年化收益率</w:t>
            </w:r>
            <w:proofErr w:type="gramEnd"/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  <w:hideMark/>
          </w:tcPr>
          <w:p w:rsidR="00BC0BDC" w:rsidRPr="008151BA" w:rsidRDefault="00BC0BDC" w:rsidP="001F6AB0">
            <w:pPr>
              <w:jc w:val="center"/>
              <w:rPr>
                <w:rFonts w:ascii="楷体" w:eastAsia="楷体" w:hAnsi="楷体"/>
                <w:color w:val="000000"/>
                <w:sz w:val="15"/>
                <w:szCs w:val="15"/>
              </w:rPr>
            </w:pP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>2.</w:t>
            </w:r>
            <w:r w:rsidR="001F6AB0">
              <w:rPr>
                <w:rFonts w:ascii="楷体" w:eastAsia="楷体" w:hAnsi="楷体" w:hint="eastAsia"/>
                <w:color w:val="000000"/>
                <w:sz w:val="15"/>
                <w:szCs w:val="15"/>
              </w:rPr>
              <w:t>51</w:t>
            </w:r>
            <w:r w:rsidRPr="001147F2">
              <w:rPr>
                <w:rFonts w:ascii="楷体" w:eastAsia="楷体" w:hAnsi="楷体"/>
                <w:color w:val="000000"/>
                <w:sz w:val="15"/>
                <w:szCs w:val="15"/>
              </w:rPr>
              <w:tab/>
            </w:r>
          </w:p>
        </w:tc>
      </w:tr>
      <w:tr w:rsidR="00BC0BDC" w:rsidRPr="00282400" w:rsidTr="00FA7E9A">
        <w:trPr>
          <w:trHeight w:val="285"/>
        </w:trPr>
        <w:tc>
          <w:tcPr>
            <w:tcW w:w="1702" w:type="dxa"/>
            <w:gridSpan w:val="2"/>
            <w:vMerge/>
            <w:vAlign w:val="center"/>
            <w:hideMark/>
          </w:tcPr>
          <w:p w:rsidR="00BC0BDC" w:rsidRPr="00282400" w:rsidRDefault="00BC0BDC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BC0BDC" w:rsidRPr="00282400" w:rsidRDefault="00BC0BDC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F6AB0" w:rsidRPr="001F6AB0" w:rsidRDefault="001F6AB0" w:rsidP="00FA7E9A">
            <w:pPr>
              <w:jc w:val="center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F6AB0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股基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0.30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QDII混合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-0.17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</w:t>
            </w:r>
            <w:proofErr w:type="gramStart"/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债基</w:t>
            </w:r>
            <w:proofErr w:type="gramEnd"/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-0.21</w:t>
            </w:r>
          </w:p>
        </w:tc>
      </w:tr>
      <w:tr w:rsidR="001F6AB0" w:rsidRPr="00282400" w:rsidTr="00FA7E9A">
        <w:trPr>
          <w:trHeight w:val="285"/>
        </w:trPr>
        <w:tc>
          <w:tcPr>
            <w:tcW w:w="993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6AB0" w:rsidRPr="00282400" w:rsidRDefault="001F6AB0" w:rsidP="00FA7E9A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Pr="00282400" w:rsidRDefault="001F6AB0" w:rsidP="00FA7E9A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6"/>
                <w:szCs w:val="16"/>
              </w:rPr>
            </w:pPr>
            <w:r w:rsidRPr="00282400">
              <w:rPr>
                <w:rFonts w:ascii="楷体" w:eastAsia="楷体" w:hAnsi="楷体" w:cs="宋体" w:hint="eastAsia"/>
                <w:color w:val="000000"/>
                <w:kern w:val="0"/>
                <w:sz w:val="16"/>
                <w:szCs w:val="16"/>
              </w:rPr>
              <w:t>QDII另类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AB0" w:rsidRDefault="001F6AB0">
            <w:pPr>
              <w:jc w:val="center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0.12</w:t>
            </w:r>
          </w:p>
        </w:tc>
      </w:tr>
    </w:tbl>
    <w:p w:rsidR="00BC0BDC" w:rsidRPr="002D6DED" w:rsidRDefault="00BC0BDC" w:rsidP="00BC0BDC">
      <w:pPr>
        <w:pStyle w:val="a5"/>
        <w:spacing w:beforeLines="100" w:before="240" w:afterLines="100" w:after="240" w:line="260" w:lineRule="exact"/>
        <w:ind w:leftChars="0" w:left="0" w:rightChars="-34" w:right="-71" w:firstLineChars="300" w:firstLine="600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偏股型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</w:t>
      </w:r>
      <w:r>
        <w:rPr>
          <w:rFonts w:ascii="Arial" w:eastAsia="楷体_GB2312" w:hAnsi="Arial" w:cs="Arial"/>
          <w:color w:val="auto"/>
          <w:sz w:val="20"/>
          <w:szCs w:val="20"/>
        </w:rPr>
        <w:t>只有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1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只产品收益为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，为</w:t>
      </w:r>
      <w:proofErr w:type="gramStart"/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九泰锐富时间</w:t>
      </w:r>
      <w:proofErr w:type="gramEnd"/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驱动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DD68AE">
        <w:rPr>
          <w:rFonts w:ascii="Arial" w:eastAsia="楷体_GB2312" w:hAnsi="Arial" w:cs="Arial" w:hint="eastAsia"/>
          <w:color w:val="auto"/>
          <w:sz w:val="20"/>
          <w:szCs w:val="20"/>
        </w:rPr>
        <w:t>0.0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。灵活型产品中，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5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德</w:t>
      </w:r>
      <w:proofErr w:type="gramStart"/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邦</w:t>
      </w:r>
      <w:proofErr w:type="gramEnd"/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新添利</w:t>
      </w:r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421A7C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47.31</w:t>
      </w:r>
      <w:r w:rsidRPr="00421A7C">
        <w:rPr>
          <w:rFonts w:ascii="Arial" w:eastAsia="楷体_GB2312" w:hAnsi="Arial" w:cs="Arial"/>
          <w:color w:val="auto"/>
          <w:sz w:val="20"/>
          <w:szCs w:val="20"/>
        </w:rPr>
        <w:t>%</w:t>
      </w:r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421A7C" w:rsidRPr="00421A7C">
        <w:rPr>
          <w:rFonts w:ascii="Arial" w:eastAsia="楷体_GB2312" w:hAnsi="Arial" w:cs="Arial" w:hint="eastAsia"/>
          <w:color w:val="auto"/>
          <w:sz w:val="20"/>
          <w:szCs w:val="20"/>
        </w:rPr>
        <w:t>大额赎回</w:t>
      </w:r>
      <w:r w:rsidR="00133685" w:rsidRPr="00421A7C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 w:rsidRPr="00421A7C">
        <w:rPr>
          <w:rFonts w:ascii="Arial" w:eastAsia="楷体_GB2312" w:hAnsi="Arial" w:cs="Arial"/>
          <w:color w:val="auto"/>
          <w:sz w:val="20"/>
          <w:szCs w:val="20"/>
        </w:rPr>
        <w:t>。</w:t>
      </w:r>
      <w:r w:rsidRPr="00421A7C">
        <w:rPr>
          <w:rFonts w:ascii="Arial" w:eastAsia="楷体_GB2312" w:hAnsi="Arial" w:cs="Arial" w:hint="eastAsia"/>
          <w:color w:val="auto"/>
          <w:sz w:val="20"/>
          <w:szCs w:val="20"/>
        </w:rPr>
        <w:t>21</w:t>
      </w:r>
      <w:r w:rsidRPr="00421A7C">
        <w:rPr>
          <w:rFonts w:ascii="Arial" w:eastAsia="楷体_GB2312" w:hAnsi="Arial" w:cs="Arial" w:hint="eastAsia"/>
          <w:color w:val="auto"/>
          <w:sz w:val="20"/>
          <w:szCs w:val="20"/>
        </w:rPr>
        <w:t>只</w:t>
      </w:r>
      <w:r w:rsidRPr="00421A7C">
        <w:rPr>
          <w:rFonts w:ascii="Arial" w:eastAsia="楷体_GB2312" w:hAnsi="Arial" w:cs="Arial"/>
          <w:color w:val="auto"/>
          <w:sz w:val="20"/>
          <w:szCs w:val="20"/>
        </w:rPr>
        <w:t>平</w:t>
      </w:r>
      <w:r>
        <w:rPr>
          <w:rFonts w:ascii="Arial" w:eastAsia="楷体_GB2312" w:hAnsi="Arial" w:cs="Arial"/>
          <w:color w:val="auto"/>
          <w:sz w:val="20"/>
          <w:szCs w:val="20"/>
        </w:rPr>
        <w:t>衡型产品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全部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收益为负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133685">
        <w:rPr>
          <w:rFonts w:ascii="Arial" w:eastAsia="楷体_GB2312" w:hAnsi="Arial" w:cs="Arial" w:hint="eastAsia"/>
          <w:color w:val="auto"/>
          <w:sz w:val="20"/>
          <w:szCs w:val="20"/>
        </w:rPr>
        <w:t>国金通用</w:t>
      </w:r>
      <w:proofErr w:type="gramStart"/>
      <w:r w:rsidR="00133685">
        <w:rPr>
          <w:rFonts w:ascii="Arial" w:eastAsia="楷体_GB2312" w:hAnsi="Arial" w:cs="Arial" w:hint="eastAsia"/>
          <w:color w:val="auto"/>
          <w:sz w:val="20"/>
          <w:szCs w:val="20"/>
        </w:rPr>
        <w:t>鑫</w:t>
      </w:r>
      <w:proofErr w:type="gramEnd"/>
      <w:r w:rsidR="00133685">
        <w:rPr>
          <w:rFonts w:ascii="Arial" w:eastAsia="楷体_GB2312" w:hAnsi="Arial" w:cs="Arial" w:hint="eastAsia"/>
          <w:color w:val="auto"/>
          <w:sz w:val="20"/>
          <w:szCs w:val="20"/>
        </w:rPr>
        <w:t>安保本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133685">
        <w:rPr>
          <w:rFonts w:ascii="Arial" w:eastAsia="楷体_GB2312" w:hAnsi="Arial" w:cs="Arial" w:hint="eastAsia"/>
          <w:color w:val="auto"/>
          <w:sz w:val="20"/>
          <w:szCs w:val="20"/>
        </w:rPr>
        <w:t>-0.10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偏债型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产品中，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FA7E9A">
        <w:rPr>
          <w:rFonts w:ascii="Arial" w:eastAsia="楷体_GB2312" w:hAnsi="Arial" w:cs="Arial" w:hint="eastAsia"/>
          <w:color w:val="auto"/>
          <w:sz w:val="20"/>
          <w:szCs w:val="20"/>
        </w:rPr>
        <w:t>嘉合磐石</w:t>
      </w:r>
      <w:proofErr w:type="gramEnd"/>
      <w:r w:rsidR="00FA7E9A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FA7E9A">
        <w:rPr>
          <w:rFonts w:ascii="Arial" w:eastAsia="楷体_GB2312" w:hAnsi="Arial" w:cs="Arial" w:hint="eastAsia"/>
          <w:color w:val="auto"/>
          <w:sz w:val="20"/>
          <w:szCs w:val="20"/>
        </w:rPr>
        <w:t>0.46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债券基金</w:t>
      </w:r>
    </w:p>
    <w:p w:rsidR="00BC0BDC" w:rsidRPr="002D6DED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b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债券型基金平均收益为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-0.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63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，二级债基表现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差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于一级债基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。其中，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纯债基金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-0.4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仅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长信富</w:t>
      </w:r>
      <w:proofErr w:type="gramStart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海纯债</w:t>
      </w:r>
      <w:proofErr w:type="gramEnd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一年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92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）涨幅最大。一级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-0.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48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仅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融通</w:t>
      </w:r>
      <w:proofErr w:type="gramStart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通</w:t>
      </w:r>
      <w:proofErr w:type="gramEnd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瑞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20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。二级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-1.04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%</w:t>
      </w:r>
      <w:r>
        <w:rPr>
          <w:rFonts w:ascii="Arial" w:eastAsia="楷体_GB2312" w:hAnsi="Arial" w:cs="Arial"/>
          <w:color w:val="auto"/>
          <w:sz w:val="20"/>
          <w:szCs w:val="20"/>
        </w:rPr>
        <w:t>产品收益为正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proofErr w:type="gramStart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申万菱信添</w:t>
      </w:r>
      <w:proofErr w:type="gramEnd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益宝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0.46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。指数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债基平均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收益为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-0.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67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所有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产品</w:t>
      </w:r>
      <w:r>
        <w:rPr>
          <w:rFonts w:ascii="Arial" w:eastAsia="楷体_GB2312" w:hAnsi="Arial" w:cs="Arial"/>
          <w:color w:val="auto"/>
          <w:sz w:val="20"/>
          <w:szCs w:val="20"/>
        </w:rPr>
        <w:t>收益</w:t>
      </w:r>
      <w:r w:rsidR="00682C16">
        <w:rPr>
          <w:rFonts w:ascii="Arial" w:eastAsia="楷体_GB2312" w:hAnsi="Arial" w:cs="Arial"/>
          <w:color w:val="auto"/>
          <w:sz w:val="20"/>
          <w:szCs w:val="20"/>
        </w:rPr>
        <w:t>均</w:t>
      </w:r>
      <w:r>
        <w:rPr>
          <w:rFonts w:ascii="Arial" w:eastAsia="楷体_GB2312" w:hAnsi="Arial" w:cs="Arial"/>
          <w:color w:val="auto"/>
          <w:sz w:val="20"/>
          <w:szCs w:val="20"/>
        </w:rPr>
        <w:t>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负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最高收益为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德</w:t>
      </w:r>
      <w:proofErr w:type="gramStart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邦</w:t>
      </w:r>
      <w:proofErr w:type="gramEnd"/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企债分级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 w:rsidR="00953451">
        <w:rPr>
          <w:rFonts w:ascii="Arial" w:eastAsia="楷体_GB2312" w:hAnsi="Arial" w:cs="Arial" w:hint="eastAsia"/>
          <w:color w:val="auto"/>
          <w:sz w:val="20"/>
          <w:szCs w:val="20"/>
        </w:rPr>
        <w:t>-0.19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BC0BDC" w:rsidRPr="00812308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987" w:rightChars="-34" w:right="-71"/>
        <w:rPr>
          <w:rFonts w:ascii="楷体_GB2312" w:eastAsia="楷体_GB2312" w:hAnsi="Arial" w:cs="Arial"/>
          <w:b/>
          <w:bCs/>
          <w:color w:val="002060"/>
          <w:kern w:val="0"/>
          <w:sz w:val="24"/>
          <w:szCs w:val="13"/>
        </w:rPr>
      </w:pPr>
      <w:r w:rsidRPr="00812308">
        <w:rPr>
          <w:rFonts w:ascii="楷体_GB2312" w:eastAsia="楷体_GB2312" w:hAnsi="Arial" w:cs="Arial" w:hint="eastAsia"/>
          <w:b/>
          <w:bCs/>
          <w:color w:val="002060"/>
          <w:kern w:val="0"/>
          <w:sz w:val="24"/>
          <w:szCs w:val="13"/>
        </w:rPr>
        <w:t>商品基金及对冲基金</w:t>
      </w:r>
    </w:p>
    <w:p w:rsidR="00BC0BDC" w:rsidRPr="002D6DED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>上周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，商品基金平均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1.83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其中国投瑞银白银期</w:t>
      </w:r>
      <w:r w:rsidR="006E4FF7">
        <w:rPr>
          <w:rFonts w:ascii="Arial" w:eastAsia="楷体_GB2312" w:hAnsi="Arial" w:cs="Arial" w:hint="eastAsia"/>
          <w:color w:val="auto"/>
          <w:sz w:val="20"/>
          <w:szCs w:val="20"/>
        </w:rPr>
        <w:t>货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涨幅最大</w:t>
      </w:r>
      <w:r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涨</w:t>
      </w:r>
      <w:r w:rsidR="00B62B3A">
        <w:rPr>
          <w:rFonts w:ascii="Arial" w:eastAsia="楷体_GB2312" w:hAnsi="Arial" w:cs="Arial" w:hint="eastAsia"/>
          <w:color w:val="auto"/>
          <w:sz w:val="20"/>
          <w:szCs w:val="20"/>
        </w:rPr>
        <w:t>5.72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。以绝对收益为投资目标的股票多空类产品平均收益为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-0.26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，最高收益为</w:t>
      </w:r>
      <w:r w:rsidR="00B62B3A">
        <w:rPr>
          <w:rFonts w:ascii="Arial" w:eastAsia="楷体_GB2312" w:hAnsi="Arial" w:cs="Arial" w:hint="eastAsia"/>
          <w:color w:val="auto"/>
          <w:sz w:val="20"/>
          <w:szCs w:val="20"/>
        </w:rPr>
        <w:t>华宝兴业量化对冲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0.</w:t>
      </w:r>
      <w:r w:rsidR="00B62B3A">
        <w:rPr>
          <w:rFonts w:ascii="Arial" w:eastAsia="楷体_GB2312" w:hAnsi="Arial" w:cs="Arial" w:hint="eastAsia"/>
          <w:color w:val="auto"/>
          <w:sz w:val="20"/>
          <w:szCs w:val="20"/>
        </w:rPr>
        <w:t>03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left="4395" w:rightChars="-34" w:right="-71" w:firstLine="0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0" wp14:anchorId="4C0B3CDB" wp14:editId="662A6BA2">
                <wp:simplePos x="0" y="0"/>
                <wp:positionH relativeFrom="page">
                  <wp:posOffset>375920</wp:posOffset>
                </wp:positionH>
                <wp:positionV relativeFrom="paragraph">
                  <wp:posOffset>152975</wp:posOffset>
                </wp:positionV>
                <wp:extent cx="2154555" cy="1072515"/>
                <wp:effectExtent l="0" t="0" r="0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72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490" w:rsidRPr="00593057" w:rsidRDefault="00D86490" w:rsidP="00BC0BDC">
                            <w:pPr>
                              <w:rPr>
                                <w:rFonts w:ascii="楷体" w:eastAsia="楷体" w:hAnsi="楷体" w:cs="宋体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数据来源：</w:t>
                            </w:r>
                            <w:proofErr w:type="gramStart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凯</w:t>
                            </w:r>
                            <w:proofErr w:type="gramEnd"/>
                            <w:r>
                              <w:rPr>
                                <w:rFonts w:ascii="楷体" w:eastAsia="楷体" w:hAnsi="楷体" w:cs="宋体" w:hint="eastAsia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  <w:lang w:val="en-GB"/>
                              </w:rPr>
                              <w:t>石、WIND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9.6pt;margin-top:12.05pt;width:169.65pt;height:84.4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" o:allowoverlap="f" filled="f" stroked="f">
                <v:textbox>
                  <w:txbxContent>
                    <w:p w:rsidR="00D86490" w:rsidRPr="00593057" w:rsidRDefault="00D86490" w:rsidP="00BC0BDC">
                      <w:pPr>
                        <w:rPr>
                          <w:rFonts w:ascii="楷体" w:eastAsia="楷体" w:hAnsi="楷体" w:cs="宋体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数据来源：</w:t>
                      </w:r>
                      <w:proofErr w:type="gramStart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凯</w:t>
                      </w:r>
                      <w:proofErr w:type="gramEnd"/>
                      <w:r>
                        <w:rPr>
                          <w:rFonts w:ascii="楷体" w:eastAsia="楷体" w:hAnsi="楷体" w:cs="宋体" w:hint="eastAsia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  <w:lang w:val="en-GB"/>
                        </w:rPr>
                        <w:t>石、WIND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货币基金</w:t>
      </w:r>
    </w:p>
    <w:p w:rsidR="00BC0BDC" w:rsidRPr="002D6DED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>
        <w:rPr>
          <w:rFonts w:ascii="Arial" w:eastAsia="楷体_GB2312" w:hAnsi="Arial" w:cs="Arial" w:hint="eastAsia"/>
          <w:color w:val="auto"/>
          <w:sz w:val="20"/>
          <w:szCs w:val="20"/>
        </w:rPr>
        <w:t>继续略有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上涨</w:t>
      </w:r>
      <w:r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22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日，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货币基金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七日年化收益率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均值为</w:t>
      </w:r>
      <w:r>
        <w:rPr>
          <w:rFonts w:ascii="Arial" w:eastAsia="楷体_GB2312" w:hAnsi="Arial" w:cs="Arial"/>
          <w:color w:val="auto"/>
          <w:sz w:val="20"/>
          <w:szCs w:val="20"/>
        </w:rPr>
        <w:t>2.</w:t>
      </w:r>
      <w:r w:rsidRPr="00EA5F67">
        <w:rPr>
          <w:rFonts w:ascii="Arial" w:eastAsia="楷体_GB2312" w:hAnsi="Arial" w:cs="Arial" w:hint="eastAsia"/>
          <w:color w:val="auto"/>
          <w:sz w:val="20"/>
          <w:szCs w:val="20"/>
        </w:rPr>
        <w:t xml:space="preserve"> 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51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Start"/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信建投货币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11.67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）、</w:t>
      </w:r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中邮现金驿站</w:t>
      </w:r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C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（</w:t>
      </w:r>
      <w:r w:rsidR="009C3037">
        <w:rPr>
          <w:rFonts w:ascii="Arial" w:eastAsia="楷体_GB2312" w:hAnsi="Arial" w:cs="Arial" w:hint="eastAsia"/>
          <w:color w:val="auto"/>
          <w:sz w:val="20"/>
          <w:szCs w:val="20"/>
        </w:rPr>
        <w:t>8.36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）</w:t>
      </w:r>
      <w:r>
        <w:rPr>
          <w:rFonts w:ascii="Arial" w:eastAsia="楷体_GB2312" w:hAnsi="Arial" w:cs="Arial"/>
          <w:color w:val="auto"/>
          <w:sz w:val="20"/>
          <w:szCs w:val="20"/>
        </w:rPr>
        <w:t>七日</w:t>
      </w:r>
      <w:proofErr w:type="gramStart"/>
      <w:r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>
        <w:rPr>
          <w:rFonts w:ascii="Arial" w:eastAsia="楷体_GB2312" w:hAnsi="Arial" w:cs="Arial"/>
          <w:color w:val="auto"/>
          <w:sz w:val="20"/>
          <w:szCs w:val="20"/>
        </w:rPr>
        <w:t>最高。从收益区间来看，有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的产品七日</w:t>
      </w:r>
      <w:proofErr w:type="gramStart"/>
      <w:r w:rsidRPr="002D6DED">
        <w:rPr>
          <w:rFonts w:ascii="Arial" w:eastAsia="楷体_GB2312" w:hAnsi="Arial" w:cs="Arial"/>
          <w:color w:val="auto"/>
          <w:sz w:val="20"/>
          <w:szCs w:val="20"/>
        </w:rPr>
        <w:t>年化收益</w:t>
      </w:r>
      <w:proofErr w:type="gramEnd"/>
      <w:r w:rsidRPr="002D6DED">
        <w:rPr>
          <w:rFonts w:ascii="Arial" w:eastAsia="楷体_GB2312" w:hAnsi="Arial" w:cs="Arial"/>
          <w:color w:val="auto"/>
          <w:sz w:val="20"/>
          <w:szCs w:val="20"/>
        </w:rPr>
        <w:t>超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4%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9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的产品收益在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3%-4%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之间，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74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的产品收益在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2%-3%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之间。</w:t>
      </w:r>
    </w:p>
    <w:p w:rsidR="00BC0BDC" w:rsidRPr="002D6DED" w:rsidRDefault="00BC0BDC" w:rsidP="00BC0BDC">
      <w:pPr>
        <w:pStyle w:val="a5"/>
        <w:numPr>
          <w:ilvl w:val="0"/>
          <w:numId w:val="2"/>
        </w:numPr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</w:pP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QDII</w:t>
      </w:r>
      <w:r w:rsidRPr="002D6DED">
        <w:rPr>
          <w:rFonts w:ascii="Arial" w:eastAsia="楷体_GB2312" w:hAnsi="Arial" w:cs="Arial"/>
          <w:b/>
          <w:bCs/>
          <w:color w:val="002060"/>
          <w:kern w:val="0"/>
          <w:sz w:val="24"/>
          <w:szCs w:val="13"/>
        </w:rPr>
        <w:t>基金</w:t>
      </w:r>
    </w:p>
    <w:p w:rsidR="00BC0BDC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  <w:r w:rsidRPr="002D6DED">
        <w:rPr>
          <w:rFonts w:ascii="Arial" w:eastAsia="楷体_GB2312" w:hAnsi="Arial" w:cs="Arial"/>
          <w:color w:val="auto"/>
          <w:sz w:val="20"/>
          <w:szCs w:val="20"/>
        </w:rPr>
        <w:t>QDII</w:t>
      </w:r>
      <w:r>
        <w:rPr>
          <w:rFonts w:ascii="Arial" w:eastAsia="楷体_GB2312" w:hAnsi="Arial" w:cs="Arial"/>
          <w:color w:val="auto"/>
          <w:sz w:val="20"/>
          <w:szCs w:val="20"/>
        </w:rPr>
        <w:t>基金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平均收益为</w:t>
      </w:r>
      <w:r w:rsidR="00682C16">
        <w:rPr>
          <w:rFonts w:ascii="Arial" w:eastAsia="楷体_GB2312" w:hAnsi="Arial" w:cs="Arial" w:hint="eastAsia"/>
          <w:color w:val="auto"/>
          <w:sz w:val="20"/>
          <w:szCs w:val="20"/>
        </w:rPr>
        <w:t>0.13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，其中</w:t>
      </w:r>
      <w:proofErr w:type="gramStart"/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中</w:t>
      </w:r>
      <w:proofErr w:type="gramEnd"/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银</w:t>
      </w:r>
      <w:proofErr w:type="gramStart"/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标普全球</w:t>
      </w:r>
      <w:proofErr w:type="gramEnd"/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精选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表现最好，涨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4.21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%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  <w:r>
        <w:rPr>
          <w:rFonts w:ascii="Arial" w:eastAsia="楷体_GB2312" w:hAnsi="Arial" w:cs="Arial"/>
          <w:color w:val="auto"/>
          <w:sz w:val="20"/>
          <w:szCs w:val="20"/>
        </w:rPr>
        <w:t>从具体品种来看，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资源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、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德国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30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（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DAX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）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主题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>
        <w:rPr>
          <w:rFonts w:ascii="Arial" w:eastAsia="楷体_GB2312" w:hAnsi="Arial" w:cs="Arial"/>
          <w:color w:val="auto"/>
          <w:sz w:val="20"/>
          <w:szCs w:val="20"/>
        </w:rPr>
        <w:t>表现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最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好，</w:t>
      </w:r>
      <w:r w:rsidR="00C867BD">
        <w:rPr>
          <w:rFonts w:ascii="Arial" w:eastAsia="楷体_GB2312" w:hAnsi="Arial" w:cs="Arial" w:hint="eastAsia"/>
          <w:color w:val="auto"/>
          <w:sz w:val="20"/>
          <w:szCs w:val="20"/>
        </w:rPr>
        <w:t>互联网、房地产</w:t>
      </w:r>
      <w:r>
        <w:rPr>
          <w:rFonts w:ascii="Arial" w:eastAsia="楷体_GB2312" w:hAnsi="Arial" w:cs="Arial"/>
          <w:color w:val="auto"/>
          <w:sz w:val="20"/>
          <w:szCs w:val="20"/>
        </w:rPr>
        <w:t>主题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 xml:space="preserve"> QDII</w:t>
      </w:r>
      <w:r>
        <w:rPr>
          <w:rFonts w:ascii="Arial" w:eastAsia="楷体_GB2312" w:hAnsi="Arial" w:cs="Arial"/>
          <w:color w:val="auto"/>
          <w:sz w:val="20"/>
          <w:szCs w:val="20"/>
        </w:rPr>
        <w:t>表现</w:t>
      </w:r>
      <w:r>
        <w:rPr>
          <w:rFonts w:ascii="Arial" w:eastAsia="楷体_GB2312" w:hAnsi="Arial" w:cs="Arial" w:hint="eastAsia"/>
          <w:color w:val="auto"/>
          <w:sz w:val="20"/>
          <w:szCs w:val="20"/>
        </w:rPr>
        <w:t>较差</w:t>
      </w:r>
      <w:r w:rsidRPr="002D6DED">
        <w:rPr>
          <w:rFonts w:ascii="Arial" w:eastAsia="楷体_GB2312" w:hAnsi="Arial" w:cs="Arial"/>
          <w:color w:val="auto"/>
          <w:sz w:val="20"/>
          <w:szCs w:val="20"/>
        </w:rPr>
        <w:t>。</w:t>
      </w:r>
    </w:p>
    <w:p w:rsidR="00BC0BDC" w:rsidRPr="00C57975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4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pPr w:leftFromText="180" w:rightFromText="180" w:vertAnchor="text" w:horzAnchor="margin" w:tblpY="-39"/>
        <w:tblW w:w="3970" w:type="dxa"/>
        <w:tblLayout w:type="fixed"/>
        <w:tblLook w:val="04A0" w:firstRow="1" w:lastRow="0" w:firstColumn="1" w:lastColumn="0" w:noHBand="0" w:noVBand="1"/>
      </w:tblPr>
      <w:tblGrid>
        <w:gridCol w:w="709"/>
        <w:gridCol w:w="817"/>
        <w:gridCol w:w="1701"/>
        <w:gridCol w:w="743"/>
      </w:tblGrid>
      <w:tr w:rsidR="00BC0BDC" w:rsidRPr="00A12428" w:rsidTr="00FA7E9A">
        <w:trPr>
          <w:trHeight w:val="2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79646" w:fill="F79646"/>
            <w:vAlign w:val="center"/>
            <w:hideMark/>
          </w:tcPr>
          <w:p w:rsidR="00BC0BDC" w:rsidRPr="00A12428" w:rsidRDefault="00BC0BDC" w:rsidP="00FA7E9A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lastRenderedPageBreak/>
              <w:t>类型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BC0BDC" w:rsidRPr="00A12428" w:rsidRDefault="00BC0BDC" w:rsidP="00FA7E9A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代码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BC0BDC" w:rsidRPr="00A12428" w:rsidRDefault="00BC0BDC" w:rsidP="00FA7E9A">
            <w:pPr>
              <w:widowControl/>
              <w:jc w:val="center"/>
              <w:rPr>
                <w:rFonts w:ascii="Arial" w:eastAsia="楷体" w:hAnsi="Arial" w:cs="Arial"/>
                <w:b/>
                <w:sz w:val="20"/>
                <w:szCs w:val="20"/>
              </w:rPr>
            </w:pPr>
            <w:r w:rsidRPr="00A12428">
              <w:rPr>
                <w:rFonts w:ascii="Arial" w:eastAsia="楷体" w:hAnsi="Arial" w:cs="Arial"/>
                <w:b/>
                <w:sz w:val="20"/>
                <w:szCs w:val="20"/>
              </w:rPr>
              <w:t>简称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F79646" w:fill="F79646"/>
            <w:vAlign w:val="center"/>
            <w:hideMark/>
          </w:tcPr>
          <w:p w:rsidR="00BC0BDC" w:rsidRPr="00A12428" w:rsidRDefault="00BC0BDC" w:rsidP="00FA7E9A">
            <w:pPr>
              <w:widowControl/>
              <w:jc w:val="left"/>
              <w:rPr>
                <w:rFonts w:ascii="Arial" w:eastAsia="楷体" w:hAnsi="Arial" w:cs="Arial"/>
                <w:b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涨跌</w:t>
            </w:r>
            <w:r w:rsidRPr="00A12428">
              <w:rPr>
                <w:rFonts w:ascii="Arial" w:eastAsia="楷体" w:hAnsi="Arial" w:cs="Arial"/>
                <w:b/>
                <w:sz w:val="18"/>
                <w:szCs w:val="18"/>
              </w:rPr>
              <w:t>%</w:t>
            </w:r>
          </w:p>
        </w:tc>
      </w:tr>
      <w:tr w:rsidR="00682C16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A12428" w:rsidRDefault="00682C16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普通股基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001677.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</w:t>
            </w:r>
            <w:proofErr w:type="gramStart"/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银战略</w:t>
            </w:r>
            <w:proofErr w:type="gramEnd"/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新兴产业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-0.10</w:t>
            </w:r>
          </w:p>
        </w:tc>
      </w:tr>
      <w:tr w:rsidR="00682C16" w:rsidRPr="00B80614" w:rsidTr="00FA7E9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A12428" w:rsidRDefault="00682C16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001048.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富国新兴产业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-0.52</w:t>
            </w:r>
          </w:p>
        </w:tc>
      </w:tr>
      <w:tr w:rsidR="00682C16" w:rsidRPr="00B80614" w:rsidTr="00FA7E9A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A12428" w:rsidRDefault="00682C16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001717.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工银瑞信</w:t>
            </w:r>
            <w:proofErr w:type="gramEnd"/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前沿医疗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2C16" w:rsidRPr="00682C16" w:rsidRDefault="00682C16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682C16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-1.17</w:t>
            </w:r>
          </w:p>
        </w:tc>
      </w:tr>
      <w:tr w:rsidR="00EB3D52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B3D52" w:rsidRPr="00A12428" w:rsidRDefault="00EB3D52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指数股基</w:t>
            </w:r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167301.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方正富邦中</w:t>
            </w:r>
            <w:proofErr w:type="gramStart"/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证保险</w:t>
            </w:r>
            <w:proofErr w:type="gramEnd"/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0.75</w:t>
            </w:r>
          </w:p>
        </w:tc>
      </w:tr>
      <w:tr w:rsidR="00EB3D52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B3D52" w:rsidRPr="00A12428" w:rsidRDefault="00EB3D52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161029.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富国中</w:t>
            </w:r>
            <w:proofErr w:type="gramStart"/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证银行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0.57</w:t>
            </w:r>
          </w:p>
        </w:tc>
      </w:tr>
      <w:tr w:rsidR="00EB3D52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EB3D52" w:rsidRPr="00A12428" w:rsidRDefault="00EB3D52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161121.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易方达银行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EB3D52" w:rsidRPr="00EB3D52" w:rsidRDefault="00EB3D52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EB3D52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0.44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D68AE" w:rsidRPr="00A12428" w:rsidRDefault="00DD68A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混合偏股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168102.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九泰锐富</w:t>
            </w:r>
            <w:proofErr w:type="gramEnd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事件驱动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D68AE" w:rsidRPr="00A12428" w:rsidRDefault="00DD68AE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100056.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富国低碳环保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-0.50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DD68AE" w:rsidRPr="00A12428" w:rsidRDefault="00DD68A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270007.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广</w:t>
            </w:r>
            <w:proofErr w:type="gramStart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发大盘</w:t>
            </w:r>
            <w:proofErr w:type="gramEnd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成长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-0.82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68AE" w:rsidRPr="00A12428" w:rsidRDefault="00DD68A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混合偏债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001572.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嘉合磐石</w:t>
            </w:r>
            <w:proofErr w:type="gramEnd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0.46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68AE" w:rsidRPr="00A12428" w:rsidRDefault="00DD68AE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000256.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上投摩根红利回报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DD68A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68AE" w:rsidRPr="00A12428" w:rsidRDefault="00DD68A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002282.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平安大</w:t>
            </w:r>
            <w:proofErr w:type="gramEnd"/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华安享保本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DD68AE" w:rsidRPr="00DD68AE" w:rsidRDefault="00DD68A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DD68A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33685" w:rsidRPr="00A12428" w:rsidRDefault="00133685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混合灵活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002441.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德</w:t>
            </w:r>
            <w:proofErr w:type="gramStart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邦</w:t>
            </w:r>
            <w:proofErr w:type="gramEnd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新添利C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47.31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33685" w:rsidRPr="00A12428" w:rsidRDefault="00133685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001347.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富国</w:t>
            </w:r>
            <w:proofErr w:type="gramStart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新收益</w:t>
            </w:r>
            <w:proofErr w:type="gramEnd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2.17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133685" w:rsidRPr="00A12428" w:rsidRDefault="00133685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001302.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前海开源金银珠宝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0.72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33685" w:rsidRPr="00A12428" w:rsidRDefault="00133685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混合平衡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000749.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国金通用</w:t>
            </w:r>
            <w:proofErr w:type="gramStart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鑫</w:t>
            </w:r>
            <w:proofErr w:type="gramEnd"/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安保本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-0.10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33685" w:rsidRPr="00A12428" w:rsidRDefault="00133685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519654.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银河泽利保本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-0.20</w:t>
            </w:r>
          </w:p>
        </w:tc>
      </w:tr>
      <w:tr w:rsidR="00133685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133685" w:rsidRPr="00A12428" w:rsidRDefault="00133685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050001.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博时价值增长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133685" w:rsidRPr="00133685" w:rsidRDefault="00133685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133685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-2.39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纯债基金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519953.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长信富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海纯债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一年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0.92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00136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兴业稳固收益一年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000387.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泰达宏利瑞利A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一级债基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000859.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融通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通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瑞C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161231.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投瑞银双债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丰利C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0.20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000288.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银华永利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C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0.16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二级债基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310378</w:t>
            </w: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申万菱信添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益宝A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0.46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519055.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海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富通双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利分级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020029.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国泰创利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0.00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指数债基</w:t>
            </w:r>
            <w:proofErr w:type="gramEnd"/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167701.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德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邦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企债分级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-0.19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001512.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易方达3-5年期国债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-0.19</w:t>
            </w:r>
          </w:p>
        </w:tc>
      </w:tr>
      <w:tr w:rsidR="00953451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53451" w:rsidRPr="00A12428" w:rsidRDefault="00953451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511210.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博时</w:t>
            </w:r>
            <w:proofErr w:type="gramStart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上证企债</w:t>
            </w:r>
            <w:proofErr w:type="gramEnd"/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30ETF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953451" w:rsidRPr="00953451" w:rsidRDefault="00953451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953451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-0.28</w:t>
            </w:r>
          </w:p>
        </w:tc>
      </w:tr>
      <w:tr w:rsidR="00CA600E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A600E" w:rsidRPr="00A12428" w:rsidRDefault="00CA600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货币基金</w:t>
            </w:r>
            <w:r w:rsidRPr="00A12428">
              <w:rPr>
                <w:rFonts w:ascii="Arial" w:eastAsia="楷体" w:hAnsi="Arial" w:cs="Arial"/>
                <w:color w:val="000000"/>
                <w:kern w:val="0"/>
                <w:sz w:val="13"/>
                <w:szCs w:val="13"/>
              </w:rPr>
              <w:t>（七日年化）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000738.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中信</w:t>
            </w:r>
            <w:proofErr w:type="gramStart"/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建投货币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11.67</w:t>
            </w:r>
          </w:p>
        </w:tc>
      </w:tr>
      <w:tr w:rsidR="00CA600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A600E" w:rsidRPr="00A12428" w:rsidRDefault="00CA600E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000923.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中邮现金驿站C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8.36</w:t>
            </w:r>
          </w:p>
        </w:tc>
      </w:tr>
      <w:tr w:rsidR="00CA600E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A600E" w:rsidRPr="00A12428" w:rsidRDefault="00CA600E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001987.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东方金元宝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A600E" w:rsidRPr="00CA600E" w:rsidRDefault="00CA600E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A600E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5.35</w:t>
            </w:r>
          </w:p>
        </w:tc>
      </w:tr>
      <w:tr w:rsidR="00BC0BDC" w:rsidRPr="00B80614" w:rsidTr="00FA7E9A">
        <w:trPr>
          <w:trHeight w:val="284"/>
        </w:trPr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BC0BDC" w:rsidRPr="00A12428" w:rsidRDefault="00BC0BDC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商品基金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0BDC" w:rsidRPr="00B80614" w:rsidRDefault="00BC0BDC" w:rsidP="00FA7E9A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161226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0BDC" w:rsidRPr="00B80614" w:rsidRDefault="00BC0BDC" w:rsidP="00FA7E9A">
            <w:pPr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国</w:t>
            </w:r>
            <w:proofErr w:type="gramStart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投瑞银白</w:t>
            </w:r>
            <w:proofErr w:type="gramEnd"/>
            <w:r w:rsidRPr="00B80614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银期货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0BDC" w:rsidRPr="00B80614" w:rsidRDefault="00B62B3A" w:rsidP="00FA7E9A">
            <w:pPr>
              <w:jc w:val="right"/>
              <w:rPr>
                <w:rFonts w:ascii="楷体" w:eastAsia="楷体" w:hAnsi="楷体" w:cs="宋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5.72</w:t>
            </w:r>
          </w:p>
        </w:tc>
      </w:tr>
      <w:tr w:rsidR="00C867BD" w:rsidRPr="00B80614" w:rsidTr="00FA7E9A">
        <w:trPr>
          <w:trHeight w:val="284"/>
        </w:trPr>
        <w:tc>
          <w:tcPr>
            <w:tcW w:w="70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67BD" w:rsidRPr="00A12428" w:rsidRDefault="00C867BD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A12428"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  <w:t>QDII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000049.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中银</w:t>
            </w:r>
            <w:proofErr w:type="gramStart"/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标普全球</w:t>
            </w:r>
            <w:proofErr w:type="gramEnd"/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精选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4.21</w:t>
            </w:r>
          </w:p>
        </w:tc>
      </w:tr>
      <w:tr w:rsidR="00C867BD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67BD" w:rsidRPr="00A12428" w:rsidRDefault="00C867BD" w:rsidP="00FA7E9A">
            <w:pPr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378546.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上投摩根全球天然资源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4.05</w:t>
            </w:r>
          </w:p>
        </w:tc>
      </w:tr>
      <w:tr w:rsidR="00C867BD" w:rsidRPr="00B80614" w:rsidTr="00FA7E9A">
        <w:trPr>
          <w:trHeight w:val="284"/>
        </w:trPr>
        <w:tc>
          <w:tcPr>
            <w:tcW w:w="709" w:type="dxa"/>
            <w:vMerge/>
            <w:tcBorders>
              <w:left w:val="nil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867BD" w:rsidRPr="00A12428" w:rsidRDefault="00C867BD" w:rsidP="00FA7E9A">
            <w:pPr>
              <w:widowControl/>
              <w:jc w:val="left"/>
              <w:rPr>
                <w:rFonts w:ascii="Arial" w:eastAsia="楷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164815.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工</w:t>
            </w:r>
            <w:proofErr w:type="gramStart"/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银瑞信标普全球</w:t>
            </w:r>
            <w:proofErr w:type="gramEnd"/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资源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867BD" w:rsidRPr="00C867BD" w:rsidRDefault="00C867BD">
            <w:pPr>
              <w:jc w:val="right"/>
              <w:rPr>
                <w:rFonts w:ascii="楷体" w:eastAsia="楷体" w:hAnsi="楷体"/>
                <w:color w:val="000000"/>
                <w:sz w:val="16"/>
                <w:szCs w:val="16"/>
              </w:rPr>
            </w:pPr>
            <w:r w:rsidRPr="00C867BD">
              <w:rPr>
                <w:rFonts w:ascii="楷体" w:eastAsia="楷体" w:hAnsi="楷体" w:hint="eastAsia"/>
                <w:color w:val="000000"/>
                <w:sz w:val="16"/>
                <w:szCs w:val="16"/>
              </w:rPr>
              <w:t>4.05</w:t>
            </w:r>
          </w:p>
        </w:tc>
      </w:tr>
      <w:tr w:rsidR="00BC0BDC" w:rsidRPr="00A12428" w:rsidTr="00FA7E9A">
        <w:trPr>
          <w:trHeight w:val="284"/>
        </w:trPr>
        <w:tc>
          <w:tcPr>
            <w:tcW w:w="3970" w:type="dxa"/>
            <w:gridSpan w:val="4"/>
            <w:tcBorders>
              <w:top w:val="single" w:sz="12" w:space="0" w:color="auto"/>
              <w:left w:val="nil"/>
            </w:tcBorders>
            <w:shd w:val="clear" w:color="auto" w:fill="FFFFFF" w:themeFill="background1"/>
            <w:vAlign w:val="center"/>
          </w:tcPr>
          <w:p w:rsidR="00BC0BDC" w:rsidRPr="005B500F" w:rsidRDefault="00BC0BDC" w:rsidP="00FA7E9A">
            <w:pPr>
              <w:rPr>
                <w:rFonts w:ascii="楷体" w:eastAsia="楷体" w:hAnsi="楷体" w:cs="宋体"/>
                <w:b/>
                <w:bCs/>
                <w:color w:val="000000"/>
                <w:kern w:val="0"/>
                <w:sz w:val="16"/>
                <w:szCs w:val="16"/>
                <w:lang w:val="en-GB"/>
              </w:rPr>
            </w:pPr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数据来源：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凯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6"/>
                <w:szCs w:val="16"/>
                <w:lang w:val="en-GB"/>
              </w:rPr>
              <w:t>石、WIND</w:t>
            </w:r>
          </w:p>
        </w:tc>
      </w:tr>
    </w:tbl>
    <w:p w:rsidR="00BC0BDC" w:rsidRPr="00A1602E" w:rsidRDefault="00BC0BDC" w:rsidP="00BC0BDC">
      <w:pPr>
        <w:pStyle w:val="a6"/>
        <w:numPr>
          <w:ilvl w:val="0"/>
          <w:numId w:val="1"/>
        </w:numPr>
        <w:ind w:left="643" w:hangingChars="200" w:hanging="643"/>
        <w:rPr>
          <w:rFonts w:ascii="Arial" w:hAnsi="Arial" w:cs="Arial"/>
          <w:b/>
          <w:color w:val="996600"/>
          <w:sz w:val="32"/>
          <w:szCs w:val="28"/>
        </w:rPr>
      </w:pPr>
      <w:r w:rsidRPr="00C97435">
        <w:rPr>
          <w:rFonts w:ascii="Arial" w:hAnsi="Arial" w:cs="Arial"/>
          <w:b/>
          <w:color w:val="996600"/>
          <w:sz w:val="32"/>
          <w:szCs w:val="28"/>
        </w:rPr>
        <w:t>未来基金投资策略</w:t>
      </w:r>
    </w:p>
    <w:p w:rsidR="00BC0BDC" w:rsidRDefault="00BC0BDC" w:rsidP="000C2467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color w:val="auto"/>
          <w:sz w:val="20"/>
          <w:szCs w:val="20"/>
        </w:rPr>
      </w:pPr>
      <w:proofErr w:type="gramStart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股混基金</w:t>
      </w:r>
      <w:proofErr w:type="gramEnd"/>
      <w:r w:rsidRPr="00FB650E">
        <w:rPr>
          <w:rFonts w:ascii="Arial" w:eastAsia="楷体_GB2312" w:hAnsi="Arial" w:cs="Arial"/>
          <w:b/>
          <w:color w:val="auto"/>
          <w:sz w:val="20"/>
          <w:szCs w:val="20"/>
        </w:rPr>
        <w:t>投资方面，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当前市场又进入到新的相对稳态中，前期的利好因素逐步稳定对市场影响弱化，如</w:t>
      </w:r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经济</w:t>
      </w:r>
      <w:proofErr w:type="gramStart"/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基本面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企稳</w:t>
      </w:r>
      <w:proofErr w:type="gramEnd"/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汇率阶段性持稳，</w:t>
      </w:r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政策面持续稳定，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财政政策继续发力等。但也有利空因素初步显现，主要是流动性和市场面，流动性方面大</w:t>
      </w:r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资金面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目前处于较为紧张状态，叠加违约对流动性的影响，这对市场影响偏利空，股市资金面方面市场重回存量博弈的结构，难以支撑趋势性大涨行情。而市场面方面，经历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3</w:t>
      </w:r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月份以来的反弹，市场面临自发的调整需求。短期我们建议投资者多关注资金面方面的风险情况，但也不必过分悲观，因为如果没有大利空出现市场预期仍以震荡为主，结构性机会将是主基调，建议投资者控制</w:t>
      </w:r>
      <w:proofErr w:type="gramStart"/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仓位</w:t>
      </w:r>
      <w:proofErr w:type="gramEnd"/>
      <w:r w:rsidR="00D86490">
        <w:rPr>
          <w:rFonts w:ascii="Arial" w:eastAsia="楷体_GB2312" w:hAnsi="Arial" w:cs="Arial" w:hint="eastAsia"/>
          <w:color w:val="000000" w:themeColor="text1"/>
          <w:sz w:val="20"/>
          <w:szCs w:val="20"/>
        </w:rPr>
        <w:t>把握结构性机会</w:t>
      </w:r>
      <w:r w:rsidR="00D86490" w:rsidRPr="006F7D36">
        <w:rPr>
          <w:rFonts w:ascii="Arial" w:eastAsia="楷体_GB2312" w:hAnsi="Arial" w:cs="Arial" w:hint="eastAsia"/>
          <w:color w:val="000000" w:themeColor="text1"/>
          <w:sz w:val="20"/>
          <w:szCs w:val="20"/>
        </w:rPr>
        <w:t>。</w:t>
      </w:r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风格配置上，由于市场热点分散，风格轮动较快，建议成长、周期均衡配置为好，价值周期将受益于供给</w:t>
      </w:r>
      <w:proofErr w:type="gramStart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侧改革</w:t>
      </w:r>
      <w:proofErr w:type="gramEnd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和经济企稳，而成长风格代表的新兴产业依然是未来中国经济的希望所在，同时从今年市场实际表现看，风格切换和轮</w:t>
      </w:r>
      <w:proofErr w:type="gramStart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动更加</w:t>
      </w:r>
      <w:proofErr w:type="gramEnd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频繁，捕捉难度不断加大不如进行相对均衡的配置。在弱市市场中投资者对业绩的关注</w:t>
      </w:r>
      <w:proofErr w:type="gramStart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度显著</w:t>
      </w:r>
      <w:proofErr w:type="gramEnd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提高，我们建议当前以稳健成长风格基金配置为主，这类基金主要投资业绩平稳增长的大消费、医药、中游机械制造等板块，优选重视个股估值和业绩稳定性的基金经理。长期而言，我们维持</w:t>
      </w:r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股处在底部区域的判断，经济筑底回升的过程相当漫长，货币政策依然处在降息周期内，相比于债市、房地产、海外股市等，</w:t>
      </w:r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A</w:t>
      </w:r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股依然是性价比较高的资产。长线投资者尤其</w:t>
      </w:r>
      <w:proofErr w:type="gramStart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是定投投资者</w:t>
      </w:r>
      <w:proofErr w:type="gramEnd"/>
      <w:r w:rsidRPr="000C2467">
        <w:rPr>
          <w:rFonts w:ascii="Arial" w:eastAsia="楷体_GB2312" w:hAnsi="Arial" w:cs="Arial" w:hint="eastAsia"/>
          <w:color w:val="auto"/>
          <w:sz w:val="20"/>
          <w:szCs w:val="20"/>
        </w:rPr>
        <w:t>可以分批介入布局。</w:t>
      </w:r>
    </w:p>
    <w:p w:rsidR="00D86490" w:rsidRDefault="00BC0BDC" w:rsidP="00BC0BDC">
      <w:pPr>
        <w:pStyle w:val="a5"/>
        <w:spacing w:beforeLines="100" w:before="240" w:afterLines="100" w:after="240" w:line="260" w:lineRule="exact"/>
        <w:ind w:leftChars="1822" w:left="3826" w:rightChars="-34" w:right="-71" w:firstLineChars="212" w:firstLine="426"/>
        <w:rPr>
          <w:rFonts w:ascii="Arial" w:eastAsia="楷体_GB2312" w:hAnsi="Arial" w:cs="Arial"/>
          <w:b/>
          <w:color w:val="auto"/>
          <w:sz w:val="20"/>
          <w:szCs w:val="20"/>
        </w:rPr>
      </w:pPr>
      <w:r w:rsidRPr="00E762E6">
        <w:rPr>
          <w:rFonts w:ascii="Arial" w:eastAsia="楷体_GB2312" w:hAnsi="Arial" w:cs="Arial"/>
          <w:b/>
          <w:color w:val="auto"/>
          <w:sz w:val="20"/>
          <w:szCs w:val="20"/>
        </w:rPr>
        <w:t>固定收益基金投资方面，</w:t>
      </w:r>
      <w:r w:rsidR="00D86490" w:rsidRPr="00AA37BA">
        <w:rPr>
          <w:rFonts w:ascii="Arial" w:eastAsia="楷体_GB2312" w:hAnsi="Arial" w:cs="Arial" w:hint="eastAsia"/>
          <w:color w:val="auto"/>
          <w:sz w:val="20"/>
          <w:szCs w:val="20"/>
        </w:rPr>
        <w:t>正如我们一直强调的</w:t>
      </w:r>
      <w:r w:rsidRPr="00E762E6">
        <w:rPr>
          <w:rFonts w:ascii="Arial" w:eastAsia="楷体_GB2312" w:hAnsi="Arial" w:cs="Arial" w:hint="eastAsia"/>
          <w:color w:val="auto"/>
          <w:sz w:val="20"/>
          <w:szCs w:val="20"/>
        </w:rPr>
        <w:t>债券市场处于高位</w:t>
      </w:r>
      <w:r w:rsidR="00D86490">
        <w:rPr>
          <w:rFonts w:ascii="Arial" w:eastAsia="楷体_GB2312" w:hAnsi="Arial" w:cs="Arial" w:hint="eastAsia"/>
          <w:color w:val="auto"/>
          <w:sz w:val="20"/>
          <w:szCs w:val="20"/>
        </w:rPr>
        <w:t>，向下调整的概率远大于向上突破的概率，也一直建议投资者</w:t>
      </w:r>
      <w:r w:rsidRPr="00E762E6">
        <w:rPr>
          <w:rFonts w:ascii="Arial" w:eastAsia="楷体_GB2312" w:hAnsi="Arial" w:cs="Arial" w:hint="eastAsia"/>
          <w:color w:val="auto"/>
          <w:sz w:val="20"/>
          <w:szCs w:val="20"/>
        </w:rPr>
        <w:t>谨慎参与</w:t>
      </w:r>
      <w:r w:rsidR="00D86490">
        <w:rPr>
          <w:rFonts w:ascii="Arial" w:eastAsia="楷体_GB2312" w:hAnsi="Arial" w:cs="Arial" w:hint="eastAsia"/>
          <w:color w:val="auto"/>
          <w:sz w:val="20"/>
          <w:szCs w:val="20"/>
        </w:rPr>
        <w:t>，虽然</w:t>
      </w:r>
      <w:r w:rsidR="00D86490">
        <w:rPr>
          <w:rFonts w:ascii="Arial" w:eastAsia="楷体_GB2312" w:hAnsi="Arial" w:cs="Arial" w:hint="eastAsia"/>
          <w:color w:val="auto"/>
          <w:sz w:val="20"/>
          <w:szCs w:val="20"/>
        </w:rPr>
        <w:t>4</w:t>
      </w:r>
      <w:r w:rsidR="00D86490">
        <w:rPr>
          <w:rFonts w:ascii="Arial" w:eastAsia="楷体_GB2312" w:hAnsi="Arial" w:cs="Arial" w:hint="eastAsia"/>
          <w:color w:val="auto"/>
          <w:sz w:val="20"/>
          <w:szCs w:val="20"/>
        </w:rPr>
        <w:t>月以来债市已经出现了较大幅度的调整，但我们强调债市入场时机还未到，投资者继续观望为上</w:t>
      </w:r>
      <w:r w:rsidRPr="00E762E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债券内部券种选择上，利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率债方面，虽然通胀压力随着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3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月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CPI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的公布暂时消减，但经济走稳和供给冲击给债市带来的压力仍在，调整仍将延续，尤其是长</w:t>
      </w:r>
      <w:proofErr w:type="gramStart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债压力</w:t>
      </w:r>
      <w:proofErr w:type="gramEnd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较大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因此</w:t>
      </w:r>
      <w:proofErr w:type="gramStart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控制久期和</w:t>
      </w:r>
      <w:proofErr w:type="gramEnd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杠杆防守为上。信用债方面，在当前经济疲软、微观企业经营举步维艰的情形下，国企、</w:t>
      </w:r>
      <w:proofErr w:type="gramStart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央企的</w:t>
      </w:r>
      <w:proofErr w:type="gramEnd"/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刚性兑付频频被打破，近期信用评级遭到下调的事件也屡屡出现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，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因此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当前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谨慎选择投中高信用等级、经营业绩良好的公司债券作为配置对象，避免“踩雷”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为上</w:t>
      </w:r>
      <w:r w:rsidR="00CC4F7C" w:rsidRPr="00E762E6">
        <w:rPr>
          <w:rFonts w:ascii="Arial" w:eastAsia="楷体_GB2312" w:hAnsi="Arial" w:cs="Arial" w:hint="eastAsia"/>
          <w:color w:val="auto"/>
          <w:sz w:val="20"/>
          <w:szCs w:val="20"/>
        </w:rPr>
        <w:t>。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对于</w:t>
      </w:r>
      <w:r w:rsidR="00D86490" w:rsidRPr="00CC4F7C">
        <w:rPr>
          <w:rFonts w:ascii="Arial" w:eastAsia="楷体_GB2312" w:hAnsi="Arial" w:cs="Arial" w:hint="eastAsia"/>
          <w:color w:val="auto"/>
          <w:sz w:val="20"/>
          <w:szCs w:val="20"/>
        </w:rPr>
        <w:t>有</w:t>
      </w:r>
      <w:r w:rsidR="00D86490" w:rsidRPr="00AA37BA">
        <w:rPr>
          <w:rFonts w:ascii="Arial" w:eastAsia="楷体_GB2312" w:hAnsi="Arial" w:cs="Arial" w:hint="eastAsia"/>
          <w:color w:val="auto"/>
          <w:sz w:val="20"/>
          <w:szCs w:val="20"/>
        </w:rPr>
        <w:t>债券基金刚性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配置</w:t>
      </w:r>
      <w:r w:rsidR="00D86490" w:rsidRPr="00AA37BA">
        <w:rPr>
          <w:rFonts w:ascii="Arial" w:eastAsia="楷体_GB2312" w:hAnsi="Arial" w:cs="Arial" w:hint="eastAsia"/>
          <w:color w:val="auto"/>
          <w:sz w:val="20"/>
          <w:szCs w:val="20"/>
        </w:rPr>
        <w:t>需求的投资者，当前在</w:t>
      </w:r>
      <w:proofErr w:type="gramStart"/>
      <w:r w:rsidR="00D86490" w:rsidRPr="00AA37BA">
        <w:rPr>
          <w:rFonts w:ascii="Arial" w:eastAsia="楷体_GB2312" w:hAnsi="Arial" w:cs="Arial" w:hint="eastAsia"/>
          <w:color w:val="auto"/>
          <w:sz w:val="20"/>
          <w:szCs w:val="20"/>
        </w:rPr>
        <w:t>债基产品</w:t>
      </w:r>
      <w:proofErr w:type="gramEnd"/>
      <w:r w:rsidR="00D86490" w:rsidRPr="00AA37BA">
        <w:rPr>
          <w:rFonts w:ascii="Arial" w:eastAsia="楷体_GB2312" w:hAnsi="Arial" w:cs="Arial" w:hint="eastAsia"/>
          <w:color w:val="auto"/>
          <w:sz w:val="20"/>
          <w:szCs w:val="20"/>
        </w:rPr>
        <w:t>上要强调风险控制，</w:t>
      </w:r>
      <w:r w:rsidR="00CC4F7C" w:rsidRPr="00CC4F7C">
        <w:rPr>
          <w:rFonts w:ascii="Arial" w:eastAsia="楷体_GB2312" w:hAnsi="Arial" w:cs="Arial" w:hint="eastAsia"/>
          <w:color w:val="auto"/>
          <w:sz w:val="20"/>
          <w:szCs w:val="20"/>
        </w:rPr>
        <w:t>建议</w:t>
      </w:r>
      <w:proofErr w:type="gramStart"/>
      <w:r w:rsidR="00CC4F7C" w:rsidRPr="00CC4F7C">
        <w:rPr>
          <w:rFonts w:ascii="Arial" w:eastAsia="楷体_GB2312" w:hAnsi="Arial" w:cs="Arial" w:hint="eastAsia"/>
          <w:color w:val="auto"/>
          <w:sz w:val="20"/>
          <w:szCs w:val="20"/>
        </w:rPr>
        <w:t>精选久期短</w:t>
      </w:r>
      <w:proofErr w:type="gramEnd"/>
      <w:r w:rsidR="00CC4F7C" w:rsidRPr="00CC4F7C">
        <w:rPr>
          <w:rFonts w:ascii="Arial" w:eastAsia="楷体_GB2312" w:hAnsi="Arial" w:cs="Arial" w:hint="eastAsia"/>
          <w:color w:val="auto"/>
          <w:sz w:val="20"/>
          <w:szCs w:val="20"/>
        </w:rPr>
        <w:t>、杠杆较低和持券信用等级较高的基金，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例如以短融为主要投资标的</w:t>
      </w:r>
      <w:proofErr w:type="gramStart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的短融基金</w:t>
      </w:r>
      <w:proofErr w:type="gramEnd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是当前防守较好的品种</w:t>
      </w:r>
      <w:r w:rsidR="00CC4F7C" w:rsidRPr="00E762E6">
        <w:rPr>
          <w:rFonts w:ascii="Arial" w:eastAsia="楷体_GB2312" w:hAnsi="Arial" w:cs="Arial"/>
          <w:color w:val="auto"/>
          <w:sz w:val="20"/>
          <w:szCs w:val="20"/>
        </w:rPr>
        <w:t>。</w:t>
      </w:r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此外，参与股市和转债</w:t>
      </w:r>
      <w:proofErr w:type="gramStart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的债基也</w:t>
      </w:r>
      <w:proofErr w:type="gramEnd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可以适当关注，尤其是基金经理大类资产配置能力较强的，在股</w:t>
      </w:r>
      <w:proofErr w:type="gramStart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债之间</w:t>
      </w:r>
      <w:proofErr w:type="gramEnd"/>
      <w:r w:rsidR="00CC4F7C">
        <w:rPr>
          <w:rFonts w:ascii="Arial" w:eastAsia="楷体_GB2312" w:hAnsi="Arial" w:cs="Arial" w:hint="eastAsia"/>
          <w:color w:val="auto"/>
          <w:sz w:val="20"/>
          <w:szCs w:val="20"/>
        </w:rPr>
        <w:t>进行切换可以适当降低单一债市风险。</w:t>
      </w:r>
    </w:p>
    <w:p w:rsidR="00BC0BDC" w:rsidRDefault="00CC4F7C" w:rsidP="00AA37BA">
      <w:pPr>
        <w:pStyle w:val="a5"/>
        <w:spacing w:beforeLines="100" w:before="240" w:afterLines="100" w:after="240" w:line="260" w:lineRule="exact"/>
        <w:ind w:leftChars="1957" w:left="4110" w:rightChars="-34" w:right="-71" w:firstLineChars="169" w:firstLine="338"/>
        <w:rPr>
          <w:rFonts w:ascii="Arial" w:hAnsi="Arial" w:cs="Arial"/>
          <w:sz w:val="36"/>
          <w:szCs w:val="34"/>
        </w:rPr>
      </w:pPr>
      <w:r>
        <w:rPr>
          <w:rFonts w:ascii="Arial" w:eastAsia="楷体_GB2312" w:hAnsi="Arial" w:cs="Arial" w:hint="eastAsia"/>
          <w:color w:val="auto"/>
          <w:sz w:val="20"/>
          <w:szCs w:val="20"/>
        </w:rPr>
        <w:t xml:space="preserve"> </w:t>
      </w:r>
      <w:r w:rsidR="00BC0BDC" w:rsidRPr="002D6DED">
        <w:rPr>
          <w:rFonts w:ascii="Arial" w:eastAsia="楷体_GB2312" w:hAnsi="Arial" w:cs="Arial"/>
          <w:b/>
          <w:color w:val="auto"/>
          <w:sz w:val="20"/>
          <w:szCs w:val="20"/>
        </w:rPr>
        <w:t>QDII</w:t>
      </w:r>
      <w:r w:rsidR="00BC0BDC" w:rsidRPr="002D6DED">
        <w:rPr>
          <w:rFonts w:ascii="Arial" w:eastAsia="楷体_GB2312" w:hAnsi="Arial" w:cs="Arial"/>
          <w:b/>
          <w:color w:val="auto"/>
          <w:sz w:val="20"/>
          <w:szCs w:val="20"/>
        </w:rPr>
        <w:t>及商品基金等投资方面，</w:t>
      </w:r>
      <w:r w:rsidR="00BC0BDC" w:rsidRPr="00AE5A2B">
        <w:rPr>
          <w:rFonts w:ascii="Arial" w:eastAsia="楷体_GB2312" w:hAnsi="Arial" w:cs="Arial"/>
          <w:color w:val="auto"/>
          <w:sz w:val="20"/>
          <w:szCs w:val="20"/>
        </w:rPr>
        <w:t>建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议关注黄金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波段机会和大宗商品类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QDII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长期布局机会。在全球宽松政策乃至负利率的环境下，黄金的下跌空间有限，在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1200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处会有较强支撑，未来黄金走势受利率升降和避险需求影响较为明显。油气能源等大宗商品主题基金方面，</w:t>
      </w:r>
      <w:r w:rsidR="00013173">
        <w:rPr>
          <w:rFonts w:ascii="Arial" w:eastAsia="楷体_GB2312" w:hAnsi="Arial" w:cs="Arial" w:hint="eastAsia"/>
          <w:color w:val="auto"/>
          <w:sz w:val="20"/>
          <w:szCs w:val="20"/>
        </w:rPr>
        <w:t>尽管油价在近三周连续上涨，</w:t>
      </w:r>
      <w:r w:rsidR="00BC0BDC" w:rsidRPr="00ED6145">
        <w:rPr>
          <w:rFonts w:ascii="Arial" w:eastAsia="楷体_GB2312" w:hAnsi="Arial" w:cs="Arial" w:hint="eastAsia"/>
          <w:color w:val="auto"/>
          <w:sz w:val="20"/>
          <w:szCs w:val="20"/>
        </w:rPr>
        <w:t>但长期看依然处在低位，伴随中国经济回暖等长期投资者可以介入。</w:t>
      </w:r>
      <w:r w:rsidR="00BC0BDC" w:rsidRPr="00DE1137">
        <w:rPr>
          <w:rFonts w:ascii="Arial" w:hAnsi="Arial" w:cs="Arial"/>
          <w:sz w:val="36"/>
          <w:szCs w:val="34"/>
        </w:rPr>
        <w:br w:type="page"/>
      </w:r>
    </w:p>
    <w:p w:rsidR="00BC0BDC" w:rsidRPr="00AD065B" w:rsidRDefault="00BC0BDC" w:rsidP="00BC0BDC">
      <w:pPr>
        <w:widowControl/>
        <w:jc w:val="left"/>
        <w:rPr>
          <w:rFonts w:ascii="Arial" w:hAnsi="Arial" w:cs="Arial"/>
          <w:b/>
          <w:color w:val="000080"/>
          <w:kern w:val="0"/>
          <w:sz w:val="32"/>
          <w:szCs w:val="20"/>
        </w:rPr>
      </w:pPr>
      <w:r w:rsidRPr="00AD065B">
        <w:rPr>
          <w:rFonts w:ascii="Arial" w:hAnsi="Arial" w:cs="Arial"/>
          <w:b/>
          <w:color w:val="000080"/>
          <w:kern w:val="0"/>
          <w:sz w:val="32"/>
          <w:szCs w:val="20"/>
        </w:rPr>
        <w:lastRenderedPageBreak/>
        <w:t>免责声明</w:t>
      </w:r>
    </w:p>
    <w:p w:rsidR="00BC0BDC" w:rsidRPr="001805EA" w:rsidRDefault="00BC0BDC" w:rsidP="00BC0BDC">
      <w:pPr>
        <w:rPr>
          <w:rFonts w:ascii="Arial" w:hAnsi="Arial" w:cs="Arial"/>
          <w:b/>
          <w:color w:val="000080"/>
          <w:kern w:val="0"/>
          <w:sz w:val="20"/>
          <w:szCs w:val="20"/>
        </w:rPr>
      </w:pPr>
    </w:p>
    <w:p w:rsidR="00BC0BDC" w:rsidRPr="001805EA" w:rsidRDefault="00BC0BDC" w:rsidP="00BC0BDC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本报告中的所有内容版权均属上海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石财富基金销售有限公司（以下简称</w:t>
      </w:r>
      <w:r w:rsidRPr="001805EA">
        <w:rPr>
          <w:rFonts w:ascii="Arial" w:hAnsi="Arial" w:cs="Arial"/>
          <w:sz w:val="20"/>
          <w:szCs w:val="20"/>
        </w:rPr>
        <w:t>“</w:t>
      </w:r>
      <w:r w:rsidRPr="001805EA">
        <w:rPr>
          <w:rFonts w:ascii="Arial" w:hAnsi="Arial" w:cs="Arial"/>
          <w:sz w:val="20"/>
          <w:szCs w:val="20"/>
        </w:rPr>
        <w:t>本公司</w:t>
      </w:r>
      <w:r w:rsidRPr="001805EA">
        <w:rPr>
          <w:rFonts w:ascii="Arial" w:hAnsi="Arial" w:cs="Arial"/>
          <w:sz w:val="20"/>
          <w:szCs w:val="20"/>
        </w:rPr>
        <w:t>”</w:t>
      </w:r>
      <w:r w:rsidRPr="001805EA">
        <w:rPr>
          <w:rFonts w:ascii="Arial" w:hAnsi="Arial" w:cs="Arial"/>
          <w:sz w:val="20"/>
          <w:szCs w:val="20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1805EA">
        <w:rPr>
          <w:rFonts w:ascii="Arial" w:hAnsi="Arial" w:cs="Arial"/>
          <w:sz w:val="20"/>
          <w:szCs w:val="20"/>
        </w:rPr>
        <w:t>凯</w:t>
      </w:r>
      <w:proofErr w:type="gramEnd"/>
      <w:r w:rsidRPr="001805EA">
        <w:rPr>
          <w:rFonts w:ascii="Arial" w:hAnsi="Arial" w:cs="Arial"/>
          <w:sz w:val="20"/>
          <w:szCs w:val="20"/>
        </w:rPr>
        <w:t>石财富基金销售有限公司研究中心，且不得对本文进行任何有悖原意的引用和删改。</w:t>
      </w:r>
    </w:p>
    <w:p w:rsidR="00BC0BDC" w:rsidRPr="001805EA" w:rsidRDefault="00BC0BDC" w:rsidP="00BC0BDC">
      <w:pPr>
        <w:rPr>
          <w:rFonts w:ascii="Arial" w:hAnsi="Arial" w:cs="Arial"/>
          <w:sz w:val="20"/>
          <w:szCs w:val="20"/>
        </w:rPr>
      </w:pPr>
    </w:p>
    <w:p w:rsidR="00BC0BDC" w:rsidRPr="001805EA" w:rsidRDefault="00BC0BDC" w:rsidP="00BC0BDC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C0BDC" w:rsidRPr="001805EA" w:rsidRDefault="00BC0BDC" w:rsidP="00BC0BDC">
      <w:pPr>
        <w:rPr>
          <w:rFonts w:ascii="Arial" w:hAnsi="Arial" w:cs="Arial"/>
          <w:sz w:val="20"/>
          <w:szCs w:val="20"/>
        </w:rPr>
      </w:pPr>
    </w:p>
    <w:p w:rsidR="00BC0BDC" w:rsidRPr="001805EA" w:rsidRDefault="00BC0BDC" w:rsidP="00BC0BDC">
      <w:pPr>
        <w:rPr>
          <w:rFonts w:ascii="Arial" w:hAnsi="Arial" w:cs="Arial"/>
          <w:sz w:val="20"/>
          <w:szCs w:val="20"/>
        </w:rPr>
      </w:pPr>
      <w:r w:rsidRPr="001805EA">
        <w:rPr>
          <w:rFonts w:ascii="Arial" w:hAnsi="Arial" w:cs="Arial"/>
          <w:sz w:val="20"/>
          <w:szCs w:val="20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C0BDC" w:rsidRPr="00C97435" w:rsidRDefault="00BC0BDC" w:rsidP="00BC0BDC">
      <w:pPr>
        <w:ind w:rightChars="26" w:right="55"/>
        <w:rPr>
          <w:rFonts w:ascii="Arial" w:hAnsi="Arial" w:cs="Arial"/>
          <w:sz w:val="13"/>
        </w:rPr>
      </w:pPr>
    </w:p>
    <w:p w:rsidR="00BC0BDC" w:rsidRPr="008C25B9" w:rsidRDefault="00BC0BDC" w:rsidP="00BC0BDC"/>
    <w:p w:rsidR="00FA7E9A" w:rsidRPr="00BC0BDC" w:rsidRDefault="00FA7E9A"/>
    <w:sectPr w:rsidR="00FA7E9A" w:rsidRPr="00BC0BDC" w:rsidSect="00FA7E9A">
      <w:headerReference w:type="default" r:id="rId12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F2" w:rsidRDefault="00547FF2">
      <w:r>
        <w:separator/>
      </w:r>
    </w:p>
  </w:endnote>
  <w:endnote w:type="continuationSeparator" w:id="0">
    <w:p w:rsidR="00547FF2" w:rsidRDefault="005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90" w:rsidRPr="00D52111" w:rsidRDefault="00D86490" w:rsidP="00FA7E9A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F4F8CCE" wp14:editId="39D99FBA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D17F7B" wp14:editId="3C147484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A37BA" w:rsidRPr="00AA37BA">
      <w:rPr>
        <w:rFonts w:ascii="Arial" w:eastAsia="新宋体" w:hAnsi="Arial" w:cs="Arial"/>
        <w:noProof/>
        <w:sz w:val="15"/>
        <w:szCs w:val="13"/>
        <w:lang w:val="zh-CN"/>
      </w:rPr>
      <w:t>1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AA37BA" w:rsidRPr="00AA37BA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D86490" w:rsidRDefault="00D86490">
    <w:pPr>
      <w:pStyle w:val="a4"/>
      <w:rPr>
        <w:sz w:val="4"/>
        <w:szCs w:val="4"/>
      </w:rPr>
    </w:pPr>
  </w:p>
  <w:p w:rsidR="00D86490" w:rsidRDefault="00D86490">
    <w:pPr>
      <w:pStyle w:val="a4"/>
      <w:rPr>
        <w:rFonts w:ascii="楷体_GB2312"/>
        <w:sz w:val="4"/>
        <w:szCs w:val="4"/>
      </w:rPr>
    </w:pPr>
  </w:p>
  <w:p w:rsidR="00D86490" w:rsidRPr="00F957FD" w:rsidRDefault="00D86490" w:rsidP="00FA7E9A">
    <w:pPr>
      <w:pStyle w:val="a4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F2" w:rsidRDefault="00547FF2">
      <w:r>
        <w:separator/>
      </w:r>
    </w:p>
  </w:footnote>
  <w:footnote w:type="continuationSeparator" w:id="0">
    <w:p w:rsidR="00547FF2" w:rsidRDefault="00547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90" w:rsidRDefault="00D86490">
    <w:pPr>
      <w:pStyle w:val="a3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4144" behindDoc="0" locked="0" layoutInCell="1" allowOverlap="1" wp14:anchorId="2E27B2B2" wp14:editId="43FF3034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490" w:rsidRDefault="00D8649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9170E" wp14:editId="1C263799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90" w:rsidRPr="00880D7C" w:rsidRDefault="00D86490" w:rsidP="00FA7E9A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06.4pt;margin-top:6.15pt;width:217.1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D86490" w:rsidRPr="00880D7C" w:rsidRDefault="00D86490" w:rsidP="00FA7E9A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FB550" wp14:editId="1E4B718A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490" w:rsidRDefault="00D86490">
    <w:pPr>
      <w:pStyle w:val="a3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86F6A7F" wp14:editId="15556973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90" w:rsidRPr="00880D7C" w:rsidRDefault="00D86490" w:rsidP="00FA7E9A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周报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94.2pt;margin-top:4.35pt;width:217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0977AD" w:rsidRPr="00880D7C" w:rsidRDefault="00933E0A" w:rsidP="001A4A1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*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周报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8BB160E" wp14:editId="0C49D02F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D86490" w:rsidRDefault="00D86490">
    <w:pPr>
      <w:pStyle w:val="a3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C45E4A" wp14:editId="3661EDBD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35pt;height:11.35pt" o:bullet="t">
        <v:imagedata r:id="rId1" o:title="msoDF97"/>
      </v:shape>
    </w:pict>
  </w:numPicBullet>
  <w:numPicBullet w:numPicBulletId="1">
    <w:pict>
      <v:shape id="_x0000_i1062" type="#_x0000_t75" style="width:11.35pt;height:11.35pt" o:bullet="t">
        <v:imagedata r:id="rId2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1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05A4E40E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E7240534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DC"/>
    <w:rsid w:val="00013173"/>
    <w:rsid w:val="00026BEB"/>
    <w:rsid w:val="0003030C"/>
    <w:rsid w:val="00057E5D"/>
    <w:rsid w:val="000B626D"/>
    <w:rsid w:val="000C2467"/>
    <w:rsid w:val="00133685"/>
    <w:rsid w:val="0014299B"/>
    <w:rsid w:val="00160A2A"/>
    <w:rsid w:val="001A7B03"/>
    <w:rsid w:val="001C1A6C"/>
    <w:rsid w:val="001C5CB5"/>
    <w:rsid w:val="001F6AB0"/>
    <w:rsid w:val="00211C06"/>
    <w:rsid w:val="002B614C"/>
    <w:rsid w:val="002E01B4"/>
    <w:rsid w:val="002F137C"/>
    <w:rsid w:val="00354F69"/>
    <w:rsid w:val="00371D19"/>
    <w:rsid w:val="003807BD"/>
    <w:rsid w:val="003B2663"/>
    <w:rsid w:val="003B71D1"/>
    <w:rsid w:val="00421A7C"/>
    <w:rsid w:val="004D3417"/>
    <w:rsid w:val="004E0E69"/>
    <w:rsid w:val="00547FF2"/>
    <w:rsid w:val="005869EB"/>
    <w:rsid w:val="00593FEC"/>
    <w:rsid w:val="005F622B"/>
    <w:rsid w:val="00602B42"/>
    <w:rsid w:val="00627151"/>
    <w:rsid w:val="00663483"/>
    <w:rsid w:val="00682C16"/>
    <w:rsid w:val="00697F65"/>
    <w:rsid w:val="006E4FF7"/>
    <w:rsid w:val="008107DF"/>
    <w:rsid w:val="00835FC2"/>
    <w:rsid w:val="00865466"/>
    <w:rsid w:val="00894FAD"/>
    <w:rsid w:val="00933E0A"/>
    <w:rsid w:val="00953451"/>
    <w:rsid w:val="009B13DD"/>
    <w:rsid w:val="009C3037"/>
    <w:rsid w:val="009F7456"/>
    <w:rsid w:val="00AA37BA"/>
    <w:rsid w:val="00B2020D"/>
    <w:rsid w:val="00B62B3A"/>
    <w:rsid w:val="00B919C9"/>
    <w:rsid w:val="00BC0BDC"/>
    <w:rsid w:val="00C519AE"/>
    <w:rsid w:val="00C867BD"/>
    <w:rsid w:val="00CA600E"/>
    <w:rsid w:val="00CB711D"/>
    <w:rsid w:val="00CC4F7C"/>
    <w:rsid w:val="00D86490"/>
    <w:rsid w:val="00DD68AE"/>
    <w:rsid w:val="00E37112"/>
    <w:rsid w:val="00E44ED5"/>
    <w:rsid w:val="00E52B60"/>
    <w:rsid w:val="00EB3D52"/>
    <w:rsid w:val="00F36E7B"/>
    <w:rsid w:val="00F56A36"/>
    <w:rsid w:val="00FA7E9A"/>
    <w:rsid w:val="00FB14D9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C0BDC"/>
    <w:pPr>
      <w:widowControl w:val="0"/>
      <w:jc w:val="both"/>
    </w:pPr>
    <w:rPr>
      <w:rFonts w:ascii="Times New Roman" w:eastAsia="楷体_GB2312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BDC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C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BDC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BC0BDC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paragraph" w:styleId="a6">
    <w:name w:val="List Paragraph"/>
    <w:basedOn w:val="a"/>
    <w:uiPriority w:val="99"/>
    <w:qFormat/>
    <w:rsid w:val="00BC0BDC"/>
    <w:pPr>
      <w:ind w:firstLineChars="200" w:firstLine="420"/>
    </w:pPr>
  </w:style>
  <w:style w:type="character" w:customStyle="1" w:styleId="textsmall2">
    <w:name w:val="text_small2"/>
    <w:basedOn w:val="a0"/>
    <w:rsid w:val="00BC0BDC"/>
  </w:style>
  <w:style w:type="character" w:customStyle="1" w:styleId="3Char">
    <w:name w:val="标题 3 Char"/>
    <w:basedOn w:val="a0"/>
    <w:link w:val="3"/>
    <w:uiPriority w:val="9"/>
    <w:semiHidden/>
    <w:rsid w:val="00BC0BDC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C0B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0BDC"/>
    <w:rPr>
      <w:rFonts w:ascii="Times New Roman" w:eastAsia="楷体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BC0BDC"/>
    <w:pPr>
      <w:widowControl w:val="0"/>
      <w:jc w:val="both"/>
    </w:pPr>
    <w:rPr>
      <w:rFonts w:ascii="Times New Roman" w:eastAsia="楷体_GB2312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0B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0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0BDC"/>
    <w:rPr>
      <w:rFonts w:ascii="Times New Roman" w:eastAsia="楷体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BC0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0BDC"/>
    <w:rPr>
      <w:rFonts w:ascii="Times New Roman" w:eastAsia="楷体_GB2312" w:hAnsi="Times New Roman" w:cs="Times New Roman"/>
      <w:sz w:val="18"/>
      <w:szCs w:val="18"/>
    </w:rPr>
  </w:style>
  <w:style w:type="paragraph" w:styleId="a5">
    <w:name w:val="Block Text"/>
    <w:basedOn w:val="a"/>
    <w:rsid w:val="00BC0BDC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paragraph" w:styleId="a6">
    <w:name w:val="List Paragraph"/>
    <w:basedOn w:val="a"/>
    <w:uiPriority w:val="99"/>
    <w:qFormat/>
    <w:rsid w:val="00BC0BDC"/>
    <w:pPr>
      <w:ind w:firstLineChars="200" w:firstLine="420"/>
    </w:pPr>
  </w:style>
  <w:style w:type="character" w:customStyle="1" w:styleId="textsmall2">
    <w:name w:val="text_small2"/>
    <w:basedOn w:val="a0"/>
    <w:rsid w:val="00BC0BDC"/>
  </w:style>
  <w:style w:type="character" w:customStyle="1" w:styleId="3Char">
    <w:name w:val="标题 3 Char"/>
    <w:basedOn w:val="a0"/>
    <w:link w:val="3"/>
    <w:uiPriority w:val="9"/>
    <w:semiHidden/>
    <w:rsid w:val="00BC0BDC"/>
    <w:rPr>
      <w:rFonts w:ascii="Times New Roman" w:eastAsia="楷体_GB2312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C0BD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0BDC"/>
    <w:rPr>
      <w:rFonts w:ascii="Times New Roman" w:eastAsia="楷体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0609421003873599"/>
          <c:y val="4.452356199888919E-2"/>
          <c:w val="0.62978814329431532"/>
          <c:h val="0.884982127344450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报告图表!$B$29</c:f>
              <c:strCache>
                <c:ptCount val="1"/>
                <c:pt idx="0">
                  <c:v>涨跌</c:v>
                </c:pt>
              </c:strCache>
            </c:strRef>
          </c:tx>
          <c:invertIfNegative val="0"/>
          <c:cat>
            <c:strRef>
              <c:f>报告图表!$A$30:$A$58</c:f>
              <c:strCache>
                <c:ptCount val="29"/>
                <c:pt idx="0">
                  <c:v>计算机</c:v>
                </c:pt>
                <c:pt idx="1">
                  <c:v>传媒</c:v>
                </c:pt>
                <c:pt idx="2">
                  <c:v>综合</c:v>
                </c:pt>
                <c:pt idx="3">
                  <c:v>纺织服装</c:v>
                </c:pt>
                <c:pt idx="4">
                  <c:v>商贸零售</c:v>
                </c:pt>
                <c:pt idx="5">
                  <c:v>机械</c:v>
                </c:pt>
                <c:pt idx="6">
                  <c:v>轻工制造</c:v>
                </c:pt>
                <c:pt idx="7">
                  <c:v>电力设备</c:v>
                </c:pt>
                <c:pt idx="8">
                  <c:v>基础化工</c:v>
                </c:pt>
                <c:pt idx="9">
                  <c:v>国防军工</c:v>
                </c:pt>
                <c:pt idx="10">
                  <c:v>通信</c:v>
                </c:pt>
                <c:pt idx="11">
                  <c:v>建材</c:v>
                </c:pt>
                <c:pt idx="12">
                  <c:v>交通运输</c:v>
                </c:pt>
                <c:pt idx="13">
                  <c:v>电子元器件</c:v>
                </c:pt>
                <c:pt idx="14">
                  <c:v>建筑</c:v>
                </c:pt>
                <c:pt idx="15">
                  <c:v>餐饮旅游</c:v>
                </c:pt>
                <c:pt idx="16">
                  <c:v>医药</c:v>
                </c:pt>
                <c:pt idx="17">
                  <c:v>农林牧渔</c:v>
                </c:pt>
                <c:pt idx="18">
                  <c:v>房地产</c:v>
                </c:pt>
                <c:pt idx="19">
                  <c:v>电力及公用事业</c:v>
                </c:pt>
                <c:pt idx="20">
                  <c:v>石油石化</c:v>
                </c:pt>
                <c:pt idx="21">
                  <c:v>汽车</c:v>
                </c:pt>
                <c:pt idx="22">
                  <c:v>钢铁</c:v>
                </c:pt>
                <c:pt idx="23">
                  <c:v>家电</c:v>
                </c:pt>
                <c:pt idx="24">
                  <c:v>有色金属</c:v>
                </c:pt>
                <c:pt idx="25">
                  <c:v>食品饮料</c:v>
                </c:pt>
                <c:pt idx="26">
                  <c:v>煤炭</c:v>
                </c:pt>
                <c:pt idx="27">
                  <c:v>非银行金融</c:v>
                </c:pt>
                <c:pt idx="28">
                  <c:v>银行</c:v>
                </c:pt>
              </c:strCache>
            </c:strRef>
          </c:cat>
          <c:val>
            <c:numRef>
              <c:f>报告图表!$B$30:$B$58</c:f>
              <c:numCache>
                <c:formatCode>0.00%</c:formatCode>
                <c:ptCount val="29"/>
                <c:pt idx="0">
                  <c:v>-0.10519808745158453</c:v>
                </c:pt>
                <c:pt idx="1">
                  <c:v>-9.4210871028700863E-2</c:v>
                </c:pt>
                <c:pt idx="2">
                  <c:v>-7.6692587034684956E-2</c:v>
                </c:pt>
                <c:pt idx="3">
                  <c:v>-7.0408720222225885E-2</c:v>
                </c:pt>
                <c:pt idx="4">
                  <c:v>-6.8802514003289517E-2</c:v>
                </c:pt>
                <c:pt idx="5">
                  <c:v>-6.8713414856571564E-2</c:v>
                </c:pt>
                <c:pt idx="6">
                  <c:v>-6.7168974511714774E-2</c:v>
                </c:pt>
                <c:pt idx="7">
                  <c:v>-6.6207429558952424E-2</c:v>
                </c:pt>
                <c:pt idx="8">
                  <c:v>-6.6180818992883528E-2</c:v>
                </c:pt>
                <c:pt idx="9">
                  <c:v>-6.4846591585226321E-2</c:v>
                </c:pt>
                <c:pt idx="10">
                  <c:v>-6.3422182417625761E-2</c:v>
                </c:pt>
                <c:pt idx="11">
                  <c:v>-6.3304601737241728E-2</c:v>
                </c:pt>
                <c:pt idx="12">
                  <c:v>-6.2727734049588535E-2</c:v>
                </c:pt>
                <c:pt idx="13">
                  <c:v>-6.0362552670791485E-2</c:v>
                </c:pt>
                <c:pt idx="14">
                  <c:v>-5.9723491899607344E-2</c:v>
                </c:pt>
                <c:pt idx="15">
                  <c:v>-5.9653789090938429E-2</c:v>
                </c:pt>
                <c:pt idx="16">
                  <c:v>-5.7858461842699604E-2</c:v>
                </c:pt>
                <c:pt idx="17">
                  <c:v>-5.6230931886325324E-2</c:v>
                </c:pt>
                <c:pt idx="18">
                  <c:v>-5.5937661648880359E-2</c:v>
                </c:pt>
                <c:pt idx="19">
                  <c:v>-5.2621967003923187E-2</c:v>
                </c:pt>
                <c:pt idx="20">
                  <c:v>-4.8825686502294567E-2</c:v>
                </c:pt>
                <c:pt idx="21">
                  <c:v>-4.695176843686899E-2</c:v>
                </c:pt>
                <c:pt idx="22">
                  <c:v>-3.4968900619481325E-2</c:v>
                </c:pt>
                <c:pt idx="23">
                  <c:v>-3.478332370725945E-2</c:v>
                </c:pt>
                <c:pt idx="24">
                  <c:v>-3.2503545942448642E-2</c:v>
                </c:pt>
                <c:pt idx="25">
                  <c:v>-2.6453093640160352E-2</c:v>
                </c:pt>
                <c:pt idx="26">
                  <c:v>-2.6356999782061186E-2</c:v>
                </c:pt>
                <c:pt idx="27">
                  <c:v>-2.6316952326500997E-2</c:v>
                </c:pt>
                <c:pt idx="28">
                  <c:v>5.1833743443461255E-3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071040"/>
        <c:axId val="147409728"/>
      </c:barChart>
      <c:catAx>
        <c:axId val="234071040"/>
        <c:scaling>
          <c:orientation val="minMax"/>
        </c:scaling>
        <c:delete val="0"/>
        <c:axPos val="l"/>
        <c:majorTickMark val="out"/>
        <c:minorTickMark val="none"/>
        <c:tickLblPos val="low"/>
        <c:txPr>
          <a:bodyPr/>
          <a:lstStyle/>
          <a:p>
            <a:pPr>
              <a:defRPr sz="600"/>
            </a:pPr>
            <a:endParaRPr lang="zh-CN"/>
          </a:p>
        </c:txPr>
        <c:crossAx val="147409728"/>
        <c:crosses val="autoZero"/>
        <c:auto val="1"/>
        <c:lblAlgn val="ctr"/>
        <c:lblOffset val="100"/>
        <c:noMultiLvlLbl val="0"/>
      </c:catAx>
      <c:valAx>
        <c:axId val="14740972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700"/>
            </a:pPr>
            <a:endParaRPr lang="zh-CN"/>
          </a:p>
        </c:txPr>
        <c:crossAx val="234071040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7C35C-BE1C-446C-B3BA-6254E0F9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wangjie</dc:creator>
  <cp:lastModifiedBy>sangliuyu@hotmail.com</cp:lastModifiedBy>
  <cp:revision>36</cp:revision>
  <dcterms:created xsi:type="dcterms:W3CDTF">2016-04-21T05:31:00Z</dcterms:created>
  <dcterms:modified xsi:type="dcterms:W3CDTF">2016-04-25T04:14:00Z</dcterms:modified>
</cp:coreProperties>
</file>