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8C25B9" w:rsidRPr="00892126" w:rsidTr="001A4A12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8C25B9" w:rsidRPr="00C97435" w:rsidRDefault="008C25B9" w:rsidP="001A4A12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石公</w:t>
            </w:r>
            <w:proofErr w:type="gramStart"/>
            <w:r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>
              <w:rPr>
                <w:rFonts w:ascii="Arial" w:hAnsi="Arial" w:cs="Arial" w:hint="eastAsia"/>
                <w:b/>
                <w:sz w:val="32"/>
              </w:rPr>
              <w:t>周</w:t>
            </w:r>
            <w:r w:rsidRPr="00C97435">
              <w:rPr>
                <w:rFonts w:ascii="Arial" w:hAnsi="Arial" w:cs="Arial"/>
                <w:b/>
                <w:sz w:val="32"/>
              </w:rPr>
              <w:t>报</w:t>
            </w:r>
          </w:p>
          <w:p w:rsidR="008C25B9" w:rsidRPr="00D17A8C" w:rsidRDefault="008C25B9" w:rsidP="00666174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bookmarkStart w:id="0" w:name="_GoBack"/>
            <w:proofErr w:type="gramStart"/>
            <w:r w:rsidR="00CB336D">
              <w:rPr>
                <w:rFonts w:ascii="Arial" w:hAnsi="Arial" w:cs="Arial" w:hint="eastAsia"/>
                <w:b/>
                <w:sz w:val="32"/>
              </w:rPr>
              <w:t>债基</w:t>
            </w:r>
            <w:r w:rsidR="008B6A26">
              <w:rPr>
                <w:rFonts w:ascii="Arial" w:hAnsi="Arial" w:cs="Arial" w:hint="eastAsia"/>
                <w:b/>
                <w:sz w:val="32"/>
              </w:rPr>
              <w:t>大幅</w:t>
            </w:r>
            <w:proofErr w:type="gramEnd"/>
            <w:r w:rsidR="008B6A26">
              <w:rPr>
                <w:rFonts w:ascii="Arial" w:hAnsi="Arial" w:cs="Arial" w:hint="eastAsia"/>
                <w:b/>
                <w:sz w:val="32"/>
              </w:rPr>
              <w:t>调整，</w:t>
            </w:r>
            <w:r w:rsidR="00CB336D">
              <w:rPr>
                <w:rFonts w:ascii="Arial" w:hAnsi="Arial" w:cs="Arial" w:hint="eastAsia"/>
                <w:b/>
                <w:sz w:val="32"/>
              </w:rPr>
              <w:t>短期</w:t>
            </w:r>
            <w:r w:rsidR="008B6A26">
              <w:rPr>
                <w:rFonts w:ascii="Arial" w:hAnsi="Arial" w:cs="Arial" w:hint="eastAsia"/>
                <w:b/>
                <w:sz w:val="32"/>
              </w:rPr>
              <w:t>股债均需防范风险</w:t>
            </w:r>
            <w:bookmarkEnd w:id="0"/>
          </w:p>
        </w:tc>
      </w:tr>
      <w:tr w:rsidR="008C25B9" w:rsidRPr="00C97435" w:rsidTr="001A4A12">
        <w:trPr>
          <w:trHeight w:val="11778"/>
        </w:trPr>
        <w:tc>
          <w:tcPr>
            <w:tcW w:w="7621" w:type="dxa"/>
          </w:tcPr>
          <w:p w:rsidR="008C25B9" w:rsidRPr="00D917E9" w:rsidRDefault="008C25B9" w:rsidP="001A4A12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_GB2312" w:hAnsi="Arial" w:cs="Arial"/>
                <w:b/>
                <w:color w:val="000000"/>
                <w:sz w:val="22"/>
                <w:szCs w:val="22"/>
              </w:rPr>
            </w:pPr>
            <w:r w:rsidRPr="00D917E9">
              <w:rPr>
                <w:rStyle w:val="textsmall2"/>
                <w:rFonts w:ascii="楷体_GB2312" w:hAnsi="Arial" w:cs="Arial" w:hint="eastAsia"/>
                <w:b/>
                <w:color w:val="000000"/>
                <w:sz w:val="22"/>
                <w:szCs w:val="22"/>
              </w:rPr>
              <w:t>一周资本市场回顾</w:t>
            </w:r>
          </w:p>
          <w:p w:rsidR="008C25B9" w:rsidRPr="00205F9D" w:rsidRDefault="008C25B9" w:rsidP="001A4A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Pr="00C8750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沪指震荡</w:t>
            </w:r>
            <w:r w:rsidR="00F32B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走高</w:t>
            </w:r>
            <w:r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，</w:t>
            </w:r>
            <w:r w:rsidR="00F32B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沪股</w:t>
            </w:r>
            <w:proofErr w:type="gramStart"/>
            <w:r w:rsidR="00F32B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通大量净</w:t>
            </w:r>
            <w:proofErr w:type="gramEnd"/>
            <w:r w:rsidR="00F32B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流入</w:t>
            </w:r>
            <w:r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。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受周末证券公司风险控制指标调整及多重经济数据利好的影响，沪深两市在周一大幅高开，随后一路震荡走高，突破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3000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点关口，周二低开后弱势震荡，周三周四连续创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个月收盘新高。</w:t>
            </w:r>
            <w:r w:rsidR="00F32B67" w:rsidRPr="00F32B67">
              <w:rPr>
                <w:rFonts w:ascii="Arial" w:hAnsi="Arial" w:cs="Arial" w:hint="eastAsia"/>
                <w:sz w:val="20"/>
                <w:szCs w:val="20"/>
              </w:rPr>
              <w:t>同时，沪股通在前四个交易日连续净流入。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全周来看，上证综指涨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3.12%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，沪深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300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2.71%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，中小板指涨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2.66%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、创业板指涨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3.58%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29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个中信</w:t>
            </w:r>
            <w:proofErr w:type="gramStart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一级行业</w:t>
            </w:r>
            <w:proofErr w:type="gramEnd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全部上，其中煤炭（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8.25%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）、轻工制造（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5.53%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）、综合（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5.29%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）等</w:t>
            </w:r>
            <w:proofErr w:type="gramStart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行业涨幅</w:t>
            </w:r>
            <w:proofErr w:type="gramEnd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居前，食品饮料（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1.54%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）、银行（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2.33%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）、交通运输（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2.93%</w:t>
            </w:r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）等</w:t>
            </w:r>
            <w:proofErr w:type="gramStart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行业涨幅</w:t>
            </w:r>
            <w:proofErr w:type="gramEnd"/>
            <w:r w:rsidR="00777DFE" w:rsidRPr="00F32B67">
              <w:rPr>
                <w:rFonts w:ascii="Arial" w:hAnsi="Arial" w:cs="Arial" w:hint="eastAsia"/>
                <w:sz w:val="20"/>
                <w:szCs w:val="20"/>
              </w:rPr>
              <w:t>垫底。</w:t>
            </w:r>
          </w:p>
          <w:p w:rsidR="008C25B9" w:rsidRPr="00C57766" w:rsidRDefault="008C25B9" w:rsidP="001A4A1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C57766" w:rsidRPr="00C57766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资金面稳中趋紧，经济数据加压债市。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受季度缴税逐渐临近以及下周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 xml:space="preserve">MLF 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大量到期影响，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大行融出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谨慎，资金面稳中趋紧。当前市场预期经济复苏及通胀回升，债市</w:t>
            </w:r>
            <w:r w:rsid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表现乏力。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利率债方面，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国开债曲线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在经历连续四日不同幅度的上行之后</w:t>
            </w:r>
            <w:r w:rsid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在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周五</w:t>
            </w:r>
            <w:r w:rsid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大幅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下行。信用债方面，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城投债大幅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上行。全周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中债总净价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指数跌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0.36%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债企业债总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净价指数跌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0.67%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，中债国债总净价指数跌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0.27%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证转债涨</w:t>
            </w:r>
            <w:proofErr w:type="gramEnd"/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0.33%</w:t>
            </w:r>
            <w:r w:rsidR="00C57766" w:rsidRPr="00C57766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</w:p>
          <w:p w:rsidR="008C25B9" w:rsidRPr="00CC4BC6" w:rsidRDefault="008C25B9" w:rsidP="001A4A1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海外市场：</w:t>
            </w:r>
            <w:r w:rsidR="009963E8" w:rsidRPr="009963E8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风险资产偏好升温，全球股市大涨。</w:t>
            </w:r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在美联储推迟加息的背景下，中国部分经济数据回暖以及多哈会议有望达成</w:t>
            </w:r>
            <w:proofErr w:type="gramStart"/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冻产协议</w:t>
            </w:r>
            <w:proofErr w:type="gramEnd"/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等消息进一步提振了市场风险情绪，全球股市近几个交易</w:t>
            </w:r>
            <w:proofErr w:type="gramStart"/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日显著</w:t>
            </w:r>
            <w:proofErr w:type="gramEnd"/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走强。尽管经济现状和美联储升息前景因素目前仍对美元是利空因素，但是上周市场连续上涨提振美元出现低位反弹，美元指数小幅收涨</w:t>
            </w:r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0.52%</w:t>
            </w:r>
            <w:r w:rsidR="009963E8" w:rsidRPr="009963E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  <w:r w:rsidR="00205B4A" w:rsidRPr="00205B4A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金价先扬后抑，原油创下高点。</w:t>
            </w:r>
            <w:r w:rsidR="00205B4A" w:rsidRP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受中国经济数据回暖及多哈会议有望达成</w:t>
            </w:r>
            <w:proofErr w:type="gramStart"/>
            <w:r w:rsidR="00205B4A" w:rsidRP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冻产协议</w:t>
            </w:r>
            <w:proofErr w:type="gramEnd"/>
            <w:r w:rsidR="00205B4A" w:rsidRP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等消息的影响，市场避险情绪减弱，金价先扬后抑</w:t>
            </w:r>
            <w:r w:rsid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</w:t>
            </w:r>
            <w:r w:rsidR="00205B4A" w:rsidRP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油价</w:t>
            </w:r>
            <w:r w:rsid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则</w:t>
            </w:r>
            <w:r w:rsidR="00205B4A" w:rsidRPr="00205B4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受此提振创下高点。</w:t>
            </w:r>
          </w:p>
          <w:p w:rsidR="008C25B9" w:rsidRPr="002D6DED" w:rsidRDefault="008C25B9" w:rsidP="001A4A12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一周基金表现回顾</w:t>
            </w:r>
          </w:p>
          <w:p w:rsidR="008C25B9" w:rsidRDefault="008C25B9" w:rsidP="001A4A1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6DED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2D6DED">
              <w:rPr>
                <w:rFonts w:ascii="Arial" w:hAnsi="Arial" w:cs="Arial"/>
                <w:b/>
                <w:sz w:val="20"/>
                <w:szCs w:val="20"/>
              </w:rPr>
              <w:t>业绩：</w:t>
            </w:r>
            <w:r w:rsidRPr="002D6DED">
              <w:rPr>
                <w:rFonts w:ascii="Arial" w:hAnsi="Arial" w:cs="Arial"/>
                <w:sz w:val="20"/>
                <w:szCs w:val="20"/>
              </w:rPr>
              <w:t>普通股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基平均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3.27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，指数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股基平均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3.06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偏股型平均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3.24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偏债型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产品平均收益为</w:t>
            </w:r>
            <w:r>
              <w:rPr>
                <w:rFonts w:ascii="Arial" w:hAnsi="Arial" w:cs="Arial" w:hint="eastAsia"/>
                <w:sz w:val="20"/>
                <w:szCs w:val="20"/>
              </w:rPr>
              <w:t>0.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17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，灵活配置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1.46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，平衡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2.30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8C25B9" w:rsidRDefault="008C25B9" w:rsidP="001A4A12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  <w:szCs w:val="20"/>
              </w:rPr>
              <w:t>固定收益基金：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纯债基金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-0.43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，一级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-0.37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，二级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0.15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Pr="002D6DED">
              <w:rPr>
                <w:rFonts w:ascii="Arial" w:hAnsi="Arial" w:cs="Arial"/>
                <w:sz w:val="20"/>
                <w:szCs w:val="20"/>
              </w:rPr>
              <w:t>货币基金</w:t>
            </w:r>
            <w:proofErr w:type="gramStart"/>
            <w:r w:rsidRPr="002D6DED">
              <w:rPr>
                <w:rFonts w:ascii="Arial" w:hAnsi="Arial" w:cs="Arial"/>
                <w:sz w:val="20"/>
                <w:szCs w:val="20"/>
              </w:rPr>
              <w:t>七日年化收益率</w:t>
            </w:r>
            <w:proofErr w:type="gramEnd"/>
            <w:r w:rsidRPr="002D6DED">
              <w:rPr>
                <w:rFonts w:ascii="Arial" w:hAnsi="Arial" w:cs="Arial"/>
                <w:sz w:val="20"/>
                <w:szCs w:val="20"/>
              </w:rPr>
              <w:t>均值为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48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8C25B9" w:rsidRDefault="008C25B9" w:rsidP="001A4A12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</w:rPr>
              <w:t>商品及对冲基金</w:t>
            </w:r>
            <w:r>
              <w:rPr>
                <w:rFonts w:ascii="Arial" w:hAnsi="Arial" w:cs="Arial" w:hint="eastAsia"/>
                <w:b/>
                <w:sz w:val="20"/>
              </w:rPr>
              <w:t>：</w:t>
            </w:r>
            <w:r w:rsidRPr="002D6DED">
              <w:rPr>
                <w:rFonts w:ascii="Arial" w:hAnsi="Arial" w:cs="Arial"/>
                <w:sz w:val="20"/>
                <w:szCs w:val="20"/>
              </w:rPr>
              <w:t>商品基金平均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上涨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0.17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，以绝对收益为投资目标的股票多空类产品平均收益为</w:t>
            </w:r>
            <w:r>
              <w:rPr>
                <w:rFonts w:ascii="Arial" w:hAnsi="Arial" w:cs="Arial" w:hint="eastAsia"/>
                <w:sz w:val="20"/>
                <w:szCs w:val="20"/>
              </w:rPr>
              <w:t>0.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01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8C25B9" w:rsidRPr="00CC4BC6" w:rsidRDefault="008C25B9" w:rsidP="001A4A1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QDII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基金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hint="eastAsia"/>
              </w:rPr>
              <w:t xml:space="preserve"> </w:t>
            </w:r>
            <w:r w:rsidRPr="002D6DED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>
              <w:rPr>
                <w:rFonts w:ascii="Arial" w:hAnsi="Arial" w:cs="Arial"/>
                <w:sz w:val="20"/>
                <w:szCs w:val="20"/>
              </w:rPr>
              <w:t>基金</w:t>
            </w:r>
            <w:r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3.34</w:t>
            </w:r>
            <w:r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Pr="002D6DED">
              <w:rPr>
                <w:rFonts w:ascii="Arial" w:hAnsi="Arial" w:cs="Arial"/>
                <w:sz w:val="20"/>
                <w:szCs w:val="20"/>
              </w:rPr>
              <w:t>，从具体品种来看，</w:t>
            </w:r>
            <w:r w:rsidR="000C1063">
              <w:rPr>
                <w:rFonts w:ascii="Arial" w:hAnsi="Arial" w:cs="Arial"/>
                <w:sz w:val="20"/>
                <w:szCs w:val="20"/>
              </w:rPr>
              <w:t>大宗商品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0C1063">
              <w:rPr>
                <w:rFonts w:ascii="Arial" w:hAnsi="Arial" w:cs="Arial"/>
                <w:sz w:val="20"/>
                <w:szCs w:val="20"/>
              </w:rPr>
              <w:t>资源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>主题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>QDII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>表现最好，</w:t>
            </w:r>
            <w:r w:rsidR="000C1063">
              <w:rPr>
                <w:rFonts w:ascii="Arial" w:hAnsi="Arial" w:cs="Arial" w:hint="eastAsia"/>
                <w:sz w:val="20"/>
                <w:szCs w:val="20"/>
              </w:rPr>
              <w:t>黄金、不动产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>主题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 xml:space="preserve"> QDII</w:t>
            </w:r>
            <w:r w:rsidRPr="00CC4BC6">
              <w:rPr>
                <w:rFonts w:ascii="Arial" w:hAnsi="Arial" w:cs="Arial" w:hint="eastAsia"/>
                <w:sz w:val="20"/>
                <w:szCs w:val="20"/>
              </w:rPr>
              <w:t>表现较差。</w:t>
            </w:r>
          </w:p>
          <w:p w:rsidR="008C25B9" w:rsidRPr="002D6DED" w:rsidRDefault="008C25B9" w:rsidP="001A4A12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未来基金投资策略</w:t>
            </w:r>
          </w:p>
          <w:p w:rsidR="008C25B9" w:rsidRPr="00AD592D" w:rsidRDefault="008C25B9" w:rsidP="001A4A1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650E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FB650E">
              <w:rPr>
                <w:rFonts w:ascii="Arial" w:hAnsi="Arial" w:cs="Arial"/>
                <w:b/>
                <w:sz w:val="20"/>
                <w:szCs w:val="20"/>
              </w:rPr>
              <w:t>投资方面，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自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月</w:t>
            </w:r>
            <w:proofErr w:type="gramStart"/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凯</w:t>
            </w:r>
            <w:proofErr w:type="gramEnd"/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石策略指出多重利好叠加积极做多之后，市场持续了反弹行情，但随着反弹推进市场逐步显现疲态，成交量萎缩并且热点涣散，从后续市场方向选择看，市场继续强势上行需要更大且超出市场预期的利好刺激，但对于已经反弹超过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10%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的市场出现小幅调整仅仅是市场的自发行为。基于利好因素逐步弱化和被市场反映，市场上行乏力向下调整压力较大，短期</w:t>
            </w:r>
            <w:r w:rsidR="00CB336D">
              <w:rPr>
                <w:rFonts w:ascii="Arial" w:hAnsi="Arial" w:cs="Arial" w:hint="eastAsia"/>
                <w:sz w:val="20"/>
                <w:szCs w:val="20"/>
              </w:rPr>
              <w:t>我们调低对市场的乐观程度，关注风险因素，风</w:t>
            </w:r>
            <w:r w:rsidR="00CB336D" w:rsidRPr="00210BA8">
              <w:rPr>
                <w:rFonts w:ascii="Arial" w:hAnsi="Arial" w:cs="Arial" w:hint="eastAsia"/>
                <w:sz w:val="20"/>
                <w:szCs w:val="20"/>
              </w:rPr>
              <w:t>格配置上建议成长、周期均衡配置为好</w:t>
            </w:r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，价值周期将受益于供给</w:t>
            </w:r>
            <w:proofErr w:type="gramStart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侧改革</w:t>
            </w:r>
            <w:proofErr w:type="gramEnd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和经济企稳，而成长风格代表的新兴产业依然是未来中国经济的希望所在，同时从今年市场实际表现看，风格切换和轮</w:t>
            </w:r>
            <w:proofErr w:type="gramStart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动更加</w:t>
            </w:r>
            <w:proofErr w:type="gramEnd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频繁，捕捉难度不断加大不如进行相对均衡的配置。在弱市市场中投资者对业绩的关注</w:t>
            </w:r>
            <w:proofErr w:type="gramStart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度显著</w:t>
            </w:r>
            <w:proofErr w:type="gramEnd"/>
            <w:r w:rsidR="00CB336D" w:rsidRPr="00B46059">
              <w:rPr>
                <w:rFonts w:ascii="Arial" w:hAnsi="Arial" w:cs="Arial" w:hint="eastAsia"/>
                <w:sz w:val="20"/>
                <w:szCs w:val="20"/>
              </w:rPr>
              <w:t>提高，</w:t>
            </w:r>
            <w:r w:rsidR="00CB336D">
              <w:rPr>
                <w:rFonts w:ascii="Arial" w:hAnsi="Arial" w:cs="Arial" w:hint="eastAsia"/>
                <w:sz w:val="20"/>
                <w:szCs w:val="20"/>
              </w:rPr>
              <w:t>投资者可以加配稳健成长风格基金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8C25B9" w:rsidRPr="00ED6145" w:rsidRDefault="008C25B9" w:rsidP="001A4A1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ED6145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固定收益基金投资方面</w:t>
            </w:r>
            <w:r w:rsidRPr="00ED6145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，维持对当前债券市场已经处于高位，未来大概率处于震荡格局的判断，建议投资者谨慎参与。在债券基金的选择上，</w:t>
            </w:r>
            <w:r w:rsidR="00EA5F67" w:rsidRPr="00ED6145">
              <w:rPr>
                <w:rStyle w:val="textsmall2"/>
                <w:rFonts w:ascii="Arial" w:hAnsi="Arial" w:cs="Arial" w:hint="eastAsia"/>
                <w:sz w:val="20"/>
                <w:szCs w:val="20"/>
              </w:rPr>
              <w:t>建议投资组合精选久期、杠杆和信用等级，</w:t>
            </w:r>
            <w:r w:rsidR="00CB336D">
              <w:rPr>
                <w:rStyle w:val="textsmall2"/>
                <w:rFonts w:ascii="Arial" w:hAnsi="Arial" w:cs="Arial" w:hint="eastAsia"/>
                <w:sz w:val="20"/>
                <w:szCs w:val="20"/>
              </w:rPr>
              <w:t>关注参与股票和转债的大类资产配置灵活型品种</w:t>
            </w:r>
            <w:r w:rsidRPr="00ED6145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</w:p>
          <w:p w:rsidR="008C25B9" w:rsidRPr="007C4A6B" w:rsidRDefault="008C25B9" w:rsidP="001A4A12"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QDII</w:t>
            </w: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及商品基金等投资方面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，建议关注黄金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波段机会和大宗商品类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>
              <w:rPr>
                <w:rStyle w:val="textsmall2"/>
                <w:rFonts w:ascii="Arial" w:hAnsi="Arial" w:cs="Arial" w:hint="eastAsia"/>
                <w:sz w:val="20"/>
                <w:szCs w:val="20"/>
              </w:rPr>
              <w:t>长期布局机会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，大宗商品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配置价值突显。</w:t>
            </w:r>
          </w:p>
        </w:tc>
      </w:tr>
    </w:tbl>
    <w:p w:rsidR="008C25B9" w:rsidRPr="00C97435" w:rsidRDefault="008C25B9" w:rsidP="008C25B9">
      <w:pPr>
        <w:tabs>
          <w:tab w:val="left" w:pos="900"/>
        </w:tabs>
        <w:jc w:val="left"/>
        <w:rPr>
          <w:rFonts w:ascii="Arial" w:hAnsi="Arial" w:cs="Arial"/>
          <w:b/>
        </w:rPr>
        <w:sectPr w:rsidR="008C25B9" w:rsidRPr="00C97435" w:rsidSect="001A4A12">
          <w:headerReference w:type="default" r:id="rId8"/>
          <w:footerReference w:type="default" r:id="rId9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3EC74" wp14:editId="2CF30EC2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7AD" w:rsidRPr="004071E8" w:rsidRDefault="000977AD" w:rsidP="008C25B9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0977AD" w:rsidRPr="006D5835" w:rsidTr="001A4A12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0977AD" w:rsidRPr="006D5835" w:rsidRDefault="000977AD" w:rsidP="001A4A12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2016-04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977AD" w:rsidRPr="006D5835" w:rsidTr="001A4A12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0977AD" w:rsidRDefault="000977AD" w:rsidP="001A4A12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977AD" w:rsidRPr="00C97435" w:rsidRDefault="000977AD" w:rsidP="001A4A12"/>
                                <w:p w:rsidR="000977AD" w:rsidRPr="00F277FE" w:rsidRDefault="000977AD" w:rsidP="001A4A12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0977AD" w:rsidRPr="00537295" w:rsidRDefault="000977AD" w:rsidP="001A4A12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0977AD" w:rsidRDefault="000977AD" w:rsidP="001A4A12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977AD" w:rsidRPr="00812308" w:rsidRDefault="000977AD" w:rsidP="001A4A12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俞辰瑶</w:t>
                                  </w:r>
                                </w:p>
                                <w:p w:rsidR="000977AD" w:rsidRPr="00812308" w:rsidRDefault="000977AD" w:rsidP="001A4A12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yucy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@vstone.com.cn</w:t>
                                  </w:r>
                                </w:p>
                                <w:p w:rsidR="000977AD" w:rsidRPr="00F853B7" w:rsidRDefault="000977AD" w:rsidP="0066617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77AD" w:rsidRPr="006D5835" w:rsidTr="001A4A12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0977AD" w:rsidRPr="00C97435" w:rsidRDefault="000977AD" w:rsidP="001A4A12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977AD" w:rsidRPr="00C97435" w:rsidRDefault="000977AD" w:rsidP="001A4A12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0977AD" w:rsidRPr="007C4597" w:rsidRDefault="000977AD" w:rsidP="001A4A12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77AD" w:rsidRPr="004071E8" w:rsidRDefault="000977AD" w:rsidP="008C25B9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0977AD" w:rsidRPr="004071E8" w:rsidRDefault="000977AD" w:rsidP="008C25B9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0977AD" w:rsidRPr="006D5835" w:rsidTr="001A4A12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0977AD" w:rsidRPr="006D5835" w:rsidRDefault="000977AD" w:rsidP="001A4A12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2016-04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18</w:t>
                            </w:r>
                          </w:p>
                        </w:tc>
                      </w:tr>
                      <w:tr w:rsidR="000977AD" w:rsidRPr="006D5835" w:rsidTr="001A4A12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0977AD" w:rsidRDefault="000977AD" w:rsidP="001A4A12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977AD" w:rsidRPr="00C97435" w:rsidRDefault="000977AD" w:rsidP="001A4A12"/>
                          <w:p w:rsidR="000977AD" w:rsidRPr="00F277FE" w:rsidRDefault="000977AD" w:rsidP="001A4A12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0977AD" w:rsidRPr="00537295" w:rsidRDefault="000977AD" w:rsidP="001A4A12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0977AD" w:rsidRDefault="000977AD" w:rsidP="001A4A12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977AD" w:rsidRPr="00812308" w:rsidRDefault="000977AD" w:rsidP="001A4A12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俞辰瑶</w:t>
                            </w:r>
                          </w:p>
                          <w:p w:rsidR="000977AD" w:rsidRPr="00812308" w:rsidRDefault="000977AD" w:rsidP="001A4A12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yucy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@vstone.com.cn</w:t>
                            </w:r>
                          </w:p>
                          <w:p w:rsidR="000977AD" w:rsidRPr="00F853B7" w:rsidRDefault="000977AD" w:rsidP="006661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77AD" w:rsidRPr="006D5835" w:rsidTr="001A4A12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0977AD" w:rsidRPr="00C97435" w:rsidRDefault="000977AD" w:rsidP="001A4A12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977AD" w:rsidRPr="00C97435" w:rsidRDefault="000977AD" w:rsidP="001A4A12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0977AD" w:rsidRPr="007C4597" w:rsidRDefault="000977AD" w:rsidP="001A4A12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977AD" w:rsidRPr="004071E8" w:rsidRDefault="000977AD" w:rsidP="008C25B9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eastAsia"/>
          <w:b/>
        </w:rPr>
        <w:t>。</w:t>
      </w:r>
    </w:p>
    <w:p w:rsidR="008C25B9" w:rsidRPr="00C97435" w:rsidRDefault="008C25B9" w:rsidP="008C25B9">
      <w:pPr>
        <w:pStyle w:val="a6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0" wp14:anchorId="038A029F" wp14:editId="60932E94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0977AD" w:rsidRPr="00A64D32" w:rsidTr="001A4A12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FF630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3078.12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3.12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3272.21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2.71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7011.92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2.66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2309.68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3.58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-0.36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92.61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-0.67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977AD" w:rsidRPr="003F211B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120.80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FF630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4554.63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1.52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2082.78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1.62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17926.43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1.82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21337.81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4.64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16911.05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6.49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343.99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3.29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Pr="00A64D32" w:rsidRDefault="000977AD" w:rsidP="00FF630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Pr="003175BA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0.52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120.46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0.07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1235.70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-0.43</w:t>
                                  </w:r>
                                </w:p>
                              </w:tc>
                            </w:tr>
                            <w:tr w:rsidR="000977AD" w:rsidRPr="00A64D32" w:rsidTr="001A4A12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40.40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977AD" w:rsidRDefault="000977A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1.87</w:t>
                                  </w:r>
                                </w:p>
                              </w:tc>
                            </w:tr>
                          </w:tbl>
                          <w:p w:rsidR="000977AD" w:rsidRPr="00AD43BA" w:rsidRDefault="000977AD" w:rsidP="008C25B9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94" w:type="dxa"/>
                              <w:jc w:val="center"/>
                              <w:tblInd w:w="-10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</w:tblGrid>
                            <w:tr w:rsidR="000977AD" w:rsidRPr="00A64D32" w:rsidTr="008D6F94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977AD" w:rsidRDefault="000977AD" w:rsidP="00A4177C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中信一级行业涨跌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1-2016.0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77AD" w:rsidRPr="00A64D32" w:rsidTr="008D6F94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977AD" w:rsidRPr="00A64D32" w:rsidRDefault="000977AD" w:rsidP="001A4A1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F6A61F" wp14:editId="0D4FB3A1">
                                        <wp:extent cx="1924216" cy="3363402"/>
                                        <wp:effectExtent l="0" t="0" r="19050" b="27940"/>
                                        <wp:docPr id="11" name="图表 1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0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977AD" w:rsidRPr="00BC1770" w:rsidRDefault="000977AD" w:rsidP="008C25B9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0977AD" w:rsidRPr="00A64D32" w:rsidTr="001A4A12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FF630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3078.12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3.12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3272.21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2.71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7011.92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2.66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2309.68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3.58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119.25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-0.36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92.61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-0.67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977AD" w:rsidRPr="003F211B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120.80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FF630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4554.63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1.52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2082.78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1.62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17926.43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1.82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21337.81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4.64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16911.05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6.49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343.99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3.29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Pr="00A64D32" w:rsidRDefault="000977AD" w:rsidP="00FF630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Pr="003175BA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0.52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120.46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0.07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1235.70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-0.43</w:t>
                            </w:r>
                          </w:p>
                        </w:tc>
                      </w:tr>
                      <w:tr w:rsidR="000977AD" w:rsidRPr="00A64D32" w:rsidTr="001A4A12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40.40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977AD" w:rsidRDefault="000977A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1.87</w:t>
                            </w:r>
                          </w:p>
                        </w:tc>
                      </w:tr>
                    </w:tbl>
                    <w:p w:rsidR="000977AD" w:rsidRPr="00AD43BA" w:rsidRDefault="000977AD" w:rsidP="008C25B9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94" w:type="dxa"/>
                        <w:jc w:val="center"/>
                        <w:tblInd w:w="-10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</w:tblGrid>
                      <w:tr w:rsidR="000977AD" w:rsidRPr="00A64D32" w:rsidTr="008D6F94">
                        <w:trPr>
                          <w:trHeight w:val="435"/>
                          <w:jc w:val="center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977AD" w:rsidRDefault="000977AD" w:rsidP="00A4177C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中信一级行业涨跌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1-2016.0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0977AD" w:rsidRPr="00A64D32" w:rsidTr="008D6F94">
                        <w:trPr>
                          <w:trHeight w:val="2474"/>
                          <w:jc w:val="center"/>
                        </w:trPr>
                        <w:tc>
                          <w:tcPr>
                            <w:tcW w:w="3494" w:type="dxa"/>
                            <w:shd w:val="clear" w:color="auto" w:fill="auto"/>
                            <w:vAlign w:val="center"/>
                            <w:hideMark/>
                          </w:tcPr>
                          <w:p w:rsidR="000977AD" w:rsidRPr="00A64D32" w:rsidRDefault="000977AD" w:rsidP="001A4A1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6A61F" wp14:editId="0D4FB3A1">
                                  <wp:extent cx="1924216" cy="3363402"/>
                                  <wp:effectExtent l="0" t="0" r="19050" b="27940"/>
                                  <wp:docPr id="11" name="图表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977AD" w:rsidRPr="00BC1770" w:rsidRDefault="000977AD" w:rsidP="008C25B9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7435">
        <w:rPr>
          <w:rFonts w:ascii="Arial" w:hAnsi="Arial" w:cs="Arial"/>
          <w:b/>
          <w:color w:val="996600"/>
          <w:sz w:val="32"/>
          <w:szCs w:val="28"/>
        </w:rPr>
        <w:t>一周资本市场回顾</w:t>
      </w:r>
      <w:bookmarkEnd w:id="1"/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股市场</w:t>
      </w:r>
    </w:p>
    <w:p w:rsidR="008C25B9" w:rsidRPr="00F32B67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沪指</w:t>
      </w:r>
      <w:r w:rsidR="00F32B67"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震荡走高，沪股</w:t>
      </w:r>
      <w:proofErr w:type="gramStart"/>
      <w:r w:rsidR="00F32B67"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通大量</w:t>
      </w:r>
      <w:r w:rsid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净</w:t>
      </w:r>
      <w:proofErr w:type="gramEnd"/>
      <w:r w:rsid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流</w:t>
      </w:r>
      <w:r w:rsidR="00F32B67"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入</w:t>
      </w:r>
      <w:r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1A4A12" w:rsidRPr="00F32B67">
        <w:rPr>
          <w:rFonts w:ascii="Arial" w:eastAsia="楷体_GB2312" w:hAnsi="Arial" w:cs="Arial" w:hint="eastAsia"/>
          <w:color w:val="auto"/>
          <w:sz w:val="20"/>
          <w:szCs w:val="20"/>
        </w:rPr>
        <w:t>受周末证券公司风险控制指标调整及多重经济数据利好的影响，沪深两市在周一大幅高开，随后一路震荡走高，突破</w:t>
      </w:r>
      <w:r w:rsidR="001A4A12" w:rsidRPr="00F32B67">
        <w:rPr>
          <w:rFonts w:ascii="Arial" w:eastAsia="楷体_GB2312" w:hAnsi="Arial" w:cs="Arial" w:hint="eastAsia"/>
          <w:color w:val="auto"/>
          <w:sz w:val="20"/>
          <w:szCs w:val="20"/>
        </w:rPr>
        <w:t>3000</w:t>
      </w:r>
      <w:r w:rsidR="001A4A12" w:rsidRPr="00F32B67">
        <w:rPr>
          <w:rFonts w:ascii="Arial" w:eastAsia="楷体_GB2312" w:hAnsi="Arial" w:cs="Arial" w:hint="eastAsia"/>
          <w:color w:val="auto"/>
          <w:sz w:val="20"/>
          <w:szCs w:val="20"/>
        </w:rPr>
        <w:t>点关口，周二低开后弱势震荡，周三周四连续创</w:t>
      </w:r>
      <w:r w:rsidR="001A4A12" w:rsidRPr="00F32B67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1A4A12" w:rsidRPr="00F32B67">
        <w:rPr>
          <w:rFonts w:ascii="Arial" w:eastAsia="楷体_GB2312" w:hAnsi="Arial" w:cs="Arial" w:hint="eastAsia"/>
          <w:color w:val="auto"/>
          <w:sz w:val="20"/>
          <w:szCs w:val="20"/>
        </w:rPr>
        <w:t>个月收盘新高。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同时，沪股通在前四个交易日连续净流入。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截至周四，沪深两市两融余额合计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0977AD" w:rsidRPr="00F32B67">
        <w:rPr>
          <w:rFonts w:ascii="Arial" w:eastAsia="楷体_GB2312" w:hAnsi="Arial" w:cs="Arial" w:hint="eastAsia"/>
          <w:color w:val="auto"/>
          <w:sz w:val="20"/>
          <w:szCs w:val="20"/>
        </w:rPr>
        <w:t>970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亿元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，达到今年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F32B67" w:rsidRPr="00F32B67">
        <w:rPr>
          <w:rFonts w:ascii="Arial" w:eastAsia="楷体_GB2312" w:hAnsi="Arial" w:cs="Arial" w:hint="eastAsia"/>
          <w:color w:val="auto"/>
          <w:sz w:val="20"/>
          <w:szCs w:val="20"/>
        </w:rPr>
        <w:t>日以来的新高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。上周全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部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A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股的日成交金额均值为</w:t>
      </w:r>
      <w:r w:rsidR="000977AD" w:rsidRPr="00F32B67">
        <w:rPr>
          <w:rFonts w:ascii="Arial" w:eastAsia="楷体_GB2312" w:hAnsi="Arial" w:cs="Arial" w:hint="eastAsia"/>
          <w:color w:val="auto"/>
          <w:sz w:val="20"/>
          <w:szCs w:val="20"/>
        </w:rPr>
        <w:t>6560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亿，环比</w:t>
      </w:r>
      <w:r w:rsidR="000977AD" w:rsidRPr="00F32B67">
        <w:rPr>
          <w:rFonts w:ascii="Arial" w:eastAsia="楷体_GB2312" w:hAnsi="Arial" w:cs="Arial" w:hint="eastAsia"/>
          <w:color w:val="auto"/>
          <w:sz w:val="20"/>
          <w:szCs w:val="20"/>
        </w:rPr>
        <w:t>下降</w:t>
      </w:r>
      <w:r w:rsidR="000977AD" w:rsidRPr="00F32B67">
        <w:rPr>
          <w:rFonts w:ascii="Arial" w:eastAsia="楷体_GB2312" w:hAnsi="Arial" w:cs="Arial" w:hint="eastAsia"/>
          <w:color w:val="auto"/>
          <w:sz w:val="20"/>
          <w:szCs w:val="20"/>
        </w:rPr>
        <w:t>2.6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。全周来看，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上证综指涨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3.12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，沪深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300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2.71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，中小板指涨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66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、创业板指涨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3.58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182B42" w:rsidRPr="00F32B67">
        <w:rPr>
          <w:rFonts w:ascii="Arial" w:eastAsia="楷体_GB2312" w:hAnsi="Arial" w:cs="Arial"/>
          <w:color w:val="auto"/>
          <w:sz w:val="20"/>
          <w:szCs w:val="20"/>
        </w:rPr>
        <w:t>从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概念板块来</w:t>
      </w:r>
      <w:r w:rsidR="00182B42" w:rsidRPr="00F32B67">
        <w:rPr>
          <w:rFonts w:ascii="Arial" w:eastAsia="楷体_GB2312" w:hAnsi="Arial" w:cs="Arial"/>
          <w:color w:val="auto"/>
          <w:sz w:val="20"/>
          <w:szCs w:val="20"/>
        </w:rPr>
        <w:t>看，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次新股指数（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18.17%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）、基因检测指数（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8.13%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）、美丽中国指数（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7.68%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182B42" w:rsidRPr="00F32B67">
        <w:rPr>
          <w:rFonts w:ascii="Arial" w:eastAsia="楷体_GB2312" w:hAnsi="Arial" w:cs="Arial"/>
          <w:color w:val="auto"/>
          <w:sz w:val="20"/>
          <w:szCs w:val="20"/>
        </w:rPr>
        <w:t>表现较好。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29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个中信</w:t>
      </w:r>
      <w:proofErr w:type="gramStart"/>
      <w:r w:rsidRPr="00F32B67">
        <w:rPr>
          <w:rFonts w:ascii="Arial" w:eastAsia="楷体_GB2312" w:hAnsi="Arial" w:cs="Arial"/>
          <w:color w:val="auto"/>
          <w:sz w:val="20"/>
          <w:szCs w:val="20"/>
        </w:rPr>
        <w:t>一级行业</w:t>
      </w:r>
      <w:proofErr w:type="gramEnd"/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全部上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，其中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煤炭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8.25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轻工制造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5.53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综合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5.29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）等</w:t>
      </w:r>
      <w:proofErr w:type="gramStart"/>
      <w:r w:rsidRPr="00F32B67">
        <w:rPr>
          <w:rFonts w:ascii="Arial" w:eastAsia="楷体_GB2312" w:hAnsi="Arial" w:cs="Arial"/>
          <w:color w:val="auto"/>
          <w:sz w:val="20"/>
          <w:szCs w:val="20"/>
        </w:rPr>
        <w:t>行业涨幅</w:t>
      </w:r>
      <w:proofErr w:type="gramEnd"/>
      <w:r w:rsidRPr="00F32B67">
        <w:rPr>
          <w:rFonts w:ascii="Arial" w:eastAsia="楷体_GB2312" w:hAnsi="Arial" w:cs="Arial"/>
          <w:color w:val="auto"/>
          <w:sz w:val="20"/>
          <w:szCs w:val="20"/>
        </w:rPr>
        <w:t>居前，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食品饮料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1.54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银行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2.33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交通运输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2.93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）等</w:t>
      </w:r>
      <w:proofErr w:type="gramStart"/>
      <w:r w:rsidRPr="00F32B67">
        <w:rPr>
          <w:rFonts w:ascii="Arial" w:eastAsia="楷体_GB2312" w:hAnsi="Arial" w:cs="Arial"/>
          <w:color w:val="auto"/>
          <w:sz w:val="20"/>
          <w:szCs w:val="20"/>
        </w:rPr>
        <w:t>行业</w:t>
      </w:r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涨幅</w:t>
      </w:r>
      <w:proofErr w:type="gramEnd"/>
      <w:r w:rsidR="00182B42" w:rsidRPr="00F32B67">
        <w:rPr>
          <w:rFonts w:ascii="Arial" w:eastAsia="楷体_GB2312" w:hAnsi="Arial" w:cs="Arial" w:hint="eastAsia"/>
          <w:color w:val="auto"/>
          <w:sz w:val="20"/>
          <w:szCs w:val="20"/>
        </w:rPr>
        <w:t>垫底</w:t>
      </w:r>
      <w:r w:rsidRPr="00F32B67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国内债券市场</w:t>
      </w:r>
    </w:p>
    <w:p w:rsidR="008C25B9" w:rsidRPr="00630DF1" w:rsidRDefault="008C25B9" w:rsidP="00E83620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630DF1">
        <w:rPr>
          <w:rFonts w:ascii="Arial" w:eastAsia="楷体_GB2312" w:hAnsi="Arial" w:cs="Arial" w:hint="eastAsia"/>
          <w:b/>
          <w:color w:val="auto"/>
          <w:sz w:val="20"/>
          <w:szCs w:val="20"/>
        </w:rPr>
        <w:t>资金面</w:t>
      </w:r>
      <w:r w:rsidR="00630DF1" w:rsidRPr="00630DF1">
        <w:rPr>
          <w:rFonts w:ascii="Arial" w:eastAsia="楷体_GB2312" w:hAnsi="Arial" w:cs="Arial" w:hint="eastAsia"/>
          <w:b/>
          <w:color w:val="auto"/>
          <w:sz w:val="20"/>
          <w:szCs w:val="20"/>
        </w:rPr>
        <w:t>稳中趋紧</w:t>
      </w:r>
      <w:r w:rsidRPr="00630DF1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630DF1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经济数据加压债市</w:t>
      </w:r>
      <w:r w:rsidRPr="00666174">
        <w:rPr>
          <w:rFonts w:ascii="Arial" w:eastAsia="楷体_GB2312" w:hAnsi="Arial" w:cs="Arial"/>
          <w:b/>
          <w:color w:val="000000" w:themeColor="text1"/>
          <w:sz w:val="20"/>
          <w:szCs w:val="20"/>
        </w:rPr>
        <w:t>。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央行上周公开市场净投放</w:t>
      </w:r>
      <w:r w:rsidR="00D534BC" w:rsidRPr="00630DF1">
        <w:rPr>
          <w:rFonts w:ascii="Arial" w:eastAsia="楷体_GB2312" w:hAnsi="Arial" w:cs="Arial" w:hint="eastAsia"/>
          <w:color w:val="auto"/>
          <w:sz w:val="20"/>
          <w:szCs w:val="20"/>
        </w:rPr>
        <w:t>700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亿。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受季度缴税逐渐临近以及下周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MLF 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大量到期影响，</w:t>
      </w:r>
      <w:proofErr w:type="gramStart"/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大行融出</w:t>
      </w:r>
      <w:proofErr w:type="gramEnd"/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谨慎，银行间资金面小幅收紧。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4 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13 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日，为保持银行体系流动性合理充裕，人民银行对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17 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家金融机构开展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MLF </w:t>
      </w:r>
      <w:proofErr w:type="gramStart"/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操作共</w:t>
      </w:r>
      <w:proofErr w:type="gramEnd"/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2855</w:t>
      </w:r>
      <w:r w:rsidR="00630DF1" w:rsidRPr="00630DF1">
        <w:rPr>
          <w:rFonts w:ascii="Arial" w:eastAsia="楷体_GB2312" w:hAnsi="Arial" w:cs="Arial" w:hint="eastAsia"/>
          <w:color w:val="auto"/>
          <w:sz w:val="20"/>
          <w:szCs w:val="20"/>
        </w:rPr>
        <w:t>亿元，资金面稳中趋紧。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货币利率小幅回升。短端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不变。银行间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R007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45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2.0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>虽然周一披露的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CPI 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>涨幅低于预期，但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 xml:space="preserve">PPI 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>环比转正</w:t>
      </w:r>
      <w:r w:rsidR="00A53F57">
        <w:rPr>
          <w:rFonts w:ascii="Arial" w:eastAsia="楷体_GB2312" w:hAnsi="Arial" w:cs="Arial" w:hint="eastAsia"/>
          <w:color w:val="auto"/>
          <w:sz w:val="20"/>
          <w:szCs w:val="20"/>
        </w:rPr>
        <w:t>，债市现券</w:t>
      </w:r>
      <w:r w:rsidR="00D82C46" w:rsidRPr="00630DF1">
        <w:rPr>
          <w:rFonts w:ascii="Arial" w:eastAsia="楷体_GB2312" w:hAnsi="Arial" w:cs="Arial" w:hint="eastAsia"/>
          <w:color w:val="auto"/>
          <w:sz w:val="20"/>
          <w:szCs w:val="20"/>
        </w:rPr>
        <w:t>表现乏力。</w:t>
      </w:r>
      <w:r w:rsidR="00A53F57">
        <w:rPr>
          <w:rFonts w:ascii="Arial" w:eastAsia="楷体_GB2312" w:hAnsi="Arial" w:cs="Arial" w:hint="eastAsia"/>
          <w:color w:val="auto"/>
          <w:sz w:val="20"/>
          <w:szCs w:val="20"/>
        </w:rPr>
        <w:t>同时，</w:t>
      </w:r>
      <w:r w:rsidR="00A53F57" w:rsidRPr="00A53F57">
        <w:rPr>
          <w:rFonts w:ascii="Arial" w:eastAsia="楷体_GB2312" w:hAnsi="Arial" w:cs="Arial" w:hint="eastAsia"/>
          <w:color w:val="auto"/>
          <w:sz w:val="20"/>
          <w:szCs w:val="20"/>
        </w:rPr>
        <w:t>当前市场预期经济复苏及通胀回升，债市加速调整，供给冲击对市场影响也会相应加大，需有所警惕。</w:t>
      </w:r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利率债方面，</w:t>
      </w:r>
      <w:proofErr w:type="gramStart"/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国开债曲线</w:t>
      </w:r>
      <w:proofErr w:type="gramEnd"/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在经历连续四日不同幅度的上行之后</w:t>
      </w:r>
      <w:r w:rsidR="00C57766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周五</w:t>
      </w:r>
      <w:r w:rsidR="00C57766">
        <w:rPr>
          <w:rFonts w:ascii="Arial" w:eastAsia="楷体_GB2312" w:hAnsi="Arial" w:cs="Arial" w:hint="eastAsia"/>
          <w:color w:val="auto"/>
          <w:sz w:val="20"/>
          <w:szCs w:val="20"/>
        </w:rPr>
        <w:t>大幅</w:t>
      </w:r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下行。信用债方面，收益率整体上行，其中</w:t>
      </w:r>
      <w:proofErr w:type="gramStart"/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城投债大幅</w:t>
      </w:r>
      <w:proofErr w:type="gramEnd"/>
      <w:r w:rsidR="00E83620">
        <w:rPr>
          <w:rFonts w:ascii="Arial" w:eastAsia="楷体_GB2312" w:hAnsi="Arial" w:cs="Arial" w:hint="eastAsia"/>
          <w:color w:val="auto"/>
          <w:sz w:val="20"/>
          <w:szCs w:val="20"/>
        </w:rPr>
        <w:t>上行。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全周</w:t>
      </w:r>
      <w:proofErr w:type="gramStart"/>
      <w:r w:rsidRPr="00630DF1">
        <w:rPr>
          <w:rFonts w:ascii="Arial" w:eastAsia="楷体_GB2312" w:hAnsi="Arial" w:cs="Arial"/>
          <w:color w:val="auto"/>
          <w:sz w:val="20"/>
          <w:szCs w:val="20"/>
        </w:rPr>
        <w:t>中债总净价</w:t>
      </w:r>
      <w:proofErr w:type="gramEnd"/>
      <w:r w:rsidRPr="00630DF1">
        <w:rPr>
          <w:rFonts w:ascii="Arial" w:eastAsia="楷体_GB2312" w:hAnsi="Arial" w:cs="Arial"/>
          <w:color w:val="auto"/>
          <w:sz w:val="20"/>
          <w:szCs w:val="20"/>
        </w:rPr>
        <w:t>指数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Pr="00630DF1">
        <w:rPr>
          <w:rFonts w:ascii="Arial" w:eastAsia="楷体_GB2312" w:hAnsi="Arial" w:cs="Arial"/>
          <w:color w:val="auto"/>
          <w:sz w:val="20"/>
          <w:szCs w:val="20"/>
        </w:rPr>
        <w:t>债企业债总</w:t>
      </w:r>
      <w:proofErr w:type="gramEnd"/>
      <w:r w:rsidRPr="00630DF1">
        <w:rPr>
          <w:rFonts w:ascii="Arial" w:eastAsia="楷体_GB2312" w:hAnsi="Arial" w:cs="Arial"/>
          <w:color w:val="auto"/>
          <w:sz w:val="20"/>
          <w:szCs w:val="20"/>
        </w:rPr>
        <w:t>净价指数跌</w:t>
      </w:r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67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，中债国债总净价指数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Pr="00630DF1">
        <w:rPr>
          <w:rFonts w:ascii="Arial" w:eastAsia="楷体_GB2312" w:hAnsi="Arial" w:cs="Arial"/>
          <w:color w:val="auto"/>
          <w:sz w:val="20"/>
          <w:szCs w:val="20"/>
        </w:rPr>
        <w:t>证转债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proofErr w:type="gramEnd"/>
      <w:r w:rsidRPr="00630DF1"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EC4163" w:rsidRPr="00630DF1">
        <w:rPr>
          <w:rFonts w:ascii="Arial" w:eastAsia="楷体_GB2312" w:hAnsi="Arial" w:cs="Arial" w:hint="eastAsia"/>
          <w:color w:val="auto"/>
          <w:sz w:val="20"/>
          <w:szCs w:val="20"/>
        </w:rPr>
        <w:t>33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630DF1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E762E6" w:rsidRPr="00E762E6" w:rsidRDefault="00AE5A2B" w:rsidP="009963E8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风险资产偏好升温，全球股市大涨</w:t>
      </w:r>
      <w:r w:rsidR="00E762E6" w:rsidRPr="00E762E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在美联储推迟加息的背景下，中国部分经济数据回暖以及多哈会议有望达成</w:t>
      </w:r>
      <w:proofErr w:type="gramStart"/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冻产协议</w:t>
      </w:r>
      <w:proofErr w:type="gramEnd"/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等消息进一步提振了市场风险情绪，全球股市近几个交易</w:t>
      </w:r>
      <w:proofErr w:type="gramStart"/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日显著</w:t>
      </w:r>
      <w:proofErr w:type="gramEnd"/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走强。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尽管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经济现状和美联储升息前景因素目前仍对美元是利空因素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但是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上周市场连续上涨提振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美元出现低位反弹，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加上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美元兑日元反弹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及</w:t>
      </w:r>
      <w:r w:rsidR="009963E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欧元</w:t>
      </w:r>
      <w:r w:rsid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兑美元</w:t>
      </w:r>
      <w:r w:rsidR="009963E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下滑</w:t>
      </w:r>
      <w:r w:rsidR="00F37EC5" w:rsidRPr="00F37E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带动美元指数总体回升</w:t>
      </w:r>
      <w:r w:rsidR="009963E8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，美元指数小幅收涨</w:t>
      </w:r>
      <w:r w:rsidR="009963E8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0.52%</w:t>
      </w:r>
      <w:r w:rsidR="009963E8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全周来看，美国市场，标普、道指、</w:t>
      </w:r>
      <w:proofErr w:type="gramStart"/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纳指上周</w:t>
      </w:r>
      <w:proofErr w:type="gramEnd"/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分别累计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上涨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1.62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82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1.52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；欧洲市场，德国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指数、法国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指数、英国富时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指数上周涨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幅分别为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4.46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4.46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2.25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8C25B9" w:rsidRDefault="00647ECE" w:rsidP="007435C6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金价先扬后抑</w:t>
      </w:r>
      <w:r w:rsidR="00205B4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，原油创下高点</w:t>
      </w:r>
      <w:r w:rsidR="00E762E6" w:rsidRPr="00E762E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受中国经济数据回暖及</w:t>
      </w:r>
      <w:r w:rsidR="00205B4A" w:rsidRP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多哈会议有望达成</w:t>
      </w:r>
      <w:proofErr w:type="gramStart"/>
      <w:r w:rsidR="00205B4A" w:rsidRP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冻产协议</w:t>
      </w:r>
      <w:proofErr w:type="gramEnd"/>
      <w:r w:rsidR="00205B4A" w:rsidRP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等消息</w:t>
      </w:r>
      <w:r w:rsid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的影响，市场避险情绪减弱，金价在周一上涨后周二冲高回落。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在全球宽松政策乃至负利率的环境下，黄金的下跌空间有限，在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1200</w:t>
      </w:r>
      <w:r w:rsidR="00E762E6" w:rsidRPr="00E762E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处会有较强支撑。原油方面，</w:t>
      </w:r>
      <w:r w:rsid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根据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近期科威特驻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OPEC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代表的言论表示，本月的限产会议即使没有伊朗参加也能达成协议，这缓解了投资者对会议谈崩的疑虑。随着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17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</w:t>
      </w:r>
      <w:proofErr w:type="gramStart"/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冻产会议</w:t>
      </w:r>
      <w:proofErr w:type="gramEnd"/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越来越近，该官员的最新讲话使得达成产量冻结协议的希望回暖，本周油价受此提振</w:t>
      </w:r>
      <w:r w:rsidR="00205B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创下高点</w:t>
      </w:r>
      <w:r w:rsidRPr="00647ECE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7435C6" w:rsidRDefault="007435C6" w:rsidP="007435C6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p w:rsidR="007435C6" w:rsidRPr="00E762E6" w:rsidRDefault="007435C6" w:rsidP="007435C6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180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666174" w:rsidRPr="00666174" w:rsidTr="001A4A12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8C25B9" w:rsidRPr="00666174" w:rsidRDefault="008C25B9" w:rsidP="001A4A1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国内经济重要数据</w:t>
            </w:r>
          </w:p>
        </w:tc>
      </w:tr>
      <w:tr w:rsidR="00666174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5B9" w:rsidRPr="00666174" w:rsidRDefault="008C25B9" w:rsidP="001A4A1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8C25B9" w:rsidRPr="00666174" w:rsidRDefault="008C25B9" w:rsidP="001A4A1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666174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5B9" w:rsidRPr="00666174" w:rsidRDefault="00666174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3月CPI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25B9" w:rsidRPr="00666174" w:rsidRDefault="00666174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同比上涨2.3%</w:t>
            </w:r>
          </w:p>
        </w:tc>
      </w:tr>
      <w:tr w:rsidR="00666174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25B9" w:rsidRPr="00666174" w:rsidRDefault="00666174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8C25B9" w:rsidRPr="00666174" w:rsidRDefault="00666174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同比下降4.3%</w:t>
            </w:r>
          </w:p>
        </w:tc>
      </w:tr>
      <w:tr w:rsidR="00666174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5B9" w:rsidRPr="00666174" w:rsidRDefault="00C608EC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3月出口（按美元计）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25B9" w:rsidRPr="00666174" w:rsidRDefault="00B33891" w:rsidP="001A4A12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同比增长</w:t>
            </w:r>
            <w:r w:rsidR="00C608EC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11.5%</w:t>
            </w:r>
          </w:p>
        </w:tc>
      </w:tr>
      <w:tr w:rsidR="00666174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25B9" w:rsidRPr="00666174" w:rsidRDefault="00C608EC" w:rsidP="001A4A12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2F627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3月M2</w:t>
            </w:r>
            <w:r w:rsidR="00A43770" w:rsidRPr="002F627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货币供应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8C25B9" w:rsidRPr="00666174" w:rsidRDefault="00A43770" w:rsidP="001A4A12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  <w:t>同比增长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13.4%</w:t>
            </w:r>
          </w:p>
        </w:tc>
      </w:tr>
      <w:tr w:rsidR="00A43770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70" w:rsidRDefault="00A43770" w:rsidP="00A43770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A43770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3月新增人民币贷款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770" w:rsidRDefault="00A43770" w:rsidP="00C608EC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A43770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13700亿</w:t>
            </w:r>
          </w:p>
        </w:tc>
      </w:tr>
      <w:tr w:rsidR="00A43770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70" w:rsidRPr="00D77ADC" w:rsidRDefault="00A43770" w:rsidP="00C608EC">
            <w:pPr>
              <w:jc w:val="center"/>
              <w:rPr>
                <w:rFonts w:ascii="楷体" w:eastAsia="楷体" w:hAnsi="楷体" w:cs="宋体"/>
                <w:sz w:val="16"/>
                <w:szCs w:val="16"/>
              </w:rPr>
            </w:pPr>
            <w:r w:rsidRPr="00D77ADC">
              <w:rPr>
                <w:rFonts w:ascii="楷体" w:eastAsia="楷体" w:hAnsi="楷体" w:cs="宋体" w:hint="eastAsia"/>
                <w:sz w:val="16"/>
                <w:szCs w:val="16"/>
              </w:rPr>
              <w:t>3月社会消费品零售总额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770" w:rsidRPr="00D77ADC" w:rsidRDefault="00A43770" w:rsidP="00C608EC">
            <w:pPr>
              <w:jc w:val="center"/>
              <w:rPr>
                <w:rFonts w:ascii="楷体" w:eastAsia="楷体" w:hAnsi="楷体" w:cs="宋体"/>
                <w:sz w:val="16"/>
                <w:szCs w:val="16"/>
              </w:rPr>
            </w:pPr>
            <w:r w:rsidRPr="00D77ADC">
              <w:rPr>
                <w:rFonts w:ascii="楷体" w:eastAsia="楷体" w:hAnsi="楷体" w:cs="宋体" w:hint="eastAsia"/>
                <w:sz w:val="16"/>
                <w:szCs w:val="16"/>
              </w:rPr>
              <w:t>同比增长10.5%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A43770" w:rsidP="00C608EC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3月规模以上工业增加值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C608EC" w:rsidP="00A43770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同比增长</w:t>
            </w:r>
            <w:r w:rsidR="008A3B60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6.8</w:t>
            </w: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%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608EC" w:rsidRPr="00666174" w:rsidRDefault="00C608EC" w:rsidP="00C608EC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2F627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一季度GDP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608EC" w:rsidRPr="00666174" w:rsidRDefault="00A43770" w:rsidP="00C608EC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6.7%</w:t>
            </w:r>
          </w:p>
        </w:tc>
      </w:tr>
      <w:tr w:rsidR="00C608EC" w:rsidRPr="00666174" w:rsidTr="001A4A12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C608EC" w:rsidRPr="00666174" w:rsidRDefault="00C608EC" w:rsidP="00C608E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海外经济重要数据</w:t>
            </w:r>
          </w:p>
        </w:tc>
      </w:tr>
      <w:tr w:rsidR="00C608EC" w:rsidRPr="00666174" w:rsidTr="001A4A12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08EC" w:rsidRPr="00666174" w:rsidRDefault="00C608EC" w:rsidP="00C608E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C608EC" w:rsidRPr="00666174" w:rsidRDefault="00C608EC" w:rsidP="00C608E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C608EC" w:rsidP="00F1017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 w:rsidR="00F1017C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3月零售销售月率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F1017C" w:rsidP="00C608EC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-0.3%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608EC" w:rsidRPr="00666174" w:rsidRDefault="00C608EC" w:rsidP="00C608E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proofErr w:type="gramStart"/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初请失业</w:t>
            </w:r>
            <w:proofErr w:type="gramEnd"/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金人数</w:t>
            </w: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（</w:t>
            </w:r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季调</w:t>
            </w: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C608EC" w:rsidRPr="00666174" w:rsidRDefault="00C608EC" w:rsidP="00C608EC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26.5万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2F6279" w:rsidP="00C608E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美国：3月季调后CPI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08EC" w:rsidRPr="00666174" w:rsidRDefault="0069723D" w:rsidP="00C608EC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同比上涨</w:t>
            </w:r>
            <w:r w:rsidR="002F6279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0.1%</w:t>
            </w:r>
          </w:p>
        </w:tc>
      </w:tr>
      <w:tr w:rsidR="00C608EC" w:rsidRPr="00666174" w:rsidTr="001A4A12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608EC" w:rsidRPr="00666174" w:rsidRDefault="00EA5F67" w:rsidP="00C608E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452D7C">
              <w:rPr>
                <w:rFonts w:ascii="Arial" w:hAnsi="Arial" w:cs="Arial"/>
                <w:b/>
                <w:bCs/>
                <w:noProof/>
                <w:color w:val="002060"/>
                <w:kern w:val="0"/>
                <w:sz w:val="24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DF34D6" wp14:editId="48FAF30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130810</wp:posOffset>
                      </wp:positionV>
                      <wp:extent cx="2154555" cy="214630"/>
                      <wp:effectExtent l="0" t="0" r="0" b="0"/>
                      <wp:wrapNone/>
                      <wp:docPr id="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77AD" w:rsidRPr="00B33891" w:rsidRDefault="000977AD" w:rsidP="008C25B9">
                                  <w:pPr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数据来源：</w:t>
                                  </w:r>
                                  <w:proofErr w:type="gramStart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凯</w:t>
                                  </w:r>
                                  <w:proofErr w:type="gramEnd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石、WIND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6.15pt;margin-top:10.3pt;width:169.6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" filled="f" stroked="f">
                      <v:textbox>
                        <w:txbxContent>
                          <w:p w:rsidR="000977AD" w:rsidRPr="00B33891" w:rsidRDefault="000977AD" w:rsidP="008C25B9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279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美国：3月PPI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C608EC" w:rsidRPr="00666174" w:rsidRDefault="0069723D" w:rsidP="00C608EC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同比下降</w:t>
            </w:r>
            <w:r w:rsidR="002F6279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0.1%</w:t>
            </w:r>
          </w:p>
        </w:tc>
      </w:tr>
    </w:tbl>
    <w:p w:rsidR="008C25B9" w:rsidRPr="00C97435" w:rsidRDefault="008C25B9" w:rsidP="008C25B9">
      <w:pPr>
        <w:pStyle w:val="a6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8C25B9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8C25B9" w:rsidRPr="002D6DED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上周股票基金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3.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。具体来看，普通股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3.27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DD150B">
        <w:rPr>
          <w:rFonts w:ascii="Arial" w:eastAsia="楷体_GB2312" w:hAnsi="Arial" w:cs="Arial"/>
          <w:color w:val="auto"/>
          <w:sz w:val="20"/>
          <w:szCs w:val="20"/>
        </w:rPr>
        <w:t>只有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DD150B">
        <w:rPr>
          <w:rFonts w:ascii="Arial" w:eastAsia="楷体_GB2312" w:hAnsi="Arial" w:cs="Arial"/>
          <w:color w:val="auto"/>
          <w:sz w:val="20"/>
          <w:szCs w:val="20"/>
        </w:rPr>
        <w:t>只产品为负收益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宝</w:t>
      </w:r>
      <w:proofErr w:type="gramStart"/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盈医疗健康沪</w:t>
      </w:r>
      <w:proofErr w:type="gramEnd"/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港深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5.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99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3.0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所有</w:t>
      </w:r>
      <w:r>
        <w:rPr>
          <w:rFonts w:ascii="Arial" w:eastAsia="楷体_GB2312" w:hAnsi="Arial" w:cs="Arial"/>
          <w:color w:val="auto"/>
          <w:sz w:val="20"/>
          <w:szCs w:val="20"/>
        </w:rPr>
        <w:t>产品悉数上涨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招商中证煤炭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6.71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8C25B9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从投资范围来看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煤炭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医疗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主题基金表现较好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收益居</w:t>
      </w:r>
      <w:proofErr w:type="gramEnd"/>
      <w:r>
        <w:rPr>
          <w:rFonts w:ascii="Arial" w:eastAsia="楷体_GB2312" w:hAnsi="Arial" w:cs="Arial"/>
          <w:color w:val="auto"/>
          <w:sz w:val="20"/>
          <w:szCs w:val="20"/>
        </w:rPr>
        <w:t>前的基金有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招商中证煤炭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6.71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proofErr w:type="gramStart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中融中</w:t>
      </w:r>
      <w:proofErr w:type="gramEnd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证煤炭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6.55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宝</w:t>
      </w:r>
      <w:proofErr w:type="gramStart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盈医疗健康沪</w:t>
      </w:r>
      <w:proofErr w:type="gramEnd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港深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5.99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广发中证医疗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5.34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）等。</w:t>
      </w:r>
    </w:p>
    <w:p w:rsidR="008C25B9" w:rsidRPr="00EA3DC4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p w:rsidR="00EA5F67" w:rsidRPr="002D6DED" w:rsidRDefault="008C25B9" w:rsidP="00EA5F67">
      <w:pPr>
        <w:pStyle w:val="a5"/>
        <w:spacing w:afterLines="100" w:after="240" w:line="260" w:lineRule="exact"/>
        <w:ind w:leftChars="1822" w:left="3826" w:rightChars="-34" w:right="-71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混合基金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>
        <w:rPr>
          <w:rFonts w:ascii="Arial" w:eastAsia="楷体_GB2312" w:hAnsi="Arial" w:cs="Arial"/>
          <w:color w:val="auto"/>
          <w:sz w:val="20"/>
          <w:szCs w:val="20"/>
        </w:rPr>
        <w:t>弱于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股票基金，</w:t>
      </w:r>
      <w:r>
        <w:rPr>
          <w:rFonts w:ascii="Arial" w:eastAsia="楷体_GB2312" w:hAnsi="Arial" w:cs="Arial"/>
          <w:color w:val="auto"/>
          <w:sz w:val="20"/>
          <w:szCs w:val="20"/>
        </w:rPr>
        <w:t>其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3.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24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，灵活配置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1.46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，平衡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2.30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pPr w:leftFromText="180" w:rightFromText="180" w:vertAnchor="text" w:horzAnchor="margin" w:tblpY="150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2F6279" w:rsidRPr="00282400" w:rsidTr="002F6279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2F6279" w:rsidRPr="00282400" w:rsidRDefault="002F6279" w:rsidP="002F6279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收益%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3.27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3.06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1.91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3.24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0.17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1.46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2.30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-0.24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-0.43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-0.37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0.15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25F5" w:rsidRPr="00282400" w:rsidRDefault="005725F5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25F5" w:rsidRPr="006D7754" w:rsidRDefault="005725F5" w:rsidP="002F6279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-0.36</w:t>
            </w:r>
          </w:p>
        </w:tc>
      </w:tr>
      <w:tr w:rsidR="005725F5" w:rsidRPr="00282400" w:rsidTr="002F6279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>
              <w:rPr>
                <w:rFonts w:ascii="楷体" w:eastAsia="楷体" w:hAnsi="楷体" w:hint="eastAsia"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Pr="00282400" w:rsidRDefault="005725F5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725F5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0.01</w:t>
            </w:r>
          </w:p>
        </w:tc>
      </w:tr>
      <w:tr w:rsidR="002F6279" w:rsidRPr="00282400" w:rsidTr="002F6279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2F6279" w:rsidRPr="007E41EC" w:rsidRDefault="002F6279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2F6279" w:rsidRPr="00AE4A7A" w:rsidRDefault="002F6279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AE4A7A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F6279" w:rsidRPr="008151BA" w:rsidRDefault="002F6279" w:rsidP="005725F5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>2.</w:t>
            </w:r>
            <w:r w:rsidR="005725F5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48</w:t>
            </w: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ab/>
            </w:r>
          </w:p>
        </w:tc>
      </w:tr>
      <w:tr w:rsidR="002F6279" w:rsidRPr="00282400" w:rsidTr="002F6279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2F6279" w:rsidRPr="00282400" w:rsidRDefault="002F6279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2F6279" w:rsidRPr="00282400" w:rsidRDefault="002F6279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77ADC" w:rsidRPr="00282400" w:rsidTr="002F627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77ADC" w:rsidRPr="00282400" w:rsidRDefault="00D77ADC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77ADC" w:rsidRPr="008151BA" w:rsidRDefault="00D77ADC" w:rsidP="005725F5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3．</w:t>
            </w:r>
            <w:r w:rsidR="005725F5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77ADC" w:rsidRPr="00282400" w:rsidRDefault="00D77ADC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77ADC" w:rsidRDefault="005725F5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4.12</w:t>
            </w:r>
          </w:p>
        </w:tc>
      </w:tr>
      <w:tr w:rsidR="00D77ADC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7ADC" w:rsidRPr="00282400" w:rsidRDefault="00D77ADC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7ADC" w:rsidRDefault="00D77ADC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3.56</w:t>
            </w:r>
          </w:p>
        </w:tc>
      </w:tr>
      <w:tr w:rsidR="00D77ADC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77ADC" w:rsidRPr="00282400" w:rsidRDefault="00D77ADC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77ADC" w:rsidRDefault="00D77ADC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0.63</w:t>
            </w:r>
          </w:p>
        </w:tc>
      </w:tr>
      <w:tr w:rsidR="00D77ADC" w:rsidRPr="00282400" w:rsidTr="002F627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77ADC" w:rsidRPr="00282400" w:rsidRDefault="00D77ADC" w:rsidP="002F627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7ADC" w:rsidRPr="00282400" w:rsidRDefault="00D77ADC" w:rsidP="002F62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7ADC" w:rsidRDefault="00D77ADC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1.39</w:t>
            </w:r>
          </w:p>
        </w:tc>
      </w:tr>
    </w:tbl>
    <w:p w:rsidR="008C25B9" w:rsidRPr="002D6DED" w:rsidRDefault="008C25B9" w:rsidP="002F6279">
      <w:pPr>
        <w:pStyle w:val="a5"/>
        <w:spacing w:beforeLines="100" w:before="240" w:afterLines="100" w:after="240" w:line="260" w:lineRule="exact"/>
        <w:ind w:leftChars="0" w:left="0" w:rightChars="-34" w:right="-71" w:firstLineChars="300" w:firstLine="600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DD150B">
        <w:rPr>
          <w:rFonts w:ascii="Arial" w:eastAsia="楷体_GB2312" w:hAnsi="Arial" w:cs="Arial"/>
          <w:color w:val="auto"/>
          <w:sz w:val="20"/>
          <w:szCs w:val="20"/>
        </w:rPr>
        <w:t>只有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只产品收益为负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易方</w:t>
      </w:r>
      <w:proofErr w:type="gramStart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达资源</w:t>
      </w:r>
      <w:proofErr w:type="gramEnd"/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行业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C85B31">
        <w:rPr>
          <w:rFonts w:ascii="Arial" w:eastAsia="楷体_GB2312" w:hAnsi="Arial" w:cs="Arial" w:hint="eastAsia"/>
          <w:color w:val="auto"/>
          <w:sz w:val="20"/>
          <w:szCs w:val="20"/>
        </w:rPr>
        <w:t>7.60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。灵活型产品中，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80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DF6E3C">
        <w:rPr>
          <w:rFonts w:ascii="Arial" w:eastAsia="楷体_GB2312" w:hAnsi="Arial" w:cs="Arial" w:hint="eastAsia"/>
          <w:color w:val="auto"/>
          <w:sz w:val="20"/>
          <w:szCs w:val="20"/>
        </w:rPr>
        <w:t>华商乐享互联网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DF6E3C">
        <w:rPr>
          <w:rFonts w:ascii="Arial" w:eastAsia="楷体_GB2312" w:hAnsi="Arial" w:cs="Arial" w:hint="eastAsia"/>
          <w:color w:val="auto"/>
          <w:sz w:val="20"/>
          <w:szCs w:val="20"/>
        </w:rPr>
        <w:t>7.43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>
        <w:rPr>
          <w:rFonts w:ascii="Arial" w:eastAsia="楷体_GB2312" w:hAnsi="Arial" w:cs="Arial"/>
          <w:color w:val="auto"/>
          <w:sz w:val="20"/>
          <w:szCs w:val="20"/>
        </w:rPr>
        <w:t>平衡型产品有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只收益为负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Pr="00B7295C">
        <w:rPr>
          <w:rFonts w:ascii="Arial" w:eastAsia="楷体_GB2312" w:hAnsi="Arial" w:cs="Arial" w:hint="eastAsia"/>
          <w:color w:val="auto"/>
          <w:sz w:val="20"/>
          <w:szCs w:val="20"/>
        </w:rPr>
        <w:t>华安宝利配置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DF6E3C">
        <w:rPr>
          <w:rFonts w:ascii="Arial" w:eastAsia="楷体_GB2312" w:hAnsi="Arial" w:cs="Arial" w:hint="eastAsia"/>
          <w:color w:val="auto"/>
          <w:sz w:val="20"/>
          <w:szCs w:val="20"/>
        </w:rPr>
        <w:t>4.40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产品中，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62%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DF6E3C">
        <w:rPr>
          <w:rFonts w:ascii="Arial" w:eastAsia="楷体_GB2312" w:hAnsi="Arial" w:cs="Arial" w:hint="eastAsia"/>
          <w:color w:val="auto"/>
          <w:sz w:val="20"/>
          <w:szCs w:val="20"/>
        </w:rPr>
        <w:t>银河银泰理财分红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DF6E3C">
        <w:rPr>
          <w:rFonts w:ascii="Arial" w:eastAsia="楷体_GB2312" w:hAnsi="Arial" w:cs="Arial" w:hint="eastAsia"/>
          <w:color w:val="auto"/>
          <w:sz w:val="20"/>
          <w:szCs w:val="20"/>
        </w:rPr>
        <w:t>3.48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8C25B9" w:rsidRPr="002D6DED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-0.2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，二级债基表现好于一级债基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-0.43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仅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方正富邦互利定期开放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0.56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）涨幅最大。一级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-0.3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仅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南方永利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4A0A05">
        <w:rPr>
          <w:rFonts w:ascii="Arial" w:eastAsia="楷体_GB2312" w:hAnsi="Arial" w:cs="Arial" w:hint="eastAsia"/>
          <w:color w:val="auto"/>
          <w:sz w:val="20"/>
          <w:szCs w:val="20"/>
        </w:rPr>
        <w:t>42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。二级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58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富安达增强收益</w:t>
      </w:r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2.95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-0.3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>
        <w:rPr>
          <w:rFonts w:ascii="Arial" w:eastAsia="楷体_GB2312" w:hAnsi="Arial" w:cs="Arial"/>
          <w:color w:val="auto"/>
          <w:sz w:val="20"/>
          <w:szCs w:val="20"/>
        </w:rPr>
        <w:t>收益为正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银</w:t>
      </w:r>
      <w:proofErr w:type="gramStart"/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华中证转债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6B2D8F">
        <w:rPr>
          <w:rFonts w:ascii="Arial" w:eastAsia="楷体_GB2312" w:hAnsi="Arial" w:cs="Arial" w:hint="eastAsia"/>
          <w:color w:val="auto"/>
          <w:sz w:val="20"/>
          <w:szCs w:val="20"/>
        </w:rPr>
        <w:t>91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8C25B9" w:rsidRPr="00812308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_GB2312" w:eastAsia="楷体_GB2312" w:hAnsi="Arial" w:cs="Arial"/>
          <w:b/>
          <w:bCs/>
          <w:color w:val="002060"/>
          <w:kern w:val="0"/>
          <w:sz w:val="24"/>
          <w:szCs w:val="13"/>
        </w:rPr>
      </w:pPr>
      <w:r w:rsidRPr="00812308">
        <w:rPr>
          <w:rFonts w:ascii="楷体_GB2312" w:eastAsia="楷体_GB2312" w:hAnsi="Arial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8C25B9" w:rsidRPr="002D6DED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，商品基金平均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0.17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其中</w:t>
      </w:r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投瑞银白银期</w:t>
      </w:r>
      <w:proofErr w:type="gramEnd"/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涨幅最大</w:t>
      </w:r>
      <w:r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56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。以绝对收益为投资目标的股票多空类产品平均收益为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01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Pr="00721350">
        <w:rPr>
          <w:rFonts w:ascii="Arial" w:eastAsia="楷体_GB2312" w:hAnsi="Arial" w:cs="Arial" w:hint="eastAsia"/>
          <w:color w:val="auto"/>
          <w:sz w:val="20"/>
          <w:szCs w:val="20"/>
        </w:rPr>
        <w:t>泰达宏利绝对收益策略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341466"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13161873" wp14:editId="51B4B21E">
                <wp:simplePos x="0" y="0"/>
                <wp:positionH relativeFrom="page">
                  <wp:posOffset>375920</wp:posOffset>
                </wp:positionH>
                <wp:positionV relativeFrom="paragraph">
                  <wp:posOffset>152975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7AD" w:rsidRPr="00593057" w:rsidRDefault="000977AD" w:rsidP="008C25B9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12.05pt;width:169.65pt;height:84.4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CPZRVPeAAAACQEAAA8AAAAAAAAAAAAAAAAAeAQAAGRycy9kb3ducmV2Lnht&#10;bFBLBQYAAAAABAAEAPMAAACDBQAAAAA=&#10;" o:allowoverlap="f" filled="f" stroked="f">
                <v:textbox>
                  <w:txbxContent>
                    <w:p w:rsidR="000977AD" w:rsidRPr="00593057" w:rsidRDefault="000977AD" w:rsidP="008C25B9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8C25B9" w:rsidRPr="002D6DED" w:rsidRDefault="008C25B9" w:rsidP="008C25B9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继续</w:t>
      </w:r>
      <w:r w:rsidR="001C41DC">
        <w:rPr>
          <w:rFonts w:ascii="Arial" w:eastAsia="楷体_GB2312" w:hAnsi="Arial" w:cs="Arial" w:hint="eastAsia"/>
          <w:color w:val="auto"/>
          <w:sz w:val="20"/>
          <w:szCs w:val="20"/>
        </w:rPr>
        <w:t>略有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下降</w:t>
      </w:r>
      <w:r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均值为</w:t>
      </w:r>
      <w:r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EA5F67" w:rsidRPr="00EA5F67">
        <w:rPr>
          <w:rFonts w:ascii="Arial" w:eastAsia="楷体_GB2312" w:hAnsi="Arial" w:cs="Arial" w:hint="eastAsia"/>
          <w:color w:val="auto"/>
          <w:sz w:val="20"/>
          <w:szCs w:val="20"/>
        </w:rPr>
        <w:t xml:space="preserve"> 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48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20038A">
        <w:rPr>
          <w:rFonts w:ascii="Arial" w:eastAsia="楷体_GB2312" w:hAnsi="Arial" w:cs="Arial" w:hint="eastAsia"/>
          <w:color w:val="auto"/>
          <w:sz w:val="20"/>
          <w:szCs w:val="20"/>
        </w:rPr>
        <w:t>英大现金宝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20038A">
        <w:rPr>
          <w:rFonts w:ascii="Arial" w:eastAsia="楷体_GB2312" w:hAnsi="Arial" w:cs="Arial" w:hint="eastAsia"/>
          <w:color w:val="auto"/>
          <w:sz w:val="20"/>
          <w:szCs w:val="20"/>
        </w:rPr>
        <w:t>5.73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20038A">
        <w:rPr>
          <w:rFonts w:ascii="Arial" w:eastAsia="楷体_GB2312" w:hAnsi="Arial" w:cs="Arial" w:hint="eastAsia"/>
          <w:color w:val="auto"/>
          <w:sz w:val="20"/>
          <w:szCs w:val="20"/>
        </w:rPr>
        <w:t>国开泰</w:t>
      </w:r>
      <w:proofErr w:type="gramStart"/>
      <w:r w:rsidR="0020038A">
        <w:rPr>
          <w:rFonts w:ascii="Arial" w:eastAsia="楷体_GB2312" w:hAnsi="Arial" w:cs="Arial" w:hint="eastAsia"/>
          <w:color w:val="auto"/>
          <w:sz w:val="20"/>
          <w:szCs w:val="20"/>
        </w:rPr>
        <w:t>富货币</w:t>
      </w:r>
      <w:proofErr w:type="gramEnd"/>
      <w:r w:rsidRPr="00A41E48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5.</w:t>
      </w:r>
      <w:r w:rsidR="0020038A">
        <w:rPr>
          <w:rFonts w:ascii="Arial" w:eastAsia="楷体_GB2312" w:hAnsi="Arial" w:cs="Arial" w:hint="eastAsia"/>
          <w:color w:val="auto"/>
          <w:sz w:val="20"/>
          <w:szCs w:val="20"/>
        </w:rPr>
        <w:t>41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</w:t>
      </w:r>
      <w:r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>
        <w:rPr>
          <w:rFonts w:ascii="Arial" w:eastAsia="楷体_GB2312" w:hAnsi="Arial" w:cs="Arial"/>
          <w:color w:val="auto"/>
          <w:sz w:val="20"/>
          <w:szCs w:val="20"/>
        </w:rPr>
        <w:t>最高。从收益区间来看，有</w:t>
      </w:r>
      <w:r w:rsidR="00DD150B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超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的产品收益在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3%-4%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之间，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的产品收益在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2%-3%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之间。</w:t>
      </w:r>
    </w:p>
    <w:p w:rsidR="008C25B9" w:rsidRPr="002D6DED" w:rsidRDefault="008C25B9" w:rsidP="008C25B9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基金</w:t>
      </w:r>
    </w:p>
    <w:p w:rsidR="008C25B9" w:rsidRDefault="008C25B9" w:rsidP="00777DF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EA5F67">
        <w:rPr>
          <w:rFonts w:ascii="Arial" w:eastAsia="楷体_GB2312" w:hAnsi="Arial" w:cs="Arial" w:hint="eastAsia"/>
          <w:color w:val="auto"/>
          <w:sz w:val="20"/>
          <w:szCs w:val="20"/>
        </w:rPr>
        <w:t>3.34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，其中</w:t>
      </w:r>
      <w:r w:rsidR="003F460D">
        <w:rPr>
          <w:rFonts w:ascii="Arial" w:eastAsia="楷体_GB2312" w:hAnsi="Arial" w:cs="Arial" w:hint="eastAsia"/>
          <w:color w:val="auto"/>
          <w:sz w:val="20"/>
          <w:szCs w:val="20"/>
        </w:rPr>
        <w:t>国泰大宗商品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表现最好，涨</w:t>
      </w:r>
      <w:r w:rsidR="003F460D">
        <w:rPr>
          <w:rFonts w:ascii="Arial" w:eastAsia="楷体_GB2312" w:hAnsi="Arial" w:cs="Arial" w:hint="eastAsia"/>
          <w:color w:val="auto"/>
          <w:sz w:val="20"/>
          <w:szCs w:val="20"/>
        </w:rPr>
        <w:t>10.36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/>
          <w:color w:val="auto"/>
          <w:sz w:val="20"/>
          <w:szCs w:val="20"/>
        </w:rPr>
        <w:t>从具体品种来看，</w:t>
      </w:r>
      <w:r w:rsidR="003F460D">
        <w:rPr>
          <w:rFonts w:ascii="Arial" w:eastAsia="楷体_GB2312" w:hAnsi="Arial" w:cs="Arial" w:hint="eastAsia"/>
          <w:color w:val="auto"/>
          <w:sz w:val="20"/>
          <w:szCs w:val="20"/>
        </w:rPr>
        <w:t>大宗商品、资源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>
        <w:rPr>
          <w:rFonts w:ascii="Arial" w:eastAsia="楷体_GB2312" w:hAnsi="Arial" w:cs="Arial"/>
          <w:color w:val="auto"/>
          <w:sz w:val="20"/>
          <w:szCs w:val="20"/>
        </w:rPr>
        <w:t>表现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最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好，</w:t>
      </w:r>
      <w:r w:rsidR="003F460D">
        <w:rPr>
          <w:rFonts w:ascii="Arial" w:eastAsia="楷体_GB2312" w:hAnsi="Arial" w:cs="Arial" w:hint="eastAsia"/>
          <w:color w:val="auto"/>
          <w:sz w:val="20"/>
          <w:szCs w:val="20"/>
        </w:rPr>
        <w:t>黄金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3F460D">
        <w:rPr>
          <w:rFonts w:ascii="Arial" w:eastAsia="楷体_GB2312" w:hAnsi="Arial" w:cs="Arial" w:hint="eastAsia"/>
          <w:color w:val="auto"/>
          <w:sz w:val="20"/>
          <w:szCs w:val="20"/>
        </w:rPr>
        <w:t>不动产</w:t>
      </w:r>
      <w:r>
        <w:rPr>
          <w:rFonts w:ascii="Arial" w:eastAsia="楷体_GB2312" w:hAnsi="Arial" w:cs="Arial"/>
          <w:color w:val="auto"/>
          <w:sz w:val="20"/>
          <w:szCs w:val="20"/>
        </w:rPr>
        <w:t>主题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 xml:space="preserve"> QDII</w:t>
      </w:r>
      <w:r>
        <w:rPr>
          <w:rFonts w:ascii="Arial" w:eastAsia="楷体_GB2312" w:hAnsi="Arial" w:cs="Arial"/>
          <w:color w:val="auto"/>
          <w:sz w:val="20"/>
          <w:szCs w:val="20"/>
        </w:rPr>
        <w:t>表现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较差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DD150B" w:rsidRPr="00C57975" w:rsidRDefault="00DD150B" w:rsidP="00777DF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8C25B9" w:rsidRPr="00A12428" w:rsidTr="001A4A12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8C25B9" w:rsidRPr="00A12428" w:rsidRDefault="008C25B9" w:rsidP="001A4A12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lastRenderedPageBreak/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8C25B9" w:rsidRPr="00A12428" w:rsidRDefault="008C25B9" w:rsidP="001A4A12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8C25B9" w:rsidRPr="00A12428" w:rsidRDefault="008C25B9" w:rsidP="001A4A12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8C25B9" w:rsidRPr="00A12428" w:rsidRDefault="008C25B9" w:rsidP="001A4A12">
            <w:pPr>
              <w:widowControl/>
              <w:jc w:val="left"/>
              <w:rPr>
                <w:rFonts w:ascii="Arial" w:eastAsia="楷体" w:hAnsi="Arial" w:cs="Arial"/>
                <w:b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涨跌</w:t>
            </w: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%</w:t>
            </w:r>
          </w:p>
        </w:tc>
      </w:tr>
      <w:tr w:rsidR="00EA5F67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A12428" w:rsidRDefault="00EA5F67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001915.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宝</w:t>
            </w:r>
            <w:proofErr w:type="gramStart"/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盈医疗健康沪</w:t>
            </w:r>
            <w:proofErr w:type="gramEnd"/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港深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5.99</w:t>
            </w:r>
          </w:p>
        </w:tc>
      </w:tr>
      <w:tr w:rsidR="00EA5F67" w:rsidRPr="00B80614" w:rsidTr="001A4A12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A12428" w:rsidRDefault="00EA5F67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000971.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诺安新经济</w:t>
            </w:r>
            <w:proofErr w:type="gramEnd"/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5.16</w:t>
            </w:r>
          </w:p>
        </w:tc>
      </w:tr>
      <w:tr w:rsidR="00EA5F67" w:rsidRPr="00B80614" w:rsidTr="001A4A12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A12428" w:rsidRDefault="00EA5F67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000524.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上投摩根民生需求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7" w:rsidRPr="00EA5F67" w:rsidRDefault="00EA5F6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A5F6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5.06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161724.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招商中证煤炭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6.71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168204.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中融中</w:t>
            </w:r>
            <w:proofErr w:type="gramEnd"/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证煤炭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6.55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161032.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富国中证煤炭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6.41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110025.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</w:t>
            </w:r>
            <w:proofErr w:type="gramStart"/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达资源</w:t>
            </w:r>
            <w:proofErr w:type="gramEnd"/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行业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7.60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5B31" w:rsidRPr="00A12428" w:rsidRDefault="00C85B31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240022.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华宝兴业资源优选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7.45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630006.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华商产业升级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7.21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150103.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银河银泰理财分红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3.48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162205.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泰达宏利风险预算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3.24</w:t>
            </w:r>
          </w:p>
        </w:tc>
      </w:tr>
      <w:tr w:rsidR="00C85B31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85B31" w:rsidRPr="00A12428" w:rsidRDefault="00C85B31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255010.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国联安稳健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5B31" w:rsidRPr="00C85B31" w:rsidRDefault="00C85B3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5B3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2.57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F6E3C" w:rsidRPr="00A12428" w:rsidRDefault="00DF6E3C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001959.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华商乐享互联网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7.43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F6E3C" w:rsidRPr="00A12428" w:rsidRDefault="00DF6E3C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001830.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融通跨界成长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7.05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F6E3C" w:rsidRPr="00A12428" w:rsidRDefault="00DF6E3C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001471.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融通新能源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6.44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6E3C" w:rsidRPr="00A12428" w:rsidRDefault="00DF6E3C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华安宝利配置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4.40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6E3C" w:rsidRPr="00A12428" w:rsidRDefault="00DF6E3C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121002.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国投瑞银</w:t>
            </w:r>
            <w:proofErr w:type="gramEnd"/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景气行业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4.08</w:t>
            </w:r>
          </w:p>
        </w:tc>
      </w:tr>
      <w:tr w:rsidR="00DF6E3C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6E3C" w:rsidRPr="00A12428" w:rsidRDefault="00DF6E3C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270001.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发聚富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F6E3C" w:rsidRPr="00DF6E3C" w:rsidRDefault="00DF6E3C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F6E3C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3.14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A0A05" w:rsidRPr="00A12428" w:rsidRDefault="004A0A05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000247.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方正富邦互利定期开放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0.56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A0A05" w:rsidRPr="00A12428" w:rsidRDefault="004A0A05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002362.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国富恒瑞C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0.30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A0A05" w:rsidRPr="00A12428" w:rsidRDefault="004A0A05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183E6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000405</w:t>
            </w:r>
            <w:r w:rsid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183E6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信诚月月定期支付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A0A05" w:rsidRPr="004A0A05" w:rsidRDefault="004A0A05" w:rsidP="00183E6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</w:t>
            </w:r>
            <w:r w:rsidR="00183E6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0A05" w:rsidRPr="00A12428" w:rsidRDefault="004A0A05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160132.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南方永利1年C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0.42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0A05" w:rsidRPr="00A12428" w:rsidRDefault="004A0A05" w:rsidP="004A0A05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 w:rsidP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161719.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 w:rsidP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招商可转债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 w:rsidP="004A0A0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0.20</w:t>
            </w:r>
          </w:p>
        </w:tc>
      </w:tr>
      <w:tr w:rsidR="004A0A05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0A05" w:rsidRPr="00A12428" w:rsidRDefault="004A0A05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投瑞银双债</w:t>
            </w:r>
            <w:proofErr w:type="gramEnd"/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增利A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A0A05" w:rsidRPr="004A0A05" w:rsidRDefault="004A0A0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A0A0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0.10</w:t>
            </w:r>
          </w:p>
        </w:tc>
      </w:tr>
      <w:tr w:rsidR="000A2A0A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A2A0A" w:rsidRPr="00A12428" w:rsidRDefault="000A2A0A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710301.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富安达增强收益A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2.95</w:t>
            </w:r>
          </w:p>
        </w:tc>
      </w:tr>
      <w:tr w:rsidR="000A2A0A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A2A0A" w:rsidRPr="00A12428" w:rsidRDefault="000A2A0A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519977.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长信可转债A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1.62</w:t>
            </w:r>
          </w:p>
        </w:tc>
      </w:tr>
      <w:tr w:rsidR="000A2A0A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A2A0A" w:rsidRPr="00A12428" w:rsidRDefault="000A2A0A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050119.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博时转债C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A2A0A" w:rsidRPr="000A2A0A" w:rsidRDefault="000A2A0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A2A0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1.50</w:t>
            </w:r>
          </w:p>
        </w:tc>
      </w:tr>
      <w:tr w:rsidR="006B2D8F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B2D8F" w:rsidRPr="00A12428" w:rsidRDefault="006B2D8F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161826.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</w:t>
            </w:r>
            <w:proofErr w:type="gramStart"/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华中证转债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0.91</w:t>
            </w:r>
          </w:p>
        </w:tc>
      </w:tr>
      <w:tr w:rsidR="006B2D8F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B2D8F" w:rsidRPr="00A12428" w:rsidRDefault="006B2D8F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510080.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长盛中</w:t>
            </w:r>
            <w:proofErr w:type="gramStart"/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信全债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0.16</w:t>
            </w:r>
          </w:p>
        </w:tc>
      </w:tr>
      <w:tr w:rsidR="006B2D8F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B2D8F" w:rsidRPr="00A12428" w:rsidRDefault="006B2D8F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华夏</w:t>
            </w:r>
            <w:proofErr w:type="gramStart"/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亚债中国</w:t>
            </w:r>
            <w:proofErr w:type="gramEnd"/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B2D8F" w:rsidRPr="006B2D8F" w:rsidRDefault="006B2D8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B2D8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-0.18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A12428">
              <w:rPr>
                <w:rFonts w:ascii="Arial" w:eastAsia="楷体" w:hAnsi="Arial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000912.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英大现金宝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5.73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000902.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国开泰</w:t>
            </w:r>
            <w:proofErr w:type="gramStart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富货币</w:t>
            </w:r>
            <w:proofErr w:type="gramEnd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5.41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471060.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汇添富</w:t>
            </w:r>
            <w:proofErr w:type="gramEnd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理财60天B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5.17</w:t>
            </w:r>
          </w:p>
        </w:tc>
      </w:tr>
      <w:tr w:rsidR="008C25B9" w:rsidRPr="00B80614" w:rsidTr="001A4A12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C25B9" w:rsidRPr="00A12428" w:rsidRDefault="008C25B9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C25B9" w:rsidRPr="00B80614" w:rsidRDefault="008C25B9" w:rsidP="001A4A1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C25B9" w:rsidRPr="00B80614" w:rsidRDefault="008C25B9" w:rsidP="001A4A1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投瑞银白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银期货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8C25B9" w:rsidRPr="00B80614" w:rsidRDefault="00341466" w:rsidP="001A4A1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2.56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160216.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国泰大宗商品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10.36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162411.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</w:t>
            </w:r>
            <w:proofErr w:type="gramStart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宝兴业标普油气</w:t>
            </w:r>
            <w:proofErr w:type="gramEnd"/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9.51</w:t>
            </w:r>
          </w:p>
        </w:tc>
      </w:tr>
      <w:tr w:rsidR="00267E49" w:rsidRPr="00B80614" w:rsidTr="001A4A12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67E49" w:rsidRPr="00A12428" w:rsidRDefault="00267E49" w:rsidP="001A4A12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378546.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上投摩根全球天然资源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67E49" w:rsidRPr="00267E49" w:rsidRDefault="00267E49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267E49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8.14</w:t>
            </w:r>
          </w:p>
        </w:tc>
      </w:tr>
      <w:tr w:rsidR="008C25B9" w:rsidRPr="00A12428" w:rsidTr="001A4A12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8C25B9" w:rsidRPr="005B500F" w:rsidRDefault="008C25B9" w:rsidP="001A4A12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8C25B9" w:rsidRPr="00A1602E" w:rsidRDefault="008C25B9" w:rsidP="008C25B9">
      <w:pPr>
        <w:pStyle w:val="a6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E762E6" w:rsidRDefault="008C25B9" w:rsidP="00CB336D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股混基金</w:t>
      </w:r>
      <w:proofErr w:type="gramEnd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投资方面，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proofErr w:type="gramStart"/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凯</w:t>
      </w:r>
      <w:proofErr w:type="gramEnd"/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石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6+1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角度看，前期触发本来市场反弹的因素并未发生本质逆转但改善力度减弱，并且随着市场预期自发调整，后续各个因素超市场预期的难度也不断加大，例如周五发布的一系列经济数据虽然显示经济短期企稳回升，但市场此前对此已经有所预期因此市场面上的反应并不明显，反而缩量微跌。自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proofErr w:type="gramStart"/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凯</w:t>
      </w:r>
      <w:proofErr w:type="gramEnd"/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石策略指出多重利好叠加积极做多之后，市场持续了反弹行情，但随着反弹推进市场逐步显现疲态，成交量萎缩并且热点涣散，从后续市场方向选择看，市场继续强势上行需要更大且超出市场预期的利好刺激，但对于已经反弹超过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10%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的市场出现小幅调整仅仅是市场的自发行为。基于利好因素逐步弱化和被市场反映，市场上行乏力向下调整压力较大，短期</w:t>
      </w:r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我们调低对市场的乐观程度，关注风险因素，积极调整应对。风</w:t>
      </w:r>
      <w:r w:rsidR="00210BA8" w:rsidRPr="00210BA8">
        <w:rPr>
          <w:rFonts w:ascii="Arial" w:eastAsia="楷体_GB2312" w:hAnsi="Arial" w:cs="Arial" w:hint="eastAsia"/>
          <w:color w:val="auto"/>
          <w:sz w:val="20"/>
          <w:szCs w:val="20"/>
        </w:rPr>
        <w:t>格配置上，由于市场热点分散，风格轮动较快，建议成长、周期均衡配置为好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，价值周期将受益于供给</w:t>
      </w:r>
      <w:proofErr w:type="gramStart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侧改革</w:t>
      </w:r>
      <w:proofErr w:type="gramEnd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和经济企稳，而成长风格代表的新兴产业依然是未来中国经济的希望所在，同时从今年市场实际表现看，风格切换和轮</w:t>
      </w:r>
      <w:proofErr w:type="gramStart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动更加</w:t>
      </w:r>
      <w:proofErr w:type="gramEnd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频繁，捕捉难度不断加大不如进行相对均衡的配置。</w:t>
      </w:r>
      <w:r w:rsidR="00CB336D" w:rsidRPr="00B46059">
        <w:rPr>
          <w:rFonts w:ascii="Arial" w:eastAsia="楷体_GB2312" w:hAnsi="Arial" w:cs="Arial" w:hint="eastAsia"/>
          <w:color w:val="auto"/>
          <w:sz w:val="20"/>
          <w:szCs w:val="20"/>
        </w:rPr>
        <w:t>在弱市市场中投资者对业绩的关注</w:t>
      </w:r>
      <w:proofErr w:type="gramStart"/>
      <w:r w:rsidR="00CB336D" w:rsidRPr="00B46059">
        <w:rPr>
          <w:rFonts w:ascii="Arial" w:eastAsia="楷体_GB2312" w:hAnsi="Arial" w:cs="Arial" w:hint="eastAsia"/>
          <w:color w:val="auto"/>
          <w:sz w:val="20"/>
          <w:szCs w:val="20"/>
        </w:rPr>
        <w:t>度显著</w:t>
      </w:r>
      <w:proofErr w:type="gramEnd"/>
      <w:r w:rsidR="00CB336D" w:rsidRPr="00B46059">
        <w:rPr>
          <w:rFonts w:ascii="Arial" w:eastAsia="楷体_GB2312" w:hAnsi="Arial" w:cs="Arial" w:hint="eastAsia"/>
          <w:color w:val="auto"/>
          <w:sz w:val="20"/>
          <w:szCs w:val="20"/>
        </w:rPr>
        <w:t>提高，我们建议当前以稳健成长风格基金配置为主，这类基金主要投资业绩平稳增长的大消费、医药、中游机械制造等板块，优选重视个股估值和业绩稳定性的基金经理。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长期而言，我们维持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股处在底部区域的判断，经济筑底回升的过程相当漫长，货币政策依然处在降息周期内，相比于债市、房地产、海外股市等，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股依然是性价比较高的资产。长线投资者尤其</w:t>
      </w:r>
      <w:proofErr w:type="gramStart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是定投投资者</w:t>
      </w:r>
      <w:proofErr w:type="gramEnd"/>
      <w:r w:rsidR="00B46059" w:rsidRPr="00B46059">
        <w:rPr>
          <w:rFonts w:ascii="Arial" w:eastAsia="楷体_GB2312" w:hAnsi="Arial" w:cs="Arial" w:hint="eastAsia"/>
          <w:color w:val="auto"/>
          <w:sz w:val="20"/>
          <w:szCs w:val="20"/>
        </w:rPr>
        <w:t>可以分批介入布局。</w:t>
      </w:r>
    </w:p>
    <w:p w:rsidR="008C25B9" w:rsidRPr="00E762E6" w:rsidRDefault="008C25B9" w:rsidP="00E762E6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E762E6">
        <w:rPr>
          <w:rFonts w:ascii="Arial" w:eastAsia="楷体_GB2312" w:hAnsi="Arial" w:cs="Arial"/>
          <w:b/>
          <w:color w:val="auto"/>
          <w:sz w:val="20"/>
          <w:szCs w:val="20"/>
        </w:rPr>
        <w:t>固定收益基金投资方面，</w:t>
      </w:r>
      <w:r w:rsidRPr="00E762E6">
        <w:rPr>
          <w:rFonts w:ascii="Arial" w:eastAsia="楷体_GB2312" w:hAnsi="Arial" w:cs="Arial" w:hint="eastAsia"/>
          <w:color w:val="auto"/>
          <w:sz w:val="20"/>
          <w:szCs w:val="20"/>
        </w:rPr>
        <w:t>维持对当前债券市场已经处于高位，未来大概率处于震荡格局的判断，建议投资者谨慎参与。</w:t>
      </w:r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利率债方面，虽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然</w:t>
      </w:r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通胀压力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随着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的公布</w:t>
      </w:r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暂时消减，但经济走稳</w:t>
      </w:r>
      <w:r w:rsidR="002A36A5" w:rsidRPr="00E762E6">
        <w:rPr>
          <w:rFonts w:ascii="Arial" w:eastAsia="楷体_GB2312" w:hAnsi="Arial" w:cs="Arial" w:hint="eastAsia"/>
          <w:color w:val="auto"/>
          <w:sz w:val="20"/>
          <w:szCs w:val="20"/>
        </w:rPr>
        <w:t>和供给冲击给债市带来的压力仍在，</w:t>
      </w:r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调整仍将延续，尤其是长</w:t>
      </w:r>
      <w:proofErr w:type="gramStart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债压力</w:t>
      </w:r>
      <w:proofErr w:type="gramEnd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较大。因此我们建议投资者应谨慎安排投资组合，</w:t>
      </w:r>
      <w:proofErr w:type="gramStart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控制久期和</w:t>
      </w:r>
      <w:proofErr w:type="gramEnd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杠杆，防守为上。信用债方面，在当前经济疲软、微观企业经营举步维艰的情形下，国企、</w:t>
      </w:r>
      <w:proofErr w:type="gramStart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央企的</w:t>
      </w:r>
      <w:proofErr w:type="gramEnd"/>
      <w:r w:rsidR="00D82C46" w:rsidRPr="00E762E6">
        <w:rPr>
          <w:rFonts w:ascii="Arial" w:eastAsia="楷体_GB2312" w:hAnsi="Arial" w:cs="Arial" w:hint="eastAsia"/>
          <w:color w:val="auto"/>
          <w:sz w:val="20"/>
          <w:szCs w:val="20"/>
        </w:rPr>
        <w:t>刚性兑付频频被打破，近期信用评级遭到下调的事件也屡屡出现。因此我们建议投资者当前应合理分析企业发展状况和行业处境，谨慎选择投资标的，尽量选择中高信用等级、经营业绩良好的公司债券作为配置对象，避免“踩雷”。</w:t>
      </w:r>
      <w:r w:rsidRPr="00E762E6">
        <w:rPr>
          <w:rFonts w:ascii="Arial" w:eastAsia="楷体_GB2312" w:hAnsi="Arial" w:cs="Arial"/>
          <w:b/>
          <w:color w:val="auto"/>
          <w:sz w:val="20"/>
          <w:szCs w:val="20"/>
        </w:rPr>
        <w:t>在债券基金的选择上</w:t>
      </w:r>
      <w:r w:rsidRPr="00E762E6">
        <w:rPr>
          <w:rFonts w:ascii="Arial" w:eastAsia="楷体_GB2312" w:hAnsi="Arial" w:cs="Arial"/>
          <w:color w:val="auto"/>
          <w:sz w:val="20"/>
          <w:szCs w:val="20"/>
        </w:rPr>
        <w:t>，建议</w:t>
      </w:r>
      <w:r w:rsidR="00EA5F67" w:rsidRPr="00E762E6">
        <w:rPr>
          <w:rFonts w:ascii="Arial" w:eastAsia="楷体_GB2312" w:hAnsi="Arial" w:cs="Arial" w:hint="eastAsia"/>
          <w:color w:val="auto"/>
          <w:sz w:val="20"/>
          <w:szCs w:val="20"/>
        </w:rPr>
        <w:t>投资组合精选久期、杠杆和信用等级</w:t>
      </w:r>
      <w:r w:rsidRPr="00E762E6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选择防守能力较强的品种，</w:t>
      </w:r>
      <w:proofErr w:type="gramStart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如久期短</w:t>
      </w:r>
      <w:proofErr w:type="gramEnd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杠杆低且</w:t>
      </w:r>
      <w:r w:rsidRPr="00E762E6">
        <w:rPr>
          <w:rFonts w:ascii="Arial" w:eastAsia="楷体_GB2312" w:hAnsi="Arial" w:cs="Arial"/>
          <w:color w:val="auto"/>
          <w:sz w:val="20"/>
          <w:szCs w:val="20"/>
        </w:rPr>
        <w:t>高等级信用债为主要配置的基金。</w:t>
      </w:r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此外，参与股市和转债</w:t>
      </w:r>
      <w:proofErr w:type="gramStart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的债基也</w:t>
      </w:r>
      <w:proofErr w:type="gramEnd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可以适当关注，尤其是基金经理大类资产配置能力较强的，在股</w:t>
      </w:r>
      <w:proofErr w:type="gramStart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债之间</w:t>
      </w:r>
      <w:proofErr w:type="gramEnd"/>
      <w:r w:rsidR="00CB336D">
        <w:rPr>
          <w:rFonts w:ascii="Arial" w:eastAsia="楷体_GB2312" w:hAnsi="Arial" w:cs="Arial" w:hint="eastAsia"/>
          <w:color w:val="auto"/>
          <w:sz w:val="20"/>
          <w:szCs w:val="20"/>
        </w:rPr>
        <w:t>进行切换可以适当降低单一债市风险。</w:t>
      </w:r>
    </w:p>
    <w:p w:rsidR="008C25B9" w:rsidRDefault="008C25B9" w:rsidP="00ED6145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hAnsi="Arial" w:cs="Arial"/>
          <w:sz w:val="36"/>
          <w:szCs w:val="34"/>
        </w:rPr>
      </w:pP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QDII</w:t>
      </w: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及商品基金等投资方面，</w:t>
      </w:r>
      <w:r w:rsidR="00AE5A2B" w:rsidRPr="00AE5A2B">
        <w:rPr>
          <w:rFonts w:ascii="Arial" w:eastAsia="楷体_GB2312" w:hAnsi="Arial" w:cs="Arial"/>
          <w:color w:val="auto"/>
          <w:sz w:val="20"/>
          <w:szCs w:val="20"/>
        </w:rPr>
        <w:t>建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议关注黄金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波段机会和大宗商品类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长期布局机会。在全球宽松政策乃至负利率的环境下，黄金的下跌空间有限，在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1200</w:t>
      </w:r>
      <w:r w:rsidR="00ED6145" w:rsidRPr="00ED6145">
        <w:rPr>
          <w:rFonts w:ascii="Arial" w:eastAsia="楷体_GB2312" w:hAnsi="Arial" w:cs="Arial" w:hint="eastAsia"/>
          <w:color w:val="auto"/>
          <w:sz w:val="20"/>
          <w:szCs w:val="20"/>
        </w:rPr>
        <w:t>处会有较强支撑，未来黄金走势受利率升降和避险需求影响较为明显。油气能源等大宗商品主题基金方面，国际原油价格在当前位置可能较长时间震荡，虽然油价面临市场供应过剩让的持续压力，但长期看依然处在低位，伴随中国经济回暖等长期投资者可以介入。</w:t>
      </w:r>
      <w:r w:rsidRPr="00DE1137">
        <w:rPr>
          <w:rFonts w:ascii="Arial" w:hAnsi="Arial" w:cs="Arial"/>
          <w:sz w:val="36"/>
          <w:szCs w:val="34"/>
        </w:rPr>
        <w:br w:type="page"/>
      </w:r>
    </w:p>
    <w:p w:rsidR="008C25B9" w:rsidRPr="00AD065B" w:rsidRDefault="008C25B9" w:rsidP="008C25B9">
      <w:pPr>
        <w:widowControl/>
        <w:jc w:val="left"/>
        <w:rPr>
          <w:rFonts w:ascii="Arial" w:hAnsi="Arial" w:cs="Arial"/>
          <w:b/>
          <w:color w:val="000080"/>
          <w:kern w:val="0"/>
          <w:sz w:val="32"/>
          <w:szCs w:val="20"/>
        </w:rPr>
      </w:pPr>
      <w:r w:rsidRPr="00AD065B">
        <w:rPr>
          <w:rFonts w:ascii="Arial" w:hAnsi="Arial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8C25B9" w:rsidRPr="001805EA" w:rsidRDefault="008C25B9" w:rsidP="008C25B9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8C25B9" w:rsidRPr="001805EA" w:rsidRDefault="008C25B9" w:rsidP="008C25B9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8C25B9" w:rsidRPr="001805EA" w:rsidRDefault="008C25B9" w:rsidP="008C25B9">
      <w:pPr>
        <w:rPr>
          <w:rFonts w:ascii="Arial" w:hAnsi="Arial" w:cs="Arial"/>
          <w:sz w:val="20"/>
          <w:szCs w:val="20"/>
        </w:rPr>
      </w:pPr>
    </w:p>
    <w:p w:rsidR="008C25B9" w:rsidRPr="001805EA" w:rsidRDefault="008C25B9" w:rsidP="008C25B9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8C25B9" w:rsidRPr="001805EA" w:rsidRDefault="008C25B9" w:rsidP="008C25B9">
      <w:pPr>
        <w:rPr>
          <w:rFonts w:ascii="Arial" w:hAnsi="Arial" w:cs="Arial"/>
          <w:sz w:val="20"/>
          <w:szCs w:val="20"/>
        </w:rPr>
      </w:pPr>
    </w:p>
    <w:p w:rsidR="008C25B9" w:rsidRPr="001805EA" w:rsidRDefault="008C25B9" w:rsidP="008C25B9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C25B9" w:rsidRPr="00C97435" w:rsidRDefault="008C25B9" w:rsidP="008C25B9">
      <w:pPr>
        <w:ind w:rightChars="26" w:right="55"/>
        <w:rPr>
          <w:rFonts w:ascii="Arial" w:hAnsi="Arial" w:cs="Arial"/>
          <w:sz w:val="13"/>
        </w:rPr>
      </w:pPr>
    </w:p>
    <w:p w:rsidR="00F8791E" w:rsidRPr="008C25B9" w:rsidRDefault="00F8791E"/>
    <w:sectPr w:rsidR="00F8791E" w:rsidRPr="008C25B9" w:rsidSect="001A4A12">
      <w:headerReference w:type="default" r:id="rId11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5E" w:rsidRDefault="0060125E">
      <w:r>
        <w:separator/>
      </w:r>
    </w:p>
  </w:endnote>
  <w:endnote w:type="continuationSeparator" w:id="0">
    <w:p w:rsidR="0060125E" w:rsidRDefault="0060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AD" w:rsidRPr="00D52111" w:rsidRDefault="000977AD" w:rsidP="001A4A12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9D516F" wp14:editId="0A49C9B2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B783F" wp14:editId="57D0E6C5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8B6A26" w:rsidRPr="008B6A26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8B6A26" w:rsidRPr="008B6A26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0977AD" w:rsidRDefault="000977AD">
    <w:pPr>
      <w:pStyle w:val="a4"/>
      <w:rPr>
        <w:sz w:val="4"/>
        <w:szCs w:val="4"/>
      </w:rPr>
    </w:pPr>
  </w:p>
  <w:p w:rsidR="000977AD" w:rsidRDefault="000977AD">
    <w:pPr>
      <w:pStyle w:val="a4"/>
      <w:rPr>
        <w:rFonts w:ascii="楷体_GB2312"/>
        <w:sz w:val="4"/>
        <w:szCs w:val="4"/>
      </w:rPr>
    </w:pPr>
  </w:p>
  <w:p w:rsidR="000977AD" w:rsidRPr="00F957FD" w:rsidRDefault="000977AD" w:rsidP="001A4A12">
    <w:pPr>
      <w:pStyle w:val="a4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5E" w:rsidRDefault="0060125E">
      <w:r>
        <w:separator/>
      </w:r>
    </w:p>
  </w:footnote>
  <w:footnote w:type="continuationSeparator" w:id="0">
    <w:p w:rsidR="0060125E" w:rsidRDefault="00601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AD" w:rsidRDefault="000977AD">
    <w:pPr>
      <w:pStyle w:val="a3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4144" behindDoc="0" locked="0" layoutInCell="1" allowOverlap="1" wp14:anchorId="27ABA357" wp14:editId="7EA60CE1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AD" w:rsidRDefault="000977AD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61E7DF" wp14:editId="57092AAE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7AD" w:rsidRPr="00880D7C" w:rsidRDefault="000977AD" w:rsidP="001A4A1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0977AD" w:rsidRPr="00880D7C" w:rsidRDefault="000977AD" w:rsidP="001A4A1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738CB" wp14:editId="310A8695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AD" w:rsidRDefault="000977AD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F8C4A2" wp14:editId="599C5AE9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7AD" w:rsidRPr="00880D7C" w:rsidRDefault="000977AD" w:rsidP="001A4A1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0977AD" w:rsidRPr="00880D7C" w:rsidRDefault="000977AD" w:rsidP="001A4A1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E587FA0" wp14:editId="0424F4F2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0977AD" w:rsidRDefault="000977AD">
    <w:pPr>
      <w:pStyle w:val="a3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AA4C2" wp14:editId="145F90F4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65pt;height:11.65pt" o:bullet="t">
        <v:imagedata r:id="rId1" o:title="msoDF97"/>
      </v:shape>
    </w:pict>
  </w:numPicBullet>
  <w:numPicBullet w:numPicBulletId="1">
    <w:pict>
      <v:shape id="_x0000_i1062" type="#_x0000_t75" style="width:11.65pt;height:11.65pt" o:bullet="t">
        <v:imagedata r:id="rId2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B9"/>
    <w:rsid w:val="00061FD9"/>
    <w:rsid w:val="000977AD"/>
    <w:rsid w:val="000A2A0A"/>
    <w:rsid w:val="000A542C"/>
    <w:rsid w:val="000C1063"/>
    <w:rsid w:val="00133B0E"/>
    <w:rsid w:val="00182B42"/>
    <w:rsid w:val="00183E6F"/>
    <w:rsid w:val="001A4A12"/>
    <w:rsid w:val="001C41DC"/>
    <w:rsid w:val="001F7C78"/>
    <w:rsid w:val="0020038A"/>
    <w:rsid w:val="00205B4A"/>
    <w:rsid w:val="00210BA8"/>
    <w:rsid w:val="00267E49"/>
    <w:rsid w:val="002A36A5"/>
    <w:rsid w:val="002B44C4"/>
    <w:rsid w:val="002F6279"/>
    <w:rsid w:val="003331C8"/>
    <w:rsid w:val="00341466"/>
    <w:rsid w:val="003C057A"/>
    <w:rsid w:val="003F460D"/>
    <w:rsid w:val="004A0A05"/>
    <w:rsid w:val="004B75FF"/>
    <w:rsid w:val="00500ED5"/>
    <w:rsid w:val="005632F2"/>
    <w:rsid w:val="005707AD"/>
    <w:rsid w:val="005725F5"/>
    <w:rsid w:val="0060125E"/>
    <w:rsid w:val="006306C1"/>
    <w:rsid w:val="00630DF1"/>
    <w:rsid w:val="00647ECE"/>
    <w:rsid w:val="00666174"/>
    <w:rsid w:val="00684E70"/>
    <w:rsid w:val="0069723D"/>
    <w:rsid w:val="006A0DFC"/>
    <w:rsid w:val="006B2D8F"/>
    <w:rsid w:val="006F023B"/>
    <w:rsid w:val="007435C6"/>
    <w:rsid w:val="00777DFE"/>
    <w:rsid w:val="008A3B60"/>
    <w:rsid w:val="008B6A26"/>
    <w:rsid w:val="008C25B9"/>
    <w:rsid w:val="008D6F94"/>
    <w:rsid w:val="009963E8"/>
    <w:rsid w:val="009E4114"/>
    <w:rsid w:val="00A4177C"/>
    <w:rsid w:val="00A43770"/>
    <w:rsid w:val="00A53F57"/>
    <w:rsid w:val="00AA469D"/>
    <w:rsid w:val="00AE5A2B"/>
    <w:rsid w:val="00B33891"/>
    <w:rsid w:val="00B46059"/>
    <w:rsid w:val="00C57766"/>
    <w:rsid w:val="00C608EC"/>
    <w:rsid w:val="00C85B31"/>
    <w:rsid w:val="00CB336D"/>
    <w:rsid w:val="00D03D11"/>
    <w:rsid w:val="00D534BC"/>
    <w:rsid w:val="00D77ADC"/>
    <w:rsid w:val="00D82C46"/>
    <w:rsid w:val="00DD150B"/>
    <w:rsid w:val="00DF6E3C"/>
    <w:rsid w:val="00E350B7"/>
    <w:rsid w:val="00E762E6"/>
    <w:rsid w:val="00E83620"/>
    <w:rsid w:val="00EA5F67"/>
    <w:rsid w:val="00EC4163"/>
    <w:rsid w:val="00ED6145"/>
    <w:rsid w:val="00EE72CB"/>
    <w:rsid w:val="00F1017C"/>
    <w:rsid w:val="00F32B67"/>
    <w:rsid w:val="00F37EC5"/>
    <w:rsid w:val="00F8791E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C25B9"/>
    <w:pPr>
      <w:widowControl w:val="0"/>
      <w:jc w:val="both"/>
    </w:pPr>
    <w:rPr>
      <w:rFonts w:ascii="Times New Roman" w:eastAsia="楷体_GB2312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25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2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5B9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C2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5B9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8C25B9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paragraph" w:styleId="a6">
    <w:name w:val="List Paragraph"/>
    <w:basedOn w:val="a"/>
    <w:uiPriority w:val="99"/>
    <w:qFormat/>
    <w:rsid w:val="008C25B9"/>
    <w:pPr>
      <w:ind w:firstLineChars="200" w:firstLine="420"/>
    </w:pPr>
  </w:style>
  <w:style w:type="character" w:customStyle="1" w:styleId="textsmall2">
    <w:name w:val="text_small2"/>
    <w:basedOn w:val="a0"/>
    <w:rsid w:val="008C25B9"/>
  </w:style>
  <w:style w:type="character" w:customStyle="1" w:styleId="3Char">
    <w:name w:val="标题 3 Char"/>
    <w:basedOn w:val="a0"/>
    <w:link w:val="3"/>
    <w:uiPriority w:val="9"/>
    <w:semiHidden/>
    <w:rsid w:val="008C25B9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8C25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25B9"/>
    <w:rPr>
      <w:rFonts w:ascii="Times New Roman" w:eastAsia="楷体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C25B9"/>
    <w:pPr>
      <w:widowControl w:val="0"/>
      <w:jc w:val="both"/>
    </w:pPr>
    <w:rPr>
      <w:rFonts w:ascii="Times New Roman" w:eastAsia="楷体_GB2312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25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2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5B9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C2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5B9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8C25B9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paragraph" w:styleId="a6">
    <w:name w:val="List Paragraph"/>
    <w:basedOn w:val="a"/>
    <w:uiPriority w:val="99"/>
    <w:qFormat/>
    <w:rsid w:val="008C25B9"/>
    <w:pPr>
      <w:ind w:firstLineChars="200" w:firstLine="420"/>
    </w:pPr>
  </w:style>
  <w:style w:type="character" w:customStyle="1" w:styleId="textsmall2">
    <w:name w:val="text_small2"/>
    <w:basedOn w:val="a0"/>
    <w:rsid w:val="008C25B9"/>
  </w:style>
  <w:style w:type="character" w:customStyle="1" w:styleId="3Char">
    <w:name w:val="标题 3 Char"/>
    <w:basedOn w:val="a0"/>
    <w:link w:val="3"/>
    <w:uiPriority w:val="9"/>
    <w:semiHidden/>
    <w:rsid w:val="008C25B9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8C25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25B9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384981727623097"/>
          <c:y val="3.1941196786025076E-2"/>
          <c:w val="0.52311426418232376"/>
          <c:h val="0.902170584281429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报告图表!$B$29</c:f>
              <c:strCache>
                <c:ptCount val="1"/>
                <c:pt idx="0">
                  <c:v>涨跌</c:v>
                </c:pt>
              </c:strCache>
            </c:strRef>
          </c:tx>
          <c:invertIfNegative val="0"/>
          <c:cat>
            <c:strRef>
              <c:f>报告图表!$A$30:$A$58</c:f>
              <c:strCache>
                <c:ptCount val="29"/>
                <c:pt idx="0">
                  <c:v>食品饮料</c:v>
                </c:pt>
                <c:pt idx="1">
                  <c:v>银行</c:v>
                </c:pt>
                <c:pt idx="2">
                  <c:v>交通运输</c:v>
                </c:pt>
                <c:pt idx="3">
                  <c:v>电力及公用事业</c:v>
                </c:pt>
                <c:pt idx="4">
                  <c:v>农林牧渔</c:v>
                </c:pt>
                <c:pt idx="5">
                  <c:v>纺织服装</c:v>
                </c:pt>
                <c:pt idx="6">
                  <c:v>电力设备</c:v>
                </c:pt>
                <c:pt idx="7">
                  <c:v>汽车</c:v>
                </c:pt>
                <c:pt idx="8">
                  <c:v>电子元器件</c:v>
                </c:pt>
                <c:pt idx="9">
                  <c:v>医药</c:v>
                </c:pt>
                <c:pt idx="10">
                  <c:v>家电</c:v>
                </c:pt>
                <c:pt idx="11">
                  <c:v>国防军工</c:v>
                </c:pt>
                <c:pt idx="12">
                  <c:v>餐饮旅游</c:v>
                </c:pt>
                <c:pt idx="13">
                  <c:v>石油石化</c:v>
                </c:pt>
                <c:pt idx="14">
                  <c:v>建筑</c:v>
                </c:pt>
                <c:pt idx="15">
                  <c:v>房地产</c:v>
                </c:pt>
                <c:pt idx="16">
                  <c:v>商贸零售</c:v>
                </c:pt>
                <c:pt idx="17">
                  <c:v>计算机</c:v>
                </c:pt>
                <c:pt idx="18">
                  <c:v>机械</c:v>
                </c:pt>
                <c:pt idx="19">
                  <c:v>基础化工</c:v>
                </c:pt>
                <c:pt idx="20">
                  <c:v>非银行金融</c:v>
                </c:pt>
                <c:pt idx="21">
                  <c:v>建材</c:v>
                </c:pt>
                <c:pt idx="22">
                  <c:v>传媒</c:v>
                </c:pt>
                <c:pt idx="23">
                  <c:v>钢铁</c:v>
                </c:pt>
                <c:pt idx="24">
                  <c:v>有色金属</c:v>
                </c:pt>
                <c:pt idx="25">
                  <c:v>通信</c:v>
                </c:pt>
                <c:pt idx="26">
                  <c:v>综合</c:v>
                </c:pt>
                <c:pt idx="27">
                  <c:v>轻工制造</c:v>
                </c:pt>
                <c:pt idx="28">
                  <c:v>煤炭</c:v>
                </c:pt>
              </c:strCache>
            </c:strRef>
          </c:cat>
          <c:val>
            <c:numRef>
              <c:f>报告图表!$B$30:$B$58</c:f>
              <c:numCache>
                <c:formatCode>0.00%</c:formatCode>
                <c:ptCount val="29"/>
                <c:pt idx="0">
                  <c:v>1.5409997999067171E-2</c:v>
                </c:pt>
                <c:pt idx="1">
                  <c:v>2.3293413883577196E-2</c:v>
                </c:pt>
                <c:pt idx="2">
                  <c:v>2.9286958034436372E-2</c:v>
                </c:pt>
                <c:pt idx="3">
                  <c:v>3.0095340311237173E-2</c:v>
                </c:pt>
                <c:pt idx="4">
                  <c:v>3.0987871183342897E-2</c:v>
                </c:pt>
                <c:pt idx="5">
                  <c:v>3.277890822890428E-2</c:v>
                </c:pt>
                <c:pt idx="6">
                  <c:v>3.3139807705246938E-2</c:v>
                </c:pt>
                <c:pt idx="7">
                  <c:v>3.3873520239899202E-2</c:v>
                </c:pt>
                <c:pt idx="8">
                  <c:v>3.4196863271943156E-2</c:v>
                </c:pt>
                <c:pt idx="9">
                  <c:v>3.4869287643052305E-2</c:v>
                </c:pt>
                <c:pt idx="10">
                  <c:v>3.5937997469747573E-2</c:v>
                </c:pt>
                <c:pt idx="11">
                  <c:v>3.6676517499528272E-2</c:v>
                </c:pt>
                <c:pt idx="12">
                  <c:v>3.8532489670887848E-2</c:v>
                </c:pt>
                <c:pt idx="13">
                  <c:v>4.0067364970470809E-2</c:v>
                </c:pt>
                <c:pt idx="14">
                  <c:v>4.0226860517825758E-2</c:v>
                </c:pt>
                <c:pt idx="15">
                  <c:v>4.0462266271743097E-2</c:v>
                </c:pt>
                <c:pt idx="16">
                  <c:v>4.1723606254955303E-2</c:v>
                </c:pt>
                <c:pt idx="17">
                  <c:v>4.278797252067168E-2</c:v>
                </c:pt>
                <c:pt idx="18">
                  <c:v>4.2941834022482972E-2</c:v>
                </c:pt>
                <c:pt idx="19">
                  <c:v>4.358892904567635E-2</c:v>
                </c:pt>
                <c:pt idx="20">
                  <c:v>4.5245903532856513E-2</c:v>
                </c:pt>
                <c:pt idx="21">
                  <c:v>4.5331411294790236E-2</c:v>
                </c:pt>
                <c:pt idx="22">
                  <c:v>4.757176648694883E-2</c:v>
                </c:pt>
                <c:pt idx="23">
                  <c:v>5.0296257740121142E-2</c:v>
                </c:pt>
                <c:pt idx="24">
                  <c:v>5.1276810426314823E-2</c:v>
                </c:pt>
                <c:pt idx="25">
                  <c:v>5.1663984759212189E-2</c:v>
                </c:pt>
                <c:pt idx="26">
                  <c:v>5.2893777379405815E-2</c:v>
                </c:pt>
                <c:pt idx="27">
                  <c:v>5.5279874896258407E-2</c:v>
                </c:pt>
                <c:pt idx="28">
                  <c:v>8.2521296593344839E-2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151872"/>
        <c:axId val="166316864"/>
      </c:barChart>
      <c:catAx>
        <c:axId val="243151872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166316864"/>
        <c:crosses val="autoZero"/>
        <c:auto val="1"/>
        <c:lblAlgn val="ctr"/>
        <c:lblOffset val="100"/>
        <c:noMultiLvlLbl val="0"/>
      </c:catAx>
      <c:valAx>
        <c:axId val="16631686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600"/>
            </a:pPr>
            <a:endParaRPr lang="zh-CN"/>
          </a:p>
        </c:txPr>
        <c:crossAx val="2431518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1068</Words>
  <Characters>6093</Characters>
  <Application>Microsoft Office Word</Application>
  <DocSecurity>0</DocSecurity>
  <Lines>50</Lines>
  <Paragraphs>14</Paragraphs>
  <ScaleCrop>false</ScaleCrop>
  <Company>Microsoft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sangliuyu@hotmail.com</cp:lastModifiedBy>
  <cp:revision>42</cp:revision>
  <dcterms:created xsi:type="dcterms:W3CDTF">2016-04-13T01:58:00Z</dcterms:created>
  <dcterms:modified xsi:type="dcterms:W3CDTF">2016-04-17T16:58:00Z</dcterms:modified>
</cp:coreProperties>
</file>