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39542B"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34" type="#_x0000_t202" style="position:absolute;left:0;text-align:left;margin-left:456.65pt;margin-top:41.1pt;width:117.3pt;height:23.25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32465D" w:rsidRPr="00EE31AB" w:rsidRDefault="0032465D"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33" type="#_x0000_t202" style="position:absolute;left:0;text-align:left;margin-left:15.3pt;margin-top:49.15pt;width:409.2pt;height:25.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32465D" w:rsidRPr="00AE6908" w:rsidRDefault="0032465D">
                  <w:pPr>
                    <w:rPr>
                      <w:rFonts w:ascii="楷体_GB2312"/>
                      <w:b/>
                      <w:sz w:val="30"/>
                      <w:szCs w:val="30"/>
                    </w:rPr>
                  </w:pPr>
                  <w:bookmarkStart w:id="0" w:name="title"/>
                  <w:r>
                    <w:rPr>
                      <w:rFonts w:ascii="楷体_GB2312" w:hint="eastAsia"/>
                      <w:b/>
                      <w:sz w:val="30"/>
                      <w:szCs w:val="30"/>
                    </w:rPr>
                    <w:t>2016年</w:t>
                  </w:r>
                  <w:r w:rsidR="00B968A7">
                    <w:rPr>
                      <w:rFonts w:ascii="楷体_GB2312" w:hint="eastAsia"/>
                      <w:b/>
                      <w:sz w:val="30"/>
                      <w:szCs w:val="30"/>
                    </w:rPr>
                    <w:t>3</w:t>
                  </w:r>
                  <w:r>
                    <w:rPr>
                      <w:rFonts w:ascii="楷体_GB2312" w:hint="eastAsia"/>
                      <w:b/>
                      <w:sz w:val="30"/>
                      <w:szCs w:val="30"/>
                    </w:rPr>
                    <w:t>月QDII基金投资策略</w:t>
                  </w:r>
                  <w:bookmarkEnd w:id="0"/>
                </w:p>
              </w:txbxContent>
            </v:textbox>
            <w10:wrap anchorx="page" anchory="page"/>
          </v:shape>
        </w:pict>
      </w:r>
      <w:r>
        <w:rPr>
          <w:noProof/>
        </w:rPr>
        <w:pict>
          <v:shape id="Text Box 335" o:spid="_x0000_s1032" type="#_x0000_t202" style="position:absolute;left:0;text-align:left;margin-left:15.3pt;margin-top:15.6pt;width:370.25pt;height:21.5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1" w:name="reportDate"/>
                <w:p w:rsidR="0032465D" w:rsidRDefault="0039542B" w:rsidP="00832F33">
                  <w:pPr>
                    <w:jc w:val="left"/>
                  </w:pPr>
                  <w:sdt>
                    <w:sdtPr>
                      <w:rPr>
                        <w:rFonts w:eastAsia="黑体" w:cs="Arial" w:hint="eastAsia"/>
                        <w:b/>
                        <w:sz w:val="21"/>
                        <w:szCs w:val="21"/>
                      </w:rPr>
                      <w:alias w:val="报告日期"/>
                      <w:tag w:val="BDCONTENTCONTROL_5c179c93-3177-4ab7-ae62-1dc3677fa3d8"/>
                      <w:id w:val="3936421"/>
                      <w:placeholder>
                        <w:docPart w:val="4CB7026BBFC0491EB2072B6D6781546B"/>
                      </w:placeholder>
                      <w:text/>
                    </w:sdtPr>
                    <w:sdtEndPr/>
                    <w:sdtContent>
                      <w:r w:rsidR="00B968A7">
                        <w:rPr>
                          <w:rFonts w:eastAsia="黑体" w:cs="Arial" w:hint="eastAsia"/>
                          <w:b/>
                          <w:sz w:val="21"/>
                          <w:szCs w:val="21"/>
                        </w:rPr>
                        <w:t>2016</w:t>
                      </w:r>
                      <w:r w:rsidR="00B968A7">
                        <w:rPr>
                          <w:rFonts w:eastAsia="黑体" w:cs="Arial" w:hint="eastAsia"/>
                          <w:b/>
                          <w:sz w:val="21"/>
                          <w:szCs w:val="21"/>
                        </w:rPr>
                        <w:t>年</w:t>
                      </w:r>
                      <w:r w:rsidR="00B968A7">
                        <w:rPr>
                          <w:rFonts w:eastAsia="黑体" w:cs="Arial" w:hint="eastAsia"/>
                          <w:b/>
                          <w:sz w:val="21"/>
                          <w:szCs w:val="21"/>
                        </w:rPr>
                        <w:t>03</w:t>
                      </w:r>
                      <w:r w:rsidR="00B968A7">
                        <w:rPr>
                          <w:rFonts w:eastAsia="黑体" w:cs="Arial" w:hint="eastAsia"/>
                          <w:b/>
                          <w:sz w:val="21"/>
                          <w:szCs w:val="21"/>
                        </w:rPr>
                        <w:t>月</w:t>
                      </w:r>
                      <w:r w:rsidR="00B968A7">
                        <w:rPr>
                          <w:rFonts w:eastAsia="黑体" w:cs="Arial" w:hint="eastAsia"/>
                          <w:b/>
                          <w:sz w:val="21"/>
                          <w:szCs w:val="21"/>
                        </w:rPr>
                        <w:t>10</w:t>
                      </w:r>
                      <w:r w:rsidR="00B968A7">
                        <w:rPr>
                          <w:rFonts w:eastAsia="黑体" w:cs="Arial" w:hint="eastAsia"/>
                          <w:b/>
                          <w:sz w:val="21"/>
                          <w:szCs w:val="21"/>
                        </w:rPr>
                        <w:t>日</w:t>
                      </w:r>
                    </w:sdtContent>
                  </w:sdt>
                  <w:bookmarkEnd w:id="1"/>
                </w:p>
              </w:txbxContent>
            </v:textbox>
            <w10:wrap anchorx="page" anchory="page"/>
          </v:shape>
        </w:pict>
      </w:r>
      <w:r>
        <w:rPr>
          <w:noProof/>
        </w:rPr>
        <w:pict>
          <v:rect id="Rectangle 406" o:spid="_x0000_s1031" style="position:absolute;left:0;text-align:left;margin-left:416.25pt;margin-top:-30.75pt;width:124.5pt;height: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32465D" w:rsidRPr="00EC07DB" w:rsidRDefault="0032465D" w:rsidP="00865BF6">
                  <w:pPr>
                    <w:jc w:val="right"/>
                    <w:rPr>
                      <w:sz w:val="15"/>
                      <w:szCs w:val="15"/>
                    </w:rPr>
                  </w:pPr>
                </w:p>
              </w:txbxContent>
            </v:textbox>
            <w10:anchorlock/>
          </v:rect>
        </w:pict>
      </w:r>
      <w:r>
        <w:rPr>
          <w:noProof/>
        </w:rPr>
        <w:pict>
          <v:shape id="Text Box 405" o:spid="_x0000_s1030" type="#_x0000_t202" style="position:absolute;left:0;text-align:left;margin-left:414.3pt;margin-top:15.6pt;width:128.45pt;height:34.3pt;z-index:251665920;visibility:visible;mso-wrap-style:non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32465D" w:rsidRPr="00E17DD1" w:rsidRDefault="0032465D"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29" style="position:absolute;left:0;text-align:left;margin-left:299.1pt;margin-top:12.75pt;width:86.55pt;height:25.65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32465D" w:rsidRPr="00FE4B43" w:rsidRDefault="0032465D" w:rsidP="006449BF">
                  <w:pPr>
                    <w:rPr>
                      <w:b/>
                      <w:sz w:val="24"/>
                      <w:szCs w:val="24"/>
                    </w:rPr>
                  </w:pPr>
                  <w:bookmarkStart w:id="2" w:name="lastInvestSuggestion"/>
                  <w:r>
                    <w:rPr>
                      <w:rFonts w:hint="eastAsia"/>
                      <w:b/>
                      <w:sz w:val="24"/>
                      <w:szCs w:val="24"/>
                    </w:rPr>
                    <w:t>买入</w:t>
                  </w:r>
                  <w:bookmarkEnd w:id="2"/>
                </w:p>
              </w:txbxContent>
            </v:textbox>
          </v:rect>
        </w:pict>
      </w:r>
    </w:p>
    <w:p w:rsidR="0090542D" w:rsidRDefault="0039542B">
      <w:pPr>
        <w:jc w:val="right"/>
        <w:rPr>
          <w:rFonts w:eastAsia="黑体" w:cs="Arial"/>
          <w:sz w:val="30"/>
          <w:szCs w:val="52"/>
        </w:rPr>
      </w:pPr>
      <w:r>
        <w:rPr>
          <w:noProof/>
        </w:rPr>
        <w:pict>
          <v:shape id="Text Box 338" o:spid="_x0000_s1028" type="#_x0000_t202" style="position:absolute;left:0;text-align:left;margin-left:341.25pt;margin-top:98.35pt;width:228.75pt;height:22.1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32465D" w:rsidRDefault="0039542B" w:rsidP="00F30157">
                  <w:pPr>
                    <w:jc w:val="right"/>
                  </w:pPr>
                  <w:sdt>
                    <w:sdtPr>
                      <w:rPr>
                        <w:rFonts w:hint="eastAsia"/>
                        <w:b/>
                        <w:sz w:val="24"/>
                        <w:szCs w:val="24"/>
                      </w:rPr>
                      <w:alias w:val="报告类型"/>
                      <w:tag w:val="BDCONTENTCONTROL_84bd61de-94b7-4c7c-8f81-60dfebe1887e"/>
                      <w:id w:val="1634203798"/>
                      <w:text/>
                    </w:sdtPr>
                    <w:sdtEndPr/>
                    <w:sdtContent>
                      <w:r w:rsidR="00B968A7">
                        <w:rPr>
                          <w:rFonts w:hint="eastAsia"/>
                          <w:b/>
                          <w:sz w:val="24"/>
                          <w:szCs w:val="24"/>
                        </w:rPr>
                        <w:t>基金投资策略报告</w:t>
                      </w:r>
                    </w:sdtContent>
                  </w:sdt>
                </w:p>
              </w:txbxContent>
            </v:textbox>
            <w10:wrap anchorx="page" anchory="page"/>
          </v:shape>
        </w:pict>
      </w:r>
    </w:p>
    <w:p w:rsidR="0090542D" w:rsidRDefault="0039542B">
      <w:pPr>
        <w:jc w:val="right"/>
        <w:rPr>
          <w:rFonts w:eastAsia="黑体" w:cs="Arial"/>
          <w:sz w:val="30"/>
          <w:szCs w:val="52"/>
        </w:rPr>
      </w:pPr>
      <w:r>
        <w:rPr>
          <w:noProof/>
        </w:rPr>
        <w:pict>
          <v:line id="Line 335" o:spid="_x0000_s1027" style="position:absolute;left:0;text-align:left;z-index:251653632;visibility:visible;mso-wrap-distance-top:-3e-5mm;mso-wrap-distance-bottom:-3e-5mm"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3A7A25">
        <w:trPr>
          <w:trHeight w:val="12531"/>
        </w:trPr>
        <w:tc>
          <w:tcPr>
            <w:tcW w:w="3459" w:type="dxa"/>
            <w:tcMar>
              <w:top w:w="28" w:type="dxa"/>
              <w:left w:w="0" w:type="dxa"/>
              <w:right w:w="108" w:type="dxa"/>
            </w:tcMar>
          </w:tcPr>
          <w:p w:rsidR="00351D32" w:rsidRDefault="00351D32" w:rsidP="00351D32">
            <w:pPr>
              <w:spacing w:line="14" w:lineRule="exact"/>
            </w:pPr>
          </w:p>
          <w:p w:rsidR="000E6AE0" w:rsidRPr="00BE2561" w:rsidRDefault="000E6AE0" w:rsidP="00BE2561">
            <w:pPr>
              <w:ind w:rightChars="300" w:right="540"/>
              <w:rPr>
                <w:rFonts w:cs="Arial"/>
                <w:b/>
                <w:bCs/>
                <w:sz w:val="21"/>
              </w:rPr>
            </w:pPr>
          </w:p>
          <w:p w:rsidR="008D4BDD" w:rsidRDefault="008D4BDD" w:rsidP="000E6AE0">
            <w:pPr>
              <w:ind w:rightChars="300" w:right="540"/>
            </w:pPr>
          </w:p>
          <w:p w:rsidR="00BE2561" w:rsidRDefault="00BE2561" w:rsidP="000E6AE0">
            <w:pPr>
              <w:ind w:rightChars="300" w:right="540"/>
            </w:pPr>
          </w:p>
          <w:p w:rsidR="00BE2561" w:rsidRDefault="00BE2561" w:rsidP="000E6AE0">
            <w:pPr>
              <w:ind w:rightChars="300" w:right="540"/>
            </w:pPr>
          </w:p>
          <w:p w:rsidR="00BE2561" w:rsidRDefault="00BE2561" w:rsidP="000E6AE0">
            <w:pPr>
              <w:ind w:rightChars="300" w:right="540"/>
            </w:pPr>
          </w:p>
          <w:p w:rsidR="00BE2561" w:rsidRDefault="00BE2561" w:rsidP="000E6AE0">
            <w:pPr>
              <w:ind w:rightChars="300" w:right="540"/>
            </w:pPr>
          </w:p>
          <w:p w:rsidR="00BE2561" w:rsidRDefault="00BE2561" w:rsidP="000E6AE0">
            <w:pPr>
              <w:ind w:rightChars="300" w:right="540"/>
            </w:pPr>
          </w:p>
          <w:p w:rsidR="00BE2561" w:rsidRDefault="00BE2561" w:rsidP="000E6AE0">
            <w:pPr>
              <w:ind w:rightChars="300" w:right="540"/>
            </w:pPr>
          </w:p>
          <w:p w:rsidR="00BE2561" w:rsidRDefault="00BE2561" w:rsidP="000E6AE0">
            <w:pPr>
              <w:ind w:rightChars="300" w:right="540"/>
            </w:pPr>
          </w:p>
          <w:p w:rsidR="00BE2561" w:rsidRDefault="00BE2561" w:rsidP="000E6AE0">
            <w:pPr>
              <w:ind w:rightChars="300" w:right="540"/>
            </w:pPr>
          </w:p>
          <w:p w:rsidR="00BE2561" w:rsidRPr="000E6AE0" w:rsidRDefault="00BE2561"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E24B11B45F5B4420B14A940B035EBC5C"/>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39542B"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4A3941D938B840BB8CE3975136ECCACC"/>
                    </w:placeholder>
                  </w:sdtPr>
                  <w:sdtEndPr/>
                  <w:sdtContent>
                    <w:p w:rsidR="00B632AD" w:rsidRPr="00B632AD" w:rsidRDefault="00B632AD" w:rsidP="00B632AD">
                      <w:pPr>
                        <w:spacing w:line="14" w:lineRule="exact"/>
                      </w:pPr>
                    </w:p>
                    <w:tbl>
                      <w:tblPr>
                        <w:tblW w:w="3458" w:type="dxa"/>
                        <w:tblLayout w:type="fixed"/>
                        <w:tblCellMar>
                          <w:left w:w="0" w:type="dxa"/>
                          <w:right w:w="0" w:type="dxa"/>
                        </w:tblCellMar>
                        <w:tblLook w:val="0000" w:firstRow="0" w:lastRow="0" w:firstColumn="0" w:lastColumn="0" w:noHBand="0" w:noVBand="0"/>
                      </w:tblPr>
                      <w:tblGrid>
                        <w:gridCol w:w="850"/>
                        <w:gridCol w:w="2608"/>
                      </w:tblGrid>
                      <w:tr w:rsidR="00626F55" w:rsidTr="00BE2561">
                        <w:trPr>
                          <w:trHeight w:val="567"/>
                        </w:trPr>
                        <w:tc>
                          <w:tcPr>
                            <w:tcW w:w="1229" w:type="pct"/>
                            <w:tcMar>
                              <w:left w:w="0" w:type="dxa"/>
                              <w:right w:w="28" w:type="dxa"/>
                            </w:tcMar>
                          </w:tcPr>
                          <w:p w:rsidR="00626F55" w:rsidRDefault="00B968A7" w:rsidP="004E627E">
                            <w:pPr>
                              <w:pStyle w:val="GJReportFirPageAuthorName"/>
                            </w:pPr>
                            <w:r>
                              <w:rPr>
                                <w:rFonts w:hint="eastAsia"/>
                              </w:rPr>
                              <w:t>杨舒</w:t>
                            </w:r>
                          </w:p>
                        </w:tc>
                        <w:tc>
                          <w:tcPr>
                            <w:tcW w:w="3771" w:type="pct"/>
                            <w:tcMar>
                              <w:left w:w="0" w:type="dxa"/>
                              <w:right w:w="28" w:type="dxa"/>
                            </w:tcMar>
                          </w:tcPr>
                          <w:p w:rsidR="00C363BE" w:rsidRPr="00EE0794" w:rsidRDefault="00B968A7" w:rsidP="00C363BE">
                            <w:pPr>
                              <w:pStyle w:val="GJReportFirPageAuthorEmail"/>
                              <w:spacing w:beforeLines="30" w:before="72"/>
                            </w:pPr>
                            <w:r>
                              <w:rPr>
                                <w:rFonts w:hint="eastAsia"/>
                              </w:rPr>
                              <w:t>分析师</w:t>
                            </w:r>
                            <w:r>
                              <w:rPr>
                                <w:rFonts w:hint="eastAsia"/>
                              </w:rPr>
                              <w:t xml:space="preserve"> </w:t>
                            </w:r>
                            <w:bookmarkStart w:id="3" w:name="_GoBack"/>
                            <w:bookmarkEnd w:id="3"/>
                          </w:p>
                          <w:p w:rsidR="00626F55" w:rsidRPr="00EE0794" w:rsidRDefault="00626F55" w:rsidP="00B968A7">
                            <w:pPr>
                              <w:pStyle w:val="GJReportFirPageAuthorEmail"/>
                            </w:pPr>
                          </w:p>
                        </w:tc>
                      </w:tr>
                      <w:tr w:rsidR="00B968A7" w:rsidTr="00BE2561">
                        <w:trPr>
                          <w:trHeight w:val="567"/>
                        </w:trPr>
                        <w:tc>
                          <w:tcPr>
                            <w:tcW w:w="1229" w:type="pct"/>
                            <w:tcMar>
                              <w:left w:w="0" w:type="dxa"/>
                              <w:right w:w="28" w:type="dxa"/>
                            </w:tcMar>
                          </w:tcPr>
                          <w:p w:rsidR="00B968A7" w:rsidRDefault="00B968A7" w:rsidP="004E627E">
                            <w:pPr>
                              <w:pStyle w:val="GJReportFirPageAuthorName"/>
                            </w:pPr>
                            <w:r>
                              <w:rPr>
                                <w:rFonts w:hint="eastAsia"/>
                              </w:rPr>
                              <w:t>王聃聃</w:t>
                            </w:r>
                          </w:p>
                        </w:tc>
                        <w:tc>
                          <w:tcPr>
                            <w:tcW w:w="3771" w:type="pct"/>
                            <w:tcMar>
                              <w:left w:w="0" w:type="dxa"/>
                              <w:right w:w="28" w:type="dxa"/>
                            </w:tcMar>
                          </w:tcPr>
                          <w:p w:rsidR="00C363BE" w:rsidRPr="00EE0794" w:rsidRDefault="00B968A7" w:rsidP="00C363BE">
                            <w:pPr>
                              <w:pStyle w:val="GJReportFirPageAuthorEmail"/>
                              <w:spacing w:beforeLines="30" w:before="72"/>
                            </w:pPr>
                            <w:r>
                              <w:rPr>
                                <w:rFonts w:hint="eastAsia"/>
                              </w:rPr>
                              <w:t>分析师</w:t>
                            </w:r>
                          </w:p>
                          <w:p w:rsidR="00B968A7" w:rsidRPr="00EE0794" w:rsidRDefault="00B968A7" w:rsidP="00B968A7">
                            <w:pPr>
                              <w:pStyle w:val="GJReportFirPageAuthorEmail"/>
                            </w:pPr>
                          </w:p>
                        </w:tc>
                      </w:tr>
                    </w:tbl>
                    <w:p w:rsidR="00B632AD" w:rsidRPr="006E3D11" w:rsidRDefault="0039542B" w:rsidP="00B968A7">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4A3941D938B840BB8CE3975136ECCACC"/>
              </w:placeholder>
            </w:sdtPr>
            <w:sdtEndPr/>
            <w:sdtContent>
              <w:p w:rsidR="00962AD2" w:rsidRDefault="00B968A7" w:rsidP="00AA352E">
                <w:pPr>
                  <w:ind w:rightChars="13" w:right="23"/>
                  <w:jc w:val="center"/>
                  <w:rPr>
                    <w:rFonts w:ascii="楷体_GB2312"/>
                    <w:b/>
                    <w:bCs/>
                    <w:sz w:val="36"/>
                    <w:szCs w:val="36"/>
                  </w:rPr>
                </w:pPr>
                <w:r>
                  <w:rPr>
                    <w:rFonts w:ascii="楷体_GB2312" w:hint="eastAsia"/>
                    <w:b/>
                    <w:bCs/>
                    <w:sz w:val="36"/>
                    <w:szCs w:val="36"/>
                  </w:rPr>
                  <w:t>布局黄金为主，关注加息动向</w:t>
                </w:r>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4A3941D938B840BB8CE3975136ECCACC"/>
              </w:placeholder>
            </w:sdtPr>
            <w:sdtEndPr>
              <w:rPr>
                <w:rFonts w:cs="Times New Roman"/>
                <w:b w:val="0"/>
                <w:sz w:val="21"/>
                <w:szCs w:val="21"/>
              </w:rPr>
            </w:sdtEndPr>
            <w:sdtContent>
              <w:p w:rsidR="000E6AE0" w:rsidRPr="00346E26" w:rsidRDefault="000E6AE0" w:rsidP="000E6AE0">
                <w:pPr>
                  <w:pStyle w:val="a0"/>
                  <w:spacing w:line="240" w:lineRule="auto"/>
                  <w:ind w:left="0" w:rightChars="12" w:right="22"/>
                  <w:jc w:val="left"/>
                  <w:rPr>
                    <w:b/>
                    <w:bCs/>
                    <w:color w:val="auto"/>
                    <w:sz w:val="24"/>
                  </w:rPr>
                </w:pPr>
                <w:r w:rsidRPr="00346E26">
                  <w:rPr>
                    <w:b/>
                    <w:bCs/>
                    <w:color w:val="auto"/>
                    <w:sz w:val="24"/>
                  </w:rPr>
                  <w:t>基本结论</w:t>
                </w:r>
              </w:p>
              <w:p w:rsidR="00BE2561" w:rsidRPr="00BE2561" w:rsidRDefault="00FD1ED7" w:rsidP="00BE2561">
                <w:pPr>
                  <w:pStyle w:val="a0"/>
                  <w:spacing w:line="240" w:lineRule="auto"/>
                  <w:ind w:left="0" w:rightChars="12" w:right="22"/>
                  <w:jc w:val="left"/>
                  <w:rPr>
                    <w:b/>
                    <w:bCs/>
                    <w:color w:val="auto"/>
                    <w:sz w:val="24"/>
                  </w:rPr>
                </w:pPr>
                <w:r w:rsidRPr="00FD1ED7">
                  <w:rPr>
                    <w:rFonts w:hint="eastAsia"/>
                    <w:b/>
                    <w:bCs/>
                    <w:color w:val="auto"/>
                    <w:sz w:val="24"/>
                  </w:rPr>
                  <w:t>避险主导，“金基”独立</w:t>
                </w:r>
              </w:p>
              <w:p w:rsidR="00FD1ED7" w:rsidRPr="00FD1ED7" w:rsidRDefault="00FD1ED7" w:rsidP="00BE2561">
                <w:pPr>
                  <w:pStyle w:val="a0"/>
                  <w:widowControl/>
                  <w:numPr>
                    <w:ilvl w:val="0"/>
                    <w:numId w:val="33"/>
                  </w:numPr>
                  <w:spacing w:line="240" w:lineRule="auto"/>
                  <w:ind w:rightChars="12" w:right="22"/>
                  <w:jc w:val="left"/>
                </w:pPr>
                <w:r>
                  <w:rPr>
                    <w:rFonts w:hint="eastAsia"/>
                    <w:color w:val="auto"/>
                  </w:rPr>
                  <w:t>2</w:t>
                </w:r>
                <w:r>
                  <w:rPr>
                    <w:rFonts w:hint="eastAsia"/>
                    <w:color w:val="auto"/>
                  </w:rPr>
                  <w:t>月以来尽管原油价格及</w:t>
                </w:r>
                <w:r w:rsidRPr="00D9798B">
                  <w:rPr>
                    <w:rFonts w:hint="eastAsia"/>
                    <w:color w:val="auto"/>
                  </w:rPr>
                  <w:t>全球股市</w:t>
                </w:r>
                <w:r>
                  <w:rPr>
                    <w:rFonts w:hint="eastAsia"/>
                    <w:color w:val="auto"/>
                  </w:rPr>
                  <w:t>出现回暖</w:t>
                </w:r>
                <w:r w:rsidRPr="00D9798B">
                  <w:rPr>
                    <w:rFonts w:hint="eastAsia"/>
                    <w:color w:val="auto"/>
                  </w:rPr>
                  <w:t>，</w:t>
                </w:r>
                <w:r>
                  <w:rPr>
                    <w:rFonts w:hint="eastAsia"/>
                    <w:color w:val="auto"/>
                  </w:rPr>
                  <w:t>但在各大经济体下滑、</w:t>
                </w:r>
                <w:r>
                  <w:rPr>
                    <w:rFonts w:hint="eastAsia"/>
                  </w:rPr>
                  <w:t>金融汇市动荡和地缘局势不稳等</w:t>
                </w:r>
                <w:r>
                  <w:rPr>
                    <w:rFonts w:hint="eastAsia"/>
                    <w:color w:val="auto"/>
                  </w:rPr>
                  <w:t>利空因素冲击下，</w:t>
                </w:r>
                <w:r w:rsidRPr="00D9798B">
                  <w:rPr>
                    <w:rFonts w:hint="eastAsia"/>
                    <w:color w:val="auto"/>
                  </w:rPr>
                  <w:t>资金正以更快速度涌入美元债和黄金等避险资产</w:t>
                </w:r>
                <w:r>
                  <w:rPr>
                    <w:rFonts w:hint="eastAsia"/>
                  </w:rPr>
                  <w:t>。</w:t>
                </w:r>
                <w:r>
                  <w:rPr>
                    <w:rFonts w:hint="eastAsia"/>
                    <w:color w:val="auto"/>
                  </w:rPr>
                  <w:t>各类型</w:t>
                </w:r>
                <w:r>
                  <w:rPr>
                    <w:rFonts w:hint="eastAsia"/>
                    <w:color w:val="auto"/>
                  </w:rPr>
                  <w:t>QDII</w:t>
                </w:r>
                <w:r>
                  <w:rPr>
                    <w:rFonts w:hint="eastAsia"/>
                    <w:color w:val="auto"/>
                  </w:rPr>
                  <w:t>基金</w:t>
                </w:r>
                <w:r>
                  <w:rPr>
                    <w:rFonts w:hint="eastAsia"/>
                    <w:color w:val="auto"/>
                  </w:rPr>
                  <w:t>2</w:t>
                </w:r>
                <w:r>
                  <w:rPr>
                    <w:rFonts w:hint="eastAsia"/>
                    <w:color w:val="auto"/>
                  </w:rPr>
                  <w:t>月平均收益多数为负，</w:t>
                </w:r>
                <w:r>
                  <w:rPr>
                    <w:rFonts w:hint="eastAsia"/>
                    <w:color w:val="auto"/>
                  </w:rPr>
                  <w:t>103</w:t>
                </w:r>
                <w:r>
                  <w:rPr>
                    <w:rFonts w:hint="eastAsia"/>
                    <w:color w:val="auto"/>
                  </w:rPr>
                  <w:t>只产品仅有</w:t>
                </w:r>
                <w:r>
                  <w:rPr>
                    <w:rFonts w:hint="eastAsia"/>
                    <w:color w:val="auto"/>
                  </w:rPr>
                  <w:t>27</w:t>
                </w:r>
                <w:r>
                  <w:rPr>
                    <w:rFonts w:hint="eastAsia"/>
                    <w:color w:val="auto"/>
                  </w:rPr>
                  <w:t>只取得正收益，其中</w:t>
                </w:r>
                <w:r>
                  <w:rPr>
                    <w:rFonts w:hint="eastAsia"/>
                    <w:color w:val="auto"/>
                  </w:rPr>
                  <w:t>13</w:t>
                </w:r>
                <w:r>
                  <w:rPr>
                    <w:rFonts w:hint="eastAsia"/>
                    <w:color w:val="auto"/>
                  </w:rPr>
                  <w:t>只涨幅不足</w:t>
                </w:r>
                <w:r>
                  <w:rPr>
                    <w:rFonts w:hint="eastAsia"/>
                    <w:color w:val="auto"/>
                  </w:rPr>
                  <w:t>1%</w:t>
                </w:r>
                <w:r>
                  <w:rPr>
                    <w:rFonts w:hint="eastAsia"/>
                    <w:color w:val="auto"/>
                  </w:rPr>
                  <w:t>，多为</w:t>
                </w:r>
                <w:r w:rsidRPr="00832388">
                  <w:rPr>
                    <w:rFonts w:hint="eastAsia"/>
                    <w:szCs w:val="18"/>
                  </w:rPr>
                  <w:t>QDII-</w:t>
                </w:r>
                <w:r w:rsidRPr="00832388">
                  <w:rPr>
                    <w:rFonts w:hint="eastAsia"/>
                    <w:szCs w:val="18"/>
                  </w:rPr>
                  <w:t>债券</w:t>
                </w:r>
                <w:r>
                  <w:rPr>
                    <w:rFonts w:hint="eastAsia"/>
                    <w:szCs w:val="18"/>
                  </w:rPr>
                  <w:t>和</w:t>
                </w:r>
                <w:r w:rsidRPr="00832388">
                  <w:rPr>
                    <w:rFonts w:hint="eastAsia"/>
                    <w:szCs w:val="18"/>
                  </w:rPr>
                  <w:t>QDII</w:t>
                </w:r>
                <w:r w:rsidRPr="00832388">
                  <w:rPr>
                    <w:rFonts w:hint="eastAsia"/>
                    <w:szCs w:val="18"/>
                  </w:rPr>
                  <w:t>指数分级</w:t>
                </w:r>
                <w:r w:rsidRPr="00832388">
                  <w:rPr>
                    <w:rFonts w:hint="eastAsia"/>
                    <w:szCs w:val="18"/>
                  </w:rPr>
                  <w:t>-</w:t>
                </w:r>
                <w:r w:rsidRPr="00832388">
                  <w:rPr>
                    <w:rFonts w:hint="eastAsia"/>
                    <w:szCs w:val="18"/>
                  </w:rPr>
                  <w:t>稳健</w:t>
                </w:r>
                <w:r>
                  <w:rPr>
                    <w:rFonts w:hint="eastAsia"/>
                    <w:szCs w:val="18"/>
                  </w:rPr>
                  <w:t>类；而涨幅超过</w:t>
                </w:r>
                <w:r>
                  <w:rPr>
                    <w:rFonts w:hint="eastAsia"/>
                    <w:szCs w:val="18"/>
                  </w:rPr>
                  <w:t>9%</w:t>
                </w:r>
                <w:r>
                  <w:rPr>
                    <w:rFonts w:hint="eastAsia"/>
                    <w:szCs w:val="18"/>
                  </w:rPr>
                  <w:t>的</w:t>
                </w:r>
                <w:r>
                  <w:rPr>
                    <w:rFonts w:hint="eastAsia"/>
                    <w:szCs w:val="18"/>
                  </w:rPr>
                  <w:t>5</w:t>
                </w:r>
                <w:r>
                  <w:rPr>
                    <w:rFonts w:hint="eastAsia"/>
                    <w:szCs w:val="18"/>
                  </w:rPr>
                  <w:t>只基金除</w:t>
                </w:r>
                <w:r w:rsidRPr="00BC1047">
                  <w:rPr>
                    <w:rFonts w:hint="eastAsia"/>
                  </w:rPr>
                  <w:t>中银标普全球精选</w:t>
                </w:r>
                <w:r>
                  <w:rPr>
                    <w:rFonts w:hint="eastAsia"/>
                  </w:rPr>
                  <w:t>外，均为</w:t>
                </w:r>
                <w:r>
                  <w:rPr>
                    <w:rFonts w:hint="eastAsia"/>
                    <w:szCs w:val="18"/>
                  </w:rPr>
                  <w:t>QDII</w:t>
                </w:r>
                <w:r>
                  <w:rPr>
                    <w:rFonts w:hint="eastAsia"/>
                    <w:szCs w:val="18"/>
                  </w:rPr>
                  <w:t>仅有的投资黄金贵金属的</w:t>
                </w:r>
                <w:r>
                  <w:rPr>
                    <w:rFonts w:hint="eastAsia"/>
                    <w:szCs w:val="18"/>
                  </w:rPr>
                  <w:t>4</w:t>
                </w:r>
                <w:r>
                  <w:rPr>
                    <w:rFonts w:hint="eastAsia"/>
                    <w:szCs w:val="18"/>
                  </w:rPr>
                  <w:t>个产品：</w:t>
                </w:r>
                <w:r w:rsidRPr="00832388">
                  <w:rPr>
                    <w:rFonts w:hint="eastAsia"/>
                    <w:szCs w:val="18"/>
                  </w:rPr>
                  <w:t>汇添富黄金及贵金属</w:t>
                </w:r>
                <w:r>
                  <w:rPr>
                    <w:rFonts w:hint="eastAsia"/>
                    <w:szCs w:val="18"/>
                  </w:rPr>
                  <w:t>(10.29%)</w:t>
                </w:r>
                <w:r>
                  <w:rPr>
                    <w:rFonts w:hint="eastAsia"/>
                    <w:szCs w:val="18"/>
                  </w:rPr>
                  <w:t>、</w:t>
                </w:r>
                <w:r w:rsidRPr="00832388">
                  <w:rPr>
                    <w:rFonts w:hint="eastAsia"/>
                    <w:szCs w:val="18"/>
                  </w:rPr>
                  <w:t>嘉实黄金</w:t>
                </w:r>
                <w:r>
                  <w:rPr>
                    <w:rFonts w:hint="eastAsia"/>
                    <w:szCs w:val="18"/>
                  </w:rPr>
                  <w:t>(9.95%)</w:t>
                </w:r>
                <w:r>
                  <w:rPr>
                    <w:rFonts w:hint="eastAsia"/>
                    <w:szCs w:val="18"/>
                  </w:rPr>
                  <w:t>、</w:t>
                </w:r>
                <w:r w:rsidRPr="00832388">
                  <w:rPr>
                    <w:rFonts w:hint="eastAsia"/>
                    <w:szCs w:val="18"/>
                  </w:rPr>
                  <w:t>诺安全球黄金</w:t>
                </w:r>
                <w:r>
                  <w:rPr>
                    <w:rFonts w:hint="eastAsia"/>
                    <w:szCs w:val="18"/>
                  </w:rPr>
                  <w:t>(9.85%)</w:t>
                </w:r>
                <w:r>
                  <w:rPr>
                    <w:rFonts w:hint="eastAsia"/>
                    <w:szCs w:val="18"/>
                  </w:rPr>
                  <w:t>、</w:t>
                </w:r>
                <w:r w:rsidRPr="00832388">
                  <w:rPr>
                    <w:rFonts w:hint="eastAsia"/>
                    <w:szCs w:val="18"/>
                  </w:rPr>
                  <w:t>易方达黄金主题</w:t>
                </w:r>
                <w:r>
                  <w:rPr>
                    <w:rFonts w:hint="eastAsia"/>
                    <w:szCs w:val="18"/>
                  </w:rPr>
                  <w:t>(9.49%)</w:t>
                </w:r>
                <w:r>
                  <w:rPr>
                    <w:rFonts w:hint="eastAsia"/>
                    <w:szCs w:val="18"/>
                  </w:rPr>
                  <w:t>。这</w:t>
                </w:r>
                <w:r>
                  <w:rPr>
                    <w:rFonts w:hint="eastAsia"/>
                    <w:szCs w:val="18"/>
                  </w:rPr>
                  <w:t>4</w:t>
                </w:r>
                <w:r>
                  <w:rPr>
                    <w:rFonts w:hint="eastAsia"/>
                    <w:szCs w:val="18"/>
                  </w:rPr>
                  <w:t>只“金基”也成为</w:t>
                </w:r>
                <w:r>
                  <w:rPr>
                    <w:rFonts w:hint="eastAsia"/>
                    <w:szCs w:val="18"/>
                  </w:rPr>
                  <w:t>2016</w:t>
                </w:r>
                <w:r>
                  <w:rPr>
                    <w:rFonts w:hint="eastAsia"/>
                    <w:szCs w:val="18"/>
                  </w:rPr>
                  <w:t>年至今获利能力遥遥领先的品种。</w:t>
                </w:r>
              </w:p>
              <w:p w:rsidR="00BE2561" w:rsidRPr="00BE2561" w:rsidRDefault="00FD1ED7" w:rsidP="00BE2561">
                <w:pPr>
                  <w:pStyle w:val="a0"/>
                  <w:spacing w:line="240" w:lineRule="auto"/>
                  <w:ind w:left="0" w:rightChars="12" w:right="22"/>
                  <w:jc w:val="left"/>
                  <w:rPr>
                    <w:b/>
                    <w:bCs/>
                    <w:color w:val="auto"/>
                    <w:sz w:val="24"/>
                  </w:rPr>
                </w:pPr>
                <w:r w:rsidRPr="00FD1ED7">
                  <w:rPr>
                    <w:rFonts w:hint="eastAsia"/>
                    <w:b/>
                    <w:bCs/>
                    <w:color w:val="auto"/>
                    <w:sz w:val="24"/>
                  </w:rPr>
                  <w:t>布局黄金为主，关注加息动向</w:t>
                </w:r>
              </w:p>
              <w:p w:rsidR="006D2EEE" w:rsidRDefault="006D2EEE" w:rsidP="006D2EEE">
                <w:pPr>
                  <w:pStyle w:val="a0"/>
                  <w:widowControl/>
                  <w:numPr>
                    <w:ilvl w:val="0"/>
                    <w:numId w:val="33"/>
                  </w:numPr>
                  <w:spacing w:line="240" w:lineRule="auto"/>
                  <w:ind w:rightChars="12" w:right="22"/>
                  <w:jc w:val="left"/>
                  <w:rPr>
                    <w:szCs w:val="18"/>
                  </w:rPr>
                </w:pPr>
                <w:r>
                  <w:rPr>
                    <w:rFonts w:hint="eastAsia"/>
                    <w:szCs w:val="18"/>
                  </w:rPr>
                  <w:t>国金证券</w:t>
                </w:r>
                <w:r w:rsidRPr="006D2EEE">
                  <w:rPr>
                    <w:rFonts w:hint="eastAsia"/>
                    <w:szCs w:val="18"/>
                  </w:rPr>
                  <w:t>认为，</w:t>
                </w:r>
                <w:r w:rsidRPr="006D2EEE">
                  <w:rPr>
                    <w:rFonts w:hint="eastAsia"/>
                    <w:szCs w:val="18"/>
                  </w:rPr>
                  <w:t>2016</w:t>
                </w:r>
                <w:r w:rsidRPr="006D2EEE">
                  <w:rPr>
                    <w:rFonts w:hint="eastAsia"/>
                    <w:szCs w:val="18"/>
                  </w:rPr>
                  <w:t>年受到新兴经济体增速放慢影响，全球经济将呈复苏乏力态势，一方面发达经济体面临总需求不足和长期增长率不高等问题，另一方面新兴经济体的集体增速下滑尚未看到扭转趋势。</w:t>
                </w:r>
              </w:p>
              <w:p w:rsidR="006D2EEE" w:rsidRPr="006D2EEE" w:rsidRDefault="006D2EEE" w:rsidP="006D2EEE">
                <w:pPr>
                  <w:pStyle w:val="a0"/>
                  <w:widowControl/>
                  <w:numPr>
                    <w:ilvl w:val="0"/>
                    <w:numId w:val="33"/>
                  </w:numPr>
                  <w:spacing w:line="240" w:lineRule="auto"/>
                  <w:ind w:rightChars="12" w:right="22"/>
                  <w:jc w:val="left"/>
                  <w:rPr>
                    <w:szCs w:val="18"/>
                  </w:rPr>
                </w:pPr>
                <w:r w:rsidRPr="006D2EEE">
                  <w:rPr>
                    <w:rFonts w:hint="eastAsia"/>
                    <w:szCs w:val="18"/>
                  </w:rPr>
                  <w:t>短期来</w:t>
                </w:r>
                <w:r w:rsidR="00521AC8">
                  <w:rPr>
                    <w:rFonts w:hint="eastAsia"/>
                    <w:szCs w:val="18"/>
                  </w:rPr>
                  <w:t>看，全球大宗商品走势、美国经济数据</w:t>
                </w:r>
                <w:r w:rsidRPr="006D2EEE">
                  <w:rPr>
                    <w:rFonts w:hint="eastAsia"/>
                    <w:szCs w:val="18"/>
                  </w:rPr>
                  <w:t>及联储</w:t>
                </w:r>
                <w:r w:rsidRPr="006D2EEE">
                  <w:rPr>
                    <w:rFonts w:hint="eastAsia"/>
                    <w:szCs w:val="18"/>
                  </w:rPr>
                  <w:t>FOMC</w:t>
                </w:r>
                <w:r w:rsidRPr="006D2EEE">
                  <w:rPr>
                    <w:rFonts w:hint="eastAsia"/>
                    <w:szCs w:val="18"/>
                  </w:rPr>
                  <w:t>会议利率声明等都会对市场形成扰动，权益类资产一时恐难有趋势性机会，而市场的不确定性和避险需求则会继续为金价提供支撑，使其具备进一步上行空间。</w:t>
                </w:r>
                <w:r w:rsidR="00521AC8">
                  <w:rPr>
                    <w:rFonts w:hint="eastAsia"/>
                  </w:rPr>
                  <w:t>投资黄金已不仅</w:t>
                </w:r>
                <w:r>
                  <w:rPr>
                    <w:rFonts w:hint="eastAsia"/>
                  </w:rPr>
                  <w:t>作为短期波段机会，而是具备一定的中期支撑理由。</w:t>
                </w:r>
                <w:r w:rsidRPr="006D2EEE">
                  <w:rPr>
                    <w:rFonts w:hint="eastAsia"/>
                    <w:szCs w:val="18"/>
                  </w:rPr>
                  <w:t>我们认为，</w:t>
                </w:r>
                <w:r w:rsidRPr="006D2EEE">
                  <w:rPr>
                    <w:rFonts w:hint="eastAsia"/>
                    <w:szCs w:val="18"/>
                  </w:rPr>
                  <w:t>3</w:t>
                </w:r>
                <w:r w:rsidRPr="006D2EEE">
                  <w:rPr>
                    <w:rFonts w:hint="eastAsia"/>
                    <w:szCs w:val="18"/>
                  </w:rPr>
                  <w:t>月</w:t>
                </w:r>
                <w:r w:rsidRPr="006D2EEE">
                  <w:rPr>
                    <w:rFonts w:hint="eastAsia"/>
                    <w:szCs w:val="18"/>
                  </w:rPr>
                  <w:t>QDII</w:t>
                </w:r>
                <w:r w:rsidRPr="006D2EEE">
                  <w:rPr>
                    <w:rFonts w:hint="eastAsia"/>
                    <w:szCs w:val="18"/>
                  </w:rPr>
                  <w:t>投资应延续以避险资产为主导的配置逻辑，而鉴于黄金目前兼具防御和进攻的双重功能，建议在</w:t>
                </w:r>
                <w:r w:rsidRPr="006D2EEE">
                  <w:rPr>
                    <w:rFonts w:hint="eastAsia"/>
                    <w:szCs w:val="18"/>
                  </w:rPr>
                  <w:t>2</w:t>
                </w:r>
                <w:r w:rsidRPr="006D2EEE">
                  <w:rPr>
                    <w:rFonts w:hint="eastAsia"/>
                    <w:szCs w:val="18"/>
                  </w:rPr>
                  <w:t>月“高收益债</w:t>
                </w:r>
                <w:r w:rsidRPr="006D2EEE">
                  <w:rPr>
                    <w:rFonts w:hint="eastAsia"/>
                    <w:szCs w:val="18"/>
                  </w:rPr>
                  <w:t>+</w:t>
                </w:r>
                <w:r w:rsidRPr="006D2EEE">
                  <w:rPr>
                    <w:rFonts w:hint="eastAsia"/>
                    <w:szCs w:val="18"/>
                  </w:rPr>
                  <w:t>黄金”的基础上，进一步增加黄</w:t>
                </w:r>
                <w:r w:rsidR="00521AC8">
                  <w:rPr>
                    <w:rFonts w:hint="eastAsia"/>
                    <w:szCs w:val="18"/>
                  </w:rPr>
                  <w:t>金资产在整体投资组合中的比重，以对冲市场风险并分享金价上涨红利</w:t>
                </w:r>
                <w:r w:rsidRPr="006D2EEE">
                  <w:rPr>
                    <w:rFonts w:hint="eastAsia"/>
                    <w:szCs w:val="18"/>
                  </w:rPr>
                  <w:t>。同时，建议保持对美联储加息动向和美股市场的关注，伺机提早布局。</w:t>
                </w:r>
              </w:p>
              <w:p w:rsidR="00BE2561" w:rsidRPr="00BE2561" w:rsidRDefault="00B8187E" w:rsidP="00BE2561">
                <w:pPr>
                  <w:pStyle w:val="a0"/>
                  <w:spacing w:line="240" w:lineRule="auto"/>
                  <w:ind w:left="0" w:rightChars="12" w:right="22"/>
                  <w:jc w:val="left"/>
                  <w:rPr>
                    <w:b/>
                    <w:bCs/>
                    <w:color w:val="auto"/>
                    <w:sz w:val="24"/>
                  </w:rPr>
                </w:pPr>
                <w:r>
                  <w:rPr>
                    <w:rFonts w:hint="eastAsia"/>
                    <w:b/>
                    <w:bCs/>
                    <w:color w:val="auto"/>
                    <w:sz w:val="24"/>
                  </w:rPr>
                  <w:t>2016</w:t>
                </w:r>
                <w:r>
                  <w:rPr>
                    <w:rFonts w:hint="eastAsia"/>
                    <w:b/>
                    <w:bCs/>
                    <w:color w:val="auto"/>
                    <w:sz w:val="24"/>
                  </w:rPr>
                  <w:t>年</w:t>
                </w:r>
                <w:r w:rsidR="00FD1ED7">
                  <w:rPr>
                    <w:rFonts w:hint="eastAsia"/>
                    <w:b/>
                    <w:bCs/>
                    <w:color w:val="auto"/>
                    <w:sz w:val="24"/>
                  </w:rPr>
                  <w:t>3</w:t>
                </w:r>
                <w:r w:rsidR="00BE2561" w:rsidRPr="00BE2561">
                  <w:rPr>
                    <w:rFonts w:hint="eastAsia"/>
                    <w:b/>
                    <w:bCs/>
                    <w:color w:val="auto"/>
                    <w:sz w:val="24"/>
                  </w:rPr>
                  <w:t>月</w:t>
                </w:r>
                <w:r w:rsidR="00BE2561" w:rsidRPr="00BE2561">
                  <w:rPr>
                    <w:rFonts w:hint="eastAsia"/>
                    <w:b/>
                    <w:bCs/>
                    <w:color w:val="auto"/>
                    <w:sz w:val="24"/>
                  </w:rPr>
                  <w:t>QDII</w:t>
                </w:r>
                <w:r w:rsidR="00BE2561" w:rsidRPr="00BE2561">
                  <w:rPr>
                    <w:rFonts w:hint="eastAsia"/>
                    <w:b/>
                    <w:bCs/>
                    <w:color w:val="auto"/>
                    <w:sz w:val="24"/>
                  </w:rPr>
                  <w:t>投资策略：</w:t>
                </w:r>
              </w:p>
              <w:p w:rsidR="00BC7E24" w:rsidRPr="005A4767" w:rsidRDefault="00E234E6" w:rsidP="006D2EEE">
                <w:pPr>
                  <w:pStyle w:val="a0"/>
                  <w:widowControl/>
                  <w:numPr>
                    <w:ilvl w:val="0"/>
                    <w:numId w:val="33"/>
                  </w:numPr>
                  <w:spacing w:line="240" w:lineRule="auto"/>
                  <w:ind w:rightChars="12" w:right="22"/>
                  <w:jc w:val="left"/>
                </w:pPr>
                <w:r>
                  <w:rPr>
                    <w:rFonts w:hint="eastAsia"/>
                  </w:rPr>
                  <w:t>国金证券建议</w:t>
                </w:r>
                <w:r>
                  <w:rPr>
                    <w:rFonts w:hint="eastAsia"/>
                  </w:rPr>
                  <w:t>2016</w:t>
                </w:r>
                <w:r>
                  <w:rPr>
                    <w:rFonts w:hint="eastAsia"/>
                  </w:rPr>
                  <w:t>年</w:t>
                </w:r>
                <w:r w:rsidR="006D2EEE">
                  <w:rPr>
                    <w:rFonts w:hint="eastAsia"/>
                  </w:rPr>
                  <w:t>3</w:t>
                </w:r>
                <w:r>
                  <w:rPr>
                    <w:rFonts w:hint="eastAsia"/>
                  </w:rPr>
                  <w:t>月</w:t>
                </w:r>
                <w:r w:rsidR="006D2EEE">
                  <w:rPr>
                    <w:rFonts w:hint="eastAsia"/>
                  </w:rPr>
                  <w:t>延续</w:t>
                </w:r>
                <w:r w:rsidR="006D2EEE">
                  <w:rPr>
                    <w:rFonts w:hint="eastAsia"/>
                    <w:szCs w:val="18"/>
                  </w:rPr>
                  <w:t>“</w:t>
                </w:r>
                <w:r w:rsidR="006D2EEE" w:rsidRPr="006D2EEE">
                  <w:rPr>
                    <w:rFonts w:hint="eastAsia"/>
                    <w:szCs w:val="18"/>
                  </w:rPr>
                  <w:t>黄金</w:t>
                </w:r>
                <w:r w:rsidR="006D2EEE">
                  <w:rPr>
                    <w:rFonts w:hint="eastAsia"/>
                    <w:szCs w:val="18"/>
                  </w:rPr>
                  <w:t>+</w:t>
                </w:r>
                <w:r w:rsidR="006D2EEE">
                  <w:rPr>
                    <w:rFonts w:hint="eastAsia"/>
                    <w:szCs w:val="18"/>
                  </w:rPr>
                  <w:t>高收益债</w:t>
                </w:r>
                <w:r w:rsidR="006D2EEE" w:rsidRPr="006D2EEE">
                  <w:rPr>
                    <w:rFonts w:hint="eastAsia"/>
                    <w:szCs w:val="18"/>
                  </w:rPr>
                  <w:t>”</w:t>
                </w:r>
                <w:r w:rsidR="006D2EEE">
                  <w:rPr>
                    <w:rFonts w:hint="eastAsia"/>
                  </w:rPr>
                  <w:t>配置，且</w:t>
                </w:r>
                <w:r w:rsidR="006D2EEE" w:rsidRPr="006D2EEE">
                  <w:rPr>
                    <w:rFonts w:hint="eastAsia"/>
                    <w:szCs w:val="18"/>
                  </w:rPr>
                  <w:t>进一步增加黄金资产在整体投资组合中的比重，以对冲市场风险并分享金价上涨红利，</w:t>
                </w:r>
                <w:r>
                  <w:rPr>
                    <w:rFonts w:hint="eastAsia"/>
                  </w:rPr>
                  <w:t>同时继续回避欧股、港股及商品</w:t>
                </w:r>
                <w:r>
                  <w:rPr>
                    <w:rFonts w:hint="eastAsia"/>
                  </w:rPr>
                  <w:t>QDII</w:t>
                </w:r>
                <w:r>
                  <w:rPr>
                    <w:rFonts w:hint="eastAsia"/>
                  </w:rPr>
                  <w:t>。推荐</w:t>
                </w:r>
                <w:r w:rsidR="006D2EEE">
                  <w:rPr>
                    <w:rFonts w:hint="eastAsia"/>
                  </w:rPr>
                  <w:t>产品：</w:t>
                </w:r>
                <w:r w:rsidR="006D2EEE" w:rsidRPr="006D2EEE">
                  <w:rPr>
                    <w:rFonts w:hint="eastAsia"/>
                  </w:rPr>
                  <w:t>投资黄金、白银、铂金、钯金四种核心贵金属</w:t>
                </w:r>
                <w:r w:rsidR="006D2EEE">
                  <w:rPr>
                    <w:rFonts w:hint="eastAsia"/>
                  </w:rPr>
                  <w:t>的</w:t>
                </w:r>
                <w:r w:rsidR="006D2EEE" w:rsidRPr="006D2EEE">
                  <w:rPr>
                    <w:rFonts w:hint="eastAsia"/>
                  </w:rPr>
                  <w:t>汇添富黄金及贵金属</w:t>
                </w:r>
                <w:r w:rsidR="006D2EEE" w:rsidRPr="006D2EEE">
                  <w:t>(164701)</w:t>
                </w:r>
                <w:r w:rsidR="006D2EEE">
                  <w:rPr>
                    <w:rFonts w:hint="eastAsia"/>
                  </w:rPr>
                  <w:t>、采取主动策略把握黄金主题的</w:t>
                </w:r>
                <w:r w:rsidR="006D2EEE" w:rsidRPr="00414C2E">
                  <w:rPr>
                    <w:rFonts w:hint="eastAsia"/>
                  </w:rPr>
                  <w:t>易方达黄金主题</w:t>
                </w:r>
                <w:r w:rsidR="006D2EEE" w:rsidRPr="00414C2E">
                  <w:rPr>
                    <w:rFonts w:hint="eastAsia"/>
                  </w:rPr>
                  <w:t>(161116)</w:t>
                </w:r>
                <w:r w:rsidR="006D2EEE">
                  <w:rPr>
                    <w:rFonts w:hint="eastAsia"/>
                  </w:rPr>
                  <w:t>，以及</w:t>
                </w:r>
                <w:r>
                  <w:rPr>
                    <w:rFonts w:hint="eastAsia"/>
                  </w:rPr>
                  <w:t>专注于亚太地区的</w:t>
                </w:r>
                <w:r w:rsidRPr="00003BB6">
                  <w:rPr>
                    <w:rFonts w:hint="eastAsia"/>
                  </w:rPr>
                  <w:t>博时亚洲票息人民币</w:t>
                </w:r>
                <w:r>
                  <w:rPr>
                    <w:rFonts w:hint="eastAsia"/>
                  </w:rPr>
                  <w:t>(050030)</w:t>
                </w:r>
                <w:r w:rsidR="006D2EEE">
                  <w:rPr>
                    <w:rFonts w:hint="eastAsia"/>
                  </w:rPr>
                  <w:t>、</w:t>
                </w:r>
                <w:r>
                  <w:rPr>
                    <w:rFonts w:hint="eastAsia"/>
                  </w:rPr>
                  <w:t>放眼于全球市场的</w:t>
                </w:r>
                <w:r w:rsidRPr="00CE0E8B">
                  <w:rPr>
                    <w:rFonts w:hint="eastAsia"/>
                  </w:rPr>
                  <w:t>鹏华全球高收益债人民币</w:t>
                </w:r>
                <w:r>
                  <w:rPr>
                    <w:rFonts w:hint="eastAsia"/>
                  </w:rPr>
                  <w:t>(000290)</w:t>
                </w:r>
                <w:r w:rsidR="006D2EEE">
                  <w:rPr>
                    <w:rFonts w:hint="eastAsia"/>
                  </w:rPr>
                  <w:t>，</w:t>
                </w:r>
                <w:r w:rsidR="00EF7C8C">
                  <w:rPr>
                    <w:rFonts w:hint="eastAsia"/>
                  </w:rPr>
                  <w:t>以期达到加强投资</w:t>
                </w:r>
                <w:r w:rsidR="006D2EEE">
                  <w:rPr>
                    <w:rFonts w:hint="eastAsia"/>
                  </w:rPr>
                  <w:t>组合防御</w:t>
                </w:r>
                <w:r w:rsidR="00EF7C8C">
                  <w:rPr>
                    <w:rFonts w:hint="eastAsia"/>
                  </w:rPr>
                  <w:t>性</w:t>
                </w:r>
                <w:r w:rsidR="006D2EEE">
                  <w:rPr>
                    <w:rFonts w:hint="eastAsia"/>
                  </w:rPr>
                  <w:t>并具备一定进攻性</w:t>
                </w:r>
                <w:r w:rsidRPr="00003BB6">
                  <w:rPr>
                    <w:rFonts w:hint="eastAsia"/>
                    <w:color w:val="auto"/>
                  </w:rPr>
                  <w:t>的</w:t>
                </w:r>
                <w:r>
                  <w:rPr>
                    <w:rFonts w:hint="eastAsia"/>
                    <w:color w:val="auto"/>
                  </w:rPr>
                  <w:t>目</w:t>
                </w:r>
                <w:r w:rsidR="00EF7C8C">
                  <w:rPr>
                    <w:rFonts w:hint="eastAsia"/>
                    <w:color w:val="auto"/>
                  </w:rPr>
                  <w:t>的</w:t>
                </w:r>
                <w:r>
                  <w:rPr>
                    <w:rFonts w:hint="eastAsia"/>
                  </w:rPr>
                  <w:t>。</w:t>
                </w:r>
              </w:p>
            </w:sdtContent>
          </w:sdt>
        </w:tc>
      </w:tr>
    </w:tbl>
    <w:p w:rsidR="000E6AE0" w:rsidRPr="00E54B00" w:rsidRDefault="00BE2561" w:rsidP="000E6AE0">
      <w:pPr>
        <w:pStyle w:val="14"/>
        <w:ind w:leftChars="1890"/>
        <w:rPr>
          <w:color w:val="auto"/>
        </w:rPr>
      </w:pPr>
      <w:r w:rsidRPr="00BE2561">
        <w:rPr>
          <w:rFonts w:hint="eastAsia"/>
          <w:color w:val="auto"/>
        </w:rPr>
        <w:lastRenderedPageBreak/>
        <w:t>一、</w:t>
      </w:r>
      <w:r w:rsidRPr="00BE2561">
        <w:rPr>
          <w:rFonts w:hint="eastAsia"/>
          <w:color w:val="auto"/>
        </w:rPr>
        <w:t>QDII</w:t>
      </w:r>
      <w:r w:rsidRPr="00BE2561">
        <w:rPr>
          <w:rFonts w:hint="eastAsia"/>
          <w:color w:val="auto"/>
        </w:rPr>
        <w:t>基金</w:t>
      </w:r>
      <w:r w:rsidR="00917278">
        <w:rPr>
          <w:rFonts w:hint="eastAsia"/>
          <w:color w:val="auto"/>
        </w:rPr>
        <w:t>2</w:t>
      </w:r>
      <w:r w:rsidRPr="00BE2561">
        <w:rPr>
          <w:rFonts w:hint="eastAsia"/>
          <w:color w:val="auto"/>
        </w:rPr>
        <w:t>月份收益</w:t>
      </w:r>
    </w:p>
    <w:p w:rsidR="000E6AE0" w:rsidRPr="00E54B00" w:rsidRDefault="00D91513" w:rsidP="000E6AE0">
      <w:pPr>
        <w:pStyle w:val="21"/>
        <w:rPr>
          <w:color w:val="auto"/>
          <w:sz w:val="20"/>
        </w:rPr>
      </w:pPr>
      <w:r>
        <w:rPr>
          <w:rFonts w:hint="eastAsia"/>
          <w:color w:val="auto"/>
        </w:rPr>
        <w:t>避险主导，“金基”独立</w:t>
      </w:r>
    </w:p>
    <w:p w:rsidR="005D6FF3" w:rsidRDefault="00D9798B" w:rsidP="00D9798B">
      <w:pPr>
        <w:pStyle w:val="a0"/>
        <w:widowControl/>
        <w:numPr>
          <w:ilvl w:val="4"/>
          <w:numId w:val="3"/>
        </w:numPr>
        <w:rPr>
          <w:color w:val="auto"/>
        </w:rPr>
      </w:pPr>
      <w:r>
        <w:rPr>
          <w:rFonts w:hint="eastAsia"/>
          <w:color w:val="auto"/>
        </w:rPr>
        <w:t>2</w:t>
      </w:r>
      <w:r>
        <w:rPr>
          <w:rFonts w:hint="eastAsia"/>
          <w:color w:val="auto"/>
        </w:rPr>
        <w:t>月份</w:t>
      </w:r>
      <w:r w:rsidR="00043E01">
        <w:rPr>
          <w:rFonts w:hint="eastAsia"/>
          <w:color w:val="auto"/>
        </w:rPr>
        <w:t>以来</w:t>
      </w:r>
      <w:r>
        <w:rPr>
          <w:rFonts w:hint="eastAsia"/>
          <w:color w:val="auto"/>
        </w:rPr>
        <w:t>，尽管原油价格及</w:t>
      </w:r>
      <w:r w:rsidRPr="00D9798B">
        <w:rPr>
          <w:rFonts w:hint="eastAsia"/>
          <w:color w:val="auto"/>
        </w:rPr>
        <w:t>全球股市</w:t>
      </w:r>
      <w:r>
        <w:rPr>
          <w:rFonts w:hint="eastAsia"/>
          <w:color w:val="auto"/>
        </w:rPr>
        <w:t>出现回暖</w:t>
      </w:r>
      <w:r w:rsidRPr="00D9798B">
        <w:rPr>
          <w:rFonts w:hint="eastAsia"/>
          <w:color w:val="auto"/>
        </w:rPr>
        <w:t>，</w:t>
      </w:r>
      <w:r>
        <w:rPr>
          <w:rFonts w:hint="eastAsia"/>
          <w:color w:val="auto"/>
        </w:rPr>
        <w:t>但在各大经济体下滑、</w:t>
      </w:r>
      <w:r>
        <w:rPr>
          <w:rFonts w:hint="eastAsia"/>
        </w:rPr>
        <w:t>金融汇市动荡和地缘局势不稳等</w:t>
      </w:r>
      <w:r>
        <w:rPr>
          <w:rFonts w:hint="eastAsia"/>
          <w:color w:val="auto"/>
        </w:rPr>
        <w:t>利空因素冲击下，</w:t>
      </w:r>
      <w:r w:rsidRPr="00D9798B">
        <w:rPr>
          <w:rFonts w:hint="eastAsia"/>
          <w:color w:val="auto"/>
        </w:rPr>
        <w:t>市场前景</w:t>
      </w:r>
      <w:r>
        <w:rPr>
          <w:rFonts w:hint="eastAsia"/>
          <w:color w:val="auto"/>
        </w:rPr>
        <w:t>依旧</w:t>
      </w:r>
      <w:r w:rsidRPr="00D9798B">
        <w:rPr>
          <w:rFonts w:hint="eastAsia"/>
          <w:color w:val="auto"/>
        </w:rPr>
        <w:t>扑朔迷离，资金正以更快速度涌入美元债和黄金等避险资产</w:t>
      </w:r>
      <w:r>
        <w:rPr>
          <w:rFonts w:hint="eastAsia"/>
        </w:rPr>
        <w:t>。</w:t>
      </w:r>
      <w:r w:rsidR="00F84D3F">
        <w:rPr>
          <w:rFonts w:hint="eastAsia"/>
        </w:rPr>
        <w:t>黄金在经历近</w:t>
      </w:r>
      <w:r w:rsidR="00F84D3F">
        <w:rPr>
          <w:rFonts w:hint="eastAsia"/>
        </w:rPr>
        <w:t>5</w:t>
      </w:r>
      <w:r w:rsidR="00F84D3F">
        <w:rPr>
          <w:rFonts w:hint="eastAsia"/>
        </w:rPr>
        <w:t>年熊市之后重获市场青睐，诸多利好因素如</w:t>
      </w:r>
      <w:r w:rsidR="00043E01">
        <w:rPr>
          <w:rFonts w:hint="eastAsia"/>
        </w:rPr>
        <w:t>美联储</w:t>
      </w:r>
      <w:r w:rsidR="00043E01">
        <w:rPr>
          <w:rFonts w:hint="eastAsia"/>
        </w:rPr>
        <w:t>3</w:t>
      </w:r>
      <w:r w:rsidR="00F84D3F">
        <w:rPr>
          <w:rFonts w:hint="eastAsia"/>
        </w:rPr>
        <w:t>月加息概率维持</w:t>
      </w:r>
      <w:r w:rsidR="00C2463E">
        <w:rPr>
          <w:rFonts w:hint="eastAsia"/>
        </w:rPr>
        <w:t>低位、欧日负利率、汇率高波动、中国央行持续增持黄金以及</w:t>
      </w:r>
      <w:r w:rsidR="00C2463E">
        <w:rPr>
          <w:rFonts w:hint="eastAsia"/>
          <w:color w:val="auto"/>
        </w:rPr>
        <w:t>春节推升需求等，</w:t>
      </w:r>
      <w:r w:rsidR="00F84D3F">
        <w:rPr>
          <w:rFonts w:hint="eastAsia"/>
          <w:color w:val="auto"/>
        </w:rPr>
        <w:t>令</w:t>
      </w:r>
      <w:r w:rsidR="00043E01">
        <w:rPr>
          <w:rFonts w:hint="eastAsia"/>
        </w:rPr>
        <w:t>金价今年以来屡创新高，目前已站稳</w:t>
      </w:r>
      <w:r w:rsidR="00043E01">
        <w:rPr>
          <w:rFonts w:hint="eastAsia"/>
        </w:rPr>
        <w:t>1240</w:t>
      </w:r>
      <w:r w:rsidR="00043E01">
        <w:rPr>
          <w:rFonts w:hint="eastAsia"/>
        </w:rPr>
        <w:t>位置，</w:t>
      </w:r>
      <w:r w:rsidR="00B96545" w:rsidRPr="00B96545">
        <w:rPr>
          <w:rFonts w:hint="eastAsia"/>
          <w:color w:val="auto"/>
        </w:rPr>
        <w:t>COMEX</w:t>
      </w:r>
      <w:r w:rsidR="00B96545" w:rsidRPr="00B96545">
        <w:rPr>
          <w:rFonts w:hint="eastAsia"/>
          <w:color w:val="auto"/>
        </w:rPr>
        <w:t>黄金</w:t>
      </w:r>
      <w:r w:rsidR="00B96545">
        <w:rPr>
          <w:rFonts w:hint="eastAsia"/>
          <w:color w:val="auto"/>
        </w:rPr>
        <w:t>指数月度收涨</w:t>
      </w:r>
      <w:r w:rsidR="00043E01">
        <w:rPr>
          <w:rFonts w:hint="eastAsia"/>
          <w:color w:val="auto"/>
        </w:rPr>
        <w:t>10.82</w:t>
      </w:r>
      <w:r w:rsidR="00B96545">
        <w:rPr>
          <w:rFonts w:hint="eastAsia"/>
          <w:color w:val="auto"/>
        </w:rPr>
        <w:t>%</w:t>
      </w:r>
      <w:r w:rsidR="00114ED7">
        <w:rPr>
          <w:rFonts w:hint="eastAsia"/>
          <w:color w:val="auto"/>
        </w:rPr>
        <w:t>。</w:t>
      </w:r>
      <w:r w:rsidR="00B4633F">
        <w:rPr>
          <w:rFonts w:hint="eastAsia"/>
          <w:color w:val="auto"/>
        </w:rPr>
        <w:t>正如国金</w:t>
      </w:r>
      <w:r w:rsidR="00F84D3F">
        <w:rPr>
          <w:rFonts w:hint="eastAsia"/>
          <w:color w:val="auto"/>
        </w:rPr>
        <w:t>2</w:t>
      </w:r>
      <w:r w:rsidR="00B4633F">
        <w:rPr>
          <w:rFonts w:hint="eastAsia"/>
          <w:color w:val="auto"/>
        </w:rPr>
        <w:t>月份报告所言，黄金正处在资产配置价值最高的时期。</w:t>
      </w:r>
    </w:p>
    <w:p w:rsidR="000E6AE0" w:rsidRPr="00114ED7" w:rsidRDefault="00B4633F" w:rsidP="00114ED7">
      <w:pPr>
        <w:pStyle w:val="a0"/>
        <w:widowControl/>
        <w:numPr>
          <w:ilvl w:val="4"/>
          <w:numId w:val="3"/>
        </w:numPr>
        <w:rPr>
          <w:color w:val="auto"/>
        </w:rPr>
      </w:pPr>
      <w:r>
        <w:rPr>
          <w:rFonts w:hint="eastAsia"/>
          <w:color w:val="auto"/>
        </w:rPr>
        <w:t>在全球各大股市跌多涨少的背景下</w:t>
      </w:r>
      <w:r w:rsidR="007174B4">
        <w:rPr>
          <w:rFonts w:hint="eastAsia"/>
          <w:color w:val="auto"/>
        </w:rPr>
        <w:t>，</w:t>
      </w:r>
      <w:r w:rsidR="00024B35">
        <w:rPr>
          <w:rFonts w:hint="eastAsia"/>
          <w:color w:val="auto"/>
        </w:rPr>
        <w:t>各类型</w:t>
      </w:r>
      <w:r w:rsidR="002F7CAE">
        <w:rPr>
          <w:rFonts w:hint="eastAsia"/>
          <w:color w:val="auto"/>
        </w:rPr>
        <w:t>QDII</w:t>
      </w:r>
      <w:r w:rsidR="002F7CAE">
        <w:rPr>
          <w:rFonts w:hint="eastAsia"/>
          <w:color w:val="auto"/>
        </w:rPr>
        <w:t>基金</w:t>
      </w:r>
      <w:r>
        <w:rPr>
          <w:rFonts w:hint="eastAsia"/>
          <w:color w:val="auto"/>
        </w:rPr>
        <w:t>2</w:t>
      </w:r>
      <w:r>
        <w:rPr>
          <w:rFonts w:hint="eastAsia"/>
          <w:color w:val="auto"/>
        </w:rPr>
        <w:t>月份平均收益多数</w:t>
      </w:r>
      <w:r w:rsidR="00024B35">
        <w:rPr>
          <w:rFonts w:hint="eastAsia"/>
          <w:color w:val="auto"/>
        </w:rPr>
        <w:t>为负，仅有</w:t>
      </w:r>
      <w:r>
        <w:rPr>
          <w:rFonts w:hint="eastAsia"/>
          <w:color w:val="auto"/>
        </w:rPr>
        <w:t>债券型</w:t>
      </w:r>
      <w:r w:rsidR="00024B35">
        <w:rPr>
          <w:rFonts w:hint="eastAsia"/>
          <w:color w:val="auto"/>
        </w:rPr>
        <w:t>和</w:t>
      </w:r>
      <w:r>
        <w:rPr>
          <w:rFonts w:hint="eastAsia"/>
          <w:color w:val="auto"/>
        </w:rPr>
        <w:t>商品</w:t>
      </w:r>
      <w:r w:rsidR="00114ED7">
        <w:rPr>
          <w:rFonts w:hint="eastAsia"/>
          <w:color w:val="auto"/>
        </w:rPr>
        <w:t>中的</w:t>
      </w:r>
      <w:r>
        <w:rPr>
          <w:rFonts w:hint="eastAsia"/>
          <w:color w:val="auto"/>
        </w:rPr>
        <w:t>贵金属型基金实现上涨</w:t>
      </w:r>
      <w:r w:rsidR="00024B35">
        <w:rPr>
          <w:rFonts w:hint="eastAsia"/>
          <w:color w:val="auto"/>
        </w:rPr>
        <w:t>。</w:t>
      </w:r>
      <w:r w:rsidR="00FC53E8">
        <w:rPr>
          <w:rFonts w:hint="eastAsia"/>
          <w:color w:val="auto"/>
        </w:rPr>
        <w:t>103</w:t>
      </w:r>
      <w:r w:rsidR="002F7CAE">
        <w:rPr>
          <w:rFonts w:hint="eastAsia"/>
          <w:color w:val="auto"/>
        </w:rPr>
        <w:t>只产品</w:t>
      </w:r>
      <w:r w:rsidR="00FC53E8">
        <w:rPr>
          <w:rFonts w:hint="eastAsia"/>
          <w:color w:val="auto"/>
        </w:rPr>
        <w:t>仅有</w:t>
      </w:r>
      <w:r>
        <w:rPr>
          <w:rFonts w:hint="eastAsia"/>
          <w:color w:val="auto"/>
        </w:rPr>
        <w:t>27</w:t>
      </w:r>
      <w:r w:rsidR="00FC53E8">
        <w:rPr>
          <w:rFonts w:hint="eastAsia"/>
          <w:color w:val="auto"/>
        </w:rPr>
        <w:t>只取得正收益，其中</w:t>
      </w:r>
      <w:r>
        <w:rPr>
          <w:rFonts w:hint="eastAsia"/>
          <w:color w:val="auto"/>
        </w:rPr>
        <w:t>13</w:t>
      </w:r>
      <w:r w:rsidR="00FC53E8">
        <w:rPr>
          <w:rFonts w:hint="eastAsia"/>
          <w:color w:val="auto"/>
        </w:rPr>
        <w:t>只涨幅不足</w:t>
      </w:r>
      <w:r w:rsidR="00FC53E8">
        <w:rPr>
          <w:rFonts w:hint="eastAsia"/>
          <w:color w:val="auto"/>
        </w:rPr>
        <w:t>1%</w:t>
      </w:r>
      <w:r>
        <w:rPr>
          <w:rFonts w:hint="eastAsia"/>
          <w:color w:val="auto"/>
        </w:rPr>
        <w:t>，多</w:t>
      </w:r>
      <w:r w:rsidR="00FC53E8">
        <w:rPr>
          <w:rFonts w:hint="eastAsia"/>
          <w:color w:val="auto"/>
        </w:rPr>
        <w:t>为</w:t>
      </w:r>
      <w:r w:rsidRPr="00832388">
        <w:rPr>
          <w:rFonts w:hint="eastAsia"/>
          <w:szCs w:val="18"/>
        </w:rPr>
        <w:t>QDII-</w:t>
      </w:r>
      <w:r w:rsidRPr="00832388">
        <w:rPr>
          <w:rFonts w:hint="eastAsia"/>
          <w:szCs w:val="18"/>
        </w:rPr>
        <w:t>债券</w:t>
      </w:r>
      <w:r>
        <w:rPr>
          <w:rFonts w:hint="eastAsia"/>
          <w:szCs w:val="18"/>
        </w:rPr>
        <w:t>和</w:t>
      </w:r>
      <w:r w:rsidR="00FC53E8" w:rsidRPr="00832388">
        <w:rPr>
          <w:rFonts w:hint="eastAsia"/>
          <w:szCs w:val="18"/>
        </w:rPr>
        <w:t>QDII</w:t>
      </w:r>
      <w:r w:rsidR="00FC53E8" w:rsidRPr="00832388">
        <w:rPr>
          <w:rFonts w:hint="eastAsia"/>
          <w:szCs w:val="18"/>
        </w:rPr>
        <w:t>指数分级</w:t>
      </w:r>
      <w:r w:rsidR="00FC53E8" w:rsidRPr="00832388">
        <w:rPr>
          <w:rFonts w:hint="eastAsia"/>
          <w:szCs w:val="18"/>
        </w:rPr>
        <w:t>-</w:t>
      </w:r>
      <w:r w:rsidR="00FC53E8" w:rsidRPr="00832388">
        <w:rPr>
          <w:rFonts w:hint="eastAsia"/>
          <w:szCs w:val="18"/>
        </w:rPr>
        <w:t>稳健</w:t>
      </w:r>
      <w:r>
        <w:rPr>
          <w:rFonts w:hint="eastAsia"/>
          <w:szCs w:val="18"/>
        </w:rPr>
        <w:t>这</w:t>
      </w:r>
      <w:r w:rsidR="00FC53E8">
        <w:rPr>
          <w:rFonts w:hint="eastAsia"/>
          <w:szCs w:val="18"/>
        </w:rPr>
        <w:t>两类，</w:t>
      </w:r>
      <w:r w:rsidR="00114ED7">
        <w:rPr>
          <w:rFonts w:hint="eastAsia"/>
          <w:szCs w:val="18"/>
        </w:rPr>
        <w:t>在权益类资产的熊市中可谓保值优选；</w:t>
      </w:r>
      <w:r w:rsidR="00FC53E8">
        <w:rPr>
          <w:rFonts w:hint="eastAsia"/>
          <w:szCs w:val="18"/>
        </w:rPr>
        <w:t>而涨幅超过</w:t>
      </w:r>
      <w:r>
        <w:rPr>
          <w:rFonts w:hint="eastAsia"/>
          <w:szCs w:val="18"/>
        </w:rPr>
        <w:t>9</w:t>
      </w:r>
      <w:r w:rsidR="00FC53E8">
        <w:rPr>
          <w:rFonts w:hint="eastAsia"/>
          <w:szCs w:val="18"/>
        </w:rPr>
        <w:t>%</w:t>
      </w:r>
      <w:r w:rsidR="00FC53E8">
        <w:rPr>
          <w:rFonts w:hint="eastAsia"/>
          <w:szCs w:val="18"/>
        </w:rPr>
        <w:t>的</w:t>
      </w:r>
      <w:r>
        <w:rPr>
          <w:rFonts w:hint="eastAsia"/>
          <w:szCs w:val="18"/>
        </w:rPr>
        <w:t>5</w:t>
      </w:r>
      <w:r w:rsidR="00FC53E8">
        <w:rPr>
          <w:rFonts w:hint="eastAsia"/>
          <w:szCs w:val="18"/>
        </w:rPr>
        <w:t>只</w:t>
      </w:r>
      <w:r>
        <w:rPr>
          <w:rFonts w:hint="eastAsia"/>
          <w:szCs w:val="18"/>
        </w:rPr>
        <w:t>基金中，除</w:t>
      </w:r>
      <w:r w:rsidRPr="00BC1047">
        <w:rPr>
          <w:rFonts w:hint="eastAsia"/>
        </w:rPr>
        <w:t>中银标普全球精选</w:t>
      </w:r>
      <w:r>
        <w:rPr>
          <w:rFonts w:hint="eastAsia"/>
        </w:rPr>
        <w:t>外，均为</w:t>
      </w:r>
      <w:r w:rsidR="00FC53E8">
        <w:rPr>
          <w:rFonts w:hint="eastAsia"/>
          <w:szCs w:val="18"/>
        </w:rPr>
        <w:t>QDII</w:t>
      </w:r>
      <w:r w:rsidR="00FC53E8">
        <w:rPr>
          <w:rFonts w:hint="eastAsia"/>
          <w:szCs w:val="18"/>
        </w:rPr>
        <w:t>中仅有的投资黄金贵金属的</w:t>
      </w:r>
      <w:r w:rsidR="00FC53E8">
        <w:rPr>
          <w:rFonts w:hint="eastAsia"/>
          <w:szCs w:val="18"/>
        </w:rPr>
        <w:t>4</w:t>
      </w:r>
      <w:r w:rsidR="00FC53E8">
        <w:rPr>
          <w:rFonts w:hint="eastAsia"/>
          <w:szCs w:val="18"/>
        </w:rPr>
        <w:t>个产品：</w:t>
      </w:r>
      <w:r w:rsidRPr="00832388">
        <w:rPr>
          <w:rFonts w:hint="eastAsia"/>
          <w:szCs w:val="18"/>
        </w:rPr>
        <w:t>汇添富黄金及贵金属</w:t>
      </w:r>
      <w:r>
        <w:rPr>
          <w:rFonts w:hint="eastAsia"/>
          <w:szCs w:val="18"/>
        </w:rPr>
        <w:t>(10.29%)</w:t>
      </w:r>
      <w:r>
        <w:rPr>
          <w:rFonts w:hint="eastAsia"/>
          <w:szCs w:val="18"/>
        </w:rPr>
        <w:t>、</w:t>
      </w:r>
      <w:r w:rsidRPr="00832388">
        <w:rPr>
          <w:rFonts w:hint="eastAsia"/>
          <w:szCs w:val="18"/>
        </w:rPr>
        <w:t>嘉实黄金</w:t>
      </w:r>
      <w:r>
        <w:rPr>
          <w:rFonts w:hint="eastAsia"/>
          <w:szCs w:val="18"/>
        </w:rPr>
        <w:t>(9.95%)</w:t>
      </w:r>
      <w:r>
        <w:rPr>
          <w:rFonts w:hint="eastAsia"/>
          <w:szCs w:val="18"/>
        </w:rPr>
        <w:t>、</w:t>
      </w:r>
      <w:r w:rsidRPr="00832388">
        <w:rPr>
          <w:rFonts w:hint="eastAsia"/>
          <w:szCs w:val="18"/>
        </w:rPr>
        <w:t>诺安全球黄金</w:t>
      </w:r>
      <w:r>
        <w:rPr>
          <w:rFonts w:hint="eastAsia"/>
          <w:szCs w:val="18"/>
        </w:rPr>
        <w:t>(9.85%)</w:t>
      </w:r>
      <w:r>
        <w:rPr>
          <w:rFonts w:hint="eastAsia"/>
          <w:szCs w:val="18"/>
        </w:rPr>
        <w:t>、</w:t>
      </w:r>
      <w:r w:rsidR="00FC53E8" w:rsidRPr="00832388">
        <w:rPr>
          <w:rFonts w:hint="eastAsia"/>
          <w:szCs w:val="18"/>
        </w:rPr>
        <w:t>易方达黄金主题</w:t>
      </w:r>
      <w:r w:rsidR="00FC53E8">
        <w:rPr>
          <w:rFonts w:hint="eastAsia"/>
          <w:szCs w:val="18"/>
        </w:rPr>
        <w:t>(</w:t>
      </w:r>
      <w:r>
        <w:rPr>
          <w:rFonts w:hint="eastAsia"/>
          <w:szCs w:val="18"/>
        </w:rPr>
        <w:t>9.49</w:t>
      </w:r>
      <w:r w:rsidR="00114ED7">
        <w:rPr>
          <w:rFonts w:hint="eastAsia"/>
          <w:szCs w:val="18"/>
        </w:rPr>
        <w:t>%</w:t>
      </w:r>
      <w:r w:rsidR="00FC53E8">
        <w:rPr>
          <w:rFonts w:hint="eastAsia"/>
          <w:szCs w:val="18"/>
        </w:rPr>
        <w:t>)</w:t>
      </w:r>
      <w:r w:rsidR="00D91513">
        <w:rPr>
          <w:rFonts w:hint="eastAsia"/>
          <w:szCs w:val="18"/>
        </w:rPr>
        <w:t>。这</w:t>
      </w:r>
      <w:r w:rsidR="00D91513">
        <w:rPr>
          <w:rFonts w:hint="eastAsia"/>
          <w:szCs w:val="18"/>
        </w:rPr>
        <w:t>4</w:t>
      </w:r>
      <w:r w:rsidR="00D91513">
        <w:rPr>
          <w:rFonts w:hint="eastAsia"/>
          <w:szCs w:val="18"/>
        </w:rPr>
        <w:t>只“金基”也成为</w:t>
      </w:r>
      <w:r>
        <w:rPr>
          <w:rFonts w:hint="eastAsia"/>
          <w:szCs w:val="18"/>
        </w:rPr>
        <w:t>2016</w:t>
      </w:r>
      <w:r>
        <w:rPr>
          <w:rFonts w:hint="eastAsia"/>
          <w:szCs w:val="18"/>
        </w:rPr>
        <w:t>年</w:t>
      </w:r>
      <w:r w:rsidR="00D91513">
        <w:rPr>
          <w:rFonts w:hint="eastAsia"/>
          <w:szCs w:val="18"/>
        </w:rPr>
        <w:t>至今</w:t>
      </w:r>
      <w:r>
        <w:rPr>
          <w:rFonts w:hint="eastAsia"/>
          <w:szCs w:val="18"/>
        </w:rPr>
        <w:t>获利能力遥遥领先的品种。</w:t>
      </w:r>
    </w:p>
    <w:tbl>
      <w:tblPr>
        <w:tblStyle w:val="GJStylesChartInsertDoubleCol"/>
        <w:tblW w:w="10771" w:type="dxa"/>
        <w:tblLayout w:type="fixed"/>
        <w:tblLook w:val="07E0" w:firstRow="1" w:lastRow="1" w:firstColumn="1" w:lastColumn="1" w:noHBand="1" w:noVBand="1"/>
      </w:tblPr>
      <w:tblGrid>
        <w:gridCol w:w="5273"/>
        <w:gridCol w:w="226"/>
        <w:gridCol w:w="2014"/>
        <w:gridCol w:w="1701"/>
        <w:gridCol w:w="709"/>
        <w:gridCol w:w="848"/>
      </w:tblGrid>
      <w:tr w:rsidR="00E14176" w:rsidTr="00E14176">
        <w:tc>
          <w:tcPr>
            <w:cnfStyle w:val="001000000000" w:firstRow="0" w:lastRow="0" w:firstColumn="1" w:lastColumn="0" w:oddVBand="0" w:evenVBand="0" w:oddHBand="0" w:evenHBand="0" w:firstRowFirstColumn="0" w:firstRowLastColumn="0" w:lastRowFirstColumn="0" w:lastRowLastColumn="0"/>
            <w:tcW w:w="5273" w:type="dxa"/>
          </w:tcPr>
          <w:p w:rsidR="00E14176" w:rsidRPr="00E14176" w:rsidRDefault="00E14176" w:rsidP="00E1417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w:t>
            </w:r>
            <w:r>
              <w:fldChar w:fldCharType="end"/>
            </w:r>
            <w:r>
              <w:rPr>
                <w:rFonts w:hint="eastAsia"/>
              </w:rPr>
              <w:t>：</w:t>
            </w:r>
            <w:r w:rsidR="00A83A8B">
              <w:rPr>
                <w:rFonts w:hint="eastAsia"/>
              </w:rPr>
              <w:t>2</w:t>
            </w:r>
            <w:r w:rsidR="00832388">
              <w:rPr>
                <w:rFonts w:hint="eastAsia"/>
              </w:rPr>
              <w:t>月市场指数及各类</w:t>
            </w:r>
            <w:r w:rsidRPr="00506A2C">
              <w:rPr>
                <w:rFonts w:hint="eastAsia"/>
              </w:rPr>
              <w:t>QDII</w:t>
            </w:r>
            <w:r w:rsidRPr="00506A2C">
              <w:rPr>
                <w:rFonts w:hint="eastAsia"/>
              </w:rPr>
              <w:t>涨跌</w:t>
            </w:r>
            <w:r w:rsidR="00832388">
              <w:rPr>
                <w:rFonts w:hint="eastAsia"/>
              </w:rPr>
              <w:t>(</w:t>
            </w:r>
            <w:r w:rsidR="00832388">
              <w:rPr>
                <w:rFonts w:hint="eastAsia"/>
              </w:rPr>
              <w:t>截至</w:t>
            </w:r>
            <w:r w:rsidR="00A83A8B">
              <w:rPr>
                <w:rFonts w:hint="eastAsia"/>
              </w:rPr>
              <w:t>2</w:t>
            </w:r>
            <w:r w:rsidR="00832388">
              <w:rPr>
                <w:rFonts w:hint="eastAsia"/>
              </w:rPr>
              <w:t>月</w:t>
            </w:r>
            <w:r w:rsidR="00A83A8B">
              <w:rPr>
                <w:rFonts w:hint="eastAsia"/>
              </w:rPr>
              <w:t>29</w:t>
            </w:r>
            <w:r w:rsidR="00832388">
              <w:rPr>
                <w:rFonts w:hint="eastAsia"/>
              </w:rPr>
              <w:t>日</w:t>
            </w:r>
            <w:r w:rsidR="00832388">
              <w:rPr>
                <w:rFonts w:hint="eastAsia"/>
              </w:rPr>
              <w:t>)</w:t>
            </w:r>
          </w:p>
        </w:tc>
        <w:tc>
          <w:tcPr>
            <w:tcW w:w="226" w:type="dxa"/>
          </w:tcPr>
          <w:p w:rsidR="00E14176" w:rsidRDefault="00E14176" w:rsidP="00E14176">
            <w:pPr>
              <w:pStyle w:val="GJStylesGraphTitle"/>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272" w:type="dxa"/>
            <w:gridSpan w:val="4"/>
          </w:tcPr>
          <w:p w:rsidR="00E14176" w:rsidRDefault="00E14176" w:rsidP="004A101A">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2</w:t>
            </w:r>
            <w:r>
              <w:fldChar w:fldCharType="end"/>
            </w:r>
            <w:r>
              <w:rPr>
                <w:rFonts w:hint="eastAsia"/>
              </w:rPr>
              <w:t>：</w:t>
            </w:r>
            <w:r w:rsidR="00A83A8B">
              <w:rPr>
                <w:rFonts w:hint="eastAsia"/>
              </w:rPr>
              <w:t>2</w:t>
            </w:r>
            <w:r w:rsidR="00832388">
              <w:rPr>
                <w:rFonts w:hint="eastAsia"/>
              </w:rPr>
              <w:t>月</w:t>
            </w:r>
            <w:r>
              <w:rPr>
                <w:rFonts w:hint="eastAsia"/>
              </w:rPr>
              <w:t>QDII</w:t>
            </w:r>
            <w:r>
              <w:rPr>
                <w:rFonts w:hint="eastAsia"/>
              </w:rPr>
              <w:t>收益</w:t>
            </w:r>
            <w:r>
              <w:rPr>
                <w:rFonts w:hint="eastAsia"/>
              </w:rPr>
              <w:t>TOP10</w:t>
            </w:r>
            <w:r w:rsidR="00B976FB">
              <w:rPr>
                <w:rFonts w:hint="eastAsia"/>
              </w:rPr>
              <w:t>（</w:t>
            </w:r>
            <w:r>
              <w:rPr>
                <w:rFonts w:hint="eastAsia"/>
              </w:rPr>
              <w:t>截至</w:t>
            </w:r>
            <w:r w:rsidR="00A83A8B">
              <w:rPr>
                <w:rFonts w:hint="eastAsia"/>
              </w:rPr>
              <w:t>2</w:t>
            </w:r>
            <w:r>
              <w:rPr>
                <w:rFonts w:hint="eastAsia"/>
              </w:rPr>
              <w:t>月</w:t>
            </w:r>
            <w:r w:rsidR="00A83A8B">
              <w:rPr>
                <w:rFonts w:hint="eastAsia"/>
              </w:rPr>
              <w:t>29</w:t>
            </w:r>
            <w:r>
              <w:rPr>
                <w:rFonts w:hint="eastAsia"/>
              </w:rPr>
              <w:t>日</w:t>
            </w:r>
            <w:r w:rsidR="00B976FB">
              <w:rPr>
                <w:rFonts w:hint="eastAsia"/>
              </w:rPr>
              <w:t>）</w:t>
            </w:r>
          </w:p>
        </w:tc>
      </w:tr>
      <w:tr w:rsidR="00E14176" w:rsidTr="00832388">
        <w:trPr>
          <w:trHeight w:val="325"/>
        </w:trPr>
        <w:tc>
          <w:tcPr>
            <w:cnfStyle w:val="001000000000" w:firstRow="0" w:lastRow="0" w:firstColumn="1" w:lastColumn="0" w:oddVBand="0" w:evenVBand="0" w:oddHBand="0" w:evenHBand="0" w:firstRowFirstColumn="0" w:firstRowLastColumn="0" w:lastRowFirstColumn="0" w:lastRowLastColumn="0"/>
            <w:tcW w:w="5273" w:type="dxa"/>
            <w:vMerge w:val="restart"/>
            <w:vAlign w:val="center"/>
          </w:tcPr>
          <w:p w:rsidR="00E14176" w:rsidRPr="00E14176" w:rsidRDefault="00A83A8B" w:rsidP="00E14176">
            <w:pPr>
              <w:jc w:val="center"/>
            </w:pPr>
            <w:r>
              <w:rPr>
                <w:noProof/>
              </w:rPr>
              <w:drawing>
                <wp:inline distT="0" distB="0" distL="0" distR="0" wp14:anchorId="26F713CC" wp14:editId="6FBF4203">
                  <wp:extent cx="3333749" cy="2305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4781" cy="2312678"/>
                          </a:xfrm>
                          <a:prstGeom prst="rect">
                            <a:avLst/>
                          </a:prstGeom>
                          <a:noFill/>
                        </pic:spPr>
                      </pic:pic>
                    </a:graphicData>
                  </a:graphic>
                </wp:inline>
              </w:drawing>
            </w:r>
          </w:p>
        </w:tc>
        <w:tc>
          <w:tcPr>
            <w:tcW w:w="226" w:type="dxa"/>
            <w:vMerge w:val="restart"/>
            <w:vAlign w:val="center"/>
          </w:tcPr>
          <w:p w:rsidR="00E14176" w:rsidRDefault="00E14176"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E14176" w:rsidRPr="00924507" w:rsidRDefault="00E14176" w:rsidP="0032465D">
            <w:pPr>
              <w:jc w:val="center"/>
              <w:cnfStyle w:val="000000000000" w:firstRow="0" w:lastRow="0" w:firstColumn="0" w:lastColumn="0" w:oddVBand="0" w:evenVBand="0" w:oddHBand="0" w:evenHBand="0" w:firstRowFirstColumn="0" w:firstRowLastColumn="0" w:lastRowFirstColumn="0" w:lastRowLastColumn="0"/>
              <w:rPr>
                <w:b/>
                <w:sz w:val="21"/>
                <w:szCs w:val="21"/>
              </w:rPr>
            </w:pPr>
            <w:r w:rsidRPr="00924507">
              <w:rPr>
                <w:rFonts w:hint="eastAsia"/>
                <w:b/>
                <w:sz w:val="21"/>
                <w:szCs w:val="21"/>
              </w:rPr>
              <w:t>名称</w:t>
            </w:r>
          </w:p>
        </w:tc>
        <w:tc>
          <w:tcPr>
            <w:tcW w:w="1701" w:type="dxa"/>
            <w:tcBorders>
              <w:top w:val="single" w:sz="4" w:space="0" w:color="00A0E9"/>
              <w:left w:val="single" w:sz="4" w:space="0" w:color="00A0E9"/>
              <w:bottom w:val="single" w:sz="4" w:space="0" w:color="00A0E9"/>
              <w:right w:val="single" w:sz="4" w:space="0" w:color="00A0E9"/>
            </w:tcBorders>
            <w:vAlign w:val="center"/>
          </w:tcPr>
          <w:p w:rsidR="00E14176" w:rsidRPr="00924507" w:rsidRDefault="00E14176" w:rsidP="0032465D">
            <w:pPr>
              <w:jc w:val="center"/>
              <w:cnfStyle w:val="000000000000" w:firstRow="0" w:lastRow="0" w:firstColumn="0" w:lastColumn="0" w:oddVBand="0" w:evenVBand="0" w:oddHBand="0" w:evenHBand="0" w:firstRowFirstColumn="0" w:firstRowLastColumn="0" w:lastRowFirstColumn="0" w:lastRowLastColumn="0"/>
              <w:rPr>
                <w:b/>
                <w:sz w:val="21"/>
                <w:szCs w:val="21"/>
              </w:rPr>
            </w:pPr>
            <w:r w:rsidRPr="00924507">
              <w:rPr>
                <w:rFonts w:hint="eastAsia"/>
                <w:b/>
                <w:sz w:val="21"/>
                <w:szCs w:val="21"/>
              </w:rPr>
              <w:t>类型</w:t>
            </w:r>
          </w:p>
        </w:tc>
        <w:tc>
          <w:tcPr>
            <w:tcW w:w="709" w:type="dxa"/>
            <w:tcBorders>
              <w:top w:val="single" w:sz="4" w:space="0" w:color="00A0E9"/>
              <w:left w:val="single" w:sz="4" w:space="0" w:color="00A0E9"/>
              <w:bottom w:val="single" w:sz="4" w:space="0" w:color="00A0E9"/>
              <w:right w:val="single" w:sz="4" w:space="0" w:color="00A0E9"/>
            </w:tcBorders>
            <w:vAlign w:val="center"/>
          </w:tcPr>
          <w:p w:rsidR="00E14176" w:rsidRPr="00924507" w:rsidRDefault="00E14176" w:rsidP="0032465D">
            <w:pPr>
              <w:jc w:val="center"/>
              <w:cnfStyle w:val="000000000000" w:firstRow="0" w:lastRow="0" w:firstColumn="0" w:lastColumn="0" w:oddVBand="0" w:evenVBand="0" w:oddHBand="0" w:evenHBand="0" w:firstRowFirstColumn="0" w:firstRowLastColumn="0" w:lastRowFirstColumn="0" w:lastRowLastColumn="0"/>
              <w:rPr>
                <w:b/>
                <w:sz w:val="21"/>
                <w:szCs w:val="21"/>
              </w:rPr>
            </w:pPr>
            <w:r w:rsidRPr="00924507">
              <w:rPr>
                <w:rFonts w:hint="eastAsia"/>
                <w:b/>
                <w:sz w:val="21"/>
                <w:szCs w:val="21"/>
              </w:rPr>
              <w:t>净值</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E14176" w:rsidRPr="00924507" w:rsidRDefault="00E14176" w:rsidP="0032465D">
            <w:pPr>
              <w:jc w:val="center"/>
              <w:rPr>
                <w:b/>
                <w:sz w:val="21"/>
                <w:szCs w:val="21"/>
              </w:rPr>
            </w:pPr>
            <w:r w:rsidRPr="00924507">
              <w:rPr>
                <w:rFonts w:hint="eastAsia"/>
                <w:b/>
                <w:sz w:val="21"/>
                <w:szCs w:val="21"/>
              </w:rPr>
              <w:t>收益率</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汇添富黄金及贵金属</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商品</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0.6000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10.29</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嘉实黄金</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商品</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0.6960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9.95</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中银标普全球精选</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股票</w:t>
            </w:r>
            <w:r w:rsidRPr="00BC1047">
              <w:rPr>
                <w:rFonts w:hint="eastAsia"/>
              </w:rPr>
              <w:t>-</w:t>
            </w:r>
            <w:r w:rsidRPr="00BC1047">
              <w:rPr>
                <w:rFonts w:hint="eastAsia"/>
              </w:rPr>
              <w:t>行业</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0.7000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9.89</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诺安全球黄金</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商品</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0.7810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9.85</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易方达黄金主题</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商品</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0.7040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9.49</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上投摩根全球天然资源</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混合</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0.4500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6.64</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工银瑞信标普全球资源</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股票</w:t>
            </w:r>
            <w:r w:rsidRPr="00BC1047">
              <w:rPr>
                <w:rFonts w:hint="eastAsia"/>
              </w:rPr>
              <w:t>-</w:t>
            </w:r>
            <w:r w:rsidRPr="00BC1047">
              <w:rPr>
                <w:rFonts w:hint="eastAsia"/>
              </w:rPr>
              <w:t>行业</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0.7060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5.53</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广发标普全球农业人民币</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股票</w:t>
            </w:r>
            <w:r w:rsidRPr="00BC1047">
              <w:rPr>
                <w:rFonts w:hint="eastAsia"/>
              </w:rPr>
              <w:t>-</w:t>
            </w:r>
            <w:r w:rsidRPr="00BC1047">
              <w:rPr>
                <w:rFonts w:hint="eastAsia"/>
              </w:rPr>
              <w:t>行业</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0.9860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2.82</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招商标普高收益人民币</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股票</w:t>
            </w:r>
            <w:r w:rsidRPr="00BC1047">
              <w:rPr>
                <w:rFonts w:hint="eastAsia"/>
              </w:rPr>
              <w:t>-</w:t>
            </w:r>
            <w:r w:rsidRPr="00BC1047">
              <w:rPr>
                <w:rFonts w:hint="eastAsia"/>
              </w:rPr>
              <w:t>全球市场</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1.1309</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Pr="00BC1047" w:rsidRDefault="00A83A8B" w:rsidP="00A83A8B">
            <w:pPr>
              <w:jc w:val="center"/>
            </w:pPr>
            <w:r w:rsidRPr="00BC1047">
              <w:rPr>
                <w:rFonts w:hint="eastAsia"/>
              </w:rPr>
              <w:t>2.00</w:t>
            </w:r>
            <w:r w:rsidR="00357906">
              <w:rPr>
                <w:rFonts w:hint="eastAsia"/>
              </w:rPr>
              <w:t>%</w:t>
            </w:r>
          </w:p>
        </w:tc>
      </w:tr>
      <w:tr w:rsidR="00A83A8B" w:rsidTr="00A83A8B">
        <w:trPr>
          <w:trHeight w:val="323"/>
        </w:trPr>
        <w:tc>
          <w:tcPr>
            <w:cnfStyle w:val="001000000000" w:firstRow="0" w:lastRow="0" w:firstColumn="1" w:lastColumn="0" w:oddVBand="0" w:evenVBand="0" w:oddHBand="0" w:evenHBand="0" w:firstRowFirstColumn="0" w:firstRowLastColumn="0" w:lastRowFirstColumn="0" w:lastRowLastColumn="0"/>
            <w:tcW w:w="5273" w:type="dxa"/>
            <w:vMerge/>
            <w:vAlign w:val="center"/>
          </w:tcPr>
          <w:p w:rsidR="00A83A8B" w:rsidRDefault="00A83A8B" w:rsidP="00E14176">
            <w:pPr>
              <w:jc w:val="center"/>
              <w:rPr>
                <w:noProof/>
              </w:rPr>
            </w:pPr>
          </w:p>
        </w:tc>
        <w:tc>
          <w:tcPr>
            <w:tcW w:w="226" w:type="dxa"/>
            <w:vMerge/>
            <w:vAlign w:val="center"/>
          </w:tcPr>
          <w:p w:rsidR="00A83A8B" w:rsidRDefault="00A83A8B"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pPr>
          </w:p>
        </w:tc>
        <w:tc>
          <w:tcPr>
            <w:tcW w:w="2014" w:type="dxa"/>
            <w:tcBorders>
              <w:top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上投摩根新兴市场</w:t>
            </w:r>
          </w:p>
        </w:tc>
        <w:tc>
          <w:tcPr>
            <w:tcW w:w="1701"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QDII-</w:t>
            </w:r>
            <w:r w:rsidRPr="00BC1047">
              <w:rPr>
                <w:rFonts w:hint="eastAsia"/>
              </w:rPr>
              <w:t>混合</w:t>
            </w:r>
          </w:p>
        </w:tc>
        <w:tc>
          <w:tcPr>
            <w:tcW w:w="709" w:type="dxa"/>
            <w:tcBorders>
              <w:top w:val="single" w:sz="4" w:space="0" w:color="00A0E9"/>
              <w:left w:val="single" w:sz="4" w:space="0" w:color="00A0E9"/>
              <w:bottom w:val="single" w:sz="4" w:space="0" w:color="00A0E9"/>
              <w:right w:val="single" w:sz="4" w:space="0" w:color="00A0E9"/>
            </w:tcBorders>
            <w:vAlign w:val="center"/>
          </w:tcPr>
          <w:p w:rsidR="00A83A8B" w:rsidRPr="00BC1047" w:rsidRDefault="00A83A8B" w:rsidP="00A83A8B">
            <w:pPr>
              <w:jc w:val="center"/>
              <w:cnfStyle w:val="000000000000" w:firstRow="0" w:lastRow="0" w:firstColumn="0" w:lastColumn="0" w:oddVBand="0" w:evenVBand="0" w:oddHBand="0" w:evenHBand="0" w:firstRowFirstColumn="0" w:firstRowLastColumn="0" w:lastRowFirstColumn="0" w:lastRowLastColumn="0"/>
            </w:pPr>
            <w:r w:rsidRPr="00BC1047">
              <w:rPr>
                <w:rFonts w:hint="eastAsia"/>
              </w:rPr>
              <w:t>0.7300</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shd w:val="clear" w:color="auto" w:fill="D9D9D9" w:themeFill="background1" w:themeFillShade="D9"/>
            <w:vAlign w:val="center"/>
          </w:tcPr>
          <w:p w:rsidR="00A83A8B" w:rsidRDefault="00A83A8B" w:rsidP="00A83A8B">
            <w:pPr>
              <w:jc w:val="center"/>
            </w:pPr>
            <w:r w:rsidRPr="00BC1047">
              <w:rPr>
                <w:rFonts w:hint="eastAsia"/>
              </w:rPr>
              <w:t>1.67</w:t>
            </w:r>
            <w:r w:rsidR="00357906">
              <w:rPr>
                <w:rFonts w:hint="eastAsia"/>
              </w:rPr>
              <w:t>%</w:t>
            </w:r>
          </w:p>
        </w:tc>
      </w:tr>
      <w:tr w:rsidR="00E14176" w:rsidTr="00E14176">
        <w:tc>
          <w:tcPr>
            <w:tcW w:w="5273" w:type="dxa"/>
          </w:tcPr>
          <w:p w:rsidR="00E14176" w:rsidRDefault="00E14176" w:rsidP="00E1417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p>
        </w:tc>
        <w:tc>
          <w:tcPr>
            <w:tcW w:w="226" w:type="dxa"/>
          </w:tcPr>
          <w:p w:rsidR="00E14176" w:rsidRDefault="00E14176" w:rsidP="00E14176">
            <w:pPr>
              <w:pStyle w:val="GJStylesGraphSource"/>
            </w:pPr>
          </w:p>
        </w:tc>
        <w:tc>
          <w:tcPr>
            <w:tcW w:w="5272" w:type="dxa"/>
            <w:gridSpan w:val="4"/>
          </w:tcPr>
          <w:p w:rsidR="00E14176" w:rsidRDefault="00E14176" w:rsidP="00E1417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p>
        </w:tc>
      </w:tr>
    </w:tbl>
    <w:p w:rsidR="008669AE" w:rsidRDefault="006F7473" w:rsidP="006F7473">
      <w:pPr>
        <w:pStyle w:val="21"/>
        <w:rPr>
          <w:color w:val="FF0000"/>
        </w:rPr>
      </w:pPr>
      <w:r>
        <w:rPr>
          <w:rFonts w:hint="eastAsia"/>
          <w:color w:val="auto"/>
        </w:rPr>
        <w:t>人民币贬值</w:t>
      </w:r>
      <w:r w:rsidR="006E1585">
        <w:rPr>
          <w:rFonts w:hint="eastAsia"/>
          <w:color w:val="auto"/>
        </w:rPr>
        <w:t>捧红</w:t>
      </w:r>
      <w:r>
        <w:rPr>
          <w:rFonts w:hint="eastAsia"/>
          <w:color w:val="auto"/>
        </w:rPr>
        <w:t>QDII</w:t>
      </w:r>
      <w:r>
        <w:rPr>
          <w:rFonts w:hint="eastAsia"/>
          <w:color w:val="auto"/>
        </w:rPr>
        <w:t>，多家</w:t>
      </w:r>
      <w:r w:rsidR="006E1585">
        <w:rPr>
          <w:rFonts w:hint="eastAsia"/>
          <w:color w:val="auto"/>
        </w:rPr>
        <w:t>公司</w:t>
      </w:r>
      <w:r w:rsidR="00422AB0">
        <w:rPr>
          <w:rFonts w:hint="eastAsia"/>
          <w:color w:val="auto"/>
        </w:rPr>
        <w:t>额度告急</w:t>
      </w:r>
    </w:p>
    <w:p w:rsidR="008669AE" w:rsidRPr="00391150" w:rsidRDefault="006F7473" w:rsidP="006F7473">
      <w:pPr>
        <w:pStyle w:val="a0"/>
        <w:widowControl/>
        <w:numPr>
          <w:ilvl w:val="4"/>
          <w:numId w:val="3"/>
        </w:numPr>
        <w:rPr>
          <w:color w:val="auto"/>
        </w:rPr>
      </w:pPr>
      <w:r>
        <w:rPr>
          <w:rFonts w:hint="eastAsia"/>
          <w:color w:val="auto"/>
        </w:rPr>
        <w:t>2016</w:t>
      </w:r>
      <w:r>
        <w:rPr>
          <w:rFonts w:hint="eastAsia"/>
          <w:color w:val="auto"/>
        </w:rPr>
        <w:t>年伊始中国股市接连暴跌，又遭遇</w:t>
      </w:r>
      <w:r>
        <w:rPr>
          <w:rFonts w:hint="eastAsia"/>
        </w:rPr>
        <w:t>人民币美元汇率创四年来新低，</w:t>
      </w:r>
      <w:r w:rsidR="006E1585">
        <w:rPr>
          <w:rFonts w:hint="eastAsia"/>
        </w:rPr>
        <w:t>美国则正式进入加息周期。</w:t>
      </w:r>
      <w:r w:rsidR="00FD1ED7">
        <w:rPr>
          <w:rFonts w:hint="eastAsia"/>
        </w:rPr>
        <w:t>于是</w:t>
      </w:r>
      <w:r w:rsidR="006E1585">
        <w:rPr>
          <w:rFonts w:hint="eastAsia"/>
        </w:rPr>
        <w:t>，</w:t>
      </w:r>
      <w:r>
        <w:rPr>
          <w:rFonts w:hint="eastAsia"/>
          <w:color w:val="auto"/>
        </w:rPr>
        <w:t>越来越多的</w:t>
      </w:r>
      <w:r w:rsidRPr="0052224D">
        <w:rPr>
          <w:rFonts w:hint="eastAsia"/>
        </w:rPr>
        <w:t>国内投资者</w:t>
      </w:r>
      <w:r>
        <w:rPr>
          <w:rFonts w:hint="eastAsia"/>
        </w:rPr>
        <w:t>开始</w:t>
      </w:r>
      <w:r w:rsidRPr="0052224D">
        <w:rPr>
          <w:rFonts w:hint="eastAsia"/>
        </w:rPr>
        <w:t>调整投资策略</w:t>
      </w:r>
      <w:r>
        <w:rPr>
          <w:rFonts w:hint="eastAsia"/>
        </w:rPr>
        <w:t>，将</w:t>
      </w:r>
      <w:r w:rsidRPr="0052224D">
        <w:rPr>
          <w:rFonts w:hint="eastAsia"/>
        </w:rPr>
        <w:t>视野</w:t>
      </w:r>
      <w:r w:rsidR="00FD1ED7">
        <w:rPr>
          <w:rFonts w:hint="eastAsia"/>
        </w:rPr>
        <w:t>投向全球。</w:t>
      </w:r>
      <w:r w:rsidR="006E1585">
        <w:rPr>
          <w:rFonts w:hint="eastAsia"/>
        </w:rPr>
        <w:t>借道</w:t>
      </w:r>
      <w:r>
        <w:rPr>
          <w:rFonts w:hint="eastAsia"/>
        </w:rPr>
        <w:t>QDII</w:t>
      </w:r>
      <w:r>
        <w:rPr>
          <w:rFonts w:hint="eastAsia"/>
        </w:rPr>
        <w:t>基金</w:t>
      </w:r>
      <w:r w:rsidR="006E1585">
        <w:rPr>
          <w:rFonts w:hint="eastAsia"/>
        </w:rPr>
        <w:t>无疑</w:t>
      </w:r>
      <w:r>
        <w:rPr>
          <w:rFonts w:hint="eastAsia"/>
        </w:rPr>
        <w:t>成为理想捷径。</w:t>
      </w:r>
      <w:r w:rsidR="00670257">
        <w:rPr>
          <w:rFonts w:hint="eastAsia"/>
        </w:rPr>
        <w:t>统计显示，去年</w:t>
      </w:r>
      <w:r w:rsidR="00670257">
        <w:rPr>
          <w:rFonts w:hint="eastAsia"/>
        </w:rPr>
        <w:t>12</w:t>
      </w:r>
      <w:r w:rsidR="00670257">
        <w:rPr>
          <w:rFonts w:hint="eastAsia"/>
        </w:rPr>
        <w:t>月</w:t>
      </w:r>
      <w:r w:rsidR="00670257">
        <w:rPr>
          <w:rFonts w:hint="eastAsia"/>
        </w:rPr>
        <w:t>QDII</w:t>
      </w:r>
      <w:r w:rsidR="00670257">
        <w:rPr>
          <w:rFonts w:hint="eastAsia"/>
        </w:rPr>
        <w:t>成为最受资金追捧的基金类型，国金证券主推的国泰纳斯达克</w:t>
      </w:r>
      <w:r w:rsidR="00670257">
        <w:rPr>
          <w:rFonts w:hint="eastAsia"/>
        </w:rPr>
        <w:t>100</w:t>
      </w:r>
      <w:r w:rsidR="00670257">
        <w:rPr>
          <w:rFonts w:hint="eastAsia"/>
        </w:rPr>
        <w:t>更成为</w:t>
      </w:r>
      <w:r w:rsidR="00670257">
        <w:rPr>
          <w:rFonts w:hint="eastAsia"/>
        </w:rPr>
        <w:t>QDII</w:t>
      </w:r>
      <w:r w:rsidR="00670257">
        <w:rPr>
          <w:rFonts w:hint="eastAsia"/>
        </w:rPr>
        <w:t>销量冠军。不过由此引发的</w:t>
      </w:r>
      <w:r w:rsidR="00AE4AA6">
        <w:rPr>
          <w:rFonts w:hint="eastAsia"/>
        </w:rPr>
        <w:t>外汇</w:t>
      </w:r>
      <w:r w:rsidR="00670257">
        <w:rPr>
          <w:rFonts w:hint="eastAsia"/>
        </w:rPr>
        <w:t>额度紧张令华夏、国泰等多家基金公司暂停了大额申购。</w:t>
      </w:r>
    </w:p>
    <w:p w:rsidR="00391150" w:rsidRPr="00E54B00" w:rsidRDefault="00391150" w:rsidP="006F7473">
      <w:pPr>
        <w:pStyle w:val="a0"/>
        <w:widowControl/>
        <w:numPr>
          <w:ilvl w:val="4"/>
          <w:numId w:val="3"/>
        </w:numPr>
        <w:rPr>
          <w:color w:val="auto"/>
        </w:rPr>
      </w:pPr>
      <w:r>
        <w:rPr>
          <w:rFonts w:hint="eastAsia"/>
        </w:rPr>
        <w:t>2016</w:t>
      </w:r>
      <w:r>
        <w:rPr>
          <w:rFonts w:hint="eastAsia"/>
        </w:rPr>
        <w:t>年</w:t>
      </w:r>
      <w:r>
        <w:rPr>
          <w:rFonts w:hint="eastAsia"/>
        </w:rPr>
        <w:t>2</w:t>
      </w:r>
      <w:r>
        <w:rPr>
          <w:rFonts w:hint="eastAsia"/>
        </w:rPr>
        <w:t>月以来，黄金的上涨攻势越发凌厉，暌违多年的黄金投资再度</w:t>
      </w:r>
      <w:r w:rsidR="00D91513">
        <w:rPr>
          <w:rFonts w:hint="eastAsia"/>
        </w:rPr>
        <w:t>成为关注</w:t>
      </w:r>
      <w:r w:rsidR="00F84D3F">
        <w:rPr>
          <w:rFonts w:hint="eastAsia"/>
        </w:rPr>
        <w:t>焦点。金价上涨使国内现有</w:t>
      </w:r>
      <w:r>
        <w:rPr>
          <w:rFonts w:hint="eastAsia"/>
        </w:rPr>
        <w:t>的</w:t>
      </w:r>
      <w:r>
        <w:rPr>
          <w:rFonts w:hint="eastAsia"/>
        </w:rPr>
        <w:t>4</w:t>
      </w:r>
      <w:r>
        <w:rPr>
          <w:rFonts w:hint="eastAsia"/>
        </w:rPr>
        <w:t>只黄金</w:t>
      </w:r>
      <w:r>
        <w:rPr>
          <w:rFonts w:hint="eastAsia"/>
        </w:rPr>
        <w:t>QDII</w:t>
      </w:r>
      <w:r>
        <w:rPr>
          <w:rFonts w:hint="eastAsia"/>
        </w:rPr>
        <w:t>收益颇丰，</w:t>
      </w:r>
      <w:r>
        <w:rPr>
          <w:rFonts w:hint="eastAsia"/>
          <w:color w:val="auto"/>
        </w:rPr>
        <w:t>成为今年以来赚钱效应</w:t>
      </w:r>
      <w:r w:rsidRPr="004A101A">
        <w:rPr>
          <w:rFonts w:hint="eastAsia"/>
          <w:color w:val="auto"/>
        </w:rPr>
        <w:t>最为出色的</w:t>
      </w:r>
      <w:r w:rsidRPr="004A101A">
        <w:rPr>
          <w:rFonts w:hint="eastAsia"/>
          <w:color w:val="auto"/>
        </w:rPr>
        <w:t>QDII</w:t>
      </w:r>
      <w:r>
        <w:rPr>
          <w:rFonts w:hint="eastAsia"/>
          <w:color w:val="auto"/>
        </w:rPr>
        <w:t>品种</w:t>
      </w:r>
      <w:r w:rsidR="00184EFA">
        <w:rPr>
          <w:rFonts w:hint="eastAsia"/>
          <w:color w:val="auto"/>
        </w:rPr>
        <w:t>；</w:t>
      </w:r>
      <w:r>
        <w:rPr>
          <w:rFonts w:hint="eastAsia"/>
        </w:rPr>
        <w:t>而黄金</w:t>
      </w:r>
      <w:r>
        <w:rPr>
          <w:rFonts w:hint="eastAsia"/>
        </w:rPr>
        <w:t>QDII</w:t>
      </w:r>
      <w:r w:rsidR="00F84D3F">
        <w:rPr>
          <w:rFonts w:hint="eastAsia"/>
        </w:rPr>
        <w:t>基金也是普通投资者分享</w:t>
      </w:r>
      <w:r>
        <w:rPr>
          <w:rFonts w:hint="eastAsia"/>
        </w:rPr>
        <w:t>黄金上涨的最优投资工具之一。</w:t>
      </w:r>
      <w:r w:rsidR="00184EFA">
        <w:rPr>
          <w:rFonts w:hint="eastAsia"/>
          <w:color w:val="auto"/>
        </w:rPr>
        <w:t>不过，</w:t>
      </w:r>
      <w:r w:rsidRPr="00A96FC8">
        <w:rPr>
          <w:rFonts w:hint="eastAsia"/>
        </w:rPr>
        <w:t>嘉实黄金</w:t>
      </w:r>
      <w:r>
        <w:rPr>
          <w:rFonts w:hint="eastAsia"/>
        </w:rPr>
        <w:t>已于</w:t>
      </w:r>
      <w:r>
        <w:rPr>
          <w:rFonts w:hint="eastAsia"/>
        </w:rPr>
        <w:t>1</w:t>
      </w:r>
      <w:r>
        <w:rPr>
          <w:rFonts w:hint="eastAsia"/>
        </w:rPr>
        <w:t>月</w:t>
      </w:r>
      <w:r w:rsidRPr="00A96FC8">
        <w:rPr>
          <w:rFonts w:hint="eastAsia"/>
        </w:rPr>
        <w:t>20</w:t>
      </w:r>
      <w:r w:rsidRPr="00A96FC8">
        <w:rPr>
          <w:rFonts w:hint="eastAsia"/>
        </w:rPr>
        <w:t>日公告暂停大额申购及定投业务。</w:t>
      </w:r>
    </w:p>
    <w:p w:rsidR="00BE2561" w:rsidRDefault="00BE2561" w:rsidP="00BE2561">
      <w:pPr>
        <w:pStyle w:val="14"/>
        <w:ind w:leftChars="1890"/>
        <w:rPr>
          <w:color w:val="auto"/>
        </w:rPr>
      </w:pPr>
      <w:r w:rsidRPr="00BE2561">
        <w:rPr>
          <w:rFonts w:hint="eastAsia"/>
          <w:color w:val="auto"/>
        </w:rPr>
        <w:lastRenderedPageBreak/>
        <w:t>二、</w:t>
      </w:r>
      <w:r w:rsidRPr="00BE2561">
        <w:rPr>
          <w:rFonts w:hint="eastAsia"/>
          <w:color w:val="auto"/>
        </w:rPr>
        <w:t>QDII</w:t>
      </w:r>
      <w:r w:rsidRPr="00BE2561">
        <w:rPr>
          <w:rFonts w:hint="eastAsia"/>
          <w:color w:val="auto"/>
        </w:rPr>
        <w:t>基金</w:t>
      </w:r>
      <w:r w:rsidR="006E1AAA">
        <w:rPr>
          <w:rFonts w:hint="eastAsia"/>
          <w:color w:val="auto"/>
        </w:rPr>
        <w:t>2016</w:t>
      </w:r>
      <w:r w:rsidR="006E1AAA">
        <w:rPr>
          <w:rFonts w:hint="eastAsia"/>
          <w:color w:val="auto"/>
        </w:rPr>
        <w:t>年</w:t>
      </w:r>
      <w:r w:rsidR="00917278">
        <w:rPr>
          <w:rFonts w:hint="eastAsia"/>
          <w:color w:val="auto"/>
        </w:rPr>
        <w:t>3</w:t>
      </w:r>
      <w:r w:rsidRPr="00BE2561">
        <w:rPr>
          <w:rFonts w:hint="eastAsia"/>
          <w:color w:val="auto"/>
        </w:rPr>
        <w:t>月</w:t>
      </w:r>
      <w:r w:rsidR="005B7151">
        <w:rPr>
          <w:rFonts w:hint="eastAsia"/>
          <w:color w:val="auto"/>
        </w:rPr>
        <w:t>份</w:t>
      </w:r>
      <w:r w:rsidRPr="00BE2561">
        <w:rPr>
          <w:rFonts w:hint="eastAsia"/>
          <w:color w:val="auto"/>
        </w:rPr>
        <w:t>投资策略</w:t>
      </w:r>
    </w:p>
    <w:p w:rsidR="000E6AE0" w:rsidRDefault="005F64DE" w:rsidP="000E6AE0">
      <w:pPr>
        <w:pStyle w:val="11"/>
        <w:rPr>
          <w:color w:val="auto"/>
        </w:rPr>
      </w:pPr>
      <w:r>
        <w:rPr>
          <w:rFonts w:hint="eastAsia"/>
          <w:color w:val="auto"/>
        </w:rPr>
        <w:t>布局黄金为主，关注加息动向</w:t>
      </w:r>
    </w:p>
    <w:p w:rsidR="00E22454" w:rsidRDefault="00801E7B" w:rsidP="00423352">
      <w:pPr>
        <w:pStyle w:val="a0"/>
        <w:widowControl/>
        <w:numPr>
          <w:ilvl w:val="4"/>
          <w:numId w:val="3"/>
        </w:numPr>
      </w:pPr>
      <w:r>
        <w:rPr>
          <w:rFonts w:hint="eastAsia"/>
        </w:rPr>
        <w:t>世界银行</w:t>
      </w:r>
      <w:r w:rsidR="00B8187E">
        <w:rPr>
          <w:rFonts w:hint="eastAsia"/>
        </w:rPr>
        <w:t>发文称</w:t>
      </w:r>
      <w:r w:rsidR="009E22EC" w:rsidRPr="009E22EC">
        <w:rPr>
          <w:rFonts w:hint="eastAsia"/>
        </w:rPr>
        <w:t>，面对多项周期性和结构性不利因素，全球经济增速在</w:t>
      </w:r>
      <w:r w:rsidR="009E22EC" w:rsidRPr="009E22EC">
        <w:rPr>
          <w:rFonts w:hint="eastAsia"/>
        </w:rPr>
        <w:t>2016</w:t>
      </w:r>
      <w:r>
        <w:rPr>
          <w:rFonts w:hint="eastAsia"/>
        </w:rPr>
        <w:t>~</w:t>
      </w:r>
      <w:r w:rsidR="009E22EC" w:rsidRPr="009E22EC">
        <w:rPr>
          <w:rFonts w:hint="eastAsia"/>
        </w:rPr>
        <w:t>2017</w:t>
      </w:r>
      <w:r w:rsidR="009E22EC" w:rsidRPr="009E22EC">
        <w:rPr>
          <w:rFonts w:hint="eastAsia"/>
        </w:rPr>
        <w:t>年将只有“小幅度改善”</w:t>
      </w:r>
      <w:r>
        <w:rPr>
          <w:rFonts w:hint="eastAsia"/>
        </w:rPr>
        <w:t>，</w:t>
      </w:r>
      <w:r w:rsidR="00AE4AA6">
        <w:rPr>
          <w:rFonts w:hint="eastAsia"/>
        </w:rPr>
        <w:t>故</w:t>
      </w:r>
      <w:r>
        <w:rPr>
          <w:rFonts w:hint="eastAsia"/>
        </w:rPr>
        <w:t>将</w:t>
      </w:r>
      <w:r w:rsidRPr="00801E7B">
        <w:rPr>
          <w:rFonts w:hint="eastAsia"/>
        </w:rPr>
        <w:t>2016</w:t>
      </w:r>
      <w:r>
        <w:rPr>
          <w:rFonts w:hint="eastAsia"/>
        </w:rPr>
        <w:t>年全球经济增速由去年</w:t>
      </w:r>
      <w:r>
        <w:rPr>
          <w:rFonts w:hint="eastAsia"/>
        </w:rPr>
        <w:t>6</w:t>
      </w:r>
      <w:r>
        <w:rPr>
          <w:rFonts w:hint="eastAsia"/>
        </w:rPr>
        <w:t>月预期的</w:t>
      </w:r>
      <w:r>
        <w:rPr>
          <w:rFonts w:hint="eastAsia"/>
        </w:rPr>
        <w:t>3.3%</w:t>
      </w:r>
      <w:r>
        <w:rPr>
          <w:rFonts w:hint="eastAsia"/>
        </w:rPr>
        <w:t>下调至</w:t>
      </w:r>
      <w:r w:rsidRPr="00801E7B">
        <w:rPr>
          <w:rFonts w:hint="eastAsia"/>
        </w:rPr>
        <w:t>2.9%</w:t>
      </w:r>
      <w:r w:rsidRPr="00801E7B">
        <w:rPr>
          <w:rFonts w:hint="eastAsia"/>
        </w:rPr>
        <w:t>。</w:t>
      </w:r>
      <w:r>
        <w:rPr>
          <w:rFonts w:hint="eastAsia"/>
        </w:rPr>
        <w:t>同时，报告预计</w:t>
      </w:r>
      <w:r>
        <w:rPr>
          <w:rFonts w:hint="eastAsia"/>
        </w:rPr>
        <w:t>2016</w:t>
      </w:r>
      <w:r>
        <w:rPr>
          <w:rFonts w:hint="eastAsia"/>
        </w:rPr>
        <w:t>年高收入经济体的经济增速为</w:t>
      </w:r>
      <w:r w:rsidR="00804DD8">
        <w:rPr>
          <w:rFonts w:hint="eastAsia"/>
        </w:rPr>
        <w:t>2.1%</w:t>
      </w:r>
      <w:r w:rsidR="00804DD8">
        <w:rPr>
          <w:rFonts w:hint="eastAsia"/>
        </w:rPr>
        <w:t>，低于原先预测</w:t>
      </w:r>
      <w:r w:rsidR="00804DD8">
        <w:rPr>
          <w:rFonts w:hint="eastAsia"/>
        </w:rPr>
        <w:t>(2.4%)</w:t>
      </w:r>
      <w:r w:rsidR="00804DD8">
        <w:rPr>
          <w:rFonts w:hint="eastAsia"/>
        </w:rPr>
        <w:t>；新兴经济体增速为</w:t>
      </w:r>
      <w:r w:rsidR="00804DD8">
        <w:rPr>
          <w:rFonts w:hint="eastAsia"/>
        </w:rPr>
        <w:t>4.8%</w:t>
      </w:r>
      <w:r w:rsidR="00804DD8">
        <w:rPr>
          <w:rFonts w:hint="eastAsia"/>
        </w:rPr>
        <w:t>，</w:t>
      </w:r>
      <w:r w:rsidR="007C20A9">
        <w:rPr>
          <w:rFonts w:hint="eastAsia"/>
        </w:rPr>
        <w:t>也</w:t>
      </w:r>
      <w:r w:rsidR="00804DD8">
        <w:rPr>
          <w:rFonts w:hint="eastAsia"/>
        </w:rPr>
        <w:t>低于原先预测</w:t>
      </w:r>
      <w:r w:rsidR="00804DD8">
        <w:rPr>
          <w:rFonts w:hint="eastAsia"/>
        </w:rPr>
        <w:t>(5.2%)</w:t>
      </w:r>
      <w:r w:rsidR="00804DD8">
        <w:rPr>
          <w:rFonts w:hint="eastAsia"/>
        </w:rPr>
        <w:t>。</w:t>
      </w:r>
      <w:r w:rsidR="007D5F4D">
        <w:rPr>
          <w:rFonts w:hint="eastAsia"/>
        </w:rPr>
        <w:t>国金证券</w:t>
      </w:r>
      <w:r w:rsidR="00423352">
        <w:rPr>
          <w:rFonts w:hint="eastAsia"/>
        </w:rPr>
        <w:t>也</w:t>
      </w:r>
      <w:r w:rsidR="007D5F4D">
        <w:rPr>
          <w:rFonts w:hint="eastAsia"/>
        </w:rPr>
        <w:t>认为，</w:t>
      </w:r>
      <w:r w:rsidR="009E22EC" w:rsidRPr="009E22EC">
        <w:rPr>
          <w:rFonts w:hint="eastAsia"/>
        </w:rPr>
        <w:t>2016</w:t>
      </w:r>
      <w:r w:rsidR="0002720D">
        <w:rPr>
          <w:rFonts w:hint="eastAsia"/>
        </w:rPr>
        <w:t>年受到</w:t>
      </w:r>
      <w:r w:rsidR="0002720D" w:rsidRPr="00801E7B">
        <w:rPr>
          <w:rFonts w:hint="eastAsia"/>
        </w:rPr>
        <w:t>新兴经济体增速放慢</w:t>
      </w:r>
      <w:r w:rsidR="0002720D">
        <w:rPr>
          <w:rFonts w:hint="eastAsia"/>
        </w:rPr>
        <w:t>影响，全球</w:t>
      </w:r>
      <w:r w:rsidR="007D5F4D">
        <w:rPr>
          <w:rFonts w:hint="eastAsia"/>
        </w:rPr>
        <w:t>经济将呈</w:t>
      </w:r>
      <w:r w:rsidR="009E22EC" w:rsidRPr="009E22EC">
        <w:rPr>
          <w:rFonts w:hint="eastAsia"/>
        </w:rPr>
        <w:t>复苏乏力态势</w:t>
      </w:r>
      <w:r w:rsidR="00BC23C9">
        <w:rPr>
          <w:rFonts w:hint="eastAsia"/>
        </w:rPr>
        <w:t>，</w:t>
      </w:r>
      <w:r w:rsidR="00596D69">
        <w:rPr>
          <w:rFonts w:hint="eastAsia"/>
        </w:rPr>
        <w:t>一方面</w:t>
      </w:r>
      <w:r w:rsidR="009E22EC" w:rsidRPr="009E22EC">
        <w:rPr>
          <w:rFonts w:hint="eastAsia"/>
        </w:rPr>
        <w:t>发达经济体</w:t>
      </w:r>
      <w:r w:rsidR="00DA2115">
        <w:rPr>
          <w:rFonts w:hint="eastAsia"/>
        </w:rPr>
        <w:t>面临</w:t>
      </w:r>
      <w:r w:rsidR="009E22EC" w:rsidRPr="009E22EC">
        <w:rPr>
          <w:rFonts w:hint="eastAsia"/>
        </w:rPr>
        <w:t>总需求不足和长期</w:t>
      </w:r>
      <w:r w:rsidR="00DA2115">
        <w:rPr>
          <w:rFonts w:hint="eastAsia"/>
        </w:rPr>
        <w:t>增长率</w:t>
      </w:r>
      <w:r w:rsidR="009E22EC" w:rsidRPr="009E22EC">
        <w:rPr>
          <w:rFonts w:hint="eastAsia"/>
        </w:rPr>
        <w:t>不高</w:t>
      </w:r>
      <w:r w:rsidR="00DA2115">
        <w:rPr>
          <w:rFonts w:hint="eastAsia"/>
        </w:rPr>
        <w:t>等问题，</w:t>
      </w:r>
      <w:r w:rsidR="00596D69">
        <w:rPr>
          <w:rFonts w:hint="eastAsia"/>
        </w:rPr>
        <w:t>另一方面</w:t>
      </w:r>
      <w:r w:rsidR="009E22EC" w:rsidRPr="009E22EC">
        <w:rPr>
          <w:rFonts w:hint="eastAsia"/>
        </w:rPr>
        <w:t>新兴经济体</w:t>
      </w:r>
      <w:r w:rsidR="006C0482">
        <w:rPr>
          <w:rFonts w:hint="eastAsia"/>
        </w:rPr>
        <w:t>的</w:t>
      </w:r>
      <w:r w:rsidR="00DA2115">
        <w:rPr>
          <w:rFonts w:hint="eastAsia"/>
        </w:rPr>
        <w:t>集体增速</w:t>
      </w:r>
      <w:r w:rsidR="006C0482">
        <w:rPr>
          <w:rFonts w:hint="eastAsia"/>
        </w:rPr>
        <w:t>下滑</w:t>
      </w:r>
      <w:r w:rsidR="00DA2115">
        <w:rPr>
          <w:rFonts w:hint="eastAsia"/>
        </w:rPr>
        <w:t>尚未看到</w:t>
      </w:r>
      <w:r w:rsidR="006C0482">
        <w:rPr>
          <w:rFonts w:hint="eastAsia"/>
        </w:rPr>
        <w:t>扭转趋势</w:t>
      </w:r>
      <w:r w:rsidR="00112635">
        <w:rPr>
          <w:rFonts w:hint="eastAsia"/>
        </w:rPr>
        <w:t>。</w:t>
      </w:r>
    </w:p>
    <w:p w:rsidR="009E22EC" w:rsidRDefault="00596D69" w:rsidP="00DA2115">
      <w:pPr>
        <w:pStyle w:val="a0"/>
        <w:widowControl/>
        <w:numPr>
          <w:ilvl w:val="4"/>
          <w:numId w:val="3"/>
        </w:numPr>
      </w:pPr>
      <w:r>
        <w:rPr>
          <w:rFonts w:hint="eastAsia"/>
        </w:rPr>
        <w:t>短期来看</w:t>
      </w:r>
      <w:r w:rsidR="006C0482">
        <w:rPr>
          <w:rFonts w:hint="eastAsia"/>
        </w:rPr>
        <w:t>，</w:t>
      </w:r>
      <w:r w:rsidR="00FF78D8">
        <w:rPr>
          <w:rFonts w:hint="eastAsia"/>
        </w:rPr>
        <w:t>全球大宗商品走势、美国经济数据</w:t>
      </w:r>
      <w:r w:rsidR="0067624F">
        <w:rPr>
          <w:rFonts w:hint="eastAsia"/>
        </w:rPr>
        <w:t>以及</w:t>
      </w:r>
      <w:r w:rsidR="00FF78D8">
        <w:rPr>
          <w:rFonts w:hint="eastAsia"/>
        </w:rPr>
        <w:t>联储</w:t>
      </w:r>
      <w:r w:rsidR="00FF78D8">
        <w:rPr>
          <w:rFonts w:hint="eastAsia"/>
        </w:rPr>
        <w:t>FOMC</w:t>
      </w:r>
      <w:r w:rsidR="00F84D3F">
        <w:rPr>
          <w:rFonts w:hint="eastAsia"/>
        </w:rPr>
        <w:t>会议利率</w:t>
      </w:r>
      <w:r w:rsidR="00FF78D8">
        <w:rPr>
          <w:rFonts w:hint="eastAsia"/>
        </w:rPr>
        <w:t>声明等都会对市场形成扰动，权益类资产一时恐难</w:t>
      </w:r>
      <w:r w:rsidR="00F84D3F">
        <w:rPr>
          <w:rFonts w:hint="eastAsia"/>
        </w:rPr>
        <w:t>有趋势性机会，而市场的不确定性和避险需求则会</w:t>
      </w:r>
      <w:r w:rsidR="00FF78D8">
        <w:rPr>
          <w:rFonts w:hint="eastAsia"/>
        </w:rPr>
        <w:t>继续为金价提供支撑</w:t>
      </w:r>
      <w:r w:rsidR="00F84D3F">
        <w:rPr>
          <w:rFonts w:hint="eastAsia"/>
        </w:rPr>
        <w:t>，使其具备进一步上行空间</w:t>
      </w:r>
      <w:r w:rsidR="00FF78D8">
        <w:rPr>
          <w:rFonts w:hint="eastAsia"/>
        </w:rPr>
        <w:t>。我们认为，</w:t>
      </w:r>
      <w:r w:rsidR="00FF78D8">
        <w:rPr>
          <w:rFonts w:hint="eastAsia"/>
        </w:rPr>
        <w:t>3</w:t>
      </w:r>
      <w:r w:rsidR="00F84D3F">
        <w:rPr>
          <w:rFonts w:hint="eastAsia"/>
        </w:rPr>
        <w:t>月</w:t>
      </w:r>
      <w:r w:rsidR="00F84D3F">
        <w:rPr>
          <w:rFonts w:hint="eastAsia"/>
        </w:rPr>
        <w:t>QDII</w:t>
      </w:r>
      <w:r w:rsidR="00F84D3F">
        <w:rPr>
          <w:rFonts w:hint="eastAsia"/>
        </w:rPr>
        <w:t>基金投资应延续以避险资产为主导的</w:t>
      </w:r>
      <w:r w:rsidR="00FF78D8">
        <w:rPr>
          <w:rFonts w:hint="eastAsia"/>
        </w:rPr>
        <w:t>配置逻辑，</w:t>
      </w:r>
      <w:r w:rsidR="00F84D3F">
        <w:rPr>
          <w:rFonts w:hint="eastAsia"/>
        </w:rPr>
        <w:t>而鉴于黄金目前兼具防御和进攻的双重功能，建议</w:t>
      </w:r>
      <w:r w:rsidR="00FF78D8">
        <w:rPr>
          <w:rFonts w:hint="eastAsia"/>
        </w:rPr>
        <w:t>在</w:t>
      </w:r>
      <w:r w:rsidR="00FF78D8">
        <w:rPr>
          <w:rFonts w:hint="eastAsia"/>
        </w:rPr>
        <w:t>2</w:t>
      </w:r>
      <w:r w:rsidR="00FF78D8">
        <w:rPr>
          <w:rFonts w:hint="eastAsia"/>
        </w:rPr>
        <w:t>月“高收益债</w:t>
      </w:r>
      <w:r w:rsidR="00FF78D8">
        <w:rPr>
          <w:rFonts w:hint="eastAsia"/>
        </w:rPr>
        <w:t>+</w:t>
      </w:r>
      <w:r w:rsidR="00FF78D8">
        <w:rPr>
          <w:rFonts w:hint="eastAsia"/>
        </w:rPr>
        <w:t>黄金”的基础上，进一步增加黄金资产</w:t>
      </w:r>
      <w:r w:rsidR="00F84D3F">
        <w:rPr>
          <w:rFonts w:hint="eastAsia"/>
        </w:rPr>
        <w:t>在整体投资组合中的比重，以对冲市场风险并分享金价上涨红利，</w:t>
      </w:r>
      <w:r w:rsidR="00817D95">
        <w:rPr>
          <w:rFonts w:hint="eastAsia"/>
        </w:rPr>
        <w:t>从而</w:t>
      </w:r>
      <w:r w:rsidR="00F84D3F">
        <w:rPr>
          <w:rFonts w:hint="eastAsia"/>
        </w:rPr>
        <w:t>在各大市场皆熊</w:t>
      </w:r>
      <w:r w:rsidR="00FF78D8">
        <w:rPr>
          <w:rFonts w:hint="eastAsia"/>
        </w:rPr>
        <w:t>的背景下实现资产的保值增值</w:t>
      </w:r>
      <w:r w:rsidR="0067624F">
        <w:rPr>
          <w:rFonts w:hint="eastAsia"/>
        </w:rPr>
        <w:t>。</w:t>
      </w:r>
      <w:r w:rsidR="00FF78D8">
        <w:rPr>
          <w:rFonts w:hint="eastAsia"/>
        </w:rPr>
        <w:t>同时</w:t>
      </w:r>
      <w:r w:rsidR="0067624F">
        <w:rPr>
          <w:rFonts w:hint="eastAsia"/>
        </w:rPr>
        <w:t>，建议</w:t>
      </w:r>
      <w:r w:rsidR="00FF78D8">
        <w:rPr>
          <w:rFonts w:hint="eastAsia"/>
        </w:rPr>
        <w:t>保持对美联储加息动向和美股市场的关注，伺机</w:t>
      </w:r>
      <w:r w:rsidR="00D14AEF">
        <w:rPr>
          <w:rFonts w:hint="eastAsia"/>
        </w:rPr>
        <w:t>提早</w:t>
      </w:r>
      <w:r w:rsidR="00FF78D8">
        <w:rPr>
          <w:rFonts w:hint="eastAsia"/>
        </w:rPr>
        <w:t>布局</w:t>
      </w:r>
      <w:r w:rsidR="00F963FD">
        <w:rPr>
          <w:rFonts w:hint="eastAsia"/>
        </w:rPr>
        <w:t>。</w:t>
      </w:r>
    </w:p>
    <w:p w:rsidR="00166A07" w:rsidRDefault="00166A07" w:rsidP="00166A07">
      <w:pPr>
        <w:pStyle w:val="21"/>
        <w:rPr>
          <w:color w:val="auto"/>
        </w:rPr>
      </w:pPr>
      <w:r>
        <w:rPr>
          <w:rFonts w:hint="eastAsia"/>
          <w:color w:val="auto"/>
        </w:rPr>
        <w:t>黄金</w:t>
      </w:r>
      <w:r w:rsidRPr="00CE28A4">
        <w:rPr>
          <w:rFonts w:hint="eastAsia"/>
          <w:color w:val="auto"/>
        </w:rPr>
        <w:t>QDII</w:t>
      </w:r>
      <w:r w:rsidR="00817D95">
        <w:rPr>
          <w:rFonts w:hint="eastAsia"/>
          <w:color w:val="auto"/>
        </w:rPr>
        <w:t>：由波段机会</w:t>
      </w:r>
      <w:r w:rsidR="00D746A9">
        <w:rPr>
          <w:rFonts w:hint="eastAsia"/>
          <w:color w:val="auto"/>
        </w:rPr>
        <w:t>过度到中期支撑</w:t>
      </w:r>
    </w:p>
    <w:p w:rsidR="00166A07" w:rsidRPr="00F32ADF" w:rsidRDefault="000319AB" w:rsidP="00EA79AC">
      <w:pPr>
        <w:pStyle w:val="a0"/>
        <w:widowControl/>
        <w:numPr>
          <w:ilvl w:val="4"/>
          <w:numId w:val="3"/>
        </w:numPr>
        <w:rPr>
          <w:color w:val="auto"/>
        </w:rPr>
      </w:pPr>
      <w:r>
        <w:rPr>
          <w:rFonts w:hint="eastAsia"/>
        </w:rPr>
        <w:t>配置黄金品种的逻辑在于，</w:t>
      </w:r>
      <w:r w:rsidR="00817D95">
        <w:rPr>
          <w:rFonts w:hint="eastAsia"/>
        </w:rPr>
        <w:t>黄金作为避险保值资产，与股市</w:t>
      </w:r>
      <w:r w:rsidR="00166A07">
        <w:rPr>
          <w:rFonts w:hint="eastAsia"/>
        </w:rPr>
        <w:t>油价等风险资产</w:t>
      </w:r>
      <w:r w:rsidR="00D746A9">
        <w:rPr>
          <w:rFonts w:hint="eastAsia"/>
        </w:rPr>
        <w:t>多</w:t>
      </w:r>
      <w:r w:rsidR="00817D95">
        <w:rPr>
          <w:rFonts w:hint="eastAsia"/>
        </w:rPr>
        <w:t>为负相关</w:t>
      </w:r>
      <w:r>
        <w:rPr>
          <w:rFonts w:hint="eastAsia"/>
        </w:rPr>
        <w:t>。</w:t>
      </w:r>
      <w:r w:rsidR="00817D95">
        <w:rPr>
          <w:rFonts w:hint="eastAsia"/>
        </w:rPr>
        <w:t>2</w:t>
      </w:r>
      <w:r w:rsidR="00817D95">
        <w:rPr>
          <w:rFonts w:hint="eastAsia"/>
        </w:rPr>
        <w:t>月以来尽管原油</w:t>
      </w:r>
      <w:r>
        <w:rPr>
          <w:rFonts w:hint="eastAsia"/>
        </w:rPr>
        <w:t>大宗商品有所</w:t>
      </w:r>
      <w:r w:rsidR="00817D95">
        <w:rPr>
          <w:rFonts w:hint="eastAsia"/>
        </w:rPr>
        <w:t>回暖，但基本面未给予合理支撑，</w:t>
      </w:r>
      <w:r>
        <w:rPr>
          <w:rFonts w:hint="eastAsia"/>
        </w:rPr>
        <w:t>恐反弹乏力。另一方面，</w:t>
      </w:r>
      <w:r w:rsidR="00817D95">
        <w:rPr>
          <w:rFonts w:hint="eastAsia"/>
          <w:kern w:val="0"/>
        </w:rPr>
        <w:t>美国</w:t>
      </w:r>
      <w:r>
        <w:rPr>
          <w:rFonts w:hint="eastAsia"/>
          <w:kern w:val="0"/>
        </w:rPr>
        <w:t>宏观数据参差不齐且</w:t>
      </w:r>
      <w:r w:rsidR="00817D95">
        <w:rPr>
          <w:rFonts w:hint="eastAsia"/>
        </w:rPr>
        <w:t>外围环境</w:t>
      </w:r>
      <w:r w:rsidR="00EA79AC">
        <w:rPr>
          <w:rFonts w:hint="eastAsia"/>
        </w:rPr>
        <w:t>依旧不佳</w:t>
      </w:r>
      <w:r w:rsidR="00817D95">
        <w:rPr>
          <w:rFonts w:hint="eastAsia"/>
        </w:rPr>
        <w:t>，美联储对</w:t>
      </w:r>
      <w:r w:rsidR="00EA79AC" w:rsidRPr="00EA79AC">
        <w:rPr>
          <w:rFonts w:hint="eastAsia"/>
        </w:rPr>
        <w:t>升息路径</w:t>
      </w:r>
      <w:r w:rsidR="00817D95">
        <w:rPr>
          <w:rFonts w:hint="eastAsia"/>
        </w:rPr>
        <w:t>愈发</w:t>
      </w:r>
      <w:r>
        <w:rPr>
          <w:rFonts w:hint="eastAsia"/>
        </w:rPr>
        <w:t>谨慎。</w:t>
      </w:r>
      <w:r w:rsidR="0049428E">
        <w:rPr>
          <w:rFonts w:hint="eastAsia"/>
        </w:rPr>
        <w:t>在此背景下，</w:t>
      </w:r>
      <w:r w:rsidR="0049428E">
        <w:rPr>
          <w:rFonts w:hint="eastAsia"/>
          <w:kern w:val="0"/>
        </w:rPr>
        <w:t>2</w:t>
      </w:r>
      <w:r w:rsidR="0049428E">
        <w:rPr>
          <w:rFonts w:hint="eastAsia"/>
          <w:kern w:val="0"/>
        </w:rPr>
        <w:t>月底金价冲高至</w:t>
      </w:r>
      <w:r w:rsidR="0049428E">
        <w:rPr>
          <w:rFonts w:hint="eastAsia"/>
          <w:kern w:val="0"/>
        </w:rPr>
        <w:t>1241.8</w:t>
      </w:r>
      <w:r w:rsidR="0049428E">
        <w:rPr>
          <w:rFonts w:hint="eastAsia"/>
          <w:kern w:val="0"/>
        </w:rPr>
        <w:t>美元，今年以来</w:t>
      </w:r>
      <w:r w:rsidR="0049428E">
        <w:rPr>
          <w:rFonts w:hint="eastAsia"/>
          <w:kern w:val="0"/>
        </w:rPr>
        <w:t>COMEX</w:t>
      </w:r>
      <w:r w:rsidR="0049428E">
        <w:rPr>
          <w:rFonts w:hint="eastAsia"/>
          <w:kern w:val="0"/>
        </w:rPr>
        <w:t>黄金涨幅高达</w:t>
      </w:r>
      <w:r w:rsidR="0049428E">
        <w:rPr>
          <w:rFonts w:hint="eastAsia"/>
          <w:kern w:val="0"/>
        </w:rPr>
        <w:t>16.86%</w:t>
      </w:r>
      <w:r w:rsidR="0049428E">
        <w:rPr>
          <w:rFonts w:hint="eastAsia"/>
          <w:kern w:val="0"/>
        </w:rPr>
        <w:t>。</w:t>
      </w:r>
      <w:r>
        <w:rPr>
          <w:rFonts w:hint="eastAsia"/>
        </w:rPr>
        <w:t>未来</w:t>
      </w:r>
      <w:r w:rsidR="0049428E">
        <w:rPr>
          <w:rFonts w:hint="eastAsia"/>
        </w:rPr>
        <w:t>，</w:t>
      </w:r>
      <w:r>
        <w:rPr>
          <w:rFonts w:hint="eastAsia"/>
        </w:rPr>
        <w:t>黄金</w:t>
      </w:r>
      <w:r>
        <w:rPr>
          <w:rFonts w:hint="eastAsia"/>
          <w:color w:val="auto"/>
        </w:rPr>
        <w:t>价格中枢仍有望上行。</w:t>
      </w:r>
      <w:r w:rsidR="00EA79AC">
        <w:rPr>
          <w:rFonts w:hint="eastAsia"/>
          <w:kern w:val="0"/>
        </w:rPr>
        <w:t>对于国内投资者而言，</w:t>
      </w:r>
      <w:r w:rsidR="00166A07" w:rsidRPr="00A96FC8">
        <w:rPr>
          <w:rFonts w:hint="eastAsia"/>
        </w:rPr>
        <w:t>黄金</w:t>
      </w:r>
      <w:r>
        <w:rPr>
          <w:rFonts w:hint="eastAsia"/>
        </w:rPr>
        <w:t>兼具避险</w:t>
      </w:r>
      <w:r w:rsidRPr="00A96FC8">
        <w:rPr>
          <w:rFonts w:hint="eastAsia"/>
        </w:rPr>
        <w:t>保值</w:t>
      </w:r>
      <w:r>
        <w:rPr>
          <w:rFonts w:hint="eastAsia"/>
        </w:rPr>
        <w:t>和增值的作用，既可对冲货币贬值风险，又在全球皆熊之时具备向上空间，</w:t>
      </w:r>
      <w:r>
        <w:rPr>
          <w:rFonts w:hint="eastAsia"/>
          <w:color w:val="auto"/>
        </w:rPr>
        <w:t>可谓攻守兼备</w:t>
      </w:r>
      <w:r w:rsidR="00166A07" w:rsidRPr="00A96FC8">
        <w:rPr>
          <w:rFonts w:hint="eastAsia"/>
        </w:rPr>
        <w:t>。</w:t>
      </w:r>
    </w:p>
    <w:p w:rsidR="000319AB" w:rsidRDefault="003B0CBD" w:rsidP="00166A07">
      <w:pPr>
        <w:pStyle w:val="a0"/>
        <w:widowControl/>
        <w:numPr>
          <w:ilvl w:val="4"/>
          <w:numId w:val="3"/>
        </w:numPr>
      </w:pPr>
      <w:r>
        <w:rPr>
          <w:rFonts w:hint="eastAsia"/>
        </w:rPr>
        <w:t>从接下来有望</w:t>
      </w:r>
      <w:r w:rsidRPr="00A96FC8">
        <w:rPr>
          <w:rFonts w:hint="eastAsia"/>
        </w:rPr>
        <w:t>提振</w:t>
      </w:r>
      <w:r>
        <w:rPr>
          <w:rFonts w:hint="eastAsia"/>
        </w:rPr>
        <w:t>金价的因</w:t>
      </w:r>
      <w:r w:rsidR="000319AB">
        <w:rPr>
          <w:rFonts w:hint="eastAsia"/>
        </w:rPr>
        <w:t>素来看，投资黄金已不仅仅作为短期波段机会，而是具备一定的中期支撑</w:t>
      </w:r>
      <w:r>
        <w:rPr>
          <w:rFonts w:hint="eastAsia"/>
        </w:rPr>
        <w:t>理由。</w:t>
      </w:r>
      <w:r w:rsidR="000319AB">
        <w:rPr>
          <w:rFonts w:hint="eastAsia"/>
        </w:rPr>
        <w:t>首先，</w:t>
      </w:r>
      <w:r w:rsidR="000319AB" w:rsidRPr="00A96FC8">
        <w:rPr>
          <w:rFonts w:hint="eastAsia"/>
        </w:rPr>
        <w:t>中国</w:t>
      </w:r>
      <w:r w:rsidR="000319AB">
        <w:rPr>
          <w:rFonts w:hint="eastAsia"/>
        </w:rPr>
        <w:t>等新兴市场的</w:t>
      </w:r>
      <w:r w:rsidR="000319AB" w:rsidRPr="00A96FC8">
        <w:rPr>
          <w:rFonts w:hint="eastAsia"/>
        </w:rPr>
        <w:t>经济</w:t>
      </w:r>
      <w:r w:rsidR="000319AB">
        <w:rPr>
          <w:rFonts w:hint="eastAsia"/>
        </w:rPr>
        <w:t>增速下行及引发的股市震荡未现</w:t>
      </w:r>
      <w:r w:rsidR="00A51236">
        <w:rPr>
          <w:rFonts w:hint="eastAsia"/>
        </w:rPr>
        <w:t>根本性</w:t>
      </w:r>
      <w:r w:rsidR="000319AB">
        <w:rPr>
          <w:rFonts w:hint="eastAsia"/>
        </w:rPr>
        <w:t>扭转迹象，意味着</w:t>
      </w:r>
      <w:r w:rsidR="000319AB" w:rsidRPr="00A96FC8">
        <w:rPr>
          <w:rFonts w:hint="eastAsia"/>
        </w:rPr>
        <w:t>黄金</w:t>
      </w:r>
      <w:r w:rsidR="000319AB">
        <w:rPr>
          <w:rFonts w:hint="eastAsia"/>
        </w:rPr>
        <w:t>的避险需求有望持续，且人民币等非美元货币贬值</w:t>
      </w:r>
      <w:r w:rsidR="00A51236">
        <w:rPr>
          <w:rFonts w:hint="eastAsia"/>
        </w:rPr>
        <w:t>造成的实际购买力下降抬高了黄金价值</w:t>
      </w:r>
      <w:r w:rsidR="000319AB">
        <w:rPr>
          <w:rFonts w:hint="eastAsia"/>
        </w:rPr>
        <w:t>。从美联储加息角度，若未来加息较预期放缓，则金价具备继续上涨动能；若加息进程提速，则引发的新兴市场资本加剧外流及汇率动荡也将凸显黄金的对冲作用。值得注意的是美国通胀</w:t>
      </w:r>
      <w:r w:rsidR="00A51236">
        <w:rPr>
          <w:rFonts w:hint="eastAsia"/>
        </w:rPr>
        <w:t>已</w:t>
      </w:r>
      <w:r w:rsidR="000319AB">
        <w:rPr>
          <w:rFonts w:hint="eastAsia"/>
        </w:rPr>
        <w:t>隐有加速上涨风险（</w:t>
      </w:r>
      <w:r w:rsidR="000319AB">
        <w:rPr>
          <w:rFonts w:hint="eastAsia"/>
        </w:rPr>
        <w:t>1</w:t>
      </w:r>
      <w:r w:rsidR="000319AB">
        <w:rPr>
          <w:rFonts w:hint="eastAsia"/>
        </w:rPr>
        <w:t>月核心</w:t>
      </w:r>
      <w:r w:rsidR="000319AB">
        <w:rPr>
          <w:rFonts w:hint="eastAsia"/>
        </w:rPr>
        <w:t>PCE</w:t>
      </w:r>
      <w:r w:rsidR="000319AB">
        <w:rPr>
          <w:rFonts w:hint="eastAsia"/>
        </w:rPr>
        <w:t>同比</w:t>
      </w:r>
      <w:r w:rsidR="000319AB">
        <w:rPr>
          <w:rFonts w:hint="eastAsia"/>
        </w:rPr>
        <w:t>1.7%</w:t>
      </w:r>
      <w:r w:rsidR="000319AB">
        <w:rPr>
          <w:rFonts w:hint="eastAsia"/>
        </w:rPr>
        <w:t>大超预期），这</w:t>
      </w:r>
      <w:r w:rsidR="00A51236">
        <w:rPr>
          <w:rFonts w:hint="eastAsia"/>
        </w:rPr>
        <w:t>也</w:t>
      </w:r>
      <w:r w:rsidR="000319AB">
        <w:rPr>
          <w:rFonts w:hint="eastAsia"/>
        </w:rPr>
        <w:t>将促成国际金价持续反弹。大宗商品方面，尽管价格近期回升但缺乏基本面支撑，反弹恐难持续。欧元区和日本的负利率政策也导致投资和持有黄金的机会成本大幅减少。此外，今年以来朝鲜半岛等地缘事件风险有所抬头，令黄金的防御需求升温。</w:t>
      </w:r>
    </w:p>
    <w:p w:rsidR="00391150" w:rsidRPr="00795EC0" w:rsidRDefault="00817D95" w:rsidP="00795EC0">
      <w:pPr>
        <w:pStyle w:val="a0"/>
        <w:widowControl/>
        <w:numPr>
          <w:ilvl w:val="5"/>
          <w:numId w:val="4"/>
        </w:numPr>
        <w:rPr>
          <w:color w:val="auto"/>
        </w:rPr>
      </w:pPr>
      <w:r>
        <w:rPr>
          <w:rFonts w:hint="eastAsia"/>
          <w:color w:val="auto"/>
        </w:rPr>
        <w:t>近期市场的持仓量反映出投资者对</w:t>
      </w:r>
      <w:r w:rsidR="00391150" w:rsidRPr="00795EC0">
        <w:rPr>
          <w:rFonts w:hint="eastAsia"/>
          <w:color w:val="auto"/>
        </w:rPr>
        <w:t>黄金的投资需求正在</w:t>
      </w:r>
      <w:r w:rsidR="00EA79AC" w:rsidRPr="00795EC0">
        <w:rPr>
          <w:rFonts w:hint="eastAsia"/>
          <w:color w:val="auto"/>
        </w:rPr>
        <w:t>持续</w:t>
      </w:r>
      <w:r w:rsidR="00391150" w:rsidRPr="00795EC0">
        <w:rPr>
          <w:rFonts w:hint="eastAsia"/>
          <w:color w:val="auto"/>
        </w:rPr>
        <w:t>升温。统计显示，</w:t>
      </w:r>
      <w:r w:rsidR="00391150" w:rsidRPr="00795EC0">
        <w:rPr>
          <w:rFonts w:hint="eastAsia"/>
          <w:color w:val="auto"/>
        </w:rPr>
        <w:t xml:space="preserve"> 2</w:t>
      </w:r>
      <w:r w:rsidR="00391150" w:rsidRPr="00795EC0">
        <w:rPr>
          <w:rFonts w:hint="eastAsia"/>
          <w:color w:val="auto"/>
        </w:rPr>
        <w:t>月</w:t>
      </w:r>
      <w:r w:rsidR="00391150" w:rsidRPr="00795EC0">
        <w:rPr>
          <w:rFonts w:hint="eastAsia"/>
          <w:color w:val="auto"/>
        </w:rPr>
        <w:t>29</w:t>
      </w:r>
      <w:r w:rsidR="00391150" w:rsidRPr="00795EC0">
        <w:rPr>
          <w:rFonts w:hint="eastAsia"/>
          <w:color w:val="auto"/>
        </w:rPr>
        <w:t>日至</w:t>
      </w:r>
      <w:r w:rsidR="00391150" w:rsidRPr="00795EC0">
        <w:rPr>
          <w:rFonts w:hint="eastAsia"/>
          <w:color w:val="auto"/>
        </w:rPr>
        <w:t>3</w:t>
      </w:r>
      <w:r w:rsidR="00391150" w:rsidRPr="00795EC0">
        <w:rPr>
          <w:rFonts w:hint="eastAsia"/>
          <w:color w:val="auto"/>
        </w:rPr>
        <w:t>月</w:t>
      </w:r>
      <w:r w:rsidR="00391150" w:rsidRPr="00795EC0">
        <w:rPr>
          <w:rFonts w:hint="eastAsia"/>
          <w:color w:val="auto"/>
        </w:rPr>
        <w:t>2</w:t>
      </w:r>
      <w:r w:rsidR="00391150" w:rsidRPr="00795EC0">
        <w:rPr>
          <w:rFonts w:hint="eastAsia"/>
          <w:color w:val="auto"/>
        </w:rPr>
        <w:t>日，全球最大的黄金</w:t>
      </w:r>
      <w:r w:rsidR="00391150" w:rsidRPr="00795EC0">
        <w:rPr>
          <w:rFonts w:hint="eastAsia"/>
          <w:color w:val="auto"/>
        </w:rPr>
        <w:t>ETF</w:t>
      </w:r>
      <w:r w:rsidR="00EA79AC" w:rsidRPr="00795EC0">
        <w:rPr>
          <w:rFonts w:hint="eastAsia"/>
          <w:color w:val="auto"/>
        </w:rPr>
        <w:t>，</w:t>
      </w:r>
      <w:r w:rsidR="00391150" w:rsidRPr="00795EC0">
        <w:rPr>
          <w:rFonts w:hint="eastAsia"/>
          <w:color w:val="auto"/>
        </w:rPr>
        <w:t>SPDR Gold Trust</w:t>
      </w:r>
      <w:r w:rsidR="00391150" w:rsidRPr="00795EC0">
        <w:rPr>
          <w:rFonts w:hint="eastAsia"/>
          <w:color w:val="auto"/>
        </w:rPr>
        <w:t>的持仓量持续攀升，连续</w:t>
      </w:r>
      <w:r w:rsidR="00391150" w:rsidRPr="00795EC0">
        <w:rPr>
          <w:rFonts w:hint="eastAsia"/>
          <w:color w:val="auto"/>
        </w:rPr>
        <w:t>3</w:t>
      </w:r>
      <w:r w:rsidR="00391150" w:rsidRPr="00795EC0">
        <w:rPr>
          <w:rFonts w:hint="eastAsia"/>
          <w:color w:val="auto"/>
        </w:rPr>
        <w:t>天呈净流入状态，分别增加了</w:t>
      </w:r>
      <w:r w:rsidR="00391150" w:rsidRPr="00795EC0">
        <w:rPr>
          <w:rFonts w:hint="eastAsia"/>
          <w:color w:val="auto"/>
        </w:rPr>
        <w:t>14.87</w:t>
      </w:r>
      <w:r w:rsidR="00391150" w:rsidRPr="00795EC0">
        <w:rPr>
          <w:rFonts w:hint="eastAsia"/>
          <w:color w:val="auto"/>
        </w:rPr>
        <w:t>吨、</w:t>
      </w:r>
      <w:r w:rsidR="00391150" w:rsidRPr="00795EC0">
        <w:rPr>
          <w:rFonts w:hint="eastAsia"/>
          <w:color w:val="auto"/>
        </w:rPr>
        <w:t>8.93</w:t>
      </w:r>
      <w:r w:rsidR="00391150" w:rsidRPr="00795EC0">
        <w:rPr>
          <w:rFonts w:hint="eastAsia"/>
          <w:color w:val="auto"/>
        </w:rPr>
        <w:t>吨和</w:t>
      </w:r>
      <w:r w:rsidR="00391150" w:rsidRPr="00795EC0">
        <w:rPr>
          <w:rFonts w:hint="eastAsia"/>
          <w:color w:val="auto"/>
        </w:rPr>
        <w:t>2.37</w:t>
      </w:r>
      <w:r w:rsidR="00391150" w:rsidRPr="00795EC0">
        <w:rPr>
          <w:rFonts w:hint="eastAsia"/>
          <w:color w:val="auto"/>
        </w:rPr>
        <w:t>吨，持仓量达</w:t>
      </w:r>
      <w:r w:rsidR="00391150" w:rsidRPr="00795EC0">
        <w:rPr>
          <w:rFonts w:hint="eastAsia"/>
          <w:color w:val="auto"/>
        </w:rPr>
        <w:t>788.57</w:t>
      </w:r>
      <w:r w:rsidR="00391150" w:rsidRPr="00795EC0">
        <w:rPr>
          <w:rFonts w:hint="eastAsia"/>
          <w:color w:val="auto"/>
        </w:rPr>
        <w:t>吨。</w:t>
      </w:r>
    </w:p>
    <w:p w:rsidR="00166A07" w:rsidRPr="00A96FC8" w:rsidRDefault="00166A07" w:rsidP="00166A07">
      <w:pPr>
        <w:pStyle w:val="a0"/>
        <w:widowControl/>
        <w:numPr>
          <w:ilvl w:val="4"/>
          <w:numId w:val="3"/>
        </w:numPr>
      </w:pPr>
      <w:r>
        <w:rPr>
          <w:rFonts w:hint="eastAsia"/>
          <w:color w:val="auto"/>
        </w:rPr>
        <w:t>不过值得警惕的是，</w:t>
      </w:r>
      <w:r w:rsidR="008727E0">
        <w:rPr>
          <w:rFonts w:hint="eastAsia"/>
          <w:color w:val="auto"/>
        </w:rPr>
        <w:t>金价与美元走势大概率负相关，</w:t>
      </w:r>
      <w:r w:rsidR="00795EC0">
        <w:rPr>
          <w:rFonts w:hint="eastAsia"/>
          <w:color w:val="auto"/>
        </w:rPr>
        <w:t>而</w:t>
      </w:r>
      <w:r w:rsidR="00795EC0" w:rsidRPr="00795EC0">
        <w:rPr>
          <w:color w:val="auto"/>
        </w:rPr>
        <w:t>未来几年内</w:t>
      </w:r>
      <w:r w:rsidR="00795EC0">
        <w:rPr>
          <w:rFonts w:hint="eastAsia"/>
          <w:color w:val="auto"/>
        </w:rPr>
        <w:t>依旧是</w:t>
      </w:r>
      <w:r w:rsidR="00795EC0" w:rsidRPr="00795EC0">
        <w:rPr>
          <w:color w:val="auto"/>
        </w:rPr>
        <w:t>强势美元周期</w:t>
      </w:r>
      <w:r w:rsidR="00817D95">
        <w:rPr>
          <w:rFonts w:hint="eastAsia"/>
          <w:color w:val="auto"/>
        </w:rPr>
        <w:t>，</w:t>
      </w:r>
      <w:r w:rsidRPr="004A101A">
        <w:rPr>
          <w:rFonts w:hint="eastAsia"/>
          <w:color w:val="auto"/>
        </w:rPr>
        <w:t>黄金资产</w:t>
      </w:r>
      <w:r w:rsidR="00795EC0">
        <w:rPr>
          <w:rFonts w:hint="eastAsia"/>
          <w:color w:val="auto"/>
        </w:rPr>
        <w:t>的长线</w:t>
      </w:r>
      <w:r>
        <w:rPr>
          <w:rFonts w:hint="eastAsia"/>
          <w:color w:val="auto"/>
        </w:rPr>
        <w:t>投资价值难与美元资产比肩</w:t>
      </w:r>
      <w:r>
        <w:rPr>
          <w:rFonts w:hint="eastAsia"/>
          <w:kern w:val="0"/>
        </w:rPr>
        <w:t>。</w:t>
      </w:r>
      <w:r w:rsidR="00795EC0">
        <w:rPr>
          <w:rFonts w:hint="eastAsia"/>
          <w:kern w:val="0"/>
        </w:rPr>
        <w:t>因此</w:t>
      </w:r>
      <w:r w:rsidR="008C3DC9">
        <w:rPr>
          <w:rFonts w:hint="eastAsia"/>
          <w:kern w:val="0"/>
        </w:rPr>
        <w:t>国金证券建议</w:t>
      </w:r>
      <w:r>
        <w:rPr>
          <w:rFonts w:hint="eastAsia"/>
        </w:rPr>
        <w:t>投资者</w:t>
      </w:r>
      <w:r w:rsidR="00795EC0">
        <w:rPr>
          <w:rFonts w:hint="eastAsia"/>
        </w:rPr>
        <w:t>在布局黄金的同时，保持</w:t>
      </w:r>
      <w:r>
        <w:rPr>
          <w:rFonts w:hint="eastAsia"/>
        </w:rPr>
        <w:t>关注</w:t>
      </w:r>
      <w:r w:rsidR="00795EC0">
        <w:rPr>
          <w:rFonts w:hint="eastAsia"/>
        </w:rPr>
        <w:t>美联储加息动向及其对美股和金价影响，</w:t>
      </w:r>
      <w:r>
        <w:rPr>
          <w:rFonts w:hint="eastAsia"/>
        </w:rPr>
        <w:t>从而及时对</w:t>
      </w:r>
      <w:r>
        <w:rPr>
          <w:rFonts w:hint="eastAsia"/>
        </w:rPr>
        <w:t>QDII</w:t>
      </w:r>
      <w:r>
        <w:rPr>
          <w:rFonts w:hint="eastAsia"/>
        </w:rPr>
        <w:t>投资组合进行调整。</w:t>
      </w:r>
    </w:p>
    <w:p w:rsidR="005F64DE" w:rsidRPr="00F84D3F" w:rsidRDefault="00795EC0" w:rsidP="00F84D3F">
      <w:pPr>
        <w:pStyle w:val="a0"/>
        <w:widowControl/>
        <w:numPr>
          <w:ilvl w:val="4"/>
          <w:numId w:val="3"/>
        </w:numPr>
        <w:rPr>
          <w:color w:val="auto"/>
        </w:rPr>
      </w:pPr>
      <w:r>
        <w:rPr>
          <w:rFonts w:hint="eastAsia"/>
          <w:color w:val="auto"/>
        </w:rPr>
        <w:t>目前国内</w:t>
      </w:r>
      <w:r w:rsidR="00166A07" w:rsidRPr="004A101A">
        <w:rPr>
          <w:rFonts w:hint="eastAsia"/>
          <w:color w:val="auto"/>
        </w:rPr>
        <w:t>以黄金</w:t>
      </w:r>
      <w:r w:rsidR="00166A07">
        <w:rPr>
          <w:rFonts w:hint="eastAsia"/>
          <w:color w:val="auto"/>
        </w:rPr>
        <w:t>为</w:t>
      </w:r>
      <w:r>
        <w:rPr>
          <w:rFonts w:hint="eastAsia"/>
          <w:color w:val="auto"/>
        </w:rPr>
        <w:t>投资</w:t>
      </w:r>
      <w:r w:rsidR="00166A07">
        <w:rPr>
          <w:rFonts w:hint="eastAsia"/>
          <w:color w:val="auto"/>
        </w:rPr>
        <w:t>标的的</w:t>
      </w:r>
      <w:r>
        <w:rPr>
          <w:rFonts w:hint="eastAsia"/>
          <w:color w:val="auto"/>
        </w:rPr>
        <w:t>QDII</w:t>
      </w:r>
      <w:r>
        <w:rPr>
          <w:rFonts w:hint="eastAsia"/>
          <w:color w:val="auto"/>
        </w:rPr>
        <w:t>基金共</w:t>
      </w:r>
      <w:r w:rsidR="00166A07" w:rsidRPr="004A101A">
        <w:rPr>
          <w:rFonts w:hint="eastAsia"/>
          <w:color w:val="auto"/>
        </w:rPr>
        <w:t>有</w:t>
      </w:r>
      <w:r w:rsidR="00166A07" w:rsidRPr="004A101A">
        <w:rPr>
          <w:rFonts w:hint="eastAsia"/>
          <w:color w:val="auto"/>
        </w:rPr>
        <w:t>4</w:t>
      </w:r>
      <w:r w:rsidR="00166A07">
        <w:rPr>
          <w:rFonts w:hint="eastAsia"/>
          <w:color w:val="auto"/>
        </w:rPr>
        <w:t>只</w:t>
      </w:r>
      <w:r w:rsidR="00166A07" w:rsidRPr="004A101A">
        <w:rPr>
          <w:rFonts w:hint="eastAsia"/>
          <w:color w:val="auto"/>
        </w:rPr>
        <w:t>：</w:t>
      </w:r>
      <w:r w:rsidRPr="004A101A">
        <w:rPr>
          <w:rFonts w:hint="eastAsia"/>
          <w:color w:val="auto"/>
        </w:rPr>
        <w:t>诺安</w:t>
      </w:r>
      <w:r>
        <w:rPr>
          <w:rFonts w:hint="eastAsia"/>
          <w:color w:val="auto"/>
        </w:rPr>
        <w:t>全球黄金、</w:t>
      </w:r>
      <w:r w:rsidRPr="004A101A">
        <w:rPr>
          <w:rFonts w:hint="eastAsia"/>
          <w:color w:val="auto"/>
        </w:rPr>
        <w:t>嘉实黄金</w:t>
      </w:r>
      <w:r>
        <w:rPr>
          <w:rFonts w:hint="eastAsia"/>
          <w:color w:val="auto"/>
        </w:rPr>
        <w:t>、</w:t>
      </w:r>
      <w:r w:rsidRPr="004A101A">
        <w:rPr>
          <w:rFonts w:hint="eastAsia"/>
          <w:color w:val="auto"/>
        </w:rPr>
        <w:t>汇添富黄金及</w:t>
      </w:r>
      <w:r>
        <w:rPr>
          <w:rFonts w:hint="eastAsia"/>
          <w:color w:val="auto"/>
        </w:rPr>
        <w:t>贵金属、易方达黄金主题</w:t>
      </w:r>
      <w:r w:rsidR="00166A07" w:rsidRPr="004A101A">
        <w:rPr>
          <w:rFonts w:hint="eastAsia"/>
          <w:color w:val="auto"/>
        </w:rPr>
        <w:t>，均成立于</w:t>
      </w:r>
      <w:r w:rsidR="00166A07" w:rsidRPr="004A101A">
        <w:rPr>
          <w:rFonts w:hint="eastAsia"/>
          <w:color w:val="auto"/>
        </w:rPr>
        <w:t>2011</w:t>
      </w:r>
      <w:r w:rsidR="00166A07" w:rsidRPr="004A101A">
        <w:rPr>
          <w:rFonts w:hint="eastAsia"/>
          <w:color w:val="auto"/>
        </w:rPr>
        <w:t>年。</w:t>
      </w:r>
      <w:r w:rsidR="00166A07">
        <w:rPr>
          <w:rFonts w:hint="eastAsia"/>
          <w:color w:val="auto"/>
        </w:rPr>
        <w:t>目前</w:t>
      </w:r>
      <w:r w:rsidR="00166A07" w:rsidRPr="004A101A">
        <w:rPr>
          <w:rFonts w:hint="eastAsia"/>
          <w:color w:val="auto"/>
        </w:rPr>
        <w:t>投资黄金</w:t>
      </w:r>
      <w:r w:rsidR="00166A07" w:rsidRPr="004A101A">
        <w:rPr>
          <w:rFonts w:hint="eastAsia"/>
          <w:color w:val="auto"/>
        </w:rPr>
        <w:t>QDII</w:t>
      </w:r>
      <w:r w:rsidR="00166A07">
        <w:rPr>
          <w:rFonts w:hint="eastAsia"/>
          <w:color w:val="auto"/>
        </w:rPr>
        <w:t>不仅能分享黄金价格上行的收益，还可获得美元兑人民币升值的红利</w:t>
      </w:r>
      <w:r w:rsidR="00166A07" w:rsidRPr="004A101A">
        <w:rPr>
          <w:rFonts w:hint="eastAsia"/>
          <w:color w:val="auto"/>
        </w:rPr>
        <w:t>。今年以来，在</w:t>
      </w:r>
      <w:r>
        <w:rPr>
          <w:rFonts w:hint="eastAsia"/>
          <w:color w:val="auto"/>
        </w:rPr>
        <w:t>各国</w:t>
      </w:r>
      <w:r w:rsidR="00166A07" w:rsidRPr="004A101A">
        <w:rPr>
          <w:rFonts w:hint="eastAsia"/>
          <w:color w:val="auto"/>
        </w:rPr>
        <w:t>股票市场</w:t>
      </w:r>
      <w:r w:rsidR="00166A07">
        <w:rPr>
          <w:rFonts w:hint="eastAsia"/>
          <w:color w:val="auto"/>
        </w:rPr>
        <w:t>普跌</w:t>
      </w:r>
      <w:r w:rsidR="00166A07" w:rsidRPr="004A101A">
        <w:rPr>
          <w:rFonts w:hint="eastAsia"/>
          <w:color w:val="auto"/>
        </w:rPr>
        <w:t>的背景下，</w:t>
      </w:r>
      <w:r w:rsidR="00166A07" w:rsidRPr="004A101A">
        <w:rPr>
          <w:rFonts w:hint="eastAsia"/>
          <w:color w:val="auto"/>
        </w:rPr>
        <w:t>4</w:t>
      </w:r>
      <w:r w:rsidR="00166A07" w:rsidRPr="004A101A">
        <w:rPr>
          <w:rFonts w:hint="eastAsia"/>
          <w:color w:val="auto"/>
        </w:rPr>
        <w:t>只黄金</w:t>
      </w:r>
      <w:r w:rsidR="00166A07" w:rsidRPr="004A101A">
        <w:rPr>
          <w:rFonts w:hint="eastAsia"/>
          <w:color w:val="auto"/>
        </w:rPr>
        <w:t>QDII</w:t>
      </w:r>
      <w:r w:rsidR="00166A07" w:rsidRPr="004A101A">
        <w:rPr>
          <w:rFonts w:hint="eastAsia"/>
          <w:color w:val="auto"/>
        </w:rPr>
        <w:t>分别上行了</w:t>
      </w:r>
      <w:r>
        <w:rPr>
          <w:rFonts w:hint="eastAsia"/>
          <w:color w:val="auto"/>
        </w:rPr>
        <w:t>16.47</w:t>
      </w:r>
      <w:r w:rsidR="00166A07" w:rsidRPr="004A101A">
        <w:rPr>
          <w:rFonts w:hint="eastAsia"/>
          <w:color w:val="auto"/>
        </w:rPr>
        <w:t>%</w:t>
      </w:r>
      <w:r w:rsidR="00166A07" w:rsidRPr="004A101A">
        <w:rPr>
          <w:rFonts w:hint="eastAsia"/>
          <w:color w:val="auto"/>
        </w:rPr>
        <w:t>、</w:t>
      </w:r>
      <w:r>
        <w:rPr>
          <w:rFonts w:hint="eastAsia"/>
          <w:color w:val="auto"/>
        </w:rPr>
        <w:t>16.33</w:t>
      </w:r>
      <w:r w:rsidR="00166A07" w:rsidRPr="004A101A">
        <w:rPr>
          <w:rFonts w:hint="eastAsia"/>
          <w:color w:val="auto"/>
        </w:rPr>
        <w:t>%</w:t>
      </w:r>
      <w:r w:rsidR="00166A07" w:rsidRPr="004A101A">
        <w:rPr>
          <w:rFonts w:hint="eastAsia"/>
          <w:color w:val="auto"/>
        </w:rPr>
        <w:t>、</w:t>
      </w:r>
      <w:r>
        <w:rPr>
          <w:rFonts w:hint="eastAsia"/>
          <w:color w:val="auto"/>
        </w:rPr>
        <w:t>16.25</w:t>
      </w:r>
      <w:r w:rsidR="00166A07" w:rsidRPr="004A101A">
        <w:rPr>
          <w:rFonts w:hint="eastAsia"/>
          <w:color w:val="auto"/>
        </w:rPr>
        <w:t>%</w:t>
      </w:r>
      <w:r w:rsidR="00166A07" w:rsidRPr="004A101A">
        <w:rPr>
          <w:rFonts w:hint="eastAsia"/>
          <w:color w:val="auto"/>
        </w:rPr>
        <w:t>、</w:t>
      </w:r>
      <w:r>
        <w:rPr>
          <w:rFonts w:hint="eastAsia"/>
          <w:color w:val="auto"/>
        </w:rPr>
        <w:t>16.09</w:t>
      </w:r>
      <w:r w:rsidR="00166A07" w:rsidRPr="004A101A">
        <w:rPr>
          <w:rFonts w:hint="eastAsia"/>
          <w:color w:val="auto"/>
        </w:rPr>
        <w:t>%</w:t>
      </w:r>
      <w:r w:rsidR="00A51236">
        <w:rPr>
          <w:rFonts w:hint="eastAsia"/>
          <w:color w:val="auto"/>
        </w:rPr>
        <w:t>，成为</w:t>
      </w:r>
      <w:r w:rsidR="00A51236">
        <w:rPr>
          <w:rFonts w:hint="eastAsia"/>
          <w:color w:val="auto"/>
        </w:rPr>
        <w:t>2016</w:t>
      </w:r>
      <w:r w:rsidR="00A51236">
        <w:rPr>
          <w:rFonts w:hint="eastAsia"/>
          <w:color w:val="auto"/>
        </w:rPr>
        <w:t>年至今</w:t>
      </w:r>
      <w:r w:rsidR="00166A07">
        <w:rPr>
          <w:rFonts w:hint="eastAsia"/>
          <w:color w:val="auto"/>
        </w:rPr>
        <w:t>赚钱效应</w:t>
      </w:r>
      <w:r w:rsidR="00166A07" w:rsidRPr="004A101A">
        <w:rPr>
          <w:rFonts w:hint="eastAsia"/>
          <w:color w:val="auto"/>
        </w:rPr>
        <w:t>最为出色的</w:t>
      </w:r>
      <w:r w:rsidR="00166A07" w:rsidRPr="004A101A">
        <w:rPr>
          <w:rFonts w:hint="eastAsia"/>
          <w:color w:val="auto"/>
        </w:rPr>
        <w:t>QDII</w:t>
      </w:r>
      <w:r w:rsidR="00166A07">
        <w:rPr>
          <w:rFonts w:hint="eastAsia"/>
          <w:color w:val="auto"/>
        </w:rPr>
        <w:t>品种</w:t>
      </w:r>
      <w:r w:rsidR="00166A07" w:rsidRPr="004A101A">
        <w:rPr>
          <w:rFonts w:hint="eastAsia"/>
          <w:color w:val="auto"/>
        </w:rPr>
        <w:t>。</w:t>
      </w:r>
      <w:r w:rsidR="00A51236">
        <w:rPr>
          <w:rFonts w:hint="eastAsia"/>
          <w:color w:val="auto"/>
        </w:rPr>
        <w:t>不过</w:t>
      </w:r>
      <w:r>
        <w:rPr>
          <w:rFonts w:hint="eastAsia"/>
          <w:color w:val="auto"/>
        </w:rPr>
        <w:t>，</w:t>
      </w:r>
      <w:r w:rsidR="00166A07" w:rsidRPr="00795EC0">
        <w:rPr>
          <w:rFonts w:hint="eastAsia"/>
          <w:color w:val="auto"/>
        </w:rPr>
        <w:t>嘉实黄金</w:t>
      </w:r>
      <w:r w:rsidR="00A51236">
        <w:rPr>
          <w:rFonts w:hint="eastAsia"/>
          <w:color w:val="auto"/>
        </w:rPr>
        <w:t>已</w:t>
      </w:r>
      <w:r w:rsidR="00166A07" w:rsidRPr="00795EC0">
        <w:rPr>
          <w:rFonts w:hint="eastAsia"/>
          <w:color w:val="auto"/>
        </w:rPr>
        <w:t>于</w:t>
      </w:r>
      <w:r w:rsidR="00166A07" w:rsidRPr="00795EC0">
        <w:rPr>
          <w:rFonts w:hint="eastAsia"/>
          <w:color w:val="auto"/>
        </w:rPr>
        <w:t>1</w:t>
      </w:r>
      <w:r w:rsidR="00166A07" w:rsidRPr="00795EC0">
        <w:rPr>
          <w:rFonts w:hint="eastAsia"/>
          <w:color w:val="auto"/>
        </w:rPr>
        <w:t>月</w:t>
      </w:r>
      <w:r w:rsidR="00166A07" w:rsidRPr="00795EC0">
        <w:rPr>
          <w:rFonts w:hint="eastAsia"/>
          <w:color w:val="auto"/>
        </w:rPr>
        <w:t>20</w:t>
      </w:r>
      <w:r w:rsidR="00166A07" w:rsidRPr="00795EC0">
        <w:rPr>
          <w:rFonts w:hint="eastAsia"/>
          <w:color w:val="auto"/>
        </w:rPr>
        <w:t>日公告暂停大额申购及定投业务。</w:t>
      </w:r>
    </w:p>
    <w:p w:rsidR="00337A50" w:rsidRDefault="00337A50" w:rsidP="00337A50">
      <w:pPr>
        <w:pStyle w:val="21"/>
      </w:pPr>
      <w:r>
        <w:rPr>
          <w:rFonts w:hint="eastAsia"/>
          <w:color w:val="auto"/>
        </w:rPr>
        <w:lastRenderedPageBreak/>
        <w:t>高收益债</w:t>
      </w:r>
      <w:r w:rsidR="00F963FD">
        <w:rPr>
          <w:rFonts w:hint="eastAsia"/>
          <w:color w:val="auto"/>
        </w:rPr>
        <w:t>QDII</w:t>
      </w:r>
      <w:r w:rsidRPr="00337A50">
        <w:rPr>
          <w:rFonts w:hint="eastAsia"/>
          <w:color w:val="auto"/>
        </w:rPr>
        <w:t>：</w:t>
      </w:r>
      <w:r w:rsidR="005F64DE">
        <w:rPr>
          <w:rFonts w:hint="eastAsia"/>
          <w:color w:val="auto"/>
        </w:rPr>
        <w:t>加强组合防御能力</w:t>
      </w:r>
    </w:p>
    <w:p w:rsidR="00003BB6" w:rsidRDefault="00F963FD" w:rsidP="00414C2E">
      <w:pPr>
        <w:pStyle w:val="a0"/>
        <w:widowControl/>
        <w:numPr>
          <w:ilvl w:val="4"/>
          <w:numId w:val="3"/>
        </w:numPr>
      </w:pPr>
      <w:r>
        <w:rPr>
          <w:rFonts w:hint="eastAsia"/>
        </w:rPr>
        <w:t>“后加息时代”</w:t>
      </w:r>
      <w:r w:rsidR="00596D69">
        <w:rPr>
          <w:rFonts w:hint="eastAsia"/>
        </w:rPr>
        <w:t>美元升值预期强烈，而</w:t>
      </w:r>
      <w:r>
        <w:rPr>
          <w:rFonts w:hint="eastAsia"/>
        </w:rPr>
        <w:t>海外各大市场短期均面临更多波动与不确定性。此时，</w:t>
      </w:r>
      <w:r w:rsidR="00394285">
        <w:rPr>
          <w:rFonts w:hint="eastAsia"/>
        </w:rPr>
        <w:t>既具备避险属性又能</w:t>
      </w:r>
      <w:r w:rsidR="00E31E8B">
        <w:rPr>
          <w:rFonts w:hint="eastAsia"/>
        </w:rPr>
        <w:t>坐享</w:t>
      </w:r>
      <w:r w:rsidR="00394285">
        <w:rPr>
          <w:rFonts w:hint="eastAsia"/>
        </w:rPr>
        <w:t>美元兑人民币升值红利的</w:t>
      </w:r>
      <w:r w:rsidRPr="00076687">
        <w:rPr>
          <w:rFonts w:hint="eastAsia"/>
        </w:rPr>
        <w:t>债券型</w:t>
      </w:r>
      <w:r w:rsidRPr="00076687">
        <w:rPr>
          <w:rFonts w:hint="eastAsia"/>
        </w:rPr>
        <w:t>QDII</w:t>
      </w:r>
      <w:r w:rsidR="00394285">
        <w:rPr>
          <w:rFonts w:hint="eastAsia"/>
        </w:rPr>
        <w:t>迎来了配置</w:t>
      </w:r>
      <w:r w:rsidR="00E31E8B">
        <w:rPr>
          <w:rFonts w:hint="eastAsia"/>
        </w:rPr>
        <w:t>佳期</w:t>
      </w:r>
      <w:r w:rsidR="00394285">
        <w:rPr>
          <w:rFonts w:hint="eastAsia"/>
        </w:rPr>
        <w:t>。目前运行中的</w:t>
      </w:r>
      <w:r w:rsidR="009A4ECE">
        <w:rPr>
          <w:rFonts w:hint="eastAsia"/>
        </w:rPr>
        <w:t>债券型</w:t>
      </w:r>
      <w:r>
        <w:rPr>
          <w:rFonts w:hint="eastAsia"/>
        </w:rPr>
        <w:t>QDII</w:t>
      </w:r>
      <w:r>
        <w:rPr>
          <w:rFonts w:hint="eastAsia"/>
        </w:rPr>
        <w:t>以</w:t>
      </w:r>
      <w:r w:rsidR="00635744">
        <w:rPr>
          <w:rFonts w:hint="eastAsia"/>
        </w:rPr>
        <w:t>投资美国、香港市场</w:t>
      </w:r>
      <w:r w:rsidR="000215C9">
        <w:rPr>
          <w:rFonts w:hint="eastAsia"/>
        </w:rPr>
        <w:t>为主</w:t>
      </w:r>
      <w:r>
        <w:rPr>
          <w:rFonts w:hint="eastAsia"/>
        </w:rPr>
        <w:t>，</w:t>
      </w:r>
      <w:r w:rsidR="00635744">
        <w:rPr>
          <w:rFonts w:hint="eastAsia"/>
        </w:rPr>
        <w:t>以美元计价，</w:t>
      </w:r>
      <w:r w:rsidR="00EB5FAA">
        <w:rPr>
          <w:rFonts w:hint="eastAsia"/>
        </w:rPr>
        <w:t>投资者可在承担较低风险的前提下</w:t>
      </w:r>
      <w:r w:rsidR="00EB5FAA" w:rsidRPr="00076687">
        <w:rPr>
          <w:rFonts w:hint="eastAsia"/>
        </w:rPr>
        <w:t>享受</w:t>
      </w:r>
      <w:r w:rsidR="003850A2">
        <w:rPr>
          <w:rFonts w:hint="eastAsia"/>
        </w:rPr>
        <w:t>中长期</w:t>
      </w:r>
      <w:r w:rsidR="00EB5FAA" w:rsidRPr="00076687">
        <w:rPr>
          <w:rFonts w:hint="eastAsia"/>
        </w:rPr>
        <w:t>美元升值的预期收益</w:t>
      </w:r>
      <w:r w:rsidR="000215C9">
        <w:rPr>
          <w:rFonts w:hint="eastAsia"/>
        </w:rPr>
        <w:t>，</w:t>
      </w:r>
      <w:r w:rsidR="00635744">
        <w:rPr>
          <w:rFonts w:hint="eastAsia"/>
        </w:rPr>
        <w:t>提高人民币投资回报率</w:t>
      </w:r>
      <w:r w:rsidR="003850A2">
        <w:rPr>
          <w:rFonts w:hint="eastAsia"/>
        </w:rPr>
        <w:t>。</w:t>
      </w:r>
      <w:r w:rsidR="00635744">
        <w:rPr>
          <w:rFonts w:hint="eastAsia"/>
        </w:rPr>
        <w:t>更值得关注的是</w:t>
      </w:r>
      <w:r w:rsidR="00394285">
        <w:rPr>
          <w:rFonts w:hint="eastAsia"/>
        </w:rPr>
        <w:t>，亚洲市场品种</w:t>
      </w:r>
      <w:r w:rsidR="003850A2">
        <w:rPr>
          <w:rFonts w:hint="eastAsia"/>
        </w:rPr>
        <w:t>尤其是偏重中国企业的高收益</w:t>
      </w:r>
      <w:r w:rsidR="00635744">
        <w:rPr>
          <w:rFonts w:hint="eastAsia"/>
        </w:rPr>
        <w:t>美元</w:t>
      </w:r>
      <w:r w:rsidR="00AE4AA6">
        <w:rPr>
          <w:rFonts w:hint="eastAsia"/>
        </w:rPr>
        <w:t>债基金</w:t>
      </w:r>
      <w:r w:rsidR="003850A2">
        <w:rPr>
          <w:rFonts w:hint="eastAsia"/>
        </w:rPr>
        <w:t>，票息收益较为可观，</w:t>
      </w:r>
      <w:r w:rsidR="00635744" w:rsidRPr="00D3231D">
        <w:rPr>
          <w:rFonts w:hint="eastAsia"/>
        </w:rPr>
        <w:t>普遍达到</w:t>
      </w:r>
      <w:r w:rsidR="00635744" w:rsidRPr="00D3231D">
        <w:rPr>
          <w:rFonts w:hint="eastAsia"/>
        </w:rPr>
        <w:t>8%</w:t>
      </w:r>
      <w:r w:rsidR="00635744" w:rsidRPr="00D3231D">
        <w:rPr>
          <w:rFonts w:hint="eastAsia"/>
        </w:rPr>
        <w:t>以上</w:t>
      </w:r>
      <w:r w:rsidR="00635744">
        <w:rPr>
          <w:rFonts w:hint="eastAsia"/>
        </w:rPr>
        <w:t>，且发行成本相比美国企业</w:t>
      </w:r>
      <w:r w:rsidR="00AE4AA6">
        <w:rPr>
          <w:rFonts w:hint="eastAsia"/>
        </w:rPr>
        <w:t>品种</w:t>
      </w:r>
      <w:r w:rsidR="00394285">
        <w:rPr>
          <w:rFonts w:hint="eastAsia"/>
        </w:rPr>
        <w:t>更低，对投资者更加有利。因此</w:t>
      </w:r>
      <w:r w:rsidR="00635744">
        <w:rPr>
          <w:rFonts w:hint="eastAsia"/>
        </w:rPr>
        <w:t>，国金证券</w:t>
      </w:r>
      <w:r w:rsidR="00635744">
        <w:rPr>
          <w:rFonts w:hint="eastAsia"/>
        </w:rPr>
        <w:t>2016</w:t>
      </w:r>
      <w:r w:rsidR="00635744">
        <w:rPr>
          <w:rFonts w:hint="eastAsia"/>
        </w:rPr>
        <w:t>年</w:t>
      </w:r>
      <w:r w:rsidR="005F64DE">
        <w:rPr>
          <w:rFonts w:hint="eastAsia"/>
        </w:rPr>
        <w:t>3</w:t>
      </w:r>
      <w:r w:rsidR="00635744">
        <w:rPr>
          <w:rFonts w:hint="eastAsia"/>
        </w:rPr>
        <w:t>月</w:t>
      </w:r>
      <w:r w:rsidR="009A4ECE">
        <w:rPr>
          <w:rFonts w:hint="eastAsia"/>
        </w:rPr>
        <w:t>份</w:t>
      </w:r>
      <w:r w:rsidR="00CE0E8B">
        <w:rPr>
          <w:rFonts w:hint="eastAsia"/>
        </w:rPr>
        <w:t>建议</w:t>
      </w:r>
      <w:r w:rsidR="00414C2E">
        <w:rPr>
          <w:rFonts w:hint="eastAsia"/>
        </w:rPr>
        <w:t>继续</w:t>
      </w:r>
      <w:r w:rsidR="005F64DE">
        <w:rPr>
          <w:rFonts w:hint="eastAsia"/>
        </w:rPr>
        <w:t>回避股票及大宗商品市场风险，在重点布局黄金的同时，搭配</w:t>
      </w:r>
      <w:r w:rsidR="00E92F51">
        <w:rPr>
          <w:rFonts w:hint="eastAsia"/>
        </w:rPr>
        <w:t>高收益债</w:t>
      </w:r>
      <w:r w:rsidR="00E92F51">
        <w:rPr>
          <w:rFonts w:hint="eastAsia"/>
        </w:rPr>
        <w:t>QDII</w:t>
      </w:r>
      <w:r w:rsidR="00E92F51">
        <w:rPr>
          <w:rFonts w:hint="eastAsia"/>
        </w:rPr>
        <w:t>品种</w:t>
      </w:r>
      <w:r w:rsidR="005F64DE">
        <w:rPr>
          <w:rFonts w:hint="eastAsia"/>
        </w:rPr>
        <w:t>以加强投资组合的防御能力。</w:t>
      </w:r>
      <w:r w:rsidR="00635744">
        <w:rPr>
          <w:rFonts w:hint="eastAsia"/>
        </w:rPr>
        <w:t>推荐</w:t>
      </w:r>
      <w:r w:rsidR="009A4ECE">
        <w:rPr>
          <w:rFonts w:hint="eastAsia"/>
        </w:rPr>
        <w:t>产品包括</w:t>
      </w:r>
      <w:r w:rsidR="00003BB6">
        <w:rPr>
          <w:rFonts w:hint="eastAsia"/>
        </w:rPr>
        <w:t>专注于亚太地区的</w:t>
      </w:r>
      <w:r w:rsidR="00003BB6" w:rsidRPr="00003BB6">
        <w:rPr>
          <w:rFonts w:hint="eastAsia"/>
        </w:rPr>
        <w:t>博时亚洲票息人民币</w:t>
      </w:r>
      <w:r w:rsidR="00003BB6">
        <w:rPr>
          <w:rFonts w:hint="eastAsia"/>
        </w:rPr>
        <w:t>(050030)</w:t>
      </w:r>
      <w:r w:rsidR="00003BB6">
        <w:rPr>
          <w:rFonts w:hint="eastAsia"/>
        </w:rPr>
        <w:t>，</w:t>
      </w:r>
      <w:r w:rsidR="00A73B52">
        <w:rPr>
          <w:rFonts w:hint="eastAsia"/>
        </w:rPr>
        <w:t>和</w:t>
      </w:r>
      <w:r w:rsidR="00003BB6">
        <w:rPr>
          <w:rFonts w:hint="eastAsia"/>
        </w:rPr>
        <w:t>放眼于全球市场的</w:t>
      </w:r>
      <w:r w:rsidR="00CE0E8B" w:rsidRPr="00CE0E8B">
        <w:rPr>
          <w:rFonts w:hint="eastAsia"/>
        </w:rPr>
        <w:t>鹏华全球高收益债人民币</w:t>
      </w:r>
      <w:r w:rsidR="00CE0E8B">
        <w:rPr>
          <w:rFonts w:hint="eastAsia"/>
        </w:rPr>
        <w:t>(000290)</w:t>
      </w:r>
      <w:r w:rsidR="00003BB6" w:rsidRPr="00003BB6">
        <w:rPr>
          <w:rFonts w:hint="eastAsia"/>
          <w:color w:val="auto"/>
        </w:rPr>
        <w:t>。</w:t>
      </w:r>
    </w:p>
    <w:p w:rsidR="00003BB6" w:rsidRDefault="00003BB6" w:rsidP="00863920">
      <w:pPr>
        <w:pStyle w:val="a0"/>
        <w:widowControl/>
        <w:numPr>
          <w:ilvl w:val="5"/>
          <w:numId w:val="4"/>
        </w:numPr>
        <w:rPr>
          <w:color w:val="auto"/>
        </w:rPr>
      </w:pPr>
      <w:r w:rsidRPr="00076687">
        <w:rPr>
          <w:rFonts w:hint="eastAsia"/>
        </w:rPr>
        <w:t>债券型</w:t>
      </w:r>
      <w:r w:rsidRPr="00076687">
        <w:rPr>
          <w:rFonts w:hint="eastAsia"/>
        </w:rPr>
        <w:t>QDII</w:t>
      </w:r>
      <w:r w:rsidRPr="00076687">
        <w:rPr>
          <w:rFonts w:hint="eastAsia"/>
        </w:rPr>
        <w:t>基金</w:t>
      </w:r>
      <w:r>
        <w:rPr>
          <w:rFonts w:hint="eastAsia"/>
        </w:rPr>
        <w:t>目前共有</w:t>
      </w:r>
      <w:r>
        <w:rPr>
          <w:rFonts w:hint="eastAsia"/>
        </w:rPr>
        <w:t>7</w:t>
      </w:r>
      <w:r>
        <w:rPr>
          <w:rFonts w:hint="eastAsia"/>
        </w:rPr>
        <w:t>只，相对于其他类型</w:t>
      </w:r>
      <w:r w:rsidRPr="00076687">
        <w:rPr>
          <w:rFonts w:hint="eastAsia"/>
        </w:rPr>
        <w:t>发展</w:t>
      </w:r>
      <w:r>
        <w:rPr>
          <w:rFonts w:hint="eastAsia"/>
        </w:rPr>
        <w:t>较为缓慢</w:t>
      </w:r>
      <w:r w:rsidRPr="00076687">
        <w:rPr>
          <w:rFonts w:hint="eastAsia"/>
        </w:rPr>
        <w:t>，</w:t>
      </w:r>
      <w:r w:rsidR="00003132">
        <w:rPr>
          <w:rFonts w:hint="eastAsia"/>
        </w:rPr>
        <w:t>此前在</w:t>
      </w:r>
      <w:r w:rsidR="00003132">
        <w:rPr>
          <w:rFonts w:hint="eastAsia"/>
        </w:rPr>
        <w:t>QDII</w:t>
      </w:r>
      <w:r w:rsidR="00E31E8B">
        <w:rPr>
          <w:rFonts w:hint="eastAsia"/>
        </w:rPr>
        <w:t>基金中“存在感”一直不高，基金规模尚</w:t>
      </w:r>
      <w:r w:rsidR="00003132">
        <w:rPr>
          <w:rFonts w:hint="eastAsia"/>
        </w:rPr>
        <w:t>未有太大扩张</w:t>
      </w:r>
      <w:r w:rsidRPr="00076687">
        <w:rPr>
          <w:rFonts w:hint="eastAsia"/>
        </w:rPr>
        <w:t>。</w:t>
      </w:r>
      <w:r w:rsidR="00863920">
        <w:rPr>
          <w:rFonts w:hint="eastAsia"/>
        </w:rPr>
        <w:t>具体来看，</w:t>
      </w:r>
      <w:r w:rsidR="000C370E">
        <w:rPr>
          <w:rFonts w:hint="eastAsia"/>
        </w:rPr>
        <w:t>7</w:t>
      </w:r>
      <w:r w:rsidR="000C370E">
        <w:rPr>
          <w:rFonts w:hint="eastAsia"/>
        </w:rPr>
        <w:t>只产品中</w:t>
      </w:r>
      <w:r w:rsidR="000C370E" w:rsidRPr="000C370E">
        <w:rPr>
          <w:rFonts w:hint="eastAsia"/>
        </w:rPr>
        <w:t>广发亚太中高收益人民币</w:t>
      </w:r>
      <w:r w:rsidR="000C370E">
        <w:rPr>
          <w:rFonts w:hint="eastAsia"/>
        </w:rPr>
        <w:t>、</w:t>
      </w:r>
      <w:r w:rsidR="000C370E" w:rsidRPr="000C370E">
        <w:rPr>
          <w:rFonts w:hint="eastAsia"/>
        </w:rPr>
        <w:t>博时亚洲票息人民币</w:t>
      </w:r>
      <w:r w:rsidR="000C370E">
        <w:rPr>
          <w:rFonts w:hint="eastAsia"/>
        </w:rPr>
        <w:t>这</w:t>
      </w:r>
      <w:r w:rsidR="000C370E">
        <w:rPr>
          <w:rFonts w:hint="eastAsia"/>
        </w:rPr>
        <w:t>2</w:t>
      </w:r>
      <w:r w:rsidR="000C370E">
        <w:rPr>
          <w:rFonts w:hint="eastAsia"/>
        </w:rPr>
        <w:t>只产品</w:t>
      </w:r>
      <w:r w:rsidR="00863920">
        <w:rPr>
          <w:rFonts w:hint="eastAsia"/>
        </w:rPr>
        <w:t>定位于亚洲市场债券资产，</w:t>
      </w:r>
      <w:r w:rsidR="00863920" w:rsidRPr="00863920">
        <w:rPr>
          <w:rFonts w:hint="eastAsia"/>
        </w:rPr>
        <w:t>鹏华全球高收益债人民币</w:t>
      </w:r>
      <w:r w:rsidR="00863920">
        <w:rPr>
          <w:rFonts w:hint="eastAsia"/>
        </w:rPr>
        <w:t>、</w:t>
      </w:r>
      <w:r w:rsidR="00863920" w:rsidRPr="00863920">
        <w:rPr>
          <w:rFonts w:hint="eastAsia"/>
        </w:rPr>
        <w:t>国泰境外高收益</w:t>
      </w:r>
      <w:r w:rsidR="00863920">
        <w:rPr>
          <w:rFonts w:hint="eastAsia"/>
        </w:rPr>
        <w:t>、</w:t>
      </w:r>
      <w:r w:rsidR="00863920" w:rsidRPr="00863920">
        <w:rPr>
          <w:rFonts w:hint="eastAsia"/>
        </w:rPr>
        <w:t>华夏海外收益</w:t>
      </w:r>
      <w:r w:rsidR="00863920" w:rsidRPr="00863920">
        <w:rPr>
          <w:rFonts w:hint="eastAsia"/>
        </w:rPr>
        <w:t>A</w:t>
      </w:r>
      <w:r w:rsidR="00863920" w:rsidRPr="00863920">
        <w:rPr>
          <w:rFonts w:hint="eastAsia"/>
        </w:rPr>
        <w:t>人民币</w:t>
      </w:r>
      <w:r w:rsidR="00863920">
        <w:rPr>
          <w:rFonts w:hint="eastAsia"/>
        </w:rPr>
        <w:t>、</w:t>
      </w:r>
      <w:r w:rsidR="00863920" w:rsidRPr="00863920">
        <w:rPr>
          <w:rFonts w:hint="eastAsia"/>
        </w:rPr>
        <w:t>华夏海外收益</w:t>
      </w:r>
      <w:r w:rsidR="00863920" w:rsidRPr="00863920">
        <w:rPr>
          <w:rFonts w:hint="eastAsia"/>
        </w:rPr>
        <w:t>C</w:t>
      </w:r>
      <w:r w:rsidR="00863920">
        <w:rPr>
          <w:rFonts w:hint="eastAsia"/>
        </w:rPr>
        <w:t>、</w:t>
      </w:r>
      <w:r w:rsidR="00863920" w:rsidRPr="00863920">
        <w:rPr>
          <w:rFonts w:hint="eastAsia"/>
        </w:rPr>
        <w:t>富国全球债券</w:t>
      </w:r>
      <w:r w:rsidR="00863920">
        <w:rPr>
          <w:rFonts w:hint="eastAsia"/>
        </w:rPr>
        <w:t>这</w:t>
      </w:r>
      <w:r w:rsidR="00863920">
        <w:rPr>
          <w:rFonts w:hint="eastAsia"/>
        </w:rPr>
        <w:t>5</w:t>
      </w:r>
      <w:r w:rsidR="00863920">
        <w:rPr>
          <w:rFonts w:hint="eastAsia"/>
        </w:rPr>
        <w:t>只投资于全球债券市场。</w:t>
      </w:r>
    </w:p>
    <w:p w:rsidR="00076687" w:rsidRDefault="003850A2" w:rsidP="00D51B07">
      <w:pPr>
        <w:pStyle w:val="a0"/>
        <w:widowControl/>
        <w:numPr>
          <w:ilvl w:val="5"/>
          <w:numId w:val="4"/>
        </w:numPr>
        <w:rPr>
          <w:color w:val="auto"/>
        </w:rPr>
      </w:pPr>
      <w:r w:rsidRPr="00003BB6">
        <w:rPr>
          <w:rFonts w:hint="eastAsia"/>
          <w:color w:val="auto"/>
        </w:rPr>
        <w:t>2015</w:t>
      </w:r>
      <w:r w:rsidRPr="00003BB6">
        <w:rPr>
          <w:rFonts w:hint="eastAsia"/>
          <w:color w:val="auto"/>
        </w:rPr>
        <w:t>年度</w:t>
      </w:r>
      <w:r w:rsidR="00635744" w:rsidRPr="00003BB6">
        <w:rPr>
          <w:rFonts w:hint="eastAsia"/>
          <w:color w:val="auto"/>
        </w:rPr>
        <w:t>债券型</w:t>
      </w:r>
      <w:r w:rsidR="00635744" w:rsidRPr="00003BB6">
        <w:rPr>
          <w:rFonts w:hint="eastAsia"/>
          <w:color w:val="auto"/>
        </w:rPr>
        <w:t>QDII</w:t>
      </w:r>
      <w:r w:rsidRPr="00003BB6">
        <w:rPr>
          <w:rFonts w:hint="eastAsia"/>
          <w:color w:val="auto"/>
        </w:rPr>
        <w:t>涨幅超过多数权益类</w:t>
      </w:r>
      <w:r w:rsidR="00635744" w:rsidRPr="00003BB6">
        <w:rPr>
          <w:rFonts w:hint="eastAsia"/>
          <w:color w:val="auto"/>
        </w:rPr>
        <w:t>QDII</w:t>
      </w:r>
      <w:r w:rsidRPr="00003BB6">
        <w:rPr>
          <w:rFonts w:hint="eastAsia"/>
          <w:color w:val="auto"/>
        </w:rPr>
        <w:t>，</w:t>
      </w:r>
      <w:r w:rsidR="00A81C46">
        <w:rPr>
          <w:rFonts w:hint="eastAsia"/>
          <w:color w:val="auto"/>
        </w:rPr>
        <w:t>在承担较低风险的同时</w:t>
      </w:r>
      <w:r w:rsidR="00E31E8B">
        <w:rPr>
          <w:rFonts w:hint="eastAsia"/>
          <w:color w:val="auto"/>
        </w:rPr>
        <w:t>赚钱效应不可小觑，</w:t>
      </w:r>
      <w:r w:rsidR="00A81C46">
        <w:rPr>
          <w:rFonts w:hint="eastAsia"/>
          <w:color w:val="auto"/>
        </w:rPr>
        <w:t>是</w:t>
      </w:r>
      <w:r w:rsidRPr="00003BB6">
        <w:rPr>
          <w:rFonts w:hint="eastAsia"/>
          <w:color w:val="auto"/>
        </w:rPr>
        <w:t>兼顾美元升值和高收益的理想投资标的。</w:t>
      </w:r>
      <w:r w:rsidR="00A81C46">
        <w:rPr>
          <w:rFonts w:hint="eastAsia"/>
          <w:color w:val="auto"/>
        </w:rPr>
        <w:t>2015</w:t>
      </w:r>
      <w:r w:rsidR="00A81C46">
        <w:rPr>
          <w:rFonts w:hint="eastAsia"/>
          <w:color w:val="auto"/>
        </w:rPr>
        <w:t>年</w:t>
      </w:r>
      <w:r w:rsidR="009A4ECE">
        <w:rPr>
          <w:rFonts w:hint="eastAsia"/>
          <w:color w:val="auto"/>
        </w:rPr>
        <w:t>该类型</w:t>
      </w:r>
      <w:r w:rsidR="00863920">
        <w:rPr>
          <w:rFonts w:hint="eastAsia"/>
          <w:color w:val="auto"/>
        </w:rPr>
        <w:t>收益率最高的</w:t>
      </w:r>
      <w:r w:rsidR="00863920" w:rsidRPr="003F59F7">
        <w:rPr>
          <w:rFonts w:hint="eastAsia"/>
          <w:color w:val="auto"/>
        </w:rPr>
        <w:t>广发亚太中高收益人民币</w:t>
      </w:r>
      <w:r w:rsidR="00863920">
        <w:rPr>
          <w:rFonts w:hint="eastAsia"/>
          <w:color w:val="auto"/>
        </w:rPr>
        <w:t>(16.30%)</w:t>
      </w:r>
      <w:r w:rsidR="00863920">
        <w:rPr>
          <w:rFonts w:hint="eastAsia"/>
          <w:color w:val="auto"/>
        </w:rPr>
        <w:t>在</w:t>
      </w:r>
      <w:r w:rsidR="00863920">
        <w:rPr>
          <w:rFonts w:hint="eastAsia"/>
          <w:color w:val="auto"/>
        </w:rPr>
        <w:t>93</w:t>
      </w:r>
      <w:r w:rsidR="00863920">
        <w:rPr>
          <w:rFonts w:hint="eastAsia"/>
          <w:color w:val="auto"/>
        </w:rPr>
        <w:t>只</w:t>
      </w:r>
      <w:r w:rsidR="00863920">
        <w:rPr>
          <w:rFonts w:hint="eastAsia"/>
          <w:color w:val="auto"/>
        </w:rPr>
        <w:t>QDII</w:t>
      </w:r>
      <w:r w:rsidR="00863920">
        <w:rPr>
          <w:rFonts w:hint="eastAsia"/>
          <w:color w:val="auto"/>
        </w:rPr>
        <w:t>基金中排名第</w:t>
      </w:r>
      <w:r w:rsidR="00863920">
        <w:rPr>
          <w:rFonts w:hint="eastAsia"/>
          <w:color w:val="auto"/>
        </w:rPr>
        <w:t>3</w:t>
      </w:r>
      <w:r w:rsidR="00863920">
        <w:rPr>
          <w:rFonts w:hint="eastAsia"/>
          <w:color w:val="auto"/>
        </w:rPr>
        <w:t>；</w:t>
      </w:r>
      <w:r w:rsidR="00863920" w:rsidRPr="003F59F7">
        <w:rPr>
          <w:rFonts w:hint="eastAsia"/>
          <w:color w:val="auto"/>
        </w:rPr>
        <w:t>鹏华全球高收益债人民币</w:t>
      </w:r>
      <w:r w:rsidR="00863920">
        <w:rPr>
          <w:rFonts w:hint="eastAsia"/>
          <w:color w:val="auto"/>
        </w:rPr>
        <w:t>、</w:t>
      </w:r>
      <w:r w:rsidR="00863920" w:rsidRPr="005A6B41">
        <w:rPr>
          <w:rFonts w:hint="eastAsia"/>
          <w:color w:val="auto"/>
        </w:rPr>
        <w:t>国泰境外高收益</w:t>
      </w:r>
      <w:r w:rsidR="00863920">
        <w:rPr>
          <w:rFonts w:hint="eastAsia"/>
          <w:color w:val="auto"/>
        </w:rPr>
        <w:t>、</w:t>
      </w:r>
      <w:r w:rsidR="00863920" w:rsidRPr="005A6B41">
        <w:rPr>
          <w:rFonts w:hint="eastAsia"/>
          <w:color w:val="auto"/>
        </w:rPr>
        <w:t>华夏海外收益</w:t>
      </w:r>
      <w:r w:rsidR="00863920" w:rsidRPr="005A6B41">
        <w:rPr>
          <w:rFonts w:hint="eastAsia"/>
          <w:color w:val="auto"/>
        </w:rPr>
        <w:t>A</w:t>
      </w:r>
      <w:r w:rsidR="00863920" w:rsidRPr="005A6B41">
        <w:rPr>
          <w:rFonts w:hint="eastAsia"/>
          <w:color w:val="auto"/>
        </w:rPr>
        <w:t>人民币</w:t>
      </w:r>
      <w:r w:rsidR="00863920">
        <w:rPr>
          <w:rFonts w:hint="eastAsia"/>
          <w:color w:val="auto"/>
        </w:rPr>
        <w:t>等，年收益率接近</w:t>
      </w:r>
      <w:r w:rsidR="00863920">
        <w:rPr>
          <w:rFonts w:hint="eastAsia"/>
          <w:color w:val="auto"/>
        </w:rPr>
        <w:t>15%</w:t>
      </w:r>
      <w:r w:rsidR="00863920">
        <w:rPr>
          <w:rFonts w:hint="eastAsia"/>
          <w:color w:val="auto"/>
        </w:rPr>
        <w:t>。</w:t>
      </w:r>
    </w:p>
    <w:p w:rsidR="000E6AE0" w:rsidRPr="00E54B00" w:rsidRDefault="008F5B5D" w:rsidP="000E6AE0">
      <w:pPr>
        <w:pStyle w:val="21"/>
        <w:rPr>
          <w:color w:val="auto"/>
          <w:sz w:val="20"/>
        </w:rPr>
      </w:pPr>
      <w:r>
        <w:rPr>
          <w:rFonts w:hint="eastAsia"/>
          <w:color w:val="auto"/>
        </w:rPr>
        <w:t>美国：</w:t>
      </w:r>
      <w:r w:rsidR="00F417D8">
        <w:rPr>
          <w:rFonts w:hint="eastAsia"/>
          <w:color w:val="auto"/>
        </w:rPr>
        <w:t>宏观数据向好</w:t>
      </w:r>
      <w:r w:rsidR="00B42156">
        <w:rPr>
          <w:rFonts w:hint="eastAsia"/>
          <w:color w:val="auto"/>
        </w:rPr>
        <w:t>，</w:t>
      </w:r>
      <w:r w:rsidR="00A73B52">
        <w:rPr>
          <w:rFonts w:hint="eastAsia"/>
          <w:color w:val="auto"/>
        </w:rPr>
        <w:t>关注加息动态</w:t>
      </w:r>
    </w:p>
    <w:p w:rsidR="00056139" w:rsidRPr="00F417D8" w:rsidRDefault="00A73B52" w:rsidP="00F417D8">
      <w:pPr>
        <w:pStyle w:val="a0"/>
        <w:widowControl/>
        <w:numPr>
          <w:ilvl w:val="4"/>
          <w:numId w:val="3"/>
        </w:numPr>
        <w:rPr>
          <w:color w:val="auto"/>
        </w:rPr>
      </w:pPr>
      <w:r>
        <w:rPr>
          <w:rFonts w:hint="eastAsia"/>
          <w:color w:val="auto"/>
        </w:rPr>
        <w:t>长期来看，</w:t>
      </w:r>
      <w:r w:rsidR="000E09DC" w:rsidRPr="000E09DC">
        <w:rPr>
          <w:rFonts w:hint="eastAsia"/>
          <w:color w:val="auto"/>
        </w:rPr>
        <w:t>全球市场</w:t>
      </w:r>
      <w:r w:rsidR="00A51236">
        <w:rPr>
          <w:rFonts w:hint="eastAsia"/>
          <w:color w:val="auto"/>
        </w:rPr>
        <w:t>最</w:t>
      </w:r>
      <w:r w:rsidR="00E92F51">
        <w:rPr>
          <w:rFonts w:hint="eastAsia"/>
          <w:color w:val="auto"/>
        </w:rPr>
        <w:t>值得关注的依然是经济相对强劲的美股</w:t>
      </w:r>
      <w:r w:rsidR="00112635">
        <w:rPr>
          <w:rFonts w:hint="eastAsia"/>
          <w:color w:val="auto"/>
        </w:rPr>
        <w:t>。</w:t>
      </w:r>
      <w:r w:rsidR="00F417D8">
        <w:rPr>
          <w:rFonts w:hint="eastAsia"/>
          <w:color w:val="auto"/>
        </w:rPr>
        <w:t>数据显示，</w:t>
      </w:r>
      <w:r w:rsidR="00F417D8" w:rsidRPr="00F417D8">
        <w:rPr>
          <w:rFonts w:hint="eastAsia"/>
          <w:color w:val="auto"/>
        </w:rPr>
        <w:t>美国去年四季度</w:t>
      </w:r>
      <w:r w:rsidR="00F417D8" w:rsidRPr="00F417D8">
        <w:rPr>
          <w:rFonts w:hint="eastAsia"/>
          <w:color w:val="auto"/>
        </w:rPr>
        <w:t>GDP</w:t>
      </w:r>
      <w:r w:rsidR="00F417D8">
        <w:rPr>
          <w:rFonts w:hint="eastAsia"/>
          <w:color w:val="auto"/>
        </w:rPr>
        <w:t>修正值大幅好于市场预期：</w:t>
      </w:r>
      <w:r w:rsidR="00A51236">
        <w:rPr>
          <w:rFonts w:hint="eastAsia"/>
          <w:color w:val="auto"/>
        </w:rPr>
        <w:t>受到美国商业库存的刺激而提振</w:t>
      </w:r>
      <w:r w:rsidR="00F417D8">
        <w:rPr>
          <w:rFonts w:hint="eastAsia"/>
          <w:color w:val="auto"/>
        </w:rPr>
        <w:t>，</w:t>
      </w:r>
      <w:r w:rsidR="00F417D8">
        <w:rPr>
          <w:rFonts w:hint="eastAsia"/>
          <w:color w:val="auto"/>
        </w:rPr>
        <w:t>GDP</w:t>
      </w:r>
      <w:r w:rsidR="00F417D8" w:rsidRPr="00F417D8">
        <w:rPr>
          <w:rFonts w:hint="eastAsia"/>
          <w:color w:val="auto"/>
        </w:rPr>
        <w:t>年化季环比修正值为增长</w:t>
      </w:r>
      <w:r w:rsidR="00F417D8" w:rsidRPr="00F417D8">
        <w:rPr>
          <w:rFonts w:hint="eastAsia"/>
          <w:color w:val="auto"/>
        </w:rPr>
        <w:t>1.0%</w:t>
      </w:r>
      <w:r w:rsidR="00F417D8" w:rsidRPr="00F417D8">
        <w:rPr>
          <w:rFonts w:hint="eastAsia"/>
          <w:color w:val="auto"/>
        </w:rPr>
        <w:t>，远超此前预期</w:t>
      </w:r>
      <w:r w:rsidR="00A51236">
        <w:rPr>
          <w:rFonts w:hint="eastAsia"/>
          <w:color w:val="auto"/>
        </w:rPr>
        <w:t>(</w:t>
      </w:r>
      <w:r w:rsidR="00F417D8" w:rsidRPr="00F417D8">
        <w:rPr>
          <w:rFonts w:hint="eastAsia"/>
          <w:color w:val="auto"/>
        </w:rPr>
        <w:t>0.4%</w:t>
      </w:r>
      <w:r w:rsidR="00A51236">
        <w:rPr>
          <w:rFonts w:hint="eastAsia"/>
          <w:color w:val="auto"/>
        </w:rPr>
        <w:t>)</w:t>
      </w:r>
      <w:r w:rsidR="00A51236">
        <w:rPr>
          <w:rFonts w:hint="eastAsia"/>
          <w:color w:val="auto"/>
        </w:rPr>
        <w:t>，也好于初值</w:t>
      </w:r>
      <w:r w:rsidR="00A51236">
        <w:rPr>
          <w:rFonts w:hint="eastAsia"/>
          <w:color w:val="auto"/>
        </w:rPr>
        <w:t>(</w:t>
      </w:r>
      <w:r w:rsidR="00F417D8" w:rsidRPr="00F417D8">
        <w:rPr>
          <w:rFonts w:hint="eastAsia"/>
          <w:color w:val="auto"/>
        </w:rPr>
        <w:t>0.7%</w:t>
      </w:r>
      <w:r w:rsidR="00A51236">
        <w:rPr>
          <w:rFonts w:hint="eastAsia"/>
          <w:color w:val="auto"/>
        </w:rPr>
        <w:t>)</w:t>
      </w:r>
      <w:r w:rsidR="00F417D8" w:rsidRPr="00F417D8">
        <w:rPr>
          <w:rFonts w:hint="eastAsia"/>
          <w:color w:val="auto"/>
        </w:rPr>
        <w:t>。</w:t>
      </w:r>
      <w:r w:rsidR="00F417D8">
        <w:rPr>
          <w:rFonts w:hint="eastAsia"/>
          <w:color w:val="auto"/>
        </w:rPr>
        <w:t>今年美国步入加息周期，</w:t>
      </w:r>
      <w:r w:rsidR="00F417D8">
        <w:rPr>
          <w:rFonts w:hint="eastAsia"/>
          <w:szCs w:val="21"/>
        </w:rPr>
        <w:t>意味着美联储</w:t>
      </w:r>
      <w:r w:rsidR="00056139" w:rsidRPr="00F417D8">
        <w:rPr>
          <w:rFonts w:hint="eastAsia"/>
          <w:szCs w:val="21"/>
        </w:rPr>
        <w:t>对实体经济稳健复苏的确认，加息周期将大概率伴随着经济周期的上行阶段，基本面对股市的长期推动力最终将抵消并超过加息的短期拖累</w:t>
      </w:r>
      <w:r w:rsidR="00A51236">
        <w:rPr>
          <w:rFonts w:hint="eastAsia"/>
          <w:szCs w:val="21"/>
        </w:rPr>
        <w:t>。</w:t>
      </w:r>
      <w:r w:rsidR="00A12FD0" w:rsidRPr="00F417D8">
        <w:rPr>
          <w:rFonts w:hint="eastAsia"/>
          <w:szCs w:val="21"/>
        </w:rPr>
        <w:t>此外强势美元带来的国际资金流入，也会一定程度弥补加息对股市资金的分流</w:t>
      </w:r>
      <w:r w:rsidR="00056139" w:rsidRPr="00F417D8">
        <w:rPr>
          <w:rFonts w:hint="eastAsia"/>
          <w:szCs w:val="21"/>
        </w:rPr>
        <w:t>。因此，配置美元资产将是中长期较为确定的策略。</w:t>
      </w:r>
      <w:r w:rsidR="00C3563B" w:rsidRPr="00F417D8">
        <w:rPr>
          <w:rFonts w:hint="eastAsia"/>
          <w:color w:val="auto"/>
        </w:rPr>
        <w:t>中短期看，如果加息进程相对平缓而非激进，则</w:t>
      </w:r>
      <w:r w:rsidR="008401D5" w:rsidRPr="00F417D8">
        <w:rPr>
          <w:rFonts w:hint="eastAsia"/>
          <w:color w:val="auto"/>
        </w:rPr>
        <w:t>能够</w:t>
      </w:r>
      <w:r w:rsidR="0045119E" w:rsidRPr="00F417D8">
        <w:rPr>
          <w:rFonts w:hint="eastAsia"/>
          <w:color w:val="auto"/>
        </w:rPr>
        <w:t>适度</w:t>
      </w:r>
      <w:r w:rsidR="008401D5" w:rsidRPr="00F417D8">
        <w:rPr>
          <w:rFonts w:hint="eastAsia"/>
          <w:color w:val="auto"/>
        </w:rPr>
        <w:t>减轻对</w:t>
      </w:r>
      <w:r w:rsidR="00F23CF5" w:rsidRPr="00F417D8">
        <w:rPr>
          <w:rFonts w:hint="eastAsia"/>
          <w:color w:val="auto"/>
        </w:rPr>
        <w:t>市场情绪</w:t>
      </w:r>
      <w:r w:rsidR="008401D5" w:rsidRPr="00F417D8">
        <w:rPr>
          <w:rFonts w:hint="eastAsia"/>
          <w:color w:val="auto"/>
        </w:rPr>
        <w:t>的冲击，</w:t>
      </w:r>
      <w:r w:rsidR="00C3563B" w:rsidRPr="00F417D8">
        <w:rPr>
          <w:rFonts w:hint="eastAsia"/>
          <w:color w:val="auto"/>
        </w:rPr>
        <w:t>将加息引发的</w:t>
      </w:r>
      <w:r w:rsidR="00F23CF5" w:rsidRPr="00F417D8">
        <w:rPr>
          <w:rFonts w:hint="eastAsia"/>
          <w:color w:val="auto"/>
        </w:rPr>
        <w:t>股指</w:t>
      </w:r>
      <w:r w:rsidR="00C3563B" w:rsidRPr="00F417D8">
        <w:rPr>
          <w:rFonts w:hint="eastAsia"/>
          <w:color w:val="auto"/>
        </w:rPr>
        <w:t>波动逐渐消化。美联储在</w:t>
      </w:r>
      <w:r w:rsidR="00C3563B" w:rsidRPr="00F417D8">
        <w:rPr>
          <w:rFonts w:hint="eastAsia"/>
          <w:color w:val="auto"/>
        </w:rPr>
        <w:t>FOMC</w:t>
      </w:r>
      <w:r w:rsidR="00C3563B" w:rsidRPr="00F417D8">
        <w:rPr>
          <w:rFonts w:hint="eastAsia"/>
          <w:color w:val="auto"/>
        </w:rPr>
        <w:t>声明中</w:t>
      </w:r>
      <w:r w:rsidR="008401D5" w:rsidRPr="00F417D8">
        <w:rPr>
          <w:rFonts w:hint="eastAsia"/>
          <w:color w:val="auto"/>
        </w:rPr>
        <w:t>就</w:t>
      </w:r>
      <w:r w:rsidR="00F23CF5" w:rsidRPr="00F417D8">
        <w:rPr>
          <w:rFonts w:hint="eastAsia"/>
          <w:color w:val="auto"/>
        </w:rPr>
        <w:t>表示，首次</w:t>
      </w:r>
      <w:r w:rsidR="00C3563B" w:rsidRPr="00F417D8">
        <w:rPr>
          <w:rFonts w:hint="eastAsia"/>
          <w:color w:val="auto"/>
        </w:rPr>
        <w:t>加息后货币政策仍将保持宽松，未来实际的利率</w:t>
      </w:r>
      <w:r w:rsidR="008401D5" w:rsidRPr="00F417D8">
        <w:rPr>
          <w:rFonts w:hint="eastAsia"/>
          <w:color w:val="auto"/>
        </w:rPr>
        <w:t>路径将取决于经济前景和数据，</w:t>
      </w:r>
      <w:r w:rsidR="00C3563B" w:rsidRPr="00F417D8">
        <w:rPr>
          <w:rFonts w:hint="eastAsia"/>
          <w:color w:val="auto"/>
        </w:rPr>
        <w:t>强调未来加息步伐仍将是渐进式的。</w:t>
      </w:r>
    </w:p>
    <w:p w:rsidR="005F64DE" w:rsidRPr="00A73B52" w:rsidRDefault="00A73B52" w:rsidP="000E09DC">
      <w:pPr>
        <w:pStyle w:val="a0"/>
        <w:widowControl/>
        <w:numPr>
          <w:ilvl w:val="4"/>
          <w:numId w:val="3"/>
        </w:numPr>
        <w:rPr>
          <w:color w:val="auto"/>
        </w:rPr>
      </w:pPr>
      <w:r>
        <w:rPr>
          <w:rFonts w:hint="eastAsia"/>
        </w:rPr>
        <w:t>就短期而言</w:t>
      </w:r>
      <w:r w:rsidR="00E92F51">
        <w:rPr>
          <w:rFonts w:hint="eastAsia"/>
        </w:rPr>
        <w:t>，</w:t>
      </w:r>
      <w:r w:rsidR="005F64DE">
        <w:rPr>
          <w:rFonts w:hint="eastAsia"/>
        </w:rPr>
        <w:t>2</w:t>
      </w:r>
      <w:r w:rsidR="005F64DE">
        <w:rPr>
          <w:rFonts w:hint="eastAsia"/>
        </w:rPr>
        <w:t>月以来美国宏观经济数据展露</w:t>
      </w:r>
      <w:r w:rsidR="001C097A">
        <w:rPr>
          <w:rFonts w:hint="eastAsia"/>
        </w:rPr>
        <w:t>出</w:t>
      </w:r>
      <w:r w:rsidR="005F64DE">
        <w:rPr>
          <w:rFonts w:hint="eastAsia"/>
        </w:rPr>
        <w:t>强势迹象，美股</w:t>
      </w:r>
      <w:r w:rsidR="00A51236">
        <w:rPr>
          <w:rFonts w:hint="eastAsia"/>
        </w:rPr>
        <w:t>自新年伊始大跌</w:t>
      </w:r>
      <w:r w:rsidR="001C097A">
        <w:rPr>
          <w:rFonts w:hint="eastAsia"/>
        </w:rPr>
        <w:t>至今</w:t>
      </w:r>
      <w:r w:rsidR="00A51236">
        <w:rPr>
          <w:rFonts w:hint="eastAsia"/>
        </w:rPr>
        <w:t>，走势呈</w:t>
      </w:r>
      <w:r w:rsidR="001C097A">
        <w:rPr>
          <w:rFonts w:hint="eastAsia"/>
        </w:rPr>
        <w:t>W</w:t>
      </w:r>
      <w:r w:rsidR="001C097A">
        <w:rPr>
          <w:rFonts w:hint="eastAsia"/>
        </w:rPr>
        <w:t>型，也算收复了跌幅的三分之二。不过</w:t>
      </w:r>
      <w:r w:rsidR="005F64DE">
        <w:rPr>
          <w:rFonts w:hint="eastAsia"/>
        </w:rPr>
        <w:t>后市</w:t>
      </w:r>
      <w:r w:rsidR="001C097A">
        <w:rPr>
          <w:rFonts w:hint="eastAsia"/>
        </w:rPr>
        <w:t>走向如何尚难定论，因为</w:t>
      </w:r>
      <w:r w:rsidR="001C097A">
        <w:rPr>
          <w:rFonts w:hint="eastAsia"/>
        </w:rPr>
        <w:t>3</w:t>
      </w:r>
      <w:r w:rsidR="001C097A">
        <w:rPr>
          <w:rFonts w:hint="eastAsia"/>
        </w:rPr>
        <w:t>月</w:t>
      </w:r>
      <w:r>
        <w:rPr>
          <w:rFonts w:hint="eastAsia"/>
        </w:rPr>
        <w:t>美股市场将</w:t>
      </w:r>
      <w:r w:rsidR="001C097A">
        <w:rPr>
          <w:rFonts w:hint="eastAsia"/>
        </w:rPr>
        <w:t>面临美联储议息会议、欧央行议息等一系列风险事件的扰动</w:t>
      </w:r>
      <w:r>
        <w:rPr>
          <w:rFonts w:hint="eastAsia"/>
        </w:rPr>
        <w:t>，后续披露的宏观经济数据若喜忧参半也将引发市场观点分歧</w:t>
      </w:r>
      <w:r w:rsidR="001C097A">
        <w:rPr>
          <w:rFonts w:hint="eastAsia"/>
        </w:rPr>
        <w:t>。</w:t>
      </w:r>
      <w:r>
        <w:rPr>
          <w:rFonts w:hint="eastAsia"/>
        </w:rPr>
        <w:t>综合而言，目前并非重仓配置美股</w:t>
      </w:r>
      <w:r>
        <w:rPr>
          <w:rFonts w:hint="eastAsia"/>
        </w:rPr>
        <w:t>QDII</w:t>
      </w:r>
      <w:r>
        <w:rPr>
          <w:rFonts w:hint="eastAsia"/>
        </w:rPr>
        <w:t>的最佳时机，但</w:t>
      </w:r>
      <w:r w:rsidR="008C3DC9">
        <w:rPr>
          <w:rFonts w:hint="eastAsia"/>
        </w:rPr>
        <w:t>国金证券建议</w:t>
      </w:r>
      <w:r>
        <w:rPr>
          <w:rFonts w:hint="eastAsia"/>
        </w:rPr>
        <w:t>投资者保持对加息进程及美股动态的密切关注</w:t>
      </w:r>
      <w:r>
        <w:rPr>
          <w:rFonts w:hint="eastAsia"/>
          <w:szCs w:val="21"/>
        </w:rPr>
        <w:t>，静待布局时机</w:t>
      </w:r>
      <w:r>
        <w:rPr>
          <w:rFonts w:hint="eastAsia"/>
        </w:rPr>
        <w:t>。</w:t>
      </w:r>
    </w:p>
    <w:p w:rsidR="00A73B52" w:rsidRPr="00A73B52" w:rsidRDefault="00A73B52" w:rsidP="00A73B52">
      <w:pPr>
        <w:pStyle w:val="a0"/>
        <w:widowControl/>
        <w:numPr>
          <w:ilvl w:val="4"/>
          <w:numId w:val="3"/>
        </w:numPr>
        <w:rPr>
          <w:color w:val="auto"/>
        </w:rPr>
      </w:pPr>
      <w:r w:rsidRPr="00A73B52">
        <w:rPr>
          <w:rFonts w:hint="eastAsia"/>
          <w:color w:val="auto"/>
        </w:rPr>
        <w:t>美联储将于</w:t>
      </w:r>
      <w:r w:rsidRPr="00A73B52">
        <w:rPr>
          <w:rFonts w:hint="eastAsia"/>
          <w:color w:val="auto"/>
        </w:rPr>
        <w:t>3</w:t>
      </w:r>
      <w:r w:rsidRPr="00A73B52">
        <w:rPr>
          <w:rFonts w:hint="eastAsia"/>
          <w:color w:val="auto"/>
        </w:rPr>
        <w:t>月</w:t>
      </w:r>
      <w:r>
        <w:rPr>
          <w:rFonts w:hint="eastAsia"/>
          <w:color w:val="auto"/>
        </w:rPr>
        <w:t>中旬</w:t>
      </w:r>
      <w:r w:rsidRPr="00A73B52">
        <w:rPr>
          <w:rFonts w:hint="eastAsia"/>
          <w:color w:val="auto"/>
        </w:rPr>
        <w:t>举行</w:t>
      </w:r>
      <w:r w:rsidRPr="00A73B52">
        <w:rPr>
          <w:rFonts w:hint="eastAsia"/>
          <w:color w:val="auto"/>
        </w:rPr>
        <w:t>FOMC</w:t>
      </w:r>
      <w:r>
        <w:rPr>
          <w:rFonts w:hint="eastAsia"/>
          <w:color w:val="auto"/>
        </w:rPr>
        <w:t>会议，我们预测货币政策将大概率“按兵不动”，原因在于对市场</w:t>
      </w:r>
      <w:r w:rsidRPr="00A73B52">
        <w:rPr>
          <w:rFonts w:hint="eastAsia"/>
          <w:color w:val="auto"/>
        </w:rPr>
        <w:t>和全球</w:t>
      </w:r>
      <w:r>
        <w:rPr>
          <w:rFonts w:hint="eastAsia"/>
          <w:color w:val="auto"/>
        </w:rPr>
        <w:t>经济</w:t>
      </w:r>
      <w:r w:rsidRPr="00A73B52">
        <w:rPr>
          <w:rFonts w:hint="eastAsia"/>
          <w:color w:val="auto"/>
        </w:rPr>
        <w:t>增长</w:t>
      </w:r>
      <w:r>
        <w:rPr>
          <w:rFonts w:hint="eastAsia"/>
          <w:color w:val="auto"/>
        </w:rPr>
        <w:t>的</w:t>
      </w:r>
      <w:r w:rsidRPr="00A73B52">
        <w:rPr>
          <w:rFonts w:hint="eastAsia"/>
          <w:color w:val="auto"/>
        </w:rPr>
        <w:t>不确定</w:t>
      </w:r>
      <w:r>
        <w:rPr>
          <w:rFonts w:hint="eastAsia"/>
          <w:color w:val="auto"/>
        </w:rPr>
        <w:t>性依旧。需重点关注的是，</w:t>
      </w:r>
      <w:r>
        <w:rPr>
          <w:rFonts w:hint="eastAsia"/>
          <w:color w:val="auto"/>
        </w:rPr>
        <w:t>3</w:t>
      </w:r>
      <w:r>
        <w:rPr>
          <w:rFonts w:hint="eastAsia"/>
          <w:color w:val="auto"/>
        </w:rPr>
        <w:t>月初以来的油价抬头和</w:t>
      </w:r>
      <w:r w:rsidRPr="00A73B52">
        <w:rPr>
          <w:rFonts w:hint="eastAsia"/>
          <w:color w:val="auto"/>
        </w:rPr>
        <w:t>部分其他商品价格攀高</w:t>
      </w:r>
      <w:r>
        <w:rPr>
          <w:rFonts w:hint="eastAsia"/>
          <w:color w:val="auto"/>
        </w:rPr>
        <w:t>，以及最新披露的就业和通胀数据，令</w:t>
      </w:r>
      <w:r w:rsidRPr="00A73B52">
        <w:rPr>
          <w:rFonts w:hint="eastAsia"/>
          <w:color w:val="auto"/>
        </w:rPr>
        <w:t>4</w:t>
      </w:r>
      <w:r>
        <w:rPr>
          <w:rFonts w:hint="eastAsia"/>
          <w:color w:val="auto"/>
        </w:rPr>
        <w:t>月或</w:t>
      </w:r>
      <w:r w:rsidRPr="00A73B52">
        <w:rPr>
          <w:rFonts w:hint="eastAsia"/>
          <w:color w:val="auto"/>
        </w:rPr>
        <w:t>6</w:t>
      </w:r>
      <w:r>
        <w:rPr>
          <w:rFonts w:hint="eastAsia"/>
          <w:color w:val="auto"/>
        </w:rPr>
        <w:t>月加息的可能性提升</w:t>
      </w:r>
      <w:r w:rsidRPr="00A73B52">
        <w:rPr>
          <w:rFonts w:hint="eastAsia"/>
          <w:color w:val="auto"/>
        </w:rPr>
        <w:t>。</w:t>
      </w:r>
      <w:r w:rsidR="00A51236">
        <w:rPr>
          <w:rFonts w:hint="eastAsia"/>
          <w:color w:val="auto"/>
        </w:rPr>
        <w:t>目前美联储内部意见</w:t>
      </w:r>
      <w:r>
        <w:rPr>
          <w:rFonts w:hint="eastAsia"/>
          <w:color w:val="auto"/>
        </w:rPr>
        <w:t>相左，以副主席费舍尔为代表的观点认为经济数据目前表明通胀出现“首次萌芽”，而</w:t>
      </w:r>
      <w:r w:rsidRPr="00A73B52">
        <w:rPr>
          <w:rFonts w:hint="eastAsia"/>
          <w:color w:val="auto"/>
        </w:rPr>
        <w:t>联储委员布雷纳德</w:t>
      </w:r>
      <w:r>
        <w:rPr>
          <w:rFonts w:hint="eastAsia"/>
          <w:color w:val="auto"/>
        </w:rPr>
        <w:t>等人</w:t>
      </w:r>
      <w:r w:rsidRPr="00A73B52">
        <w:rPr>
          <w:rFonts w:hint="eastAsia"/>
          <w:color w:val="auto"/>
        </w:rPr>
        <w:t>则</w:t>
      </w:r>
      <w:r>
        <w:rPr>
          <w:rFonts w:hint="eastAsia"/>
          <w:color w:val="auto"/>
        </w:rPr>
        <w:t>认为</w:t>
      </w:r>
      <w:r w:rsidRPr="00A73B52">
        <w:rPr>
          <w:rFonts w:hint="eastAsia"/>
          <w:color w:val="auto"/>
        </w:rPr>
        <w:t>没有理由因为一个月强劲的数据就仓促行事</w:t>
      </w:r>
      <w:r>
        <w:rPr>
          <w:rFonts w:hint="eastAsia"/>
          <w:color w:val="auto"/>
        </w:rPr>
        <w:t>，在证明通胀的持久性</w:t>
      </w:r>
      <w:r w:rsidRPr="00A73B52">
        <w:rPr>
          <w:rFonts w:hint="eastAsia"/>
          <w:color w:val="auto"/>
        </w:rPr>
        <w:t>之前不应采取行动。</w:t>
      </w:r>
    </w:p>
    <w:p w:rsidR="00A73B52" w:rsidRDefault="00A73B52" w:rsidP="007811D6">
      <w:pPr>
        <w:pStyle w:val="a0"/>
        <w:widowControl/>
        <w:numPr>
          <w:ilvl w:val="5"/>
          <w:numId w:val="4"/>
        </w:numPr>
        <w:rPr>
          <w:color w:val="auto"/>
        </w:rPr>
      </w:pPr>
      <w:r w:rsidRPr="00A73B52">
        <w:rPr>
          <w:rFonts w:hint="eastAsia"/>
          <w:color w:val="auto"/>
        </w:rPr>
        <w:t>美国</w:t>
      </w:r>
      <w:r w:rsidRPr="00A73B52">
        <w:rPr>
          <w:rFonts w:hint="eastAsia"/>
          <w:color w:val="auto"/>
        </w:rPr>
        <w:t>2</w:t>
      </w:r>
      <w:r w:rsidRPr="00A73B52">
        <w:rPr>
          <w:rFonts w:hint="eastAsia"/>
          <w:color w:val="auto"/>
        </w:rPr>
        <w:t>月份新增非农就业人数大幅回升至</w:t>
      </w:r>
      <w:r w:rsidRPr="00A73B52">
        <w:rPr>
          <w:rFonts w:hint="eastAsia"/>
          <w:color w:val="auto"/>
        </w:rPr>
        <w:t>24.2</w:t>
      </w:r>
      <w:r w:rsidR="00A51236">
        <w:rPr>
          <w:rFonts w:hint="eastAsia"/>
          <w:color w:val="auto"/>
        </w:rPr>
        <w:t>万，远高于市场预期</w:t>
      </w:r>
      <w:r w:rsidR="00A51236">
        <w:rPr>
          <w:rFonts w:hint="eastAsia"/>
          <w:color w:val="auto"/>
        </w:rPr>
        <w:t>(</w:t>
      </w:r>
      <w:r w:rsidRPr="00A73B52">
        <w:rPr>
          <w:rFonts w:hint="eastAsia"/>
          <w:color w:val="auto"/>
        </w:rPr>
        <w:t>19.5</w:t>
      </w:r>
      <w:r>
        <w:rPr>
          <w:rFonts w:hint="eastAsia"/>
          <w:color w:val="auto"/>
        </w:rPr>
        <w:t>万</w:t>
      </w:r>
      <w:r w:rsidR="00A51236">
        <w:rPr>
          <w:rFonts w:hint="eastAsia"/>
          <w:color w:val="auto"/>
        </w:rPr>
        <w:t>)</w:t>
      </w:r>
      <w:r w:rsidR="007811D6">
        <w:rPr>
          <w:rFonts w:hint="eastAsia"/>
          <w:color w:val="auto"/>
        </w:rPr>
        <w:t>及上期值</w:t>
      </w:r>
      <w:r w:rsidR="00A51236">
        <w:rPr>
          <w:rFonts w:hint="eastAsia"/>
          <w:color w:val="auto"/>
        </w:rPr>
        <w:t>(</w:t>
      </w:r>
      <w:r w:rsidR="007811D6">
        <w:rPr>
          <w:rFonts w:hint="eastAsia"/>
          <w:color w:val="auto"/>
        </w:rPr>
        <w:t>15.1</w:t>
      </w:r>
      <w:r w:rsidR="007811D6">
        <w:rPr>
          <w:rFonts w:hint="eastAsia"/>
          <w:color w:val="auto"/>
        </w:rPr>
        <w:t>万</w:t>
      </w:r>
      <w:r w:rsidR="00A51236">
        <w:rPr>
          <w:rFonts w:hint="eastAsia"/>
          <w:color w:val="auto"/>
        </w:rPr>
        <w:t>)</w:t>
      </w:r>
      <w:r>
        <w:rPr>
          <w:rFonts w:hint="eastAsia"/>
          <w:color w:val="auto"/>
        </w:rPr>
        <w:t>，</w:t>
      </w:r>
      <w:r w:rsidR="007811D6" w:rsidRPr="007811D6">
        <w:rPr>
          <w:rFonts w:hint="eastAsia"/>
          <w:color w:val="auto"/>
        </w:rPr>
        <w:t>其中医疗教育、餐饮休闲、零售等行业就业增长明显</w:t>
      </w:r>
      <w:r w:rsidR="007811D6">
        <w:rPr>
          <w:rFonts w:hint="eastAsia"/>
          <w:color w:val="auto"/>
        </w:rPr>
        <w:t>，</w:t>
      </w:r>
      <w:r w:rsidR="007811D6" w:rsidRPr="007811D6">
        <w:rPr>
          <w:rFonts w:hint="eastAsia"/>
          <w:color w:val="auto"/>
        </w:rPr>
        <w:t>而采矿业、制造业就业减少</w:t>
      </w:r>
      <w:r w:rsidR="007811D6">
        <w:rPr>
          <w:rFonts w:hint="eastAsia"/>
          <w:color w:val="auto"/>
        </w:rPr>
        <w:t>；</w:t>
      </w:r>
      <w:r>
        <w:rPr>
          <w:rFonts w:hint="eastAsia"/>
          <w:color w:val="auto"/>
        </w:rPr>
        <w:t>就业参与率超预期</w:t>
      </w:r>
      <w:r w:rsidRPr="00A73B52">
        <w:rPr>
          <w:rFonts w:hint="eastAsia"/>
          <w:color w:val="auto"/>
        </w:rPr>
        <w:t>回升</w:t>
      </w:r>
      <w:r w:rsidRPr="00A73B52">
        <w:rPr>
          <w:rFonts w:hint="eastAsia"/>
          <w:color w:val="auto"/>
        </w:rPr>
        <w:t>0.2</w:t>
      </w:r>
      <w:r w:rsidRPr="00A73B52">
        <w:rPr>
          <w:rFonts w:hint="eastAsia"/>
          <w:color w:val="auto"/>
        </w:rPr>
        <w:t>个百分点至</w:t>
      </w:r>
      <w:r w:rsidRPr="00A73B52">
        <w:rPr>
          <w:rFonts w:hint="eastAsia"/>
          <w:color w:val="auto"/>
        </w:rPr>
        <w:t>62.9%</w:t>
      </w:r>
      <w:r w:rsidR="007811D6">
        <w:rPr>
          <w:rFonts w:hint="eastAsia"/>
          <w:color w:val="auto"/>
        </w:rPr>
        <w:t>；</w:t>
      </w:r>
      <w:r w:rsidRPr="00A73B52">
        <w:rPr>
          <w:rFonts w:hint="eastAsia"/>
          <w:color w:val="auto"/>
        </w:rPr>
        <w:t>失业率维持在</w:t>
      </w:r>
      <w:r w:rsidRPr="00A73B52">
        <w:rPr>
          <w:rFonts w:hint="eastAsia"/>
          <w:color w:val="auto"/>
        </w:rPr>
        <w:t>4.9%</w:t>
      </w:r>
      <w:r>
        <w:rPr>
          <w:rFonts w:hint="eastAsia"/>
          <w:color w:val="auto"/>
        </w:rPr>
        <w:t>。</w:t>
      </w:r>
      <w:r w:rsidRPr="00A73B52">
        <w:rPr>
          <w:rFonts w:hint="eastAsia"/>
          <w:color w:val="auto"/>
        </w:rPr>
        <w:t>但平均时薪环比下降了</w:t>
      </w:r>
      <w:r w:rsidRPr="00A73B52">
        <w:rPr>
          <w:rFonts w:hint="eastAsia"/>
          <w:color w:val="auto"/>
        </w:rPr>
        <w:t>0.1%</w:t>
      </w:r>
      <w:r w:rsidRPr="00A73B52">
        <w:rPr>
          <w:rFonts w:hint="eastAsia"/>
          <w:color w:val="auto"/>
        </w:rPr>
        <w:t>、同比增幅回落至</w:t>
      </w:r>
      <w:r w:rsidRPr="00A73B52">
        <w:rPr>
          <w:rFonts w:hint="eastAsia"/>
          <w:color w:val="auto"/>
        </w:rPr>
        <w:t>2.2%</w:t>
      </w:r>
      <w:r>
        <w:rPr>
          <w:rFonts w:hint="eastAsia"/>
          <w:color w:val="auto"/>
        </w:rPr>
        <w:t>，均显著低于预期及前值，</w:t>
      </w:r>
      <w:r w:rsidRPr="00A73B52">
        <w:rPr>
          <w:rFonts w:hint="eastAsia"/>
          <w:color w:val="auto"/>
        </w:rPr>
        <w:t>且每周工时</w:t>
      </w:r>
      <w:r w:rsidRPr="00A73B52">
        <w:rPr>
          <w:rFonts w:hint="eastAsia"/>
          <w:color w:val="auto"/>
        </w:rPr>
        <w:lastRenderedPageBreak/>
        <w:t>意外下降了</w:t>
      </w:r>
      <w:r w:rsidRPr="00A73B52">
        <w:rPr>
          <w:rFonts w:hint="eastAsia"/>
          <w:color w:val="auto"/>
        </w:rPr>
        <w:t>0.2</w:t>
      </w:r>
      <w:r w:rsidRPr="00A73B52">
        <w:rPr>
          <w:rFonts w:hint="eastAsia"/>
          <w:color w:val="auto"/>
        </w:rPr>
        <w:t>小时至</w:t>
      </w:r>
      <w:r w:rsidRPr="00A73B52">
        <w:rPr>
          <w:rFonts w:hint="eastAsia"/>
          <w:color w:val="auto"/>
        </w:rPr>
        <w:t>34.4</w:t>
      </w:r>
      <w:r w:rsidRPr="00A73B52">
        <w:rPr>
          <w:rFonts w:hint="eastAsia"/>
          <w:color w:val="auto"/>
        </w:rPr>
        <w:t>小时。总体来看，</w:t>
      </w:r>
      <w:r w:rsidRPr="00A73B52">
        <w:rPr>
          <w:rFonts w:hint="eastAsia"/>
          <w:color w:val="auto"/>
        </w:rPr>
        <w:t>2</w:t>
      </w:r>
      <w:r>
        <w:rPr>
          <w:rFonts w:hint="eastAsia"/>
          <w:color w:val="auto"/>
        </w:rPr>
        <w:t>月</w:t>
      </w:r>
      <w:r w:rsidRPr="00A73B52">
        <w:rPr>
          <w:rFonts w:hint="eastAsia"/>
          <w:color w:val="auto"/>
        </w:rPr>
        <w:t>非农报告表明美国的就业市场仍然相当健康，</w:t>
      </w:r>
      <w:r>
        <w:rPr>
          <w:rFonts w:hint="eastAsia"/>
          <w:color w:val="auto"/>
        </w:rPr>
        <w:t>反映出</w:t>
      </w:r>
      <w:r w:rsidRPr="00A73B52">
        <w:rPr>
          <w:rFonts w:hint="eastAsia"/>
          <w:color w:val="auto"/>
        </w:rPr>
        <w:t>美国经济</w:t>
      </w:r>
      <w:r>
        <w:rPr>
          <w:rFonts w:hint="eastAsia"/>
          <w:color w:val="auto"/>
        </w:rPr>
        <w:t>仍处在回升通道</w:t>
      </w:r>
      <w:r w:rsidR="007811D6">
        <w:rPr>
          <w:rFonts w:hint="eastAsia"/>
          <w:color w:val="auto"/>
        </w:rPr>
        <w:t>，但</w:t>
      </w:r>
      <w:r w:rsidR="007811D6">
        <w:rPr>
          <w:rFonts w:hint="eastAsia"/>
          <w:kern w:val="0"/>
        </w:rPr>
        <w:t>低于预期的时薪增速和平均工作时长的下降，也需要密切观察。</w:t>
      </w:r>
      <w:r>
        <w:rPr>
          <w:rFonts w:hint="eastAsia"/>
          <w:color w:val="auto"/>
        </w:rPr>
        <w:t>数据披露后市场风险情绪进一步改善：美股在小幅震荡后恢复升势；美债收益率继续</w:t>
      </w:r>
      <w:r w:rsidRPr="00A73B52">
        <w:rPr>
          <w:rFonts w:hint="eastAsia"/>
          <w:color w:val="auto"/>
        </w:rPr>
        <w:t>走高</w:t>
      </w:r>
      <w:r>
        <w:rPr>
          <w:rFonts w:hint="eastAsia"/>
          <w:color w:val="auto"/>
        </w:rPr>
        <w:t>；最引关注的是商品价格进一步上行</w:t>
      </w:r>
      <w:r w:rsidRPr="00A73B52">
        <w:rPr>
          <w:rFonts w:hint="eastAsia"/>
          <w:color w:val="auto"/>
        </w:rPr>
        <w:t>：铜价触及近</w:t>
      </w:r>
      <w:r w:rsidRPr="00A73B52">
        <w:rPr>
          <w:rFonts w:hint="eastAsia"/>
          <w:color w:val="auto"/>
        </w:rPr>
        <w:t>4</w:t>
      </w:r>
      <w:r w:rsidRPr="00A73B52">
        <w:rPr>
          <w:rFonts w:hint="eastAsia"/>
          <w:color w:val="auto"/>
        </w:rPr>
        <w:t>个月高位</w:t>
      </w:r>
      <w:r w:rsidRPr="00A73B52">
        <w:rPr>
          <w:rFonts w:hint="eastAsia"/>
          <w:color w:val="auto"/>
        </w:rPr>
        <w:t>2.302</w:t>
      </w:r>
      <w:r w:rsidRPr="00A73B52">
        <w:rPr>
          <w:rFonts w:hint="eastAsia"/>
          <w:color w:val="auto"/>
        </w:rPr>
        <w:t>美元</w:t>
      </w:r>
      <w:r w:rsidRPr="00A73B52">
        <w:rPr>
          <w:rFonts w:hint="eastAsia"/>
          <w:color w:val="auto"/>
        </w:rPr>
        <w:t>/</w:t>
      </w:r>
      <w:r w:rsidRPr="00A73B52">
        <w:rPr>
          <w:rFonts w:hint="eastAsia"/>
          <w:color w:val="auto"/>
        </w:rPr>
        <w:t>磅，油价进一步回升、触及近两个月高位</w:t>
      </w:r>
      <w:r w:rsidRPr="00A73B52">
        <w:rPr>
          <w:rFonts w:hint="eastAsia"/>
          <w:color w:val="auto"/>
        </w:rPr>
        <w:t>36.25</w:t>
      </w:r>
      <w:r w:rsidRPr="00A73B52">
        <w:rPr>
          <w:rFonts w:hint="eastAsia"/>
          <w:color w:val="auto"/>
        </w:rPr>
        <w:t>美元</w:t>
      </w:r>
      <w:r w:rsidRPr="00A73B52">
        <w:rPr>
          <w:rFonts w:hint="eastAsia"/>
          <w:color w:val="auto"/>
        </w:rPr>
        <w:t>/</w:t>
      </w:r>
      <w:r>
        <w:rPr>
          <w:rFonts w:hint="eastAsia"/>
          <w:color w:val="auto"/>
        </w:rPr>
        <w:t>桶；</w:t>
      </w:r>
      <w:r w:rsidRPr="00A73B52">
        <w:rPr>
          <w:rFonts w:hint="eastAsia"/>
          <w:color w:val="auto"/>
        </w:rPr>
        <w:t>金价</w:t>
      </w:r>
      <w:r>
        <w:rPr>
          <w:rFonts w:hint="eastAsia"/>
          <w:color w:val="auto"/>
        </w:rPr>
        <w:t>在</w:t>
      </w:r>
      <w:r w:rsidRPr="00A73B52">
        <w:rPr>
          <w:rFonts w:hint="eastAsia"/>
          <w:color w:val="auto"/>
        </w:rPr>
        <w:t>震荡中触及</w:t>
      </w:r>
      <w:r w:rsidRPr="00A73B52">
        <w:rPr>
          <w:rFonts w:hint="eastAsia"/>
          <w:color w:val="auto"/>
        </w:rPr>
        <w:t>13</w:t>
      </w:r>
      <w:r w:rsidRPr="00A73B52">
        <w:rPr>
          <w:rFonts w:hint="eastAsia"/>
          <w:color w:val="auto"/>
        </w:rPr>
        <w:t>个月新高</w:t>
      </w:r>
      <w:r w:rsidRPr="00A73B52">
        <w:rPr>
          <w:rFonts w:hint="eastAsia"/>
          <w:color w:val="auto"/>
        </w:rPr>
        <w:t>1279.71</w:t>
      </w:r>
      <w:r w:rsidRPr="00A73B52">
        <w:rPr>
          <w:rFonts w:hint="eastAsia"/>
          <w:color w:val="auto"/>
        </w:rPr>
        <w:t>美元</w:t>
      </w:r>
      <w:r w:rsidRPr="00A73B52">
        <w:rPr>
          <w:rFonts w:hint="eastAsia"/>
          <w:color w:val="auto"/>
        </w:rPr>
        <w:t>/</w:t>
      </w:r>
      <w:r w:rsidRPr="00A73B52">
        <w:rPr>
          <w:rFonts w:hint="eastAsia"/>
          <w:color w:val="auto"/>
        </w:rPr>
        <w:t>盎司，但收盘轻微下跌。</w:t>
      </w:r>
    </w:p>
    <w:p w:rsidR="00043E01" w:rsidRDefault="00043E01" w:rsidP="0032465D">
      <w:pPr>
        <w:pStyle w:val="a0"/>
        <w:widowControl/>
        <w:numPr>
          <w:ilvl w:val="5"/>
          <w:numId w:val="4"/>
        </w:numPr>
        <w:rPr>
          <w:color w:val="auto"/>
        </w:rPr>
      </w:pPr>
      <w:r>
        <w:rPr>
          <w:rFonts w:hint="eastAsia"/>
          <w:color w:val="auto"/>
        </w:rPr>
        <w:t>美国</w:t>
      </w:r>
      <w:r w:rsidR="00751BB8">
        <w:rPr>
          <w:rFonts w:hint="eastAsia"/>
          <w:color w:val="auto"/>
        </w:rPr>
        <w:t>制造业连续</w:t>
      </w:r>
      <w:r w:rsidR="00751BB8">
        <w:rPr>
          <w:rFonts w:hint="eastAsia"/>
          <w:color w:val="auto"/>
        </w:rPr>
        <w:t>4</w:t>
      </w:r>
      <w:r w:rsidR="00751BB8">
        <w:rPr>
          <w:rFonts w:hint="eastAsia"/>
          <w:color w:val="auto"/>
        </w:rPr>
        <w:t>个月位于萎缩区间，但有明显</w:t>
      </w:r>
      <w:r w:rsidR="007811D6">
        <w:rPr>
          <w:rFonts w:hint="eastAsia"/>
          <w:color w:val="auto"/>
        </w:rPr>
        <w:t>改善</w:t>
      </w:r>
      <w:r>
        <w:rPr>
          <w:rFonts w:hint="eastAsia"/>
          <w:color w:val="auto"/>
        </w:rPr>
        <w:t>：</w:t>
      </w:r>
      <w:r>
        <w:rPr>
          <w:rFonts w:hint="eastAsia"/>
          <w:color w:val="auto"/>
        </w:rPr>
        <w:t>ISM</w:t>
      </w:r>
      <w:r>
        <w:rPr>
          <w:rFonts w:hint="eastAsia"/>
          <w:color w:val="auto"/>
        </w:rPr>
        <w:t>数据显示，美国</w:t>
      </w:r>
      <w:r>
        <w:rPr>
          <w:rFonts w:hint="eastAsia"/>
          <w:color w:val="auto"/>
        </w:rPr>
        <w:t>2</w:t>
      </w:r>
      <w:r>
        <w:rPr>
          <w:rFonts w:hint="eastAsia"/>
          <w:color w:val="auto"/>
        </w:rPr>
        <w:t>月制造业指数</w:t>
      </w:r>
      <w:r>
        <w:rPr>
          <w:rFonts w:hint="eastAsia"/>
          <w:color w:val="auto"/>
        </w:rPr>
        <w:t>49.5</w:t>
      </w:r>
      <w:r>
        <w:rPr>
          <w:rFonts w:hint="eastAsia"/>
          <w:color w:val="auto"/>
        </w:rPr>
        <w:t>，好于预期</w:t>
      </w:r>
      <w:r>
        <w:rPr>
          <w:rFonts w:hint="eastAsia"/>
          <w:color w:val="auto"/>
        </w:rPr>
        <w:t>(48.5)</w:t>
      </w:r>
      <w:r>
        <w:rPr>
          <w:rFonts w:hint="eastAsia"/>
          <w:color w:val="auto"/>
        </w:rPr>
        <w:t>及前值</w:t>
      </w:r>
      <w:r>
        <w:rPr>
          <w:rFonts w:hint="eastAsia"/>
          <w:color w:val="auto"/>
        </w:rPr>
        <w:t>(48.2)</w:t>
      </w:r>
      <w:r>
        <w:rPr>
          <w:rFonts w:hint="eastAsia"/>
          <w:color w:val="auto"/>
        </w:rPr>
        <w:t>，连续</w:t>
      </w:r>
      <w:r>
        <w:rPr>
          <w:rFonts w:hint="eastAsia"/>
          <w:color w:val="auto"/>
        </w:rPr>
        <w:t>4</w:t>
      </w:r>
      <w:r>
        <w:rPr>
          <w:rFonts w:hint="eastAsia"/>
          <w:color w:val="auto"/>
        </w:rPr>
        <w:t>个月低于</w:t>
      </w:r>
      <w:r>
        <w:rPr>
          <w:rFonts w:hint="eastAsia"/>
          <w:color w:val="auto"/>
        </w:rPr>
        <w:t>50</w:t>
      </w:r>
      <w:r>
        <w:rPr>
          <w:rFonts w:hint="eastAsia"/>
          <w:color w:val="auto"/>
        </w:rPr>
        <w:t>枯荣线但出现改善迹象。库存和物价指数继续拖累制造业，新订单指数保持扩张。</w:t>
      </w:r>
    </w:p>
    <w:tbl>
      <w:tblPr>
        <w:tblStyle w:val="GJStylesChartInsertDoubleCol"/>
        <w:tblW w:w="10771" w:type="dxa"/>
        <w:tblLayout w:type="fixed"/>
        <w:tblLook w:val="07E0" w:firstRow="1" w:lastRow="1" w:firstColumn="1" w:lastColumn="1" w:noHBand="1" w:noVBand="1"/>
      </w:tblPr>
      <w:tblGrid>
        <w:gridCol w:w="5273"/>
        <w:gridCol w:w="226"/>
        <w:gridCol w:w="5272"/>
      </w:tblGrid>
      <w:tr w:rsidR="00E14176" w:rsidTr="00E14176">
        <w:tc>
          <w:tcPr>
            <w:cnfStyle w:val="001000000000" w:firstRow="0" w:lastRow="0" w:firstColumn="1" w:lastColumn="0" w:oddVBand="0" w:evenVBand="0" w:oddHBand="0" w:evenHBand="0" w:firstRowFirstColumn="0" w:firstRowLastColumn="0" w:lastRowFirstColumn="0" w:lastRowLastColumn="0"/>
            <w:tcW w:w="5273" w:type="dxa"/>
          </w:tcPr>
          <w:p w:rsidR="00E14176" w:rsidRPr="00E14176" w:rsidRDefault="00E14176" w:rsidP="00E1417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3</w:t>
            </w:r>
            <w:r>
              <w:fldChar w:fldCharType="end"/>
            </w:r>
            <w:r>
              <w:rPr>
                <w:rFonts w:hint="eastAsia"/>
              </w:rPr>
              <w:t>：</w:t>
            </w:r>
            <w:r w:rsidRPr="002E40C7">
              <w:rPr>
                <w:rFonts w:hint="eastAsia"/>
              </w:rPr>
              <w:t>美国新增非农就业人数走势</w:t>
            </w:r>
            <w:r>
              <w:rPr>
                <w:rFonts w:hint="eastAsia"/>
              </w:rPr>
              <w:t>（季调，初值）</w:t>
            </w:r>
          </w:p>
        </w:tc>
        <w:tc>
          <w:tcPr>
            <w:tcW w:w="226" w:type="dxa"/>
          </w:tcPr>
          <w:p w:rsidR="00E14176" w:rsidRDefault="00E14176" w:rsidP="00E1417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E14176" w:rsidRDefault="00E14176" w:rsidP="00E1417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4</w:t>
            </w:r>
            <w:r>
              <w:rPr>
                <w:color w:val="auto"/>
              </w:rPr>
              <w:fldChar w:fldCharType="end"/>
            </w:r>
            <w:r>
              <w:rPr>
                <w:rFonts w:hint="eastAsia"/>
                <w:color w:val="auto"/>
              </w:rPr>
              <w:t>：</w:t>
            </w:r>
            <w:r w:rsidRPr="00790FDA">
              <w:rPr>
                <w:rFonts w:hint="eastAsia"/>
              </w:rPr>
              <w:t>美国</w:t>
            </w:r>
            <w:r w:rsidRPr="00790FDA">
              <w:rPr>
                <w:rFonts w:hint="eastAsia"/>
              </w:rPr>
              <w:t>ISM</w:t>
            </w:r>
            <w:r w:rsidRPr="00790FDA">
              <w:rPr>
                <w:rFonts w:hint="eastAsia"/>
              </w:rPr>
              <w:t>制造业</w:t>
            </w:r>
            <w:r w:rsidRPr="00790FDA">
              <w:rPr>
                <w:rFonts w:hint="eastAsia"/>
              </w:rPr>
              <w:t>PMI</w:t>
            </w:r>
            <w:r w:rsidRPr="00790FDA">
              <w:rPr>
                <w:rFonts w:hint="eastAsia"/>
              </w:rPr>
              <w:t>走势</w:t>
            </w:r>
          </w:p>
        </w:tc>
      </w:tr>
      <w:tr w:rsidR="00E14176" w:rsidTr="00E14176">
        <w:trPr>
          <w:trHeight w:val="3016"/>
        </w:trPr>
        <w:tc>
          <w:tcPr>
            <w:cnfStyle w:val="001000000000" w:firstRow="0" w:lastRow="0" w:firstColumn="1" w:lastColumn="0" w:oddVBand="0" w:evenVBand="0" w:oddHBand="0" w:evenHBand="0" w:firstRowFirstColumn="0" w:firstRowLastColumn="0" w:lastRowFirstColumn="0" w:lastRowLastColumn="0"/>
            <w:tcW w:w="5273" w:type="dxa"/>
            <w:vAlign w:val="center"/>
          </w:tcPr>
          <w:p w:rsidR="00E14176" w:rsidRPr="00E14176" w:rsidRDefault="00751BB8" w:rsidP="00E14176">
            <w:pPr>
              <w:jc w:val="center"/>
            </w:pPr>
            <w:r>
              <w:rPr>
                <w:noProof/>
              </w:rPr>
              <w:drawing>
                <wp:inline distT="0" distB="0" distL="0" distR="0" wp14:anchorId="4BF24C49">
                  <wp:extent cx="3333750" cy="196959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4744" cy="1976086"/>
                          </a:xfrm>
                          <a:prstGeom prst="rect">
                            <a:avLst/>
                          </a:prstGeom>
                          <a:noFill/>
                        </pic:spPr>
                      </pic:pic>
                    </a:graphicData>
                  </a:graphic>
                </wp:inline>
              </w:drawing>
            </w:r>
          </w:p>
        </w:tc>
        <w:tc>
          <w:tcPr>
            <w:tcW w:w="226" w:type="dxa"/>
            <w:vAlign w:val="center"/>
          </w:tcPr>
          <w:p w:rsidR="00E14176" w:rsidRDefault="00E14176"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vAlign w:val="center"/>
          </w:tcPr>
          <w:p w:rsidR="00E14176" w:rsidRPr="00E14176" w:rsidRDefault="00751BB8" w:rsidP="00E14176">
            <w:pPr>
              <w:jc w:val="center"/>
            </w:pPr>
            <w:r>
              <w:rPr>
                <w:noProof/>
              </w:rPr>
              <w:drawing>
                <wp:inline distT="0" distB="0" distL="0" distR="0" wp14:anchorId="6057EFFF" wp14:editId="289EE1AE">
                  <wp:extent cx="3331643" cy="2002677"/>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5486" cy="2004987"/>
                          </a:xfrm>
                          <a:prstGeom prst="rect">
                            <a:avLst/>
                          </a:prstGeom>
                          <a:noFill/>
                        </pic:spPr>
                      </pic:pic>
                    </a:graphicData>
                  </a:graphic>
                </wp:inline>
              </w:drawing>
            </w:r>
          </w:p>
        </w:tc>
      </w:tr>
      <w:tr w:rsidR="00E14176" w:rsidTr="00E14176">
        <w:tc>
          <w:tcPr>
            <w:tcW w:w="5273" w:type="dxa"/>
          </w:tcPr>
          <w:p w:rsidR="00E14176" w:rsidRDefault="00E14176" w:rsidP="00E1417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p>
        </w:tc>
        <w:tc>
          <w:tcPr>
            <w:tcW w:w="226" w:type="dxa"/>
          </w:tcPr>
          <w:p w:rsidR="00E14176" w:rsidRDefault="00E14176" w:rsidP="00E14176">
            <w:pPr>
              <w:pStyle w:val="GJStylesGraphSource"/>
            </w:pPr>
          </w:p>
        </w:tc>
        <w:tc>
          <w:tcPr>
            <w:tcW w:w="5272" w:type="dxa"/>
          </w:tcPr>
          <w:p w:rsidR="00E14176" w:rsidRDefault="00E14176" w:rsidP="00E1417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p>
        </w:tc>
      </w:tr>
    </w:tbl>
    <w:p w:rsidR="00BE2561" w:rsidRDefault="00BE2561" w:rsidP="00BE2561">
      <w:pPr>
        <w:pStyle w:val="21"/>
        <w:rPr>
          <w:color w:val="auto"/>
        </w:rPr>
      </w:pPr>
      <w:r w:rsidRPr="00BE2561">
        <w:rPr>
          <w:rFonts w:hint="eastAsia"/>
          <w:color w:val="auto"/>
        </w:rPr>
        <w:t>欧洲：</w:t>
      </w:r>
      <w:r w:rsidR="001874E0">
        <w:rPr>
          <w:rFonts w:hint="eastAsia"/>
          <w:color w:val="auto"/>
        </w:rPr>
        <w:t>经济数据下滑，</w:t>
      </w:r>
      <w:r w:rsidR="008C3DC9">
        <w:rPr>
          <w:rFonts w:hint="eastAsia"/>
          <w:color w:val="auto"/>
        </w:rPr>
        <w:t>亟待刺激加码</w:t>
      </w:r>
    </w:p>
    <w:p w:rsidR="001874E0" w:rsidRPr="001874E0" w:rsidRDefault="001874E0" w:rsidP="001874E0">
      <w:pPr>
        <w:pStyle w:val="a0"/>
        <w:widowControl/>
        <w:numPr>
          <w:ilvl w:val="4"/>
          <w:numId w:val="3"/>
        </w:numPr>
        <w:rPr>
          <w:color w:val="auto"/>
        </w:rPr>
      </w:pPr>
      <w:r>
        <w:rPr>
          <w:rFonts w:hint="eastAsia"/>
          <w:color w:val="auto"/>
        </w:rPr>
        <w:t>我们预计，</w:t>
      </w:r>
      <w:r w:rsidR="00C44C83">
        <w:rPr>
          <w:rFonts w:hint="eastAsia"/>
          <w:color w:val="auto"/>
        </w:rPr>
        <w:t>在</w:t>
      </w:r>
      <w:r w:rsidRPr="00F417D8">
        <w:rPr>
          <w:rFonts w:hint="eastAsia"/>
          <w:color w:val="auto"/>
        </w:rPr>
        <w:t>通缩压力下欧央行</w:t>
      </w:r>
      <w:r w:rsidRPr="00F417D8">
        <w:rPr>
          <w:rFonts w:hint="eastAsia"/>
          <w:color w:val="auto"/>
        </w:rPr>
        <w:t>3</w:t>
      </w:r>
      <w:r>
        <w:rPr>
          <w:rFonts w:hint="eastAsia"/>
          <w:color w:val="auto"/>
        </w:rPr>
        <w:t>月的货币政策会议可能讨论进一步的货币宽松。</w:t>
      </w:r>
      <w:r w:rsidRPr="001874E0">
        <w:rPr>
          <w:rFonts w:hint="eastAsia"/>
          <w:color w:val="auto"/>
        </w:rPr>
        <w:t>由于新兴市场经济增长前景不确定性加剧、金融市场与大宗商品市场动荡以及地缘政治风险，欧洲央行之前的展望面临的下行风险加大</w:t>
      </w:r>
      <w:r>
        <w:rPr>
          <w:rFonts w:hint="eastAsia"/>
          <w:color w:val="auto"/>
        </w:rPr>
        <w:t>。最新数据显示，</w:t>
      </w:r>
      <w:r w:rsidRPr="001874E0">
        <w:rPr>
          <w:rFonts w:hint="eastAsia"/>
          <w:color w:val="auto"/>
        </w:rPr>
        <w:t>2016</w:t>
      </w:r>
      <w:r w:rsidRPr="001874E0">
        <w:rPr>
          <w:rFonts w:hint="eastAsia"/>
          <w:color w:val="auto"/>
        </w:rPr>
        <w:t>年初</w:t>
      </w:r>
      <w:r w:rsidR="00C44C83">
        <w:rPr>
          <w:rFonts w:hint="eastAsia"/>
          <w:color w:val="auto"/>
        </w:rPr>
        <w:t>至今在一系列负面因素夹击下，欧元区经济数据始终疲软，复苏态势出现反复</w:t>
      </w:r>
      <w:r>
        <w:rPr>
          <w:rFonts w:hint="eastAsia"/>
          <w:color w:val="auto"/>
        </w:rPr>
        <w:t>，经济增速的不确定性对</w:t>
      </w:r>
      <w:r w:rsidRPr="001874E0">
        <w:rPr>
          <w:rFonts w:hint="eastAsia"/>
          <w:color w:val="auto"/>
        </w:rPr>
        <w:t>市场信心</w:t>
      </w:r>
      <w:r>
        <w:rPr>
          <w:rFonts w:hint="eastAsia"/>
          <w:color w:val="auto"/>
        </w:rPr>
        <w:t>也有一定打击。因此，</w:t>
      </w:r>
      <w:r w:rsidRPr="001874E0">
        <w:rPr>
          <w:rFonts w:hint="eastAsia"/>
          <w:color w:val="auto"/>
        </w:rPr>
        <w:t>欧洲央行</w:t>
      </w:r>
      <w:r>
        <w:rPr>
          <w:rFonts w:hint="eastAsia"/>
          <w:color w:val="auto"/>
        </w:rPr>
        <w:t>有可能</w:t>
      </w:r>
      <w:r w:rsidRPr="001874E0">
        <w:rPr>
          <w:rFonts w:hint="eastAsia"/>
          <w:color w:val="auto"/>
        </w:rPr>
        <w:t>继续采取更</w:t>
      </w:r>
      <w:r w:rsidR="00C44C83">
        <w:rPr>
          <w:rFonts w:hint="eastAsia"/>
          <w:color w:val="auto"/>
        </w:rPr>
        <w:t>激进的措施以提振经济</w:t>
      </w:r>
      <w:r>
        <w:rPr>
          <w:rFonts w:hint="eastAsia"/>
          <w:color w:val="auto"/>
        </w:rPr>
        <w:t>。行长德拉吉也表示，当前欧元区通胀水平弱于预期，通胀预期处于下滑状态，薪资增幅也较为疲软</w:t>
      </w:r>
      <w:r w:rsidR="00C44C83">
        <w:rPr>
          <w:rFonts w:hint="eastAsia"/>
          <w:color w:val="auto"/>
        </w:rPr>
        <w:t>，暗示刺激政策有可能加码</w:t>
      </w:r>
      <w:r>
        <w:rPr>
          <w:rFonts w:hint="eastAsia"/>
          <w:color w:val="auto"/>
        </w:rPr>
        <w:t>。整体来看，欧元区经济基本面并不乐观，尽管短期得到宽松政策支撑，但边际效应</w:t>
      </w:r>
      <w:r w:rsidR="00C44C83">
        <w:rPr>
          <w:rFonts w:hint="eastAsia"/>
          <w:color w:val="auto"/>
        </w:rPr>
        <w:t>已</w:t>
      </w:r>
      <w:r>
        <w:rPr>
          <w:rFonts w:hint="eastAsia"/>
          <w:color w:val="auto"/>
        </w:rPr>
        <w:t>有所递减，中长期</w:t>
      </w:r>
      <w:r w:rsidRPr="009E22EC">
        <w:rPr>
          <w:rFonts w:hint="eastAsia"/>
          <w:color w:val="auto"/>
        </w:rPr>
        <w:t>上升空间</w:t>
      </w:r>
      <w:r>
        <w:rPr>
          <w:rFonts w:hint="eastAsia"/>
          <w:color w:val="auto"/>
        </w:rPr>
        <w:t>仍</w:t>
      </w:r>
      <w:r w:rsidRPr="009E22EC">
        <w:rPr>
          <w:rFonts w:hint="eastAsia"/>
          <w:color w:val="auto"/>
        </w:rPr>
        <w:t>有限。</w:t>
      </w:r>
    </w:p>
    <w:p w:rsidR="001874E0" w:rsidRDefault="00F417D8" w:rsidP="001874E0">
      <w:pPr>
        <w:pStyle w:val="a0"/>
        <w:widowControl/>
        <w:numPr>
          <w:ilvl w:val="5"/>
          <w:numId w:val="4"/>
        </w:numPr>
        <w:rPr>
          <w:color w:val="auto"/>
        </w:rPr>
      </w:pPr>
      <w:r>
        <w:rPr>
          <w:rFonts w:hint="eastAsia"/>
          <w:color w:val="auto"/>
        </w:rPr>
        <w:t>欧元区</w:t>
      </w:r>
      <w:r w:rsidR="001874E0">
        <w:rPr>
          <w:rFonts w:hint="eastAsia"/>
          <w:color w:val="auto"/>
        </w:rPr>
        <w:t>通缩依旧：</w:t>
      </w:r>
      <w:r w:rsidRPr="00F417D8">
        <w:rPr>
          <w:rFonts w:hint="eastAsia"/>
          <w:color w:val="auto"/>
        </w:rPr>
        <w:t>2</w:t>
      </w:r>
      <w:r w:rsidRPr="00F417D8">
        <w:rPr>
          <w:rFonts w:hint="eastAsia"/>
          <w:color w:val="auto"/>
        </w:rPr>
        <w:t>月</w:t>
      </w:r>
      <w:r w:rsidRPr="00F417D8">
        <w:rPr>
          <w:rFonts w:hint="eastAsia"/>
          <w:color w:val="auto"/>
        </w:rPr>
        <w:t>CPI</w:t>
      </w:r>
      <w:r w:rsidRPr="00F417D8">
        <w:rPr>
          <w:rFonts w:hint="eastAsia"/>
          <w:color w:val="auto"/>
        </w:rPr>
        <w:t>初值同比</w:t>
      </w:r>
      <w:r>
        <w:rPr>
          <w:rFonts w:hint="eastAsia"/>
          <w:color w:val="auto"/>
        </w:rPr>
        <w:t>-0.2%</w:t>
      </w:r>
      <w:r>
        <w:rPr>
          <w:rFonts w:hint="eastAsia"/>
          <w:color w:val="auto"/>
        </w:rPr>
        <w:t>，</w:t>
      </w:r>
      <w:r w:rsidRPr="00F417D8">
        <w:rPr>
          <w:rFonts w:hint="eastAsia"/>
          <w:color w:val="auto"/>
        </w:rPr>
        <w:t>低于市场预期的</w:t>
      </w:r>
      <w:r w:rsidRPr="00F417D8">
        <w:rPr>
          <w:rFonts w:hint="eastAsia"/>
          <w:color w:val="auto"/>
        </w:rPr>
        <w:t>0%</w:t>
      </w:r>
      <w:r w:rsidRPr="00F417D8">
        <w:rPr>
          <w:rFonts w:hint="eastAsia"/>
          <w:color w:val="auto"/>
        </w:rPr>
        <w:t>以及上期值</w:t>
      </w:r>
      <w:r>
        <w:rPr>
          <w:rFonts w:hint="eastAsia"/>
          <w:color w:val="auto"/>
        </w:rPr>
        <w:t>0.3%</w:t>
      </w:r>
      <w:r>
        <w:rPr>
          <w:rFonts w:hint="eastAsia"/>
          <w:color w:val="auto"/>
        </w:rPr>
        <w:t>；</w:t>
      </w:r>
      <w:r w:rsidRPr="00F417D8">
        <w:rPr>
          <w:rFonts w:hint="eastAsia"/>
          <w:color w:val="auto"/>
        </w:rPr>
        <w:t>核心</w:t>
      </w:r>
      <w:r w:rsidRPr="00F417D8">
        <w:rPr>
          <w:rFonts w:hint="eastAsia"/>
          <w:color w:val="auto"/>
        </w:rPr>
        <w:t>CPI</w:t>
      </w:r>
      <w:r w:rsidRPr="00F417D8">
        <w:rPr>
          <w:rFonts w:hint="eastAsia"/>
          <w:color w:val="auto"/>
        </w:rPr>
        <w:t>初值同比</w:t>
      </w:r>
      <w:r>
        <w:rPr>
          <w:rFonts w:hint="eastAsia"/>
          <w:color w:val="auto"/>
        </w:rPr>
        <w:t>0.7%</w:t>
      </w:r>
      <w:r>
        <w:rPr>
          <w:rFonts w:hint="eastAsia"/>
          <w:color w:val="auto"/>
        </w:rPr>
        <w:t>，</w:t>
      </w:r>
      <w:r w:rsidRPr="00F417D8">
        <w:rPr>
          <w:rFonts w:hint="eastAsia"/>
          <w:color w:val="auto"/>
        </w:rPr>
        <w:t>低于市场预期的</w:t>
      </w:r>
      <w:r w:rsidRPr="00F417D8">
        <w:rPr>
          <w:rFonts w:hint="eastAsia"/>
          <w:color w:val="auto"/>
        </w:rPr>
        <w:t>0.9%</w:t>
      </w:r>
      <w:r>
        <w:rPr>
          <w:rFonts w:hint="eastAsia"/>
          <w:color w:val="auto"/>
        </w:rPr>
        <w:t>和上期的</w:t>
      </w:r>
      <w:r w:rsidRPr="00F417D8">
        <w:rPr>
          <w:rFonts w:hint="eastAsia"/>
          <w:color w:val="auto"/>
        </w:rPr>
        <w:t>1.0%</w:t>
      </w:r>
      <w:r w:rsidRPr="00F417D8">
        <w:rPr>
          <w:rFonts w:hint="eastAsia"/>
          <w:color w:val="auto"/>
        </w:rPr>
        <w:t>。欧元区</w:t>
      </w:r>
      <w:r w:rsidRPr="00F417D8">
        <w:rPr>
          <w:rFonts w:hint="eastAsia"/>
          <w:color w:val="auto"/>
        </w:rPr>
        <w:t>2</w:t>
      </w:r>
      <w:r w:rsidRPr="00F417D8">
        <w:rPr>
          <w:rFonts w:hint="eastAsia"/>
          <w:color w:val="auto"/>
        </w:rPr>
        <w:t>月</w:t>
      </w:r>
      <w:r w:rsidRPr="00F417D8">
        <w:rPr>
          <w:rFonts w:hint="eastAsia"/>
          <w:color w:val="auto"/>
        </w:rPr>
        <w:t>Markit</w:t>
      </w:r>
      <w:r w:rsidRPr="00F417D8">
        <w:rPr>
          <w:rFonts w:hint="eastAsia"/>
          <w:color w:val="auto"/>
        </w:rPr>
        <w:t>制造业</w:t>
      </w:r>
      <w:r w:rsidRPr="00F417D8">
        <w:rPr>
          <w:rFonts w:hint="eastAsia"/>
          <w:color w:val="auto"/>
        </w:rPr>
        <w:t>PMI</w:t>
      </w:r>
      <w:r w:rsidRPr="00F417D8">
        <w:rPr>
          <w:rFonts w:hint="eastAsia"/>
          <w:color w:val="auto"/>
        </w:rPr>
        <w:t>为</w:t>
      </w:r>
      <w:r>
        <w:rPr>
          <w:rFonts w:hint="eastAsia"/>
          <w:color w:val="auto"/>
        </w:rPr>
        <w:t>51.2</w:t>
      </w:r>
      <w:r>
        <w:rPr>
          <w:rFonts w:hint="eastAsia"/>
          <w:color w:val="auto"/>
        </w:rPr>
        <w:t>，</w:t>
      </w:r>
      <w:r w:rsidRPr="00F417D8">
        <w:rPr>
          <w:rFonts w:hint="eastAsia"/>
          <w:color w:val="auto"/>
        </w:rPr>
        <w:t>高于市场预期的</w:t>
      </w:r>
      <w:r>
        <w:rPr>
          <w:rFonts w:hint="eastAsia"/>
          <w:color w:val="auto"/>
        </w:rPr>
        <w:t>51</w:t>
      </w:r>
      <w:r>
        <w:rPr>
          <w:rFonts w:hint="eastAsia"/>
          <w:color w:val="auto"/>
        </w:rPr>
        <w:t>；其中</w:t>
      </w:r>
      <w:r w:rsidRPr="00F417D8">
        <w:rPr>
          <w:rFonts w:hint="eastAsia"/>
          <w:color w:val="auto"/>
        </w:rPr>
        <w:t>德国制造业</w:t>
      </w:r>
      <w:r w:rsidRPr="00F417D8">
        <w:rPr>
          <w:rFonts w:hint="eastAsia"/>
          <w:color w:val="auto"/>
        </w:rPr>
        <w:t>PMI</w:t>
      </w:r>
      <w:r w:rsidRPr="00F417D8">
        <w:rPr>
          <w:rFonts w:hint="eastAsia"/>
          <w:color w:val="auto"/>
        </w:rPr>
        <w:t>为</w:t>
      </w:r>
      <w:r>
        <w:rPr>
          <w:rFonts w:hint="eastAsia"/>
          <w:color w:val="auto"/>
        </w:rPr>
        <w:t>50.5</w:t>
      </w:r>
      <w:r>
        <w:rPr>
          <w:rFonts w:hint="eastAsia"/>
          <w:color w:val="auto"/>
        </w:rPr>
        <w:t>，</w:t>
      </w:r>
      <w:r w:rsidRPr="00F417D8">
        <w:rPr>
          <w:rFonts w:hint="eastAsia"/>
          <w:color w:val="auto"/>
        </w:rPr>
        <w:t>强于市场预期的</w:t>
      </w:r>
      <w:r>
        <w:rPr>
          <w:rFonts w:hint="eastAsia"/>
          <w:color w:val="auto"/>
        </w:rPr>
        <w:t>50.2</w:t>
      </w:r>
      <w:r>
        <w:rPr>
          <w:rFonts w:hint="eastAsia"/>
          <w:color w:val="auto"/>
        </w:rPr>
        <w:t>；</w:t>
      </w:r>
      <w:r w:rsidRPr="00F417D8">
        <w:rPr>
          <w:rFonts w:hint="eastAsia"/>
          <w:color w:val="auto"/>
        </w:rPr>
        <w:t>而法国、西班牙、希腊、意大利等制造业</w:t>
      </w:r>
      <w:r w:rsidRPr="00F417D8">
        <w:rPr>
          <w:rFonts w:hint="eastAsia"/>
          <w:color w:val="auto"/>
        </w:rPr>
        <w:t>PMI</w:t>
      </w:r>
      <w:r>
        <w:rPr>
          <w:rFonts w:hint="eastAsia"/>
          <w:color w:val="auto"/>
        </w:rPr>
        <w:t>则弱于市场预期。</w:t>
      </w:r>
      <w:r w:rsidRPr="00F417D8">
        <w:rPr>
          <w:rFonts w:hint="eastAsia"/>
          <w:color w:val="auto"/>
        </w:rPr>
        <w:t>欧元区</w:t>
      </w:r>
      <w:r w:rsidRPr="00F417D8">
        <w:rPr>
          <w:rFonts w:hint="eastAsia"/>
          <w:color w:val="auto"/>
        </w:rPr>
        <w:t>1</w:t>
      </w:r>
      <w:r w:rsidRPr="00F417D8">
        <w:rPr>
          <w:rFonts w:hint="eastAsia"/>
          <w:color w:val="auto"/>
        </w:rPr>
        <w:t>月失业率</w:t>
      </w:r>
      <w:r>
        <w:rPr>
          <w:rFonts w:hint="eastAsia"/>
          <w:color w:val="auto"/>
        </w:rPr>
        <w:t>10.3%</w:t>
      </w:r>
      <w:r>
        <w:rPr>
          <w:rFonts w:hint="eastAsia"/>
          <w:color w:val="auto"/>
        </w:rPr>
        <w:t>，</w:t>
      </w:r>
      <w:r w:rsidRPr="00F417D8">
        <w:rPr>
          <w:rFonts w:hint="eastAsia"/>
          <w:color w:val="auto"/>
        </w:rPr>
        <w:t>强于市场预期的</w:t>
      </w:r>
      <w:r w:rsidRPr="00F417D8">
        <w:rPr>
          <w:rFonts w:hint="eastAsia"/>
          <w:color w:val="auto"/>
        </w:rPr>
        <w:t>10.4%</w:t>
      </w:r>
      <w:r w:rsidRPr="00F417D8">
        <w:rPr>
          <w:rFonts w:hint="eastAsia"/>
          <w:color w:val="auto"/>
        </w:rPr>
        <w:t>以及上期值</w:t>
      </w:r>
      <w:r>
        <w:rPr>
          <w:rFonts w:hint="eastAsia"/>
          <w:color w:val="auto"/>
        </w:rPr>
        <w:t>；</w:t>
      </w:r>
      <w:r w:rsidRPr="00F417D8">
        <w:rPr>
          <w:rFonts w:hint="eastAsia"/>
          <w:color w:val="auto"/>
        </w:rPr>
        <w:t>欧元区</w:t>
      </w:r>
      <w:r w:rsidRPr="00F417D8">
        <w:rPr>
          <w:rFonts w:hint="eastAsia"/>
          <w:color w:val="auto"/>
        </w:rPr>
        <w:t>1</w:t>
      </w:r>
      <w:r w:rsidRPr="00F417D8">
        <w:rPr>
          <w:rFonts w:hint="eastAsia"/>
          <w:color w:val="auto"/>
        </w:rPr>
        <w:t>月零售总额环比</w:t>
      </w:r>
      <w:r>
        <w:rPr>
          <w:rFonts w:hint="eastAsia"/>
          <w:color w:val="auto"/>
        </w:rPr>
        <w:t>0.4%</w:t>
      </w:r>
      <w:r>
        <w:rPr>
          <w:rFonts w:hint="eastAsia"/>
          <w:color w:val="auto"/>
        </w:rPr>
        <w:t>，</w:t>
      </w:r>
      <w:r w:rsidRPr="00F417D8">
        <w:rPr>
          <w:rFonts w:hint="eastAsia"/>
          <w:color w:val="auto"/>
        </w:rPr>
        <w:t>高于市场预期的</w:t>
      </w:r>
      <w:r w:rsidRPr="00F417D8">
        <w:rPr>
          <w:rFonts w:hint="eastAsia"/>
          <w:color w:val="auto"/>
        </w:rPr>
        <w:t>0.1%</w:t>
      </w:r>
      <w:r w:rsidRPr="00F417D8">
        <w:rPr>
          <w:rFonts w:hint="eastAsia"/>
          <w:color w:val="auto"/>
        </w:rPr>
        <w:t>。</w:t>
      </w:r>
    </w:p>
    <w:p w:rsidR="00F50DFA" w:rsidRPr="001874E0" w:rsidRDefault="001874E0" w:rsidP="001874E0">
      <w:pPr>
        <w:pStyle w:val="a0"/>
        <w:widowControl/>
        <w:numPr>
          <w:ilvl w:val="5"/>
          <w:numId w:val="4"/>
        </w:numPr>
        <w:rPr>
          <w:color w:val="auto"/>
        </w:rPr>
      </w:pPr>
      <w:r w:rsidRPr="001874E0">
        <w:rPr>
          <w:rFonts w:hint="eastAsia"/>
          <w:color w:val="auto"/>
        </w:rPr>
        <w:t>欧元区</w:t>
      </w:r>
      <w:r w:rsidRPr="001874E0">
        <w:rPr>
          <w:rFonts w:hint="eastAsia"/>
          <w:color w:val="auto"/>
        </w:rPr>
        <w:t>3</w:t>
      </w:r>
      <w:r w:rsidRPr="001874E0">
        <w:rPr>
          <w:rFonts w:hint="eastAsia"/>
          <w:color w:val="auto"/>
        </w:rPr>
        <w:t>月投资者信心连续第三个月恶化，并触及逾一年低点，因投资者担心全球经济成长前景减弱。数据显示，欧元区</w:t>
      </w:r>
      <w:r w:rsidRPr="001874E0">
        <w:rPr>
          <w:rFonts w:hint="eastAsia"/>
          <w:color w:val="auto"/>
        </w:rPr>
        <w:t>3</w:t>
      </w:r>
      <w:r w:rsidRPr="001874E0">
        <w:rPr>
          <w:rFonts w:hint="eastAsia"/>
          <w:color w:val="auto"/>
        </w:rPr>
        <w:t>月</w:t>
      </w:r>
      <w:r w:rsidRPr="001874E0">
        <w:rPr>
          <w:rFonts w:hint="eastAsia"/>
          <w:color w:val="auto"/>
        </w:rPr>
        <w:t>Sentix</w:t>
      </w:r>
      <w:r w:rsidRPr="001874E0">
        <w:rPr>
          <w:rFonts w:hint="eastAsia"/>
          <w:color w:val="auto"/>
        </w:rPr>
        <w:t>投资者信心指数从</w:t>
      </w:r>
      <w:r w:rsidRPr="001874E0">
        <w:rPr>
          <w:rFonts w:hint="eastAsia"/>
          <w:color w:val="auto"/>
        </w:rPr>
        <w:t>2</w:t>
      </w:r>
      <w:r w:rsidRPr="001874E0">
        <w:rPr>
          <w:rFonts w:hint="eastAsia"/>
          <w:color w:val="auto"/>
        </w:rPr>
        <w:t>月的</w:t>
      </w:r>
      <w:r w:rsidRPr="001874E0">
        <w:rPr>
          <w:rFonts w:hint="eastAsia"/>
          <w:color w:val="auto"/>
        </w:rPr>
        <w:t>6.0</w:t>
      </w:r>
      <w:r w:rsidRPr="001874E0">
        <w:rPr>
          <w:rFonts w:hint="eastAsia"/>
          <w:color w:val="auto"/>
        </w:rPr>
        <w:t>跌至</w:t>
      </w:r>
      <w:r w:rsidRPr="001874E0">
        <w:rPr>
          <w:rFonts w:hint="eastAsia"/>
          <w:color w:val="auto"/>
        </w:rPr>
        <w:t>5.5</w:t>
      </w:r>
      <w:r w:rsidRPr="001874E0">
        <w:rPr>
          <w:rFonts w:hint="eastAsia"/>
          <w:color w:val="auto"/>
        </w:rPr>
        <w:t>。</w:t>
      </w:r>
    </w:p>
    <w:tbl>
      <w:tblPr>
        <w:tblStyle w:val="GJStylesChartInsertDoubleCol"/>
        <w:tblW w:w="10771" w:type="dxa"/>
        <w:tblLayout w:type="fixed"/>
        <w:tblLook w:val="07E0" w:firstRow="1" w:lastRow="1" w:firstColumn="1" w:lastColumn="1" w:noHBand="1" w:noVBand="1"/>
      </w:tblPr>
      <w:tblGrid>
        <w:gridCol w:w="5273"/>
        <w:gridCol w:w="226"/>
        <w:gridCol w:w="5272"/>
      </w:tblGrid>
      <w:tr w:rsidR="00E14176" w:rsidTr="00E14176">
        <w:tc>
          <w:tcPr>
            <w:cnfStyle w:val="001000000000" w:firstRow="0" w:lastRow="0" w:firstColumn="1" w:lastColumn="0" w:oddVBand="0" w:evenVBand="0" w:oddHBand="0" w:evenHBand="0" w:firstRowFirstColumn="0" w:firstRowLastColumn="0" w:lastRowFirstColumn="0" w:lastRowLastColumn="0"/>
            <w:tcW w:w="5273" w:type="dxa"/>
          </w:tcPr>
          <w:p w:rsidR="00E14176" w:rsidRPr="00E14176" w:rsidRDefault="00E14176" w:rsidP="00E14176">
            <w:pPr>
              <w:pStyle w:val="GJStylesGraphTitle"/>
            </w:pPr>
            <w:r>
              <w:rPr>
                <w:rFonts w:hint="eastAsia"/>
              </w:rPr>
              <w:lastRenderedPageBreak/>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5</w:t>
            </w:r>
            <w:r>
              <w:fldChar w:fldCharType="end"/>
            </w:r>
            <w:r>
              <w:rPr>
                <w:rFonts w:hint="eastAsia"/>
              </w:rPr>
              <w:t>：欧元区</w:t>
            </w:r>
            <w:r>
              <w:rPr>
                <w:rFonts w:hint="eastAsia"/>
              </w:rPr>
              <w:t>CPI</w:t>
            </w:r>
            <w:r>
              <w:rPr>
                <w:rFonts w:hint="eastAsia"/>
              </w:rPr>
              <w:t>同比走势</w:t>
            </w:r>
          </w:p>
        </w:tc>
        <w:tc>
          <w:tcPr>
            <w:tcW w:w="226" w:type="dxa"/>
          </w:tcPr>
          <w:p w:rsidR="00E14176" w:rsidRDefault="00E14176" w:rsidP="00E1417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E14176" w:rsidRDefault="00E14176" w:rsidP="00E1417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6</w:t>
            </w:r>
            <w:r>
              <w:rPr>
                <w:color w:val="auto"/>
              </w:rPr>
              <w:fldChar w:fldCharType="end"/>
            </w:r>
            <w:r>
              <w:rPr>
                <w:rFonts w:hint="eastAsia"/>
                <w:color w:val="auto"/>
              </w:rPr>
              <w:t>：欧元区制造业</w:t>
            </w:r>
            <w:r>
              <w:rPr>
                <w:rFonts w:hint="eastAsia"/>
                <w:color w:val="auto"/>
              </w:rPr>
              <w:t>PMI</w:t>
            </w:r>
            <w:r>
              <w:rPr>
                <w:rFonts w:hint="eastAsia"/>
                <w:color w:val="auto"/>
              </w:rPr>
              <w:t>走势</w:t>
            </w:r>
          </w:p>
        </w:tc>
      </w:tr>
      <w:tr w:rsidR="00E14176" w:rsidTr="00E14176">
        <w:trPr>
          <w:trHeight w:val="3016"/>
        </w:trPr>
        <w:tc>
          <w:tcPr>
            <w:cnfStyle w:val="001000000000" w:firstRow="0" w:lastRow="0" w:firstColumn="1" w:lastColumn="0" w:oddVBand="0" w:evenVBand="0" w:oddHBand="0" w:evenHBand="0" w:firstRowFirstColumn="0" w:firstRowLastColumn="0" w:lastRowFirstColumn="0" w:lastRowLastColumn="0"/>
            <w:tcW w:w="5273" w:type="dxa"/>
            <w:vAlign w:val="center"/>
          </w:tcPr>
          <w:p w:rsidR="00E14176" w:rsidRPr="00E14176" w:rsidRDefault="001874E0" w:rsidP="00E14176">
            <w:pPr>
              <w:jc w:val="center"/>
            </w:pPr>
            <w:r>
              <w:rPr>
                <w:noProof/>
              </w:rPr>
              <w:drawing>
                <wp:inline distT="0" distB="0" distL="0" distR="0" wp14:anchorId="3B5EA12C">
                  <wp:extent cx="3327605" cy="206692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7595" cy="2073130"/>
                          </a:xfrm>
                          <a:prstGeom prst="rect">
                            <a:avLst/>
                          </a:prstGeom>
                          <a:noFill/>
                        </pic:spPr>
                      </pic:pic>
                    </a:graphicData>
                  </a:graphic>
                </wp:inline>
              </w:drawing>
            </w:r>
          </w:p>
        </w:tc>
        <w:tc>
          <w:tcPr>
            <w:tcW w:w="226" w:type="dxa"/>
            <w:vAlign w:val="center"/>
          </w:tcPr>
          <w:p w:rsidR="00E14176" w:rsidRDefault="00E14176"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vAlign w:val="center"/>
          </w:tcPr>
          <w:p w:rsidR="00E14176" w:rsidRPr="00E14176" w:rsidRDefault="001874E0" w:rsidP="00E14176">
            <w:pPr>
              <w:jc w:val="center"/>
            </w:pPr>
            <w:r>
              <w:rPr>
                <w:noProof/>
              </w:rPr>
              <w:drawing>
                <wp:inline distT="0" distB="0" distL="0" distR="0" wp14:anchorId="221087AF" wp14:editId="6F31F8B9">
                  <wp:extent cx="3333750" cy="20383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5041" cy="2039139"/>
                          </a:xfrm>
                          <a:prstGeom prst="rect">
                            <a:avLst/>
                          </a:prstGeom>
                          <a:noFill/>
                        </pic:spPr>
                      </pic:pic>
                    </a:graphicData>
                  </a:graphic>
                </wp:inline>
              </w:drawing>
            </w:r>
          </w:p>
        </w:tc>
      </w:tr>
      <w:tr w:rsidR="00E14176" w:rsidTr="00E14176">
        <w:tc>
          <w:tcPr>
            <w:tcW w:w="5273" w:type="dxa"/>
          </w:tcPr>
          <w:p w:rsidR="00E14176" w:rsidRDefault="00E14176" w:rsidP="00E1417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p>
        </w:tc>
        <w:tc>
          <w:tcPr>
            <w:tcW w:w="226" w:type="dxa"/>
          </w:tcPr>
          <w:p w:rsidR="00E14176" w:rsidRDefault="00E14176" w:rsidP="00E14176">
            <w:pPr>
              <w:pStyle w:val="GJStylesGraphSource"/>
            </w:pPr>
          </w:p>
        </w:tc>
        <w:tc>
          <w:tcPr>
            <w:tcW w:w="5272" w:type="dxa"/>
          </w:tcPr>
          <w:p w:rsidR="00E14176" w:rsidRDefault="00E14176" w:rsidP="00E1417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p>
        </w:tc>
      </w:tr>
    </w:tbl>
    <w:p w:rsidR="00BE2561" w:rsidRDefault="00385826" w:rsidP="00BE2561">
      <w:pPr>
        <w:pStyle w:val="21"/>
        <w:rPr>
          <w:color w:val="auto"/>
        </w:rPr>
      </w:pPr>
      <w:r>
        <w:rPr>
          <w:rFonts w:hint="eastAsia"/>
          <w:color w:val="auto"/>
        </w:rPr>
        <w:t>新兴市场：</w:t>
      </w:r>
      <w:r w:rsidR="008C3DC9">
        <w:rPr>
          <w:rFonts w:hint="eastAsia"/>
          <w:color w:val="auto"/>
        </w:rPr>
        <w:t>经济下行依旧</w:t>
      </w:r>
      <w:r w:rsidR="00BE2561" w:rsidRPr="00BE2561">
        <w:rPr>
          <w:rFonts w:hint="eastAsia"/>
          <w:color w:val="auto"/>
        </w:rPr>
        <w:t>，</w:t>
      </w:r>
      <w:r>
        <w:rPr>
          <w:rFonts w:hint="eastAsia"/>
          <w:color w:val="auto"/>
        </w:rPr>
        <w:t>延续</w:t>
      </w:r>
      <w:r w:rsidR="00BE2561" w:rsidRPr="00BE2561">
        <w:rPr>
          <w:rFonts w:hint="eastAsia"/>
          <w:color w:val="auto"/>
        </w:rPr>
        <w:t>回避策略</w:t>
      </w:r>
    </w:p>
    <w:p w:rsidR="00C52DE7" w:rsidRDefault="00C52DE7" w:rsidP="009E22EC">
      <w:pPr>
        <w:pStyle w:val="a0"/>
        <w:widowControl/>
        <w:numPr>
          <w:ilvl w:val="4"/>
          <w:numId w:val="3"/>
        </w:numPr>
        <w:rPr>
          <w:color w:val="auto"/>
        </w:rPr>
      </w:pPr>
      <w:r w:rsidRPr="00C52DE7">
        <w:rPr>
          <w:rFonts w:hint="eastAsia"/>
          <w:color w:val="auto"/>
        </w:rPr>
        <w:t>2016</w:t>
      </w:r>
      <w:r w:rsidRPr="00C52DE7">
        <w:rPr>
          <w:rFonts w:hint="eastAsia"/>
          <w:color w:val="auto"/>
        </w:rPr>
        <w:t>年，发展中经济体增长放缓局面仍将持续，</w:t>
      </w:r>
      <w:r>
        <w:rPr>
          <w:rFonts w:hint="eastAsia"/>
          <w:color w:val="auto"/>
        </w:rPr>
        <w:t>而</w:t>
      </w:r>
      <w:r w:rsidRPr="009E22EC">
        <w:rPr>
          <w:rFonts w:hint="eastAsia"/>
          <w:color w:val="auto"/>
        </w:rPr>
        <w:t>进行系统性的经济改革和调整</w:t>
      </w:r>
      <w:r>
        <w:rPr>
          <w:rFonts w:hint="eastAsia"/>
          <w:color w:val="auto"/>
        </w:rPr>
        <w:t>也将面临诸多困难和不确定性，</w:t>
      </w:r>
      <w:r w:rsidRPr="009E22EC">
        <w:rPr>
          <w:rFonts w:hint="eastAsia"/>
          <w:color w:val="auto"/>
        </w:rPr>
        <w:t>能否扫除经济发展的种种障碍仍有待进一步观察</w:t>
      </w:r>
      <w:r>
        <w:rPr>
          <w:rFonts w:hint="eastAsia"/>
          <w:color w:val="auto"/>
        </w:rPr>
        <w:t>。</w:t>
      </w:r>
      <w:r w:rsidR="00A6473C">
        <w:rPr>
          <w:rFonts w:hint="eastAsia"/>
          <w:color w:val="auto"/>
        </w:rPr>
        <w:t>俄罗斯、巴西等</w:t>
      </w:r>
      <w:r w:rsidR="00A6473C" w:rsidRPr="00385826">
        <w:rPr>
          <w:rFonts w:hint="eastAsia"/>
          <w:color w:val="auto"/>
        </w:rPr>
        <w:t>诸多国家陷入较为严重的萧条，在强美元周期下新兴经济体将陷入困顿已成为市场普遍共识。国金证券建议投资者警惕美元升值对于新兴市场风险溢价的不利影响</w:t>
      </w:r>
      <w:r w:rsidR="00A6473C">
        <w:rPr>
          <w:rFonts w:hint="eastAsia"/>
          <w:color w:val="auto"/>
        </w:rPr>
        <w:t>，</w:t>
      </w:r>
      <w:r w:rsidR="00A6473C" w:rsidRPr="00385826">
        <w:rPr>
          <w:rFonts w:hint="eastAsia"/>
          <w:color w:val="auto"/>
        </w:rPr>
        <w:t>维持对新兴市场</w:t>
      </w:r>
      <w:r w:rsidR="00A6473C">
        <w:rPr>
          <w:rFonts w:hint="eastAsia"/>
          <w:color w:val="auto"/>
        </w:rPr>
        <w:t>QDII</w:t>
      </w:r>
      <w:r w:rsidR="00A6473C">
        <w:rPr>
          <w:rFonts w:hint="eastAsia"/>
          <w:color w:val="auto"/>
        </w:rPr>
        <w:t>未来短期内的回避策略。</w:t>
      </w:r>
    </w:p>
    <w:p w:rsidR="008D3E75" w:rsidRPr="008D3E75" w:rsidRDefault="008D3E75" w:rsidP="009E22EC">
      <w:pPr>
        <w:pStyle w:val="a0"/>
        <w:widowControl/>
        <w:numPr>
          <w:ilvl w:val="4"/>
          <w:numId w:val="3"/>
        </w:numPr>
        <w:rPr>
          <w:color w:val="auto"/>
        </w:rPr>
      </w:pPr>
      <w:r w:rsidRPr="009E22EC">
        <w:rPr>
          <w:rFonts w:hint="eastAsia"/>
          <w:color w:val="auto"/>
        </w:rPr>
        <w:t>2016</w:t>
      </w:r>
      <w:r>
        <w:rPr>
          <w:rFonts w:hint="eastAsia"/>
          <w:color w:val="auto"/>
        </w:rPr>
        <w:t>年</w:t>
      </w:r>
      <w:r w:rsidRPr="009E22EC">
        <w:rPr>
          <w:rFonts w:hint="eastAsia"/>
          <w:color w:val="auto"/>
        </w:rPr>
        <w:t>新兴市场国家的经济增长仍将面临多重考验。</w:t>
      </w:r>
      <w:r>
        <w:rPr>
          <w:rFonts w:hint="eastAsia"/>
        </w:rPr>
        <w:t>首先，</w:t>
      </w:r>
      <w:r w:rsidR="00370C93">
        <w:rPr>
          <w:rFonts w:hint="eastAsia"/>
          <w:color w:val="auto"/>
        </w:rPr>
        <w:t>美联储启动加息周期</w:t>
      </w:r>
      <w:r>
        <w:rPr>
          <w:rFonts w:hint="eastAsia"/>
          <w:color w:val="auto"/>
        </w:rPr>
        <w:t>，</w:t>
      </w:r>
      <w:r>
        <w:rPr>
          <w:rFonts w:hint="eastAsia"/>
        </w:rPr>
        <w:t>美元资产对投资者</w:t>
      </w:r>
      <w:r w:rsidR="00AE7BAD">
        <w:rPr>
          <w:rFonts w:hint="eastAsia"/>
        </w:rPr>
        <w:t>的吸引力日趋增强，美元强势将在流动性方面对新兴国家形成冲击，使其</w:t>
      </w:r>
      <w:r>
        <w:rPr>
          <w:rFonts w:hint="eastAsia"/>
          <w:color w:val="auto"/>
        </w:rPr>
        <w:t>面临</w:t>
      </w:r>
      <w:r w:rsidRPr="009E22EC">
        <w:rPr>
          <w:rFonts w:hint="eastAsia"/>
          <w:color w:val="auto"/>
        </w:rPr>
        <w:t>资本外流、货币贬值</w:t>
      </w:r>
      <w:r>
        <w:rPr>
          <w:rFonts w:hint="eastAsia"/>
          <w:color w:val="auto"/>
        </w:rPr>
        <w:t>，</w:t>
      </w:r>
      <w:r>
        <w:rPr>
          <w:rFonts w:hint="eastAsia"/>
        </w:rPr>
        <w:t>加剧其金融市场动荡。</w:t>
      </w:r>
      <w:r>
        <w:rPr>
          <w:rFonts w:hint="eastAsia"/>
          <w:color w:val="auto"/>
        </w:rPr>
        <w:t>二是</w:t>
      </w:r>
      <w:r>
        <w:rPr>
          <w:rFonts w:hint="eastAsia"/>
        </w:rPr>
        <w:t>美元强周期下原油等大宗商品</w:t>
      </w:r>
      <w:r w:rsidR="00C44C83">
        <w:rPr>
          <w:rFonts w:hint="eastAsia"/>
        </w:rPr>
        <w:t>长期面临下行压力</w:t>
      </w:r>
      <w:r>
        <w:rPr>
          <w:rFonts w:hint="eastAsia"/>
        </w:rPr>
        <w:t>，令自身经济缺乏新增长点、依赖资源输出的新兴市场国家雪上加霜，而中国等经济体的大宗商品需求增速减弱预示着大宗商品疲弱局面或将继续维持。</w:t>
      </w:r>
      <w:r w:rsidR="00370C93">
        <w:rPr>
          <w:rFonts w:hint="eastAsia"/>
        </w:rPr>
        <w:t>第三，汇率市场、债务市场以及股票市场的大幅动荡，</w:t>
      </w:r>
      <w:r w:rsidR="00D74D6F">
        <w:rPr>
          <w:rFonts w:hint="eastAsia"/>
        </w:rPr>
        <w:t>皆</w:t>
      </w:r>
      <w:r w:rsidR="00370C93">
        <w:rPr>
          <w:rFonts w:hint="eastAsia"/>
        </w:rPr>
        <w:t>加剧了新兴经济体面临的考验。</w:t>
      </w:r>
      <w:r w:rsidR="008544D4">
        <w:rPr>
          <w:rFonts w:hint="eastAsia"/>
        </w:rPr>
        <w:t>此外，</w:t>
      </w:r>
      <w:r w:rsidR="008544D4">
        <w:rPr>
          <w:rFonts w:hint="eastAsia"/>
          <w:color w:val="auto"/>
        </w:rPr>
        <w:t>地缘政治风险亦将给相关国家经济运行添加</w:t>
      </w:r>
      <w:r w:rsidR="008544D4" w:rsidRPr="009E22EC">
        <w:rPr>
          <w:rFonts w:hint="eastAsia"/>
          <w:color w:val="auto"/>
        </w:rPr>
        <w:t>变数。</w:t>
      </w:r>
    </w:p>
    <w:p w:rsidR="00BE2561" w:rsidRDefault="00BE2561" w:rsidP="00BE2561">
      <w:pPr>
        <w:pStyle w:val="21"/>
        <w:rPr>
          <w:color w:val="auto"/>
        </w:rPr>
      </w:pPr>
      <w:r w:rsidRPr="00BE2561">
        <w:rPr>
          <w:rFonts w:hint="eastAsia"/>
          <w:color w:val="auto"/>
        </w:rPr>
        <w:t>大宗商品：</w:t>
      </w:r>
      <w:r w:rsidR="001521FE">
        <w:rPr>
          <w:rFonts w:hint="eastAsia"/>
          <w:color w:val="auto"/>
        </w:rPr>
        <w:t>中长期</w:t>
      </w:r>
      <w:r w:rsidR="00F70FCC">
        <w:rPr>
          <w:rFonts w:hint="eastAsia"/>
          <w:color w:val="auto"/>
        </w:rPr>
        <w:t>价格难有起色</w:t>
      </w:r>
    </w:p>
    <w:p w:rsidR="001521FE" w:rsidRDefault="008C3DC9" w:rsidP="008C3DC9">
      <w:pPr>
        <w:pStyle w:val="a0"/>
        <w:widowControl/>
        <w:numPr>
          <w:ilvl w:val="4"/>
          <w:numId w:val="3"/>
        </w:numPr>
      </w:pPr>
      <w:r>
        <w:rPr>
          <w:rFonts w:hint="eastAsia"/>
        </w:rPr>
        <w:t>2016</w:t>
      </w:r>
      <w:r>
        <w:rPr>
          <w:rFonts w:hint="eastAsia"/>
        </w:rPr>
        <w:t>年</w:t>
      </w:r>
      <w:r>
        <w:rPr>
          <w:rFonts w:hint="eastAsia"/>
        </w:rPr>
        <w:t>1</w:t>
      </w:r>
      <w:r>
        <w:rPr>
          <w:rFonts w:hint="eastAsia"/>
        </w:rPr>
        <w:t>月以来，部分</w:t>
      </w:r>
      <w:r w:rsidR="00C52DE7" w:rsidRPr="009E22EC">
        <w:rPr>
          <w:rFonts w:hint="eastAsia"/>
        </w:rPr>
        <w:t>大宗商品价格</w:t>
      </w:r>
      <w:r>
        <w:rPr>
          <w:rFonts w:hint="eastAsia"/>
        </w:rPr>
        <w:t>出现反弹，然而正如我们</w:t>
      </w:r>
      <w:r>
        <w:rPr>
          <w:rFonts w:hint="eastAsia"/>
        </w:rPr>
        <w:t>2</w:t>
      </w:r>
      <w:r>
        <w:rPr>
          <w:rFonts w:hint="eastAsia"/>
        </w:rPr>
        <w:t>月报告中所预测，</w:t>
      </w:r>
      <w:r>
        <w:rPr>
          <w:rFonts w:hint="eastAsia"/>
        </w:rPr>
        <w:t>2016</w:t>
      </w:r>
      <w:r>
        <w:rPr>
          <w:rFonts w:hint="eastAsia"/>
        </w:rPr>
        <w:t>年</w:t>
      </w:r>
      <w:r w:rsidR="00C44C83">
        <w:rPr>
          <w:rFonts w:hint="eastAsia"/>
        </w:rPr>
        <w:t>大宗商品整体</w:t>
      </w:r>
      <w:r w:rsidR="00AE7BAD">
        <w:rPr>
          <w:rFonts w:hint="eastAsia"/>
        </w:rPr>
        <w:t>仍将低位震荡，偶</w:t>
      </w:r>
      <w:r>
        <w:rPr>
          <w:rFonts w:hint="eastAsia"/>
        </w:rPr>
        <w:t>有小幅上行也难以形成趋势性价格</w:t>
      </w:r>
      <w:r w:rsidR="00C52DE7" w:rsidRPr="009E22EC">
        <w:rPr>
          <w:rFonts w:hint="eastAsia"/>
        </w:rPr>
        <w:t>上涨。</w:t>
      </w:r>
      <w:r>
        <w:rPr>
          <w:rFonts w:hint="eastAsia"/>
        </w:rPr>
        <w:t>从上涨原因分析，一方面是大宗商品超跌反弹的技术需要，另一方面也与</w:t>
      </w:r>
      <w:r w:rsidRPr="008C3DC9">
        <w:rPr>
          <w:rFonts w:hint="eastAsia"/>
        </w:rPr>
        <w:t>3</w:t>
      </w:r>
      <w:r w:rsidRPr="008C3DC9">
        <w:rPr>
          <w:rFonts w:hint="eastAsia"/>
        </w:rPr>
        <w:t>月</w:t>
      </w:r>
      <w:r>
        <w:rPr>
          <w:rFonts w:hint="eastAsia"/>
        </w:rPr>
        <w:t>份美联储加息预期较弱</w:t>
      </w:r>
      <w:r w:rsidRPr="008C3DC9">
        <w:rPr>
          <w:rFonts w:hint="eastAsia"/>
        </w:rPr>
        <w:t>导致</w:t>
      </w:r>
      <w:r>
        <w:rPr>
          <w:rFonts w:hint="eastAsia"/>
        </w:rPr>
        <w:t>的</w:t>
      </w:r>
      <w:r w:rsidRPr="008C3DC9">
        <w:rPr>
          <w:rFonts w:hint="eastAsia"/>
        </w:rPr>
        <w:t>美元走低</w:t>
      </w:r>
      <w:r>
        <w:rPr>
          <w:rFonts w:hint="eastAsia"/>
        </w:rPr>
        <w:t>有关。短期利好因素难以扭转大宗商品的结构性熊市局面：</w:t>
      </w:r>
      <w:r w:rsidRPr="008C3DC9">
        <w:rPr>
          <w:rFonts w:hint="eastAsia"/>
        </w:rPr>
        <w:t>在供应驱动的市场中</w:t>
      </w:r>
      <w:r>
        <w:rPr>
          <w:rFonts w:hint="eastAsia"/>
        </w:rPr>
        <w:t>，</w:t>
      </w:r>
      <w:r w:rsidRPr="008C3DC9">
        <w:rPr>
          <w:rFonts w:hint="eastAsia"/>
        </w:rPr>
        <w:t>价格走高</w:t>
      </w:r>
      <w:r>
        <w:rPr>
          <w:rFonts w:hint="eastAsia"/>
        </w:rPr>
        <w:t>必将使</w:t>
      </w:r>
      <w:r w:rsidRPr="008C3DC9">
        <w:rPr>
          <w:rFonts w:hint="eastAsia"/>
        </w:rPr>
        <w:t>供应重回市场</w:t>
      </w:r>
      <w:r>
        <w:rPr>
          <w:rFonts w:hint="eastAsia"/>
        </w:rPr>
        <w:t>，因此价格的上涨很难维持</w:t>
      </w:r>
      <w:r w:rsidRPr="008C3DC9">
        <w:rPr>
          <w:rFonts w:hint="eastAsia"/>
        </w:rPr>
        <w:t>。</w:t>
      </w:r>
      <w:r w:rsidR="00C44C83">
        <w:rPr>
          <w:rFonts w:hint="eastAsia"/>
        </w:rPr>
        <w:t>以原油为例</w:t>
      </w:r>
      <w:r>
        <w:rPr>
          <w:rFonts w:hint="eastAsia"/>
        </w:rPr>
        <w:t>，今年以来</w:t>
      </w:r>
      <w:r w:rsidRPr="008C3DC9">
        <w:rPr>
          <w:rFonts w:hint="eastAsia"/>
        </w:rPr>
        <w:t>油价</w:t>
      </w:r>
      <w:r>
        <w:rPr>
          <w:rFonts w:hint="eastAsia"/>
        </w:rPr>
        <w:t>的反弹很大程度上</w:t>
      </w:r>
      <w:r w:rsidRPr="008C3DC9">
        <w:rPr>
          <w:rFonts w:hint="eastAsia"/>
        </w:rPr>
        <w:t>得益于技术面的仓位调整</w:t>
      </w:r>
      <w:r>
        <w:rPr>
          <w:rFonts w:hint="eastAsia"/>
        </w:rPr>
        <w:t>，即便油价维持涨势，原油生产厂商恐将</w:t>
      </w:r>
      <w:r w:rsidRPr="008C3DC9">
        <w:rPr>
          <w:rFonts w:hint="eastAsia"/>
        </w:rPr>
        <w:t>开始对冲，</w:t>
      </w:r>
      <w:r>
        <w:rPr>
          <w:rFonts w:hint="eastAsia"/>
        </w:rPr>
        <w:t>则上行空间十分有限。</w:t>
      </w:r>
    </w:p>
    <w:p w:rsidR="00C52DE7" w:rsidRDefault="00AE7BAD" w:rsidP="001521FE">
      <w:pPr>
        <w:pStyle w:val="a0"/>
        <w:widowControl/>
        <w:numPr>
          <w:ilvl w:val="4"/>
          <w:numId w:val="3"/>
        </w:numPr>
      </w:pPr>
      <w:r>
        <w:rPr>
          <w:rFonts w:hint="eastAsia"/>
        </w:rPr>
        <w:t>综合而言，美元走强以及</w:t>
      </w:r>
      <w:r w:rsidR="00F70FCC">
        <w:rPr>
          <w:rFonts w:hint="eastAsia"/>
        </w:rPr>
        <w:t>包括中国在内的新兴市场经济增速放缓意味着支撑能源及贵金属价格的长期动力不足，</w:t>
      </w:r>
      <w:r w:rsidR="00C44C83">
        <w:rPr>
          <w:rFonts w:hint="eastAsia"/>
        </w:rPr>
        <w:t>故国金证券不建议</w:t>
      </w:r>
      <w:r w:rsidR="00EF24B1">
        <w:rPr>
          <w:rFonts w:hint="eastAsia"/>
        </w:rPr>
        <w:t>长期</w:t>
      </w:r>
      <w:r w:rsidR="00F70FCC">
        <w:rPr>
          <w:rFonts w:hint="eastAsia"/>
        </w:rPr>
        <w:t>投资</w:t>
      </w:r>
      <w:r w:rsidR="00EF24B1">
        <w:rPr>
          <w:rFonts w:hint="eastAsia"/>
        </w:rPr>
        <w:t>商品</w:t>
      </w:r>
      <w:r w:rsidR="00EF24B1">
        <w:rPr>
          <w:rFonts w:hint="eastAsia"/>
        </w:rPr>
        <w:t>QDII</w:t>
      </w:r>
      <w:r w:rsidR="008E4E56">
        <w:rPr>
          <w:rFonts w:hint="eastAsia"/>
        </w:rPr>
        <w:t>，</w:t>
      </w:r>
      <w:r w:rsidR="00EF24B1">
        <w:rPr>
          <w:rFonts w:hint="eastAsia"/>
        </w:rPr>
        <w:t>尤其是能源类品种</w:t>
      </w:r>
      <w:r w:rsidR="00F70FCC">
        <w:rPr>
          <w:rFonts w:hint="eastAsia"/>
        </w:rPr>
        <w:t>。</w:t>
      </w:r>
    </w:p>
    <w:p w:rsidR="00BE2561" w:rsidRDefault="00BE2561" w:rsidP="00BE2561">
      <w:pPr>
        <w:pStyle w:val="14"/>
        <w:ind w:leftChars="1890"/>
        <w:rPr>
          <w:color w:val="auto"/>
        </w:rPr>
      </w:pPr>
      <w:r w:rsidRPr="00BE2561">
        <w:rPr>
          <w:rFonts w:hint="eastAsia"/>
          <w:color w:val="auto"/>
        </w:rPr>
        <w:lastRenderedPageBreak/>
        <w:t>三、</w:t>
      </w:r>
      <w:r w:rsidR="00917278">
        <w:rPr>
          <w:rFonts w:hint="eastAsia"/>
          <w:color w:val="auto"/>
        </w:rPr>
        <w:t>3</w:t>
      </w:r>
      <w:r w:rsidRPr="00BE2561">
        <w:rPr>
          <w:rFonts w:hint="eastAsia"/>
          <w:color w:val="auto"/>
        </w:rPr>
        <w:t>月份</w:t>
      </w:r>
      <w:r w:rsidRPr="00BE2561">
        <w:rPr>
          <w:rFonts w:hint="eastAsia"/>
          <w:color w:val="auto"/>
        </w:rPr>
        <w:t>QDII</w:t>
      </w:r>
      <w:r w:rsidRPr="00BE2561">
        <w:rPr>
          <w:rFonts w:hint="eastAsia"/>
          <w:color w:val="auto"/>
        </w:rPr>
        <w:t>基金推荐</w:t>
      </w:r>
    </w:p>
    <w:p w:rsidR="008E4E56" w:rsidRPr="008E4E56" w:rsidRDefault="008E4E56" w:rsidP="008E4E56">
      <w:pPr>
        <w:pStyle w:val="a0"/>
        <w:widowControl/>
        <w:numPr>
          <w:ilvl w:val="4"/>
          <w:numId w:val="3"/>
        </w:numPr>
        <w:rPr>
          <w:color w:val="auto"/>
        </w:rPr>
      </w:pPr>
      <w:r w:rsidRPr="008E4E56">
        <w:rPr>
          <w:rFonts w:hint="eastAsia"/>
          <w:b/>
          <w:color w:val="auto"/>
        </w:rPr>
        <w:t>汇添富黄金及贵金属</w:t>
      </w:r>
      <w:r w:rsidRPr="008E4E56">
        <w:rPr>
          <w:rFonts w:hint="eastAsia"/>
          <w:b/>
          <w:color w:val="auto"/>
        </w:rPr>
        <w:t>(</w:t>
      </w:r>
      <w:r w:rsidRPr="008E4E56">
        <w:rPr>
          <w:b/>
          <w:color w:val="auto"/>
        </w:rPr>
        <w:t>164701</w:t>
      </w:r>
      <w:r w:rsidRPr="008E4E56">
        <w:rPr>
          <w:rFonts w:hint="eastAsia"/>
          <w:b/>
          <w:color w:val="auto"/>
        </w:rPr>
        <w:t>)</w:t>
      </w:r>
      <w:r w:rsidRPr="008E4E56">
        <w:rPr>
          <w:rFonts w:hint="eastAsia"/>
          <w:b/>
          <w:color w:val="auto"/>
        </w:rPr>
        <w:t>：</w:t>
      </w:r>
      <w:r w:rsidRPr="008E4E56">
        <w:rPr>
          <w:rFonts w:hint="eastAsia"/>
          <w:color w:val="auto"/>
        </w:rPr>
        <w:t>深入研究影响黄金及其他贵金属价格的主要因素，把握不同品种贵金属的长期价格趋势和短期市场波动，通过投资黄金、白银、铂金、钯金四种核心贵金属支持的</w:t>
      </w:r>
      <w:r w:rsidRPr="008E4E56">
        <w:rPr>
          <w:rFonts w:hint="eastAsia"/>
          <w:color w:val="auto"/>
        </w:rPr>
        <w:t>ETF</w:t>
      </w:r>
      <w:r w:rsidRPr="008E4E56">
        <w:rPr>
          <w:rFonts w:hint="eastAsia"/>
          <w:color w:val="auto"/>
        </w:rPr>
        <w:t>，有效降低单一品种价格波动风险、平滑收益。黄金、白银、铂金、钯金的价格受到不同因素的影响，收益相关性并不高，能够起到较好的互补作用。</w:t>
      </w:r>
    </w:p>
    <w:p w:rsidR="00AD5E2B" w:rsidRDefault="00AD5E2B" w:rsidP="00414C2E">
      <w:pPr>
        <w:pStyle w:val="a0"/>
        <w:widowControl/>
        <w:numPr>
          <w:ilvl w:val="4"/>
          <w:numId w:val="3"/>
        </w:numPr>
        <w:rPr>
          <w:color w:val="auto"/>
        </w:rPr>
      </w:pPr>
      <w:r w:rsidRPr="00AD5E2B">
        <w:rPr>
          <w:rFonts w:hint="eastAsia"/>
          <w:b/>
          <w:color w:val="auto"/>
        </w:rPr>
        <w:t>易方达黄金主题</w:t>
      </w:r>
      <w:r w:rsidRPr="00AD5E2B">
        <w:rPr>
          <w:rFonts w:hint="eastAsia"/>
          <w:b/>
          <w:color w:val="auto"/>
        </w:rPr>
        <w:t>(161116)</w:t>
      </w:r>
      <w:r>
        <w:rPr>
          <w:rFonts w:hint="eastAsia"/>
          <w:b/>
          <w:color w:val="auto"/>
        </w:rPr>
        <w:t>：</w:t>
      </w:r>
      <w:r w:rsidR="00414C2E" w:rsidRPr="00414C2E">
        <w:rPr>
          <w:color w:val="auto"/>
        </w:rPr>
        <w:t>通过主动配置黄金基金、黄金采掘公司股票及其他资产，追求基金资产的长期稳定增值。</w:t>
      </w:r>
      <w:r w:rsidR="00414C2E">
        <w:rPr>
          <w:rFonts w:hint="eastAsia"/>
          <w:color w:val="auto"/>
        </w:rPr>
        <w:t>在过往的投资管理中，易方达黄金主题相比市场同类基金在</w:t>
      </w:r>
      <w:r w:rsidR="00414C2E" w:rsidRPr="00414C2E">
        <w:rPr>
          <w:rFonts w:hint="eastAsia"/>
          <w:color w:val="auto"/>
        </w:rPr>
        <w:t>主动管理能力</w:t>
      </w:r>
      <w:r w:rsidR="00414C2E">
        <w:rPr>
          <w:rFonts w:hint="eastAsia"/>
          <w:color w:val="auto"/>
        </w:rPr>
        <w:t>上具备一定优势</w:t>
      </w:r>
      <w:r w:rsidR="00414C2E" w:rsidRPr="00414C2E">
        <w:rPr>
          <w:rFonts w:hint="eastAsia"/>
          <w:color w:val="auto"/>
        </w:rPr>
        <w:t>。基金经理注重根据对黄金价格走势的判断，在黄金基金、黄金采掘公司股票及其他资产之间进行主动配置，通过权益、衍生品投资明显增强了基金收益。</w:t>
      </w:r>
    </w:p>
    <w:p w:rsidR="00CE133A" w:rsidRPr="0036236D" w:rsidRDefault="00CE133A" w:rsidP="00CE133A">
      <w:pPr>
        <w:pStyle w:val="a0"/>
        <w:widowControl/>
        <w:numPr>
          <w:ilvl w:val="4"/>
          <w:numId w:val="3"/>
        </w:numPr>
        <w:rPr>
          <w:szCs w:val="21"/>
        </w:rPr>
      </w:pPr>
      <w:r w:rsidRPr="00CE0E8B">
        <w:rPr>
          <w:rFonts w:hint="eastAsia"/>
          <w:b/>
          <w:color w:val="auto"/>
        </w:rPr>
        <w:t>博时亚洲票息人民币</w:t>
      </w:r>
      <w:r w:rsidRPr="00CE0E8B">
        <w:rPr>
          <w:rFonts w:hint="eastAsia"/>
          <w:b/>
          <w:color w:val="auto"/>
        </w:rPr>
        <w:t>(050030)</w:t>
      </w:r>
      <w:r>
        <w:rPr>
          <w:rFonts w:hint="eastAsia"/>
          <w:b/>
          <w:color w:val="auto"/>
        </w:rPr>
        <w:t>：</w:t>
      </w:r>
      <w:r w:rsidRPr="0036236D">
        <w:rPr>
          <w:rFonts w:hint="eastAsia"/>
          <w:szCs w:val="21"/>
        </w:rPr>
        <w:t>通过分析亚洲区域各国家和地区的宏观经济状况以及各发债主体的微观基本面，寻找各类债券的投</w:t>
      </w:r>
      <w:r>
        <w:rPr>
          <w:rFonts w:hint="eastAsia"/>
          <w:szCs w:val="21"/>
        </w:rPr>
        <w:t>资机会。</w:t>
      </w:r>
      <w:r w:rsidRPr="00E14176">
        <w:rPr>
          <w:rFonts w:hint="eastAsia"/>
          <w:szCs w:val="21"/>
        </w:rPr>
        <w:t>成立于</w:t>
      </w:r>
      <w:r w:rsidRPr="00E14176">
        <w:rPr>
          <w:rFonts w:hint="eastAsia"/>
          <w:szCs w:val="21"/>
        </w:rPr>
        <w:t>2013</w:t>
      </w:r>
      <w:r w:rsidRPr="00E14176">
        <w:rPr>
          <w:rFonts w:hint="eastAsia"/>
          <w:szCs w:val="21"/>
        </w:rPr>
        <w:t>年</w:t>
      </w:r>
      <w:r w:rsidRPr="00E14176">
        <w:rPr>
          <w:rFonts w:hint="eastAsia"/>
          <w:szCs w:val="21"/>
        </w:rPr>
        <w:t>2</w:t>
      </w:r>
      <w:r w:rsidRPr="00E14176">
        <w:rPr>
          <w:rFonts w:hint="eastAsia"/>
          <w:szCs w:val="21"/>
        </w:rPr>
        <w:t>月，是市场上首只以亚洲美元债券市场为主要投资标的的产品</w:t>
      </w:r>
      <w:r>
        <w:rPr>
          <w:rFonts w:hint="eastAsia"/>
          <w:szCs w:val="21"/>
        </w:rPr>
        <w:t>，以买入持有策略为主，配合交易策略，追求</w:t>
      </w:r>
      <w:r w:rsidRPr="00E14176">
        <w:rPr>
          <w:rFonts w:hint="eastAsia"/>
          <w:szCs w:val="21"/>
        </w:rPr>
        <w:t>稳定的票息收益和资本增值。</w:t>
      </w:r>
    </w:p>
    <w:p w:rsidR="00CE133A" w:rsidRPr="00CE133A" w:rsidRDefault="00CE133A" w:rsidP="00CE133A">
      <w:pPr>
        <w:pStyle w:val="a0"/>
        <w:widowControl/>
        <w:numPr>
          <w:ilvl w:val="4"/>
          <w:numId w:val="3"/>
        </w:numPr>
        <w:rPr>
          <w:color w:val="auto"/>
        </w:rPr>
      </w:pPr>
      <w:r w:rsidRPr="00CE0E8B">
        <w:rPr>
          <w:rFonts w:hint="eastAsia"/>
          <w:b/>
          <w:color w:val="auto"/>
        </w:rPr>
        <w:t>鹏华全球高收益债人民币</w:t>
      </w:r>
      <w:r w:rsidRPr="00CE0E8B">
        <w:rPr>
          <w:rFonts w:hint="eastAsia"/>
          <w:b/>
          <w:color w:val="auto"/>
        </w:rPr>
        <w:t>(000290)</w:t>
      </w:r>
      <w:r w:rsidRPr="00CE0E8B">
        <w:rPr>
          <w:rFonts w:hint="eastAsia"/>
          <w:b/>
          <w:color w:val="auto"/>
        </w:rPr>
        <w:t>：</w:t>
      </w:r>
      <w:r>
        <w:rPr>
          <w:rFonts w:hint="eastAsia"/>
          <w:color w:val="auto"/>
        </w:rPr>
        <w:t>定位于</w:t>
      </w:r>
      <w:r w:rsidRPr="0036236D">
        <w:rPr>
          <w:rFonts w:hint="eastAsia"/>
          <w:color w:val="auto"/>
        </w:rPr>
        <w:t>全球各国家和地区</w:t>
      </w:r>
      <w:r>
        <w:rPr>
          <w:rFonts w:hint="eastAsia"/>
          <w:color w:val="auto"/>
        </w:rPr>
        <w:t>，以高收益债券为主要投资标的</w:t>
      </w:r>
      <w:r w:rsidRPr="0036236D">
        <w:rPr>
          <w:rFonts w:hint="eastAsia"/>
          <w:color w:val="auto"/>
        </w:rPr>
        <w:t>。</w:t>
      </w:r>
      <w:r w:rsidRPr="00E14176">
        <w:rPr>
          <w:rFonts w:hint="eastAsia"/>
          <w:color w:val="auto"/>
        </w:rPr>
        <w:t>基金经理表示，相对于经过央行多次降息、降准后的境内人民币债券市场，境外债券市场的信用息差偏大，不同主体发行的债券收益率也往往有较大差别</w:t>
      </w:r>
      <w:r>
        <w:rPr>
          <w:rFonts w:hint="eastAsia"/>
          <w:color w:val="auto"/>
        </w:rPr>
        <w:t>，且当前美元债券收益率明显高于境内人民币债券；此外借道该基金</w:t>
      </w:r>
      <w:r w:rsidRPr="00E14176">
        <w:rPr>
          <w:rFonts w:hint="eastAsia"/>
          <w:color w:val="auto"/>
        </w:rPr>
        <w:t>间接配置中国公司发行的海外美元企业债券，有机会获取更高的利息收入。</w:t>
      </w:r>
    </w:p>
    <w:tbl>
      <w:tblPr>
        <w:tblStyle w:val="GJStylesChartInsertDoubleCol"/>
        <w:tblW w:w="10771" w:type="dxa"/>
        <w:tblLayout w:type="fixed"/>
        <w:tblLook w:val="07E0" w:firstRow="1" w:lastRow="1" w:firstColumn="1" w:lastColumn="1" w:noHBand="1" w:noVBand="1"/>
      </w:tblPr>
      <w:tblGrid>
        <w:gridCol w:w="5273"/>
        <w:gridCol w:w="226"/>
        <w:gridCol w:w="5272"/>
      </w:tblGrid>
      <w:tr w:rsidR="00E14176" w:rsidTr="00E14176">
        <w:tc>
          <w:tcPr>
            <w:cnfStyle w:val="001000000000" w:firstRow="0" w:lastRow="0" w:firstColumn="1" w:lastColumn="0" w:oddVBand="0" w:evenVBand="0" w:oddHBand="0" w:evenHBand="0" w:firstRowFirstColumn="0" w:firstRowLastColumn="0" w:lastRowFirstColumn="0" w:lastRowLastColumn="0"/>
            <w:tcW w:w="5273" w:type="dxa"/>
          </w:tcPr>
          <w:p w:rsidR="00E14176" w:rsidRPr="00E14176" w:rsidRDefault="00E14176" w:rsidP="00E1417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7</w:t>
            </w:r>
            <w:r>
              <w:fldChar w:fldCharType="end"/>
            </w:r>
            <w:r>
              <w:rPr>
                <w:rFonts w:hint="eastAsia"/>
              </w:rPr>
              <w:t>：</w:t>
            </w:r>
            <w:r w:rsidR="00CE133A" w:rsidRPr="008E4E56">
              <w:rPr>
                <w:rFonts w:hint="eastAsia"/>
                <w:color w:val="auto"/>
              </w:rPr>
              <w:t>汇添富黄金及贵金属</w:t>
            </w:r>
            <w:r w:rsidR="00CE133A" w:rsidRPr="008E4E56">
              <w:rPr>
                <w:color w:val="auto"/>
              </w:rPr>
              <w:t>(164701)</w:t>
            </w:r>
            <w:r w:rsidR="00CE133A" w:rsidRPr="008E4E56">
              <w:rPr>
                <w:rFonts w:hint="eastAsia"/>
                <w:color w:val="auto"/>
              </w:rPr>
              <w:t>：</w:t>
            </w:r>
          </w:p>
        </w:tc>
        <w:tc>
          <w:tcPr>
            <w:tcW w:w="226" w:type="dxa"/>
          </w:tcPr>
          <w:p w:rsidR="00E14176" w:rsidRDefault="00E14176" w:rsidP="00E1417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E14176" w:rsidRDefault="00E14176" w:rsidP="00E1417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8</w:t>
            </w:r>
            <w:r>
              <w:rPr>
                <w:color w:val="auto"/>
              </w:rPr>
              <w:fldChar w:fldCharType="end"/>
            </w:r>
            <w:r>
              <w:rPr>
                <w:rFonts w:hint="eastAsia"/>
                <w:color w:val="auto"/>
              </w:rPr>
              <w:t>：</w:t>
            </w:r>
            <w:r w:rsidR="00CE133A" w:rsidRPr="00AD5E2B">
              <w:rPr>
                <w:rFonts w:hint="eastAsia"/>
                <w:color w:val="auto"/>
              </w:rPr>
              <w:t>易方达黄金主题</w:t>
            </w:r>
            <w:r w:rsidR="00CE133A">
              <w:rPr>
                <w:rFonts w:hint="eastAsia"/>
                <w:color w:val="auto"/>
              </w:rPr>
              <w:t>(161116)</w:t>
            </w:r>
          </w:p>
        </w:tc>
      </w:tr>
      <w:tr w:rsidR="00E14176" w:rsidTr="00E14176">
        <w:trPr>
          <w:trHeight w:val="2547"/>
        </w:trPr>
        <w:tc>
          <w:tcPr>
            <w:cnfStyle w:val="001000000000" w:firstRow="0" w:lastRow="0" w:firstColumn="1" w:lastColumn="0" w:oddVBand="0" w:evenVBand="0" w:oddHBand="0" w:evenHBand="0" w:firstRowFirstColumn="0" w:firstRowLastColumn="0" w:lastRowFirstColumn="0" w:lastRowLastColumn="0"/>
            <w:tcW w:w="5273" w:type="dxa"/>
            <w:vAlign w:val="center"/>
          </w:tcPr>
          <w:p w:rsidR="00E14176" w:rsidRPr="00E14176" w:rsidRDefault="00CE133A" w:rsidP="00E14176">
            <w:pPr>
              <w:jc w:val="center"/>
            </w:pPr>
            <w:r>
              <w:rPr>
                <w:noProof/>
              </w:rPr>
              <w:drawing>
                <wp:inline distT="0" distB="0" distL="0" distR="0" wp14:anchorId="07992519" wp14:editId="1930DA92">
                  <wp:extent cx="3352800" cy="159067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标题.jpg"/>
                          <pic:cNvPicPr/>
                        </pic:nvPicPr>
                        <pic:blipFill>
                          <a:blip r:embed="rId15">
                            <a:extLst>
                              <a:ext uri="{28A0092B-C50C-407E-A947-70E740481C1C}">
                                <a14:useLocalDpi xmlns:a14="http://schemas.microsoft.com/office/drawing/2010/main" val="0"/>
                              </a:ext>
                            </a:extLst>
                          </a:blip>
                          <a:stretch>
                            <a:fillRect/>
                          </a:stretch>
                        </pic:blipFill>
                        <pic:spPr>
                          <a:xfrm>
                            <a:off x="0" y="0"/>
                            <a:ext cx="3348355" cy="1588566"/>
                          </a:xfrm>
                          <a:prstGeom prst="rect">
                            <a:avLst/>
                          </a:prstGeom>
                        </pic:spPr>
                      </pic:pic>
                    </a:graphicData>
                  </a:graphic>
                </wp:inline>
              </w:drawing>
            </w:r>
          </w:p>
        </w:tc>
        <w:tc>
          <w:tcPr>
            <w:tcW w:w="226" w:type="dxa"/>
            <w:vAlign w:val="center"/>
          </w:tcPr>
          <w:p w:rsidR="00E14176" w:rsidRDefault="00E14176"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rPr>
                <w:b/>
                <w:color w:val="auto"/>
              </w:rPr>
            </w:pPr>
          </w:p>
        </w:tc>
        <w:tc>
          <w:tcPr>
            <w:cnfStyle w:val="000100000000" w:firstRow="0" w:lastRow="0" w:firstColumn="0" w:lastColumn="1" w:oddVBand="0" w:evenVBand="0" w:oddHBand="0" w:evenHBand="0" w:firstRowFirstColumn="0" w:firstRowLastColumn="0" w:lastRowFirstColumn="0" w:lastRowLastColumn="0"/>
            <w:tcW w:w="5272" w:type="dxa"/>
            <w:vAlign w:val="center"/>
          </w:tcPr>
          <w:p w:rsidR="00E14176" w:rsidRPr="00E14176" w:rsidRDefault="00CE133A" w:rsidP="00E14176">
            <w:pPr>
              <w:jc w:val="center"/>
            </w:pPr>
            <w:r>
              <w:rPr>
                <w:noProof/>
              </w:rPr>
              <w:drawing>
                <wp:inline distT="0" distB="0" distL="0" distR="0">
                  <wp:extent cx="3343275" cy="160972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6">
                            <a:extLst>
                              <a:ext uri="{28A0092B-C50C-407E-A947-70E740481C1C}">
                                <a14:useLocalDpi xmlns:a14="http://schemas.microsoft.com/office/drawing/2010/main" val="0"/>
                              </a:ext>
                            </a:extLst>
                          </a:blip>
                          <a:stretch>
                            <a:fillRect/>
                          </a:stretch>
                        </pic:blipFill>
                        <pic:spPr>
                          <a:xfrm>
                            <a:off x="0" y="0"/>
                            <a:ext cx="3347720" cy="1611865"/>
                          </a:xfrm>
                          <a:prstGeom prst="rect">
                            <a:avLst/>
                          </a:prstGeom>
                        </pic:spPr>
                      </pic:pic>
                    </a:graphicData>
                  </a:graphic>
                </wp:inline>
              </w:drawing>
            </w:r>
          </w:p>
        </w:tc>
      </w:tr>
      <w:tr w:rsidR="00E14176" w:rsidTr="00E14176">
        <w:tc>
          <w:tcPr>
            <w:cnfStyle w:val="001000000000" w:firstRow="0" w:lastRow="0" w:firstColumn="1" w:lastColumn="0" w:oddVBand="0" w:evenVBand="0" w:oddHBand="0" w:evenHBand="0" w:firstRowFirstColumn="0" w:firstRowLastColumn="0" w:lastRowFirstColumn="0" w:lastRowLastColumn="0"/>
            <w:tcW w:w="5273" w:type="dxa"/>
          </w:tcPr>
          <w:p w:rsidR="00E14176" w:rsidRDefault="00E14176" w:rsidP="00E14176">
            <w:pPr>
              <w:pStyle w:val="GJStylesGraphSource"/>
            </w:pPr>
            <w:r>
              <w:rPr>
                <w:rFonts w:hint="eastAsia"/>
              </w:rPr>
              <w:t>来源：国金证券研究所</w:t>
            </w:r>
          </w:p>
        </w:tc>
        <w:tc>
          <w:tcPr>
            <w:tcW w:w="226" w:type="dxa"/>
          </w:tcPr>
          <w:p w:rsidR="00E14176" w:rsidRDefault="00E14176" w:rsidP="00E14176">
            <w:pPr>
              <w:pStyle w:val="GJStylesGraphSource"/>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272" w:type="dxa"/>
          </w:tcPr>
          <w:p w:rsidR="00E14176" w:rsidRDefault="00E14176" w:rsidP="00E14176">
            <w:pPr>
              <w:pStyle w:val="GJStylesGraphSource"/>
            </w:pPr>
            <w:r>
              <w:rPr>
                <w:rFonts w:hint="eastAsia"/>
              </w:rPr>
              <w:t>来源：国金证券研究所</w:t>
            </w:r>
          </w:p>
        </w:tc>
      </w:tr>
      <w:tr w:rsidR="00E14176" w:rsidTr="00E14176">
        <w:tc>
          <w:tcPr>
            <w:cnfStyle w:val="001000000000" w:firstRow="0" w:lastRow="0" w:firstColumn="1" w:lastColumn="0" w:oddVBand="0" w:evenVBand="0" w:oddHBand="0" w:evenHBand="0" w:firstRowFirstColumn="0" w:firstRowLastColumn="0" w:lastRowFirstColumn="0" w:lastRowLastColumn="0"/>
            <w:tcW w:w="5273" w:type="dxa"/>
          </w:tcPr>
          <w:p w:rsidR="00E14176" w:rsidRPr="00E14176" w:rsidRDefault="00E14176" w:rsidP="00AD5E2B">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9</w:t>
            </w:r>
            <w:r>
              <w:fldChar w:fldCharType="end"/>
            </w:r>
            <w:r>
              <w:rPr>
                <w:rFonts w:hint="eastAsia"/>
              </w:rPr>
              <w:t>：</w:t>
            </w:r>
            <w:r w:rsidR="00CE133A" w:rsidRPr="00CE0E8B">
              <w:rPr>
                <w:rFonts w:hint="eastAsia"/>
                <w:color w:val="auto"/>
              </w:rPr>
              <w:t>博时亚洲票息人民币</w:t>
            </w:r>
            <w:r w:rsidR="00CE133A" w:rsidRPr="00CE0E8B">
              <w:rPr>
                <w:rFonts w:hint="eastAsia"/>
                <w:color w:val="auto"/>
              </w:rPr>
              <w:t>(050030)</w:t>
            </w:r>
          </w:p>
        </w:tc>
        <w:tc>
          <w:tcPr>
            <w:tcW w:w="226" w:type="dxa"/>
          </w:tcPr>
          <w:p w:rsidR="00E14176" w:rsidRDefault="00E14176" w:rsidP="00E1417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E14176" w:rsidRDefault="00E14176" w:rsidP="00E1417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10</w:t>
            </w:r>
            <w:r>
              <w:rPr>
                <w:color w:val="auto"/>
              </w:rPr>
              <w:fldChar w:fldCharType="end"/>
            </w:r>
            <w:r>
              <w:rPr>
                <w:rFonts w:hint="eastAsia"/>
                <w:color w:val="auto"/>
              </w:rPr>
              <w:t>：</w:t>
            </w:r>
            <w:r w:rsidR="00CE133A" w:rsidRPr="00CE0E8B">
              <w:rPr>
                <w:rFonts w:hint="eastAsia"/>
                <w:color w:val="auto"/>
              </w:rPr>
              <w:t>鹏华全球高收益债人民币</w:t>
            </w:r>
            <w:r w:rsidR="00CE133A" w:rsidRPr="00CE0E8B">
              <w:rPr>
                <w:rFonts w:hint="eastAsia"/>
                <w:color w:val="auto"/>
              </w:rPr>
              <w:t>(000290)</w:t>
            </w:r>
          </w:p>
        </w:tc>
      </w:tr>
      <w:tr w:rsidR="00E14176" w:rsidTr="00E14176">
        <w:trPr>
          <w:trHeight w:val="2523"/>
        </w:trPr>
        <w:tc>
          <w:tcPr>
            <w:cnfStyle w:val="001000000000" w:firstRow="0" w:lastRow="0" w:firstColumn="1" w:lastColumn="0" w:oddVBand="0" w:evenVBand="0" w:oddHBand="0" w:evenHBand="0" w:firstRowFirstColumn="0" w:firstRowLastColumn="0" w:lastRowFirstColumn="0" w:lastRowLastColumn="0"/>
            <w:tcW w:w="5273" w:type="dxa"/>
            <w:vAlign w:val="center"/>
          </w:tcPr>
          <w:p w:rsidR="00E14176" w:rsidRPr="00E14176" w:rsidRDefault="00CE133A" w:rsidP="00E14176">
            <w:pPr>
              <w:jc w:val="center"/>
            </w:pPr>
            <w:r>
              <w:rPr>
                <w:noProof/>
              </w:rPr>
              <w:drawing>
                <wp:inline distT="0" distB="0" distL="0" distR="0">
                  <wp:extent cx="3346934" cy="157162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7">
                            <a:extLst>
                              <a:ext uri="{28A0092B-C50C-407E-A947-70E740481C1C}">
                                <a14:useLocalDpi xmlns:a14="http://schemas.microsoft.com/office/drawing/2010/main" val="0"/>
                              </a:ext>
                            </a:extLst>
                          </a:blip>
                          <a:stretch>
                            <a:fillRect/>
                          </a:stretch>
                        </pic:blipFill>
                        <pic:spPr>
                          <a:xfrm>
                            <a:off x="0" y="0"/>
                            <a:ext cx="3348355" cy="1572292"/>
                          </a:xfrm>
                          <a:prstGeom prst="rect">
                            <a:avLst/>
                          </a:prstGeom>
                        </pic:spPr>
                      </pic:pic>
                    </a:graphicData>
                  </a:graphic>
                </wp:inline>
              </w:drawing>
            </w:r>
          </w:p>
        </w:tc>
        <w:tc>
          <w:tcPr>
            <w:tcW w:w="226" w:type="dxa"/>
            <w:vAlign w:val="center"/>
          </w:tcPr>
          <w:p w:rsidR="00E14176" w:rsidRDefault="00E14176" w:rsidP="00E14176">
            <w:pPr>
              <w:pStyle w:val="a0"/>
              <w:widowControl/>
              <w:ind w:left="0"/>
              <w:jc w:val="center"/>
              <w:cnfStyle w:val="000000000000" w:firstRow="0" w:lastRow="0" w:firstColumn="0" w:lastColumn="0" w:oddVBand="0" w:evenVBand="0" w:oddHBand="0" w:evenHBand="0" w:firstRowFirstColumn="0" w:firstRowLastColumn="0" w:lastRowFirstColumn="0" w:lastRowLastColumn="0"/>
              <w:rPr>
                <w:b/>
                <w:color w:val="auto"/>
              </w:rPr>
            </w:pPr>
          </w:p>
        </w:tc>
        <w:tc>
          <w:tcPr>
            <w:cnfStyle w:val="000100000000" w:firstRow="0" w:lastRow="0" w:firstColumn="0" w:lastColumn="1" w:oddVBand="0" w:evenVBand="0" w:oddHBand="0" w:evenHBand="0" w:firstRowFirstColumn="0" w:firstRowLastColumn="0" w:lastRowFirstColumn="0" w:lastRowLastColumn="0"/>
            <w:tcW w:w="5272" w:type="dxa"/>
            <w:vAlign w:val="center"/>
          </w:tcPr>
          <w:p w:rsidR="00E14176" w:rsidRPr="00E14176" w:rsidRDefault="00CE133A" w:rsidP="00E14176">
            <w:pPr>
              <w:jc w:val="center"/>
            </w:pPr>
            <w:r>
              <w:rPr>
                <w:noProof/>
              </w:rPr>
              <w:drawing>
                <wp:inline distT="0" distB="0" distL="0" distR="0">
                  <wp:extent cx="3343275" cy="160972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18">
                            <a:extLst>
                              <a:ext uri="{28A0092B-C50C-407E-A947-70E740481C1C}">
                                <a14:useLocalDpi xmlns:a14="http://schemas.microsoft.com/office/drawing/2010/main" val="0"/>
                              </a:ext>
                            </a:extLst>
                          </a:blip>
                          <a:stretch>
                            <a:fillRect/>
                          </a:stretch>
                        </pic:blipFill>
                        <pic:spPr>
                          <a:xfrm>
                            <a:off x="0" y="0"/>
                            <a:ext cx="3347720" cy="1611865"/>
                          </a:xfrm>
                          <a:prstGeom prst="rect">
                            <a:avLst/>
                          </a:prstGeom>
                        </pic:spPr>
                      </pic:pic>
                    </a:graphicData>
                  </a:graphic>
                </wp:inline>
              </w:drawing>
            </w:r>
          </w:p>
        </w:tc>
      </w:tr>
      <w:tr w:rsidR="00E14176" w:rsidTr="00E14176">
        <w:tc>
          <w:tcPr>
            <w:tcW w:w="5273" w:type="dxa"/>
          </w:tcPr>
          <w:p w:rsidR="00E14176" w:rsidRDefault="00E14176" w:rsidP="00E1417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p>
        </w:tc>
        <w:tc>
          <w:tcPr>
            <w:tcW w:w="226" w:type="dxa"/>
          </w:tcPr>
          <w:p w:rsidR="00E14176" w:rsidRDefault="00E14176" w:rsidP="00E14176">
            <w:pPr>
              <w:pStyle w:val="GJStylesGraphSource"/>
            </w:pPr>
          </w:p>
        </w:tc>
        <w:tc>
          <w:tcPr>
            <w:tcW w:w="5272" w:type="dxa"/>
          </w:tcPr>
          <w:p w:rsidR="00E14176" w:rsidRDefault="00E14176" w:rsidP="00E1417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p>
        </w:tc>
      </w:tr>
    </w:tbl>
    <w:p w:rsidR="00E14176" w:rsidRPr="00E14176" w:rsidRDefault="00E14176" w:rsidP="00E14176">
      <w:pPr>
        <w:pStyle w:val="a0"/>
        <w:widowControl/>
        <w:ind w:left="3430"/>
        <w:rPr>
          <w:color w:val="auto"/>
        </w:rPr>
      </w:pPr>
    </w:p>
    <w:p w:rsidR="0005161F" w:rsidRDefault="0039542B" w:rsidP="00776898">
      <w:pPr>
        <w:pStyle w:val="a0"/>
        <w:pageBreakBefore/>
        <w:ind w:left="0"/>
      </w:pPr>
      <w:r>
        <w:rPr>
          <w:noProof/>
        </w:rPr>
        <w:lastRenderedPageBreak/>
        <w:pict>
          <v:shape id="Text Box 353" o:spid="_x0000_s1026" type="#_x0000_t202" style="position:absolute;left:0;text-align:left;margin-left:-7.05pt;margin-top:77.1pt;width:545.95pt;height:337.8pt;z-index:251654656;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p+AIAAIU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" filled="f" stroked="f">
            <v:textbox>
              <w:txbxContent>
                <w:p w:rsidR="0032465D" w:rsidRDefault="0032465D"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32465D" w:rsidRPr="00EE31AB" w:rsidRDefault="0032465D"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32465D" w:rsidRDefault="0032465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32465D" w:rsidRDefault="0032465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作出任何担保。且本报告中的资料、意见、预测均反映报告初次公开发布时的判断，在不作事先通知的情况下，可能会随时调整。</w:t>
                  </w:r>
                </w:p>
                <w:p w:rsidR="0032465D" w:rsidRDefault="0032465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客户应当考虑到国金证券存在可能影响本报告客观性的利益冲突，而不应视本报告为作出投资决策的唯一因素。本报告亦非作为或被视为出售或购买证券或其他投资标的邀请。</w:t>
                  </w:r>
                </w:p>
                <w:p w:rsidR="0032465D" w:rsidRDefault="0032465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32465D" w:rsidRDefault="0032465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32465D" w:rsidRDefault="0032465D"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32465D" w:rsidRDefault="0032465D"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32465D" w:rsidRDefault="0032465D" w:rsidP="000E6AE0">
                  <w:pPr>
                    <w:pStyle w:val="a0"/>
                    <w:spacing w:after="60"/>
                    <w:ind w:left="0" w:rightChars="-27" w:right="-49"/>
                    <w:rPr>
                      <w:color w:val="auto"/>
                      <w:szCs w:val="15"/>
                    </w:rPr>
                  </w:pPr>
                </w:p>
                <w:p w:rsidR="0032465D" w:rsidRDefault="0032465D" w:rsidP="000E6AE0">
                  <w:pPr>
                    <w:pStyle w:val="a0"/>
                    <w:spacing w:after="60"/>
                    <w:ind w:left="0" w:rightChars="-27" w:right="-49"/>
                    <w:rPr>
                      <w:color w:val="auto"/>
                      <w:szCs w:val="15"/>
                    </w:rPr>
                  </w:pPr>
                </w:p>
                <w:p w:rsidR="0032465D" w:rsidRPr="000336C0" w:rsidRDefault="0032465D"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4A3941D938B840BB8CE3975136ECCACC"/>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B968A7" w:rsidP="004C64E0">
                <w:pPr>
                  <w:spacing w:after="120" w:line="240" w:lineRule="exact"/>
                  <w:rPr>
                    <w:b/>
                  </w:rPr>
                </w:pPr>
                <w:r>
                  <w:rPr>
                    <w:rFonts w:hint="eastAsia"/>
                    <w:b/>
                  </w:rPr>
                  <w:t>上海</w:t>
                </w:r>
              </w:p>
            </w:tc>
            <w:tc>
              <w:tcPr>
                <w:tcW w:w="3625" w:type="dxa"/>
              </w:tcPr>
              <w:p w:rsidR="004C64E0" w:rsidRPr="004C64E0" w:rsidRDefault="00B968A7" w:rsidP="004C64E0">
                <w:pPr>
                  <w:spacing w:after="120" w:line="240" w:lineRule="exact"/>
                  <w:rPr>
                    <w:b/>
                  </w:rPr>
                </w:pPr>
                <w:r>
                  <w:rPr>
                    <w:rFonts w:hint="eastAsia"/>
                    <w:b/>
                  </w:rPr>
                  <w:t>北京</w:t>
                </w:r>
              </w:p>
            </w:tc>
            <w:tc>
              <w:tcPr>
                <w:tcW w:w="3625" w:type="dxa"/>
              </w:tcPr>
              <w:p w:rsidR="004C64E0" w:rsidRPr="004C64E0" w:rsidRDefault="00B968A7" w:rsidP="004C64E0">
                <w:pPr>
                  <w:spacing w:after="120" w:line="240" w:lineRule="exact"/>
                  <w:rPr>
                    <w:b/>
                  </w:rPr>
                </w:pPr>
                <w:r>
                  <w:rPr>
                    <w:rFonts w:hint="eastAsia"/>
                    <w:b/>
                  </w:rPr>
                  <w:t>深圳</w:t>
                </w:r>
              </w:p>
            </w:tc>
          </w:tr>
          <w:tr w:rsidR="004C64E0">
            <w:tc>
              <w:tcPr>
                <w:tcW w:w="3625" w:type="dxa"/>
              </w:tcPr>
              <w:p w:rsidR="00B968A7" w:rsidRDefault="00B968A7" w:rsidP="000B01C0">
                <w:pPr>
                  <w:spacing w:after="120" w:line="240" w:lineRule="exact"/>
                </w:pPr>
                <w:r>
                  <w:rPr>
                    <w:rFonts w:hint="eastAsia"/>
                  </w:rPr>
                  <w:t>电话：</w:t>
                </w:r>
                <w:r>
                  <w:rPr>
                    <w:rFonts w:hint="eastAsia"/>
                  </w:rPr>
                  <w:t>021-60753903</w:t>
                </w:r>
              </w:p>
              <w:p w:rsidR="00B968A7" w:rsidRDefault="00B968A7" w:rsidP="000B01C0">
                <w:pPr>
                  <w:spacing w:after="120" w:line="240" w:lineRule="exact"/>
                </w:pPr>
                <w:r>
                  <w:rPr>
                    <w:rFonts w:hint="eastAsia"/>
                  </w:rPr>
                  <w:t>传真：</w:t>
                </w:r>
                <w:r>
                  <w:rPr>
                    <w:rFonts w:hint="eastAsia"/>
                  </w:rPr>
                  <w:t>021-61038200</w:t>
                </w:r>
              </w:p>
              <w:p w:rsidR="00B968A7" w:rsidRDefault="00B968A7" w:rsidP="000B01C0">
                <w:pPr>
                  <w:spacing w:after="120" w:line="240" w:lineRule="exact"/>
                </w:pPr>
                <w:r>
                  <w:rPr>
                    <w:rFonts w:hint="eastAsia"/>
                  </w:rPr>
                  <w:t>邮箱：</w:t>
                </w:r>
                <w:r>
                  <w:rPr>
                    <w:rFonts w:hint="eastAsia"/>
                  </w:rPr>
                  <w:t>researchsh@gjzq.com.cn</w:t>
                </w:r>
              </w:p>
              <w:p w:rsidR="00B968A7" w:rsidRDefault="00B968A7" w:rsidP="000B01C0">
                <w:pPr>
                  <w:spacing w:after="120" w:line="240" w:lineRule="exact"/>
                </w:pPr>
                <w:r>
                  <w:rPr>
                    <w:rFonts w:hint="eastAsia"/>
                  </w:rPr>
                  <w:t>邮编：</w:t>
                </w:r>
                <w:r>
                  <w:rPr>
                    <w:rFonts w:hint="eastAsia"/>
                  </w:rPr>
                  <w:t>201204</w:t>
                </w:r>
              </w:p>
              <w:p w:rsidR="00B968A7" w:rsidRDefault="00B968A7" w:rsidP="000B01C0">
                <w:pPr>
                  <w:spacing w:after="120" w:line="240" w:lineRule="exact"/>
                </w:pPr>
                <w:r>
                  <w:rPr>
                    <w:rFonts w:hint="eastAsia"/>
                  </w:rPr>
                  <w:t>地址：上海浦东新区芳甸路</w:t>
                </w:r>
                <w:r>
                  <w:rPr>
                    <w:rFonts w:hint="eastAsia"/>
                  </w:rPr>
                  <w:t>1088</w:t>
                </w:r>
                <w:r>
                  <w:rPr>
                    <w:rFonts w:hint="eastAsia"/>
                  </w:rPr>
                  <w:t>号</w:t>
                </w:r>
              </w:p>
              <w:p w:rsidR="004C64E0" w:rsidRDefault="00B968A7"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B968A7" w:rsidRDefault="00B968A7" w:rsidP="000B01C0">
                <w:pPr>
                  <w:spacing w:after="120" w:line="240" w:lineRule="exact"/>
                </w:pPr>
                <w:r>
                  <w:rPr>
                    <w:rFonts w:hint="eastAsia"/>
                  </w:rPr>
                  <w:t>电话：</w:t>
                </w:r>
                <w:r>
                  <w:rPr>
                    <w:rFonts w:hint="eastAsia"/>
                  </w:rPr>
                  <w:t>010-66216979</w:t>
                </w:r>
              </w:p>
              <w:p w:rsidR="00B968A7" w:rsidRDefault="00B968A7" w:rsidP="000B01C0">
                <w:pPr>
                  <w:spacing w:after="120" w:line="240" w:lineRule="exact"/>
                </w:pPr>
                <w:r>
                  <w:rPr>
                    <w:rFonts w:hint="eastAsia"/>
                  </w:rPr>
                  <w:t>传真：</w:t>
                </w:r>
                <w:r>
                  <w:rPr>
                    <w:rFonts w:hint="eastAsia"/>
                  </w:rPr>
                  <w:t>010-66216793</w:t>
                </w:r>
              </w:p>
              <w:p w:rsidR="00B968A7" w:rsidRDefault="00B968A7" w:rsidP="000B01C0">
                <w:pPr>
                  <w:spacing w:after="120" w:line="240" w:lineRule="exact"/>
                </w:pPr>
                <w:r>
                  <w:rPr>
                    <w:rFonts w:hint="eastAsia"/>
                  </w:rPr>
                  <w:t>邮箱：</w:t>
                </w:r>
                <w:r>
                  <w:rPr>
                    <w:rFonts w:hint="eastAsia"/>
                  </w:rPr>
                  <w:t>researchbj@gjzq.com.cn</w:t>
                </w:r>
              </w:p>
              <w:p w:rsidR="00B968A7" w:rsidRDefault="00B968A7" w:rsidP="000B01C0">
                <w:pPr>
                  <w:spacing w:after="120" w:line="240" w:lineRule="exact"/>
                </w:pPr>
                <w:r>
                  <w:rPr>
                    <w:rFonts w:hint="eastAsia"/>
                  </w:rPr>
                  <w:t>邮编：</w:t>
                </w:r>
                <w:r>
                  <w:rPr>
                    <w:rFonts w:hint="eastAsia"/>
                  </w:rPr>
                  <w:t>100053</w:t>
                </w:r>
              </w:p>
              <w:p w:rsidR="004C64E0" w:rsidRDefault="00B968A7"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B968A7" w:rsidRDefault="00B968A7" w:rsidP="000B01C0">
                <w:pPr>
                  <w:spacing w:after="120" w:line="240" w:lineRule="exact"/>
                </w:pPr>
                <w:r>
                  <w:rPr>
                    <w:rFonts w:hint="eastAsia"/>
                  </w:rPr>
                  <w:t>电话：</w:t>
                </w:r>
                <w:r>
                  <w:rPr>
                    <w:rFonts w:hint="eastAsia"/>
                  </w:rPr>
                  <w:t>0755-83831378</w:t>
                </w:r>
              </w:p>
              <w:p w:rsidR="00B968A7" w:rsidRDefault="00B968A7" w:rsidP="000B01C0">
                <w:pPr>
                  <w:spacing w:after="120" w:line="240" w:lineRule="exact"/>
                </w:pPr>
                <w:r>
                  <w:rPr>
                    <w:rFonts w:hint="eastAsia"/>
                  </w:rPr>
                  <w:t>传真：</w:t>
                </w:r>
                <w:r>
                  <w:rPr>
                    <w:rFonts w:hint="eastAsia"/>
                  </w:rPr>
                  <w:t>0755-83830558</w:t>
                </w:r>
              </w:p>
              <w:p w:rsidR="00B968A7" w:rsidRDefault="00B968A7" w:rsidP="000B01C0">
                <w:pPr>
                  <w:spacing w:after="120" w:line="240" w:lineRule="exact"/>
                </w:pPr>
                <w:r>
                  <w:rPr>
                    <w:rFonts w:hint="eastAsia"/>
                  </w:rPr>
                  <w:t>邮箱：</w:t>
                </w:r>
                <w:r>
                  <w:rPr>
                    <w:rFonts w:hint="eastAsia"/>
                  </w:rPr>
                  <w:t>researchsz@gjzq.com.cn</w:t>
                </w:r>
              </w:p>
              <w:p w:rsidR="00B968A7" w:rsidRDefault="00B968A7" w:rsidP="000B01C0">
                <w:pPr>
                  <w:spacing w:after="120" w:line="240" w:lineRule="exact"/>
                </w:pPr>
                <w:r>
                  <w:rPr>
                    <w:rFonts w:hint="eastAsia"/>
                  </w:rPr>
                  <w:t>邮编：</w:t>
                </w:r>
                <w:r>
                  <w:rPr>
                    <w:rFonts w:hint="eastAsia"/>
                  </w:rPr>
                  <w:t>518000</w:t>
                </w:r>
              </w:p>
              <w:p w:rsidR="00B968A7" w:rsidRDefault="00B968A7"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B968A7"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39542B" w:rsidP="00B968A7">
          <w:pPr>
            <w:spacing w:line="14" w:lineRule="exact"/>
          </w:pPr>
        </w:p>
      </w:sdtContent>
    </w:sdt>
    <w:p w:rsidR="005E311D" w:rsidRPr="00ED77B9" w:rsidRDefault="005E311D" w:rsidP="00ED77B9"/>
    <w:sectPr w:rsidR="005E311D" w:rsidRPr="00ED77B9" w:rsidSect="00A87799">
      <w:headerReference w:type="default" r:id="rId19"/>
      <w:footerReference w:type="even" r:id="rId20"/>
      <w:footerReference w:type="default" r:id="rId21"/>
      <w:headerReference w:type="first" r:id="rId22"/>
      <w:footerReference w:type="first" r:id="rId23"/>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2B" w:rsidRDefault="0039542B">
      <w:r>
        <w:separator/>
      </w:r>
    </w:p>
  </w:endnote>
  <w:endnote w:type="continuationSeparator" w:id="0">
    <w:p w:rsidR="0039542B" w:rsidRDefault="0039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5D" w:rsidRDefault="0032465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465D" w:rsidRDefault="0032465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5D" w:rsidRPr="00A30364" w:rsidRDefault="0039542B" w:rsidP="007F6DAF">
    <w:pPr>
      <w:pStyle w:val="a6"/>
      <w:pBdr>
        <w:bottom w:val="none" w:sz="0" w:space="0" w:color="auto"/>
      </w:pBdr>
      <w:rPr>
        <w:rFonts w:ascii="LucidaSans" w:hAnsi="LucidaSans"/>
        <w:b/>
      </w:rPr>
    </w:pPr>
    <w:r>
      <w:rPr>
        <w:noProof/>
      </w:rPr>
      <w:pict>
        <v:line id="Line 34" o:spid="_x0000_s2051" style="position:absolute;left:0;text-align:left;z-index:251659264;visibility:visible;mso-wrap-distance-top:-3e-5mm;mso-wrap-distance-bottom:-3e-5mm"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0032465D" w:rsidRPr="00A30364">
      <w:rPr>
        <w:rFonts w:ascii="LucidaSans" w:hAnsi="LucidaSans"/>
        <w:b/>
        <w:szCs w:val="21"/>
      </w:rPr>
      <w:t xml:space="preserve">- </w:t>
    </w:r>
    <w:r w:rsidR="0032465D" w:rsidRPr="003C4E1B">
      <w:rPr>
        <w:b/>
        <w:szCs w:val="21"/>
      </w:rPr>
      <w:fldChar w:fldCharType="begin"/>
    </w:r>
    <w:r w:rsidR="0032465D" w:rsidRPr="003C4E1B">
      <w:rPr>
        <w:b/>
        <w:szCs w:val="21"/>
      </w:rPr>
      <w:instrText xml:space="preserve"> PAGE </w:instrText>
    </w:r>
    <w:r w:rsidR="0032465D" w:rsidRPr="003C4E1B">
      <w:rPr>
        <w:b/>
        <w:szCs w:val="21"/>
      </w:rPr>
      <w:fldChar w:fldCharType="separate"/>
    </w:r>
    <w:r w:rsidR="00C363BE">
      <w:rPr>
        <w:b/>
        <w:noProof/>
        <w:szCs w:val="21"/>
      </w:rPr>
      <w:t>8</w:t>
    </w:r>
    <w:r w:rsidR="0032465D" w:rsidRPr="003C4E1B">
      <w:rPr>
        <w:b/>
        <w:szCs w:val="21"/>
      </w:rPr>
      <w:fldChar w:fldCharType="end"/>
    </w:r>
    <w:r w:rsidR="0032465D" w:rsidRPr="00A30364">
      <w:rPr>
        <w:rFonts w:ascii="LucidaSans" w:hAnsi="LucidaSans"/>
        <w:b/>
        <w:szCs w:val="21"/>
      </w:rPr>
      <w:t xml:space="preserve"> -</w:t>
    </w:r>
  </w:p>
  <w:p w:rsidR="0032465D" w:rsidRDefault="0032465D"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5D" w:rsidRPr="00A30364" w:rsidRDefault="0039542B" w:rsidP="00A30364">
    <w:pPr>
      <w:pStyle w:val="a4"/>
      <w:tabs>
        <w:tab w:val="center" w:pos="5103"/>
      </w:tabs>
      <w:jc w:val="center"/>
      <w:rPr>
        <w:rFonts w:cs="Arial"/>
        <w:b/>
      </w:rPr>
    </w:pPr>
    <w:r>
      <w:rPr>
        <w:noProof/>
      </w:rPr>
      <w:pict>
        <v:line id="Line 35" o:spid="_x0000_s2050" style="position:absolute;left:0;text-align:left;z-index:251660288;visibility:visible;mso-wrap-distance-top:-3e-5mm;mso-wrap-distance-bottom:-3e-5mm"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49" style="position:absolute;left:0;text-align:left;margin-left:-31.8pt;margin-top:24.65pt;width:596.1pt;height:1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32465D" w:rsidRPr="0003281B" w:rsidRDefault="0032465D" w:rsidP="0003281B"/>
            </w:txbxContent>
          </v:textbox>
        </v:rect>
      </w:pict>
    </w:r>
    <w:r w:rsidR="0032465D" w:rsidRPr="00A30364">
      <w:rPr>
        <w:rFonts w:cs="Arial"/>
        <w:b/>
        <w:szCs w:val="21"/>
      </w:rPr>
      <w:t xml:space="preserve">- </w:t>
    </w:r>
    <w:r w:rsidR="0032465D" w:rsidRPr="00A30364">
      <w:rPr>
        <w:rFonts w:cs="Arial"/>
        <w:b/>
        <w:szCs w:val="21"/>
      </w:rPr>
      <w:fldChar w:fldCharType="begin"/>
    </w:r>
    <w:r w:rsidR="0032465D" w:rsidRPr="00A30364">
      <w:rPr>
        <w:rFonts w:cs="Arial"/>
        <w:b/>
        <w:szCs w:val="21"/>
      </w:rPr>
      <w:instrText xml:space="preserve"> PAGE </w:instrText>
    </w:r>
    <w:r w:rsidR="0032465D" w:rsidRPr="00A30364">
      <w:rPr>
        <w:rFonts w:cs="Arial"/>
        <w:b/>
        <w:szCs w:val="21"/>
      </w:rPr>
      <w:fldChar w:fldCharType="separate"/>
    </w:r>
    <w:r w:rsidR="00C363BE">
      <w:rPr>
        <w:rFonts w:cs="Arial"/>
        <w:b/>
        <w:noProof/>
        <w:szCs w:val="21"/>
      </w:rPr>
      <w:t>1</w:t>
    </w:r>
    <w:r w:rsidR="0032465D" w:rsidRPr="00A30364">
      <w:rPr>
        <w:rFonts w:cs="Arial"/>
        <w:b/>
        <w:szCs w:val="21"/>
      </w:rPr>
      <w:fldChar w:fldCharType="end"/>
    </w:r>
    <w:r w:rsidR="0032465D" w:rsidRPr="00A30364">
      <w:rPr>
        <w:rFonts w:cs="Arial"/>
        <w:b/>
        <w:szCs w:val="21"/>
      </w:rPr>
      <w:t xml:space="preserve"> -</w:t>
    </w:r>
  </w:p>
  <w:p w:rsidR="0032465D" w:rsidRDefault="0032465D">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2B" w:rsidRDefault="0039542B">
      <w:r>
        <w:separator/>
      </w:r>
    </w:p>
  </w:footnote>
  <w:footnote w:type="continuationSeparator" w:id="0">
    <w:p w:rsidR="0039542B" w:rsidRDefault="0039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5D" w:rsidRDefault="0039542B" w:rsidP="00F72878">
    <w:pPr>
      <w:jc w:val="right"/>
    </w:pPr>
    <w:sdt>
      <w:sdtPr>
        <w:alias w:val="报告类型"/>
        <w:tag w:val="BDCONTENTCONTROL_451e08ee-3959-4251-8d5f-f302d5f0f153"/>
        <w:id w:val="631523797"/>
        <w:placeholder>
          <w:docPart w:val="A2D1012510C540A2ACEAAA800F8CFD30"/>
        </w:placeholder>
        <w:text/>
      </w:sdtPr>
      <w:sdtEndPr/>
      <w:sdtContent>
        <w:r w:rsidR="00B968A7">
          <w:rPr>
            <w:rFonts w:hint="eastAsia"/>
          </w:rPr>
          <w:t>基金投资策略报告</w:t>
        </w:r>
      </w:sdtContent>
    </w:sdt>
    <w:r>
      <w:rPr>
        <w:noProof/>
      </w:rPr>
      <w:pict>
        <v:shapetype id="_x0000_t202" coordsize="21600,21600" o:spt="202" path="m,l,21600r21600,l21600,xe">
          <v:stroke joinstyle="miter"/>
          <v:path gradientshapeok="t" o:connecttype="rect"/>
        </v:shapetype>
        <v:shape id="Text Box 18" o:spid="_x0000_s2053" type="#_x0000_t202" style="position:absolute;left:0;text-align:left;margin-left:-16.2pt;margin-top:31.05pt;width:101.45pt;height:29.7pt;z-index:251655168;visibility:visible;mso-wrap-style:non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" filled="f" stroked="f">
          <v:textbox style="mso-fit-shape-to-text:t">
            <w:txbxContent>
              <w:p w:rsidR="0032465D" w:rsidRPr="00E17DD1" w:rsidRDefault="0032465D" w:rsidP="005721EB">
                <w:r>
                  <w:rPr>
                    <w:noProof/>
                  </w:rPr>
                  <w:drawing>
                    <wp:inline distT="0" distB="0" distL="0" distR="0" wp14:anchorId="29077B25" wp14:editId="1F0BFE7B">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2" style="position:absolute;left:0;text-align:left;z-index:251656192;visibility:visible;mso-wrap-distance-top:-3e-5mm;mso-wrap-distance-bottom:-3e-5mm;mso-position-horizontal:center;mso-position-horizontal-relative:text;mso-position-vertical-relative:text"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5D" w:rsidRDefault="0032465D"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6004F02"/>
    <w:multiLevelType w:val="multilevel"/>
    <w:tmpl w:val="3CDE5F16"/>
    <w:numStyleLink w:val="GJStylesContentMark"/>
  </w:abstractNum>
  <w:abstractNum w:abstractNumId="16">
    <w:nsid w:val="41A645CE"/>
    <w:multiLevelType w:val="multilevel"/>
    <w:tmpl w:val="3CDE5F16"/>
    <w:numStyleLink w:val="GJStylesContentMark"/>
  </w:abstractNum>
  <w:abstractNum w:abstractNumId="17">
    <w:nsid w:val="44D96BA6"/>
    <w:multiLevelType w:val="multilevel"/>
    <w:tmpl w:val="1556E7D6"/>
    <w:numStyleLink w:val="GJStylesSummaryContentMark"/>
  </w:abstractNum>
  <w:abstractNum w:abstractNumId="18">
    <w:nsid w:val="44E1352C"/>
    <w:multiLevelType w:val="multilevel"/>
    <w:tmpl w:val="3CDE5F16"/>
    <w:numStyleLink w:val="GJStylesContentMark"/>
  </w:abstractNum>
  <w:abstractNum w:abstractNumId="19">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1">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3">
    <w:nsid w:val="515021FA"/>
    <w:multiLevelType w:val="multilevel"/>
    <w:tmpl w:val="1556E7D6"/>
    <w:numStyleLink w:val="GJStylesSummaryContentMark"/>
  </w:abstractNum>
  <w:abstractNum w:abstractNumId="24">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5DD2D9F"/>
    <w:multiLevelType w:val="multilevel"/>
    <w:tmpl w:val="3CDE5F16"/>
    <w:numStyleLink w:val="GJStylesContentMark"/>
  </w:abstractNum>
  <w:abstractNum w:abstractNumId="26">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7">
    <w:nsid w:val="686369BF"/>
    <w:multiLevelType w:val="multilevel"/>
    <w:tmpl w:val="1556E7D6"/>
    <w:numStyleLink w:val="GJStylesSummaryContentMark"/>
  </w:abstractNum>
  <w:abstractNum w:abstractNumId="28">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72754749"/>
    <w:multiLevelType w:val="multilevel"/>
    <w:tmpl w:val="1556E7D6"/>
    <w:numStyleLink w:val="GJStylesSummaryContentMark"/>
  </w:abstractNum>
  <w:abstractNum w:abstractNumId="30">
    <w:nsid w:val="73777A50"/>
    <w:multiLevelType w:val="multilevel"/>
    <w:tmpl w:val="3CDE5F16"/>
    <w:numStyleLink w:val="GJStylesContentMark"/>
  </w:abstractNum>
  <w:abstractNum w:abstractNumId="31">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C284D5A"/>
    <w:multiLevelType w:val="multilevel"/>
    <w:tmpl w:val="3CDE5F16"/>
    <w:numStyleLink w:val="GJStylesContentMark"/>
  </w:abstractNum>
  <w:abstractNum w:abstractNumId="33">
    <w:nsid w:val="7C8139AA"/>
    <w:multiLevelType w:val="multilevel"/>
    <w:tmpl w:val="3CDE5F16"/>
    <w:numStyleLink w:val="GJStylesContentMark"/>
  </w:abstractNum>
  <w:num w:numId="1">
    <w:abstractNumId w:val="26"/>
  </w:num>
  <w:num w:numId="2">
    <w:abstractNumId w:val="3"/>
  </w:num>
  <w:num w:numId="3">
    <w:abstractNumId w:val="20"/>
  </w:num>
  <w:num w:numId="4">
    <w:abstractNumId w:val="22"/>
  </w:num>
  <w:num w:numId="5">
    <w:abstractNumId w:val="10"/>
  </w:num>
  <w:num w:numId="6">
    <w:abstractNumId w:val="13"/>
  </w:num>
  <w:num w:numId="7">
    <w:abstractNumId w:val="21"/>
  </w:num>
  <w:num w:numId="8">
    <w:abstractNumId w:val="27"/>
  </w:num>
  <w:num w:numId="9">
    <w:abstractNumId w:val="15"/>
  </w:num>
  <w:num w:numId="10">
    <w:abstractNumId w:val="19"/>
  </w:num>
  <w:num w:numId="11">
    <w:abstractNumId w:val="28"/>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3"/>
  </w:num>
  <w:num w:numId="18">
    <w:abstractNumId w:val="17"/>
  </w:num>
  <w:num w:numId="19">
    <w:abstractNumId w:val="29"/>
  </w:num>
  <w:num w:numId="20">
    <w:abstractNumId w:val="11"/>
  </w:num>
  <w:num w:numId="21">
    <w:abstractNumId w:val="16"/>
  </w:num>
  <w:num w:numId="22">
    <w:abstractNumId w:val="0"/>
  </w:num>
  <w:num w:numId="23">
    <w:abstractNumId w:val="18"/>
  </w:num>
  <w:num w:numId="24">
    <w:abstractNumId w:val="9"/>
  </w:num>
  <w:num w:numId="25">
    <w:abstractNumId w:val="1"/>
  </w:num>
  <w:num w:numId="26">
    <w:abstractNumId w:val="7"/>
  </w:num>
  <w:num w:numId="27">
    <w:abstractNumId w:val="25"/>
  </w:num>
  <w:num w:numId="28">
    <w:abstractNumId w:val="4"/>
  </w:num>
  <w:num w:numId="29">
    <w:abstractNumId w:val="30"/>
  </w:num>
  <w:num w:numId="30">
    <w:abstractNumId w:val="32"/>
  </w:num>
  <w:num w:numId="31">
    <w:abstractNumId w:val="33"/>
  </w:num>
  <w:num w:numId="32">
    <w:abstractNumId w:val="31"/>
  </w:num>
  <w:num w:numId="33">
    <w:abstractNumId w:val="6"/>
  </w:num>
  <w:num w:numId="34">
    <w:abstractNumId w:val="14"/>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2202E"/>
    <w:rsid w:val="000004CC"/>
    <w:rsid w:val="00002BE4"/>
    <w:rsid w:val="00003132"/>
    <w:rsid w:val="0000315B"/>
    <w:rsid w:val="00003774"/>
    <w:rsid w:val="00003A3A"/>
    <w:rsid w:val="00003BB6"/>
    <w:rsid w:val="00004320"/>
    <w:rsid w:val="0000572E"/>
    <w:rsid w:val="000106FC"/>
    <w:rsid w:val="00013EB2"/>
    <w:rsid w:val="0001492B"/>
    <w:rsid w:val="00014B77"/>
    <w:rsid w:val="00014F51"/>
    <w:rsid w:val="0001579D"/>
    <w:rsid w:val="00017EF7"/>
    <w:rsid w:val="0002045A"/>
    <w:rsid w:val="000215C9"/>
    <w:rsid w:val="000219EC"/>
    <w:rsid w:val="00021A32"/>
    <w:rsid w:val="000221E8"/>
    <w:rsid w:val="0002347C"/>
    <w:rsid w:val="00023D3A"/>
    <w:rsid w:val="00024B35"/>
    <w:rsid w:val="00025049"/>
    <w:rsid w:val="00026458"/>
    <w:rsid w:val="0002720D"/>
    <w:rsid w:val="00030007"/>
    <w:rsid w:val="00031106"/>
    <w:rsid w:val="000319AB"/>
    <w:rsid w:val="000319DC"/>
    <w:rsid w:val="00032255"/>
    <w:rsid w:val="0003281B"/>
    <w:rsid w:val="00032EE6"/>
    <w:rsid w:val="00033099"/>
    <w:rsid w:val="000336C0"/>
    <w:rsid w:val="000343B3"/>
    <w:rsid w:val="00034B6F"/>
    <w:rsid w:val="00036095"/>
    <w:rsid w:val="000368BD"/>
    <w:rsid w:val="000374D7"/>
    <w:rsid w:val="000424AC"/>
    <w:rsid w:val="00043630"/>
    <w:rsid w:val="00043E01"/>
    <w:rsid w:val="00044C1E"/>
    <w:rsid w:val="00045BB2"/>
    <w:rsid w:val="000464EF"/>
    <w:rsid w:val="00051174"/>
    <w:rsid w:val="00051253"/>
    <w:rsid w:val="0005161F"/>
    <w:rsid w:val="00051AFD"/>
    <w:rsid w:val="000528A0"/>
    <w:rsid w:val="000528AB"/>
    <w:rsid w:val="00054005"/>
    <w:rsid w:val="00056139"/>
    <w:rsid w:val="000576EE"/>
    <w:rsid w:val="0006128E"/>
    <w:rsid w:val="000622E5"/>
    <w:rsid w:val="0006339F"/>
    <w:rsid w:val="0006435D"/>
    <w:rsid w:val="00070B6F"/>
    <w:rsid w:val="00070CDC"/>
    <w:rsid w:val="00070EA5"/>
    <w:rsid w:val="00070F25"/>
    <w:rsid w:val="000715E9"/>
    <w:rsid w:val="00071EB8"/>
    <w:rsid w:val="000748FA"/>
    <w:rsid w:val="00074B53"/>
    <w:rsid w:val="0007511E"/>
    <w:rsid w:val="00076687"/>
    <w:rsid w:val="00080902"/>
    <w:rsid w:val="00080AF3"/>
    <w:rsid w:val="000810F3"/>
    <w:rsid w:val="00082E94"/>
    <w:rsid w:val="0008444C"/>
    <w:rsid w:val="00090567"/>
    <w:rsid w:val="00090CDA"/>
    <w:rsid w:val="00091670"/>
    <w:rsid w:val="00091CB7"/>
    <w:rsid w:val="000939AA"/>
    <w:rsid w:val="000943F5"/>
    <w:rsid w:val="00094710"/>
    <w:rsid w:val="00096DCC"/>
    <w:rsid w:val="00096FFB"/>
    <w:rsid w:val="000A2612"/>
    <w:rsid w:val="000A44D7"/>
    <w:rsid w:val="000A6D82"/>
    <w:rsid w:val="000A7AA6"/>
    <w:rsid w:val="000A7D02"/>
    <w:rsid w:val="000B001B"/>
    <w:rsid w:val="000B01C0"/>
    <w:rsid w:val="000B07ED"/>
    <w:rsid w:val="000B0E6B"/>
    <w:rsid w:val="000B265D"/>
    <w:rsid w:val="000B38A1"/>
    <w:rsid w:val="000B50B1"/>
    <w:rsid w:val="000B539C"/>
    <w:rsid w:val="000B5C96"/>
    <w:rsid w:val="000B78AA"/>
    <w:rsid w:val="000C065B"/>
    <w:rsid w:val="000C0A3A"/>
    <w:rsid w:val="000C2404"/>
    <w:rsid w:val="000C2EDE"/>
    <w:rsid w:val="000C370E"/>
    <w:rsid w:val="000C484B"/>
    <w:rsid w:val="000C60E6"/>
    <w:rsid w:val="000C7D66"/>
    <w:rsid w:val="000C7EB1"/>
    <w:rsid w:val="000D1948"/>
    <w:rsid w:val="000D3153"/>
    <w:rsid w:val="000D5698"/>
    <w:rsid w:val="000D688F"/>
    <w:rsid w:val="000E09DC"/>
    <w:rsid w:val="000E12FC"/>
    <w:rsid w:val="000E2FF4"/>
    <w:rsid w:val="000E40C9"/>
    <w:rsid w:val="000E6203"/>
    <w:rsid w:val="000E6AE0"/>
    <w:rsid w:val="000E78B1"/>
    <w:rsid w:val="000F2643"/>
    <w:rsid w:val="000F4AB0"/>
    <w:rsid w:val="000F5142"/>
    <w:rsid w:val="000F61F9"/>
    <w:rsid w:val="000F72BA"/>
    <w:rsid w:val="000F738D"/>
    <w:rsid w:val="001025A9"/>
    <w:rsid w:val="00102FCE"/>
    <w:rsid w:val="00104F37"/>
    <w:rsid w:val="001064A9"/>
    <w:rsid w:val="0010686C"/>
    <w:rsid w:val="00106ADD"/>
    <w:rsid w:val="00106FF6"/>
    <w:rsid w:val="001119C0"/>
    <w:rsid w:val="00112635"/>
    <w:rsid w:val="00113F7E"/>
    <w:rsid w:val="0011478F"/>
    <w:rsid w:val="00114ED7"/>
    <w:rsid w:val="001151C1"/>
    <w:rsid w:val="00122401"/>
    <w:rsid w:val="00122D86"/>
    <w:rsid w:val="00123AF2"/>
    <w:rsid w:val="00127D52"/>
    <w:rsid w:val="00130200"/>
    <w:rsid w:val="00130A54"/>
    <w:rsid w:val="00131E05"/>
    <w:rsid w:val="00132E65"/>
    <w:rsid w:val="00132E70"/>
    <w:rsid w:val="00133402"/>
    <w:rsid w:val="0013548E"/>
    <w:rsid w:val="0013641C"/>
    <w:rsid w:val="001377EB"/>
    <w:rsid w:val="00141C49"/>
    <w:rsid w:val="00141C88"/>
    <w:rsid w:val="0014285A"/>
    <w:rsid w:val="001436B6"/>
    <w:rsid w:val="0014388E"/>
    <w:rsid w:val="00146968"/>
    <w:rsid w:val="00147350"/>
    <w:rsid w:val="00150313"/>
    <w:rsid w:val="001503CD"/>
    <w:rsid w:val="00150417"/>
    <w:rsid w:val="00150D91"/>
    <w:rsid w:val="0015120D"/>
    <w:rsid w:val="00151C70"/>
    <w:rsid w:val="001521FE"/>
    <w:rsid w:val="0015265C"/>
    <w:rsid w:val="0015543F"/>
    <w:rsid w:val="0015629E"/>
    <w:rsid w:val="001602B1"/>
    <w:rsid w:val="0016153B"/>
    <w:rsid w:val="0016156D"/>
    <w:rsid w:val="00161CE1"/>
    <w:rsid w:val="00164EE1"/>
    <w:rsid w:val="00165EA0"/>
    <w:rsid w:val="00166A07"/>
    <w:rsid w:val="00167E1A"/>
    <w:rsid w:val="00170C24"/>
    <w:rsid w:val="00170F92"/>
    <w:rsid w:val="00176A15"/>
    <w:rsid w:val="00180167"/>
    <w:rsid w:val="00180272"/>
    <w:rsid w:val="00180733"/>
    <w:rsid w:val="001809E2"/>
    <w:rsid w:val="00181A5B"/>
    <w:rsid w:val="001820D1"/>
    <w:rsid w:val="001829B0"/>
    <w:rsid w:val="001837D4"/>
    <w:rsid w:val="00183D27"/>
    <w:rsid w:val="00184EFA"/>
    <w:rsid w:val="001865C6"/>
    <w:rsid w:val="001865FF"/>
    <w:rsid w:val="00186750"/>
    <w:rsid w:val="00186A54"/>
    <w:rsid w:val="001874E0"/>
    <w:rsid w:val="00194D9A"/>
    <w:rsid w:val="00194F5F"/>
    <w:rsid w:val="001953A5"/>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4033"/>
    <w:rsid w:val="001B4237"/>
    <w:rsid w:val="001B4785"/>
    <w:rsid w:val="001B47B2"/>
    <w:rsid w:val="001B5CE8"/>
    <w:rsid w:val="001B6452"/>
    <w:rsid w:val="001C06DA"/>
    <w:rsid w:val="001C097A"/>
    <w:rsid w:val="001C118C"/>
    <w:rsid w:val="001C1C32"/>
    <w:rsid w:val="001C40DD"/>
    <w:rsid w:val="001C4CE3"/>
    <w:rsid w:val="001C52BA"/>
    <w:rsid w:val="001C5AA3"/>
    <w:rsid w:val="001C5C2B"/>
    <w:rsid w:val="001C7914"/>
    <w:rsid w:val="001D0A95"/>
    <w:rsid w:val="001D0F58"/>
    <w:rsid w:val="001D24A0"/>
    <w:rsid w:val="001D3958"/>
    <w:rsid w:val="001D3DC3"/>
    <w:rsid w:val="001D4A05"/>
    <w:rsid w:val="001D7559"/>
    <w:rsid w:val="001E1FDB"/>
    <w:rsid w:val="001E24A0"/>
    <w:rsid w:val="001E315E"/>
    <w:rsid w:val="001E5CB0"/>
    <w:rsid w:val="001E6529"/>
    <w:rsid w:val="001E72F3"/>
    <w:rsid w:val="001E7B3E"/>
    <w:rsid w:val="001F0514"/>
    <w:rsid w:val="001F0D80"/>
    <w:rsid w:val="001F1AE5"/>
    <w:rsid w:val="001F1EDA"/>
    <w:rsid w:val="001F2D26"/>
    <w:rsid w:val="001F4836"/>
    <w:rsid w:val="001F5094"/>
    <w:rsid w:val="001F79C4"/>
    <w:rsid w:val="00200D33"/>
    <w:rsid w:val="0020190A"/>
    <w:rsid w:val="00203AB8"/>
    <w:rsid w:val="0020511C"/>
    <w:rsid w:val="00205425"/>
    <w:rsid w:val="00205844"/>
    <w:rsid w:val="00206A8D"/>
    <w:rsid w:val="002071A0"/>
    <w:rsid w:val="00207870"/>
    <w:rsid w:val="002078CF"/>
    <w:rsid w:val="00212F4D"/>
    <w:rsid w:val="00213251"/>
    <w:rsid w:val="00213D4E"/>
    <w:rsid w:val="002170D3"/>
    <w:rsid w:val="00220363"/>
    <w:rsid w:val="00220D09"/>
    <w:rsid w:val="0022215E"/>
    <w:rsid w:val="00224810"/>
    <w:rsid w:val="0022768D"/>
    <w:rsid w:val="00230996"/>
    <w:rsid w:val="00232494"/>
    <w:rsid w:val="0023347E"/>
    <w:rsid w:val="00233B04"/>
    <w:rsid w:val="002347F7"/>
    <w:rsid w:val="00234C04"/>
    <w:rsid w:val="0024043A"/>
    <w:rsid w:val="002412D0"/>
    <w:rsid w:val="002416F4"/>
    <w:rsid w:val="00243205"/>
    <w:rsid w:val="0024447F"/>
    <w:rsid w:val="0024569B"/>
    <w:rsid w:val="002463F9"/>
    <w:rsid w:val="002474B4"/>
    <w:rsid w:val="0024758E"/>
    <w:rsid w:val="0025246E"/>
    <w:rsid w:val="00255EE8"/>
    <w:rsid w:val="00257C5B"/>
    <w:rsid w:val="00261B2D"/>
    <w:rsid w:val="00261E81"/>
    <w:rsid w:val="00262373"/>
    <w:rsid w:val="00263585"/>
    <w:rsid w:val="00264D37"/>
    <w:rsid w:val="00270ACE"/>
    <w:rsid w:val="002711AC"/>
    <w:rsid w:val="00273AF6"/>
    <w:rsid w:val="00275A0E"/>
    <w:rsid w:val="0027674A"/>
    <w:rsid w:val="00276AED"/>
    <w:rsid w:val="002807D9"/>
    <w:rsid w:val="002838A3"/>
    <w:rsid w:val="00284A26"/>
    <w:rsid w:val="0029022C"/>
    <w:rsid w:val="00292EB6"/>
    <w:rsid w:val="002978EA"/>
    <w:rsid w:val="002A1CCE"/>
    <w:rsid w:val="002A1D2C"/>
    <w:rsid w:val="002A24F5"/>
    <w:rsid w:val="002A5003"/>
    <w:rsid w:val="002A673A"/>
    <w:rsid w:val="002A6F88"/>
    <w:rsid w:val="002A771D"/>
    <w:rsid w:val="002B2821"/>
    <w:rsid w:val="002B45D1"/>
    <w:rsid w:val="002B487A"/>
    <w:rsid w:val="002B4981"/>
    <w:rsid w:val="002C0205"/>
    <w:rsid w:val="002C0377"/>
    <w:rsid w:val="002C07DE"/>
    <w:rsid w:val="002C0968"/>
    <w:rsid w:val="002C456B"/>
    <w:rsid w:val="002C4E0E"/>
    <w:rsid w:val="002C4E8C"/>
    <w:rsid w:val="002C5AE2"/>
    <w:rsid w:val="002C6A7A"/>
    <w:rsid w:val="002D0774"/>
    <w:rsid w:val="002D08AF"/>
    <w:rsid w:val="002D14E8"/>
    <w:rsid w:val="002D2654"/>
    <w:rsid w:val="002D3454"/>
    <w:rsid w:val="002D3741"/>
    <w:rsid w:val="002D4069"/>
    <w:rsid w:val="002E0D03"/>
    <w:rsid w:val="002E1B35"/>
    <w:rsid w:val="002E3E22"/>
    <w:rsid w:val="002E4642"/>
    <w:rsid w:val="002E5D74"/>
    <w:rsid w:val="002E61EA"/>
    <w:rsid w:val="002E6511"/>
    <w:rsid w:val="002E75AF"/>
    <w:rsid w:val="002E7EC3"/>
    <w:rsid w:val="002F25DE"/>
    <w:rsid w:val="002F355F"/>
    <w:rsid w:val="002F593A"/>
    <w:rsid w:val="002F5AE7"/>
    <w:rsid w:val="002F5BF7"/>
    <w:rsid w:val="002F6E11"/>
    <w:rsid w:val="002F7CAE"/>
    <w:rsid w:val="00302B7E"/>
    <w:rsid w:val="00303623"/>
    <w:rsid w:val="0030470E"/>
    <w:rsid w:val="003071B6"/>
    <w:rsid w:val="00307994"/>
    <w:rsid w:val="00307D9E"/>
    <w:rsid w:val="003127AF"/>
    <w:rsid w:val="00313166"/>
    <w:rsid w:val="003136D8"/>
    <w:rsid w:val="0031538A"/>
    <w:rsid w:val="00316764"/>
    <w:rsid w:val="00317099"/>
    <w:rsid w:val="003170B2"/>
    <w:rsid w:val="00317266"/>
    <w:rsid w:val="00320A7A"/>
    <w:rsid w:val="003224F1"/>
    <w:rsid w:val="00323DF0"/>
    <w:rsid w:val="0032465D"/>
    <w:rsid w:val="003257B9"/>
    <w:rsid w:val="003277D6"/>
    <w:rsid w:val="00330B5D"/>
    <w:rsid w:val="003326E4"/>
    <w:rsid w:val="003364E6"/>
    <w:rsid w:val="00337A50"/>
    <w:rsid w:val="00340097"/>
    <w:rsid w:val="00340945"/>
    <w:rsid w:val="00341662"/>
    <w:rsid w:val="00341675"/>
    <w:rsid w:val="00342B1B"/>
    <w:rsid w:val="00343A8C"/>
    <w:rsid w:val="00344C85"/>
    <w:rsid w:val="003453BD"/>
    <w:rsid w:val="00346273"/>
    <w:rsid w:val="00347FF1"/>
    <w:rsid w:val="0035004F"/>
    <w:rsid w:val="00351D32"/>
    <w:rsid w:val="0035208F"/>
    <w:rsid w:val="003551E8"/>
    <w:rsid w:val="00355A8C"/>
    <w:rsid w:val="003565F8"/>
    <w:rsid w:val="00356AE9"/>
    <w:rsid w:val="0035779A"/>
    <w:rsid w:val="00357906"/>
    <w:rsid w:val="0036236D"/>
    <w:rsid w:val="0036471C"/>
    <w:rsid w:val="00366D76"/>
    <w:rsid w:val="00370570"/>
    <w:rsid w:val="003708AB"/>
    <w:rsid w:val="00370C93"/>
    <w:rsid w:val="00373BE5"/>
    <w:rsid w:val="00374401"/>
    <w:rsid w:val="00375560"/>
    <w:rsid w:val="003770F6"/>
    <w:rsid w:val="00377B46"/>
    <w:rsid w:val="00377B96"/>
    <w:rsid w:val="00380602"/>
    <w:rsid w:val="00380A4C"/>
    <w:rsid w:val="0038171D"/>
    <w:rsid w:val="003823A5"/>
    <w:rsid w:val="003825A9"/>
    <w:rsid w:val="00383ECB"/>
    <w:rsid w:val="00384355"/>
    <w:rsid w:val="003850A2"/>
    <w:rsid w:val="00385826"/>
    <w:rsid w:val="00385FE5"/>
    <w:rsid w:val="00390CEC"/>
    <w:rsid w:val="00391150"/>
    <w:rsid w:val="00391640"/>
    <w:rsid w:val="00392C2D"/>
    <w:rsid w:val="00392D30"/>
    <w:rsid w:val="003940E0"/>
    <w:rsid w:val="00394285"/>
    <w:rsid w:val="00394C61"/>
    <w:rsid w:val="0039542B"/>
    <w:rsid w:val="003A2F11"/>
    <w:rsid w:val="003A439D"/>
    <w:rsid w:val="003A54F6"/>
    <w:rsid w:val="003A604C"/>
    <w:rsid w:val="003A7A25"/>
    <w:rsid w:val="003B0CBD"/>
    <w:rsid w:val="003B0DF7"/>
    <w:rsid w:val="003B1653"/>
    <w:rsid w:val="003B181C"/>
    <w:rsid w:val="003B4003"/>
    <w:rsid w:val="003B4093"/>
    <w:rsid w:val="003B66EA"/>
    <w:rsid w:val="003C07FD"/>
    <w:rsid w:val="003C100F"/>
    <w:rsid w:val="003C3975"/>
    <w:rsid w:val="003C3B56"/>
    <w:rsid w:val="003C4E1B"/>
    <w:rsid w:val="003C56FF"/>
    <w:rsid w:val="003D04AA"/>
    <w:rsid w:val="003D2CEC"/>
    <w:rsid w:val="003D34BE"/>
    <w:rsid w:val="003D637B"/>
    <w:rsid w:val="003D6C0B"/>
    <w:rsid w:val="003D7790"/>
    <w:rsid w:val="003E0662"/>
    <w:rsid w:val="003E19C5"/>
    <w:rsid w:val="003E5013"/>
    <w:rsid w:val="003E588D"/>
    <w:rsid w:val="003E7A24"/>
    <w:rsid w:val="003F1DFD"/>
    <w:rsid w:val="003F258B"/>
    <w:rsid w:val="003F4374"/>
    <w:rsid w:val="003F44DF"/>
    <w:rsid w:val="003F59F7"/>
    <w:rsid w:val="003F5FAF"/>
    <w:rsid w:val="003F5FC8"/>
    <w:rsid w:val="003F69AD"/>
    <w:rsid w:val="003F70C5"/>
    <w:rsid w:val="00400104"/>
    <w:rsid w:val="004008F6"/>
    <w:rsid w:val="00404001"/>
    <w:rsid w:val="00405E6E"/>
    <w:rsid w:val="00406323"/>
    <w:rsid w:val="00411188"/>
    <w:rsid w:val="00411272"/>
    <w:rsid w:val="0041275C"/>
    <w:rsid w:val="00412D12"/>
    <w:rsid w:val="00414C2E"/>
    <w:rsid w:val="0041633D"/>
    <w:rsid w:val="00416C8F"/>
    <w:rsid w:val="004173B9"/>
    <w:rsid w:val="0041785A"/>
    <w:rsid w:val="004201B5"/>
    <w:rsid w:val="004220C6"/>
    <w:rsid w:val="004225F6"/>
    <w:rsid w:val="00422AB0"/>
    <w:rsid w:val="00422B94"/>
    <w:rsid w:val="00423352"/>
    <w:rsid w:val="0042700B"/>
    <w:rsid w:val="004305C0"/>
    <w:rsid w:val="00431896"/>
    <w:rsid w:val="00432354"/>
    <w:rsid w:val="0043239D"/>
    <w:rsid w:val="00436046"/>
    <w:rsid w:val="0044067B"/>
    <w:rsid w:val="004406DF"/>
    <w:rsid w:val="00440764"/>
    <w:rsid w:val="00441C53"/>
    <w:rsid w:val="004426FD"/>
    <w:rsid w:val="00442D78"/>
    <w:rsid w:val="00446939"/>
    <w:rsid w:val="0045119E"/>
    <w:rsid w:val="00451748"/>
    <w:rsid w:val="00460D1B"/>
    <w:rsid w:val="00461F8F"/>
    <w:rsid w:val="00462605"/>
    <w:rsid w:val="0046331E"/>
    <w:rsid w:val="004652B5"/>
    <w:rsid w:val="00465D01"/>
    <w:rsid w:val="00466EE2"/>
    <w:rsid w:val="00467264"/>
    <w:rsid w:val="00470E0A"/>
    <w:rsid w:val="004720B7"/>
    <w:rsid w:val="004733CD"/>
    <w:rsid w:val="0047552D"/>
    <w:rsid w:val="00475F78"/>
    <w:rsid w:val="004763E7"/>
    <w:rsid w:val="00476412"/>
    <w:rsid w:val="00480AD3"/>
    <w:rsid w:val="0048332D"/>
    <w:rsid w:val="00484816"/>
    <w:rsid w:val="00487051"/>
    <w:rsid w:val="00487AA2"/>
    <w:rsid w:val="00490726"/>
    <w:rsid w:val="00490982"/>
    <w:rsid w:val="00490C94"/>
    <w:rsid w:val="0049143A"/>
    <w:rsid w:val="00491683"/>
    <w:rsid w:val="0049428E"/>
    <w:rsid w:val="00496669"/>
    <w:rsid w:val="00497028"/>
    <w:rsid w:val="004A0D0B"/>
    <w:rsid w:val="004A101A"/>
    <w:rsid w:val="004A35F1"/>
    <w:rsid w:val="004A4FC7"/>
    <w:rsid w:val="004A710A"/>
    <w:rsid w:val="004B14CE"/>
    <w:rsid w:val="004B15F5"/>
    <w:rsid w:val="004B4DD6"/>
    <w:rsid w:val="004B5B71"/>
    <w:rsid w:val="004B5D30"/>
    <w:rsid w:val="004B6C64"/>
    <w:rsid w:val="004B6D3C"/>
    <w:rsid w:val="004C1881"/>
    <w:rsid w:val="004C18E1"/>
    <w:rsid w:val="004C3757"/>
    <w:rsid w:val="004C4283"/>
    <w:rsid w:val="004C4559"/>
    <w:rsid w:val="004C64E0"/>
    <w:rsid w:val="004D0440"/>
    <w:rsid w:val="004D1494"/>
    <w:rsid w:val="004D28D0"/>
    <w:rsid w:val="004D3BFA"/>
    <w:rsid w:val="004D5C9F"/>
    <w:rsid w:val="004D76AE"/>
    <w:rsid w:val="004D7D64"/>
    <w:rsid w:val="004D7FB3"/>
    <w:rsid w:val="004E0A1B"/>
    <w:rsid w:val="004E1C83"/>
    <w:rsid w:val="004E2B78"/>
    <w:rsid w:val="004E2C0D"/>
    <w:rsid w:val="004E2E08"/>
    <w:rsid w:val="004E2F6D"/>
    <w:rsid w:val="004E30B3"/>
    <w:rsid w:val="004E3213"/>
    <w:rsid w:val="004E4D0F"/>
    <w:rsid w:val="004E55B6"/>
    <w:rsid w:val="004E61F8"/>
    <w:rsid w:val="004E627E"/>
    <w:rsid w:val="004E6829"/>
    <w:rsid w:val="004E76D0"/>
    <w:rsid w:val="004F03CC"/>
    <w:rsid w:val="004F0AB3"/>
    <w:rsid w:val="004F2784"/>
    <w:rsid w:val="004F3338"/>
    <w:rsid w:val="004F3AE7"/>
    <w:rsid w:val="004F57FE"/>
    <w:rsid w:val="004F5D04"/>
    <w:rsid w:val="004F7C74"/>
    <w:rsid w:val="00501A38"/>
    <w:rsid w:val="00501C4D"/>
    <w:rsid w:val="00505788"/>
    <w:rsid w:val="00507170"/>
    <w:rsid w:val="00510D65"/>
    <w:rsid w:val="00511E6C"/>
    <w:rsid w:val="005157E6"/>
    <w:rsid w:val="00515D58"/>
    <w:rsid w:val="005214D7"/>
    <w:rsid w:val="005217AE"/>
    <w:rsid w:val="00521AC8"/>
    <w:rsid w:val="00523011"/>
    <w:rsid w:val="005231B8"/>
    <w:rsid w:val="0052506B"/>
    <w:rsid w:val="005264A1"/>
    <w:rsid w:val="0052755F"/>
    <w:rsid w:val="00527CB3"/>
    <w:rsid w:val="00535B28"/>
    <w:rsid w:val="005363E6"/>
    <w:rsid w:val="00536940"/>
    <w:rsid w:val="00537116"/>
    <w:rsid w:val="005379A0"/>
    <w:rsid w:val="0054081F"/>
    <w:rsid w:val="0054133F"/>
    <w:rsid w:val="0054218B"/>
    <w:rsid w:val="00544037"/>
    <w:rsid w:val="005519C0"/>
    <w:rsid w:val="005526E7"/>
    <w:rsid w:val="00552C2F"/>
    <w:rsid w:val="00554DE2"/>
    <w:rsid w:val="005552A5"/>
    <w:rsid w:val="005553CC"/>
    <w:rsid w:val="00555C07"/>
    <w:rsid w:val="005573DE"/>
    <w:rsid w:val="005577B5"/>
    <w:rsid w:val="0056136E"/>
    <w:rsid w:val="00561E96"/>
    <w:rsid w:val="005631D5"/>
    <w:rsid w:val="00563BB7"/>
    <w:rsid w:val="0056434B"/>
    <w:rsid w:val="005657EA"/>
    <w:rsid w:val="00567DC4"/>
    <w:rsid w:val="00570383"/>
    <w:rsid w:val="00570976"/>
    <w:rsid w:val="00570D00"/>
    <w:rsid w:val="005721EB"/>
    <w:rsid w:val="00572FFB"/>
    <w:rsid w:val="00573AE0"/>
    <w:rsid w:val="00580667"/>
    <w:rsid w:val="00580A28"/>
    <w:rsid w:val="00581E5D"/>
    <w:rsid w:val="00581FA9"/>
    <w:rsid w:val="0058200E"/>
    <w:rsid w:val="005820FB"/>
    <w:rsid w:val="005843E0"/>
    <w:rsid w:val="005854BE"/>
    <w:rsid w:val="00585557"/>
    <w:rsid w:val="00587714"/>
    <w:rsid w:val="00587C3D"/>
    <w:rsid w:val="00590348"/>
    <w:rsid w:val="0059131D"/>
    <w:rsid w:val="00592AA9"/>
    <w:rsid w:val="005930C5"/>
    <w:rsid w:val="00594E62"/>
    <w:rsid w:val="00594EEE"/>
    <w:rsid w:val="00596D69"/>
    <w:rsid w:val="0059701B"/>
    <w:rsid w:val="005973E6"/>
    <w:rsid w:val="0059782D"/>
    <w:rsid w:val="005A26BC"/>
    <w:rsid w:val="005A4369"/>
    <w:rsid w:val="005A4767"/>
    <w:rsid w:val="005A603C"/>
    <w:rsid w:val="005A66A2"/>
    <w:rsid w:val="005A6A6A"/>
    <w:rsid w:val="005A6B41"/>
    <w:rsid w:val="005B069B"/>
    <w:rsid w:val="005B247E"/>
    <w:rsid w:val="005B30C9"/>
    <w:rsid w:val="005B68F6"/>
    <w:rsid w:val="005B7151"/>
    <w:rsid w:val="005C0169"/>
    <w:rsid w:val="005C2514"/>
    <w:rsid w:val="005C3784"/>
    <w:rsid w:val="005C466C"/>
    <w:rsid w:val="005C4C98"/>
    <w:rsid w:val="005C6B60"/>
    <w:rsid w:val="005C75E8"/>
    <w:rsid w:val="005C7721"/>
    <w:rsid w:val="005D0C99"/>
    <w:rsid w:val="005D19EF"/>
    <w:rsid w:val="005D3C8E"/>
    <w:rsid w:val="005D402F"/>
    <w:rsid w:val="005D6FF3"/>
    <w:rsid w:val="005D7926"/>
    <w:rsid w:val="005D7B38"/>
    <w:rsid w:val="005E0923"/>
    <w:rsid w:val="005E0E69"/>
    <w:rsid w:val="005E2988"/>
    <w:rsid w:val="005E2B56"/>
    <w:rsid w:val="005E311D"/>
    <w:rsid w:val="005E36A8"/>
    <w:rsid w:val="005E3EAC"/>
    <w:rsid w:val="005E477F"/>
    <w:rsid w:val="005E4C41"/>
    <w:rsid w:val="005E54E0"/>
    <w:rsid w:val="005E6F7A"/>
    <w:rsid w:val="005E7F08"/>
    <w:rsid w:val="005F0D29"/>
    <w:rsid w:val="005F1B4F"/>
    <w:rsid w:val="005F244E"/>
    <w:rsid w:val="005F30C9"/>
    <w:rsid w:val="005F59CA"/>
    <w:rsid w:val="005F64DE"/>
    <w:rsid w:val="005F77FF"/>
    <w:rsid w:val="0060216C"/>
    <w:rsid w:val="00602631"/>
    <w:rsid w:val="006034B8"/>
    <w:rsid w:val="006041F6"/>
    <w:rsid w:val="00607327"/>
    <w:rsid w:val="00607BAA"/>
    <w:rsid w:val="00612794"/>
    <w:rsid w:val="006127F6"/>
    <w:rsid w:val="00612DD1"/>
    <w:rsid w:val="00612F8D"/>
    <w:rsid w:val="006138B4"/>
    <w:rsid w:val="006140D2"/>
    <w:rsid w:val="00615281"/>
    <w:rsid w:val="00615CB2"/>
    <w:rsid w:val="00616BEA"/>
    <w:rsid w:val="00621D58"/>
    <w:rsid w:val="0062368A"/>
    <w:rsid w:val="0062489C"/>
    <w:rsid w:val="00624E42"/>
    <w:rsid w:val="00626256"/>
    <w:rsid w:val="00626F55"/>
    <w:rsid w:val="0062762D"/>
    <w:rsid w:val="00631C3D"/>
    <w:rsid w:val="00631EAF"/>
    <w:rsid w:val="00632EA0"/>
    <w:rsid w:val="00635744"/>
    <w:rsid w:val="00637FAA"/>
    <w:rsid w:val="0064126A"/>
    <w:rsid w:val="006449BF"/>
    <w:rsid w:val="00645394"/>
    <w:rsid w:val="006458BA"/>
    <w:rsid w:val="0064599D"/>
    <w:rsid w:val="0064780A"/>
    <w:rsid w:val="00647BD2"/>
    <w:rsid w:val="00651244"/>
    <w:rsid w:val="00652C9C"/>
    <w:rsid w:val="00654640"/>
    <w:rsid w:val="00655332"/>
    <w:rsid w:val="006555FA"/>
    <w:rsid w:val="006574A0"/>
    <w:rsid w:val="0065788C"/>
    <w:rsid w:val="006632A4"/>
    <w:rsid w:val="006659CB"/>
    <w:rsid w:val="006674BF"/>
    <w:rsid w:val="006679ED"/>
    <w:rsid w:val="00667FBE"/>
    <w:rsid w:val="006700B1"/>
    <w:rsid w:val="00670257"/>
    <w:rsid w:val="006705A4"/>
    <w:rsid w:val="006705BA"/>
    <w:rsid w:val="006734B1"/>
    <w:rsid w:val="0067624F"/>
    <w:rsid w:val="006762EA"/>
    <w:rsid w:val="0068056C"/>
    <w:rsid w:val="00681B2E"/>
    <w:rsid w:val="00682AD3"/>
    <w:rsid w:val="00682C2A"/>
    <w:rsid w:val="006841B6"/>
    <w:rsid w:val="0068469E"/>
    <w:rsid w:val="00686AC0"/>
    <w:rsid w:val="00686C0A"/>
    <w:rsid w:val="00687D39"/>
    <w:rsid w:val="00690713"/>
    <w:rsid w:val="00692C07"/>
    <w:rsid w:val="00692E64"/>
    <w:rsid w:val="00695547"/>
    <w:rsid w:val="00695970"/>
    <w:rsid w:val="00697F39"/>
    <w:rsid w:val="006A19A5"/>
    <w:rsid w:val="006A214A"/>
    <w:rsid w:val="006A4CF3"/>
    <w:rsid w:val="006A5A9C"/>
    <w:rsid w:val="006A6902"/>
    <w:rsid w:val="006B0416"/>
    <w:rsid w:val="006B0553"/>
    <w:rsid w:val="006B146F"/>
    <w:rsid w:val="006B1684"/>
    <w:rsid w:val="006B2CDC"/>
    <w:rsid w:val="006B30AF"/>
    <w:rsid w:val="006B65A4"/>
    <w:rsid w:val="006B74A8"/>
    <w:rsid w:val="006B75C5"/>
    <w:rsid w:val="006C0482"/>
    <w:rsid w:val="006C1324"/>
    <w:rsid w:val="006C248C"/>
    <w:rsid w:val="006C2895"/>
    <w:rsid w:val="006C5074"/>
    <w:rsid w:val="006C6C4E"/>
    <w:rsid w:val="006C7622"/>
    <w:rsid w:val="006C7EB4"/>
    <w:rsid w:val="006D0435"/>
    <w:rsid w:val="006D08C1"/>
    <w:rsid w:val="006D1E53"/>
    <w:rsid w:val="006D2EEE"/>
    <w:rsid w:val="006D412B"/>
    <w:rsid w:val="006D493F"/>
    <w:rsid w:val="006D4BFD"/>
    <w:rsid w:val="006D5CDF"/>
    <w:rsid w:val="006D770C"/>
    <w:rsid w:val="006E0BCD"/>
    <w:rsid w:val="006E1585"/>
    <w:rsid w:val="006E1AAA"/>
    <w:rsid w:val="006E1B4B"/>
    <w:rsid w:val="006E208A"/>
    <w:rsid w:val="006E3D11"/>
    <w:rsid w:val="006E40C7"/>
    <w:rsid w:val="006E4121"/>
    <w:rsid w:val="006E4A68"/>
    <w:rsid w:val="006E516D"/>
    <w:rsid w:val="006E551C"/>
    <w:rsid w:val="006E7425"/>
    <w:rsid w:val="006F074B"/>
    <w:rsid w:val="006F5B97"/>
    <w:rsid w:val="006F659C"/>
    <w:rsid w:val="006F7473"/>
    <w:rsid w:val="006F74CD"/>
    <w:rsid w:val="007007AC"/>
    <w:rsid w:val="0070117D"/>
    <w:rsid w:val="00701FE8"/>
    <w:rsid w:val="00702391"/>
    <w:rsid w:val="007023AF"/>
    <w:rsid w:val="00702BA4"/>
    <w:rsid w:val="0070455D"/>
    <w:rsid w:val="00704CDB"/>
    <w:rsid w:val="00705D4B"/>
    <w:rsid w:val="00707C32"/>
    <w:rsid w:val="00711211"/>
    <w:rsid w:val="00713304"/>
    <w:rsid w:val="00715A81"/>
    <w:rsid w:val="0071687A"/>
    <w:rsid w:val="007172E8"/>
    <w:rsid w:val="007174B4"/>
    <w:rsid w:val="007217A1"/>
    <w:rsid w:val="00722B64"/>
    <w:rsid w:val="00722D30"/>
    <w:rsid w:val="00725738"/>
    <w:rsid w:val="00730B1B"/>
    <w:rsid w:val="007331A2"/>
    <w:rsid w:val="007348B4"/>
    <w:rsid w:val="00734EDE"/>
    <w:rsid w:val="007355FB"/>
    <w:rsid w:val="0073585A"/>
    <w:rsid w:val="00737F27"/>
    <w:rsid w:val="00742B1C"/>
    <w:rsid w:val="00744C7E"/>
    <w:rsid w:val="00744E53"/>
    <w:rsid w:val="00747071"/>
    <w:rsid w:val="007474B2"/>
    <w:rsid w:val="007476DC"/>
    <w:rsid w:val="0075038E"/>
    <w:rsid w:val="00751BB8"/>
    <w:rsid w:val="00751D1D"/>
    <w:rsid w:val="00753DF8"/>
    <w:rsid w:val="007545AC"/>
    <w:rsid w:val="0075491B"/>
    <w:rsid w:val="0075789F"/>
    <w:rsid w:val="007601FD"/>
    <w:rsid w:val="00760542"/>
    <w:rsid w:val="007605C0"/>
    <w:rsid w:val="00760E29"/>
    <w:rsid w:val="00762C2C"/>
    <w:rsid w:val="00762F0E"/>
    <w:rsid w:val="00763539"/>
    <w:rsid w:val="00763F69"/>
    <w:rsid w:val="0076629A"/>
    <w:rsid w:val="00767BD1"/>
    <w:rsid w:val="00773239"/>
    <w:rsid w:val="00773EE3"/>
    <w:rsid w:val="00776739"/>
    <w:rsid w:val="00776898"/>
    <w:rsid w:val="00777222"/>
    <w:rsid w:val="007774CA"/>
    <w:rsid w:val="00777AD0"/>
    <w:rsid w:val="007811D6"/>
    <w:rsid w:val="007823D1"/>
    <w:rsid w:val="00782C5F"/>
    <w:rsid w:val="007830D0"/>
    <w:rsid w:val="00784D23"/>
    <w:rsid w:val="00785738"/>
    <w:rsid w:val="00785EA8"/>
    <w:rsid w:val="00786160"/>
    <w:rsid w:val="007867E9"/>
    <w:rsid w:val="00786D93"/>
    <w:rsid w:val="0079082E"/>
    <w:rsid w:val="00791DC7"/>
    <w:rsid w:val="00792DB7"/>
    <w:rsid w:val="00795251"/>
    <w:rsid w:val="0079581C"/>
    <w:rsid w:val="00795EC0"/>
    <w:rsid w:val="007966C4"/>
    <w:rsid w:val="0079679B"/>
    <w:rsid w:val="007A0F8B"/>
    <w:rsid w:val="007A6317"/>
    <w:rsid w:val="007B2943"/>
    <w:rsid w:val="007B33CC"/>
    <w:rsid w:val="007B4897"/>
    <w:rsid w:val="007B4F41"/>
    <w:rsid w:val="007B6E4F"/>
    <w:rsid w:val="007B713F"/>
    <w:rsid w:val="007B7701"/>
    <w:rsid w:val="007C03B5"/>
    <w:rsid w:val="007C20A9"/>
    <w:rsid w:val="007C43D9"/>
    <w:rsid w:val="007D0FE7"/>
    <w:rsid w:val="007D2023"/>
    <w:rsid w:val="007D3C1D"/>
    <w:rsid w:val="007D4315"/>
    <w:rsid w:val="007D44C5"/>
    <w:rsid w:val="007D5F4D"/>
    <w:rsid w:val="007D5F90"/>
    <w:rsid w:val="007D6D43"/>
    <w:rsid w:val="007E0E76"/>
    <w:rsid w:val="007E1530"/>
    <w:rsid w:val="007E2D2F"/>
    <w:rsid w:val="007E6A11"/>
    <w:rsid w:val="007E7584"/>
    <w:rsid w:val="007E7B9C"/>
    <w:rsid w:val="007F139B"/>
    <w:rsid w:val="007F3E0D"/>
    <w:rsid w:val="007F47E6"/>
    <w:rsid w:val="007F55E1"/>
    <w:rsid w:val="007F6DAF"/>
    <w:rsid w:val="00801AEC"/>
    <w:rsid w:val="00801E7B"/>
    <w:rsid w:val="00802801"/>
    <w:rsid w:val="00803125"/>
    <w:rsid w:val="0080465B"/>
    <w:rsid w:val="00804DD8"/>
    <w:rsid w:val="008075AB"/>
    <w:rsid w:val="00810034"/>
    <w:rsid w:val="00810AF3"/>
    <w:rsid w:val="00811195"/>
    <w:rsid w:val="008115BF"/>
    <w:rsid w:val="00811FDF"/>
    <w:rsid w:val="0081271C"/>
    <w:rsid w:val="00813E5F"/>
    <w:rsid w:val="008149F5"/>
    <w:rsid w:val="008161DE"/>
    <w:rsid w:val="008166BC"/>
    <w:rsid w:val="00817D95"/>
    <w:rsid w:val="0082027C"/>
    <w:rsid w:val="00820F60"/>
    <w:rsid w:val="008215C5"/>
    <w:rsid w:val="00821BFC"/>
    <w:rsid w:val="00822A22"/>
    <w:rsid w:val="00823BFC"/>
    <w:rsid w:val="008255F7"/>
    <w:rsid w:val="00825E50"/>
    <w:rsid w:val="008277E9"/>
    <w:rsid w:val="00830A03"/>
    <w:rsid w:val="00832388"/>
    <w:rsid w:val="008328BD"/>
    <w:rsid w:val="00832F33"/>
    <w:rsid w:val="00832FAF"/>
    <w:rsid w:val="008333EC"/>
    <w:rsid w:val="0083429C"/>
    <w:rsid w:val="0083469E"/>
    <w:rsid w:val="00835678"/>
    <w:rsid w:val="00835EBF"/>
    <w:rsid w:val="008401D5"/>
    <w:rsid w:val="00843C57"/>
    <w:rsid w:val="00844CA4"/>
    <w:rsid w:val="008451C7"/>
    <w:rsid w:val="00845E8A"/>
    <w:rsid w:val="00847743"/>
    <w:rsid w:val="00851088"/>
    <w:rsid w:val="00851140"/>
    <w:rsid w:val="00851E51"/>
    <w:rsid w:val="008544D4"/>
    <w:rsid w:val="008551D5"/>
    <w:rsid w:val="008551FB"/>
    <w:rsid w:val="0085663E"/>
    <w:rsid w:val="00856F5F"/>
    <w:rsid w:val="008571C1"/>
    <w:rsid w:val="00860476"/>
    <w:rsid w:val="008613D5"/>
    <w:rsid w:val="00861D1B"/>
    <w:rsid w:val="00862063"/>
    <w:rsid w:val="00862ADC"/>
    <w:rsid w:val="00863920"/>
    <w:rsid w:val="008658D1"/>
    <w:rsid w:val="008659CB"/>
    <w:rsid w:val="00865BF6"/>
    <w:rsid w:val="008669AE"/>
    <w:rsid w:val="00870BE1"/>
    <w:rsid w:val="008727E0"/>
    <w:rsid w:val="00874885"/>
    <w:rsid w:val="008759B9"/>
    <w:rsid w:val="00875D81"/>
    <w:rsid w:val="00876236"/>
    <w:rsid w:val="00876C71"/>
    <w:rsid w:val="00880158"/>
    <w:rsid w:val="0088240B"/>
    <w:rsid w:val="008833C2"/>
    <w:rsid w:val="0088353F"/>
    <w:rsid w:val="008852E7"/>
    <w:rsid w:val="0088660A"/>
    <w:rsid w:val="00887569"/>
    <w:rsid w:val="00890060"/>
    <w:rsid w:val="00890FB0"/>
    <w:rsid w:val="00892B55"/>
    <w:rsid w:val="0089353A"/>
    <w:rsid w:val="0089479E"/>
    <w:rsid w:val="00896133"/>
    <w:rsid w:val="008965B6"/>
    <w:rsid w:val="008A1050"/>
    <w:rsid w:val="008A166D"/>
    <w:rsid w:val="008A177A"/>
    <w:rsid w:val="008A5083"/>
    <w:rsid w:val="008A5660"/>
    <w:rsid w:val="008A56B1"/>
    <w:rsid w:val="008A6B4E"/>
    <w:rsid w:val="008B55D2"/>
    <w:rsid w:val="008B589E"/>
    <w:rsid w:val="008B630C"/>
    <w:rsid w:val="008C0F60"/>
    <w:rsid w:val="008C2784"/>
    <w:rsid w:val="008C372B"/>
    <w:rsid w:val="008C3894"/>
    <w:rsid w:val="008C3DC9"/>
    <w:rsid w:val="008D1275"/>
    <w:rsid w:val="008D3BFE"/>
    <w:rsid w:val="008D3E75"/>
    <w:rsid w:val="008D4BDD"/>
    <w:rsid w:val="008D618B"/>
    <w:rsid w:val="008E0B17"/>
    <w:rsid w:val="008E32FA"/>
    <w:rsid w:val="008E3508"/>
    <w:rsid w:val="008E48A4"/>
    <w:rsid w:val="008E4CDF"/>
    <w:rsid w:val="008E4E56"/>
    <w:rsid w:val="008E7493"/>
    <w:rsid w:val="008F0756"/>
    <w:rsid w:val="008F0A0A"/>
    <w:rsid w:val="008F10B3"/>
    <w:rsid w:val="008F1154"/>
    <w:rsid w:val="008F3450"/>
    <w:rsid w:val="008F44DD"/>
    <w:rsid w:val="008F4E49"/>
    <w:rsid w:val="008F5B5D"/>
    <w:rsid w:val="008F6C62"/>
    <w:rsid w:val="00900A1A"/>
    <w:rsid w:val="00901D05"/>
    <w:rsid w:val="00903607"/>
    <w:rsid w:val="0090418D"/>
    <w:rsid w:val="0090542D"/>
    <w:rsid w:val="009079C7"/>
    <w:rsid w:val="009109E1"/>
    <w:rsid w:val="00910D05"/>
    <w:rsid w:val="0091261A"/>
    <w:rsid w:val="009159A5"/>
    <w:rsid w:val="00917278"/>
    <w:rsid w:val="00920642"/>
    <w:rsid w:val="0092107F"/>
    <w:rsid w:val="00921FFD"/>
    <w:rsid w:val="0092214A"/>
    <w:rsid w:val="00923FB1"/>
    <w:rsid w:val="00924507"/>
    <w:rsid w:val="0092522B"/>
    <w:rsid w:val="00926B68"/>
    <w:rsid w:val="00927E78"/>
    <w:rsid w:val="00930158"/>
    <w:rsid w:val="0093075E"/>
    <w:rsid w:val="009308D9"/>
    <w:rsid w:val="00930DCA"/>
    <w:rsid w:val="00932738"/>
    <w:rsid w:val="009335AD"/>
    <w:rsid w:val="00933643"/>
    <w:rsid w:val="0093436C"/>
    <w:rsid w:val="00934E9C"/>
    <w:rsid w:val="0093541A"/>
    <w:rsid w:val="00935AB0"/>
    <w:rsid w:val="0093710B"/>
    <w:rsid w:val="009373DF"/>
    <w:rsid w:val="0093755B"/>
    <w:rsid w:val="00937948"/>
    <w:rsid w:val="00940623"/>
    <w:rsid w:val="00940B74"/>
    <w:rsid w:val="0094185B"/>
    <w:rsid w:val="00941934"/>
    <w:rsid w:val="00943DDB"/>
    <w:rsid w:val="009461CC"/>
    <w:rsid w:val="00950BC2"/>
    <w:rsid w:val="0095104E"/>
    <w:rsid w:val="00951F8A"/>
    <w:rsid w:val="00951FF8"/>
    <w:rsid w:val="00954446"/>
    <w:rsid w:val="0095477E"/>
    <w:rsid w:val="0095520B"/>
    <w:rsid w:val="009556ED"/>
    <w:rsid w:val="009562F7"/>
    <w:rsid w:val="009603EE"/>
    <w:rsid w:val="0096171F"/>
    <w:rsid w:val="00962919"/>
    <w:rsid w:val="00962978"/>
    <w:rsid w:val="00962AD2"/>
    <w:rsid w:val="00962B43"/>
    <w:rsid w:val="009652C0"/>
    <w:rsid w:val="00971B71"/>
    <w:rsid w:val="00974941"/>
    <w:rsid w:val="0097507B"/>
    <w:rsid w:val="00975BA1"/>
    <w:rsid w:val="00980398"/>
    <w:rsid w:val="009815A4"/>
    <w:rsid w:val="00981CA7"/>
    <w:rsid w:val="009823A1"/>
    <w:rsid w:val="00984591"/>
    <w:rsid w:val="00985093"/>
    <w:rsid w:val="00987F76"/>
    <w:rsid w:val="00991C46"/>
    <w:rsid w:val="009926D7"/>
    <w:rsid w:val="009945DC"/>
    <w:rsid w:val="009A00B8"/>
    <w:rsid w:val="009A2024"/>
    <w:rsid w:val="009A2B1D"/>
    <w:rsid w:val="009A3954"/>
    <w:rsid w:val="009A3A41"/>
    <w:rsid w:val="009A4ECE"/>
    <w:rsid w:val="009A6C6F"/>
    <w:rsid w:val="009A7C65"/>
    <w:rsid w:val="009B162F"/>
    <w:rsid w:val="009B2174"/>
    <w:rsid w:val="009B362F"/>
    <w:rsid w:val="009B476A"/>
    <w:rsid w:val="009B7C68"/>
    <w:rsid w:val="009C0521"/>
    <w:rsid w:val="009C0970"/>
    <w:rsid w:val="009C3A92"/>
    <w:rsid w:val="009C4027"/>
    <w:rsid w:val="009C42C6"/>
    <w:rsid w:val="009C4D15"/>
    <w:rsid w:val="009C4FAD"/>
    <w:rsid w:val="009C503B"/>
    <w:rsid w:val="009C52CC"/>
    <w:rsid w:val="009C531F"/>
    <w:rsid w:val="009C5559"/>
    <w:rsid w:val="009C58A2"/>
    <w:rsid w:val="009C6555"/>
    <w:rsid w:val="009C778D"/>
    <w:rsid w:val="009D02B5"/>
    <w:rsid w:val="009D12EF"/>
    <w:rsid w:val="009D38CF"/>
    <w:rsid w:val="009D3FCD"/>
    <w:rsid w:val="009E22EC"/>
    <w:rsid w:val="009E270D"/>
    <w:rsid w:val="009E2E84"/>
    <w:rsid w:val="009E4C78"/>
    <w:rsid w:val="009E5884"/>
    <w:rsid w:val="009E659D"/>
    <w:rsid w:val="009F0616"/>
    <w:rsid w:val="009F337F"/>
    <w:rsid w:val="009F417D"/>
    <w:rsid w:val="009F543B"/>
    <w:rsid w:val="009F6FB0"/>
    <w:rsid w:val="009F756D"/>
    <w:rsid w:val="009F7DBC"/>
    <w:rsid w:val="009F7DD3"/>
    <w:rsid w:val="00A00AFC"/>
    <w:rsid w:val="00A00CF8"/>
    <w:rsid w:val="00A019AE"/>
    <w:rsid w:val="00A033D7"/>
    <w:rsid w:val="00A05AC0"/>
    <w:rsid w:val="00A07BC8"/>
    <w:rsid w:val="00A07EB0"/>
    <w:rsid w:val="00A102CE"/>
    <w:rsid w:val="00A12CFE"/>
    <w:rsid w:val="00A12FD0"/>
    <w:rsid w:val="00A13F8E"/>
    <w:rsid w:val="00A145D2"/>
    <w:rsid w:val="00A23EA1"/>
    <w:rsid w:val="00A25AC1"/>
    <w:rsid w:val="00A30364"/>
    <w:rsid w:val="00A30984"/>
    <w:rsid w:val="00A3105B"/>
    <w:rsid w:val="00A31566"/>
    <w:rsid w:val="00A315DF"/>
    <w:rsid w:val="00A32549"/>
    <w:rsid w:val="00A35FB1"/>
    <w:rsid w:val="00A36146"/>
    <w:rsid w:val="00A36869"/>
    <w:rsid w:val="00A369C7"/>
    <w:rsid w:val="00A37C50"/>
    <w:rsid w:val="00A44748"/>
    <w:rsid w:val="00A44BEA"/>
    <w:rsid w:val="00A47C08"/>
    <w:rsid w:val="00A47CAC"/>
    <w:rsid w:val="00A508B5"/>
    <w:rsid w:val="00A50B9B"/>
    <w:rsid w:val="00A51236"/>
    <w:rsid w:val="00A51718"/>
    <w:rsid w:val="00A57A7B"/>
    <w:rsid w:val="00A57BE7"/>
    <w:rsid w:val="00A57D4D"/>
    <w:rsid w:val="00A61BB7"/>
    <w:rsid w:val="00A61F07"/>
    <w:rsid w:val="00A6208B"/>
    <w:rsid w:val="00A6332F"/>
    <w:rsid w:val="00A6473C"/>
    <w:rsid w:val="00A64CA3"/>
    <w:rsid w:val="00A64F1A"/>
    <w:rsid w:val="00A664B7"/>
    <w:rsid w:val="00A67D93"/>
    <w:rsid w:val="00A70D1D"/>
    <w:rsid w:val="00A71E97"/>
    <w:rsid w:val="00A73B52"/>
    <w:rsid w:val="00A75115"/>
    <w:rsid w:val="00A7551A"/>
    <w:rsid w:val="00A75A43"/>
    <w:rsid w:val="00A75A5C"/>
    <w:rsid w:val="00A77640"/>
    <w:rsid w:val="00A80AFF"/>
    <w:rsid w:val="00A81C46"/>
    <w:rsid w:val="00A83296"/>
    <w:rsid w:val="00A83A8B"/>
    <w:rsid w:val="00A85D34"/>
    <w:rsid w:val="00A85E1D"/>
    <w:rsid w:val="00A87799"/>
    <w:rsid w:val="00A913FD"/>
    <w:rsid w:val="00A91F69"/>
    <w:rsid w:val="00A92F07"/>
    <w:rsid w:val="00A942A6"/>
    <w:rsid w:val="00A95D35"/>
    <w:rsid w:val="00A96FC8"/>
    <w:rsid w:val="00A970AA"/>
    <w:rsid w:val="00AA1FCB"/>
    <w:rsid w:val="00AA352E"/>
    <w:rsid w:val="00AA433A"/>
    <w:rsid w:val="00AA72B1"/>
    <w:rsid w:val="00AB17B5"/>
    <w:rsid w:val="00AB2CCB"/>
    <w:rsid w:val="00AB4DAC"/>
    <w:rsid w:val="00AB5CBD"/>
    <w:rsid w:val="00AB7354"/>
    <w:rsid w:val="00AC0181"/>
    <w:rsid w:val="00AC2283"/>
    <w:rsid w:val="00AC6120"/>
    <w:rsid w:val="00AC6FE7"/>
    <w:rsid w:val="00AC71D8"/>
    <w:rsid w:val="00AD0301"/>
    <w:rsid w:val="00AD20D9"/>
    <w:rsid w:val="00AD22F8"/>
    <w:rsid w:val="00AD2696"/>
    <w:rsid w:val="00AD26DC"/>
    <w:rsid w:val="00AD297C"/>
    <w:rsid w:val="00AD29BB"/>
    <w:rsid w:val="00AD2A71"/>
    <w:rsid w:val="00AD35F6"/>
    <w:rsid w:val="00AD5558"/>
    <w:rsid w:val="00AD55F6"/>
    <w:rsid w:val="00AD5990"/>
    <w:rsid w:val="00AD5E2B"/>
    <w:rsid w:val="00AD6381"/>
    <w:rsid w:val="00AD6D9A"/>
    <w:rsid w:val="00AE0BE5"/>
    <w:rsid w:val="00AE3A9E"/>
    <w:rsid w:val="00AE3F64"/>
    <w:rsid w:val="00AE49ED"/>
    <w:rsid w:val="00AE4AA6"/>
    <w:rsid w:val="00AE6908"/>
    <w:rsid w:val="00AE7573"/>
    <w:rsid w:val="00AE7BAD"/>
    <w:rsid w:val="00AF07C5"/>
    <w:rsid w:val="00AF0E8B"/>
    <w:rsid w:val="00AF0F46"/>
    <w:rsid w:val="00AF1034"/>
    <w:rsid w:val="00AF1478"/>
    <w:rsid w:val="00AF1A71"/>
    <w:rsid w:val="00AF3E5C"/>
    <w:rsid w:val="00AF48A5"/>
    <w:rsid w:val="00AF5906"/>
    <w:rsid w:val="00AF6158"/>
    <w:rsid w:val="00AF63BA"/>
    <w:rsid w:val="00AF6816"/>
    <w:rsid w:val="00AF7797"/>
    <w:rsid w:val="00AF7B22"/>
    <w:rsid w:val="00B000AE"/>
    <w:rsid w:val="00B008AE"/>
    <w:rsid w:val="00B00D1C"/>
    <w:rsid w:val="00B00F87"/>
    <w:rsid w:val="00B01432"/>
    <w:rsid w:val="00B032E9"/>
    <w:rsid w:val="00B04095"/>
    <w:rsid w:val="00B0623D"/>
    <w:rsid w:val="00B10465"/>
    <w:rsid w:val="00B11D6E"/>
    <w:rsid w:val="00B122E6"/>
    <w:rsid w:val="00B1325D"/>
    <w:rsid w:val="00B144F9"/>
    <w:rsid w:val="00B162F1"/>
    <w:rsid w:val="00B17211"/>
    <w:rsid w:val="00B20A98"/>
    <w:rsid w:val="00B215DE"/>
    <w:rsid w:val="00B2248E"/>
    <w:rsid w:val="00B2302F"/>
    <w:rsid w:val="00B24D51"/>
    <w:rsid w:val="00B27EA0"/>
    <w:rsid w:val="00B309C5"/>
    <w:rsid w:val="00B30C90"/>
    <w:rsid w:val="00B31600"/>
    <w:rsid w:val="00B31E57"/>
    <w:rsid w:val="00B32585"/>
    <w:rsid w:val="00B32C58"/>
    <w:rsid w:val="00B33F67"/>
    <w:rsid w:val="00B378BB"/>
    <w:rsid w:val="00B41264"/>
    <w:rsid w:val="00B4179A"/>
    <w:rsid w:val="00B41954"/>
    <w:rsid w:val="00B41C50"/>
    <w:rsid w:val="00B42156"/>
    <w:rsid w:val="00B430E2"/>
    <w:rsid w:val="00B4402C"/>
    <w:rsid w:val="00B448AC"/>
    <w:rsid w:val="00B4633F"/>
    <w:rsid w:val="00B470F3"/>
    <w:rsid w:val="00B502CC"/>
    <w:rsid w:val="00B50BA6"/>
    <w:rsid w:val="00B519F1"/>
    <w:rsid w:val="00B536C2"/>
    <w:rsid w:val="00B553D5"/>
    <w:rsid w:val="00B55B90"/>
    <w:rsid w:val="00B55C36"/>
    <w:rsid w:val="00B562FD"/>
    <w:rsid w:val="00B56F70"/>
    <w:rsid w:val="00B57793"/>
    <w:rsid w:val="00B60C5A"/>
    <w:rsid w:val="00B6136C"/>
    <w:rsid w:val="00B62EAA"/>
    <w:rsid w:val="00B632AD"/>
    <w:rsid w:val="00B66B66"/>
    <w:rsid w:val="00B66E74"/>
    <w:rsid w:val="00B70154"/>
    <w:rsid w:val="00B711CA"/>
    <w:rsid w:val="00B725B4"/>
    <w:rsid w:val="00B76C95"/>
    <w:rsid w:val="00B77545"/>
    <w:rsid w:val="00B777C6"/>
    <w:rsid w:val="00B80444"/>
    <w:rsid w:val="00B809FF"/>
    <w:rsid w:val="00B80CE3"/>
    <w:rsid w:val="00B8187E"/>
    <w:rsid w:val="00B84184"/>
    <w:rsid w:val="00B869D0"/>
    <w:rsid w:val="00B87E5D"/>
    <w:rsid w:val="00B92C98"/>
    <w:rsid w:val="00B938A5"/>
    <w:rsid w:val="00B94A44"/>
    <w:rsid w:val="00B94F90"/>
    <w:rsid w:val="00B960C7"/>
    <w:rsid w:val="00B96545"/>
    <w:rsid w:val="00B968A7"/>
    <w:rsid w:val="00B976FB"/>
    <w:rsid w:val="00BA154C"/>
    <w:rsid w:val="00BA5C0B"/>
    <w:rsid w:val="00BA6B17"/>
    <w:rsid w:val="00BA7362"/>
    <w:rsid w:val="00BB0995"/>
    <w:rsid w:val="00BB143E"/>
    <w:rsid w:val="00BB20E6"/>
    <w:rsid w:val="00BB2FC8"/>
    <w:rsid w:val="00BB5C0B"/>
    <w:rsid w:val="00BB782F"/>
    <w:rsid w:val="00BC23C9"/>
    <w:rsid w:val="00BC40C3"/>
    <w:rsid w:val="00BC4CAC"/>
    <w:rsid w:val="00BC5610"/>
    <w:rsid w:val="00BC7273"/>
    <w:rsid w:val="00BC7E24"/>
    <w:rsid w:val="00BD07BC"/>
    <w:rsid w:val="00BD12A3"/>
    <w:rsid w:val="00BD1541"/>
    <w:rsid w:val="00BD428E"/>
    <w:rsid w:val="00BD4485"/>
    <w:rsid w:val="00BD4986"/>
    <w:rsid w:val="00BD6D8E"/>
    <w:rsid w:val="00BD743F"/>
    <w:rsid w:val="00BE126F"/>
    <w:rsid w:val="00BE2561"/>
    <w:rsid w:val="00BE6A9C"/>
    <w:rsid w:val="00BE6C59"/>
    <w:rsid w:val="00BE7640"/>
    <w:rsid w:val="00BF1EA9"/>
    <w:rsid w:val="00BF2810"/>
    <w:rsid w:val="00BF4D5B"/>
    <w:rsid w:val="00BF5B66"/>
    <w:rsid w:val="00BF7897"/>
    <w:rsid w:val="00C01E70"/>
    <w:rsid w:val="00C0554A"/>
    <w:rsid w:val="00C058D3"/>
    <w:rsid w:val="00C06C0A"/>
    <w:rsid w:val="00C0737C"/>
    <w:rsid w:val="00C079F8"/>
    <w:rsid w:val="00C1004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02E"/>
    <w:rsid w:val="00C22DC8"/>
    <w:rsid w:val="00C22EF4"/>
    <w:rsid w:val="00C23F0E"/>
    <w:rsid w:val="00C2463E"/>
    <w:rsid w:val="00C26336"/>
    <w:rsid w:val="00C27FE3"/>
    <w:rsid w:val="00C306A7"/>
    <w:rsid w:val="00C32FCC"/>
    <w:rsid w:val="00C3563B"/>
    <w:rsid w:val="00C363BE"/>
    <w:rsid w:val="00C364C7"/>
    <w:rsid w:val="00C370A2"/>
    <w:rsid w:val="00C417E2"/>
    <w:rsid w:val="00C41A11"/>
    <w:rsid w:val="00C4401F"/>
    <w:rsid w:val="00C44C83"/>
    <w:rsid w:val="00C454E3"/>
    <w:rsid w:val="00C45835"/>
    <w:rsid w:val="00C52DE7"/>
    <w:rsid w:val="00C5382F"/>
    <w:rsid w:val="00C55C5C"/>
    <w:rsid w:val="00C56991"/>
    <w:rsid w:val="00C61578"/>
    <w:rsid w:val="00C61ADA"/>
    <w:rsid w:val="00C63440"/>
    <w:rsid w:val="00C63D0E"/>
    <w:rsid w:val="00C6515F"/>
    <w:rsid w:val="00C65BB3"/>
    <w:rsid w:val="00C666EF"/>
    <w:rsid w:val="00C67DEC"/>
    <w:rsid w:val="00C70382"/>
    <w:rsid w:val="00C7043F"/>
    <w:rsid w:val="00C70ACB"/>
    <w:rsid w:val="00C71EC4"/>
    <w:rsid w:val="00C7305C"/>
    <w:rsid w:val="00C73873"/>
    <w:rsid w:val="00C7580B"/>
    <w:rsid w:val="00C802FD"/>
    <w:rsid w:val="00C8042B"/>
    <w:rsid w:val="00C80C32"/>
    <w:rsid w:val="00C81367"/>
    <w:rsid w:val="00C816B6"/>
    <w:rsid w:val="00C8340F"/>
    <w:rsid w:val="00C863B4"/>
    <w:rsid w:val="00C878FE"/>
    <w:rsid w:val="00C879E5"/>
    <w:rsid w:val="00C905C3"/>
    <w:rsid w:val="00C905CA"/>
    <w:rsid w:val="00C91119"/>
    <w:rsid w:val="00C92873"/>
    <w:rsid w:val="00CA0051"/>
    <w:rsid w:val="00CA094A"/>
    <w:rsid w:val="00CA12CC"/>
    <w:rsid w:val="00CA2D5D"/>
    <w:rsid w:val="00CA3395"/>
    <w:rsid w:val="00CA5E46"/>
    <w:rsid w:val="00CA691B"/>
    <w:rsid w:val="00CA6998"/>
    <w:rsid w:val="00CA6D1B"/>
    <w:rsid w:val="00CA6DA2"/>
    <w:rsid w:val="00CB3A22"/>
    <w:rsid w:val="00CB3D74"/>
    <w:rsid w:val="00CB6B37"/>
    <w:rsid w:val="00CB7ED2"/>
    <w:rsid w:val="00CC01ED"/>
    <w:rsid w:val="00CC0A1A"/>
    <w:rsid w:val="00CC0CEE"/>
    <w:rsid w:val="00CC15A1"/>
    <w:rsid w:val="00CC2931"/>
    <w:rsid w:val="00CC2999"/>
    <w:rsid w:val="00CC3C0D"/>
    <w:rsid w:val="00CC4A26"/>
    <w:rsid w:val="00CC567B"/>
    <w:rsid w:val="00CC5AFC"/>
    <w:rsid w:val="00CC6614"/>
    <w:rsid w:val="00CC68CA"/>
    <w:rsid w:val="00CD01DC"/>
    <w:rsid w:val="00CD06F0"/>
    <w:rsid w:val="00CD0A23"/>
    <w:rsid w:val="00CD3691"/>
    <w:rsid w:val="00CD4747"/>
    <w:rsid w:val="00CD493B"/>
    <w:rsid w:val="00CD49A0"/>
    <w:rsid w:val="00CD77E6"/>
    <w:rsid w:val="00CD78A9"/>
    <w:rsid w:val="00CE0530"/>
    <w:rsid w:val="00CE0E8B"/>
    <w:rsid w:val="00CE133A"/>
    <w:rsid w:val="00CE28A4"/>
    <w:rsid w:val="00CE298E"/>
    <w:rsid w:val="00CE367B"/>
    <w:rsid w:val="00CE4EE7"/>
    <w:rsid w:val="00CE66B8"/>
    <w:rsid w:val="00CE6DE4"/>
    <w:rsid w:val="00CE78EA"/>
    <w:rsid w:val="00CF03A8"/>
    <w:rsid w:val="00CF0796"/>
    <w:rsid w:val="00CF2E18"/>
    <w:rsid w:val="00CF4016"/>
    <w:rsid w:val="00D01486"/>
    <w:rsid w:val="00D0229A"/>
    <w:rsid w:val="00D025A7"/>
    <w:rsid w:val="00D03E8D"/>
    <w:rsid w:val="00D03F79"/>
    <w:rsid w:val="00D04196"/>
    <w:rsid w:val="00D05580"/>
    <w:rsid w:val="00D06BE7"/>
    <w:rsid w:val="00D06D42"/>
    <w:rsid w:val="00D1027F"/>
    <w:rsid w:val="00D114FC"/>
    <w:rsid w:val="00D1466A"/>
    <w:rsid w:val="00D14AEF"/>
    <w:rsid w:val="00D15665"/>
    <w:rsid w:val="00D16BA6"/>
    <w:rsid w:val="00D204A6"/>
    <w:rsid w:val="00D214B7"/>
    <w:rsid w:val="00D2211C"/>
    <w:rsid w:val="00D241B9"/>
    <w:rsid w:val="00D25E30"/>
    <w:rsid w:val="00D27C3A"/>
    <w:rsid w:val="00D27D2B"/>
    <w:rsid w:val="00D27F21"/>
    <w:rsid w:val="00D3231D"/>
    <w:rsid w:val="00D3249E"/>
    <w:rsid w:val="00D326C6"/>
    <w:rsid w:val="00D35E73"/>
    <w:rsid w:val="00D363F5"/>
    <w:rsid w:val="00D4047F"/>
    <w:rsid w:val="00D40EE0"/>
    <w:rsid w:val="00D41C33"/>
    <w:rsid w:val="00D432F3"/>
    <w:rsid w:val="00D43EEE"/>
    <w:rsid w:val="00D4655A"/>
    <w:rsid w:val="00D51476"/>
    <w:rsid w:val="00D51B07"/>
    <w:rsid w:val="00D52C8C"/>
    <w:rsid w:val="00D547D3"/>
    <w:rsid w:val="00D54847"/>
    <w:rsid w:val="00D54A89"/>
    <w:rsid w:val="00D57E95"/>
    <w:rsid w:val="00D6002D"/>
    <w:rsid w:val="00D60A0A"/>
    <w:rsid w:val="00D61BF6"/>
    <w:rsid w:val="00D62C60"/>
    <w:rsid w:val="00D6489F"/>
    <w:rsid w:val="00D6603A"/>
    <w:rsid w:val="00D67069"/>
    <w:rsid w:val="00D7090A"/>
    <w:rsid w:val="00D713D9"/>
    <w:rsid w:val="00D72499"/>
    <w:rsid w:val="00D746A9"/>
    <w:rsid w:val="00D7479F"/>
    <w:rsid w:val="00D74D6F"/>
    <w:rsid w:val="00D75E4D"/>
    <w:rsid w:val="00D770A5"/>
    <w:rsid w:val="00D77A48"/>
    <w:rsid w:val="00D8039A"/>
    <w:rsid w:val="00D8043F"/>
    <w:rsid w:val="00D826BC"/>
    <w:rsid w:val="00D85A2A"/>
    <w:rsid w:val="00D86082"/>
    <w:rsid w:val="00D8633B"/>
    <w:rsid w:val="00D8702B"/>
    <w:rsid w:val="00D875D0"/>
    <w:rsid w:val="00D906D1"/>
    <w:rsid w:val="00D91513"/>
    <w:rsid w:val="00D91695"/>
    <w:rsid w:val="00D94163"/>
    <w:rsid w:val="00D94734"/>
    <w:rsid w:val="00D94D41"/>
    <w:rsid w:val="00D95CC6"/>
    <w:rsid w:val="00D96D23"/>
    <w:rsid w:val="00D9798B"/>
    <w:rsid w:val="00DA0D60"/>
    <w:rsid w:val="00DA2115"/>
    <w:rsid w:val="00DA3445"/>
    <w:rsid w:val="00DA754B"/>
    <w:rsid w:val="00DB00E5"/>
    <w:rsid w:val="00DB104A"/>
    <w:rsid w:val="00DB197D"/>
    <w:rsid w:val="00DB31B5"/>
    <w:rsid w:val="00DB3E16"/>
    <w:rsid w:val="00DB3E55"/>
    <w:rsid w:val="00DB3FDF"/>
    <w:rsid w:val="00DB6127"/>
    <w:rsid w:val="00DB6C03"/>
    <w:rsid w:val="00DC0877"/>
    <w:rsid w:val="00DC152E"/>
    <w:rsid w:val="00DC171E"/>
    <w:rsid w:val="00DC351C"/>
    <w:rsid w:val="00DC40A0"/>
    <w:rsid w:val="00DC44B1"/>
    <w:rsid w:val="00DC7302"/>
    <w:rsid w:val="00DC78A4"/>
    <w:rsid w:val="00DD4128"/>
    <w:rsid w:val="00DD454D"/>
    <w:rsid w:val="00DD73D8"/>
    <w:rsid w:val="00DE27B1"/>
    <w:rsid w:val="00DE3439"/>
    <w:rsid w:val="00DE37A4"/>
    <w:rsid w:val="00DE3B39"/>
    <w:rsid w:val="00DE4246"/>
    <w:rsid w:val="00DE4D09"/>
    <w:rsid w:val="00DE6288"/>
    <w:rsid w:val="00DE77DD"/>
    <w:rsid w:val="00DF08C2"/>
    <w:rsid w:val="00DF1D5B"/>
    <w:rsid w:val="00DF1D70"/>
    <w:rsid w:val="00DF215E"/>
    <w:rsid w:val="00DF32E3"/>
    <w:rsid w:val="00DF3F7F"/>
    <w:rsid w:val="00DF4B51"/>
    <w:rsid w:val="00DF4DEA"/>
    <w:rsid w:val="00DF5D66"/>
    <w:rsid w:val="00DF63DF"/>
    <w:rsid w:val="00DF673B"/>
    <w:rsid w:val="00DF6879"/>
    <w:rsid w:val="00DF7336"/>
    <w:rsid w:val="00DF7782"/>
    <w:rsid w:val="00E00A3D"/>
    <w:rsid w:val="00E00C1F"/>
    <w:rsid w:val="00E03080"/>
    <w:rsid w:val="00E0328A"/>
    <w:rsid w:val="00E03314"/>
    <w:rsid w:val="00E0445C"/>
    <w:rsid w:val="00E04B45"/>
    <w:rsid w:val="00E06242"/>
    <w:rsid w:val="00E06BA9"/>
    <w:rsid w:val="00E07986"/>
    <w:rsid w:val="00E14176"/>
    <w:rsid w:val="00E152CF"/>
    <w:rsid w:val="00E1684A"/>
    <w:rsid w:val="00E17DD1"/>
    <w:rsid w:val="00E2030E"/>
    <w:rsid w:val="00E22454"/>
    <w:rsid w:val="00E22F31"/>
    <w:rsid w:val="00E234E6"/>
    <w:rsid w:val="00E24594"/>
    <w:rsid w:val="00E258A9"/>
    <w:rsid w:val="00E25A4C"/>
    <w:rsid w:val="00E2714E"/>
    <w:rsid w:val="00E27FAA"/>
    <w:rsid w:val="00E30954"/>
    <w:rsid w:val="00E31E8B"/>
    <w:rsid w:val="00E31FC8"/>
    <w:rsid w:val="00E40992"/>
    <w:rsid w:val="00E437F1"/>
    <w:rsid w:val="00E44E9A"/>
    <w:rsid w:val="00E452D1"/>
    <w:rsid w:val="00E45EA5"/>
    <w:rsid w:val="00E5283B"/>
    <w:rsid w:val="00E52A4D"/>
    <w:rsid w:val="00E52ACB"/>
    <w:rsid w:val="00E53D30"/>
    <w:rsid w:val="00E5487C"/>
    <w:rsid w:val="00E54B00"/>
    <w:rsid w:val="00E56CBE"/>
    <w:rsid w:val="00E56D1E"/>
    <w:rsid w:val="00E573A3"/>
    <w:rsid w:val="00E57F29"/>
    <w:rsid w:val="00E606C1"/>
    <w:rsid w:val="00E61AB1"/>
    <w:rsid w:val="00E62A51"/>
    <w:rsid w:val="00E63279"/>
    <w:rsid w:val="00E65253"/>
    <w:rsid w:val="00E66354"/>
    <w:rsid w:val="00E6739E"/>
    <w:rsid w:val="00E71818"/>
    <w:rsid w:val="00E72E1E"/>
    <w:rsid w:val="00E73EF7"/>
    <w:rsid w:val="00E742E7"/>
    <w:rsid w:val="00E76045"/>
    <w:rsid w:val="00E76E54"/>
    <w:rsid w:val="00E822A2"/>
    <w:rsid w:val="00E83728"/>
    <w:rsid w:val="00E83CEE"/>
    <w:rsid w:val="00E8464C"/>
    <w:rsid w:val="00E84E98"/>
    <w:rsid w:val="00E866E8"/>
    <w:rsid w:val="00E917FA"/>
    <w:rsid w:val="00E92F51"/>
    <w:rsid w:val="00E930A4"/>
    <w:rsid w:val="00E94C5B"/>
    <w:rsid w:val="00E965AE"/>
    <w:rsid w:val="00E9690E"/>
    <w:rsid w:val="00E96A51"/>
    <w:rsid w:val="00E96B67"/>
    <w:rsid w:val="00EA035A"/>
    <w:rsid w:val="00EA05A4"/>
    <w:rsid w:val="00EA0E2C"/>
    <w:rsid w:val="00EA1C5C"/>
    <w:rsid w:val="00EA26A4"/>
    <w:rsid w:val="00EA29A7"/>
    <w:rsid w:val="00EA47DD"/>
    <w:rsid w:val="00EA5C44"/>
    <w:rsid w:val="00EA79AC"/>
    <w:rsid w:val="00EB010E"/>
    <w:rsid w:val="00EB0D39"/>
    <w:rsid w:val="00EB1297"/>
    <w:rsid w:val="00EB3014"/>
    <w:rsid w:val="00EB347E"/>
    <w:rsid w:val="00EB4811"/>
    <w:rsid w:val="00EB50EF"/>
    <w:rsid w:val="00EB510E"/>
    <w:rsid w:val="00EB58BA"/>
    <w:rsid w:val="00EB5FAA"/>
    <w:rsid w:val="00EB6B04"/>
    <w:rsid w:val="00EB7E79"/>
    <w:rsid w:val="00EC13C9"/>
    <w:rsid w:val="00EC1C75"/>
    <w:rsid w:val="00EC2C2A"/>
    <w:rsid w:val="00EC39AA"/>
    <w:rsid w:val="00EC4C27"/>
    <w:rsid w:val="00EC7E3D"/>
    <w:rsid w:val="00ED00A9"/>
    <w:rsid w:val="00ED04DF"/>
    <w:rsid w:val="00ED1E8B"/>
    <w:rsid w:val="00ED2883"/>
    <w:rsid w:val="00ED3B60"/>
    <w:rsid w:val="00ED3DFF"/>
    <w:rsid w:val="00ED47C8"/>
    <w:rsid w:val="00ED5E78"/>
    <w:rsid w:val="00ED77B9"/>
    <w:rsid w:val="00EE0135"/>
    <w:rsid w:val="00EE0794"/>
    <w:rsid w:val="00EE177C"/>
    <w:rsid w:val="00EE1EE2"/>
    <w:rsid w:val="00EE31AB"/>
    <w:rsid w:val="00EE3E9A"/>
    <w:rsid w:val="00EE5794"/>
    <w:rsid w:val="00EE57AC"/>
    <w:rsid w:val="00EF0008"/>
    <w:rsid w:val="00EF0F62"/>
    <w:rsid w:val="00EF14CF"/>
    <w:rsid w:val="00EF1EE3"/>
    <w:rsid w:val="00EF2286"/>
    <w:rsid w:val="00EF2325"/>
    <w:rsid w:val="00EF24B1"/>
    <w:rsid w:val="00EF2532"/>
    <w:rsid w:val="00EF3436"/>
    <w:rsid w:val="00EF459C"/>
    <w:rsid w:val="00EF701A"/>
    <w:rsid w:val="00EF773D"/>
    <w:rsid w:val="00EF7A94"/>
    <w:rsid w:val="00EF7C8C"/>
    <w:rsid w:val="00F01B4B"/>
    <w:rsid w:val="00F01C75"/>
    <w:rsid w:val="00F02606"/>
    <w:rsid w:val="00F02920"/>
    <w:rsid w:val="00F02CD6"/>
    <w:rsid w:val="00F030FF"/>
    <w:rsid w:val="00F036B0"/>
    <w:rsid w:val="00F05934"/>
    <w:rsid w:val="00F075F5"/>
    <w:rsid w:val="00F07F3C"/>
    <w:rsid w:val="00F17075"/>
    <w:rsid w:val="00F200D4"/>
    <w:rsid w:val="00F23BE3"/>
    <w:rsid w:val="00F23CF5"/>
    <w:rsid w:val="00F30157"/>
    <w:rsid w:val="00F32ADF"/>
    <w:rsid w:val="00F32B4B"/>
    <w:rsid w:val="00F36359"/>
    <w:rsid w:val="00F402B7"/>
    <w:rsid w:val="00F410B3"/>
    <w:rsid w:val="00F417D8"/>
    <w:rsid w:val="00F439D9"/>
    <w:rsid w:val="00F44303"/>
    <w:rsid w:val="00F44DA7"/>
    <w:rsid w:val="00F4529A"/>
    <w:rsid w:val="00F50DFA"/>
    <w:rsid w:val="00F50E94"/>
    <w:rsid w:val="00F53E5B"/>
    <w:rsid w:val="00F53EC1"/>
    <w:rsid w:val="00F62A61"/>
    <w:rsid w:val="00F633BF"/>
    <w:rsid w:val="00F64C9D"/>
    <w:rsid w:val="00F66AF3"/>
    <w:rsid w:val="00F700AA"/>
    <w:rsid w:val="00F707F6"/>
    <w:rsid w:val="00F70B30"/>
    <w:rsid w:val="00F70D3B"/>
    <w:rsid w:val="00F70FCC"/>
    <w:rsid w:val="00F72878"/>
    <w:rsid w:val="00F72D7C"/>
    <w:rsid w:val="00F72FA2"/>
    <w:rsid w:val="00F73F87"/>
    <w:rsid w:val="00F7444E"/>
    <w:rsid w:val="00F74E8A"/>
    <w:rsid w:val="00F74FDF"/>
    <w:rsid w:val="00F7767D"/>
    <w:rsid w:val="00F80C1B"/>
    <w:rsid w:val="00F80C7C"/>
    <w:rsid w:val="00F80F6E"/>
    <w:rsid w:val="00F81232"/>
    <w:rsid w:val="00F82C30"/>
    <w:rsid w:val="00F82E4D"/>
    <w:rsid w:val="00F832F8"/>
    <w:rsid w:val="00F83C82"/>
    <w:rsid w:val="00F84C8E"/>
    <w:rsid w:val="00F84D3F"/>
    <w:rsid w:val="00F84E6C"/>
    <w:rsid w:val="00F86AD7"/>
    <w:rsid w:val="00F876B7"/>
    <w:rsid w:val="00F9044A"/>
    <w:rsid w:val="00F9054F"/>
    <w:rsid w:val="00F963FD"/>
    <w:rsid w:val="00F96DC7"/>
    <w:rsid w:val="00F97A03"/>
    <w:rsid w:val="00FA0F5D"/>
    <w:rsid w:val="00FA1F69"/>
    <w:rsid w:val="00FA2F76"/>
    <w:rsid w:val="00FA534D"/>
    <w:rsid w:val="00FA5A39"/>
    <w:rsid w:val="00FA7E3B"/>
    <w:rsid w:val="00FB0642"/>
    <w:rsid w:val="00FB12F7"/>
    <w:rsid w:val="00FB1B14"/>
    <w:rsid w:val="00FB25E7"/>
    <w:rsid w:val="00FB2B46"/>
    <w:rsid w:val="00FB47B0"/>
    <w:rsid w:val="00FB532C"/>
    <w:rsid w:val="00FB6A2C"/>
    <w:rsid w:val="00FC0459"/>
    <w:rsid w:val="00FC1D99"/>
    <w:rsid w:val="00FC4436"/>
    <w:rsid w:val="00FC4938"/>
    <w:rsid w:val="00FC5174"/>
    <w:rsid w:val="00FC53E8"/>
    <w:rsid w:val="00FC5BFD"/>
    <w:rsid w:val="00FC6C81"/>
    <w:rsid w:val="00FC6E86"/>
    <w:rsid w:val="00FC6FDE"/>
    <w:rsid w:val="00FC7516"/>
    <w:rsid w:val="00FD041A"/>
    <w:rsid w:val="00FD15EA"/>
    <w:rsid w:val="00FD1ED7"/>
    <w:rsid w:val="00FD2FD7"/>
    <w:rsid w:val="00FD739A"/>
    <w:rsid w:val="00FD75EA"/>
    <w:rsid w:val="00FD76A4"/>
    <w:rsid w:val="00FE3C9D"/>
    <w:rsid w:val="00FE42FE"/>
    <w:rsid w:val="00FE4387"/>
    <w:rsid w:val="00FE4B43"/>
    <w:rsid w:val="00FE55D1"/>
    <w:rsid w:val="00FE6CF6"/>
    <w:rsid w:val="00FE77C4"/>
    <w:rsid w:val="00FE7E07"/>
    <w:rsid w:val="00FF095C"/>
    <w:rsid w:val="00FF0983"/>
    <w:rsid w:val="00FF2B4F"/>
    <w:rsid w:val="00FF2B89"/>
    <w:rsid w:val="00FF78D8"/>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8A7"/>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B968A7"/>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B968A7"/>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B968A7"/>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uiPriority w:val="99"/>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uiPriority w:val="99"/>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uiPriority w:val="39"/>
    <w:rsid w:val="00BB0995"/>
  </w:style>
  <w:style w:type="paragraph" w:styleId="22">
    <w:name w:val="toc 2"/>
    <w:basedOn w:val="GJStylesMuluContent2"/>
    <w:next w:val="a"/>
    <w:autoRedefine/>
    <w:uiPriority w:val="39"/>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B968A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B968A7"/>
    <w:rPr>
      <w:rFonts w:ascii="Arial" w:eastAsia="楷体_GB2312" w:hAnsi="Arial"/>
      <w:kern w:val="2"/>
      <w:sz w:val="18"/>
      <w:szCs w:val="18"/>
    </w:rPr>
  </w:style>
  <w:style w:type="character" w:customStyle="1" w:styleId="Char0">
    <w:name w:val="页脚 Char"/>
    <w:link w:val="a4"/>
    <w:uiPriority w:val="99"/>
    <w:rsid w:val="00B968A7"/>
    <w:rPr>
      <w:rFonts w:ascii="Arial" w:eastAsia="楷体_GB2312" w:hAnsi="Arial"/>
      <w:kern w:val="2"/>
      <w:sz w:val="18"/>
      <w:szCs w:val="18"/>
    </w:rPr>
  </w:style>
  <w:style w:type="paragraph" w:customStyle="1" w:styleId="GJStylesSummaryTitle">
    <w:name w:val="GJ_Styles_Summary_Title"/>
    <w:qFormat/>
    <w:rsid w:val="00B968A7"/>
    <w:pPr>
      <w:spacing w:afterLines="50" w:after="50"/>
      <w:jc w:val="both"/>
    </w:pPr>
    <w:rPr>
      <w:rFonts w:ascii="Arial" w:eastAsia="楷体_GB2312" w:hAnsi="Arial"/>
      <w:b/>
      <w:color w:val="000000"/>
      <w:kern w:val="2"/>
      <w:sz w:val="24"/>
      <w:szCs w:val="22"/>
    </w:rPr>
  </w:style>
  <w:style w:type="paragraph" w:customStyle="1" w:styleId="GJStylesSummaryContent">
    <w:name w:val="GJ_Styles_Summary_Content"/>
    <w:qFormat/>
    <w:rsid w:val="00B968A7"/>
    <w:pPr>
      <w:numPr>
        <w:numId w:val="13"/>
      </w:numPr>
      <w:spacing w:afterLines="50" w:after="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B968A7"/>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B968A7"/>
    <w:pPr>
      <w:spacing w:afterLines="50" w:after="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B968A7"/>
    <w:pPr>
      <w:numPr>
        <w:numId w:val="6"/>
      </w:numPr>
    </w:pPr>
  </w:style>
  <w:style w:type="paragraph" w:customStyle="1" w:styleId="GJStylesContentFirTitle">
    <w:name w:val="GJ_Styles_Content_FirTitle"/>
    <w:qFormat/>
    <w:rsid w:val="00B968A7"/>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B968A7"/>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B968A7"/>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B968A7"/>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B968A7"/>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B968A7"/>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B968A7"/>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B968A7"/>
    <w:pPr>
      <w:numPr>
        <w:numId w:val="7"/>
      </w:numPr>
    </w:pPr>
  </w:style>
  <w:style w:type="paragraph" w:customStyle="1" w:styleId="GJStylesContentFirTitleWide">
    <w:name w:val="GJ_Styles_Content_FirTitle_Wide"/>
    <w:qFormat/>
    <w:rsid w:val="00B968A7"/>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B968A7"/>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B968A7"/>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B968A7"/>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B968A7"/>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B968A7"/>
    <w:pPr>
      <w:jc w:val="both"/>
    </w:pPr>
    <w:rPr>
      <w:rFonts w:ascii="Arial" w:eastAsia="楷体_GB2312" w:hAnsi="Arial"/>
      <w:kern w:val="2"/>
      <w:sz w:val="18"/>
      <w:szCs w:val="22"/>
    </w:rPr>
  </w:style>
  <w:style w:type="paragraph" w:customStyle="1" w:styleId="GJReportFirPageAuthorName">
    <w:name w:val="GJ_Report_FirPage_Author_Name"/>
    <w:qFormat/>
    <w:rsid w:val="00B968A7"/>
    <w:pPr>
      <w:jc w:val="both"/>
    </w:pPr>
    <w:rPr>
      <w:rFonts w:ascii="Arial" w:eastAsia="楷体_GB2312" w:hAnsi="Arial"/>
      <w:b/>
      <w:kern w:val="2"/>
      <w:sz w:val="21"/>
      <w:szCs w:val="22"/>
    </w:rPr>
  </w:style>
  <w:style w:type="paragraph" w:customStyle="1" w:styleId="GJReportFirPageAuthorEmail">
    <w:name w:val="GJ_Report_FirPage_Author_Email"/>
    <w:qFormat/>
    <w:rsid w:val="00B968A7"/>
    <w:pPr>
      <w:jc w:val="both"/>
    </w:pPr>
    <w:rPr>
      <w:rFonts w:ascii="Arial" w:eastAsia="楷体_GB2312" w:hAnsi="Arial"/>
      <w:b/>
      <w:kern w:val="2"/>
      <w:sz w:val="13"/>
      <w:szCs w:val="22"/>
    </w:rPr>
  </w:style>
  <w:style w:type="paragraph" w:customStyle="1" w:styleId="GJStylesTableTitleSuo">
    <w:name w:val="GJ_Styles_Table_Title_Suo"/>
    <w:qFormat/>
    <w:rsid w:val="00B968A7"/>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B968A7"/>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B968A7"/>
    <w:pPr>
      <w:numPr>
        <w:numId w:val="10"/>
      </w:numPr>
    </w:pPr>
  </w:style>
  <w:style w:type="table" w:customStyle="1" w:styleId="GJStylesChartInsertSingleCol">
    <w:name w:val="GJ_Styles_Chart_InsertSingleCol"/>
    <w:basedOn w:val="a2"/>
    <w:uiPriority w:val="99"/>
    <w:qFormat/>
    <w:rsid w:val="00B968A7"/>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B968A7"/>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B968A7"/>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B968A7"/>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B968A7"/>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B968A7"/>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B968A7"/>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B968A7"/>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B968A7"/>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B968A7"/>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B968A7"/>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B968A7"/>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B968A7"/>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楷体_GB231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B968A7"/>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楷体_GB2312" w:eastAsia="楷体_GB231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B968A7"/>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B968A7"/>
    <w:rPr>
      <w:rFonts w:ascii="Arial" w:eastAsia="楷体_GB2312" w:hAnsi="Arial"/>
      <w:sz w:val="21"/>
    </w:rPr>
    <w:tblPr>
      <w:tblInd w:w="0" w:type="dxa"/>
      <w:tblCellMar>
        <w:top w:w="0" w:type="dxa"/>
        <w:left w:w="0" w:type="dxa"/>
        <w:bottom w:w="0" w:type="dxa"/>
        <w:right w:w="0" w:type="dxa"/>
      </w:tblCellMar>
    </w:tblPr>
    <w:tblStylePr w:type="firstRow">
      <w:rPr>
        <w:rFonts w:ascii="Arial" w:eastAsia="楷体_GB2312" w:hAnsi="Arial"/>
        <w:b/>
        <w:i w:val="0"/>
        <w:sz w:val="21"/>
      </w:rPr>
    </w:tblStylePr>
  </w:style>
  <w:style w:type="table" w:customStyle="1" w:styleId="GJStylesTableRatStyle5">
    <w:name w:val="GJ_Styles_Table_RatStyle_5"/>
    <w:basedOn w:val="a2"/>
    <w:uiPriority w:val="99"/>
    <w:qFormat/>
    <w:rsid w:val="00B968A7"/>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B968A7"/>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楷体_GB231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B968A7"/>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onotype Sorts" w:hAnsi="Arial"/>
        <w:b/>
        <w:i w:val="0"/>
        <w:sz w:val="21"/>
      </w:rPr>
    </w:tblStylePr>
    <w:tblStylePr w:type="lastRow">
      <w:pPr>
        <w:jc w:val="both"/>
      </w:pPr>
      <w:rPr>
        <w:rFonts w:ascii="Arial" w:eastAsia="Monotype Sorts" w:hAnsi="Arial"/>
        <w:b/>
        <w:i w:val="0"/>
        <w:sz w:val="13"/>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6"/>
      </w:numPr>
    </w:pPr>
  </w:style>
  <w:style w:type="numbering" w:customStyle="1" w:styleId="Contact">
    <w:name w:val="GJStylesContentMarkWide"/>
    <w:pPr>
      <w:numPr>
        <w:numId w:val="10"/>
      </w:numPr>
    </w:pPr>
  </w:style>
  <w:style w:type="numbering" w:customStyle="1" w:styleId="a4">
    <w:name w:val="GJStylesContentMark"/>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001">
      <w:bodyDiv w:val="1"/>
      <w:marLeft w:val="0"/>
      <w:marRight w:val="0"/>
      <w:marTop w:val="0"/>
      <w:marBottom w:val="0"/>
      <w:divBdr>
        <w:top w:val="none" w:sz="0" w:space="0" w:color="auto"/>
        <w:left w:val="none" w:sz="0" w:space="0" w:color="auto"/>
        <w:bottom w:val="none" w:sz="0" w:space="0" w:color="auto"/>
        <w:right w:val="none" w:sz="0" w:space="0" w:color="auto"/>
      </w:divBdr>
    </w:div>
    <w:div w:id="195197181">
      <w:bodyDiv w:val="1"/>
      <w:marLeft w:val="0"/>
      <w:marRight w:val="0"/>
      <w:marTop w:val="0"/>
      <w:marBottom w:val="0"/>
      <w:divBdr>
        <w:top w:val="none" w:sz="0" w:space="0" w:color="auto"/>
        <w:left w:val="none" w:sz="0" w:space="0" w:color="auto"/>
        <w:bottom w:val="none" w:sz="0" w:space="0" w:color="auto"/>
        <w:right w:val="none" w:sz="0" w:space="0" w:color="auto"/>
      </w:divBdr>
    </w:div>
    <w:div w:id="231083028">
      <w:bodyDiv w:val="1"/>
      <w:marLeft w:val="0"/>
      <w:marRight w:val="0"/>
      <w:marTop w:val="0"/>
      <w:marBottom w:val="0"/>
      <w:divBdr>
        <w:top w:val="none" w:sz="0" w:space="0" w:color="auto"/>
        <w:left w:val="none" w:sz="0" w:space="0" w:color="auto"/>
        <w:bottom w:val="none" w:sz="0" w:space="0" w:color="auto"/>
        <w:right w:val="none" w:sz="0" w:space="0" w:color="auto"/>
      </w:divBdr>
    </w:div>
    <w:div w:id="268664490">
      <w:bodyDiv w:val="1"/>
      <w:marLeft w:val="0"/>
      <w:marRight w:val="0"/>
      <w:marTop w:val="0"/>
      <w:marBottom w:val="0"/>
      <w:divBdr>
        <w:top w:val="none" w:sz="0" w:space="0" w:color="auto"/>
        <w:left w:val="none" w:sz="0" w:space="0" w:color="auto"/>
        <w:bottom w:val="none" w:sz="0" w:space="0" w:color="auto"/>
        <w:right w:val="none" w:sz="0" w:space="0" w:color="auto"/>
      </w:divBdr>
    </w:div>
    <w:div w:id="391271176">
      <w:bodyDiv w:val="1"/>
      <w:marLeft w:val="0"/>
      <w:marRight w:val="0"/>
      <w:marTop w:val="0"/>
      <w:marBottom w:val="0"/>
      <w:divBdr>
        <w:top w:val="none" w:sz="0" w:space="0" w:color="auto"/>
        <w:left w:val="none" w:sz="0" w:space="0" w:color="auto"/>
        <w:bottom w:val="none" w:sz="0" w:space="0" w:color="auto"/>
        <w:right w:val="none" w:sz="0" w:space="0" w:color="auto"/>
      </w:divBdr>
    </w:div>
    <w:div w:id="457144792">
      <w:bodyDiv w:val="1"/>
      <w:marLeft w:val="0"/>
      <w:marRight w:val="0"/>
      <w:marTop w:val="100"/>
      <w:marBottom w:val="100"/>
      <w:divBdr>
        <w:top w:val="none" w:sz="0" w:space="0" w:color="auto"/>
        <w:left w:val="none" w:sz="0" w:space="0" w:color="auto"/>
        <w:bottom w:val="none" w:sz="0" w:space="0" w:color="auto"/>
        <w:right w:val="none" w:sz="0" w:space="0" w:color="auto"/>
      </w:divBdr>
      <w:divsChild>
        <w:div w:id="118770414">
          <w:marLeft w:val="0"/>
          <w:marRight w:val="0"/>
          <w:marTop w:val="0"/>
          <w:marBottom w:val="0"/>
          <w:divBdr>
            <w:top w:val="none" w:sz="0" w:space="0" w:color="auto"/>
            <w:left w:val="none" w:sz="0" w:space="0" w:color="auto"/>
            <w:bottom w:val="none" w:sz="0" w:space="0" w:color="auto"/>
            <w:right w:val="none" w:sz="0" w:space="0" w:color="auto"/>
          </w:divBdr>
          <w:divsChild>
            <w:div w:id="2120710630">
              <w:marLeft w:val="0"/>
              <w:marRight w:val="0"/>
              <w:marTop w:val="0"/>
              <w:marBottom w:val="0"/>
              <w:divBdr>
                <w:top w:val="none" w:sz="0" w:space="0" w:color="auto"/>
                <w:left w:val="none" w:sz="0" w:space="0" w:color="auto"/>
                <w:bottom w:val="none" w:sz="0" w:space="0" w:color="auto"/>
                <w:right w:val="none" w:sz="0" w:space="0" w:color="auto"/>
              </w:divBdr>
              <w:divsChild>
                <w:div w:id="441845260">
                  <w:marLeft w:val="0"/>
                  <w:marRight w:val="0"/>
                  <w:marTop w:val="0"/>
                  <w:marBottom w:val="0"/>
                  <w:divBdr>
                    <w:top w:val="none" w:sz="0" w:space="0" w:color="auto"/>
                    <w:left w:val="none" w:sz="0" w:space="0" w:color="auto"/>
                    <w:bottom w:val="none" w:sz="0" w:space="0" w:color="auto"/>
                    <w:right w:val="none" w:sz="0" w:space="0" w:color="auto"/>
                  </w:divBdr>
                  <w:divsChild>
                    <w:div w:id="684013402">
                      <w:marLeft w:val="0"/>
                      <w:marRight w:val="0"/>
                      <w:marTop w:val="0"/>
                      <w:marBottom w:val="0"/>
                      <w:divBdr>
                        <w:top w:val="none" w:sz="0" w:space="0" w:color="auto"/>
                        <w:left w:val="none" w:sz="0" w:space="0" w:color="auto"/>
                        <w:bottom w:val="none" w:sz="0" w:space="0" w:color="auto"/>
                        <w:right w:val="none" w:sz="0" w:space="0" w:color="auto"/>
                      </w:divBdr>
                      <w:divsChild>
                        <w:div w:id="400640843">
                          <w:marLeft w:val="0"/>
                          <w:marRight w:val="0"/>
                          <w:marTop w:val="0"/>
                          <w:marBottom w:val="75"/>
                          <w:divBdr>
                            <w:top w:val="single" w:sz="6" w:space="0" w:color="94B8E6"/>
                            <w:left w:val="single" w:sz="6" w:space="0" w:color="94B8E6"/>
                            <w:bottom w:val="single" w:sz="6" w:space="0" w:color="94B8E6"/>
                            <w:right w:val="single" w:sz="6" w:space="0" w:color="94B8E6"/>
                          </w:divBdr>
                        </w:div>
                      </w:divsChild>
                    </w:div>
                  </w:divsChild>
                </w:div>
              </w:divsChild>
            </w:div>
          </w:divsChild>
        </w:div>
      </w:divsChild>
    </w:div>
    <w:div w:id="531724004">
      <w:bodyDiv w:val="1"/>
      <w:marLeft w:val="0"/>
      <w:marRight w:val="0"/>
      <w:marTop w:val="0"/>
      <w:marBottom w:val="0"/>
      <w:divBdr>
        <w:top w:val="none" w:sz="0" w:space="0" w:color="auto"/>
        <w:left w:val="none" w:sz="0" w:space="0" w:color="auto"/>
        <w:bottom w:val="none" w:sz="0" w:space="0" w:color="auto"/>
        <w:right w:val="none" w:sz="0" w:space="0" w:color="auto"/>
      </w:divBdr>
      <w:divsChild>
        <w:div w:id="433749602">
          <w:marLeft w:val="0"/>
          <w:marRight w:val="0"/>
          <w:marTop w:val="100"/>
          <w:marBottom w:val="100"/>
          <w:divBdr>
            <w:top w:val="none" w:sz="0" w:space="0" w:color="auto"/>
            <w:left w:val="none" w:sz="0" w:space="0" w:color="auto"/>
            <w:bottom w:val="none" w:sz="0" w:space="0" w:color="auto"/>
            <w:right w:val="none" w:sz="0" w:space="0" w:color="auto"/>
          </w:divBdr>
          <w:divsChild>
            <w:div w:id="645621784">
              <w:marLeft w:val="0"/>
              <w:marRight w:val="0"/>
              <w:marTop w:val="300"/>
              <w:marBottom w:val="0"/>
              <w:divBdr>
                <w:top w:val="none" w:sz="0" w:space="0" w:color="auto"/>
                <w:left w:val="none" w:sz="0" w:space="0" w:color="auto"/>
                <w:bottom w:val="none" w:sz="0" w:space="0" w:color="auto"/>
                <w:right w:val="none" w:sz="0" w:space="0" w:color="auto"/>
              </w:divBdr>
              <w:divsChild>
                <w:div w:id="393355237">
                  <w:marLeft w:val="0"/>
                  <w:marRight w:val="0"/>
                  <w:marTop w:val="0"/>
                  <w:marBottom w:val="0"/>
                  <w:divBdr>
                    <w:top w:val="none" w:sz="0" w:space="0" w:color="auto"/>
                    <w:left w:val="none" w:sz="0" w:space="0" w:color="auto"/>
                    <w:bottom w:val="none" w:sz="0" w:space="0" w:color="auto"/>
                    <w:right w:val="single" w:sz="6" w:space="0" w:color="DDDDDD"/>
                  </w:divBdr>
                  <w:divsChild>
                    <w:div w:id="938292875">
                      <w:marLeft w:val="0"/>
                      <w:marRight w:val="0"/>
                      <w:marTop w:val="0"/>
                      <w:marBottom w:val="0"/>
                      <w:divBdr>
                        <w:top w:val="none" w:sz="0" w:space="0" w:color="auto"/>
                        <w:left w:val="none" w:sz="0" w:space="0" w:color="auto"/>
                        <w:bottom w:val="none" w:sz="0" w:space="0" w:color="auto"/>
                        <w:right w:val="none" w:sz="0" w:space="0" w:color="auto"/>
                      </w:divBdr>
                      <w:divsChild>
                        <w:div w:id="8350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12629">
      <w:bodyDiv w:val="1"/>
      <w:marLeft w:val="0"/>
      <w:marRight w:val="0"/>
      <w:marTop w:val="0"/>
      <w:marBottom w:val="0"/>
      <w:divBdr>
        <w:top w:val="none" w:sz="0" w:space="0" w:color="auto"/>
        <w:left w:val="none" w:sz="0" w:space="0" w:color="auto"/>
        <w:bottom w:val="none" w:sz="0" w:space="0" w:color="auto"/>
        <w:right w:val="none" w:sz="0" w:space="0" w:color="auto"/>
      </w:divBdr>
    </w:div>
    <w:div w:id="869680855">
      <w:bodyDiv w:val="1"/>
      <w:marLeft w:val="0"/>
      <w:marRight w:val="0"/>
      <w:marTop w:val="0"/>
      <w:marBottom w:val="0"/>
      <w:divBdr>
        <w:top w:val="none" w:sz="0" w:space="0" w:color="auto"/>
        <w:left w:val="none" w:sz="0" w:space="0" w:color="auto"/>
        <w:bottom w:val="none" w:sz="0" w:space="0" w:color="auto"/>
        <w:right w:val="none" w:sz="0" w:space="0" w:color="auto"/>
      </w:divBdr>
    </w:div>
    <w:div w:id="888029452">
      <w:bodyDiv w:val="1"/>
      <w:marLeft w:val="0"/>
      <w:marRight w:val="0"/>
      <w:marTop w:val="0"/>
      <w:marBottom w:val="0"/>
      <w:divBdr>
        <w:top w:val="none" w:sz="0" w:space="0" w:color="auto"/>
        <w:left w:val="none" w:sz="0" w:space="0" w:color="auto"/>
        <w:bottom w:val="none" w:sz="0" w:space="0" w:color="auto"/>
        <w:right w:val="none" w:sz="0" w:space="0" w:color="auto"/>
      </w:divBdr>
    </w:div>
    <w:div w:id="1164784751">
      <w:bodyDiv w:val="1"/>
      <w:marLeft w:val="0"/>
      <w:marRight w:val="0"/>
      <w:marTop w:val="0"/>
      <w:marBottom w:val="0"/>
      <w:divBdr>
        <w:top w:val="none" w:sz="0" w:space="0" w:color="auto"/>
        <w:left w:val="none" w:sz="0" w:space="0" w:color="auto"/>
        <w:bottom w:val="none" w:sz="0" w:space="0" w:color="auto"/>
        <w:right w:val="none" w:sz="0" w:space="0" w:color="auto"/>
      </w:divBdr>
    </w:div>
    <w:div w:id="1202521929">
      <w:bodyDiv w:val="1"/>
      <w:marLeft w:val="0"/>
      <w:marRight w:val="0"/>
      <w:marTop w:val="0"/>
      <w:marBottom w:val="0"/>
      <w:divBdr>
        <w:top w:val="none" w:sz="0" w:space="0" w:color="auto"/>
        <w:left w:val="none" w:sz="0" w:space="0" w:color="auto"/>
        <w:bottom w:val="none" w:sz="0" w:space="0" w:color="auto"/>
        <w:right w:val="none" w:sz="0" w:space="0" w:color="auto"/>
      </w:divBdr>
    </w:div>
    <w:div w:id="1234436718">
      <w:bodyDiv w:val="1"/>
      <w:marLeft w:val="0"/>
      <w:marRight w:val="0"/>
      <w:marTop w:val="0"/>
      <w:marBottom w:val="0"/>
      <w:divBdr>
        <w:top w:val="none" w:sz="0" w:space="0" w:color="auto"/>
        <w:left w:val="none" w:sz="0" w:space="0" w:color="auto"/>
        <w:bottom w:val="none" w:sz="0" w:space="0" w:color="auto"/>
        <w:right w:val="none" w:sz="0" w:space="0" w:color="auto"/>
      </w:divBdr>
    </w:div>
    <w:div w:id="1317413257">
      <w:bodyDiv w:val="1"/>
      <w:marLeft w:val="0"/>
      <w:marRight w:val="0"/>
      <w:marTop w:val="0"/>
      <w:marBottom w:val="0"/>
      <w:divBdr>
        <w:top w:val="none" w:sz="0" w:space="0" w:color="auto"/>
        <w:left w:val="none" w:sz="0" w:space="0" w:color="auto"/>
        <w:bottom w:val="none" w:sz="0" w:space="0" w:color="auto"/>
        <w:right w:val="none" w:sz="0" w:space="0" w:color="auto"/>
      </w:divBdr>
    </w:div>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 w:id="1397389294">
      <w:bodyDiv w:val="1"/>
      <w:marLeft w:val="0"/>
      <w:marRight w:val="0"/>
      <w:marTop w:val="0"/>
      <w:marBottom w:val="0"/>
      <w:divBdr>
        <w:top w:val="none" w:sz="0" w:space="0" w:color="auto"/>
        <w:left w:val="none" w:sz="0" w:space="0" w:color="auto"/>
        <w:bottom w:val="none" w:sz="0" w:space="0" w:color="auto"/>
        <w:right w:val="none" w:sz="0" w:space="0" w:color="auto"/>
      </w:divBdr>
    </w:div>
    <w:div w:id="1401563182">
      <w:bodyDiv w:val="1"/>
      <w:marLeft w:val="0"/>
      <w:marRight w:val="0"/>
      <w:marTop w:val="0"/>
      <w:marBottom w:val="0"/>
      <w:divBdr>
        <w:top w:val="none" w:sz="0" w:space="0" w:color="auto"/>
        <w:left w:val="none" w:sz="0" w:space="0" w:color="auto"/>
        <w:bottom w:val="none" w:sz="0" w:space="0" w:color="auto"/>
        <w:right w:val="none" w:sz="0" w:space="0" w:color="auto"/>
      </w:divBdr>
    </w:div>
    <w:div w:id="1565213608">
      <w:bodyDiv w:val="1"/>
      <w:marLeft w:val="0"/>
      <w:marRight w:val="0"/>
      <w:marTop w:val="0"/>
      <w:marBottom w:val="0"/>
      <w:divBdr>
        <w:top w:val="none" w:sz="0" w:space="0" w:color="auto"/>
        <w:left w:val="none" w:sz="0" w:space="0" w:color="auto"/>
        <w:bottom w:val="none" w:sz="0" w:space="0" w:color="auto"/>
        <w:right w:val="none" w:sz="0" w:space="0" w:color="auto"/>
      </w:divBdr>
    </w:div>
    <w:div w:id="1608195343">
      <w:bodyDiv w:val="1"/>
      <w:marLeft w:val="0"/>
      <w:marRight w:val="0"/>
      <w:marTop w:val="0"/>
      <w:marBottom w:val="0"/>
      <w:divBdr>
        <w:top w:val="none" w:sz="0" w:space="0" w:color="auto"/>
        <w:left w:val="none" w:sz="0" w:space="0" w:color="auto"/>
        <w:bottom w:val="none" w:sz="0" w:space="0" w:color="auto"/>
        <w:right w:val="none" w:sz="0" w:space="0" w:color="auto"/>
      </w:divBdr>
    </w:div>
    <w:div w:id="1713117730">
      <w:bodyDiv w:val="1"/>
      <w:marLeft w:val="0"/>
      <w:marRight w:val="0"/>
      <w:marTop w:val="0"/>
      <w:marBottom w:val="0"/>
      <w:divBdr>
        <w:top w:val="none" w:sz="0" w:space="0" w:color="auto"/>
        <w:left w:val="none" w:sz="0" w:space="0" w:color="auto"/>
        <w:bottom w:val="none" w:sz="0" w:space="0" w:color="auto"/>
        <w:right w:val="none" w:sz="0" w:space="0" w:color="auto"/>
      </w:divBdr>
    </w:div>
    <w:div w:id="1846507033">
      <w:bodyDiv w:val="1"/>
      <w:marLeft w:val="0"/>
      <w:marRight w:val="0"/>
      <w:marTop w:val="0"/>
      <w:marBottom w:val="0"/>
      <w:divBdr>
        <w:top w:val="none" w:sz="0" w:space="0" w:color="auto"/>
        <w:left w:val="none" w:sz="0" w:space="0" w:color="auto"/>
        <w:bottom w:val="none" w:sz="0" w:space="0" w:color="auto"/>
        <w:right w:val="none" w:sz="0" w:space="0" w:color="auto"/>
      </w:divBdr>
    </w:div>
    <w:div w:id="21085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4B11B45F5B4420B14A940B035EBC5C"/>
        <w:category>
          <w:name w:val="常规"/>
          <w:gallery w:val="placeholder"/>
        </w:category>
        <w:types>
          <w:type w:val="bbPlcHdr"/>
        </w:types>
        <w:behaviors>
          <w:behavior w:val="content"/>
        </w:behaviors>
        <w:guid w:val="{24C1A7C3-4757-41F5-8231-0F5E6F061F39}"/>
      </w:docPartPr>
      <w:docPartBody>
        <w:p w:rsidR="001820A3" w:rsidRDefault="00076324">
          <w:pPr>
            <w:pStyle w:val="E24B11B45F5B4420B14A940B035EBC5C"/>
          </w:pPr>
          <w:r w:rsidRPr="001C4667">
            <w:rPr>
              <w:rStyle w:val="a3"/>
              <w:rFonts w:hint="eastAsia"/>
            </w:rPr>
            <w:t>单击此处输入文字。</w:t>
          </w:r>
        </w:p>
      </w:docPartBody>
    </w:docPart>
    <w:docPart>
      <w:docPartPr>
        <w:name w:val="4A3941D938B840BB8CE3975136ECCACC"/>
        <w:category>
          <w:name w:val="常规"/>
          <w:gallery w:val="placeholder"/>
        </w:category>
        <w:types>
          <w:type w:val="bbPlcHdr"/>
        </w:types>
        <w:behaviors>
          <w:behavior w:val="content"/>
        </w:behaviors>
        <w:guid w:val="{53D1F1D3-D007-439E-88F1-63A18C5E4E35}"/>
      </w:docPartPr>
      <w:docPartBody>
        <w:p w:rsidR="001820A3" w:rsidRDefault="00076324">
          <w:pPr>
            <w:pStyle w:val="4A3941D938B840BB8CE3975136ECCACC"/>
          </w:pPr>
          <w:r w:rsidRPr="004F02EC">
            <w:rPr>
              <w:rStyle w:val="a3"/>
              <w:rFonts w:hint="eastAsia"/>
            </w:rPr>
            <w:t>单击此处输入文字。</w:t>
          </w:r>
        </w:p>
      </w:docPartBody>
    </w:docPart>
    <w:docPart>
      <w:docPartPr>
        <w:name w:val="A2D1012510C540A2ACEAAA800F8CFD30"/>
        <w:category>
          <w:name w:val="常规"/>
          <w:gallery w:val="placeholder"/>
        </w:category>
        <w:types>
          <w:type w:val="bbPlcHdr"/>
        </w:types>
        <w:behaviors>
          <w:behavior w:val="content"/>
        </w:behaviors>
        <w:guid w:val="{1FDD1B1B-98C3-42D8-B8BA-D9041CC5BE7E}"/>
      </w:docPartPr>
      <w:docPartBody>
        <w:p w:rsidR="00D607E6" w:rsidRDefault="00D90C26">
          <w:r w:rsidRPr="00245657">
            <w:rPr>
              <w:rStyle w:val="a3"/>
              <w:rFonts w:hint="eastAsia"/>
            </w:rPr>
            <w:t>报告类型</w:t>
          </w:r>
        </w:p>
      </w:docPartBody>
    </w:docPart>
    <w:docPart>
      <w:docPartPr>
        <w:name w:val="4CB7026BBFC0491EB2072B6D6781546B"/>
        <w:category>
          <w:name w:val="常规"/>
          <w:gallery w:val="placeholder"/>
        </w:category>
        <w:types>
          <w:type w:val="bbPlcHdr"/>
        </w:types>
        <w:behaviors>
          <w:behavior w:val="content"/>
        </w:behaviors>
        <w:guid w:val="{1634C593-F565-4677-9C4C-E909C31B09D5}"/>
      </w:docPartPr>
      <w:docPartBody>
        <w:p w:rsidR="00D607E6" w:rsidRDefault="00D90C26">
          <w:r w:rsidRPr="00245657">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24"/>
    <w:rsid w:val="00076324"/>
    <w:rsid w:val="000C6086"/>
    <w:rsid w:val="001820A3"/>
    <w:rsid w:val="00272581"/>
    <w:rsid w:val="003E5D7F"/>
    <w:rsid w:val="00443877"/>
    <w:rsid w:val="004C5F19"/>
    <w:rsid w:val="005C53C6"/>
    <w:rsid w:val="005E7A02"/>
    <w:rsid w:val="00695869"/>
    <w:rsid w:val="00965B75"/>
    <w:rsid w:val="00AC62B4"/>
    <w:rsid w:val="00B37DBC"/>
    <w:rsid w:val="00BE6CAB"/>
    <w:rsid w:val="00D607E6"/>
    <w:rsid w:val="00D71192"/>
    <w:rsid w:val="00D90C26"/>
    <w:rsid w:val="00DE138D"/>
    <w:rsid w:val="00E011E5"/>
    <w:rsid w:val="00E8380D"/>
    <w:rsid w:val="00FC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0C26"/>
    <w:rPr>
      <w:color w:val="808080"/>
    </w:rPr>
  </w:style>
  <w:style w:type="paragraph" w:customStyle="1" w:styleId="E24B11B45F5B4420B14A940B035EBC5C">
    <w:name w:val="E24B11B45F5B4420B14A940B035EBC5C"/>
    <w:pPr>
      <w:widowControl w:val="0"/>
      <w:jc w:val="both"/>
    </w:pPr>
  </w:style>
  <w:style w:type="paragraph" w:customStyle="1" w:styleId="4A3941D938B840BB8CE3975136ECCACC">
    <w:name w:val="4A3941D938B840BB8CE3975136ECCACC"/>
    <w:pPr>
      <w:widowControl w:val="0"/>
      <w:jc w:val="both"/>
    </w:pPr>
  </w:style>
  <w:style w:type="paragraph" w:customStyle="1" w:styleId="236E40173FCF49C788DC2CDFAF8CA977">
    <w:name w:val="236E40173FCF49C788DC2CDFAF8CA977"/>
    <w:rsid w:val="003E5D7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0C26"/>
    <w:rPr>
      <w:color w:val="808080"/>
    </w:rPr>
  </w:style>
  <w:style w:type="paragraph" w:customStyle="1" w:styleId="E24B11B45F5B4420B14A940B035EBC5C">
    <w:name w:val="E24B11B45F5B4420B14A940B035EBC5C"/>
    <w:pPr>
      <w:widowControl w:val="0"/>
      <w:jc w:val="both"/>
    </w:pPr>
  </w:style>
  <w:style w:type="paragraph" w:customStyle="1" w:styleId="4A3941D938B840BB8CE3975136ECCACC">
    <w:name w:val="4A3941D938B840BB8CE3975136ECCACC"/>
    <w:pPr>
      <w:widowControl w:val="0"/>
      <w:jc w:val="both"/>
    </w:pPr>
  </w:style>
  <w:style w:type="paragraph" w:customStyle="1" w:styleId="236E40173FCF49C788DC2CDFAF8CA977">
    <w:name w:val="236E40173FCF49C788DC2CDFAF8CA977"/>
    <w:rsid w:val="003E5D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1BFA-396A-4207-A580-0FBA1056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Template>
  <TotalTime>4571</TotalTime>
  <Pages>8</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gjzq</dc:creator>
  <cp:keywords>模板</cp:keywords>
  <dc:description/>
  <cp:lastModifiedBy>张剑辉(国金证券,上海投资咨询分公司)</cp:lastModifiedBy>
  <cp:revision>197</cp:revision>
  <cp:lastPrinted>2014-10-10T02:53:00Z</cp:lastPrinted>
  <dcterms:created xsi:type="dcterms:W3CDTF">2015-11-17T03:00:00Z</dcterms:created>
  <dcterms:modified xsi:type="dcterms:W3CDTF">2016-03-10T08:07:00Z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docSaved">
    <vt:lpwstr>true</vt:lpwstr>
  </property>
  <property fmtid="{D5CDD505-2E9C-101B-9397-08002B2CF9AE}" pid="37" name="BD_Doc_Temp_ID">
    <vt:lpwstr>b0feebc6-82ec-4e0b-bc7d-7d3d70573073</vt:lpwstr>
  </property>
  <property fmtid="{D5CDD505-2E9C-101B-9397-08002B2CF9AE}" pid="38" name="ReportType1_Value">
    <vt:lpwstr>ff80808147862c3b01478666abf202d0</vt:lpwstr>
  </property>
  <property fmtid="{D5CDD505-2E9C-101B-9397-08002B2CF9AE}" pid="39" name="ReportType1_DisplayName">
    <vt:lpwstr>基金投资策略报告</vt:lpwstr>
  </property>
  <property fmtid="{D5CDD505-2E9C-101B-9397-08002B2CF9AE}" pid="40" name="ReportDate_Value">
    <vt:lpwstr>2016-03-10</vt:lpwstr>
  </property>
  <property fmtid="{D5CDD505-2E9C-101B-9397-08002B2CF9AE}" pid="41" name="ReportDate_DisplayName">
    <vt:lpwstr>2016年03月10日</vt:lpwstr>
  </property>
  <property fmtid="{D5CDD505-2E9C-101B-9397-08002B2CF9AE}" pid="42" name="StaffID_Value">
    <vt:lpwstr>FF00C761D22F7BA0E0430100007FAB3A,FF00C761D2347BA0E0430100007FAB3A;</vt:lpwstr>
  </property>
  <property fmtid="{D5CDD505-2E9C-101B-9397-08002B2CF9AE}" pid="43" name="StaffID_DisplayName">
    <vt:lpwstr>杨舒-私募产品组,王聃聃-公募产品组;</vt:lpwstr>
  </property>
  <property fmtid="{D5CDD505-2E9C-101B-9397-08002B2CF9AE}" pid="44" name="TemplateID">
    <vt:lpwstr> </vt:lpwstr>
  </property>
  <property fmtid="{D5CDD505-2E9C-101B-9397-08002B2CF9AE}" pid="45" name="BDCONTENTCONTROL_AUTO_SAVE_SubTitle">
    <vt:lpwstr>布局黄金为主，关注加息动向</vt:lpwstr>
  </property>
  <property fmtid="{D5CDD505-2E9C-101B-9397-08002B2CF9AE}" pid="46" name="BDCONTENTCONTROL_AUTO_SAVE_Summary">
    <vt:lpwstr>基本结论_x000d_避险主导，“金基”独立_x000d_2月以来尽管原油价格及全球股市出现回暖，但在各大经济体下滑、金融汇市动荡和地缘局势不稳等利空因素冲击下，资金正以更快速度涌入美元债和黄金等避险资产。各类型QDII基金2月平均收益多数为负，103只产品仅有27只取得正收益，其中13只涨幅不足1%，多为QDII-债券和QDII指数分级-稳健类；而涨幅超过9%的5只基金除中银标普全球精选外，均为QDII仅有的投资黄金贵金属的4个产品：汇添富黄金及贵金属(10.29%)、嘉实黄金(9.95%)、诺安全球黄金(9.85%)、易方达</vt:lpwstr>
  </property>
  <property fmtid="{D5CDD505-2E9C-101B-9397-08002B2CF9AE}" pid="47" name="BDCONTENTCONTROL_AUTO_SAVE_Summary#2">
    <vt:lpwstr>黄金主题(9.49%)。这4只“金基”也成为2016年至今获利能力遥遥领先的品种。_x000d_布局黄金为主，关注加息动向_x000d_国金证券认为，2016年受到新兴经济体增速放慢影响，全球经济将呈复苏乏力态势，一方面发达经济体面临总需求不足和长期增长率不高等问题，另一方面新兴经济体的集体增速下滑尚未看到扭转趋势。_x000d_短期来看，全球大宗商品走势、美国经济数据及联储FOMC会议利率声明等都会对市场形成扰动，权益类资产一时恐难有趋势性机会，而市场的不确定性和避险需求则会继续为金价提供支撑，使其具备进一步上行空间。投资黄金已不仅作为短</vt:lpwstr>
  </property>
  <property fmtid="{D5CDD505-2E9C-101B-9397-08002B2CF9AE}" pid="48" name="BDCONTENTCONTROL_AUTO_SAVE_Summary#3">
    <vt:lpwstr>期波段机会，而是具备一定的中期支撑理由。我们认为，3月QDII投资应延续以避险资产为主导的配置逻辑，而鉴于黄金目前兼具防御和进攻的双重功能，建议在2月“高收益债+黄金”的基础上，进一步增加黄金资产在整体投资组合中的比重，以对冲市场风险并分享金价上涨红利。同时，建议保持对美联储加息动向和美股市场的关注，伺机提早布局。_x000d_2016年3月QDII投资策略：_x000d_国金证券建议2016年3月延续“黄金+高收益债”配置，且进一步增加黄金资产在整体投资组合中的比重，以对冲市场风险并分享金价上涨红利，同时继续回避欧股、港股及商</vt:lpwstr>
  </property>
  <property fmtid="{D5CDD505-2E9C-101B-9397-08002B2CF9AE}" pid="49" name="BDCONTENTCONTROL_AUTO_SAVE_Summary#4">
    <vt:lpwstr>品QDII。推荐产品：投资黄金、白银、铂金、钯金四种核心贵金属的汇添富黄金及贵金属(164701)、采取主动策略把握黄金主题的易方达黄金主题(161116)，以及专注于亚太地区的博时亚洲票息人民币(050030)、放眼于全球市场的鹏华全球高收益债人民币(000290)，以期达到加强投资组合防御性并具备一定进攻性的目的。</vt:lpwstr>
  </property>
</Properties>
</file>