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7" w:tblpY="-2806"/>
        <w:tblW w:w="3888" w:type="dxa"/>
        <w:shd w:val="clear" w:color="auto" w:fill="E0E0E0"/>
        <w:tblLayout w:type="fixed"/>
        <w:tblLook w:val="01E0" w:firstRow="1" w:lastRow="1" w:firstColumn="1" w:lastColumn="1" w:noHBand="0" w:noVBand="0"/>
      </w:tblPr>
      <w:tblGrid>
        <w:gridCol w:w="534"/>
        <w:gridCol w:w="1554"/>
        <w:gridCol w:w="1800"/>
      </w:tblGrid>
      <w:tr w:rsidR="009A18F4" w:rsidRPr="00F57D27" w:rsidTr="00D85802">
        <w:trPr>
          <w:trHeight w:val="709"/>
        </w:trPr>
        <w:tc>
          <w:tcPr>
            <w:tcW w:w="534" w:type="dxa"/>
          </w:tcPr>
          <w:p w:rsidR="009A18F4" w:rsidRPr="00F57D27" w:rsidRDefault="009A18F4" w:rsidP="00DE017A">
            <w:pPr>
              <w:rPr>
                <w:rFonts w:eastAsia="楷体_GB2312"/>
                <w:b/>
                <w:color w:val="003366"/>
                <w:sz w:val="24"/>
              </w:rPr>
            </w:pPr>
          </w:p>
        </w:tc>
        <w:tc>
          <w:tcPr>
            <w:tcW w:w="1554" w:type="dxa"/>
          </w:tcPr>
          <w:p w:rsidR="009A18F4" w:rsidRPr="00F57D27" w:rsidRDefault="009A18F4" w:rsidP="00DE017A">
            <w:pPr>
              <w:rPr>
                <w:rFonts w:eastAsia="楷体_GB2312"/>
                <w:b/>
                <w:color w:val="003366"/>
                <w:sz w:val="24"/>
              </w:rPr>
            </w:pPr>
          </w:p>
        </w:tc>
        <w:tc>
          <w:tcPr>
            <w:tcW w:w="1800" w:type="dxa"/>
            <w:vAlign w:val="center"/>
          </w:tcPr>
          <w:p w:rsidR="009A18F4" w:rsidRPr="00F57D27" w:rsidRDefault="001A4832" w:rsidP="00DE017A">
            <w:pPr>
              <w:rPr>
                <w:rFonts w:eastAsia="楷体_GB2312"/>
                <w:b/>
                <w:color w:val="003366"/>
                <w:sz w:val="24"/>
              </w:rPr>
            </w:pPr>
            <w:r>
              <w:rPr>
                <w:noProof/>
              </w:rPr>
              <mc:AlternateContent>
                <mc:Choice Requires="wps">
                  <w:drawing>
                    <wp:anchor distT="0" distB="0" distL="114300" distR="114300" simplePos="0" relativeHeight="251657216" behindDoc="0" locked="0" layoutInCell="1" allowOverlap="1">
                      <wp:simplePos x="0" y="0"/>
                      <wp:positionH relativeFrom="column">
                        <wp:posOffset>847725</wp:posOffset>
                      </wp:positionH>
                      <wp:positionV relativeFrom="paragraph">
                        <wp:posOffset>323215</wp:posOffset>
                      </wp:positionV>
                      <wp:extent cx="5440680" cy="396240"/>
                      <wp:effectExtent l="0" t="0" r="7620" b="381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396240"/>
                              </a:xfrm>
                              <a:prstGeom prst="rect">
                                <a:avLst/>
                              </a:prstGeom>
                              <a:solidFill>
                                <a:srgbClr val="F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DE9" w:rsidRPr="00FC770C" w:rsidRDefault="005E1DE9" w:rsidP="00BF4BDC">
                                  <w:pPr>
                                    <w:spacing w:before="100" w:beforeAutospacing="1" w:after="100" w:afterAutospacing="1"/>
                                    <w:ind w:firstLine="284"/>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Pr>
                                      <w:rFonts w:ascii="楷体_GB2312" w:eastAsia="楷体_GB2312" w:hAnsi="宋体-18030" w:cs="宋体-18030"/>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w:t>
                                  </w:r>
                                  <w:r>
                                    <w:rPr>
                                      <w:rFonts w:ascii="楷体_GB2312" w:eastAsia="楷体_GB2312" w:hAnsi="宋体-18030" w:cs="宋体-18030" w:hint="eastAsia"/>
                                      <w:b/>
                                      <w:color w:val="FFFFFF"/>
                                      <w:sz w:val="28"/>
                                      <w:szCs w:val="28"/>
                                    </w:rPr>
                                    <w:t>/</w:t>
                                  </w:r>
                                  <w:r w:rsidRPr="00FC770C">
                                    <w:rPr>
                                      <w:rFonts w:ascii="楷体_GB2312" w:eastAsia="楷体_GB2312" w:hAnsi="宋体-18030" w:cs="宋体-18030" w:hint="eastAsia"/>
                                      <w:b/>
                                      <w:color w:val="FFFFFF"/>
                                      <w:sz w:val="28"/>
                                      <w:szCs w:val="28"/>
                                    </w:rPr>
                                    <w:t>基金策略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6.75pt;margin-top:25.45pt;width:428.4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LGhAIAABA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" fillcolor="#f00000" stroked="f">
                      <v:textbox>
                        <w:txbxContent>
                          <w:p w:rsidR="005E1DE9" w:rsidRPr="00FC770C" w:rsidRDefault="005E1DE9" w:rsidP="00BF4BDC">
                            <w:pPr>
                              <w:spacing w:before="100" w:beforeAutospacing="1" w:after="100" w:afterAutospacing="1"/>
                              <w:ind w:firstLine="284"/>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Pr>
                                <w:rFonts w:ascii="楷体_GB2312" w:eastAsia="楷体_GB2312" w:hAnsi="宋体-18030" w:cs="宋体-18030"/>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w:t>
                            </w:r>
                            <w:r>
                              <w:rPr>
                                <w:rFonts w:ascii="楷体_GB2312" w:eastAsia="楷体_GB2312" w:hAnsi="宋体-18030" w:cs="宋体-18030" w:hint="eastAsia"/>
                                <w:b/>
                                <w:color w:val="FFFFFF"/>
                                <w:sz w:val="28"/>
                                <w:szCs w:val="28"/>
                              </w:rPr>
                              <w:t>/</w:t>
                            </w:r>
                            <w:r w:rsidRPr="00FC770C">
                              <w:rPr>
                                <w:rFonts w:ascii="楷体_GB2312" w:eastAsia="楷体_GB2312" w:hAnsi="宋体-18030" w:cs="宋体-18030" w:hint="eastAsia"/>
                                <w:b/>
                                <w:color w:val="FFFFFF"/>
                                <w:sz w:val="28"/>
                                <w:szCs w:val="28"/>
                              </w:rPr>
                              <w:t>基金策略</w:t>
                            </w:r>
                          </w:p>
                        </w:txbxContent>
                      </v:textbox>
                    </v:shape>
                  </w:pict>
                </mc:Fallback>
              </mc:AlternateContent>
            </w: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vAlign w:val="center"/>
          </w:tcPr>
          <w:p w:rsidR="009A18F4" w:rsidRPr="00F57D27" w:rsidRDefault="009A18F4" w:rsidP="00DE017A">
            <w:pPr>
              <w:rPr>
                <w:rFonts w:eastAsia="楷体_GB2312"/>
                <w:b/>
                <w:color w:val="003366"/>
                <w:sz w:val="24"/>
              </w:rPr>
            </w:pPr>
          </w:p>
        </w:tc>
      </w:tr>
      <w:tr w:rsidR="009A18F4" w:rsidRPr="00F57D27" w:rsidTr="00D85802">
        <w:trPr>
          <w:trHeight w:val="284"/>
        </w:trPr>
        <w:tc>
          <w:tcPr>
            <w:tcW w:w="534" w:type="dxa"/>
            <w:shd w:val="clear" w:color="auto" w:fill="CDD7FA"/>
          </w:tcPr>
          <w:p w:rsidR="009A18F4" w:rsidRPr="00F57D27" w:rsidRDefault="009A18F4" w:rsidP="00DE017A">
            <w:pPr>
              <w:rPr>
                <w:rFonts w:eastAsia="楷体_GB2312"/>
                <w:b/>
                <w:color w:val="003366"/>
                <w:sz w:val="24"/>
              </w:rPr>
            </w:pPr>
          </w:p>
        </w:tc>
        <w:tc>
          <w:tcPr>
            <w:tcW w:w="3354" w:type="dxa"/>
            <w:gridSpan w:val="2"/>
            <w:shd w:val="clear" w:color="auto" w:fill="CDD7FA"/>
          </w:tcPr>
          <w:p w:rsidR="009A18F4" w:rsidRPr="00F57D27" w:rsidRDefault="009A18F4" w:rsidP="00DE017A">
            <w:pPr>
              <w:rPr>
                <w:rFonts w:eastAsia="楷体_GB2312"/>
                <w:b/>
                <w:color w:val="003366"/>
                <w:sz w:val="24"/>
              </w:rPr>
            </w:pPr>
          </w:p>
        </w:tc>
      </w:tr>
      <w:tr w:rsidR="009A18F4" w:rsidRPr="00F57D27" w:rsidTr="00D85802">
        <w:trPr>
          <w:trHeight w:val="2216"/>
        </w:trPr>
        <w:tc>
          <w:tcPr>
            <w:tcW w:w="534" w:type="dxa"/>
            <w:shd w:val="clear" w:color="auto" w:fill="CDD7FA"/>
          </w:tcPr>
          <w:p w:rsidR="009A18F4" w:rsidRPr="00F57D27" w:rsidRDefault="002833E4" w:rsidP="00DE017A">
            <w:pPr>
              <w:rPr>
                <w:rFonts w:eastAsia="楷体_GB2312"/>
                <w:b/>
                <w:color w:val="003366"/>
                <w:sz w:val="24"/>
              </w:rPr>
            </w:pPr>
            <w:r>
              <w:rPr>
                <w:noProof/>
              </w:rPr>
              <w:drawing>
                <wp:anchor distT="0" distB="0" distL="114300" distR="114300" simplePos="0" relativeHeight="251658240" behindDoc="0" locked="0" layoutInCell="1" allowOverlap="1">
                  <wp:simplePos x="0" y="0"/>
                  <wp:positionH relativeFrom="column">
                    <wp:posOffset>239395</wp:posOffset>
                  </wp:positionH>
                  <wp:positionV relativeFrom="paragraph">
                    <wp:posOffset>55245</wp:posOffset>
                  </wp:positionV>
                  <wp:extent cx="1717675" cy="819150"/>
                  <wp:effectExtent l="0" t="0" r="0" b="0"/>
                  <wp:wrapNone/>
                  <wp:docPr id="15"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
                          <pic:cNvPicPr>
                            <a:picLocks noChangeAspect="1" noChangeArrowheads="1"/>
                          </pic:cNvPicPr>
                        </pic:nvPicPr>
                        <pic:blipFill>
                          <a:blip r:embed="rId8" cstate="print">
                            <a:clrChange>
                              <a:clrFrom>
                                <a:srgbClr val="D2D2FF"/>
                              </a:clrFrom>
                              <a:clrTo>
                                <a:srgbClr val="D2D2FF">
                                  <a:alpha val="0"/>
                                </a:srgbClr>
                              </a:clrTo>
                            </a:clrChange>
                            <a:extLst>
                              <a:ext uri="{28A0092B-C50C-407E-A947-70E740481C1C}">
                                <a14:useLocalDpi xmlns:a14="http://schemas.microsoft.com/office/drawing/2010/main" val="0"/>
                              </a:ext>
                            </a:extLst>
                          </a:blip>
                          <a:srcRect/>
                          <a:stretch>
                            <a:fillRect/>
                          </a:stretch>
                        </pic:blipFill>
                        <pic:spPr bwMode="auto">
                          <a:xfrm>
                            <a:off x="0" y="0"/>
                            <a:ext cx="1717675" cy="819150"/>
                          </a:xfrm>
                          <a:prstGeom prst="rect">
                            <a:avLst/>
                          </a:prstGeom>
                          <a:noFill/>
                          <a:ln>
                            <a:noFill/>
                          </a:ln>
                        </pic:spPr>
                      </pic:pic>
                    </a:graphicData>
                  </a:graphic>
                </wp:anchor>
              </w:drawing>
            </w:r>
          </w:p>
        </w:tc>
        <w:tc>
          <w:tcPr>
            <w:tcW w:w="3354" w:type="dxa"/>
            <w:gridSpan w:val="2"/>
            <w:shd w:val="clear" w:color="auto" w:fill="CDD7FA"/>
          </w:tcPr>
          <w:p w:rsidR="009A18F4" w:rsidRPr="00F57D27" w:rsidRDefault="009A18F4" w:rsidP="00DE017A">
            <w:pPr>
              <w:spacing w:line="360" w:lineRule="auto"/>
              <w:rPr>
                <w:rFonts w:eastAsia="楷体_GB2312"/>
                <w:noProof/>
                <w:sz w:val="24"/>
              </w:rPr>
            </w:pPr>
          </w:p>
        </w:tc>
      </w:tr>
      <w:tr w:rsidR="009A18F4" w:rsidRPr="00F57D27" w:rsidTr="00035528">
        <w:trPr>
          <w:trHeight w:val="457"/>
        </w:trPr>
        <w:tc>
          <w:tcPr>
            <w:tcW w:w="534" w:type="dxa"/>
          </w:tcPr>
          <w:p w:rsidR="009A18F4" w:rsidRPr="00D82E82" w:rsidRDefault="009A18F4" w:rsidP="00DE017A">
            <w:pPr>
              <w:rPr>
                <w:rFonts w:eastAsia="楷体_GB2312"/>
                <w:b/>
                <w:color w:val="003366"/>
              </w:rPr>
            </w:pPr>
          </w:p>
        </w:tc>
        <w:tc>
          <w:tcPr>
            <w:tcW w:w="3354" w:type="dxa"/>
            <w:gridSpan w:val="2"/>
            <w:vAlign w:val="bottom"/>
          </w:tcPr>
          <w:p w:rsidR="009A18F4" w:rsidRPr="002D6491" w:rsidRDefault="009A18F4" w:rsidP="00732C2D">
            <w:pPr>
              <w:spacing w:line="360" w:lineRule="auto"/>
              <w:ind w:left="-288" w:firstLineChars="150" w:firstLine="271"/>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DB64DC">
              <w:rPr>
                <w:rFonts w:eastAsia="楷体_GB2312" w:hint="eastAsia"/>
                <w:b/>
                <w:color w:val="003366"/>
                <w:sz w:val="18"/>
                <w:szCs w:val="18"/>
              </w:rPr>
              <w:t>1</w:t>
            </w:r>
            <w:r w:rsidR="00F96B00">
              <w:rPr>
                <w:rFonts w:eastAsia="楷体_GB2312"/>
                <w:b/>
                <w:color w:val="003366"/>
                <w:sz w:val="18"/>
                <w:szCs w:val="18"/>
              </w:rPr>
              <w:t>2</w:t>
            </w:r>
            <w:r w:rsidRPr="002D6491">
              <w:rPr>
                <w:rFonts w:eastAsia="楷体_GB2312" w:hint="eastAsia"/>
                <w:b/>
                <w:color w:val="003366"/>
                <w:sz w:val="18"/>
                <w:szCs w:val="18"/>
              </w:rPr>
              <w:t>月基金业绩统计分布</w:t>
            </w:r>
          </w:p>
        </w:tc>
      </w:tr>
      <w:tr w:rsidR="009A18F4" w:rsidRPr="00F57D27" w:rsidTr="00A5666E">
        <w:trPr>
          <w:trHeight w:val="284"/>
        </w:trPr>
        <w:tc>
          <w:tcPr>
            <w:tcW w:w="534" w:type="dxa"/>
          </w:tcPr>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p w:rsidR="009A18F4" w:rsidRPr="00F57D27" w:rsidRDefault="009A18F4" w:rsidP="00DE017A">
            <w:pPr>
              <w:rPr>
                <w:rFonts w:eastAsia="楷体_GB2312"/>
                <w:b/>
                <w:color w:val="003366"/>
                <w:sz w:val="24"/>
              </w:rPr>
            </w:pPr>
          </w:p>
        </w:tc>
        <w:tc>
          <w:tcPr>
            <w:tcW w:w="3354" w:type="dxa"/>
            <w:gridSpan w:val="2"/>
            <w:vAlign w:val="center"/>
          </w:tcPr>
          <w:p w:rsidR="009A18F4" w:rsidRPr="00CD7632" w:rsidRDefault="005D26E7" w:rsidP="00684DFA">
            <w:pPr>
              <w:ind w:leftChars="-51" w:rightChars="34" w:right="71" w:hangingChars="51" w:hanging="107"/>
              <w:rPr>
                <w:noProof/>
              </w:rPr>
            </w:pPr>
            <w:r>
              <w:rPr>
                <w:noProof/>
              </w:rPr>
              <w:drawing>
                <wp:inline distT="0" distB="0" distL="0" distR="0">
                  <wp:extent cx="1964690" cy="148855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2775" cy="1494684"/>
                          </a:xfrm>
                          <a:prstGeom prst="rect">
                            <a:avLst/>
                          </a:prstGeom>
                          <a:noFill/>
                        </pic:spPr>
                      </pic:pic>
                    </a:graphicData>
                  </a:graphic>
                </wp:inline>
              </w:drawing>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9A18F4" w:rsidRDefault="009A18F4" w:rsidP="00DE017A">
            <w:pPr>
              <w:rPr>
                <w:rFonts w:eastAsia="楷体_GB2312"/>
                <w:color w:val="003366"/>
                <w:sz w:val="18"/>
                <w:szCs w:val="18"/>
              </w:rPr>
            </w:pPr>
            <w:r w:rsidRPr="00CD7632">
              <w:rPr>
                <w:rFonts w:eastAsia="楷体_GB2312" w:hint="eastAsia"/>
                <w:color w:val="003366"/>
                <w:sz w:val="18"/>
                <w:szCs w:val="18"/>
              </w:rPr>
              <w:t>注：不包括结构化份额</w:t>
            </w:r>
          </w:p>
          <w:p w:rsidR="00345A6D" w:rsidRPr="00D85802" w:rsidRDefault="00345A6D" w:rsidP="00DE017A">
            <w:pPr>
              <w:rPr>
                <w:rFonts w:eastAsia="楷体_GB2312"/>
                <w:color w:val="003366"/>
                <w:sz w:val="18"/>
                <w:szCs w:val="18"/>
              </w:rPr>
            </w:pPr>
          </w:p>
          <w:p w:rsidR="009A18F4" w:rsidRPr="00CD7632" w:rsidRDefault="009A18F4" w:rsidP="00DE017A">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DE017A">
            <w:pPr>
              <w:rPr>
                <w:rFonts w:eastAsia="楷体_GB2312"/>
                <w:b/>
                <w:color w:val="003366"/>
              </w:rPr>
            </w:pPr>
            <w:r w:rsidRPr="00CD7632">
              <w:rPr>
                <w:rFonts w:eastAsia="楷体_GB2312" w:hint="eastAsia"/>
                <w:b/>
                <w:color w:val="003366"/>
              </w:rPr>
              <w:t>刘亦千</w:t>
            </w:r>
          </w:p>
          <w:p w:rsidR="009A18F4" w:rsidRDefault="009A18F4" w:rsidP="00DE017A">
            <w:pPr>
              <w:rPr>
                <w:rFonts w:eastAsia="楷体_GB2312"/>
                <w:b/>
                <w:color w:val="003366"/>
                <w:sz w:val="24"/>
              </w:rPr>
            </w:pPr>
            <w:r w:rsidRPr="00CD7632">
              <w:rPr>
                <w:rFonts w:eastAsia="楷体_GB2312" w:hint="eastAsia"/>
                <w:color w:val="003366"/>
              </w:rPr>
              <w:t>执业证书编号：</w:t>
            </w:r>
            <w:r w:rsidRPr="00D3206B">
              <w:rPr>
                <w:rFonts w:eastAsia="楷体_GB2312"/>
                <w:b/>
                <w:color w:val="003366"/>
                <w:sz w:val="20"/>
                <w:szCs w:val="20"/>
              </w:rPr>
              <w:t>S0870511040001</w:t>
            </w:r>
          </w:p>
          <w:p w:rsidR="00651F6A" w:rsidRPr="00D206D3" w:rsidRDefault="00651F6A" w:rsidP="00651F6A">
            <w:pPr>
              <w:rPr>
                <w:rFonts w:eastAsia="楷体_GB2312"/>
                <w:color w:val="003366"/>
              </w:rPr>
            </w:pPr>
            <w:r w:rsidRPr="00D206D3">
              <w:rPr>
                <w:rFonts w:eastAsia="楷体_GB2312" w:hint="eastAsia"/>
                <w:color w:val="003366"/>
              </w:rPr>
              <w:t>邮箱：</w:t>
            </w:r>
            <w:r>
              <w:rPr>
                <w:rFonts w:eastAsia="楷体_GB2312" w:hint="eastAsia"/>
                <w:color w:val="003366"/>
              </w:rPr>
              <w:t>liuyiqian@shzq.com</w:t>
            </w:r>
          </w:p>
          <w:p w:rsidR="00651F6A" w:rsidRPr="00651F6A" w:rsidRDefault="00651F6A" w:rsidP="009E016E">
            <w:pPr>
              <w:rPr>
                <w:rFonts w:eastAsia="楷体_GB2312"/>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021</w:t>
            </w:r>
            <w:r w:rsidR="00C062B7">
              <w:rPr>
                <w:rFonts w:eastAsia="楷体_GB2312" w:hint="eastAsia"/>
                <w:color w:val="003366"/>
              </w:rPr>
              <w:t>-</w:t>
            </w:r>
            <w:r w:rsidR="006442B8">
              <w:rPr>
                <w:rFonts w:eastAsia="楷体_GB2312"/>
                <w:color w:val="003366"/>
              </w:rPr>
              <w:t>5368</w:t>
            </w:r>
            <w:r w:rsidR="009E016E">
              <w:rPr>
                <w:rFonts w:eastAsia="楷体_GB2312"/>
                <w:color w:val="003366"/>
              </w:rPr>
              <w:t>6</w:t>
            </w:r>
            <w:r w:rsidR="006442B8">
              <w:rPr>
                <w:rFonts w:eastAsia="楷体_GB2312"/>
                <w:color w:val="003366"/>
              </w:rPr>
              <w:t>101</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DC7426" w:rsidRPr="00A71B95" w:rsidRDefault="00DC7426" w:rsidP="00DC7426">
            <w:pPr>
              <w:rPr>
                <w:rFonts w:eastAsia="楷体_GB2312"/>
                <w:b/>
                <w:color w:val="003366"/>
              </w:rPr>
            </w:pPr>
            <w:r w:rsidRPr="00A71B95">
              <w:rPr>
                <w:rFonts w:eastAsia="楷体_GB2312" w:hint="eastAsia"/>
                <w:b/>
                <w:color w:val="003366"/>
              </w:rPr>
              <w:t>王博生</w:t>
            </w:r>
          </w:p>
          <w:p w:rsidR="00DC7426" w:rsidRDefault="00DC7426" w:rsidP="00DC7426">
            <w:r w:rsidRPr="00CD7632">
              <w:rPr>
                <w:rFonts w:eastAsia="楷体_GB2312" w:hint="eastAsia"/>
                <w:color w:val="003366"/>
              </w:rPr>
              <w:t>执业证书编号：</w:t>
            </w:r>
            <w:r w:rsidRPr="00D3206B">
              <w:rPr>
                <w:rFonts w:eastAsia="楷体_GB2312"/>
                <w:b/>
                <w:color w:val="003366"/>
                <w:sz w:val="20"/>
                <w:szCs w:val="20"/>
              </w:rPr>
              <w:t>S0870115080016</w:t>
            </w:r>
          </w:p>
          <w:p w:rsidR="00DC7426" w:rsidRPr="00D206D3" w:rsidRDefault="00DC7426" w:rsidP="00DC7426">
            <w:pPr>
              <w:rPr>
                <w:rFonts w:eastAsia="楷体_GB2312"/>
                <w:color w:val="003366"/>
              </w:rPr>
            </w:pPr>
            <w:r w:rsidRPr="00D206D3">
              <w:rPr>
                <w:rFonts w:eastAsia="楷体_GB2312" w:hint="eastAsia"/>
                <w:color w:val="003366"/>
              </w:rPr>
              <w:t>邮箱：</w:t>
            </w:r>
            <w:r w:rsidRPr="00D206D3">
              <w:rPr>
                <w:rFonts w:eastAsia="楷体_GB2312"/>
                <w:color w:val="003366"/>
              </w:rPr>
              <w:t>wangbosheng@shzq.com</w:t>
            </w:r>
          </w:p>
          <w:p w:rsidR="009A18F4" w:rsidRPr="00D82E82" w:rsidRDefault="00DC7426" w:rsidP="006442B8">
            <w:pPr>
              <w:rPr>
                <w:rFonts w:eastAsia="楷体_GB2312"/>
                <w:b/>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021</w:t>
            </w:r>
            <w:r w:rsidR="00C062B7">
              <w:rPr>
                <w:rFonts w:eastAsia="楷体_GB2312" w:hint="eastAsia"/>
                <w:color w:val="003366"/>
              </w:rPr>
              <w:t>-</w:t>
            </w:r>
            <w:r w:rsidR="006442B8">
              <w:rPr>
                <w:rFonts w:eastAsia="楷体_GB2312"/>
                <w:color w:val="003366"/>
              </w:rPr>
              <w:t>53686109</w:t>
            </w: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p w:rsidR="00651F6A" w:rsidRDefault="00651F6A" w:rsidP="00DE017A">
            <w:pPr>
              <w:rPr>
                <w:rFonts w:eastAsia="楷体_GB2312"/>
                <w:color w:val="003366"/>
              </w:rPr>
            </w:pPr>
            <w:proofErr w:type="gramStart"/>
            <w:r w:rsidRPr="00A71B95">
              <w:rPr>
                <w:rFonts w:eastAsia="楷体_GB2312" w:hint="eastAsia"/>
                <w:b/>
                <w:color w:val="003366"/>
              </w:rPr>
              <w:t>闻嘉琦</w:t>
            </w:r>
            <w:proofErr w:type="gramEnd"/>
          </w:p>
          <w:p w:rsidR="009A18F4" w:rsidRDefault="009925B4" w:rsidP="00DE017A">
            <w:r w:rsidRPr="00CD7632">
              <w:rPr>
                <w:rFonts w:eastAsia="楷体_GB2312" w:hint="eastAsia"/>
                <w:color w:val="003366"/>
              </w:rPr>
              <w:t>执业证书编号：</w:t>
            </w:r>
            <w:r w:rsidR="00D206D3" w:rsidRPr="00633C6C">
              <w:rPr>
                <w:rFonts w:eastAsia="楷体_GB2312" w:hint="eastAsia"/>
                <w:b/>
                <w:color w:val="003366"/>
                <w:sz w:val="20"/>
              </w:rPr>
              <w:t>S0870115050013</w:t>
            </w:r>
          </w:p>
          <w:p w:rsidR="00D206D3" w:rsidRPr="00D206D3" w:rsidRDefault="00D206D3" w:rsidP="00D206D3">
            <w:pPr>
              <w:rPr>
                <w:rFonts w:eastAsia="楷体_GB2312"/>
                <w:color w:val="003366"/>
              </w:rPr>
            </w:pPr>
            <w:r w:rsidRPr="00D206D3">
              <w:rPr>
                <w:rFonts w:eastAsia="楷体_GB2312" w:hint="eastAsia"/>
                <w:color w:val="003366"/>
              </w:rPr>
              <w:t>邮箱：</w:t>
            </w:r>
            <w:r>
              <w:rPr>
                <w:rFonts w:eastAsia="楷体_GB2312" w:hint="eastAsia"/>
                <w:color w:val="003366"/>
              </w:rPr>
              <w:t>wenjiaqi@shzq.com</w:t>
            </w:r>
          </w:p>
          <w:p w:rsidR="00D206D3" w:rsidRDefault="00D206D3" w:rsidP="00DC7426">
            <w:pPr>
              <w:rPr>
                <w:rFonts w:eastAsia="楷体_GB2312"/>
                <w:color w:val="003366"/>
              </w:rPr>
            </w:pPr>
            <w:r w:rsidRPr="00D206D3">
              <w:rPr>
                <w:rFonts w:eastAsia="楷体_GB2312" w:hint="eastAsia"/>
                <w:color w:val="003366"/>
              </w:rPr>
              <w:t>电话</w:t>
            </w:r>
            <w:r>
              <w:rPr>
                <w:rFonts w:eastAsia="楷体_GB2312" w:hint="eastAsia"/>
                <w:color w:val="003366"/>
              </w:rPr>
              <w:t>：</w:t>
            </w:r>
            <w:r w:rsidRPr="00D206D3">
              <w:rPr>
                <w:rFonts w:eastAsia="楷体_GB2312" w:hint="eastAsia"/>
                <w:color w:val="003366"/>
              </w:rPr>
              <w:t>021</w:t>
            </w:r>
            <w:r w:rsidR="00C062B7">
              <w:rPr>
                <w:rFonts w:eastAsia="楷体_GB2312" w:hint="eastAsia"/>
                <w:color w:val="003366"/>
              </w:rPr>
              <w:t>-</w:t>
            </w:r>
            <w:r w:rsidR="006442B8">
              <w:rPr>
                <w:rFonts w:eastAsia="楷体_GB2312"/>
                <w:color w:val="003366"/>
              </w:rPr>
              <w:t>53686113</w:t>
            </w:r>
          </w:p>
          <w:p w:rsidR="00D3206B" w:rsidRPr="00651F6A" w:rsidRDefault="00D3206B" w:rsidP="00DC7426">
            <w:pPr>
              <w:rPr>
                <w:rFonts w:eastAsia="楷体_GB2312"/>
                <w:b/>
                <w:color w:val="003366"/>
                <w:sz w:val="24"/>
              </w:rPr>
            </w:pPr>
          </w:p>
        </w:tc>
      </w:tr>
      <w:tr w:rsidR="009A18F4" w:rsidRPr="00F57D27" w:rsidTr="00D85802">
        <w:trPr>
          <w:trHeight w:val="284"/>
        </w:trPr>
        <w:tc>
          <w:tcPr>
            <w:tcW w:w="534" w:type="dxa"/>
          </w:tcPr>
          <w:p w:rsidR="009A18F4" w:rsidRPr="00F57D27" w:rsidRDefault="009A18F4" w:rsidP="00DE017A">
            <w:pPr>
              <w:rPr>
                <w:rFonts w:eastAsia="楷体_GB2312"/>
                <w:b/>
                <w:color w:val="003366"/>
                <w:sz w:val="24"/>
              </w:rPr>
            </w:pPr>
          </w:p>
        </w:tc>
        <w:tc>
          <w:tcPr>
            <w:tcW w:w="3354" w:type="dxa"/>
            <w:gridSpan w:val="2"/>
          </w:tcPr>
          <w:tbl>
            <w:tblPr>
              <w:tblpPr w:leftFromText="180" w:rightFromText="180" w:vertAnchor="text" w:horzAnchor="page" w:tblpX="37" w:tblpY="-2806"/>
              <w:tblW w:w="3888" w:type="dxa"/>
              <w:shd w:val="clear" w:color="auto" w:fill="E0E0E0"/>
              <w:tblLayout w:type="fixed"/>
              <w:tblLook w:val="01E0" w:firstRow="1" w:lastRow="1" w:firstColumn="1" w:lastColumn="1" w:noHBand="0" w:noVBand="0"/>
            </w:tblPr>
            <w:tblGrid>
              <w:gridCol w:w="3420"/>
              <w:gridCol w:w="468"/>
            </w:tblGrid>
            <w:tr w:rsidR="009A18F4" w:rsidRPr="00F57D27" w:rsidTr="00DE017A">
              <w:trPr>
                <w:trHeight w:hRule="exact" w:val="284"/>
              </w:trPr>
              <w:tc>
                <w:tcPr>
                  <w:tcW w:w="3888" w:type="dxa"/>
                  <w:gridSpan w:val="2"/>
                </w:tcPr>
                <w:p w:rsidR="009A18F4" w:rsidRPr="000E4676" w:rsidRDefault="009A18F4" w:rsidP="00DE017A">
                  <w:pPr>
                    <w:pStyle w:val="a8"/>
                    <w:rPr>
                      <w:rFonts w:ascii="楷体" w:eastAsia="楷体" w:hAnsi="楷体" w:cs="宋体"/>
                      <w:kern w:val="2"/>
                      <w:sz w:val="21"/>
                    </w:rPr>
                  </w:pPr>
                  <w:r w:rsidRPr="000E4676">
                    <w:rPr>
                      <w:rFonts w:ascii="楷体" w:eastAsia="楷体" w:hAnsi="楷体" w:cs="Courier New" w:hint="eastAsia"/>
                      <w:b/>
                      <w:color w:val="003366"/>
                      <w:kern w:val="2"/>
                      <w:sz w:val="24"/>
                    </w:rPr>
                    <w:t>报告</w:t>
                  </w:r>
                  <w:r w:rsidRPr="000E4676">
                    <w:rPr>
                      <w:rFonts w:ascii="楷体" w:eastAsia="楷体" w:hAnsi="楷体" w:cs="Courier New"/>
                      <w:b/>
                      <w:color w:val="003366"/>
                      <w:kern w:val="2"/>
                      <w:sz w:val="24"/>
                    </w:rPr>
                    <w:t>日期</w:t>
                  </w:r>
                  <w:r w:rsidRPr="000E4676">
                    <w:rPr>
                      <w:rFonts w:ascii="楷体" w:eastAsia="楷体" w:hAnsi="楷体" w:cs="Courier New" w:hint="eastAsia"/>
                      <w:b/>
                      <w:color w:val="003366"/>
                      <w:kern w:val="2"/>
                      <w:sz w:val="24"/>
                    </w:rPr>
                    <w:t>：</w:t>
                  </w:r>
                  <w:r w:rsidRPr="000E4676">
                    <w:rPr>
                      <w:rFonts w:ascii="楷体" w:eastAsia="楷体" w:hAnsi="楷体" w:cs="宋体"/>
                      <w:kern w:val="2"/>
                      <w:sz w:val="21"/>
                    </w:rPr>
                    <w:t>201</w:t>
                  </w:r>
                  <w:r w:rsidRPr="000E4676">
                    <w:rPr>
                      <w:rFonts w:ascii="楷体" w:eastAsia="楷体" w:hAnsi="楷体" w:cs="宋体" w:hint="eastAsia"/>
                      <w:kern w:val="2"/>
                      <w:sz w:val="21"/>
                    </w:rPr>
                    <w:t>5</w:t>
                  </w:r>
                  <w:r w:rsidRPr="000E4676">
                    <w:rPr>
                      <w:rFonts w:ascii="楷体" w:eastAsia="楷体" w:hAnsi="楷体" w:cs="宋体"/>
                      <w:kern w:val="2"/>
                      <w:sz w:val="21"/>
                    </w:rPr>
                    <w:t>年</w:t>
                  </w:r>
                  <w:r w:rsidR="00CE3745" w:rsidRPr="000E4676">
                    <w:rPr>
                      <w:rFonts w:ascii="楷体" w:eastAsia="楷体" w:hAnsi="楷体" w:cs="宋体" w:hint="eastAsia"/>
                      <w:kern w:val="2"/>
                      <w:sz w:val="21"/>
                    </w:rPr>
                    <w:t>1</w:t>
                  </w:r>
                  <w:r w:rsidR="006442B8">
                    <w:rPr>
                      <w:rFonts w:ascii="楷体" w:eastAsia="楷体" w:hAnsi="楷体" w:cs="宋体"/>
                      <w:kern w:val="2"/>
                      <w:sz w:val="21"/>
                    </w:rPr>
                    <w:t>2</w:t>
                  </w:r>
                  <w:r w:rsidRPr="000E4676">
                    <w:rPr>
                      <w:rFonts w:ascii="楷体" w:eastAsia="楷体" w:hAnsi="楷体" w:cs="宋体"/>
                      <w:kern w:val="2"/>
                      <w:sz w:val="21"/>
                    </w:rPr>
                    <w:t>月</w:t>
                  </w:r>
                  <w:r w:rsidR="006442B8">
                    <w:rPr>
                      <w:rFonts w:ascii="楷体" w:eastAsia="楷体" w:hAnsi="楷体" w:cs="宋体"/>
                      <w:kern w:val="2"/>
                      <w:sz w:val="21"/>
                    </w:rPr>
                    <w:t>28</w:t>
                  </w:r>
                  <w:r w:rsidRPr="000E4676">
                    <w:rPr>
                      <w:rFonts w:ascii="楷体" w:eastAsia="楷体" w:hAnsi="楷体" w:cs="宋体"/>
                      <w:kern w:val="2"/>
                      <w:sz w:val="21"/>
                    </w:rPr>
                    <w:t>日</w:t>
                  </w:r>
                </w:p>
                <w:p w:rsidR="009A18F4" w:rsidRPr="000E4676" w:rsidRDefault="009A18F4" w:rsidP="00DE017A">
                  <w:pPr>
                    <w:jc w:val="left"/>
                    <w:rPr>
                      <w:rFonts w:ascii="楷体" w:eastAsia="楷体" w:hAnsi="楷体"/>
                      <w:color w:val="003366"/>
                      <w:sz w:val="24"/>
                    </w:rPr>
                  </w:pP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sz w:val="24"/>
                    </w:rPr>
                  </w:pP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b/>
                      <w:color w:val="003366"/>
                      <w:sz w:val="24"/>
                    </w:rPr>
                  </w:pPr>
                  <w:r w:rsidRPr="000E4676">
                    <w:rPr>
                      <w:rFonts w:ascii="楷体" w:eastAsia="楷体" w:hAnsi="楷体" w:hint="eastAsia"/>
                      <w:b/>
                      <w:color w:val="003366"/>
                      <w:sz w:val="24"/>
                    </w:rPr>
                    <w:t>报告编号：</w:t>
                  </w: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b/>
                      <w:color w:val="003366"/>
                      <w:sz w:val="24"/>
                    </w:rPr>
                  </w:pPr>
                </w:p>
              </w:tc>
            </w:tr>
            <w:tr w:rsidR="009A18F4" w:rsidRPr="00F57D27" w:rsidTr="00DE017A">
              <w:trPr>
                <w:gridAfter w:val="1"/>
                <w:wAfter w:w="468" w:type="dxa"/>
                <w:trHeight w:hRule="exact" w:val="284"/>
              </w:trPr>
              <w:tc>
                <w:tcPr>
                  <w:tcW w:w="3420" w:type="dxa"/>
                </w:tcPr>
                <w:p w:rsidR="009A18F4" w:rsidRPr="000E4676" w:rsidRDefault="009A18F4" w:rsidP="00DE017A">
                  <w:pPr>
                    <w:rPr>
                      <w:rFonts w:ascii="楷体" w:eastAsia="楷体" w:hAnsi="楷体"/>
                      <w:b/>
                      <w:color w:val="003366"/>
                      <w:sz w:val="24"/>
                    </w:rPr>
                  </w:pPr>
                  <w:r w:rsidRPr="000E4676">
                    <w:rPr>
                      <w:rFonts w:ascii="楷体" w:eastAsia="楷体" w:hAnsi="楷体" w:hint="eastAsia"/>
                      <w:b/>
                      <w:color w:val="003366"/>
                      <w:sz w:val="24"/>
                    </w:rPr>
                    <w:t>相关报告：</w:t>
                  </w:r>
                </w:p>
                <w:p w:rsidR="007617F5" w:rsidRPr="000E4676" w:rsidRDefault="007617F5" w:rsidP="00DE017A">
                  <w:pPr>
                    <w:rPr>
                      <w:rFonts w:ascii="楷体" w:eastAsia="楷体" w:hAnsi="楷体"/>
                      <w:b/>
                      <w:color w:val="003366"/>
                      <w:sz w:val="24"/>
                    </w:rPr>
                  </w:pPr>
                </w:p>
                <w:p w:rsidR="007617F5" w:rsidRPr="000E4676" w:rsidRDefault="007617F5" w:rsidP="00DE017A">
                  <w:pPr>
                    <w:rPr>
                      <w:rFonts w:ascii="楷体" w:eastAsia="楷体" w:hAnsi="楷体"/>
                      <w:b/>
                      <w:color w:val="003366"/>
                      <w:sz w:val="24"/>
                    </w:rPr>
                  </w:pPr>
                </w:p>
                <w:p w:rsidR="007617F5" w:rsidRPr="000E4676" w:rsidRDefault="007617F5" w:rsidP="00DE017A">
                  <w:pPr>
                    <w:rPr>
                      <w:rFonts w:ascii="楷体" w:eastAsia="楷体" w:hAnsi="楷体"/>
                      <w:b/>
                      <w:color w:val="003366"/>
                      <w:sz w:val="24"/>
                    </w:rPr>
                  </w:pPr>
                </w:p>
              </w:tc>
            </w:tr>
            <w:tr w:rsidR="009A18F4" w:rsidRPr="00F57D27" w:rsidTr="00D3206B">
              <w:trPr>
                <w:gridAfter w:val="1"/>
                <w:wAfter w:w="468" w:type="dxa"/>
                <w:trHeight w:hRule="exact" w:val="2258"/>
              </w:trPr>
              <w:tc>
                <w:tcPr>
                  <w:tcW w:w="3420" w:type="dxa"/>
                </w:tcPr>
                <w:p w:rsidR="006442B8" w:rsidRDefault="006442B8" w:rsidP="00DE017A">
                  <w:pPr>
                    <w:rPr>
                      <w:rFonts w:ascii="楷体" w:eastAsia="楷体" w:hAnsi="楷体"/>
                      <w:sz w:val="18"/>
                      <w:szCs w:val="18"/>
                    </w:rPr>
                  </w:pPr>
                  <w:r w:rsidRPr="000E4676">
                    <w:rPr>
                      <w:rFonts w:ascii="楷体" w:eastAsia="楷体" w:hAnsi="楷体" w:hint="eastAsia"/>
                      <w:sz w:val="18"/>
                      <w:szCs w:val="18"/>
                    </w:rPr>
                    <w:t>2015年1</w:t>
                  </w:r>
                  <w:r>
                    <w:rPr>
                      <w:rFonts w:ascii="楷体" w:eastAsia="楷体" w:hAnsi="楷体"/>
                      <w:sz w:val="18"/>
                      <w:szCs w:val="18"/>
                    </w:rPr>
                    <w:t>2</w:t>
                  </w:r>
                  <w:r w:rsidRPr="000E4676">
                    <w:rPr>
                      <w:rFonts w:ascii="楷体" w:eastAsia="楷体" w:hAnsi="楷体" w:hint="eastAsia"/>
                      <w:sz w:val="18"/>
                      <w:szCs w:val="18"/>
                    </w:rPr>
                    <w:t>月基金投资策略：</w:t>
                  </w:r>
                  <w:r w:rsidRPr="006442B8">
                    <w:rPr>
                      <w:rFonts w:ascii="楷体" w:eastAsia="楷体" w:hAnsi="楷体" w:hint="eastAsia"/>
                      <w:sz w:val="18"/>
                      <w:szCs w:val="18"/>
                    </w:rPr>
                    <w:t>全球通</w:t>
                  </w:r>
                  <w:proofErr w:type="gramStart"/>
                  <w:r w:rsidRPr="006442B8">
                    <w:rPr>
                      <w:rFonts w:ascii="楷体" w:eastAsia="楷体" w:hAnsi="楷体" w:hint="eastAsia"/>
                      <w:sz w:val="18"/>
                      <w:szCs w:val="18"/>
                    </w:rPr>
                    <w:t>缩风险</w:t>
                  </w:r>
                  <w:proofErr w:type="gramEnd"/>
                  <w:r w:rsidRPr="006442B8">
                    <w:rPr>
                      <w:rFonts w:ascii="楷体" w:eastAsia="楷体" w:hAnsi="楷体" w:hint="eastAsia"/>
                      <w:sz w:val="18"/>
                      <w:szCs w:val="18"/>
                    </w:rPr>
                    <w:t>加剧，偏防御均衡配置为上</w:t>
                  </w:r>
                </w:p>
                <w:p w:rsidR="007617F5" w:rsidRPr="000E4676" w:rsidRDefault="007617F5" w:rsidP="00DE017A">
                  <w:pPr>
                    <w:rPr>
                      <w:rFonts w:ascii="楷体" w:eastAsia="楷体" w:hAnsi="楷体"/>
                      <w:sz w:val="18"/>
                      <w:szCs w:val="18"/>
                    </w:rPr>
                  </w:pPr>
                  <w:r w:rsidRPr="000E4676">
                    <w:rPr>
                      <w:rFonts w:ascii="楷体" w:eastAsia="楷体" w:hAnsi="楷体" w:hint="eastAsia"/>
                      <w:sz w:val="18"/>
                      <w:szCs w:val="18"/>
                    </w:rPr>
                    <w:t>2015年11月基金投资策略：</w:t>
                  </w:r>
                  <w:proofErr w:type="gramStart"/>
                  <w:r w:rsidRPr="000E4676">
                    <w:rPr>
                      <w:rFonts w:ascii="楷体" w:eastAsia="楷体" w:hAnsi="楷体" w:hint="eastAsia"/>
                      <w:sz w:val="18"/>
                      <w:szCs w:val="18"/>
                    </w:rPr>
                    <w:t>弱经济</w:t>
                  </w:r>
                  <w:proofErr w:type="gramEnd"/>
                  <w:r w:rsidRPr="000E4676">
                    <w:rPr>
                      <w:rFonts w:ascii="楷体" w:eastAsia="楷体" w:hAnsi="楷体" w:hint="eastAsia"/>
                      <w:sz w:val="18"/>
                      <w:szCs w:val="18"/>
                    </w:rPr>
                    <w:t>推动全球宽松 积极关注“十三五”主题投资机会</w:t>
                  </w:r>
                </w:p>
                <w:p w:rsidR="009A18F4" w:rsidRPr="000E4676" w:rsidRDefault="00836FDA" w:rsidP="006442B8">
                  <w:pPr>
                    <w:rPr>
                      <w:rFonts w:ascii="楷体" w:eastAsia="楷体" w:hAnsi="楷体"/>
                      <w:sz w:val="18"/>
                      <w:szCs w:val="18"/>
                    </w:rPr>
                  </w:pPr>
                  <w:r w:rsidRPr="000E4676">
                    <w:rPr>
                      <w:rFonts w:ascii="楷体" w:eastAsia="楷体" w:hAnsi="楷体" w:hint="eastAsia"/>
                      <w:sz w:val="18"/>
                      <w:szCs w:val="18"/>
                    </w:rPr>
                    <w:t>2015年</w:t>
                  </w:r>
                  <w:r w:rsidR="00A63ECA" w:rsidRPr="000E4676">
                    <w:rPr>
                      <w:rFonts w:ascii="楷体" w:eastAsia="楷体" w:hAnsi="楷体" w:hint="eastAsia"/>
                      <w:sz w:val="18"/>
                      <w:szCs w:val="18"/>
                    </w:rPr>
                    <w:t>10</w:t>
                  </w:r>
                  <w:r w:rsidRPr="000E4676">
                    <w:rPr>
                      <w:rFonts w:ascii="楷体" w:eastAsia="楷体" w:hAnsi="楷体" w:hint="eastAsia"/>
                      <w:sz w:val="18"/>
                      <w:szCs w:val="18"/>
                    </w:rPr>
                    <w:t>月基金投资策略：</w:t>
                  </w:r>
                  <w:r w:rsidR="00A63ECA" w:rsidRPr="000E4676">
                    <w:rPr>
                      <w:rFonts w:ascii="楷体" w:eastAsia="楷体" w:hAnsi="楷体" w:hint="eastAsia"/>
                      <w:sz w:val="18"/>
                      <w:szCs w:val="18"/>
                    </w:rPr>
                    <w:t>结构性价值开始凸显</w:t>
                  </w:r>
                  <w:r w:rsidR="00345A6D">
                    <w:rPr>
                      <w:rFonts w:ascii="楷体" w:eastAsia="楷体" w:hAnsi="楷体" w:hint="eastAsia"/>
                      <w:sz w:val="18"/>
                      <w:szCs w:val="18"/>
                    </w:rPr>
                    <w:t xml:space="preserve"> </w:t>
                  </w:r>
                  <w:r w:rsidR="00A63ECA" w:rsidRPr="000E4676">
                    <w:rPr>
                      <w:rFonts w:ascii="楷体" w:eastAsia="楷体" w:hAnsi="楷体" w:hint="eastAsia"/>
                      <w:sz w:val="18"/>
                      <w:szCs w:val="18"/>
                    </w:rPr>
                    <w:t>主题仍偏向企改和投资</w:t>
                  </w:r>
                </w:p>
              </w:tc>
            </w:tr>
          </w:tbl>
          <w:p w:rsidR="009A18F4" w:rsidRPr="00F57D27" w:rsidRDefault="009A18F4" w:rsidP="00DE017A">
            <w:pPr>
              <w:rPr>
                <w:rFonts w:eastAsia="楷体_GB2312"/>
                <w:b/>
                <w:color w:val="003366"/>
                <w:sz w:val="28"/>
                <w:szCs w:val="28"/>
              </w:rPr>
            </w:pPr>
          </w:p>
        </w:tc>
      </w:tr>
    </w:tbl>
    <w:p w:rsidR="00BF4BDC" w:rsidRDefault="001A4832" w:rsidP="009A18F4">
      <w:pPr>
        <w:numPr>
          <w:ilvl w:val="0"/>
          <w:numId w:val="2"/>
        </w:numPr>
        <w:spacing w:line="360" w:lineRule="auto"/>
        <w:rPr>
          <w:rFonts w:ascii="黑体" w:eastAsia="黑体" w:hAnsi="宋体"/>
          <w:b/>
          <w:color w:val="003366"/>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-679420</wp:posOffset>
                </wp:positionH>
                <wp:positionV relativeFrom="paragraph">
                  <wp:posOffset>-1255365</wp:posOffset>
                </wp:positionV>
                <wp:extent cx="5370195" cy="2179674"/>
                <wp:effectExtent l="0" t="0" r="190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2179674"/>
                        </a:xfrm>
                        <a:prstGeom prst="rect">
                          <a:avLst/>
                        </a:prstGeom>
                        <a:solidFill>
                          <a:srgbClr val="0032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DE9" w:rsidRDefault="005E1DE9" w:rsidP="009A18F4">
                            <w:pPr>
                              <w:rPr>
                                <w:rFonts w:ascii="宋体-18030" w:eastAsia="宋体-18030" w:hAnsi="宋体-18030" w:cs="宋体-18030"/>
                                <w:szCs w:val="21"/>
                              </w:rPr>
                            </w:pPr>
                          </w:p>
                          <w:p w:rsidR="005E1DE9" w:rsidRDefault="005E1DE9" w:rsidP="009A18F4">
                            <w:pPr>
                              <w:rPr>
                                <w:rFonts w:ascii="宋体-18030" w:eastAsia="宋体-18030" w:hAnsi="宋体-18030" w:cs="宋体-18030"/>
                                <w:szCs w:val="21"/>
                              </w:rPr>
                            </w:pPr>
                          </w:p>
                          <w:p w:rsidR="005E1DE9" w:rsidRDefault="005E1DE9" w:rsidP="009A18F4">
                            <w:pPr>
                              <w:rPr>
                                <w:rFonts w:ascii="宋体-18030" w:eastAsia="宋体-18030" w:hAnsi="宋体-18030" w:cs="宋体-18030"/>
                                <w:szCs w:val="21"/>
                              </w:rPr>
                            </w:pPr>
                          </w:p>
                          <w:p w:rsidR="00A757A5" w:rsidRPr="00A757A5" w:rsidRDefault="005E1DE9" w:rsidP="005946AB">
                            <w:pPr>
                              <w:wordWrap w:val="0"/>
                              <w:spacing w:beforeLines="150" w:before="468"/>
                              <w:ind w:rightChars="70" w:right="147"/>
                              <w:jc w:val="right"/>
                              <w:rPr>
                                <w:rFonts w:ascii="楷体" w:eastAsia="楷体" w:hAnsi="楷体"/>
                                <w:b/>
                                <w:sz w:val="28"/>
                                <w:szCs w:val="21"/>
                              </w:rPr>
                            </w:pPr>
                            <w:r>
                              <w:rPr>
                                <w:rFonts w:ascii="楷体" w:eastAsia="楷体" w:hAnsi="楷体" w:cs="宋体-18030" w:hint="eastAsia"/>
                                <w:b/>
                                <w:color w:val="FFFFFF"/>
                                <w:sz w:val="30"/>
                                <w:szCs w:val="30"/>
                              </w:rPr>
                              <w:t>全球</w:t>
                            </w:r>
                            <w:r w:rsidRPr="00824667">
                              <w:rPr>
                                <w:rFonts w:ascii="楷体" w:eastAsia="楷体" w:hAnsi="楷体" w:cs="宋体-18030" w:hint="eastAsia"/>
                                <w:b/>
                                <w:color w:val="FFFFFF"/>
                                <w:sz w:val="30"/>
                                <w:szCs w:val="30"/>
                              </w:rPr>
                              <w:t>经济复苏不均衡</w:t>
                            </w:r>
                            <w:r w:rsidRPr="00FA0F99">
                              <w:rPr>
                                <w:rFonts w:ascii="楷体" w:eastAsia="楷体" w:hAnsi="楷体" w:cs="宋体-18030" w:hint="eastAsia"/>
                                <w:b/>
                                <w:color w:val="FFFFFF"/>
                                <w:sz w:val="30"/>
                                <w:szCs w:val="30"/>
                              </w:rPr>
                              <w:t>，</w:t>
                            </w:r>
                            <w:r>
                              <w:rPr>
                                <w:rFonts w:ascii="楷体" w:eastAsia="楷体" w:hAnsi="楷体" w:cs="宋体-18030" w:hint="eastAsia"/>
                                <w:b/>
                                <w:color w:val="FFFFFF"/>
                                <w:sz w:val="30"/>
                                <w:szCs w:val="30"/>
                              </w:rPr>
                              <w:t>把握热点</w:t>
                            </w:r>
                            <w:r w:rsidRPr="00FA0F99">
                              <w:rPr>
                                <w:rFonts w:ascii="楷体" w:eastAsia="楷体" w:hAnsi="楷体" w:cs="宋体-18030" w:hint="eastAsia"/>
                                <w:b/>
                                <w:color w:val="FFFFFF"/>
                                <w:sz w:val="30"/>
                                <w:szCs w:val="30"/>
                              </w:rPr>
                              <w:t>适度进取</w:t>
                            </w:r>
                          </w:p>
                          <w:p w:rsidR="005E1DE9" w:rsidRPr="00AF7DC8" w:rsidRDefault="005E1DE9" w:rsidP="00A757A5">
                            <w:pPr>
                              <w:ind w:right="210"/>
                              <w:jc w:val="right"/>
                              <w:rPr>
                                <w:rFonts w:ascii="黑体" w:eastAsia="黑体" w:hAnsi="宋体" w:cs="宋体-18030"/>
                                <w:b/>
                                <w:color w:val="FFFFFF"/>
                                <w:sz w:val="30"/>
                                <w:szCs w:val="30"/>
                              </w:rPr>
                            </w:pPr>
                            <w:r w:rsidRPr="00FA0F99">
                              <w:rPr>
                                <w:rFonts w:ascii="楷体" w:eastAsia="楷体" w:hAnsi="楷体" w:hint="eastAsia"/>
                                <w:b/>
                                <w:szCs w:val="21"/>
                              </w:rPr>
                              <w:t>--</w:t>
                            </w:r>
                            <w:r w:rsidRPr="00FA0F99">
                              <w:rPr>
                                <w:rFonts w:ascii="楷体" w:eastAsia="楷体" w:hAnsi="楷体" w:hint="eastAsia"/>
                              </w:rPr>
                              <w:t xml:space="preserve"> </w:t>
                            </w:r>
                            <w:r w:rsidRPr="00FA0F99">
                              <w:rPr>
                                <w:rFonts w:ascii="楷体" w:eastAsia="楷体" w:hAnsi="楷体" w:hint="eastAsia"/>
                                <w:b/>
                                <w:szCs w:val="21"/>
                              </w:rPr>
                              <w:t>2016年1月基金投资策略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3.5pt;margin-top:-98.85pt;width:422.85pt;height:17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" fillcolor="#00326e" stroked="f">
                <v:textbox>
                  <w:txbxContent>
                    <w:p w:rsidR="005E1DE9" w:rsidRDefault="005E1DE9" w:rsidP="009A18F4">
                      <w:pPr>
                        <w:rPr>
                          <w:rFonts w:ascii="宋体-18030" w:eastAsia="宋体-18030" w:hAnsi="宋体-18030" w:cs="宋体-18030"/>
                          <w:szCs w:val="21"/>
                        </w:rPr>
                      </w:pPr>
                    </w:p>
                    <w:p w:rsidR="005E1DE9" w:rsidRDefault="005E1DE9" w:rsidP="009A18F4">
                      <w:pPr>
                        <w:rPr>
                          <w:rFonts w:ascii="宋体-18030" w:eastAsia="宋体-18030" w:hAnsi="宋体-18030" w:cs="宋体-18030"/>
                          <w:szCs w:val="21"/>
                        </w:rPr>
                      </w:pPr>
                    </w:p>
                    <w:p w:rsidR="005E1DE9" w:rsidRDefault="005E1DE9" w:rsidP="009A18F4">
                      <w:pPr>
                        <w:rPr>
                          <w:rFonts w:ascii="宋体-18030" w:eastAsia="宋体-18030" w:hAnsi="宋体-18030" w:cs="宋体-18030"/>
                          <w:szCs w:val="21"/>
                        </w:rPr>
                      </w:pPr>
                    </w:p>
                    <w:p w:rsidR="00A757A5" w:rsidRPr="00A757A5" w:rsidRDefault="005E1DE9" w:rsidP="005946AB">
                      <w:pPr>
                        <w:wordWrap w:val="0"/>
                        <w:spacing w:beforeLines="150" w:before="468"/>
                        <w:ind w:rightChars="70" w:right="147"/>
                        <w:jc w:val="right"/>
                        <w:rPr>
                          <w:rFonts w:ascii="楷体" w:eastAsia="楷体" w:hAnsi="楷体"/>
                          <w:b/>
                          <w:sz w:val="28"/>
                          <w:szCs w:val="21"/>
                        </w:rPr>
                      </w:pPr>
                      <w:r>
                        <w:rPr>
                          <w:rFonts w:ascii="楷体" w:eastAsia="楷体" w:hAnsi="楷体" w:cs="宋体-18030" w:hint="eastAsia"/>
                          <w:b/>
                          <w:color w:val="FFFFFF"/>
                          <w:sz w:val="30"/>
                          <w:szCs w:val="30"/>
                        </w:rPr>
                        <w:t>全球</w:t>
                      </w:r>
                      <w:r w:rsidRPr="00824667">
                        <w:rPr>
                          <w:rFonts w:ascii="楷体" w:eastAsia="楷体" w:hAnsi="楷体" w:cs="宋体-18030" w:hint="eastAsia"/>
                          <w:b/>
                          <w:color w:val="FFFFFF"/>
                          <w:sz w:val="30"/>
                          <w:szCs w:val="30"/>
                        </w:rPr>
                        <w:t>经济复苏不均衡</w:t>
                      </w:r>
                      <w:r w:rsidRPr="00FA0F99">
                        <w:rPr>
                          <w:rFonts w:ascii="楷体" w:eastAsia="楷体" w:hAnsi="楷体" w:cs="宋体-18030" w:hint="eastAsia"/>
                          <w:b/>
                          <w:color w:val="FFFFFF"/>
                          <w:sz w:val="30"/>
                          <w:szCs w:val="30"/>
                        </w:rPr>
                        <w:t>，</w:t>
                      </w:r>
                      <w:r>
                        <w:rPr>
                          <w:rFonts w:ascii="楷体" w:eastAsia="楷体" w:hAnsi="楷体" w:cs="宋体-18030" w:hint="eastAsia"/>
                          <w:b/>
                          <w:color w:val="FFFFFF"/>
                          <w:sz w:val="30"/>
                          <w:szCs w:val="30"/>
                        </w:rPr>
                        <w:t>把握热点</w:t>
                      </w:r>
                      <w:r w:rsidRPr="00FA0F99">
                        <w:rPr>
                          <w:rFonts w:ascii="楷体" w:eastAsia="楷体" w:hAnsi="楷体" w:cs="宋体-18030" w:hint="eastAsia"/>
                          <w:b/>
                          <w:color w:val="FFFFFF"/>
                          <w:sz w:val="30"/>
                          <w:szCs w:val="30"/>
                        </w:rPr>
                        <w:t>适度进取</w:t>
                      </w:r>
                    </w:p>
                    <w:p w:rsidR="005E1DE9" w:rsidRPr="00AF7DC8" w:rsidRDefault="005E1DE9" w:rsidP="00A757A5">
                      <w:pPr>
                        <w:ind w:right="210"/>
                        <w:jc w:val="right"/>
                        <w:rPr>
                          <w:rFonts w:ascii="黑体" w:eastAsia="黑体" w:hAnsi="宋体" w:cs="宋体-18030"/>
                          <w:b/>
                          <w:color w:val="FFFFFF"/>
                          <w:sz w:val="30"/>
                          <w:szCs w:val="30"/>
                        </w:rPr>
                      </w:pPr>
                      <w:r w:rsidRPr="00FA0F99">
                        <w:rPr>
                          <w:rFonts w:ascii="楷体" w:eastAsia="楷体" w:hAnsi="楷体" w:hint="eastAsia"/>
                          <w:b/>
                          <w:szCs w:val="21"/>
                        </w:rPr>
                        <w:t>--</w:t>
                      </w:r>
                      <w:r w:rsidRPr="00FA0F99">
                        <w:rPr>
                          <w:rFonts w:ascii="楷体" w:eastAsia="楷体" w:hAnsi="楷体" w:hint="eastAsia"/>
                        </w:rPr>
                        <w:t xml:space="preserve"> </w:t>
                      </w:r>
                      <w:r w:rsidRPr="00FA0F99">
                        <w:rPr>
                          <w:rFonts w:ascii="楷体" w:eastAsia="楷体" w:hAnsi="楷体" w:hint="eastAsia"/>
                          <w:b/>
                          <w:szCs w:val="21"/>
                        </w:rPr>
                        <w:t>2016年1月基金投资策略</w:t>
                      </w:r>
                    </w:p>
                  </w:txbxContent>
                </v:textbox>
              </v:shape>
            </w:pict>
          </mc:Fallback>
        </mc:AlternateContent>
      </w:r>
      <w:r w:rsidR="00BF4BDC">
        <w:rPr>
          <w:rFonts w:ascii="黑体" w:eastAsia="黑体" w:hAnsi="宋体"/>
          <w:b/>
          <w:color w:val="003366"/>
          <w:sz w:val="24"/>
        </w:rPr>
        <w:br/>
      </w:r>
    </w:p>
    <w:p w:rsidR="00BF4BDC" w:rsidRDefault="00BF4BDC" w:rsidP="009A18F4">
      <w:pPr>
        <w:numPr>
          <w:ilvl w:val="0"/>
          <w:numId w:val="2"/>
        </w:numPr>
        <w:spacing w:line="360" w:lineRule="auto"/>
        <w:rPr>
          <w:rFonts w:ascii="黑体" w:eastAsia="黑体" w:hAnsi="宋体"/>
          <w:b/>
          <w:color w:val="003366"/>
          <w:sz w:val="24"/>
        </w:rPr>
      </w:pPr>
    </w:p>
    <w:p w:rsidR="00BF4BDC" w:rsidRDefault="00BF4BDC" w:rsidP="00BF4BDC">
      <w:pPr>
        <w:rPr>
          <w:rFonts w:ascii="黑体" w:eastAsia="黑体" w:hAnsi="宋体"/>
          <w:b/>
          <w:color w:val="003366"/>
          <w:sz w:val="24"/>
        </w:rPr>
      </w:pPr>
    </w:p>
    <w:p w:rsidR="009A18F4" w:rsidRPr="00AA6F17" w:rsidRDefault="009A18F4" w:rsidP="004A7F1B">
      <w:pPr>
        <w:numPr>
          <w:ilvl w:val="0"/>
          <w:numId w:val="2"/>
        </w:numPr>
        <w:ind w:left="487" w:hangingChars="202" w:hanging="487"/>
        <w:rPr>
          <w:rFonts w:ascii="楷体" w:eastAsia="楷体" w:hAnsi="楷体"/>
          <w:b/>
          <w:color w:val="003366"/>
          <w:sz w:val="24"/>
        </w:rPr>
      </w:pPr>
      <w:r w:rsidRPr="00AA6F17">
        <w:rPr>
          <w:rFonts w:ascii="楷体" w:eastAsia="楷体" w:hAnsi="楷体" w:hint="eastAsia"/>
          <w:b/>
          <w:color w:val="003366"/>
          <w:sz w:val="24"/>
        </w:rPr>
        <w:t>主要观点：</w:t>
      </w:r>
    </w:p>
    <w:p w:rsidR="005C194A" w:rsidRPr="00AA6F17" w:rsidRDefault="00AA6F17" w:rsidP="00732C2D">
      <w:pPr>
        <w:numPr>
          <w:ilvl w:val="0"/>
          <w:numId w:val="2"/>
        </w:numPr>
        <w:spacing w:beforeLines="50" w:before="156" w:afterLines="50" w:after="156"/>
        <w:ind w:left="426" w:hangingChars="202" w:hanging="426"/>
        <w:rPr>
          <w:rFonts w:ascii="楷体" w:eastAsia="楷体" w:hAnsi="楷体" w:cs="宋体-18030"/>
          <w:b/>
          <w:bCs/>
          <w:color w:val="003366"/>
          <w:kern w:val="44"/>
          <w:szCs w:val="21"/>
        </w:rPr>
      </w:pPr>
      <w:r w:rsidRPr="00AA6F17">
        <w:rPr>
          <w:rFonts w:ascii="楷体" w:eastAsia="楷体" w:hAnsi="楷体" w:cs="宋体-18030" w:hint="eastAsia"/>
          <w:b/>
          <w:bCs/>
          <w:color w:val="003366"/>
          <w:kern w:val="44"/>
          <w:szCs w:val="21"/>
        </w:rPr>
        <w:t>货币政策分化加剧</w:t>
      </w:r>
      <w:r w:rsidR="00824667">
        <w:rPr>
          <w:rFonts w:ascii="楷体" w:eastAsia="楷体" w:hAnsi="楷体" w:cs="宋体-18030" w:hint="eastAsia"/>
          <w:b/>
          <w:bCs/>
          <w:color w:val="003366"/>
          <w:kern w:val="44"/>
          <w:szCs w:val="21"/>
        </w:rPr>
        <w:t>，</w:t>
      </w:r>
      <w:r w:rsidR="008735FF">
        <w:rPr>
          <w:rFonts w:ascii="楷体" w:eastAsia="楷体" w:hAnsi="楷体" w:cs="宋体-18030" w:hint="eastAsia"/>
          <w:b/>
          <w:bCs/>
          <w:color w:val="003366"/>
          <w:kern w:val="44"/>
          <w:szCs w:val="21"/>
        </w:rPr>
        <w:t>全球</w:t>
      </w:r>
      <w:r w:rsidR="00824667">
        <w:rPr>
          <w:rFonts w:ascii="楷体" w:eastAsia="楷体" w:hAnsi="楷体" w:cs="宋体-18030" w:hint="eastAsia"/>
          <w:b/>
          <w:bCs/>
          <w:color w:val="003366"/>
          <w:kern w:val="44"/>
          <w:szCs w:val="21"/>
        </w:rPr>
        <w:t>经济复苏不均衡</w:t>
      </w:r>
    </w:p>
    <w:p w:rsidR="001548DA" w:rsidRPr="001548DA" w:rsidRDefault="001548DA" w:rsidP="001548DA">
      <w:pPr>
        <w:snapToGrid w:val="0"/>
        <w:spacing w:line="276" w:lineRule="auto"/>
        <w:ind w:firstLine="420"/>
        <w:contextualSpacing/>
        <w:rPr>
          <w:rFonts w:ascii="楷体_GB2312" w:eastAsia="楷体_GB2312" w:hAnsi="宋体" w:cs="宋体"/>
          <w:kern w:val="0"/>
          <w:szCs w:val="21"/>
        </w:rPr>
      </w:pPr>
      <w:r w:rsidRPr="001548DA">
        <w:rPr>
          <w:rFonts w:ascii="楷体_GB2312" w:eastAsia="楷体_GB2312" w:hAnsi="宋体" w:cs="宋体" w:hint="eastAsia"/>
          <w:kern w:val="0"/>
          <w:szCs w:val="21"/>
        </w:rPr>
        <w:t>本月17日美联储自08年金融危机以来首次加息，并明确未来加息路径，标志着美国重启加息周期</w:t>
      </w:r>
      <w:r w:rsidR="00610107">
        <w:rPr>
          <w:rFonts w:ascii="楷体_GB2312" w:eastAsia="楷体_GB2312" w:hAnsi="宋体" w:cs="宋体" w:hint="eastAsia"/>
          <w:kern w:val="0"/>
          <w:szCs w:val="21"/>
        </w:rPr>
        <w:t>。</w:t>
      </w:r>
      <w:r w:rsidRPr="001548DA">
        <w:rPr>
          <w:rFonts w:ascii="楷体_GB2312" w:eastAsia="楷体_GB2312" w:hAnsi="宋体" w:cs="宋体" w:hint="eastAsia"/>
          <w:kern w:val="0"/>
          <w:szCs w:val="21"/>
        </w:rPr>
        <w:t>尽管</w:t>
      </w:r>
      <w:r w:rsidR="00671635">
        <w:rPr>
          <w:rFonts w:ascii="楷体_GB2312" w:eastAsia="楷体_GB2312" w:hAnsi="宋体" w:cs="宋体" w:hint="eastAsia"/>
          <w:kern w:val="0"/>
          <w:szCs w:val="21"/>
        </w:rPr>
        <w:t>如此</w:t>
      </w:r>
      <w:r w:rsidRPr="001548DA">
        <w:rPr>
          <w:rFonts w:ascii="楷体_GB2312" w:eastAsia="楷体_GB2312" w:hAnsi="宋体" w:cs="宋体" w:hint="eastAsia"/>
          <w:kern w:val="0"/>
          <w:szCs w:val="21"/>
        </w:rPr>
        <w:t>，</w:t>
      </w:r>
      <w:proofErr w:type="gramStart"/>
      <w:r w:rsidRPr="001548DA">
        <w:rPr>
          <w:rFonts w:ascii="楷体_GB2312" w:eastAsia="楷体_GB2312" w:hAnsi="宋体" w:cs="宋体" w:hint="eastAsia"/>
          <w:kern w:val="0"/>
          <w:szCs w:val="21"/>
        </w:rPr>
        <w:t>耶伦多次</w:t>
      </w:r>
      <w:proofErr w:type="gramEnd"/>
      <w:r w:rsidRPr="001548DA">
        <w:rPr>
          <w:rFonts w:ascii="楷体_GB2312" w:eastAsia="楷体_GB2312" w:hAnsi="宋体" w:cs="宋体" w:hint="eastAsia"/>
          <w:kern w:val="0"/>
          <w:szCs w:val="21"/>
        </w:rPr>
        <w:t>释放鸽</w:t>
      </w:r>
      <w:bookmarkStart w:id="0" w:name="_GoBack"/>
      <w:bookmarkEnd w:id="0"/>
      <w:r w:rsidRPr="001548DA">
        <w:rPr>
          <w:rFonts w:ascii="楷体_GB2312" w:eastAsia="楷体_GB2312" w:hAnsi="宋体" w:cs="宋体" w:hint="eastAsia"/>
          <w:kern w:val="0"/>
          <w:szCs w:val="21"/>
        </w:rPr>
        <w:t>派信号，强调宽松仍是主题</w:t>
      </w:r>
      <w:r w:rsidR="002E3FF3">
        <w:rPr>
          <w:rFonts w:ascii="楷体_GB2312" w:eastAsia="楷体_GB2312" w:hAnsi="宋体" w:cs="宋体" w:hint="eastAsia"/>
          <w:kern w:val="0"/>
          <w:szCs w:val="21"/>
        </w:rPr>
        <w:t>，市场也普遍认为加息并不意味着紧缩的开始。</w:t>
      </w:r>
      <w:r w:rsidRPr="001548DA">
        <w:rPr>
          <w:rFonts w:ascii="楷体_GB2312" w:eastAsia="楷体_GB2312" w:hAnsi="宋体" w:cs="宋体" w:hint="eastAsia"/>
          <w:kern w:val="0"/>
          <w:szCs w:val="21"/>
        </w:rPr>
        <w:t>同时，本月欧洲央行继续</w:t>
      </w:r>
      <w:r w:rsidR="001B0FD3">
        <w:rPr>
          <w:rFonts w:ascii="楷体_GB2312" w:eastAsia="楷体_GB2312" w:hAnsi="宋体" w:cs="宋体" w:hint="eastAsia"/>
          <w:kern w:val="0"/>
          <w:szCs w:val="21"/>
        </w:rPr>
        <w:t>实施资产购买计划（QE</w:t>
      </w:r>
      <w:r w:rsidR="001B0FD3">
        <w:rPr>
          <w:rFonts w:ascii="楷体_GB2312" w:eastAsia="楷体_GB2312" w:hAnsi="宋体" w:cs="宋体"/>
          <w:kern w:val="0"/>
          <w:szCs w:val="21"/>
        </w:rPr>
        <w:t xml:space="preserve"> 2</w:t>
      </w:r>
      <w:r w:rsidR="009F2449">
        <w:rPr>
          <w:rFonts w:ascii="楷体_GB2312" w:eastAsia="楷体_GB2312" w:hAnsi="宋体" w:cs="宋体" w:hint="eastAsia"/>
          <w:kern w:val="0"/>
          <w:szCs w:val="21"/>
        </w:rPr>
        <w:t>）</w:t>
      </w:r>
      <w:r w:rsidRPr="001548DA">
        <w:rPr>
          <w:rFonts w:ascii="楷体_GB2312" w:eastAsia="楷体_GB2312" w:hAnsi="宋体" w:cs="宋体" w:hint="eastAsia"/>
          <w:kern w:val="0"/>
          <w:szCs w:val="21"/>
        </w:rPr>
        <w:t>，</w:t>
      </w:r>
      <w:r w:rsidR="009F2449">
        <w:rPr>
          <w:rFonts w:ascii="楷体_GB2312" w:eastAsia="楷体_GB2312" w:hAnsi="宋体" w:cs="宋体" w:hint="eastAsia"/>
          <w:kern w:val="0"/>
          <w:szCs w:val="21"/>
        </w:rPr>
        <w:t>购买规模</w:t>
      </w:r>
      <w:r w:rsidR="00732C2D">
        <w:rPr>
          <w:rFonts w:ascii="楷体_GB2312" w:eastAsia="楷体_GB2312" w:hAnsi="宋体" w:cs="宋体" w:hint="eastAsia"/>
          <w:kern w:val="0"/>
          <w:szCs w:val="21"/>
        </w:rPr>
        <w:t>保持不变的决定</w:t>
      </w:r>
      <w:r w:rsidR="009F2449">
        <w:rPr>
          <w:rFonts w:ascii="楷体_GB2312" w:eastAsia="楷体_GB2312" w:hAnsi="宋体" w:cs="宋体" w:hint="eastAsia"/>
          <w:kern w:val="0"/>
          <w:szCs w:val="21"/>
        </w:rPr>
        <w:t>低于预期</w:t>
      </w:r>
      <w:r w:rsidR="00824667">
        <w:rPr>
          <w:rFonts w:ascii="楷体_GB2312" w:eastAsia="楷体_GB2312" w:hAnsi="宋体" w:cs="宋体" w:hint="eastAsia"/>
          <w:kern w:val="0"/>
          <w:szCs w:val="21"/>
        </w:rPr>
        <w:t>，</w:t>
      </w:r>
      <w:r w:rsidR="002E3FF3">
        <w:rPr>
          <w:rFonts w:ascii="楷体_GB2312" w:eastAsia="楷体_GB2312" w:hAnsi="宋体" w:cs="宋体" w:hint="eastAsia"/>
          <w:kern w:val="0"/>
          <w:szCs w:val="21"/>
        </w:rPr>
        <w:t>市场</w:t>
      </w:r>
      <w:r w:rsidR="009F2449">
        <w:rPr>
          <w:rFonts w:ascii="楷体_GB2312" w:eastAsia="楷体_GB2312" w:hAnsi="宋体" w:cs="宋体" w:hint="eastAsia"/>
          <w:kern w:val="0"/>
          <w:szCs w:val="21"/>
        </w:rPr>
        <w:t>普遍</w:t>
      </w:r>
      <w:r w:rsidR="002E3FF3">
        <w:rPr>
          <w:rFonts w:ascii="楷体_GB2312" w:eastAsia="楷体_GB2312" w:hAnsi="宋体" w:cs="宋体" w:hint="eastAsia"/>
          <w:kern w:val="0"/>
          <w:szCs w:val="21"/>
        </w:rPr>
        <w:t>认为</w:t>
      </w:r>
      <w:r w:rsidRPr="001548DA">
        <w:rPr>
          <w:rFonts w:ascii="楷体_GB2312" w:eastAsia="楷体_GB2312" w:hAnsi="宋体" w:cs="宋体" w:hint="eastAsia"/>
          <w:kern w:val="0"/>
          <w:szCs w:val="21"/>
        </w:rPr>
        <w:t>欧元区</w:t>
      </w:r>
      <w:r w:rsidR="00732C2D">
        <w:rPr>
          <w:rFonts w:ascii="楷体_GB2312" w:eastAsia="楷体_GB2312" w:hAnsi="宋体" w:cs="宋体" w:hint="eastAsia"/>
          <w:kern w:val="0"/>
          <w:szCs w:val="21"/>
        </w:rPr>
        <w:t>复苏</w:t>
      </w:r>
      <w:r w:rsidR="002E3FF3">
        <w:rPr>
          <w:rFonts w:ascii="楷体_GB2312" w:eastAsia="楷体_GB2312" w:hAnsi="宋体" w:cs="宋体" w:hint="eastAsia"/>
          <w:kern w:val="0"/>
          <w:szCs w:val="21"/>
        </w:rPr>
        <w:t>将</w:t>
      </w:r>
      <w:r w:rsidR="009F2449">
        <w:rPr>
          <w:rFonts w:ascii="楷体_GB2312" w:eastAsia="楷体_GB2312" w:hAnsi="宋体" w:cs="宋体" w:hint="eastAsia"/>
          <w:kern w:val="0"/>
          <w:szCs w:val="21"/>
        </w:rPr>
        <w:t>维持缓慢而持续</w:t>
      </w:r>
      <w:r w:rsidRPr="001548DA">
        <w:rPr>
          <w:rFonts w:ascii="楷体_GB2312" w:eastAsia="楷体_GB2312" w:hAnsi="宋体" w:cs="宋体" w:hint="eastAsia"/>
          <w:kern w:val="0"/>
          <w:szCs w:val="21"/>
        </w:rPr>
        <w:t>。</w:t>
      </w:r>
    </w:p>
    <w:p w:rsidR="001548DA" w:rsidRPr="001548DA" w:rsidRDefault="001548DA" w:rsidP="001548DA">
      <w:pPr>
        <w:snapToGrid w:val="0"/>
        <w:spacing w:line="276" w:lineRule="auto"/>
        <w:ind w:firstLine="420"/>
        <w:contextualSpacing/>
        <w:rPr>
          <w:rFonts w:ascii="楷体_GB2312" w:eastAsia="楷体_GB2312" w:hAnsi="宋体" w:cs="宋体"/>
          <w:kern w:val="0"/>
          <w:szCs w:val="21"/>
        </w:rPr>
      </w:pPr>
      <w:r w:rsidRPr="001548DA">
        <w:rPr>
          <w:rFonts w:ascii="楷体_GB2312" w:eastAsia="楷体_GB2312" w:hAnsi="宋体" w:cs="宋体" w:hint="eastAsia"/>
          <w:kern w:val="0"/>
          <w:szCs w:val="21"/>
        </w:rPr>
        <w:t>新兴市场国</w:t>
      </w:r>
      <w:r>
        <w:rPr>
          <w:rFonts w:ascii="楷体_GB2312" w:eastAsia="楷体_GB2312" w:hAnsi="宋体" w:cs="宋体" w:hint="eastAsia"/>
          <w:kern w:val="0"/>
          <w:szCs w:val="21"/>
        </w:rPr>
        <w:t>家自身经济缺乏新增长点，受累于全球经济低迷其外向型经济难以为继。</w:t>
      </w:r>
      <w:r w:rsidRPr="001548DA">
        <w:rPr>
          <w:rFonts w:ascii="楷体_GB2312" w:eastAsia="楷体_GB2312" w:hAnsi="宋体" w:cs="宋体" w:hint="eastAsia"/>
          <w:kern w:val="0"/>
          <w:szCs w:val="21"/>
        </w:rPr>
        <w:t>中国</w:t>
      </w:r>
      <w:r w:rsidR="00B771D3">
        <w:rPr>
          <w:rFonts w:ascii="楷体_GB2312" w:eastAsia="楷体_GB2312" w:hAnsi="宋体" w:cs="宋体" w:hint="eastAsia"/>
          <w:kern w:val="0"/>
          <w:szCs w:val="21"/>
        </w:rPr>
        <w:t>也不例外，</w:t>
      </w:r>
      <w:r w:rsidRPr="001548DA">
        <w:rPr>
          <w:rFonts w:ascii="楷体_GB2312" w:eastAsia="楷体_GB2312" w:hAnsi="宋体" w:cs="宋体" w:hint="eastAsia"/>
          <w:kern w:val="0"/>
          <w:szCs w:val="21"/>
        </w:rPr>
        <w:t>经济增速换挡</w:t>
      </w:r>
      <w:r w:rsidR="00732C2D">
        <w:rPr>
          <w:rFonts w:ascii="楷体_GB2312" w:eastAsia="楷体_GB2312" w:hAnsi="宋体" w:cs="宋体" w:hint="eastAsia"/>
          <w:kern w:val="0"/>
          <w:szCs w:val="21"/>
        </w:rPr>
        <w:t>。但近期的数据显示中国经济</w:t>
      </w:r>
      <w:r w:rsidR="002E3FF3">
        <w:rPr>
          <w:rFonts w:ascii="楷体_GB2312" w:eastAsia="楷体_GB2312" w:hAnsi="宋体" w:cs="宋体" w:hint="eastAsia"/>
          <w:kern w:val="0"/>
          <w:szCs w:val="21"/>
        </w:rPr>
        <w:t>有</w:t>
      </w:r>
      <w:r w:rsidR="00B771D3">
        <w:rPr>
          <w:rFonts w:ascii="楷体_GB2312" w:eastAsia="楷体_GB2312" w:hAnsi="宋体" w:cs="宋体" w:hint="eastAsia"/>
          <w:kern w:val="0"/>
          <w:szCs w:val="21"/>
        </w:rPr>
        <w:t>企稳迹象</w:t>
      </w:r>
      <w:r w:rsidR="002E3FF3">
        <w:rPr>
          <w:rFonts w:ascii="楷体_GB2312" w:eastAsia="楷体_GB2312" w:hAnsi="宋体" w:cs="宋体" w:hint="eastAsia"/>
          <w:kern w:val="0"/>
          <w:szCs w:val="21"/>
        </w:rPr>
        <w:t>，</w:t>
      </w:r>
      <w:r w:rsidR="00B771D3" w:rsidRPr="001548DA">
        <w:rPr>
          <w:rFonts w:ascii="楷体_GB2312" w:eastAsia="楷体_GB2312" w:hAnsi="宋体" w:cs="宋体" w:hint="eastAsia"/>
          <w:kern w:val="0"/>
          <w:szCs w:val="21"/>
        </w:rPr>
        <w:t>政策效应陆续显现。</w:t>
      </w:r>
      <w:r w:rsidRPr="001548DA">
        <w:rPr>
          <w:rFonts w:ascii="楷体_GB2312" w:eastAsia="楷体_GB2312" w:hAnsi="宋体" w:cs="宋体" w:hint="eastAsia"/>
          <w:kern w:val="0"/>
          <w:szCs w:val="21"/>
        </w:rPr>
        <w:t>数据显示，</w:t>
      </w:r>
      <w:r w:rsidR="00B771D3" w:rsidRPr="001548DA">
        <w:rPr>
          <w:rFonts w:ascii="楷体_GB2312" w:eastAsia="楷体_GB2312" w:hAnsi="宋体" w:cs="宋体" w:hint="eastAsia"/>
          <w:kern w:val="0"/>
          <w:szCs w:val="21"/>
        </w:rPr>
        <w:t>11月份</w:t>
      </w:r>
      <w:r w:rsidRPr="001548DA">
        <w:rPr>
          <w:rFonts w:ascii="楷体_GB2312" w:eastAsia="楷体_GB2312" w:hAnsi="宋体" w:cs="宋体" w:hint="eastAsia"/>
          <w:kern w:val="0"/>
          <w:szCs w:val="21"/>
        </w:rPr>
        <w:t>工业企业利润</w:t>
      </w:r>
      <w:proofErr w:type="gramStart"/>
      <w:r w:rsidRPr="001548DA">
        <w:rPr>
          <w:rFonts w:ascii="楷体_GB2312" w:eastAsia="楷体_GB2312" w:hAnsi="宋体" w:cs="宋体" w:hint="eastAsia"/>
          <w:kern w:val="0"/>
          <w:szCs w:val="21"/>
        </w:rPr>
        <w:t>降幅收</w:t>
      </w:r>
      <w:proofErr w:type="gramEnd"/>
      <w:r w:rsidRPr="001548DA">
        <w:rPr>
          <w:rFonts w:ascii="楷体_GB2312" w:eastAsia="楷体_GB2312" w:hAnsi="宋体" w:cs="宋体" w:hint="eastAsia"/>
          <w:kern w:val="0"/>
          <w:szCs w:val="21"/>
        </w:rPr>
        <w:t>窄，居民消费价格同比上涨</w:t>
      </w:r>
      <w:r w:rsidR="00732C2D">
        <w:rPr>
          <w:rFonts w:ascii="楷体_GB2312" w:eastAsia="楷体_GB2312" w:hAnsi="宋体" w:cs="宋体" w:hint="eastAsia"/>
          <w:kern w:val="0"/>
          <w:szCs w:val="21"/>
        </w:rPr>
        <w:t>表明</w:t>
      </w:r>
      <w:r w:rsidR="002E3FF3">
        <w:rPr>
          <w:rFonts w:ascii="楷体_GB2312" w:eastAsia="楷体_GB2312" w:hAnsi="宋体" w:cs="宋体" w:hint="eastAsia"/>
          <w:kern w:val="0"/>
          <w:szCs w:val="21"/>
        </w:rPr>
        <w:t>通</w:t>
      </w:r>
      <w:proofErr w:type="gramStart"/>
      <w:r w:rsidR="002E3FF3">
        <w:rPr>
          <w:rFonts w:ascii="楷体_GB2312" w:eastAsia="楷体_GB2312" w:hAnsi="宋体" w:cs="宋体" w:hint="eastAsia"/>
          <w:kern w:val="0"/>
          <w:szCs w:val="21"/>
        </w:rPr>
        <w:t>缩</w:t>
      </w:r>
      <w:r w:rsidR="00824667">
        <w:rPr>
          <w:rFonts w:ascii="楷体_GB2312" w:eastAsia="楷体_GB2312" w:hAnsi="宋体" w:cs="宋体" w:hint="eastAsia"/>
          <w:kern w:val="0"/>
          <w:szCs w:val="21"/>
        </w:rPr>
        <w:t>危机</w:t>
      </w:r>
      <w:proofErr w:type="gramEnd"/>
      <w:r w:rsidR="00824667">
        <w:rPr>
          <w:rFonts w:ascii="楷体_GB2312" w:eastAsia="楷体_GB2312" w:hAnsi="宋体" w:cs="宋体" w:hint="eastAsia"/>
          <w:kern w:val="0"/>
          <w:szCs w:val="21"/>
        </w:rPr>
        <w:t>缓解</w:t>
      </w:r>
      <w:r w:rsidR="002E3FF3">
        <w:rPr>
          <w:rFonts w:ascii="楷体_GB2312" w:eastAsia="楷体_GB2312" w:hAnsi="宋体" w:cs="宋体" w:hint="eastAsia"/>
          <w:kern w:val="0"/>
          <w:szCs w:val="21"/>
        </w:rPr>
        <w:t>，</w:t>
      </w:r>
      <w:r w:rsidRPr="001548DA">
        <w:rPr>
          <w:rFonts w:ascii="楷体_GB2312" w:eastAsia="楷体_GB2312" w:hAnsi="宋体" w:cs="宋体" w:hint="eastAsia"/>
          <w:kern w:val="0"/>
          <w:szCs w:val="21"/>
        </w:rPr>
        <w:t>出口降幅明显收窄</w:t>
      </w:r>
      <w:r w:rsidR="00B771D3">
        <w:rPr>
          <w:rFonts w:ascii="楷体_GB2312" w:eastAsia="楷体_GB2312" w:hAnsi="宋体" w:cs="宋体" w:hint="eastAsia"/>
          <w:kern w:val="0"/>
          <w:szCs w:val="21"/>
        </w:rPr>
        <w:t>。</w:t>
      </w:r>
    </w:p>
    <w:p w:rsidR="00FD2341" w:rsidRPr="00FD2341" w:rsidRDefault="001548DA" w:rsidP="001548DA">
      <w:pPr>
        <w:snapToGrid w:val="0"/>
        <w:spacing w:line="276" w:lineRule="auto"/>
        <w:ind w:firstLine="420"/>
        <w:contextualSpacing/>
        <w:rPr>
          <w:rFonts w:ascii="楷体_GB2312" w:eastAsia="楷体_GB2312" w:hAnsi="宋体" w:cs="宋体"/>
          <w:kern w:val="0"/>
          <w:szCs w:val="21"/>
        </w:rPr>
      </w:pPr>
      <w:r w:rsidRPr="001548DA">
        <w:rPr>
          <w:rFonts w:ascii="楷体_GB2312" w:eastAsia="楷体_GB2312" w:hAnsi="宋体" w:cs="宋体" w:hint="eastAsia"/>
          <w:kern w:val="0"/>
          <w:szCs w:val="21"/>
        </w:rPr>
        <w:t>资产配置方面，我们认为市场整体性投资机会相对匮乏，国内</w:t>
      </w:r>
      <w:proofErr w:type="gramStart"/>
      <w:r w:rsidRPr="001548DA">
        <w:rPr>
          <w:rFonts w:ascii="楷体_GB2312" w:eastAsia="楷体_GB2312" w:hAnsi="宋体" w:cs="宋体" w:hint="eastAsia"/>
          <w:kern w:val="0"/>
          <w:szCs w:val="21"/>
        </w:rPr>
        <w:t>资产荒仍将</w:t>
      </w:r>
      <w:proofErr w:type="gramEnd"/>
      <w:r w:rsidRPr="001548DA">
        <w:rPr>
          <w:rFonts w:ascii="楷体_GB2312" w:eastAsia="楷体_GB2312" w:hAnsi="宋体" w:cs="宋体" w:hint="eastAsia"/>
          <w:kern w:val="0"/>
          <w:szCs w:val="21"/>
        </w:rPr>
        <w:t>延续，收益率中枢继续下行，金融产品正进入低收益时代。</w:t>
      </w:r>
      <w:proofErr w:type="gramStart"/>
      <w:r w:rsidRPr="001548DA">
        <w:rPr>
          <w:rFonts w:ascii="楷体_GB2312" w:eastAsia="楷体_GB2312" w:hAnsi="宋体" w:cs="宋体" w:hint="eastAsia"/>
          <w:kern w:val="0"/>
          <w:szCs w:val="21"/>
        </w:rPr>
        <w:t>目前宽货币</w:t>
      </w:r>
      <w:proofErr w:type="gramEnd"/>
      <w:r w:rsidRPr="001548DA">
        <w:rPr>
          <w:rFonts w:ascii="楷体_GB2312" w:eastAsia="楷体_GB2312" w:hAnsi="宋体" w:cs="宋体" w:hint="eastAsia"/>
          <w:kern w:val="0"/>
          <w:szCs w:val="21"/>
        </w:rPr>
        <w:t>环境和积极的改革预期将逐步修复风险偏好，有利于A股市场震荡上行。同时，万亿养老金</w:t>
      </w:r>
      <w:r w:rsidR="008735FF">
        <w:rPr>
          <w:rFonts w:ascii="楷体_GB2312" w:eastAsia="楷体_GB2312" w:hAnsi="宋体" w:cs="宋体" w:hint="eastAsia"/>
          <w:kern w:val="0"/>
          <w:szCs w:val="21"/>
        </w:rPr>
        <w:t>有望</w:t>
      </w:r>
      <w:r w:rsidR="008735FF">
        <w:rPr>
          <w:rFonts w:ascii="楷体_GB2312" w:eastAsia="楷体_GB2312" w:hAnsi="宋体" w:cs="宋体"/>
          <w:kern w:val="0"/>
          <w:szCs w:val="21"/>
        </w:rPr>
        <w:t>2016</w:t>
      </w:r>
      <w:r w:rsidR="008735FF">
        <w:rPr>
          <w:rFonts w:ascii="楷体_GB2312" w:eastAsia="楷体_GB2312" w:hAnsi="宋体" w:cs="宋体" w:hint="eastAsia"/>
          <w:kern w:val="0"/>
          <w:szCs w:val="21"/>
        </w:rPr>
        <w:t>年</w:t>
      </w:r>
      <w:r w:rsidRPr="001548DA">
        <w:rPr>
          <w:rFonts w:ascii="楷体_GB2312" w:eastAsia="楷体_GB2312" w:hAnsi="宋体" w:cs="宋体" w:hint="eastAsia"/>
          <w:kern w:val="0"/>
          <w:szCs w:val="21"/>
        </w:rPr>
        <w:t>入市意味着增量资金</w:t>
      </w:r>
      <w:r w:rsidR="008735FF">
        <w:rPr>
          <w:rFonts w:ascii="楷体_GB2312" w:eastAsia="楷体_GB2312" w:hAnsi="宋体" w:cs="宋体" w:hint="eastAsia"/>
          <w:kern w:val="0"/>
          <w:szCs w:val="21"/>
        </w:rPr>
        <w:t>或将</w:t>
      </w:r>
      <w:r w:rsidRPr="001548DA">
        <w:rPr>
          <w:rFonts w:ascii="楷体_GB2312" w:eastAsia="楷体_GB2312" w:hAnsi="宋体" w:cs="宋体" w:hint="eastAsia"/>
          <w:kern w:val="0"/>
          <w:szCs w:val="21"/>
        </w:rPr>
        <w:t>大踏步入场，</w:t>
      </w:r>
      <w:r w:rsidR="008735FF">
        <w:rPr>
          <w:rFonts w:ascii="楷体_GB2312" w:eastAsia="楷体_GB2312" w:hAnsi="宋体" w:cs="宋体" w:hint="eastAsia"/>
          <w:kern w:val="0"/>
          <w:szCs w:val="21"/>
        </w:rPr>
        <w:t>利好</w:t>
      </w:r>
      <w:r w:rsidRPr="001548DA">
        <w:rPr>
          <w:rFonts w:ascii="楷体_GB2312" w:eastAsia="楷体_GB2312" w:hAnsi="宋体" w:cs="宋体" w:hint="eastAsia"/>
          <w:kern w:val="0"/>
          <w:szCs w:val="21"/>
        </w:rPr>
        <w:t>A股市场。</w:t>
      </w:r>
    </w:p>
    <w:p w:rsidR="005C194A" w:rsidRPr="00AA6F17" w:rsidRDefault="00AA6F17" w:rsidP="00732C2D">
      <w:pPr>
        <w:numPr>
          <w:ilvl w:val="0"/>
          <w:numId w:val="2"/>
        </w:numPr>
        <w:spacing w:beforeLines="50" w:before="156" w:afterLines="50" w:after="156"/>
        <w:rPr>
          <w:rFonts w:ascii="楷体" w:eastAsia="楷体" w:hAnsi="楷体" w:cs="宋体-18030"/>
          <w:b/>
          <w:bCs/>
          <w:color w:val="003366"/>
          <w:kern w:val="44"/>
          <w:szCs w:val="21"/>
        </w:rPr>
      </w:pPr>
      <w:r w:rsidRPr="00AA6F17">
        <w:rPr>
          <w:rFonts w:ascii="楷体" w:eastAsia="楷体" w:hAnsi="楷体" w:cs="宋体-18030" w:hint="eastAsia"/>
          <w:b/>
          <w:bCs/>
          <w:color w:val="003366"/>
          <w:kern w:val="44"/>
          <w:szCs w:val="21"/>
        </w:rPr>
        <w:t>放眼海外资产，</w:t>
      </w:r>
      <w:r w:rsidR="00832319">
        <w:rPr>
          <w:rFonts w:ascii="楷体" w:eastAsia="楷体" w:hAnsi="楷体" w:cs="宋体-18030" w:hint="eastAsia"/>
          <w:b/>
          <w:bCs/>
          <w:color w:val="003366"/>
          <w:kern w:val="44"/>
          <w:szCs w:val="21"/>
        </w:rPr>
        <w:t>把握热点</w:t>
      </w:r>
      <w:r w:rsidRPr="00AA6F17">
        <w:rPr>
          <w:rFonts w:ascii="楷体" w:eastAsia="楷体" w:hAnsi="楷体" w:cs="宋体-18030" w:hint="eastAsia"/>
          <w:b/>
          <w:bCs/>
          <w:color w:val="003366"/>
          <w:kern w:val="44"/>
          <w:szCs w:val="21"/>
        </w:rPr>
        <w:t>适度进取</w:t>
      </w:r>
    </w:p>
    <w:p w:rsidR="001548DA" w:rsidRPr="00AD224C" w:rsidRDefault="00F31B25" w:rsidP="002E3FF3">
      <w:pPr>
        <w:snapToGrid w:val="0"/>
        <w:spacing w:line="276" w:lineRule="auto"/>
        <w:ind w:firstLine="420"/>
        <w:contextualSpacing/>
        <w:rPr>
          <w:rFonts w:ascii="楷体_GB2312" w:eastAsia="楷体_GB2312" w:hAnsi="宋体" w:cs="宋体"/>
          <w:kern w:val="0"/>
          <w:szCs w:val="21"/>
        </w:rPr>
      </w:pPr>
      <w:r w:rsidRPr="00AD224C">
        <w:rPr>
          <w:rFonts w:ascii="楷体_GB2312" w:eastAsia="楷体_GB2312" w:hAnsi="宋体" w:cs="宋体" w:hint="eastAsia"/>
          <w:kern w:val="0"/>
          <w:szCs w:val="21"/>
        </w:rPr>
        <w:t>海外方面，长期来看美元</w:t>
      </w:r>
      <w:r w:rsidR="002A68E6" w:rsidRPr="00AD224C">
        <w:rPr>
          <w:rFonts w:ascii="楷体_GB2312" w:eastAsia="楷体_GB2312" w:hAnsi="宋体" w:cs="宋体" w:hint="eastAsia"/>
          <w:kern w:val="0"/>
          <w:szCs w:val="21"/>
        </w:rPr>
        <w:t>有望</w:t>
      </w:r>
      <w:r w:rsidRPr="00AD224C">
        <w:rPr>
          <w:rFonts w:ascii="楷体_GB2312" w:eastAsia="楷体_GB2312" w:hAnsi="宋体" w:cs="宋体" w:hint="eastAsia"/>
          <w:kern w:val="0"/>
          <w:szCs w:val="21"/>
        </w:rPr>
        <w:t>持续走强，适当增配海外成熟市场</w:t>
      </w:r>
      <w:r w:rsidR="001B0FD3" w:rsidRPr="00AD224C">
        <w:rPr>
          <w:rFonts w:ascii="楷体_GB2312" w:eastAsia="楷体_GB2312" w:hAnsi="宋体" w:cs="宋体" w:hint="eastAsia"/>
          <w:kern w:val="0"/>
          <w:szCs w:val="21"/>
        </w:rPr>
        <w:t>或</w:t>
      </w:r>
      <w:r w:rsidRPr="00AD224C">
        <w:rPr>
          <w:rFonts w:ascii="楷体_GB2312" w:eastAsia="楷体_GB2312" w:hAnsi="宋体" w:cs="宋体" w:hint="eastAsia"/>
          <w:kern w:val="0"/>
          <w:szCs w:val="21"/>
        </w:rPr>
        <w:t>正当其时。</w:t>
      </w:r>
      <w:r w:rsidR="001548DA" w:rsidRPr="00AD224C">
        <w:rPr>
          <w:rFonts w:ascii="楷体_GB2312" w:eastAsia="楷体_GB2312" w:hAnsi="宋体" w:cs="宋体" w:hint="eastAsia"/>
          <w:kern w:val="0"/>
          <w:szCs w:val="21"/>
        </w:rPr>
        <w:t>国内</w:t>
      </w:r>
      <w:r w:rsidR="002A68E6" w:rsidRPr="00AD224C">
        <w:rPr>
          <w:rFonts w:ascii="楷体_GB2312" w:eastAsia="楷体_GB2312" w:hAnsi="宋体" w:cs="宋体" w:hint="eastAsia"/>
          <w:kern w:val="0"/>
          <w:szCs w:val="21"/>
        </w:rPr>
        <w:t>市场</w:t>
      </w:r>
      <w:r w:rsidR="00732C2D" w:rsidRPr="00732C2D">
        <w:rPr>
          <w:rFonts w:ascii="楷体_GB2312" w:eastAsia="楷体_GB2312" w:hAnsi="宋体" w:cs="宋体" w:hint="eastAsia"/>
          <w:kern w:val="0"/>
          <w:szCs w:val="21"/>
        </w:rPr>
        <w:t>短期</w:t>
      </w:r>
      <w:r w:rsidR="002A68E6" w:rsidRPr="00AD224C">
        <w:rPr>
          <w:rFonts w:ascii="楷体_GB2312" w:eastAsia="楷体_GB2312" w:hAnsi="宋体" w:cs="宋体" w:hint="eastAsia"/>
          <w:kern w:val="0"/>
          <w:szCs w:val="21"/>
        </w:rPr>
        <w:t>或出现波动但长期投资价值明显</w:t>
      </w:r>
      <w:r w:rsidR="00732C2D">
        <w:rPr>
          <w:rFonts w:ascii="楷体_GB2312" w:eastAsia="楷体_GB2312" w:hAnsi="宋体" w:cs="宋体" w:hint="eastAsia"/>
          <w:kern w:val="0"/>
          <w:szCs w:val="21"/>
        </w:rPr>
        <w:t>，资产配置的定位倾向于战略型</w:t>
      </w:r>
      <w:r w:rsidR="002E3FF3" w:rsidRPr="00AD224C">
        <w:rPr>
          <w:rFonts w:ascii="楷体_GB2312" w:eastAsia="楷体_GB2312" w:hAnsi="宋体" w:cs="宋体" w:hint="eastAsia"/>
          <w:kern w:val="0"/>
          <w:szCs w:val="21"/>
        </w:rPr>
        <w:t>。</w:t>
      </w:r>
      <w:r w:rsidR="001548DA" w:rsidRPr="00AD224C">
        <w:rPr>
          <w:rFonts w:ascii="楷体_GB2312" w:eastAsia="楷体_GB2312" w:hAnsi="宋体" w:cs="宋体" w:hint="eastAsia"/>
          <w:kern w:val="0"/>
          <w:szCs w:val="21"/>
        </w:rPr>
        <w:t>权益类资产特别是新经济、新消费的主题概念</w:t>
      </w:r>
      <w:proofErr w:type="gramStart"/>
      <w:r w:rsidR="001548DA" w:rsidRPr="00AD224C">
        <w:rPr>
          <w:rFonts w:ascii="楷体_GB2312" w:eastAsia="楷体_GB2312" w:hAnsi="宋体" w:cs="宋体" w:hint="eastAsia"/>
          <w:kern w:val="0"/>
          <w:szCs w:val="21"/>
        </w:rPr>
        <w:t>类</w:t>
      </w:r>
      <w:r w:rsidR="002E3FF3" w:rsidRPr="00AD224C">
        <w:rPr>
          <w:rFonts w:ascii="楷体_GB2312" w:eastAsia="楷体_GB2312" w:hAnsi="宋体" w:cs="宋体" w:hint="eastAsia"/>
          <w:kern w:val="0"/>
          <w:szCs w:val="21"/>
        </w:rPr>
        <w:t>值得</w:t>
      </w:r>
      <w:proofErr w:type="gramEnd"/>
      <w:r w:rsidR="002E3FF3" w:rsidRPr="00AD224C">
        <w:rPr>
          <w:rFonts w:ascii="楷体_GB2312" w:eastAsia="楷体_GB2312" w:hAnsi="宋体" w:cs="宋体" w:hint="eastAsia"/>
          <w:kern w:val="0"/>
          <w:szCs w:val="21"/>
        </w:rPr>
        <w:t>关注</w:t>
      </w:r>
      <w:r w:rsidR="001548DA" w:rsidRPr="00AD224C">
        <w:rPr>
          <w:rFonts w:ascii="楷体_GB2312" w:eastAsia="楷体_GB2312" w:hAnsi="宋体" w:cs="宋体" w:hint="eastAsia"/>
          <w:kern w:val="0"/>
          <w:szCs w:val="21"/>
        </w:rPr>
        <w:t>。</w:t>
      </w:r>
    </w:p>
    <w:p w:rsidR="001548DA" w:rsidRPr="00AD224C" w:rsidRDefault="001548DA" w:rsidP="001548DA">
      <w:pPr>
        <w:snapToGrid w:val="0"/>
        <w:spacing w:line="276" w:lineRule="auto"/>
        <w:ind w:firstLine="420"/>
        <w:contextualSpacing/>
        <w:rPr>
          <w:rFonts w:ascii="楷体_GB2312" w:eastAsia="楷体_GB2312" w:hAnsi="宋体" w:cs="宋体"/>
          <w:kern w:val="0"/>
          <w:szCs w:val="21"/>
        </w:rPr>
      </w:pPr>
      <w:r w:rsidRPr="00AD224C">
        <w:rPr>
          <w:rFonts w:ascii="楷体_GB2312" w:eastAsia="楷体_GB2312" w:hAnsi="宋体" w:cs="宋体" w:hint="eastAsia"/>
          <w:kern w:val="0"/>
          <w:szCs w:val="21"/>
        </w:rPr>
        <w:t>权益基金方面，我们推荐投资风格较为均衡、波段操作能力强的混合型基金，能适时把握结构性机会及局部热点。主题方面，我们推荐创新以及人口结构变换带来的新消费、节能环保、高端制造、新材料和能源汽车等行业。</w:t>
      </w:r>
    </w:p>
    <w:p w:rsidR="001548DA" w:rsidRPr="00AD224C" w:rsidRDefault="001548DA" w:rsidP="001548DA">
      <w:pPr>
        <w:snapToGrid w:val="0"/>
        <w:spacing w:line="276" w:lineRule="auto"/>
        <w:ind w:firstLine="420"/>
        <w:contextualSpacing/>
        <w:rPr>
          <w:rFonts w:ascii="楷体_GB2312" w:eastAsia="楷体_GB2312" w:hAnsi="宋体" w:cs="宋体"/>
          <w:kern w:val="0"/>
          <w:szCs w:val="21"/>
        </w:rPr>
      </w:pPr>
      <w:r w:rsidRPr="00AD224C">
        <w:rPr>
          <w:rFonts w:ascii="楷体_GB2312" w:eastAsia="楷体_GB2312" w:hAnsi="宋体" w:cs="宋体" w:hint="eastAsia"/>
          <w:kern w:val="0"/>
          <w:szCs w:val="21"/>
        </w:rPr>
        <w:t>固定收益基金方面，我们判断</w:t>
      </w:r>
      <w:proofErr w:type="gramStart"/>
      <w:r w:rsidRPr="00AD224C">
        <w:rPr>
          <w:rFonts w:ascii="楷体_GB2312" w:eastAsia="楷体_GB2312" w:hAnsi="宋体" w:cs="宋体" w:hint="eastAsia"/>
          <w:kern w:val="0"/>
          <w:szCs w:val="21"/>
        </w:rPr>
        <w:t>中长期债牛继续</w:t>
      </w:r>
      <w:proofErr w:type="gramEnd"/>
      <w:r w:rsidRPr="00AD224C">
        <w:rPr>
          <w:rFonts w:ascii="楷体_GB2312" w:eastAsia="楷体_GB2312" w:hAnsi="宋体" w:cs="宋体" w:hint="eastAsia"/>
          <w:kern w:val="0"/>
          <w:szCs w:val="21"/>
        </w:rPr>
        <w:t>，推荐投资者维持债券型基金的配置比例。基金配置品种方面，推荐持有中</w:t>
      </w:r>
      <w:proofErr w:type="gramStart"/>
      <w:r w:rsidRPr="00AD224C">
        <w:rPr>
          <w:rFonts w:ascii="楷体_GB2312" w:eastAsia="楷体_GB2312" w:hAnsi="宋体" w:cs="宋体" w:hint="eastAsia"/>
          <w:kern w:val="0"/>
          <w:szCs w:val="21"/>
        </w:rPr>
        <w:t>短久期且</w:t>
      </w:r>
      <w:proofErr w:type="gramEnd"/>
      <w:r w:rsidRPr="00AD224C">
        <w:rPr>
          <w:rFonts w:ascii="楷体_GB2312" w:eastAsia="楷体_GB2312" w:hAnsi="宋体" w:cs="宋体" w:hint="eastAsia"/>
          <w:kern w:val="0"/>
          <w:szCs w:val="21"/>
        </w:rPr>
        <w:t>中高评级信用债的债券型基金或</w:t>
      </w:r>
      <w:r w:rsidR="00732C2D">
        <w:rPr>
          <w:rFonts w:ascii="楷体_GB2312" w:eastAsia="楷体_GB2312" w:hAnsi="宋体" w:cs="宋体" w:hint="eastAsia"/>
          <w:kern w:val="0"/>
          <w:szCs w:val="21"/>
        </w:rPr>
        <w:t>继续</w:t>
      </w:r>
      <w:r w:rsidRPr="00AD224C">
        <w:rPr>
          <w:rFonts w:ascii="楷体_GB2312" w:eastAsia="楷体_GB2312" w:hAnsi="宋体" w:cs="宋体" w:hint="eastAsia"/>
          <w:kern w:val="0"/>
          <w:szCs w:val="21"/>
        </w:rPr>
        <w:t>布局重仓期限较长的利率债的债券型基金。</w:t>
      </w:r>
    </w:p>
    <w:p w:rsidR="00CE3745" w:rsidRPr="00AD224C" w:rsidRDefault="001548DA" w:rsidP="001548DA">
      <w:pPr>
        <w:snapToGrid w:val="0"/>
        <w:spacing w:line="276" w:lineRule="auto"/>
        <w:ind w:firstLine="420"/>
        <w:contextualSpacing/>
        <w:rPr>
          <w:rFonts w:ascii="楷体_GB2312" w:eastAsia="楷体_GB2312" w:hAnsi="宋体" w:cs="宋体"/>
          <w:kern w:val="0"/>
          <w:szCs w:val="21"/>
        </w:rPr>
      </w:pPr>
      <w:r w:rsidRPr="00AD224C">
        <w:rPr>
          <w:rFonts w:ascii="楷体_GB2312" w:eastAsia="楷体_GB2312" w:hAnsi="宋体" w:cs="宋体"/>
          <w:kern w:val="0"/>
          <w:szCs w:val="21"/>
        </w:rPr>
        <w:t>QDII方面，建议投资者，超配美国权益类QDII、REITs QDII，战略型配置欧洲权益类QDII，低配新兴市场QDII，谨慎对待商品QDII。在基金</w:t>
      </w:r>
      <w:r w:rsidRPr="00AD224C">
        <w:rPr>
          <w:rFonts w:ascii="楷体_GB2312" w:eastAsia="楷体_GB2312" w:hAnsi="宋体" w:cs="宋体" w:hint="eastAsia"/>
          <w:kern w:val="0"/>
          <w:szCs w:val="21"/>
        </w:rPr>
        <w:t>互认起步的大背景下，投资标的将更加丰富，北上基金将纳入我们的选择范围，海外资产配置效率有望提高。</w:t>
      </w:r>
    </w:p>
    <w:p w:rsidR="009A18F4" w:rsidRPr="00AA6F17" w:rsidRDefault="009A18F4" w:rsidP="00732C2D">
      <w:pPr>
        <w:numPr>
          <w:ilvl w:val="0"/>
          <w:numId w:val="2"/>
        </w:numPr>
        <w:spacing w:beforeLines="50" w:before="156" w:afterLines="50" w:after="156"/>
        <w:rPr>
          <w:rFonts w:ascii="楷体" w:eastAsia="楷体" w:hAnsi="楷体" w:cs="宋体"/>
          <w:kern w:val="0"/>
          <w:szCs w:val="21"/>
        </w:rPr>
      </w:pPr>
      <w:r w:rsidRPr="00AA6F17">
        <w:rPr>
          <w:rFonts w:ascii="楷体" w:eastAsia="楷体" w:hAnsi="楷体" w:cs="宋体-18030" w:hint="eastAsia"/>
          <w:b/>
          <w:bCs/>
          <w:color w:val="003366"/>
          <w:kern w:val="44"/>
          <w:szCs w:val="21"/>
        </w:rPr>
        <w:t>本期组合推荐如下</w:t>
      </w:r>
    </w:p>
    <w:tbl>
      <w:tblPr>
        <w:tblW w:w="5512" w:type="pct"/>
        <w:tblInd w:w="-431" w:type="dxa"/>
        <w:tblLook w:val="04A0" w:firstRow="1" w:lastRow="0" w:firstColumn="1" w:lastColumn="0" w:noHBand="0" w:noVBand="1"/>
      </w:tblPr>
      <w:tblGrid>
        <w:gridCol w:w="1296"/>
        <w:gridCol w:w="486"/>
        <w:gridCol w:w="1296"/>
        <w:gridCol w:w="486"/>
        <w:gridCol w:w="1296"/>
        <w:gridCol w:w="486"/>
        <w:gridCol w:w="1657"/>
        <w:gridCol w:w="486"/>
      </w:tblGrid>
      <w:tr w:rsidR="004262A0" w:rsidRPr="004262A0" w:rsidTr="00665106">
        <w:trPr>
          <w:trHeight w:val="273"/>
        </w:trPr>
        <w:tc>
          <w:tcPr>
            <w:tcW w:w="1190" w:type="pct"/>
            <w:gridSpan w:val="2"/>
            <w:tcBorders>
              <w:top w:val="single" w:sz="4" w:space="0" w:color="auto"/>
              <w:left w:val="single" w:sz="4" w:space="0" w:color="auto"/>
              <w:bottom w:val="single" w:sz="4" w:space="0" w:color="auto"/>
              <w:right w:val="single" w:sz="4" w:space="0" w:color="000000"/>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rPr>
            </w:pPr>
            <w:r w:rsidRPr="004262A0">
              <w:rPr>
                <w:rFonts w:ascii="楷体" w:eastAsia="楷体" w:hAnsi="楷体" w:cs="宋体" w:hint="eastAsia"/>
                <w:b/>
                <w:bCs/>
                <w:color w:val="FFFFFF"/>
                <w:kern w:val="0"/>
                <w:sz w:val="18"/>
              </w:rPr>
              <w:t>积极型组合</w:t>
            </w:r>
          </w:p>
        </w:tc>
        <w:tc>
          <w:tcPr>
            <w:tcW w:w="1190" w:type="pct"/>
            <w:gridSpan w:val="2"/>
            <w:tcBorders>
              <w:top w:val="single" w:sz="4" w:space="0" w:color="auto"/>
              <w:left w:val="nil"/>
              <w:bottom w:val="single" w:sz="4" w:space="0" w:color="auto"/>
              <w:right w:val="single" w:sz="4" w:space="0" w:color="000000"/>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rPr>
            </w:pPr>
            <w:r w:rsidRPr="004262A0">
              <w:rPr>
                <w:rFonts w:ascii="楷体" w:eastAsia="楷体" w:hAnsi="楷体" w:cs="宋体" w:hint="eastAsia"/>
                <w:b/>
                <w:bCs/>
                <w:color w:val="FFFFFF"/>
                <w:kern w:val="0"/>
                <w:sz w:val="18"/>
              </w:rPr>
              <w:t>平衡型组合</w:t>
            </w:r>
          </w:p>
        </w:tc>
        <w:tc>
          <w:tcPr>
            <w:tcW w:w="1190" w:type="pct"/>
            <w:gridSpan w:val="2"/>
            <w:tcBorders>
              <w:top w:val="single" w:sz="4" w:space="0" w:color="auto"/>
              <w:left w:val="nil"/>
              <w:bottom w:val="single" w:sz="4" w:space="0" w:color="auto"/>
              <w:right w:val="single" w:sz="4" w:space="0" w:color="000000"/>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rPr>
            </w:pPr>
            <w:r w:rsidRPr="004262A0">
              <w:rPr>
                <w:rFonts w:ascii="楷体" w:eastAsia="楷体" w:hAnsi="楷体" w:cs="宋体" w:hint="eastAsia"/>
                <w:b/>
                <w:bCs/>
                <w:color w:val="FFFFFF"/>
                <w:kern w:val="0"/>
                <w:sz w:val="18"/>
              </w:rPr>
              <w:t>稳定型组合</w:t>
            </w:r>
          </w:p>
        </w:tc>
        <w:tc>
          <w:tcPr>
            <w:tcW w:w="1430" w:type="pct"/>
            <w:gridSpan w:val="2"/>
            <w:tcBorders>
              <w:top w:val="single" w:sz="4" w:space="0" w:color="auto"/>
              <w:left w:val="nil"/>
              <w:bottom w:val="single" w:sz="4" w:space="0" w:color="auto"/>
              <w:right w:val="single" w:sz="4" w:space="0" w:color="000000"/>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rPr>
            </w:pPr>
            <w:r w:rsidRPr="004262A0">
              <w:rPr>
                <w:rFonts w:ascii="楷体" w:eastAsia="楷体" w:hAnsi="楷体" w:cs="宋体" w:hint="eastAsia"/>
                <w:b/>
                <w:bCs/>
                <w:color w:val="FFFFFF"/>
                <w:kern w:val="0"/>
                <w:sz w:val="18"/>
              </w:rPr>
              <w:t>海外配置型组合</w:t>
            </w:r>
          </w:p>
        </w:tc>
      </w:tr>
      <w:tr w:rsidR="004262A0" w:rsidRPr="004262A0" w:rsidTr="00665106">
        <w:trPr>
          <w:trHeight w:val="251"/>
        </w:trPr>
        <w:tc>
          <w:tcPr>
            <w:tcW w:w="865" w:type="pct"/>
            <w:tcBorders>
              <w:top w:val="nil"/>
              <w:left w:val="single" w:sz="4" w:space="0" w:color="auto"/>
              <w:bottom w:val="nil"/>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信诚精粹成长</w:t>
            </w:r>
          </w:p>
        </w:tc>
        <w:tc>
          <w:tcPr>
            <w:tcW w:w="325" w:type="pct"/>
            <w:tcBorders>
              <w:top w:val="nil"/>
              <w:left w:val="single" w:sz="4" w:space="0" w:color="auto"/>
              <w:bottom w:val="nil"/>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20%</w:t>
            </w:r>
          </w:p>
        </w:tc>
        <w:tc>
          <w:tcPr>
            <w:tcW w:w="865" w:type="pct"/>
            <w:tcBorders>
              <w:top w:val="nil"/>
              <w:left w:val="single" w:sz="4" w:space="0" w:color="auto"/>
              <w:bottom w:val="nil"/>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proofErr w:type="gramStart"/>
            <w:r w:rsidRPr="004262A0">
              <w:rPr>
                <w:rFonts w:ascii="楷体" w:eastAsia="楷体" w:hAnsi="楷体" w:cs="宋体" w:hint="eastAsia"/>
                <w:color w:val="000000"/>
                <w:kern w:val="0"/>
                <w:sz w:val="18"/>
              </w:rPr>
              <w:t>添富价值</w:t>
            </w:r>
            <w:proofErr w:type="gramEnd"/>
          </w:p>
        </w:tc>
        <w:tc>
          <w:tcPr>
            <w:tcW w:w="325" w:type="pct"/>
            <w:tcBorders>
              <w:top w:val="nil"/>
              <w:left w:val="single" w:sz="4" w:space="0" w:color="auto"/>
              <w:bottom w:val="nil"/>
              <w:right w:val="nil"/>
            </w:tcBorders>
            <w:shd w:val="clear" w:color="F2DCDB" w:fill="F2DCDB"/>
            <w:noWrap/>
            <w:vAlign w:val="center"/>
            <w:hideMark/>
          </w:tcPr>
          <w:p w:rsidR="004262A0" w:rsidRPr="004262A0" w:rsidRDefault="005E1DE9" w:rsidP="004262A0">
            <w:pPr>
              <w:widowControl/>
              <w:jc w:val="center"/>
              <w:rPr>
                <w:rFonts w:ascii="楷体" w:eastAsia="楷体" w:hAnsi="楷体" w:cs="宋体"/>
                <w:color w:val="000000"/>
                <w:kern w:val="0"/>
                <w:sz w:val="18"/>
              </w:rPr>
            </w:pPr>
            <w:r>
              <w:rPr>
                <w:rFonts w:ascii="楷体" w:eastAsia="楷体" w:hAnsi="楷体" w:cs="宋体"/>
                <w:color w:val="000000"/>
                <w:kern w:val="0"/>
                <w:sz w:val="18"/>
              </w:rPr>
              <w:t>4</w:t>
            </w:r>
            <w:r w:rsidR="004262A0" w:rsidRPr="004262A0">
              <w:rPr>
                <w:rFonts w:ascii="楷体" w:eastAsia="楷体" w:hAnsi="楷体" w:cs="宋体" w:hint="eastAsia"/>
                <w:color w:val="000000"/>
                <w:kern w:val="0"/>
                <w:sz w:val="18"/>
              </w:rPr>
              <w:t>0%</w:t>
            </w:r>
          </w:p>
        </w:tc>
        <w:tc>
          <w:tcPr>
            <w:tcW w:w="865" w:type="pct"/>
            <w:tcBorders>
              <w:top w:val="nil"/>
              <w:left w:val="single" w:sz="4" w:space="0" w:color="auto"/>
              <w:bottom w:val="nil"/>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工</w:t>
            </w:r>
            <w:proofErr w:type="gramStart"/>
            <w:r w:rsidRPr="004262A0">
              <w:rPr>
                <w:rFonts w:ascii="楷体" w:eastAsia="楷体" w:hAnsi="楷体" w:cs="宋体" w:hint="eastAsia"/>
                <w:color w:val="000000"/>
                <w:kern w:val="0"/>
                <w:sz w:val="18"/>
              </w:rPr>
              <w:t>银瑞信双</w:t>
            </w:r>
            <w:proofErr w:type="gramEnd"/>
            <w:r w:rsidRPr="004262A0">
              <w:rPr>
                <w:rFonts w:ascii="楷体" w:eastAsia="楷体" w:hAnsi="楷体" w:cs="宋体" w:hint="eastAsia"/>
                <w:color w:val="000000"/>
                <w:kern w:val="0"/>
                <w:sz w:val="18"/>
              </w:rPr>
              <w:t>利</w:t>
            </w:r>
          </w:p>
        </w:tc>
        <w:tc>
          <w:tcPr>
            <w:tcW w:w="325" w:type="pct"/>
            <w:tcBorders>
              <w:top w:val="nil"/>
              <w:left w:val="single" w:sz="4" w:space="0" w:color="auto"/>
              <w:bottom w:val="nil"/>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20%</w:t>
            </w:r>
          </w:p>
        </w:tc>
        <w:tc>
          <w:tcPr>
            <w:tcW w:w="1106" w:type="pct"/>
            <w:tcBorders>
              <w:top w:val="nil"/>
              <w:left w:val="single" w:sz="4" w:space="0" w:color="auto"/>
              <w:bottom w:val="nil"/>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广发美国房地产</w:t>
            </w:r>
          </w:p>
        </w:tc>
        <w:tc>
          <w:tcPr>
            <w:tcW w:w="325" w:type="pct"/>
            <w:tcBorders>
              <w:top w:val="nil"/>
              <w:left w:val="single" w:sz="4" w:space="0" w:color="auto"/>
              <w:bottom w:val="nil"/>
              <w:right w:val="single" w:sz="4" w:space="0" w:color="auto"/>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r>
      <w:tr w:rsidR="004262A0" w:rsidRPr="004262A0" w:rsidTr="00665106">
        <w:trPr>
          <w:trHeight w:val="72"/>
        </w:trPr>
        <w:tc>
          <w:tcPr>
            <w:tcW w:w="865" w:type="pct"/>
            <w:tcBorders>
              <w:top w:val="single" w:sz="4" w:space="0" w:color="auto"/>
              <w:left w:val="single" w:sz="4" w:space="0" w:color="auto"/>
              <w:bottom w:val="nil"/>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rPr>
            </w:pPr>
            <w:proofErr w:type="gramStart"/>
            <w:r w:rsidRPr="004262A0">
              <w:rPr>
                <w:rFonts w:ascii="楷体" w:eastAsia="楷体" w:hAnsi="楷体" w:cs="宋体" w:hint="eastAsia"/>
                <w:color w:val="000000"/>
                <w:kern w:val="0"/>
                <w:sz w:val="18"/>
              </w:rPr>
              <w:t>添富价值</w:t>
            </w:r>
            <w:proofErr w:type="gramEnd"/>
          </w:p>
        </w:tc>
        <w:tc>
          <w:tcPr>
            <w:tcW w:w="325" w:type="pct"/>
            <w:tcBorders>
              <w:top w:val="single" w:sz="4" w:space="0" w:color="auto"/>
              <w:left w:val="single" w:sz="4" w:space="0" w:color="auto"/>
              <w:bottom w:val="nil"/>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c>
          <w:tcPr>
            <w:tcW w:w="865" w:type="pct"/>
            <w:tcBorders>
              <w:top w:val="single" w:sz="4" w:space="0" w:color="auto"/>
              <w:left w:val="single" w:sz="4" w:space="0" w:color="auto"/>
              <w:bottom w:val="nil"/>
              <w:right w:val="nil"/>
            </w:tcBorders>
            <w:shd w:val="clear" w:color="auto" w:fill="auto"/>
            <w:noWrap/>
            <w:vAlign w:val="center"/>
            <w:hideMark/>
          </w:tcPr>
          <w:p w:rsidR="004262A0" w:rsidRPr="004262A0" w:rsidRDefault="005E1DE9"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易方达科讯</w:t>
            </w:r>
          </w:p>
        </w:tc>
        <w:tc>
          <w:tcPr>
            <w:tcW w:w="325" w:type="pct"/>
            <w:tcBorders>
              <w:top w:val="single" w:sz="4" w:space="0" w:color="auto"/>
              <w:left w:val="single" w:sz="4" w:space="0" w:color="auto"/>
              <w:bottom w:val="nil"/>
              <w:right w:val="nil"/>
            </w:tcBorders>
            <w:shd w:val="clear" w:color="auto" w:fill="auto"/>
            <w:noWrap/>
            <w:vAlign w:val="center"/>
            <w:hideMark/>
          </w:tcPr>
          <w:p w:rsidR="004262A0" w:rsidRPr="004262A0" w:rsidRDefault="005E1DE9" w:rsidP="004262A0">
            <w:pPr>
              <w:widowControl/>
              <w:jc w:val="center"/>
              <w:rPr>
                <w:rFonts w:ascii="楷体" w:eastAsia="楷体" w:hAnsi="楷体" w:cs="宋体"/>
                <w:color w:val="000000"/>
                <w:kern w:val="0"/>
                <w:sz w:val="18"/>
              </w:rPr>
            </w:pPr>
            <w:r>
              <w:rPr>
                <w:rFonts w:ascii="楷体" w:eastAsia="楷体" w:hAnsi="楷体" w:cs="宋体"/>
                <w:color w:val="000000"/>
                <w:kern w:val="0"/>
                <w:sz w:val="18"/>
              </w:rPr>
              <w:t>2</w:t>
            </w:r>
            <w:r w:rsidR="004262A0" w:rsidRPr="004262A0">
              <w:rPr>
                <w:rFonts w:ascii="楷体" w:eastAsia="楷体" w:hAnsi="楷体" w:cs="宋体" w:hint="eastAsia"/>
                <w:color w:val="000000"/>
                <w:kern w:val="0"/>
                <w:sz w:val="18"/>
              </w:rPr>
              <w:t>0%</w:t>
            </w:r>
          </w:p>
        </w:tc>
        <w:tc>
          <w:tcPr>
            <w:tcW w:w="865" w:type="pct"/>
            <w:tcBorders>
              <w:top w:val="single" w:sz="4" w:space="0" w:color="auto"/>
              <w:left w:val="single" w:sz="4" w:space="0" w:color="auto"/>
              <w:bottom w:val="nil"/>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华夏现金</w:t>
            </w:r>
          </w:p>
        </w:tc>
        <w:tc>
          <w:tcPr>
            <w:tcW w:w="325" w:type="pct"/>
            <w:tcBorders>
              <w:top w:val="single" w:sz="4" w:space="0" w:color="auto"/>
              <w:left w:val="single" w:sz="4" w:space="0" w:color="auto"/>
              <w:bottom w:val="nil"/>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c>
          <w:tcPr>
            <w:tcW w:w="1106" w:type="pct"/>
            <w:tcBorders>
              <w:top w:val="single" w:sz="4" w:space="0" w:color="auto"/>
              <w:left w:val="single" w:sz="4" w:space="0" w:color="auto"/>
              <w:bottom w:val="nil"/>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rPr>
            </w:pPr>
            <w:proofErr w:type="gramStart"/>
            <w:r w:rsidRPr="004262A0">
              <w:rPr>
                <w:rFonts w:ascii="楷体" w:eastAsia="楷体" w:hAnsi="楷体" w:cs="宋体" w:hint="eastAsia"/>
                <w:color w:val="000000"/>
                <w:kern w:val="0"/>
                <w:sz w:val="18"/>
              </w:rPr>
              <w:t>工银瑞信</w:t>
            </w:r>
            <w:proofErr w:type="gramEnd"/>
            <w:r w:rsidRPr="004262A0">
              <w:rPr>
                <w:rFonts w:ascii="楷体" w:eastAsia="楷体" w:hAnsi="楷体" w:cs="宋体" w:hint="eastAsia"/>
                <w:color w:val="000000"/>
                <w:kern w:val="0"/>
                <w:sz w:val="18"/>
              </w:rPr>
              <w:t>全球精选</w:t>
            </w:r>
          </w:p>
        </w:tc>
        <w:tc>
          <w:tcPr>
            <w:tcW w:w="325" w:type="pct"/>
            <w:tcBorders>
              <w:top w:val="single" w:sz="4" w:space="0" w:color="auto"/>
              <w:left w:val="single" w:sz="4" w:space="0" w:color="auto"/>
              <w:bottom w:val="nil"/>
              <w:right w:val="single" w:sz="4" w:space="0" w:color="auto"/>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r>
      <w:tr w:rsidR="004262A0" w:rsidRPr="004262A0" w:rsidTr="00665106">
        <w:trPr>
          <w:trHeight w:val="176"/>
        </w:trPr>
        <w:tc>
          <w:tcPr>
            <w:tcW w:w="865"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易方达科讯</w:t>
            </w:r>
          </w:p>
        </w:tc>
        <w:tc>
          <w:tcPr>
            <w:tcW w:w="325"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c>
          <w:tcPr>
            <w:tcW w:w="865"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建</w:t>
            </w:r>
            <w:proofErr w:type="gramStart"/>
            <w:r w:rsidRPr="004262A0">
              <w:rPr>
                <w:rFonts w:ascii="楷体" w:eastAsia="楷体" w:hAnsi="楷体" w:cs="宋体" w:hint="eastAsia"/>
                <w:color w:val="000000"/>
                <w:kern w:val="0"/>
                <w:sz w:val="18"/>
              </w:rPr>
              <w:t>信收益</w:t>
            </w:r>
            <w:proofErr w:type="gramEnd"/>
            <w:r w:rsidRPr="004262A0">
              <w:rPr>
                <w:rFonts w:ascii="楷体" w:eastAsia="楷体" w:hAnsi="楷体" w:cs="宋体" w:hint="eastAsia"/>
                <w:color w:val="000000"/>
                <w:kern w:val="0"/>
                <w:sz w:val="18"/>
              </w:rPr>
              <w:t>增强</w:t>
            </w:r>
          </w:p>
        </w:tc>
        <w:tc>
          <w:tcPr>
            <w:tcW w:w="325"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c>
          <w:tcPr>
            <w:tcW w:w="865"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广发货币</w:t>
            </w:r>
          </w:p>
        </w:tc>
        <w:tc>
          <w:tcPr>
            <w:tcW w:w="325"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40%</w:t>
            </w:r>
          </w:p>
        </w:tc>
        <w:tc>
          <w:tcPr>
            <w:tcW w:w="1106" w:type="pct"/>
            <w:tcBorders>
              <w:top w:val="single" w:sz="4" w:space="0" w:color="auto"/>
              <w:left w:val="single" w:sz="4" w:space="0" w:color="auto"/>
              <w:bottom w:val="single" w:sz="4" w:space="0" w:color="auto"/>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鹏</w:t>
            </w:r>
            <w:proofErr w:type="gramStart"/>
            <w:r w:rsidRPr="004262A0">
              <w:rPr>
                <w:rFonts w:ascii="楷体" w:eastAsia="楷体" w:hAnsi="楷体" w:cs="宋体" w:hint="eastAsia"/>
                <w:color w:val="000000"/>
                <w:kern w:val="0"/>
                <w:sz w:val="18"/>
              </w:rPr>
              <w:t>华全球</w:t>
            </w:r>
            <w:proofErr w:type="gramEnd"/>
            <w:r w:rsidRPr="004262A0">
              <w:rPr>
                <w:rFonts w:ascii="楷体" w:eastAsia="楷体" w:hAnsi="楷体" w:cs="宋体" w:hint="eastAsia"/>
                <w:color w:val="000000"/>
                <w:kern w:val="0"/>
                <w:sz w:val="18"/>
              </w:rPr>
              <w:t>高收益债</w:t>
            </w:r>
          </w:p>
        </w:tc>
        <w:tc>
          <w:tcPr>
            <w:tcW w:w="325" w:type="pct"/>
            <w:tcBorders>
              <w:top w:val="single" w:sz="4" w:space="0" w:color="auto"/>
              <w:left w:val="single" w:sz="4" w:space="0" w:color="auto"/>
              <w:bottom w:val="single" w:sz="4" w:space="0" w:color="auto"/>
              <w:right w:val="single" w:sz="4" w:space="0" w:color="auto"/>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rPr>
            </w:pPr>
            <w:r w:rsidRPr="004262A0">
              <w:rPr>
                <w:rFonts w:ascii="楷体" w:eastAsia="楷体" w:hAnsi="楷体" w:cs="宋体" w:hint="eastAsia"/>
                <w:color w:val="000000"/>
                <w:kern w:val="0"/>
                <w:sz w:val="18"/>
              </w:rPr>
              <w:t>20%</w:t>
            </w:r>
          </w:p>
        </w:tc>
      </w:tr>
    </w:tbl>
    <w:p w:rsidR="00E26C51" w:rsidRPr="000B4882" w:rsidRDefault="00E26C51" w:rsidP="00BE18D2">
      <w:pPr>
        <w:rPr>
          <w:rFonts w:ascii="楷体_GB2312" w:eastAsia="楷体_GB2312"/>
          <w:noProof/>
          <w:color w:val="000000"/>
        </w:rPr>
        <w:sectPr w:rsidR="00E26C51" w:rsidRPr="000B4882" w:rsidSect="00035528">
          <w:headerReference w:type="default" r:id="rId10"/>
          <w:footerReference w:type="even" r:id="rId11"/>
          <w:footerReference w:type="default" r:id="rId12"/>
          <w:pgSz w:w="11906" w:h="16838"/>
          <w:pgMar w:top="851" w:right="567" w:bottom="851" w:left="4536" w:header="851" w:footer="992" w:gutter="0"/>
          <w:cols w:space="425"/>
          <w:docGrid w:type="lines" w:linePitch="312"/>
        </w:sectPr>
      </w:pPr>
    </w:p>
    <w:p w:rsidR="0081452B" w:rsidRPr="00AA6F17" w:rsidRDefault="009A18F4" w:rsidP="00732C2D">
      <w:pPr>
        <w:spacing w:beforeLines="100" w:before="312" w:afterLines="50" w:after="156"/>
        <w:ind w:firstLineChars="1000" w:firstLine="2811"/>
        <w:rPr>
          <w:rFonts w:ascii="楷体" w:eastAsia="楷体" w:hAnsi="楷体" w:cs="宋体-18030"/>
          <w:b/>
          <w:bCs/>
          <w:color w:val="000000"/>
          <w:kern w:val="44"/>
          <w:sz w:val="28"/>
          <w:szCs w:val="28"/>
        </w:rPr>
      </w:pPr>
      <w:r w:rsidRPr="00AA6F17">
        <w:rPr>
          <w:rFonts w:ascii="楷体" w:eastAsia="楷体" w:hAnsi="楷体" w:cs="宋体-18030" w:hint="eastAsia"/>
          <w:b/>
          <w:bCs/>
          <w:color w:val="000000"/>
          <w:kern w:val="44"/>
          <w:sz w:val="28"/>
          <w:szCs w:val="28"/>
        </w:rPr>
        <w:lastRenderedPageBreak/>
        <w:t xml:space="preserve">一、基金投资策略 </w:t>
      </w:r>
    </w:p>
    <w:p w:rsidR="0081452B" w:rsidRPr="00AA6F17" w:rsidRDefault="00257DE8" w:rsidP="00732C2D">
      <w:pPr>
        <w:spacing w:beforeLines="50" w:before="156" w:afterLines="50" w:after="156"/>
        <w:ind w:leftChars="1350" w:left="2835" w:firstLineChars="176" w:firstLine="424"/>
        <w:rPr>
          <w:rFonts w:ascii="楷体" w:eastAsia="楷体" w:hAnsi="楷体" w:cs="宋体-18030"/>
          <w:b/>
          <w:bCs/>
          <w:color w:val="003366"/>
          <w:kern w:val="44"/>
          <w:sz w:val="24"/>
        </w:rPr>
      </w:pPr>
      <w:r w:rsidRPr="00AA6F17">
        <w:rPr>
          <w:rFonts w:ascii="楷体" w:eastAsia="楷体" w:hAnsi="楷体" w:cs="宋体-18030" w:hint="eastAsia"/>
          <w:b/>
          <w:bCs/>
          <w:color w:val="003366"/>
          <w:kern w:val="44"/>
          <w:sz w:val="24"/>
        </w:rPr>
        <w:t>（一）</w:t>
      </w:r>
      <w:r w:rsidR="009438DB" w:rsidRPr="00AA6F17">
        <w:rPr>
          <w:rFonts w:ascii="楷体" w:eastAsia="楷体" w:hAnsi="楷体" w:cs="宋体-18030" w:hint="eastAsia"/>
          <w:b/>
          <w:bCs/>
          <w:color w:val="003366"/>
          <w:kern w:val="44"/>
          <w:sz w:val="24"/>
        </w:rPr>
        <w:t>基础市场分析：</w:t>
      </w:r>
      <w:r w:rsidR="00F83461" w:rsidRPr="00F83461">
        <w:rPr>
          <w:rFonts w:ascii="楷体" w:eastAsia="楷体" w:hAnsi="楷体" w:cs="宋体-18030" w:hint="eastAsia"/>
          <w:b/>
          <w:bCs/>
          <w:color w:val="003366"/>
          <w:kern w:val="44"/>
          <w:sz w:val="24"/>
        </w:rPr>
        <w:t>货币政策分化加剧，全球经济复苏不均衡</w:t>
      </w:r>
    </w:p>
    <w:p w:rsidR="009438DB" w:rsidRPr="00AA6F17" w:rsidRDefault="009438DB" w:rsidP="00BF19B2">
      <w:pPr>
        <w:spacing w:beforeLines="50" w:before="156"/>
        <w:ind w:left="2835" w:firstLineChars="202" w:firstLine="424"/>
        <w:rPr>
          <w:rFonts w:ascii="楷体" w:eastAsia="楷体" w:hAnsi="楷体" w:cs="宋体"/>
          <w:kern w:val="0"/>
          <w:szCs w:val="21"/>
        </w:rPr>
      </w:pPr>
      <w:r w:rsidRPr="00AA6F17">
        <w:rPr>
          <w:rFonts w:ascii="楷体" w:eastAsia="楷体" w:hAnsi="楷体" w:cs="宋体" w:hint="eastAsia"/>
          <w:kern w:val="0"/>
          <w:szCs w:val="21"/>
        </w:rPr>
        <w:t>本月17日美联储</w:t>
      </w:r>
      <w:r w:rsidRPr="00AA6F17">
        <w:rPr>
          <w:rFonts w:ascii="楷体" w:eastAsia="楷体" w:hAnsi="楷体" w:cs="宋体"/>
          <w:kern w:val="0"/>
          <w:szCs w:val="21"/>
        </w:rPr>
        <w:t>自</w:t>
      </w:r>
      <w:r w:rsidRPr="00AA6F17">
        <w:rPr>
          <w:rFonts w:ascii="楷体" w:eastAsia="楷体" w:hAnsi="楷体" w:cs="宋体" w:hint="eastAsia"/>
          <w:kern w:val="0"/>
          <w:szCs w:val="21"/>
        </w:rPr>
        <w:t>08年</w:t>
      </w:r>
      <w:r w:rsidRPr="00AA6F17">
        <w:rPr>
          <w:rFonts w:ascii="楷体" w:eastAsia="楷体" w:hAnsi="楷体" w:cs="宋体"/>
          <w:kern w:val="0"/>
          <w:szCs w:val="21"/>
        </w:rPr>
        <w:t>金融危机以来首次加息，并明确</w:t>
      </w:r>
      <w:r w:rsidRPr="00AA6F17">
        <w:rPr>
          <w:rFonts w:ascii="楷体" w:eastAsia="楷体" w:hAnsi="楷体" w:cs="宋体" w:hint="eastAsia"/>
          <w:kern w:val="0"/>
          <w:szCs w:val="21"/>
        </w:rPr>
        <w:t>未来加息路径</w:t>
      </w:r>
      <w:r w:rsidRPr="00AA6F17">
        <w:rPr>
          <w:rFonts w:ascii="楷体" w:eastAsia="楷体" w:hAnsi="楷体" w:cs="宋体"/>
          <w:kern w:val="0"/>
          <w:szCs w:val="21"/>
        </w:rPr>
        <w:t>，标志着</w:t>
      </w:r>
      <w:r w:rsidRPr="00AA6F17">
        <w:rPr>
          <w:rFonts w:ascii="楷体" w:eastAsia="楷体" w:hAnsi="楷体" w:cs="宋体" w:hint="eastAsia"/>
          <w:kern w:val="0"/>
          <w:szCs w:val="21"/>
        </w:rPr>
        <w:t>美国</w:t>
      </w:r>
      <w:r w:rsidRPr="00AA6F17">
        <w:rPr>
          <w:rFonts w:ascii="楷体" w:eastAsia="楷体" w:hAnsi="楷体" w:cs="宋体"/>
          <w:kern w:val="0"/>
          <w:szCs w:val="21"/>
        </w:rPr>
        <w:t>重启加息周期。</w:t>
      </w:r>
      <w:r w:rsidRPr="00AA6F17">
        <w:rPr>
          <w:rFonts w:ascii="楷体" w:eastAsia="楷体" w:hAnsi="楷体" w:cs="宋体" w:hint="eastAsia"/>
          <w:kern w:val="0"/>
          <w:szCs w:val="21"/>
        </w:rPr>
        <w:t>尽管</w:t>
      </w:r>
      <w:r w:rsidR="00671635">
        <w:rPr>
          <w:rFonts w:ascii="楷体" w:eastAsia="楷体" w:hAnsi="楷体" w:cs="宋体" w:hint="eastAsia"/>
          <w:kern w:val="0"/>
          <w:szCs w:val="21"/>
        </w:rPr>
        <w:t>如此</w:t>
      </w:r>
      <w:r w:rsidRPr="00AA6F17">
        <w:rPr>
          <w:rFonts w:ascii="楷体" w:eastAsia="楷体" w:hAnsi="楷体" w:cs="宋体" w:hint="eastAsia"/>
          <w:kern w:val="0"/>
          <w:szCs w:val="21"/>
        </w:rPr>
        <w:t>，</w:t>
      </w:r>
      <w:proofErr w:type="gramStart"/>
      <w:r w:rsidRPr="00AA6F17">
        <w:rPr>
          <w:rFonts w:ascii="楷体" w:eastAsia="楷体" w:hAnsi="楷体" w:cs="宋体"/>
          <w:kern w:val="0"/>
          <w:szCs w:val="21"/>
        </w:rPr>
        <w:t>耶伦多次</w:t>
      </w:r>
      <w:proofErr w:type="gramEnd"/>
      <w:r w:rsidRPr="00AA6F17">
        <w:rPr>
          <w:rFonts w:ascii="楷体" w:eastAsia="楷体" w:hAnsi="楷体" w:cs="宋体"/>
          <w:kern w:val="0"/>
          <w:szCs w:val="21"/>
        </w:rPr>
        <w:t>释放鸽派信号</w:t>
      </w:r>
      <w:r w:rsidRPr="00AA6F17">
        <w:rPr>
          <w:rFonts w:ascii="楷体" w:eastAsia="楷体" w:hAnsi="楷体" w:cs="宋体" w:hint="eastAsia"/>
          <w:kern w:val="0"/>
          <w:szCs w:val="21"/>
        </w:rPr>
        <w:t>，强调</w:t>
      </w:r>
      <w:r w:rsidRPr="00AA6F17">
        <w:rPr>
          <w:rFonts w:ascii="楷体" w:eastAsia="楷体" w:hAnsi="楷体" w:cs="宋体"/>
          <w:kern w:val="0"/>
          <w:szCs w:val="21"/>
        </w:rPr>
        <w:t>宽松仍是主题</w:t>
      </w:r>
      <w:r w:rsidR="00657A71">
        <w:rPr>
          <w:rFonts w:ascii="楷体" w:eastAsia="楷体" w:hAnsi="楷体" w:cs="宋体" w:hint="eastAsia"/>
          <w:kern w:val="0"/>
          <w:szCs w:val="21"/>
        </w:rPr>
        <w:t>，</w:t>
      </w:r>
      <w:r w:rsidR="00657A71" w:rsidRPr="00AD224C">
        <w:rPr>
          <w:rFonts w:ascii="楷体" w:eastAsia="楷体" w:hAnsi="楷体" w:cs="宋体" w:hint="eastAsia"/>
          <w:kern w:val="0"/>
          <w:szCs w:val="21"/>
        </w:rPr>
        <w:t>市场普遍认为加息并不意味着紧缩的开始。</w:t>
      </w:r>
      <w:r w:rsidRPr="00AA6F17">
        <w:rPr>
          <w:rFonts w:ascii="楷体" w:eastAsia="楷体" w:hAnsi="楷体" w:cs="宋体" w:hint="eastAsia"/>
          <w:kern w:val="0"/>
          <w:szCs w:val="21"/>
        </w:rPr>
        <w:t>此外</w:t>
      </w:r>
      <w:r w:rsidRPr="00AA6F17">
        <w:rPr>
          <w:rFonts w:ascii="楷体" w:eastAsia="楷体" w:hAnsi="楷体" w:cs="宋体"/>
          <w:kern w:val="0"/>
          <w:szCs w:val="21"/>
        </w:rPr>
        <w:t>，消费</w:t>
      </w:r>
      <w:r w:rsidRPr="00AA6F17">
        <w:rPr>
          <w:rFonts w:ascii="楷体" w:eastAsia="楷体" w:hAnsi="楷体" w:cs="宋体" w:hint="eastAsia"/>
          <w:kern w:val="0"/>
          <w:szCs w:val="21"/>
        </w:rPr>
        <w:t>受益于</w:t>
      </w:r>
      <w:r w:rsidRPr="00AA6F17">
        <w:rPr>
          <w:rFonts w:ascii="楷体" w:eastAsia="楷体" w:hAnsi="楷体" w:cs="宋体"/>
          <w:kern w:val="0"/>
          <w:szCs w:val="21"/>
        </w:rPr>
        <w:t>油价下跌</w:t>
      </w:r>
      <w:r w:rsidRPr="00AA6F17">
        <w:rPr>
          <w:rFonts w:ascii="楷体" w:eastAsia="楷体" w:hAnsi="楷体" w:cs="宋体" w:hint="eastAsia"/>
          <w:kern w:val="0"/>
          <w:szCs w:val="21"/>
        </w:rPr>
        <w:t>和</w:t>
      </w:r>
      <w:r w:rsidRPr="00AA6F17">
        <w:rPr>
          <w:rFonts w:ascii="楷体" w:eastAsia="楷体" w:hAnsi="楷体" w:cs="宋体"/>
          <w:kern w:val="0"/>
          <w:szCs w:val="21"/>
        </w:rPr>
        <w:t>资产负债表改善</w:t>
      </w:r>
      <w:r w:rsidRPr="00AA6F17">
        <w:rPr>
          <w:rFonts w:ascii="楷体" w:eastAsia="楷体" w:hAnsi="楷体" w:cs="宋体" w:hint="eastAsia"/>
          <w:kern w:val="0"/>
          <w:szCs w:val="21"/>
        </w:rPr>
        <w:t>，同时房地产</w:t>
      </w:r>
      <w:r w:rsidRPr="00AA6F17">
        <w:rPr>
          <w:rFonts w:ascii="楷体" w:eastAsia="楷体" w:hAnsi="楷体" w:cs="宋体"/>
          <w:kern w:val="0"/>
          <w:szCs w:val="21"/>
        </w:rPr>
        <w:t>保持温和增长，</w:t>
      </w:r>
      <w:r w:rsidRPr="00AA6F17">
        <w:rPr>
          <w:rFonts w:ascii="楷体" w:eastAsia="楷体" w:hAnsi="楷体" w:cs="宋体" w:hint="eastAsia"/>
          <w:kern w:val="0"/>
          <w:szCs w:val="21"/>
        </w:rPr>
        <w:t>美国经济复苏态势有望延续。</w:t>
      </w:r>
      <w:r w:rsidR="00657A71" w:rsidRPr="00AD224C">
        <w:rPr>
          <w:rFonts w:ascii="楷体" w:eastAsia="楷体" w:hAnsi="楷体" w:cs="宋体" w:hint="eastAsia"/>
          <w:kern w:val="0"/>
          <w:szCs w:val="21"/>
        </w:rPr>
        <w:t>本月欧洲央行继续实施资产购买计划（量化宽松），但购买规模并没有扩大，</w:t>
      </w:r>
      <w:r w:rsidR="00732C2D">
        <w:rPr>
          <w:rFonts w:ascii="楷体" w:eastAsia="楷体" w:hAnsi="楷体" w:cs="宋体" w:hint="eastAsia"/>
          <w:kern w:val="0"/>
          <w:szCs w:val="21"/>
        </w:rPr>
        <w:t>欧央行这一决定大幅</w:t>
      </w:r>
      <w:r w:rsidR="00657A71" w:rsidRPr="00AD224C">
        <w:rPr>
          <w:rFonts w:ascii="楷体" w:eastAsia="楷体" w:hAnsi="楷体" w:cs="宋体" w:hint="eastAsia"/>
          <w:kern w:val="0"/>
          <w:szCs w:val="21"/>
        </w:rPr>
        <w:t>低于</w:t>
      </w:r>
      <w:r w:rsidR="00732C2D">
        <w:rPr>
          <w:rFonts w:ascii="楷体" w:eastAsia="楷体" w:hAnsi="楷体" w:cs="宋体" w:hint="eastAsia"/>
          <w:kern w:val="0"/>
          <w:szCs w:val="21"/>
        </w:rPr>
        <w:t>市场</w:t>
      </w:r>
      <w:r w:rsidR="00657A71" w:rsidRPr="00AD224C">
        <w:rPr>
          <w:rFonts w:ascii="楷体" w:eastAsia="楷体" w:hAnsi="楷体" w:cs="宋体" w:hint="eastAsia"/>
          <w:kern w:val="0"/>
          <w:szCs w:val="21"/>
        </w:rPr>
        <w:t>预期。市场普遍认为欧元区将维持缓慢而持续的复苏。</w:t>
      </w:r>
    </w:p>
    <w:p w:rsidR="009438DB" w:rsidRPr="00AA6F17" w:rsidRDefault="009438DB" w:rsidP="00732C2D">
      <w:pPr>
        <w:spacing w:beforeLines="50" w:before="156"/>
        <w:ind w:left="2835" w:firstLineChars="202" w:firstLine="424"/>
        <w:rPr>
          <w:rFonts w:ascii="楷体" w:eastAsia="楷体" w:hAnsi="楷体" w:cs="宋体"/>
          <w:kern w:val="0"/>
          <w:szCs w:val="21"/>
        </w:rPr>
      </w:pPr>
      <w:r w:rsidRPr="00AA6F17">
        <w:rPr>
          <w:rFonts w:ascii="楷体" w:eastAsia="楷体" w:hAnsi="楷体" w:cs="宋体" w:hint="eastAsia"/>
          <w:kern w:val="0"/>
          <w:szCs w:val="21"/>
        </w:rPr>
        <w:t>新兴市场在</w:t>
      </w:r>
      <w:proofErr w:type="gramStart"/>
      <w:r w:rsidRPr="00AA6F17">
        <w:rPr>
          <w:rFonts w:ascii="楷体" w:eastAsia="楷体" w:hAnsi="楷体" w:cs="宋体" w:hint="eastAsia"/>
          <w:kern w:val="0"/>
          <w:szCs w:val="21"/>
        </w:rPr>
        <w:t>强美元</w:t>
      </w:r>
      <w:proofErr w:type="gramEnd"/>
      <w:r w:rsidRPr="00AA6F17">
        <w:rPr>
          <w:rFonts w:ascii="楷体" w:eastAsia="楷体" w:hAnsi="楷体" w:cs="宋体" w:hint="eastAsia"/>
          <w:kern w:val="0"/>
          <w:szCs w:val="21"/>
        </w:rPr>
        <w:t>周期下陷入</w:t>
      </w:r>
      <w:proofErr w:type="gramStart"/>
      <w:r w:rsidRPr="00AA6F17">
        <w:rPr>
          <w:rFonts w:ascii="楷体" w:eastAsia="楷体" w:hAnsi="楷体" w:cs="宋体" w:hint="eastAsia"/>
          <w:kern w:val="0"/>
          <w:szCs w:val="21"/>
        </w:rPr>
        <w:t>困顿已</w:t>
      </w:r>
      <w:proofErr w:type="gramEnd"/>
      <w:r w:rsidRPr="00AA6F17">
        <w:rPr>
          <w:rFonts w:ascii="楷体" w:eastAsia="楷体" w:hAnsi="楷体" w:cs="宋体" w:hint="eastAsia"/>
          <w:kern w:val="0"/>
          <w:szCs w:val="21"/>
        </w:rPr>
        <w:t>成为市场普遍共识。新兴市场国家自身经济缺乏新增长点，受累于全球经济低迷其外向型经济难以为继。避险动机和美元升值引发的国际资本流动对新兴市场经济增长进一步形成巨大压力，过快的资本外流甚至或使一些金融状况脆弱的新兴国家陷入衰退。</w:t>
      </w:r>
      <w:r w:rsidRPr="00AA6F17">
        <w:rPr>
          <w:rFonts w:ascii="楷体" w:eastAsia="楷体" w:hAnsi="楷体" w:cs="宋体"/>
          <w:kern w:val="0"/>
          <w:szCs w:val="21"/>
        </w:rPr>
        <w:t>在</w:t>
      </w:r>
      <w:r w:rsidRPr="00AA6F17">
        <w:rPr>
          <w:rFonts w:ascii="楷体" w:eastAsia="楷体" w:hAnsi="楷体" w:cs="宋体" w:hint="eastAsia"/>
          <w:kern w:val="0"/>
          <w:szCs w:val="21"/>
        </w:rPr>
        <w:t>美联储</w:t>
      </w:r>
      <w:r w:rsidRPr="00AA6F17">
        <w:rPr>
          <w:rFonts w:ascii="楷体" w:eastAsia="楷体" w:hAnsi="楷体" w:cs="宋体"/>
          <w:kern w:val="0"/>
          <w:szCs w:val="21"/>
        </w:rPr>
        <w:t>宣布加息后</w:t>
      </w:r>
      <w:r w:rsidRPr="00AA6F17">
        <w:rPr>
          <w:rFonts w:ascii="楷体" w:eastAsia="楷体" w:hAnsi="楷体" w:cs="宋体" w:hint="eastAsia"/>
          <w:kern w:val="0"/>
          <w:szCs w:val="21"/>
        </w:rPr>
        <w:t>阿根廷和</w:t>
      </w:r>
      <w:r w:rsidRPr="00AA6F17">
        <w:rPr>
          <w:rFonts w:ascii="楷体" w:eastAsia="楷体" w:hAnsi="楷体" w:cs="宋体"/>
          <w:kern w:val="0"/>
          <w:szCs w:val="21"/>
        </w:rPr>
        <w:t>阿塞拜疆</w:t>
      </w:r>
      <w:r w:rsidR="00732C2D">
        <w:rPr>
          <w:rFonts w:ascii="楷体" w:eastAsia="楷体" w:hAnsi="楷体" w:cs="宋体" w:hint="eastAsia"/>
          <w:kern w:val="0"/>
          <w:szCs w:val="21"/>
        </w:rPr>
        <w:t>放松</w:t>
      </w:r>
      <w:r w:rsidRPr="00AA6F17">
        <w:rPr>
          <w:rFonts w:ascii="楷体" w:eastAsia="楷体" w:hAnsi="楷体" w:cs="宋体" w:hint="eastAsia"/>
          <w:kern w:val="0"/>
          <w:szCs w:val="21"/>
        </w:rPr>
        <w:t>外汇管制，允许资本自由流动，比索和马纳特分别应声大跌41%和33.55</w:t>
      </w:r>
      <w:r w:rsidRPr="00AA6F17">
        <w:rPr>
          <w:rFonts w:ascii="楷体" w:eastAsia="楷体" w:hAnsi="楷体" w:cs="宋体"/>
          <w:kern w:val="0"/>
          <w:szCs w:val="21"/>
        </w:rPr>
        <w:t>%</w:t>
      </w:r>
      <w:r w:rsidRPr="00AA6F17">
        <w:rPr>
          <w:rFonts w:ascii="楷体" w:eastAsia="楷体" w:hAnsi="楷体" w:cs="宋体" w:hint="eastAsia"/>
          <w:kern w:val="0"/>
          <w:szCs w:val="21"/>
        </w:rPr>
        <w:t>。</w:t>
      </w:r>
    </w:p>
    <w:p w:rsidR="009438DB" w:rsidRPr="00AA6F17" w:rsidRDefault="00657A71" w:rsidP="00732C2D">
      <w:pPr>
        <w:spacing w:beforeLines="50" w:before="156"/>
        <w:ind w:left="2835" w:firstLineChars="202" w:firstLine="424"/>
        <w:rPr>
          <w:rFonts w:ascii="楷体" w:eastAsia="楷体" w:hAnsi="楷体" w:cs="宋体"/>
          <w:kern w:val="0"/>
          <w:szCs w:val="21"/>
        </w:rPr>
      </w:pPr>
      <w:r w:rsidRPr="00AD224C">
        <w:rPr>
          <w:rFonts w:ascii="楷体" w:eastAsia="楷体" w:hAnsi="楷体" w:cs="宋体" w:hint="eastAsia"/>
          <w:kern w:val="0"/>
          <w:szCs w:val="21"/>
        </w:rPr>
        <w:t>中国也不例外，经济增速</w:t>
      </w:r>
      <w:r w:rsidR="00732C2D">
        <w:rPr>
          <w:rFonts w:ascii="楷体" w:eastAsia="楷体" w:hAnsi="楷体" w:cs="宋体" w:hint="eastAsia"/>
          <w:kern w:val="0"/>
          <w:szCs w:val="21"/>
        </w:rPr>
        <w:t>进入</w:t>
      </w:r>
      <w:r w:rsidRPr="00AD224C">
        <w:rPr>
          <w:rFonts w:ascii="楷体" w:eastAsia="楷体" w:hAnsi="楷体" w:cs="宋体" w:hint="eastAsia"/>
          <w:kern w:val="0"/>
          <w:szCs w:val="21"/>
        </w:rPr>
        <w:t>换挡</w:t>
      </w:r>
      <w:r w:rsidR="00732C2D">
        <w:rPr>
          <w:rFonts w:ascii="楷体" w:eastAsia="楷体" w:hAnsi="楷体" w:cs="宋体" w:hint="eastAsia"/>
          <w:kern w:val="0"/>
          <w:szCs w:val="21"/>
        </w:rPr>
        <w:t>期</w:t>
      </w:r>
      <w:r w:rsidRPr="00AD224C">
        <w:rPr>
          <w:rFonts w:ascii="楷体" w:eastAsia="楷体" w:hAnsi="楷体" w:cs="宋体" w:hint="eastAsia"/>
          <w:kern w:val="0"/>
          <w:szCs w:val="21"/>
        </w:rPr>
        <w:t>，但</w:t>
      </w:r>
      <w:r w:rsidR="00732C2D">
        <w:rPr>
          <w:rFonts w:ascii="楷体" w:eastAsia="楷体" w:hAnsi="楷体" w:cs="宋体" w:hint="eastAsia"/>
          <w:kern w:val="0"/>
          <w:szCs w:val="21"/>
        </w:rPr>
        <w:t>近期的数据表明中国经济已</w:t>
      </w:r>
      <w:r w:rsidRPr="00AD224C">
        <w:rPr>
          <w:rFonts w:ascii="楷体" w:eastAsia="楷体" w:hAnsi="楷体" w:cs="宋体" w:hint="eastAsia"/>
          <w:kern w:val="0"/>
          <w:szCs w:val="21"/>
        </w:rPr>
        <w:t>有企稳迹象，政策效应</w:t>
      </w:r>
      <w:r w:rsidR="00732C2D">
        <w:rPr>
          <w:rFonts w:ascii="楷体" w:eastAsia="楷体" w:hAnsi="楷体" w:cs="宋体" w:hint="eastAsia"/>
          <w:kern w:val="0"/>
          <w:szCs w:val="21"/>
        </w:rPr>
        <w:t>在</w:t>
      </w:r>
      <w:r w:rsidRPr="00AD224C">
        <w:rPr>
          <w:rFonts w:ascii="楷体" w:eastAsia="楷体" w:hAnsi="楷体" w:cs="宋体" w:hint="eastAsia"/>
          <w:kern w:val="0"/>
          <w:szCs w:val="21"/>
        </w:rPr>
        <w:t>陆续显现。</w:t>
      </w:r>
      <w:r w:rsidR="009438DB" w:rsidRPr="00AA6F17">
        <w:rPr>
          <w:rFonts w:ascii="楷体" w:eastAsia="楷体" w:hAnsi="楷体" w:cs="宋体" w:hint="eastAsia"/>
          <w:kern w:val="0"/>
          <w:szCs w:val="21"/>
        </w:rPr>
        <w:t>经过多年的</w:t>
      </w:r>
      <w:r w:rsidR="009438DB" w:rsidRPr="00AA6F17">
        <w:rPr>
          <w:rFonts w:ascii="楷体" w:eastAsia="楷体" w:hAnsi="楷体" w:cs="宋体"/>
          <w:kern w:val="0"/>
          <w:szCs w:val="21"/>
        </w:rPr>
        <w:t>高速增长，中国GDP</w:t>
      </w:r>
      <w:r w:rsidR="009438DB" w:rsidRPr="00AA6F17">
        <w:rPr>
          <w:rFonts w:ascii="楷体" w:eastAsia="楷体" w:hAnsi="楷体" w:cs="宋体" w:hint="eastAsia"/>
          <w:kern w:val="0"/>
          <w:szCs w:val="21"/>
        </w:rPr>
        <w:t>总值在2010年</w:t>
      </w:r>
      <w:r w:rsidR="009438DB" w:rsidRPr="00AA6F17">
        <w:rPr>
          <w:rFonts w:ascii="楷体" w:eastAsia="楷体" w:hAnsi="楷体" w:cs="宋体"/>
          <w:kern w:val="0"/>
          <w:szCs w:val="21"/>
        </w:rPr>
        <w:t>超过日本，成为仅次于美国的第二大经济体，但人均GDP</w:t>
      </w:r>
      <w:r w:rsidR="00824667">
        <w:rPr>
          <w:rFonts w:ascii="楷体" w:eastAsia="楷体" w:hAnsi="楷体" w:cs="宋体" w:hint="eastAsia"/>
          <w:kern w:val="0"/>
          <w:szCs w:val="21"/>
        </w:rPr>
        <w:t>仍</w:t>
      </w:r>
      <w:proofErr w:type="gramStart"/>
      <w:r w:rsidR="00824667">
        <w:rPr>
          <w:rFonts w:ascii="楷体" w:eastAsia="楷体" w:hAnsi="楷体" w:cs="宋体" w:hint="eastAsia"/>
          <w:kern w:val="0"/>
          <w:szCs w:val="21"/>
        </w:rPr>
        <w:t>不</w:t>
      </w:r>
      <w:proofErr w:type="gramEnd"/>
      <w:r w:rsidR="00824667">
        <w:rPr>
          <w:rFonts w:ascii="楷体" w:eastAsia="楷体" w:hAnsi="楷体" w:cs="宋体" w:hint="eastAsia"/>
          <w:kern w:val="0"/>
          <w:szCs w:val="21"/>
        </w:rPr>
        <w:t>出彩</w:t>
      </w:r>
      <w:r w:rsidR="009438DB" w:rsidRPr="00AA6F17">
        <w:rPr>
          <w:rFonts w:ascii="楷体" w:eastAsia="楷体" w:hAnsi="楷体" w:cs="宋体"/>
          <w:kern w:val="0"/>
          <w:szCs w:val="21"/>
        </w:rPr>
        <w:t>。</w:t>
      </w:r>
      <w:r w:rsidR="009438DB" w:rsidRPr="00AA6F17">
        <w:rPr>
          <w:rFonts w:ascii="楷体" w:eastAsia="楷体" w:hAnsi="楷体" w:cs="宋体" w:hint="eastAsia"/>
          <w:kern w:val="0"/>
          <w:szCs w:val="21"/>
        </w:rPr>
        <w:t>进入2015年</w:t>
      </w:r>
      <w:r w:rsidR="009438DB" w:rsidRPr="00AA6F17">
        <w:rPr>
          <w:rFonts w:ascii="楷体" w:eastAsia="楷体" w:hAnsi="楷体" w:cs="宋体"/>
          <w:kern w:val="0"/>
          <w:szCs w:val="21"/>
        </w:rPr>
        <w:t>以来，中国经济增长显得格外艰难</w:t>
      </w:r>
      <w:r w:rsidR="009438DB" w:rsidRPr="00AA6F17">
        <w:rPr>
          <w:rFonts w:ascii="楷体" w:eastAsia="楷体" w:hAnsi="楷体" w:cs="宋体" w:hint="eastAsia"/>
          <w:kern w:val="0"/>
          <w:szCs w:val="21"/>
        </w:rPr>
        <w:t>：增速降低，</w:t>
      </w:r>
      <w:r w:rsidR="009438DB" w:rsidRPr="00AA6F17">
        <w:rPr>
          <w:rFonts w:ascii="楷体" w:eastAsia="楷体" w:hAnsi="楷体" w:cs="宋体"/>
          <w:kern w:val="0"/>
          <w:szCs w:val="21"/>
        </w:rPr>
        <w:t>通</w:t>
      </w:r>
      <w:proofErr w:type="gramStart"/>
      <w:r w:rsidR="009438DB" w:rsidRPr="00AA6F17">
        <w:rPr>
          <w:rFonts w:ascii="楷体" w:eastAsia="楷体" w:hAnsi="楷体" w:cs="宋体"/>
          <w:kern w:val="0"/>
          <w:szCs w:val="21"/>
        </w:rPr>
        <w:t>缩风险</w:t>
      </w:r>
      <w:proofErr w:type="gramEnd"/>
      <w:r w:rsidR="009438DB" w:rsidRPr="00AA6F17">
        <w:rPr>
          <w:rFonts w:ascii="楷体" w:eastAsia="楷体" w:hAnsi="楷体" w:cs="宋体"/>
          <w:kern w:val="0"/>
          <w:szCs w:val="21"/>
        </w:rPr>
        <w:t>加大，</w:t>
      </w:r>
      <w:r w:rsidR="009438DB" w:rsidRPr="00AA6F17">
        <w:rPr>
          <w:rFonts w:ascii="楷体" w:eastAsia="楷体" w:hAnsi="楷体" w:cs="宋体" w:hint="eastAsia"/>
          <w:kern w:val="0"/>
          <w:szCs w:val="21"/>
        </w:rPr>
        <w:t>外界</w:t>
      </w:r>
      <w:r w:rsidR="009438DB" w:rsidRPr="00AA6F17">
        <w:rPr>
          <w:rFonts w:ascii="楷体" w:eastAsia="楷体" w:hAnsi="楷体" w:cs="宋体"/>
          <w:kern w:val="0"/>
          <w:szCs w:val="21"/>
        </w:rPr>
        <w:t>对中国能否顺利跨越中等收入陷阱的担忧越来来多。</w:t>
      </w:r>
      <w:r w:rsidR="009438DB" w:rsidRPr="00AA6F17">
        <w:rPr>
          <w:rFonts w:ascii="楷体" w:eastAsia="楷体" w:hAnsi="楷体" w:cs="宋体" w:hint="eastAsia"/>
          <w:kern w:val="0"/>
          <w:szCs w:val="21"/>
        </w:rPr>
        <w:t>从国际成功经验</w:t>
      </w:r>
      <w:r w:rsidR="009438DB" w:rsidRPr="00AA6F17">
        <w:rPr>
          <w:rFonts w:ascii="楷体" w:eastAsia="楷体" w:hAnsi="楷体" w:cs="宋体"/>
          <w:kern w:val="0"/>
          <w:szCs w:val="21"/>
        </w:rPr>
        <w:t>来看，创新</w:t>
      </w:r>
      <w:r w:rsidR="009438DB" w:rsidRPr="00AA6F17">
        <w:rPr>
          <w:rFonts w:ascii="楷体" w:eastAsia="楷体" w:hAnsi="楷体" w:cs="宋体" w:hint="eastAsia"/>
          <w:kern w:val="0"/>
          <w:szCs w:val="21"/>
        </w:rPr>
        <w:t>和</w:t>
      </w:r>
      <w:r w:rsidR="009438DB" w:rsidRPr="00AA6F17">
        <w:rPr>
          <w:rFonts w:ascii="楷体" w:eastAsia="楷体" w:hAnsi="楷体" w:cs="宋体"/>
          <w:kern w:val="0"/>
          <w:szCs w:val="21"/>
        </w:rPr>
        <w:t>传统行业改革起到了重要的作用，</w:t>
      </w:r>
      <w:r w:rsidR="009438DB" w:rsidRPr="00AA6F17">
        <w:rPr>
          <w:rFonts w:ascii="楷体" w:eastAsia="楷体" w:hAnsi="楷体" w:cs="宋体" w:hint="eastAsia"/>
          <w:kern w:val="0"/>
          <w:szCs w:val="21"/>
        </w:rPr>
        <w:t>于是</w:t>
      </w:r>
      <w:r w:rsidR="009438DB" w:rsidRPr="00AA6F17">
        <w:rPr>
          <w:rFonts w:ascii="楷体" w:eastAsia="楷体" w:hAnsi="楷体" w:cs="宋体"/>
          <w:kern w:val="0"/>
          <w:szCs w:val="21"/>
        </w:rPr>
        <w:t>有了</w:t>
      </w:r>
      <w:r w:rsidR="009438DB" w:rsidRPr="00AA6F17">
        <w:rPr>
          <w:rFonts w:ascii="楷体" w:eastAsia="楷体" w:hAnsi="楷体" w:cs="宋体" w:hint="eastAsia"/>
          <w:kern w:val="0"/>
          <w:szCs w:val="21"/>
        </w:rPr>
        <w:t>“大众创业、万众创新”和“</w:t>
      </w:r>
      <w:r w:rsidR="009438DB" w:rsidRPr="00AA6F17">
        <w:rPr>
          <w:rFonts w:ascii="楷体" w:eastAsia="楷体" w:hAnsi="楷体" w:cs="宋体"/>
          <w:kern w:val="0"/>
          <w:szCs w:val="21"/>
        </w:rPr>
        <w:t>供给侧改革</w:t>
      </w:r>
      <w:r w:rsidR="009438DB" w:rsidRPr="00AA6F17">
        <w:rPr>
          <w:rFonts w:ascii="楷体" w:eastAsia="楷体" w:hAnsi="楷体" w:cs="宋体" w:hint="eastAsia"/>
          <w:kern w:val="0"/>
          <w:szCs w:val="21"/>
        </w:rPr>
        <w:t>”</w:t>
      </w:r>
      <w:r w:rsidR="00732C2D">
        <w:rPr>
          <w:rFonts w:ascii="楷体" w:eastAsia="楷体" w:hAnsi="楷体" w:cs="宋体" w:hint="eastAsia"/>
          <w:kern w:val="0"/>
          <w:szCs w:val="21"/>
        </w:rPr>
        <w:t>等政策推出</w:t>
      </w:r>
      <w:r w:rsidR="009438DB" w:rsidRPr="00AA6F17">
        <w:rPr>
          <w:rFonts w:ascii="楷体" w:eastAsia="楷体" w:hAnsi="楷体" w:cs="宋体"/>
          <w:kern w:val="0"/>
          <w:szCs w:val="21"/>
        </w:rPr>
        <w:t>。</w:t>
      </w:r>
      <w:r w:rsidRPr="00AD224C">
        <w:rPr>
          <w:rFonts w:ascii="楷体" w:eastAsia="楷体" w:hAnsi="楷体" w:cs="宋体" w:hint="eastAsia"/>
          <w:kern w:val="0"/>
          <w:szCs w:val="21"/>
        </w:rPr>
        <w:t>数据显示，</w:t>
      </w:r>
      <w:r w:rsidRPr="00AD224C">
        <w:rPr>
          <w:rFonts w:ascii="楷体" w:eastAsia="楷体" w:hAnsi="楷体" w:cs="宋体"/>
          <w:kern w:val="0"/>
          <w:szCs w:val="21"/>
        </w:rPr>
        <w:t>11月份工业企业利润</w:t>
      </w:r>
      <w:proofErr w:type="gramStart"/>
      <w:r w:rsidRPr="00AD224C">
        <w:rPr>
          <w:rFonts w:ascii="楷体" w:eastAsia="楷体" w:hAnsi="楷体" w:cs="宋体"/>
          <w:kern w:val="0"/>
          <w:szCs w:val="21"/>
        </w:rPr>
        <w:t>降幅收</w:t>
      </w:r>
      <w:proofErr w:type="gramEnd"/>
      <w:r w:rsidRPr="00AD224C">
        <w:rPr>
          <w:rFonts w:ascii="楷体" w:eastAsia="楷体" w:hAnsi="楷体" w:cs="宋体"/>
          <w:kern w:val="0"/>
          <w:szCs w:val="21"/>
        </w:rPr>
        <w:t>窄，居民消费价格同比上涨</w:t>
      </w:r>
      <w:r w:rsidR="00732C2D">
        <w:rPr>
          <w:rFonts w:ascii="楷体" w:eastAsia="楷体" w:hAnsi="楷体" w:cs="宋体" w:hint="eastAsia"/>
          <w:kern w:val="0"/>
          <w:szCs w:val="21"/>
        </w:rPr>
        <w:t>表明</w:t>
      </w:r>
      <w:r w:rsidRPr="00AD224C">
        <w:rPr>
          <w:rFonts w:ascii="楷体" w:eastAsia="楷体" w:hAnsi="楷体" w:cs="宋体" w:hint="eastAsia"/>
          <w:kern w:val="0"/>
          <w:szCs w:val="21"/>
        </w:rPr>
        <w:t>通缩或已不是问题，出口降幅明显收窄。</w:t>
      </w:r>
    </w:p>
    <w:p w:rsidR="009438DB" w:rsidRPr="00AA6F17" w:rsidRDefault="009438DB" w:rsidP="00732C2D">
      <w:pPr>
        <w:spacing w:beforeLines="50" w:before="156"/>
        <w:ind w:left="2835" w:firstLineChars="202" w:firstLine="424"/>
        <w:rPr>
          <w:rFonts w:ascii="楷体" w:eastAsia="楷体" w:hAnsi="楷体" w:cs="宋体"/>
          <w:kern w:val="0"/>
          <w:szCs w:val="21"/>
        </w:rPr>
      </w:pPr>
      <w:r w:rsidRPr="00AA6F17">
        <w:rPr>
          <w:rFonts w:ascii="楷体" w:eastAsia="楷体" w:hAnsi="楷体" w:cs="宋体" w:hint="eastAsia"/>
          <w:kern w:val="0"/>
          <w:szCs w:val="21"/>
        </w:rPr>
        <w:t>资产配置方面</w:t>
      </w:r>
      <w:r w:rsidRPr="00AA6F17">
        <w:rPr>
          <w:rFonts w:ascii="楷体" w:eastAsia="楷体" w:hAnsi="楷体" w:cs="宋体"/>
          <w:kern w:val="0"/>
          <w:szCs w:val="21"/>
        </w:rPr>
        <w:t>，</w:t>
      </w:r>
      <w:r w:rsidRPr="00AA6F17">
        <w:rPr>
          <w:rFonts w:ascii="楷体" w:eastAsia="楷体" w:hAnsi="楷体" w:cs="宋体" w:hint="eastAsia"/>
          <w:kern w:val="0"/>
          <w:szCs w:val="21"/>
        </w:rPr>
        <w:t>我们</w:t>
      </w:r>
      <w:r w:rsidRPr="00AA6F17">
        <w:rPr>
          <w:rFonts w:ascii="楷体" w:eastAsia="楷体" w:hAnsi="楷体" w:cs="宋体"/>
          <w:kern w:val="0"/>
          <w:szCs w:val="21"/>
        </w:rPr>
        <w:t>认为</w:t>
      </w:r>
      <w:r w:rsidRPr="00AA6F17">
        <w:rPr>
          <w:rFonts w:ascii="楷体" w:eastAsia="楷体" w:hAnsi="楷体" w:cs="宋体" w:hint="eastAsia"/>
          <w:kern w:val="0"/>
          <w:szCs w:val="21"/>
        </w:rPr>
        <w:t>市场整体性投资机会相对匮乏，国内</w:t>
      </w:r>
      <w:proofErr w:type="gramStart"/>
      <w:r w:rsidRPr="00AA6F17">
        <w:rPr>
          <w:rFonts w:ascii="楷体" w:eastAsia="楷体" w:hAnsi="楷体" w:cs="宋体" w:hint="eastAsia"/>
          <w:kern w:val="0"/>
          <w:szCs w:val="21"/>
        </w:rPr>
        <w:t>资产荒仍将</w:t>
      </w:r>
      <w:proofErr w:type="gramEnd"/>
      <w:r w:rsidRPr="00AA6F17">
        <w:rPr>
          <w:rFonts w:ascii="楷体" w:eastAsia="楷体" w:hAnsi="楷体" w:cs="宋体" w:hint="eastAsia"/>
          <w:kern w:val="0"/>
          <w:szCs w:val="21"/>
        </w:rPr>
        <w:t>延续，</w:t>
      </w:r>
      <w:r w:rsidRPr="00AA6F17">
        <w:rPr>
          <w:rFonts w:ascii="楷体" w:eastAsia="楷体" w:hAnsi="楷体" w:cs="宋体"/>
          <w:kern w:val="0"/>
          <w:szCs w:val="21"/>
        </w:rPr>
        <w:t>收益率</w:t>
      </w:r>
      <w:r w:rsidRPr="00AA6F17">
        <w:rPr>
          <w:rFonts w:ascii="楷体" w:eastAsia="楷体" w:hAnsi="楷体" w:cs="宋体" w:hint="eastAsia"/>
          <w:kern w:val="0"/>
          <w:szCs w:val="21"/>
        </w:rPr>
        <w:t>中枢</w:t>
      </w:r>
      <w:r w:rsidRPr="00AA6F17">
        <w:rPr>
          <w:rFonts w:ascii="楷体" w:eastAsia="楷体" w:hAnsi="楷体" w:cs="宋体"/>
          <w:kern w:val="0"/>
          <w:szCs w:val="21"/>
        </w:rPr>
        <w:t>将继续下行</w:t>
      </w:r>
      <w:r w:rsidRPr="00AA6F17">
        <w:rPr>
          <w:rFonts w:ascii="楷体" w:eastAsia="楷体" w:hAnsi="楷体" w:cs="宋体" w:hint="eastAsia"/>
          <w:kern w:val="0"/>
          <w:szCs w:val="21"/>
        </w:rPr>
        <w:t>，金融产品正进入低收益时代。</w:t>
      </w:r>
      <w:proofErr w:type="gramStart"/>
      <w:r w:rsidRPr="00AA6F17">
        <w:rPr>
          <w:rFonts w:ascii="楷体" w:eastAsia="楷体" w:hAnsi="楷体" w:cs="宋体" w:hint="eastAsia"/>
          <w:kern w:val="0"/>
          <w:szCs w:val="21"/>
        </w:rPr>
        <w:t>目前</w:t>
      </w:r>
      <w:r w:rsidRPr="00AA6F17">
        <w:rPr>
          <w:rFonts w:ascii="楷体" w:eastAsia="楷体" w:hAnsi="楷体" w:cs="宋体"/>
          <w:kern w:val="0"/>
          <w:szCs w:val="21"/>
        </w:rPr>
        <w:t>宽货币</w:t>
      </w:r>
      <w:proofErr w:type="gramEnd"/>
      <w:r w:rsidRPr="00AA6F17">
        <w:rPr>
          <w:rFonts w:ascii="楷体" w:eastAsia="楷体" w:hAnsi="楷体" w:cs="宋体"/>
          <w:kern w:val="0"/>
          <w:szCs w:val="21"/>
        </w:rPr>
        <w:t>环境和</w:t>
      </w:r>
      <w:r w:rsidRPr="00AA6F17">
        <w:rPr>
          <w:rFonts w:ascii="楷体" w:eastAsia="楷体" w:hAnsi="楷体" w:cs="宋体" w:hint="eastAsia"/>
          <w:kern w:val="0"/>
          <w:szCs w:val="21"/>
        </w:rPr>
        <w:t>积极的</w:t>
      </w:r>
      <w:r w:rsidRPr="00AA6F17">
        <w:rPr>
          <w:rFonts w:ascii="楷体" w:eastAsia="楷体" w:hAnsi="楷体" w:cs="宋体"/>
          <w:kern w:val="0"/>
          <w:szCs w:val="21"/>
        </w:rPr>
        <w:t>改革预期</w:t>
      </w:r>
      <w:r w:rsidRPr="00AA6F17">
        <w:rPr>
          <w:rFonts w:ascii="楷体" w:eastAsia="楷体" w:hAnsi="楷体" w:cs="宋体" w:hint="eastAsia"/>
          <w:kern w:val="0"/>
          <w:szCs w:val="21"/>
        </w:rPr>
        <w:t>将</w:t>
      </w:r>
      <w:r w:rsidRPr="00AA6F17">
        <w:rPr>
          <w:rFonts w:ascii="楷体" w:eastAsia="楷体" w:hAnsi="楷体" w:cs="宋体"/>
          <w:kern w:val="0"/>
          <w:szCs w:val="21"/>
        </w:rPr>
        <w:t>逐步修复风险偏好，</w:t>
      </w:r>
      <w:r w:rsidRPr="00AA6F17">
        <w:rPr>
          <w:rFonts w:ascii="楷体" w:eastAsia="楷体" w:hAnsi="楷体" w:cs="宋体" w:hint="eastAsia"/>
          <w:kern w:val="0"/>
          <w:szCs w:val="21"/>
        </w:rPr>
        <w:t>有利于</w:t>
      </w:r>
      <w:r w:rsidRPr="00AA6F17">
        <w:rPr>
          <w:rFonts w:ascii="楷体" w:eastAsia="楷体" w:hAnsi="楷体" w:cs="宋体"/>
          <w:kern w:val="0"/>
          <w:szCs w:val="21"/>
        </w:rPr>
        <w:t>A股市场震荡上行</w:t>
      </w:r>
      <w:r w:rsidRPr="00AA6F17">
        <w:rPr>
          <w:rFonts w:ascii="楷体" w:eastAsia="楷体" w:hAnsi="楷体" w:cs="宋体" w:hint="eastAsia"/>
          <w:kern w:val="0"/>
          <w:szCs w:val="21"/>
        </w:rPr>
        <w:t>。同时</w:t>
      </w:r>
      <w:r w:rsidRPr="00AA6F17">
        <w:rPr>
          <w:rFonts w:ascii="楷体" w:eastAsia="楷体" w:hAnsi="楷体" w:cs="宋体"/>
          <w:kern w:val="0"/>
          <w:szCs w:val="21"/>
        </w:rPr>
        <w:t>，</w:t>
      </w:r>
      <w:r w:rsidRPr="00AA6F17">
        <w:rPr>
          <w:rFonts w:ascii="楷体" w:eastAsia="楷体" w:hAnsi="楷体" w:cs="宋体" w:hint="eastAsia"/>
          <w:kern w:val="0"/>
          <w:szCs w:val="21"/>
        </w:rPr>
        <w:t>万亿</w:t>
      </w:r>
      <w:r w:rsidRPr="00AA6F17">
        <w:rPr>
          <w:rFonts w:ascii="楷体" w:eastAsia="楷体" w:hAnsi="楷体" w:cs="宋体"/>
          <w:kern w:val="0"/>
          <w:szCs w:val="21"/>
        </w:rPr>
        <w:t>养老金入市</w:t>
      </w:r>
      <w:r w:rsidR="00732C2D">
        <w:rPr>
          <w:rFonts w:ascii="楷体" w:eastAsia="楷体" w:hAnsi="楷体" w:cs="宋体" w:hint="eastAsia"/>
          <w:kern w:val="0"/>
          <w:szCs w:val="21"/>
        </w:rPr>
        <w:t>的可能性增大，这</w:t>
      </w:r>
      <w:r w:rsidRPr="00AA6F17">
        <w:rPr>
          <w:rFonts w:ascii="楷体" w:eastAsia="楷体" w:hAnsi="楷体" w:cs="宋体"/>
          <w:kern w:val="0"/>
          <w:szCs w:val="21"/>
        </w:rPr>
        <w:t>意味着增量资金</w:t>
      </w:r>
      <w:r w:rsidR="00732C2D">
        <w:rPr>
          <w:rFonts w:ascii="楷体" w:eastAsia="楷体" w:hAnsi="楷体" w:cs="宋体" w:hint="eastAsia"/>
          <w:kern w:val="0"/>
          <w:szCs w:val="21"/>
        </w:rPr>
        <w:t>将</w:t>
      </w:r>
      <w:r w:rsidRPr="00AA6F17">
        <w:rPr>
          <w:rFonts w:ascii="楷体" w:eastAsia="楷体" w:hAnsi="楷体" w:cs="宋体" w:hint="eastAsia"/>
          <w:kern w:val="0"/>
          <w:szCs w:val="21"/>
        </w:rPr>
        <w:t>大踏步</w:t>
      </w:r>
      <w:r w:rsidRPr="00AA6F17">
        <w:rPr>
          <w:rFonts w:ascii="楷体" w:eastAsia="楷体" w:hAnsi="楷体" w:cs="宋体"/>
          <w:kern w:val="0"/>
          <w:szCs w:val="21"/>
        </w:rPr>
        <w:t>入场，或</w:t>
      </w:r>
      <w:r w:rsidR="002F3CB4">
        <w:rPr>
          <w:rFonts w:ascii="楷体" w:eastAsia="楷体" w:hAnsi="楷体" w:cs="宋体" w:hint="eastAsia"/>
          <w:kern w:val="0"/>
          <w:szCs w:val="21"/>
        </w:rPr>
        <w:t>利好</w:t>
      </w:r>
      <w:r w:rsidRPr="00AA6F17">
        <w:rPr>
          <w:rFonts w:ascii="楷体" w:eastAsia="楷体" w:hAnsi="楷体" w:cs="宋体"/>
          <w:kern w:val="0"/>
          <w:szCs w:val="21"/>
        </w:rPr>
        <w:t>A股</w:t>
      </w:r>
      <w:r w:rsidRPr="00AA6F17">
        <w:rPr>
          <w:rFonts w:ascii="楷体" w:eastAsia="楷体" w:hAnsi="楷体" w:cs="宋体" w:hint="eastAsia"/>
          <w:kern w:val="0"/>
          <w:szCs w:val="21"/>
        </w:rPr>
        <w:t>市场</w:t>
      </w:r>
      <w:r w:rsidRPr="00AA6F17">
        <w:rPr>
          <w:rFonts w:ascii="楷体" w:eastAsia="楷体" w:hAnsi="楷体" w:cs="宋体"/>
          <w:kern w:val="0"/>
          <w:szCs w:val="21"/>
        </w:rPr>
        <w:t>。</w:t>
      </w:r>
      <w:r w:rsidRPr="00AA6F17">
        <w:rPr>
          <w:rFonts w:ascii="楷体" w:eastAsia="楷体" w:hAnsi="楷体" w:cs="宋体" w:hint="eastAsia"/>
          <w:kern w:val="0"/>
          <w:szCs w:val="21"/>
        </w:rPr>
        <w:t>在</w:t>
      </w:r>
      <w:r w:rsidRPr="00AA6F17">
        <w:rPr>
          <w:rFonts w:ascii="楷体" w:eastAsia="楷体" w:hAnsi="楷体" w:cs="宋体"/>
          <w:kern w:val="0"/>
          <w:szCs w:val="21"/>
        </w:rPr>
        <w:t>经济进入</w:t>
      </w:r>
      <w:r w:rsidRPr="00AA6F17">
        <w:rPr>
          <w:rFonts w:ascii="楷体" w:eastAsia="楷体" w:hAnsi="楷体" w:cs="宋体" w:hint="eastAsia"/>
          <w:kern w:val="0"/>
          <w:szCs w:val="21"/>
        </w:rPr>
        <w:t>新常态</w:t>
      </w:r>
      <w:r w:rsidRPr="00AA6F17">
        <w:rPr>
          <w:rFonts w:ascii="楷体" w:eastAsia="楷体" w:hAnsi="楷体" w:cs="宋体"/>
          <w:kern w:val="0"/>
          <w:szCs w:val="21"/>
        </w:rPr>
        <w:t>的转型背景下</w:t>
      </w:r>
      <w:r w:rsidRPr="00AA6F17">
        <w:rPr>
          <w:rFonts w:ascii="楷体" w:eastAsia="楷体" w:hAnsi="楷体" w:cs="宋体" w:hint="eastAsia"/>
          <w:kern w:val="0"/>
          <w:szCs w:val="21"/>
        </w:rPr>
        <w:t>，新一轮投资主题正在孕育。</w:t>
      </w:r>
      <w:r w:rsidR="00732C2D">
        <w:rPr>
          <w:rFonts w:ascii="楷体" w:eastAsia="楷体" w:hAnsi="楷体" w:cs="宋体" w:hint="eastAsia"/>
          <w:kern w:val="0"/>
          <w:szCs w:val="21"/>
        </w:rPr>
        <w:t>市场风险点主要在于</w:t>
      </w:r>
      <w:r w:rsidRPr="00AA6F17">
        <w:rPr>
          <w:rFonts w:ascii="楷体" w:eastAsia="楷体" w:hAnsi="楷体" w:cs="宋体" w:hint="eastAsia"/>
          <w:kern w:val="0"/>
          <w:szCs w:val="21"/>
        </w:rPr>
        <w:t>人民币</w:t>
      </w:r>
      <w:r w:rsidR="00732C2D">
        <w:rPr>
          <w:rFonts w:ascii="楷体" w:eastAsia="楷体" w:hAnsi="楷体" w:cs="宋体" w:hint="eastAsia"/>
          <w:kern w:val="0"/>
          <w:szCs w:val="21"/>
        </w:rPr>
        <w:t>走势</w:t>
      </w:r>
      <w:r w:rsidRPr="00AA6F17">
        <w:rPr>
          <w:rFonts w:ascii="楷体" w:eastAsia="楷体" w:hAnsi="楷体" w:cs="宋体" w:hint="eastAsia"/>
          <w:kern w:val="0"/>
          <w:szCs w:val="21"/>
        </w:rPr>
        <w:t>和</w:t>
      </w:r>
      <w:r w:rsidR="00732C2D">
        <w:rPr>
          <w:rFonts w:ascii="楷体" w:eastAsia="楷体" w:hAnsi="楷体" w:cs="宋体" w:hint="eastAsia"/>
          <w:kern w:val="0"/>
          <w:szCs w:val="21"/>
        </w:rPr>
        <w:t>国际</w:t>
      </w:r>
      <w:r w:rsidRPr="00AA6F17">
        <w:rPr>
          <w:rFonts w:ascii="楷体" w:eastAsia="楷体" w:hAnsi="楷体" w:cs="宋体" w:hint="eastAsia"/>
          <w:kern w:val="0"/>
          <w:szCs w:val="21"/>
        </w:rPr>
        <w:t>资本</w:t>
      </w:r>
      <w:r w:rsidR="00732C2D">
        <w:rPr>
          <w:rFonts w:ascii="楷体" w:eastAsia="楷体" w:hAnsi="楷体" w:cs="宋体" w:hint="eastAsia"/>
          <w:kern w:val="0"/>
          <w:szCs w:val="21"/>
        </w:rPr>
        <w:t>流动情况</w:t>
      </w:r>
      <w:r w:rsidRPr="00AA6F17">
        <w:rPr>
          <w:rFonts w:ascii="楷体" w:eastAsia="楷体" w:hAnsi="楷体" w:cs="宋体" w:hint="eastAsia"/>
          <w:kern w:val="0"/>
          <w:szCs w:val="21"/>
        </w:rPr>
        <w:t>。</w:t>
      </w:r>
    </w:p>
    <w:p w:rsidR="009438DB" w:rsidRPr="00AA6F17" w:rsidRDefault="00A221AD" w:rsidP="00732C2D">
      <w:pPr>
        <w:spacing w:beforeLines="50" w:before="156" w:afterLines="50" w:after="156"/>
        <w:ind w:leftChars="1350" w:left="2835" w:firstLineChars="176" w:firstLine="424"/>
        <w:rPr>
          <w:rFonts w:ascii="楷体" w:eastAsia="楷体" w:hAnsi="楷体" w:cs="宋体"/>
          <w:kern w:val="0"/>
          <w:szCs w:val="21"/>
        </w:rPr>
      </w:pPr>
      <w:r>
        <w:rPr>
          <w:rFonts w:ascii="楷体" w:eastAsia="楷体" w:hAnsi="楷体" w:cs="宋体-18030" w:hint="eastAsia"/>
          <w:b/>
          <w:bCs/>
          <w:color w:val="003366"/>
          <w:kern w:val="44"/>
          <w:sz w:val="24"/>
        </w:rPr>
        <w:t>（二）基金投资策略：</w:t>
      </w:r>
      <w:r w:rsidR="00F83461" w:rsidRPr="00F83461">
        <w:rPr>
          <w:rFonts w:ascii="楷体" w:eastAsia="楷体" w:hAnsi="楷体" w:cs="宋体-18030" w:hint="eastAsia"/>
          <w:b/>
          <w:bCs/>
          <w:color w:val="003366"/>
          <w:kern w:val="44"/>
          <w:sz w:val="24"/>
        </w:rPr>
        <w:t>放眼海外资产，把握热点适度进取</w:t>
      </w:r>
    </w:p>
    <w:p w:rsidR="009438DB" w:rsidRPr="00AA6F17" w:rsidRDefault="001D70E2" w:rsidP="00732C2D">
      <w:pPr>
        <w:spacing w:beforeLines="50" w:before="156"/>
        <w:ind w:left="2835" w:firstLineChars="202" w:firstLine="424"/>
        <w:rPr>
          <w:rFonts w:ascii="楷体" w:eastAsia="楷体" w:hAnsi="楷体" w:cs="宋体"/>
          <w:kern w:val="0"/>
          <w:szCs w:val="21"/>
        </w:rPr>
      </w:pPr>
      <w:r w:rsidRPr="00AA6F17">
        <w:rPr>
          <w:rFonts w:ascii="楷体" w:eastAsia="楷体" w:hAnsi="楷体" w:cs="宋体" w:hint="eastAsia"/>
          <w:kern w:val="0"/>
          <w:szCs w:val="21"/>
        </w:rPr>
        <w:t>海外方面，加息后</w:t>
      </w:r>
      <w:r w:rsidRPr="00AA6F17">
        <w:rPr>
          <w:rFonts w:ascii="楷体" w:eastAsia="楷体" w:hAnsi="楷体" w:cs="宋体"/>
          <w:kern w:val="0"/>
          <w:szCs w:val="21"/>
        </w:rPr>
        <w:t>美元小幅下跌或是由于市场之前对加息的充分预期，长期来看</w:t>
      </w:r>
      <w:r w:rsidRPr="00AA6F17">
        <w:rPr>
          <w:rFonts w:ascii="楷体" w:eastAsia="楷体" w:hAnsi="楷体" w:cs="宋体" w:hint="eastAsia"/>
          <w:kern w:val="0"/>
          <w:szCs w:val="21"/>
        </w:rPr>
        <w:t>美元</w:t>
      </w:r>
      <w:r>
        <w:rPr>
          <w:rFonts w:ascii="楷体" w:eastAsia="楷体" w:hAnsi="楷体" w:cs="宋体" w:hint="eastAsia"/>
          <w:kern w:val="0"/>
          <w:szCs w:val="21"/>
        </w:rPr>
        <w:t>有望</w:t>
      </w:r>
      <w:r w:rsidRPr="00AA6F17">
        <w:rPr>
          <w:rFonts w:ascii="楷体" w:eastAsia="楷体" w:hAnsi="楷体" w:cs="宋体" w:hint="eastAsia"/>
          <w:kern w:val="0"/>
          <w:szCs w:val="21"/>
        </w:rPr>
        <w:t>持续走强，适当增配海外成熟市场投资正当其时。</w:t>
      </w:r>
      <w:r w:rsidRPr="001548DA">
        <w:rPr>
          <w:rFonts w:ascii="楷体" w:eastAsia="楷体" w:hAnsi="楷体" w:cs="宋体" w:hint="eastAsia"/>
          <w:kern w:val="0"/>
          <w:szCs w:val="21"/>
        </w:rPr>
        <w:t>国内</w:t>
      </w:r>
      <w:r w:rsidR="00732C2D">
        <w:rPr>
          <w:rFonts w:ascii="楷体" w:eastAsia="楷体" w:hAnsi="楷体" w:cs="宋体" w:hint="eastAsia"/>
          <w:kern w:val="0"/>
          <w:szCs w:val="21"/>
        </w:rPr>
        <w:t>短期市场或出现波动但长期投资价值明显，</w:t>
      </w:r>
      <w:r w:rsidRPr="001548DA">
        <w:rPr>
          <w:rFonts w:ascii="楷体" w:eastAsia="楷体" w:hAnsi="楷体" w:cs="宋体" w:hint="eastAsia"/>
          <w:kern w:val="0"/>
          <w:szCs w:val="21"/>
        </w:rPr>
        <w:t>资产配置的定位倾向于战略型</w:t>
      </w:r>
      <w:r>
        <w:rPr>
          <w:rFonts w:ascii="楷体" w:eastAsia="楷体" w:hAnsi="楷体" w:cs="宋体" w:hint="eastAsia"/>
          <w:kern w:val="0"/>
          <w:szCs w:val="21"/>
        </w:rPr>
        <w:t>。</w:t>
      </w:r>
      <w:r w:rsidR="009438DB" w:rsidRPr="00AA6F17">
        <w:rPr>
          <w:rFonts w:ascii="楷体" w:eastAsia="楷体" w:hAnsi="楷体" w:cs="宋体" w:hint="eastAsia"/>
          <w:kern w:val="0"/>
          <w:szCs w:val="21"/>
        </w:rPr>
        <w:t>权益类资产特别是新经济、新消费的主题概念</w:t>
      </w:r>
      <w:proofErr w:type="gramStart"/>
      <w:r w:rsidR="009438DB" w:rsidRPr="00AA6F17">
        <w:rPr>
          <w:rFonts w:ascii="楷体" w:eastAsia="楷体" w:hAnsi="楷体" w:cs="宋体" w:hint="eastAsia"/>
          <w:kern w:val="0"/>
          <w:szCs w:val="21"/>
        </w:rPr>
        <w:t>类</w:t>
      </w:r>
      <w:r>
        <w:rPr>
          <w:rFonts w:ascii="楷体" w:eastAsia="楷体" w:hAnsi="楷体" w:cs="宋体" w:hint="eastAsia"/>
          <w:kern w:val="0"/>
          <w:szCs w:val="21"/>
        </w:rPr>
        <w:t>值得</w:t>
      </w:r>
      <w:proofErr w:type="gramEnd"/>
      <w:r>
        <w:rPr>
          <w:rFonts w:ascii="楷体" w:eastAsia="楷体" w:hAnsi="楷体" w:cs="宋体" w:hint="eastAsia"/>
          <w:kern w:val="0"/>
          <w:szCs w:val="21"/>
        </w:rPr>
        <w:t>关注</w:t>
      </w:r>
      <w:r w:rsidR="009438DB" w:rsidRPr="00AA6F17">
        <w:rPr>
          <w:rFonts w:ascii="楷体" w:eastAsia="楷体" w:hAnsi="楷体" w:cs="宋体"/>
          <w:kern w:val="0"/>
          <w:szCs w:val="21"/>
        </w:rPr>
        <w:t>。</w:t>
      </w:r>
      <w:r w:rsidR="009438DB" w:rsidRPr="00AA6F17">
        <w:rPr>
          <w:rFonts w:ascii="楷体" w:eastAsia="楷体" w:hAnsi="楷体" w:cs="宋体" w:hint="eastAsia"/>
          <w:kern w:val="0"/>
          <w:szCs w:val="21"/>
        </w:rPr>
        <w:t>建议投资者总体对市场维持相对乐观，低风险投资适当维持权益类资产的</w:t>
      </w:r>
      <w:r w:rsidR="00732C2D">
        <w:rPr>
          <w:rFonts w:ascii="楷体" w:eastAsia="楷体" w:hAnsi="楷体" w:cs="宋体" w:hint="eastAsia"/>
          <w:kern w:val="0"/>
          <w:szCs w:val="21"/>
        </w:rPr>
        <w:t>稳健</w:t>
      </w:r>
      <w:r w:rsidR="009438DB" w:rsidRPr="00AA6F17">
        <w:rPr>
          <w:rFonts w:ascii="楷体" w:eastAsia="楷体" w:hAnsi="楷体" w:cs="宋体" w:hint="eastAsia"/>
          <w:kern w:val="0"/>
          <w:szCs w:val="21"/>
        </w:rPr>
        <w:t>配置；高风险投资者提高</w:t>
      </w:r>
      <w:r w:rsidR="00732C2D">
        <w:rPr>
          <w:rFonts w:ascii="楷体" w:eastAsia="楷体" w:hAnsi="楷体" w:cs="宋体" w:hint="eastAsia"/>
          <w:kern w:val="0"/>
          <w:szCs w:val="21"/>
        </w:rPr>
        <w:t>权益基金</w:t>
      </w:r>
      <w:r w:rsidR="009438DB" w:rsidRPr="00AA6F17">
        <w:rPr>
          <w:rFonts w:ascii="楷体" w:eastAsia="楷体" w:hAnsi="楷体" w:cs="宋体" w:hint="eastAsia"/>
          <w:kern w:val="0"/>
          <w:szCs w:val="21"/>
        </w:rPr>
        <w:t>配置</w:t>
      </w:r>
      <w:r w:rsidR="00732C2D">
        <w:rPr>
          <w:rFonts w:ascii="楷体" w:eastAsia="楷体" w:hAnsi="楷体" w:cs="宋体" w:hint="eastAsia"/>
          <w:kern w:val="0"/>
          <w:szCs w:val="21"/>
        </w:rPr>
        <w:t>比例争取风险收益</w:t>
      </w:r>
      <w:r w:rsidR="009438DB" w:rsidRPr="00AA6F17">
        <w:rPr>
          <w:rFonts w:ascii="楷体" w:eastAsia="楷体" w:hAnsi="楷体" w:cs="宋体" w:hint="eastAsia"/>
          <w:kern w:val="0"/>
          <w:szCs w:val="21"/>
        </w:rPr>
        <w:t>。</w:t>
      </w:r>
    </w:p>
    <w:p w:rsidR="009438DB" w:rsidRPr="00AA6F17" w:rsidRDefault="009438DB" w:rsidP="00732C2D">
      <w:pPr>
        <w:spacing w:beforeLines="50" w:before="156"/>
        <w:ind w:left="2835" w:firstLineChars="202" w:firstLine="426"/>
        <w:rPr>
          <w:rFonts w:ascii="楷体" w:eastAsia="楷体" w:hAnsi="楷体" w:cs="宋体"/>
          <w:kern w:val="0"/>
          <w:szCs w:val="21"/>
        </w:rPr>
      </w:pPr>
      <w:r w:rsidRPr="00AA6F17">
        <w:rPr>
          <w:rFonts w:ascii="楷体" w:eastAsia="楷体" w:hAnsi="楷体" w:cs="宋体" w:hint="eastAsia"/>
          <w:b/>
          <w:kern w:val="0"/>
          <w:szCs w:val="21"/>
        </w:rPr>
        <w:lastRenderedPageBreak/>
        <w:t>权益基金方面，</w:t>
      </w:r>
      <w:r w:rsidRPr="00AA6F17">
        <w:rPr>
          <w:rFonts w:ascii="楷体" w:eastAsia="楷体" w:hAnsi="楷体" w:cs="宋体" w:hint="eastAsia"/>
          <w:kern w:val="0"/>
          <w:szCs w:val="21"/>
        </w:rPr>
        <w:t>预期</w:t>
      </w:r>
      <w:r w:rsidRPr="00AA6F17">
        <w:rPr>
          <w:rFonts w:ascii="楷体" w:eastAsia="楷体" w:hAnsi="楷体" w:cs="宋体"/>
          <w:kern w:val="0"/>
          <w:szCs w:val="21"/>
        </w:rPr>
        <w:t>1</w:t>
      </w:r>
      <w:r w:rsidRPr="00AA6F17">
        <w:rPr>
          <w:rFonts w:ascii="楷体" w:eastAsia="楷体" w:hAnsi="楷体" w:cs="宋体" w:hint="eastAsia"/>
          <w:kern w:val="0"/>
          <w:szCs w:val="21"/>
        </w:rPr>
        <w:t>月在多重因素的引导下，风险偏好将会回升，A股波动增大，建议年初权益</w:t>
      </w:r>
      <w:r w:rsidRPr="00AD224C">
        <w:rPr>
          <w:rFonts w:ascii="楷体" w:eastAsia="楷体" w:hAnsi="楷体" w:cs="宋体" w:hint="eastAsia"/>
          <w:kern w:val="0"/>
          <w:szCs w:val="21"/>
        </w:rPr>
        <w:t>策略为适当进取</w:t>
      </w:r>
      <w:r w:rsidRPr="00AD224C">
        <w:rPr>
          <w:rFonts w:ascii="楷体" w:eastAsia="楷体" w:hAnsi="楷体" w:cs="宋体"/>
          <w:kern w:val="0"/>
          <w:szCs w:val="21"/>
        </w:rPr>
        <w:t>。</w:t>
      </w:r>
      <w:r w:rsidRPr="00AD224C">
        <w:rPr>
          <w:rFonts w:ascii="楷体" w:eastAsia="楷体" w:hAnsi="楷体" w:cs="宋体" w:hint="eastAsia"/>
          <w:kern w:val="0"/>
          <w:szCs w:val="21"/>
        </w:rPr>
        <w:t>9月份以来中小</w:t>
      </w:r>
      <w:proofErr w:type="gramStart"/>
      <w:r w:rsidRPr="00AD224C">
        <w:rPr>
          <w:rFonts w:ascii="楷体" w:eastAsia="楷体" w:hAnsi="楷体" w:cs="宋体" w:hint="eastAsia"/>
          <w:kern w:val="0"/>
          <w:szCs w:val="21"/>
        </w:rPr>
        <w:t>创</w:t>
      </w:r>
      <w:r w:rsidRPr="00AD224C">
        <w:rPr>
          <w:rFonts w:ascii="楷体" w:eastAsia="楷体" w:hAnsi="楷体" w:cs="宋体"/>
          <w:kern w:val="0"/>
          <w:szCs w:val="21"/>
        </w:rPr>
        <w:t>反弹</w:t>
      </w:r>
      <w:proofErr w:type="gramEnd"/>
      <w:r w:rsidRPr="00AD224C">
        <w:rPr>
          <w:rFonts w:ascii="楷体" w:eastAsia="楷体" w:hAnsi="楷体" w:cs="宋体"/>
          <w:kern w:val="0"/>
          <w:szCs w:val="21"/>
        </w:rPr>
        <w:t>幅度大幅超越</w:t>
      </w:r>
      <w:r w:rsidRPr="00AD224C">
        <w:rPr>
          <w:rFonts w:ascii="楷体" w:eastAsia="楷体" w:hAnsi="楷体" w:cs="宋体" w:hint="eastAsia"/>
          <w:kern w:val="0"/>
          <w:szCs w:val="21"/>
        </w:rPr>
        <w:t>上证综指</w:t>
      </w:r>
      <w:r w:rsidRPr="00AD224C">
        <w:rPr>
          <w:rFonts w:ascii="楷体" w:eastAsia="楷体" w:hAnsi="楷体" w:cs="宋体"/>
          <w:kern w:val="0"/>
          <w:szCs w:val="21"/>
        </w:rPr>
        <w:t>和深成指，结构性</w:t>
      </w:r>
      <w:r w:rsidRPr="00AD224C">
        <w:rPr>
          <w:rFonts w:ascii="楷体" w:eastAsia="楷体" w:hAnsi="楷体" w:cs="宋体" w:hint="eastAsia"/>
          <w:kern w:val="0"/>
          <w:szCs w:val="21"/>
        </w:rPr>
        <w:t>行情</w:t>
      </w:r>
      <w:r w:rsidRPr="00AD224C">
        <w:rPr>
          <w:rFonts w:ascii="楷体" w:eastAsia="楷体" w:hAnsi="楷体" w:cs="宋体"/>
          <w:kern w:val="0"/>
          <w:szCs w:val="21"/>
        </w:rPr>
        <w:t>明显</w:t>
      </w:r>
      <w:r w:rsidRPr="00AD224C">
        <w:rPr>
          <w:rFonts w:ascii="楷体" w:eastAsia="楷体" w:hAnsi="楷体" w:cs="宋体" w:hint="eastAsia"/>
          <w:kern w:val="0"/>
          <w:szCs w:val="21"/>
        </w:rPr>
        <w:t>。</w:t>
      </w:r>
      <w:r w:rsidRPr="00AD224C">
        <w:rPr>
          <w:rFonts w:ascii="楷体" w:eastAsia="楷体" w:hAnsi="楷体" w:cs="宋体"/>
          <w:kern w:val="0"/>
          <w:szCs w:val="21"/>
        </w:rPr>
        <w:t>与</w:t>
      </w:r>
      <w:r w:rsidRPr="00AA6F17">
        <w:rPr>
          <w:rFonts w:ascii="楷体" w:eastAsia="楷体" w:hAnsi="楷体" w:cs="宋体"/>
          <w:kern w:val="0"/>
          <w:szCs w:val="21"/>
        </w:rPr>
        <w:t>此同时</w:t>
      </w:r>
      <w:r w:rsidRPr="00AA6F17">
        <w:rPr>
          <w:rFonts w:ascii="楷体" w:eastAsia="楷体" w:hAnsi="楷体" w:cs="宋体" w:hint="eastAsia"/>
          <w:kern w:val="0"/>
          <w:szCs w:val="21"/>
        </w:rPr>
        <w:t>，</w:t>
      </w:r>
      <w:proofErr w:type="gramStart"/>
      <w:r w:rsidRPr="00AA6F17">
        <w:rPr>
          <w:rFonts w:ascii="楷体" w:eastAsia="楷体" w:hAnsi="楷体" w:cs="宋体"/>
          <w:kern w:val="0"/>
          <w:szCs w:val="21"/>
        </w:rPr>
        <w:t>险资频繁</w:t>
      </w:r>
      <w:proofErr w:type="gramEnd"/>
      <w:r w:rsidRPr="00AA6F17">
        <w:rPr>
          <w:rFonts w:ascii="楷体" w:eastAsia="楷体" w:hAnsi="楷体" w:cs="宋体"/>
          <w:kern w:val="0"/>
          <w:szCs w:val="21"/>
        </w:rPr>
        <w:t>举牌</w:t>
      </w:r>
      <w:r w:rsidRPr="00AA6F17">
        <w:rPr>
          <w:rFonts w:ascii="楷体" w:eastAsia="楷体" w:hAnsi="楷体" w:cs="宋体" w:hint="eastAsia"/>
          <w:kern w:val="0"/>
          <w:szCs w:val="21"/>
        </w:rPr>
        <w:t>高股息</w:t>
      </w:r>
      <w:r w:rsidRPr="00AA6F17">
        <w:rPr>
          <w:rFonts w:ascii="楷体" w:eastAsia="楷体" w:hAnsi="楷体" w:cs="宋体"/>
          <w:kern w:val="0"/>
          <w:szCs w:val="21"/>
        </w:rPr>
        <w:t>、</w:t>
      </w:r>
      <w:r w:rsidRPr="00AA6F17">
        <w:rPr>
          <w:rFonts w:ascii="楷体" w:eastAsia="楷体" w:hAnsi="楷体" w:cs="宋体" w:hint="eastAsia"/>
          <w:kern w:val="0"/>
          <w:szCs w:val="21"/>
        </w:rPr>
        <w:t>低估值</w:t>
      </w:r>
      <w:r w:rsidRPr="00AA6F17">
        <w:rPr>
          <w:rFonts w:ascii="楷体" w:eastAsia="楷体" w:hAnsi="楷体" w:cs="宋体"/>
          <w:kern w:val="0"/>
          <w:szCs w:val="21"/>
        </w:rPr>
        <w:t>的蓝筹企业，</w:t>
      </w:r>
      <w:r w:rsidRPr="00AA6F17">
        <w:rPr>
          <w:rFonts w:ascii="楷体" w:eastAsia="楷体" w:hAnsi="楷体" w:cs="宋体" w:hint="eastAsia"/>
          <w:kern w:val="0"/>
          <w:szCs w:val="21"/>
        </w:rPr>
        <w:t>价值</w:t>
      </w:r>
      <w:r w:rsidRPr="00AA6F17">
        <w:rPr>
          <w:rFonts w:ascii="楷体" w:eastAsia="楷体" w:hAnsi="楷体" w:cs="宋体"/>
          <w:kern w:val="0"/>
          <w:szCs w:val="21"/>
        </w:rPr>
        <w:t>投资意图明显。</w:t>
      </w:r>
      <w:r w:rsidRPr="00AA6F17">
        <w:rPr>
          <w:rFonts w:ascii="楷体" w:eastAsia="楷体" w:hAnsi="楷体" w:cs="宋体" w:hint="eastAsia"/>
          <w:kern w:val="0"/>
          <w:szCs w:val="21"/>
        </w:rPr>
        <w:t>因此</w:t>
      </w:r>
      <w:r w:rsidRPr="00AA6F17">
        <w:rPr>
          <w:rFonts w:ascii="楷体" w:eastAsia="楷体" w:hAnsi="楷体" w:cs="宋体"/>
          <w:kern w:val="0"/>
          <w:szCs w:val="21"/>
        </w:rPr>
        <w:t>，</w:t>
      </w:r>
      <w:r w:rsidRPr="00AA6F17">
        <w:rPr>
          <w:rFonts w:ascii="楷体" w:eastAsia="楷体" w:hAnsi="楷体" w:cs="宋体" w:hint="eastAsia"/>
          <w:kern w:val="0"/>
          <w:szCs w:val="21"/>
        </w:rPr>
        <w:t>我们推荐投资风格较为均衡、波段操作能力强的混合型基金，能适时把握结构性机会及局部热点。主题方面，我们推荐创新以及人口结构变换带来的新消费、节能环保</w:t>
      </w:r>
      <w:r w:rsidRPr="00AA6F17">
        <w:rPr>
          <w:rFonts w:ascii="楷体" w:eastAsia="楷体" w:hAnsi="楷体" w:cs="宋体"/>
          <w:kern w:val="0"/>
          <w:szCs w:val="21"/>
        </w:rPr>
        <w:t>、高端制造、新材料和能源汽车等行业</w:t>
      </w:r>
      <w:r w:rsidRPr="00AA6F17">
        <w:rPr>
          <w:rFonts w:ascii="楷体" w:eastAsia="楷体" w:hAnsi="楷体" w:cs="宋体" w:hint="eastAsia"/>
          <w:kern w:val="0"/>
          <w:szCs w:val="21"/>
        </w:rPr>
        <w:t>，这些</w:t>
      </w:r>
      <w:r w:rsidRPr="00AA6F17">
        <w:rPr>
          <w:rFonts w:ascii="楷体" w:eastAsia="楷体" w:hAnsi="楷体" w:cs="宋体"/>
          <w:kern w:val="0"/>
          <w:szCs w:val="21"/>
        </w:rPr>
        <w:t>重点发展的战略新兴产业</w:t>
      </w:r>
      <w:r w:rsidRPr="00AA6F17">
        <w:rPr>
          <w:rFonts w:ascii="楷体" w:eastAsia="楷体" w:hAnsi="楷体" w:cs="宋体" w:hint="eastAsia"/>
          <w:kern w:val="0"/>
          <w:szCs w:val="21"/>
        </w:rPr>
        <w:t>在</w:t>
      </w:r>
      <w:r w:rsidRPr="00AA6F17">
        <w:rPr>
          <w:rFonts w:ascii="楷体" w:eastAsia="楷体" w:hAnsi="楷体" w:cs="宋体"/>
          <w:kern w:val="0"/>
          <w:szCs w:val="21"/>
        </w:rPr>
        <w:t>A股市场中的比重呈现不断增加的趋势</w:t>
      </w:r>
      <w:r w:rsidRPr="00AA6F17">
        <w:rPr>
          <w:rFonts w:ascii="楷体" w:eastAsia="楷体" w:hAnsi="楷体" w:cs="宋体" w:hint="eastAsia"/>
          <w:kern w:val="0"/>
          <w:szCs w:val="21"/>
        </w:rPr>
        <w:t>，</w:t>
      </w:r>
      <w:r w:rsidRPr="00AA6F17">
        <w:rPr>
          <w:rFonts w:ascii="楷体" w:eastAsia="楷体" w:hAnsi="楷体" w:cs="宋体"/>
          <w:kern w:val="0"/>
          <w:szCs w:val="21"/>
        </w:rPr>
        <w:t>布局机会明显。</w:t>
      </w:r>
    </w:p>
    <w:p w:rsidR="009438DB" w:rsidRPr="00AA6F17" w:rsidRDefault="009438DB" w:rsidP="00732C2D">
      <w:pPr>
        <w:spacing w:beforeLines="50" w:before="156"/>
        <w:ind w:left="2835" w:firstLineChars="202" w:firstLine="426"/>
        <w:rPr>
          <w:rFonts w:ascii="楷体" w:eastAsia="楷体" w:hAnsi="楷体" w:cs="宋体"/>
          <w:kern w:val="0"/>
          <w:szCs w:val="21"/>
        </w:rPr>
      </w:pPr>
      <w:r w:rsidRPr="00AA6F17">
        <w:rPr>
          <w:rFonts w:ascii="楷体" w:eastAsia="楷体" w:hAnsi="楷体" w:cs="宋体" w:hint="eastAsia"/>
          <w:b/>
          <w:kern w:val="0"/>
          <w:szCs w:val="21"/>
        </w:rPr>
        <w:t>固定收益基金方面，</w:t>
      </w:r>
      <w:r w:rsidRPr="00AA6F17">
        <w:rPr>
          <w:rFonts w:ascii="楷体" w:eastAsia="楷体" w:hAnsi="楷体" w:cs="宋体" w:hint="eastAsia"/>
          <w:kern w:val="0"/>
          <w:szCs w:val="21"/>
        </w:rPr>
        <w:t>我们预计2016年货币政策仍受国内经济周期影响</w:t>
      </w:r>
      <w:r w:rsidR="00732C2D" w:rsidRPr="00AA6F17">
        <w:rPr>
          <w:rFonts w:ascii="楷体" w:eastAsia="楷体" w:hAnsi="楷体" w:cs="宋体" w:hint="eastAsia"/>
          <w:kern w:val="0"/>
          <w:szCs w:val="21"/>
        </w:rPr>
        <w:t>延续</w:t>
      </w:r>
      <w:r w:rsidR="00732C2D">
        <w:rPr>
          <w:rFonts w:ascii="楷体" w:eastAsia="楷体" w:hAnsi="楷体" w:cs="宋体" w:hint="eastAsia"/>
          <w:kern w:val="0"/>
          <w:szCs w:val="21"/>
        </w:rPr>
        <w:t>相对</w:t>
      </w:r>
      <w:r w:rsidRPr="00AA6F17">
        <w:rPr>
          <w:rFonts w:ascii="楷体" w:eastAsia="楷体" w:hAnsi="楷体" w:cs="宋体" w:hint="eastAsia"/>
          <w:kern w:val="0"/>
          <w:szCs w:val="21"/>
        </w:rPr>
        <w:t>宽松，</w:t>
      </w:r>
      <w:r w:rsidR="00732C2D" w:rsidRPr="00AA6F17">
        <w:rPr>
          <w:rFonts w:ascii="楷体" w:eastAsia="楷体" w:hAnsi="楷体" w:cs="宋体" w:hint="eastAsia"/>
          <w:kern w:val="0"/>
          <w:szCs w:val="21"/>
        </w:rPr>
        <w:t>名义GDP的持续下探压力</w:t>
      </w:r>
      <w:r w:rsidR="00732C2D">
        <w:rPr>
          <w:rFonts w:ascii="楷体" w:eastAsia="楷体" w:hAnsi="楷体" w:cs="宋体" w:hint="eastAsia"/>
          <w:kern w:val="0"/>
          <w:szCs w:val="21"/>
        </w:rPr>
        <w:t>为</w:t>
      </w:r>
      <w:r w:rsidRPr="00AA6F17">
        <w:rPr>
          <w:rFonts w:ascii="楷体" w:eastAsia="楷体" w:hAnsi="楷体" w:cs="宋体"/>
          <w:kern w:val="0"/>
          <w:szCs w:val="21"/>
        </w:rPr>
        <w:t>长</w:t>
      </w:r>
      <w:proofErr w:type="gramStart"/>
      <w:r w:rsidRPr="00AA6F17">
        <w:rPr>
          <w:rFonts w:ascii="楷体" w:eastAsia="楷体" w:hAnsi="楷体" w:cs="宋体"/>
          <w:kern w:val="0"/>
          <w:szCs w:val="21"/>
        </w:rPr>
        <w:t>端</w:t>
      </w:r>
      <w:r w:rsidRPr="00AA6F17">
        <w:rPr>
          <w:rFonts w:ascii="楷体" w:eastAsia="楷体" w:hAnsi="楷体" w:cs="宋体" w:hint="eastAsia"/>
          <w:kern w:val="0"/>
          <w:szCs w:val="21"/>
        </w:rPr>
        <w:t>利率</w:t>
      </w:r>
      <w:proofErr w:type="gramEnd"/>
      <w:r w:rsidR="00732C2D">
        <w:rPr>
          <w:rFonts w:ascii="楷体" w:eastAsia="楷体" w:hAnsi="楷体" w:cs="宋体" w:hint="eastAsia"/>
          <w:kern w:val="0"/>
          <w:szCs w:val="21"/>
        </w:rPr>
        <w:t>的</w:t>
      </w:r>
      <w:r w:rsidRPr="00AA6F17">
        <w:rPr>
          <w:rFonts w:ascii="楷体" w:eastAsia="楷体" w:hAnsi="楷体" w:cs="宋体" w:hint="eastAsia"/>
          <w:kern w:val="0"/>
          <w:szCs w:val="21"/>
        </w:rPr>
        <w:t>进一步向下打开空间</w:t>
      </w:r>
      <w:r w:rsidR="00732C2D">
        <w:rPr>
          <w:rFonts w:ascii="楷体" w:eastAsia="楷体" w:hAnsi="楷体" w:cs="宋体" w:hint="eastAsia"/>
          <w:kern w:val="0"/>
          <w:szCs w:val="21"/>
        </w:rPr>
        <w:t>，</w:t>
      </w:r>
      <w:r w:rsidR="00732C2D" w:rsidRPr="00AA6F17">
        <w:rPr>
          <w:rFonts w:ascii="楷体" w:eastAsia="楷体" w:hAnsi="楷体" w:cs="宋体"/>
          <w:kern w:val="0"/>
          <w:szCs w:val="21"/>
        </w:rPr>
        <w:t>降息</w:t>
      </w:r>
      <w:proofErr w:type="gramStart"/>
      <w:r w:rsidR="00732C2D">
        <w:rPr>
          <w:rFonts w:ascii="楷体" w:eastAsia="楷体" w:hAnsi="楷体" w:cs="宋体" w:hint="eastAsia"/>
          <w:kern w:val="0"/>
          <w:szCs w:val="21"/>
        </w:rPr>
        <w:t>降准均</w:t>
      </w:r>
      <w:proofErr w:type="gramEnd"/>
      <w:r w:rsidR="00732C2D">
        <w:rPr>
          <w:rFonts w:ascii="楷体" w:eastAsia="楷体" w:hAnsi="楷体" w:cs="宋体" w:hint="eastAsia"/>
          <w:kern w:val="0"/>
          <w:szCs w:val="21"/>
        </w:rPr>
        <w:t>仍有一定空间</w:t>
      </w:r>
      <w:r w:rsidRPr="00AA6F17">
        <w:rPr>
          <w:rFonts w:ascii="楷体" w:eastAsia="楷体" w:hAnsi="楷体" w:cs="宋体" w:hint="eastAsia"/>
          <w:kern w:val="0"/>
          <w:szCs w:val="21"/>
        </w:rPr>
        <w:t>。对中长期利率债而言，经济下行导致违约相关性升高，</w:t>
      </w:r>
      <w:r w:rsidRPr="00AA6F17">
        <w:rPr>
          <w:rFonts w:ascii="楷体" w:eastAsia="楷体" w:hAnsi="楷体" w:cs="宋体"/>
          <w:kern w:val="0"/>
          <w:szCs w:val="21"/>
        </w:rPr>
        <w:t>信用事件密集爆发等因素暗示</w:t>
      </w:r>
      <w:r w:rsidRPr="00AA6F17">
        <w:rPr>
          <w:rFonts w:ascii="楷体" w:eastAsia="楷体" w:hAnsi="楷体" w:cs="宋体" w:hint="eastAsia"/>
          <w:kern w:val="0"/>
          <w:szCs w:val="21"/>
        </w:rPr>
        <w:t>信用风险明年有可能进一步放大，主要集中在那些产能过剩以及周期性强的行业企业，导致信用利差大概率扩大。12月19日证监会发布更严格货币市场基金</w:t>
      </w:r>
      <w:r w:rsidR="008735FF">
        <w:rPr>
          <w:rFonts w:ascii="楷体" w:eastAsia="楷体" w:hAnsi="楷体" w:cs="宋体" w:hint="eastAsia"/>
          <w:kern w:val="0"/>
          <w:szCs w:val="21"/>
        </w:rPr>
        <w:t>监管办法或将加速压低明年货币市场整体收益率，庞大的</w:t>
      </w:r>
      <w:proofErr w:type="gramStart"/>
      <w:r w:rsidR="008735FF">
        <w:rPr>
          <w:rFonts w:ascii="楷体" w:eastAsia="楷体" w:hAnsi="楷体" w:cs="宋体" w:hint="eastAsia"/>
          <w:kern w:val="0"/>
          <w:szCs w:val="21"/>
        </w:rPr>
        <w:t>货基资金</w:t>
      </w:r>
      <w:proofErr w:type="gramEnd"/>
      <w:r w:rsidR="008735FF">
        <w:rPr>
          <w:rFonts w:ascii="楷体" w:eastAsia="楷体" w:hAnsi="楷体" w:cs="宋体" w:hint="eastAsia"/>
          <w:kern w:val="0"/>
          <w:szCs w:val="21"/>
        </w:rPr>
        <w:t>有望</w:t>
      </w:r>
      <w:r w:rsidRPr="00AA6F17">
        <w:rPr>
          <w:rFonts w:ascii="楷体" w:eastAsia="楷体" w:hAnsi="楷体" w:cs="宋体" w:hint="eastAsia"/>
          <w:kern w:val="0"/>
          <w:szCs w:val="21"/>
        </w:rPr>
        <w:t>流向收益率相对较高</w:t>
      </w:r>
      <w:proofErr w:type="gramStart"/>
      <w:r w:rsidRPr="00AA6F17">
        <w:rPr>
          <w:rFonts w:ascii="楷体" w:eastAsia="楷体" w:hAnsi="楷体" w:cs="宋体" w:hint="eastAsia"/>
          <w:kern w:val="0"/>
          <w:szCs w:val="21"/>
        </w:rPr>
        <w:t>的债基市场</w:t>
      </w:r>
      <w:proofErr w:type="gramEnd"/>
      <w:r w:rsidRPr="00AA6F17">
        <w:rPr>
          <w:rFonts w:ascii="楷体" w:eastAsia="楷体" w:hAnsi="楷体" w:cs="宋体" w:hint="eastAsia"/>
          <w:kern w:val="0"/>
          <w:szCs w:val="21"/>
        </w:rPr>
        <w:t>，对债市形成利好。截至2015年12月24日，</w:t>
      </w:r>
      <w:r w:rsidRPr="00AA6F17">
        <w:rPr>
          <w:rFonts w:ascii="楷体" w:eastAsia="楷体" w:hAnsi="楷体" w:cs="宋体"/>
          <w:kern w:val="0"/>
          <w:szCs w:val="21"/>
        </w:rPr>
        <w:t>10</w:t>
      </w:r>
      <w:r w:rsidRPr="00AA6F17">
        <w:rPr>
          <w:rFonts w:ascii="楷体" w:eastAsia="楷体" w:hAnsi="楷体" w:cs="宋体" w:hint="eastAsia"/>
          <w:kern w:val="0"/>
          <w:szCs w:val="21"/>
        </w:rPr>
        <w:t>年期国债收益率、10年国开债、AA</w:t>
      </w:r>
      <w:r w:rsidRPr="00AA6F17">
        <w:rPr>
          <w:rFonts w:ascii="楷体" w:eastAsia="楷体" w:hAnsi="楷体" w:cs="宋体"/>
          <w:kern w:val="0"/>
          <w:szCs w:val="21"/>
        </w:rPr>
        <w:t>A</w:t>
      </w:r>
      <w:r w:rsidRPr="00AA6F17">
        <w:rPr>
          <w:rFonts w:ascii="楷体" w:eastAsia="楷体" w:hAnsi="楷体" w:cs="宋体" w:hint="eastAsia"/>
          <w:kern w:val="0"/>
          <w:szCs w:val="21"/>
        </w:rPr>
        <w:t>级企业债收益率分别为2.</w:t>
      </w:r>
      <w:r w:rsidR="00610107">
        <w:rPr>
          <w:rFonts w:ascii="楷体" w:eastAsia="楷体" w:hAnsi="楷体" w:cs="宋体"/>
          <w:kern w:val="0"/>
          <w:szCs w:val="21"/>
        </w:rPr>
        <w:t>8061</w:t>
      </w:r>
      <w:r w:rsidRPr="00AA6F17">
        <w:rPr>
          <w:rFonts w:ascii="楷体" w:eastAsia="楷体" w:hAnsi="楷体" w:cs="宋体" w:hint="eastAsia"/>
          <w:kern w:val="0"/>
          <w:szCs w:val="21"/>
        </w:rPr>
        <w:t>%、3.2089%</w:t>
      </w:r>
      <w:r w:rsidRPr="00AA6F17">
        <w:rPr>
          <w:rFonts w:ascii="楷体" w:eastAsia="楷体" w:hAnsi="楷体" w:cs="宋体"/>
          <w:kern w:val="0"/>
          <w:szCs w:val="21"/>
        </w:rPr>
        <w:t>、</w:t>
      </w:r>
      <w:r w:rsidRPr="00AA6F17">
        <w:rPr>
          <w:rFonts w:ascii="楷体" w:eastAsia="楷体" w:hAnsi="楷体" w:cs="宋体" w:hint="eastAsia"/>
          <w:kern w:val="0"/>
          <w:szCs w:val="21"/>
        </w:rPr>
        <w:t>3.6408%，</w:t>
      </w:r>
      <w:r w:rsidRPr="00AA6F17">
        <w:rPr>
          <w:rFonts w:ascii="楷体" w:eastAsia="楷体" w:hAnsi="楷体" w:cs="宋体"/>
          <w:kern w:val="0"/>
          <w:szCs w:val="21"/>
        </w:rPr>
        <w:t>分别低于</w:t>
      </w:r>
      <w:r w:rsidRPr="00AA6F17">
        <w:rPr>
          <w:rFonts w:ascii="楷体" w:eastAsia="楷体" w:hAnsi="楷体" w:cs="宋体" w:hint="eastAsia"/>
          <w:kern w:val="0"/>
          <w:szCs w:val="21"/>
        </w:rPr>
        <w:t>2002</w:t>
      </w:r>
      <w:r w:rsidRPr="00AA6F17">
        <w:rPr>
          <w:rFonts w:ascii="楷体" w:eastAsia="楷体" w:hAnsi="楷体" w:cs="宋体"/>
          <w:kern w:val="0"/>
          <w:szCs w:val="21"/>
        </w:rPr>
        <w:t>-2015</w:t>
      </w:r>
      <w:r w:rsidRPr="00AA6F17">
        <w:rPr>
          <w:rFonts w:ascii="楷体" w:eastAsia="楷体" w:hAnsi="楷体" w:cs="宋体" w:hint="eastAsia"/>
          <w:kern w:val="0"/>
          <w:szCs w:val="21"/>
        </w:rPr>
        <w:t>年平均收益水平的83、131</w:t>
      </w:r>
      <w:r w:rsidRPr="00AA6F17">
        <w:rPr>
          <w:rFonts w:ascii="楷体" w:eastAsia="楷体" w:hAnsi="楷体" w:cs="宋体"/>
          <w:kern w:val="0"/>
          <w:szCs w:val="21"/>
        </w:rPr>
        <w:t>、</w:t>
      </w:r>
      <w:r w:rsidRPr="00AA6F17">
        <w:rPr>
          <w:rFonts w:ascii="楷体" w:eastAsia="楷体" w:hAnsi="楷体" w:cs="宋体" w:hint="eastAsia"/>
          <w:kern w:val="0"/>
          <w:szCs w:val="21"/>
        </w:rPr>
        <w:t>59BP。在低收益时代大环境下，</w:t>
      </w:r>
      <w:proofErr w:type="gramStart"/>
      <w:r w:rsidRPr="00AA6F17">
        <w:rPr>
          <w:rFonts w:ascii="楷体" w:eastAsia="楷体" w:hAnsi="楷体" w:cs="宋体" w:hint="eastAsia"/>
          <w:kern w:val="0"/>
          <w:szCs w:val="21"/>
        </w:rPr>
        <w:t>预计</w:t>
      </w:r>
      <w:r w:rsidRPr="00AA6F17">
        <w:rPr>
          <w:rFonts w:ascii="楷体" w:eastAsia="楷体" w:hAnsi="楷体" w:cs="宋体"/>
          <w:kern w:val="0"/>
          <w:szCs w:val="21"/>
        </w:rPr>
        <w:t>债</w:t>
      </w:r>
      <w:r w:rsidRPr="00AA6F17">
        <w:rPr>
          <w:rFonts w:ascii="楷体" w:eastAsia="楷体" w:hAnsi="楷体" w:cs="宋体" w:hint="eastAsia"/>
          <w:kern w:val="0"/>
          <w:szCs w:val="21"/>
        </w:rPr>
        <w:t>基16年</w:t>
      </w:r>
      <w:proofErr w:type="gramEnd"/>
      <w:r w:rsidRPr="00AA6F17">
        <w:rPr>
          <w:rFonts w:ascii="楷体" w:eastAsia="楷体" w:hAnsi="楷体" w:cs="宋体" w:hint="eastAsia"/>
          <w:kern w:val="0"/>
          <w:szCs w:val="21"/>
        </w:rPr>
        <w:t>整体平均收益率将下滑，高票息加上放杠杆的收益模式能否</w:t>
      </w:r>
      <w:r w:rsidRPr="00AA6F17">
        <w:rPr>
          <w:rFonts w:ascii="楷体" w:eastAsia="楷体" w:hAnsi="楷体" w:cs="宋体"/>
          <w:kern w:val="0"/>
          <w:szCs w:val="21"/>
        </w:rPr>
        <w:t>稳定持续尚待观察</w:t>
      </w:r>
      <w:r w:rsidRPr="00AA6F17">
        <w:rPr>
          <w:rFonts w:ascii="楷体" w:eastAsia="楷体" w:hAnsi="楷体" w:cs="宋体" w:hint="eastAsia"/>
          <w:kern w:val="0"/>
          <w:szCs w:val="21"/>
        </w:rPr>
        <w:t>。但市场整体缺乏高收益的稳定资产，我们</w:t>
      </w:r>
      <w:r w:rsidR="008735FF">
        <w:rPr>
          <w:rFonts w:ascii="楷体" w:eastAsia="楷体" w:hAnsi="楷体" w:cs="宋体" w:hint="eastAsia"/>
          <w:kern w:val="0"/>
          <w:szCs w:val="21"/>
        </w:rPr>
        <w:t>仍认为</w:t>
      </w:r>
      <w:proofErr w:type="gramStart"/>
      <w:r w:rsidR="008735FF">
        <w:rPr>
          <w:rFonts w:ascii="楷体" w:eastAsia="楷体" w:hAnsi="楷体" w:cs="宋体" w:hint="eastAsia"/>
          <w:kern w:val="0"/>
          <w:szCs w:val="21"/>
        </w:rPr>
        <w:t>债基具有</w:t>
      </w:r>
      <w:proofErr w:type="gramEnd"/>
      <w:r w:rsidR="008735FF">
        <w:rPr>
          <w:rFonts w:ascii="楷体" w:eastAsia="楷体" w:hAnsi="楷体" w:cs="宋体" w:hint="eastAsia"/>
          <w:kern w:val="0"/>
          <w:szCs w:val="21"/>
        </w:rPr>
        <w:t>配置意义</w:t>
      </w:r>
      <w:r w:rsidRPr="00AA6F17">
        <w:rPr>
          <w:rFonts w:ascii="楷体" w:eastAsia="楷体" w:hAnsi="楷体" w:cs="宋体" w:hint="eastAsia"/>
          <w:kern w:val="0"/>
          <w:szCs w:val="21"/>
        </w:rPr>
        <w:t>。综上，</w:t>
      </w:r>
      <w:r w:rsidRPr="00AA6F17">
        <w:rPr>
          <w:rFonts w:ascii="楷体" w:eastAsia="楷体" w:hAnsi="楷体" w:cs="宋体"/>
          <w:kern w:val="0"/>
          <w:szCs w:val="21"/>
        </w:rPr>
        <w:t>我们</w:t>
      </w:r>
      <w:r w:rsidRPr="00AA6F17">
        <w:rPr>
          <w:rFonts w:ascii="楷体" w:eastAsia="楷体" w:hAnsi="楷体" w:cs="宋体" w:hint="eastAsia"/>
          <w:kern w:val="0"/>
          <w:szCs w:val="21"/>
        </w:rPr>
        <w:t>判断</w:t>
      </w:r>
      <w:proofErr w:type="gramStart"/>
      <w:r w:rsidRPr="00AA6F17">
        <w:rPr>
          <w:rFonts w:ascii="楷体" w:eastAsia="楷体" w:hAnsi="楷体" w:cs="宋体" w:hint="eastAsia"/>
          <w:kern w:val="0"/>
          <w:szCs w:val="21"/>
        </w:rPr>
        <w:t>中长期债牛继续</w:t>
      </w:r>
      <w:proofErr w:type="gramEnd"/>
      <w:r w:rsidRPr="00AA6F17">
        <w:rPr>
          <w:rFonts w:ascii="楷体" w:eastAsia="楷体" w:hAnsi="楷体" w:cs="宋体" w:hint="eastAsia"/>
          <w:kern w:val="0"/>
          <w:szCs w:val="21"/>
        </w:rPr>
        <w:t>，推荐投资者维持债券型基金的配置比例。基金配置品种方面，推荐持有中</w:t>
      </w:r>
      <w:proofErr w:type="gramStart"/>
      <w:r w:rsidRPr="00AA6F17">
        <w:rPr>
          <w:rFonts w:ascii="楷体" w:eastAsia="楷体" w:hAnsi="楷体" w:cs="宋体" w:hint="eastAsia"/>
          <w:kern w:val="0"/>
          <w:szCs w:val="21"/>
        </w:rPr>
        <w:t>短久期且</w:t>
      </w:r>
      <w:proofErr w:type="gramEnd"/>
      <w:r w:rsidRPr="00AA6F17">
        <w:rPr>
          <w:rFonts w:ascii="楷体" w:eastAsia="楷体" w:hAnsi="楷体" w:cs="宋体" w:hint="eastAsia"/>
          <w:kern w:val="0"/>
          <w:szCs w:val="21"/>
        </w:rPr>
        <w:t>中高评级信用债的债券型基金或</w:t>
      </w:r>
      <w:r w:rsidR="00732C2D">
        <w:rPr>
          <w:rFonts w:ascii="楷体" w:eastAsia="楷体" w:hAnsi="楷体" w:cs="宋体" w:hint="eastAsia"/>
          <w:kern w:val="0"/>
          <w:szCs w:val="21"/>
        </w:rPr>
        <w:t>继续</w:t>
      </w:r>
      <w:r w:rsidRPr="00AA6F17">
        <w:rPr>
          <w:rFonts w:ascii="楷体" w:eastAsia="楷体" w:hAnsi="楷体" w:cs="宋体" w:hint="eastAsia"/>
          <w:kern w:val="0"/>
          <w:szCs w:val="21"/>
        </w:rPr>
        <w:t>布局重仓期限较长的利率债的债券型基金。</w:t>
      </w:r>
    </w:p>
    <w:p w:rsidR="009438DB" w:rsidRPr="00AA6F17" w:rsidRDefault="009438DB" w:rsidP="00732C2D">
      <w:pPr>
        <w:spacing w:beforeLines="50" w:before="156"/>
        <w:ind w:left="2835" w:firstLineChars="202" w:firstLine="426"/>
        <w:rPr>
          <w:rFonts w:ascii="楷体" w:eastAsia="楷体" w:hAnsi="楷体" w:cs="宋体"/>
          <w:kern w:val="0"/>
          <w:szCs w:val="21"/>
        </w:rPr>
      </w:pPr>
      <w:r w:rsidRPr="00AA6F17">
        <w:rPr>
          <w:rFonts w:ascii="楷体" w:eastAsia="楷体" w:hAnsi="楷体" w:cs="宋体" w:hint="eastAsia"/>
          <w:b/>
          <w:kern w:val="0"/>
          <w:szCs w:val="21"/>
        </w:rPr>
        <w:t>QDII方面</w:t>
      </w:r>
      <w:r w:rsidRPr="00AA6F17">
        <w:rPr>
          <w:rFonts w:ascii="楷体" w:eastAsia="楷体" w:hAnsi="楷体" w:cs="宋体" w:hint="eastAsia"/>
          <w:kern w:val="0"/>
          <w:szCs w:val="21"/>
        </w:rPr>
        <w:t>，美联储重启加息周期，在市场</w:t>
      </w:r>
      <w:r w:rsidRPr="00AA6F17">
        <w:rPr>
          <w:rFonts w:ascii="楷体" w:eastAsia="楷体" w:hAnsi="楷体" w:cs="宋体"/>
          <w:kern w:val="0"/>
          <w:szCs w:val="21"/>
        </w:rPr>
        <w:t>充分预期的情况下，</w:t>
      </w:r>
      <w:r w:rsidRPr="00AA6F17">
        <w:rPr>
          <w:rFonts w:ascii="楷体" w:eastAsia="楷体" w:hAnsi="楷体" w:cs="宋体" w:hint="eastAsia"/>
          <w:kern w:val="0"/>
          <w:szCs w:val="21"/>
        </w:rPr>
        <w:t>短期美元调整压力增大，</w:t>
      </w:r>
      <w:r w:rsidRPr="00AA6F17">
        <w:rPr>
          <w:rFonts w:ascii="楷体" w:eastAsia="楷体" w:hAnsi="楷体" w:cs="宋体"/>
          <w:kern w:val="0"/>
          <w:szCs w:val="21"/>
        </w:rPr>
        <w:t>但这</w:t>
      </w:r>
      <w:r w:rsidRPr="00AA6F17">
        <w:rPr>
          <w:rFonts w:ascii="楷体" w:eastAsia="楷体" w:hAnsi="楷体" w:cs="宋体" w:hint="eastAsia"/>
          <w:kern w:val="0"/>
          <w:szCs w:val="21"/>
        </w:rPr>
        <w:t>并不妨碍配置美元资产的吸引力；欧元区经济以及盈利增长趋稳，大宗商品暴跌对其影响利大于弊，而市场</w:t>
      </w:r>
      <w:r w:rsidR="00732C2D">
        <w:rPr>
          <w:rFonts w:ascii="楷体" w:eastAsia="楷体" w:hAnsi="楷体" w:cs="宋体" w:hint="eastAsia"/>
          <w:kern w:val="0"/>
          <w:szCs w:val="21"/>
        </w:rPr>
        <w:t>普遍</w:t>
      </w:r>
      <w:r w:rsidRPr="00AA6F17">
        <w:rPr>
          <w:rFonts w:ascii="楷体" w:eastAsia="楷体" w:hAnsi="楷体" w:cs="宋体" w:hint="eastAsia"/>
          <w:kern w:val="0"/>
          <w:szCs w:val="21"/>
        </w:rPr>
        <w:t>预期Q</w:t>
      </w:r>
      <w:r w:rsidRPr="00AA6F17">
        <w:rPr>
          <w:rFonts w:ascii="楷体" w:eastAsia="楷体" w:hAnsi="楷体" w:cs="宋体"/>
          <w:kern w:val="0"/>
          <w:szCs w:val="21"/>
        </w:rPr>
        <w:t>E</w:t>
      </w:r>
      <w:r w:rsidRPr="00AA6F17">
        <w:rPr>
          <w:rFonts w:ascii="楷体" w:eastAsia="楷体" w:hAnsi="楷体" w:cs="宋体" w:hint="eastAsia"/>
          <w:kern w:val="0"/>
          <w:szCs w:val="21"/>
        </w:rPr>
        <w:t>未来将得到强化，并且欧元区权益估值低于美国权益市场，使得欧元区股市有着未来表现上佳的潜力；新兴市场面临较大压力，短期难以走出</w:t>
      </w:r>
      <w:r w:rsidRPr="00AA6F17">
        <w:rPr>
          <w:rFonts w:ascii="楷体" w:eastAsia="楷体" w:hAnsi="楷体" w:cs="宋体"/>
          <w:kern w:val="0"/>
          <w:szCs w:val="21"/>
        </w:rPr>
        <w:t>泥潭</w:t>
      </w:r>
      <w:r w:rsidRPr="00AA6F17">
        <w:rPr>
          <w:rFonts w:ascii="楷体" w:eastAsia="楷体" w:hAnsi="楷体" w:cs="宋体" w:hint="eastAsia"/>
          <w:kern w:val="0"/>
          <w:szCs w:val="21"/>
        </w:rPr>
        <w:t>。我们认为海外成熟市场为现阶段全球配置中的核心。具体资产选择上，权益类和</w:t>
      </w:r>
      <w:r w:rsidRPr="00AA6F17">
        <w:rPr>
          <w:rFonts w:ascii="楷体" w:eastAsia="楷体" w:hAnsi="楷体" w:cs="宋体"/>
          <w:kern w:val="0"/>
          <w:szCs w:val="21"/>
        </w:rPr>
        <w:t>另类</w:t>
      </w:r>
      <w:r w:rsidRPr="00AA6F17">
        <w:rPr>
          <w:rFonts w:ascii="楷体" w:eastAsia="楷体" w:hAnsi="楷体" w:cs="宋体" w:hint="eastAsia"/>
          <w:kern w:val="0"/>
          <w:szCs w:val="21"/>
        </w:rPr>
        <w:t>投资脱颖而出的概率较大。综上</w:t>
      </w:r>
      <w:r w:rsidR="001548DA">
        <w:rPr>
          <w:rFonts w:ascii="楷体" w:eastAsia="楷体" w:hAnsi="楷体" w:cs="宋体" w:hint="eastAsia"/>
          <w:kern w:val="0"/>
          <w:szCs w:val="21"/>
        </w:rPr>
        <w:t>，</w:t>
      </w:r>
      <w:r w:rsidR="008735FF">
        <w:rPr>
          <w:rFonts w:ascii="楷体" w:eastAsia="楷体" w:hAnsi="楷体" w:cs="宋体" w:hint="eastAsia"/>
          <w:kern w:val="0"/>
          <w:szCs w:val="21"/>
        </w:rPr>
        <w:t>建议投资者</w:t>
      </w:r>
      <w:r w:rsidRPr="00AA6F17">
        <w:rPr>
          <w:rFonts w:ascii="楷体" w:eastAsia="楷体" w:hAnsi="楷体" w:cs="宋体" w:hint="eastAsia"/>
          <w:kern w:val="0"/>
          <w:szCs w:val="21"/>
        </w:rPr>
        <w:t>超配美国权益类QDII、REIT</w:t>
      </w:r>
      <w:r w:rsidRPr="00AA6F17">
        <w:rPr>
          <w:rFonts w:ascii="楷体" w:eastAsia="楷体" w:hAnsi="楷体" w:cs="宋体"/>
          <w:kern w:val="0"/>
          <w:szCs w:val="21"/>
        </w:rPr>
        <w:t>s QDII</w:t>
      </w:r>
      <w:r w:rsidRPr="00AA6F17">
        <w:rPr>
          <w:rFonts w:ascii="楷体" w:eastAsia="楷体" w:hAnsi="楷体" w:cs="宋体" w:hint="eastAsia"/>
          <w:kern w:val="0"/>
          <w:szCs w:val="21"/>
        </w:rPr>
        <w:t>，战略型配置</w:t>
      </w:r>
      <w:r w:rsidRPr="00AA6F17">
        <w:rPr>
          <w:rFonts w:ascii="楷体" w:eastAsia="楷体" w:hAnsi="楷体" w:cs="宋体"/>
          <w:kern w:val="0"/>
          <w:szCs w:val="21"/>
        </w:rPr>
        <w:t>欧洲</w:t>
      </w:r>
      <w:r w:rsidRPr="00AA6F17">
        <w:rPr>
          <w:rFonts w:ascii="楷体" w:eastAsia="楷体" w:hAnsi="楷体" w:cs="宋体" w:hint="eastAsia"/>
          <w:kern w:val="0"/>
          <w:szCs w:val="21"/>
        </w:rPr>
        <w:t>权益类QDII，低配新兴市场QDII，</w:t>
      </w:r>
      <w:r w:rsidRPr="00AA6F17">
        <w:rPr>
          <w:rFonts w:ascii="楷体" w:eastAsia="楷体" w:hAnsi="楷体" w:cs="宋体"/>
          <w:kern w:val="0"/>
          <w:szCs w:val="21"/>
        </w:rPr>
        <w:t>谨慎</w:t>
      </w:r>
      <w:r w:rsidRPr="00AA6F17">
        <w:rPr>
          <w:rFonts w:ascii="楷体" w:eastAsia="楷体" w:hAnsi="楷体" w:cs="宋体" w:hint="eastAsia"/>
          <w:kern w:val="0"/>
          <w:szCs w:val="21"/>
        </w:rPr>
        <w:t>对待商品QDII。在基金互认起步的</w:t>
      </w:r>
      <w:r w:rsidRPr="00AA6F17">
        <w:rPr>
          <w:rFonts w:ascii="楷体" w:eastAsia="楷体" w:hAnsi="楷体" w:cs="宋体"/>
          <w:kern w:val="0"/>
          <w:szCs w:val="21"/>
        </w:rPr>
        <w:t>大背景下</w:t>
      </w:r>
      <w:r w:rsidRPr="00AA6F17">
        <w:rPr>
          <w:rFonts w:ascii="楷体" w:eastAsia="楷体" w:hAnsi="楷体" w:cs="宋体" w:hint="eastAsia"/>
          <w:kern w:val="0"/>
          <w:szCs w:val="21"/>
        </w:rPr>
        <w:t>，投资标的将更加丰富，北上基金将纳入我们的选择范围，</w:t>
      </w:r>
      <w:r w:rsidRPr="00AA6F17">
        <w:rPr>
          <w:rFonts w:ascii="楷体" w:eastAsia="楷体" w:hAnsi="楷体" w:cs="宋体"/>
          <w:kern w:val="0"/>
          <w:szCs w:val="21"/>
        </w:rPr>
        <w:t>海外</w:t>
      </w:r>
      <w:r w:rsidRPr="00AA6F17">
        <w:rPr>
          <w:rFonts w:ascii="楷体" w:eastAsia="楷体" w:hAnsi="楷体" w:cs="宋体" w:hint="eastAsia"/>
          <w:kern w:val="0"/>
          <w:szCs w:val="21"/>
        </w:rPr>
        <w:t>资产配置效率有望提高。</w:t>
      </w:r>
    </w:p>
    <w:p w:rsidR="009438DB" w:rsidRPr="00AA6F17" w:rsidRDefault="009438DB" w:rsidP="00732C2D">
      <w:pPr>
        <w:spacing w:beforeLines="50" w:before="156" w:afterLines="50" w:after="156"/>
        <w:ind w:leftChars="1350" w:left="2835" w:firstLineChars="176" w:firstLine="424"/>
        <w:rPr>
          <w:rFonts w:ascii="楷体" w:eastAsia="楷体" w:hAnsi="楷体" w:cs="宋体"/>
          <w:kern w:val="0"/>
          <w:szCs w:val="21"/>
        </w:rPr>
      </w:pPr>
      <w:r w:rsidRPr="00AA6F17">
        <w:rPr>
          <w:rFonts w:ascii="楷体" w:eastAsia="楷体" w:hAnsi="楷体" w:cs="宋体-18030" w:hint="eastAsia"/>
          <w:b/>
          <w:bCs/>
          <w:color w:val="003366"/>
          <w:kern w:val="44"/>
          <w:sz w:val="24"/>
        </w:rPr>
        <w:t>（三）基金组合推荐</w:t>
      </w:r>
    </w:p>
    <w:p w:rsidR="009438DB" w:rsidRDefault="009438DB" w:rsidP="00732C2D">
      <w:pPr>
        <w:spacing w:beforeLines="50" w:before="156"/>
        <w:ind w:left="2835" w:firstLineChars="202" w:firstLine="424"/>
        <w:rPr>
          <w:rFonts w:ascii="楷体" w:eastAsia="楷体" w:hAnsi="楷体" w:cs="宋体"/>
          <w:color w:val="000000"/>
          <w:kern w:val="0"/>
          <w:szCs w:val="21"/>
        </w:rPr>
      </w:pPr>
      <w:r w:rsidRPr="00AA6F17">
        <w:rPr>
          <w:rFonts w:ascii="楷体" w:eastAsia="楷体" w:hAnsi="楷体" w:cs="宋体" w:hint="eastAsia"/>
          <w:color w:val="000000"/>
          <w:kern w:val="0"/>
          <w:szCs w:val="21"/>
        </w:rPr>
        <w:t>具体到组合构建上，我们在上述基金投资策略指引下，考虑投资品种的流动性，并依据资产配置、行业结构、投资风格分散化原则，以及基金的申购赎回开放状态，筛选投资组合的基金池。此外，从全球配置的角度出发，新增全球配置型组合以供投资者参考。</w:t>
      </w:r>
    </w:p>
    <w:p w:rsidR="00C522F4" w:rsidRPr="00C522F4" w:rsidRDefault="00C522F4" w:rsidP="00732C2D">
      <w:pPr>
        <w:spacing w:beforeLines="50" w:before="156"/>
        <w:ind w:left="2835" w:firstLineChars="202" w:firstLine="424"/>
        <w:rPr>
          <w:rFonts w:ascii="楷体" w:eastAsia="楷体" w:hAnsi="楷体" w:cs="宋体"/>
          <w:color w:val="000000"/>
          <w:kern w:val="0"/>
          <w:szCs w:val="21"/>
        </w:rPr>
      </w:pPr>
    </w:p>
    <w:p w:rsidR="00C917B4" w:rsidRPr="00AA6F17" w:rsidRDefault="00C917B4" w:rsidP="00C917B4">
      <w:pPr>
        <w:spacing w:line="360" w:lineRule="auto"/>
        <w:ind w:left="2" w:hangingChars="1" w:hanging="2"/>
        <w:jc w:val="left"/>
        <w:rPr>
          <w:rFonts w:ascii="楷体" w:eastAsia="楷体" w:hAnsi="楷体"/>
          <w:b/>
          <w:color w:val="000000"/>
          <w:sz w:val="18"/>
          <w:szCs w:val="18"/>
        </w:rPr>
      </w:pPr>
      <w:r w:rsidRPr="00AA6F17">
        <w:rPr>
          <w:rFonts w:ascii="楷体" w:eastAsia="楷体" w:hAnsi="楷体" w:hint="eastAsia"/>
          <w:b/>
          <w:color w:val="000000"/>
          <w:sz w:val="18"/>
          <w:szCs w:val="18"/>
        </w:rPr>
        <w:lastRenderedPageBreak/>
        <w:t>表1上海证券基金评价研究中心基金组合</w:t>
      </w:r>
    </w:p>
    <w:tbl>
      <w:tblPr>
        <w:tblW w:w="5000" w:type="pct"/>
        <w:tblLook w:val="04A0" w:firstRow="1" w:lastRow="0" w:firstColumn="1" w:lastColumn="0" w:noHBand="0" w:noVBand="1"/>
      </w:tblPr>
      <w:tblGrid>
        <w:gridCol w:w="1766"/>
        <w:gridCol w:w="486"/>
        <w:gridCol w:w="1766"/>
        <w:gridCol w:w="486"/>
        <w:gridCol w:w="1767"/>
        <w:gridCol w:w="486"/>
        <w:gridCol w:w="2102"/>
        <w:gridCol w:w="486"/>
      </w:tblGrid>
      <w:tr w:rsidR="00C917B4" w:rsidRPr="00C917B4" w:rsidTr="00C917B4">
        <w:trPr>
          <w:trHeight w:val="439"/>
        </w:trPr>
        <w:tc>
          <w:tcPr>
            <w:tcW w:w="1205" w:type="pct"/>
            <w:gridSpan w:val="2"/>
            <w:tcBorders>
              <w:top w:val="single" w:sz="4" w:space="0" w:color="auto"/>
              <w:left w:val="single" w:sz="4" w:space="0" w:color="auto"/>
              <w:bottom w:val="single" w:sz="4" w:space="0" w:color="auto"/>
              <w:right w:val="single" w:sz="4" w:space="0" w:color="000000"/>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积极型组合</w:t>
            </w:r>
          </w:p>
        </w:tc>
        <w:tc>
          <w:tcPr>
            <w:tcW w:w="1205" w:type="pct"/>
            <w:gridSpan w:val="2"/>
            <w:tcBorders>
              <w:top w:val="single" w:sz="4" w:space="0" w:color="auto"/>
              <w:left w:val="nil"/>
              <w:bottom w:val="single" w:sz="4" w:space="0" w:color="auto"/>
              <w:right w:val="single" w:sz="4" w:space="0" w:color="000000"/>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平衡型组合</w:t>
            </w:r>
          </w:p>
        </w:tc>
        <w:tc>
          <w:tcPr>
            <w:tcW w:w="1205" w:type="pct"/>
            <w:gridSpan w:val="2"/>
            <w:tcBorders>
              <w:top w:val="single" w:sz="4" w:space="0" w:color="auto"/>
              <w:left w:val="nil"/>
              <w:bottom w:val="single" w:sz="4" w:space="0" w:color="auto"/>
              <w:right w:val="single" w:sz="4" w:space="0" w:color="000000"/>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稳定型组合</w:t>
            </w:r>
          </w:p>
        </w:tc>
        <w:tc>
          <w:tcPr>
            <w:tcW w:w="1384" w:type="pct"/>
            <w:gridSpan w:val="2"/>
            <w:tcBorders>
              <w:top w:val="single" w:sz="4" w:space="0" w:color="auto"/>
              <w:left w:val="nil"/>
              <w:bottom w:val="single" w:sz="4" w:space="0" w:color="auto"/>
              <w:right w:val="single" w:sz="4" w:space="0" w:color="000000"/>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海外配置型组合</w:t>
            </w:r>
          </w:p>
        </w:tc>
      </w:tr>
      <w:tr w:rsidR="00C917B4" w:rsidRPr="00AA6F17" w:rsidTr="00C917B4">
        <w:trPr>
          <w:trHeight w:val="439"/>
        </w:trPr>
        <w:tc>
          <w:tcPr>
            <w:tcW w:w="946" w:type="pct"/>
            <w:tcBorders>
              <w:top w:val="nil"/>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信诚精粹成长</w:t>
            </w:r>
          </w:p>
        </w:tc>
        <w:tc>
          <w:tcPr>
            <w:tcW w:w="259" w:type="pct"/>
            <w:tcBorders>
              <w:top w:val="nil"/>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20%</w:t>
            </w:r>
          </w:p>
        </w:tc>
        <w:tc>
          <w:tcPr>
            <w:tcW w:w="946" w:type="pct"/>
            <w:tcBorders>
              <w:top w:val="nil"/>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proofErr w:type="gramStart"/>
            <w:r w:rsidRPr="00C917B4">
              <w:rPr>
                <w:rFonts w:ascii="楷体" w:eastAsia="楷体" w:hAnsi="楷体" w:cs="宋体" w:hint="eastAsia"/>
                <w:color w:val="000000"/>
                <w:kern w:val="0"/>
                <w:sz w:val="18"/>
              </w:rPr>
              <w:t>添富价值</w:t>
            </w:r>
            <w:proofErr w:type="gramEnd"/>
          </w:p>
        </w:tc>
        <w:tc>
          <w:tcPr>
            <w:tcW w:w="259" w:type="pct"/>
            <w:tcBorders>
              <w:top w:val="nil"/>
              <w:left w:val="single" w:sz="4" w:space="0" w:color="auto"/>
              <w:bottom w:val="nil"/>
              <w:right w:val="nil"/>
            </w:tcBorders>
            <w:shd w:val="clear" w:color="F2DCDB" w:fill="F2DCDB"/>
            <w:noWrap/>
            <w:vAlign w:val="center"/>
            <w:hideMark/>
          </w:tcPr>
          <w:p w:rsidR="00C917B4" w:rsidRPr="00C917B4" w:rsidRDefault="003124ED" w:rsidP="00C917B4">
            <w:pPr>
              <w:widowControl/>
              <w:jc w:val="center"/>
              <w:rPr>
                <w:rFonts w:ascii="楷体" w:eastAsia="楷体" w:hAnsi="楷体" w:cs="宋体"/>
                <w:color w:val="000000"/>
                <w:kern w:val="0"/>
                <w:sz w:val="18"/>
              </w:rPr>
            </w:pPr>
            <w:r>
              <w:rPr>
                <w:rFonts w:ascii="楷体" w:eastAsia="楷体" w:hAnsi="楷体" w:cs="宋体"/>
                <w:color w:val="000000"/>
                <w:kern w:val="0"/>
                <w:sz w:val="18"/>
              </w:rPr>
              <w:t>4</w:t>
            </w:r>
            <w:r w:rsidR="00C917B4" w:rsidRPr="00C917B4">
              <w:rPr>
                <w:rFonts w:ascii="楷体" w:eastAsia="楷体" w:hAnsi="楷体" w:cs="宋体" w:hint="eastAsia"/>
                <w:color w:val="000000"/>
                <w:kern w:val="0"/>
                <w:sz w:val="18"/>
              </w:rPr>
              <w:t>0%</w:t>
            </w:r>
          </w:p>
        </w:tc>
        <w:tc>
          <w:tcPr>
            <w:tcW w:w="946" w:type="pct"/>
            <w:tcBorders>
              <w:top w:val="nil"/>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工</w:t>
            </w:r>
            <w:proofErr w:type="gramStart"/>
            <w:r w:rsidRPr="00C917B4">
              <w:rPr>
                <w:rFonts w:ascii="楷体" w:eastAsia="楷体" w:hAnsi="楷体" w:cs="宋体" w:hint="eastAsia"/>
                <w:color w:val="000000"/>
                <w:kern w:val="0"/>
                <w:sz w:val="18"/>
              </w:rPr>
              <w:t>银瑞信双</w:t>
            </w:r>
            <w:proofErr w:type="gramEnd"/>
            <w:r w:rsidRPr="00C917B4">
              <w:rPr>
                <w:rFonts w:ascii="楷体" w:eastAsia="楷体" w:hAnsi="楷体" w:cs="宋体" w:hint="eastAsia"/>
                <w:color w:val="000000"/>
                <w:kern w:val="0"/>
                <w:sz w:val="18"/>
              </w:rPr>
              <w:t>利</w:t>
            </w:r>
          </w:p>
        </w:tc>
        <w:tc>
          <w:tcPr>
            <w:tcW w:w="259" w:type="pct"/>
            <w:tcBorders>
              <w:top w:val="nil"/>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20%</w:t>
            </w:r>
          </w:p>
        </w:tc>
        <w:tc>
          <w:tcPr>
            <w:tcW w:w="1125" w:type="pct"/>
            <w:tcBorders>
              <w:top w:val="nil"/>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广发美国房地产</w:t>
            </w:r>
          </w:p>
        </w:tc>
        <w:tc>
          <w:tcPr>
            <w:tcW w:w="259" w:type="pct"/>
            <w:tcBorders>
              <w:top w:val="nil"/>
              <w:left w:val="single" w:sz="4" w:space="0" w:color="auto"/>
              <w:bottom w:val="nil"/>
              <w:right w:val="single" w:sz="4" w:space="0" w:color="auto"/>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40%</w:t>
            </w:r>
          </w:p>
        </w:tc>
      </w:tr>
      <w:tr w:rsidR="00C917B4" w:rsidRPr="00AA6F17" w:rsidTr="00C917B4">
        <w:trPr>
          <w:trHeight w:val="439"/>
        </w:trPr>
        <w:tc>
          <w:tcPr>
            <w:tcW w:w="946" w:type="pct"/>
            <w:tcBorders>
              <w:top w:val="single" w:sz="4" w:space="0" w:color="auto"/>
              <w:left w:val="single" w:sz="4" w:space="0" w:color="auto"/>
              <w:bottom w:val="nil"/>
              <w:right w:val="nil"/>
            </w:tcBorders>
            <w:shd w:val="clear" w:color="auto" w:fill="auto"/>
            <w:noWrap/>
            <w:vAlign w:val="center"/>
            <w:hideMark/>
          </w:tcPr>
          <w:p w:rsidR="00C917B4" w:rsidRPr="00AD224C" w:rsidRDefault="00C917B4" w:rsidP="00C917B4">
            <w:pPr>
              <w:widowControl/>
              <w:jc w:val="center"/>
              <w:rPr>
                <w:rFonts w:ascii="楷体" w:eastAsia="楷体" w:hAnsi="楷体" w:cs="宋体"/>
                <w:color w:val="000000"/>
                <w:kern w:val="0"/>
                <w:sz w:val="18"/>
              </w:rPr>
            </w:pPr>
            <w:proofErr w:type="gramStart"/>
            <w:r w:rsidRPr="00AD224C">
              <w:rPr>
                <w:rFonts w:ascii="楷体" w:eastAsia="楷体" w:hAnsi="楷体" w:cs="宋体" w:hint="eastAsia"/>
                <w:color w:val="000000"/>
                <w:kern w:val="0"/>
                <w:sz w:val="18"/>
              </w:rPr>
              <w:t>添富价值</w:t>
            </w:r>
            <w:proofErr w:type="gramEnd"/>
          </w:p>
        </w:tc>
        <w:tc>
          <w:tcPr>
            <w:tcW w:w="259" w:type="pct"/>
            <w:tcBorders>
              <w:top w:val="single" w:sz="4" w:space="0" w:color="auto"/>
              <w:left w:val="single" w:sz="4" w:space="0" w:color="auto"/>
              <w:bottom w:val="nil"/>
              <w:right w:val="nil"/>
            </w:tcBorders>
            <w:shd w:val="clear" w:color="auto" w:fill="auto"/>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40%</w:t>
            </w:r>
          </w:p>
        </w:tc>
        <w:tc>
          <w:tcPr>
            <w:tcW w:w="946" w:type="pct"/>
            <w:tcBorders>
              <w:top w:val="single" w:sz="4" w:space="0" w:color="auto"/>
              <w:left w:val="single" w:sz="4" w:space="0" w:color="auto"/>
              <w:bottom w:val="nil"/>
              <w:right w:val="nil"/>
            </w:tcBorders>
            <w:shd w:val="clear" w:color="auto" w:fill="auto"/>
            <w:noWrap/>
            <w:vAlign w:val="center"/>
            <w:hideMark/>
          </w:tcPr>
          <w:p w:rsidR="00C917B4" w:rsidRPr="00AD224C" w:rsidRDefault="003124ED" w:rsidP="00C917B4">
            <w:pPr>
              <w:widowControl/>
              <w:jc w:val="center"/>
              <w:rPr>
                <w:rFonts w:ascii="楷体" w:eastAsia="楷体" w:hAnsi="楷体" w:cs="宋体"/>
                <w:color w:val="000000"/>
                <w:kern w:val="0"/>
                <w:sz w:val="18"/>
              </w:rPr>
            </w:pPr>
            <w:r w:rsidRPr="003124ED">
              <w:rPr>
                <w:rFonts w:ascii="楷体" w:eastAsia="楷体" w:hAnsi="楷体" w:cs="宋体" w:hint="eastAsia"/>
                <w:color w:val="000000"/>
                <w:kern w:val="0"/>
                <w:sz w:val="18"/>
              </w:rPr>
              <w:t>易方达科讯</w:t>
            </w:r>
          </w:p>
        </w:tc>
        <w:tc>
          <w:tcPr>
            <w:tcW w:w="259" w:type="pct"/>
            <w:tcBorders>
              <w:top w:val="single" w:sz="4" w:space="0" w:color="auto"/>
              <w:left w:val="single" w:sz="4" w:space="0" w:color="auto"/>
              <w:bottom w:val="nil"/>
              <w:right w:val="nil"/>
            </w:tcBorders>
            <w:shd w:val="clear" w:color="auto" w:fill="auto"/>
            <w:noWrap/>
            <w:vAlign w:val="center"/>
            <w:hideMark/>
          </w:tcPr>
          <w:p w:rsidR="00C917B4" w:rsidRPr="00AD224C" w:rsidRDefault="003124ED" w:rsidP="00C917B4">
            <w:pPr>
              <w:widowControl/>
              <w:jc w:val="center"/>
              <w:rPr>
                <w:rFonts w:ascii="楷体" w:eastAsia="楷体" w:hAnsi="楷体" w:cs="宋体"/>
                <w:color w:val="000000"/>
                <w:kern w:val="0"/>
                <w:sz w:val="18"/>
              </w:rPr>
            </w:pPr>
            <w:r>
              <w:rPr>
                <w:rFonts w:ascii="楷体" w:eastAsia="楷体" w:hAnsi="楷体" w:cs="宋体"/>
                <w:color w:val="000000"/>
                <w:kern w:val="0"/>
                <w:sz w:val="18"/>
              </w:rPr>
              <w:t>2</w:t>
            </w:r>
            <w:r w:rsidR="00C917B4" w:rsidRPr="00AD224C">
              <w:rPr>
                <w:rFonts w:ascii="楷体" w:eastAsia="楷体" w:hAnsi="楷体" w:cs="宋体" w:hint="eastAsia"/>
                <w:color w:val="000000"/>
                <w:kern w:val="0"/>
                <w:sz w:val="18"/>
              </w:rPr>
              <w:t>0%</w:t>
            </w:r>
          </w:p>
        </w:tc>
        <w:tc>
          <w:tcPr>
            <w:tcW w:w="946" w:type="pct"/>
            <w:tcBorders>
              <w:top w:val="single" w:sz="4" w:space="0" w:color="auto"/>
              <w:left w:val="single" w:sz="4" w:space="0" w:color="auto"/>
              <w:bottom w:val="nil"/>
              <w:right w:val="nil"/>
            </w:tcBorders>
            <w:shd w:val="clear" w:color="auto" w:fill="auto"/>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华夏现金</w:t>
            </w:r>
          </w:p>
        </w:tc>
        <w:tc>
          <w:tcPr>
            <w:tcW w:w="259" w:type="pct"/>
            <w:tcBorders>
              <w:top w:val="single" w:sz="4" w:space="0" w:color="auto"/>
              <w:left w:val="single" w:sz="4" w:space="0" w:color="auto"/>
              <w:bottom w:val="nil"/>
              <w:right w:val="nil"/>
            </w:tcBorders>
            <w:shd w:val="clear" w:color="auto" w:fill="auto"/>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40%</w:t>
            </w:r>
          </w:p>
        </w:tc>
        <w:tc>
          <w:tcPr>
            <w:tcW w:w="1125" w:type="pct"/>
            <w:tcBorders>
              <w:top w:val="single" w:sz="4" w:space="0" w:color="auto"/>
              <w:left w:val="single" w:sz="4" w:space="0" w:color="auto"/>
              <w:bottom w:val="nil"/>
              <w:right w:val="nil"/>
            </w:tcBorders>
            <w:shd w:val="clear" w:color="auto" w:fill="auto"/>
            <w:noWrap/>
            <w:vAlign w:val="center"/>
            <w:hideMark/>
          </w:tcPr>
          <w:p w:rsidR="00C917B4" w:rsidRPr="00AD224C" w:rsidRDefault="00C917B4" w:rsidP="00C917B4">
            <w:pPr>
              <w:widowControl/>
              <w:jc w:val="center"/>
              <w:rPr>
                <w:rFonts w:ascii="楷体" w:eastAsia="楷体" w:hAnsi="楷体" w:cs="宋体"/>
                <w:color w:val="000000"/>
                <w:kern w:val="0"/>
                <w:sz w:val="18"/>
              </w:rPr>
            </w:pPr>
            <w:proofErr w:type="gramStart"/>
            <w:r w:rsidRPr="00AD224C">
              <w:rPr>
                <w:rFonts w:ascii="楷体" w:eastAsia="楷体" w:hAnsi="楷体" w:cs="宋体" w:hint="eastAsia"/>
                <w:color w:val="000000"/>
                <w:kern w:val="0"/>
                <w:sz w:val="18"/>
              </w:rPr>
              <w:t>工银瑞信</w:t>
            </w:r>
            <w:proofErr w:type="gramEnd"/>
            <w:r w:rsidRPr="00AD224C">
              <w:rPr>
                <w:rFonts w:ascii="楷体" w:eastAsia="楷体" w:hAnsi="楷体" w:cs="宋体" w:hint="eastAsia"/>
                <w:color w:val="000000"/>
                <w:kern w:val="0"/>
                <w:sz w:val="18"/>
              </w:rPr>
              <w:t>全球精选</w:t>
            </w:r>
          </w:p>
        </w:tc>
        <w:tc>
          <w:tcPr>
            <w:tcW w:w="259" w:type="pct"/>
            <w:tcBorders>
              <w:top w:val="single" w:sz="4" w:space="0" w:color="auto"/>
              <w:left w:val="single" w:sz="4" w:space="0" w:color="auto"/>
              <w:bottom w:val="nil"/>
              <w:right w:val="single" w:sz="4" w:space="0" w:color="auto"/>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40%</w:t>
            </w:r>
          </w:p>
        </w:tc>
      </w:tr>
      <w:tr w:rsidR="00C917B4" w:rsidRPr="00AA6F17" w:rsidTr="00C917B4">
        <w:trPr>
          <w:trHeight w:val="439"/>
        </w:trPr>
        <w:tc>
          <w:tcPr>
            <w:tcW w:w="946"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易方达科讯</w:t>
            </w:r>
          </w:p>
        </w:tc>
        <w:tc>
          <w:tcPr>
            <w:tcW w:w="259"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40%</w:t>
            </w:r>
          </w:p>
        </w:tc>
        <w:tc>
          <w:tcPr>
            <w:tcW w:w="946"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建</w:t>
            </w:r>
            <w:proofErr w:type="gramStart"/>
            <w:r w:rsidRPr="00AD224C">
              <w:rPr>
                <w:rFonts w:ascii="楷体" w:eastAsia="楷体" w:hAnsi="楷体" w:cs="宋体" w:hint="eastAsia"/>
                <w:color w:val="000000"/>
                <w:kern w:val="0"/>
                <w:sz w:val="18"/>
              </w:rPr>
              <w:t>信收益</w:t>
            </w:r>
            <w:proofErr w:type="gramEnd"/>
            <w:r w:rsidRPr="00AD224C">
              <w:rPr>
                <w:rFonts w:ascii="楷体" w:eastAsia="楷体" w:hAnsi="楷体" w:cs="宋体" w:hint="eastAsia"/>
                <w:color w:val="000000"/>
                <w:kern w:val="0"/>
                <w:sz w:val="18"/>
              </w:rPr>
              <w:t>增强</w:t>
            </w:r>
          </w:p>
        </w:tc>
        <w:tc>
          <w:tcPr>
            <w:tcW w:w="259"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40%</w:t>
            </w:r>
          </w:p>
        </w:tc>
        <w:tc>
          <w:tcPr>
            <w:tcW w:w="946"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广发货币</w:t>
            </w:r>
          </w:p>
        </w:tc>
        <w:tc>
          <w:tcPr>
            <w:tcW w:w="259"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40%</w:t>
            </w:r>
          </w:p>
        </w:tc>
        <w:tc>
          <w:tcPr>
            <w:tcW w:w="1125" w:type="pct"/>
            <w:tcBorders>
              <w:top w:val="single" w:sz="4" w:space="0" w:color="auto"/>
              <w:left w:val="single" w:sz="4" w:space="0" w:color="auto"/>
              <w:bottom w:val="single" w:sz="4" w:space="0" w:color="auto"/>
              <w:right w:val="nil"/>
            </w:tcBorders>
            <w:shd w:val="clear" w:color="F2DCDB" w:fill="F2DCDB"/>
            <w:noWrap/>
            <w:vAlign w:val="center"/>
            <w:hideMark/>
          </w:tcPr>
          <w:p w:rsidR="00C917B4" w:rsidRPr="00AD224C" w:rsidRDefault="00C917B4" w:rsidP="00C917B4">
            <w:pPr>
              <w:widowControl/>
              <w:jc w:val="center"/>
              <w:rPr>
                <w:rFonts w:ascii="楷体" w:eastAsia="楷体" w:hAnsi="楷体" w:cs="宋体"/>
                <w:color w:val="000000"/>
                <w:kern w:val="0"/>
                <w:sz w:val="18"/>
              </w:rPr>
            </w:pPr>
            <w:r w:rsidRPr="00AD224C">
              <w:rPr>
                <w:rFonts w:ascii="楷体" w:eastAsia="楷体" w:hAnsi="楷体" w:cs="宋体" w:hint="eastAsia"/>
                <w:color w:val="000000"/>
                <w:kern w:val="0"/>
                <w:sz w:val="18"/>
              </w:rPr>
              <w:t>鹏</w:t>
            </w:r>
            <w:proofErr w:type="gramStart"/>
            <w:r w:rsidRPr="00AD224C">
              <w:rPr>
                <w:rFonts w:ascii="楷体" w:eastAsia="楷体" w:hAnsi="楷体" w:cs="宋体" w:hint="eastAsia"/>
                <w:color w:val="000000"/>
                <w:kern w:val="0"/>
                <w:sz w:val="18"/>
              </w:rPr>
              <w:t>华全球</w:t>
            </w:r>
            <w:proofErr w:type="gramEnd"/>
            <w:r w:rsidRPr="00AD224C">
              <w:rPr>
                <w:rFonts w:ascii="楷体" w:eastAsia="楷体" w:hAnsi="楷体" w:cs="宋体" w:hint="eastAsia"/>
                <w:color w:val="000000"/>
                <w:kern w:val="0"/>
                <w:sz w:val="18"/>
              </w:rPr>
              <w:t>高收益债</w:t>
            </w:r>
          </w:p>
        </w:tc>
        <w:tc>
          <w:tcPr>
            <w:tcW w:w="259" w:type="pct"/>
            <w:tcBorders>
              <w:top w:val="single" w:sz="4" w:space="0" w:color="auto"/>
              <w:left w:val="single" w:sz="4" w:space="0" w:color="auto"/>
              <w:bottom w:val="single" w:sz="4" w:space="0" w:color="auto"/>
              <w:right w:val="single" w:sz="4" w:space="0" w:color="auto"/>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20%</w:t>
            </w:r>
          </w:p>
        </w:tc>
      </w:tr>
    </w:tbl>
    <w:p w:rsidR="00C917B4" w:rsidRPr="00AA6F17" w:rsidRDefault="00C917B4" w:rsidP="00C917B4">
      <w:pPr>
        <w:rPr>
          <w:rFonts w:ascii="楷体" w:eastAsia="楷体" w:hAnsi="楷体"/>
          <w:noProof/>
          <w:color w:val="000000"/>
          <w:sz w:val="18"/>
        </w:rPr>
      </w:pPr>
      <w:r w:rsidRPr="00AA6F17">
        <w:rPr>
          <w:rFonts w:ascii="楷体" w:eastAsia="楷体" w:hAnsi="楷体" w:hint="eastAsia"/>
          <w:noProof/>
          <w:color w:val="000000"/>
          <w:sz w:val="18"/>
        </w:rPr>
        <w:t>来源：上海证券基金评价研究中心</w:t>
      </w:r>
    </w:p>
    <w:tbl>
      <w:tblPr>
        <w:tblW w:w="9923" w:type="dxa"/>
        <w:tblInd w:w="-176" w:type="dxa"/>
        <w:tblLayout w:type="fixed"/>
        <w:tblLook w:val="04A0" w:firstRow="1" w:lastRow="0" w:firstColumn="1" w:lastColumn="0" w:noHBand="0" w:noVBand="1"/>
      </w:tblPr>
      <w:tblGrid>
        <w:gridCol w:w="4962"/>
        <w:gridCol w:w="4961"/>
      </w:tblGrid>
      <w:tr w:rsidR="005A7782" w:rsidRPr="00AA6F17" w:rsidTr="00671635">
        <w:tc>
          <w:tcPr>
            <w:tcW w:w="4962" w:type="dxa"/>
            <w:tcBorders>
              <w:bottom w:val="single" w:sz="4" w:space="0" w:color="FF0000"/>
            </w:tcBorders>
          </w:tcPr>
          <w:p w:rsidR="005A7782" w:rsidRPr="00AA6F17" w:rsidRDefault="005A7782" w:rsidP="00671635">
            <w:pPr>
              <w:spacing w:line="360" w:lineRule="auto"/>
              <w:ind w:left="33" w:hangingChars="18" w:hanging="33"/>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Pr="00AA6F17">
              <w:rPr>
                <w:rFonts w:ascii="楷体" w:eastAsia="楷体" w:hAnsi="楷体"/>
                <w:b/>
                <w:color w:val="000000"/>
                <w:sz w:val="18"/>
                <w:szCs w:val="18"/>
              </w:rPr>
              <w:t>1</w:t>
            </w:r>
            <w:r w:rsidRPr="00AA6F17">
              <w:rPr>
                <w:rFonts w:ascii="楷体" w:eastAsia="楷体" w:hAnsi="楷体" w:hint="eastAsia"/>
                <w:b/>
                <w:color w:val="000000"/>
                <w:sz w:val="18"/>
                <w:szCs w:val="18"/>
              </w:rPr>
              <w:t>、近两年积极型组合业绩表现（%）</w:t>
            </w:r>
          </w:p>
        </w:tc>
        <w:tc>
          <w:tcPr>
            <w:tcW w:w="4961" w:type="dxa"/>
            <w:tcBorders>
              <w:bottom w:val="single" w:sz="4" w:space="0" w:color="FF0000"/>
            </w:tcBorders>
          </w:tcPr>
          <w:p w:rsidR="005A7782" w:rsidRPr="00AA6F17" w:rsidRDefault="005A7782" w:rsidP="00671635">
            <w:pPr>
              <w:spacing w:line="360" w:lineRule="auto"/>
              <w:ind w:left="4017" w:hangingChars="2223" w:hanging="4017"/>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Pr="00AA6F17">
              <w:rPr>
                <w:rFonts w:ascii="楷体" w:eastAsia="楷体" w:hAnsi="楷体"/>
                <w:b/>
                <w:color w:val="000000"/>
                <w:sz w:val="18"/>
                <w:szCs w:val="18"/>
              </w:rPr>
              <w:t>2</w:t>
            </w:r>
            <w:r w:rsidRPr="00AA6F17">
              <w:rPr>
                <w:rFonts w:ascii="楷体" w:eastAsia="楷体" w:hAnsi="楷体" w:hint="eastAsia"/>
                <w:b/>
                <w:color w:val="000000"/>
                <w:sz w:val="18"/>
                <w:szCs w:val="18"/>
              </w:rPr>
              <w:t>、近两年平衡型组合业绩表现（%）</w:t>
            </w:r>
          </w:p>
        </w:tc>
      </w:tr>
      <w:tr w:rsidR="005A7782" w:rsidRPr="00AA6F17" w:rsidTr="00671635">
        <w:tc>
          <w:tcPr>
            <w:tcW w:w="4962" w:type="dxa"/>
            <w:tcBorders>
              <w:top w:val="single" w:sz="4" w:space="0" w:color="FF0000"/>
              <w:bottom w:val="single" w:sz="4" w:space="0" w:color="FF0000"/>
            </w:tcBorders>
          </w:tcPr>
          <w:p w:rsidR="005A7782" w:rsidRPr="00AA6F17" w:rsidRDefault="005A7782" w:rsidP="00671635">
            <w:pPr>
              <w:spacing w:line="360" w:lineRule="auto"/>
              <w:ind w:leftChars="16" w:left="34"/>
              <w:rPr>
                <w:rFonts w:ascii="楷体" w:eastAsia="楷体" w:hAnsi="楷体"/>
                <w:color w:val="000000"/>
                <w:sz w:val="18"/>
                <w:szCs w:val="18"/>
              </w:rPr>
            </w:pPr>
            <w:r w:rsidRPr="00AA6F17">
              <w:rPr>
                <w:rFonts w:ascii="楷体" w:eastAsia="楷体" w:hAnsi="楷体"/>
                <w:noProof/>
              </w:rPr>
              <w:drawing>
                <wp:inline distT="0" distB="0" distL="0" distR="0">
                  <wp:extent cx="2914650" cy="1485900"/>
                  <wp:effectExtent l="1905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4650" cy="1485900"/>
                          </a:xfrm>
                          <a:prstGeom prst="rect">
                            <a:avLst/>
                          </a:prstGeom>
                          <a:noFill/>
                        </pic:spPr>
                      </pic:pic>
                    </a:graphicData>
                  </a:graphic>
                </wp:inline>
              </w:drawing>
            </w:r>
          </w:p>
        </w:tc>
        <w:tc>
          <w:tcPr>
            <w:tcW w:w="4961" w:type="dxa"/>
            <w:tcBorders>
              <w:top w:val="single" w:sz="4" w:space="0" w:color="FF0000"/>
              <w:bottom w:val="single" w:sz="4" w:space="0" w:color="FF0000"/>
            </w:tcBorders>
          </w:tcPr>
          <w:p w:rsidR="005A7782" w:rsidRPr="00AA6F17" w:rsidRDefault="001E3046" w:rsidP="0005323D">
            <w:pPr>
              <w:spacing w:line="360" w:lineRule="auto"/>
              <w:ind w:left="1" w:firstLineChars="18" w:firstLine="32"/>
              <w:jc w:val="left"/>
              <w:rPr>
                <w:rFonts w:ascii="楷体" w:eastAsia="楷体" w:hAnsi="楷体"/>
                <w:color w:val="000000"/>
                <w:sz w:val="18"/>
                <w:szCs w:val="18"/>
              </w:rPr>
            </w:pPr>
            <w:r>
              <w:rPr>
                <w:rFonts w:ascii="楷体" w:eastAsia="楷体" w:hAnsi="楷体"/>
                <w:noProof/>
                <w:color w:val="000000"/>
                <w:sz w:val="18"/>
                <w:szCs w:val="18"/>
              </w:rPr>
              <w:drawing>
                <wp:inline distT="0" distB="0" distL="0" distR="0" wp14:anchorId="5138B3DD">
                  <wp:extent cx="3016766" cy="1505984"/>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7859" cy="1516514"/>
                          </a:xfrm>
                          <a:prstGeom prst="rect">
                            <a:avLst/>
                          </a:prstGeom>
                          <a:noFill/>
                        </pic:spPr>
                      </pic:pic>
                    </a:graphicData>
                  </a:graphic>
                </wp:inline>
              </w:drawing>
            </w:r>
          </w:p>
        </w:tc>
      </w:tr>
      <w:tr w:rsidR="005A7782" w:rsidRPr="00AA6F17" w:rsidTr="00671635">
        <w:tc>
          <w:tcPr>
            <w:tcW w:w="4962" w:type="dxa"/>
            <w:tcBorders>
              <w:bottom w:val="single" w:sz="4" w:space="0" w:color="FF0000"/>
            </w:tcBorders>
          </w:tcPr>
          <w:p w:rsidR="005A7782" w:rsidRPr="00AA6F17" w:rsidRDefault="005A7782" w:rsidP="00671635">
            <w:pPr>
              <w:spacing w:line="360" w:lineRule="auto"/>
              <w:ind w:left="33" w:hangingChars="18" w:hanging="33"/>
              <w:jc w:val="left"/>
              <w:rPr>
                <w:rFonts w:ascii="楷体" w:eastAsia="楷体" w:hAnsi="楷体"/>
                <w:b/>
                <w:color w:val="000000"/>
                <w:sz w:val="18"/>
                <w:szCs w:val="18"/>
              </w:rPr>
            </w:pPr>
            <w:r w:rsidRPr="00AA6F17">
              <w:rPr>
                <w:rFonts w:ascii="楷体" w:eastAsia="楷体" w:hAnsi="楷体" w:hint="eastAsia"/>
                <w:b/>
                <w:color w:val="000000"/>
                <w:sz w:val="18"/>
                <w:szCs w:val="18"/>
              </w:rPr>
              <w:t>图3、近两年保守型组合业绩表现（%）</w:t>
            </w:r>
          </w:p>
        </w:tc>
        <w:tc>
          <w:tcPr>
            <w:tcW w:w="4961" w:type="dxa"/>
            <w:tcBorders>
              <w:bottom w:val="single" w:sz="4" w:space="0" w:color="FF0000"/>
            </w:tcBorders>
          </w:tcPr>
          <w:p w:rsidR="005A7782" w:rsidRPr="00AA6F17" w:rsidRDefault="005A7782" w:rsidP="00671635">
            <w:pPr>
              <w:spacing w:line="360" w:lineRule="auto"/>
              <w:ind w:left="4017" w:hangingChars="2223" w:hanging="4017"/>
              <w:jc w:val="left"/>
              <w:rPr>
                <w:rFonts w:ascii="楷体" w:eastAsia="楷体" w:hAnsi="楷体"/>
                <w:b/>
                <w:color w:val="000000"/>
                <w:sz w:val="18"/>
                <w:szCs w:val="18"/>
              </w:rPr>
            </w:pPr>
            <w:r w:rsidRPr="00AA6F17">
              <w:rPr>
                <w:rFonts w:ascii="楷体" w:eastAsia="楷体" w:hAnsi="楷体" w:hint="eastAsia"/>
                <w:b/>
                <w:color w:val="000000"/>
                <w:sz w:val="18"/>
                <w:szCs w:val="18"/>
              </w:rPr>
              <w:t>图4、</w:t>
            </w:r>
            <w:r w:rsidRPr="00AA6F17">
              <w:rPr>
                <w:rFonts w:ascii="楷体" w:eastAsia="楷体" w:hAnsi="楷体" w:hint="eastAsia"/>
                <w:b/>
                <w:sz w:val="18"/>
                <w:szCs w:val="18"/>
              </w:rPr>
              <w:t>近两年海外组</w:t>
            </w:r>
            <w:proofErr w:type="gramStart"/>
            <w:r w:rsidRPr="00AA6F17">
              <w:rPr>
                <w:rFonts w:ascii="楷体" w:eastAsia="楷体" w:hAnsi="楷体" w:hint="eastAsia"/>
                <w:b/>
                <w:sz w:val="18"/>
                <w:szCs w:val="18"/>
              </w:rPr>
              <w:t>合业绩</w:t>
            </w:r>
            <w:proofErr w:type="gramEnd"/>
            <w:r w:rsidRPr="00AA6F17">
              <w:rPr>
                <w:rFonts w:ascii="楷体" w:eastAsia="楷体" w:hAnsi="楷体" w:hint="eastAsia"/>
                <w:b/>
                <w:sz w:val="18"/>
                <w:szCs w:val="18"/>
              </w:rPr>
              <w:t>表现</w:t>
            </w:r>
            <w:r w:rsidRPr="00AA6F17">
              <w:rPr>
                <w:rFonts w:ascii="楷体" w:eastAsia="楷体" w:hAnsi="楷体" w:hint="eastAsia"/>
                <w:b/>
                <w:color w:val="000000"/>
                <w:sz w:val="18"/>
                <w:szCs w:val="18"/>
              </w:rPr>
              <w:t>（%）</w:t>
            </w:r>
          </w:p>
        </w:tc>
      </w:tr>
      <w:tr w:rsidR="005A7782" w:rsidRPr="00AA6F17" w:rsidTr="00671635">
        <w:tc>
          <w:tcPr>
            <w:tcW w:w="4962" w:type="dxa"/>
            <w:tcBorders>
              <w:top w:val="single" w:sz="4" w:space="0" w:color="FF0000"/>
              <w:bottom w:val="single" w:sz="4" w:space="0" w:color="FF0000"/>
            </w:tcBorders>
          </w:tcPr>
          <w:p w:rsidR="005A7782" w:rsidRPr="00AA6F17" w:rsidRDefault="005A7782" w:rsidP="00671635">
            <w:pPr>
              <w:spacing w:line="360" w:lineRule="auto"/>
              <w:ind w:leftChars="16" w:left="34"/>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2926808" cy="1457325"/>
                  <wp:effectExtent l="19050" t="0" r="6892"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36301" cy="1462052"/>
                          </a:xfrm>
                          <a:prstGeom prst="rect">
                            <a:avLst/>
                          </a:prstGeom>
                          <a:noFill/>
                        </pic:spPr>
                      </pic:pic>
                    </a:graphicData>
                  </a:graphic>
                </wp:inline>
              </w:drawing>
            </w:r>
          </w:p>
        </w:tc>
        <w:tc>
          <w:tcPr>
            <w:tcW w:w="4961" w:type="dxa"/>
            <w:tcBorders>
              <w:top w:val="single" w:sz="4" w:space="0" w:color="FF0000"/>
              <w:bottom w:val="single" w:sz="4" w:space="0" w:color="FF0000"/>
            </w:tcBorders>
          </w:tcPr>
          <w:p w:rsidR="005A7782" w:rsidRPr="00AA6F17" w:rsidRDefault="005A7782" w:rsidP="00671635">
            <w:pPr>
              <w:spacing w:line="360" w:lineRule="auto"/>
              <w:ind w:left="1" w:firstLineChars="18" w:firstLine="32"/>
              <w:jc w:val="right"/>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3013402" cy="147637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4272" cy="1481702"/>
                          </a:xfrm>
                          <a:prstGeom prst="rect">
                            <a:avLst/>
                          </a:prstGeom>
                          <a:noFill/>
                        </pic:spPr>
                      </pic:pic>
                    </a:graphicData>
                  </a:graphic>
                </wp:inline>
              </w:drawing>
            </w:r>
          </w:p>
        </w:tc>
      </w:tr>
    </w:tbl>
    <w:p w:rsidR="005A7782" w:rsidRPr="00AA6F17" w:rsidRDefault="00CA22AA" w:rsidP="00C917B4">
      <w:pPr>
        <w:rPr>
          <w:rFonts w:ascii="楷体" w:eastAsia="楷体" w:hAnsi="楷体"/>
          <w:noProof/>
          <w:color w:val="000000"/>
          <w:sz w:val="18"/>
        </w:rPr>
      </w:pPr>
      <w:r w:rsidRPr="00AA6F17">
        <w:rPr>
          <w:rFonts w:ascii="楷体" w:eastAsia="楷体" w:hAnsi="楷体" w:hint="eastAsia"/>
          <w:noProof/>
          <w:color w:val="000000"/>
          <w:sz w:val="18"/>
        </w:rPr>
        <w:t>来源：上海证券基金评价研究中心</w:t>
      </w:r>
    </w:p>
    <w:p w:rsidR="00C917B4" w:rsidRPr="00AA6F17" w:rsidRDefault="00C917B4" w:rsidP="00C917B4">
      <w:pPr>
        <w:spacing w:line="360" w:lineRule="auto"/>
        <w:ind w:left="2" w:hangingChars="1" w:hanging="2"/>
        <w:jc w:val="left"/>
        <w:rPr>
          <w:rFonts w:ascii="楷体" w:eastAsia="楷体" w:hAnsi="楷体"/>
          <w:b/>
          <w:color w:val="000000"/>
          <w:sz w:val="18"/>
          <w:szCs w:val="18"/>
        </w:rPr>
      </w:pPr>
      <w:r w:rsidRPr="00AA6F17">
        <w:rPr>
          <w:rFonts w:ascii="楷体" w:eastAsia="楷体" w:hAnsi="楷体" w:hint="eastAsia"/>
          <w:b/>
          <w:color w:val="000000"/>
          <w:sz w:val="18"/>
          <w:szCs w:val="18"/>
        </w:rPr>
        <w:t>表2</w:t>
      </w:r>
      <w:r w:rsidRPr="00AA6F17">
        <w:rPr>
          <w:rFonts w:ascii="楷体" w:eastAsia="楷体" w:hAnsi="楷体"/>
          <w:b/>
          <w:color w:val="000000"/>
          <w:sz w:val="18"/>
          <w:szCs w:val="18"/>
        </w:rPr>
        <w:t xml:space="preserve"> </w:t>
      </w:r>
      <w:r w:rsidRPr="00AA6F17">
        <w:rPr>
          <w:rFonts w:ascii="楷体" w:eastAsia="楷体" w:hAnsi="楷体" w:hint="eastAsia"/>
          <w:b/>
          <w:color w:val="000000"/>
          <w:sz w:val="18"/>
          <w:szCs w:val="18"/>
        </w:rPr>
        <w:t>各组合收益风险指标</w:t>
      </w:r>
    </w:p>
    <w:tbl>
      <w:tblPr>
        <w:tblW w:w="5000" w:type="pct"/>
        <w:tblLook w:val="04A0" w:firstRow="1" w:lastRow="0" w:firstColumn="1" w:lastColumn="0" w:noHBand="0" w:noVBand="1"/>
      </w:tblPr>
      <w:tblGrid>
        <w:gridCol w:w="1869"/>
        <w:gridCol w:w="1869"/>
        <w:gridCol w:w="1869"/>
        <w:gridCol w:w="1869"/>
        <w:gridCol w:w="1869"/>
      </w:tblGrid>
      <w:tr w:rsidR="00C917B4" w:rsidRPr="00C917B4" w:rsidTr="00C917B4">
        <w:trPr>
          <w:trHeight w:val="439"/>
        </w:trPr>
        <w:tc>
          <w:tcPr>
            <w:tcW w:w="1000" w:type="pct"/>
            <w:tcBorders>
              <w:top w:val="single" w:sz="4" w:space="0" w:color="auto"/>
              <w:left w:val="single" w:sz="4" w:space="0" w:color="auto"/>
              <w:bottom w:val="nil"/>
              <w:right w:val="nil"/>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指标</w:t>
            </w:r>
          </w:p>
        </w:tc>
        <w:tc>
          <w:tcPr>
            <w:tcW w:w="1000" w:type="pct"/>
            <w:tcBorders>
              <w:top w:val="single" w:sz="4" w:space="0" w:color="auto"/>
              <w:left w:val="single" w:sz="4" w:space="0" w:color="auto"/>
              <w:bottom w:val="nil"/>
              <w:right w:val="nil"/>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积极型</w:t>
            </w:r>
          </w:p>
        </w:tc>
        <w:tc>
          <w:tcPr>
            <w:tcW w:w="1000" w:type="pct"/>
            <w:tcBorders>
              <w:top w:val="single" w:sz="4" w:space="0" w:color="auto"/>
              <w:left w:val="single" w:sz="4" w:space="0" w:color="auto"/>
              <w:bottom w:val="nil"/>
              <w:right w:val="nil"/>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平衡型</w:t>
            </w:r>
          </w:p>
        </w:tc>
        <w:tc>
          <w:tcPr>
            <w:tcW w:w="1000" w:type="pct"/>
            <w:tcBorders>
              <w:top w:val="single" w:sz="4" w:space="0" w:color="auto"/>
              <w:left w:val="single" w:sz="4" w:space="0" w:color="auto"/>
              <w:bottom w:val="nil"/>
              <w:right w:val="nil"/>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保守型</w:t>
            </w:r>
          </w:p>
        </w:tc>
        <w:tc>
          <w:tcPr>
            <w:tcW w:w="1000" w:type="pct"/>
            <w:tcBorders>
              <w:top w:val="single" w:sz="4" w:space="0" w:color="auto"/>
              <w:left w:val="single" w:sz="4" w:space="0" w:color="auto"/>
              <w:bottom w:val="nil"/>
              <w:right w:val="single" w:sz="4" w:space="0" w:color="auto"/>
            </w:tcBorders>
            <w:shd w:val="clear" w:color="C0504D" w:fill="C0504D"/>
            <w:noWrap/>
            <w:vAlign w:val="center"/>
            <w:hideMark/>
          </w:tcPr>
          <w:p w:rsidR="00C917B4" w:rsidRPr="00C917B4" w:rsidRDefault="00C917B4" w:rsidP="00C917B4">
            <w:pPr>
              <w:widowControl/>
              <w:jc w:val="center"/>
              <w:rPr>
                <w:rFonts w:ascii="楷体" w:eastAsia="楷体" w:hAnsi="楷体" w:cs="宋体"/>
                <w:b/>
                <w:bCs/>
                <w:color w:val="FFFFFF"/>
                <w:kern w:val="0"/>
                <w:sz w:val="18"/>
              </w:rPr>
            </w:pPr>
            <w:r w:rsidRPr="00C917B4">
              <w:rPr>
                <w:rFonts w:ascii="楷体" w:eastAsia="楷体" w:hAnsi="楷体" w:cs="宋体" w:hint="eastAsia"/>
                <w:b/>
                <w:bCs/>
                <w:color w:val="FFFFFF"/>
                <w:kern w:val="0"/>
                <w:sz w:val="18"/>
              </w:rPr>
              <w:t>海外</w:t>
            </w:r>
          </w:p>
        </w:tc>
      </w:tr>
      <w:tr w:rsidR="00C917B4" w:rsidRPr="00C917B4" w:rsidTr="00C917B4">
        <w:trPr>
          <w:trHeight w:val="439"/>
        </w:trPr>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proofErr w:type="gramStart"/>
            <w:r w:rsidRPr="00C917B4">
              <w:rPr>
                <w:rFonts w:ascii="楷体" w:eastAsia="楷体" w:hAnsi="楷体" w:cs="宋体" w:hint="eastAsia"/>
                <w:color w:val="000000"/>
                <w:kern w:val="0"/>
                <w:sz w:val="18"/>
              </w:rPr>
              <w:t>年化收益率</w:t>
            </w:r>
            <w:proofErr w:type="gramEnd"/>
          </w:p>
        </w:tc>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45.52%</w:t>
            </w:r>
          </w:p>
        </w:tc>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3124ED" w:rsidP="00C917B4">
            <w:pPr>
              <w:widowControl/>
              <w:jc w:val="center"/>
              <w:rPr>
                <w:rFonts w:ascii="楷体" w:eastAsia="楷体" w:hAnsi="楷体" w:cs="宋体"/>
                <w:color w:val="000000"/>
                <w:kern w:val="0"/>
                <w:sz w:val="18"/>
              </w:rPr>
            </w:pPr>
            <w:r>
              <w:rPr>
                <w:rFonts w:ascii="楷体" w:eastAsia="楷体" w:hAnsi="楷体" w:cs="宋体"/>
                <w:color w:val="000000"/>
                <w:kern w:val="0"/>
                <w:sz w:val="18"/>
              </w:rPr>
              <w:t>37.25</w:t>
            </w:r>
            <w:r w:rsidR="00C917B4" w:rsidRPr="00C917B4">
              <w:rPr>
                <w:rFonts w:ascii="楷体" w:eastAsia="楷体" w:hAnsi="楷体" w:cs="宋体" w:hint="eastAsia"/>
                <w:color w:val="000000"/>
                <w:kern w:val="0"/>
                <w:sz w:val="18"/>
              </w:rPr>
              <w:t>%</w:t>
            </w:r>
          </w:p>
        </w:tc>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6.94%</w:t>
            </w:r>
          </w:p>
        </w:tc>
        <w:tc>
          <w:tcPr>
            <w:tcW w:w="1000" w:type="pct"/>
            <w:tcBorders>
              <w:top w:val="single" w:sz="4" w:space="0" w:color="auto"/>
              <w:left w:val="single" w:sz="4" w:space="0" w:color="auto"/>
              <w:bottom w:val="nil"/>
              <w:right w:val="single" w:sz="4" w:space="0" w:color="auto"/>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13.59%</w:t>
            </w:r>
          </w:p>
        </w:tc>
      </w:tr>
      <w:tr w:rsidR="00C917B4" w:rsidRPr="00C917B4" w:rsidTr="00C917B4">
        <w:trPr>
          <w:trHeight w:val="439"/>
        </w:trPr>
        <w:tc>
          <w:tcPr>
            <w:tcW w:w="1000" w:type="pct"/>
            <w:tcBorders>
              <w:top w:val="single" w:sz="4" w:space="0" w:color="auto"/>
              <w:left w:val="single" w:sz="4" w:space="0" w:color="auto"/>
              <w:bottom w:val="nil"/>
              <w:right w:val="nil"/>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proofErr w:type="gramStart"/>
            <w:r w:rsidRPr="00C917B4">
              <w:rPr>
                <w:rFonts w:ascii="楷体" w:eastAsia="楷体" w:hAnsi="楷体" w:cs="宋体" w:hint="eastAsia"/>
                <w:color w:val="000000"/>
                <w:kern w:val="0"/>
                <w:sz w:val="18"/>
              </w:rPr>
              <w:t>年化波动</w:t>
            </w:r>
            <w:proofErr w:type="gramEnd"/>
            <w:r w:rsidRPr="00C917B4">
              <w:rPr>
                <w:rFonts w:ascii="楷体" w:eastAsia="楷体" w:hAnsi="楷体" w:cs="宋体" w:hint="eastAsia"/>
                <w:color w:val="000000"/>
                <w:kern w:val="0"/>
                <w:sz w:val="18"/>
              </w:rPr>
              <w:t>率</w:t>
            </w:r>
          </w:p>
        </w:tc>
        <w:tc>
          <w:tcPr>
            <w:tcW w:w="1000" w:type="pct"/>
            <w:tcBorders>
              <w:top w:val="single" w:sz="4" w:space="0" w:color="auto"/>
              <w:left w:val="single" w:sz="4" w:space="0" w:color="auto"/>
              <w:bottom w:val="nil"/>
              <w:right w:val="nil"/>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33.74%</w:t>
            </w:r>
          </w:p>
        </w:tc>
        <w:tc>
          <w:tcPr>
            <w:tcW w:w="1000" w:type="pct"/>
            <w:tcBorders>
              <w:top w:val="single" w:sz="4" w:space="0" w:color="auto"/>
              <w:left w:val="single" w:sz="4" w:space="0" w:color="auto"/>
              <w:bottom w:val="nil"/>
              <w:right w:val="nil"/>
            </w:tcBorders>
            <w:shd w:val="clear" w:color="auto" w:fill="auto"/>
            <w:noWrap/>
            <w:vAlign w:val="center"/>
            <w:hideMark/>
          </w:tcPr>
          <w:p w:rsidR="00C917B4" w:rsidRPr="00C917B4" w:rsidRDefault="003124ED" w:rsidP="00C917B4">
            <w:pPr>
              <w:widowControl/>
              <w:jc w:val="center"/>
              <w:rPr>
                <w:rFonts w:ascii="楷体" w:eastAsia="楷体" w:hAnsi="楷体" w:cs="宋体"/>
                <w:color w:val="000000"/>
                <w:kern w:val="0"/>
                <w:sz w:val="18"/>
              </w:rPr>
            </w:pPr>
            <w:r>
              <w:rPr>
                <w:rFonts w:ascii="楷体" w:eastAsia="楷体" w:hAnsi="楷体" w:cs="宋体"/>
                <w:color w:val="000000"/>
                <w:kern w:val="0"/>
                <w:sz w:val="18"/>
              </w:rPr>
              <w:t>21.69</w:t>
            </w:r>
            <w:r w:rsidR="00C917B4" w:rsidRPr="00C917B4">
              <w:rPr>
                <w:rFonts w:ascii="楷体" w:eastAsia="楷体" w:hAnsi="楷体" w:cs="宋体" w:hint="eastAsia"/>
                <w:color w:val="000000"/>
                <w:kern w:val="0"/>
                <w:sz w:val="18"/>
              </w:rPr>
              <w:t>%</w:t>
            </w:r>
          </w:p>
        </w:tc>
        <w:tc>
          <w:tcPr>
            <w:tcW w:w="1000" w:type="pct"/>
            <w:tcBorders>
              <w:top w:val="single" w:sz="4" w:space="0" w:color="auto"/>
              <w:left w:val="single" w:sz="4" w:space="0" w:color="auto"/>
              <w:bottom w:val="nil"/>
              <w:right w:val="nil"/>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0.91%</w:t>
            </w:r>
          </w:p>
        </w:tc>
        <w:tc>
          <w:tcPr>
            <w:tcW w:w="1000" w:type="pct"/>
            <w:tcBorders>
              <w:top w:val="single" w:sz="4" w:space="0" w:color="auto"/>
              <w:left w:val="single" w:sz="4" w:space="0" w:color="auto"/>
              <w:bottom w:val="nil"/>
              <w:right w:val="single" w:sz="4" w:space="0" w:color="auto"/>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9.56%</w:t>
            </w:r>
          </w:p>
        </w:tc>
      </w:tr>
      <w:tr w:rsidR="00C917B4" w:rsidRPr="00C917B4" w:rsidTr="00C917B4">
        <w:trPr>
          <w:trHeight w:val="439"/>
        </w:trPr>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最大回撤</w:t>
            </w:r>
          </w:p>
        </w:tc>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-14.51%</w:t>
            </w:r>
          </w:p>
        </w:tc>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3124ED">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w:t>
            </w:r>
            <w:r w:rsidR="003124ED">
              <w:rPr>
                <w:rFonts w:ascii="楷体" w:eastAsia="楷体" w:hAnsi="楷体" w:cs="宋体"/>
                <w:color w:val="000000"/>
                <w:kern w:val="0"/>
                <w:sz w:val="18"/>
              </w:rPr>
              <w:t>11.79</w:t>
            </w:r>
            <w:r w:rsidRPr="00C917B4">
              <w:rPr>
                <w:rFonts w:ascii="楷体" w:eastAsia="楷体" w:hAnsi="楷体" w:cs="宋体" w:hint="eastAsia"/>
                <w:color w:val="000000"/>
                <w:kern w:val="0"/>
                <w:sz w:val="18"/>
              </w:rPr>
              <w:t>%</w:t>
            </w:r>
          </w:p>
        </w:tc>
        <w:tc>
          <w:tcPr>
            <w:tcW w:w="1000" w:type="pct"/>
            <w:tcBorders>
              <w:top w:val="single" w:sz="4" w:space="0" w:color="auto"/>
              <w:left w:val="single" w:sz="4" w:space="0" w:color="auto"/>
              <w:bottom w:val="nil"/>
              <w:right w:val="nil"/>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-0.54%</w:t>
            </w:r>
          </w:p>
        </w:tc>
        <w:tc>
          <w:tcPr>
            <w:tcW w:w="1000" w:type="pct"/>
            <w:tcBorders>
              <w:top w:val="single" w:sz="4" w:space="0" w:color="auto"/>
              <w:left w:val="single" w:sz="4" w:space="0" w:color="auto"/>
              <w:bottom w:val="nil"/>
              <w:right w:val="single" w:sz="4" w:space="0" w:color="auto"/>
            </w:tcBorders>
            <w:shd w:val="clear" w:color="F2DCDB" w:fill="F2DCDB"/>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-4.70%</w:t>
            </w:r>
          </w:p>
        </w:tc>
      </w:tr>
      <w:tr w:rsidR="00C917B4" w:rsidRPr="00C917B4" w:rsidTr="00C917B4">
        <w:trPr>
          <w:trHeight w:val="439"/>
        </w:trPr>
        <w:tc>
          <w:tcPr>
            <w:tcW w:w="1000" w:type="pct"/>
            <w:tcBorders>
              <w:top w:val="single" w:sz="4" w:space="0" w:color="auto"/>
              <w:left w:val="single" w:sz="4" w:space="0" w:color="auto"/>
              <w:bottom w:val="single" w:sz="4" w:space="0" w:color="auto"/>
              <w:right w:val="nil"/>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月度在</w:t>
            </w:r>
            <w:proofErr w:type="gramStart"/>
            <w:r w:rsidRPr="00C917B4">
              <w:rPr>
                <w:rFonts w:ascii="楷体" w:eastAsia="楷体" w:hAnsi="楷体" w:cs="宋体" w:hint="eastAsia"/>
                <w:color w:val="000000"/>
                <w:kern w:val="0"/>
                <w:sz w:val="18"/>
              </w:rPr>
              <w:t>险价值</w:t>
            </w:r>
            <w:proofErr w:type="gramEnd"/>
          </w:p>
        </w:tc>
        <w:tc>
          <w:tcPr>
            <w:tcW w:w="1000" w:type="pct"/>
            <w:tcBorders>
              <w:top w:val="single" w:sz="4" w:space="0" w:color="auto"/>
              <w:left w:val="single" w:sz="4" w:space="0" w:color="auto"/>
              <w:bottom w:val="single" w:sz="4" w:space="0" w:color="auto"/>
              <w:right w:val="nil"/>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-20.83%</w:t>
            </w:r>
          </w:p>
        </w:tc>
        <w:tc>
          <w:tcPr>
            <w:tcW w:w="1000" w:type="pct"/>
            <w:tcBorders>
              <w:top w:val="single" w:sz="4" w:space="0" w:color="auto"/>
              <w:left w:val="single" w:sz="4" w:space="0" w:color="auto"/>
              <w:bottom w:val="single" w:sz="4" w:space="0" w:color="auto"/>
              <w:right w:val="nil"/>
            </w:tcBorders>
            <w:shd w:val="clear" w:color="auto" w:fill="auto"/>
            <w:noWrap/>
            <w:vAlign w:val="center"/>
            <w:hideMark/>
          </w:tcPr>
          <w:p w:rsidR="00C917B4" w:rsidRPr="00C917B4" w:rsidRDefault="00C917B4" w:rsidP="003124ED">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w:t>
            </w:r>
            <w:r w:rsidR="003124ED">
              <w:rPr>
                <w:rFonts w:ascii="楷体" w:eastAsia="楷体" w:hAnsi="楷体" w:cs="宋体"/>
                <w:color w:val="000000"/>
                <w:kern w:val="0"/>
                <w:sz w:val="18"/>
              </w:rPr>
              <w:t>16.31</w:t>
            </w:r>
            <w:r w:rsidRPr="00C917B4">
              <w:rPr>
                <w:rFonts w:ascii="楷体" w:eastAsia="楷体" w:hAnsi="楷体" w:cs="宋体" w:hint="eastAsia"/>
                <w:color w:val="000000"/>
                <w:kern w:val="0"/>
                <w:sz w:val="18"/>
              </w:rPr>
              <w:t>%</w:t>
            </w:r>
          </w:p>
        </w:tc>
        <w:tc>
          <w:tcPr>
            <w:tcW w:w="1000" w:type="pct"/>
            <w:tcBorders>
              <w:top w:val="single" w:sz="4" w:space="0" w:color="auto"/>
              <w:left w:val="single" w:sz="4" w:space="0" w:color="auto"/>
              <w:bottom w:val="single" w:sz="4" w:space="0" w:color="auto"/>
              <w:right w:val="nil"/>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-0.01%</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17B4" w:rsidRPr="00C917B4" w:rsidRDefault="00C917B4" w:rsidP="00C917B4">
            <w:pPr>
              <w:widowControl/>
              <w:jc w:val="center"/>
              <w:rPr>
                <w:rFonts w:ascii="楷体" w:eastAsia="楷体" w:hAnsi="楷体" w:cs="宋体"/>
                <w:color w:val="000000"/>
                <w:kern w:val="0"/>
                <w:sz w:val="18"/>
              </w:rPr>
            </w:pPr>
            <w:r w:rsidRPr="00C917B4">
              <w:rPr>
                <w:rFonts w:ascii="楷体" w:eastAsia="楷体" w:hAnsi="楷体" w:cs="宋体" w:hint="eastAsia"/>
                <w:color w:val="000000"/>
                <w:kern w:val="0"/>
                <w:sz w:val="18"/>
              </w:rPr>
              <w:t>-2.55%</w:t>
            </w:r>
          </w:p>
        </w:tc>
      </w:tr>
    </w:tbl>
    <w:p w:rsidR="00C917B4" w:rsidRPr="00AA6F17" w:rsidRDefault="00C917B4" w:rsidP="00C917B4">
      <w:pPr>
        <w:rPr>
          <w:rFonts w:ascii="楷体" w:eastAsia="楷体" w:hAnsi="楷体"/>
          <w:noProof/>
          <w:color w:val="000000"/>
          <w:sz w:val="18"/>
        </w:rPr>
      </w:pPr>
      <w:r w:rsidRPr="00AA6F17">
        <w:rPr>
          <w:rFonts w:ascii="楷体" w:eastAsia="楷体" w:hAnsi="楷体" w:hint="eastAsia"/>
          <w:noProof/>
          <w:color w:val="000000"/>
          <w:sz w:val="18"/>
        </w:rPr>
        <w:t>注：组合时间区间为：201</w:t>
      </w:r>
      <w:r w:rsidRPr="00AA6F17">
        <w:rPr>
          <w:rFonts w:ascii="楷体" w:eastAsia="楷体" w:hAnsi="楷体"/>
          <w:noProof/>
          <w:color w:val="000000"/>
          <w:sz w:val="18"/>
        </w:rPr>
        <w:t>3</w:t>
      </w:r>
      <w:r w:rsidRPr="00AA6F17">
        <w:rPr>
          <w:rFonts w:ascii="楷体" w:eastAsia="楷体" w:hAnsi="楷体" w:hint="eastAsia"/>
          <w:noProof/>
          <w:color w:val="000000"/>
          <w:sz w:val="18"/>
        </w:rPr>
        <w:t>年12月1日 -</w:t>
      </w:r>
      <w:r w:rsidRPr="00AA6F17">
        <w:rPr>
          <w:rFonts w:ascii="楷体" w:eastAsia="楷体" w:hAnsi="楷体"/>
          <w:noProof/>
          <w:color w:val="000000"/>
          <w:sz w:val="18"/>
        </w:rPr>
        <w:t xml:space="preserve"> </w:t>
      </w:r>
      <w:r w:rsidRPr="00AA6F17">
        <w:rPr>
          <w:rFonts w:ascii="楷体" w:eastAsia="楷体" w:hAnsi="楷体" w:hint="eastAsia"/>
          <w:noProof/>
          <w:color w:val="000000"/>
          <w:sz w:val="18"/>
        </w:rPr>
        <w:t>2015年</w:t>
      </w:r>
      <w:r w:rsidRPr="00AA6F17">
        <w:rPr>
          <w:rFonts w:ascii="楷体" w:eastAsia="楷体" w:hAnsi="楷体"/>
          <w:noProof/>
          <w:color w:val="000000"/>
          <w:sz w:val="18"/>
        </w:rPr>
        <w:t>1</w:t>
      </w:r>
      <w:r w:rsidRPr="00AA6F17">
        <w:rPr>
          <w:rFonts w:ascii="楷体" w:eastAsia="楷体" w:hAnsi="楷体" w:hint="eastAsia"/>
          <w:noProof/>
          <w:color w:val="000000"/>
          <w:sz w:val="18"/>
        </w:rPr>
        <w:t>2</w:t>
      </w:r>
      <w:r w:rsidRPr="00AA6F17">
        <w:rPr>
          <w:rFonts w:ascii="楷体" w:eastAsia="楷体" w:hAnsi="楷体"/>
          <w:noProof/>
          <w:color w:val="000000"/>
          <w:sz w:val="18"/>
        </w:rPr>
        <w:t>月2</w:t>
      </w:r>
      <w:r w:rsidR="00CA22AA">
        <w:rPr>
          <w:rFonts w:ascii="楷体" w:eastAsia="楷体" w:hAnsi="楷体"/>
          <w:noProof/>
          <w:color w:val="000000"/>
          <w:sz w:val="18"/>
        </w:rPr>
        <w:t>5</w:t>
      </w:r>
      <w:r w:rsidRPr="00AA6F17">
        <w:rPr>
          <w:rFonts w:ascii="楷体" w:eastAsia="楷体" w:hAnsi="楷体"/>
          <w:noProof/>
          <w:color w:val="000000"/>
          <w:sz w:val="18"/>
        </w:rPr>
        <w:t>日</w:t>
      </w:r>
    </w:p>
    <w:p w:rsidR="009A18F4" w:rsidRPr="00AA6F17" w:rsidRDefault="009A18F4" w:rsidP="005A7782">
      <w:pPr>
        <w:spacing w:line="360" w:lineRule="auto"/>
        <w:ind w:left="2" w:hangingChars="1" w:hanging="2"/>
        <w:jc w:val="left"/>
        <w:rPr>
          <w:rFonts w:ascii="楷体" w:eastAsia="楷体" w:hAnsi="楷体"/>
          <w:b/>
          <w:color w:val="000000"/>
          <w:sz w:val="18"/>
          <w:szCs w:val="18"/>
        </w:rPr>
      </w:pPr>
      <w:r w:rsidRPr="00AA6F17">
        <w:rPr>
          <w:rFonts w:ascii="楷体" w:eastAsia="楷体" w:hAnsi="楷体" w:hint="eastAsia"/>
          <w:b/>
          <w:color w:val="000000"/>
          <w:sz w:val="18"/>
          <w:szCs w:val="18"/>
        </w:rPr>
        <w:t>表</w:t>
      </w:r>
      <w:r w:rsidR="007F7CDB" w:rsidRPr="00AA6F17">
        <w:rPr>
          <w:rFonts w:ascii="楷体" w:eastAsia="楷体" w:hAnsi="楷体"/>
          <w:b/>
          <w:color w:val="000000"/>
          <w:sz w:val="18"/>
          <w:szCs w:val="18"/>
        </w:rPr>
        <w:t>3</w:t>
      </w:r>
      <w:r w:rsidRPr="00AA6F17">
        <w:rPr>
          <w:rFonts w:ascii="楷体" w:eastAsia="楷体" w:hAnsi="楷体" w:hint="eastAsia"/>
          <w:b/>
          <w:color w:val="000000"/>
          <w:sz w:val="18"/>
          <w:szCs w:val="18"/>
        </w:rPr>
        <w:t>推荐基金基本情况</w:t>
      </w:r>
    </w:p>
    <w:tbl>
      <w:tblPr>
        <w:tblW w:w="5000" w:type="pct"/>
        <w:tblLook w:val="04A0" w:firstRow="1" w:lastRow="0" w:firstColumn="1" w:lastColumn="0" w:noHBand="0" w:noVBand="1"/>
      </w:tblPr>
      <w:tblGrid>
        <w:gridCol w:w="1656"/>
        <w:gridCol w:w="1455"/>
        <w:gridCol w:w="1455"/>
        <w:gridCol w:w="1455"/>
        <w:gridCol w:w="1662"/>
        <w:gridCol w:w="1662"/>
      </w:tblGrid>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szCs w:val="18"/>
              </w:rPr>
            </w:pPr>
            <w:r w:rsidRPr="004262A0">
              <w:rPr>
                <w:rFonts w:ascii="楷体" w:eastAsia="楷体" w:hAnsi="楷体" w:cs="宋体" w:hint="eastAsia"/>
                <w:b/>
                <w:bCs/>
                <w:color w:val="FFFFFF"/>
                <w:kern w:val="0"/>
                <w:sz w:val="18"/>
                <w:szCs w:val="18"/>
              </w:rPr>
              <w:t>基金名称</w:t>
            </w:r>
          </w:p>
        </w:tc>
        <w:tc>
          <w:tcPr>
            <w:tcW w:w="831" w:type="pct"/>
            <w:tcBorders>
              <w:top w:val="single" w:sz="4" w:space="0" w:color="DA9694"/>
              <w:left w:val="nil"/>
              <w:bottom w:val="single" w:sz="4" w:space="0" w:color="DA9694"/>
              <w:right w:val="nil"/>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szCs w:val="18"/>
              </w:rPr>
            </w:pPr>
            <w:r w:rsidRPr="004262A0">
              <w:rPr>
                <w:rFonts w:ascii="楷体" w:eastAsia="楷体" w:hAnsi="楷体" w:cs="宋体" w:hint="eastAsia"/>
                <w:b/>
                <w:bCs/>
                <w:color w:val="FFFFFF"/>
                <w:kern w:val="0"/>
                <w:sz w:val="18"/>
                <w:szCs w:val="18"/>
              </w:rPr>
              <w:t>代码</w:t>
            </w:r>
          </w:p>
        </w:tc>
        <w:tc>
          <w:tcPr>
            <w:tcW w:w="831" w:type="pct"/>
            <w:tcBorders>
              <w:top w:val="single" w:sz="4" w:space="0" w:color="DA9694"/>
              <w:left w:val="nil"/>
              <w:bottom w:val="single" w:sz="4" w:space="0" w:color="DA9694"/>
              <w:right w:val="nil"/>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szCs w:val="18"/>
              </w:rPr>
            </w:pPr>
            <w:r w:rsidRPr="004262A0">
              <w:rPr>
                <w:rFonts w:ascii="楷体" w:eastAsia="楷体" w:hAnsi="楷体" w:cs="宋体" w:hint="eastAsia"/>
                <w:b/>
                <w:bCs/>
                <w:color w:val="FFFFFF"/>
                <w:kern w:val="0"/>
                <w:sz w:val="18"/>
                <w:szCs w:val="18"/>
              </w:rPr>
              <w:t>类型</w:t>
            </w:r>
          </w:p>
        </w:tc>
        <w:tc>
          <w:tcPr>
            <w:tcW w:w="831" w:type="pct"/>
            <w:tcBorders>
              <w:top w:val="single" w:sz="4" w:space="0" w:color="DA9694"/>
              <w:left w:val="nil"/>
              <w:bottom w:val="single" w:sz="4" w:space="0" w:color="DA9694"/>
              <w:right w:val="nil"/>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szCs w:val="18"/>
              </w:rPr>
            </w:pPr>
            <w:r w:rsidRPr="004262A0">
              <w:rPr>
                <w:rFonts w:ascii="楷体" w:eastAsia="楷体" w:hAnsi="楷体" w:cs="宋体" w:hint="eastAsia"/>
                <w:b/>
                <w:bCs/>
                <w:color w:val="FFFFFF"/>
                <w:kern w:val="0"/>
                <w:sz w:val="18"/>
                <w:szCs w:val="18"/>
              </w:rPr>
              <w:t>管理人</w:t>
            </w:r>
          </w:p>
        </w:tc>
        <w:tc>
          <w:tcPr>
            <w:tcW w:w="839" w:type="pct"/>
            <w:tcBorders>
              <w:top w:val="single" w:sz="4" w:space="0" w:color="DA9694"/>
              <w:left w:val="nil"/>
              <w:bottom w:val="single" w:sz="4" w:space="0" w:color="DA9694"/>
              <w:right w:val="nil"/>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szCs w:val="18"/>
              </w:rPr>
            </w:pPr>
            <w:r w:rsidRPr="004262A0">
              <w:rPr>
                <w:rFonts w:ascii="楷体" w:eastAsia="楷体" w:hAnsi="楷体" w:cs="宋体" w:hint="eastAsia"/>
                <w:b/>
                <w:bCs/>
                <w:color w:val="FFFFFF"/>
                <w:kern w:val="0"/>
                <w:sz w:val="18"/>
                <w:szCs w:val="18"/>
              </w:rPr>
              <w:t>上证三年综合评级</w:t>
            </w:r>
          </w:p>
        </w:tc>
        <w:tc>
          <w:tcPr>
            <w:tcW w:w="839" w:type="pct"/>
            <w:tcBorders>
              <w:top w:val="single" w:sz="4" w:space="0" w:color="DA9694"/>
              <w:left w:val="nil"/>
              <w:bottom w:val="single" w:sz="4" w:space="0" w:color="DA9694"/>
              <w:right w:val="single" w:sz="4" w:space="0" w:color="DA9694"/>
            </w:tcBorders>
            <w:shd w:val="clear" w:color="C0504D" w:fill="C0504D"/>
            <w:noWrap/>
            <w:vAlign w:val="center"/>
            <w:hideMark/>
          </w:tcPr>
          <w:p w:rsidR="004262A0" w:rsidRPr="004262A0" w:rsidRDefault="004262A0" w:rsidP="004262A0">
            <w:pPr>
              <w:widowControl/>
              <w:jc w:val="center"/>
              <w:rPr>
                <w:rFonts w:ascii="楷体" w:eastAsia="楷体" w:hAnsi="楷体" w:cs="宋体"/>
                <w:b/>
                <w:bCs/>
                <w:color w:val="FFFFFF"/>
                <w:kern w:val="0"/>
                <w:sz w:val="18"/>
                <w:szCs w:val="18"/>
              </w:rPr>
            </w:pPr>
            <w:r w:rsidRPr="004262A0">
              <w:rPr>
                <w:rFonts w:ascii="楷体" w:eastAsia="楷体" w:hAnsi="楷体" w:cs="宋体" w:hint="eastAsia"/>
                <w:b/>
                <w:bCs/>
                <w:color w:val="FFFFFF"/>
                <w:kern w:val="0"/>
                <w:sz w:val="18"/>
                <w:szCs w:val="18"/>
              </w:rPr>
              <w:t>上证</w:t>
            </w:r>
            <w:proofErr w:type="gramStart"/>
            <w:r w:rsidRPr="004262A0">
              <w:rPr>
                <w:rFonts w:ascii="楷体" w:eastAsia="楷体" w:hAnsi="楷体" w:cs="宋体" w:hint="eastAsia"/>
                <w:b/>
                <w:bCs/>
                <w:color w:val="FFFFFF"/>
                <w:kern w:val="0"/>
                <w:sz w:val="18"/>
                <w:szCs w:val="18"/>
              </w:rPr>
              <w:t>三年选证评级</w:t>
            </w:r>
            <w:proofErr w:type="gramEnd"/>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信诚精</w:t>
            </w:r>
            <w:proofErr w:type="gramStart"/>
            <w:r w:rsidRPr="004262A0">
              <w:rPr>
                <w:rFonts w:ascii="楷体" w:eastAsia="楷体" w:hAnsi="楷体" w:cs="宋体" w:hint="eastAsia"/>
                <w:color w:val="000000"/>
                <w:kern w:val="0"/>
                <w:sz w:val="18"/>
                <w:szCs w:val="18"/>
              </w:rPr>
              <w:t>萃</w:t>
            </w:r>
            <w:proofErr w:type="gramEnd"/>
            <w:r w:rsidRPr="004262A0">
              <w:rPr>
                <w:rFonts w:ascii="楷体" w:eastAsia="楷体" w:hAnsi="楷体" w:cs="宋体" w:hint="eastAsia"/>
                <w:color w:val="000000"/>
                <w:kern w:val="0"/>
                <w:sz w:val="18"/>
                <w:szCs w:val="18"/>
              </w:rPr>
              <w:t>成长</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550002</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股票型</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信诚</w:t>
            </w:r>
          </w:p>
        </w:tc>
        <w:tc>
          <w:tcPr>
            <w:tcW w:w="839"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proofErr w:type="gramStart"/>
            <w:r w:rsidRPr="004262A0">
              <w:rPr>
                <w:rFonts w:ascii="楷体" w:eastAsia="楷体" w:hAnsi="楷体" w:cs="宋体" w:hint="eastAsia"/>
                <w:color w:val="000000"/>
                <w:kern w:val="0"/>
                <w:sz w:val="18"/>
                <w:szCs w:val="18"/>
              </w:rPr>
              <w:t>添富价值</w:t>
            </w:r>
            <w:proofErr w:type="gramEnd"/>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519069</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股票型</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proofErr w:type="gramStart"/>
            <w:r w:rsidRPr="004262A0">
              <w:rPr>
                <w:rFonts w:ascii="楷体" w:eastAsia="楷体" w:hAnsi="楷体" w:cs="宋体" w:hint="eastAsia"/>
                <w:color w:val="000000"/>
                <w:kern w:val="0"/>
                <w:sz w:val="18"/>
                <w:szCs w:val="18"/>
              </w:rPr>
              <w:t>汇添富</w:t>
            </w:r>
            <w:proofErr w:type="gramEnd"/>
          </w:p>
        </w:tc>
        <w:tc>
          <w:tcPr>
            <w:tcW w:w="839"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lastRenderedPageBreak/>
              <w:t>易方达科讯</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110029</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混合型</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易方达</w:t>
            </w:r>
          </w:p>
        </w:tc>
        <w:tc>
          <w:tcPr>
            <w:tcW w:w="839"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建</w:t>
            </w:r>
            <w:proofErr w:type="gramStart"/>
            <w:r w:rsidRPr="004262A0">
              <w:rPr>
                <w:rFonts w:ascii="楷体" w:eastAsia="楷体" w:hAnsi="楷体" w:cs="宋体" w:hint="eastAsia"/>
                <w:color w:val="000000"/>
                <w:kern w:val="0"/>
                <w:sz w:val="18"/>
                <w:szCs w:val="18"/>
              </w:rPr>
              <w:t>信收益</w:t>
            </w:r>
            <w:proofErr w:type="gramEnd"/>
            <w:r w:rsidRPr="004262A0">
              <w:rPr>
                <w:rFonts w:ascii="楷体" w:eastAsia="楷体" w:hAnsi="楷体" w:cs="宋体" w:hint="eastAsia"/>
                <w:color w:val="000000"/>
                <w:kern w:val="0"/>
                <w:sz w:val="18"/>
                <w:szCs w:val="18"/>
              </w:rPr>
              <w:t>增强</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530009</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债券型</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建信</w:t>
            </w:r>
          </w:p>
        </w:tc>
        <w:tc>
          <w:tcPr>
            <w:tcW w:w="839"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工</w:t>
            </w:r>
            <w:proofErr w:type="gramStart"/>
            <w:r w:rsidRPr="004262A0">
              <w:rPr>
                <w:rFonts w:ascii="楷体" w:eastAsia="楷体" w:hAnsi="楷体" w:cs="宋体" w:hint="eastAsia"/>
                <w:color w:val="000000"/>
                <w:kern w:val="0"/>
                <w:sz w:val="18"/>
                <w:szCs w:val="18"/>
              </w:rPr>
              <w:t>银瑞信双</w:t>
            </w:r>
            <w:proofErr w:type="gramEnd"/>
            <w:r w:rsidRPr="004262A0">
              <w:rPr>
                <w:rFonts w:ascii="楷体" w:eastAsia="楷体" w:hAnsi="楷体" w:cs="宋体" w:hint="eastAsia"/>
                <w:color w:val="000000"/>
                <w:kern w:val="0"/>
                <w:sz w:val="18"/>
                <w:szCs w:val="18"/>
              </w:rPr>
              <w:t>利</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485111</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债券型</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proofErr w:type="gramStart"/>
            <w:r w:rsidRPr="004262A0">
              <w:rPr>
                <w:rFonts w:ascii="楷体" w:eastAsia="楷体" w:hAnsi="楷体" w:cs="宋体" w:hint="eastAsia"/>
                <w:color w:val="000000"/>
                <w:kern w:val="0"/>
                <w:sz w:val="18"/>
                <w:szCs w:val="18"/>
              </w:rPr>
              <w:t>工银瑞信</w:t>
            </w:r>
            <w:proofErr w:type="gramEnd"/>
          </w:p>
        </w:tc>
        <w:tc>
          <w:tcPr>
            <w:tcW w:w="839"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华夏现金</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003003</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货币市场</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华夏</w:t>
            </w:r>
          </w:p>
        </w:tc>
        <w:tc>
          <w:tcPr>
            <w:tcW w:w="839"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广发货币B</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270014</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货币市场</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广发</w:t>
            </w:r>
          </w:p>
        </w:tc>
        <w:tc>
          <w:tcPr>
            <w:tcW w:w="839"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广发美国房地产</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000179</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QDII</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广发</w:t>
            </w:r>
          </w:p>
        </w:tc>
        <w:tc>
          <w:tcPr>
            <w:tcW w:w="839"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鹏</w:t>
            </w:r>
            <w:proofErr w:type="gramStart"/>
            <w:r w:rsidRPr="004262A0">
              <w:rPr>
                <w:rFonts w:ascii="楷体" w:eastAsia="楷体" w:hAnsi="楷体" w:cs="宋体" w:hint="eastAsia"/>
                <w:color w:val="000000"/>
                <w:kern w:val="0"/>
                <w:sz w:val="18"/>
                <w:szCs w:val="18"/>
              </w:rPr>
              <w:t>华全球</w:t>
            </w:r>
            <w:proofErr w:type="gramEnd"/>
            <w:r w:rsidRPr="004262A0">
              <w:rPr>
                <w:rFonts w:ascii="楷体" w:eastAsia="楷体" w:hAnsi="楷体" w:cs="宋体" w:hint="eastAsia"/>
                <w:color w:val="000000"/>
                <w:kern w:val="0"/>
                <w:sz w:val="18"/>
                <w:szCs w:val="18"/>
              </w:rPr>
              <w:t>高收益债</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3124ED">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000290</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QDII</w:t>
            </w:r>
          </w:p>
        </w:tc>
        <w:tc>
          <w:tcPr>
            <w:tcW w:w="831"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鹏华</w:t>
            </w:r>
          </w:p>
        </w:tc>
        <w:tc>
          <w:tcPr>
            <w:tcW w:w="839" w:type="pct"/>
            <w:tcBorders>
              <w:top w:val="single" w:sz="4" w:space="0" w:color="DA9694"/>
              <w:left w:val="nil"/>
              <w:bottom w:val="single" w:sz="4" w:space="0" w:color="DA9694"/>
              <w:right w:val="nil"/>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r w:rsidRPr="004262A0">
              <w:rPr>
                <w:rFonts w:ascii="楷体" w:eastAsia="楷体" w:hAnsi="楷体" w:cs="宋体" w:hint="eastAsia"/>
                <w:b/>
                <w:bCs/>
                <w:color w:val="0D0D0D"/>
                <w:kern w:val="0"/>
                <w:sz w:val="18"/>
                <w:szCs w:val="18"/>
              </w:rPr>
              <w:t>—</w:t>
            </w:r>
          </w:p>
        </w:tc>
        <w:tc>
          <w:tcPr>
            <w:tcW w:w="839" w:type="pct"/>
            <w:tcBorders>
              <w:top w:val="single" w:sz="4" w:space="0" w:color="DA9694"/>
              <w:left w:val="nil"/>
              <w:bottom w:val="single" w:sz="4" w:space="0" w:color="DA9694"/>
              <w:right w:val="single" w:sz="4" w:space="0" w:color="DA9694"/>
            </w:tcBorders>
            <w:shd w:val="clear" w:color="F2DCDB" w:fill="F2DCDB"/>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r w:rsidRPr="004262A0">
              <w:rPr>
                <w:rFonts w:ascii="楷体" w:eastAsia="楷体" w:hAnsi="楷体" w:cs="宋体" w:hint="eastAsia"/>
                <w:b/>
                <w:bCs/>
                <w:color w:val="0D0D0D"/>
                <w:kern w:val="0"/>
                <w:sz w:val="18"/>
                <w:szCs w:val="18"/>
              </w:rPr>
              <w:t>—</w:t>
            </w:r>
          </w:p>
        </w:tc>
      </w:tr>
      <w:tr w:rsidR="004262A0" w:rsidRPr="004262A0" w:rsidTr="005A7782">
        <w:trPr>
          <w:trHeight w:val="439"/>
        </w:trPr>
        <w:tc>
          <w:tcPr>
            <w:tcW w:w="831" w:type="pct"/>
            <w:tcBorders>
              <w:top w:val="single" w:sz="4" w:space="0" w:color="DA9694"/>
              <w:left w:val="single" w:sz="4" w:space="0" w:color="DA9694"/>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proofErr w:type="gramStart"/>
            <w:r w:rsidRPr="004262A0">
              <w:rPr>
                <w:rFonts w:ascii="楷体" w:eastAsia="楷体" w:hAnsi="楷体" w:cs="宋体" w:hint="eastAsia"/>
                <w:color w:val="000000"/>
                <w:kern w:val="0"/>
                <w:sz w:val="18"/>
                <w:szCs w:val="18"/>
              </w:rPr>
              <w:t>工银瑞信</w:t>
            </w:r>
            <w:proofErr w:type="gramEnd"/>
            <w:r w:rsidRPr="004262A0">
              <w:rPr>
                <w:rFonts w:ascii="楷体" w:eastAsia="楷体" w:hAnsi="楷体" w:cs="宋体" w:hint="eastAsia"/>
                <w:color w:val="000000"/>
                <w:kern w:val="0"/>
                <w:sz w:val="18"/>
                <w:szCs w:val="18"/>
              </w:rPr>
              <w:t>全球精选</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486002</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QDII</w:t>
            </w:r>
          </w:p>
        </w:tc>
        <w:tc>
          <w:tcPr>
            <w:tcW w:w="831"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proofErr w:type="gramStart"/>
            <w:r w:rsidRPr="004262A0">
              <w:rPr>
                <w:rFonts w:ascii="楷体" w:eastAsia="楷体" w:hAnsi="楷体" w:cs="宋体" w:hint="eastAsia"/>
                <w:color w:val="000000"/>
                <w:kern w:val="0"/>
                <w:sz w:val="18"/>
                <w:szCs w:val="18"/>
              </w:rPr>
              <w:t>工银瑞信</w:t>
            </w:r>
            <w:proofErr w:type="gramEnd"/>
          </w:p>
        </w:tc>
        <w:tc>
          <w:tcPr>
            <w:tcW w:w="839" w:type="pct"/>
            <w:tcBorders>
              <w:top w:val="single" w:sz="4" w:space="0" w:color="DA9694"/>
              <w:left w:val="nil"/>
              <w:bottom w:val="single" w:sz="4" w:space="0" w:color="DA9694"/>
              <w:right w:val="nil"/>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c>
          <w:tcPr>
            <w:tcW w:w="839" w:type="pct"/>
            <w:tcBorders>
              <w:top w:val="single" w:sz="4" w:space="0" w:color="DA9694"/>
              <w:left w:val="nil"/>
              <w:bottom w:val="single" w:sz="4" w:space="0" w:color="DA9694"/>
              <w:right w:val="single" w:sz="4" w:space="0" w:color="DA9694"/>
            </w:tcBorders>
            <w:shd w:val="clear" w:color="auto" w:fill="auto"/>
            <w:noWrap/>
            <w:vAlign w:val="center"/>
            <w:hideMark/>
          </w:tcPr>
          <w:p w:rsidR="004262A0" w:rsidRPr="004262A0" w:rsidRDefault="004262A0" w:rsidP="004262A0">
            <w:pPr>
              <w:widowControl/>
              <w:jc w:val="center"/>
              <w:rPr>
                <w:rFonts w:ascii="楷体" w:eastAsia="楷体" w:hAnsi="楷体" w:cs="宋体"/>
                <w:color w:val="000000"/>
                <w:kern w:val="0"/>
                <w:sz w:val="18"/>
                <w:szCs w:val="18"/>
              </w:rPr>
            </w:pPr>
            <w:r w:rsidRPr="004262A0">
              <w:rPr>
                <w:rFonts w:ascii="楷体" w:eastAsia="楷体" w:hAnsi="楷体" w:cs="宋体" w:hint="eastAsia"/>
                <w:color w:val="000000"/>
                <w:kern w:val="0"/>
                <w:sz w:val="18"/>
                <w:szCs w:val="18"/>
              </w:rPr>
              <w:t>——</w:t>
            </w:r>
          </w:p>
        </w:tc>
      </w:tr>
    </w:tbl>
    <w:p w:rsidR="009A18F4" w:rsidRPr="00AA6F17" w:rsidRDefault="009A18F4" w:rsidP="003C3F78">
      <w:pPr>
        <w:keepLines/>
        <w:adjustRightInd w:val="0"/>
        <w:snapToGrid w:val="0"/>
        <w:rPr>
          <w:rFonts w:ascii="楷体" w:eastAsia="楷体" w:hAnsi="楷体"/>
          <w:noProof/>
        </w:rPr>
      </w:pPr>
      <w:r w:rsidRPr="00AA6F17">
        <w:rPr>
          <w:rFonts w:ascii="楷体" w:eastAsia="楷体" w:hAnsi="楷体" w:cs="宋体" w:hint="eastAsia"/>
          <w:color w:val="000000"/>
          <w:kern w:val="0"/>
          <w:sz w:val="18"/>
          <w:szCs w:val="18"/>
        </w:rPr>
        <w:t>来源：wind上海证券基金评价研究中心</w:t>
      </w:r>
    </w:p>
    <w:p w:rsidR="009A18F4" w:rsidRPr="00AA6F17" w:rsidRDefault="009A18F4" w:rsidP="00732C2D">
      <w:pPr>
        <w:spacing w:beforeLines="50" w:before="156" w:afterLines="50" w:after="156"/>
        <w:ind w:leftChars="1350" w:left="2835" w:firstLineChars="196" w:firstLine="472"/>
        <w:rPr>
          <w:rFonts w:ascii="楷体" w:eastAsia="楷体" w:hAnsi="楷体" w:cs="宋体-18030"/>
          <w:b/>
          <w:bCs/>
          <w:color w:val="003366"/>
          <w:kern w:val="44"/>
          <w:sz w:val="24"/>
        </w:rPr>
      </w:pPr>
      <w:r w:rsidRPr="00AA6F17">
        <w:rPr>
          <w:rFonts w:ascii="楷体" w:eastAsia="楷体" w:hAnsi="楷体" w:cs="宋体-18030" w:hint="eastAsia"/>
          <w:b/>
          <w:bCs/>
          <w:color w:val="003366"/>
          <w:kern w:val="44"/>
          <w:sz w:val="24"/>
        </w:rPr>
        <w:t>组合定位：</w:t>
      </w:r>
    </w:p>
    <w:p w:rsidR="009A18F4" w:rsidRPr="00AA6F17" w:rsidRDefault="009A18F4" w:rsidP="00F11637">
      <w:pPr>
        <w:ind w:leftChars="1350" w:left="2835" w:firstLineChars="202" w:firstLine="426"/>
        <w:rPr>
          <w:rFonts w:ascii="楷体" w:eastAsia="楷体" w:hAnsi="楷体"/>
          <w:color w:val="000000"/>
        </w:rPr>
      </w:pPr>
      <w:r w:rsidRPr="00AA6F17">
        <w:rPr>
          <w:rFonts w:ascii="楷体" w:eastAsia="楷体" w:hAnsi="楷体" w:hint="eastAsia"/>
          <w:b/>
          <w:color w:val="000000"/>
        </w:rPr>
        <w:t>积极型组合</w:t>
      </w:r>
      <w:r w:rsidRPr="00AA6F17">
        <w:rPr>
          <w:rFonts w:ascii="楷体" w:eastAsia="楷体" w:hAnsi="楷体" w:hint="eastAsia"/>
          <w:color w:val="000000"/>
        </w:rPr>
        <w:t>适合风险承受能力较高，缺乏充分时间、经历或投资技能，侧重维持长期充分投资，愿意在承担高风险的基础上追求高收益的投资者，建议家庭负担或家庭负担不高的高风险偏好者参与。</w:t>
      </w:r>
    </w:p>
    <w:p w:rsidR="009A18F4" w:rsidRPr="00AA6F17" w:rsidRDefault="009A18F4" w:rsidP="00F11637">
      <w:pPr>
        <w:ind w:leftChars="1350" w:left="2835" w:firstLineChars="202" w:firstLine="426"/>
        <w:rPr>
          <w:rFonts w:ascii="楷体" w:eastAsia="楷体" w:hAnsi="楷体"/>
          <w:color w:val="000000"/>
        </w:rPr>
      </w:pPr>
      <w:r w:rsidRPr="00AA6F17">
        <w:rPr>
          <w:rFonts w:ascii="楷体" w:eastAsia="楷体" w:hAnsi="楷体" w:hint="eastAsia"/>
          <w:b/>
          <w:color w:val="000000"/>
        </w:rPr>
        <w:t>平衡型组合</w:t>
      </w:r>
      <w:r w:rsidRPr="00AA6F17">
        <w:rPr>
          <w:rFonts w:ascii="楷体" w:eastAsia="楷体" w:hAnsi="楷体" w:hint="eastAsia"/>
          <w:color w:val="000000"/>
        </w:rPr>
        <w:t>适合有一定风险承受能力，缺乏充分时间、经历或投资技能，侧重维持长期充分投资，愿意在承担较高风险的基础上追求相对稳健的投资者，建议无家庭负担不太高的中等风险偏好者参与。</w:t>
      </w:r>
    </w:p>
    <w:p w:rsidR="009A18F4" w:rsidRPr="00AA6F17" w:rsidRDefault="009A18F4" w:rsidP="00F11637">
      <w:pPr>
        <w:ind w:leftChars="1350" w:left="2835" w:firstLineChars="202" w:firstLine="426"/>
        <w:rPr>
          <w:rFonts w:ascii="楷体" w:eastAsia="楷体" w:hAnsi="楷体"/>
          <w:color w:val="000000"/>
        </w:rPr>
      </w:pPr>
      <w:r w:rsidRPr="00AA6F17">
        <w:rPr>
          <w:rFonts w:ascii="楷体" w:eastAsia="楷体" w:hAnsi="楷体" w:hint="eastAsia"/>
          <w:b/>
          <w:color w:val="000000"/>
        </w:rPr>
        <w:t>稳定型组合</w:t>
      </w:r>
      <w:r w:rsidRPr="00AA6F17">
        <w:rPr>
          <w:rFonts w:ascii="楷体" w:eastAsia="楷体" w:hAnsi="楷体" w:hint="eastAsia"/>
          <w:color w:val="000000"/>
        </w:rPr>
        <w:t>适合有风险承受能力较低，缺乏充分时间、经历或投资技能，侧重维持长期投资，期望在严格控制风险的基础上实现稳健增值、并对资产流动性有较高要求的投资者，建议难以承担较大幅度亏损的低等风险偏好者参与。</w:t>
      </w:r>
    </w:p>
    <w:p w:rsidR="00632F55" w:rsidRPr="00AA6F17" w:rsidRDefault="005A7782" w:rsidP="00006C0F">
      <w:pPr>
        <w:ind w:leftChars="1350" w:left="2835" w:firstLineChars="202" w:firstLine="426"/>
        <w:rPr>
          <w:rFonts w:ascii="楷体" w:eastAsia="楷体" w:hAnsi="楷体"/>
          <w:color w:val="000000"/>
        </w:rPr>
      </w:pPr>
      <w:r w:rsidRPr="00AA6F17">
        <w:rPr>
          <w:rFonts w:ascii="楷体" w:eastAsia="楷体" w:hAnsi="楷体" w:hint="eastAsia"/>
          <w:b/>
          <w:color w:val="000000"/>
        </w:rPr>
        <w:t>海外</w:t>
      </w:r>
      <w:r w:rsidR="00F045AF" w:rsidRPr="00AA6F17">
        <w:rPr>
          <w:rFonts w:ascii="楷体" w:eastAsia="楷体" w:hAnsi="楷体" w:hint="eastAsia"/>
          <w:b/>
          <w:color w:val="000000"/>
        </w:rPr>
        <w:t>配置型组合</w:t>
      </w:r>
      <w:r w:rsidR="005E24BF" w:rsidRPr="00AA6F17">
        <w:rPr>
          <w:rFonts w:ascii="楷体" w:eastAsia="楷体" w:hAnsi="楷体" w:hint="eastAsia"/>
          <w:color w:val="000000"/>
        </w:rPr>
        <w:t>适合有一定海外配置需求的，希望通过多元化投资规避单一市场风险，</w:t>
      </w:r>
      <w:r w:rsidR="00632F55" w:rsidRPr="00AA6F17">
        <w:rPr>
          <w:rFonts w:ascii="楷体" w:eastAsia="楷体" w:hAnsi="楷体" w:hint="eastAsia"/>
          <w:color w:val="000000"/>
        </w:rPr>
        <w:t>以长期理财为目标，同时</w:t>
      </w:r>
      <w:r w:rsidR="005E24BF" w:rsidRPr="00AA6F17">
        <w:rPr>
          <w:rFonts w:ascii="楷体" w:eastAsia="楷体" w:hAnsi="楷体" w:hint="eastAsia"/>
          <w:color w:val="000000"/>
        </w:rPr>
        <w:t>要求</w:t>
      </w:r>
      <w:r w:rsidR="00632F55" w:rsidRPr="00AA6F17">
        <w:rPr>
          <w:rFonts w:ascii="楷体" w:eastAsia="楷体" w:hAnsi="楷体" w:hint="eastAsia"/>
          <w:color w:val="000000"/>
        </w:rPr>
        <w:t>基金</w:t>
      </w:r>
      <w:r w:rsidR="005E24BF" w:rsidRPr="00AA6F17">
        <w:rPr>
          <w:rFonts w:ascii="楷体" w:eastAsia="楷体" w:hAnsi="楷体" w:hint="eastAsia"/>
          <w:color w:val="000000"/>
        </w:rPr>
        <w:t>有较低的波动风险，</w:t>
      </w:r>
      <w:r w:rsidR="00632F55" w:rsidRPr="00AA6F17">
        <w:rPr>
          <w:rFonts w:ascii="楷体" w:eastAsia="楷体" w:hAnsi="楷体" w:hint="eastAsia"/>
          <w:color w:val="000000"/>
        </w:rPr>
        <w:t>历经</w:t>
      </w:r>
      <w:r w:rsidR="005E24BF" w:rsidRPr="00AA6F17">
        <w:rPr>
          <w:rFonts w:ascii="楷体" w:eastAsia="楷体" w:hAnsi="楷体" w:hint="eastAsia"/>
          <w:color w:val="000000"/>
        </w:rPr>
        <w:t>景气多空</w:t>
      </w:r>
      <w:r w:rsidR="00632F55" w:rsidRPr="00AA6F17">
        <w:rPr>
          <w:rFonts w:ascii="楷体" w:eastAsia="楷体" w:hAnsi="楷体" w:hint="eastAsia"/>
          <w:color w:val="000000"/>
        </w:rPr>
        <w:t>仍能取得持续收益的投资者，建议无家庭负担的中高风险偏好者参与。</w:t>
      </w:r>
    </w:p>
    <w:p w:rsidR="009A18F4" w:rsidRPr="00AA6F17" w:rsidRDefault="009A18F4" w:rsidP="00732C2D">
      <w:pPr>
        <w:spacing w:beforeLines="50" w:before="156" w:afterLines="50" w:after="156"/>
        <w:ind w:leftChars="1350" w:left="2835" w:firstLineChars="196" w:firstLine="472"/>
        <w:rPr>
          <w:rFonts w:ascii="楷体" w:eastAsia="楷体" w:hAnsi="楷体" w:cs="宋体-18030"/>
          <w:b/>
          <w:bCs/>
          <w:color w:val="003366"/>
          <w:kern w:val="44"/>
          <w:sz w:val="24"/>
        </w:rPr>
      </w:pPr>
      <w:r w:rsidRPr="00AA6F17">
        <w:rPr>
          <w:rFonts w:ascii="楷体" w:eastAsia="楷体" w:hAnsi="楷体" w:cs="宋体-18030" w:hint="eastAsia"/>
          <w:b/>
          <w:bCs/>
          <w:color w:val="003366"/>
          <w:kern w:val="44"/>
          <w:sz w:val="24"/>
        </w:rPr>
        <w:t>基金点评：</w:t>
      </w:r>
    </w:p>
    <w:p w:rsidR="00896FD9" w:rsidRPr="00AA6F17" w:rsidRDefault="00896FD9" w:rsidP="00732C2D">
      <w:pPr>
        <w:spacing w:beforeLines="50" w:before="156"/>
        <w:ind w:leftChars="1350" w:left="2835" w:firstLineChars="202" w:firstLine="426"/>
        <w:rPr>
          <w:rFonts w:ascii="楷体" w:eastAsia="楷体" w:hAnsi="楷体" w:cs="宋体"/>
          <w:color w:val="000000"/>
          <w:kern w:val="0"/>
          <w:szCs w:val="21"/>
          <w:highlight w:val="yellow"/>
        </w:rPr>
      </w:pPr>
      <w:r w:rsidRPr="00AA6F17">
        <w:rPr>
          <w:rFonts w:ascii="楷体" w:eastAsia="楷体" w:hAnsi="楷体" w:cs="宋体" w:hint="eastAsia"/>
          <w:b/>
          <w:color w:val="000000"/>
          <w:kern w:val="0"/>
          <w:szCs w:val="21"/>
        </w:rPr>
        <w:t>信诚精</w:t>
      </w:r>
      <w:proofErr w:type="gramStart"/>
      <w:r w:rsidRPr="00AA6F17">
        <w:rPr>
          <w:rFonts w:ascii="楷体" w:eastAsia="楷体" w:hAnsi="楷体" w:cs="宋体" w:hint="eastAsia"/>
          <w:b/>
          <w:color w:val="000000"/>
          <w:kern w:val="0"/>
          <w:szCs w:val="21"/>
        </w:rPr>
        <w:t>萃</w:t>
      </w:r>
      <w:proofErr w:type="gramEnd"/>
      <w:r w:rsidRPr="00AA6F17">
        <w:rPr>
          <w:rFonts w:ascii="楷体" w:eastAsia="楷体" w:hAnsi="楷体" w:cs="宋体" w:hint="eastAsia"/>
          <w:b/>
          <w:color w:val="000000"/>
          <w:kern w:val="0"/>
          <w:szCs w:val="21"/>
        </w:rPr>
        <w:t>成长</w:t>
      </w:r>
      <w:r w:rsidRPr="00AA6F17">
        <w:rPr>
          <w:rFonts w:ascii="楷体" w:eastAsia="楷体" w:hAnsi="楷体" w:cs="宋体" w:hint="eastAsia"/>
          <w:color w:val="000000"/>
          <w:kern w:val="0"/>
          <w:szCs w:val="21"/>
        </w:rPr>
        <w:t>：信诚精</w:t>
      </w:r>
      <w:proofErr w:type="gramStart"/>
      <w:r w:rsidRPr="00AA6F17">
        <w:rPr>
          <w:rFonts w:ascii="楷体" w:eastAsia="楷体" w:hAnsi="楷体" w:cs="宋体" w:hint="eastAsia"/>
          <w:color w:val="000000"/>
          <w:kern w:val="0"/>
          <w:szCs w:val="21"/>
        </w:rPr>
        <w:t>萃</w:t>
      </w:r>
      <w:proofErr w:type="gramEnd"/>
      <w:r w:rsidRPr="00AA6F17">
        <w:rPr>
          <w:rFonts w:ascii="楷体" w:eastAsia="楷体" w:hAnsi="楷体" w:cs="宋体" w:hint="eastAsia"/>
          <w:color w:val="000000"/>
          <w:kern w:val="0"/>
          <w:szCs w:val="21"/>
        </w:rPr>
        <w:t>成长投资风格侧重大盘，投资较为积极，风险收益定位较高，产品优势在于择时能力出众。近期基金配置</w:t>
      </w:r>
      <w:r w:rsidR="004262A0" w:rsidRPr="00AA6F17">
        <w:rPr>
          <w:rFonts w:ascii="楷体" w:eastAsia="楷体" w:hAnsi="楷体" w:cs="宋体" w:hint="eastAsia"/>
          <w:color w:val="000000"/>
          <w:kern w:val="0"/>
          <w:szCs w:val="21"/>
        </w:rPr>
        <w:t>环保</w:t>
      </w:r>
      <w:r w:rsidRPr="00AA6F17">
        <w:rPr>
          <w:rFonts w:ascii="楷体" w:eastAsia="楷体" w:hAnsi="楷体" w:cs="宋体" w:hint="eastAsia"/>
          <w:color w:val="000000"/>
          <w:kern w:val="0"/>
          <w:szCs w:val="21"/>
        </w:rPr>
        <w:t>、</w:t>
      </w:r>
      <w:r w:rsidR="004262A0" w:rsidRPr="00AA6F17">
        <w:rPr>
          <w:rFonts w:ascii="楷体" w:eastAsia="楷体" w:hAnsi="楷体" w:cs="宋体" w:hint="eastAsia"/>
          <w:color w:val="000000"/>
          <w:kern w:val="0"/>
          <w:szCs w:val="21"/>
        </w:rPr>
        <w:t>创新科技</w:t>
      </w:r>
      <w:r w:rsidRPr="00AA6F17">
        <w:rPr>
          <w:rFonts w:ascii="楷体" w:eastAsia="楷体" w:hAnsi="楷体" w:cs="宋体" w:hint="eastAsia"/>
          <w:color w:val="000000"/>
          <w:kern w:val="0"/>
          <w:szCs w:val="21"/>
        </w:rPr>
        <w:t>，在一定程度上符合投资策略所的方向。</w:t>
      </w:r>
    </w:p>
    <w:p w:rsidR="009A18F4" w:rsidRPr="00AA6F17" w:rsidRDefault="009A18F4" w:rsidP="00732C2D">
      <w:pPr>
        <w:spacing w:beforeLines="50" w:before="156"/>
        <w:ind w:leftChars="1350" w:left="2835" w:firstLineChars="202" w:firstLine="426"/>
        <w:rPr>
          <w:rFonts w:ascii="楷体" w:eastAsia="楷体" w:hAnsi="楷体" w:cs="宋体"/>
          <w:color w:val="000000"/>
          <w:kern w:val="0"/>
          <w:szCs w:val="21"/>
        </w:rPr>
      </w:pPr>
      <w:proofErr w:type="gramStart"/>
      <w:r w:rsidRPr="00AA6F17">
        <w:rPr>
          <w:rFonts w:ascii="楷体" w:eastAsia="楷体" w:hAnsi="楷体" w:cs="宋体" w:hint="eastAsia"/>
          <w:b/>
          <w:color w:val="000000"/>
          <w:kern w:val="0"/>
          <w:szCs w:val="21"/>
        </w:rPr>
        <w:t>添富价值</w:t>
      </w:r>
      <w:proofErr w:type="gramEnd"/>
      <w:r w:rsidRPr="00AA6F17">
        <w:rPr>
          <w:rFonts w:ascii="楷体" w:eastAsia="楷体" w:hAnsi="楷体" w:cs="宋体" w:hint="eastAsia"/>
          <w:b/>
          <w:color w:val="000000"/>
          <w:kern w:val="0"/>
          <w:szCs w:val="21"/>
        </w:rPr>
        <w:t>：</w:t>
      </w:r>
      <w:r w:rsidRPr="00AA6F17">
        <w:rPr>
          <w:rFonts w:ascii="楷体" w:eastAsia="楷体" w:hAnsi="楷体" w:cs="宋体" w:hint="eastAsia"/>
          <w:color w:val="000000"/>
          <w:kern w:val="0"/>
          <w:szCs w:val="21"/>
        </w:rPr>
        <w:t>该基金保持充分投资，行业结构调整灵活，对市场结构性机会把握能力出色，</w:t>
      </w:r>
      <w:proofErr w:type="gramStart"/>
      <w:r w:rsidRPr="00AA6F17">
        <w:rPr>
          <w:rFonts w:ascii="楷体" w:eastAsia="楷体" w:hAnsi="楷体" w:cs="宋体" w:hint="eastAsia"/>
          <w:color w:val="000000"/>
          <w:kern w:val="0"/>
          <w:szCs w:val="21"/>
        </w:rPr>
        <w:t>选证能力</w:t>
      </w:r>
      <w:proofErr w:type="gramEnd"/>
      <w:r w:rsidRPr="00AA6F17">
        <w:rPr>
          <w:rFonts w:ascii="楷体" w:eastAsia="楷体" w:hAnsi="楷体" w:cs="宋体" w:hint="eastAsia"/>
          <w:color w:val="000000"/>
          <w:kern w:val="0"/>
          <w:szCs w:val="21"/>
        </w:rPr>
        <w:t>和综合评级均获最高五星评级。基金经理稳定，投资风格和策略延续性强，历史管理绩效出色且稳定性强。</w:t>
      </w:r>
    </w:p>
    <w:p w:rsidR="00460204" w:rsidRPr="00732C2D" w:rsidRDefault="00A221AD" w:rsidP="002F3CB4">
      <w:pPr>
        <w:spacing w:beforeLines="50" w:before="156"/>
        <w:ind w:leftChars="1350" w:left="2835" w:firstLineChars="202" w:firstLine="426"/>
        <w:rPr>
          <w:rFonts w:ascii="楷体" w:eastAsia="楷体" w:hAnsi="楷体" w:cs="宋体"/>
          <w:color w:val="000000"/>
          <w:kern w:val="0"/>
          <w:szCs w:val="21"/>
        </w:rPr>
      </w:pPr>
      <w:r w:rsidRPr="00AD224C">
        <w:rPr>
          <w:rFonts w:ascii="楷体" w:eastAsia="楷体" w:hAnsi="楷体" w:cs="宋体" w:hint="eastAsia"/>
          <w:b/>
          <w:color w:val="000000"/>
          <w:kern w:val="0"/>
          <w:szCs w:val="21"/>
        </w:rPr>
        <w:t>易方达科讯：</w:t>
      </w:r>
      <w:r w:rsidRPr="00AD224C">
        <w:rPr>
          <w:rFonts w:ascii="楷体" w:eastAsia="楷体" w:hAnsi="楷体" w:cs="宋体" w:hint="eastAsia"/>
          <w:color w:val="000000"/>
          <w:kern w:val="0"/>
          <w:szCs w:val="21"/>
        </w:rPr>
        <w:t>易方达科讯投资风格侧重中小盘，基金经理稳定，近期反弹行情中由于其出色</w:t>
      </w:r>
      <w:proofErr w:type="gramStart"/>
      <w:r w:rsidRPr="00AD224C">
        <w:rPr>
          <w:rFonts w:ascii="楷体" w:eastAsia="楷体" w:hAnsi="楷体" w:cs="宋体" w:hint="eastAsia"/>
          <w:color w:val="000000"/>
          <w:kern w:val="0"/>
          <w:szCs w:val="21"/>
        </w:rPr>
        <w:t>的选证能力</w:t>
      </w:r>
      <w:proofErr w:type="gramEnd"/>
      <w:r w:rsidRPr="00AD224C">
        <w:rPr>
          <w:rFonts w:ascii="楷体" w:eastAsia="楷体" w:hAnsi="楷体" w:cs="宋体" w:hint="eastAsia"/>
          <w:color w:val="000000"/>
          <w:kern w:val="0"/>
          <w:szCs w:val="21"/>
        </w:rPr>
        <w:t>，业绩出众。近期基金配置加大医疗生物的比例，在一定程度上符合投资策略方向。</w:t>
      </w:r>
    </w:p>
    <w:p w:rsidR="009A18F4" w:rsidRPr="00AA6F17" w:rsidRDefault="00B83E2C" w:rsidP="00732C2D">
      <w:pPr>
        <w:spacing w:beforeLines="50" w:before="156"/>
        <w:ind w:leftChars="1350" w:left="2835" w:firstLineChars="202" w:firstLine="426"/>
        <w:rPr>
          <w:rFonts w:ascii="楷体" w:eastAsia="楷体" w:hAnsi="楷体" w:cs="宋体"/>
          <w:color w:val="000000"/>
          <w:kern w:val="0"/>
          <w:szCs w:val="21"/>
        </w:rPr>
      </w:pPr>
      <w:r w:rsidRPr="00AA6F17">
        <w:rPr>
          <w:rFonts w:ascii="楷体" w:eastAsia="楷体" w:hAnsi="楷体" w:cs="宋体" w:hint="eastAsia"/>
          <w:b/>
          <w:color w:val="000000"/>
          <w:kern w:val="0"/>
          <w:szCs w:val="21"/>
        </w:rPr>
        <w:t>建</w:t>
      </w:r>
      <w:proofErr w:type="gramStart"/>
      <w:r w:rsidRPr="00AA6F17">
        <w:rPr>
          <w:rFonts w:ascii="楷体" w:eastAsia="楷体" w:hAnsi="楷体" w:cs="宋体" w:hint="eastAsia"/>
          <w:b/>
          <w:color w:val="000000"/>
          <w:kern w:val="0"/>
          <w:szCs w:val="21"/>
        </w:rPr>
        <w:t>信收益</w:t>
      </w:r>
      <w:proofErr w:type="gramEnd"/>
      <w:r w:rsidRPr="00AA6F17">
        <w:rPr>
          <w:rFonts w:ascii="楷体" w:eastAsia="楷体" w:hAnsi="楷体" w:cs="宋体" w:hint="eastAsia"/>
          <w:b/>
          <w:color w:val="000000"/>
          <w:kern w:val="0"/>
          <w:szCs w:val="21"/>
        </w:rPr>
        <w:t>增强</w:t>
      </w:r>
      <w:r w:rsidR="009A18F4" w:rsidRPr="00AA6F17">
        <w:rPr>
          <w:rFonts w:ascii="楷体" w:eastAsia="楷体" w:hAnsi="楷体" w:cs="宋体" w:hint="eastAsia"/>
          <w:color w:val="000000"/>
          <w:kern w:val="0"/>
          <w:szCs w:val="21"/>
        </w:rPr>
        <w:t>：该基金</w:t>
      </w:r>
      <w:r w:rsidR="00BB7764" w:rsidRPr="00AA6F17">
        <w:rPr>
          <w:rFonts w:ascii="楷体" w:eastAsia="楷体" w:hAnsi="楷体" w:cs="宋体" w:hint="eastAsia"/>
          <w:color w:val="000000"/>
          <w:kern w:val="0"/>
          <w:szCs w:val="21"/>
        </w:rPr>
        <w:t>谨慎</w:t>
      </w:r>
      <w:r w:rsidR="00396400" w:rsidRPr="00AA6F17">
        <w:rPr>
          <w:rFonts w:ascii="楷体" w:eastAsia="楷体" w:hAnsi="楷体" w:cs="宋体" w:hint="eastAsia"/>
          <w:color w:val="000000"/>
          <w:kern w:val="0"/>
          <w:szCs w:val="21"/>
        </w:rPr>
        <w:t>使用杠杆</w:t>
      </w:r>
      <w:r w:rsidR="009A18F4" w:rsidRPr="00AA6F17">
        <w:rPr>
          <w:rFonts w:ascii="楷体" w:eastAsia="楷体" w:hAnsi="楷体" w:cs="宋体" w:hint="eastAsia"/>
          <w:color w:val="000000"/>
          <w:kern w:val="0"/>
          <w:szCs w:val="21"/>
        </w:rPr>
        <w:t>，</w:t>
      </w:r>
      <w:r w:rsidR="00BB7764" w:rsidRPr="00AA6F17">
        <w:rPr>
          <w:rFonts w:ascii="楷体" w:eastAsia="楷体" w:hAnsi="楷体" w:cs="宋体" w:hint="eastAsia"/>
          <w:color w:val="000000"/>
          <w:kern w:val="0"/>
          <w:szCs w:val="21"/>
        </w:rPr>
        <w:t>侧重配置企业债和金融债，</w:t>
      </w:r>
      <w:r w:rsidR="000C5EA0" w:rsidRPr="00AA6F17">
        <w:rPr>
          <w:rFonts w:ascii="楷体" w:eastAsia="楷体" w:hAnsi="楷体" w:cs="宋体" w:hint="eastAsia"/>
          <w:color w:val="000000"/>
          <w:kern w:val="0"/>
          <w:szCs w:val="21"/>
        </w:rPr>
        <w:t>近期加大了金融债的投资比重，</w:t>
      </w:r>
      <w:r w:rsidR="00BB7764" w:rsidRPr="00AA6F17">
        <w:rPr>
          <w:rFonts w:ascii="楷体" w:eastAsia="楷体" w:hAnsi="楷体" w:cs="宋体" w:hint="eastAsia"/>
          <w:color w:val="000000"/>
          <w:kern w:val="0"/>
          <w:szCs w:val="21"/>
        </w:rPr>
        <w:t>投资风格延续性强</w:t>
      </w:r>
      <w:r w:rsidR="000C5EA0" w:rsidRPr="00AA6F17">
        <w:rPr>
          <w:rFonts w:ascii="楷体" w:eastAsia="楷体" w:hAnsi="楷体" w:cs="宋体" w:hint="eastAsia"/>
          <w:color w:val="000000"/>
          <w:kern w:val="0"/>
          <w:szCs w:val="21"/>
        </w:rPr>
        <w:t>，</w:t>
      </w:r>
      <w:r w:rsidR="00B1089A" w:rsidRPr="00AA6F17">
        <w:rPr>
          <w:rFonts w:ascii="楷体" w:eastAsia="楷体" w:hAnsi="楷体" w:cs="宋体" w:hint="eastAsia"/>
          <w:color w:val="000000"/>
          <w:kern w:val="0"/>
          <w:szCs w:val="21"/>
        </w:rPr>
        <w:t>业绩持续稳定，在同业内排名靠前</w:t>
      </w:r>
      <w:r w:rsidR="009A18F4" w:rsidRPr="00AA6F17">
        <w:rPr>
          <w:rFonts w:ascii="楷体" w:eastAsia="楷体" w:hAnsi="楷体" w:cs="宋体" w:hint="eastAsia"/>
          <w:color w:val="000000"/>
          <w:kern w:val="0"/>
          <w:szCs w:val="21"/>
        </w:rPr>
        <w:t>，其良好获益能力有望得以延续。</w:t>
      </w:r>
    </w:p>
    <w:p w:rsidR="003813FF" w:rsidRPr="00AA6F17" w:rsidRDefault="003813FF" w:rsidP="00732C2D">
      <w:pPr>
        <w:spacing w:beforeLines="50" w:before="156"/>
        <w:ind w:leftChars="1350" w:left="2835" w:firstLineChars="202" w:firstLine="426"/>
        <w:rPr>
          <w:rFonts w:ascii="楷体" w:eastAsia="楷体" w:hAnsi="楷体" w:cs="宋体"/>
          <w:color w:val="000000"/>
          <w:kern w:val="0"/>
          <w:szCs w:val="21"/>
        </w:rPr>
      </w:pPr>
      <w:r w:rsidRPr="00AA6F17">
        <w:rPr>
          <w:rFonts w:ascii="楷体" w:eastAsia="楷体" w:hAnsi="楷体" w:cs="宋体" w:hint="eastAsia"/>
          <w:b/>
          <w:color w:val="000000"/>
          <w:kern w:val="0"/>
          <w:szCs w:val="21"/>
        </w:rPr>
        <w:lastRenderedPageBreak/>
        <w:t>工</w:t>
      </w:r>
      <w:proofErr w:type="gramStart"/>
      <w:r w:rsidRPr="00AA6F17">
        <w:rPr>
          <w:rFonts w:ascii="楷体" w:eastAsia="楷体" w:hAnsi="楷体" w:cs="宋体" w:hint="eastAsia"/>
          <w:b/>
          <w:color w:val="000000"/>
          <w:kern w:val="0"/>
          <w:szCs w:val="21"/>
        </w:rPr>
        <w:t>银瑞信双</w:t>
      </w:r>
      <w:proofErr w:type="gramEnd"/>
      <w:r w:rsidRPr="00AA6F17">
        <w:rPr>
          <w:rFonts w:ascii="楷体" w:eastAsia="楷体" w:hAnsi="楷体" w:cs="宋体" w:hint="eastAsia"/>
          <w:b/>
          <w:color w:val="000000"/>
          <w:kern w:val="0"/>
          <w:szCs w:val="21"/>
        </w:rPr>
        <w:t>利：</w:t>
      </w:r>
      <w:r w:rsidR="00896FD9" w:rsidRPr="00AA6F17">
        <w:rPr>
          <w:rFonts w:ascii="楷体" w:eastAsia="楷体" w:hAnsi="楷体" w:cs="宋体" w:hint="eastAsia"/>
          <w:color w:val="000000"/>
          <w:kern w:val="0"/>
          <w:szCs w:val="21"/>
        </w:rPr>
        <w:t>基金</w:t>
      </w:r>
      <w:proofErr w:type="gramStart"/>
      <w:r w:rsidR="00896FD9" w:rsidRPr="00AA6F17">
        <w:rPr>
          <w:rFonts w:ascii="楷体" w:eastAsia="楷体" w:hAnsi="楷体" w:cs="宋体" w:hint="eastAsia"/>
          <w:color w:val="000000"/>
          <w:kern w:val="0"/>
          <w:szCs w:val="21"/>
        </w:rPr>
        <w:t>主配企业</w:t>
      </w:r>
      <w:proofErr w:type="gramEnd"/>
      <w:r w:rsidR="00896FD9" w:rsidRPr="00AA6F17">
        <w:rPr>
          <w:rFonts w:ascii="楷体" w:eastAsia="楷体" w:hAnsi="楷体" w:cs="宋体" w:hint="eastAsia"/>
          <w:color w:val="000000"/>
          <w:kern w:val="0"/>
          <w:szCs w:val="21"/>
        </w:rPr>
        <w:t>债以及金融债，今年以来杠杆率较低，重仓债券的平均</w:t>
      </w:r>
      <w:proofErr w:type="gramStart"/>
      <w:r w:rsidR="00896FD9" w:rsidRPr="00AA6F17">
        <w:rPr>
          <w:rFonts w:ascii="楷体" w:eastAsia="楷体" w:hAnsi="楷体" w:cs="宋体" w:hint="eastAsia"/>
          <w:color w:val="000000"/>
          <w:kern w:val="0"/>
          <w:szCs w:val="21"/>
        </w:rPr>
        <w:t>久期较低</w:t>
      </w:r>
      <w:proofErr w:type="gramEnd"/>
      <w:r w:rsidR="00896FD9" w:rsidRPr="00AA6F17">
        <w:rPr>
          <w:rFonts w:ascii="楷体" w:eastAsia="楷体" w:hAnsi="楷体" w:cs="宋体" w:hint="eastAsia"/>
          <w:color w:val="000000"/>
          <w:kern w:val="0"/>
          <w:szCs w:val="21"/>
        </w:rPr>
        <w:t>。</w:t>
      </w:r>
    </w:p>
    <w:p w:rsidR="009A18F4" w:rsidRPr="00AA6F17" w:rsidRDefault="009A18F4" w:rsidP="00732C2D">
      <w:pPr>
        <w:spacing w:beforeLines="50" w:before="156"/>
        <w:ind w:leftChars="1350" w:left="2835" w:firstLineChars="202" w:firstLine="426"/>
        <w:rPr>
          <w:rFonts w:ascii="楷体" w:eastAsia="楷体" w:hAnsi="楷体" w:cs="宋体"/>
          <w:color w:val="000000"/>
          <w:kern w:val="0"/>
          <w:szCs w:val="21"/>
        </w:rPr>
      </w:pPr>
      <w:r w:rsidRPr="00AA6F17">
        <w:rPr>
          <w:rFonts w:ascii="楷体" w:eastAsia="楷体" w:hAnsi="楷体" w:cs="宋体" w:hint="eastAsia"/>
          <w:b/>
          <w:color w:val="000000"/>
          <w:kern w:val="0"/>
          <w:szCs w:val="21"/>
        </w:rPr>
        <w:t>华夏现金：</w:t>
      </w:r>
      <w:r w:rsidRPr="00AA6F17">
        <w:rPr>
          <w:rFonts w:ascii="楷体" w:eastAsia="楷体" w:hAnsi="楷体" w:cs="宋体" w:hint="eastAsia"/>
          <w:color w:val="000000"/>
          <w:kern w:val="0"/>
          <w:szCs w:val="21"/>
        </w:rPr>
        <w:t>基金设立于2004年4月，截至2015年</w:t>
      </w:r>
      <w:r w:rsidR="004262A0" w:rsidRPr="00AA6F17">
        <w:rPr>
          <w:rFonts w:ascii="楷体" w:eastAsia="楷体" w:hAnsi="楷体" w:cs="宋体" w:hint="eastAsia"/>
          <w:color w:val="000000"/>
          <w:kern w:val="0"/>
          <w:szCs w:val="21"/>
        </w:rPr>
        <w:t>三</w:t>
      </w:r>
      <w:r w:rsidRPr="00AA6F17">
        <w:rPr>
          <w:rFonts w:ascii="楷体" w:eastAsia="楷体" w:hAnsi="楷体" w:cs="宋体" w:hint="eastAsia"/>
          <w:color w:val="000000"/>
          <w:kern w:val="0"/>
          <w:szCs w:val="21"/>
        </w:rPr>
        <w:t>季度末基金份额合计</w:t>
      </w:r>
      <w:r w:rsidR="00574282" w:rsidRPr="00AA6F17">
        <w:rPr>
          <w:rFonts w:ascii="楷体" w:eastAsia="楷体" w:hAnsi="楷体" w:cs="宋体"/>
          <w:color w:val="000000"/>
          <w:kern w:val="0"/>
          <w:szCs w:val="21"/>
        </w:rPr>
        <w:t>2316.24</w:t>
      </w:r>
      <w:r w:rsidRPr="00AA6F17">
        <w:rPr>
          <w:rFonts w:ascii="楷体" w:eastAsia="楷体" w:hAnsi="楷体" w:cs="宋体" w:hint="eastAsia"/>
          <w:color w:val="000000"/>
          <w:kern w:val="0"/>
          <w:szCs w:val="21"/>
        </w:rPr>
        <w:t>亿份，属于市场中规模最大的货币市场基金之一，流动性较好，历史管理业绩优秀。基金经理曲波管理该基金超过7年，经验丰富。</w:t>
      </w:r>
    </w:p>
    <w:p w:rsidR="009A18F4" w:rsidRPr="00AA6F17" w:rsidRDefault="009A18F4" w:rsidP="00732C2D">
      <w:pPr>
        <w:spacing w:beforeLines="50" w:before="156"/>
        <w:ind w:leftChars="1350" w:left="2835" w:firstLineChars="202" w:firstLine="426"/>
        <w:rPr>
          <w:rFonts w:ascii="楷体" w:eastAsia="楷体" w:hAnsi="楷体" w:cs="宋体"/>
          <w:color w:val="000000"/>
          <w:kern w:val="0"/>
          <w:szCs w:val="21"/>
        </w:rPr>
      </w:pPr>
      <w:r w:rsidRPr="00AA6F17">
        <w:rPr>
          <w:rFonts w:ascii="楷体" w:eastAsia="楷体" w:hAnsi="楷体" w:cs="宋体" w:hint="eastAsia"/>
          <w:b/>
          <w:color w:val="000000"/>
          <w:kern w:val="0"/>
          <w:szCs w:val="21"/>
        </w:rPr>
        <w:t>广发货币：</w:t>
      </w:r>
      <w:r w:rsidRPr="00AA6F17">
        <w:rPr>
          <w:rFonts w:ascii="楷体" w:eastAsia="楷体" w:hAnsi="楷体" w:cs="宋体" w:hint="eastAsia"/>
          <w:color w:val="000000"/>
          <w:kern w:val="0"/>
          <w:szCs w:val="21"/>
        </w:rPr>
        <w:t>基金设立于2005年5月，截至2015年</w:t>
      </w:r>
      <w:r w:rsidR="004262A0" w:rsidRPr="00AA6F17">
        <w:rPr>
          <w:rFonts w:ascii="楷体" w:eastAsia="楷体" w:hAnsi="楷体" w:cs="宋体" w:hint="eastAsia"/>
          <w:color w:val="000000"/>
          <w:kern w:val="0"/>
          <w:szCs w:val="21"/>
        </w:rPr>
        <w:t>三</w:t>
      </w:r>
      <w:r w:rsidRPr="00AA6F17">
        <w:rPr>
          <w:rFonts w:ascii="楷体" w:eastAsia="楷体" w:hAnsi="楷体" w:cs="宋体" w:hint="eastAsia"/>
          <w:color w:val="000000"/>
          <w:kern w:val="0"/>
          <w:szCs w:val="21"/>
        </w:rPr>
        <w:t>季度末基金A、B份额合计</w:t>
      </w:r>
      <w:r w:rsidR="00574282" w:rsidRPr="00AA6F17">
        <w:rPr>
          <w:rFonts w:ascii="楷体" w:eastAsia="楷体" w:hAnsi="楷体" w:cs="宋体"/>
          <w:color w:val="000000"/>
          <w:kern w:val="0"/>
          <w:szCs w:val="21"/>
        </w:rPr>
        <w:t>1350.19</w:t>
      </w:r>
      <w:r w:rsidRPr="00AA6F17">
        <w:rPr>
          <w:rFonts w:ascii="楷体" w:eastAsia="楷体" w:hAnsi="楷体" w:cs="宋体" w:hint="eastAsia"/>
          <w:color w:val="000000"/>
          <w:kern w:val="0"/>
          <w:szCs w:val="21"/>
        </w:rPr>
        <w:t>亿份，规模较为稳定，流动性较好。基金历史管理业绩优秀，201</w:t>
      </w:r>
      <w:r w:rsidR="004262A0" w:rsidRPr="00AA6F17">
        <w:rPr>
          <w:rFonts w:ascii="楷体" w:eastAsia="楷体" w:hAnsi="楷体" w:cs="宋体"/>
          <w:color w:val="000000"/>
          <w:kern w:val="0"/>
          <w:szCs w:val="21"/>
        </w:rPr>
        <w:t>5</w:t>
      </w:r>
      <w:r w:rsidRPr="00AA6F17">
        <w:rPr>
          <w:rFonts w:ascii="楷体" w:eastAsia="楷体" w:hAnsi="楷体" w:cs="宋体" w:hint="eastAsia"/>
          <w:color w:val="000000"/>
          <w:kern w:val="0"/>
          <w:szCs w:val="21"/>
        </w:rPr>
        <w:t>年以来年度回报率基本保持在</w:t>
      </w:r>
      <w:r w:rsidR="00574282" w:rsidRPr="00AA6F17">
        <w:rPr>
          <w:rFonts w:ascii="楷体" w:eastAsia="楷体" w:hAnsi="楷体" w:cs="宋体"/>
          <w:color w:val="000000"/>
          <w:kern w:val="0"/>
          <w:szCs w:val="21"/>
        </w:rPr>
        <w:t>3.17</w:t>
      </w:r>
      <w:r w:rsidRPr="00AA6F17">
        <w:rPr>
          <w:rFonts w:ascii="楷体" w:eastAsia="楷体" w:hAnsi="楷体" w:cs="宋体" w:hint="eastAsia"/>
          <w:color w:val="000000"/>
          <w:kern w:val="0"/>
          <w:szCs w:val="21"/>
        </w:rPr>
        <w:t>%以上高位水平，持续超越同类平均水平。</w:t>
      </w:r>
    </w:p>
    <w:p w:rsidR="00804831" w:rsidRPr="00AA6F17" w:rsidRDefault="00804831" w:rsidP="00732C2D">
      <w:pPr>
        <w:spacing w:beforeLines="50" w:before="156"/>
        <w:ind w:leftChars="1350" w:left="2835" w:firstLineChars="202" w:firstLine="426"/>
        <w:rPr>
          <w:rFonts w:ascii="楷体" w:eastAsia="楷体" w:hAnsi="楷体" w:cs="宋体"/>
          <w:color w:val="000000"/>
          <w:kern w:val="0"/>
          <w:szCs w:val="21"/>
        </w:rPr>
      </w:pPr>
      <w:proofErr w:type="gramStart"/>
      <w:r w:rsidRPr="00AA6F17">
        <w:rPr>
          <w:rFonts w:ascii="楷体" w:eastAsia="楷体" w:hAnsi="楷体" w:cs="宋体" w:hint="eastAsia"/>
          <w:b/>
          <w:color w:val="000000"/>
          <w:kern w:val="0"/>
          <w:szCs w:val="21"/>
        </w:rPr>
        <w:t>工银瑞信</w:t>
      </w:r>
      <w:proofErr w:type="gramEnd"/>
      <w:r w:rsidRPr="00AA6F17">
        <w:rPr>
          <w:rFonts w:ascii="楷体" w:eastAsia="楷体" w:hAnsi="楷体" w:cs="宋体" w:hint="eastAsia"/>
          <w:b/>
          <w:color w:val="000000"/>
          <w:kern w:val="0"/>
          <w:szCs w:val="21"/>
        </w:rPr>
        <w:t>全球精选：</w:t>
      </w:r>
      <w:r w:rsidRPr="00AA6F17">
        <w:rPr>
          <w:rFonts w:ascii="楷体" w:eastAsia="楷体" w:hAnsi="楷体" w:cs="宋体" w:hint="eastAsia"/>
          <w:color w:val="000000"/>
          <w:kern w:val="0"/>
          <w:szCs w:val="21"/>
        </w:rPr>
        <w:t>基金以美国股市为核心资产，</w:t>
      </w:r>
      <w:r w:rsidR="00947305" w:rsidRPr="00AA6F17">
        <w:rPr>
          <w:rFonts w:ascii="楷体" w:eastAsia="楷体" w:hAnsi="楷体" w:cs="宋体" w:hint="eastAsia"/>
          <w:color w:val="000000"/>
          <w:kern w:val="0"/>
          <w:szCs w:val="21"/>
        </w:rPr>
        <w:t>并分散</w:t>
      </w:r>
      <w:r w:rsidRPr="00AA6F17">
        <w:rPr>
          <w:rFonts w:ascii="楷体" w:eastAsia="楷体" w:hAnsi="楷体" w:cs="宋体" w:hint="eastAsia"/>
          <w:color w:val="000000"/>
          <w:kern w:val="0"/>
          <w:szCs w:val="21"/>
        </w:rPr>
        <w:t>投资于</w:t>
      </w:r>
      <w:r w:rsidR="00947305" w:rsidRPr="00AA6F17">
        <w:rPr>
          <w:rFonts w:ascii="楷体" w:eastAsia="楷体" w:hAnsi="楷体" w:cs="宋体" w:hint="eastAsia"/>
          <w:color w:val="000000"/>
          <w:kern w:val="0"/>
          <w:szCs w:val="21"/>
        </w:rPr>
        <w:t>欧洲、香港等区域，基金经理海外工作经历丰富，投资风格稳定，历史投资业绩在同类基金中排名靠前。</w:t>
      </w:r>
    </w:p>
    <w:p w:rsidR="00947305" w:rsidRPr="00AA6F17" w:rsidRDefault="00947305" w:rsidP="00732C2D">
      <w:pPr>
        <w:spacing w:beforeLines="50" w:before="156"/>
        <w:ind w:leftChars="1350" w:left="2835" w:firstLineChars="202" w:firstLine="426"/>
        <w:rPr>
          <w:rFonts w:ascii="楷体" w:eastAsia="楷体" w:hAnsi="楷体" w:cs="宋体"/>
          <w:color w:val="000000"/>
          <w:kern w:val="0"/>
          <w:szCs w:val="21"/>
        </w:rPr>
      </w:pPr>
      <w:r w:rsidRPr="00AA6F17">
        <w:rPr>
          <w:rFonts w:ascii="楷体" w:eastAsia="楷体" w:hAnsi="楷体" w:cs="宋体" w:hint="eastAsia"/>
          <w:b/>
          <w:color w:val="000000"/>
          <w:kern w:val="0"/>
          <w:szCs w:val="21"/>
        </w:rPr>
        <w:t>广发美国房地产：</w:t>
      </w:r>
      <w:r w:rsidR="00FD78AE" w:rsidRPr="00AA6F17">
        <w:rPr>
          <w:rFonts w:ascii="楷体" w:eastAsia="楷体" w:hAnsi="楷体" w:cs="宋体" w:hint="eastAsia"/>
          <w:color w:val="000000"/>
          <w:kern w:val="0"/>
          <w:szCs w:val="21"/>
        </w:rPr>
        <w:t>基金跟踪</w:t>
      </w:r>
      <w:r w:rsidR="00FD78AE" w:rsidRPr="00AA6F17">
        <w:rPr>
          <w:rFonts w:ascii="楷体" w:eastAsia="楷体" w:hAnsi="楷体" w:cs="宋体"/>
          <w:color w:val="000000"/>
          <w:kern w:val="0"/>
          <w:szCs w:val="21"/>
        </w:rPr>
        <w:t>MSCI美国房地产投资信托指数</w:t>
      </w:r>
      <w:r w:rsidR="00FD78AE" w:rsidRPr="00AA6F17">
        <w:rPr>
          <w:rFonts w:ascii="楷体" w:eastAsia="楷体" w:hAnsi="楷体" w:cs="宋体" w:hint="eastAsia"/>
          <w:color w:val="000000"/>
          <w:kern w:val="0"/>
          <w:szCs w:val="21"/>
        </w:rPr>
        <w:t>，</w:t>
      </w:r>
      <w:r w:rsidR="00FD78AE" w:rsidRPr="00AA6F17">
        <w:rPr>
          <w:rFonts w:ascii="楷体" w:eastAsia="楷体" w:hAnsi="楷体" w:cs="宋体"/>
          <w:color w:val="000000"/>
          <w:kern w:val="0"/>
          <w:szCs w:val="21"/>
        </w:rPr>
        <w:t>采用被动式指数</w:t>
      </w:r>
      <w:proofErr w:type="gramStart"/>
      <w:r w:rsidR="00FD78AE" w:rsidRPr="00AA6F17">
        <w:rPr>
          <w:rFonts w:ascii="楷体" w:eastAsia="楷体" w:hAnsi="楷体" w:cs="宋体"/>
          <w:color w:val="000000"/>
          <w:kern w:val="0"/>
          <w:szCs w:val="21"/>
        </w:rPr>
        <w:t>化投资</w:t>
      </w:r>
      <w:proofErr w:type="gramEnd"/>
      <w:r w:rsidR="00FD78AE" w:rsidRPr="00AA6F17">
        <w:rPr>
          <w:rFonts w:ascii="楷体" w:eastAsia="楷体" w:hAnsi="楷体" w:cs="宋体"/>
          <w:color w:val="000000"/>
          <w:kern w:val="0"/>
          <w:szCs w:val="21"/>
        </w:rPr>
        <w:t>方法，为投资者提供一个投资于美国REIT(房地产投资信托)市场的有效投资工具。</w:t>
      </w:r>
    </w:p>
    <w:p w:rsidR="00E26C51" w:rsidRPr="00AA6F17" w:rsidRDefault="00C917B4" w:rsidP="00732C2D">
      <w:pPr>
        <w:spacing w:beforeLines="50" w:before="156"/>
        <w:ind w:leftChars="1350" w:left="2835" w:firstLineChars="202" w:firstLine="426"/>
        <w:rPr>
          <w:rFonts w:ascii="楷体" w:eastAsia="楷体" w:hAnsi="楷体" w:cs="宋体"/>
          <w:color w:val="000000"/>
          <w:kern w:val="0"/>
          <w:szCs w:val="21"/>
        </w:rPr>
      </w:pPr>
      <w:r w:rsidRPr="00AA6F17">
        <w:rPr>
          <w:rFonts w:ascii="楷体" w:eastAsia="楷体" w:hAnsi="楷体" w:cs="宋体" w:hint="eastAsia"/>
          <w:b/>
          <w:color w:val="000000"/>
          <w:kern w:val="0"/>
          <w:szCs w:val="21"/>
        </w:rPr>
        <w:t>鹏</w:t>
      </w:r>
      <w:proofErr w:type="gramStart"/>
      <w:r w:rsidRPr="00AA6F17">
        <w:rPr>
          <w:rFonts w:ascii="楷体" w:eastAsia="楷体" w:hAnsi="楷体" w:cs="宋体" w:hint="eastAsia"/>
          <w:b/>
          <w:color w:val="000000"/>
          <w:kern w:val="0"/>
          <w:szCs w:val="21"/>
        </w:rPr>
        <w:t>华全球</w:t>
      </w:r>
      <w:proofErr w:type="gramEnd"/>
      <w:r w:rsidRPr="00AA6F17">
        <w:rPr>
          <w:rFonts w:ascii="楷体" w:eastAsia="楷体" w:hAnsi="楷体" w:cs="宋体" w:hint="eastAsia"/>
          <w:b/>
          <w:color w:val="000000"/>
          <w:kern w:val="0"/>
          <w:szCs w:val="21"/>
        </w:rPr>
        <w:t>高收益债</w:t>
      </w:r>
      <w:r w:rsidR="00947305" w:rsidRPr="00AA6F17">
        <w:rPr>
          <w:rFonts w:ascii="楷体" w:eastAsia="楷体" w:hAnsi="楷体" w:cs="宋体" w:hint="eastAsia"/>
          <w:b/>
          <w:color w:val="000000"/>
          <w:kern w:val="0"/>
          <w:szCs w:val="21"/>
        </w:rPr>
        <w:t>：</w:t>
      </w:r>
      <w:r w:rsidR="003813FF" w:rsidRPr="00AA6F17">
        <w:rPr>
          <w:rFonts w:ascii="楷体" w:eastAsia="楷体" w:hAnsi="楷体" w:cs="宋体" w:hint="eastAsia"/>
          <w:color w:val="000000"/>
          <w:kern w:val="0"/>
          <w:szCs w:val="21"/>
        </w:rPr>
        <w:t>本基金</w:t>
      </w:r>
      <w:r w:rsidR="004262A0" w:rsidRPr="00AA6F17">
        <w:rPr>
          <w:rFonts w:ascii="楷体" w:eastAsia="楷体" w:hAnsi="楷体" w:hint="eastAsia"/>
        </w:rPr>
        <w:t>成立于2013年10月22日,以高收益债为主要投资标的，实际主要投资于中国资企业在海外发行的美元债券。业绩领先同类，同时兼得高息票和美元升值收益。</w:t>
      </w:r>
    </w:p>
    <w:p w:rsidR="009A18F4" w:rsidRPr="00AA6F17" w:rsidRDefault="009A18F4" w:rsidP="00732C2D">
      <w:pPr>
        <w:spacing w:beforeLines="50" w:before="156" w:afterLines="50" w:after="156"/>
        <w:ind w:leftChars="1350" w:left="2835" w:firstLineChars="202" w:firstLine="568"/>
        <w:rPr>
          <w:rFonts w:ascii="楷体" w:eastAsia="楷体" w:hAnsi="楷体" w:cs="宋体-18030"/>
          <w:b/>
          <w:bCs/>
          <w:color w:val="000000"/>
          <w:kern w:val="44"/>
          <w:sz w:val="28"/>
          <w:szCs w:val="28"/>
        </w:rPr>
      </w:pPr>
      <w:r w:rsidRPr="00AA6F17">
        <w:rPr>
          <w:rFonts w:ascii="楷体" w:eastAsia="楷体" w:hAnsi="楷体" w:cs="宋体-18030" w:hint="eastAsia"/>
          <w:b/>
          <w:bCs/>
          <w:color w:val="000000"/>
          <w:kern w:val="44"/>
          <w:sz w:val="28"/>
          <w:szCs w:val="28"/>
        </w:rPr>
        <w:t>二、市场回顾</w:t>
      </w:r>
    </w:p>
    <w:p w:rsidR="009A18F4" w:rsidRPr="00AA6F17" w:rsidRDefault="009A18F4" w:rsidP="00732C2D">
      <w:pPr>
        <w:spacing w:beforeLines="50" w:before="156" w:afterLines="50" w:after="156"/>
        <w:ind w:leftChars="1350" w:left="2835" w:firstLineChars="196" w:firstLine="472"/>
        <w:rPr>
          <w:rFonts w:ascii="楷体" w:eastAsia="楷体" w:hAnsi="楷体" w:cs="宋体-18030"/>
          <w:b/>
          <w:bCs/>
          <w:color w:val="003366"/>
          <w:kern w:val="44"/>
          <w:sz w:val="24"/>
        </w:rPr>
      </w:pPr>
      <w:r w:rsidRPr="00AA6F17">
        <w:rPr>
          <w:rFonts w:ascii="楷体" w:eastAsia="楷体" w:hAnsi="楷体" w:cs="宋体-18030" w:hint="eastAsia"/>
          <w:b/>
          <w:bCs/>
          <w:color w:val="003366"/>
          <w:kern w:val="44"/>
          <w:sz w:val="24"/>
        </w:rPr>
        <w:t>（一）基础市场回顾：</w:t>
      </w:r>
      <w:r w:rsidR="00DA23EC" w:rsidRPr="00AA6F17">
        <w:rPr>
          <w:rFonts w:ascii="楷体" w:eastAsia="楷体" w:hAnsi="楷体" w:cs="宋体-18030" w:hint="eastAsia"/>
          <w:b/>
          <w:bCs/>
          <w:color w:val="003366"/>
          <w:kern w:val="44"/>
          <w:sz w:val="24"/>
        </w:rPr>
        <w:t>美元加息引震荡，股指先抑后扬</w:t>
      </w:r>
      <w:r w:rsidR="00DA23EC" w:rsidRPr="00AA6F17">
        <w:rPr>
          <w:rFonts w:ascii="楷体" w:eastAsia="楷体" w:hAnsi="楷体" w:cs="宋体-18030"/>
          <w:b/>
          <w:bCs/>
          <w:color w:val="003366"/>
          <w:kern w:val="44"/>
          <w:sz w:val="24"/>
        </w:rPr>
        <w:t xml:space="preserve"> </w:t>
      </w:r>
    </w:p>
    <w:p w:rsidR="009A18F4" w:rsidRPr="00AA6F17" w:rsidRDefault="00DA23EC" w:rsidP="00732C2D">
      <w:pPr>
        <w:spacing w:beforeLines="50" w:before="156"/>
        <w:ind w:leftChars="1350" w:left="2835" w:firstLineChars="202" w:firstLine="424"/>
        <w:rPr>
          <w:rFonts w:ascii="楷体" w:eastAsia="楷体" w:hAnsi="楷体" w:cs="宋体"/>
          <w:kern w:val="0"/>
          <w:szCs w:val="21"/>
        </w:rPr>
      </w:pPr>
      <w:r w:rsidRPr="00AA6F17">
        <w:rPr>
          <w:rFonts w:ascii="楷体" w:eastAsia="楷体" w:hAnsi="楷体" w:cs="宋体" w:hint="eastAsia"/>
          <w:kern w:val="0"/>
          <w:szCs w:val="21"/>
        </w:rPr>
        <w:t>截</w:t>
      </w:r>
      <w:r w:rsidR="00671635">
        <w:rPr>
          <w:rFonts w:ascii="楷体" w:eastAsia="楷体" w:hAnsi="楷体" w:cs="宋体" w:hint="eastAsia"/>
          <w:kern w:val="0"/>
          <w:szCs w:val="21"/>
        </w:rPr>
        <w:t>至</w:t>
      </w:r>
      <w:r w:rsidRPr="00AA6F17">
        <w:rPr>
          <w:rFonts w:ascii="楷体" w:eastAsia="楷体" w:hAnsi="楷体" w:cs="宋体" w:hint="eastAsia"/>
          <w:kern w:val="0"/>
          <w:szCs w:val="21"/>
        </w:rPr>
        <w:t>25日，上证综指与深证综指在12月中分别上涨5.3%</w:t>
      </w:r>
      <w:r w:rsidR="005D4938" w:rsidRPr="00AA6F17">
        <w:rPr>
          <w:rFonts w:ascii="楷体" w:eastAsia="楷体" w:hAnsi="楷体" w:cs="宋体" w:hint="eastAsia"/>
          <w:kern w:val="0"/>
          <w:szCs w:val="21"/>
        </w:rPr>
        <w:t>和7</w:t>
      </w:r>
      <w:r w:rsidR="003E0C6F">
        <w:rPr>
          <w:rFonts w:ascii="楷体" w:eastAsia="楷体" w:hAnsi="楷体" w:cs="宋体"/>
          <w:kern w:val="0"/>
          <w:szCs w:val="21"/>
        </w:rPr>
        <w:t>.0</w:t>
      </w:r>
      <w:r w:rsidR="005D4938" w:rsidRPr="00AA6F17">
        <w:rPr>
          <w:rFonts w:ascii="楷体" w:eastAsia="楷体" w:hAnsi="楷体" w:cs="宋体" w:hint="eastAsia"/>
          <w:kern w:val="0"/>
          <w:szCs w:val="21"/>
        </w:rPr>
        <w:t>%，A股自10月以来已经连续3个月上涨。IPO尾班车，美元加息引起新兴</w:t>
      </w:r>
      <w:proofErr w:type="gramStart"/>
      <w:r w:rsidR="005D4938" w:rsidRPr="00AA6F17">
        <w:rPr>
          <w:rFonts w:ascii="楷体" w:eastAsia="楷体" w:hAnsi="楷体" w:cs="宋体" w:hint="eastAsia"/>
          <w:kern w:val="0"/>
          <w:szCs w:val="21"/>
        </w:rPr>
        <w:t>市场巨震没能</w:t>
      </w:r>
      <w:proofErr w:type="gramEnd"/>
      <w:r w:rsidR="005D4938" w:rsidRPr="00AA6F17">
        <w:rPr>
          <w:rFonts w:ascii="楷体" w:eastAsia="楷体" w:hAnsi="楷体" w:cs="宋体" w:hint="eastAsia"/>
          <w:kern w:val="0"/>
          <w:szCs w:val="21"/>
        </w:rPr>
        <w:t>撼动A股慢牛行情，市场风险偏好也在稳步提升</w:t>
      </w:r>
      <w:r w:rsidR="00652328" w:rsidRPr="00AA6F17">
        <w:rPr>
          <w:rFonts w:ascii="楷体" w:eastAsia="楷体" w:hAnsi="楷体" w:cs="宋体" w:hint="eastAsia"/>
          <w:kern w:val="0"/>
          <w:szCs w:val="21"/>
        </w:rPr>
        <w:t>。本月中小板、创业</w:t>
      </w:r>
      <w:proofErr w:type="gramStart"/>
      <w:r w:rsidR="00652328" w:rsidRPr="00AA6F17">
        <w:rPr>
          <w:rFonts w:ascii="楷体" w:eastAsia="楷体" w:hAnsi="楷体" w:cs="宋体" w:hint="eastAsia"/>
          <w:kern w:val="0"/>
          <w:szCs w:val="21"/>
        </w:rPr>
        <w:t>板反弹</w:t>
      </w:r>
      <w:proofErr w:type="gramEnd"/>
      <w:r w:rsidR="00652328" w:rsidRPr="00AA6F17">
        <w:rPr>
          <w:rFonts w:ascii="楷体" w:eastAsia="楷体" w:hAnsi="楷体" w:cs="宋体" w:hint="eastAsia"/>
          <w:kern w:val="0"/>
          <w:szCs w:val="21"/>
        </w:rPr>
        <w:t>力度有所减弱，交易活跃度下降，年末市场风格似有切换之势。12月新股申购仍沿袭旧规则，自明年1月起新规则的实施，</w:t>
      </w:r>
      <w:r w:rsidR="00652328" w:rsidRPr="00732C2D">
        <w:rPr>
          <w:rFonts w:ascii="楷体" w:eastAsia="楷体" w:hAnsi="楷体" w:cs="宋体" w:hint="eastAsia"/>
          <w:kern w:val="0"/>
          <w:szCs w:val="21"/>
        </w:rPr>
        <w:t>打新</w:t>
      </w:r>
      <w:r w:rsidR="00732C2D" w:rsidRPr="00AD224C">
        <w:rPr>
          <w:rFonts w:ascii="楷体" w:eastAsia="楷体" w:hAnsi="楷体" w:cs="宋体" w:hint="eastAsia"/>
          <w:kern w:val="0"/>
          <w:szCs w:val="21"/>
        </w:rPr>
        <w:t>中标概率有望大幅下行，这使得打新作为一个重要投资策略的时代</w:t>
      </w:r>
      <w:r w:rsidR="00652328" w:rsidRPr="00732C2D">
        <w:rPr>
          <w:rFonts w:ascii="楷体" w:eastAsia="楷体" w:hAnsi="楷体" w:cs="宋体" w:hint="eastAsia"/>
          <w:kern w:val="0"/>
          <w:szCs w:val="21"/>
        </w:rPr>
        <w:t>将终结。</w:t>
      </w:r>
    </w:p>
    <w:tbl>
      <w:tblPr>
        <w:tblW w:w="9781" w:type="dxa"/>
        <w:tblInd w:w="-34" w:type="dxa"/>
        <w:tblLayout w:type="fixed"/>
        <w:tblLook w:val="04A0" w:firstRow="1" w:lastRow="0" w:firstColumn="1" w:lastColumn="0" w:noHBand="0" w:noVBand="1"/>
      </w:tblPr>
      <w:tblGrid>
        <w:gridCol w:w="4854"/>
        <w:gridCol w:w="4927"/>
      </w:tblGrid>
      <w:tr w:rsidR="009A18F4" w:rsidRPr="00AA6F17" w:rsidTr="008B4E17">
        <w:tc>
          <w:tcPr>
            <w:tcW w:w="4854" w:type="dxa"/>
            <w:tcBorders>
              <w:bottom w:val="single" w:sz="4" w:space="0" w:color="FF0000"/>
            </w:tcBorders>
          </w:tcPr>
          <w:p w:rsidR="009A18F4" w:rsidRPr="00AA6F17" w:rsidRDefault="009A18F4" w:rsidP="00F11637">
            <w:pPr>
              <w:spacing w:line="360" w:lineRule="auto"/>
              <w:ind w:left="33" w:hangingChars="18" w:hanging="33"/>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007F7CDB" w:rsidRPr="00AA6F17">
              <w:rPr>
                <w:rFonts w:ascii="楷体" w:eastAsia="楷体" w:hAnsi="楷体"/>
                <w:b/>
                <w:color w:val="000000"/>
                <w:sz w:val="18"/>
                <w:szCs w:val="18"/>
              </w:rPr>
              <w:t>5</w:t>
            </w:r>
            <w:r w:rsidRPr="00AA6F17">
              <w:rPr>
                <w:rFonts w:ascii="楷体" w:eastAsia="楷体" w:hAnsi="楷体" w:hint="eastAsia"/>
                <w:b/>
                <w:color w:val="000000"/>
                <w:sz w:val="18"/>
                <w:szCs w:val="18"/>
              </w:rPr>
              <w:t>、本月沪深两市累计涨幅（%）</w:t>
            </w:r>
          </w:p>
        </w:tc>
        <w:tc>
          <w:tcPr>
            <w:tcW w:w="4927" w:type="dxa"/>
            <w:tcBorders>
              <w:bottom w:val="single" w:sz="4" w:space="0" w:color="FF0000"/>
            </w:tcBorders>
          </w:tcPr>
          <w:p w:rsidR="009A18F4" w:rsidRPr="00AA6F17" w:rsidRDefault="009A18F4" w:rsidP="00F11637">
            <w:pPr>
              <w:spacing w:line="360" w:lineRule="auto"/>
              <w:ind w:left="4017" w:hangingChars="2223" w:hanging="4017"/>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007F7CDB" w:rsidRPr="00AA6F17">
              <w:rPr>
                <w:rFonts w:ascii="楷体" w:eastAsia="楷体" w:hAnsi="楷体"/>
                <w:b/>
                <w:color w:val="000000"/>
                <w:sz w:val="18"/>
                <w:szCs w:val="18"/>
              </w:rPr>
              <w:t>6</w:t>
            </w:r>
            <w:r w:rsidRPr="00AA6F17">
              <w:rPr>
                <w:rFonts w:ascii="楷体" w:eastAsia="楷体" w:hAnsi="楷体" w:hint="eastAsia"/>
                <w:b/>
                <w:color w:val="000000"/>
                <w:sz w:val="18"/>
                <w:szCs w:val="18"/>
              </w:rPr>
              <w:t>、最近12月沪深两市涨跌幅（%）</w:t>
            </w:r>
          </w:p>
        </w:tc>
      </w:tr>
      <w:tr w:rsidR="009A18F4" w:rsidRPr="00AA6F17" w:rsidTr="005D4938">
        <w:trPr>
          <w:trHeight w:val="2371"/>
        </w:trPr>
        <w:tc>
          <w:tcPr>
            <w:tcW w:w="4854" w:type="dxa"/>
            <w:tcBorders>
              <w:top w:val="single" w:sz="4" w:space="0" w:color="FF0000"/>
              <w:bottom w:val="single" w:sz="4" w:space="0" w:color="FF0000"/>
            </w:tcBorders>
          </w:tcPr>
          <w:p w:rsidR="009A18F4" w:rsidRPr="00AA6F17" w:rsidRDefault="00DA23EC" w:rsidP="00DE017A">
            <w:pPr>
              <w:spacing w:line="360" w:lineRule="auto"/>
              <w:ind w:leftChars="16" w:left="34"/>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3008759" cy="1581150"/>
                  <wp:effectExtent l="19050" t="0" r="1141"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3018183" cy="1586102"/>
                          </a:xfrm>
                          <a:prstGeom prst="rect">
                            <a:avLst/>
                          </a:prstGeom>
                          <a:noFill/>
                        </pic:spPr>
                      </pic:pic>
                    </a:graphicData>
                  </a:graphic>
                </wp:inline>
              </w:drawing>
            </w:r>
          </w:p>
        </w:tc>
        <w:tc>
          <w:tcPr>
            <w:tcW w:w="4927" w:type="dxa"/>
            <w:tcBorders>
              <w:top w:val="single" w:sz="4" w:space="0" w:color="FF0000"/>
              <w:bottom w:val="single" w:sz="4" w:space="0" w:color="FF0000"/>
            </w:tcBorders>
          </w:tcPr>
          <w:p w:rsidR="009A18F4" w:rsidRPr="00AA6F17" w:rsidRDefault="00DA23EC" w:rsidP="00DA23EC">
            <w:pPr>
              <w:spacing w:line="360" w:lineRule="auto"/>
              <w:ind w:left="1" w:rightChars="-51" w:right="-107" w:firstLineChars="18" w:firstLine="32"/>
              <w:jc w:val="left"/>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2951636" cy="1457326"/>
                  <wp:effectExtent l="19050" t="0" r="1114"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2964252" cy="1463555"/>
                          </a:xfrm>
                          <a:prstGeom prst="rect">
                            <a:avLst/>
                          </a:prstGeom>
                          <a:noFill/>
                        </pic:spPr>
                      </pic:pic>
                    </a:graphicData>
                  </a:graphic>
                </wp:inline>
              </w:drawing>
            </w:r>
          </w:p>
        </w:tc>
      </w:tr>
    </w:tbl>
    <w:p w:rsidR="009A18F4" w:rsidRPr="00AA6F17" w:rsidRDefault="009A18F4" w:rsidP="009A18F4">
      <w:pPr>
        <w:rPr>
          <w:rFonts w:ascii="楷体" w:eastAsia="楷体" w:hAnsi="楷体"/>
          <w:noProof/>
          <w:color w:val="000000"/>
          <w:sz w:val="18"/>
          <w:szCs w:val="18"/>
        </w:rPr>
      </w:pPr>
      <w:r w:rsidRPr="00AA6F17">
        <w:rPr>
          <w:rFonts w:ascii="楷体" w:eastAsia="楷体" w:hAnsi="楷体" w:hint="eastAsia"/>
          <w:noProof/>
          <w:color w:val="000000"/>
          <w:sz w:val="18"/>
          <w:szCs w:val="18"/>
        </w:rPr>
        <w:t>来源：wind，上海证券基金评价研究中心</w:t>
      </w:r>
    </w:p>
    <w:p w:rsidR="009A18F4" w:rsidRPr="00AA6F17" w:rsidRDefault="009A18F4" w:rsidP="009A18F4">
      <w:pPr>
        <w:rPr>
          <w:rFonts w:ascii="楷体" w:eastAsia="楷体" w:hAnsi="楷体"/>
          <w:noProof/>
          <w:color w:val="000000"/>
          <w:sz w:val="18"/>
          <w:szCs w:val="18"/>
        </w:rPr>
      </w:pPr>
      <w:r w:rsidRPr="00AA6F17">
        <w:rPr>
          <w:rFonts w:ascii="楷体" w:eastAsia="楷体" w:hAnsi="楷体" w:hint="eastAsia"/>
          <w:noProof/>
          <w:color w:val="000000"/>
          <w:sz w:val="18"/>
          <w:szCs w:val="18"/>
        </w:rPr>
        <w:t>注：数据截至2015年</w:t>
      </w:r>
      <w:r w:rsidR="00B4523D" w:rsidRPr="00AA6F17">
        <w:rPr>
          <w:rFonts w:ascii="楷体" w:eastAsia="楷体" w:hAnsi="楷体" w:hint="eastAsia"/>
          <w:noProof/>
          <w:color w:val="000000"/>
          <w:sz w:val="18"/>
          <w:szCs w:val="18"/>
        </w:rPr>
        <w:t>1</w:t>
      </w:r>
      <w:r w:rsidR="00DA23EC" w:rsidRPr="00AA6F17">
        <w:rPr>
          <w:rFonts w:ascii="楷体" w:eastAsia="楷体" w:hAnsi="楷体" w:hint="eastAsia"/>
          <w:noProof/>
          <w:color w:val="000000"/>
          <w:sz w:val="18"/>
          <w:szCs w:val="18"/>
        </w:rPr>
        <w:t>2</w:t>
      </w:r>
      <w:r w:rsidR="00B4523D" w:rsidRPr="00AA6F17">
        <w:rPr>
          <w:rFonts w:ascii="楷体" w:eastAsia="楷体" w:hAnsi="楷体" w:hint="eastAsia"/>
          <w:noProof/>
          <w:color w:val="000000"/>
          <w:sz w:val="18"/>
          <w:szCs w:val="18"/>
        </w:rPr>
        <w:t>月2</w:t>
      </w:r>
      <w:r w:rsidR="00DA23EC" w:rsidRPr="00AA6F17">
        <w:rPr>
          <w:rFonts w:ascii="楷体" w:eastAsia="楷体" w:hAnsi="楷体" w:hint="eastAsia"/>
          <w:noProof/>
          <w:color w:val="000000"/>
          <w:sz w:val="18"/>
          <w:szCs w:val="18"/>
        </w:rPr>
        <w:t>5</w:t>
      </w:r>
      <w:r w:rsidR="00B4523D" w:rsidRPr="00AA6F17">
        <w:rPr>
          <w:rFonts w:ascii="楷体" w:eastAsia="楷体" w:hAnsi="楷体" w:hint="eastAsia"/>
          <w:noProof/>
          <w:color w:val="000000"/>
          <w:sz w:val="18"/>
          <w:szCs w:val="18"/>
        </w:rPr>
        <w:t>日</w:t>
      </w:r>
      <w:r w:rsidRPr="00AA6F17">
        <w:rPr>
          <w:rFonts w:ascii="楷体" w:eastAsia="楷体" w:hAnsi="楷体" w:hint="eastAsia"/>
          <w:noProof/>
          <w:color w:val="000000"/>
          <w:sz w:val="18"/>
          <w:szCs w:val="18"/>
        </w:rPr>
        <w:t>，以下同</w:t>
      </w:r>
    </w:p>
    <w:p w:rsidR="007A6D22" w:rsidRPr="00AA6F17" w:rsidRDefault="007A6D22" w:rsidP="00732C2D">
      <w:pPr>
        <w:spacing w:beforeLines="50" w:before="156"/>
        <w:ind w:leftChars="1350" w:left="2835" w:firstLineChars="202" w:firstLine="424"/>
        <w:rPr>
          <w:rFonts w:ascii="楷体" w:eastAsia="楷体" w:hAnsi="楷体" w:cs="宋体"/>
          <w:kern w:val="0"/>
          <w:szCs w:val="21"/>
        </w:rPr>
      </w:pPr>
      <w:r w:rsidRPr="00AA6F17">
        <w:rPr>
          <w:rFonts w:ascii="楷体" w:eastAsia="楷体" w:hAnsi="楷体" w:cs="宋体" w:hint="eastAsia"/>
          <w:kern w:val="0"/>
          <w:szCs w:val="21"/>
        </w:rPr>
        <w:lastRenderedPageBreak/>
        <w:t>12</w:t>
      </w:r>
      <w:r w:rsidR="00AC663A" w:rsidRPr="00AA6F17">
        <w:rPr>
          <w:rFonts w:ascii="楷体" w:eastAsia="楷体" w:hAnsi="楷体" w:cs="宋体" w:hint="eastAsia"/>
          <w:kern w:val="0"/>
          <w:szCs w:val="21"/>
        </w:rPr>
        <w:t>月</w:t>
      </w:r>
      <w:r w:rsidRPr="00AA6F17">
        <w:rPr>
          <w:rFonts w:ascii="楷体" w:eastAsia="楷体" w:hAnsi="楷体" w:cs="宋体" w:hint="eastAsia"/>
          <w:kern w:val="0"/>
          <w:szCs w:val="21"/>
        </w:rPr>
        <w:t>市场风格有所转变</w:t>
      </w:r>
      <w:r w:rsidR="00C67705" w:rsidRPr="00AA6F17">
        <w:rPr>
          <w:rFonts w:ascii="楷体" w:eastAsia="楷体" w:hAnsi="楷体" w:cs="宋体" w:hint="eastAsia"/>
          <w:kern w:val="0"/>
          <w:szCs w:val="21"/>
        </w:rPr>
        <w:t>，</w:t>
      </w:r>
      <w:r w:rsidRPr="00AA6F17">
        <w:rPr>
          <w:rFonts w:ascii="楷体" w:eastAsia="楷体" w:hAnsi="楷体" w:cs="宋体" w:hint="eastAsia"/>
          <w:kern w:val="0"/>
          <w:szCs w:val="21"/>
        </w:rPr>
        <w:t>低</w:t>
      </w:r>
      <w:r w:rsidR="00C67705" w:rsidRPr="00AA6F17">
        <w:rPr>
          <w:rFonts w:ascii="楷体" w:eastAsia="楷体" w:hAnsi="楷体" w:cs="宋体" w:hint="eastAsia"/>
          <w:kern w:val="0"/>
          <w:szCs w:val="21"/>
        </w:rPr>
        <w:t>市盈率涨幅领先，</w:t>
      </w:r>
      <w:r w:rsidRPr="00AA6F17">
        <w:rPr>
          <w:rFonts w:ascii="楷体" w:eastAsia="楷体" w:hAnsi="楷体" w:cs="宋体" w:hint="eastAsia"/>
          <w:kern w:val="0"/>
          <w:szCs w:val="21"/>
        </w:rPr>
        <w:t>大盘</w:t>
      </w:r>
      <w:proofErr w:type="gramStart"/>
      <w:r w:rsidRPr="00AA6F17">
        <w:rPr>
          <w:rFonts w:ascii="楷体" w:eastAsia="楷体" w:hAnsi="楷体" w:cs="宋体" w:hint="eastAsia"/>
          <w:kern w:val="0"/>
          <w:szCs w:val="21"/>
        </w:rPr>
        <w:t>风格涨幅</w:t>
      </w:r>
      <w:proofErr w:type="gramEnd"/>
      <w:r w:rsidRPr="00AA6F17">
        <w:rPr>
          <w:rFonts w:ascii="楷体" w:eastAsia="楷体" w:hAnsi="楷体" w:cs="宋体" w:hint="eastAsia"/>
          <w:kern w:val="0"/>
          <w:szCs w:val="21"/>
        </w:rPr>
        <w:t>高于中小盘</w:t>
      </w:r>
      <w:r w:rsidR="00C67705" w:rsidRPr="00AA6F17">
        <w:rPr>
          <w:rFonts w:ascii="楷体" w:eastAsia="楷体" w:hAnsi="楷体" w:cs="宋体" w:hint="eastAsia"/>
          <w:kern w:val="0"/>
          <w:szCs w:val="21"/>
        </w:rPr>
        <w:t>。</w:t>
      </w:r>
      <w:r w:rsidR="009A18F4" w:rsidRPr="00AA6F17">
        <w:rPr>
          <w:rFonts w:ascii="楷体" w:eastAsia="楷体" w:hAnsi="楷体" w:cs="宋体" w:hint="eastAsia"/>
          <w:kern w:val="0"/>
          <w:szCs w:val="21"/>
        </w:rPr>
        <w:t>分行业来看，</w:t>
      </w:r>
      <w:r w:rsidRPr="00AA6F17">
        <w:rPr>
          <w:rFonts w:ascii="楷体" w:eastAsia="楷体" w:hAnsi="楷体" w:cs="宋体" w:hint="eastAsia"/>
          <w:kern w:val="0"/>
          <w:szCs w:val="21"/>
        </w:rPr>
        <w:t>房地产</w:t>
      </w:r>
      <w:r w:rsidR="00D44E6D" w:rsidRPr="00AA6F17">
        <w:rPr>
          <w:rFonts w:ascii="楷体" w:eastAsia="楷体" w:hAnsi="楷体" w:cs="宋体" w:hint="eastAsia"/>
          <w:kern w:val="0"/>
          <w:szCs w:val="21"/>
        </w:rPr>
        <w:t>、</w:t>
      </w:r>
      <w:r w:rsidRPr="00AA6F17">
        <w:rPr>
          <w:rFonts w:ascii="楷体" w:eastAsia="楷体" w:hAnsi="楷体" w:cs="宋体" w:hint="eastAsia"/>
          <w:kern w:val="0"/>
          <w:szCs w:val="21"/>
        </w:rPr>
        <w:t>休闲服务</w:t>
      </w:r>
      <w:r w:rsidR="00D44E6D" w:rsidRPr="00AA6F17">
        <w:rPr>
          <w:rFonts w:ascii="楷体" w:eastAsia="楷体" w:hAnsi="楷体" w:cs="宋体" w:hint="eastAsia"/>
          <w:kern w:val="0"/>
          <w:szCs w:val="21"/>
        </w:rPr>
        <w:t>、</w:t>
      </w:r>
      <w:r w:rsidRPr="00AA6F17">
        <w:rPr>
          <w:rFonts w:ascii="楷体" w:eastAsia="楷体" w:hAnsi="楷体" w:cs="宋体" w:hint="eastAsia"/>
          <w:kern w:val="0"/>
          <w:szCs w:val="21"/>
        </w:rPr>
        <w:t>家用电器</w:t>
      </w:r>
      <w:r w:rsidR="00D44E6D" w:rsidRPr="00AA6F17">
        <w:rPr>
          <w:rFonts w:ascii="楷体" w:eastAsia="楷体" w:hAnsi="楷体" w:cs="宋体" w:hint="eastAsia"/>
          <w:kern w:val="0"/>
          <w:szCs w:val="21"/>
        </w:rPr>
        <w:t>、</w:t>
      </w:r>
      <w:r w:rsidRPr="00AA6F17">
        <w:rPr>
          <w:rFonts w:ascii="楷体" w:eastAsia="楷体" w:hAnsi="楷体" w:cs="宋体" w:hint="eastAsia"/>
          <w:kern w:val="0"/>
          <w:szCs w:val="21"/>
        </w:rPr>
        <w:t>建筑材料</w:t>
      </w:r>
      <w:r w:rsidR="00AD6112" w:rsidRPr="00AA6F17">
        <w:rPr>
          <w:rFonts w:ascii="楷体" w:eastAsia="楷体" w:hAnsi="楷体" w:cs="宋体" w:hint="eastAsia"/>
          <w:kern w:val="0"/>
          <w:szCs w:val="21"/>
        </w:rPr>
        <w:t>、</w:t>
      </w:r>
      <w:r w:rsidRPr="00AA6F17">
        <w:rPr>
          <w:rFonts w:ascii="楷体" w:eastAsia="楷体" w:hAnsi="楷体" w:cs="宋体" w:hint="eastAsia"/>
          <w:kern w:val="0"/>
          <w:szCs w:val="21"/>
        </w:rPr>
        <w:t>非银金融</w:t>
      </w:r>
      <w:r w:rsidR="001220D9" w:rsidRPr="00AA6F17">
        <w:rPr>
          <w:rFonts w:ascii="楷体" w:eastAsia="楷体" w:hAnsi="楷体" w:cs="宋体" w:hint="eastAsia"/>
          <w:kern w:val="0"/>
          <w:szCs w:val="21"/>
        </w:rPr>
        <w:t>、</w:t>
      </w:r>
      <w:r w:rsidRPr="00AA6F17">
        <w:rPr>
          <w:rFonts w:ascii="楷体" w:eastAsia="楷体" w:hAnsi="楷体" w:cs="宋体" w:hint="eastAsia"/>
          <w:kern w:val="0"/>
          <w:szCs w:val="21"/>
        </w:rPr>
        <w:t>食品饮料</w:t>
      </w:r>
      <w:r w:rsidR="00687EB9" w:rsidRPr="00AA6F17">
        <w:rPr>
          <w:rFonts w:ascii="楷体" w:eastAsia="楷体" w:hAnsi="楷体" w:cs="宋体" w:hint="eastAsia"/>
          <w:kern w:val="0"/>
          <w:szCs w:val="21"/>
        </w:rPr>
        <w:t>表现最佳，单月指数分别上涨</w:t>
      </w:r>
      <w:r w:rsidRPr="00AA6F17">
        <w:rPr>
          <w:rFonts w:ascii="楷体" w:eastAsia="楷体" w:hAnsi="楷体" w:cs="宋体" w:hint="eastAsia"/>
          <w:kern w:val="0"/>
          <w:szCs w:val="21"/>
        </w:rPr>
        <w:t>17.39</w:t>
      </w:r>
      <w:r w:rsidR="00AD0716" w:rsidRPr="00AA6F17">
        <w:rPr>
          <w:rFonts w:ascii="楷体" w:eastAsia="楷体" w:hAnsi="楷体" w:cs="宋体"/>
          <w:kern w:val="0"/>
          <w:szCs w:val="21"/>
        </w:rPr>
        <w:t>%</w:t>
      </w:r>
      <w:r w:rsidR="00D44E6D" w:rsidRPr="00AA6F17">
        <w:rPr>
          <w:rFonts w:ascii="楷体" w:eastAsia="楷体" w:hAnsi="楷体" w:cs="宋体"/>
          <w:kern w:val="0"/>
          <w:szCs w:val="21"/>
        </w:rPr>
        <w:t>、</w:t>
      </w:r>
      <w:r w:rsidRPr="00AA6F17">
        <w:rPr>
          <w:rFonts w:ascii="楷体" w:eastAsia="楷体" w:hAnsi="楷体" w:cs="宋体" w:hint="eastAsia"/>
          <w:kern w:val="0"/>
          <w:szCs w:val="21"/>
        </w:rPr>
        <w:t>14.61</w:t>
      </w:r>
      <w:r w:rsidR="00AD0716" w:rsidRPr="00AA6F17">
        <w:rPr>
          <w:rFonts w:ascii="楷体" w:eastAsia="楷体" w:hAnsi="楷体" w:cs="宋体"/>
          <w:kern w:val="0"/>
          <w:szCs w:val="21"/>
        </w:rPr>
        <w:t>%</w:t>
      </w:r>
      <w:r w:rsidR="00D44E6D" w:rsidRPr="00AA6F17">
        <w:rPr>
          <w:rFonts w:ascii="楷体" w:eastAsia="楷体" w:hAnsi="楷体" w:cs="宋体"/>
          <w:kern w:val="0"/>
          <w:szCs w:val="21"/>
        </w:rPr>
        <w:t>、</w:t>
      </w:r>
      <w:r w:rsidRPr="00AA6F17">
        <w:rPr>
          <w:rFonts w:ascii="楷体" w:eastAsia="楷体" w:hAnsi="楷体" w:cs="宋体" w:hint="eastAsia"/>
          <w:kern w:val="0"/>
          <w:szCs w:val="21"/>
        </w:rPr>
        <w:t>12.71</w:t>
      </w:r>
      <w:r w:rsidR="00AD0716" w:rsidRPr="00AA6F17">
        <w:rPr>
          <w:rFonts w:ascii="楷体" w:eastAsia="楷体" w:hAnsi="楷体" w:cs="宋体"/>
          <w:kern w:val="0"/>
          <w:szCs w:val="21"/>
        </w:rPr>
        <w:t>%</w:t>
      </w:r>
      <w:r w:rsidR="00D44E6D" w:rsidRPr="00AA6F17">
        <w:rPr>
          <w:rFonts w:ascii="楷体" w:eastAsia="楷体" w:hAnsi="楷体" w:cs="宋体"/>
          <w:kern w:val="0"/>
          <w:szCs w:val="21"/>
        </w:rPr>
        <w:t>、</w:t>
      </w:r>
      <w:r w:rsidRPr="00AA6F17">
        <w:rPr>
          <w:rFonts w:ascii="楷体" w:eastAsia="楷体" w:hAnsi="楷体" w:cs="宋体" w:hint="eastAsia"/>
          <w:kern w:val="0"/>
          <w:szCs w:val="21"/>
        </w:rPr>
        <w:t>10.88</w:t>
      </w:r>
      <w:r w:rsidR="00AD0716" w:rsidRPr="00AA6F17">
        <w:rPr>
          <w:rFonts w:ascii="楷体" w:eastAsia="楷体" w:hAnsi="楷体" w:cs="宋体"/>
          <w:kern w:val="0"/>
          <w:szCs w:val="21"/>
        </w:rPr>
        <w:t>%</w:t>
      </w:r>
      <w:r w:rsidR="00D44E6D" w:rsidRPr="00AA6F17">
        <w:rPr>
          <w:rFonts w:ascii="楷体" w:eastAsia="楷体" w:hAnsi="楷体" w:cs="宋体"/>
          <w:kern w:val="0"/>
          <w:szCs w:val="21"/>
        </w:rPr>
        <w:t>、</w:t>
      </w:r>
      <w:r w:rsidRPr="00AA6F17">
        <w:rPr>
          <w:rFonts w:ascii="楷体" w:eastAsia="楷体" w:hAnsi="楷体" w:cs="宋体" w:hint="eastAsia"/>
          <w:kern w:val="0"/>
          <w:szCs w:val="21"/>
        </w:rPr>
        <w:t>10.67</w:t>
      </w:r>
      <w:r w:rsidR="00DF28CD" w:rsidRPr="00AA6F17">
        <w:rPr>
          <w:rFonts w:ascii="楷体" w:eastAsia="楷体" w:hAnsi="楷体" w:cs="宋体" w:hint="eastAsia"/>
          <w:kern w:val="0"/>
          <w:szCs w:val="21"/>
        </w:rPr>
        <w:t>%、</w:t>
      </w:r>
      <w:r w:rsidRPr="00AA6F17">
        <w:rPr>
          <w:rFonts w:ascii="楷体" w:eastAsia="楷体" w:hAnsi="楷体" w:cs="宋体" w:hint="eastAsia"/>
          <w:kern w:val="0"/>
          <w:szCs w:val="21"/>
        </w:rPr>
        <w:t>9.69</w:t>
      </w:r>
      <w:r w:rsidR="00DF28CD" w:rsidRPr="00AA6F17">
        <w:rPr>
          <w:rFonts w:ascii="楷体" w:eastAsia="楷体" w:hAnsi="楷体" w:cs="宋体" w:hint="eastAsia"/>
          <w:kern w:val="0"/>
          <w:szCs w:val="21"/>
        </w:rPr>
        <w:t>%</w:t>
      </w:r>
      <w:r w:rsidR="00D44E6D" w:rsidRPr="00AA6F17">
        <w:rPr>
          <w:rFonts w:ascii="楷体" w:eastAsia="楷体" w:hAnsi="楷体" w:cs="宋体" w:hint="eastAsia"/>
          <w:kern w:val="0"/>
          <w:szCs w:val="21"/>
        </w:rPr>
        <w:t>。</w:t>
      </w:r>
      <w:r w:rsidR="00EF4B3A" w:rsidRPr="00AA6F17">
        <w:rPr>
          <w:rFonts w:ascii="楷体" w:eastAsia="楷体" w:hAnsi="楷体" w:cs="宋体" w:hint="eastAsia"/>
          <w:kern w:val="0"/>
          <w:szCs w:val="21"/>
        </w:rPr>
        <w:t>而</w:t>
      </w:r>
      <w:r w:rsidRPr="00AA6F17">
        <w:rPr>
          <w:rFonts w:ascii="楷体" w:eastAsia="楷体" w:hAnsi="楷体" w:cs="宋体" w:hint="eastAsia"/>
          <w:kern w:val="0"/>
          <w:szCs w:val="21"/>
        </w:rPr>
        <w:t>轻工制造、钢铁、建筑装饰、公用事业、国防军工表现相对疲软</w:t>
      </w:r>
      <w:r w:rsidR="00D44E6D" w:rsidRPr="00AA6F17">
        <w:rPr>
          <w:rFonts w:ascii="楷体" w:eastAsia="楷体" w:hAnsi="楷体" w:cs="宋体" w:hint="eastAsia"/>
          <w:kern w:val="0"/>
          <w:szCs w:val="21"/>
        </w:rPr>
        <w:t>，单月指数</w:t>
      </w:r>
      <w:r w:rsidRPr="00AA6F17">
        <w:rPr>
          <w:rFonts w:ascii="楷体" w:eastAsia="楷体" w:hAnsi="楷体" w:cs="宋体" w:hint="eastAsia"/>
          <w:kern w:val="0"/>
          <w:szCs w:val="21"/>
        </w:rPr>
        <w:t>涨</w:t>
      </w:r>
      <w:r w:rsidR="005D6D80" w:rsidRPr="00AA6F17">
        <w:rPr>
          <w:rFonts w:ascii="楷体" w:eastAsia="楷体" w:hAnsi="楷体" w:cs="宋体" w:hint="eastAsia"/>
          <w:kern w:val="0"/>
          <w:szCs w:val="21"/>
        </w:rPr>
        <w:t>跌幅</w:t>
      </w:r>
      <w:r w:rsidR="00D44E6D" w:rsidRPr="00AA6F17">
        <w:rPr>
          <w:rFonts w:ascii="楷体" w:eastAsia="楷体" w:hAnsi="楷体" w:cs="宋体" w:hint="eastAsia"/>
          <w:kern w:val="0"/>
          <w:szCs w:val="21"/>
        </w:rPr>
        <w:t>分别</w:t>
      </w:r>
      <w:r w:rsidR="005D6D80" w:rsidRPr="00AA6F17">
        <w:rPr>
          <w:rFonts w:ascii="楷体" w:eastAsia="楷体" w:hAnsi="楷体" w:cs="宋体" w:hint="eastAsia"/>
          <w:kern w:val="0"/>
          <w:szCs w:val="21"/>
        </w:rPr>
        <w:t>为</w:t>
      </w:r>
      <w:r w:rsidRPr="00AA6F17">
        <w:rPr>
          <w:rFonts w:ascii="楷体" w:eastAsia="楷体" w:hAnsi="楷体" w:cs="宋体" w:hint="eastAsia"/>
          <w:kern w:val="0"/>
          <w:szCs w:val="21"/>
        </w:rPr>
        <w:t>3.67</w:t>
      </w:r>
      <w:r w:rsidR="005D6D80" w:rsidRPr="00AA6F17">
        <w:rPr>
          <w:rFonts w:ascii="楷体" w:eastAsia="楷体" w:hAnsi="楷体" w:cs="宋体"/>
          <w:kern w:val="0"/>
          <w:szCs w:val="21"/>
        </w:rPr>
        <w:t>%</w:t>
      </w:r>
      <w:r w:rsidR="005D6D80" w:rsidRPr="00AA6F17">
        <w:rPr>
          <w:rFonts w:ascii="楷体" w:eastAsia="楷体" w:hAnsi="楷体" w:cs="宋体" w:hint="eastAsia"/>
          <w:kern w:val="0"/>
          <w:szCs w:val="21"/>
        </w:rPr>
        <w:t>、</w:t>
      </w:r>
      <w:r w:rsidRPr="00AA6F17">
        <w:rPr>
          <w:rFonts w:ascii="楷体" w:eastAsia="楷体" w:hAnsi="楷体" w:cs="宋体" w:hint="eastAsia"/>
          <w:kern w:val="0"/>
          <w:szCs w:val="21"/>
        </w:rPr>
        <w:t>3.08</w:t>
      </w:r>
      <w:r w:rsidR="005D6D80" w:rsidRPr="00AA6F17">
        <w:rPr>
          <w:rFonts w:ascii="楷体" w:eastAsia="楷体" w:hAnsi="楷体" w:cs="宋体"/>
          <w:kern w:val="0"/>
          <w:szCs w:val="21"/>
        </w:rPr>
        <w:t>%</w:t>
      </w:r>
      <w:r w:rsidR="005D6D80" w:rsidRPr="00AA6F17">
        <w:rPr>
          <w:rFonts w:ascii="楷体" w:eastAsia="楷体" w:hAnsi="楷体" w:cs="宋体" w:hint="eastAsia"/>
          <w:kern w:val="0"/>
          <w:szCs w:val="21"/>
        </w:rPr>
        <w:t>、</w:t>
      </w:r>
      <w:r w:rsidRPr="00AA6F17">
        <w:rPr>
          <w:rFonts w:ascii="楷体" w:eastAsia="楷体" w:hAnsi="楷体" w:cs="宋体" w:hint="eastAsia"/>
          <w:kern w:val="0"/>
          <w:szCs w:val="21"/>
        </w:rPr>
        <w:t>3.01</w:t>
      </w:r>
      <w:r w:rsidR="005D6D80" w:rsidRPr="00AA6F17">
        <w:rPr>
          <w:rFonts w:ascii="楷体" w:eastAsia="楷体" w:hAnsi="楷体" w:cs="宋体"/>
          <w:kern w:val="0"/>
          <w:szCs w:val="21"/>
        </w:rPr>
        <w:t>%</w:t>
      </w:r>
      <w:r w:rsidR="005D6D80" w:rsidRPr="00AA6F17">
        <w:rPr>
          <w:rFonts w:ascii="楷体" w:eastAsia="楷体" w:hAnsi="楷体" w:cs="宋体" w:hint="eastAsia"/>
          <w:kern w:val="0"/>
          <w:szCs w:val="21"/>
        </w:rPr>
        <w:t>、</w:t>
      </w:r>
      <w:r w:rsidRPr="00AA6F17">
        <w:rPr>
          <w:rFonts w:ascii="楷体" w:eastAsia="楷体" w:hAnsi="楷体" w:cs="宋体" w:hint="eastAsia"/>
          <w:kern w:val="0"/>
          <w:szCs w:val="21"/>
        </w:rPr>
        <w:t>1.11</w:t>
      </w:r>
      <w:r w:rsidR="005D6D80" w:rsidRPr="00AA6F17">
        <w:rPr>
          <w:rFonts w:ascii="楷体" w:eastAsia="楷体" w:hAnsi="楷体" w:cs="宋体"/>
          <w:kern w:val="0"/>
          <w:szCs w:val="21"/>
        </w:rPr>
        <w:t>%</w:t>
      </w:r>
      <w:r w:rsidR="005D6D80" w:rsidRPr="00AA6F17">
        <w:rPr>
          <w:rFonts w:ascii="楷体" w:eastAsia="楷体" w:hAnsi="楷体" w:cs="宋体" w:hint="eastAsia"/>
          <w:kern w:val="0"/>
          <w:szCs w:val="21"/>
        </w:rPr>
        <w:t>、</w:t>
      </w:r>
      <w:r w:rsidRPr="00AA6F17">
        <w:rPr>
          <w:rFonts w:ascii="楷体" w:eastAsia="楷体" w:hAnsi="楷体" w:cs="宋体" w:hint="eastAsia"/>
          <w:kern w:val="0"/>
          <w:szCs w:val="21"/>
        </w:rPr>
        <w:t>-2.24</w:t>
      </w:r>
      <w:r w:rsidR="00DF28CD" w:rsidRPr="00AA6F17">
        <w:rPr>
          <w:rFonts w:ascii="楷体" w:eastAsia="楷体" w:hAnsi="楷体" w:cs="宋体" w:hint="eastAsia"/>
          <w:kern w:val="0"/>
          <w:szCs w:val="21"/>
        </w:rPr>
        <w:t>%</w:t>
      </w:r>
      <w:r w:rsidR="00693EEF" w:rsidRPr="00AA6F17">
        <w:rPr>
          <w:rFonts w:ascii="楷体" w:eastAsia="楷体" w:hAnsi="楷体" w:cs="宋体" w:hint="eastAsia"/>
          <w:kern w:val="0"/>
          <w:szCs w:val="21"/>
        </w:rPr>
        <w:t>。</w:t>
      </w:r>
      <w:r w:rsidRPr="00AA6F17">
        <w:rPr>
          <w:rFonts w:ascii="楷体" w:eastAsia="楷体" w:hAnsi="楷体" w:cs="宋体" w:hint="eastAsia"/>
          <w:kern w:val="0"/>
          <w:szCs w:val="21"/>
        </w:rPr>
        <w:t>国防军</w:t>
      </w:r>
      <w:proofErr w:type="gramStart"/>
      <w:r w:rsidRPr="00AA6F17">
        <w:rPr>
          <w:rFonts w:ascii="楷体" w:eastAsia="楷体" w:hAnsi="楷体" w:cs="宋体" w:hint="eastAsia"/>
          <w:kern w:val="0"/>
          <w:szCs w:val="21"/>
        </w:rPr>
        <w:t>工</w:t>
      </w:r>
      <w:r w:rsidR="00EF4B3A" w:rsidRPr="00AA6F17">
        <w:rPr>
          <w:rFonts w:ascii="楷体" w:eastAsia="楷体" w:hAnsi="楷体" w:cs="宋体" w:hint="eastAsia"/>
          <w:kern w:val="0"/>
          <w:szCs w:val="21"/>
        </w:rPr>
        <w:t>调整</w:t>
      </w:r>
      <w:proofErr w:type="gramEnd"/>
      <w:r w:rsidR="00EF4B3A" w:rsidRPr="00AA6F17">
        <w:rPr>
          <w:rFonts w:ascii="楷体" w:eastAsia="楷体" w:hAnsi="楷体" w:cs="宋体" w:hint="eastAsia"/>
          <w:kern w:val="0"/>
          <w:szCs w:val="21"/>
        </w:rPr>
        <w:t>仍在继续，是本月唯一下跌的行业。</w:t>
      </w:r>
    </w:p>
    <w:tbl>
      <w:tblPr>
        <w:tblW w:w="9923" w:type="dxa"/>
        <w:tblInd w:w="-176" w:type="dxa"/>
        <w:tblLayout w:type="fixed"/>
        <w:tblLook w:val="04A0" w:firstRow="1" w:lastRow="0" w:firstColumn="1" w:lastColumn="0" w:noHBand="0" w:noVBand="1"/>
      </w:tblPr>
      <w:tblGrid>
        <w:gridCol w:w="4537"/>
        <w:gridCol w:w="5386"/>
      </w:tblGrid>
      <w:tr w:rsidR="009A18F4" w:rsidRPr="00AA6F17" w:rsidTr="003008A3">
        <w:tc>
          <w:tcPr>
            <w:tcW w:w="4537" w:type="dxa"/>
            <w:tcBorders>
              <w:bottom w:val="single" w:sz="4" w:space="0" w:color="FF0000"/>
            </w:tcBorders>
          </w:tcPr>
          <w:p w:rsidR="009A18F4" w:rsidRPr="00AA6F17" w:rsidRDefault="009A18F4" w:rsidP="00F11637">
            <w:pPr>
              <w:spacing w:line="360" w:lineRule="auto"/>
              <w:ind w:left="33" w:hangingChars="18" w:hanging="33"/>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007F7CDB" w:rsidRPr="00AA6F17">
              <w:rPr>
                <w:rFonts w:ascii="楷体" w:eastAsia="楷体" w:hAnsi="楷体"/>
                <w:b/>
                <w:color w:val="000000"/>
                <w:sz w:val="18"/>
                <w:szCs w:val="18"/>
              </w:rPr>
              <w:t>7</w:t>
            </w:r>
            <w:r w:rsidRPr="00AA6F17">
              <w:rPr>
                <w:rFonts w:ascii="楷体" w:eastAsia="楷体" w:hAnsi="楷体" w:hint="eastAsia"/>
                <w:b/>
                <w:color w:val="000000"/>
                <w:sz w:val="18"/>
                <w:szCs w:val="18"/>
              </w:rPr>
              <w:t>、本月</w:t>
            </w:r>
            <w:proofErr w:type="gramStart"/>
            <w:r w:rsidRPr="00AA6F17">
              <w:rPr>
                <w:rFonts w:ascii="楷体" w:eastAsia="楷体" w:hAnsi="楷体" w:hint="eastAsia"/>
                <w:b/>
                <w:color w:val="000000"/>
                <w:sz w:val="18"/>
                <w:szCs w:val="18"/>
              </w:rPr>
              <w:t>申万市场</w:t>
            </w:r>
            <w:proofErr w:type="gramEnd"/>
            <w:r w:rsidRPr="00AA6F17">
              <w:rPr>
                <w:rFonts w:ascii="楷体" w:eastAsia="楷体" w:hAnsi="楷体" w:hint="eastAsia"/>
                <w:b/>
                <w:color w:val="000000"/>
                <w:sz w:val="18"/>
                <w:szCs w:val="18"/>
              </w:rPr>
              <w:t>风格指数涨跌幅（%）</w:t>
            </w:r>
          </w:p>
        </w:tc>
        <w:tc>
          <w:tcPr>
            <w:tcW w:w="5386" w:type="dxa"/>
            <w:tcBorders>
              <w:bottom w:val="single" w:sz="4" w:space="0" w:color="FF0000"/>
            </w:tcBorders>
          </w:tcPr>
          <w:p w:rsidR="009A18F4" w:rsidRPr="00AA6F17" w:rsidRDefault="009A18F4" w:rsidP="00F11637">
            <w:pPr>
              <w:spacing w:line="360" w:lineRule="auto"/>
              <w:ind w:left="4017" w:hangingChars="2223" w:hanging="4017"/>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007F7CDB" w:rsidRPr="00AA6F17">
              <w:rPr>
                <w:rFonts w:ascii="楷体" w:eastAsia="楷体" w:hAnsi="楷体"/>
                <w:b/>
                <w:color w:val="000000"/>
                <w:sz w:val="18"/>
                <w:szCs w:val="18"/>
              </w:rPr>
              <w:t>8</w:t>
            </w:r>
            <w:r w:rsidRPr="00AA6F17">
              <w:rPr>
                <w:rFonts w:ascii="楷体" w:eastAsia="楷体" w:hAnsi="楷体" w:hint="eastAsia"/>
                <w:b/>
                <w:color w:val="000000"/>
                <w:sz w:val="18"/>
                <w:szCs w:val="18"/>
              </w:rPr>
              <w:t>、本月</w:t>
            </w:r>
            <w:proofErr w:type="gramStart"/>
            <w:r w:rsidRPr="00AA6F17">
              <w:rPr>
                <w:rFonts w:ascii="楷体" w:eastAsia="楷体" w:hAnsi="楷体" w:hint="eastAsia"/>
                <w:b/>
                <w:color w:val="000000"/>
                <w:sz w:val="18"/>
                <w:szCs w:val="18"/>
              </w:rPr>
              <w:t>申万行业</w:t>
            </w:r>
            <w:proofErr w:type="gramEnd"/>
            <w:r w:rsidRPr="00AA6F17">
              <w:rPr>
                <w:rFonts w:ascii="楷体" w:eastAsia="楷体" w:hAnsi="楷体" w:hint="eastAsia"/>
                <w:b/>
                <w:color w:val="000000"/>
                <w:sz w:val="18"/>
                <w:szCs w:val="18"/>
              </w:rPr>
              <w:t>指数涨跌幅（%）</w:t>
            </w:r>
          </w:p>
        </w:tc>
      </w:tr>
      <w:tr w:rsidR="009A18F4" w:rsidRPr="00AA6F17" w:rsidTr="009946B2">
        <w:trPr>
          <w:trHeight w:val="2858"/>
        </w:trPr>
        <w:tc>
          <w:tcPr>
            <w:tcW w:w="4537" w:type="dxa"/>
            <w:tcBorders>
              <w:top w:val="single" w:sz="4" w:space="0" w:color="FF0000"/>
              <w:bottom w:val="single" w:sz="4" w:space="0" w:color="FF0000"/>
            </w:tcBorders>
          </w:tcPr>
          <w:p w:rsidR="009A18F4" w:rsidRPr="00AA6F17" w:rsidRDefault="00652328" w:rsidP="00DE017A">
            <w:pPr>
              <w:spacing w:line="360" w:lineRule="auto"/>
              <w:ind w:leftChars="16" w:left="34"/>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2867025" cy="1752600"/>
                  <wp:effectExtent l="1905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2867025" cy="1752600"/>
                          </a:xfrm>
                          <a:prstGeom prst="rect">
                            <a:avLst/>
                          </a:prstGeom>
                          <a:noFill/>
                        </pic:spPr>
                      </pic:pic>
                    </a:graphicData>
                  </a:graphic>
                </wp:inline>
              </w:drawing>
            </w:r>
          </w:p>
        </w:tc>
        <w:tc>
          <w:tcPr>
            <w:tcW w:w="5386" w:type="dxa"/>
            <w:tcBorders>
              <w:top w:val="single" w:sz="4" w:space="0" w:color="FF0000"/>
              <w:bottom w:val="single" w:sz="4" w:space="0" w:color="FF0000"/>
            </w:tcBorders>
          </w:tcPr>
          <w:p w:rsidR="009A18F4" w:rsidRPr="00AA6F17" w:rsidRDefault="007A6D22" w:rsidP="007A6D22">
            <w:pPr>
              <w:spacing w:line="360" w:lineRule="auto"/>
              <w:ind w:left="1" w:firstLineChars="18" w:firstLine="32"/>
              <w:jc w:val="right"/>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3257550" cy="1819275"/>
                  <wp:effectExtent l="19050" t="0" r="0"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srcRect/>
                          <a:stretch>
                            <a:fillRect/>
                          </a:stretch>
                        </pic:blipFill>
                        <pic:spPr bwMode="auto">
                          <a:xfrm>
                            <a:off x="0" y="0"/>
                            <a:ext cx="3257550" cy="1819275"/>
                          </a:xfrm>
                          <a:prstGeom prst="rect">
                            <a:avLst/>
                          </a:prstGeom>
                          <a:noFill/>
                        </pic:spPr>
                      </pic:pic>
                    </a:graphicData>
                  </a:graphic>
                </wp:inline>
              </w:drawing>
            </w:r>
          </w:p>
        </w:tc>
      </w:tr>
    </w:tbl>
    <w:p w:rsidR="009A18F4" w:rsidRPr="00AA6F17" w:rsidRDefault="009A18F4" w:rsidP="009A18F4">
      <w:pPr>
        <w:rPr>
          <w:rFonts w:ascii="楷体" w:eastAsia="楷体" w:hAnsi="楷体"/>
          <w:noProof/>
          <w:color w:val="000000"/>
          <w:sz w:val="18"/>
          <w:szCs w:val="18"/>
        </w:rPr>
      </w:pPr>
      <w:r w:rsidRPr="00AA6F17">
        <w:rPr>
          <w:rFonts w:ascii="楷体" w:eastAsia="楷体" w:hAnsi="楷体" w:hint="eastAsia"/>
          <w:noProof/>
          <w:color w:val="000000"/>
          <w:sz w:val="18"/>
          <w:szCs w:val="18"/>
        </w:rPr>
        <w:t>来源：wind，上海证券基金评价研究中心</w:t>
      </w:r>
    </w:p>
    <w:p w:rsidR="0043713E" w:rsidRPr="00AA6F17" w:rsidRDefault="0043713E" w:rsidP="00732C2D">
      <w:pPr>
        <w:spacing w:beforeLines="50" w:before="156"/>
        <w:ind w:leftChars="1350" w:left="2835" w:firstLineChars="202" w:firstLine="424"/>
        <w:rPr>
          <w:rFonts w:ascii="楷体" w:eastAsia="楷体" w:hAnsi="楷体" w:cs="宋体"/>
          <w:kern w:val="0"/>
          <w:szCs w:val="21"/>
        </w:rPr>
      </w:pPr>
      <w:r w:rsidRPr="00AA6F17">
        <w:rPr>
          <w:rFonts w:ascii="楷体" w:eastAsia="楷体" w:hAnsi="楷体" w:cs="宋体" w:hint="eastAsia"/>
          <w:kern w:val="0"/>
          <w:szCs w:val="21"/>
        </w:rPr>
        <w:t>1</w:t>
      </w:r>
      <w:r w:rsidR="00EF4B3A" w:rsidRPr="00AA6F17">
        <w:rPr>
          <w:rFonts w:ascii="楷体" w:eastAsia="楷体" w:hAnsi="楷体" w:cs="宋体" w:hint="eastAsia"/>
          <w:kern w:val="0"/>
          <w:szCs w:val="21"/>
        </w:rPr>
        <w:t>2</w:t>
      </w:r>
      <w:r w:rsidRPr="00AA6F17">
        <w:rPr>
          <w:rFonts w:ascii="楷体" w:eastAsia="楷体" w:hAnsi="楷体" w:cs="宋体" w:hint="eastAsia"/>
          <w:kern w:val="0"/>
          <w:szCs w:val="21"/>
        </w:rPr>
        <w:t>月债市</w:t>
      </w:r>
      <w:r w:rsidR="00EF4B3A" w:rsidRPr="00AA6F17">
        <w:rPr>
          <w:rFonts w:ascii="楷体" w:eastAsia="楷体" w:hAnsi="楷体" w:cs="宋体" w:hint="eastAsia"/>
          <w:kern w:val="0"/>
          <w:szCs w:val="21"/>
        </w:rPr>
        <w:t>在上月短暂调整以后，经历了快速上涨，10年期国债利率再度破“3”，降至2.8%，长</w:t>
      </w:r>
      <w:proofErr w:type="gramStart"/>
      <w:r w:rsidR="00EF4B3A" w:rsidRPr="00AA6F17">
        <w:rPr>
          <w:rFonts w:ascii="楷体" w:eastAsia="楷体" w:hAnsi="楷体" w:cs="宋体" w:hint="eastAsia"/>
          <w:kern w:val="0"/>
          <w:szCs w:val="21"/>
        </w:rPr>
        <w:t>端利率</w:t>
      </w:r>
      <w:proofErr w:type="gramEnd"/>
      <w:r w:rsidR="00EF4B3A" w:rsidRPr="00AA6F17">
        <w:rPr>
          <w:rFonts w:ascii="楷体" w:eastAsia="楷体" w:hAnsi="楷体" w:cs="宋体" w:hint="eastAsia"/>
          <w:kern w:val="0"/>
          <w:szCs w:val="21"/>
        </w:rPr>
        <w:t>降幅高于短期利率，</w:t>
      </w:r>
      <w:r w:rsidR="0030349D" w:rsidRPr="00AA6F17">
        <w:rPr>
          <w:rFonts w:ascii="楷体" w:eastAsia="楷体" w:hAnsi="楷体" w:cs="宋体" w:hint="eastAsia"/>
          <w:kern w:val="0"/>
          <w:szCs w:val="21"/>
        </w:rPr>
        <w:t>随着名义GDP增速下行以及货币宽松仍有加码空间，预计</w:t>
      </w:r>
      <w:r w:rsidR="00EF4B3A" w:rsidRPr="00AA6F17">
        <w:rPr>
          <w:rFonts w:ascii="楷体" w:eastAsia="楷体" w:hAnsi="楷体" w:cs="宋体" w:hint="eastAsia"/>
          <w:kern w:val="0"/>
          <w:szCs w:val="21"/>
        </w:rPr>
        <w:t>收益率</w:t>
      </w:r>
      <w:r w:rsidR="003E0C6F">
        <w:rPr>
          <w:rFonts w:ascii="楷体" w:eastAsia="楷体" w:hAnsi="楷体" w:cs="宋体" w:hint="eastAsia"/>
          <w:kern w:val="0"/>
          <w:szCs w:val="21"/>
        </w:rPr>
        <w:t>曲线</w:t>
      </w:r>
      <w:r w:rsidR="00EF4B3A" w:rsidRPr="00AA6F17">
        <w:rPr>
          <w:rFonts w:ascii="楷体" w:eastAsia="楷体" w:hAnsi="楷体" w:cs="宋体" w:hint="eastAsia"/>
          <w:kern w:val="0"/>
          <w:szCs w:val="21"/>
        </w:rPr>
        <w:t>平坦化</w:t>
      </w:r>
      <w:r w:rsidR="0030349D" w:rsidRPr="00AA6F17">
        <w:rPr>
          <w:rFonts w:ascii="楷体" w:eastAsia="楷体" w:hAnsi="楷体" w:cs="宋体" w:hint="eastAsia"/>
          <w:kern w:val="0"/>
          <w:szCs w:val="21"/>
        </w:rPr>
        <w:t>将</w:t>
      </w:r>
      <w:r w:rsidR="00EF4B3A" w:rsidRPr="00AA6F17">
        <w:rPr>
          <w:rFonts w:ascii="楷体" w:eastAsia="楷体" w:hAnsi="楷体" w:cs="宋体" w:hint="eastAsia"/>
          <w:kern w:val="0"/>
          <w:szCs w:val="21"/>
        </w:rPr>
        <w:t>延续</w:t>
      </w:r>
      <w:r w:rsidR="00CF775C" w:rsidRPr="00AA6F17">
        <w:rPr>
          <w:rFonts w:ascii="楷体" w:eastAsia="楷体" w:hAnsi="楷体" w:cs="宋体" w:hint="eastAsia"/>
          <w:kern w:val="0"/>
          <w:szCs w:val="21"/>
        </w:rPr>
        <w:t>。</w:t>
      </w:r>
      <w:r w:rsidR="004F2C1B" w:rsidRPr="00AA6F17">
        <w:rPr>
          <w:rFonts w:ascii="楷体" w:eastAsia="楷体" w:hAnsi="楷体" w:cs="宋体" w:hint="eastAsia"/>
          <w:kern w:val="0"/>
          <w:szCs w:val="21"/>
        </w:rPr>
        <w:t>中</w:t>
      </w:r>
      <w:proofErr w:type="gramStart"/>
      <w:r w:rsidR="004F2C1B" w:rsidRPr="00AA6F17">
        <w:rPr>
          <w:rFonts w:ascii="楷体" w:eastAsia="楷体" w:hAnsi="楷体" w:cs="宋体" w:hint="eastAsia"/>
          <w:kern w:val="0"/>
          <w:szCs w:val="21"/>
        </w:rPr>
        <w:t>证全债</w:t>
      </w:r>
      <w:proofErr w:type="gramEnd"/>
      <w:r w:rsidR="004F2C1B" w:rsidRPr="00AA6F17">
        <w:rPr>
          <w:rFonts w:ascii="楷体" w:eastAsia="楷体" w:hAnsi="楷体" w:cs="宋体" w:hint="eastAsia"/>
          <w:kern w:val="0"/>
          <w:szCs w:val="21"/>
        </w:rPr>
        <w:t>单月</w:t>
      </w:r>
      <w:r w:rsidR="0030349D" w:rsidRPr="00AA6F17">
        <w:rPr>
          <w:rFonts w:ascii="楷体" w:eastAsia="楷体" w:hAnsi="楷体" w:cs="宋体" w:hint="eastAsia"/>
          <w:kern w:val="0"/>
          <w:szCs w:val="21"/>
        </w:rPr>
        <w:t>上</w:t>
      </w:r>
      <w:r w:rsidR="00CF775C" w:rsidRPr="00AA6F17">
        <w:rPr>
          <w:rFonts w:ascii="楷体" w:eastAsia="楷体" w:hAnsi="楷体" w:cs="宋体" w:hint="eastAsia"/>
          <w:kern w:val="0"/>
          <w:szCs w:val="21"/>
        </w:rPr>
        <w:t>涨</w:t>
      </w:r>
      <w:r w:rsidR="0030349D" w:rsidRPr="00AA6F17">
        <w:rPr>
          <w:rFonts w:ascii="楷体" w:eastAsia="楷体" w:hAnsi="楷体" w:cs="宋体" w:hint="eastAsia"/>
          <w:kern w:val="0"/>
          <w:szCs w:val="21"/>
        </w:rPr>
        <w:t>1.44</w:t>
      </w:r>
      <w:r w:rsidR="004F2C1B" w:rsidRPr="00AA6F17">
        <w:rPr>
          <w:rFonts w:ascii="楷体" w:eastAsia="楷体" w:hAnsi="楷体" w:cs="宋体" w:hint="eastAsia"/>
          <w:kern w:val="0"/>
          <w:szCs w:val="21"/>
        </w:rPr>
        <w:t>%，其中</w:t>
      </w:r>
      <w:proofErr w:type="gramStart"/>
      <w:r w:rsidR="004F2C1B" w:rsidRPr="00AA6F17">
        <w:rPr>
          <w:rFonts w:ascii="楷体" w:eastAsia="楷体" w:hAnsi="楷体" w:cs="宋体" w:hint="eastAsia"/>
          <w:kern w:val="0"/>
          <w:szCs w:val="21"/>
        </w:rPr>
        <w:t>中</w:t>
      </w:r>
      <w:proofErr w:type="gramEnd"/>
      <w:r w:rsidR="004F2C1B" w:rsidRPr="00AA6F17">
        <w:rPr>
          <w:rFonts w:ascii="楷体" w:eastAsia="楷体" w:hAnsi="楷体" w:cs="宋体" w:hint="eastAsia"/>
          <w:kern w:val="0"/>
          <w:szCs w:val="21"/>
        </w:rPr>
        <w:t>证国债</w:t>
      </w:r>
      <w:r w:rsidR="0030349D" w:rsidRPr="00AA6F17">
        <w:rPr>
          <w:rFonts w:ascii="楷体" w:eastAsia="楷体" w:hAnsi="楷体" w:cs="宋体" w:hint="eastAsia"/>
          <w:kern w:val="0"/>
          <w:szCs w:val="21"/>
        </w:rPr>
        <w:t>涨1.56</w:t>
      </w:r>
      <w:r w:rsidR="004F2C1B" w:rsidRPr="00AA6F17">
        <w:rPr>
          <w:rFonts w:ascii="楷体" w:eastAsia="楷体" w:hAnsi="楷体" w:cs="宋体" w:hint="eastAsia"/>
          <w:kern w:val="0"/>
          <w:szCs w:val="21"/>
        </w:rPr>
        <w:t>%，</w:t>
      </w:r>
      <w:r w:rsidR="0030349D" w:rsidRPr="00AA6F17">
        <w:rPr>
          <w:rFonts w:ascii="楷体" w:eastAsia="楷体" w:hAnsi="楷体" w:cs="宋体" w:hint="eastAsia"/>
          <w:kern w:val="0"/>
          <w:szCs w:val="21"/>
        </w:rPr>
        <w:t>中</w:t>
      </w:r>
      <w:proofErr w:type="gramStart"/>
      <w:r w:rsidR="0030349D" w:rsidRPr="00AA6F17">
        <w:rPr>
          <w:rFonts w:ascii="楷体" w:eastAsia="楷体" w:hAnsi="楷体" w:cs="宋体" w:hint="eastAsia"/>
          <w:kern w:val="0"/>
          <w:szCs w:val="21"/>
        </w:rPr>
        <w:t>证金融</w:t>
      </w:r>
      <w:proofErr w:type="gramEnd"/>
      <w:r w:rsidR="0030349D" w:rsidRPr="00AA6F17">
        <w:rPr>
          <w:rFonts w:ascii="楷体" w:eastAsia="楷体" w:hAnsi="楷体" w:cs="宋体" w:hint="eastAsia"/>
          <w:kern w:val="0"/>
          <w:szCs w:val="21"/>
        </w:rPr>
        <w:t>债</w:t>
      </w:r>
      <w:r w:rsidR="00CF775C" w:rsidRPr="00AA6F17">
        <w:rPr>
          <w:rFonts w:ascii="楷体" w:eastAsia="楷体" w:hAnsi="楷体" w:cs="宋体" w:hint="eastAsia"/>
          <w:kern w:val="0"/>
          <w:szCs w:val="21"/>
        </w:rPr>
        <w:t>上</w:t>
      </w:r>
      <w:r w:rsidR="0030349D" w:rsidRPr="00AA6F17">
        <w:rPr>
          <w:rFonts w:ascii="楷体" w:eastAsia="楷体" w:hAnsi="楷体" w:cs="宋体" w:hint="eastAsia"/>
          <w:kern w:val="0"/>
          <w:szCs w:val="21"/>
        </w:rPr>
        <w:t>1.73%</w:t>
      </w:r>
      <w:r w:rsidR="00CF775C" w:rsidRPr="00AA6F17">
        <w:rPr>
          <w:rFonts w:ascii="楷体" w:eastAsia="楷体" w:hAnsi="楷体" w:cs="宋体" w:hint="eastAsia"/>
          <w:kern w:val="0"/>
          <w:szCs w:val="21"/>
        </w:rPr>
        <w:t>，</w:t>
      </w:r>
      <w:r w:rsidR="004F2C1B" w:rsidRPr="00AA6F17">
        <w:rPr>
          <w:rFonts w:ascii="楷体" w:eastAsia="楷体" w:hAnsi="楷体" w:cs="宋体" w:hint="eastAsia"/>
          <w:kern w:val="0"/>
          <w:szCs w:val="21"/>
        </w:rPr>
        <w:t>中证企业债、中</w:t>
      </w:r>
      <w:proofErr w:type="gramStart"/>
      <w:r w:rsidR="004F2C1B" w:rsidRPr="00AA6F17">
        <w:rPr>
          <w:rFonts w:ascii="楷体" w:eastAsia="楷体" w:hAnsi="楷体" w:cs="宋体" w:hint="eastAsia"/>
          <w:kern w:val="0"/>
          <w:szCs w:val="21"/>
        </w:rPr>
        <w:t>证公司债分别</w:t>
      </w:r>
      <w:proofErr w:type="gramEnd"/>
      <w:r w:rsidR="00CF775C" w:rsidRPr="00AA6F17">
        <w:rPr>
          <w:rFonts w:ascii="楷体" w:eastAsia="楷体" w:hAnsi="楷体" w:cs="宋体" w:hint="eastAsia"/>
          <w:kern w:val="0"/>
          <w:szCs w:val="21"/>
        </w:rPr>
        <w:t>涨1.05</w:t>
      </w:r>
      <w:r w:rsidR="004F2C1B" w:rsidRPr="00AA6F17">
        <w:rPr>
          <w:rFonts w:ascii="楷体" w:eastAsia="楷体" w:hAnsi="楷体" w:cs="宋体" w:hint="eastAsia"/>
          <w:kern w:val="0"/>
          <w:szCs w:val="21"/>
        </w:rPr>
        <w:t>%、</w:t>
      </w:r>
      <w:r w:rsidR="00A00063" w:rsidRPr="00AA6F17">
        <w:rPr>
          <w:rFonts w:ascii="楷体" w:eastAsia="楷体" w:hAnsi="楷体" w:cs="宋体" w:hint="eastAsia"/>
          <w:kern w:val="0"/>
          <w:szCs w:val="21"/>
        </w:rPr>
        <w:t>上涨</w:t>
      </w:r>
      <w:r w:rsidR="004F2C1B" w:rsidRPr="00AA6F17">
        <w:rPr>
          <w:rFonts w:ascii="楷体" w:eastAsia="楷体" w:hAnsi="楷体" w:cs="宋体" w:hint="eastAsia"/>
          <w:kern w:val="0"/>
          <w:szCs w:val="21"/>
        </w:rPr>
        <w:t>0.</w:t>
      </w:r>
      <w:r w:rsidR="00CF775C" w:rsidRPr="00AA6F17">
        <w:rPr>
          <w:rFonts w:ascii="楷体" w:eastAsia="楷体" w:hAnsi="楷体" w:cs="宋体" w:hint="eastAsia"/>
          <w:kern w:val="0"/>
          <w:szCs w:val="21"/>
        </w:rPr>
        <w:t>65</w:t>
      </w:r>
      <w:r w:rsidR="004F2C1B" w:rsidRPr="00AA6F17">
        <w:rPr>
          <w:rFonts w:ascii="楷体" w:eastAsia="楷体" w:hAnsi="楷体" w:cs="宋体" w:hint="eastAsia"/>
          <w:kern w:val="0"/>
          <w:szCs w:val="21"/>
        </w:rPr>
        <w:t>%，</w:t>
      </w:r>
      <w:r w:rsidR="00CF775C" w:rsidRPr="00AA6F17">
        <w:rPr>
          <w:rFonts w:ascii="楷体" w:eastAsia="楷体" w:hAnsi="楷体" w:cs="宋体" w:hint="eastAsia"/>
          <w:kern w:val="0"/>
          <w:szCs w:val="21"/>
        </w:rPr>
        <w:t>利率债表现优于信用债。</w:t>
      </w:r>
      <w:r w:rsidR="004F2C1B" w:rsidRPr="00AA6F17">
        <w:rPr>
          <w:rFonts w:ascii="楷体" w:eastAsia="楷体" w:hAnsi="楷体" w:cs="宋体" w:hint="eastAsia"/>
          <w:kern w:val="0"/>
          <w:szCs w:val="21"/>
        </w:rPr>
        <w:t>而中标可转</w:t>
      </w:r>
      <w:proofErr w:type="gramStart"/>
      <w:r w:rsidR="004F2C1B" w:rsidRPr="00AA6F17">
        <w:rPr>
          <w:rFonts w:ascii="楷体" w:eastAsia="楷体" w:hAnsi="楷体" w:cs="宋体" w:hint="eastAsia"/>
          <w:kern w:val="0"/>
          <w:szCs w:val="21"/>
        </w:rPr>
        <w:t>债指数</w:t>
      </w:r>
      <w:proofErr w:type="gramEnd"/>
      <w:r w:rsidR="004F2C1B" w:rsidRPr="00AA6F17">
        <w:rPr>
          <w:rFonts w:ascii="楷体" w:eastAsia="楷体" w:hAnsi="楷体" w:cs="宋体" w:hint="eastAsia"/>
          <w:kern w:val="0"/>
          <w:szCs w:val="21"/>
        </w:rPr>
        <w:t>受大盘</w:t>
      </w:r>
      <w:r w:rsidR="00CF775C" w:rsidRPr="00AA6F17">
        <w:rPr>
          <w:rFonts w:ascii="楷体" w:eastAsia="楷体" w:hAnsi="楷体" w:cs="宋体" w:hint="eastAsia"/>
          <w:kern w:val="0"/>
          <w:szCs w:val="21"/>
        </w:rPr>
        <w:t>上行</w:t>
      </w:r>
      <w:r w:rsidR="004F2C1B" w:rsidRPr="00AA6F17">
        <w:rPr>
          <w:rFonts w:ascii="楷体" w:eastAsia="楷体" w:hAnsi="楷体" w:cs="宋体" w:hint="eastAsia"/>
          <w:kern w:val="0"/>
          <w:szCs w:val="21"/>
        </w:rPr>
        <w:t>影响</w:t>
      </w:r>
      <w:r w:rsidR="00CF775C" w:rsidRPr="00AA6F17">
        <w:rPr>
          <w:rFonts w:ascii="楷体" w:eastAsia="楷体" w:hAnsi="楷体" w:cs="宋体" w:hint="eastAsia"/>
          <w:kern w:val="0"/>
          <w:szCs w:val="21"/>
        </w:rPr>
        <w:t>上涨3.70%</w:t>
      </w:r>
      <w:r w:rsidR="004F2C1B" w:rsidRPr="00AA6F17">
        <w:rPr>
          <w:rFonts w:ascii="楷体" w:eastAsia="楷体" w:hAnsi="楷体" w:cs="宋体" w:hint="eastAsia"/>
          <w:kern w:val="0"/>
          <w:szCs w:val="21"/>
        </w:rPr>
        <w:t>。</w:t>
      </w:r>
      <w:r w:rsidR="00CF775C" w:rsidRPr="00AA6F17">
        <w:rPr>
          <w:rFonts w:ascii="楷体" w:eastAsia="楷体" w:hAnsi="楷体" w:cs="宋体" w:hint="eastAsia"/>
          <w:kern w:val="0"/>
          <w:szCs w:val="21"/>
        </w:rPr>
        <w:t>信用债方面兑付危机频发，中低评级个</w:t>
      </w:r>
      <w:proofErr w:type="gramStart"/>
      <w:r w:rsidR="00CF775C" w:rsidRPr="00AA6F17">
        <w:rPr>
          <w:rFonts w:ascii="楷体" w:eastAsia="楷体" w:hAnsi="楷体" w:cs="宋体" w:hint="eastAsia"/>
          <w:kern w:val="0"/>
          <w:szCs w:val="21"/>
        </w:rPr>
        <w:t>券</w:t>
      </w:r>
      <w:proofErr w:type="gramEnd"/>
      <w:r w:rsidR="00CF775C" w:rsidRPr="00AA6F17">
        <w:rPr>
          <w:rFonts w:ascii="楷体" w:eastAsia="楷体" w:hAnsi="楷体" w:cs="宋体" w:hint="eastAsia"/>
          <w:kern w:val="0"/>
          <w:szCs w:val="21"/>
        </w:rPr>
        <w:t>信用风险仍不能忽视</w:t>
      </w:r>
      <w:r w:rsidR="00C527D9" w:rsidRPr="00AA6F17">
        <w:rPr>
          <w:rFonts w:ascii="楷体" w:eastAsia="楷体" w:hAnsi="楷体" w:cs="宋体" w:hint="eastAsia"/>
          <w:kern w:val="0"/>
          <w:szCs w:val="21"/>
        </w:rPr>
        <w:t>。</w:t>
      </w:r>
    </w:p>
    <w:p w:rsidR="009A18F4" w:rsidRPr="00AA6F17" w:rsidRDefault="009A18F4" w:rsidP="00732C2D">
      <w:pPr>
        <w:spacing w:beforeLines="50" w:before="156" w:afterLines="50" w:after="156"/>
        <w:ind w:leftChars="1350" w:left="2835" w:firstLineChars="196" w:firstLine="472"/>
        <w:rPr>
          <w:rFonts w:ascii="楷体" w:eastAsia="楷体" w:hAnsi="楷体" w:cs="宋体-18030"/>
          <w:b/>
          <w:bCs/>
          <w:color w:val="003366"/>
          <w:kern w:val="44"/>
          <w:sz w:val="24"/>
        </w:rPr>
      </w:pPr>
      <w:r w:rsidRPr="00AA6F17">
        <w:rPr>
          <w:rFonts w:ascii="楷体" w:eastAsia="楷体" w:hAnsi="楷体" w:cs="宋体-18030" w:hint="eastAsia"/>
          <w:b/>
          <w:bCs/>
          <w:color w:val="003366"/>
          <w:kern w:val="44"/>
          <w:sz w:val="24"/>
        </w:rPr>
        <w:t>（二）基金市场回顾：</w:t>
      </w:r>
      <w:r w:rsidR="00C527D9" w:rsidRPr="00AA6F17">
        <w:rPr>
          <w:rFonts w:ascii="楷体" w:eastAsia="楷体" w:hAnsi="楷体" w:cs="宋体-18030" w:hint="eastAsia"/>
          <w:b/>
          <w:bCs/>
          <w:color w:val="003366"/>
          <w:kern w:val="44"/>
          <w:sz w:val="24"/>
        </w:rPr>
        <w:t>股</w:t>
      </w:r>
      <w:proofErr w:type="gramStart"/>
      <w:r w:rsidR="00C527D9" w:rsidRPr="00AA6F17">
        <w:rPr>
          <w:rFonts w:ascii="楷体" w:eastAsia="楷体" w:hAnsi="楷体" w:cs="宋体-18030" w:hint="eastAsia"/>
          <w:b/>
          <w:bCs/>
          <w:color w:val="003366"/>
          <w:kern w:val="44"/>
          <w:sz w:val="24"/>
        </w:rPr>
        <w:t>债基金齐</w:t>
      </w:r>
      <w:proofErr w:type="gramEnd"/>
      <w:r w:rsidR="00C527D9" w:rsidRPr="00AA6F17">
        <w:rPr>
          <w:rFonts w:ascii="楷体" w:eastAsia="楷体" w:hAnsi="楷体" w:cs="宋体-18030" w:hint="eastAsia"/>
          <w:b/>
          <w:bCs/>
          <w:color w:val="003366"/>
          <w:kern w:val="44"/>
          <w:sz w:val="24"/>
        </w:rPr>
        <w:t>上涨，风格切换需注意</w:t>
      </w:r>
    </w:p>
    <w:p w:rsidR="00CA22AA" w:rsidRDefault="00C527D9" w:rsidP="00F83461">
      <w:pPr>
        <w:spacing w:beforeLines="100" w:before="312" w:afterLines="50" w:after="156"/>
        <w:ind w:leftChars="1350" w:left="2835" w:firstLineChars="196" w:firstLine="412"/>
        <w:rPr>
          <w:rFonts w:ascii="楷体" w:eastAsia="楷体" w:hAnsi="楷体" w:cs="宋体"/>
          <w:kern w:val="0"/>
          <w:szCs w:val="21"/>
        </w:rPr>
      </w:pPr>
      <w:r w:rsidRPr="00AA6F17">
        <w:rPr>
          <w:rFonts w:ascii="楷体" w:eastAsia="楷体" w:hAnsi="楷体" w:cs="宋体" w:hint="eastAsia"/>
          <w:kern w:val="0"/>
          <w:szCs w:val="21"/>
        </w:rPr>
        <w:t>在</w:t>
      </w:r>
      <w:r w:rsidR="008D0E91" w:rsidRPr="00AA6F17">
        <w:rPr>
          <w:rFonts w:ascii="楷体" w:eastAsia="楷体" w:hAnsi="楷体" w:cs="宋体" w:hint="eastAsia"/>
          <w:kern w:val="0"/>
          <w:szCs w:val="21"/>
        </w:rPr>
        <w:t>1</w:t>
      </w:r>
      <w:r w:rsidRPr="00AA6F17">
        <w:rPr>
          <w:rFonts w:ascii="楷体" w:eastAsia="楷体" w:hAnsi="楷体" w:cs="宋体" w:hint="eastAsia"/>
          <w:kern w:val="0"/>
          <w:szCs w:val="21"/>
        </w:rPr>
        <w:t>2</w:t>
      </w:r>
      <w:r w:rsidR="008D0E91" w:rsidRPr="00AA6F17">
        <w:rPr>
          <w:rFonts w:ascii="楷体" w:eastAsia="楷体" w:hAnsi="楷体" w:cs="宋体" w:hint="eastAsia"/>
          <w:kern w:val="0"/>
          <w:szCs w:val="21"/>
        </w:rPr>
        <w:t>月</w:t>
      </w:r>
      <w:proofErr w:type="gramStart"/>
      <w:r w:rsidR="00BD0168" w:rsidRPr="00AA6F17">
        <w:rPr>
          <w:rFonts w:ascii="楷体" w:eastAsia="楷体" w:hAnsi="楷体" w:cs="宋体" w:hint="eastAsia"/>
          <w:kern w:val="0"/>
          <w:szCs w:val="21"/>
        </w:rPr>
        <w:t>国内</w:t>
      </w:r>
      <w:r w:rsidRPr="00AA6F17">
        <w:rPr>
          <w:rFonts w:ascii="楷体" w:eastAsia="楷体" w:hAnsi="楷体" w:cs="宋体" w:hint="eastAsia"/>
          <w:kern w:val="0"/>
          <w:szCs w:val="21"/>
        </w:rPr>
        <w:t>股</w:t>
      </w:r>
      <w:proofErr w:type="gramEnd"/>
      <w:r w:rsidRPr="00AA6F17">
        <w:rPr>
          <w:rFonts w:ascii="楷体" w:eastAsia="楷体" w:hAnsi="楷体" w:cs="宋体" w:hint="eastAsia"/>
          <w:kern w:val="0"/>
          <w:szCs w:val="21"/>
        </w:rPr>
        <w:t>债市场均上行的背景</w:t>
      </w:r>
      <w:r w:rsidR="008D0E91" w:rsidRPr="00AA6F17">
        <w:rPr>
          <w:rFonts w:ascii="楷体" w:eastAsia="楷体" w:hAnsi="楷体" w:cs="宋体" w:hint="eastAsia"/>
          <w:kern w:val="0"/>
          <w:szCs w:val="21"/>
        </w:rPr>
        <w:t>下，各类型基金全线收红</w:t>
      </w:r>
      <w:r w:rsidR="00BD0168" w:rsidRPr="00AA6F17">
        <w:rPr>
          <w:rFonts w:ascii="楷体" w:eastAsia="楷体" w:hAnsi="楷体" w:cs="宋体" w:hint="eastAsia"/>
          <w:kern w:val="0"/>
          <w:szCs w:val="21"/>
        </w:rPr>
        <w:t>（QDII基金除外）</w:t>
      </w:r>
      <w:r w:rsidR="008D0E91" w:rsidRPr="00AA6F17">
        <w:rPr>
          <w:rFonts w:ascii="楷体" w:eastAsia="楷体" w:hAnsi="楷体" w:cs="宋体" w:hint="eastAsia"/>
          <w:kern w:val="0"/>
          <w:szCs w:val="21"/>
        </w:rPr>
        <w:t>。截至</w:t>
      </w:r>
      <w:r w:rsidR="00B4523D" w:rsidRPr="00AA6F17">
        <w:rPr>
          <w:rFonts w:ascii="楷体" w:eastAsia="楷体" w:hAnsi="楷体" w:cs="宋体" w:hint="eastAsia"/>
          <w:kern w:val="0"/>
          <w:szCs w:val="21"/>
        </w:rPr>
        <w:t>1</w:t>
      </w:r>
      <w:r w:rsidR="00BD0168" w:rsidRPr="00AA6F17">
        <w:rPr>
          <w:rFonts w:ascii="楷体" w:eastAsia="楷体" w:hAnsi="楷体" w:cs="宋体" w:hint="eastAsia"/>
          <w:kern w:val="0"/>
          <w:szCs w:val="21"/>
        </w:rPr>
        <w:t>2</w:t>
      </w:r>
      <w:r w:rsidR="00B4523D" w:rsidRPr="00AA6F17">
        <w:rPr>
          <w:rFonts w:ascii="楷体" w:eastAsia="楷体" w:hAnsi="楷体" w:cs="宋体" w:hint="eastAsia"/>
          <w:kern w:val="0"/>
          <w:szCs w:val="21"/>
        </w:rPr>
        <w:t>月2</w:t>
      </w:r>
      <w:r w:rsidR="00BD0168" w:rsidRPr="00AA6F17">
        <w:rPr>
          <w:rFonts w:ascii="楷体" w:eastAsia="楷体" w:hAnsi="楷体" w:cs="宋体" w:hint="eastAsia"/>
          <w:kern w:val="0"/>
          <w:szCs w:val="21"/>
        </w:rPr>
        <w:t>5</w:t>
      </w:r>
      <w:r w:rsidR="00B4523D" w:rsidRPr="00AA6F17">
        <w:rPr>
          <w:rFonts w:ascii="楷体" w:eastAsia="楷体" w:hAnsi="楷体" w:cs="宋体" w:hint="eastAsia"/>
          <w:kern w:val="0"/>
          <w:szCs w:val="21"/>
        </w:rPr>
        <w:t>日</w:t>
      </w:r>
      <w:r w:rsidR="008D0E91" w:rsidRPr="00AA6F17">
        <w:rPr>
          <w:rFonts w:ascii="楷体" w:eastAsia="楷体" w:hAnsi="楷体" w:cs="宋体" w:hint="eastAsia"/>
          <w:kern w:val="0"/>
          <w:szCs w:val="21"/>
        </w:rPr>
        <w:t>，全月股票基金领涨基金市场，涨幅达</w:t>
      </w:r>
      <w:r w:rsidR="00BD0168" w:rsidRPr="00AA6F17">
        <w:rPr>
          <w:rFonts w:ascii="楷体" w:eastAsia="楷体" w:hAnsi="楷体" w:cs="宋体" w:hint="eastAsia"/>
          <w:kern w:val="0"/>
          <w:szCs w:val="21"/>
        </w:rPr>
        <w:t>6.68</w:t>
      </w:r>
      <w:r w:rsidR="008D0E91" w:rsidRPr="00AA6F17">
        <w:rPr>
          <w:rFonts w:ascii="楷体" w:eastAsia="楷体" w:hAnsi="楷体" w:cs="宋体" w:hint="eastAsia"/>
          <w:kern w:val="0"/>
          <w:szCs w:val="21"/>
        </w:rPr>
        <w:t>%，其次是混合型基金，上涨</w:t>
      </w:r>
      <w:r w:rsidR="00BD0168" w:rsidRPr="00AA6F17">
        <w:rPr>
          <w:rFonts w:ascii="楷体" w:eastAsia="楷体" w:hAnsi="楷体" w:cs="宋体" w:hint="eastAsia"/>
          <w:kern w:val="0"/>
          <w:szCs w:val="21"/>
        </w:rPr>
        <w:t>4.79</w:t>
      </w:r>
      <w:r w:rsidR="008D0E91" w:rsidRPr="00AA6F17">
        <w:rPr>
          <w:rFonts w:ascii="楷体" w:eastAsia="楷体" w:hAnsi="楷体" w:cs="宋体" w:hint="eastAsia"/>
          <w:kern w:val="0"/>
          <w:szCs w:val="21"/>
        </w:rPr>
        <w:t>%</w:t>
      </w:r>
      <w:r w:rsidR="00BD0168" w:rsidRPr="00AA6F17">
        <w:rPr>
          <w:rFonts w:ascii="楷体" w:eastAsia="楷体" w:hAnsi="楷体" w:cs="宋体" w:hint="eastAsia"/>
          <w:kern w:val="0"/>
          <w:szCs w:val="21"/>
        </w:rPr>
        <w:t>。</w:t>
      </w:r>
      <w:r w:rsidR="008D0E91" w:rsidRPr="00AA6F17">
        <w:rPr>
          <w:rFonts w:ascii="楷体" w:eastAsia="楷体" w:hAnsi="楷体" w:cs="宋体" w:hint="eastAsia"/>
          <w:kern w:val="0"/>
          <w:szCs w:val="21"/>
        </w:rPr>
        <w:t>股票型基金</w:t>
      </w:r>
      <w:r w:rsidR="009060BF" w:rsidRPr="00AA6F17">
        <w:rPr>
          <w:rFonts w:ascii="楷体" w:eastAsia="楷体" w:hAnsi="楷体" w:cs="宋体" w:hint="eastAsia"/>
          <w:kern w:val="0"/>
          <w:szCs w:val="21"/>
        </w:rPr>
        <w:t>与</w:t>
      </w:r>
      <w:r w:rsidR="008D0E91" w:rsidRPr="00AA6F17">
        <w:rPr>
          <w:rFonts w:ascii="楷体" w:eastAsia="楷体" w:hAnsi="楷体" w:cs="宋体" w:hint="eastAsia"/>
          <w:kern w:val="0"/>
          <w:szCs w:val="21"/>
        </w:rPr>
        <w:t>混合型基金本月收益差</w:t>
      </w:r>
      <w:r w:rsidR="00BD0168" w:rsidRPr="00AA6F17">
        <w:rPr>
          <w:rFonts w:ascii="楷体" w:eastAsia="楷体" w:hAnsi="楷体" w:cs="宋体" w:hint="eastAsia"/>
          <w:kern w:val="0"/>
          <w:szCs w:val="21"/>
        </w:rPr>
        <w:t>一改之前缩窄趋势，本月扩大至1.89%</w:t>
      </w:r>
      <w:r w:rsidR="009060BF" w:rsidRPr="00AA6F17">
        <w:rPr>
          <w:rFonts w:ascii="楷体" w:eastAsia="楷体" w:hAnsi="楷体" w:cs="宋体" w:hint="eastAsia"/>
          <w:kern w:val="0"/>
          <w:szCs w:val="21"/>
        </w:rPr>
        <w:t>，</w:t>
      </w:r>
      <w:r w:rsidR="00BD0168" w:rsidRPr="00AA6F17">
        <w:rPr>
          <w:rFonts w:ascii="楷体" w:eastAsia="楷体" w:hAnsi="楷体" w:cs="宋体" w:hint="eastAsia"/>
          <w:kern w:val="0"/>
          <w:szCs w:val="21"/>
        </w:rPr>
        <w:t>市场变化仍考验着混合型基金对权益</w:t>
      </w:r>
      <w:proofErr w:type="gramStart"/>
      <w:r w:rsidR="00BD0168" w:rsidRPr="00AA6F17">
        <w:rPr>
          <w:rFonts w:ascii="楷体" w:eastAsia="楷体" w:hAnsi="楷体" w:cs="宋体" w:hint="eastAsia"/>
          <w:kern w:val="0"/>
          <w:szCs w:val="21"/>
        </w:rPr>
        <w:t>仓位</w:t>
      </w:r>
      <w:proofErr w:type="gramEnd"/>
      <w:r w:rsidR="00BD0168" w:rsidRPr="00AA6F17">
        <w:rPr>
          <w:rFonts w:ascii="楷体" w:eastAsia="楷体" w:hAnsi="楷体" w:cs="宋体" w:hint="eastAsia"/>
          <w:kern w:val="0"/>
          <w:szCs w:val="21"/>
        </w:rPr>
        <w:t>、市场风格以及热点行业主题的选择能力</w:t>
      </w:r>
      <w:r w:rsidR="009060BF" w:rsidRPr="00AA6F17">
        <w:rPr>
          <w:rFonts w:ascii="楷体" w:eastAsia="楷体" w:hAnsi="楷体" w:cs="宋体" w:hint="eastAsia"/>
          <w:kern w:val="0"/>
          <w:szCs w:val="21"/>
        </w:rPr>
        <w:t>；指数型基金上涨</w:t>
      </w:r>
      <w:r w:rsidR="00BD0168" w:rsidRPr="00AA6F17">
        <w:rPr>
          <w:rFonts w:ascii="楷体" w:eastAsia="楷体" w:hAnsi="楷体" w:cs="宋体" w:hint="eastAsia"/>
          <w:kern w:val="0"/>
          <w:szCs w:val="21"/>
        </w:rPr>
        <w:t>6.66</w:t>
      </w:r>
      <w:r w:rsidR="009060BF" w:rsidRPr="00AA6F17">
        <w:rPr>
          <w:rFonts w:ascii="楷体" w:eastAsia="楷体" w:hAnsi="楷体" w:cs="宋体" w:hint="eastAsia"/>
          <w:kern w:val="0"/>
          <w:szCs w:val="21"/>
        </w:rPr>
        <w:t>%</w:t>
      </w:r>
      <w:r w:rsidR="00BD0168" w:rsidRPr="00AA6F17">
        <w:rPr>
          <w:rFonts w:ascii="楷体" w:eastAsia="楷体" w:hAnsi="楷体" w:cs="宋体" w:hint="eastAsia"/>
          <w:kern w:val="0"/>
          <w:szCs w:val="21"/>
        </w:rPr>
        <w:t>，</w:t>
      </w:r>
      <w:r w:rsidR="009060BF" w:rsidRPr="00AA6F17">
        <w:rPr>
          <w:rFonts w:ascii="楷体" w:eastAsia="楷体" w:hAnsi="楷体" w:cs="宋体" w:hint="eastAsia"/>
          <w:kern w:val="0"/>
          <w:szCs w:val="21"/>
        </w:rPr>
        <w:t>而</w:t>
      </w:r>
      <w:r w:rsidR="004D33BA" w:rsidRPr="00AA6F17">
        <w:rPr>
          <w:rFonts w:ascii="楷体" w:eastAsia="楷体" w:hAnsi="楷体" w:cs="宋体" w:hint="eastAsia"/>
          <w:kern w:val="0"/>
          <w:szCs w:val="21"/>
        </w:rPr>
        <w:t>债券型基金</w:t>
      </w:r>
      <w:r w:rsidR="00573C42" w:rsidRPr="00AA6F17">
        <w:rPr>
          <w:rFonts w:ascii="楷体" w:eastAsia="楷体" w:hAnsi="楷体" w:cs="宋体" w:hint="eastAsia"/>
          <w:kern w:val="0"/>
          <w:szCs w:val="21"/>
        </w:rPr>
        <w:t>本月</w:t>
      </w:r>
      <w:r w:rsidR="00BD0168" w:rsidRPr="00AA6F17">
        <w:rPr>
          <w:rFonts w:ascii="楷体" w:eastAsia="楷体" w:hAnsi="楷体" w:cs="宋体" w:hint="eastAsia"/>
          <w:kern w:val="0"/>
          <w:szCs w:val="21"/>
        </w:rPr>
        <w:t>表现出色</w:t>
      </w:r>
      <w:r w:rsidR="009060BF" w:rsidRPr="00AA6F17">
        <w:rPr>
          <w:rFonts w:ascii="楷体" w:eastAsia="楷体" w:hAnsi="楷体" w:cs="宋体" w:hint="eastAsia"/>
          <w:kern w:val="0"/>
          <w:szCs w:val="21"/>
        </w:rPr>
        <w:t>，</w:t>
      </w:r>
      <w:r w:rsidR="00BD0168" w:rsidRPr="00AA6F17">
        <w:rPr>
          <w:rFonts w:ascii="楷体" w:eastAsia="楷体" w:hAnsi="楷体" w:cs="宋体" w:hint="eastAsia"/>
          <w:kern w:val="0"/>
          <w:szCs w:val="21"/>
        </w:rPr>
        <w:t>收益达1.37%</w:t>
      </w:r>
      <w:r w:rsidR="009060BF" w:rsidRPr="00AA6F17">
        <w:rPr>
          <w:rFonts w:ascii="楷体" w:eastAsia="楷体" w:hAnsi="楷体" w:cs="宋体" w:hint="eastAsia"/>
          <w:kern w:val="0"/>
          <w:szCs w:val="21"/>
        </w:rPr>
        <w:t>；</w:t>
      </w:r>
      <w:r w:rsidR="004D33BA" w:rsidRPr="00AA6F17">
        <w:rPr>
          <w:rFonts w:ascii="楷体" w:eastAsia="楷体" w:hAnsi="楷体" w:cs="宋体" w:hint="eastAsia"/>
          <w:kern w:val="0"/>
          <w:szCs w:val="21"/>
        </w:rPr>
        <w:t>货币市场基金</w:t>
      </w:r>
      <w:r w:rsidR="00792D7B" w:rsidRPr="00AA6F17">
        <w:rPr>
          <w:rFonts w:ascii="楷体" w:eastAsia="楷体" w:hAnsi="楷体" w:cs="宋体" w:hint="eastAsia"/>
          <w:kern w:val="0"/>
          <w:szCs w:val="21"/>
        </w:rPr>
        <w:t>月度</w:t>
      </w:r>
      <w:r w:rsidR="00573C42" w:rsidRPr="00AA6F17">
        <w:rPr>
          <w:rFonts w:ascii="楷体" w:eastAsia="楷体" w:hAnsi="楷体" w:cs="宋体" w:hint="eastAsia"/>
          <w:kern w:val="0"/>
          <w:szCs w:val="21"/>
        </w:rPr>
        <w:t>收益较上月</w:t>
      </w:r>
      <w:r w:rsidR="00792D7B" w:rsidRPr="00AA6F17">
        <w:rPr>
          <w:rFonts w:ascii="楷体" w:eastAsia="楷体" w:hAnsi="楷体" w:cs="宋体" w:hint="eastAsia"/>
          <w:kern w:val="0"/>
          <w:szCs w:val="21"/>
        </w:rPr>
        <w:t>微降</w:t>
      </w:r>
      <w:r w:rsidR="002E1C77" w:rsidRPr="00AA6F17">
        <w:rPr>
          <w:rFonts w:ascii="楷体" w:eastAsia="楷体" w:hAnsi="楷体" w:cs="宋体" w:hint="eastAsia"/>
          <w:kern w:val="0"/>
          <w:szCs w:val="21"/>
        </w:rPr>
        <w:t>，</w:t>
      </w:r>
      <w:r w:rsidR="00752390" w:rsidRPr="00AA6F17">
        <w:rPr>
          <w:rFonts w:ascii="楷体" w:eastAsia="楷体" w:hAnsi="楷体" w:cs="宋体" w:hint="eastAsia"/>
          <w:kern w:val="0"/>
          <w:szCs w:val="21"/>
        </w:rPr>
        <w:t>指数月度收益0.1</w:t>
      </w:r>
      <w:r w:rsidR="00BD0168" w:rsidRPr="00AA6F17">
        <w:rPr>
          <w:rFonts w:ascii="楷体" w:eastAsia="楷体" w:hAnsi="楷体" w:cs="宋体" w:hint="eastAsia"/>
          <w:kern w:val="0"/>
          <w:szCs w:val="21"/>
        </w:rPr>
        <w:t>6</w:t>
      </w:r>
      <w:r w:rsidR="00752390" w:rsidRPr="00AA6F17">
        <w:rPr>
          <w:rFonts w:ascii="楷体" w:eastAsia="楷体" w:hAnsi="楷体" w:cs="宋体" w:hint="eastAsia"/>
          <w:kern w:val="0"/>
          <w:szCs w:val="21"/>
        </w:rPr>
        <w:t>%</w:t>
      </w:r>
      <w:r w:rsidR="00573C42" w:rsidRPr="00AA6F17">
        <w:rPr>
          <w:rFonts w:ascii="楷体" w:eastAsia="楷体" w:hAnsi="楷体" w:cs="宋体" w:hint="eastAsia"/>
          <w:kern w:val="0"/>
          <w:szCs w:val="21"/>
        </w:rPr>
        <w:t>。</w:t>
      </w:r>
    </w:p>
    <w:p w:rsidR="00F83461" w:rsidRDefault="00F83461" w:rsidP="00F83461">
      <w:pPr>
        <w:spacing w:beforeLines="100" w:before="312" w:afterLines="50" w:after="156"/>
        <w:ind w:leftChars="1350" w:left="2835" w:firstLineChars="196" w:firstLine="412"/>
        <w:rPr>
          <w:rFonts w:ascii="楷体" w:eastAsia="楷体" w:hAnsi="楷体" w:cs="宋体"/>
          <w:kern w:val="0"/>
          <w:szCs w:val="21"/>
        </w:rPr>
      </w:pPr>
    </w:p>
    <w:p w:rsidR="00F83461" w:rsidRDefault="00F83461" w:rsidP="00F83461">
      <w:pPr>
        <w:spacing w:beforeLines="100" w:before="312" w:afterLines="50" w:after="156"/>
        <w:ind w:leftChars="1350" w:left="2835" w:firstLineChars="196" w:firstLine="412"/>
        <w:rPr>
          <w:rFonts w:ascii="楷体" w:eastAsia="楷体" w:hAnsi="楷体" w:cs="宋体"/>
          <w:kern w:val="0"/>
          <w:szCs w:val="21"/>
        </w:rPr>
      </w:pPr>
    </w:p>
    <w:p w:rsidR="00F83461" w:rsidRDefault="00F83461" w:rsidP="00F83461">
      <w:pPr>
        <w:spacing w:beforeLines="100" w:before="312" w:afterLines="50" w:after="156"/>
        <w:ind w:leftChars="1350" w:left="2835" w:firstLineChars="196" w:firstLine="412"/>
        <w:rPr>
          <w:rFonts w:ascii="楷体" w:eastAsia="楷体" w:hAnsi="楷体" w:cs="宋体"/>
          <w:kern w:val="0"/>
          <w:szCs w:val="21"/>
        </w:rPr>
      </w:pPr>
    </w:p>
    <w:p w:rsidR="00F83461" w:rsidRDefault="00F83461" w:rsidP="00F83461">
      <w:pPr>
        <w:spacing w:beforeLines="100" w:before="312" w:afterLines="50" w:after="156"/>
        <w:ind w:leftChars="1350" w:left="2835" w:firstLineChars="196" w:firstLine="412"/>
        <w:rPr>
          <w:rFonts w:ascii="楷体" w:eastAsia="楷体" w:hAnsi="楷体" w:cs="宋体"/>
          <w:kern w:val="0"/>
          <w:szCs w:val="21"/>
        </w:rPr>
      </w:pPr>
    </w:p>
    <w:p w:rsidR="00F83461" w:rsidRPr="00AA6F17" w:rsidRDefault="00F83461" w:rsidP="00F83461">
      <w:pPr>
        <w:spacing w:beforeLines="100" w:before="312" w:afterLines="50" w:after="156"/>
        <w:ind w:leftChars="1350" w:left="2835" w:firstLineChars="196" w:firstLine="412"/>
        <w:rPr>
          <w:rFonts w:ascii="楷体" w:eastAsia="楷体" w:hAnsi="楷体" w:cs="宋体"/>
          <w:kern w:val="0"/>
          <w:szCs w:val="21"/>
        </w:rPr>
      </w:pPr>
    </w:p>
    <w:tbl>
      <w:tblPr>
        <w:tblW w:w="6521" w:type="dxa"/>
        <w:tblInd w:w="2943" w:type="dxa"/>
        <w:tblLayout w:type="fixed"/>
        <w:tblLook w:val="04A0" w:firstRow="1" w:lastRow="0" w:firstColumn="1" w:lastColumn="0" w:noHBand="0" w:noVBand="1"/>
      </w:tblPr>
      <w:tblGrid>
        <w:gridCol w:w="6521"/>
      </w:tblGrid>
      <w:tr w:rsidR="009A18F4" w:rsidRPr="00AA6F17" w:rsidTr="00DE017A">
        <w:tc>
          <w:tcPr>
            <w:tcW w:w="6521" w:type="dxa"/>
            <w:tcBorders>
              <w:bottom w:val="single" w:sz="4" w:space="0" w:color="FF0000"/>
            </w:tcBorders>
          </w:tcPr>
          <w:p w:rsidR="009A18F4" w:rsidRPr="00AA6F17" w:rsidRDefault="009A18F4" w:rsidP="007F7CDB">
            <w:pPr>
              <w:spacing w:line="360" w:lineRule="auto"/>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007F7CDB" w:rsidRPr="00AA6F17">
              <w:rPr>
                <w:rFonts w:ascii="楷体" w:eastAsia="楷体" w:hAnsi="楷体"/>
                <w:b/>
                <w:color w:val="000000"/>
                <w:sz w:val="18"/>
                <w:szCs w:val="18"/>
              </w:rPr>
              <w:t>9</w:t>
            </w:r>
            <w:r w:rsidRPr="00AA6F17">
              <w:rPr>
                <w:rFonts w:ascii="楷体" w:eastAsia="楷体" w:hAnsi="楷体" w:hint="eastAsia"/>
                <w:b/>
                <w:color w:val="000000"/>
                <w:sz w:val="18"/>
                <w:szCs w:val="18"/>
              </w:rPr>
              <w:t>、本月各类型基金</w:t>
            </w:r>
            <w:r w:rsidR="008E5BBA" w:rsidRPr="00AA6F17">
              <w:rPr>
                <w:rFonts w:ascii="楷体" w:eastAsia="楷体" w:hAnsi="楷体" w:hint="eastAsia"/>
                <w:b/>
                <w:color w:val="000000"/>
                <w:sz w:val="18"/>
                <w:szCs w:val="18"/>
              </w:rPr>
              <w:t>收益率</w:t>
            </w:r>
          </w:p>
        </w:tc>
      </w:tr>
      <w:tr w:rsidR="009A18F4" w:rsidRPr="00AA6F17" w:rsidTr="009946B2">
        <w:trPr>
          <w:trHeight w:val="3301"/>
        </w:trPr>
        <w:tc>
          <w:tcPr>
            <w:tcW w:w="6521" w:type="dxa"/>
            <w:tcBorders>
              <w:top w:val="single" w:sz="4" w:space="0" w:color="FF0000"/>
              <w:bottom w:val="single" w:sz="4" w:space="0" w:color="FF0000"/>
            </w:tcBorders>
          </w:tcPr>
          <w:p w:rsidR="009A18F4" w:rsidRPr="00AA6F17" w:rsidRDefault="00C527D9" w:rsidP="00DE017A">
            <w:pPr>
              <w:spacing w:line="360" w:lineRule="auto"/>
              <w:jc w:val="center"/>
              <w:rPr>
                <w:rFonts w:ascii="楷体" w:eastAsia="楷体" w:hAnsi="楷体"/>
                <w:color w:val="000000"/>
                <w:sz w:val="18"/>
                <w:szCs w:val="18"/>
              </w:rPr>
            </w:pPr>
            <w:r w:rsidRPr="00AA6F17">
              <w:rPr>
                <w:rFonts w:ascii="楷体" w:eastAsia="楷体" w:hAnsi="楷体"/>
                <w:noProof/>
                <w:color w:val="000000"/>
                <w:sz w:val="18"/>
                <w:szCs w:val="18"/>
              </w:rPr>
              <w:drawing>
                <wp:inline distT="0" distB="0" distL="0" distR="0">
                  <wp:extent cx="3481728" cy="2041451"/>
                  <wp:effectExtent l="0" t="0" r="0" b="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srcRect/>
                          <a:stretch>
                            <a:fillRect/>
                          </a:stretch>
                        </pic:blipFill>
                        <pic:spPr bwMode="auto">
                          <a:xfrm>
                            <a:off x="0" y="0"/>
                            <a:ext cx="3494955" cy="2049206"/>
                          </a:xfrm>
                          <a:prstGeom prst="rect">
                            <a:avLst/>
                          </a:prstGeom>
                          <a:noFill/>
                        </pic:spPr>
                      </pic:pic>
                    </a:graphicData>
                  </a:graphic>
                </wp:inline>
              </w:drawing>
            </w:r>
          </w:p>
        </w:tc>
      </w:tr>
      <w:tr w:rsidR="009A18F4" w:rsidRPr="00AA6F17" w:rsidTr="00DE017A">
        <w:tc>
          <w:tcPr>
            <w:tcW w:w="6521" w:type="dxa"/>
            <w:tcBorders>
              <w:top w:val="single" w:sz="4" w:space="0" w:color="FF0000"/>
            </w:tcBorders>
          </w:tcPr>
          <w:p w:rsidR="009A18F4" w:rsidRPr="00AA6F17" w:rsidRDefault="009A18F4" w:rsidP="004D33BA">
            <w:pPr>
              <w:rPr>
                <w:rFonts w:ascii="楷体" w:eastAsia="楷体" w:hAnsi="楷体"/>
                <w:noProof/>
                <w:color w:val="000000"/>
                <w:sz w:val="18"/>
                <w:szCs w:val="18"/>
              </w:rPr>
            </w:pPr>
            <w:r w:rsidRPr="00AA6F17">
              <w:rPr>
                <w:rFonts w:ascii="楷体" w:eastAsia="楷体" w:hAnsi="楷体" w:hint="eastAsia"/>
                <w:noProof/>
                <w:color w:val="000000"/>
                <w:sz w:val="18"/>
                <w:szCs w:val="18"/>
              </w:rPr>
              <w:t>来源：wind 上海证券基金评价研究中心</w:t>
            </w:r>
          </w:p>
          <w:p w:rsidR="004D33BA" w:rsidRPr="00AA6F17" w:rsidRDefault="004D33BA" w:rsidP="004D33BA">
            <w:pPr>
              <w:rPr>
                <w:rFonts w:ascii="楷体" w:eastAsia="楷体" w:hAnsi="楷体"/>
                <w:noProof/>
                <w:color w:val="000000"/>
                <w:sz w:val="18"/>
                <w:szCs w:val="18"/>
              </w:rPr>
            </w:pPr>
            <w:r w:rsidRPr="00AA6F17">
              <w:rPr>
                <w:rFonts w:ascii="楷体" w:eastAsia="楷体" w:hAnsi="楷体" w:hint="eastAsia"/>
                <w:noProof/>
                <w:color w:val="000000"/>
                <w:sz w:val="18"/>
                <w:szCs w:val="18"/>
              </w:rPr>
              <w:t>注：中国股基指数、中国混基指数和中国债基指数</w:t>
            </w:r>
            <w:r w:rsidR="00F54C25" w:rsidRPr="00AA6F17">
              <w:rPr>
                <w:rFonts w:ascii="楷体" w:eastAsia="楷体" w:hAnsi="楷体" w:hint="eastAsia"/>
                <w:noProof/>
                <w:color w:val="000000"/>
                <w:sz w:val="18"/>
                <w:szCs w:val="18"/>
              </w:rPr>
              <w:t>由深圳证券信息公司、中国基金报和上海证券合作编制。</w:t>
            </w:r>
          </w:p>
        </w:tc>
      </w:tr>
    </w:tbl>
    <w:p w:rsidR="00F73995" w:rsidRPr="00AA6F17" w:rsidRDefault="00F73995" w:rsidP="00732C2D">
      <w:pPr>
        <w:spacing w:beforeLines="50" w:before="156" w:afterLines="50" w:after="156"/>
        <w:ind w:leftChars="1350" w:left="2835" w:firstLineChars="196" w:firstLine="472"/>
        <w:rPr>
          <w:rFonts w:ascii="楷体" w:eastAsia="楷体" w:hAnsi="楷体" w:cs="宋体-18030"/>
          <w:b/>
          <w:bCs/>
          <w:color w:val="003366"/>
          <w:kern w:val="44"/>
          <w:sz w:val="24"/>
        </w:rPr>
      </w:pPr>
      <w:r w:rsidRPr="00AA6F17">
        <w:rPr>
          <w:rFonts w:ascii="楷体" w:eastAsia="楷体" w:hAnsi="楷体" w:cs="宋体-18030" w:hint="eastAsia"/>
          <w:b/>
          <w:bCs/>
          <w:color w:val="003366"/>
          <w:kern w:val="44"/>
          <w:sz w:val="24"/>
        </w:rPr>
        <w:t>（三）市场信息和数据解读</w:t>
      </w:r>
    </w:p>
    <w:p w:rsidR="005A7782" w:rsidRPr="00AA6F17" w:rsidRDefault="005A7782" w:rsidP="00732C2D">
      <w:pPr>
        <w:spacing w:beforeLines="50" w:before="156"/>
        <w:ind w:leftChars="1350" w:left="2835" w:firstLineChars="202" w:firstLine="424"/>
        <w:rPr>
          <w:rFonts w:ascii="楷体" w:eastAsia="楷体" w:hAnsi="楷体" w:cs="宋体"/>
          <w:kern w:val="0"/>
          <w:szCs w:val="21"/>
        </w:rPr>
      </w:pPr>
      <w:r w:rsidRPr="00AA6F17">
        <w:rPr>
          <w:rFonts w:ascii="楷体" w:eastAsia="楷体" w:hAnsi="楷体" w:cs="宋体" w:hint="eastAsia"/>
          <w:kern w:val="0"/>
          <w:szCs w:val="21"/>
        </w:rPr>
        <w:t>数据显示欧元区经济复苏尚弱，仍面临通缩和衰退风险。1</w:t>
      </w:r>
      <w:r w:rsidRPr="00AA6F17">
        <w:rPr>
          <w:rFonts w:ascii="楷体" w:eastAsia="楷体" w:hAnsi="楷体" w:cs="宋体"/>
          <w:kern w:val="0"/>
          <w:szCs w:val="21"/>
        </w:rPr>
        <w:t>2</w:t>
      </w:r>
      <w:r w:rsidRPr="00AA6F17">
        <w:rPr>
          <w:rFonts w:ascii="楷体" w:eastAsia="楷体" w:hAnsi="楷体" w:cs="宋体" w:hint="eastAsia"/>
          <w:kern w:val="0"/>
          <w:szCs w:val="21"/>
        </w:rPr>
        <w:t>月</w:t>
      </w:r>
      <w:proofErr w:type="spellStart"/>
      <w:r w:rsidRPr="00AA6F17">
        <w:rPr>
          <w:rFonts w:ascii="楷体" w:eastAsia="楷体" w:hAnsi="楷体" w:cs="宋体" w:hint="eastAsia"/>
          <w:kern w:val="0"/>
          <w:szCs w:val="21"/>
        </w:rPr>
        <w:t>Markit</w:t>
      </w:r>
      <w:proofErr w:type="spellEnd"/>
      <w:r w:rsidRPr="00AA6F17">
        <w:rPr>
          <w:rFonts w:ascii="楷体" w:eastAsia="楷体" w:hAnsi="楷体" w:cs="宋体" w:hint="eastAsia"/>
          <w:kern w:val="0"/>
          <w:szCs w:val="21"/>
        </w:rPr>
        <w:t>综合采购经理人指数(PMI)初值为54.0，略低于</w:t>
      </w:r>
      <w:r w:rsidRPr="00AA6F17">
        <w:rPr>
          <w:rFonts w:ascii="楷体" w:eastAsia="楷体" w:hAnsi="楷体" w:cs="宋体"/>
          <w:kern w:val="0"/>
          <w:szCs w:val="21"/>
        </w:rPr>
        <w:t>11</w:t>
      </w:r>
      <w:r w:rsidRPr="00AA6F17">
        <w:rPr>
          <w:rFonts w:ascii="楷体" w:eastAsia="楷体" w:hAnsi="楷体" w:cs="宋体" w:hint="eastAsia"/>
          <w:kern w:val="0"/>
          <w:szCs w:val="21"/>
        </w:rPr>
        <w:t>月份的终值54.</w:t>
      </w:r>
      <w:r w:rsidRPr="00AA6F17">
        <w:rPr>
          <w:rFonts w:ascii="楷体" w:eastAsia="楷体" w:hAnsi="楷体" w:cs="宋体"/>
          <w:kern w:val="0"/>
          <w:szCs w:val="21"/>
        </w:rPr>
        <w:t>2</w:t>
      </w:r>
      <w:r w:rsidRPr="00AA6F17">
        <w:rPr>
          <w:rFonts w:ascii="楷体" w:eastAsia="楷体" w:hAnsi="楷体" w:cs="宋体" w:hint="eastAsia"/>
          <w:kern w:val="0"/>
          <w:szCs w:val="21"/>
        </w:rPr>
        <w:t>，该指数自2013年7月以来一直高于荣枯分水岭50。</w:t>
      </w:r>
      <w:r w:rsidRPr="00AA6F17">
        <w:rPr>
          <w:rFonts w:ascii="楷体" w:eastAsia="楷体" w:hAnsi="楷体" w:cs="宋体"/>
          <w:kern w:val="0"/>
          <w:szCs w:val="21"/>
        </w:rPr>
        <w:t>11</w:t>
      </w:r>
      <w:r w:rsidRPr="00AA6F17">
        <w:rPr>
          <w:rFonts w:ascii="楷体" w:eastAsia="楷体" w:hAnsi="楷体" w:cs="宋体" w:hint="eastAsia"/>
          <w:kern w:val="0"/>
          <w:szCs w:val="21"/>
        </w:rPr>
        <w:t>月CPI有所回暖,但通</w:t>
      </w:r>
      <w:proofErr w:type="gramStart"/>
      <w:r w:rsidRPr="00AA6F17">
        <w:rPr>
          <w:rFonts w:ascii="楷体" w:eastAsia="楷体" w:hAnsi="楷体" w:cs="宋体" w:hint="eastAsia"/>
          <w:kern w:val="0"/>
          <w:szCs w:val="21"/>
        </w:rPr>
        <w:t>缩压力</w:t>
      </w:r>
      <w:proofErr w:type="gramEnd"/>
      <w:r w:rsidRPr="00AA6F17">
        <w:rPr>
          <w:rFonts w:ascii="楷体" w:eastAsia="楷体" w:hAnsi="楷体" w:cs="宋体" w:hint="eastAsia"/>
          <w:kern w:val="0"/>
          <w:szCs w:val="21"/>
        </w:rPr>
        <w:t>仍存。16日的数据显示欧元区</w:t>
      </w:r>
      <w:r w:rsidRPr="00AA6F17">
        <w:rPr>
          <w:rFonts w:ascii="楷体" w:eastAsia="楷体" w:hAnsi="楷体" w:cs="宋体"/>
          <w:kern w:val="0"/>
          <w:szCs w:val="21"/>
        </w:rPr>
        <w:t>11</w:t>
      </w:r>
      <w:r w:rsidRPr="00AA6F17">
        <w:rPr>
          <w:rFonts w:ascii="楷体" w:eastAsia="楷体" w:hAnsi="楷体" w:cs="宋体" w:hint="eastAsia"/>
          <w:kern w:val="0"/>
          <w:szCs w:val="21"/>
        </w:rPr>
        <w:t>月CPI同比上升0.</w:t>
      </w:r>
      <w:r w:rsidRPr="00AA6F17">
        <w:rPr>
          <w:rFonts w:ascii="楷体" w:eastAsia="楷体" w:hAnsi="楷体" w:cs="宋体"/>
          <w:kern w:val="0"/>
          <w:szCs w:val="21"/>
        </w:rPr>
        <w:t>2</w:t>
      </w:r>
      <w:r w:rsidRPr="00AA6F17">
        <w:rPr>
          <w:rFonts w:ascii="楷体" w:eastAsia="楷体" w:hAnsi="楷体" w:cs="宋体" w:hint="eastAsia"/>
          <w:kern w:val="0"/>
          <w:szCs w:val="21"/>
        </w:rPr>
        <w:t>%,高于预期</w:t>
      </w:r>
      <w:r w:rsidRPr="00AA6F17">
        <w:rPr>
          <w:rFonts w:ascii="楷体" w:eastAsia="楷体" w:hAnsi="楷体" w:cs="宋体"/>
          <w:kern w:val="0"/>
          <w:szCs w:val="21"/>
        </w:rPr>
        <w:t>但距离其</w:t>
      </w:r>
      <w:r w:rsidRPr="00AA6F17">
        <w:rPr>
          <w:rFonts w:ascii="楷体" w:eastAsia="楷体" w:hAnsi="楷体" w:cs="宋体" w:hint="eastAsia"/>
          <w:kern w:val="0"/>
          <w:szCs w:val="21"/>
        </w:rPr>
        <w:t>2</w:t>
      </w:r>
      <w:r w:rsidRPr="00AA6F17">
        <w:rPr>
          <w:rFonts w:ascii="楷体" w:eastAsia="楷体" w:hAnsi="楷体" w:cs="宋体"/>
          <w:kern w:val="0"/>
          <w:szCs w:val="21"/>
        </w:rPr>
        <w:t>%的通胀目标还有很长一段距离</w:t>
      </w:r>
      <w:r w:rsidRPr="00AA6F17">
        <w:rPr>
          <w:rFonts w:ascii="楷体" w:eastAsia="楷体" w:hAnsi="楷体" w:cs="宋体" w:hint="eastAsia"/>
          <w:kern w:val="0"/>
          <w:szCs w:val="21"/>
        </w:rPr>
        <w:t>,核心CPI同比持平于0.9%。受益于QE政策刺激，欧元区投资者信心指数（</w:t>
      </w:r>
      <w:proofErr w:type="spellStart"/>
      <w:r w:rsidRPr="00AA6F17">
        <w:rPr>
          <w:rFonts w:ascii="楷体" w:eastAsia="楷体" w:hAnsi="楷体" w:cs="宋体" w:hint="eastAsia"/>
          <w:kern w:val="0"/>
          <w:szCs w:val="21"/>
        </w:rPr>
        <w:t>Sentix</w:t>
      </w:r>
      <w:proofErr w:type="spellEnd"/>
      <w:r w:rsidRPr="00AA6F17">
        <w:rPr>
          <w:rFonts w:ascii="楷体" w:eastAsia="楷体" w:hAnsi="楷体" w:cs="宋体" w:hint="eastAsia"/>
          <w:kern w:val="0"/>
          <w:szCs w:val="21"/>
        </w:rPr>
        <w:t>）升至四个月高位。</w:t>
      </w:r>
    </w:p>
    <w:tbl>
      <w:tblPr>
        <w:tblW w:w="6521" w:type="dxa"/>
        <w:tblInd w:w="2943" w:type="dxa"/>
        <w:tblLayout w:type="fixed"/>
        <w:tblLook w:val="04A0" w:firstRow="1" w:lastRow="0" w:firstColumn="1" w:lastColumn="0" w:noHBand="0" w:noVBand="1"/>
      </w:tblPr>
      <w:tblGrid>
        <w:gridCol w:w="6521"/>
      </w:tblGrid>
      <w:tr w:rsidR="005A7782" w:rsidRPr="00AA6F17" w:rsidTr="00671635">
        <w:tc>
          <w:tcPr>
            <w:tcW w:w="6521" w:type="dxa"/>
            <w:tcBorders>
              <w:bottom w:val="single" w:sz="4" w:space="0" w:color="FF0000"/>
            </w:tcBorders>
          </w:tcPr>
          <w:p w:rsidR="005A7782" w:rsidRPr="00AA6F17" w:rsidRDefault="005A7782" w:rsidP="005A7782">
            <w:pPr>
              <w:spacing w:line="360" w:lineRule="auto"/>
              <w:jc w:val="left"/>
              <w:rPr>
                <w:rFonts w:ascii="楷体" w:eastAsia="楷体" w:hAnsi="楷体"/>
                <w:b/>
                <w:color w:val="000000"/>
                <w:sz w:val="18"/>
                <w:szCs w:val="18"/>
              </w:rPr>
            </w:pPr>
            <w:r w:rsidRPr="00AA6F17">
              <w:rPr>
                <w:rFonts w:ascii="楷体" w:eastAsia="楷体" w:hAnsi="楷体" w:hint="eastAsia"/>
                <w:b/>
                <w:color w:val="000000"/>
                <w:sz w:val="18"/>
                <w:szCs w:val="18"/>
              </w:rPr>
              <w:t>图</w:t>
            </w:r>
            <w:r w:rsidRPr="00AA6F17">
              <w:rPr>
                <w:rFonts w:ascii="楷体" w:eastAsia="楷体" w:hAnsi="楷体"/>
                <w:b/>
                <w:color w:val="000000"/>
                <w:sz w:val="18"/>
                <w:szCs w:val="18"/>
              </w:rPr>
              <w:t>10</w:t>
            </w:r>
            <w:r w:rsidRPr="00AA6F17">
              <w:rPr>
                <w:rFonts w:ascii="楷体" w:eastAsia="楷体" w:hAnsi="楷体" w:hint="eastAsia"/>
                <w:b/>
                <w:color w:val="000000"/>
                <w:sz w:val="18"/>
                <w:szCs w:val="18"/>
              </w:rPr>
              <w:t>、欧元区制造业与服务业月度PMI走势图</w:t>
            </w:r>
          </w:p>
        </w:tc>
      </w:tr>
      <w:tr w:rsidR="005A7782" w:rsidRPr="00AA6F17" w:rsidTr="009946B2">
        <w:trPr>
          <w:trHeight w:val="3282"/>
        </w:trPr>
        <w:tc>
          <w:tcPr>
            <w:tcW w:w="6521" w:type="dxa"/>
            <w:tcBorders>
              <w:top w:val="single" w:sz="4" w:space="0" w:color="FF0000"/>
              <w:bottom w:val="single" w:sz="4" w:space="0" w:color="FF0000"/>
            </w:tcBorders>
          </w:tcPr>
          <w:p w:rsidR="005A7782" w:rsidRPr="00AA6F17" w:rsidRDefault="005A7782" w:rsidP="00671635">
            <w:pPr>
              <w:spacing w:line="360" w:lineRule="auto"/>
              <w:jc w:val="center"/>
              <w:rPr>
                <w:rFonts w:ascii="楷体" w:eastAsia="楷体" w:hAnsi="楷体"/>
                <w:color w:val="000000"/>
                <w:sz w:val="18"/>
                <w:szCs w:val="18"/>
              </w:rPr>
            </w:pPr>
            <w:r w:rsidRPr="00AA6F17">
              <w:rPr>
                <w:rFonts w:ascii="楷体" w:eastAsia="楷体" w:hAnsi="楷体" w:cs="宋体"/>
                <w:noProof/>
                <w:kern w:val="0"/>
                <w:szCs w:val="21"/>
              </w:rPr>
              <w:drawing>
                <wp:inline distT="0" distB="0" distL="0" distR="0">
                  <wp:extent cx="3200792" cy="208398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50845" cy="2116571"/>
                          </a:xfrm>
                          <a:prstGeom prst="rect">
                            <a:avLst/>
                          </a:prstGeom>
                          <a:noFill/>
                        </pic:spPr>
                      </pic:pic>
                    </a:graphicData>
                  </a:graphic>
                </wp:inline>
              </w:drawing>
            </w:r>
          </w:p>
        </w:tc>
      </w:tr>
      <w:tr w:rsidR="005A7782" w:rsidRPr="00AA6F17" w:rsidTr="00671635">
        <w:tc>
          <w:tcPr>
            <w:tcW w:w="6521" w:type="dxa"/>
            <w:tcBorders>
              <w:top w:val="single" w:sz="4" w:space="0" w:color="FF0000"/>
            </w:tcBorders>
          </w:tcPr>
          <w:p w:rsidR="005A7782" w:rsidRPr="00AA6F17" w:rsidRDefault="005A7782" w:rsidP="00671635">
            <w:pPr>
              <w:rPr>
                <w:rFonts w:ascii="楷体" w:eastAsia="楷体" w:hAnsi="楷体"/>
                <w:noProof/>
                <w:color w:val="000000"/>
                <w:sz w:val="18"/>
                <w:szCs w:val="18"/>
              </w:rPr>
            </w:pPr>
            <w:r w:rsidRPr="00AA6F17">
              <w:rPr>
                <w:rFonts w:ascii="楷体" w:eastAsia="楷体" w:hAnsi="楷体" w:hint="eastAsia"/>
                <w:noProof/>
                <w:color w:val="000000"/>
                <w:sz w:val="18"/>
                <w:szCs w:val="18"/>
              </w:rPr>
              <w:t>来源：wind 上海证券基金评价研究中心</w:t>
            </w:r>
          </w:p>
        </w:tc>
      </w:tr>
    </w:tbl>
    <w:p w:rsidR="005A7782" w:rsidRPr="00AA6F17" w:rsidRDefault="005A7782" w:rsidP="00732C2D">
      <w:pPr>
        <w:spacing w:beforeLines="50" w:before="156"/>
        <w:ind w:leftChars="1350" w:left="2835" w:firstLineChars="202" w:firstLine="424"/>
        <w:rPr>
          <w:rFonts w:ascii="楷体" w:eastAsia="楷体" w:hAnsi="楷体" w:cs="宋体"/>
          <w:kern w:val="0"/>
          <w:szCs w:val="21"/>
        </w:rPr>
      </w:pPr>
      <w:r w:rsidRPr="00AA6F17">
        <w:rPr>
          <w:rFonts w:ascii="楷体" w:eastAsia="楷体" w:hAnsi="楷体" w:cs="宋体" w:hint="eastAsia"/>
          <w:kern w:val="0"/>
          <w:szCs w:val="21"/>
        </w:rPr>
        <w:t>美国经济增长稳定性存疑，数据显示美国12月</w:t>
      </w:r>
      <w:proofErr w:type="spellStart"/>
      <w:r w:rsidRPr="00AA6F17">
        <w:rPr>
          <w:rFonts w:ascii="楷体" w:eastAsia="楷体" w:hAnsi="楷体" w:cs="宋体" w:hint="eastAsia"/>
          <w:kern w:val="0"/>
          <w:szCs w:val="21"/>
        </w:rPr>
        <w:t>Markit</w:t>
      </w:r>
      <w:proofErr w:type="spellEnd"/>
      <w:r w:rsidRPr="00AA6F17">
        <w:rPr>
          <w:rFonts w:ascii="楷体" w:eastAsia="楷体" w:hAnsi="楷体" w:cs="宋体" w:hint="eastAsia"/>
          <w:kern w:val="0"/>
          <w:szCs w:val="21"/>
        </w:rPr>
        <w:t>综合PMI初值为53.5，低于</w:t>
      </w:r>
      <w:r w:rsidRPr="00AA6F17">
        <w:rPr>
          <w:rFonts w:ascii="楷体" w:eastAsia="楷体" w:hAnsi="楷体" w:cs="宋体"/>
          <w:kern w:val="0"/>
          <w:szCs w:val="21"/>
        </w:rPr>
        <w:t>前值</w:t>
      </w:r>
      <w:r w:rsidRPr="00AA6F17">
        <w:rPr>
          <w:rFonts w:ascii="楷体" w:eastAsia="楷体" w:hAnsi="楷体" w:cs="宋体" w:hint="eastAsia"/>
          <w:kern w:val="0"/>
          <w:szCs w:val="21"/>
        </w:rPr>
        <w:t>55.9；服务业PMI初值为5</w:t>
      </w:r>
      <w:r w:rsidRPr="00AA6F17">
        <w:rPr>
          <w:rFonts w:ascii="楷体" w:eastAsia="楷体" w:hAnsi="楷体" w:cs="宋体"/>
          <w:kern w:val="0"/>
          <w:szCs w:val="21"/>
        </w:rPr>
        <w:t>3.7</w:t>
      </w:r>
      <w:r w:rsidRPr="00AA6F17">
        <w:rPr>
          <w:rFonts w:ascii="楷体" w:eastAsia="楷体" w:hAnsi="楷体" w:cs="宋体" w:hint="eastAsia"/>
          <w:kern w:val="0"/>
          <w:szCs w:val="21"/>
        </w:rPr>
        <w:t>低于前值56.1。同时，1</w:t>
      </w:r>
      <w:r w:rsidRPr="00AA6F17">
        <w:rPr>
          <w:rFonts w:ascii="楷体" w:eastAsia="楷体" w:hAnsi="楷体" w:cs="宋体"/>
          <w:kern w:val="0"/>
          <w:szCs w:val="21"/>
        </w:rPr>
        <w:t>2</w:t>
      </w:r>
      <w:r w:rsidRPr="00AA6F17">
        <w:rPr>
          <w:rFonts w:ascii="楷体" w:eastAsia="楷体" w:hAnsi="楷体" w:cs="宋体" w:hint="eastAsia"/>
          <w:kern w:val="0"/>
          <w:szCs w:val="21"/>
        </w:rPr>
        <w:t>月密歇根大学消费者信心指数终值升至9</w:t>
      </w:r>
      <w:r w:rsidRPr="00AA6F17">
        <w:rPr>
          <w:rFonts w:ascii="楷体" w:eastAsia="楷体" w:hAnsi="楷体" w:cs="宋体"/>
          <w:kern w:val="0"/>
          <w:szCs w:val="21"/>
        </w:rPr>
        <w:t>2.6</w:t>
      </w:r>
      <w:r w:rsidRPr="00AA6F17">
        <w:rPr>
          <w:rFonts w:ascii="楷体" w:eastAsia="楷体" w:hAnsi="楷体" w:cs="宋体" w:hint="eastAsia"/>
          <w:kern w:val="0"/>
          <w:szCs w:val="21"/>
        </w:rPr>
        <w:t>，刷新7月份</w:t>
      </w:r>
      <w:r w:rsidRPr="00AA6F17">
        <w:rPr>
          <w:rFonts w:ascii="楷体" w:eastAsia="楷体" w:hAnsi="楷体" w:cs="宋体"/>
          <w:kern w:val="0"/>
          <w:szCs w:val="21"/>
        </w:rPr>
        <w:t>以来新高</w:t>
      </w:r>
      <w:r w:rsidRPr="00AA6F17">
        <w:rPr>
          <w:rFonts w:ascii="楷体" w:eastAsia="楷体" w:hAnsi="楷体" w:cs="宋体" w:hint="eastAsia"/>
          <w:kern w:val="0"/>
          <w:szCs w:val="21"/>
        </w:rPr>
        <w:t>，</w:t>
      </w:r>
      <w:r w:rsidRPr="00AA6F17">
        <w:rPr>
          <w:rFonts w:ascii="楷体" w:eastAsia="楷体" w:hAnsi="楷体" w:cs="宋体"/>
          <w:kern w:val="0"/>
          <w:szCs w:val="21"/>
        </w:rPr>
        <w:t>或受益于持续走低的油价和</w:t>
      </w:r>
      <w:r w:rsidRPr="00AA6F17">
        <w:rPr>
          <w:rFonts w:ascii="楷体" w:eastAsia="楷体" w:hAnsi="楷体" w:cs="宋体" w:hint="eastAsia"/>
          <w:kern w:val="0"/>
          <w:szCs w:val="21"/>
        </w:rPr>
        <w:t>良好的</w:t>
      </w:r>
      <w:r w:rsidRPr="00AA6F17">
        <w:rPr>
          <w:rFonts w:ascii="楷体" w:eastAsia="楷体" w:hAnsi="楷体" w:cs="宋体"/>
          <w:kern w:val="0"/>
          <w:szCs w:val="21"/>
        </w:rPr>
        <w:t>劳动力市场。</w:t>
      </w:r>
      <w:r w:rsidRPr="00AA6F17">
        <w:rPr>
          <w:rFonts w:ascii="楷体" w:eastAsia="楷体" w:hAnsi="楷体" w:cs="宋体" w:hint="eastAsia"/>
          <w:kern w:val="0"/>
          <w:szCs w:val="21"/>
        </w:rPr>
        <w:t>房地产方面，11月</w:t>
      </w:r>
      <w:r w:rsidRPr="00AA6F17">
        <w:rPr>
          <w:rFonts w:ascii="楷体" w:eastAsia="楷体" w:hAnsi="楷体" w:cs="宋体" w:hint="eastAsia"/>
          <w:kern w:val="0"/>
          <w:szCs w:val="21"/>
        </w:rPr>
        <w:lastRenderedPageBreak/>
        <w:t>成屋销售</w:t>
      </w:r>
      <w:r w:rsidRPr="00AA6F17">
        <w:rPr>
          <w:rFonts w:ascii="楷体" w:eastAsia="楷体" w:hAnsi="楷体" w:cs="宋体"/>
          <w:kern w:val="0"/>
          <w:szCs w:val="21"/>
        </w:rPr>
        <w:t>意外环比大跌</w:t>
      </w:r>
      <w:r w:rsidRPr="00AA6F17">
        <w:rPr>
          <w:rFonts w:ascii="楷体" w:eastAsia="楷体" w:hAnsi="楷体" w:cs="宋体" w:hint="eastAsia"/>
          <w:kern w:val="0"/>
          <w:szCs w:val="21"/>
        </w:rPr>
        <w:t>10.5</w:t>
      </w:r>
      <w:r w:rsidRPr="00AA6F17">
        <w:rPr>
          <w:rFonts w:ascii="楷体" w:eastAsia="楷体" w:hAnsi="楷体" w:cs="宋体"/>
          <w:kern w:val="0"/>
          <w:szCs w:val="21"/>
        </w:rPr>
        <w:t>%</w:t>
      </w:r>
      <w:r w:rsidRPr="00AA6F17">
        <w:rPr>
          <w:rFonts w:ascii="楷体" w:eastAsia="楷体" w:hAnsi="楷体" w:cs="宋体" w:hint="eastAsia"/>
          <w:kern w:val="0"/>
          <w:szCs w:val="21"/>
        </w:rPr>
        <w:t>，</w:t>
      </w:r>
      <w:proofErr w:type="gramStart"/>
      <w:r w:rsidRPr="00AA6F17">
        <w:rPr>
          <w:rFonts w:ascii="楷体" w:eastAsia="楷体" w:hAnsi="楷体" w:cs="宋体" w:hint="eastAsia"/>
          <w:kern w:val="0"/>
          <w:szCs w:val="21"/>
        </w:rPr>
        <w:t>年化476万户</w:t>
      </w:r>
      <w:proofErr w:type="gramEnd"/>
      <w:r w:rsidRPr="00AA6F17">
        <w:rPr>
          <w:rFonts w:ascii="楷体" w:eastAsia="楷体" w:hAnsi="楷体" w:cs="宋体" w:hint="eastAsia"/>
          <w:kern w:val="0"/>
          <w:szCs w:val="21"/>
        </w:rPr>
        <w:t>，</w:t>
      </w:r>
      <w:r w:rsidRPr="00AA6F17">
        <w:rPr>
          <w:rFonts w:ascii="楷体" w:eastAsia="楷体" w:hAnsi="楷体" w:cs="宋体"/>
          <w:kern w:val="0"/>
          <w:szCs w:val="21"/>
        </w:rPr>
        <w:t>继</w:t>
      </w:r>
      <w:r w:rsidRPr="00AA6F17">
        <w:rPr>
          <w:rFonts w:ascii="楷体" w:eastAsia="楷体" w:hAnsi="楷体" w:cs="宋体" w:hint="eastAsia"/>
          <w:kern w:val="0"/>
          <w:szCs w:val="21"/>
        </w:rPr>
        <w:t>10月份</w:t>
      </w:r>
      <w:r w:rsidRPr="00AA6F17">
        <w:rPr>
          <w:rFonts w:ascii="楷体" w:eastAsia="楷体" w:hAnsi="楷体" w:cs="宋体"/>
          <w:kern w:val="0"/>
          <w:szCs w:val="21"/>
        </w:rPr>
        <w:t>环比下跌</w:t>
      </w:r>
      <w:r w:rsidRPr="00AA6F17">
        <w:rPr>
          <w:rFonts w:ascii="楷体" w:eastAsia="楷体" w:hAnsi="楷体" w:cs="宋体" w:hint="eastAsia"/>
          <w:kern w:val="0"/>
          <w:szCs w:val="21"/>
        </w:rPr>
        <w:t>3.4</w:t>
      </w:r>
      <w:r w:rsidRPr="00AA6F17">
        <w:rPr>
          <w:rFonts w:ascii="楷体" w:eastAsia="楷体" w:hAnsi="楷体" w:cs="宋体"/>
          <w:kern w:val="0"/>
          <w:szCs w:val="21"/>
        </w:rPr>
        <w:t>%之后</w:t>
      </w:r>
      <w:r w:rsidRPr="00AA6F17">
        <w:rPr>
          <w:rFonts w:ascii="楷体" w:eastAsia="楷体" w:hAnsi="楷体" w:cs="宋体" w:hint="eastAsia"/>
          <w:kern w:val="0"/>
          <w:szCs w:val="21"/>
        </w:rPr>
        <w:t>再次</w:t>
      </w:r>
      <w:r w:rsidRPr="00AA6F17">
        <w:rPr>
          <w:rFonts w:ascii="楷体" w:eastAsia="楷体" w:hAnsi="楷体" w:cs="宋体"/>
          <w:kern w:val="0"/>
          <w:szCs w:val="21"/>
        </w:rPr>
        <w:t>走低</w:t>
      </w:r>
      <w:r w:rsidRPr="00AA6F17">
        <w:rPr>
          <w:rFonts w:ascii="楷体" w:eastAsia="楷体" w:hAnsi="楷体" w:cs="宋体" w:hint="eastAsia"/>
          <w:kern w:val="0"/>
          <w:szCs w:val="21"/>
        </w:rPr>
        <w:t>，创2010年7月以来最大单月降幅。</w:t>
      </w:r>
    </w:p>
    <w:p w:rsidR="00F73995" w:rsidRPr="00AA6F17" w:rsidRDefault="005A7782" w:rsidP="00732C2D">
      <w:pPr>
        <w:spacing w:beforeLines="50" w:before="156"/>
        <w:ind w:leftChars="1350" w:left="2835" w:firstLineChars="202" w:firstLine="424"/>
        <w:rPr>
          <w:rFonts w:ascii="楷体" w:eastAsia="楷体" w:hAnsi="楷体" w:cs="宋体"/>
          <w:kern w:val="0"/>
          <w:szCs w:val="21"/>
        </w:rPr>
      </w:pPr>
      <w:r w:rsidRPr="00AA6F17">
        <w:rPr>
          <w:rFonts w:ascii="楷体" w:eastAsia="楷体" w:hAnsi="楷体" w:cs="宋体" w:hint="eastAsia"/>
          <w:kern w:val="0"/>
          <w:szCs w:val="21"/>
        </w:rPr>
        <w:t>11月数据显示中国经济回暖迹象</w:t>
      </w:r>
      <w:r w:rsidRPr="00AA6F17">
        <w:rPr>
          <w:rFonts w:ascii="楷体" w:eastAsia="楷体" w:hAnsi="楷体" w:cs="宋体"/>
          <w:kern w:val="0"/>
          <w:szCs w:val="21"/>
        </w:rPr>
        <w:t>初显</w:t>
      </w:r>
      <w:r w:rsidRPr="00AA6F17">
        <w:rPr>
          <w:rFonts w:ascii="楷体" w:eastAsia="楷体" w:hAnsi="楷体" w:cs="宋体" w:hint="eastAsia"/>
          <w:kern w:val="0"/>
          <w:szCs w:val="21"/>
        </w:rPr>
        <w:t>。本月1日统计局的数据显示，PMI为49.6，比上月回落0.2个百分点。其中，大型企业PMI为51.2%，比上月上升0.2个百分点;中、小型企业PMI为48.3%和44.8%，分别比上月下降0.4和1.8个百分点。</w:t>
      </w:r>
      <w:r w:rsidRPr="00AA6F17">
        <w:rPr>
          <w:rFonts w:ascii="楷体" w:eastAsia="楷体" w:hAnsi="楷体" w:cs="宋体"/>
          <w:kern w:val="0"/>
          <w:szCs w:val="21"/>
        </w:rPr>
        <w:t>12</w:t>
      </w:r>
      <w:r w:rsidRPr="00AA6F17">
        <w:rPr>
          <w:rFonts w:ascii="楷体" w:eastAsia="楷体" w:hAnsi="楷体" w:cs="宋体" w:hint="eastAsia"/>
          <w:kern w:val="0"/>
          <w:szCs w:val="21"/>
        </w:rPr>
        <w:t>日统计局的数据显示，1-</w:t>
      </w:r>
      <w:r w:rsidRPr="00AA6F17">
        <w:rPr>
          <w:rFonts w:ascii="楷体" w:eastAsia="楷体" w:hAnsi="楷体" w:cs="宋体"/>
          <w:kern w:val="0"/>
          <w:szCs w:val="21"/>
        </w:rPr>
        <w:t>11</w:t>
      </w:r>
      <w:r w:rsidRPr="00AA6F17">
        <w:rPr>
          <w:rFonts w:ascii="楷体" w:eastAsia="楷体" w:hAnsi="楷体" w:cs="宋体" w:hint="eastAsia"/>
          <w:kern w:val="0"/>
          <w:szCs w:val="21"/>
        </w:rPr>
        <w:t>月社会消费品零售总额</w:t>
      </w:r>
      <w:r w:rsidRPr="00AA6F17">
        <w:rPr>
          <w:rFonts w:ascii="楷体" w:eastAsia="楷体" w:hAnsi="楷体" w:cs="宋体"/>
          <w:kern w:val="0"/>
          <w:szCs w:val="21"/>
        </w:rPr>
        <w:t>27937</w:t>
      </w:r>
      <w:r w:rsidRPr="00AA6F17">
        <w:rPr>
          <w:rFonts w:ascii="楷体" w:eastAsia="楷体" w:hAnsi="楷体" w:cs="宋体" w:hint="eastAsia"/>
          <w:kern w:val="0"/>
          <w:szCs w:val="21"/>
        </w:rPr>
        <w:t>亿元，同比增长</w:t>
      </w:r>
      <w:r w:rsidRPr="00AA6F17">
        <w:rPr>
          <w:rFonts w:ascii="楷体" w:eastAsia="楷体" w:hAnsi="楷体" w:cs="宋体"/>
          <w:kern w:val="0"/>
          <w:szCs w:val="21"/>
        </w:rPr>
        <w:t>11.2</w:t>
      </w:r>
      <w:r w:rsidRPr="00AA6F17">
        <w:rPr>
          <w:rFonts w:ascii="楷体" w:eastAsia="楷体" w:hAnsi="楷体" w:cs="宋体" w:hint="eastAsia"/>
          <w:kern w:val="0"/>
          <w:szCs w:val="21"/>
        </w:rPr>
        <w:t>%，</w:t>
      </w:r>
      <w:r w:rsidRPr="00AA6F17">
        <w:rPr>
          <w:rFonts w:ascii="楷体" w:eastAsia="楷体" w:hAnsi="楷体" w:cs="宋体"/>
          <w:kern w:val="0"/>
          <w:szCs w:val="21"/>
        </w:rPr>
        <w:t>连续</w:t>
      </w:r>
      <w:r w:rsidRPr="00AA6F17">
        <w:rPr>
          <w:rFonts w:ascii="楷体" w:eastAsia="楷体" w:hAnsi="楷体" w:cs="宋体" w:hint="eastAsia"/>
          <w:kern w:val="0"/>
          <w:szCs w:val="21"/>
        </w:rPr>
        <w:t>4个月</w:t>
      </w:r>
      <w:r w:rsidRPr="00AA6F17">
        <w:rPr>
          <w:rFonts w:ascii="楷体" w:eastAsia="楷体" w:hAnsi="楷体" w:cs="宋体"/>
          <w:kern w:val="0"/>
          <w:szCs w:val="21"/>
        </w:rPr>
        <w:t>缓慢增长</w:t>
      </w:r>
      <w:r w:rsidRPr="00AA6F17">
        <w:rPr>
          <w:rFonts w:ascii="楷体" w:eastAsia="楷体" w:hAnsi="楷体" w:cs="宋体" w:hint="eastAsia"/>
          <w:kern w:val="0"/>
          <w:szCs w:val="21"/>
        </w:rPr>
        <w:t>；1-</w:t>
      </w:r>
      <w:r w:rsidRPr="00AA6F17">
        <w:rPr>
          <w:rFonts w:ascii="楷体" w:eastAsia="楷体" w:hAnsi="楷体" w:cs="宋体"/>
          <w:kern w:val="0"/>
          <w:szCs w:val="21"/>
        </w:rPr>
        <w:t>11</w:t>
      </w:r>
      <w:r w:rsidRPr="00AA6F17">
        <w:rPr>
          <w:rFonts w:ascii="楷体" w:eastAsia="楷体" w:hAnsi="楷体" w:cs="宋体" w:hint="eastAsia"/>
          <w:kern w:val="0"/>
          <w:szCs w:val="21"/>
        </w:rPr>
        <w:t>月份全国房地产开发投资</w:t>
      </w:r>
      <w:r w:rsidRPr="00AA6F17">
        <w:rPr>
          <w:rFonts w:ascii="楷体" w:eastAsia="楷体" w:hAnsi="楷体" w:cs="宋体"/>
          <w:kern w:val="0"/>
          <w:szCs w:val="21"/>
        </w:rPr>
        <w:t>87702</w:t>
      </w:r>
      <w:r w:rsidRPr="00AA6F17">
        <w:rPr>
          <w:rFonts w:ascii="楷体" w:eastAsia="楷体" w:hAnsi="楷体" w:cs="宋体" w:hint="eastAsia"/>
          <w:kern w:val="0"/>
          <w:szCs w:val="21"/>
        </w:rPr>
        <w:t>亿元，同比名义增长</w:t>
      </w:r>
      <w:r w:rsidRPr="00AA6F17">
        <w:rPr>
          <w:rFonts w:ascii="楷体" w:eastAsia="楷体" w:hAnsi="楷体" w:cs="宋体"/>
          <w:kern w:val="0"/>
          <w:szCs w:val="21"/>
        </w:rPr>
        <w:t>1.3</w:t>
      </w:r>
      <w:r w:rsidRPr="00AA6F17">
        <w:rPr>
          <w:rFonts w:ascii="楷体" w:eastAsia="楷体" w:hAnsi="楷体" w:cs="宋体" w:hint="eastAsia"/>
          <w:kern w:val="0"/>
          <w:szCs w:val="21"/>
        </w:rPr>
        <w:t>%，</w:t>
      </w:r>
      <w:r w:rsidRPr="00AA6F17">
        <w:rPr>
          <w:rFonts w:ascii="楷体" w:eastAsia="楷体" w:hAnsi="楷体" w:cs="宋体"/>
          <w:kern w:val="0"/>
          <w:szCs w:val="21"/>
        </w:rPr>
        <w:t>延续走低趋势</w:t>
      </w:r>
      <w:r w:rsidRPr="00AA6F17">
        <w:rPr>
          <w:rFonts w:ascii="楷体" w:eastAsia="楷体" w:hAnsi="楷体" w:cs="宋体" w:hint="eastAsia"/>
          <w:kern w:val="0"/>
          <w:szCs w:val="21"/>
        </w:rPr>
        <w:t>；1-</w:t>
      </w:r>
      <w:r w:rsidRPr="00AA6F17">
        <w:rPr>
          <w:rFonts w:ascii="楷体" w:eastAsia="楷体" w:hAnsi="楷体" w:cs="宋体"/>
          <w:kern w:val="0"/>
          <w:szCs w:val="21"/>
        </w:rPr>
        <w:t>11</w:t>
      </w:r>
      <w:r w:rsidRPr="00AA6F17">
        <w:rPr>
          <w:rFonts w:ascii="楷体" w:eastAsia="楷体" w:hAnsi="楷体" w:cs="宋体" w:hint="eastAsia"/>
          <w:kern w:val="0"/>
          <w:szCs w:val="21"/>
        </w:rPr>
        <w:t>月全国固定资产投资（不含农户）</w:t>
      </w:r>
      <w:r w:rsidRPr="00AA6F17">
        <w:rPr>
          <w:rFonts w:ascii="楷体" w:eastAsia="楷体" w:hAnsi="楷体" w:cs="宋体"/>
          <w:kern w:val="0"/>
          <w:szCs w:val="21"/>
        </w:rPr>
        <w:t>497182</w:t>
      </w:r>
      <w:r w:rsidRPr="00AA6F17">
        <w:rPr>
          <w:rFonts w:ascii="楷体" w:eastAsia="楷体" w:hAnsi="楷体" w:cs="宋体" w:hint="eastAsia"/>
          <w:kern w:val="0"/>
          <w:szCs w:val="21"/>
        </w:rPr>
        <w:t>亿元，同比名义增长10.</w:t>
      </w:r>
      <w:r w:rsidRPr="00AA6F17">
        <w:rPr>
          <w:rFonts w:ascii="楷体" w:eastAsia="楷体" w:hAnsi="楷体" w:cs="宋体"/>
          <w:kern w:val="0"/>
          <w:szCs w:val="21"/>
        </w:rPr>
        <w:t>2</w:t>
      </w:r>
      <w:r w:rsidRPr="00AA6F17">
        <w:rPr>
          <w:rFonts w:ascii="楷体" w:eastAsia="楷体" w:hAnsi="楷体" w:cs="宋体" w:hint="eastAsia"/>
          <w:kern w:val="0"/>
          <w:szCs w:val="21"/>
        </w:rPr>
        <w:t>%；</w:t>
      </w:r>
      <w:r w:rsidRPr="00AA6F17">
        <w:rPr>
          <w:rFonts w:ascii="楷体" w:eastAsia="楷体" w:hAnsi="楷体" w:cs="宋体"/>
          <w:kern w:val="0"/>
          <w:szCs w:val="21"/>
        </w:rPr>
        <w:t>11</w:t>
      </w:r>
      <w:r w:rsidRPr="00AA6F17">
        <w:rPr>
          <w:rFonts w:ascii="楷体" w:eastAsia="楷体" w:hAnsi="楷体" w:cs="宋体" w:hint="eastAsia"/>
          <w:kern w:val="0"/>
          <w:szCs w:val="21"/>
        </w:rPr>
        <w:t>月规模以上工业增加值同比实际增长</w:t>
      </w:r>
      <w:r w:rsidRPr="00AA6F17">
        <w:rPr>
          <w:rFonts w:ascii="楷体" w:eastAsia="楷体" w:hAnsi="楷体" w:cs="宋体"/>
          <w:kern w:val="0"/>
          <w:szCs w:val="21"/>
        </w:rPr>
        <w:t>6.2</w:t>
      </w:r>
      <w:r w:rsidRPr="00AA6F17">
        <w:rPr>
          <w:rFonts w:ascii="楷体" w:eastAsia="楷体" w:hAnsi="楷体" w:cs="宋体" w:hint="eastAsia"/>
          <w:kern w:val="0"/>
          <w:szCs w:val="21"/>
        </w:rPr>
        <w:t>%；27日统计局的数据显示，1-</w:t>
      </w:r>
      <w:r w:rsidRPr="00AA6F17">
        <w:rPr>
          <w:rFonts w:ascii="楷体" w:eastAsia="楷体" w:hAnsi="楷体" w:cs="宋体"/>
          <w:kern w:val="0"/>
          <w:szCs w:val="21"/>
        </w:rPr>
        <w:t>11</w:t>
      </w:r>
      <w:r w:rsidRPr="00AA6F17">
        <w:rPr>
          <w:rFonts w:ascii="楷体" w:eastAsia="楷体" w:hAnsi="楷体" w:cs="宋体" w:hint="eastAsia"/>
          <w:kern w:val="0"/>
          <w:szCs w:val="21"/>
        </w:rPr>
        <w:t>月规模以上工业企业利润总额</w:t>
      </w:r>
      <w:r w:rsidRPr="00AA6F17">
        <w:rPr>
          <w:rFonts w:ascii="楷体" w:eastAsia="楷体" w:hAnsi="楷体" w:cs="宋体"/>
          <w:kern w:val="0"/>
          <w:szCs w:val="21"/>
        </w:rPr>
        <w:t>55386.8</w:t>
      </w:r>
      <w:r w:rsidRPr="00AA6F17">
        <w:rPr>
          <w:rFonts w:ascii="楷体" w:eastAsia="楷体" w:hAnsi="楷体" w:cs="宋体" w:hint="eastAsia"/>
          <w:kern w:val="0"/>
          <w:szCs w:val="21"/>
        </w:rPr>
        <w:t>亿元，同比降1.</w:t>
      </w:r>
      <w:r w:rsidRPr="00AA6F17">
        <w:rPr>
          <w:rFonts w:ascii="楷体" w:eastAsia="楷体" w:hAnsi="楷体" w:cs="宋体"/>
          <w:kern w:val="0"/>
          <w:szCs w:val="21"/>
        </w:rPr>
        <w:t>9</w:t>
      </w:r>
      <w:r w:rsidRPr="00AA6F17">
        <w:rPr>
          <w:rFonts w:ascii="楷体" w:eastAsia="楷体" w:hAnsi="楷体" w:cs="宋体" w:hint="eastAsia"/>
          <w:kern w:val="0"/>
          <w:szCs w:val="21"/>
        </w:rPr>
        <w:t>%，</w:t>
      </w:r>
      <w:r w:rsidRPr="00AA6F17">
        <w:rPr>
          <w:rFonts w:ascii="楷体" w:eastAsia="楷体" w:hAnsi="楷体" w:cs="宋体"/>
          <w:kern w:val="0"/>
          <w:szCs w:val="21"/>
        </w:rPr>
        <w:t>降幅有所收窄。</w:t>
      </w:r>
    </w:p>
    <w:p w:rsidR="00F73995" w:rsidRPr="00AA6F17" w:rsidRDefault="00F73995" w:rsidP="00732C2D">
      <w:pPr>
        <w:spacing w:beforeLines="50" w:before="156" w:afterLines="50" w:after="156"/>
        <w:ind w:leftChars="1350" w:left="2835" w:firstLineChars="202" w:firstLine="568"/>
        <w:rPr>
          <w:rFonts w:ascii="楷体" w:eastAsia="楷体" w:hAnsi="楷体" w:cs="宋体-18030"/>
          <w:b/>
          <w:bCs/>
          <w:color w:val="000000"/>
          <w:kern w:val="44"/>
          <w:sz w:val="28"/>
          <w:szCs w:val="28"/>
        </w:rPr>
      </w:pPr>
      <w:r w:rsidRPr="00AA6F17">
        <w:rPr>
          <w:rFonts w:ascii="楷体" w:eastAsia="楷体" w:hAnsi="楷体" w:cs="宋体-18030" w:hint="eastAsia"/>
          <w:b/>
          <w:bCs/>
          <w:color w:val="000000"/>
          <w:kern w:val="44"/>
          <w:sz w:val="28"/>
          <w:szCs w:val="28"/>
        </w:rPr>
        <w:t>三、组合业绩回顾</w:t>
      </w:r>
    </w:p>
    <w:p w:rsidR="009946B2" w:rsidRDefault="00F73995" w:rsidP="00F73995">
      <w:pPr>
        <w:ind w:leftChars="1350" w:left="2835" w:firstLine="420"/>
        <w:rPr>
          <w:rFonts w:ascii="楷体" w:eastAsia="楷体" w:hAnsi="楷体"/>
          <w:noProof/>
          <w:color w:val="000000"/>
        </w:rPr>
      </w:pPr>
      <w:r w:rsidRPr="00AA6F17">
        <w:rPr>
          <w:rFonts w:ascii="楷体" w:eastAsia="楷体" w:hAnsi="楷体" w:hint="eastAsia"/>
          <w:noProof/>
          <w:color w:val="000000"/>
        </w:rPr>
        <w:t>自2011年2月以来，截至2015年</w:t>
      </w:r>
      <w:r w:rsidR="00B4523D" w:rsidRPr="00AA6F17">
        <w:rPr>
          <w:rFonts w:ascii="楷体" w:eastAsia="楷体" w:hAnsi="楷体"/>
          <w:noProof/>
          <w:color w:val="000000"/>
        </w:rPr>
        <w:t>1</w:t>
      </w:r>
      <w:r w:rsidR="005A7782" w:rsidRPr="00AA6F17">
        <w:rPr>
          <w:rFonts w:ascii="楷体" w:eastAsia="楷体" w:hAnsi="楷体"/>
          <w:noProof/>
          <w:color w:val="000000"/>
        </w:rPr>
        <w:t>2</w:t>
      </w:r>
      <w:r w:rsidR="00B4523D" w:rsidRPr="00AA6F17">
        <w:rPr>
          <w:rFonts w:ascii="楷体" w:eastAsia="楷体" w:hAnsi="楷体"/>
          <w:noProof/>
          <w:color w:val="000000"/>
        </w:rPr>
        <w:t>月2</w:t>
      </w:r>
      <w:r w:rsidR="005A7782" w:rsidRPr="00AA6F17">
        <w:rPr>
          <w:rFonts w:ascii="楷体" w:eastAsia="楷体" w:hAnsi="楷体"/>
          <w:noProof/>
          <w:color w:val="000000"/>
        </w:rPr>
        <w:t>5</w:t>
      </w:r>
      <w:r w:rsidR="00B4523D" w:rsidRPr="00AA6F17">
        <w:rPr>
          <w:rFonts w:ascii="楷体" w:eastAsia="楷体" w:hAnsi="楷体"/>
          <w:noProof/>
          <w:color w:val="000000"/>
        </w:rPr>
        <w:t>日</w:t>
      </w:r>
      <w:r w:rsidRPr="00AA6F17">
        <w:rPr>
          <w:rFonts w:ascii="楷体" w:eastAsia="楷体" w:hAnsi="楷体" w:hint="eastAsia"/>
          <w:noProof/>
          <w:color w:val="000000"/>
        </w:rPr>
        <w:t>上证综指上涨</w:t>
      </w:r>
      <w:r w:rsidR="00C9769B" w:rsidRPr="00AA6F17">
        <w:rPr>
          <w:rFonts w:ascii="楷体" w:eastAsia="楷体" w:hAnsi="楷体"/>
          <w:noProof/>
          <w:color w:val="000000"/>
        </w:rPr>
        <w:t>35.29</w:t>
      </w:r>
      <w:r w:rsidRPr="00AA6F17">
        <w:rPr>
          <w:rFonts w:ascii="楷体" w:eastAsia="楷体" w:hAnsi="楷体" w:hint="eastAsia"/>
          <w:noProof/>
          <w:color w:val="000000"/>
        </w:rPr>
        <w:t>%、深成指</w:t>
      </w:r>
      <w:r w:rsidR="00C9769B" w:rsidRPr="00AA6F17">
        <w:rPr>
          <w:rFonts w:ascii="楷体" w:eastAsia="楷体" w:hAnsi="楷体" w:hint="eastAsia"/>
          <w:noProof/>
          <w:color w:val="000000"/>
        </w:rPr>
        <w:t>上涨</w:t>
      </w:r>
      <w:r w:rsidR="00C9769B" w:rsidRPr="00AA6F17">
        <w:rPr>
          <w:rFonts w:ascii="楷体" w:eastAsia="楷体" w:hAnsi="楷体"/>
          <w:noProof/>
          <w:color w:val="000000"/>
        </w:rPr>
        <w:t>12.14</w:t>
      </w:r>
      <w:r w:rsidRPr="00AA6F17">
        <w:rPr>
          <w:rFonts w:ascii="楷体" w:eastAsia="楷体" w:hAnsi="楷体" w:hint="eastAsia"/>
          <w:noProof/>
          <w:color w:val="000000"/>
        </w:rPr>
        <w:t>%。上海证券三个风险等级组合全线超越业绩比较基准，实现良好收益。具体来看，积极型、平衡型、稳健型累计分别上涨</w:t>
      </w:r>
      <w:r w:rsidR="00C9769B" w:rsidRPr="00AA6F17">
        <w:rPr>
          <w:rFonts w:ascii="楷体" w:eastAsia="楷体" w:hAnsi="楷体"/>
          <w:b/>
          <w:noProof/>
          <w:color w:val="000000"/>
        </w:rPr>
        <w:t>150.00</w:t>
      </w:r>
      <w:r w:rsidRPr="00AA6F17">
        <w:rPr>
          <w:rFonts w:ascii="楷体" w:eastAsia="楷体" w:hAnsi="楷体"/>
          <w:b/>
          <w:noProof/>
          <w:color w:val="000000"/>
        </w:rPr>
        <w:t>%</w:t>
      </w:r>
      <w:r w:rsidRPr="00AA6F17">
        <w:rPr>
          <w:rFonts w:ascii="楷体" w:eastAsia="楷体" w:hAnsi="楷体" w:hint="eastAsia"/>
          <w:b/>
          <w:noProof/>
          <w:color w:val="000000"/>
        </w:rPr>
        <w:t>、</w:t>
      </w:r>
      <w:r w:rsidR="005D6D80" w:rsidRPr="00AA6F17">
        <w:rPr>
          <w:rFonts w:ascii="楷体" w:eastAsia="楷体" w:hAnsi="楷体"/>
          <w:b/>
          <w:noProof/>
          <w:color w:val="000000"/>
        </w:rPr>
        <w:t>10</w:t>
      </w:r>
      <w:r w:rsidR="003124ED">
        <w:rPr>
          <w:rFonts w:ascii="楷体" w:eastAsia="楷体" w:hAnsi="楷体"/>
          <w:b/>
          <w:noProof/>
          <w:color w:val="000000"/>
        </w:rPr>
        <w:t>9.01</w:t>
      </w:r>
      <w:r w:rsidRPr="00AA6F17">
        <w:rPr>
          <w:rFonts w:ascii="楷体" w:eastAsia="楷体" w:hAnsi="楷体"/>
          <w:b/>
          <w:noProof/>
          <w:color w:val="000000"/>
        </w:rPr>
        <w:t>%</w:t>
      </w:r>
      <w:r w:rsidRPr="00AA6F17">
        <w:rPr>
          <w:rFonts w:ascii="楷体" w:eastAsia="楷体" w:hAnsi="楷体" w:hint="eastAsia"/>
          <w:b/>
          <w:noProof/>
          <w:color w:val="000000"/>
        </w:rPr>
        <w:t>、</w:t>
      </w:r>
      <w:r w:rsidR="007F7CDB" w:rsidRPr="00AA6F17">
        <w:rPr>
          <w:rFonts w:ascii="楷体" w:eastAsia="楷体" w:hAnsi="楷体"/>
          <w:b/>
          <w:noProof/>
          <w:color w:val="000000"/>
        </w:rPr>
        <w:t>27.</w:t>
      </w:r>
      <w:r w:rsidR="00C9769B" w:rsidRPr="00AA6F17">
        <w:rPr>
          <w:rFonts w:ascii="楷体" w:eastAsia="楷体" w:hAnsi="楷体"/>
          <w:b/>
          <w:noProof/>
          <w:color w:val="000000"/>
        </w:rPr>
        <w:t>93</w:t>
      </w:r>
      <w:r w:rsidRPr="00AA6F17">
        <w:rPr>
          <w:rFonts w:ascii="楷体" w:eastAsia="楷体" w:hAnsi="楷体"/>
          <w:b/>
          <w:noProof/>
          <w:color w:val="000000"/>
        </w:rPr>
        <w:t>%</w:t>
      </w:r>
      <w:r w:rsidRPr="00AA6F17">
        <w:rPr>
          <w:rFonts w:ascii="楷体" w:eastAsia="楷体" w:hAnsi="楷体" w:hint="eastAsia"/>
          <w:noProof/>
          <w:color w:val="000000"/>
        </w:rPr>
        <w:t>，分别超越相应基准</w:t>
      </w:r>
      <w:r w:rsidR="00C9769B" w:rsidRPr="00AA6F17">
        <w:rPr>
          <w:rFonts w:ascii="楷体" w:eastAsia="楷体" w:hAnsi="楷体"/>
          <w:b/>
          <w:noProof/>
          <w:color w:val="000000"/>
        </w:rPr>
        <w:t>80.12</w:t>
      </w:r>
      <w:r w:rsidRPr="00AA6F17">
        <w:rPr>
          <w:rFonts w:ascii="楷体" w:eastAsia="楷体" w:hAnsi="楷体" w:hint="eastAsia"/>
          <w:b/>
          <w:noProof/>
          <w:color w:val="000000"/>
        </w:rPr>
        <w:t>、</w:t>
      </w:r>
      <w:r w:rsidR="003124ED">
        <w:rPr>
          <w:rFonts w:ascii="楷体" w:eastAsia="楷体" w:hAnsi="楷体"/>
          <w:b/>
          <w:noProof/>
          <w:color w:val="000000"/>
        </w:rPr>
        <w:t>50.82</w:t>
      </w:r>
      <w:r w:rsidRPr="00AA6F17">
        <w:rPr>
          <w:rFonts w:ascii="楷体" w:eastAsia="楷体" w:hAnsi="楷体" w:hint="eastAsia"/>
          <w:b/>
          <w:noProof/>
          <w:color w:val="000000"/>
        </w:rPr>
        <w:t>、</w:t>
      </w:r>
      <w:r w:rsidR="007F7CDB" w:rsidRPr="00AA6F17">
        <w:rPr>
          <w:rFonts w:ascii="楷体" w:eastAsia="楷体" w:hAnsi="楷体"/>
          <w:b/>
          <w:noProof/>
          <w:color w:val="000000"/>
        </w:rPr>
        <w:t>13.</w:t>
      </w:r>
      <w:r w:rsidR="00C9769B" w:rsidRPr="00AA6F17">
        <w:rPr>
          <w:rFonts w:ascii="楷体" w:eastAsia="楷体" w:hAnsi="楷体"/>
          <w:b/>
          <w:noProof/>
          <w:color w:val="000000"/>
        </w:rPr>
        <w:t>3</w:t>
      </w:r>
      <w:r w:rsidR="005D6D80" w:rsidRPr="00AA6F17">
        <w:rPr>
          <w:rFonts w:ascii="楷体" w:eastAsia="楷体" w:hAnsi="楷体"/>
          <w:b/>
          <w:noProof/>
          <w:color w:val="000000"/>
        </w:rPr>
        <w:t>5</w:t>
      </w:r>
      <w:r w:rsidRPr="00AA6F17">
        <w:rPr>
          <w:rFonts w:ascii="楷体" w:eastAsia="楷体" w:hAnsi="楷体" w:hint="eastAsia"/>
          <w:noProof/>
          <w:color w:val="000000"/>
        </w:rPr>
        <w:t>个百分点。2015年</w:t>
      </w:r>
      <w:r w:rsidRPr="00AA6F17">
        <w:rPr>
          <w:rFonts w:ascii="楷体" w:eastAsia="楷体" w:hAnsi="楷体"/>
          <w:noProof/>
          <w:color w:val="000000"/>
        </w:rPr>
        <w:t>1</w:t>
      </w:r>
      <w:r w:rsidR="00C9769B" w:rsidRPr="00AA6F17">
        <w:rPr>
          <w:rFonts w:ascii="楷体" w:eastAsia="楷体" w:hAnsi="楷体"/>
          <w:noProof/>
          <w:color w:val="000000"/>
        </w:rPr>
        <w:t>2</w:t>
      </w:r>
      <w:r w:rsidRPr="00AA6F17">
        <w:rPr>
          <w:rFonts w:ascii="楷体" w:eastAsia="楷体" w:hAnsi="楷体" w:hint="eastAsia"/>
          <w:noProof/>
          <w:color w:val="000000"/>
        </w:rPr>
        <w:t>月，股市</w:t>
      </w:r>
      <w:r w:rsidR="007F7CDB" w:rsidRPr="00AA6F17">
        <w:rPr>
          <w:rFonts w:ascii="楷体" w:eastAsia="楷体" w:hAnsi="楷体" w:hint="eastAsia"/>
          <w:noProof/>
          <w:color w:val="000000"/>
        </w:rPr>
        <w:t>延续上涨势头</w:t>
      </w:r>
      <w:r w:rsidRPr="00AA6F17">
        <w:rPr>
          <w:rFonts w:ascii="楷体" w:eastAsia="楷体" w:hAnsi="楷体" w:hint="eastAsia"/>
          <w:noProof/>
          <w:color w:val="000000"/>
        </w:rPr>
        <w:t>，上海证券旗下基金积极型</w:t>
      </w:r>
      <w:r w:rsidR="00A83F42" w:rsidRPr="00AA6F17">
        <w:rPr>
          <w:rFonts w:ascii="楷体" w:eastAsia="楷体" w:hAnsi="楷体" w:hint="eastAsia"/>
          <w:noProof/>
          <w:color w:val="000000"/>
        </w:rPr>
        <w:t>组合</w:t>
      </w:r>
      <w:r w:rsidRPr="00AA6F17">
        <w:rPr>
          <w:rFonts w:ascii="楷体" w:eastAsia="楷体" w:hAnsi="楷体" w:hint="eastAsia"/>
          <w:noProof/>
          <w:color w:val="000000"/>
        </w:rPr>
        <w:t>上涨</w:t>
      </w:r>
      <w:r w:rsidR="005D6D80" w:rsidRPr="00AA6F17">
        <w:rPr>
          <w:rFonts w:ascii="楷体" w:eastAsia="楷体" w:hAnsi="楷体"/>
          <w:noProof/>
          <w:color w:val="000000"/>
        </w:rPr>
        <w:t>5.</w:t>
      </w:r>
      <w:r w:rsidR="00C9769B" w:rsidRPr="00AA6F17">
        <w:rPr>
          <w:rFonts w:ascii="楷体" w:eastAsia="楷体" w:hAnsi="楷体"/>
          <w:noProof/>
          <w:color w:val="000000"/>
        </w:rPr>
        <w:t>4</w:t>
      </w:r>
      <w:r w:rsidR="005D6D80" w:rsidRPr="00AA6F17">
        <w:rPr>
          <w:rFonts w:ascii="楷体" w:eastAsia="楷体" w:hAnsi="楷体"/>
          <w:noProof/>
          <w:color w:val="000000"/>
        </w:rPr>
        <w:t>6</w:t>
      </w:r>
      <w:r w:rsidRPr="00AA6F17">
        <w:rPr>
          <w:rFonts w:ascii="楷体" w:eastAsia="楷体" w:hAnsi="楷体"/>
          <w:noProof/>
          <w:color w:val="000000"/>
        </w:rPr>
        <w:t>%</w:t>
      </w:r>
      <w:r w:rsidR="00A83F42" w:rsidRPr="00AA6F17">
        <w:rPr>
          <w:rFonts w:ascii="楷体" w:eastAsia="楷体" w:hAnsi="楷体" w:hint="eastAsia"/>
          <w:noProof/>
          <w:color w:val="000000"/>
        </w:rPr>
        <w:t>，</w:t>
      </w:r>
      <w:r w:rsidRPr="00AA6F17">
        <w:rPr>
          <w:rFonts w:ascii="楷体" w:eastAsia="楷体" w:hAnsi="楷体" w:hint="eastAsia"/>
          <w:noProof/>
          <w:color w:val="000000"/>
        </w:rPr>
        <w:t>涨幅不及基准，</w:t>
      </w:r>
      <w:r w:rsidR="00C151A1" w:rsidRPr="00AA6F17">
        <w:rPr>
          <w:rFonts w:ascii="楷体" w:eastAsia="楷体" w:hAnsi="楷体" w:hint="eastAsia"/>
          <w:noProof/>
          <w:color w:val="000000"/>
        </w:rPr>
        <w:t>稍劣</w:t>
      </w:r>
      <w:r w:rsidRPr="00AA6F17">
        <w:rPr>
          <w:rFonts w:ascii="楷体" w:eastAsia="楷体" w:hAnsi="楷体" w:hint="eastAsia"/>
          <w:noProof/>
          <w:color w:val="000000"/>
        </w:rPr>
        <w:t>于同期</w:t>
      </w:r>
      <w:r w:rsidR="00F2431D" w:rsidRPr="00AA6F17">
        <w:rPr>
          <w:rFonts w:ascii="楷体" w:eastAsia="楷体" w:hAnsi="楷体" w:hint="eastAsia"/>
          <w:noProof/>
          <w:color w:val="000000"/>
        </w:rPr>
        <w:t>股票型、</w:t>
      </w:r>
      <w:r w:rsidR="00A83F42" w:rsidRPr="00AA6F17">
        <w:rPr>
          <w:rFonts w:ascii="楷体" w:eastAsia="楷体" w:hAnsi="楷体" w:hint="eastAsia"/>
          <w:noProof/>
          <w:color w:val="000000"/>
        </w:rPr>
        <w:t>但优于</w:t>
      </w:r>
      <w:r w:rsidR="00C151A1" w:rsidRPr="00AA6F17">
        <w:rPr>
          <w:rFonts w:ascii="楷体" w:eastAsia="楷体" w:hAnsi="楷体" w:hint="eastAsia"/>
          <w:noProof/>
          <w:color w:val="000000"/>
        </w:rPr>
        <w:t>混合</w:t>
      </w:r>
      <w:r w:rsidRPr="00AA6F17">
        <w:rPr>
          <w:rFonts w:ascii="楷体" w:eastAsia="楷体" w:hAnsi="楷体" w:hint="eastAsia"/>
          <w:noProof/>
          <w:color w:val="000000"/>
        </w:rPr>
        <w:t>型</w:t>
      </w:r>
      <w:r w:rsidR="00C151A1" w:rsidRPr="00AA6F17">
        <w:rPr>
          <w:rFonts w:ascii="楷体" w:eastAsia="楷体" w:hAnsi="楷体" w:hint="eastAsia"/>
          <w:noProof/>
          <w:color w:val="000000"/>
        </w:rPr>
        <w:t>基金</w:t>
      </w:r>
      <w:r w:rsidRPr="00AA6F17">
        <w:rPr>
          <w:rFonts w:ascii="楷体" w:eastAsia="楷体" w:hAnsi="楷体" w:hint="eastAsia"/>
          <w:noProof/>
          <w:color w:val="000000"/>
        </w:rPr>
        <w:t>的整体表现，</w:t>
      </w:r>
      <w:r w:rsidR="00C151A1" w:rsidRPr="00AA6F17">
        <w:rPr>
          <w:rFonts w:ascii="楷体" w:eastAsia="楷体" w:hAnsi="楷体" w:hint="eastAsia"/>
          <w:noProof/>
          <w:color w:val="000000"/>
        </w:rPr>
        <w:t>基本与</w:t>
      </w:r>
      <w:r w:rsidRPr="00AA6F17">
        <w:rPr>
          <w:rFonts w:ascii="楷体" w:eastAsia="楷体" w:hAnsi="楷体" w:hint="eastAsia"/>
          <w:noProof/>
          <w:color w:val="000000"/>
        </w:rPr>
        <w:t>同期沪深两市涨幅</w:t>
      </w:r>
      <w:r w:rsidR="00C151A1" w:rsidRPr="00AA6F17">
        <w:rPr>
          <w:rFonts w:ascii="楷体" w:eastAsia="楷体" w:hAnsi="楷体" w:hint="eastAsia"/>
          <w:noProof/>
          <w:color w:val="000000"/>
        </w:rPr>
        <w:t>持平</w:t>
      </w:r>
      <w:r w:rsidR="009946B2">
        <w:rPr>
          <w:rFonts w:ascii="楷体" w:eastAsia="楷体" w:hAnsi="楷体" w:hint="eastAsia"/>
          <w:noProof/>
          <w:color w:val="000000"/>
        </w:rPr>
        <w:t>，</w:t>
      </w:r>
      <w:r w:rsidR="00A83F42" w:rsidRPr="00AA6F17">
        <w:rPr>
          <w:rFonts w:ascii="楷体" w:eastAsia="楷体" w:hAnsi="楷体" w:hint="eastAsia"/>
          <w:noProof/>
          <w:color w:val="000000"/>
        </w:rPr>
        <w:t>平衡型组合涨幅为</w:t>
      </w:r>
      <w:r w:rsidR="003124ED">
        <w:rPr>
          <w:rFonts w:ascii="楷体" w:eastAsia="楷体" w:hAnsi="楷体"/>
          <w:noProof/>
          <w:color w:val="000000"/>
        </w:rPr>
        <w:t>4.10</w:t>
      </w:r>
      <w:r w:rsidR="00A83F42" w:rsidRPr="00AA6F17">
        <w:rPr>
          <w:rFonts w:ascii="楷体" w:eastAsia="楷体" w:hAnsi="楷体"/>
          <w:noProof/>
          <w:color w:val="000000"/>
        </w:rPr>
        <w:t>%</w:t>
      </w:r>
      <w:r w:rsidR="00A83F42" w:rsidRPr="00AA6F17">
        <w:rPr>
          <w:rFonts w:ascii="楷体" w:eastAsia="楷体" w:hAnsi="楷体" w:hint="eastAsia"/>
          <w:noProof/>
          <w:color w:val="000000"/>
        </w:rPr>
        <w:t>。</w:t>
      </w:r>
    </w:p>
    <w:p w:rsidR="009946B2" w:rsidRDefault="009946B2">
      <w:pPr>
        <w:widowControl/>
        <w:jc w:val="left"/>
        <w:rPr>
          <w:rFonts w:ascii="楷体" w:eastAsia="楷体" w:hAnsi="楷体"/>
          <w:noProof/>
          <w:color w:val="000000"/>
        </w:rPr>
      </w:pPr>
      <w:r>
        <w:rPr>
          <w:rFonts w:ascii="楷体" w:eastAsia="楷体" w:hAnsi="楷体"/>
          <w:noProof/>
          <w:color w:val="000000"/>
        </w:rPr>
        <w:br w:type="page"/>
      </w:r>
    </w:p>
    <w:p w:rsidR="00F73995" w:rsidRPr="00AA6F17" w:rsidRDefault="00F73995" w:rsidP="001B0FD3">
      <w:pPr>
        <w:jc w:val="left"/>
        <w:rPr>
          <w:rFonts w:ascii="楷体" w:eastAsia="楷体" w:hAnsi="楷体"/>
          <w:b/>
          <w:color w:val="000000"/>
          <w:sz w:val="18"/>
          <w:szCs w:val="18"/>
        </w:rPr>
      </w:pPr>
      <w:r w:rsidRPr="00AA6F17">
        <w:rPr>
          <w:rFonts w:ascii="楷体" w:eastAsia="楷体" w:hAnsi="楷体" w:hint="eastAsia"/>
          <w:b/>
          <w:color w:val="000000"/>
          <w:sz w:val="18"/>
          <w:szCs w:val="18"/>
        </w:rPr>
        <w:lastRenderedPageBreak/>
        <w:t>表</w:t>
      </w:r>
      <w:r w:rsidR="007F7CDB" w:rsidRPr="00AA6F17">
        <w:rPr>
          <w:rFonts w:ascii="楷体" w:eastAsia="楷体" w:hAnsi="楷体"/>
          <w:b/>
          <w:color w:val="000000"/>
          <w:sz w:val="18"/>
          <w:szCs w:val="18"/>
        </w:rPr>
        <w:t>4</w:t>
      </w:r>
      <w:r w:rsidRPr="00AA6F17">
        <w:rPr>
          <w:rFonts w:ascii="楷体" w:eastAsia="楷体" w:hAnsi="楷体" w:hint="eastAsia"/>
          <w:b/>
          <w:color w:val="000000"/>
          <w:sz w:val="18"/>
          <w:szCs w:val="18"/>
        </w:rPr>
        <w:t xml:space="preserve"> 组合业绩回顾</w:t>
      </w:r>
    </w:p>
    <w:tbl>
      <w:tblPr>
        <w:tblW w:w="9860" w:type="dxa"/>
        <w:tblInd w:w="-147" w:type="dxa"/>
        <w:tblLook w:val="04A0" w:firstRow="1" w:lastRow="0" w:firstColumn="1" w:lastColumn="0" w:noHBand="0" w:noVBand="1"/>
      </w:tblPr>
      <w:tblGrid>
        <w:gridCol w:w="1380"/>
        <w:gridCol w:w="1374"/>
        <w:gridCol w:w="1373"/>
        <w:gridCol w:w="1373"/>
        <w:gridCol w:w="1454"/>
        <w:gridCol w:w="1453"/>
        <w:gridCol w:w="1453"/>
      </w:tblGrid>
      <w:tr w:rsidR="003124ED" w:rsidRPr="003124ED" w:rsidTr="003124ED">
        <w:trPr>
          <w:trHeight w:val="300"/>
        </w:trPr>
        <w:tc>
          <w:tcPr>
            <w:tcW w:w="1380" w:type="dxa"/>
            <w:vMerge w:val="restart"/>
            <w:tcBorders>
              <w:top w:val="single" w:sz="4" w:space="0" w:color="auto"/>
              <w:left w:val="single" w:sz="4" w:space="0" w:color="auto"/>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组合类型</w:t>
            </w:r>
          </w:p>
        </w:tc>
        <w:tc>
          <w:tcPr>
            <w:tcW w:w="4120" w:type="dxa"/>
            <w:gridSpan w:val="3"/>
            <w:tcBorders>
              <w:top w:val="single" w:sz="4" w:space="0" w:color="auto"/>
              <w:left w:val="nil"/>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2015年12月</w:t>
            </w:r>
          </w:p>
        </w:tc>
        <w:tc>
          <w:tcPr>
            <w:tcW w:w="4360" w:type="dxa"/>
            <w:gridSpan w:val="3"/>
            <w:tcBorders>
              <w:top w:val="single" w:sz="4" w:space="0" w:color="auto"/>
              <w:left w:val="nil"/>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组合设立以来</w:t>
            </w:r>
          </w:p>
        </w:tc>
      </w:tr>
      <w:tr w:rsidR="003124ED" w:rsidRPr="003124ED" w:rsidTr="003124ED">
        <w:trPr>
          <w:trHeight w:val="300"/>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3124ED" w:rsidRPr="003124ED" w:rsidRDefault="003124ED" w:rsidP="003124ED">
            <w:pPr>
              <w:widowControl/>
              <w:jc w:val="left"/>
              <w:rPr>
                <w:rFonts w:ascii="楷体" w:eastAsia="楷体" w:hAnsi="楷体" w:cs="宋体"/>
                <w:b/>
                <w:bCs/>
                <w:color w:val="FFFFFF"/>
                <w:kern w:val="0"/>
                <w:sz w:val="22"/>
                <w:szCs w:val="22"/>
              </w:rPr>
            </w:pPr>
          </w:p>
        </w:tc>
        <w:tc>
          <w:tcPr>
            <w:tcW w:w="1374"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组合业绩</w:t>
            </w:r>
          </w:p>
        </w:tc>
        <w:tc>
          <w:tcPr>
            <w:tcW w:w="137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基准业绩</w:t>
            </w:r>
          </w:p>
        </w:tc>
        <w:tc>
          <w:tcPr>
            <w:tcW w:w="137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超越基准</w:t>
            </w:r>
          </w:p>
        </w:tc>
        <w:tc>
          <w:tcPr>
            <w:tcW w:w="1454"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组合业绩</w:t>
            </w:r>
          </w:p>
        </w:tc>
        <w:tc>
          <w:tcPr>
            <w:tcW w:w="145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基准业绩</w:t>
            </w:r>
          </w:p>
        </w:tc>
        <w:tc>
          <w:tcPr>
            <w:tcW w:w="145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超越基准</w:t>
            </w:r>
          </w:p>
        </w:tc>
      </w:tr>
      <w:tr w:rsidR="003124ED" w:rsidRPr="003124ED" w:rsidTr="003124ED">
        <w:trPr>
          <w:trHeight w:val="300"/>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积极型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5.46%</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5.93%</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color w:val="FF0000"/>
                <w:kern w:val="0"/>
                <w:sz w:val="22"/>
                <w:szCs w:val="22"/>
              </w:rPr>
            </w:pPr>
            <w:r w:rsidRPr="003124ED">
              <w:rPr>
                <w:rFonts w:ascii="楷体" w:eastAsia="楷体" w:hAnsi="楷体" w:cs="宋体" w:hint="eastAsia"/>
                <w:b/>
                <w:bCs/>
                <w:i/>
                <w:iCs/>
                <w:color w:val="FF0000"/>
                <w:kern w:val="0"/>
                <w:sz w:val="22"/>
                <w:szCs w:val="22"/>
              </w:rPr>
              <w:t>-0.47%</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150.00%</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69.89%</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80.12%</w:t>
            </w:r>
          </w:p>
        </w:tc>
      </w:tr>
      <w:tr w:rsidR="003124ED" w:rsidRPr="003124ED" w:rsidTr="003124ED">
        <w:trPr>
          <w:trHeight w:val="300"/>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平衡型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4.10%</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3.65%</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0.45%</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109.01%</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58.19%</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50.82%</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稳健型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0.39%</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0.20%</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0.19%</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27.93%</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14.58%</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13.35%</w:t>
            </w:r>
          </w:p>
        </w:tc>
      </w:tr>
      <w:tr w:rsidR="003124ED" w:rsidRPr="003124ED" w:rsidTr="003124ED">
        <w:trPr>
          <w:trHeight w:val="285"/>
        </w:trPr>
        <w:tc>
          <w:tcPr>
            <w:tcW w:w="1380" w:type="dxa"/>
            <w:vMerge w:val="restart"/>
            <w:tcBorders>
              <w:top w:val="nil"/>
              <w:left w:val="single" w:sz="4" w:space="0" w:color="auto"/>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组合类型</w:t>
            </w:r>
          </w:p>
        </w:tc>
        <w:tc>
          <w:tcPr>
            <w:tcW w:w="4120" w:type="dxa"/>
            <w:gridSpan w:val="3"/>
            <w:tcBorders>
              <w:top w:val="single" w:sz="4" w:space="0" w:color="auto"/>
              <w:left w:val="nil"/>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2014年全年</w:t>
            </w:r>
          </w:p>
        </w:tc>
        <w:tc>
          <w:tcPr>
            <w:tcW w:w="4360" w:type="dxa"/>
            <w:gridSpan w:val="3"/>
            <w:tcBorders>
              <w:top w:val="single" w:sz="4" w:space="0" w:color="auto"/>
              <w:left w:val="nil"/>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2013年全年</w:t>
            </w:r>
          </w:p>
        </w:tc>
      </w:tr>
      <w:tr w:rsidR="003124ED" w:rsidRPr="003124ED" w:rsidTr="003124ED">
        <w:trPr>
          <w:trHeight w:val="285"/>
        </w:trPr>
        <w:tc>
          <w:tcPr>
            <w:tcW w:w="1380" w:type="dxa"/>
            <w:vMerge/>
            <w:tcBorders>
              <w:top w:val="nil"/>
              <w:left w:val="single" w:sz="4" w:space="0" w:color="auto"/>
              <w:bottom w:val="single" w:sz="4" w:space="0" w:color="auto"/>
              <w:right w:val="single" w:sz="4" w:space="0" w:color="auto"/>
            </w:tcBorders>
            <w:vAlign w:val="center"/>
            <w:hideMark/>
          </w:tcPr>
          <w:p w:rsidR="003124ED" w:rsidRPr="003124ED" w:rsidRDefault="003124ED" w:rsidP="003124ED">
            <w:pPr>
              <w:widowControl/>
              <w:jc w:val="left"/>
              <w:rPr>
                <w:rFonts w:ascii="楷体" w:eastAsia="楷体" w:hAnsi="楷体" w:cs="宋体"/>
                <w:b/>
                <w:bCs/>
                <w:color w:val="FFFFFF"/>
                <w:kern w:val="0"/>
                <w:sz w:val="22"/>
                <w:szCs w:val="22"/>
              </w:rPr>
            </w:pPr>
          </w:p>
        </w:tc>
        <w:tc>
          <w:tcPr>
            <w:tcW w:w="1374"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组合业绩</w:t>
            </w:r>
          </w:p>
        </w:tc>
        <w:tc>
          <w:tcPr>
            <w:tcW w:w="137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基准业绩</w:t>
            </w:r>
          </w:p>
        </w:tc>
        <w:tc>
          <w:tcPr>
            <w:tcW w:w="137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超越基准</w:t>
            </w:r>
          </w:p>
        </w:tc>
        <w:tc>
          <w:tcPr>
            <w:tcW w:w="1454"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组合业绩</w:t>
            </w:r>
          </w:p>
        </w:tc>
        <w:tc>
          <w:tcPr>
            <w:tcW w:w="145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基准业绩</w:t>
            </w:r>
          </w:p>
        </w:tc>
        <w:tc>
          <w:tcPr>
            <w:tcW w:w="145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超越基准</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积极型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54.94%</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21.76%</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28.08%</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30.22%</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12.99%</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15.93%</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平衡型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30.92%</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20.21%</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9.02%</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9.98%</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8.27%</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1.49%</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稳健型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8.23%</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3.05%</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5.04%</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2.96%</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3.08%</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color w:val="FF0000"/>
                <w:kern w:val="0"/>
                <w:sz w:val="22"/>
                <w:szCs w:val="22"/>
              </w:rPr>
            </w:pPr>
            <w:r w:rsidRPr="003124ED">
              <w:rPr>
                <w:rFonts w:ascii="楷体" w:eastAsia="楷体" w:hAnsi="楷体" w:cs="宋体" w:hint="eastAsia"/>
                <w:b/>
                <w:bCs/>
                <w:i/>
                <w:iCs/>
                <w:color w:val="FF0000"/>
                <w:kern w:val="0"/>
                <w:sz w:val="22"/>
                <w:szCs w:val="22"/>
              </w:rPr>
              <w:t>-0.12%</w:t>
            </w:r>
          </w:p>
        </w:tc>
      </w:tr>
      <w:tr w:rsidR="003124ED" w:rsidRPr="003124ED" w:rsidTr="003124ED">
        <w:trPr>
          <w:trHeight w:val="285"/>
        </w:trPr>
        <w:tc>
          <w:tcPr>
            <w:tcW w:w="1380" w:type="dxa"/>
            <w:vMerge w:val="restart"/>
            <w:tcBorders>
              <w:top w:val="nil"/>
              <w:left w:val="single" w:sz="4" w:space="0" w:color="auto"/>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组合类型</w:t>
            </w:r>
          </w:p>
        </w:tc>
        <w:tc>
          <w:tcPr>
            <w:tcW w:w="4120" w:type="dxa"/>
            <w:gridSpan w:val="3"/>
            <w:tcBorders>
              <w:top w:val="single" w:sz="4" w:space="0" w:color="auto"/>
              <w:left w:val="nil"/>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2012年全年</w:t>
            </w:r>
          </w:p>
        </w:tc>
        <w:tc>
          <w:tcPr>
            <w:tcW w:w="4360" w:type="dxa"/>
            <w:gridSpan w:val="3"/>
            <w:tcBorders>
              <w:top w:val="single" w:sz="4" w:space="0" w:color="auto"/>
              <w:left w:val="nil"/>
              <w:bottom w:val="single" w:sz="4" w:space="0" w:color="auto"/>
              <w:right w:val="single" w:sz="4" w:space="0" w:color="auto"/>
            </w:tcBorders>
            <w:shd w:val="clear" w:color="C0504D" w:fill="C0504D"/>
            <w:noWrap/>
            <w:vAlign w:val="center"/>
            <w:hideMark/>
          </w:tcPr>
          <w:p w:rsidR="003124ED" w:rsidRPr="003124ED" w:rsidRDefault="003124ED" w:rsidP="003124ED">
            <w:pPr>
              <w:widowControl/>
              <w:jc w:val="center"/>
              <w:rPr>
                <w:rFonts w:ascii="楷体" w:eastAsia="楷体" w:hAnsi="楷体" w:cs="宋体"/>
                <w:b/>
                <w:bCs/>
                <w:color w:val="FFFFFF"/>
                <w:kern w:val="0"/>
                <w:sz w:val="22"/>
                <w:szCs w:val="22"/>
              </w:rPr>
            </w:pPr>
            <w:r w:rsidRPr="003124ED">
              <w:rPr>
                <w:rFonts w:ascii="楷体" w:eastAsia="楷体" w:hAnsi="楷体" w:cs="宋体" w:hint="eastAsia"/>
                <w:b/>
                <w:bCs/>
                <w:color w:val="FFFFFF"/>
                <w:kern w:val="0"/>
                <w:sz w:val="22"/>
                <w:szCs w:val="22"/>
              </w:rPr>
              <w:t>2011年2月至2011年12月</w:t>
            </w:r>
          </w:p>
        </w:tc>
      </w:tr>
      <w:tr w:rsidR="003124ED" w:rsidRPr="003124ED" w:rsidTr="003124ED">
        <w:trPr>
          <w:trHeight w:val="285"/>
        </w:trPr>
        <w:tc>
          <w:tcPr>
            <w:tcW w:w="1380" w:type="dxa"/>
            <w:vMerge/>
            <w:tcBorders>
              <w:top w:val="nil"/>
              <w:left w:val="single" w:sz="4" w:space="0" w:color="auto"/>
              <w:bottom w:val="single" w:sz="4" w:space="0" w:color="auto"/>
              <w:right w:val="single" w:sz="4" w:space="0" w:color="auto"/>
            </w:tcBorders>
            <w:vAlign w:val="center"/>
            <w:hideMark/>
          </w:tcPr>
          <w:p w:rsidR="003124ED" w:rsidRPr="003124ED" w:rsidRDefault="003124ED" w:rsidP="003124ED">
            <w:pPr>
              <w:widowControl/>
              <w:jc w:val="left"/>
              <w:rPr>
                <w:rFonts w:ascii="楷体" w:eastAsia="楷体" w:hAnsi="楷体" w:cs="宋体"/>
                <w:b/>
                <w:bCs/>
                <w:color w:val="FFFFFF"/>
                <w:kern w:val="0"/>
                <w:sz w:val="22"/>
                <w:szCs w:val="22"/>
              </w:rPr>
            </w:pPr>
          </w:p>
        </w:tc>
        <w:tc>
          <w:tcPr>
            <w:tcW w:w="1374"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组合业绩</w:t>
            </w:r>
          </w:p>
        </w:tc>
        <w:tc>
          <w:tcPr>
            <w:tcW w:w="137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基准业绩</w:t>
            </w:r>
          </w:p>
        </w:tc>
        <w:tc>
          <w:tcPr>
            <w:tcW w:w="137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超越基准</w:t>
            </w:r>
          </w:p>
        </w:tc>
        <w:tc>
          <w:tcPr>
            <w:tcW w:w="1454"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组合业绩</w:t>
            </w:r>
          </w:p>
        </w:tc>
        <w:tc>
          <w:tcPr>
            <w:tcW w:w="145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基准业绩</w:t>
            </w:r>
          </w:p>
        </w:tc>
        <w:tc>
          <w:tcPr>
            <w:tcW w:w="1453" w:type="dxa"/>
            <w:tcBorders>
              <w:top w:val="nil"/>
              <w:left w:val="nil"/>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超越基准</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积极型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7.57%</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4.95%</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2.43%</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color w:val="FF0000"/>
                <w:kern w:val="0"/>
                <w:sz w:val="22"/>
                <w:szCs w:val="22"/>
              </w:rPr>
            </w:pPr>
            <w:r w:rsidRPr="003124ED">
              <w:rPr>
                <w:rFonts w:ascii="楷体" w:eastAsia="楷体" w:hAnsi="楷体" w:cs="宋体" w:hint="eastAsia"/>
                <w:i/>
                <w:iCs/>
                <w:color w:val="FF0000"/>
                <w:kern w:val="0"/>
                <w:sz w:val="22"/>
                <w:szCs w:val="22"/>
              </w:rPr>
              <w:t>-14.96%</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color w:val="FF0000"/>
                <w:kern w:val="0"/>
                <w:sz w:val="22"/>
                <w:szCs w:val="22"/>
              </w:rPr>
            </w:pPr>
            <w:r w:rsidRPr="003124ED">
              <w:rPr>
                <w:rFonts w:ascii="楷体" w:eastAsia="楷体" w:hAnsi="楷体" w:cs="宋体" w:hint="eastAsia"/>
                <w:i/>
                <w:iCs/>
                <w:color w:val="FF0000"/>
                <w:kern w:val="0"/>
                <w:sz w:val="22"/>
                <w:szCs w:val="22"/>
              </w:rPr>
              <w:t>-19.25%</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4.29%</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平衡型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11.89%</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6.28%</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5.19%</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color w:val="FF0000"/>
                <w:kern w:val="0"/>
                <w:sz w:val="22"/>
                <w:szCs w:val="22"/>
              </w:rPr>
            </w:pPr>
            <w:r w:rsidRPr="003124ED">
              <w:rPr>
                <w:rFonts w:ascii="楷体" w:eastAsia="楷体" w:hAnsi="楷体" w:cs="宋体" w:hint="eastAsia"/>
                <w:i/>
                <w:iCs/>
                <w:color w:val="FF0000"/>
                <w:kern w:val="0"/>
                <w:sz w:val="22"/>
                <w:szCs w:val="22"/>
              </w:rPr>
              <w:t>-6.50%</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color w:val="FF0000"/>
                <w:kern w:val="0"/>
                <w:sz w:val="22"/>
                <w:szCs w:val="22"/>
              </w:rPr>
            </w:pPr>
            <w:r w:rsidRPr="003124ED">
              <w:rPr>
                <w:rFonts w:ascii="楷体" w:eastAsia="楷体" w:hAnsi="楷体" w:cs="宋体" w:hint="eastAsia"/>
                <w:i/>
                <w:iCs/>
                <w:color w:val="FF0000"/>
                <w:kern w:val="0"/>
                <w:sz w:val="22"/>
                <w:szCs w:val="22"/>
              </w:rPr>
              <w:t>-10.95%</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4.45%</w:t>
            </w:r>
          </w:p>
        </w:tc>
      </w:tr>
      <w:tr w:rsidR="003124ED" w:rsidRPr="003124ED" w:rsidTr="003124ED">
        <w:trPr>
          <w:trHeight w:val="285"/>
        </w:trPr>
        <w:tc>
          <w:tcPr>
            <w:tcW w:w="1380" w:type="dxa"/>
            <w:tcBorders>
              <w:top w:val="nil"/>
              <w:left w:val="single" w:sz="4" w:space="0" w:color="auto"/>
              <w:bottom w:val="single" w:sz="4" w:space="0" w:color="auto"/>
              <w:right w:val="single" w:sz="4" w:space="0" w:color="auto"/>
            </w:tcBorders>
            <w:shd w:val="clear" w:color="F2DCDB" w:fill="EEECE1"/>
            <w:noWrap/>
            <w:vAlign w:val="center"/>
            <w:hideMark/>
          </w:tcPr>
          <w:p w:rsidR="003124ED" w:rsidRPr="003124ED" w:rsidRDefault="003124ED" w:rsidP="003124ED">
            <w:pPr>
              <w:widowControl/>
              <w:jc w:val="center"/>
              <w:rPr>
                <w:rFonts w:ascii="楷体" w:eastAsia="楷体" w:hAnsi="楷体" w:cs="宋体"/>
                <w:color w:val="000000"/>
                <w:kern w:val="0"/>
                <w:sz w:val="22"/>
                <w:szCs w:val="22"/>
              </w:rPr>
            </w:pPr>
            <w:r w:rsidRPr="003124ED">
              <w:rPr>
                <w:rFonts w:ascii="楷体" w:eastAsia="楷体" w:hAnsi="楷体" w:cs="宋体" w:hint="eastAsia"/>
                <w:color w:val="000000"/>
                <w:kern w:val="0"/>
                <w:sz w:val="22"/>
                <w:szCs w:val="22"/>
              </w:rPr>
              <w:t>稳健型</w:t>
            </w:r>
          </w:p>
        </w:tc>
        <w:tc>
          <w:tcPr>
            <w:tcW w:w="137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4.70%</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3.34%</w:t>
            </w:r>
          </w:p>
        </w:tc>
        <w:tc>
          <w:tcPr>
            <w:tcW w:w="137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1.32%</w:t>
            </w:r>
          </w:p>
        </w:tc>
        <w:tc>
          <w:tcPr>
            <w:tcW w:w="1454"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3.24%</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i/>
                <w:iCs/>
                <w:kern w:val="0"/>
                <w:sz w:val="22"/>
                <w:szCs w:val="22"/>
              </w:rPr>
            </w:pPr>
            <w:r w:rsidRPr="003124ED">
              <w:rPr>
                <w:rFonts w:ascii="楷体" w:eastAsia="楷体" w:hAnsi="楷体" w:cs="宋体" w:hint="eastAsia"/>
                <w:i/>
                <w:iCs/>
                <w:kern w:val="0"/>
                <w:sz w:val="22"/>
                <w:szCs w:val="22"/>
              </w:rPr>
              <w:t>3.18%</w:t>
            </w:r>
          </w:p>
        </w:tc>
        <w:tc>
          <w:tcPr>
            <w:tcW w:w="1453" w:type="dxa"/>
            <w:tcBorders>
              <w:top w:val="nil"/>
              <w:left w:val="nil"/>
              <w:bottom w:val="single" w:sz="4" w:space="0" w:color="auto"/>
              <w:right w:val="single" w:sz="4" w:space="0" w:color="auto"/>
            </w:tcBorders>
            <w:shd w:val="clear" w:color="auto" w:fill="auto"/>
            <w:noWrap/>
            <w:vAlign w:val="center"/>
            <w:hideMark/>
          </w:tcPr>
          <w:p w:rsidR="003124ED" w:rsidRPr="003124ED" w:rsidRDefault="003124ED" w:rsidP="003124ED">
            <w:pPr>
              <w:widowControl/>
              <w:jc w:val="center"/>
              <w:rPr>
                <w:rFonts w:ascii="楷体" w:eastAsia="楷体" w:hAnsi="楷体" w:cs="宋体"/>
                <w:b/>
                <w:bCs/>
                <w:i/>
                <w:iCs/>
                <w:kern w:val="0"/>
                <w:sz w:val="22"/>
                <w:szCs w:val="22"/>
              </w:rPr>
            </w:pPr>
            <w:r w:rsidRPr="003124ED">
              <w:rPr>
                <w:rFonts w:ascii="楷体" w:eastAsia="楷体" w:hAnsi="楷体" w:cs="宋体" w:hint="eastAsia"/>
                <w:b/>
                <w:bCs/>
                <w:i/>
                <w:iCs/>
                <w:kern w:val="0"/>
                <w:sz w:val="22"/>
                <w:szCs w:val="22"/>
              </w:rPr>
              <w:t>0.06%</w:t>
            </w:r>
          </w:p>
        </w:tc>
      </w:tr>
    </w:tbl>
    <w:p w:rsidR="00F73995" w:rsidRPr="00AA6F17" w:rsidRDefault="00F73995" w:rsidP="00F73995">
      <w:pPr>
        <w:rPr>
          <w:rFonts w:ascii="楷体" w:eastAsia="楷体" w:hAnsi="楷体"/>
          <w:noProof/>
          <w:color w:val="000000"/>
          <w:sz w:val="18"/>
          <w:szCs w:val="18"/>
        </w:rPr>
      </w:pPr>
      <w:r w:rsidRPr="00AA6F17">
        <w:rPr>
          <w:rFonts w:ascii="楷体" w:eastAsia="楷体" w:hAnsi="楷体" w:hint="eastAsia"/>
          <w:noProof/>
          <w:color w:val="000000"/>
          <w:sz w:val="18"/>
          <w:szCs w:val="18"/>
        </w:rPr>
        <w:t>注1：组合于2011年2月1日设立，数据截至2015年</w:t>
      </w:r>
      <w:r w:rsidR="005A7782" w:rsidRPr="00AA6F17">
        <w:rPr>
          <w:rFonts w:ascii="楷体" w:eastAsia="楷体" w:hAnsi="楷体"/>
          <w:noProof/>
          <w:color w:val="000000"/>
          <w:sz w:val="18"/>
          <w:szCs w:val="18"/>
        </w:rPr>
        <w:t>12</w:t>
      </w:r>
      <w:r w:rsidR="00B4523D" w:rsidRPr="00AA6F17">
        <w:rPr>
          <w:rFonts w:ascii="楷体" w:eastAsia="楷体" w:hAnsi="楷体"/>
          <w:noProof/>
          <w:color w:val="000000"/>
          <w:sz w:val="18"/>
          <w:szCs w:val="18"/>
        </w:rPr>
        <w:t>月</w:t>
      </w:r>
      <w:r w:rsidR="005A7782" w:rsidRPr="00AA6F17">
        <w:rPr>
          <w:rFonts w:ascii="楷体" w:eastAsia="楷体" w:hAnsi="楷体"/>
          <w:noProof/>
          <w:color w:val="000000"/>
          <w:sz w:val="18"/>
          <w:szCs w:val="18"/>
        </w:rPr>
        <w:t>25</w:t>
      </w:r>
      <w:r w:rsidR="00B4523D" w:rsidRPr="00AA6F17">
        <w:rPr>
          <w:rFonts w:ascii="楷体" w:eastAsia="楷体" w:hAnsi="楷体"/>
          <w:noProof/>
          <w:color w:val="000000"/>
          <w:sz w:val="18"/>
          <w:szCs w:val="18"/>
        </w:rPr>
        <w:t>日</w:t>
      </w:r>
    </w:p>
    <w:p w:rsidR="00F73995" w:rsidRPr="00AA6F17" w:rsidRDefault="00F73995" w:rsidP="00F73995">
      <w:pPr>
        <w:rPr>
          <w:rFonts w:ascii="楷体" w:eastAsia="楷体" w:hAnsi="楷体"/>
          <w:noProof/>
          <w:color w:val="000000"/>
          <w:sz w:val="18"/>
          <w:szCs w:val="18"/>
        </w:rPr>
      </w:pPr>
      <w:r w:rsidRPr="00AA6F17">
        <w:rPr>
          <w:rFonts w:ascii="楷体" w:eastAsia="楷体" w:hAnsi="楷体" w:hint="eastAsia"/>
          <w:noProof/>
          <w:color w:val="000000"/>
          <w:sz w:val="18"/>
          <w:szCs w:val="18"/>
        </w:rPr>
        <w:t>注2：历史组合及调整情况请联系上海证券</w:t>
      </w:r>
    </w:p>
    <w:p w:rsidR="00964E4F" w:rsidRPr="00AA6F17" w:rsidRDefault="009A18F4" w:rsidP="009A18F4">
      <w:pPr>
        <w:rPr>
          <w:rFonts w:ascii="楷体" w:eastAsia="楷体" w:hAnsi="楷体"/>
          <w:b/>
          <w:noProof/>
          <w:color w:val="000000"/>
          <w:sz w:val="18"/>
          <w:szCs w:val="18"/>
        </w:rPr>
      </w:pPr>
      <w:r w:rsidRPr="00AA6F17">
        <w:rPr>
          <w:rFonts w:ascii="楷体" w:eastAsia="楷体" w:hAnsi="楷体" w:hint="eastAsia"/>
          <w:b/>
          <w:noProof/>
          <w:color w:val="000000"/>
          <w:sz w:val="18"/>
          <w:szCs w:val="18"/>
        </w:rPr>
        <w:t>注3：2015年起，上海证券基金推荐组合中业绩比较基准有所调整</w:t>
      </w:r>
    </w:p>
    <w:p w:rsidR="009A18F4" w:rsidRPr="00AA6F17" w:rsidRDefault="000D6AD3" w:rsidP="009A18F4">
      <w:pPr>
        <w:rPr>
          <w:rFonts w:ascii="楷体" w:eastAsia="楷体" w:hAnsi="楷体"/>
          <w:noProof/>
          <w:sz w:val="18"/>
        </w:rPr>
      </w:pPr>
      <w:r w:rsidRPr="00AA6F17">
        <w:rPr>
          <w:rFonts w:ascii="楷体" w:eastAsia="楷体" w:hAnsi="楷体" w:hint="eastAsia"/>
          <w:noProof/>
          <w:sz w:val="18"/>
        </w:rPr>
        <w:t>积极型组合:</w:t>
      </w:r>
      <w:r w:rsidR="009A18F4" w:rsidRPr="00AA6F17">
        <w:rPr>
          <w:rFonts w:ascii="楷体" w:eastAsia="楷体" w:hAnsi="楷体" w:hint="eastAsia"/>
          <w:noProof/>
          <w:sz w:val="18"/>
        </w:rPr>
        <w:t>中国股基指数60%+中国混基指数40%(</w:t>
      </w:r>
      <w:r w:rsidRPr="00AA6F17">
        <w:rPr>
          <w:rFonts w:ascii="楷体" w:eastAsia="楷体" w:hAnsi="楷体" w:hint="eastAsia"/>
          <w:noProof/>
          <w:sz w:val="18"/>
        </w:rPr>
        <w:t>原基准:</w:t>
      </w:r>
      <w:r w:rsidR="009A18F4" w:rsidRPr="00AA6F17">
        <w:rPr>
          <w:rFonts w:ascii="楷体" w:eastAsia="楷体" w:hAnsi="楷体" w:hint="eastAsia"/>
          <w:noProof/>
          <w:sz w:val="18"/>
        </w:rPr>
        <w:t>主动投资偏股型基金简单平均收益率)；</w:t>
      </w:r>
    </w:p>
    <w:p w:rsidR="009A18F4" w:rsidRPr="00AA6F17" w:rsidRDefault="000D6AD3" w:rsidP="009A18F4">
      <w:pPr>
        <w:rPr>
          <w:rFonts w:ascii="楷体" w:eastAsia="楷体" w:hAnsi="楷体"/>
          <w:noProof/>
          <w:sz w:val="18"/>
        </w:rPr>
      </w:pPr>
      <w:r w:rsidRPr="00AA6F17">
        <w:rPr>
          <w:rFonts w:ascii="楷体" w:eastAsia="楷体" w:hAnsi="楷体" w:hint="eastAsia"/>
          <w:noProof/>
          <w:sz w:val="18"/>
        </w:rPr>
        <w:t>平衡型组合:</w:t>
      </w:r>
      <w:r w:rsidR="009A18F4" w:rsidRPr="00AA6F17">
        <w:rPr>
          <w:rFonts w:ascii="楷体" w:eastAsia="楷体" w:hAnsi="楷体" w:hint="eastAsia"/>
          <w:noProof/>
          <w:sz w:val="18"/>
        </w:rPr>
        <w:t>中国股基指数30%+中国混基指数20%+中国债基指数50%</w:t>
      </w:r>
      <w:r w:rsidRPr="00AA6F17">
        <w:rPr>
          <w:rFonts w:ascii="楷体" w:eastAsia="楷体" w:hAnsi="楷体" w:hint="eastAsia"/>
          <w:noProof/>
          <w:sz w:val="18"/>
        </w:rPr>
        <w:t>（原基准:</w:t>
      </w:r>
      <w:r w:rsidR="009A18F4" w:rsidRPr="00AA6F17">
        <w:rPr>
          <w:rFonts w:ascii="楷体" w:eastAsia="楷体" w:hAnsi="楷体" w:hint="eastAsia"/>
          <w:noProof/>
          <w:sz w:val="18"/>
        </w:rPr>
        <w:t>50%主动投资偏股型基金+50%债券型基金）；</w:t>
      </w:r>
    </w:p>
    <w:p w:rsidR="009A18F4" w:rsidRPr="00AA6F17" w:rsidRDefault="000D6AD3" w:rsidP="009A18F4">
      <w:pPr>
        <w:rPr>
          <w:rFonts w:ascii="楷体" w:eastAsia="楷体" w:hAnsi="楷体"/>
          <w:noProof/>
          <w:sz w:val="18"/>
        </w:rPr>
      </w:pPr>
      <w:r w:rsidRPr="00AA6F17">
        <w:rPr>
          <w:rFonts w:ascii="楷体" w:eastAsia="楷体" w:hAnsi="楷体" w:hint="eastAsia"/>
          <w:noProof/>
          <w:sz w:val="18"/>
        </w:rPr>
        <w:t>稳健型组合:</w:t>
      </w:r>
      <w:r w:rsidR="003A4597" w:rsidRPr="00AA6F17">
        <w:rPr>
          <w:rFonts w:ascii="楷体" w:eastAsia="楷体" w:hAnsi="楷体" w:hint="eastAsia"/>
          <w:noProof/>
          <w:sz w:val="18"/>
        </w:rPr>
        <w:t>国证货币基金指数(</w:t>
      </w:r>
      <w:r w:rsidRPr="00AA6F17">
        <w:rPr>
          <w:rFonts w:ascii="楷体" w:eastAsia="楷体" w:hAnsi="楷体" w:hint="eastAsia"/>
          <w:noProof/>
          <w:sz w:val="18"/>
        </w:rPr>
        <w:t>原基准:</w:t>
      </w:r>
      <w:r w:rsidR="002133A4" w:rsidRPr="00AA6F17">
        <w:rPr>
          <w:rFonts w:ascii="楷体" w:eastAsia="楷体" w:hAnsi="楷体" w:hint="eastAsia"/>
          <w:noProof/>
          <w:sz w:val="18"/>
        </w:rPr>
        <w:t>一年定期存款利率</w:t>
      </w:r>
      <w:r w:rsidR="003A4597" w:rsidRPr="00AA6F17">
        <w:rPr>
          <w:rFonts w:ascii="楷体" w:eastAsia="楷体" w:hAnsi="楷体" w:hint="eastAsia"/>
          <w:noProof/>
          <w:sz w:val="18"/>
        </w:rPr>
        <w:t>）</w:t>
      </w:r>
      <w:r w:rsidRPr="00AA6F17">
        <w:rPr>
          <w:rFonts w:ascii="楷体" w:eastAsia="楷体" w:hAnsi="楷体" w:hint="eastAsia"/>
          <w:noProof/>
          <w:sz w:val="18"/>
        </w:rPr>
        <w:t>;</w:t>
      </w:r>
    </w:p>
    <w:p w:rsidR="000D6AD3" w:rsidRPr="00AA6F17" w:rsidRDefault="005E217E" w:rsidP="009A18F4">
      <w:pPr>
        <w:rPr>
          <w:rFonts w:ascii="楷体" w:eastAsia="楷体" w:hAnsi="楷体"/>
          <w:noProof/>
          <w:sz w:val="18"/>
        </w:rPr>
      </w:pPr>
      <w:r w:rsidRPr="00AA6F17">
        <w:rPr>
          <w:rFonts w:ascii="楷体" w:eastAsia="楷体" w:hAnsi="楷体" w:hint="eastAsia"/>
          <w:noProof/>
          <w:sz w:val="18"/>
        </w:rPr>
        <w:t>全球</w:t>
      </w:r>
      <w:r w:rsidR="000D6AD3" w:rsidRPr="00AA6F17">
        <w:rPr>
          <w:rFonts w:ascii="楷体" w:eastAsia="楷体" w:hAnsi="楷体" w:hint="eastAsia"/>
          <w:noProof/>
          <w:sz w:val="18"/>
        </w:rPr>
        <w:t>配置型组合:MSCI全球指数（新增）</w:t>
      </w:r>
    </w:p>
    <w:p w:rsidR="009A18F4" w:rsidRPr="00AA6F17" w:rsidRDefault="009A18F4" w:rsidP="009A18F4">
      <w:pPr>
        <w:pageBreakBefore/>
        <w:spacing w:line="400" w:lineRule="exact"/>
        <w:jc w:val="left"/>
        <w:rPr>
          <w:rFonts w:ascii="楷体" w:eastAsia="楷体" w:hAnsi="楷体"/>
          <w:b/>
          <w:bCs/>
          <w:color w:val="003366"/>
          <w:szCs w:val="21"/>
        </w:rPr>
      </w:pPr>
      <w:r w:rsidRPr="00AA6F17">
        <w:rPr>
          <w:rFonts w:ascii="楷体" w:eastAsia="楷体" w:hAnsi="楷体"/>
          <w:b/>
          <w:bCs/>
          <w:color w:val="003366"/>
          <w:szCs w:val="21"/>
        </w:rPr>
        <w:lastRenderedPageBreak/>
        <w:t>分析师承诺</w:t>
      </w:r>
    </w:p>
    <w:p w:rsidR="009A18F4" w:rsidRPr="00AA6F17" w:rsidRDefault="009A18F4" w:rsidP="00732C2D">
      <w:pPr>
        <w:spacing w:beforeLines="50" w:before="156"/>
        <w:rPr>
          <w:rFonts w:ascii="楷体" w:eastAsia="楷体" w:hAnsi="楷体"/>
          <w:sz w:val="18"/>
          <w:szCs w:val="18"/>
        </w:rPr>
      </w:pPr>
      <w:r w:rsidRPr="00AA6F17">
        <w:rPr>
          <w:rFonts w:ascii="楷体" w:eastAsia="楷体" w:hAnsi="楷体"/>
          <w:sz w:val="18"/>
          <w:szCs w:val="18"/>
        </w:rPr>
        <w:t>分析师</w:t>
      </w:r>
      <w:r w:rsidRPr="00AA6F17">
        <w:rPr>
          <w:rFonts w:ascii="楷体" w:eastAsia="楷体" w:hAnsi="楷体" w:hint="eastAsia"/>
          <w:sz w:val="18"/>
          <w:szCs w:val="18"/>
        </w:rPr>
        <w:t xml:space="preserve"> </w:t>
      </w:r>
      <w:proofErr w:type="gramStart"/>
      <w:r w:rsidRPr="00AA6F17">
        <w:rPr>
          <w:rFonts w:ascii="楷体" w:eastAsia="楷体" w:hAnsi="楷体" w:hint="eastAsia"/>
          <w:sz w:val="18"/>
          <w:szCs w:val="18"/>
        </w:rPr>
        <w:t>刘亦千</w:t>
      </w:r>
      <w:proofErr w:type="gramEnd"/>
      <w:r w:rsidR="00DC7426" w:rsidRPr="00AA6F17">
        <w:rPr>
          <w:rFonts w:ascii="楷体" w:eastAsia="楷体" w:hAnsi="楷体" w:hint="eastAsia"/>
          <w:sz w:val="18"/>
          <w:szCs w:val="18"/>
        </w:rPr>
        <w:t xml:space="preserve"> 王博生 </w:t>
      </w:r>
      <w:proofErr w:type="gramStart"/>
      <w:r w:rsidR="00DC7426" w:rsidRPr="00AA6F17">
        <w:rPr>
          <w:rFonts w:ascii="楷体" w:eastAsia="楷体" w:hAnsi="楷体" w:hint="eastAsia"/>
          <w:sz w:val="18"/>
          <w:szCs w:val="18"/>
        </w:rPr>
        <w:t>闻嘉琦</w:t>
      </w:r>
      <w:proofErr w:type="gramEnd"/>
    </w:p>
    <w:p w:rsidR="009A18F4" w:rsidRPr="00AA6F17" w:rsidRDefault="009A18F4" w:rsidP="009A18F4">
      <w:pPr>
        <w:spacing w:line="300" w:lineRule="exact"/>
        <w:rPr>
          <w:rFonts w:ascii="楷体" w:eastAsia="楷体" w:hAnsi="楷体"/>
          <w:color w:val="000000"/>
          <w:sz w:val="18"/>
          <w:szCs w:val="18"/>
        </w:rPr>
      </w:pPr>
      <w:r w:rsidRPr="00AA6F17">
        <w:rPr>
          <w:rFonts w:ascii="楷体" w:eastAsia="楷体" w:hAnsi="楷体" w:hint="eastAsia"/>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Pr="00AA6F17" w:rsidRDefault="009A18F4" w:rsidP="009A18F4">
      <w:pPr>
        <w:spacing w:line="400" w:lineRule="exact"/>
        <w:jc w:val="left"/>
        <w:rPr>
          <w:rFonts w:ascii="楷体" w:eastAsia="楷体" w:hAnsi="楷体" w:cs="Arial"/>
          <w:b/>
          <w:bCs/>
          <w:color w:val="FF6600"/>
          <w:szCs w:val="21"/>
        </w:rPr>
      </w:pPr>
    </w:p>
    <w:p w:rsidR="009A18F4" w:rsidRPr="00AA6F17" w:rsidRDefault="009A18F4" w:rsidP="009A18F4">
      <w:pPr>
        <w:spacing w:line="400" w:lineRule="exact"/>
        <w:jc w:val="left"/>
        <w:rPr>
          <w:rFonts w:ascii="楷体" w:eastAsia="楷体" w:hAnsi="楷体" w:cs="Arial"/>
          <w:b/>
          <w:bCs/>
          <w:color w:val="003366"/>
          <w:szCs w:val="21"/>
        </w:rPr>
      </w:pPr>
      <w:r w:rsidRPr="00AA6F17">
        <w:rPr>
          <w:rFonts w:ascii="楷体" w:eastAsia="楷体" w:hAnsi="楷体" w:cs="Arial" w:hint="eastAsia"/>
          <w:b/>
          <w:bCs/>
          <w:color w:val="003366"/>
          <w:szCs w:val="21"/>
        </w:rPr>
        <w:t>公司业务资格说明</w:t>
      </w:r>
    </w:p>
    <w:p w:rsidR="009A18F4" w:rsidRPr="00AA6F17" w:rsidRDefault="009A18F4" w:rsidP="009A18F4">
      <w:pPr>
        <w:spacing w:line="400" w:lineRule="exact"/>
        <w:jc w:val="left"/>
        <w:rPr>
          <w:rFonts w:ascii="楷体" w:eastAsia="楷体" w:hAnsi="楷体"/>
          <w:color w:val="000000"/>
          <w:sz w:val="18"/>
          <w:szCs w:val="18"/>
        </w:rPr>
      </w:pPr>
      <w:r w:rsidRPr="00AA6F17">
        <w:rPr>
          <w:rFonts w:ascii="楷体" w:eastAsia="楷体" w:hAnsi="楷体" w:hint="eastAsia"/>
          <w:color w:val="000000"/>
          <w:sz w:val="18"/>
          <w:szCs w:val="18"/>
        </w:rPr>
        <w:t>本公司具备证券投资咨询业务资格，是具备协会会员资格的基金评价机构。</w:t>
      </w:r>
    </w:p>
    <w:p w:rsidR="009A18F4" w:rsidRPr="00AA6F17" w:rsidRDefault="009A18F4" w:rsidP="009A18F4">
      <w:pPr>
        <w:spacing w:line="400" w:lineRule="exact"/>
        <w:jc w:val="left"/>
        <w:rPr>
          <w:rFonts w:ascii="楷体" w:eastAsia="楷体" w:hAnsi="楷体" w:cs="Arial"/>
          <w:b/>
          <w:bCs/>
          <w:color w:val="003366"/>
          <w:szCs w:val="21"/>
        </w:rPr>
      </w:pPr>
    </w:p>
    <w:p w:rsidR="009A18F4" w:rsidRPr="00AA6F17" w:rsidRDefault="009A18F4" w:rsidP="009A18F4">
      <w:pPr>
        <w:spacing w:line="400" w:lineRule="exact"/>
        <w:jc w:val="left"/>
        <w:rPr>
          <w:rFonts w:ascii="楷体" w:eastAsia="楷体" w:hAnsi="楷体" w:cs="Arial"/>
          <w:b/>
          <w:bCs/>
          <w:color w:val="003366"/>
          <w:szCs w:val="21"/>
        </w:rPr>
      </w:pPr>
      <w:r w:rsidRPr="00AA6F17">
        <w:rPr>
          <w:rFonts w:ascii="楷体" w:eastAsia="楷体" w:hAnsi="楷体" w:cs="Arial" w:hint="eastAsia"/>
          <w:b/>
          <w:bCs/>
          <w:color w:val="003366"/>
          <w:szCs w:val="21"/>
        </w:rPr>
        <w:t>重要声明</w:t>
      </w:r>
    </w:p>
    <w:p w:rsidR="009A18F4" w:rsidRPr="00AA6F17" w:rsidRDefault="009A18F4" w:rsidP="009A18F4">
      <w:pPr>
        <w:spacing w:line="300" w:lineRule="exact"/>
        <w:rPr>
          <w:rFonts w:ascii="楷体" w:eastAsia="楷体" w:hAnsi="楷体"/>
          <w:color w:val="000000"/>
          <w:sz w:val="18"/>
          <w:szCs w:val="18"/>
        </w:rPr>
      </w:pPr>
      <w:r w:rsidRPr="00AA6F17">
        <w:rPr>
          <w:rFonts w:ascii="楷体" w:eastAsia="楷体" w:hAnsi="楷体" w:hint="eastAsia"/>
          <w:color w:val="000000"/>
          <w:sz w:val="18"/>
          <w:szCs w:val="18"/>
        </w:rPr>
        <w:t>本报告中的信息均来源于已公开的资料，我公司对这些信息的准确性及完整性不作任何保证，不保证该信息未经任何更新，也不保证本公司</w:t>
      </w:r>
      <w:proofErr w:type="gramStart"/>
      <w:r w:rsidRPr="00AA6F17">
        <w:rPr>
          <w:rFonts w:ascii="楷体" w:eastAsia="楷体" w:hAnsi="楷体" w:hint="eastAsia"/>
          <w:color w:val="000000"/>
          <w:sz w:val="18"/>
          <w:szCs w:val="18"/>
        </w:rPr>
        <w:t>作出</w:t>
      </w:r>
      <w:proofErr w:type="gramEnd"/>
      <w:r w:rsidRPr="00AA6F17">
        <w:rPr>
          <w:rFonts w:ascii="楷体" w:eastAsia="楷体" w:hAnsi="楷体" w:hint="eastAsia"/>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sidRPr="00AA6F17">
        <w:rPr>
          <w:rFonts w:ascii="楷体" w:eastAsia="楷体" w:hAnsi="楷体" w:hint="eastAsia"/>
          <w:color w:val="000000"/>
          <w:sz w:val="18"/>
          <w:szCs w:val="18"/>
        </w:rPr>
        <w:t>作出</w:t>
      </w:r>
      <w:proofErr w:type="gramEnd"/>
      <w:r w:rsidRPr="00AA6F17">
        <w:rPr>
          <w:rFonts w:ascii="楷体" w:eastAsia="楷体" w:hAnsi="楷体" w:hint="eastAsia"/>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AA6F17" w:rsidRDefault="009A18F4" w:rsidP="009A18F4">
      <w:pPr>
        <w:spacing w:line="300" w:lineRule="exact"/>
        <w:rPr>
          <w:rFonts w:ascii="楷体" w:eastAsia="楷体" w:hAnsi="楷体"/>
          <w:sz w:val="18"/>
          <w:szCs w:val="18"/>
        </w:rPr>
      </w:pPr>
      <w:r w:rsidRPr="00AA6F17">
        <w:rPr>
          <w:rFonts w:ascii="楷体" w:eastAsia="楷体" w:hAnsi="楷体"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AA6F17" w:rsidRDefault="009A18F4" w:rsidP="009A18F4">
      <w:pPr>
        <w:spacing w:line="300" w:lineRule="exact"/>
        <w:rPr>
          <w:rFonts w:ascii="楷体" w:eastAsia="楷体" w:hAnsi="楷体"/>
          <w:sz w:val="18"/>
          <w:szCs w:val="18"/>
        </w:rPr>
      </w:pPr>
    </w:p>
    <w:sectPr w:rsidR="009A18F4" w:rsidRPr="00AA6F17" w:rsidSect="00DE017A">
      <w:headerReference w:type="default" r:id="rId23"/>
      <w:pgSz w:w="11906" w:h="16838"/>
      <w:pgMar w:top="1418" w:right="1133"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E9" w:rsidRDefault="005E1DE9" w:rsidP="00E24F52">
      <w:r>
        <w:separator/>
      </w:r>
    </w:p>
  </w:endnote>
  <w:endnote w:type="continuationSeparator" w:id="0">
    <w:p w:rsidR="005E1DE9" w:rsidRDefault="005E1DE9" w:rsidP="00E2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18030">
    <w:altName w:val="Arial Unicode MS"/>
    <w:charset w:val="86"/>
    <w:family w:val="modern"/>
    <w:pitch w:val="fixed"/>
    <w:sig w:usb0="00000000"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E9" w:rsidRDefault="005E1DE9" w:rsidP="00DE017A">
    <w:pPr>
      <w:pStyle w:val="a5"/>
      <w:framePr w:wrap="around" w:vAnchor="text" w:hAnchor="margin" w:xAlign="right" w:y="1"/>
      <w:rPr>
        <w:rStyle w:val="a7"/>
      </w:rPr>
    </w:pPr>
    <w:r>
      <w:rPr>
        <w:rStyle w:val="a7"/>
        <w:noProof/>
      </w:rPr>
      <w:t>1</w:t>
    </w:r>
  </w:p>
  <w:p w:rsidR="005E1DE9" w:rsidRDefault="005E1DE9" w:rsidP="00DE01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E9" w:rsidRDefault="005E1DE9" w:rsidP="00DE017A">
    <w:pPr>
      <w:pStyle w:val="a5"/>
      <w:ind w:right="360"/>
    </w:pPr>
    <w:r>
      <w:rPr>
        <w:noProof/>
      </w:rPr>
      <mc:AlternateContent>
        <mc:Choice Requires="wps">
          <w:drawing>
            <wp:anchor distT="0" distB="0" distL="114300" distR="114300" simplePos="0" relativeHeight="251656704" behindDoc="0" locked="0" layoutInCell="1" allowOverlap="1">
              <wp:simplePos x="0" y="0"/>
              <wp:positionH relativeFrom="page">
                <wp:posOffset>613410</wp:posOffset>
              </wp:positionH>
              <wp:positionV relativeFrom="page">
                <wp:posOffset>9844405</wp:posOffset>
              </wp:positionV>
              <wp:extent cx="6520815" cy="228600"/>
              <wp:effectExtent l="0" t="0" r="13335"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8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DE9" w:rsidRPr="00310D17" w:rsidRDefault="005E1DE9" w:rsidP="00DE017A">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w:t>
                          </w:r>
                          <w:proofErr w:type="gramStart"/>
                          <w:r w:rsidRPr="00EF283B">
                            <w:rPr>
                              <w:rFonts w:ascii="楷体_GB2312" w:eastAsia="楷体_GB2312" w:hint="eastAsia"/>
                              <w:b/>
                              <w:color w:val="003366"/>
                              <w:szCs w:val="21"/>
                            </w:rPr>
                            <w:t>尾页分析</w:t>
                          </w:r>
                          <w:proofErr w:type="gramEnd"/>
                          <w:r w:rsidRPr="00EF283B">
                            <w:rPr>
                              <w:rFonts w:ascii="楷体_GB2312" w:eastAsia="楷体_GB2312" w:hint="eastAsia"/>
                              <w:b/>
                              <w:color w:val="003366"/>
                              <w:szCs w:val="21"/>
                            </w:rPr>
                            <w:t>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Pr="00310D17">
                            <w:rPr>
                              <w:rFonts w:ascii="楷体_GB2312" w:eastAsia="楷体_GB2312"/>
                              <w:color w:val="003366"/>
                              <w:szCs w:val="21"/>
                            </w:rPr>
                            <w:fldChar w:fldCharType="separate"/>
                          </w:r>
                          <w:r w:rsidR="00952BCB" w:rsidRPr="00952BCB">
                            <w:rPr>
                              <w:rFonts w:ascii="楷体_GB2312" w:eastAsia="楷体_GB2312"/>
                              <w:noProof/>
                              <w:color w:val="003366"/>
                              <w:szCs w:val="21"/>
                              <w:lang w:val="zh-CN"/>
                            </w:rPr>
                            <w:t>1</w:t>
                          </w:r>
                          <w:r w:rsidRPr="00310D17">
                            <w:rPr>
                              <w:rFonts w:ascii="楷体_GB2312" w:eastAsia="楷体_GB2312"/>
                              <w:color w:val="003366"/>
                              <w:szCs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3pt;margin-top:775.15pt;width:513.45pt;height:1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YXrgIAAKo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" filled="f" stroked="f">
              <v:textbox inset="0,0,0,0">
                <w:txbxContent>
                  <w:p w:rsidR="005E1DE9" w:rsidRPr="00310D17" w:rsidRDefault="005E1DE9" w:rsidP="00DE017A">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w:t>
                    </w:r>
                    <w:proofErr w:type="gramStart"/>
                    <w:r w:rsidRPr="00EF283B">
                      <w:rPr>
                        <w:rFonts w:ascii="楷体_GB2312" w:eastAsia="楷体_GB2312" w:hint="eastAsia"/>
                        <w:b/>
                        <w:color w:val="003366"/>
                        <w:szCs w:val="21"/>
                      </w:rPr>
                      <w:t>尾页分析</w:t>
                    </w:r>
                    <w:proofErr w:type="gramEnd"/>
                    <w:r w:rsidRPr="00EF283B">
                      <w:rPr>
                        <w:rFonts w:ascii="楷体_GB2312" w:eastAsia="楷体_GB2312" w:hint="eastAsia"/>
                        <w:b/>
                        <w:color w:val="003366"/>
                        <w:szCs w:val="21"/>
                      </w:rPr>
                      <w:t>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Pr="00310D17">
                      <w:rPr>
                        <w:rFonts w:ascii="楷体_GB2312" w:eastAsia="楷体_GB2312"/>
                        <w:color w:val="003366"/>
                        <w:szCs w:val="21"/>
                      </w:rPr>
                      <w:fldChar w:fldCharType="separate"/>
                    </w:r>
                    <w:r w:rsidR="00952BCB" w:rsidRPr="00952BCB">
                      <w:rPr>
                        <w:rFonts w:ascii="楷体_GB2312" w:eastAsia="楷体_GB2312"/>
                        <w:noProof/>
                        <w:color w:val="003366"/>
                        <w:szCs w:val="21"/>
                        <w:lang w:val="zh-CN"/>
                      </w:rPr>
                      <w:t>1</w:t>
                    </w:r>
                    <w:r w:rsidRPr="00310D17">
                      <w:rPr>
                        <w:rFonts w:ascii="楷体_GB2312" w:eastAsia="楷体_GB2312"/>
                        <w:color w:val="003366"/>
                        <w:szCs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E9" w:rsidRDefault="005E1DE9" w:rsidP="00E24F52">
      <w:r>
        <w:separator/>
      </w:r>
    </w:p>
  </w:footnote>
  <w:footnote w:type="continuationSeparator" w:id="0">
    <w:p w:rsidR="005E1DE9" w:rsidRDefault="005E1DE9" w:rsidP="00E24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E9" w:rsidRPr="0010121A" w:rsidRDefault="005E1DE9">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DE9" w:rsidRPr="00935FC9" w:rsidRDefault="005E1DE9" w:rsidP="00DE017A">
    <w:pPr>
      <w:pStyle w:val="a4"/>
      <w:jc w:val="left"/>
      <w:rPr>
        <w:rFonts w:ascii="楷体_GB2312" w:eastAsia="楷体_GB2312"/>
        <w:b/>
        <w:color w:val="333399"/>
        <w:sz w:val="24"/>
        <w:szCs w:val="24"/>
      </w:rPr>
    </w:pPr>
    <w:r>
      <w:rPr>
        <w:noProof/>
      </w:rPr>
      <mc:AlternateContent>
        <mc:Choice Requires="wps">
          <w:drawing>
            <wp:anchor distT="4294967293" distB="4294967293" distL="114300" distR="114300" simplePos="0" relativeHeight="251658752" behindDoc="0" locked="0" layoutInCell="1" allowOverlap="1">
              <wp:simplePos x="0" y="0"/>
              <wp:positionH relativeFrom="column">
                <wp:posOffset>890270</wp:posOffset>
              </wp:positionH>
              <wp:positionV relativeFrom="paragraph">
                <wp:posOffset>260984</wp:posOffset>
              </wp:positionV>
              <wp:extent cx="4939030" cy="0"/>
              <wp:effectExtent l="0" t="0" r="3302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903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A4002" id="Line 3" o:spid="_x0000_s1026" style="position:absolute;left:0;text-align:left;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1pt,20.55pt" to="45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" strokecolor="#036" strokeweight="1.5pt"/>
          </w:pict>
        </mc:Fallback>
      </mc:AlternateContent>
    </w:r>
    <w:r w:rsidRPr="003E6746">
      <w:rPr>
        <w:rFonts w:ascii="楷体_GB2312" w:eastAsia="楷体_GB2312"/>
        <w:b/>
        <w:noProof/>
        <w:color w:val="003366"/>
        <w:sz w:val="21"/>
        <w:szCs w:val="21"/>
      </w:rPr>
      <w:drawing>
        <wp:inline distT="0" distB="0" distL="0" distR="0">
          <wp:extent cx="904875" cy="238125"/>
          <wp:effectExtent l="0" t="0" r="9525" b="9525"/>
          <wp:docPr id="12"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yeme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-36195</wp:posOffset>
              </wp:positionV>
              <wp:extent cx="1136015" cy="384810"/>
              <wp:effectExtent l="0" t="0" r="698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1DE9" w:rsidRDefault="005E1DE9">
                          <w:r w:rsidRPr="00885EF2">
                            <w:rPr>
                              <w:noProof/>
                            </w:rPr>
                            <w:drawing>
                              <wp:inline distT="0" distB="0" distL="0" distR="0">
                                <wp:extent cx="948690" cy="293370"/>
                                <wp:effectExtent l="0" t="0" r="381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89pt;margin-top:-2.85pt;width:89.45pt;height:30.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" stroked="f">
              <v:textbox style="mso-fit-shape-to-text:t">
                <w:txbxContent>
                  <w:p w:rsidR="005E1DE9" w:rsidRDefault="005E1DE9">
                    <w:r w:rsidRPr="00885EF2">
                      <w:rPr>
                        <w:noProof/>
                      </w:rPr>
                      <w:drawing>
                        <wp:inline distT="0" distB="0" distL="0" distR="0">
                          <wp:extent cx="948690" cy="293370"/>
                          <wp:effectExtent l="0" t="0" r="381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8690" cy="293370"/>
                                  </a:xfrm>
                                  <a:prstGeom prst="rect">
                                    <a:avLst/>
                                  </a:prstGeom>
                                  <a:noFill/>
                                  <a:ln>
                                    <a:noFill/>
                                  </a:ln>
                                </pic:spPr>
                              </pic:pic>
                            </a:graphicData>
                          </a:graphic>
                        </wp:inline>
                      </w:drawing>
                    </w:r>
                  </w:p>
                </w:txbxContent>
              </v:textbox>
            </v:shape>
          </w:pict>
        </mc:Fallback>
      </mc:AlternateConten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03863DE"/>
    <w:multiLevelType w:val="hybridMultilevel"/>
    <w:tmpl w:val="DFFC5E70"/>
    <w:lvl w:ilvl="0" w:tplc="3F2E4A90">
      <w:start w:val="1"/>
      <w:numFmt w:val="japaneseCounting"/>
      <w:lvlText w:val="（%1）"/>
      <w:lvlJc w:val="left"/>
      <w:pPr>
        <w:ind w:left="4507" w:hanging="1200"/>
      </w:pPr>
      <w:rPr>
        <w:rFonts w:hint="default"/>
      </w:rPr>
    </w:lvl>
    <w:lvl w:ilvl="1" w:tplc="04090019" w:tentative="1">
      <w:start w:val="1"/>
      <w:numFmt w:val="lowerLetter"/>
      <w:lvlText w:val="%2)"/>
      <w:lvlJc w:val="left"/>
      <w:pPr>
        <w:ind w:left="4147" w:hanging="420"/>
      </w:pPr>
    </w:lvl>
    <w:lvl w:ilvl="2" w:tplc="0409001B" w:tentative="1">
      <w:start w:val="1"/>
      <w:numFmt w:val="lowerRoman"/>
      <w:lvlText w:val="%3."/>
      <w:lvlJc w:val="right"/>
      <w:pPr>
        <w:ind w:left="4567" w:hanging="420"/>
      </w:pPr>
    </w:lvl>
    <w:lvl w:ilvl="3" w:tplc="0409000F" w:tentative="1">
      <w:start w:val="1"/>
      <w:numFmt w:val="decimal"/>
      <w:lvlText w:val="%4."/>
      <w:lvlJc w:val="left"/>
      <w:pPr>
        <w:ind w:left="4987" w:hanging="420"/>
      </w:pPr>
    </w:lvl>
    <w:lvl w:ilvl="4" w:tplc="04090019" w:tentative="1">
      <w:start w:val="1"/>
      <w:numFmt w:val="lowerLetter"/>
      <w:lvlText w:val="%5)"/>
      <w:lvlJc w:val="left"/>
      <w:pPr>
        <w:ind w:left="5407" w:hanging="420"/>
      </w:pPr>
    </w:lvl>
    <w:lvl w:ilvl="5" w:tplc="0409001B" w:tentative="1">
      <w:start w:val="1"/>
      <w:numFmt w:val="lowerRoman"/>
      <w:lvlText w:val="%6."/>
      <w:lvlJc w:val="right"/>
      <w:pPr>
        <w:ind w:left="5827" w:hanging="420"/>
      </w:pPr>
    </w:lvl>
    <w:lvl w:ilvl="6" w:tplc="0409000F" w:tentative="1">
      <w:start w:val="1"/>
      <w:numFmt w:val="decimal"/>
      <w:lvlText w:val="%7."/>
      <w:lvlJc w:val="left"/>
      <w:pPr>
        <w:ind w:left="6247" w:hanging="420"/>
      </w:pPr>
    </w:lvl>
    <w:lvl w:ilvl="7" w:tplc="04090019" w:tentative="1">
      <w:start w:val="1"/>
      <w:numFmt w:val="lowerLetter"/>
      <w:lvlText w:val="%8)"/>
      <w:lvlJc w:val="left"/>
      <w:pPr>
        <w:ind w:left="6667" w:hanging="420"/>
      </w:pPr>
    </w:lvl>
    <w:lvl w:ilvl="8" w:tplc="0409001B" w:tentative="1">
      <w:start w:val="1"/>
      <w:numFmt w:val="lowerRoman"/>
      <w:lvlText w:val="%9."/>
      <w:lvlJc w:val="right"/>
      <w:pPr>
        <w:ind w:left="7087" w:hanging="420"/>
      </w:pPr>
    </w:lvl>
  </w:abstractNum>
  <w:abstractNum w:abstractNumId="5">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7">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7"/>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F4"/>
    <w:rsid w:val="00000B83"/>
    <w:rsid w:val="00006C0F"/>
    <w:rsid w:val="00010CE4"/>
    <w:rsid w:val="00013019"/>
    <w:rsid w:val="0001673A"/>
    <w:rsid w:val="00020146"/>
    <w:rsid w:val="00021821"/>
    <w:rsid w:val="00023532"/>
    <w:rsid w:val="00026A52"/>
    <w:rsid w:val="00032ECF"/>
    <w:rsid w:val="0003446C"/>
    <w:rsid w:val="00035528"/>
    <w:rsid w:val="00036DDA"/>
    <w:rsid w:val="00037738"/>
    <w:rsid w:val="00040E1B"/>
    <w:rsid w:val="00041878"/>
    <w:rsid w:val="00047501"/>
    <w:rsid w:val="00051780"/>
    <w:rsid w:val="00051A90"/>
    <w:rsid w:val="0005323D"/>
    <w:rsid w:val="00057B41"/>
    <w:rsid w:val="00061718"/>
    <w:rsid w:val="0006216C"/>
    <w:rsid w:val="000626E3"/>
    <w:rsid w:val="00064ADC"/>
    <w:rsid w:val="0006727C"/>
    <w:rsid w:val="000751B0"/>
    <w:rsid w:val="0008138A"/>
    <w:rsid w:val="0008165B"/>
    <w:rsid w:val="00081B9A"/>
    <w:rsid w:val="00083B36"/>
    <w:rsid w:val="00084235"/>
    <w:rsid w:val="00086FF6"/>
    <w:rsid w:val="000904B6"/>
    <w:rsid w:val="00095E11"/>
    <w:rsid w:val="000A5034"/>
    <w:rsid w:val="000A6776"/>
    <w:rsid w:val="000B5D37"/>
    <w:rsid w:val="000C1475"/>
    <w:rsid w:val="000C502F"/>
    <w:rsid w:val="000C5EA0"/>
    <w:rsid w:val="000C7DEE"/>
    <w:rsid w:val="000D04E7"/>
    <w:rsid w:val="000D21EF"/>
    <w:rsid w:val="000D2C90"/>
    <w:rsid w:val="000D4A04"/>
    <w:rsid w:val="000D6AD3"/>
    <w:rsid w:val="000E1BCF"/>
    <w:rsid w:val="000E38F2"/>
    <w:rsid w:val="000E3E14"/>
    <w:rsid w:val="000E4676"/>
    <w:rsid w:val="000E55D5"/>
    <w:rsid w:val="000F008C"/>
    <w:rsid w:val="000F1F0F"/>
    <w:rsid w:val="000F2EAA"/>
    <w:rsid w:val="000F5C28"/>
    <w:rsid w:val="000F72DD"/>
    <w:rsid w:val="00100321"/>
    <w:rsid w:val="00100A15"/>
    <w:rsid w:val="0010331E"/>
    <w:rsid w:val="001112E7"/>
    <w:rsid w:val="001118DF"/>
    <w:rsid w:val="0012058D"/>
    <w:rsid w:val="001220D9"/>
    <w:rsid w:val="00140E6E"/>
    <w:rsid w:val="00142C20"/>
    <w:rsid w:val="00144F30"/>
    <w:rsid w:val="00152BDE"/>
    <w:rsid w:val="001548DA"/>
    <w:rsid w:val="0016275E"/>
    <w:rsid w:val="001638F6"/>
    <w:rsid w:val="00163D42"/>
    <w:rsid w:val="00164673"/>
    <w:rsid w:val="00167899"/>
    <w:rsid w:val="0017209A"/>
    <w:rsid w:val="00172699"/>
    <w:rsid w:val="00172941"/>
    <w:rsid w:val="00174F43"/>
    <w:rsid w:val="00176BD5"/>
    <w:rsid w:val="00181B57"/>
    <w:rsid w:val="00186CAC"/>
    <w:rsid w:val="00191B63"/>
    <w:rsid w:val="00192B66"/>
    <w:rsid w:val="001936F4"/>
    <w:rsid w:val="001A069B"/>
    <w:rsid w:val="001A2517"/>
    <w:rsid w:val="001A4832"/>
    <w:rsid w:val="001A4967"/>
    <w:rsid w:val="001A4AB4"/>
    <w:rsid w:val="001A5124"/>
    <w:rsid w:val="001A5521"/>
    <w:rsid w:val="001A6B56"/>
    <w:rsid w:val="001B0FD3"/>
    <w:rsid w:val="001B44DF"/>
    <w:rsid w:val="001C0B97"/>
    <w:rsid w:val="001C1C0B"/>
    <w:rsid w:val="001C24D7"/>
    <w:rsid w:val="001C2D94"/>
    <w:rsid w:val="001C39BB"/>
    <w:rsid w:val="001D0183"/>
    <w:rsid w:val="001D06C6"/>
    <w:rsid w:val="001D0CB0"/>
    <w:rsid w:val="001D20C0"/>
    <w:rsid w:val="001D2846"/>
    <w:rsid w:val="001D486A"/>
    <w:rsid w:val="001D5026"/>
    <w:rsid w:val="001D584F"/>
    <w:rsid w:val="001D58C8"/>
    <w:rsid w:val="001D70E2"/>
    <w:rsid w:val="001D7185"/>
    <w:rsid w:val="001E3046"/>
    <w:rsid w:val="001F2385"/>
    <w:rsid w:val="001F3927"/>
    <w:rsid w:val="001F4FE3"/>
    <w:rsid w:val="001F7ADA"/>
    <w:rsid w:val="00203AE2"/>
    <w:rsid w:val="002063DC"/>
    <w:rsid w:val="00207810"/>
    <w:rsid w:val="00207EB7"/>
    <w:rsid w:val="00211FA6"/>
    <w:rsid w:val="002130A2"/>
    <w:rsid w:val="002133A4"/>
    <w:rsid w:val="0021342C"/>
    <w:rsid w:val="00213557"/>
    <w:rsid w:val="00214CC6"/>
    <w:rsid w:val="0021526F"/>
    <w:rsid w:val="002154A6"/>
    <w:rsid w:val="00215F78"/>
    <w:rsid w:val="00222CAD"/>
    <w:rsid w:val="00224620"/>
    <w:rsid w:val="002304D4"/>
    <w:rsid w:val="00232B81"/>
    <w:rsid w:val="00233D51"/>
    <w:rsid w:val="00235CD7"/>
    <w:rsid w:val="00236ADA"/>
    <w:rsid w:val="00236F99"/>
    <w:rsid w:val="002373ED"/>
    <w:rsid w:val="0024068A"/>
    <w:rsid w:val="00245287"/>
    <w:rsid w:val="002474B8"/>
    <w:rsid w:val="00250432"/>
    <w:rsid w:val="00251503"/>
    <w:rsid w:val="00251B81"/>
    <w:rsid w:val="0025298E"/>
    <w:rsid w:val="00253BBC"/>
    <w:rsid w:val="00253FC1"/>
    <w:rsid w:val="00257DE8"/>
    <w:rsid w:val="00262231"/>
    <w:rsid w:val="002626D6"/>
    <w:rsid w:val="0026313E"/>
    <w:rsid w:val="00265C3B"/>
    <w:rsid w:val="0027134C"/>
    <w:rsid w:val="002822E3"/>
    <w:rsid w:val="002833E4"/>
    <w:rsid w:val="00287248"/>
    <w:rsid w:val="00292B84"/>
    <w:rsid w:val="00292D32"/>
    <w:rsid w:val="002A2C01"/>
    <w:rsid w:val="002A68E6"/>
    <w:rsid w:val="002A7731"/>
    <w:rsid w:val="002B0DFA"/>
    <w:rsid w:val="002B178E"/>
    <w:rsid w:val="002B3EE6"/>
    <w:rsid w:val="002B6917"/>
    <w:rsid w:val="002C008E"/>
    <w:rsid w:val="002C01C5"/>
    <w:rsid w:val="002C125D"/>
    <w:rsid w:val="002C4FCC"/>
    <w:rsid w:val="002C6E5F"/>
    <w:rsid w:val="002D32F7"/>
    <w:rsid w:val="002D35B0"/>
    <w:rsid w:val="002D44D3"/>
    <w:rsid w:val="002E06C6"/>
    <w:rsid w:val="002E093E"/>
    <w:rsid w:val="002E1C77"/>
    <w:rsid w:val="002E3FF3"/>
    <w:rsid w:val="002E56A1"/>
    <w:rsid w:val="002E6972"/>
    <w:rsid w:val="002F20D2"/>
    <w:rsid w:val="002F26CC"/>
    <w:rsid w:val="002F26F5"/>
    <w:rsid w:val="002F3CB4"/>
    <w:rsid w:val="002F632D"/>
    <w:rsid w:val="003008A3"/>
    <w:rsid w:val="0030349D"/>
    <w:rsid w:val="00306269"/>
    <w:rsid w:val="003106EF"/>
    <w:rsid w:val="003107E7"/>
    <w:rsid w:val="00311012"/>
    <w:rsid w:val="00312345"/>
    <w:rsid w:val="003124ED"/>
    <w:rsid w:val="0031261A"/>
    <w:rsid w:val="0031366F"/>
    <w:rsid w:val="00313CFA"/>
    <w:rsid w:val="00313D49"/>
    <w:rsid w:val="003157FF"/>
    <w:rsid w:val="003158CF"/>
    <w:rsid w:val="00315931"/>
    <w:rsid w:val="00322F8A"/>
    <w:rsid w:val="00325132"/>
    <w:rsid w:val="0033389A"/>
    <w:rsid w:val="00333EEE"/>
    <w:rsid w:val="00337181"/>
    <w:rsid w:val="0034440F"/>
    <w:rsid w:val="00345829"/>
    <w:rsid w:val="00345A6D"/>
    <w:rsid w:val="00345C7D"/>
    <w:rsid w:val="00345F69"/>
    <w:rsid w:val="003471A8"/>
    <w:rsid w:val="00352632"/>
    <w:rsid w:val="003526AD"/>
    <w:rsid w:val="003537A4"/>
    <w:rsid w:val="00353DA7"/>
    <w:rsid w:val="0036515A"/>
    <w:rsid w:val="0037235C"/>
    <w:rsid w:val="0037247A"/>
    <w:rsid w:val="00374AF5"/>
    <w:rsid w:val="00376D77"/>
    <w:rsid w:val="003813FF"/>
    <w:rsid w:val="00385683"/>
    <w:rsid w:val="0039387E"/>
    <w:rsid w:val="00396400"/>
    <w:rsid w:val="0039786A"/>
    <w:rsid w:val="00397CAD"/>
    <w:rsid w:val="003A2973"/>
    <w:rsid w:val="003A4597"/>
    <w:rsid w:val="003A6BA8"/>
    <w:rsid w:val="003A7011"/>
    <w:rsid w:val="003A771D"/>
    <w:rsid w:val="003B14BB"/>
    <w:rsid w:val="003B5AB3"/>
    <w:rsid w:val="003B6256"/>
    <w:rsid w:val="003B7216"/>
    <w:rsid w:val="003C07DC"/>
    <w:rsid w:val="003C2C63"/>
    <w:rsid w:val="003C3F78"/>
    <w:rsid w:val="003C5B36"/>
    <w:rsid w:val="003D35B9"/>
    <w:rsid w:val="003D3866"/>
    <w:rsid w:val="003D5AA6"/>
    <w:rsid w:val="003D75EB"/>
    <w:rsid w:val="003E0C6F"/>
    <w:rsid w:val="003E460C"/>
    <w:rsid w:val="003E6746"/>
    <w:rsid w:val="003F5624"/>
    <w:rsid w:val="003F6979"/>
    <w:rsid w:val="003F751E"/>
    <w:rsid w:val="00401666"/>
    <w:rsid w:val="004058A1"/>
    <w:rsid w:val="00411272"/>
    <w:rsid w:val="0041170A"/>
    <w:rsid w:val="00411F75"/>
    <w:rsid w:val="004157E5"/>
    <w:rsid w:val="00415FDE"/>
    <w:rsid w:val="004162B2"/>
    <w:rsid w:val="00420E69"/>
    <w:rsid w:val="004232DB"/>
    <w:rsid w:val="00424B2D"/>
    <w:rsid w:val="00425C85"/>
    <w:rsid w:val="004262A0"/>
    <w:rsid w:val="004312D8"/>
    <w:rsid w:val="004326D7"/>
    <w:rsid w:val="0043713E"/>
    <w:rsid w:val="00440178"/>
    <w:rsid w:val="00440E40"/>
    <w:rsid w:val="0044562D"/>
    <w:rsid w:val="00447422"/>
    <w:rsid w:val="00450AE9"/>
    <w:rsid w:val="004513D0"/>
    <w:rsid w:val="004521F3"/>
    <w:rsid w:val="004533B2"/>
    <w:rsid w:val="00455E80"/>
    <w:rsid w:val="004561F7"/>
    <w:rsid w:val="004565F1"/>
    <w:rsid w:val="0046010C"/>
    <w:rsid w:val="00460204"/>
    <w:rsid w:val="00460528"/>
    <w:rsid w:val="00460ACE"/>
    <w:rsid w:val="00462DAE"/>
    <w:rsid w:val="00471EDE"/>
    <w:rsid w:val="004738F2"/>
    <w:rsid w:val="0047423F"/>
    <w:rsid w:val="00480D27"/>
    <w:rsid w:val="004838BB"/>
    <w:rsid w:val="004840D3"/>
    <w:rsid w:val="00487DC2"/>
    <w:rsid w:val="00487F7F"/>
    <w:rsid w:val="004900C3"/>
    <w:rsid w:val="0049034E"/>
    <w:rsid w:val="00491A8B"/>
    <w:rsid w:val="00493B33"/>
    <w:rsid w:val="00495AC4"/>
    <w:rsid w:val="00497659"/>
    <w:rsid w:val="004A4D4B"/>
    <w:rsid w:val="004A57AE"/>
    <w:rsid w:val="004A6DF0"/>
    <w:rsid w:val="004A7F1B"/>
    <w:rsid w:val="004B36A9"/>
    <w:rsid w:val="004B5383"/>
    <w:rsid w:val="004C035D"/>
    <w:rsid w:val="004C1815"/>
    <w:rsid w:val="004C3873"/>
    <w:rsid w:val="004C5156"/>
    <w:rsid w:val="004C559B"/>
    <w:rsid w:val="004C71D0"/>
    <w:rsid w:val="004D093E"/>
    <w:rsid w:val="004D0A4B"/>
    <w:rsid w:val="004D33BA"/>
    <w:rsid w:val="004D54CD"/>
    <w:rsid w:val="004D5D1C"/>
    <w:rsid w:val="004D5FC7"/>
    <w:rsid w:val="004E1A93"/>
    <w:rsid w:val="004E4E3B"/>
    <w:rsid w:val="004E5695"/>
    <w:rsid w:val="004F103B"/>
    <w:rsid w:val="004F2C1B"/>
    <w:rsid w:val="004F71A5"/>
    <w:rsid w:val="004F78E4"/>
    <w:rsid w:val="005033C5"/>
    <w:rsid w:val="00506ECC"/>
    <w:rsid w:val="00513479"/>
    <w:rsid w:val="00514A20"/>
    <w:rsid w:val="0052404C"/>
    <w:rsid w:val="00525083"/>
    <w:rsid w:val="00525209"/>
    <w:rsid w:val="00525880"/>
    <w:rsid w:val="005307D3"/>
    <w:rsid w:val="005356A2"/>
    <w:rsid w:val="00540E6E"/>
    <w:rsid w:val="0054141D"/>
    <w:rsid w:val="00541C5D"/>
    <w:rsid w:val="00543F81"/>
    <w:rsid w:val="0055161D"/>
    <w:rsid w:val="00553D99"/>
    <w:rsid w:val="00560DB1"/>
    <w:rsid w:val="00560F1B"/>
    <w:rsid w:val="005613BF"/>
    <w:rsid w:val="0056261C"/>
    <w:rsid w:val="00562F08"/>
    <w:rsid w:val="005658F0"/>
    <w:rsid w:val="00571941"/>
    <w:rsid w:val="00572523"/>
    <w:rsid w:val="005726B7"/>
    <w:rsid w:val="005739CD"/>
    <w:rsid w:val="00573C42"/>
    <w:rsid w:val="00574282"/>
    <w:rsid w:val="00577453"/>
    <w:rsid w:val="0058308F"/>
    <w:rsid w:val="00586DEA"/>
    <w:rsid w:val="00587A3B"/>
    <w:rsid w:val="00590164"/>
    <w:rsid w:val="005946AB"/>
    <w:rsid w:val="005964AE"/>
    <w:rsid w:val="00597988"/>
    <w:rsid w:val="005A288F"/>
    <w:rsid w:val="005A62A2"/>
    <w:rsid w:val="005A66FB"/>
    <w:rsid w:val="005A7472"/>
    <w:rsid w:val="005A7782"/>
    <w:rsid w:val="005B08B5"/>
    <w:rsid w:val="005B3C66"/>
    <w:rsid w:val="005B7078"/>
    <w:rsid w:val="005C194A"/>
    <w:rsid w:val="005D11CC"/>
    <w:rsid w:val="005D26E7"/>
    <w:rsid w:val="005D4938"/>
    <w:rsid w:val="005D6D80"/>
    <w:rsid w:val="005E16F4"/>
    <w:rsid w:val="005E1DE9"/>
    <w:rsid w:val="005E217E"/>
    <w:rsid w:val="005E24BF"/>
    <w:rsid w:val="005E2CA8"/>
    <w:rsid w:val="005E4A8B"/>
    <w:rsid w:val="005E4F8D"/>
    <w:rsid w:val="005F2EFC"/>
    <w:rsid w:val="005F5459"/>
    <w:rsid w:val="005F6BD0"/>
    <w:rsid w:val="006005D7"/>
    <w:rsid w:val="006031CE"/>
    <w:rsid w:val="00603864"/>
    <w:rsid w:val="006055EF"/>
    <w:rsid w:val="00607DB4"/>
    <w:rsid w:val="00607EFA"/>
    <w:rsid w:val="00610107"/>
    <w:rsid w:val="006117FF"/>
    <w:rsid w:val="0061313D"/>
    <w:rsid w:val="006146DF"/>
    <w:rsid w:val="00615C7D"/>
    <w:rsid w:val="0062328E"/>
    <w:rsid w:val="006242D0"/>
    <w:rsid w:val="00624BB1"/>
    <w:rsid w:val="00624BC4"/>
    <w:rsid w:val="00627700"/>
    <w:rsid w:val="006315D6"/>
    <w:rsid w:val="00632368"/>
    <w:rsid w:val="00632F55"/>
    <w:rsid w:val="00633C6C"/>
    <w:rsid w:val="00635E70"/>
    <w:rsid w:val="00642BFA"/>
    <w:rsid w:val="006442B8"/>
    <w:rsid w:val="00644703"/>
    <w:rsid w:val="00651D0A"/>
    <w:rsid w:val="00651F6A"/>
    <w:rsid w:val="00652328"/>
    <w:rsid w:val="00652DB4"/>
    <w:rsid w:val="00656B5B"/>
    <w:rsid w:val="00657A31"/>
    <w:rsid w:val="00657A71"/>
    <w:rsid w:val="00661347"/>
    <w:rsid w:val="00663C51"/>
    <w:rsid w:val="00665106"/>
    <w:rsid w:val="00671635"/>
    <w:rsid w:val="00672EA4"/>
    <w:rsid w:val="006732C6"/>
    <w:rsid w:val="00677C07"/>
    <w:rsid w:val="00681AFE"/>
    <w:rsid w:val="0068466B"/>
    <w:rsid w:val="00684DDD"/>
    <w:rsid w:val="00684DFA"/>
    <w:rsid w:val="00685F9E"/>
    <w:rsid w:val="00687EB9"/>
    <w:rsid w:val="006911E1"/>
    <w:rsid w:val="00693C58"/>
    <w:rsid w:val="00693EEF"/>
    <w:rsid w:val="00696EA5"/>
    <w:rsid w:val="006A2A98"/>
    <w:rsid w:val="006A40DA"/>
    <w:rsid w:val="006B12C0"/>
    <w:rsid w:val="006B174D"/>
    <w:rsid w:val="006B2815"/>
    <w:rsid w:val="006B2F9C"/>
    <w:rsid w:val="006B462E"/>
    <w:rsid w:val="006B5130"/>
    <w:rsid w:val="006B676A"/>
    <w:rsid w:val="006C009C"/>
    <w:rsid w:val="006C0719"/>
    <w:rsid w:val="006C15AD"/>
    <w:rsid w:val="006C448B"/>
    <w:rsid w:val="006C508F"/>
    <w:rsid w:val="006C73F9"/>
    <w:rsid w:val="006C7A33"/>
    <w:rsid w:val="006D0AF3"/>
    <w:rsid w:val="006D10E5"/>
    <w:rsid w:val="006D3C21"/>
    <w:rsid w:val="006E5AE4"/>
    <w:rsid w:val="006E6DE4"/>
    <w:rsid w:val="006F3275"/>
    <w:rsid w:val="006F38D9"/>
    <w:rsid w:val="006F5C65"/>
    <w:rsid w:val="0070349D"/>
    <w:rsid w:val="00707DBA"/>
    <w:rsid w:val="00713791"/>
    <w:rsid w:val="007159F8"/>
    <w:rsid w:val="00717045"/>
    <w:rsid w:val="0072322E"/>
    <w:rsid w:val="00723988"/>
    <w:rsid w:val="00724C8A"/>
    <w:rsid w:val="00732C2D"/>
    <w:rsid w:val="00736A29"/>
    <w:rsid w:val="007378A3"/>
    <w:rsid w:val="00742BE8"/>
    <w:rsid w:val="0075204E"/>
    <w:rsid w:val="00752390"/>
    <w:rsid w:val="00754826"/>
    <w:rsid w:val="007617F5"/>
    <w:rsid w:val="007629C6"/>
    <w:rsid w:val="007640D3"/>
    <w:rsid w:val="00785B55"/>
    <w:rsid w:val="00787DC4"/>
    <w:rsid w:val="00792D7B"/>
    <w:rsid w:val="00795A90"/>
    <w:rsid w:val="00796C81"/>
    <w:rsid w:val="007A038F"/>
    <w:rsid w:val="007A27FC"/>
    <w:rsid w:val="007A638C"/>
    <w:rsid w:val="007A6D22"/>
    <w:rsid w:val="007B0849"/>
    <w:rsid w:val="007B1CBD"/>
    <w:rsid w:val="007B3371"/>
    <w:rsid w:val="007C1CD2"/>
    <w:rsid w:val="007C20D9"/>
    <w:rsid w:val="007C22B1"/>
    <w:rsid w:val="007C2882"/>
    <w:rsid w:val="007C7C50"/>
    <w:rsid w:val="007E172C"/>
    <w:rsid w:val="007E4289"/>
    <w:rsid w:val="007F5B42"/>
    <w:rsid w:val="007F6797"/>
    <w:rsid w:val="007F7CDB"/>
    <w:rsid w:val="00800AAE"/>
    <w:rsid w:val="00803AB5"/>
    <w:rsid w:val="00804831"/>
    <w:rsid w:val="00807BE4"/>
    <w:rsid w:val="008122AF"/>
    <w:rsid w:val="00812624"/>
    <w:rsid w:val="0081452B"/>
    <w:rsid w:val="00816CE0"/>
    <w:rsid w:val="00821289"/>
    <w:rsid w:val="0082259A"/>
    <w:rsid w:val="00824667"/>
    <w:rsid w:val="0082666B"/>
    <w:rsid w:val="00832246"/>
    <w:rsid w:val="00832319"/>
    <w:rsid w:val="008347F3"/>
    <w:rsid w:val="00834F29"/>
    <w:rsid w:val="00836234"/>
    <w:rsid w:val="00836FDA"/>
    <w:rsid w:val="00842944"/>
    <w:rsid w:val="00842B28"/>
    <w:rsid w:val="00846A83"/>
    <w:rsid w:val="00847D66"/>
    <w:rsid w:val="00850A16"/>
    <w:rsid w:val="0085406B"/>
    <w:rsid w:val="00854551"/>
    <w:rsid w:val="00855F89"/>
    <w:rsid w:val="008561DB"/>
    <w:rsid w:val="00863098"/>
    <w:rsid w:val="0086359B"/>
    <w:rsid w:val="00865236"/>
    <w:rsid w:val="00865ADC"/>
    <w:rsid w:val="00871203"/>
    <w:rsid w:val="008716A8"/>
    <w:rsid w:val="00871861"/>
    <w:rsid w:val="008735F9"/>
    <w:rsid w:val="008735FF"/>
    <w:rsid w:val="00875004"/>
    <w:rsid w:val="0087625C"/>
    <w:rsid w:val="00876FE0"/>
    <w:rsid w:val="0088465F"/>
    <w:rsid w:val="00886401"/>
    <w:rsid w:val="00886440"/>
    <w:rsid w:val="00887614"/>
    <w:rsid w:val="00896CC9"/>
    <w:rsid w:val="00896FD9"/>
    <w:rsid w:val="008971EA"/>
    <w:rsid w:val="00897945"/>
    <w:rsid w:val="008A2197"/>
    <w:rsid w:val="008A4B3F"/>
    <w:rsid w:val="008B247F"/>
    <w:rsid w:val="008B3D57"/>
    <w:rsid w:val="008B4B20"/>
    <w:rsid w:val="008B4E17"/>
    <w:rsid w:val="008C1ACE"/>
    <w:rsid w:val="008C277F"/>
    <w:rsid w:val="008C31D4"/>
    <w:rsid w:val="008C400F"/>
    <w:rsid w:val="008C52CD"/>
    <w:rsid w:val="008C5C35"/>
    <w:rsid w:val="008C605C"/>
    <w:rsid w:val="008D0E91"/>
    <w:rsid w:val="008E3896"/>
    <w:rsid w:val="008E5BBA"/>
    <w:rsid w:val="008F180D"/>
    <w:rsid w:val="008F3617"/>
    <w:rsid w:val="008F4AEC"/>
    <w:rsid w:val="00901C70"/>
    <w:rsid w:val="00902E86"/>
    <w:rsid w:val="00904B45"/>
    <w:rsid w:val="009060BF"/>
    <w:rsid w:val="00906C0D"/>
    <w:rsid w:val="009114F7"/>
    <w:rsid w:val="0091303C"/>
    <w:rsid w:val="009130B3"/>
    <w:rsid w:val="00914F6A"/>
    <w:rsid w:val="0091562B"/>
    <w:rsid w:val="0091763A"/>
    <w:rsid w:val="00922AEB"/>
    <w:rsid w:val="00934446"/>
    <w:rsid w:val="009412D0"/>
    <w:rsid w:val="009438DB"/>
    <w:rsid w:val="00945A99"/>
    <w:rsid w:val="0094617F"/>
    <w:rsid w:val="00946936"/>
    <w:rsid w:val="00947305"/>
    <w:rsid w:val="00950DEE"/>
    <w:rsid w:val="009512F8"/>
    <w:rsid w:val="00952BCB"/>
    <w:rsid w:val="009568EE"/>
    <w:rsid w:val="009575B1"/>
    <w:rsid w:val="00960F35"/>
    <w:rsid w:val="00961358"/>
    <w:rsid w:val="00962042"/>
    <w:rsid w:val="00963D26"/>
    <w:rsid w:val="00963F43"/>
    <w:rsid w:val="0096432A"/>
    <w:rsid w:val="00964E4F"/>
    <w:rsid w:val="00966036"/>
    <w:rsid w:val="00967B51"/>
    <w:rsid w:val="00970772"/>
    <w:rsid w:val="00972696"/>
    <w:rsid w:val="0097354A"/>
    <w:rsid w:val="00974A85"/>
    <w:rsid w:val="009752A4"/>
    <w:rsid w:val="00977F80"/>
    <w:rsid w:val="00981FE6"/>
    <w:rsid w:val="009835A6"/>
    <w:rsid w:val="00985E3E"/>
    <w:rsid w:val="0099203E"/>
    <w:rsid w:val="009925B4"/>
    <w:rsid w:val="009946B2"/>
    <w:rsid w:val="00995D36"/>
    <w:rsid w:val="00997CEC"/>
    <w:rsid w:val="009A10AC"/>
    <w:rsid w:val="009A18F4"/>
    <w:rsid w:val="009A21F4"/>
    <w:rsid w:val="009A27E7"/>
    <w:rsid w:val="009A4F16"/>
    <w:rsid w:val="009C0C29"/>
    <w:rsid w:val="009C23ED"/>
    <w:rsid w:val="009C5D2A"/>
    <w:rsid w:val="009D2DFA"/>
    <w:rsid w:val="009D304D"/>
    <w:rsid w:val="009D375E"/>
    <w:rsid w:val="009E016E"/>
    <w:rsid w:val="009E3AE1"/>
    <w:rsid w:val="009E5386"/>
    <w:rsid w:val="009E5FA7"/>
    <w:rsid w:val="009E7B60"/>
    <w:rsid w:val="009F0BFD"/>
    <w:rsid w:val="009F2449"/>
    <w:rsid w:val="009F2B92"/>
    <w:rsid w:val="009F539B"/>
    <w:rsid w:val="009F6878"/>
    <w:rsid w:val="00A00063"/>
    <w:rsid w:val="00A00AC6"/>
    <w:rsid w:val="00A0408D"/>
    <w:rsid w:val="00A051BB"/>
    <w:rsid w:val="00A11FB0"/>
    <w:rsid w:val="00A12F3F"/>
    <w:rsid w:val="00A221AD"/>
    <w:rsid w:val="00A23D76"/>
    <w:rsid w:val="00A27C3A"/>
    <w:rsid w:val="00A36325"/>
    <w:rsid w:val="00A370C4"/>
    <w:rsid w:val="00A371D0"/>
    <w:rsid w:val="00A44FE5"/>
    <w:rsid w:val="00A5173E"/>
    <w:rsid w:val="00A5666E"/>
    <w:rsid w:val="00A57F3B"/>
    <w:rsid w:val="00A63650"/>
    <w:rsid w:val="00A63ECA"/>
    <w:rsid w:val="00A64ABA"/>
    <w:rsid w:val="00A71B95"/>
    <w:rsid w:val="00A757A5"/>
    <w:rsid w:val="00A83F42"/>
    <w:rsid w:val="00A85EF3"/>
    <w:rsid w:val="00A941A9"/>
    <w:rsid w:val="00AA07FC"/>
    <w:rsid w:val="00AA1131"/>
    <w:rsid w:val="00AA1ADA"/>
    <w:rsid w:val="00AA26F1"/>
    <w:rsid w:val="00AA3A9D"/>
    <w:rsid w:val="00AA641D"/>
    <w:rsid w:val="00AA6E5E"/>
    <w:rsid w:val="00AA6F17"/>
    <w:rsid w:val="00AA79FE"/>
    <w:rsid w:val="00AB670C"/>
    <w:rsid w:val="00AB74DE"/>
    <w:rsid w:val="00AC0CF4"/>
    <w:rsid w:val="00AC1350"/>
    <w:rsid w:val="00AC3376"/>
    <w:rsid w:val="00AC3E1E"/>
    <w:rsid w:val="00AC405F"/>
    <w:rsid w:val="00AC663A"/>
    <w:rsid w:val="00AC723D"/>
    <w:rsid w:val="00AD0716"/>
    <w:rsid w:val="00AD224C"/>
    <w:rsid w:val="00AD2FE0"/>
    <w:rsid w:val="00AD4F0E"/>
    <w:rsid w:val="00AD5EB9"/>
    <w:rsid w:val="00AD6112"/>
    <w:rsid w:val="00AE46E4"/>
    <w:rsid w:val="00AE6566"/>
    <w:rsid w:val="00B01758"/>
    <w:rsid w:val="00B035DF"/>
    <w:rsid w:val="00B0557D"/>
    <w:rsid w:val="00B05944"/>
    <w:rsid w:val="00B059C3"/>
    <w:rsid w:val="00B0665B"/>
    <w:rsid w:val="00B06762"/>
    <w:rsid w:val="00B1089A"/>
    <w:rsid w:val="00B14D4F"/>
    <w:rsid w:val="00B20F43"/>
    <w:rsid w:val="00B2206C"/>
    <w:rsid w:val="00B22617"/>
    <w:rsid w:val="00B24117"/>
    <w:rsid w:val="00B34FFD"/>
    <w:rsid w:val="00B4523D"/>
    <w:rsid w:val="00B50C60"/>
    <w:rsid w:val="00B53B55"/>
    <w:rsid w:val="00B555D5"/>
    <w:rsid w:val="00B55E2A"/>
    <w:rsid w:val="00B564A2"/>
    <w:rsid w:val="00B616C0"/>
    <w:rsid w:val="00B6387B"/>
    <w:rsid w:val="00B644B2"/>
    <w:rsid w:val="00B6530A"/>
    <w:rsid w:val="00B66E1B"/>
    <w:rsid w:val="00B70738"/>
    <w:rsid w:val="00B71268"/>
    <w:rsid w:val="00B71687"/>
    <w:rsid w:val="00B771D3"/>
    <w:rsid w:val="00B8113C"/>
    <w:rsid w:val="00B83033"/>
    <w:rsid w:val="00B83C55"/>
    <w:rsid w:val="00B83E2C"/>
    <w:rsid w:val="00B84BA4"/>
    <w:rsid w:val="00B90FF8"/>
    <w:rsid w:val="00B92374"/>
    <w:rsid w:val="00B93D49"/>
    <w:rsid w:val="00B9708B"/>
    <w:rsid w:val="00B978D7"/>
    <w:rsid w:val="00BA07B0"/>
    <w:rsid w:val="00BA14FC"/>
    <w:rsid w:val="00BA2A9C"/>
    <w:rsid w:val="00BA5043"/>
    <w:rsid w:val="00BB29F8"/>
    <w:rsid w:val="00BB3107"/>
    <w:rsid w:val="00BB3F52"/>
    <w:rsid w:val="00BB4950"/>
    <w:rsid w:val="00BB51E0"/>
    <w:rsid w:val="00BB5B04"/>
    <w:rsid w:val="00BB640F"/>
    <w:rsid w:val="00BB7764"/>
    <w:rsid w:val="00BB7FA1"/>
    <w:rsid w:val="00BC0693"/>
    <w:rsid w:val="00BC1FC8"/>
    <w:rsid w:val="00BC2122"/>
    <w:rsid w:val="00BC440B"/>
    <w:rsid w:val="00BC4A5B"/>
    <w:rsid w:val="00BC5103"/>
    <w:rsid w:val="00BC657C"/>
    <w:rsid w:val="00BD0168"/>
    <w:rsid w:val="00BD4CA7"/>
    <w:rsid w:val="00BE0799"/>
    <w:rsid w:val="00BE07B5"/>
    <w:rsid w:val="00BE08B9"/>
    <w:rsid w:val="00BE18D2"/>
    <w:rsid w:val="00BE3EAF"/>
    <w:rsid w:val="00BE4D7F"/>
    <w:rsid w:val="00BE77FA"/>
    <w:rsid w:val="00BF19B2"/>
    <w:rsid w:val="00BF1C5F"/>
    <w:rsid w:val="00BF38F3"/>
    <w:rsid w:val="00BF4BDC"/>
    <w:rsid w:val="00BF5204"/>
    <w:rsid w:val="00BF6110"/>
    <w:rsid w:val="00BF7C1A"/>
    <w:rsid w:val="00BF7D66"/>
    <w:rsid w:val="00C02BB2"/>
    <w:rsid w:val="00C0412D"/>
    <w:rsid w:val="00C05411"/>
    <w:rsid w:val="00C062B7"/>
    <w:rsid w:val="00C07873"/>
    <w:rsid w:val="00C12691"/>
    <w:rsid w:val="00C14673"/>
    <w:rsid w:val="00C151A1"/>
    <w:rsid w:val="00C16813"/>
    <w:rsid w:val="00C17C99"/>
    <w:rsid w:val="00C27817"/>
    <w:rsid w:val="00C31162"/>
    <w:rsid w:val="00C3153A"/>
    <w:rsid w:val="00C3278D"/>
    <w:rsid w:val="00C32D10"/>
    <w:rsid w:val="00C3388F"/>
    <w:rsid w:val="00C4040B"/>
    <w:rsid w:val="00C4201E"/>
    <w:rsid w:val="00C429B8"/>
    <w:rsid w:val="00C4652F"/>
    <w:rsid w:val="00C522F4"/>
    <w:rsid w:val="00C527D9"/>
    <w:rsid w:val="00C568B6"/>
    <w:rsid w:val="00C60238"/>
    <w:rsid w:val="00C60DC5"/>
    <w:rsid w:val="00C62084"/>
    <w:rsid w:val="00C6745D"/>
    <w:rsid w:val="00C67705"/>
    <w:rsid w:val="00C718AF"/>
    <w:rsid w:val="00C739AE"/>
    <w:rsid w:val="00C73F03"/>
    <w:rsid w:val="00C76CCA"/>
    <w:rsid w:val="00C772B5"/>
    <w:rsid w:val="00C7757A"/>
    <w:rsid w:val="00C7786E"/>
    <w:rsid w:val="00C77E64"/>
    <w:rsid w:val="00C8191D"/>
    <w:rsid w:val="00C84AA4"/>
    <w:rsid w:val="00C917B4"/>
    <w:rsid w:val="00C9277E"/>
    <w:rsid w:val="00C929A0"/>
    <w:rsid w:val="00C9769B"/>
    <w:rsid w:val="00CA0C47"/>
    <w:rsid w:val="00CA0CBE"/>
    <w:rsid w:val="00CA1537"/>
    <w:rsid w:val="00CA22AA"/>
    <w:rsid w:val="00CA23F3"/>
    <w:rsid w:val="00CA3EB0"/>
    <w:rsid w:val="00CB0182"/>
    <w:rsid w:val="00CB28B6"/>
    <w:rsid w:val="00CB43CF"/>
    <w:rsid w:val="00CC3057"/>
    <w:rsid w:val="00CC32F8"/>
    <w:rsid w:val="00CC3E44"/>
    <w:rsid w:val="00CC40AA"/>
    <w:rsid w:val="00CC6478"/>
    <w:rsid w:val="00CE07F9"/>
    <w:rsid w:val="00CE0ADB"/>
    <w:rsid w:val="00CE1F18"/>
    <w:rsid w:val="00CE3745"/>
    <w:rsid w:val="00CF01F4"/>
    <w:rsid w:val="00CF07AB"/>
    <w:rsid w:val="00CF1BC2"/>
    <w:rsid w:val="00CF71FC"/>
    <w:rsid w:val="00CF775C"/>
    <w:rsid w:val="00D01B5F"/>
    <w:rsid w:val="00D061D6"/>
    <w:rsid w:val="00D11330"/>
    <w:rsid w:val="00D1147F"/>
    <w:rsid w:val="00D134D7"/>
    <w:rsid w:val="00D14DCB"/>
    <w:rsid w:val="00D1675E"/>
    <w:rsid w:val="00D169C9"/>
    <w:rsid w:val="00D16B57"/>
    <w:rsid w:val="00D17A78"/>
    <w:rsid w:val="00D206D3"/>
    <w:rsid w:val="00D24CC5"/>
    <w:rsid w:val="00D268FA"/>
    <w:rsid w:val="00D3206B"/>
    <w:rsid w:val="00D35AC3"/>
    <w:rsid w:val="00D447C3"/>
    <w:rsid w:val="00D44E6D"/>
    <w:rsid w:val="00D455BA"/>
    <w:rsid w:val="00D4606D"/>
    <w:rsid w:val="00D51F8E"/>
    <w:rsid w:val="00D5249E"/>
    <w:rsid w:val="00D617F5"/>
    <w:rsid w:val="00D62D7F"/>
    <w:rsid w:val="00D6348B"/>
    <w:rsid w:val="00D634F6"/>
    <w:rsid w:val="00D702F8"/>
    <w:rsid w:val="00D73E12"/>
    <w:rsid w:val="00D854AB"/>
    <w:rsid w:val="00D85802"/>
    <w:rsid w:val="00D908C1"/>
    <w:rsid w:val="00D911A0"/>
    <w:rsid w:val="00D91D4F"/>
    <w:rsid w:val="00DA10D1"/>
    <w:rsid w:val="00DA23EC"/>
    <w:rsid w:val="00DA53DE"/>
    <w:rsid w:val="00DA7628"/>
    <w:rsid w:val="00DA7E99"/>
    <w:rsid w:val="00DB158F"/>
    <w:rsid w:val="00DB4143"/>
    <w:rsid w:val="00DB574F"/>
    <w:rsid w:val="00DB64DC"/>
    <w:rsid w:val="00DC11FA"/>
    <w:rsid w:val="00DC5F87"/>
    <w:rsid w:val="00DC7426"/>
    <w:rsid w:val="00DD4DF7"/>
    <w:rsid w:val="00DE017A"/>
    <w:rsid w:val="00DE22D3"/>
    <w:rsid w:val="00DE4B5C"/>
    <w:rsid w:val="00DF02F7"/>
    <w:rsid w:val="00DF03BC"/>
    <w:rsid w:val="00DF14FB"/>
    <w:rsid w:val="00DF28CD"/>
    <w:rsid w:val="00DF39D0"/>
    <w:rsid w:val="00DF5A67"/>
    <w:rsid w:val="00DF6567"/>
    <w:rsid w:val="00E05745"/>
    <w:rsid w:val="00E126F6"/>
    <w:rsid w:val="00E172F1"/>
    <w:rsid w:val="00E221C5"/>
    <w:rsid w:val="00E24F52"/>
    <w:rsid w:val="00E26C51"/>
    <w:rsid w:val="00E31267"/>
    <w:rsid w:val="00E31CEA"/>
    <w:rsid w:val="00E428E4"/>
    <w:rsid w:val="00E51E19"/>
    <w:rsid w:val="00E61295"/>
    <w:rsid w:val="00E62682"/>
    <w:rsid w:val="00E6665F"/>
    <w:rsid w:val="00E67E71"/>
    <w:rsid w:val="00E71F12"/>
    <w:rsid w:val="00E72BAA"/>
    <w:rsid w:val="00E7332D"/>
    <w:rsid w:val="00E755D3"/>
    <w:rsid w:val="00E81841"/>
    <w:rsid w:val="00E82A0E"/>
    <w:rsid w:val="00E82A2F"/>
    <w:rsid w:val="00E86251"/>
    <w:rsid w:val="00E862EB"/>
    <w:rsid w:val="00E867CC"/>
    <w:rsid w:val="00E91EAF"/>
    <w:rsid w:val="00E94A53"/>
    <w:rsid w:val="00E95B68"/>
    <w:rsid w:val="00E971ED"/>
    <w:rsid w:val="00EA102C"/>
    <w:rsid w:val="00EA4A18"/>
    <w:rsid w:val="00EB0322"/>
    <w:rsid w:val="00EB64BD"/>
    <w:rsid w:val="00EB6C7A"/>
    <w:rsid w:val="00EC29F0"/>
    <w:rsid w:val="00EC7BE3"/>
    <w:rsid w:val="00ED390B"/>
    <w:rsid w:val="00EE6BAF"/>
    <w:rsid w:val="00EF10EC"/>
    <w:rsid w:val="00EF11EA"/>
    <w:rsid w:val="00EF2026"/>
    <w:rsid w:val="00EF4B3A"/>
    <w:rsid w:val="00EF532C"/>
    <w:rsid w:val="00F03B80"/>
    <w:rsid w:val="00F045AF"/>
    <w:rsid w:val="00F04B97"/>
    <w:rsid w:val="00F070A6"/>
    <w:rsid w:val="00F11637"/>
    <w:rsid w:val="00F13448"/>
    <w:rsid w:val="00F15111"/>
    <w:rsid w:val="00F17698"/>
    <w:rsid w:val="00F224A8"/>
    <w:rsid w:val="00F22B2D"/>
    <w:rsid w:val="00F22EEC"/>
    <w:rsid w:val="00F233B6"/>
    <w:rsid w:val="00F23B3B"/>
    <w:rsid w:val="00F240D1"/>
    <w:rsid w:val="00F2431D"/>
    <w:rsid w:val="00F27058"/>
    <w:rsid w:val="00F27295"/>
    <w:rsid w:val="00F31B25"/>
    <w:rsid w:val="00F3291F"/>
    <w:rsid w:val="00F37F11"/>
    <w:rsid w:val="00F41253"/>
    <w:rsid w:val="00F425E7"/>
    <w:rsid w:val="00F444C5"/>
    <w:rsid w:val="00F447FC"/>
    <w:rsid w:val="00F45E99"/>
    <w:rsid w:val="00F500E8"/>
    <w:rsid w:val="00F51A31"/>
    <w:rsid w:val="00F54C25"/>
    <w:rsid w:val="00F55080"/>
    <w:rsid w:val="00F65AD2"/>
    <w:rsid w:val="00F70528"/>
    <w:rsid w:val="00F717CA"/>
    <w:rsid w:val="00F72241"/>
    <w:rsid w:val="00F73995"/>
    <w:rsid w:val="00F74CFD"/>
    <w:rsid w:val="00F753FB"/>
    <w:rsid w:val="00F75E77"/>
    <w:rsid w:val="00F81891"/>
    <w:rsid w:val="00F82AD4"/>
    <w:rsid w:val="00F83461"/>
    <w:rsid w:val="00F836BB"/>
    <w:rsid w:val="00F83B80"/>
    <w:rsid w:val="00F848F9"/>
    <w:rsid w:val="00F963FE"/>
    <w:rsid w:val="00F96B00"/>
    <w:rsid w:val="00F96D59"/>
    <w:rsid w:val="00FA0F99"/>
    <w:rsid w:val="00FA3DFE"/>
    <w:rsid w:val="00FA433D"/>
    <w:rsid w:val="00FA5E4C"/>
    <w:rsid w:val="00FB039B"/>
    <w:rsid w:val="00FB0DD3"/>
    <w:rsid w:val="00FB2783"/>
    <w:rsid w:val="00FB4E9A"/>
    <w:rsid w:val="00FB5FCB"/>
    <w:rsid w:val="00FC3ABA"/>
    <w:rsid w:val="00FC465D"/>
    <w:rsid w:val="00FC4CD6"/>
    <w:rsid w:val="00FC7678"/>
    <w:rsid w:val="00FD2341"/>
    <w:rsid w:val="00FD4D8E"/>
    <w:rsid w:val="00FD78AE"/>
    <w:rsid w:val="00FE20FA"/>
    <w:rsid w:val="00FE2193"/>
    <w:rsid w:val="00FE3094"/>
    <w:rsid w:val="00FE62BA"/>
    <w:rsid w:val="00FF442B"/>
    <w:rsid w:val="00FF4A3D"/>
    <w:rsid w:val="00FF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EF6D5C1-0BF2-4E32-95CD-09E091F3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18F4"/>
    <w:pPr>
      <w:widowControl w:val="0"/>
      <w:jc w:val="both"/>
    </w:pPr>
    <w:rPr>
      <w:rFonts w:ascii="Times New Roman" w:hAnsi="Times New Roman"/>
      <w:kern w:val="2"/>
      <w:sz w:val="21"/>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9A18F4"/>
    <w:rPr>
      <w:rFonts w:ascii="Times New Roman" w:eastAsia="宋体" w:hAnsi="Times New Roman" w:cs="Times New Roman"/>
      <w:b/>
      <w:bCs/>
      <w:kern w:val="44"/>
      <w:sz w:val="44"/>
      <w:szCs w:val="44"/>
    </w:rPr>
  </w:style>
  <w:style w:type="character" w:customStyle="1" w:styleId="2Char">
    <w:name w:val="标题 2 Char"/>
    <w:link w:val="2"/>
    <w:rsid w:val="009A18F4"/>
    <w:rPr>
      <w:rFonts w:ascii="Arial" w:eastAsia="黑体" w:hAnsi="Arial" w:cs="Times New Roman"/>
      <w:b/>
      <w:bCs/>
      <w:sz w:val="32"/>
      <w:szCs w:val="32"/>
    </w:rPr>
  </w:style>
  <w:style w:type="character" w:customStyle="1" w:styleId="3Char">
    <w:name w:val="标题 3 Char"/>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kern w:val="0"/>
      <w:sz w:val="18"/>
      <w:szCs w:val="18"/>
    </w:rPr>
  </w:style>
  <w:style w:type="character" w:customStyle="1" w:styleId="Char">
    <w:name w:val="页眉 Char"/>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kern w:val="0"/>
      <w:sz w:val="18"/>
      <w:szCs w:val="18"/>
    </w:rPr>
  </w:style>
  <w:style w:type="character" w:customStyle="1" w:styleId="Char0">
    <w:name w:val="页脚 Char"/>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kern w:val="0"/>
      <w:sz w:val="20"/>
      <w:szCs w:val="21"/>
    </w:rPr>
  </w:style>
  <w:style w:type="character" w:customStyle="1" w:styleId="Char1">
    <w:name w:val="纯文本 Char"/>
    <w:link w:val="a8"/>
    <w:uiPriority w:val="99"/>
    <w:rsid w:val="009A18F4"/>
    <w:rPr>
      <w:rFonts w:ascii="宋体" w:eastAsia="宋体" w:hAnsi="Courier New" w:cs="Courier New"/>
      <w:szCs w:val="21"/>
    </w:rPr>
  </w:style>
  <w:style w:type="table" w:customStyle="1" w:styleId="10">
    <w:name w:val="浅色底纹1"/>
    <w:basedOn w:val="a2"/>
    <w:uiPriority w:val="60"/>
    <w:rsid w:val="009A18F4"/>
    <w:rPr>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kern w:val="0"/>
      <w:sz w:val="18"/>
      <w:szCs w:val="18"/>
    </w:rPr>
  </w:style>
  <w:style w:type="character" w:customStyle="1" w:styleId="Char2">
    <w:name w:val="批注框文本 Char"/>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kern w:val="0"/>
      <w:sz w:val="18"/>
      <w:szCs w:val="18"/>
    </w:rPr>
  </w:style>
  <w:style w:type="character" w:customStyle="1" w:styleId="Char3">
    <w:name w:val="脚注文本 Char"/>
    <w:link w:val="aa"/>
    <w:semiHidden/>
    <w:rsid w:val="009A18F4"/>
    <w:rPr>
      <w:rFonts w:ascii="Times New Roman" w:eastAsia="宋体" w:hAnsi="Times New Roman" w:cs="Times New Roman"/>
      <w:sz w:val="18"/>
      <w:szCs w:val="18"/>
    </w:rPr>
  </w:style>
  <w:style w:type="character" w:styleId="ab">
    <w:name w:val="footnote reference"/>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rsid w:val="009A18F4"/>
    <w:rPr>
      <w:color w:val="0000FF"/>
      <w:u w:val="single"/>
    </w:rPr>
  </w:style>
  <w:style w:type="paragraph" w:styleId="ad">
    <w:name w:val="Date"/>
    <w:basedOn w:val="a0"/>
    <w:next w:val="a0"/>
    <w:link w:val="Char4"/>
    <w:rsid w:val="009A18F4"/>
    <w:pPr>
      <w:ind w:leftChars="2500" w:left="100"/>
    </w:pPr>
    <w:rPr>
      <w:kern w:val="0"/>
      <w:sz w:val="20"/>
    </w:rPr>
  </w:style>
  <w:style w:type="character" w:customStyle="1" w:styleId="Char4">
    <w:name w:val="日期 Char"/>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uiPriority w:val="22"/>
    <w:qFormat/>
    <w:rsid w:val="009A18F4"/>
    <w:rPr>
      <w:b/>
      <w:bCs/>
    </w:rPr>
  </w:style>
  <w:style w:type="character" w:styleId="af">
    <w:name w:val="Emphasis"/>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sz w:val="22"/>
    </w:rPr>
  </w:style>
  <w:style w:type="character" w:customStyle="1" w:styleId="Char5">
    <w:name w:val="无间隔 Char"/>
    <w:link w:val="af1"/>
    <w:uiPriority w:val="1"/>
    <w:rsid w:val="009A18F4"/>
    <w:rPr>
      <w:sz w:val="22"/>
      <w:lang w:bidi="ar-SA"/>
    </w:rPr>
  </w:style>
  <w:style w:type="paragraph" w:customStyle="1" w:styleId="Default">
    <w:name w:val="Default"/>
    <w:rsid w:val="009A18F4"/>
    <w:pPr>
      <w:widowControl w:val="0"/>
      <w:autoSpaceDE w:val="0"/>
      <w:autoSpaceDN w:val="0"/>
      <w:adjustRightInd w:val="0"/>
    </w:pPr>
    <w:rPr>
      <w:rFonts w:ascii="宋体" w:hAnsi="Times New Roman" w:cs="宋体"/>
      <w:color w:val="000000"/>
      <w:sz w:val="24"/>
      <w:szCs w:val="24"/>
    </w:rPr>
  </w:style>
  <w:style w:type="character" w:styleId="af2">
    <w:name w:val="FollowedHyperlink"/>
    <w:rsid w:val="009A18F4"/>
    <w:rPr>
      <w:color w:val="800080"/>
      <w:u w:val="single"/>
    </w:rPr>
  </w:style>
  <w:style w:type="paragraph" w:styleId="z-">
    <w:name w:val="HTML Top of Form"/>
    <w:basedOn w:val="a0"/>
    <w:next w:val="a0"/>
    <w:link w:val="z-Char"/>
    <w:hidden/>
    <w:uiPriority w:val="99"/>
    <w:semiHidden/>
    <w:unhideWhenUsed/>
    <w:rsid w:val="004262A0"/>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uiPriority w:val="99"/>
    <w:semiHidden/>
    <w:rsid w:val="004262A0"/>
    <w:rPr>
      <w:rFonts w:ascii="Arial" w:hAnsi="Arial" w:cs="Arial"/>
      <w:vanish/>
      <w:sz w:val="16"/>
      <w:szCs w:val="16"/>
    </w:rPr>
  </w:style>
  <w:style w:type="paragraph" w:styleId="z-0">
    <w:name w:val="HTML Bottom of Form"/>
    <w:basedOn w:val="a0"/>
    <w:next w:val="a0"/>
    <w:link w:val="z-Char0"/>
    <w:hidden/>
    <w:uiPriority w:val="99"/>
    <w:semiHidden/>
    <w:unhideWhenUsed/>
    <w:rsid w:val="004262A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uiPriority w:val="99"/>
    <w:semiHidden/>
    <w:rsid w:val="004262A0"/>
    <w:rPr>
      <w:rFonts w:ascii="Arial" w:hAnsi="Arial" w:cs="Arial"/>
      <w:vanish/>
      <w:sz w:val="16"/>
      <w:szCs w:val="16"/>
    </w:rPr>
  </w:style>
  <w:style w:type="character" w:styleId="af3">
    <w:name w:val="annotation reference"/>
    <w:basedOn w:val="a1"/>
    <w:uiPriority w:val="99"/>
    <w:semiHidden/>
    <w:unhideWhenUsed/>
    <w:rsid w:val="00732C2D"/>
    <w:rPr>
      <w:sz w:val="21"/>
      <w:szCs w:val="21"/>
    </w:rPr>
  </w:style>
  <w:style w:type="paragraph" w:styleId="af4">
    <w:name w:val="annotation text"/>
    <w:basedOn w:val="a0"/>
    <w:link w:val="Char6"/>
    <w:uiPriority w:val="99"/>
    <w:semiHidden/>
    <w:unhideWhenUsed/>
    <w:rsid w:val="00732C2D"/>
    <w:pPr>
      <w:jc w:val="left"/>
    </w:pPr>
  </w:style>
  <w:style w:type="character" w:customStyle="1" w:styleId="Char6">
    <w:name w:val="批注文字 Char"/>
    <w:basedOn w:val="a1"/>
    <w:link w:val="af4"/>
    <w:uiPriority w:val="99"/>
    <w:semiHidden/>
    <w:rsid w:val="00732C2D"/>
    <w:rPr>
      <w:rFonts w:ascii="Times New Roman" w:hAnsi="Times New Roman"/>
      <w:kern w:val="2"/>
      <w:sz w:val="21"/>
      <w:szCs w:val="24"/>
    </w:rPr>
  </w:style>
  <w:style w:type="paragraph" w:styleId="af5">
    <w:name w:val="annotation subject"/>
    <w:basedOn w:val="af4"/>
    <w:next w:val="af4"/>
    <w:link w:val="Char7"/>
    <w:uiPriority w:val="99"/>
    <w:semiHidden/>
    <w:unhideWhenUsed/>
    <w:rsid w:val="00732C2D"/>
    <w:rPr>
      <w:b/>
      <w:bCs/>
    </w:rPr>
  </w:style>
  <w:style w:type="character" w:customStyle="1" w:styleId="Char7">
    <w:name w:val="批注主题 Char"/>
    <w:basedOn w:val="Char6"/>
    <w:link w:val="af5"/>
    <w:uiPriority w:val="99"/>
    <w:semiHidden/>
    <w:rsid w:val="00732C2D"/>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3027">
      <w:bodyDiv w:val="1"/>
      <w:marLeft w:val="0"/>
      <w:marRight w:val="0"/>
      <w:marTop w:val="0"/>
      <w:marBottom w:val="0"/>
      <w:divBdr>
        <w:top w:val="none" w:sz="0" w:space="0" w:color="auto"/>
        <w:left w:val="none" w:sz="0" w:space="0" w:color="auto"/>
        <w:bottom w:val="none" w:sz="0" w:space="0" w:color="auto"/>
        <w:right w:val="none" w:sz="0" w:space="0" w:color="auto"/>
      </w:divBdr>
    </w:div>
    <w:div w:id="222327402">
      <w:bodyDiv w:val="1"/>
      <w:marLeft w:val="0"/>
      <w:marRight w:val="0"/>
      <w:marTop w:val="0"/>
      <w:marBottom w:val="0"/>
      <w:divBdr>
        <w:top w:val="none" w:sz="0" w:space="0" w:color="auto"/>
        <w:left w:val="none" w:sz="0" w:space="0" w:color="auto"/>
        <w:bottom w:val="none" w:sz="0" w:space="0" w:color="auto"/>
        <w:right w:val="none" w:sz="0" w:space="0" w:color="auto"/>
      </w:divBdr>
    </w:div>
    <w:div w:id="223611858">
      <w:bodyDiv w:val="1"/>
      <w:marLeft w:val="0"/>
      <w:marRight w:val="0"/>
      <w:marTop w:val="0"/>
      <w:marBottom w:val="0"/>
      <w:divBdr>
        <w:top w:val="none" w:sz="0" w:space="0" w:color="auto"/>
        <w:left w:val="none" w:sz="0" w:space="0" w:color="auto"/>
        <w:bottom w:val="none" w:sz="0" w:space="0" w:color="auto"/>
        <w:right w:val="none" w:sz="0" w:space="0" w:color="auto"/>
      </w:divBdr>
    </w:div>
    <w:div w:id="249972384">
      <w:bodyDiv w:val="1"/>
      <w:marLeft w:val="0"/>
      <w:marRight w:val="0"/>
      <w:marTop w:val="0"/>
      <w:marBottom w:val="0"/>
      <w:divBdr>
        <w:top w:val="none" w:sz="0" w:space="0" w:color="auto"/>
        <w:left w:val="none" w:sz="0" w:space="0" w:color="auto"/>
        <w:bottom w:val="none" w:sz="0" w:space="0" w:color="auto"/>
        <w:right w:val="none" w:sz="0" w:space="0" w:color="auto"/>
      </w:divBdr>
    </w:div>
    <w:div w:id="262879661">
      <w:bodyDiv w:val="1"/>
      <w:marLeft w:val="0"/>
      <w:marRight w:val="0"/>
      <w:marTop w:val="0"/>
      <w:marBottom w:val="0"/>
      <w:divBdr>
        <w:top w:val="none" w:sz="0" w:space="0" w:color="auto"/>
        <w:left w:val="none" w:sz="0" w:space="0" w:color="auto"/>
        <w:bottom w:val="none" w:sz="0" w:space="0" w:color="auto"/>
        <w:right w:val="none" w:sz="0" w:space="0" w:color="auto"/>
      </w:divBdr>
    </w:div>
    <w:div w:id="372273827">
      <w:bodyDiv w:val="1"/>
      <w:marLeft w:val="0"/>
      <w:marRight w:val="0"/>
      <w:marTop w:val="0"/>
      <w:marBottom w:val="0"/>
      <w:divBdr>
        <w:top w:val="none" w:sz="0" w:space="0" w:color="auto"/>
        <w:left w:val="none" w:sz="0" w:space="0" w:color="auto"/>
        <w:bottom w:val="none" w:sz="0" w:space="0" w:color="auto"/>
        <w:right w:val="none" w:sz="0" w:space="0" w:color="auto"/>
      </w:divBdr>
    </w:div>
    <w:div w:id="390428496">
      <w:bodyDiv w:val="1"/>
      <w:marLeft w:val="0"/>
      <w:marRight w:val="0"/>
      <w:marTop w:val="0"/>
      <w:marBottom w:val="0"/>
      <w:divBdr>
        <w:top w:val="none" w:sz="0" w:space="0" w:color="auto"/>
        <w:left w:val="none" w:sz="0" w:space="0" w:color="auto"/>
        <w:bottom w:val="none" w:sz="0" w:space="0" w:color="auto"/>
        <w:right w:val="none" w:sz="0" w:space="0" w:color="auto"/>
      </w:divBdr>
    </w:div>
    <w:div w:id="434863424">
      <w:bodyDiv w:val="1"/>
      <w:marLeft w:val="0"/>
      <w:marRight w:val="0"/>
      <w:marTop w:val="0"/>
      <w:marBottom w:val="0"/>
      <w:divBdr>
        <w:top w:val="none" w:sz="0" w:space="0" w:color="auto"/>
        <w:left w:val="none" w:sz="0" w:space="0" w:color="auto"/>
        <w:bottom w:val="none" w:sz="0" w:space="0" w:color="auto"/>
        <w:right w:val="none" w:sz="0" w:space="0" w:color="auto"/>
      </w:divBdr>
    </w:div>
    <w:div w:id="439112439">
      <w:bodyDiv w:val="1"/>
      <w:marLeft w:val="0"/>
      <w:marRight w:val="0"/>
      <w:marTop w:val="0"/>
      <w:marBottom w:val="0"/>
      <w:divBdr>
        <w:top w:val="none" w:sz="0" w:space="0" w:color="auto"/>
        <w:left w:val="none" w:sz="0" w:space="0" w:color="auto"/>
        <w:bottom w:val="none" w:sz="0" w:space="0" w:color="auto"/>
        <w:right w:val="none" w:sz="0" w:space="0" w:color="auto"/>
      </w:divBdr>
      <w:divsChild>
        <w:div w:id="1160542110">
          <w:marLeft w:val="0"/>
          <w:marRight w:val="0"/>
          <w:marTop w:val="0"/>
          <w:marBottom w:val="0"/>
          <w:divBdr>
            <w:top w:val="none" w:sz="0" w:space="0" w:color="auto"/>
            <w:left w:val="none" w:sz="0" w:space="0" w:color="auto"/>
            <w:bottom w:val="none" w:sz="0" w:space="0" w:color="auto"/>
            <w:right w:val="none" w:sz="0" w:space="0" w:color="auto"/>
          </w:divBdr>
        </w:div>
      </w:divsChild>
    </w:div>
    <w:div w:id="500051798">
      <w:bodyDiv w:val="1"/>
      <w:marLeft w:val="0"/>
      <w:marRight w:val="0"/>
      <w:marTop w:val="0"/>
      <w:marBottom w:val="0"/>
      <w:divBdr>
        <w:top w:val="none" w:sz="0" w:space="0" w:color="auto"/>
        <w:left w:val="none" w:sz="0" w:space="0" w:color="auto"/>
        <w:bottom w:val="none" w:sz="0" w:space="0" w:color="auto"/>
        <w:right w:val="none" w:sz="0" w:space="0" w:color="auto"/>
      </w:divBdr>
    </w:div>
    <w:div w:id="542714894">
      <w:bodyDiv w:val="1"/>
      <w:marLeft w:val="0"/>
      <w:marRight w:val="0"/>
      <w:marTop w:val="0"/>
      <w:marBottom w:val="0"/>
      <w:divBdr>
        <w:top w:val="none" w:sz="0" w:space="0" w:color="auto"/>
        <w:left w:val="none" w:sz="0" w:space="0" w:color="auto"/>
        <w:bottom w:val="none" w:sz="0" w:space="0" w:color="auto"/>
        <w:right w:val="none" w:sz="0" w:space="0" w:color="auto"/>
      </w:divBdr>
    </w:div>
    <w:div w:id="614216892">
      <w:bodyDiv w:val="1"/>
      <w:marLeft w:val="0"/>
      <w:marRight w:val="0"/>
      <w:marTop w:val="0"/>
      <w:marBottom w:val="0"/>
      <w:divBdr>
        <w:top w:val="none" w:sz="0" w:space="0" w:color="auto"/>
        <w:left w:val="none" w:sz="0" w:space="0" w:color="auto"/>
        <w:bottom w:val="none" w:sz="0" w:space="0" w:color="auto"/>
        <w:right w:val="none" w:sz="0" w:space="0" w:color="auto"/>
      </w:divBdr>
    </w:div>
    <w:div w:id="816580125">
      <w:bodyDiv w:val="1"/>
      <w:marLeft w:val="0"/>
      <w:marRight w:val="0"/>
      <w:marTop w:val="0"/>
      <w:marBottom w:val="0"/>
      <w:divBdr>
        <w:top w:val="none" w:sz="0" w:space="0" w:color="auto"/>
        <w:left w:val="none" w:sz="0" w:space="0" w:color="auto"/>
        <w:bottom w:val="none" w:sz="0" w:space="0" w:color="auto"/>
        <w:right w:val="none" w:sz="0" w:space="0" w:color="auto"/>
      </w:divBdr>
    </w:div>
    <w:div w:id="905266539">
      <w:bodyDiv w:val="1"/>
      <w:marLeft w:val="0"/>
      <w:marRight w:val="0"/>
      <w:marTop w:val="0"/>
      <w:marBottom w:val="0"/>
      <w:divBdr>
        <w:top w:val="none" w:sz="0" w:space="0" w:color="auto"/>
        <w:left w:val="none" w:sz="0" w:space="0" w:color="auto"/>
        <w:bottom w:val="none" w:sz="0" w:space="0" w:color="auto"/>
        <w:right w:val="none" w:sz="0" w:space="0" w:color="auto"/>
      </w:divBdr>
    </w:div>
    <w:div w:id="948973940">
      <w:bodyDiv w:val="1"/>
      <w:marLeft w:val="0"/>
      <w:marRight w:val="0"/>
      <w:marTop w:val="0"/>
      <w:marBottom w:val="0"/>
      <w:divBdr>
        <w:top w:val="none" w:sz="0" w:space="0" w:color="auto"/>
        <w:left w:val="none" w:sz="0" w:space="0" w:color="auto"/>
        <w:bottom w:val="none" w:sz="0" w:space="0" w:color="auto"/>
        <w:right w:val="none" w:sz="0" w:space="0" w:color="auto"/>
      </w:divBdr>
    </w:div>
    <w:div w:id="1012730709">
      <w:bodyDiv w:val="1"/>
      <w:marLeft w:val="0"/>
      <w:marRight w:val="0"/>
      <w:marTop w:val="0"/>
      <w:marBottom w:val="0"/>
      <w:divBdr>
        <w:top w:val="none" w:sz="0" w:space="0" w:color="auto"/>
        <w:left w:val="none" w:sz="0" w:space="0" w:color="auto"/>
        <w:bottom w:val="none" w:sz="0" w:space="0" w:color="auto"/>
        <w:right w:val="none" w:sz="0" w:space="0" w:color="auto"/>
      </w:divBdr>
    </w:div>
    <w:div w:id="1085539972">
      <w:bodyDiv w:val="1"/>
      <w:marLeft w:val="0"/>
      <w:marRight w:val="0"/>
      <w:marTop w:val="0"/>
      <w:marBottom w:val="0"/>
      <w:divBdr>
        <w:top w:val="none" w:sz="0" w:space="0" w:color="auto"/>
        <w:left w:val="none" w:sz="0" w:space="0" w:color="auto"/>
        <w:bottom w:val="none" w:sz="0" w:space="0" w:color="auto"/>
        <w:right w:val="none" w:sz="0" w:space="0" w:color="auto"/>
      </w:divBdr>
    </w:div>
    <w:div w:id="1154831250">
      <w:bodyDiv w:val="1"/>
      <w:marLeft w:val="0"/>
      <w:marRight w:val="0"/>
      <w:marTop w:val="0"/>
      <w:marBottom w:val="0"/>
      <w:divBdr>
        <w:top w:val="none" w:sz="0" w:space="0" w:color="auto"/>
        <w:left w:val="none" w:sz="0" w:space="0" w:color="auto"/>
        <w:bottom w:val="none" w:sz="0" w:space="0" w:color="auto"/>
        <w:right w:val="none" w:sz="0" w:space="0" w:color="auto"/>
      </w:divBdr>
    </w:div>
    <w:div w:id="1230000617">
      <w:bodyDiv w:val="1"/>
      <w:marLeft w:val="0"/>
      <w:marRight w:val="0"/>
      <w:marTop w:val="0"/>
      <w:marBottom w:val="0"/>
      <w:divBdr>
        <w:top w:val="none" w:sz="0" w:space="0" w:color="auto"/>
        <w:left w:val="none" w:sz="0" w:space="0" w:color="auto"/>
        <w:bottom w:val="none" w:sz="0" w:space="0" w:color="auto"/>
        <w:right w:val="none" w:sz="0" w:space="0" w:color="auto"/>
      </w:divBdr>
    </w:div>
    <w:div w:id="1263802915">
      <w:bodyDiv w:val="1"/>
      <w:marLeft w:val="0"/>
      <w:marRight w:val="0"/>
      <w:marTop w:val="0"/>
      <w:marBottom w:val="0"/>
      <w:divBdr>
        <w:top w:val="none" w:sz="0" w:space="0" w:color="auto"/>
        <w:left w:val="none" w:sz="0" w:space="0" w:color="auto"/>
        <w:bottom w:val="none" w:sz="0" w:space="0" w:color="auto"/>
        <w:right w:val="none" w:sz="0" w:space="0" w:color="auto"/>
      </w:divBdr>
    </w:div>
    <w:div w:id="1269192306">
      <w:bodyDiv w:val="1"/>
      <w:marLeft w:val="0"/>
      <w:marRight w:val="0"/>
      <w:marTop w:val="0"/>
      <w:marBottom w:val="0"/>
      <w:divBdr>
        <w:top w:val="none" w:sz="0" w:space="0" w:color="auto"/>
        <w:left w:val="none" w:sz="0" w:space="0" w:color="auto"/>
        <w:bottom w:val="none" w:sz="0" w:space="0" w:color="auto"/>
        <w:right w:val="none" w:sz="0" w:space="0" w:color="auto"/>
      </w:divBdr>
    </w:div>
    <w:div w:id="1290554397">
      <w:bodyDiv w:val="1"/>
      <w:marLeft w:val="0"/>
      <w:marRight w:val="0"/>
      <w:marTop w:val="0"/>
      <w:marBottom w:val="0"/>
      <w:divBdr>
        <w:top w:val="none" w:sz="0" w:space="0" w:color="auto"/>
        <w:left w:val="none" w:sz="0" w:space="0" w:color="auto"/>
        <w:bottom w:val="none" w:sz="0" w:space="0" w:color="auto"/>
        <w:right w:val="none" w:sz="0" w:space="0" w:color="auto"/>
      </w:divBdr>
    </w:div>
    <w:div w:id="1351644769">
      <w:bodyDiv w:val="1"/>
      <w:marLeft w:val="0"/>
      <w:marRight w:val="0"/>
      <w:marTop w:val="0"/>
      <w:marBottom w:val="0"/>
      <w:divBdr>
        <w:top w:val="none" w:sz="0" w:space="0" w:color="auto"/>
        <w:left w:val="none" w:sz="0" w:space="0" w:color="auto"/>
        <w:bottom w:val="none" w:sz="0" w:space="0" w:color="auto"/>
        <w:right w:val="none" w:sz="0" w:space="0" w:color="auto"/>
      </w:divBdr>
    </w:div>
    <w:div w:id="1382247163">
      <w:bodyDiv w:val="1"/>
      <w:marLeft w:val="0"/>
      <w:marRight w:val="0"/>
      <w:marTop w:val="0"/>
      <w:marBottom w:val="0"/>
      <w:divBdr>
        <w:top w:val="none" w:sz="0" w:space="0" w:color="auto"/>
        <w:left w:val="none" w:sz="0" w:space="0" w:color="auto"/>
        <w:bottom w:val="none" w:sz="0" w:space="0" w:color="auto"/>
        <w:right w:val="none" w:sz="0" w:space="0" w:color="auto"/>
      </w:divBdr>
    </w:div>
    <w:div w:id="1391077083">
      <w:bodyDiv w:val="1"/>
      <w:marLeft w:val="0"/>
      <w:marRight w:val="0"/>
      <w:marTop w:val="0"/>
      <w:marBottom w:val="0"/>
      <w:divBdr>
        <w:top w:val="none" w:sz="0" w:space="0" w:color="auto"/>
        <w:left w:val="none" w:sz="0" w:space="0" w:color="auto"/>
        <w:bottom w:val="none" w:sz="0" w:space="0" w:color="auto"/>
        <w:right w:val="none" w:sz="0" w:space="0" w:color="auto"/>
      </w:divBdr>
    </w:div>
    <w:div w:id="1446651218">
      <w:bodyDiv w:val="1"/>
      <w:marLeft w:val="0"/>
      <w:marRight w:val="0"/>
      <w:marTop w:val="0"/>
      <w:marBottom w:val="0"/>
      <w:divBdr>
        <w:top w:val="none" w:sz="0" w:space="0" w:color="auto"/>
        <w:left w:val="none" w:sz="0" w:space="0" w:color="auto"/>
        <w:bottom w:val="none" w:sz="0" w:space="0" w:color="auto"/>
        <w:right w:val="none" w:sz="0" w:space="0" w:color="auto"/>
      </w:divBdr>
    </w:div>
    <w:div w:id="1520118277">
      <w:bodyDiv w:val="1"/>
      <w:marLeft w:val="0"/>
      <w:marRight w:val="0"/>
      <w:marTop w:val="0"/>
      <w:marBottom w:val="0"/>
      <w:divBdr>
        <w:top w:val="none" w:sz="0" w:space="0" w:color="auto"/>
        <w:left w:val="none" w:sz="0" w:space="0" w:color="auto"/>
        <w:bottom w:val="none" w:sz="0" w:space="0" w:color="auto"/>
        <w:right w:val="none" w:sz="0" w:space="0" w:color="auto"/>
      </w:divBdr>
    </w:div>
    <w:div w:id="1552499398">
      <w:bodyDiv w:val="1"/>
      <w:marLeft w:val="0"/>
      <w:marRight w:val="0"/>
      <w:marTop w:val="0"/>
      <w:marBottom w:val="0"/>
      <w:divBdr>
        <w:top w:val="none" w:sz="0" w:space="0" w:color="auto"/>
        <w:left w:val="none" w:sz="0" w:space="0" w:color="auto"/>
        <w:bottom w:val="none" w:sz="0" w:space="0" w:color="auto"/>
        <w:right w:val="none" w:sz="0" w:space="0" w:color="auto"/>
      </w:divBdr>
    </w:div>
    <w:div w:id="1557429547">
      <w:bodyDiv w:val="1"/>
      <w:marLeft w:val="0"/>
      <w:marRight w:val="0"/>
      <w:marTop w:val="0"/>
      <w:marBottom w:val="0"/>
      <w:divBdr>
        <w:top w:val="none" w:sz="0" w:space="0" w:color="auto"/>
        <w:left w:val="none" w:sz="0" w:space="0" w:color="auto"/>
        <w:bottom w:val="none" w:sz="0" w:space="0" w:color="auto"/>
        <w:right w:val="none" w:sz="0" w:space="0" w:color="auto"/>
      </w:divBdr>
    </w:div>
    <w:div w:id="1587499124">
      <w:bodyDiv w:val="1"/>
      <w:marLeft w:val="0"/>
      <w:marRight w:val="0"/>
      <w:marTop w:val="0"/>
      <w:marBottom w:val="0"/>
      <w:divBdr>
        <w:top w:val="none" w:sz="0" w:space="0" w:color="auto"/>
        <w:left w:val="none" w:sz="0" w:space="0" w:color="auto"/>
        <w:bottom w:val="none" w:sz="0" w:space="0" w:color="auto"/>
        <w:right w:val="none" w:sz="0" w:space="0" w:color="auto"/>
      </w:divBdr>
    </w:div>
    <w:div w:id="1611469959">
      <w:bodyDiv w:val="1"/>
      <w:marLeft w:val="0"/>
      <w:marRight w:val="0"/>
      <w:marTop w:val="0"/>
      <w:marBottom w:val="0"/>
      <w:divBdr>
        <w:top w:val="none" w:sz="0" w:space="0" w:color="auto"/>
        <w:left w:val="none" w:sz="0" w:space="0" w:color="auto"/>
        <w:bottom w:val="none" w:sz="0" w:space="0" w:color="auto"/>
        <w:right w:val="none" w:sz="0" w:space="0" w:color="auto"/>
      </w:divBdr>
    </w:div>
    <w:div w:id="1643316073">
      <w:bodyDiv w:val="1"/>
      <w:marLeft w:val="0"/>
      <w:marRight w:val="0"/>
      <w:marTop w:val="0"/>
      <w:marBottom w:val="0"/>
      <w:divBdr>
        <w:top w:val="none" w:sz="0" w:space="0" w:color="auto"/>
        <w:left w:val="none" w:sz="0" w:space="0" w:color="auto"/>
        <w:bottom w:val="none" w:sz="0" w:space="0" w:color="auto"/>
        <w:right w:val="none" w:sz="0" w:space="0" w:color="auto"/>
      </w:divBdr>
    </w:div>
    <w:div w:id="1652128593">
      <w:bodyDiv w:val="1"/>
      <w:marLeft w:val="0"/>
      <w:marRight w:val="0"/>
      <w:marTop w:val="0"/>
      <w:marBottom w:val="0"/>
      <w:divBdr>
        <w:top w:val="none" w:sz="0" w:space="0" w:color="auto"/>
        <w:left w:val="none" w:sz="0" w:space="0" w:color="auto"/>
        <w:bottom w:val="none" w:sz="0" w:space="0" w:color="auto"/>
        <w:right w:val="none" w:sz="0" w:space="0" w:color="auto"/>
      </w:divBdr>
    </w:div>
    <w:div w:id="1692103487">
      <w:bodyDiv w:val="1"/>
      <w:marLeft w:val="0"/>
      <w:marRight w:val="0"/>
      <w:marTop w:val="0"/>
      <w:marBottom w:val="0"/>
      <w:divBdr>
        <w:top w:val="none" w:sz="0" w:space="0" w:color="auto"/>
        <w:left w:val="none" w:sz="0" w:space="0" w:color="auto"/>
        <w:bottom w:val="none" w:sz="0" w:space="0" w:color="auto"/>
        <w:right w:val="none" w:sz="0" w:space="0" w:color="auto"/>
      </w:divBdr>
    </w:div>
    <w:div w:id="1750158207">
      <w:bodyDiv w:val="1"/>
      <w:marLeft w:val="0"/>
      <w:marRight w:val="0"/>
      <w:marTop w:val="0"/>
      <w:marBottom w:val="0"/>
      <w:divBdr>
        <w:top w:val="none" w:sz="0" w:space="0" w:color="auto"/>
        <w:left w:val="none" w:sz="0" w:space="0" w:color="auto"/>
        <w:bottom w:val="none" w:sz="0" w:space="0" w:color="auto"/>
        <w:right w:val="none" w:sz="0" w:space="0" w:color="auto"/>
      </w:divBdr>
    </w:div>
    <w:div w:id="1773814064">
      <w:bodyDiv w:val="1"/>
      <w:marLeft w:val="0"/>
      <w:marRight w:val="0"/>
      <w:marTop w:val="0"/>
      <w:marBottom w:val="0"/>
      <w:divBdr>
        <w:top w:val="none" w:sz="0" w:space="0" w:color="auto"/>
        <w:left w:val="none" w:sz="0" w:space="0" w:color="auto"/>
        <w:bottom w:val="none" w:sz="0" w:space="0" w:color="auto"/>
        <w:right w:val="none" w:sz="0" w:space="0" w:color="auto"/>
      </w:divBdr>
    </w:div>
    <w:div w:id="1886797222">
      <w:bodyDiv w:val="1"/>
      <w:marLeft w:val="0"/>
      <w:marRight w:val="0"/>
      <w:marTop w:val="0"/>
      <w:marBottom w:val="0"/>
      <w:divBdr>
        <w:top w:val="none" w:sz="0" w:space="0" w:color="auto"/>
        <w:left w:val="none" w:sz="0" w:space="0" w:color="auto"/>
        <w:bottom w:val="none" w:sz="0" w:space="0" w:color="auto"/>
        <w:right w:val="none" w:sz="0" w:space="0" w:color="auto"/>
      </w:divBdr>
    </w:div>
    <w:div w:id="19291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130.png"/><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0D78-2843-4A84-9A31-3E423EFF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1421</Words>
  <Characters>8101</Characters>
  <Application>Microsoft Office Word</Application>
  <DocSecurity>0</DocSecurity>
  <Lines>67</Lines>
  <Paragraphs>19</Paragraphs>
  <ScaleCrop>false</ScaleCrop>
  <Company>SHSC</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刘亦千:</dc:creator>
  <cp:lastModifiedBy>王博生:</cp:lastModifiedBy>
  <cp:revision>8</cp:revision>
  <cp:lastPrinted>2015-12-29T06:16:00Z</cp:lastPrinted>
  <dcterms:created xsi:type="dcterms:W3CDTF">2015-12-29T06:48:00Z</dcterms:created>
  <dcterms:modified xsi:type="dcterms:W3CDTF">2015-12-29T08:20:00Z</dcterms:modified>
</cp:coreProperties>
</file>