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3888" w:type="dxa"/>
        <w:shd w:val="clear" w:color="auto" w:fill="E0E0E0"/>
        <w:tblLayout w:type="fixed"/>
        <w:tblLook w:val="01E0"/>
      </w:tblPr>
      <w:tblGrid>
        <w:gridCol w:w="534"/>
        <w:gridCol w:w="1554"/>
        <w:gridCol w:w="1800"/>
      </w:tblGrid>
      <w:tr w:rsidR="009A18F4" w:rsidRPr="00F57D27" w:rsidTr="00D85802">
        <w:trPr>
          <w:trHeight w:val="709"/>
        </w:trPr>
        <w:tc>
          <w:tcPr>
            <w:tcW w:w="534" w:type="dxa"/>
          </w:tcPr>
          <w:p w:rsidR="009A18F4" w:rsidRPr="00F57D27" w:rsidRDefault="009A18F4" w:rsidP="00DE017A">
            <w:pPr>
              <w:rPr>
                <w:rFonts w:eastAsia="楷体_GB2312"/>
                <w:b/>
                <w:color w:val="003366"/>
                <w:sz w:val="24"/>
              </w:rPr>
            </w:pPr>
          </w:p>
        </w:tc>
        <w:tc>
          <w:tcPr>
            <w:tcW w:w="1554" w:type="dxa"/>
          </w:tcPr>
          <w:p w:rsidR="009A18F4" w:rsidRPr="00F57D27" w:rsidRDefault="009A18F4" w:rsidP="00DE017A">
            <w:pPr>
              <w:rPr>
                <w:rFonts w:eastAsia="楷体_GB2312"/>
                <w:b/>
                <w:color w:val="003366"/>
                <w:sz w:val="24"/>
              </w:rPr>
            </w:pPr>
          </w:p>
        </w:tc>
        <w:tc>
          <w:tcPr>
            <w:tcW w:w="1800" w:type="dxa"/>
            <w:vAlign w:val="center"/>
          </w:tcPr>
          <w:p w:rsidR="009A18F4" w:rsidRPr="00F57D27" w:rsidRDefault="00995D36" w:rsidP="00DE017A">
            <w:pPr>
              <w:rPr>
                <w:rFonts w:eastAsia="楷体_GB2312"/>
                <w:b/>
                <w:color w:val="003366"/>
                <w:sz w:val="24"/>
              </w:rPr>
            </w:pPr>
            <w:r w:rsidRPr="00995D36">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27" type="#_x0000_t202" style="position:absolute;left:0;text-align:left;margin-left:66.75pt;margin-top:25.45pt;width:428.4pt;height:31.2pt;z-index:251661312;mso-position-horizontal-relative:text;mso-position-vertical-relative:text" fillcolor="#f00000" stroked="f">
                  <v:textbox style="mso-next-textbox:#_x0000_s1027">
                    <w:txbxContent>
                      <w:p w:rsidR="009752A4" w:rsidRPr="00FC770C" w:rsidRDefault="009752A4" w:rsidP="00BF4BDC">
                        <w:pPr>
                          <w:spacing w:before="100" w:beforeAutospacing="1" w:after="100" w:afterAutospacing="1"/>
                          <w:ind w:firstLine="284"/>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vAlign w:val="center"/>
          </w:tcPr>
          <w:p w:rsidR="009A18F4" w:rsidRPr="00F57D27" w:rsidRDefault="009A18F4" w:rsidP="00DE017A">
            <w:pPr>
              <w:rPr>
                <w:rFonts w:eastAsia="楷体_GB2312"/>
                <w:b/>
                <w:color w:val="003366"/>
                <w:sz w:val="24"/>
              </w:rPr>
            </w:pP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85802">
        <w:trPr>
          <w:trHeight w:val="2216"/>
        </w:trPr>
        <w:tc>
          <w:tcPr>
            <w:tcW w:w="534" w:type="dxa"/>
            <w:shd w:val="clear" w:color="auto" w:fill="CDD7FA"/>
          </w:tcPr>
          <w:p w:rsidR="009A18F4" w:rsidRPr="00F57D27" w:rsidRDefault="00D85802" w:rsidP="00DE017A">
            <w:pPr>
              <w:rPr>
                <w:rFonts w:eastAsia="楷体_GB2312"/>
                <w:b/>
                <w:color w:val="003366"/>
                <w:sz w:val="24"/>
              </w:rPr>
            </w:pPr>
            <w:r>
              <w:rPr>
                <w:rFonts w:eastAsia="楷体_GB2312"/>
                <w:b/>
                <w:noProof/>
                <w:color w:val="003366"/>
                <w:sz w:val="24"/>
              </w:rPr>
              <w:drawing>
                <wp:anchor distT="0" distB="0" distL="114300" distR="114300" simplePos="0" relativeHeight="251662336" behindDoc="0" locked="0" layoutInCell="1" allowOverlap="1">
                  <wp:simplePos x="0" y="0"/>
                  <wp:positionH relativeFrom="column">
                    <wp:posOffset>239534</wp:posOffset>
                  </wp:positionH>
                  <wp:positionV relativeFrom="paragraph">
                    <wp:posOffset>55246</wp:posOffset>
                  </wp:positionV>
                  <wp:extent cx="1717481" cy="818984"/>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cstate="print">
                            <a:clrChange>
                              <a:clrFrom>
                                <a:srgbClr val="D2D2FF"/>
                              </a:clrFrom>
                              <a:clrTo>
                                <a:srgbClr val="D2D2FF">
                                  <a:alpha val="0"/>
                                </a:srgbClr>
                              </a:clrTo>
                            </a:clrChange>
                          </a:blip>
                          <a:srcRect/>
                          <a:stretch>
                            <a:fillRect/>
                          </a:stretch>
                        </pic:blipFill>
                        <pic:spPr bwMode="auto">
                          <a:xfrm>
                            <a:off x="0" y="0"/>
                            <a:ext cx="1717481" cy="818984"/>
                          </a:xfrm>
                          <a:prstGeom prst="rect">
                            <a:avLst/>
                          </a:prstGeom>
                          <a:noFill/>
                          <a:ln w="9525">
                            <a:noFill/>
                            <a:miter lim="800000"/>
                            <a:headEnd/>
                            <a:tailEnd/>
                          </a:ln>
                        </pic:spPr>
                      </pic:pic>
                    </a:graphicData>
                  </a:graphic>
                </wp:anchor>
              </w:drawing>
            </w:r>
          </w:p>
        </w:tc>
        <w:tc>
          <w:tcPr>
            <w:tcW w:w="3354" w:type="dxa"/>
            <w:gridSpan w:val="2"/>
            <w:shd w:val="clear" w:color="auto" w:fill="CDD7FA"/>
          </w:tcPr>
          <w:p w:rsidR="009A18F4" w:rsidRPr="00F57D27" w:rsidRDefault="009A18F4" w:rsidP="00DE017A">
            <w:pPr>
              <w:spacing w:line="360" w:lineRule="auto"/>
              <w:rPr>
                <w:rFonts w:eastAsia="楷体_GB2312"/>
                <w:noProof/>
                <w:sz w:val="24"/>
              </w:rPr>
            </w:pPr>
          </w:p>
        </w:tc>
      </w:tr>
      <w:tr w:rsidR="009A18F4" w:rsidRPr="00F57D27" w:rsidTr="00035528">
        <w:trPr>
          <w:trHeight w:val="457"/>
        </w:trPr>
        <w:tc>
          <w:tcPr>
            <w:tcW w:w="534" w:type="dxa"/>
          </w:tcPr>
          <w:p w:rsidR="009A18F4" w:rsidRPr="00D82E82" w:rsidRDefault="009A18F4" w:rsidP="00DE017A">
            <w:pPr>
              <w:rPr>
                <w:rFonts w:eastAsia="楷体_GB2312"/>
                <w:b/>
                <w:color w:val="003366"/>
              </w:rPr>
            </w:pPr>
          </w:p>
        </w:tc>
        <w:tc>
          <w:tcPr>
            <w:tcW w:w="3354" w:type="dxa"/>
            <w:gridSpan w:val="2"/>
            <w:vAlign w:val="bottom"/>
          </w:tcPr>
          <w:p w:rsidR="009A18F4" w:rsidRPr="002D6491" w:rsidRDefault="009A18F4" w:rsidP="009925B4">
            <w:pPr>
              <w:spacing w:line="360" w:lineRule="auto"/>
              <w:ind w:left="-288" w:firstLineChars="150" w:firstLine="271"/>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DB64DC">
              <w:rPr>
                <w:rFonts w:eastAsia="楷体_GB2312" w:hint="eastAsia"/>
                <w:b/>
                <w:color w:val="003366"/>
                <w:sz w:val="18"/>
                <w:szCs w:val="18"/>
              </w:rPr>
              <w:t>10</w:t>
            </w:r>
            <w:r w:rsidRPr="002D6491">
              <w:rPr>
                <w:rFonts w:eastAsia="楷体_GB2312" w:hint="eastAsia"/>
                <w:b/>
                <w:color w:val="003366"/>
                <w:sz w:val="18"/>
                <w:szCs w:val="18"/>
              </w:rPr>
              <w:t>月基金业绩统计分布</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2"/>
            <w:vAlign w:val="center"/>
          </w:tcPr>
          <w:p w:rsidR="009A18F4" w:rsidRPr="00CD7632" w:rsidRDefault="00684DFA" w:rsidP="00684DFA">
            <w:pPr>
              <w:ind w:leftChars="-51" w:rightChars="34" w:right="71" w:hangingChars="51" w:hanging="107"/>
              <w:rPr>
                <w:noProof/>
              </w:rPr>
            </w:pPr>
            <w:r w:rsidRPr="00684DFA">
              <w:rPr>
                <w:noProof/>
              </w:rPr>
              <w:drawing>
                <wp:inline distT="0" distB="0" distL="0" distR="0">
                  <wp:extent cx="2080095" cy="1916264"/>
                  <wp:effectExtent l="1905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Pr="00D85802" w:rsidRDefault="009A18F4" w:rsidP="00DE017A">
            <w:pPr>
              <w:rPr>
                <w:rFonts w:eastAsia="楷体_GB2312"/>
                <w:color w:val="003366"/>
                <w:sz w:val="18"/>
                <w:szCs w:val="18"/>
              </w:rPr>
            </w:pPr>
            <w:r w:rsidRPr="00CD7632">
              <w:rPr>
                <w:rFonts w:eastAsia="楷体_GB2312" w:hint="eastAsia"/>
                <w:color w:val="003366"/>
                <w:sz w:val="18"/>
                <w:szCs w:val="18"/>
              </w:rPr>
              <w:t>注：不包括结构化份额</w:t>
            </w:r>
          </w:p>
          <w:p w:rsidR="009A18F4" w:rsidRPr="00CD7632"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Pr="00CD7632" w:rsidRDefault="009A18F4" w:rsidP="00DE017A">
            <w:pPr>
              <w:rPr>
                <w:rFonts w:eastAsia="楷体_GB2312"/>
                <w:color w:val="003366"/>
              </w:rPr>
            </w:pPr>
            <w:r w:rsidRPr="00CD7632">
              <w:rPr>
                <w:rFonts w:eastAsia="楷体_GB2312" w:hint="eastAsia"/>
                <w:color w:val="003366"/>
              </w:rPr>
              <w:t>执业证书编号：</w:t>
            </w:r>
            <w:r w:rsidRPr="00CD7632">
              <w:rPr>
                <w:rFonts w:eastAsia="楷体_GB2312"/>
                <w:b/>
                <w:color w:val="003366"/>
                <w:sz w:val="24"/>
              </w:rPr>
              <w:t>S0870511040001</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D206D3" w:rsidRPr="00D206D3" w:rsidRDefault="00D206D3" w:rsidP="00D206D3">
            <w:pPr>
              <w:rPr>
                <w:rFonts w:eastAsia="楷体_GB2312"/>
                <w:color w:val="003366"/>
              </w:rPr>
            </w:pPr>
            <w:r w:rsidRPr="00D206D3">
              <w:rPr>
                <w:rFonts w:eastAsia="楷体_GB2312" w:hint="eastAsia"/>
                <w:color w:val="003366"/>
              </w:rPr>
              <w:t>邮箱：</w:t>
            </w:r>
            <w:r>
              <w:rPr>
                <w:rFonts w:eastAsia="楷体_GB2312" w:hint="eastAsia"/>
                <w:color w:val="003366"/>
              </w:rPr>
              <w:t>liuyiqian@shzq.com</w:t>
            </w:r>
          </w:p>
          <w:p w:rsidR="009925B4" w:rsidRPr="00D206D3" w:rsidRDefault="00D206D3" w:rsidP="00DE017A">
            <w:pPr>
              <w:rPr>
                <w:rFonts w:eastAsia="楷体_GB2312"/>
                <w:b/>
                <w:color w:val="003366"/>
                <w:sz w:val="24"/>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w:t>
            </w:r>
            <w:r>
              <w:rPr>
                <w:rFonts w:eastAsia="楷体_GB2312" w:hint="eastAsia"/>
                <w:color w:val="003366"/>
              </w:rPr>
              <w:t>88</w:t>
            </w:r>
          </w:p>
          <w:p w:rsidR="009A18F4" w:rsidRPr="00D82E82" w:rsidRDefault="009925B4" w:rsidP="00DE017A">
            <w:pPr>
              <w:rPr>
                <w:rFonts w:eastAsia="楷体_GB2312"/>
                <w:b/>
                <w:color w:val="003366"/>
              </w:rPr>
            </w:pPr>
            <w:proofErr w:type="gramStart"/>
            <w:r w:rsidRPr="00A71B95">
              <w:rPr>
                <w:rFonts w:eastAsia="楷体_GB2312" w:hint="eastAsia"/>
                <w:b/>
                <w:color w:val="003366"/>
              </w:rPr>
              <w:t>闻嘉琦</w:t>
            </w:r>
            <w:proofErr w:type="gramEnd"/>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Default="009925B4" w:rsidP="00DE017A">
            <w:r w:rsidRPr="00CD7632">
              <w:rPr>
                <w:rFonts w:eastAsia="楷体_GB2312" w:hint="eastAsia"/>
                <w:color w:val="003366"/>
              </w:rPr>
              <w:t>执业证书编号：</w:t>
            </w:r>
            <w:r w:rsidR="00D206D3" w:rsidRPr="00D206D3">
              <w:rPr>
                <w:rFonts w:eastAsia="楷体_GB2312" w:hint="eastAsia"/>
                <w:b/>
                <w:color w:val="003366"/>
                <w:sz w:val="24"/>
              </w:rPr>
              <w:t>S0870115050013</w:t>
            </w:r>
          </w:p>
          <w:p w:rsidR="00D206D3" w:rsidRPr="00D206D3" w:rsidRDefault="00D206D3" w:rsidP="00D206D3">
            <w:pPr>
              <w:rPr>
                <w:rFonts w:eastAsia="楷体_GB2312"/>
                <w:color w:val="003366"/>
              </w:rPr>
            </w:pPr>
            <w:r w:rsidRPr="00D206D3">
              <w:rPr>
                <w:rFonts w:eastAsia="楷体_GB2312" w:hint="eastAsia"/>
                <w:color w:val="003366"/>
              </w:rPr>
              <w:t>邮箱：</w:t>
            </w:r>
            <w:r>
              <w:rPr>
                <w:rFonts w:eastAsia="楷体_GB2312" w:hint="eastAsia"/>
                <w:color w:val="003366"/>
              </w:rPr>
              <w:t>wenjiaqi@shzq.com</w:t>
            </w:r>
          </w:p>
          <w:p w:rsidR="009A18F4" w:rsidRDefault="00D206D3" w:rsidP="00DE017A">
            <w:pPr>
              <w:rPr>
                <w:rFonts w:eastAsia="楷体_GB2312"/>
                <w:b/>
                <w:color w:val="003366"/>
                <w:sz w:val="24"/>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w:t>
            </w:r>
            <w:r>
              <w:rPr>
                <w:rFonts w:eastAsia="楷体_GB2312" w:hint="eastAsia"/>
                <w:color w:val="003366"/>
              </w:rPr>
              <w:t>56</w:t>
            </w:r>
          </w:p>
          <w:p w:rsidR="009925B4" w:rsidRPr="00A71B95" w:rsidRDefault="009925B4" w:rsidP="00DE017A">
            <w:pPr>
              <w:rPr>
                <w:rFonts w:eastAsia="楷体_GB2312"/>
                <w:b/>
                <w:color w:val="003366"/>
              </w:rPr>
            </w:pPr>
            <w:r w:rsidRPr="00A71B95">
              <w:rPr>
                <w:rFonts w:eastAsia="楷体_GB2312" w:hint="eastAsia"/>
                <w:b/>
                <w:color w:val="003366"/>
              </w:rPr>
              <w:t>王博生</w:t>
            </w:r>
          </w:p>
          <w:p w:rsidR="009925B4" w:rsidRDefault="009925B4" w:rsidP="009925B4">
            <w:r w:rsidRPr="00CD7632">
              <w:rPr>
                <w:rFonts w:eastAsia="楷体_GB2312" w:hint="eastAsia"/>
                <w:color w:val="003366"/>
              </w:rPr>
              <w:t>执业证书编号：</w:t>
            </w:r>
            <w:r w:rsidRPr="009925B4">
              <w:rPr>
                <w:rFonts w:eastAsia="楷体_GB2312"/>
                <w:b/>
                <w:color w:val="003366"/>
                <w:sz w:val="24"/>
              </w:rPr>
              <w:t>S0870115080016</w:t>
            </w:r>
          </w:p>
          <w:p w:rsidR="009925B4" w:rsidRPr="00D206D3" w:rsidRDefault="009925B4" w:rsidP="00DE017A">
            <w:pPr>
              <w:rPr>
                <w:rFonts w:eastAsia="楷体_GB2312"/>
                <w:color w:val="003366"/>
              </w:rPr>
            </w:pPr>
            <w:r w:rsidRPr="00D206D3">
              <w:rPr>
                <w:rFonts w:eastAsia="楷体_GB2312" w:hint="eastAsia"/>
                <w:color w:val="003366"/>
              </w:rPr>
              <w:t>邮箱</w:t>
            </w:r>
            <w:r w:rsidR="00D206D3" w:rsidRPr="00D206D3">
              <w:rPr>
                <w:rFonts w:eastAsia="楷体_GB2312" w:hint="eastAsia"/>
                <w:color w:val="003366"/>
              </w:rPr>
              <w:t>：</w:t>
            </w:r>
            <w:r w:rsidR="00D206D3" w:rsidRPr="00D206D3">
              <w:rPr>
                <w:rFonts w:eastAsia="楷体_GB2312"/>
                <w:color w:val="003366"/>
              </w:rPr>
              <w:t>wangbosheng@shzq.com</w:t>
            </w:r>
          </w:p>
          <w:p w:rsidR="009925B4" w:rsidRDefault="00D206D3" w:rsidP="00DE017A">
            <w:pPr>
              <w:rPr>
                <w:rFonts w:eastAsia="楷体_GB2312"/>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53519888-1924</w:t>
            </w:r>
          </w:p>
          <w:p w:rsidR="00D206D3" w:rsidRPr="00D206D3" w:rsidRDefault="00D206D3" w:rsidP="00DE017A">
            <w:pPr>
              <w:rPr>
                <w:rFonts w:eastAsia="楷体_GB2312"/>
                <w:color w:val="003366"/>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DE017A">
              <w:trPr>
                <w:trHeight w:hRule="exact" w:val="284"/>
              </w:trPr>
              <w:tc>
                <w:tcPr>
                  <w:tcW w:w="3888" w:type="dxa"/>
                  <w:gridSpan w:val="2"/>
                </w:tcPr>
                <w:p w:rsidR="009A18F4" w:rsidRPr="00B21A03" w:rsidRDefault="009A18F4" w:rsidP="00DE017A">
                  <w:pPr>
                    <w:pStyle w:val="a8"/>
                    <w:rPr>
                      <w:rFonts w:hAnsi="宋体" w:cs="宋体"/>
                    </w:rPr>
                  </w:pPr>
                  <w:r w:rsidRPr="00F57D27">
                    <w:rPr>
                      <w:rFonts w:eastAsia="黑体" w:hint="eastAsia"/>
                      <w:b/>
                      <w:color w:val="003366"/>
                      <w:sz w:val="24"/>
                    </w:rPr>
                    <w:t>报告</w:t>
                  </w: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Pr>
                      <w:rFonts w:hAnsi="宋体" w:cs="宋体" w:hint="eastAsia"/>
                    </w:rPr>
                    <w:t>5</w:t>
                  </w:r>
                  <w:r w:rsidRPr="00B21A03">
                    <w:rPr>
                      <w:rFonts w:hAnsi="宋体" w:cs="宋体"/>
                    </w:rPr>
                    <w:t>年</w:t>
                  </w:r>
                  <w:r w:rsidR="00CE3745">
                    <w:rPr>
                      <w:rFonts w:hAnsi="宋体" w:cs="宋体" w:hint="eastAsia"/>
                    </w:rPr>
                    <w:t>10</w:t>
                  </w:r>
                  <w:r w:rsidRPr="00B21A03">
                    <w:rPr>
                      <w:rFonts w:hAnsi="宋体" w:cs="宋体"/>
                    </w:rPr>
                    <w:t>月</w:t>
                  </w:r>
                  <w:r w:rsidR="00CE3745">
                    <w:rPr>
                      <w:rFonts w:hAnsi="宋体" w:cs="宋体" w:hint="eastAsia"/>
                    </w:rPr>
                    <w:t>30</w:t>
                  </w:r>
                  <w:r w:rsidRPr="00B21A03">
                    <w:rPr>
                      <w:rFonts w:hAnsi="宋体" w:cs="宋体"/>
                    </w:rPr>
                    <w:t>日</w:t>
                  </w:r>
                </w:p>
                <w:p w:rsidR="009A18F4" w:rsidRPr="00F57D27" w:rsidRDefault="009A18F4" w:rsidP="00DE017A">
                  <w:pPr>
                    <w:jc w:val="left"/>
                    <w:rPr>
                      <w:rFonts w:eastAsia="楷体_GB2312"/>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b/>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相关报告：</w:t>
                  </w:r>
                </w:p>
              </w:tc>
            </w:tr>
            <w:tr w:rsidR="009A18F4" w:rsidRPr="00F57D27" w:rsidTr="00DE017A">
              <w:trPr>
                <w:gridAfter w:val="1"/>
                <w:wAfter w:w="468" w:type="dxa"/>
                <w:trHeight w:hRule="exact" w:val="2396"/>
              </w:trPr>
              <w:tc>
                <w:tcPr>
                  <w:tcW w:w="3420" w:type="dxa"/>
                </w:tcPr>
                <w:p w:rsidR="00836FDA" w:rsidRDefault="00836FDA" w:rsidP="00DE017A">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A63ECA">
                    <w:rPr>
                      <w:rFonts w:eastAsia="楷体_GB2312" w:hint="eastAsia"/>
                      <w:sz w:val="18"/>
                      <w:szCs w:val="18"/>
                    </w:rPr>
                    <w:t>10</w:t>
                  </w:r>
                  <w:r w:rsidRPr="00607E19">
                    <w:rPr>
                      <w:rFonts w:eastAsia="楷体_GB2312" w:hint="eastAsia"/>
                      <w:sz w:val="18"/>
                      <w:szCs w:val="18"/>
                    </w:rPr>
                    <w:t>月基金投资策略：</w:t>
                  </w:r>
                  <w:r w:rsidR="00A63ECA" w:rsidRPr="00A63ECA">
                    <w:rPr>
                      <w:rFonts w:eastAsia="楷体_GB2312" w:hint="eastAsia"/>
                      <w:sz w:val="18"/>
                      <w:szCs w:val="18"/>
                    </w:rPr>
                    <w:t>结构性价值开始凸显</w:t>
                  </w:r>
                  <w:r w:rsidR="00A63ECA" w:rsidRPr="00A63ECA">
                    <w:rPr>
                      <w:rFonts w:eastAsia="楷体_GB2312" w:hint="eastAsia"/>
                      <w:sz w:val="18"/>
                      <w:szCs w:val="18"/>
                    </w:rPr>
                    <w:t xml:space="preserve">  </w:t>
                  </w:r>
                  <w:r w:rsidR="00A63ECA" w:rsidRPr="00A63ECA">
                    <w:rPr>
                      <w:rFonts w:eastAsia="楷体_GB2312" w:hint="eastAsia"/>
                      <w:sz w:val="18"/>
                      <w:szCs w:val="18"/>
                    </w:rPr>
                    <w:t>主题仍偏向企改和投资</w:t>
                  </w:r>
                </w:p>
                <w:p w:rsidR="009E5FA7" w:rsidRDefault="009E5FA7" w:rsidP="009E5FA7">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A63ECA">
                    <w:rPr>
                      <w:rFonts w:eastAsia="楷体_GB2312" w:hint="eastAsia"/>
                      <w:sz w:val="18"/>
                      <w:szCs w:val="18"/>
                    </w:rPr>
                    <w:t>9</w:t>
                  </w:r>
                  <w:r w:rsidRPr="00607E19">
                    <w:rPr>
                      <w:rFonts w:eastAsia="楷体_GB2312" w:hint="eastAsia"/>
                      <w:sz w:val="18"/>
                      <w:szCs w:val="18"/>
                    </w:rPr>
                    <w:t>月基金投资策略：</w:t>
                  </w:r>
                  <w:r w:rsidR="00A63ECA" w:rsidRPr="009E5FA7">
                    <w:rPr>
                      <w:rFonts w:eastAsia="楷体_GB2312" w:hint="eastAsia"/>
                      <w:sz w:val="18"/>
                      <w:szCs w:val="18"/>
                    </w:rPr>
                    <w:t>短期谨慎长期乐观</w:t>
                  </w:r>
                  <w:r w:rsidR="00A63ECA" w:rsidRPr="009E5FA7">
                    <w:rPr>
                      <w:rFonts w:eastAsia="楷体_GB2312" w:hint="eastAsia"/>
                      <w:sz w:val="18"/>
                      <w:szCs w:val="18"/>
                    </w:rPr>
                    <w:t xml:space="preserve">  </w:t>
                  </w:r>
                  <w:r w:rsidR="00A63ECA" w:rsidRPr="009E5FA7">
                    <w:rPr>
                      <w:rFonts w:eastAsia="楷体_GB2312" w:hint="eastAsia"/>
                      <w:sz w:val="18"/>
                      <w:szCs w:val="18"/>
                    </w:rPr>
                    <w:t>主题侧重国企改革和政府投资</w:t>
                  </w:r>
                </w:p>
                <w:p w:rsidR="009A18F4" w:rsidRPr="00E524A0" w:rsidRDefault="009E5FA7" w:rsidP="009E5FA7">
                  <w:pPr>
                    <w:rPr>
                      <w:rFonts w:eastAsia="楷体_GB2312"/>
                      <w:sz w:val="18"/>
                      <w:szCs w:val="18"/>
                    </w:rPr>
                  </w:pPr>
                  <w:r>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7</w:t>
                  </w:r>
                  <w:r w:rsidRPr="00607E19">
                    <w:rPr>
                      <w:rFonts w:eastAsia="楷体_GB2312" w:hint="eastAsia"/>
                      <w:sz w:val="18"/>
                      <w:szCs w:val="18"/>
                    </w:rPr>
                    <w:t>月基金投资策略：</w:t>
                  </w:r>
                  <w:r w:rsidRPr="00836FDA">
                    <w:rPr>
                      <w:rFonts w:eastAsia="楷体_GB2312" w:hint="eastAsia"/>
                      <w:sz w:val="18"/>
                      <w:szCs w:val="18"/>
                    </w:rPr>
                    <w:t>踩踏加码震荡，配置均衡谨慎</w:t>
                  </w:r>
                  <w:r w:rsidR="009A18F4">
                    <w:rPr>
                      <w:rFonts w:eastAsia="楷体_GB2312" w:hint="eastAsia"/>
                      <w:sz w:val="18"/>
                      <w:szCs w:val="18"/>
                    </w:rPr>
                    <w:t>。</w:t>
                  </w:r>
                </w:p>
                <w:p w:rsidR="009A18F4" w:rsidRPr="00060998" w:rsidRDefault="009A18F4" w:rsidP="00DE017A">
                  <w:pPr>
                    <w:rPr>
                      <w:rFonts w:eastAsia="楷体_GB2312"/>
                      <w:sz w:val="18"/>
                      <w:szCs w:val="18"/>
                    </w:rPr>
                  </w:pPr>
                </w:p>
                <w:p w:rsidR="009A18F4" w:rsidRPr="00E44B3F" w:rsidRDefault="009A18F4" w:rsidP="00DE017A">
                  <w:pPr>
                    <w:rPr>
                      <w:rFonts w:eastAsia="楷体_GB2312"/>
                      <w:sz w:val="18"/>
                      <w:szCs w:val="18"/>
                    </w:rPr>
                  </w:pPr>
                </w:p>
                <w:p w:rsidR="009A18F4" w:rsidRPr="00734602" w:rsidRDefault="009A18F4" w:rsidP="00DE017A">
                  <w:pPr>
                    <w:rPr>
                      <w:rFonts w:eastAsia="黑体"/>
                      <w:b/>
                      <w:color w:val="003366"/>
                      <w:sz w:val="24"/>
                    </w:rPr>
                  </w:pPr>
                </w:p>
              </w:tc>
            </w:tr>
          </w:tbl>
          <w:p w:rsidR="009A18F4" w:rsidRPr="00F57D27" w:rsidRDefault="009A18F4" w:rsidP="00DE017A">
            <w:pPr>
              <w:rPr>
                <w:rFonts w:eastAsia="楷体_GB2312"/>
                <w:b/>
                <w:color w:val="003366"/>
                <w:sz w:val="28"/>
                <w:szCs w:val="28"/>
              </w:rPr>
            </w:pPr>
          </w:p>
        </w:tc>
      </w:tr>
    </w:tbl>
    <w:p w:rsidR="00BF4BDC" w:rsidRDefault="00995D36" w:rsidP="009A18F4">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26" type="#_x0000_t202" style="position:absolute;left:0;text-align:left;margin-left:-53.9pt;margin-top:-98.6pt;width:422.85pt;height:170.65pt;z-index:251660288;mso-position-horizontal-relative:text;mso-position-vertical-relative:text" fillcolor="#00326e" stroked="f">
            <v:textbox style="mso-next-textbox:#_x0000_s1026">
              <w:txbxContent>
                <w:p w:rsidR="009752A4" w:rsidRDefault="009752A4" w:rsidP="009A18F4">
                  <w:pPr>
                    <w:rPr>
                      <w:rFonts w:ascii="宋体-18030" w:eastAsia="宋体-18030" w:hAnsi="宋体-18030" w:cs="宋体-18030"/>
                      <w:szCs w:val="21"/>
                    </w:rPr>
                  </w:pPr>
                </w:p>
                <w:p w:rsidR="009752A4" w:rsidRDefault="009752A4" w:rsidP="009A18F4">
                  <w:pPr>
                    <w:rPr>
                      <w:rFonts w:ascii="宋体-18030" w:eastAsia="宋体-18030" w:hAnsi="宋体-18030" w:cs="宋体-18030"/>
                      <w:szCs w:val="21"/>
                    </w:rPr>
                  </w:pPr>
                </w:p>
                <w:p w:rsidR="009752A4" w:rsidRDefault="009752A4" w:rsidP="009A18F4">
                  <w:pPr>
                    <w:rPr>
                      <w:rFonts w:ascii="宋体-18030" w:eastAsia="宋体-18030" w:hAnsi="宋体-18030" w:cs="宋体-18030"/>
                      <w:szCs w:val="21"/>
                    </w:rPr>
                  </w:pPr>
                </w:p>
                <w:p w:rsidR="009752A4" w:rsidRDefault="009752A4" w:rsidP="009A18F4">
                  <w:pPr>
                    <w:rPr>
                      <w:rFonts w:ascii="宋体-18030" w:eastAsia="宋体-18030" w:hAnsi="宋体-18030" w:cs="宋体-18030"/>
                      <w:szCs w:val="21"/>
                    </w:rPr>
                  </w:pPr>
                </w:p>
                <w:p w:rsidR="009752A4" w:rsidRPr="00C2401C" w:rsidRDefault="009752A4" w:rsidP="009A18F4">
                  <w:pPr>
                    <w:rPr>
                      <w:rFonts w:ascii="宋体-18030" w:eastAsia="宋体-18030" w:hAnsi="宋体-18030" w:cs="宋体-18030"/>
                      <w:szCs w:val="21"/>
                    </w:rPr>
                  </w:pPr>
                </w:p>
                <w:p w:rsidR="009752A4" w:rsidRDefault="00DD4DF7" w:rsidP="004840D3">
                  <w:pPr>
                    <w:wordWrap w:val="0"/>
                    <w:spacing w:beforeLines="150"/>
                    <w:ind w:rightChars="70" w:right="147"/>
                    <w:jc w:val="right"/>
                    <w:rPr>
                      <w:rFonts w:ascii="黑体" w:eastAsia="黑体" w:hAnsi="宋体" w:cs="宋体-18030"/>
                      <w:b/>
                      <w:color w:val="FFFFFF"/>
                      <w:sz w:val="30"/>
                      <w:szCs w:val="30"/>
                    </w:rPr>
                  </w:pPr>
                  <w:proofErr w:type="gramStart"/>
                  <w:r w:rsidRPr="00DD4DF7">
                    <w:rPr>
                      <w:rFonts w:ascii="黑体" w:eastAsia="黑体" w:hAnsi="宋体" w:cs="宋体-18030" w:hint="eastAsia"/>
                      <w:b/>
                      <w:color w:val="FFFFFF"/>
                      <w:sz w:val="30"/>
                      <w:szCs w:val="30"/>
                    </w:rPr>
                    <w:t>弱经济</w:t>
                  </w:r>
                  <w:proofErr w:type="gramEnd"/>
                  <w:r w:rsidRPr="00DD4DF7">
                    <w:rPr>
                      <w:rFonts w:ascii="黑体" w:eastAsia="黑体" w:hAnsi="宋体" w:cs="宋体-18030" w:hint="eastAsia"/>
                      <w:b/>
                      <w:color w:val="FFFFFF"/>
                      <w:sz w:val="30"/>
                      <w:szCs w:val="30"/>
                    </w:rPr>
                    <w:t>推动全球宽松</w:t>
                  </w:r>
                  <w:r>
                    <w:rPr>
                      <w:rFonts w:ascii="黑体" w:eastAsia="黑体" w:hAnsi="宋体" w:cs="宋体-18030" w:hint="eastAsia"/>
                      <w:b/>
                      <w:color w:val="FFFFFF"/>
                      <w:sz w:val="30"/>
                      <w:szCs w:val="30"/>
                    </w:rPr>
                    <w:t xml:space="preserve"> </w:t>
                  </w:r>
                  <w:r w:rsidR="0039786A" w:rsidRPr="0039786A">
                    <w:rPr>
                      <w:rFonts w:ascii="黑体" w:eastAsia="黑体" w:hAnsi="宋体" w:cs="宋体-18030" w:hint="eastAsia"/>
                      <w:b/>
                      <w:color w:val="FFFFFF"/>
                      <w:sz w:val="30"/>
                      <w:szCs w:val="30"/>
                    </w:rPr>
                    <w:t>积极关注“十三五”主题投资机会</w:t>
                  </w:r>
                </w:p>
                <w:p w:rsidR="009752A4" w:rsidRPr="004E3270" w:rsidRDefault="009752A4" w:rsidP="009A18F4">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Pr>
                      <w:rFonts w:ascii="楷体_GB2312" w:eastAsia="楷体_GB2312" w:hint="eastAsia"/>
                      <w:b/>
                      <w:szCs w:val="21"/>
                    </w:rPr>
                    <w:t>1</w:t>
                  </w:r>
                  <w:r w:rsidR="00DB64DC">
                    <w:rPr>
                      <w:rFonts w:ascii="楷体_GB2312" w:eastAsia="楷体_GB2312" w:hint="eastAsia"/>
                      <w:b/>
                      <w:szCs w:val="21"/>
                    </w:rPr>
                    <w:t>1</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9752A4" w:rsidRPr="00AF7DC8" w:rsidRDefault="009752A4" w:rsidP="009A18F4">
                  <w:pPr>
                    <w:spacing w:line="360" w:lineRule="auto"/>
                    <w:jc w:val="center"/>
                    <w:rPr>
                      <w:rFonts w:ascii="黑体" w:eastAsia="黑体" w:hAnsi="宋体" w:cs="宋体-18030"/>
                      <w:b/>
                      <w:color w:val="FFFFFF"/>
                      <w:sz w:val="30"/>
                      <w:szCs w:val="30"/>
                    </w:rPr>
                  </w:pPr>
                </w:p>
              </w:txbxContent>
            </v:textbox>
          </v:shape>
        </w:pict>
      </w:r>
      <w:r w:rsidR="00BF4BDC">
        <w:rPr>
          <w:rFonts w:ascii="黑体" w:eastAsia="黑体" w:hAnsi="宋体"/>
          <w:b/>
          <w:color w:val="003366"/>
          <w:sz w:val="24"/>
        </w:rPr>
        <w:br/>
      </w:r>
    </w:p>
    <w:p w:rsidR="00BF4BDC" w:rsidRDefault="00BF4BDC" w:rsidP="009A18F4">
      <w:pPr>
        <w:numPr>
          <w:ilvl w:val="0"/>
          <w:numId w:val="2"/>
        </w:numPr>
        <w:spacing w:line="360" w:lineRule="auto"/>
        <w:rPr>
          <w:rFonts w:ascii="黑体" w:eastAsia="黑体" w:hAnsi="宋体"/>
          <w:b/>
          <w:color w:val="003366"/>
          <w:sz w:val="24"/>
        </w:rPr>
      </w:pPr>
    </w:p>
    <w:p w:rsidR="00BF4BDC" w:rsidRDefault="00BF4BDC" w:rsidP="00BF4BDC">
      <w:pPr>
        <w:rPr>
          <w:rFonts w:ascii="黑体" w:eastAsia="黑体" w:hAnsi="宋体"/>
          <w:b/>
          <w:color w:val="003366"/>
          <w:sz w:val="24"/>
        </w:rPr>
      </w:pPr>
    </w:p>
    <w:p w:rsidR="009A18F4" w:rsidRPr="00A054FE" w:rsidRDefault="009A18F4" w:rsidP="009A18F4">
      <w:pPr>
        <w:numPr>
          <w:ilvl w:val="0"/>
          <w:numId w:val="2"/>
        </w:numPr>
        <w:spacing w:line="360" w:lineRule="auto"/>
        <w:rPr>
          <w:rFonts w:ascii="黑体" w:eastAsia="黑体" w:hAnsi="宋体"/>
          <w:b/>
          <w:color w:val="003366"/>
          <w:sz w:val="24"/>
        </w:rPr>
      </w:pPr>
      <w:r w:rsidRPr="00A054FE">
        <w:rPr>
          <w:rFonts w:ascii="黑体" w:eastAsia="黑体" w:hAnsi="宋体" w:hint="eastAsia"/>
          <w:b/>
          <w:color w:val="003366"/>
          <w:sz w:val="24"/>
        </w:rPr>
        <w:t>主要观点：</w:t>
      </w:r>
    </w:p>
    <w:p w:rsidR="005C194A" w:rsidRPr="0039786A" w:rsidRDefault="0039786A" w:rsidP="004840D3">
      <w:pPr>
        <w:numPr>
          <w:ilvl w:val="0"/>
          <w:numId w:val="2"/>
        </w:numPr>
        <w:spacing w:beforeLines="50" w:afterLines="50"/>
        <w:rPr>
          <w:rFonts w:ascii="黑体" w:eastAsia="黑体" w:hAnsi="宋体-18030" w:cs="宋体-18030"/>
          <w:b/>
          <w:bCs/>
          <w:color w:val="003366"/>
          <w:kern w:val="44"/>
          <w:szCs w:val="21"/>
        </w:rPr>
      </w:pPr>
      <w:proofErr w:type="gramStart"/>
      <w:r>
        <w:rPr>
          <w:rFonts w:ascii="黑体" w:eastAsia="黑体" w:hAnsi="宋体-18030" w:cs="宋体-18030" w:hint="eastAsia"/>
          <w:b/>
          <w:bCs/>
          <w:color w:val="003366"/>
          <w:kern w:val="44"/>
          <w:szCs w:val="21"/>
        </w:rPr>
        <w:t>弱经济</w:t>
      </w:r>
      <w:proofErr w:type="gramEnd"/>
      <w:r w:rsidR="00DD4DF7">
        <w:rPr>
          <w:rFonts w:ascii="黑体" w:eastAsia="黑体" w:hAnsi="宋体-18030" w:cs="宋体-18030" w:hint="eastAsia"/>
          <w:b/>
          <w:bCs/>
          <w:color w:val="003366"/>
          <w:kern w:val="44"/>
          <w:szCs w:val="21"/>
        </w:rPr>
        <w:t>推动</w:t>
      </w:r>
      <w:r>
        <w:rPr>
          <w:rFonts w:ascii="黑体" w:eastAsia="黑体" w:hAnsi="宋体-18030" w:cs="宋体-18030" w:hint="eastAsia"/>
          <w:b/>
          <w:bCs/>
          <w:color w:val="003366"/>
          <w:kern w:val="44"/>
          <w:szCs w:val="21"/>
        </w:rPr>
        <w:t>全球宽松</w:t>
      </w:r>
      <w:r w:rsidR="00345829" w:rsidRPr="0039786A">
        <w:rPr>
          <w:rFonts w:ascii="黑体" w:eastAsia="黑体" w:hAnsi="宋体-18030" w:cs="宋体-18030" w:hint="eastAsia"/>
          <w:b/>
          <w:bCs/>
          <w:color w:val="003366"/>
          <w:kern w:val="44"/>
          <w:szCs w:val="21"/>
        </w:rPr>
        <w:t>，</w:t>
      </w:r>
      <w:r>
        <w:rPr>
          <w:rFonts w:ascii="黑体" w:eastAsia="黑体" w:hAnsi="宋体-18030" w:cs="宋体-18030" w:hint="eastAsia"/>
          <w:b/>
          <w:bCs/>
          <w:color w:val="003366"/>
          <w:kern w:val="44"/>
          <w:szCs w:val="21"/>
        </w:rPr>
        <w:t>全球风险偏好得以修复</w:t>
      </w:r>
    </w:p>
    <w:p w:rsidR="00DB64DC" w:rsidRDefault="00DB64DC" w:rsidP="00BF4BDC">
      <w:pPr>
        <w:snapToGrid w:val="0"/>
        <w:spacing w:line="360" w:lineRule="auto"/>
        <w:ind w:firstLine="420"/>
        <w:contextualSpacing/>
        <w:rPr>
          <w:rFonts w:ascii="楷体_GB2312" w:eastAsia="楷体_GB2312" w:hAnsi="宋体" w:cs="宋体"/>
          <w:kern w:val="0"/>
          <w:szCs w:val="21"/>
        </w:rPr>
      </w:pPr>
      <w:r w:rsidRPr="00DB64DC">
        <w:rPr>
          <w:rFonts w:ascii="楷体_GB2312" w:eastAsia="楷体_GB2312" w:hAnsi="宋体" w:cs="宋体" w:hint="eastAsia"/>
          <w:kern w:val="0"/>
          <w:szCs w:val="21"/>
        </w:rPr>
        <w:t>四季度以来全球经济增长前景仍没有看到明显的暖意，</w:t>
      </w:r>
      <w:r w:rsidR="0039786A">
        <w:rPr>
          <w:rFonts w:ascii="楷体_GB2312" w:eastAsia="楷体_GB2312" w:hAnsi="宋体" w:cs="宋体" w:hint="eastAsia"/>
          <w:kern w:val="0"/>
          <w:szCs w:val="21"/>
        </w:rPr>
        <w:t>弱势经济使得中、欧、日联袂表态或采取实际行动实施宽松货币影响，全球风险偏好得以修复</w:t>
      </w:r>
      <w:r w:rsidRPr="00DB64DC">
        <w:rPr>
          <w:rFonts w:ascii="楷体_GB2312" w:eastAsia="楷体_GB2312" w:hAnsi="宋体" w:cs="宋体" w:hint="eastAsia"/>
          <w:kern w:val="0"/>
          <w:szCs w:val="21"/>
        </w:rPr>
        <w:t>。</w:t>
      </w:r>
    </w:p>
    <w:p w:rsidR="00DB64DC" w:rsidRPr="00DB64DC" w:rsidRDefault="0039786A" w:rsidP="0039786A">
      <w:pPr>
        <w:snapToGrid w:val="0"/>
        <w:spacing w:line="360" w:lineRule="auto"/>
        <w:ind w:firstLine="420"/>
        <w:contextualSpacing/>
        <w:rPr>
          <w:rFonts w:ascii="楷体_GB2312" w:eastAsia="楷体_GB2312" w:hAnsi="宋体" w:cs="宋体"/>
          <w:kern w:val="0"/>
          <w:szCs w:val="21"/>
        </w:rPr>
      </w:pPr>
      <w:r w:rsidRPr="0039786A">
        <w:rPr>
          <w:rFonts w:ascii="楷体_GB2312" w:eastAsia="楷体_GB2312" w:hAnsi="宋体" w:cs="宋体" w:hint="eastAsia"/>
          <w:kern w:val="0"/>
          <w:szCs w:val="21"/>
        </w:rPr>
        <w:t>中国经济增长</w:t>
      </w:r>
      <w:r w:rsidR="00DB64DC" w:rsidRPr="00DB64DC">
        <w:rPr>
          <w:rFonts w:ascii="楷体_GB2312" w:eastAsia="楷体_GB2312" w:hAnsi="宋体" w:cs="宋体" w:hint="eastAsia"/>
          <w:kern w:val="0"/>
          <w:szCs w:val="21"/>
        </w:rPr>
        <w:t>仍在合理</w:t>
      </w:r>
      <w:r>
        <w:rPr>
          <w:rFonts w:ascii="楷体_GB2312" w:eastAsia="楷体_GB2312" w:hAnsi="宋体" w:cs="宋体" w:hint="eastAsia"/>
          <w:kern w:val="0"/>
          <w:szCs w:val="21"/>
        </w:rPr>
        <w:t>区间和</w:t>
      </w:r>
      <w:r w:rsidR="00DB64DC" w:rsidRPr="00DB64DC">
        <w:rPr>
          <w:rFonts w:ascii="楷体_GB2312" w:eastAsia="楷体_GB2312" w:hAnsi="宋体" w:cs="宋体" w:hint="eastAsia"/>
          <w:kern w:val="0"/>
          <w:szCs w:val="21"/>
        </w:rPr>
        <w:t>可控的范围</w:t>
      </w:r>
      <w:r>
        <w:rPr>
          <w:rFonts w:ascii="楷体_GB2312" w:eastAsia="楷体_GB2312" w:hAnsi="宋体" w:cs="宋体" w:hint="eastAsia"/>
          <w:kern w:val="0"/>
          <w:szCs w:val="21"/>
        </w:rPr>
        <w:t>之内，</w:t>
      </w:r>
      <w:r w:rsidR="00DB64DC" w:rsidRPr="00DB64DC">
        <w:rPr>
          <w:rFonts w:ascii="楷体_GB2312" w:eastAsia="楷体_GB2312" w:hAnsi="宋体" w:cs="宋体" w:hint="eastAsia"/>
          <w:kern w:val="0"/>
          <w:szCs w:val="21"/>
        </w:rPr>
        <w:t>政策制定者还拥有充分的政策牌来应对经济进一步恶化的可能。展望后市，在国内外经济疲态和资产质量问题的压力下，各类资产价格上涨乏力空间有限，</w:t>
      </w:r>
      <w:r>
        <w:rPr>
          <w:rFonts w:ascii="楷体_GB2312" w:eastAsia="楷体_GB2312" w:hAnsi="宋体" w:cs="宋体" w:hint="eastAsia"/>
          <w:kern w:val="0"/>
          <w:szCs w:val="21"/>
        </w:rPr>
        <w:t>但</w:t>
      </w:r>
      <w:r w:rsidR="00DB64DC" w:rsidRPr="00DB64DC">
        <w:rPr>
          <w:rFonts w:ascii="楷体_GB2312" w:eastAsia="楷体_GB2312" w:hAnsi="宋体" w:cs="宋体" w:hint="eastAsia"/>
          <w:kern w:val="0"/>
          <w:szCs w:val="21"/>
        </w:rPr>
        <w:t>新一轮投资主题正在孕育，十三五规划纲要的出台有望给股票市场带来新的热点。</w:t>
      </w:r>
    </w:p>
    <w:p w:rsidR="005C194A" w:rsidRPr="00DD4DF7" w:rsidRDefault="0039786A" w:rsidP="004840D3">
      <w:pPr>
        <w:numPr>
          <w:ilvl w:val="0"/>
          <w:numId w:val="2"/>
        </w:numPr>
        <w:spacing w:beforeLines="50" w:afterLines="50"/>
        <w:rPr>
          <w:rFonts w:ascii="黑体" w:eastAsia="黑体" w:hAnsi="宋体-18030" w:cs="宋体-18030"/>
          <w:b/>
          <w:bCs/>
          <w:color w:val="003366"/>
          <w:kern w:val="44"/>
          <w:szCs w:val="21"/>
        </w:rPr>
      </w:pPr>
      <w:r w:rsidRPr="00DD4DF7">
        <w:rPr>
          <w:rFonts w:ascii="黑体" w:eastAsia="黑体" w:hAnsi="宋体-18030" w:cs="宋体-18030" w:hint="eastAsia"/>
          <w:b/>
          <w:bCs/>
          <w:color w:val="003366"/>
          <w:kern w:val="44"/>
          <w:szCs w:val="21"/>
        </w:rPr>
        <w:t>谨慎乐观</w:t>
      </w:r>
      <w:r w:rsidR="00DD4DF7">
        <w:rPr>
          <w:rFonts w:ascii="黑体" w:eastAsia="黑体" w:hAnsi="宋体-18030" w:cs="宋体-18030" w:hint="eastAsia"/>
          <w:b/>
          <w:bCs/>
          <w:color w:val="003366"/>
          <w:kern w:val="44"/>
          <w:szCs w:val="21"/>
        </w:rPr>
        <w:t>，</w:t>
      </w:r>
      <w:r w:rsidRPr="00DD4DF7">
        <w:rPr>
          <w:rFonts w:ascii="黑体" w:eastAsia="黑体" w:hAnsi="宋体-18030" w:cs="宋体-18030" w:hint="eastAsia"/>
          <w:b/>
          <w:bCs/>
          <w:color w:val="003366"/>
          <w:kern w:val="44"/>
          <w:szCs w:val="21"/>
        </w:rPr>
        <w:t>积极关注“十三五”带来的主题投资机会</w:t>
      </w:r>
    </w:p>
    <w:p w:rsidR="00CE3745" w:rsidRDefault="0039786A" w:rsidP="00BF4BDC">
      <w:pPr>
        <w:snapToGrid w:val="0"/>
        <w:spacing w:line="360" w:lineRule="auto"/>
        <w:ind w:firstLine="420"/>
        <w:contextualSpacing/>
        <w:rPr>
          <w:rFonts w:ascii="楷体_GB2312" w:eastAsia="楷体_GB2312" w:hAnsi="宋体" w:cs="宋体"/>
          <w:kern w:val="0"/>
          <w:szCs w:val="21"/>
        </w:rPr>
      </w:pPr>
      <w:r>
        <w:rPr>
          <w:rFonts w:ascii="楷体_GB2312" w:eastAsia="楷体_GB2312" w:hAnsi="宋体" w:cs="宋体" w:hint="eastAsia"/>
          <w:kern w:val="0"/>
          <w:szCs w:val="21"/>
        </w:rPr>
        <w:t>预计</w:t>
      </w:r>
      <w:r w:rsidR="00CE3745">
        <w:rPr>
          <w:rFonts w:ascii="楷体_GB2312" w:eastAsia="楷体_GB2312" w:hAnsi="宋体" w:cs="宋体" w:hint="eastAsia"/>
          <w:kern w:val="0"/>
          <w:szCs w:val="21"/>
        </w:rPr>
        <w:t>市场仍将在政策预期和验证中</w:t>
      </w:r>
      <w:r w:rsidR="00CE3745" w:rsidRPr="00084235">
        <w:rPr>
          <w:rFonts w:ascii="楷体_GB2312" w:eastAsia="楷体_GB2312" w:hAnsi="宋体" w:cs="宋体" w:hint="eastAsia"/>
          <w:kern w:val="0"/>
          <w:szCs w:val="21"/>
        </w:rPr>
        <w:t>维持震荡上行格局，市场投资机会依然以阶段性机会和结构性投资机会为主，</w:t>
      </w:r>
      <w:r w:rsidR="00CE3745" w:rsidRPr="003158CF">
        <w:rPr>
          <w:rFonts w:ascii="楷体_GB2312" w:eastAsia="楷体_GB2312" w:hAnsi="宋体" w:cs="宋体" w:hint="eastAsia"/>
          <w:kern w:val="0"/>
          <w:szCs w:val="21"/>
        </w:rPr>
        <w:t>10月份股市的大幅上涨或将给11月份带来一定调整压力</w:t>
      </w:r>
      <w:r>
        <w:rPr>
          <w:rFonts w:ascii="楷体_GB2312" w:eastAsia="楷体_GB2312" w:hAnsi="宋体" w:cs="宋体" w:hint="eastAsia"/>
          <w:kern w:val="0"/>
          <w:szCs w:val="21"/>
        </w:rPr>
        <w:t>，建议投资者</w:t>
      </w:r>
      <w:r w:rsidR="00CE3745" w:rsidRPr="00084235">
        <w:rPr>
          <w:rFonts w:ascii="楷体_GB2312" w:eastAsia="楷体_GB2312" w:hAnsi="宋体" w:cs="宋体" w:hint="eastAsia"/>
          <w:kern w:val="0"/>
          <w:szCs w:val="21"/>
        </w:rPr>
        <w:t>维持中性偏乐观</w:t>
      </w:r>
      <w:r>
        <w:rPr>
          <w:rFonts w:ascii="楷体_GB2312" w:eastAsia="楷体_GB2312" w:hAnsi="宋体" w:cs="宋体" w:hint="eastAsia"/>
          <w:kern w:val="0"/>
          <w:szCs w:val="21"/>
        </w:rPr>
        <w:t>判断</w:t>
      </w:r>
      <w:r w:rsidR="00CE3745">
        <w:rPr>
          <w:rFonts w:ascii="楷体_GB2312" w:eastAsia="楷体_GB2312" w:hAnsi="宋体" w:cs="宋体" w:hint="eastAsia"/>
          <w:kern w:val="0"/>
          <w:szCs w:val="21"/>
        </w:rPr>
        <w:t>。</w:t>
      </w:r>
    </w:p>
    <w:p w:rsidR="00CE3745" w:rsidRDefault="00CE3745" w:rsidP="00BF4BDC">
      <w:pPr>
        <w:snapToGrid w:val="0"/>
        <w:spacing w:line="360" w:lineRule="auto"/>
        <w:ind w:firstLine="420"/>
        <w:contextualSpacing/>
        <w:rPr>
          <w:rFonts w:ascii="楷体_GB2312" w:eastAsia="楷体_GB2312" w:hAnsi="宋体" w:cs="宋体"/>
          <w:kern w:val="0"/>
          <w:szCs w:val="21"/>
        </w:rPr>
      </w:pPr>
      <w:r w:rsidRPr="00CE3745">
        <w:rPr>
          <w:rFonts w:ascii="楷体_GB2312" w:eastAsia="楷体_GB2312" w:hAnsi="宋体" w:cs="宋体" w:hint="eastAsia"/>
          <w:kern w:val="0"/>
          <w:szCs w:val="21"/>
        </w:rPr>
        <w:t>权益类基金方面，</w:t>
      </w:r>
      <w:r w:rsidR="00DD4DF7">
        <w:rPr>
          <w:rFonts w:ascii="楷体_GB2312" w:eastAsia="楷体_GB2312" w:hAnsi="宋体" w:cs="宋体" w:hint="eastAsia"/>
          <w:kern w:val="0"/>
          <w:szCs w:val="21"/>
        </w:rPr>
        <w:t>建议</w:t>
      </w:r>
      <w:r w:rsidRPr="00352632">
        <w:rPr>
          <w:rFonts w:ascii="楷体_GB2312" w:eastAsia="楷体_GB2312" w:hAnsi="宋体" w:cs="宋体" w:hint="eastAsia"/>
          <w:kern w:val="0"/>
          <w:szCs w:val="21"/>
        </w:rPr>
        <w:t>继续重点关注选</w:t>
      </w:r>
      <w:proofErr w:type="gramStart"/>
      <w:r w:rsidRPr="00352632">
        <w:rPr>
          <w:rFonts w:ascii="楷体_GB2312" w:eastAsia="楷体_GB2312" w:hAnsi="宋体" w:cs="宋体" w:hint="eastAsia"/>
          <w:kern w:val="0"/>
          <w:szCs w:val="21"/>
        </w:rPr>
        <w:t>股能力</w:t>
      </w:r>
      <w:proofErr w:type="gramEnd"/>
      <w:r w:rsidRPr="00352632">
        <w:rPr>
          <w:rFonts w:ascii="楷体_GB2312" w:eastAsia="楷体_GB2312" w:hAnsi="宋体" w:cs="宋体" w:hint="eastAsia"/>
          <w:kern w:val="0"/>
          <w:szCs w:val="21"/>
        </w:rPr>
        <w:t>突出，波段操作能力强的混合型基金。</w:t>
      </w:r>
      <w:r w:rsidRPr="00901C70">
        <w:rPr>
          <w:rFonts w:ascii="楷体_GB2312" w:eastAsia="楷体_GB2312" w:hAnsi="宋体" w:cs="宋体" w:hint="eastAsia"/>
          <w:kern w:val="0"/>
          <w:szCs w:val="21"/>
        </w:rPr>
        <w:t>十三五规划纲要即将推出，</w:t>
      </w:r>
      <w:r w:rsidR="00DD4DF7">
        <w:rPr>
          <w:rFonts w:ascii="楷体_GB2312" w:eastAsia="楷体_GB2312" w:hAnsi="宋体" w:cs="宋体" w:hint="eastAsia"/>
          <w:kern w:val="0"/>
          <w:szCs w:val="21"/>
        </w:rPr>
        <w:t>建议</w:t>
      </w:r>
      <w:r w:rsidRPr="00901C70">
        <w:rPr>
          <w:rFonts w:ascii="楷体_GB2312" w:eastAsia="楷体_GB2312" w:hAnsi="宋体" w:cs="宋体" w:hint="eastAsia"/>
          <w:kern w:val="0"/>
          <w:szCs w:val="21"/>
        </w:rPr>
        <w:t>应时而</w:t>
      </w:r>
      <w:proofErr w:type="gramStart"/>
      <w:r w:rsidRPr="00901C70">
        <w:rPr>
          <w:rFonts w:ascii="楷体_GB2312" w:eastAsia="楷体_GB2312" w:hAnsi="宋体" w:cs="宋体" w:hint="eastAsia"/>
          <w:kern w:val="0"/>
          <w:szCs w:val="21"/>
        </w:rPr>
        <w:t>动把握</w:t>
      </w:r>
      <w:proofErr w:type="gramEnd"/>
      <w:r w:rsidRPr="00901C70">
        <w:rPr>
          <w:rFonts w:ascii="楷体_GB2312" w:eastAsia="楷体_GB2312" w:hAnsi="宋体" w:cs="宋体" w:hint="eastAsia"/>
          <w:kern w:val="0"/>
          <w:szCs w:val="21"/>
        </w:rPr>
        <w:t>市场阶段性主题投资机会</w:t>
      </w:r>
      <w:r>
        <w:rPr>
          <w:rFonts w:ascii="楷体_GB2312" w:eastAsia="楷体_GB2312" w:hAnsi="宋体" w:cs="宋体" w:hint="eastAsia"/>
          <w:kern w:val="0"/>
          <w:szCs w:val="21"/>
        </w:rPr>
        <w:t>，如受益二胎开放的</w:t>
      </w:r>
      <w:r>
        <w:rPr>
          <w:rFonts w:ascii="楷体_GB2312" w:eastAsia="楷体_GB2312" w:hAnsiTheme="minorEastAsia" w:cs="宋体" w:hint="eastAsia"/>
          <w:kern w:val="0"/>
          <w:szCs w:val="21"/>
        </w:rPr>
        <w:t>医疗保健、文化娱乐主题基金，受益政策鼓励创新转型的高端制造业主题基金</w:t>
      </w:r>
      <w:r>
        <w:rPr>
          <w:rFonts w:ascii="楷体_GB2312" w:eastAsia="楷体_GB2312" w:hAnsi="宋体" w:cs="宋体" w:hint="eastAsia"/>
          <w:kern w:val="0"/>
          <w:szCs w:val="21"/>
        </w:rPr>
        <w:t>。</w:t>
      </w:r>
    </w:p>
    <w:p w:rsidR="00CE3745" w:rsidRDefault="00CE3745" w:rsidP="00BF4BDC">
      <w:pPr>
        <w:snapToGrid w:val="0"/>
        <w:spacing w:line="360" w:lineRule="auto"/>
        <w:ind w:firstLine="420"/>
        <w:contextualSpacing/>
        <w:rPr>
          <w:rFonts w:ascii="楷体_GB2312" w:eastAsia="楷体_GB2312" w:hAnsi="宋体" w:cs="宋体"/>
          <w:kern w:val="0"/>
          <w:szCs w:val="21"/>
        </w:rPr>
      </w:pPr>
      <w:r w:rsidRPr="00CE3745">
        <w:rPr>
          <w:rFonts w:ascii="楷体_GB2312" w:eastAsia="楷体_GB2312" w:hAnsi="宋体" w:cs="宋体" w:hint="eastAsia"/>
          <w:kern w:val="0"/>
          <w:szCs w:val="21"/>
        </w:rPr>
        <w:t>固定收益基金方面，</w:t>
      </w:r>
      <w:r>
        <w:rPr>
          <w:rFonts w:ascii="楷体_GB2312" w:eastAsia="楷体_GB2312" w:hAnsi="宋体" w:cs="宋体" w:hint="eastAsia"/>
          <w:kern w:val="0"/>
          <w:szCs w:val="21"/>
        </w:rPr>
        <w:t>债券收益率已将至低点，下移空间将有限，但</w:t>
      </w:r>
      <w:r w:rsidR="00560F1B">
        <w:rPr>
          <w:rFonts w:ascii="楷体_GB2312" w:eastAsia="楷体_GB2312" w:hAnsi="宋体" w:cs="宋体" w:hint="eastAsia"/>
          <w:kern w:val="0"/>
          <w:szCs w:val="21"/>
        </w:rPr>
        <w:t>预计</w:t>
      </w:r>
      <w:r>
        <w:rPr>
          <w:rFonts w:ascii="楷体_GB2312" w:eastAsia="楷体_GB2312" w:hAnsi="宋体" w:cs="宋体" w:hint="eastAsia"/>
          <w:kern w:val="0"/>
          <w:szCs w:val="21"/>
        </w:rPr>
        <w:t>低风险偏好的资金</w:t>
      </w:r>
      <w:r w:rsidR="00560F1B">
        <w:rPr>
          <w:rFonts w:ascii="楷体_GB2312" w:eastAsia="楷体_GB2312" w:hAnsi="宋体" w:cs="宋体" w:hint="eastAsia"/>
          <w:kern w:val="0"/>
          <w:szCs w:val="21"/>
        </w:rPr>
        <w:t>仍</w:t>
      </w:r>
      <w:r>
        <w:rPr>
          <w:rFonts w:ascii="楷体_GB2312" w:eastAsia="楷体_GB2312" w:hAnsi="宋体" w:cs="宋体" w:hint="eastAsia"/>
          <w:kern w:val="0"/>
          <w:szCs w:val="21"/>
        </w:rPr>
        <w:t>将流入债市。</w:t>
      </w:r>
      <w:r w:rsidRPr="00560F1B">
        <w:rPr>
          <w:rFonts w:ascii="楷体_GB2312" w:eastAsia="楷体_GB2312" w:hAnsi="宋体" w:cs="宋体" w:hint="eastAsia"/>
          <w:kern w:val="0"/>
          <w:szCs w:val="21"/>
        </w:rPr>
        <w:t>股市重新走高，</w:t>
      </w:r>
      <w:r w:rsidR="00560F1B">
        <w:rPr>
          <w:rFonts w:ascii="楷体_GB2312" w:eastAsia="楷体_GB2312" w:hAnsi="宋体" w:cs="宋体" w:hint="eastAsia"/>
          <w:kern w:val="0"/>
          <w:szCs w:val="21"/>
        </w:rPr>
        <w:t>债市</w:t>
      </w:r>
      <w:r w:rsidRPr="00560F1B">
        <w:rPr>
          <w:rFonts w:ascii="楷体_GB2312" w:eastAsia="楷体_GB2312" w:hAnsi="宋体" w:cs="宋体" w:hint="eastAsia"/>
          <w:kern w:val="0"/>
          <w:szCs w:val="21"/>
        </w:rPr>
        <w:t>避险需求已大大减弱，而债市低利率推高泡沫隐患，继续走牛的基础薄弱。综上，我们判断短期</w:t>
      </w:r>
      <w:proofErr w:type="gramStart"/>
      <w:r w:rsidRPr="00560F1B">
        <w:rPr>
          <w:rFonts w:ascii="楷体_GB2312" w:eastAsia="楷体_GB2312" w:hAnsi="宋体" w:cs="宋体" w:hint="eastAsia"/>
          <w:kern w:val="0"/>
          <w:szCs w:val="21"/>
        </w:rPr>
        <w:t>内债市</w:t>
      </w:r>
      <w:proofErr w:type="gramEnd"/>
      <w:r w:rsidRPr="00560F1B">
        <w:rPr>
          <w:rFonts w:ascii="楷体_GB2312" w:eastAsia="楷体_GB2312" w:hAnsi="宋体" w:cs="宋体" w:hint="eastAsia"/>
          <w:kern w:val="0"/>
          <w:szCs w:val="21"/>
        </w:rPr>
        <w:t>将面临调整，建议投资者可以适当低配债券型基金。</w:t>
      </w:r>
    </w:p>
    <w:p w:rsidR="00CE3745" w:rsidRPr="00CE3745" w:rsidRDefault="00CE3745" w:rsidP="00BF4BDC">
      <w:pPr>
        <w:snapToGrid w:val="0"/>
        <w:spacing w:line="360" w:lineRule="auto"/>
        <w:ind w:firstLine="420"/>
        <w:contextualSpacing/>
        <w:rPr>
          <w:rFonts w:ascii="楷体_GB2312" w:eastAsia="楷体_GB2312" w:hAnsi="宋体" w:cs="宋体"/>
          <w:kern w:val="0"/>
          <w:szCs w:val="21"/>
        </w:rPr>
      </w:pPr>
      <w:r w:rsidRPr="00CE3745">
        <w:rPr>
          <w:rFonts w:ascii="楷体_GB2312" w:eastAsia="楷体_GB2312" w:hAnsi="宋体" w:cs="宋体" w:hint="eastAsia"/>
          <w:kern w:val="0"/>
          <w:szCs w:val="21"/>
        </w:rPr>
        <w:t>QDII</w:t>
      </w:r>
      <w:r w:rsidR="000C5EA0">
        <w:rPr>
          <w:rFonts w:ascii="楷体_GB2312" w:eastAsia="楷体_GB2312" w:hAnsi="宋体" w:cs="宋体" w:hint="eastAsia"/>
          <w:kern w:val="0"/>
          <w:szCs w:val="21"/>
        </w:rPr>
        <w:t>方面，建议投资者继续战略性配置适当</w:t>
      </w:r>
      <w:r w:rsidRPr="00CE3745">
        <w:rPr>
          <w:rFonts w:ascii="楷体_GB2312" w:eastAsia="楷体_GB2312" w:hAnsi="宋体" w:cs="宋体" w:hint="eastAsia"/>
          <w:kern w:val="0"/>
          <w:szCs w:val="21"/>
        </w:rPr>
        <w:t>美国科技股QDII、美国房地产和制造业板块QDII，回避商品QDII，</w:t>
      </w:r>
      <w:r w:rsidR="00560F1B" w:rsidRPr="00560F1B">
        <w:rPr>
          <w:rFonts w:ascii="楷体_GB2312" w:eastAsia="楷体_GB2312" w:hAnsi="宋体" w:cs="宋体" w:hint="eastAsia"/>
          <w:kern w:val="0"/>
          <w:szCs w:val="21"/>
        </w:rPr>
        <w:t>新兴市场和香港股票QDII</w:t>
      </w:r>
      <w:r w:rsidRPr="00CE3745">
        <w:rPr>
          <w:rFonts w:ascii="楷体_GB2312" w:eastAsia="楷体_GB2312" w:hAnsi="宋体" w:cs="宋体" w:hint="eastAsia"/>
          <w:kern w:val="0"/>
          <w:szCs w:val="21"/>
        </w:rPr>
        <w:t>。</w:t>
      </w:r>
    </w:p>
    <w:p w:rsidR="00CE3745" w:rsidRPr="00CE3745" w:rsidRDefault="00CE3745" w:rsidP="00BF4BDC">
      <w:pPr>
        <w:snapToGrid w:val="0"/>
        <w:spacing w:line="360" w:lineRule="auto"/>
        <w:ind w:firstLine="420"/>
        <w:contextualSpacing/>
        <w:rPr>
          <w:rFonts w:ascii="楷体_GB2312" w:eastAsia="楷体_GB2312" w:hAnsi="宋体" w:cs="宋体"/>
          <w:kern w:val="0"/>
          <w:szCs w:val="21"/>
        </w:rPr>
      </w:pPr>
    </w:p>
    <w:p w:rsidR="009A18F4" w:rsidRPr="00C1375D" w:rsidRDefault="009A18F4" w:rsidP="004840D3">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007"/>
        <w:gridCol w:w="578"/>
        <w:gridCol w:w="222"/>
        <w:gridCol w:w="1538"/>
        <w:gridCol w:w="578"/>
        <w:gridCol w:w="222"/>
        <w:gridCol w:w="1296"/>
        <w:gridCol w:w="578"/>
      </w:tblGrid>
      <w:tr w:rsidR="009A18F4" w:rsidRPr="005B5148" w:rsidTr="00DE017A">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9A18F4" w:rsidRPr="005B5148" w:rsidTr="00DE017A">
        <w:trPr>
          <w:trHeight w:val="285"/>
          <w:jc w:val="center"/>
        </w:trPr>
        <w:tc>
          <w:tcPr>
            <w:tcW w:w="1490" w:type="pct"/>
            <w:tcBorders>
              <w:top w:val="nil"/>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224620" w:rsidRPr="005B5148" w:rsidTr="00DE017A">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224620" w:rsidRPr="007F5B42" w:rsidRDefault="00560F1B" w:rsidP="00DE017A">
            <w:pPr>
              <w:jc w:val="center"/>
              <w:rPr>
                <w:rFonts w:ascii="Arial" w:hAnsi="Arial" w:cs="Arial"/>
                <w:sz w:val="16"/>
                <w:szCs w:val="16"/>
              </w:rPr>
            </w:pPr>
            <w:r>
              <w:rPr>
                <w:rFonts w:hint="eastAsia"/>
                <w:sz w:val="18"/>
                <w:szCs w:val="18"/>
              </w:rPr>
              <w:t>易方达科讯</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560F1B" w:rsidP="00DE017A">
            <w:pPr>
              <w:jc w:val="center"/>
              <w:rPr>
                <w:rFonts w:ascii="Arial" w:hAnsi="Arial" w:cs="Arial"/>
                <w:sz w:val="16"/>
                <w:szCs w:val="16"/>
              </w:rPr>
            </w:pPr>
            <w:r>
              <w:rPr>
                <w:rFonts w:hint="eastAsia"/>
                <w:sz w:val="18"/>
                <w:szCs w:val="18"/>
              </w:rPr>
              <w:t>易方达科讯</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0C5EA0" w:rsidP="00DE017A">
            <w:pPr>
              <w:widowControl/>
              <w:jc w:val="center"/>
              <w:rPr>
                <w:rFonts w:ascii="Arial" w:hAnsi="Arial" w:cs="Arial"/>
                <w:sz w:val="16"/>
                <w:szCs w:val="16"/>
              </w:rPr>
            </w:pPr>
            <w:r>
              <w:rPr>
                <w:rFonts w:ascii="Arial" w:hAnsi="Arial" w:cs="Arial" w:hint="eastAsia"/>
                <w:sz w:val="16"/>
                <w:szCs w:val="16"/>
              </w:rPr>
              <w:t>3</w:t>
            </w:r>
            <w:r w:rsidR="00224620" w:rsidRPr="000C5EA0">
              <w:rPr>
                <w:rFonts w:ascii="Arial" w:hAnsi="Arial" w:cs="Arial" w:hint="eastAsia"/>
                <w:sz w:val="16"/>
                <w:szCs w:val="16"/>
              </w:rPr>
              <w:t>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0C5EA0" w:rsidP="00DE017A">
            <w:pPr>
              <w:jc w:val="center"/>
              <w:rPr>
                <w:rFonts w:ascii="Arial" w:hAnsi="Arial" w:cs="Arial"/>
                <w:sz w:val="16"/>
                <w:szCs w:val="16"/>
              </w:rPr>
            </w:pPr>
            <w:r w:rsidRPr="000C5EA0">
              <w:rPr>
                <w:rFonts w:hint="eastAsia"/>
                <w:sz w:val="18"/>
                <w:szCs w:val="18"/>
              </w:rPr>
              <w:t>建</w:t>
            </w:r>
            <w:proofErr w:type="gramStart"/>
            <w:r w:rsidRPr="000C5EA0">
              <w:rPr>
                <w:rFonts w:hint="eastAsia"/>
                <w:sz w:val="18"/>
                <w:szCs w:val="18"/>
              </w:rPr>
              <w:t>信收益</w:t>
            </w:r>
            <w:proofErr w:type="gramEnd"/>
            <w:r w:rsidRPr="000C5EA0">
              <w:rPr>
                <w:rFonts w:hint="eastAsia"/>
                <w:sz w:val="18"/>
                <w:szCs w:val="18"/>
              </w:rPr>
              <w:t>增强</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0C5EA0">
              <w:rPr>
                <w:rFonts w:ascii="Arial" w:hAnsi="Arial" w:cs="Arial" w:hint="eastAsia"/>
                <w:sz w:val="16"/>
                <w:szCs w:val="16"/>
              </w:rPr>
              <w:t>30%</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proofErr w:type="gramStart"/>
            <w:r>
              <w:rPr>
                <w:rFonts w:hint="eastAsia"/>
                <w:sz w:val="18"/>
                <w:szCs w:val="18"/>
              </w:rPr>
              <w:t>添富价值</w:t>
            </w:r>
            <w:proofErr w:type="gramEnd"/>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proofErr w:type="gramStart"/>
            <w:r>
              <w:rPr>
                <w:rFonts w:hint="eastAsia"/>
                <w:sz w:val="18"/>
                <w:szCs w:val="18"/>
              </w:rPr>
              <w:t>添富价值</w:t>
            </w:r>
            <w:proofErr w:type="gramEnd"/>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0C5EA0">
              <w:rPr>
                <w:rFonts w:ascii="Arial" w:hAnsi="Arial" w:cs="Arial" w:hint="eastAsia"/>
                <w:sz w:val="16"/>
                <w:szCs w:val="16"/>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0C5EA0">
              <w:rPr>
                <w:rFonts w:ascii="Arial" w:hAnsi="Arial" w:cs="Arial" w:hint="eastAsia"/>
                <w:sz w:val="16"/>
                <w:szCs w:val="16"/>
              </w:rPr>
              <w:t>35%</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景</w:t>
            </w:r>
            <w:proofErr w:type="gramStart"/>
            <w:r w:rsidRPr="00460204">
              <w:rPr>
                <w:rFonts w:hint="eastAsia"/>
                <w:sz w:val="18"/>
                <w:szCs w:val="18"/>
              </w:rPr>
              <w:t>顺核心</w:t>
            </w:r>
            <w:proofErr w:type="gramEnd"/>
            <w:r w:rsidRPr="00460204">
              <w:rPr>
                <w:rFonts w:hint="eastAsia"/>
                <w:sz w:val="18"/>
                <w:szCs w:val="18"/>
              </w:rPr>
              <w:t>竞争力</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0C5EA0" w:rsidP="00DE017A">
            <w:pPr>
              <w:jc w:val="center"/>
              <w:rPr>
                <w:rFonts w:ascii="Arial" w:hAnsi="Arial" w:cs="Arial"/>
                <w:sz w:val="16"/>
                <w:szCs w:val="16"/>
              </w:rPr>
            </w:pPr>
            <w:r w:rsidRPr="000C5EA0">
              <w:rPr>
                <w:rFonts w:hint="eastAsia"/>
                <w:sz w:val="18"/>
                <w:szCs w:val="18"/>
              </w:rPr>
              <w:t>建</w:t>
            </w:r>
            <w:proofErr w:type="gramStart"/>
            <w:r w:rsidRPr="000C5EA0">
              <w:rPr>
                <w:rFonts w:hint="eastAsia"/>
                <w:sz w:val="18"/>
                <w:szCs w:val="18"/>
              </w:rPr>
              <w:t>信收益</w:t>
            </w:r>
            <w:proofErr w:type="gramEnd"/>
            <w:r w:rsidRPr="000C5EA0">
              <w:rPr>
                <w:rFonts w:hint="eastAsia"/>
                <w:sz w:val="18"/>
                <w:szCs w:val="18"/>
              </w:rPr>
              <w:t>增强</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0C5EA0" w:rsidP="00DE017A">
            <w:pPr>
              <w:widowControl/>
              <w:jc w:val="center"/>
              <w:rPr>
                <w:rFonts w:ascii="Arial" w:hAnsi="Arial" w:cs="Arial"/>
                <w:sz w:val="16"/>
                <w:szCs w:val="16"/>
              </w:rPr>
            </w:pPr>
            <w:r>
              <w:rPr>
                <w:rFonts w:ascii="Arial" w:hAnsi="Arial" w:cs="Arial" w:hint="eastAsia"/>
                <w:sz w:val="16"/>
                <w:szCs w:val="16"/>
              </w:rPr>
              <w:t>4</w:t>
            </w:r>
            <w:r w:rsidR="00224620" w:rsidRPr="000C5EA0">
              <w:rPr>
                <w:rFonts w:ascii="Arial" w:hAnsi="Arial" w:cs="Arial" w:hint="eastAsia"/>
                <w:sz w:val="16"/>
                <w:szCs w:val="16"/>
              </w:rPr>
              <w:t>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0C5EA0">
              <w:rPr>
                <w:rFonts w:ascii="Arial" w:hAnsi="Arial" w:cs="Arial" w:hint="eastAsia"/>
                <w:sz w:val="16"/>
                <w:szCs w:val="16"/>
              </w:rPr>
              <w:t>35%</w:t>
            </w:r>
          </w:p>
        </w:tc>
      </w:tr>
    </w:tbl>
    <w:p w:rsidR="009A18F4" w:rsidRPr="000B4882" w:rsidRDefault="009A18F4" w:rsidP="009A18F4">
      <w:pPr>
        <w:ind w:firstLine="420"/>
        <w:rPr>
          <w:rFonts w:ascii="楷体_GB2312" w:eastAsia="楷体_GB2312"/>
          <w:noProof/>
          <w:color w:val="000000"/>
        </w:rPr>
        <w:sectPr w:rsidR="009A18F4" w:rsidRPr="000B4882" w:rsidSect="00035528">
          <w:headerReference w:type="default" r:id="rId9"/>
          <w:footerReference w:type="even" r:id="rId10"/>
          <w:footerReference w:type="default" r:id="rId11"/>
          <w:pgSz w:w="11906" w:h="16838"/>
          <w:pgMar w:top="851" w:right="567" w:bottom="851" w:left="4536" w:header="851" w:footer="992" w:gutter="0"/>
          <w:cols w:space="425"/>
          <w:docGrid w:type="lines" w:linePitch="312"/>
        </w:sectPr>
      </w:pPr>
    </w:p>
    <w:p w:rsidR="009A18F4" w:rsidRPr="007C1C3D" w:rsidRDefault="009A18F4" w:rsidP="004840D3">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9A18F4" w:rsidRPr="00C17FBC"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DD4DF7">
        <w:rPr>
          <w:rFonts w:ascii="黑体" w:eastAsia="黑体" w:hAnsi="宋体-18030" w:cs="宋体-18030" w:hint="eastAsia"/>
          <w:b/>
          <w:bCs/>
          <w:color w:val="003366"/>
          <w:kern w:val="44"/>
          <w:sz w:val="24"/>
        </w:rPr>
        <w:t>（一）基础市场分析：</w:t>
      </w:r>
      <w:proofErr w:type="gramStart"/>
      <w:r w:rsidR="00DD4DF7" w:rsidRPr="00DD4DF7">
        <w:rPr>
          <w:rFonts w:ascii="黑体" w:eastAsia="黑体" w:hAnsi="宋体-18030" w:cs="宋体-18030" w:hint="eastAsia"/>
          <w:b/>
          <w:bCs/>
          <w:color w:val="003366"/>
          <w:kern w:val="44"/>
          <w:sz w:val="24"/>
        </w:rPr>
        <w:t>弱经济</w:t>
      </w:r>
      <w:proofErr w:type="gramEnd"/>
      <w:r w:rsidR="00DD4DF7" w:rsidRPr="00DD4DF7">
        <w:rPr>
          <w:rFonts w:ascii="黑体" w:eastAsia="黑体" w:hAnsi="宋体-18030" w:cs="宋体-18030" w:hint="eastAsia"/>
          <w:b/>
          <w:bCs/>
          <w:color w:val="003366"/>
          <w:kern w:val="44"/>
          <w:sz w:val="24"/>
        </w:rPr>
        <w:t>推动全球宽松，全球风险偏好得以修复</w:t>
      </w:r>
    </w:p>
    <w:p w:rsidR="00AC3376" w:rsidRDefault="001A069B"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四季度以来全球</w:t>
      </w:r>
      <w:r w:rsidR="00C429B8">
        <w:rPr>
          <w:rFonts w:ascii="楷体_GB2312" w:eastAsia="楷体_GB2312" w:hAnsi="宋体" w:cs="宋体" w:hint="eastAsia"/>
          <w:kern w:val="0"/>
          <w:szCs w:val="21"/>
        </w:rPr>
        <w:t>经济增长前景</w:t>
      </w:r>
      <w:r w:rsidR="00DB4143">
        <w:rPr>
          <w:rFonts w:ascii="楷体_GB2312" w:eastAsia="楷体_GB2312" w:hAnsi="宋体" w:cs="宋体" w:hint="eastAsia"/>
          <w:kern w:val="0"/>
          <w:szCs w:val="21"/>
        </w:rPr>
        <w:t>仍没有看到明显的暖意</w:t>
      </w:r>
      <w:r w:rsidR="00C429B8">
        <w:rPr>
          <w:rFonts w:ascii="楷体_GB2312" w:eastAsia="楷体_GB2312" w:hAnsi="宋体" w:cs="宋体" w:hint="eastAsia"/>
          <w:kern w:val="0"/>
          <w:szCs w:val="21"/>
        </w:rPr>
        <w:t>，</w:t>
      </w:r>
      <w:r w:rsidR="00C429B8" w:rsidRPr="00963D26">
        <w:rPr>
          <w:rFonts w:ascii="楷体_GB2312" w:eastAsia="楷体_GB2312" w:hAnsi="宋体" w:cs="宋体" w:hint="eastAsia"/>
          <w:kern w:val="0"/>
          <w:szCs w:val="21"/>
        </w:rPr>
        <w:t>以中国为代表的新兴市场经济增长前景</w:t>
      </w:r>
      <w:r w:rsidR="00DB4143" w:rsidRPr="00963D26">
        <w:rPr>
          <w:rFonts w:ascii="楷体_GB2312" w:eastAsia="楷体_GB2312" w:hAnsi="宋体" w:cs="宋体" w:hint="eastAsia"/>
          <w:kern w:val="0"/>
          <w:szCs w:val="21"/>
        </w:rPr>
        <w:t>黯淡为全球经济增长蒙上阴影</w:t>
      </w:r>
      <w:r w:rsidR="00C429B8" w:rsidRPr="00963D26">
        <w:rPr>
          <w:rFonts w:ascii="楷体_GB2312" w:eastAsia="楷体_GB2312" w:hAnsi="宋体" w:cs="宋体" w:hint="eastAsia"/>
          <w:kern w:val="0"/>
          <w:szCs w:val="21"/>
        </w:rPr>
        <w:t>；</w:t>
      </w:r>
      <w:r w:rsidR="0039786A">
        <w:rPr>
          <w:rFonts w:ascii="楷体_GB2312" w:eastAsia="楷体_GB2312" w:hAnsi="宋体" w:cs="宋体" w:hint="eastAsia"/>
          <w:kern w:val="0"/>
          <w:szCs w:val="21"/>
        </w:rPr>
        <w:t>受</w:t>
      </w:r>
      <w:r w:rsidR="00C429B8" w:rsidRPr="001A069B">
        <w:rPr>
          <w:rFonts w:ascii="楷体_GB2312" w:eastAsia="楷体_GB2312" w:hAnsi="宋体" w:cs="宋体" w:hint="eastAsia"/>
          <w:kern w:val="0"/>
          <w:szCs w:val="21"/>
        </w:rPr>
        <w:t>新兴市场增长放缓和</w:t>
      </w:r>
      <w:hyperlink r:id="rId12" w:tgtFrame="_blank" w:history="1">
        <w:r w:rsidR="00C429B8" w:rsidRPr="001A069B">
          <w:rPr>
            <w:rFonts w:ascii="楷体_GB2312" w:eastAsia="楷体_GB2312" w:hAnsi="宋体" w:cs="宋体" w:hint="eastAsia"/>
            <w:kern w:val="0"/>
            <w:szCs w:val="21"/>
          </w:rPr>
          <w:t>欧元</w:t>
        </w:r>
      </w:hyperlink>
      <w:r w:rsidR="00C429B8" w:rsidRPr="001A069B">
        <w:rPr>
          <w:rFonts w:ascii="楷体_GB2312" w:eastAsia="楷体_GB2312" w:hAnsi="宋体" w:cs="宋体" w:hint="eastAsia"/>
          <w:kern w:val="0"/>
          <w:szCs w:val="21"/>
        </w:rPr>
        <w:t>走强</w:t>
      </w:r>
      <w:r w:rsidR="0039786A">
        <w:rPr>
          <w:rFonts w:ascii="楷体_GB2312" w:eastAsia="楷体_GB2312" w:hAnsi="宋体" w:cs="宋体" w:hint="eastAsia"/>
          <w:kern w:val="0"/>
          <w:szCs w:val="21"/>
        </w:rPr>
        <w:t>影响</w:t>
      </w:r>
      <w:r w:rsidR="00C429B8">
        <w:rPr>
          <w:rFonts w:ascii="楷体_GB2312" w:eastAsia="楷体_GB2312" w:hAnsi="宋体" w:cs="宋体" w:hint="eastAsia"/>
          <w:kern w:val="0"/>
          <w:szCs w:val="21"/>
        </w:rPr>
        <w:t>，欧元区</w:t>
      </w:r>
      <w:r w:rsidR="00C429B8" w:rsidRPr="001A069B">
        <w:rPr>
          <w:rFonts w:ascii="楷体_GB2312" w:eastAsia="楷体_GB2312" w:hAnsi="宋体" w:cs="宋体" w:hint="eastAsia"/>
          <w:kern w:val="0"/>
          <w:szCs w:val="21"/>
        </w:rPr>
        <w:t>经济增长和通货膨胀</w:t>
      </w:r>
      <w:r w:rsidR="00C429B8">
        <w:rPr>
          <w:rFonts w:ascii="楷体_GB2312" w:eastAsia="楷体_GB2312" w:hAnsi="宋体" w:cs="宋体" w:hint="eastAsia"/>
          <w:kern w:val="0"/>
          <w:szCs w:val="21"/>
        </w:rPr>
        <w:t>下行</w:t>
      </w:r>
      <w:r w:rsidR="00DB4143">
        <w:rPr>
          <w:rFonts w:ascii="楷体_GB2312" w:eastAsia="楷体_GB2312" w:hAnsi="宋体" w:cs="宋体" w:hint="eastAsia"/>
          <w:kern w:val="0"/>
          <w:szCs w:val="21"/>
        </w:rPr>
        <w:t>风险</w:t>
      </w:r>
      <w:r w:rsidR="006117FF">
        <w:rPr>
          <w:rFonts w:ascii="楷体_GB2312" w:eastAsia="楷体_GB2312" w:hAnsi="宋体" w:cs="宋体" w:hint="eastAsia"/>
          <w:kern w:val="0"/>
          <w:szCs w:val="21"/>
        </w:rPr>
        <w:t>犹存</w:t>
      </w:r>
      <w:r w:rsidR="00DB4143">
        <w:rPr>
          <w:rFonts w:ascii="楷体_GB2312" w:eastAsia="楷体_GB2312" w:hAnsi="宋体" w:cs="宋体" w:hint="eastAsia"/>
          <w:kern w:val="0"/>
          <w:szCs w:val="21"/>
        </w:rPr>
        <w:t>，市场对欧元区将进一步放宽政策的预期升温，</w:t>
      </w:r>
      <w:r w:rsidR="00DB4143" w:rsidRPr="00DB4143">
        <w:rPr>
          <w:rFonts w:ascii="楷体_GB2312" w:eastAsia="楷体_GB2312" w:hAnsi="宋体" w:cs="宋体" w:hint="eastAsia"/>
          <w:kern w:val="0"/>
          <w:szCs w:val="21"/>
        </w:rPr>
        <w:t>欧洲央行管理委员会</w:t>
      </w:r>
      <w:r w:rsidR="006117FF">
        <w:rPr>
          <w:rFonts w:ascii="楷体_GB2312" w:eastAsia="楷体_GB2312" w:hAnsi="宋体" w:cs="宋体" w:hint="eastAsia"/>
          <w:kern w:val="0"/>
          <w:szCs w:val="21"/>
        </w:rPr>
        <w:t>的一些委员</w:t>
      </w:r>
      <w:r w:rsidR="00DB4143">
        <w:rPr>
          <w:rFonts w:ascii="楷体_GB2312" w:eastAsia="楷体_GB2312" w:hAnsi="宋体" w:cs="宋体" w:hint="eastAsia"/>
          <w:kern w:val="0"/>
          <w:szCs w:val="21"/>
        </w:rPr>
        <w:t>提出将考虑在12月份评估加码刺激政策的必要性，这一信息</w:t>
      </w:r>
      <w:r w:rsidR="006117FF">
        <w:rPr>
          <w:rFonts w:ascii="楷体_GB2312" w:eastAsia="楷体_GB2312" w:hAnsi="宋体" w:cs="宋体" w:hint="eastAsia"/>
          <w:kern w:val="0"/>
          <w:szCs w:val="21"/>
        </w:rPr>
        <w:t>有效</w:t>
      </w:r>
      <w:r w:rsidR="00DB4143">
        <w:rPr>
          <w:rFonts w:ascii="楷体_GB2312" w:eastAsia="楷体_GB2312" w:hAnsi="宋体" w:cs="宋体" w:hint="eastAsia"/>
          <w:kern w:val="0"/>
          <w:szCs w:val="21"/>
        </w:rPr>
        <w:t>挽回了前期</w:t>
      </w:r>
      <w:r w:rsidR="006117FF">
        <w:rPr>
          <w:rFonts w:ascii="楷体_GB2312" w:eastAsia="楷体_GB2312" w:hAnsi="宋体" w:cs="宋体" w:hint="eastAsia"/>
          <w:kern w:val="0"/>
          <w:szCs w:val="21"/>
        </w:rPr>
        <w:t>市场的恐慌性担忧</w:t>
      </w:r>
      <w:r w:rsidR="00C429B8">
        <w:rPr>
          <w:rFonts w:ascii="楷体_GB2312" w:eastAsia="楷体_GB2312" w:hAnsi="宋体" w:cs="宋体" w:hint="eastAsia"/>
          <w:kern w:val="0"/>
          <w:szCs w:val="21"/>
        </w:rPr>
        <w:t>；</w:t>
      </w:r>
      <w:r w:rsidR="006117FF">
        <w:rPr>
          <w:rFonts w:ascii="楷体_GB2312" w:eastAsia="楷体_GB2312" w:hAnsi="宋体" w:cs="宋体" w:hint="eastAsia"/>
          <w:kern w:val="0"/>
          <w:szCs w:val="21"/>
        </w:rPr>
        <w:t>全球低迷背景中美国为唯一可看的亮点，美联储</w:t>
      </w:r>
      <w:r w:rsidR="006117FF" w:rsidRPr="006117FF">
        <w:rPr>
          <w:rFonts w:ascii="楷体_GB2312" w:eastAsia="楷体_GB2312" w:hAnsi="宋体" w:cs="宋体"/>
          <w:kern w:val="0"/>
          <w:szCs w:val="21"/>
        </w:rPr>
        <w:t>公开市场委员会</w:t>
      </w:r>
      <w:r w:rsidR="006117FF" w:rsidRPr="006117FF">
        <w:rPr>
          <w:rFonts w:ascii="楷体_GB2312" w:eastAsia="楷体_GB2312" w:hAnsi="宋体" w:cs="宋体" w:hint="eastAsia"/>
          <w:kern w:val="0"/>
          <w:szCs w:val="21"/>
        </w:rPr>
        <w:t>(FOMC)</w:t>
      </w:r>
      <w:r w:rsidR="006117FF">
        <w:rPr>
          <w:rFonts w:ascii="楷体_GB2312" w:eastAsia="楷体_GB2312" w:hAnsi="宋体" w:cs="宋体" w:hint="eastAsia"/>
          <w:kern w:val="0"/>
          <w:szCs w:val="21"/>
        </w:rPr>
        <w:t>在10月会议声明中指出美国经济依然“温和”增长</w:t>
      </w:r>
      <w:r w:rsidR="00963D26">
        <w:rPr>
          <w:rFonts w:ascii="楷体_GB2312" w:eastAsia="楷体_GB2312" w:hAnsi="宋体" w:cs="宋体" w:hint="eastAsia"/>
          <w:kern w:val="0"/>
          <w:szCs w:val="21"/>
        </w:rPr>
        <w:t>，但也承认其</w:t>
      </w:r>
      <w:r w:rsidR="00963D26" w:rsidRPr="00963D26">
        <w:rPr>
          <w:rFonts w:ascii="楷体_GB2312" w:eastAsia="楷体_GB2312" w:hAnsi="宋体" w:cs="宋体" w:hint="eastAsia"/>
          <w:kern w:val="0"/>
          <w:szCs w:val="21"/>
        </w:rPr>
        <w:t>就业增长放缓、失业率维持稳定，同时受全球大众商品价格的疲软</w:t>
      </w:r>
      <w:r w:rsidR="0039786A">
        <w:rPr>
          <w:rFonts w:ascii="楷体_GB2312" w:eastAsia="楷体_GB2312" w:hAnsi="宋体" w:cs="宋体" w:hint="eastAsia"/>
          <w:kern w:val="0"/>
          <w:szCs w:val="21"/>
        </w:rPr>
        <w:t>影响</w:t>
      </w:r>
      <w:r w:rsidR="00963D26" w:rsidRPr="00963D26">
        <w:rPr>
          <w:rFonts w:ascii="楷体_GB2312" w:eastAsia="楷体_GB2312" w:hAnsi="宋体" w:cs="宋体" w:hint="eastAsia"/>
          <w:kern w:val="0"/>
          <w:szCs w:val="21"/>
        </w:rPr>
        <w:t>其通胀率维持低位水平，预计美元加息的步伐12月启动的概率极低。</w:t>
      </w:r>
      <w:r w:rsidR="00AC3376">
        <w:rPr>
          <w:rFonts w:ascii="楷体_GB2312" w:eastAsia="楷体_GB2312" w:hAnsi="宋体" w:cs="宋体" w:hint="eastAsia"/>
          <w:kern w:val="0"/>
          <w:szCs w:val="21"/>
        </w:rPr>
        <w:t>弱势经济使得</w:t>
      </w:r>
      <w:r w:rsidR="00963D26">
        <w:rPr>
          <w:rFonts w:ascii="楷体_GB2312" w:eastAsia="楷体_GB2312" w:hAnsi="宋体" w:cs="宋体" w:hint="eastAsia"/>
          <w:kern w:val="0"/>
          <w:szCs w:val="21"/>
        </w:rPr>
        <w:t>中、欧、日联袂表态或采取实际行动实施宽松货币影响，</w:t>
      </w:r>
      <w:r w:rsidR="00AC3376">
        <w:rPr>
          <w:rFonts w:ascii="楷体_GB2312" w:eastAsia="楷体_GB2312" w:hAnsi="宋体" w:cs="宋体" w:hint="eastAsia"/>
          <w:kern w:val="0"/>
          <w:szCs w:val="21"/>
        </w:rPr>
        <w:t>全球风险偏好得以修复。</w:t>
      </w:r>
    </w:p>
    <w:p w:rsidR="00961358" w:rsidRDefault="00C02BB2"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2015年以来，中国经济增长显得额外艰难，</w:t>
      </w:r>
      <w:r w:rsidR="00AC3376" w:rsidRPr="009752A4">
        <w:rPr>
          <w:rFonts w:ascii="楷体_GB2312" w:eastAsia="楷体_GB2312" w:hAnsi="宋体" w:cs="宋体" w:hint="eastAsia"/>
          <w:kern w:val="0"/>
          <w:szCs w:val="21"/>
        </w:rPr>
        <w:t>在全球对中国经济增长前景的担忧中</w:t>
      </w:r>
      <w:r w:rsidR="009A27E7">
        <w:rPr>
          <w:rFonts w:ascii="楷体_GB2312" w:eastAsia="楷体_GB2312" w:hAnsi="宋体" w:cs="宋体" w:hint="eastAsia"/>
          <w:kern w:val="0"/>
          <w:szCs w:val="21"/>
        </w:rPr>
        <w:t>，</w:t>
      </w:r>
      <w:r w:rsidR="00AC3376" w:rsidRPr="009752A4">
        <w:rPr>
          <w:rFonts w:ascii="楷体_GB2312" w:eastAsia="楷体_GB2312" w:hAnsi="宋体" w:cs="宋体" w:hint="eastAsia"/>
          <w:kern w:val="0"/>
          <w:szCs w:val="21"/>
        </w:rPr>
        <w:t>10月24日央行如预期再度下调存款利率和存款准备金率</w:t>
      </w:r>
      <w:r>
        <w:rPr>
          <w:rFonts w:ascii="楷体_GB2312" w:eastAsia="楷体_GB2312" w:hAnsi="宋体" w:cs="宋体" w:hint="eastAsia"/>
          <w:kern w:val="0"/>
          <w:szCs w:val="21"/>
        </w:rPr>
        <w:t>以刺激经济增长</w:t>
      </w:r>
      <w:r w:rsidR="00AC3376" w:rsidRPr="009752A4">
        <w:rPr>
          <w:rFonts w:ascii="楷体_GB2312" w:eastAsia="楷体_GB2312" w:hAnsi="宋体" w:cs="宋体" w:hint="eastAsia"/>
          <w:kern w:val="0"/>
          <w:szCs w:val="21"/>
        </w:rPr>
        <w:t>，这已经是自去年11月份以来</w:t>
      </w:r>
      <w:r w:rsidR="00AC3376" w:rsidRPr="009752A4">
        <w:rPr>
          <w:rFonts w:ascii="楷体_GB2312" w:eastAsia="楷体_GB2312" w:hAnsi="宋体" w:cs="宋体"/>
          <w:kern w:val="0"/>
          <w:szCs w:val="21"/>
        </w:rPr>
        <w:t>第</w:t>
      </w:r>
      <w:r w:rsidR="004840D3">
        <w:rPr>
          <w:rFonts w:ascii="楷体_GB2312" w:eastAsia="楷体_GB2312" w:hAnsi="宋体" w:cs="宋体" w:hint="eastAsia"/>
          <w:kern w:val="0"/>
          <w:szCs w:val="21"/>
        </w:rPr>
        <w:t>六</w:t>
      </w:r>
      <w:r w:rsidR="00AC3376" w:rsidRPr="009752A4">
        <w:rPr>
          <w:rFonts w:ascii="楷体_GB2312" w:eastAsia="楷体_GB2312" w:hAnsi="宋体" w:cs="宋体"/>
          <w:kern w:val="0"/>
          <w:szCs w:val="21"/>
        </w:rPr>
        <w:t>次降息</w:t>
      </w:r>
      <w:r>
        <w:rPr>
          <w:rFonts w:ascii="楷体_GB2312" w:eastAsia="楷体_GB2312" w:hAnsi="宋体" w:cs="宋体" w:hint="eastAsia"/>
          <w:kern w:val="0"/>
          <w:szCs w:val="21"/>
        </w:rPr>
        <w:t>。但我们看到，</w:t>
      </w:r>
      <w:r w:rsidRPr="009752A4">
        <w:rPr>
          <w:rFonts w:ascii="楷体_GB2312" w:eastAsia="楷体_GB2312" w:hAnsi="宋体" w:cs="宋体" w:hint="eastAsia"/>
          <w:kern w:val="0"/>
          <w:szCs w:val="21"/>
        </w:rPr>
        <w:t>中国经济增长较年初并未</w:t>
      </w:r>
      <w:r>
        <w:rPr>
          <w:rFonts w:ascii="楷体_GB2312" w:eastAsia="楷体_GB2312" w:hAnsi="宋体" w:cs="宋体" w:hint="eastAsia"/>
          <w:kern w:val="0"/>
          <w:szCs w:val="21"/>
        </w:rPr>
        <w:t>出现显著性</w:t>
      </w:r>
      <w:r w:rsidRPr="009752A4">
        <w:rPr>
          <w:rFonts w:ascii="楷体_GB2312" w:eastAsia="楷体_GB2312" w:hAnsi="宋体" w:cs="宋体" w:hint="eastAsia"/>
          <w:kern w:val="0"/>
          <w:szCs w:val="21"/>
        </w:rPr>
        <w:t>恶化，</w:t>
      </w:r>
      <w:r w:rsidR="0039786A">
        <w:rPr>
          <w:rFonts w:ascii="楷体_GB2312" w:eastAsia="楷体_GB2312" w:hAnsi="宋体" w:cs="宋体" w:hint="eastAsia"/>
          <w:kern w:val="0"/>
          <w:szCs w:val="21"/>
        </w:rPr>
        <w:t>整体来看</w:t>
      </w:r>
      <w:r w:rsidR="0039786A" w:rsidRPr="009752A4">
        <w:rPr>
          <w:rFonts w:ascii="楷体_GB2312" w:eastAsia="楷体_GB2312" w:hAnsi="宋体" w:cs="宋体" w:hint="eastAsia"/>
          <w:kern w:val="0"/>
          <w:szCs w:val="21"/>
        </w:rPr>
        <w:t>经济</w:t>
      </w:r>
      <w:r w:rsidR="0039786A">
        <w:rPr>
          <w:rFonts w:ascii="楷体_GB2312" w:eastAsia="楷体_GB2312" w:hAnsi="宋体" w:cs="宋体" w:hint="eastAsia"/>
          <w:kern w:val="0"/>
          <w:szCs w:val="21"/>
        </w:rPr>
        <w:t>增长速度仍在</w:t>
      </w:r>
      <w:r w:rsidR="0039786A" w:rsidRPr="009752A4">
        <w:rPr>
          <w:rFonts w:ascii="楷体_GB2312" w:eastAsia="楷体_GB2312" w:hAnsi="宋体" w:cs="宋体" w:hint="eastAsia"/>
          <w:kern w:val="0"/>
          <w:szCs w:val="21"/>
        </w:rPr>
        <w:t>合理区间</w:t>
      </w:r>
      <w:r w:rsidR="0039786A">
        <w:rPr>
          <w:rFonts w:ascii="楷体_GB2312" w:eastAsia="楷体_GB2312" w:hAnsi="宋体" w:cs="宋体" w:hint="eastAsia"/>
          <w:kern w:val="0"/>
          <w:szCs w:val="21"/>
        </w:rPr>
        <w:t>，</w:t>
      </w:r>
      <w:r w:rsidR="0039786A" w:rsidRPr="009752A4">
        <w:rPr>
          <w:rFonts w:ascii="楷体_GB2312" w:eastAsia="楷体_GB2312" w:hAnsi="宋体" w:cs="宋体" w:hint="eastAsia"/>
          <w:kern w:val="0"/>
          <w:szCs w:val="21"/>
        </w:rPr>
        <w:t>经济增长下行压力</w:t>
      </w:r>
      <w:r w:rsidR="0039786A">
        <w:rPr>
          <w:rFonts w:ascii="楷体_GB2312" w:eastAsia="楷体_GB2312" w:hAnsi="宋体" w:cs="宋体" w:hint="eastAsia"/>
          <w:kern w:val="0"/>
          <w:szCs w:val="21"/>
        </w:rPr>
        <w:t>虽</w:t>
      </w:r>
      <w:r w:rsidR="0039786A" w:rsidRPr="009752A4">
        <w:rPr>
          <w:rFonts w:ascii="楷体_GB2312" w:eastAsia="楷体_GB2312" w:hAnsi="宋体" w:cs="宋体" w:hint="eastAsia"/>
          <w:kern w:val="0"/>
          <w:szCs w:val="21"/>
        </w:rPr>
        <w:t>大但仍在</w:t>
      </w:r>
      <w:r w:rsidR="0039786A">
        <w:rPr>
          <w:rFonts w:ascii="楷体_GB2312" w:eastAsia="楷体_GB2312" w:hAnsi="宋体" w:cs="宋体" w:hint="eastAsia"/>
          <w:kern w:val="0"/>
          <w:szCs w:val="21"/>
        </w:rPr>
        <w:t>可控的范围之内，而且</w:t>
      </w:r>
      <w:r w:rsidR="0039786A" w:rsidRPr="009752A4">
        <w:rPr>
          <w:rFonts w:ascii="楷体_GB2312" w:eastAsia="楷体_GB2312" w:hAnsi="宋体" w:cs="宋体" w:hint="eastAsia"/>
          <w:kern w:val="0"/>
          <w:szCs w:val="21"/>
        </w:rPr>
        <w:t>政策制定者还</w:t>
      </w:r>
      <w:r w:rsidR="0039786A">
        <w:rPr>
          <w:rFonts w:ascii="楷体_GB2312" w:eastAsia="楷体_GB2312" w:hAnsi="宋体" w:cs="宋体" w:hint="eastAsia"/>
          <w:kern w:val="0"/>
          <w:szCs w:val="21"/>
        </w:rPr>
        <w:t>拥有充分的</w:t>
      </w:r>
      <w:r w:rsidR="0039786A" w:rsidRPr="009752A4">
        <w:rPr>
          <w:rFonts w:ascii="楷体_GB2312" w:eastAsia="楷体_GB2312" w:hAnsi="宋体" w:cs="宋体" w:hint="eastAsia"/>
          <w:kern w:val="0"/>
          <w:szCs w:val="21"/>
        </w:rPr>
        <w:t>政策</w:t>
      </w:r>
      <w:r w:rsidR="0039786A">
        <w:rPr>
          <w:rFonts w:ascii="楷体_GB2312" w:eastAsia="楷体_GB2312" w:hAnsi="宋体" w:cs="宋体" w:hint="eastAsia"/>
          <w:kern w:val="0"/>
          <w:szCs w:val="21"/>
        </w:rPr>
        <w:t>牌来应对经济进一步恶化的可能。此外，</w:t>
      </w:r>
      <w:r>
        <w:rPr>
          <w:rFonts w:ascii="楷体_GB2312" w:eastAsia="楷体_GB2312" w:hAnsi="宋体" w:cs="宋体" w:hint="eastAsia"/>
          <w:kern w:val="0"/>
          <w:szCs w:val="21"/>
        </w:rPr>
        <w:t>不断累积的积极政策正在</w:t>
      </w:r>
      <w:r w:rsidRPr="00C02BB2">
        <w:rPr>
          <w:rFonts w:ascii="楷体_GB2312" w:eastAsia="楷体_GB2312" w:hAnsi="宋体" w:cs="宋体" w:hint="eastAsia"/>
          <w:kern w:val="0"/>
          <w:szCs w:val="21"/>
        </w:rPr>
        <w:t>推动中国经济实现企稳，汽车行业的回暖表明刺激政策效果正在显现</w:t>
      </w:r>
      <w:r>
        <w:rPr>
          <w:rFonts w:ascii="楷体_GB2312" w:eastAsia="楷体_GB2312" w:hAnsi="宋体" w:cs="宋体" w:hint="eastAsia"/>
          <w:kern w:val="0"/>
          <w:szCs w:val="21"/>
        </w:rPr>
        <w:t>。</w:t>
      </w:r>
    </w:p>
    <w:p w:rsidR="009A27E7" w:rsidRPr="009A27E7" w:rsidRDefault="00961358"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展望后市，在国内外经济疲态和资产质量问题的压力下，</w:t>
      </w:r>
      <w:r w:rsidR="00411F75">
        <w:rPr>
          <w:rFonts w:ascii="楷体_GB2312" w:eastAsia="楷体_GB2312" w:hAnsi="宋体" w:cs="宋体" w:hint="eastAsia"/>
          <w:kern w:val="0"/>
          <w:szCs w:val="21"/>
        </w:rPr>
        <w:t>整体性投资机会缺乏，</w:t>
      </w:r>
      <w:r>
        <w:rPr>
          <w:rFonts w:ascii="楷体_GB2312" w:eastAsia="楷体_GB2312" w:hAnsi="宋体" w:cs="宋体" w:hint="eastAsia"/>
          <w:kern w:val="0"/>
          <w:szCs w:val="21"/>
        </w:rPr>
        <w:t>各类资产价格上涨乏力空间有限，但中国经济增长问题从来不是制约证券市场上涨的必要因素，</w:t>
      </w:r>
      <w:r w:rsidR="009A27E7" w:rsidRPr="00C02BB2">
        <w:rPr>
          <w:rFonts w:ascii="楷体_GB2312" w:eastAsia="楷体_GB2312" w:hAnsi="宋体" w:cs="宋体" w:hint="eastAsia"/>
          <w:kern w:val="0"/>
          <w:szCs w:val="21"/>
        </w:rPr>
        <w:t>随着调结构的积极推进，新一轮投资主题正在孕育</w:t>
      </w:r>
      <w:r w:rsidR="00C02BB2">
        <w:rPr>
          <w:rFonts w:ascii="楷体_GB2312" w:eastAsia="楷体_GB2312" w:hAnsi="宋体" w:cs="宋体" w:hint="eastAsia"/>
          <w:kern w:val="0"/>
          <w:szCs w:val="21"/>
        </w:rPr>
        <w:t>，十三五规划</w:t>
      </w:r>
      <w:r>
        <w:rPr>
          <w:rFonts w:ascii="楷体_GB2312" w:eastAsia="楷体_GB2312" w:hAnsi="宋体" w:cs="宋体" w:hint="eastAsia"/>
          <w:kern w:val="0"/>
          <w:szCs w:val="21"/>
        </w:rPr>
        <w:t>纲要</w:t>
      </w:r>
      <w:r w:rsidR="00C02BB2">
        <w:rPr>
          <w:rFonts w:ascii="楷体_GB2312" w:eastAsia="楷体_GB2312" w:hAnsi="宋体" w:cs="宋体" w:hint="eastAsia"/>
          <w:kern w:val="0"/>
          <w:szCs w:val="21"/>
        </w:rPr>
        <w:t>的出台有望给股票市场带来</w:t>
      </w:r>
      <w:r>
        <w:rPr>
          <w:rFonts w:ascii="楷体_GB2312" w:eastAsia="楷体_GB2312" w:hAnsi="宋体" w:cs="宋体" w:hint="eastAsia"/>
          <w:kern w:val="0"/>
          <w:szCs w:val="21"/>
        </w:rPr>
        <w:t>新的热点</w:t>
      </w:r>
      <w:r w:rsidR="009A27E7" w:rsidRPr="00C02BB2">
        <w:rPr>
          <w:rFonts w:ascii="楷体_GB2312" w:eastAsia="楷体_GB2312" w:hAnsi="宋体" w:cs="宋体" w:hint="eastAsia"/>
          <w:kern w:val="0"/>
          <w:szCs w:val="21"/>
        </w:rPr>
        <w:t>。</w:t>
      </w:r>
      <w:r w:rsidR="00C02BB2">
        <w:rPr>
          <w:rFonts w:ascii="楷体_GB2312" w:eastAsia="楷体_GB2312" w:hAnsi="宋体" w:cs="宋体" w:hint="eastAsia"/>
          <w:kern w:val="0"/>
          <w:szCs w:val="21"/>
        </w:rPr>
        <w:t>当然，</w:t>
      </w:r>
      <w:r w:rsidR="009A27E7" w:rsidRPr="00C02BB2">
        <w:rPr>
          <w:rFonts w:ascii="楷体_GB2312" w:eastAsia="楷体_GB2312" w:hAnsi="宋体" w:cs="宋体" w:hint="eastAsia"/>
          <w:kern w:val="0"/>
          <w:szCs w:val="21"/>
        </w:rPr>
        <w:t>人民币贬值和资本外流的担忧仍然挥之不散，但短期来看仍然不成问题。</w:t>
      </w:r>
    </w:p>
    <w:p w:rsidR="00DD4DF7" w:rsidRDefault="009A18F4" w:rsidP="00DD4DF7">
      <w:pPr>
        <w:ind w:leftChars="1350" w:left="2835" w:firstLineChars="202" w:firstLine="487"/>
        <w:rPr>
          <w:rFonts w:ascii="黑体" w:eastAsia="黑体" w:hAnsi="宋体-18030" w:cs="宋体-18030"/>
          <w:b/>
          <w:bCs/>
          <w:color w:val="003366"/>
          <w:kern w:val="44"/>
          <w:sz w:val="24"/>
        </w:rPr>
      </w:pPr>
      <w:r w:rsidRPr="00DD4DF7">
        <w:rPr>
          <w:rFonts w:ascii="黑体" w:eastAsia="黑体" w:hAnsi="宋体-18030" w:cs="宋体-18030" w:hint="eastAsia"/>
          <w:b/>
          <w:bCs/>
          <w:color w:val="003366"/>
          <w:kern w:val="44"/>
          <w:sz w:val="24"/>
        </w:rPr>
        <w:t>（二）基金投资策略：</w:t>
      </w:r>
      <w:r w:rsidR="00DD4DF7" w:rsidRPr="00DD4DF7">
        <w:rPr>
          <w:rFonts w:ascii="黑体" w:eastAsia="黑体" w:hAnsi="宋体-18030" w:cs="宋体-18030" w:hint="eastAsia"/>
          <w:b/>
          <w:bCs/>
          <w:color w:val="003366"/>
          <w:kern w:val="44"/>
          <w:sz w:val="24"/>
        </w:rPr>
        <w:t>谨慎乐观，积极关注“十三五”带来的主题投资机会</w:t>
      </w:r>
    </w:p>
    <w:p w:rsidR="00D268FA" w:rsidRPr="00084235" w:rsidRDefault="00972696" w:rsidP="00DD4DF7">
      <w:pPr>
        <w:ind w:leftChars="1350" w:left="2835" w:firstLineChars="202" w:firstLine="424"/>
        <w:rPr>
          <w:rFonts w:ascii="楷体_GB2312" w:eastAsia="楷体_GB2312" w:hAnsi="宋体" w:cs="宋体"/>
          <w:kern w:val="0"/>
          <w:szCs w:val="21"/>
        </w:rPr>
      </w:pPr>
      <w:r w:rsidRPr="00084235">
        <w:rPr>
          <w:rFonts w:ascii="楷体_GB2312" w:eastAsia="楷体_GB2312" w:hAnsi="宋体" w:cs="宋体" w:hint="eastAsia"/>
          <w:kern w:val="0"/>
          <w:szCs w:val="21"/>
        </w:rPr>
        <w:t>综上，我们预期</w:t>
      </w:r>
      <w:r w:rsidR="00961358" w:rsidRPr="00084235">
        <w:rPr>
          <w:rFonts w:ascii="楷体_GB2312" w:eastAsia="楷体_GB2312" w:hAnsi="宋体" w:cs="宋体" w:hint="eastAsia"/>
          <w:kern w:val="0"/>
          <w:szCs w:val="21"/>
        </w:rPr>
        <w:t>市场</w:t>
      </w:r>
      <w:r w:rsidR="009925B4">
        <w:rPr>
          <w:rFonts w:ascii="楷体_GB2312" w:eastAsia="楷体_GB2312" w:hAnsi="宋体" w:cs="宋体" w:hint="eastAsia"/>
          <w:kern w:val="0"/>
          <w:szCs w:val="21"/>
        </w:rPr>
        <w:t>整体</w:t>
      </w:r>
      <w:r w:rsidR="00411F75">
        <w:rPr>
          <w:rFonts w:ascii="楷体_GB2312" w:eastAsia="楷体_GB2312" w:hAnsi="宋体" w:cs="宋体" w:hint="eastAsia"/>
          <w:kern w:val="0"/>
          <w:szCs w:val="21"/>
        </w:rPr>
        <w:t>投资机会缺乏，</w:t>
      </w:r>
      <w:r w:rsidR="0099203E">
        <w:rPr>
          <w:rFonts w:ascii="楷体_GB2312" w:eastAsia="楷体_GB2312" w:hAnsi="宋体" w:cs="宋体" w:hint="eastAsia"/>
          <w:kern w:val="0"/>
          <w:szCs w:val="21"/>
        </w:rPr>
        <w:t>市场仍将在政策预期和验证中</w:t>
      </w:r>
      <w:r w:rsidR="0099203E" w:rsidRPr="00084235">
        <w:rPr>
          <w:rFonts w:ascii="楷体_GB2312" w:eastAsia="楷体_GB2312" w:hAnsi="宋体" w:cs="宋体" w:hint="eastAsia"/>
          <w:kern w:val="0"/>
          <w:szCs w:val="21"/>
        </w:rPr>
        <w:t>维持震荡上行格局，市场投资机会依然以阶段性机会和结构性投资机会为主，</w:t>
      </w:r>
      <w:r w:rsidR="00961358" w:rsidRPr="003158CF">
        <w:rPr>
          <w:rFonts w:ascii="楷体_GB2312" w:eastAsia="楷体_GB2312" w:hAnsi="宋体" w:cs="宋体" w:hint="eastAsia"/>
          <w:kern w:val="0"/>
          <w:szCs w:val="21"/>
        </w:rPr>
        <w:t>10月份股市的大幅上涨或将给11月份带来一定调整压力</w:t>
      </w:r>
      <w:r w:rsidR="00CC32F8">
        <w:rPr>
          <w:rFonts w:ascii="楷体_GB2312" w:eastAsia="楷体_GB2312" w:hAnsi="宋体" w:cs="宋体" w:hint="eastAsia"/>
          <w:kern w:val="0"/>
          <w:szCs w:val="21"/>
        </w:rPr>
        <w:t>。</w:t>
      </w:r>
      <w:r w:rsidR="0039786A">
        <w:rPr>
          <w:rFonts w:ascii="楷体_GB2312" w:eastAsia="楷体_GB2312" w:hAnsi="宋体" w:cs="宋体" w:hint="eastAsia"/>
          <w:kern w:val="0"/>
          <w:szCs w:val="21"/>
        </w:rPr>
        <w:t>建议投资者</w:t>
      </w:r>
      <w:r w:rsidR="00961358" w:rsidRPr="00084235">
        <w:rPr>
          <w:rFonts w:ascii="楷体_GB2312" w:eastAsia="楷体_GB2312" w:hAnsi="宋体" w:cs="宋体" w:hint="eastAsia"/>
          <w:kern w:val="0"/>
          <w:szCs w:val="21"/>
        </w:rPr>
        <w:t>维持</w:t>
      </w:r>
      <w:r w:rsidR="00152BDE" w:rsidRPr="00084235">
        <w:rPr>
          <w:rFonts w:ascii="楷体_GB2312" w:eastAsia="楷体_GB2312" w:hAnsi="宋体" w:cs="宋体" w:hint="eastAsia"/>
          <w:kern w:val="0"/>
          <w:szCs w:val="21"/>
        </w:rPr>
        <w:t>中性偏乐观</w:t>
      </w:r>
      <w:r w:rsidR="0039786A">
        <w:rPr>
          <w:rFonts w:ascii="楷体_GB2312" w:eastAsia="楷体_GB2312" w:hAnsi="宋体" w:cs="宋体" w:hint="eastAsia"/>
          <w:kern w:val="0"/>
          <w:szCs w:val="21"/>
        </w:rPr>
        <w:t>判断</w:t>
      </w:r>
      <w:r w:rsidR="00152BDE" w:rsidRPr="00084235">
        <w:rPr>
          <w:rFonts w:ascii="楷体_GB2312" w:eastAsia="楷体_GB2312" w:hAnsi="宋体" w:cs="宋体" w:hint="eastAsia"/>
          <w:kern w:val="0"/>
          <w:szCs w:val="21"/>
        </w:rPr>
        <w:t>，</w:t>
      </w:r>
      <w:r w:rsidR="00084235">
        <w:rPr>
          <w:rFonts w:ascii="楷体_GB2312" w:eastAsia="楷体_GB2312" w:hAnsi="宋体" w:cs="宋体" w:hint="eastAsia"/>
          <w:kern w:val="0"/>
          <w:szCs w:val="21"/>
        </w:rPr>
        <w:t>低风险投资者</w:t>
      </w:r>
      <w:r w:rsidR="00084235" w:rsidRPr="00084235">
        <w:rPr>
          <w:rFonts w:ascii="楷体_GB2312" w:eastAsia="楷体_GB2312" w:hAnsi="宋体" w:cs="宋体" w:hint="eastAsia"/>
          <w:kern w:val="0"/>
          <w:szCs w:val="21"/>
        </w:rPr>
        <w:t>维持相对中性的配置结构静待市场演绎</w:t>
      </w:r>
      <w:r w:rsidR="00215F78" w:rsidRPr="00084235">
        <w:rPr>
          <w:rFonts w:ascii="楷体_GB2312" w:eastAsia="楷体_GB2312" w:hAnsi="宋体" w:cs="宋体" w:hint="eastAsia"/>
          <w:kern w:val="0"/>
          <w:szCs w:val="21"/>
        </w:rPr>
        <w:t>；</w:t>
      </w:r>
      <w:r w:rsidR="00BF38F3" w:rsidRPr="00084235">
        <w:rPr>
          <w:rFonts w:ascii="楷体_GB2312" w:eastAsia="楷体_GB2312" w:hAnsi="宋体" w:cs="宋体" w:hint="eastAsia"/>
          <w:kern w:val="0"/>
          <w:szCs w:val="21"/>
        </w:rPr>
        <w:t>高风险投资者</w:t>
      </w:r>
      <w:r w:rsidR="00084235">
        <w:rPr>
          <w:rFonts w:ascii="楷体_GB2312" w:eastAsia="楷体_GB2312" w:hAnsi="宋体" w:cs="宋体" w:hint="eastAsia"/>
          <w:kern w:val="0"/>
          <w:szCs w:val="21"/>
        </w:rPr>
        <w:t>可</w:t>
      </w:r>
      <w:r w:rsidR="00084235" w:rsidRPr="00084235">
        <w:rPr>
          <w:rFonts w:ascii="楷体_GB2312" w:eastAsia="楷体_GB2312" w:hAnsi="宋体" w:cs="宋体" w:hint="eastAsia"/>
          <w:kern w:val="0"/>
          <w:szCs w:val="21"/>
        </w:rPr>
        <w:t>逐步适当地</w:t>
      </w:r>
      <w:r w:rsidR="00BF38F3" w:rsidRPr="00084235">
        <w:rPr>
          <w:rFonts w:ascii="楷体_GB2312" w:eastAsia="楷体_GB2312" w:hAnsi="宋体" w:cs="宋体" w:hint="eastAsia"/>
          <w:kern w:val="0"/>
          <w:szCs w:val="21"/>
        </w:rPr>
        <w:t>增加权益</w:t>
      </w:r>
      <w:r w:rsidR="008B247F" w:rsidRPr="00084235">
        <w:rPr>
          <w:rFonts w:ascii="楷体_GB2312" w:eastAsia="楷体_GB2312" w:hAnsi="宋体" w:cs="宋体" w:hint="eastAsia"/>
          <w:kern w:val="0"/>
          <w:szCs w:val="21"/>
        </w:rPr>
        <w:t>型</w:t>
      </w:r>
      <w:r w:rsidR="00BF38F3" w:rsidRPr="00084235">
        <w:rPr>
          <w:rFonts w:ascii="楷体_GB2312" w:eastAsia="楷体_GB2312" w:hAnsi="宋体" w:cs="宋体" w:hint="eastAsia"/>
          <w:kern w:val="0"/>
          <w:szCs w:val="21"/>
        </w:rPr>
        <w:t>基金配置比例</w:t>
      </w:r>
      <w:r w:rsidR="00084235">
        <w:rPr>
          <w:rFonts w:ascii="楷体_GB2312" w:eastAsia="楷体_GB2312" w:hAnsi="宋体" w:cs="宋体" w:hint="eastAsia"/>
          <w:kern w:val="0"/>
          <w:szCs w:val="21"/>
        </w:rPr>
        <w:t>，试探市场投资机会</w:t>
      </w:r>
      <w:r w:rsidR="00215F78" w:rsidRPr="00084235">
        <w:rPr>
          <w:rFonts w:ascii="楷体_GB2312" w:eastAsia="楷体_GB2312" w:hAnsi="宋体" w:cs="宋体" w:hint="eastAsia"/>
          <w:kern w:val="0"/>
          <w:szCs w:val="21"/>
        </w:rPr>
        <w:t>。</w:t>
      </w:r>
    </w:p>
    <w:p w:rsidR="0099203E" w:rsidRDefault="009A18F4" w:rsidP="004840D3">
      <w:pPr>
        <w:spacing w:beforeLines="50"/>
        <w:ind w:leftChars="1350" w:left="2835" w:firstLineChars="202" w:firstLine="426"/>
        <w:rPr>
          <w:rFonts w:ascii="楷体_GB2312" w:eastAsia="楷体_GB2312" w:hAnsiTheme="minorEastAsia" w:cs="宋体"/>
          <w:kern w:val="0"/>
          <w:szCs w:val="21"/>
        </w:rPr>
      </w:pPr>
      <w:r w:rsidRPr="00352632">
        <w:rPr>
          <w:rFonts w:ascii="楷体_GB2312" w:eastAsia="楷体_GB2312" w:hAnsi="宋体" w:cs="宋体" w:hint="eastAsia"/>
          <w:b/>
          <w:kern w:val="0"/>
          <w:szCs w:val="21"/>
        </w:rPr>
        <w:t>权益基金方面，</w:t>
      </w:r>
      <w:r w:rsidR="00352632" w:rsidRPr="00352632">
        <w:rPr>
          <w:rFonts w:ascii="楷体_GB2312" w:eastAsia="楷体_GB2312" w:hAnsi="宋体" w:cs="宋体" w:hint="eastAsia"/>
          <w:kern w:val="0"/>
          <w:szCs w:val="21"/>
        </w:rPr>
        <w:t>我们坚持“</w:t>
      </w:r>
      <w:r w:rsidR="00F224A8" w:rsidRPr="00352632">
        <w:rPr>
          <w:rFonts w:ascii="楷体_GB2312" w:eastAsia="楷体_GB2312" w:hAnsi="宋体" w:cs="宋体" w:hint="eastAsia"/>
          <w:kern w:val="0"/>
          <w:szCs w:val="21"/>
        </w:rPr>
        <w:t>在</w:t>
      </w:r>
      <w:r w:rsidR="00352632" w:rsidRPr="00352632">
        <w:rPr>
          <w:rFonts w:ascii="楷体_GB2312" w:eastAsia="楷体_GB2312" w:hAnsi="宋体" w:cs="宋体" w:hint="eastAsia"/>
          <w:kern w:val="0"/>
          <w:szCs w:val="21"/>
        </w:rPr>
        <w:t>震荡市场环境中</w:t>
      </w:r>
      <w:r w:rsidR="00F224A8" w:rsidRPr="00352632">
        <w:rPr>
          <w:rFonts w:ascii="楷体_GB2312" w:eastAsia="楷体_GB2312" w:hAnsi="宋体" w:cs="宋体" w:hint="eastAsia"/>
          <w:kern w:val="0"/>
          <w:szCs w:val="21"/>
        </w:rPr>
        <w:t>善于</w:t>
      </w:r>
      <w:r w:rsidR="00887614" w:rsidRPr="00352632">
        <w:rPr>
          <w:rFonts w:ascii="楷体_GB2312" w:eastAsia="楷体_GB2312" w:hAnsi="宋体" w:cs="宋体" w:hint="eastAsia"/>
          <w:kern w:val="0"/>
          <w:szCs w:val="21"/>
        </w:rPr>
        <w:t>挖掘优势个股和擅长波段操作的基金占据显著的优势</w:t>
      </w:r>
      <w:r w:rsidR="00352632" w:rsidRPr="00352632">
        <w:rPr>
          <w:rFonts w:ascii="楷体_GB2312" w:eastAsia="楷体_GB2312" w:hAnsi="宋体" w:cs="宋体" w:hint="eastAsia"/>
          <w:kern w:val="0"/>
          <w:szCs w:val="21"/>
        </w:rPr>
        <w:t>”这一观点</w:t>
      </w:r>
      <w:r w:rsidR="00887614" w:rsidRPr="00352632">
        <w:rPr>
          <w:rFonts w:ascii="楷体_GB2312" w:eastAsia="楷体_GB2312" w:hAnsi="宋体" w:cs="宋体" w:hint="eastAsia"/>
          <w:kern w:val="0"/>
          <w:szCs w:val="21"/>
        </w:rPr>
        <w:t>，建议投资者</w:t>
      </w:r>
      <w:r w:rsidR="00352632" w:rsidRPr="00352632">
        <w:rPr>
          <w:rFonts w:ascii="楷体_GB2312" w:eastAsia="楷体_GB2312" w:hAnsi="宋体" w:cs="宋体" w:hint="eastAsia"/>
          <w:kern w:val="0"/>
          <w:szCs w:val="21"/>
        </w:rPr>
        <w:t>继续</w:t>
      </w:r>
      <w:r w:rsidR="00887614" w:rsidRPr="00352632">
        <w:rPr>
          <w:rFonts w:ascii="楷体_GB2312" w:eastAsia="楷体_GB2312" w:hAnsi="宋体" w:cs="宋体" w:hint="eastAsia"/>
          <w:kern w:val="0"/>
          <w:szCs w:val="21"/>
        </w:rPr>
        <w:t>重点关注选</w:t>
      </w:r>
      <w:proofErr w:type="gramStart"/>
      <w:r w:rsidR="00887614" w:rsidRPr="00352632">
        <w:rPr>
          <w:rFonts w:ascii="楷体_GB2312" w:eastAsia="楷体_GB2312" w:hAnsi="宋体" w:cs="宋体" w:hint="eastAsia"/>
          <w:kern w:val="0"/>
          <w:szCs w:val="21"/>
        </w:rPr>
        <w:t>股能力</w:t>
      </w:r>
      <w:proofErr w:type="gramEnd"/>
      <w:r w:rsidR="00887614" w:rsidRPr="00352632">
        <w:rPr>
          <w:rFonts w:ascii="楷体_GB2312" w:eastAsia="楷体_GB2312" w:hAnsi="宋体" w:cs="宋体" w:hint="eastAsia"/>
          <w:kern w:val="0"/>
          <w:szCs w:val="21"/>
        </w:rPr>
        <w:t>突出，波段操作能力强的混合型基金。</w:t>
      </w:r>
      <w:r w:rsidR="00CC32F8">
        <w:rPr>
          <w:rFonts w:ascii="楷体_GB2312" w:eastAsia="楷体_GB2312" w:hAnsi="宋体" w:cs="宋体" w:hint="eastAsia"/>
          <w:kern w:val="0"/>
          <w:szCs w:val="21"/>
        </w:rPr>
        <w:t>我们注意到</w:t>
      </w:r>
      <w:r w:rsidR="000D04E7" w:rsidRPr="00901C70">
        <w:rPr>
          <w:rFonts w:ascii="楷体_GB2312" w:eastAsia="楷体_GB2312" w:hAnsi="宋体" w:cs="宋体" w:hint="eastAsia"/>
          <w:kern w:val="0"/>
          <w:szCs w:val="21"/>
        </w:rPr>
        <w:t>十三五</w:t>
      </w:r>
      <w:r w:rsidR="000D04E7" w:rsidRPr="00901C70">
        <w:rPr>
          <w:rFonts w:ascii="楷体_GB2312" w:eastAsia="楷体_GB2312" w:hAnsi="宋体" w:cs="宋体" w:hint="eastAsia"/>
          <w:kern w:val="0"/>
          <w:szCs w:val="21"/>
        </w:rPr>
        <w:lastRenderedPageBreak/>
        <w:t>规划纲要即将推出，建议密切关注十三五规划新增亮点，应时而</w:t>
      </w:r>
      <w:proofErr w:type="gramStart"/>
      <w:r w:rsidR="000D04E7" w:rsidRPr="00901C70">
        <w:rPr>
          <w:rFonts w:ascii="楷体_GB2312" w:eastAsia="楷体_GB2312" w:hAnsi="宋体" w:cs="宋体" w:hint="eastAsia"/>
          <w:kern w:val="0"/>
          <w:szCs w:val="21"/>
        </w:rPr>
        <w:t>动把握</w:t>
      </w:r>
      <w:proofErr w:type="gramEnd"/>
      <w:r w:rsidR="000D04E7" w:rsidRPr="00901C70">
        <w:rPr>
          <w:rFonts w:ascii="楷体_GB2312" w:eastAsia="楷体_GB2312" w:hAnsi="宋体" w:cs="宋体" w:hint="eastAsia"/>
          <w:kern w:val="0"/>
          <w:szCs w:val="21"/>
        </w:rPr>
        <w:t>市场阶段性主题投资机会</w:t>
      </w:r>
      <w:r w:rsidR="0099203E">
        <w:rPr>
          <w:rFonts w:ascii="楷体_GB2312" w:eastAsia="楷体_GB2312" w:hAnsi="宋体" w:cs="宋体" w:hint="eastAsia"/>
          <w:kern w:val="0"/>
          <w:szCs w:val="21"/>
        </w:rPr>
        <w:t>，如受益二胎开放的</w:t>
      </w:r>
      <w:r w:rsidR="0099203E">
        <w:rPr>
          <w:rFonts w:ascii="楷体_GB2312" w:eastAsia="楷体_GB2312" w:hAnsiTheme="minorEastAsia" w:cs="宋体" w:hint="eastAsia"/>
          <w:kern w:val="0"/>
          <w:szCs w:val="21"/>
        </w:rPr>
        <w:t>医疗保健、文化娱乐主题基金，受益</w:t>
      </w:r>
      <w:r w:rsidR="00CC32F8">
        <w:rPr>
          <w:rFonts w:ascii="楷体_GB2312" w:eastAsia="楷体_GB2312" w:hAnsiTheme="minorEastAsia" w:cs="宋体" w:hint="eastAsia"/>
          <w:kern w:val="0"/>
          <w:szCs w:val="21"/>
        </w:rPr>
        <w:t>政策鼓励</w:t>
      </w:r>
      <w:r w:rsidR="0099203E">
        <w:rPr>
          <w:rFonts w:ascii="楷体_GB2312" w:eastAsia="楷体_GB2312" w:hAnsiTheme="minorEastAsia" w:cs="宋体" w:hint="eastAsia"/>
          <w:kern w:val="0"/>
          <w:szCs w:val="21"/>
        </w:rPr>
        <w:t>创新转型的高端制造业主题基金</w:t>
      </w:r>
      <w:r w:rsidR="000D04E7">
        <w:rPr>
          <w:rFonts w:ascii="楷体_GB2312" w:eastAsia="楷体_GB2312" w:hAnsi="宋体" w:cs="宋体" w:hint="eastAsia"/>
          <w:kern w:val="0"/>
          <w:szCs w:val="21"/>
        </w:rPr>
        <w:t>。</w:t>
      </w:r>
      <w:r w:rsidR="00411F75">
        <w:rPr>
          <w:rFonts w:ascii="楷体_GB2312" w:eastAsia="楷体_GB2312" w:hAnsi="宋体" w:cs="宋体" w:hint="eastAsia"/>
          <w:kern w:val="0"/>
          <w:szCs w:val="21"/>
        </w:rPr>
        <w:t>前期我们指出，“</w:t>
      </w:r>
      <w:r w:rsidR="00411F75">
        <w:rPr>
          <w:rFonts w:ascii="楷体_GB2312" w:eastAsia="楷体_GB2312" w:hAnsiTheme="minorEastAsia" w:cs="宋体" w:hint="eastAsia"/>
          <w:kern w:val="0"/>
          <w:szCs w:val="21"/>
        </w:rPr>
        <w:t>市场调整是的</w:t>
      </w:r>
      <w:r w:rsidR="00411F75" w:rsidRPr="00F56D9D">
        <w:rPr>
          <w:rFonts w:ascii="楷体_GB2312" w:eastAsia="楷体_GB2312" w:hAnsiTheme="minorEastAsia" w:cs="宋体" w:hint="eastAsia"/>
          <w:kern w:val="0"/>
          <w:szCs w:val="21"/>
        </w:rPr>
        <w:t>部分新兴板块的股票跌出价值，建议适当配置</w:t>
      </w:r>
      <w:r w:rsidR="00411F75" w:rsidRPr="00411F75">
        <w:rPr>
          <w:rFonts w:ascii="楷体_GB2312" w:eastAsia="楷体_GB2312" w:hAnsiTheme="minorEastAsia" w:cs="宋体" w:hint="eastAsia"/>
          <w:kern w:val="0"/>
          <w:szCs w:val="21"/>
        </w:rPr>
        <w:t>具备真正选股能力的中小盘成长风格基金”，但截至目前不少个股已经回到历史高点，建议投资者以更审慎的态度</w:t>
      </w:r>
      <w:r w:rsidR="00CC32F8">
        <w:rPr>
          <w:rFonts w:ascii="楷体_GB2312" w:eastAsia="楷体_GB2312" w:hAnsiTheme="minorEastAsia" w:cs="宋体" w:hint="eastAsia"/>
          <w:kern w:val="0"/>
          <w:szCs w:val="21"/>
        </w:rPr>
        <w:t>对待</w:t>
      </w:r>
      <w:r w:rsidR="00411F75" w:rsidRPr="00411F75">
        <w:rPr>
          <w:rFonts w:ascii="楷体_GB2312" w:eastAsia="楷体_GB2312" w:hAnsiTheme="minorEastAsia" w:cs="宋体" w:hint="eastAsia"/>
          <w:kern w:val="0"/>
          <w:szCs w:val="21"/>
        </w:rPr>
        <w:t>新兴主题基金。</w:t>
      </w:r>
    </w:p>
    <w:p w:rsidR="00D24CC5" w:rsidRDefault="009A18F4" w:rsidP="004840D3">
      <w:pPr>
        <w:spacing w:beforeLines="50"/>
        <w:ind w:leftChars="1350" w:left="2835" w:firstLineChars="202" w:firstLine="426"/>
        <w:rPr>
          <w:rFonts w:ascii="楷体_GB2312" w:eastAsia="楷体_GB2312" w:hAnsi="宋体" w:cs="宋体"/>
          <w:kern w:val="0"/>
          <w:szCs w:val="21"/>
        </w:rPr>
      </w:pPr>
      <w:r w:rsidRPr="0006216C">
        <w:rPr>
          <w:rFonts w:ascii="楷体_GB2312" w:eastAsia="楷体_GB2312" w:hAnsi="宋体" w:cs="宋体" w:hint="eastAsia"/>
          <w:b/>
          <w:kern w:val="0"/>
          <w:szCs w:val="21"/>
        </w:rPr>
        <w:t>固定收益基金方面，</w:t>
      </w:r>
      <w:r w:rsidR="00514A20">
        <w:rPr>
          <w:rFonts w:ascii="楷体_GB2312" w:eastAsia="楷体_GB2312" w:hAnsi="宋体" w:cs="宋体" w:hint="eastAsia"/>
          <w:kern w:val="0"/>
          <w:szCs w:val="21"/>
        </w:rPr>
        <w:t>央行本月末的降息</w:t>
      </w:r>
      <w:r w:rsidR="00DD4DF7">
        <w:rPr>
          <w:rFonts w:ascii="楷体_GB2312" w:eastAsia="楷体_GB2312" w:hAnsi="宋体" w:cs="宋体" w:hint="eastAsia"/>
          <w:kern w:val="0"/>
          <w:szCs w:val="21"/>
        </w:rPr>
        <w:t>利好</w:t>
      </w:r>
      <w:r w:rsidR="00514A20">
        <w:rPr>
          <w:rFonts w:ascii="楷体_GB2312" w:eastAsia="楷体_GB2312" w:hAnsi="宋体" w:cs="宋体" w:hint="eastAsia"/>
          <w:kern w:val="0"/>
          <w:szCs w:val="21"/>
        </w:rPr>
        <w:t>债市，</w:t>
      </w:r>
      <w:r w:rsidR="00DD4DF7">
        <w:rPr>
          <w:rFonts w:ascii="楷体_GB2312" w:eastAsia="楷体_GB2312" w:hAnsi="宋体" w:cs="宋体" w:hint="eastAsia"/>
          <w:kern w:val="0"/>
          <w:szCs w:val="21"/>
        </w:rPr>
        <w:t>无风险利率下行将导致体量庞大的理财产品的收益率持续走低，理财产品吸引力下降，同时社会整体风险偏好保持低位也有利于债市短期走强。但我们看到，</w:t>
      </w:r>
      <w:r w:rsidR="00514A20" w:rsidRPr="00514A20">
        <w:rPr>
          <w:rFonts w:ascii="楷体_GB2312" w:eastAsia="楷体_GB2312" w:hAnsi="宋体" w:cs="宋体" w:hint="eastAsia"/>
          <w:kern w:val="0"/>
          <w:szCs w:val="21"/>
        </w:rPr>
        <w:t>截至2015年</w:t>
      </w:r>
      <w:r w:rsidR="00B05944">
        <w:rPr>
          <w:rFonts w:ascii="楷体_GB2312" w:eastAsia="楷体_GB2312" w:hAnsi="宋体" w:cs="宋体" w:hint="eastAsia"/>
          <w:kern w:val="0"/>
          <w:szCs w:val="21"/>
        </w:rPr>
        <w:t>10</w:t>
      </w:r>
      <w:r w:rsidR="00514A20" w:rsidRPr="00514A20">
        <w:rPr>
          <w:rFonts w:ascii="楷体_GB2312" w:eastAsia="楷体_GB2312" w:hAnsi="宋体" w:cs="宋体" w:hint="eastAsia"/>
          <w:kern w:val="0"/>
          <w:szCs w:val="21"/>
        </w:rPr>
        <w:t>月2</w:t>
      </w:r>
      <w:r w:rsidR="00871861">
        <w:rPr>
          <w:rFonts w:ascii="楷体_GB2312" w:eastAsia="楷体_GB2312" w:hAnsi="宋体" w:cs="宋体" w:hint="eastAsia"/>
          <w:kern w:val="0"/>
          <w:szCs w:val="21"/>
        </w:rPr>
        <w:t>8</w:t>
      </w:r>
      <w:r w:rsidR="00514A20" w:rsidRPr="00514A20">
        <w:rPr>
          <w:rFonts w:ascii="楷体_GB2312" w:eastAsia="楷体_GB2312" w:hAnsi="宋体" w:cs="宋体" w:hint="eastAsia"/>
          <w:kern w:val="0"/>
          <w:szCs w:val="21"/>
        </w:rPr>
        <w:t>日10年期国债收益率和AAA级企业债收益率分别降至</w:t>
      </w:r>
      <w:r w:rsidR="00871861">
        <w:rPr>
          <w:rFonts w:ascii="楷体_GB2312" w:eastAsia="楷体_GB2312" w:hAnsi="宋体" w:cs="宋体" w:hint="eastAsia"/>
          <w:kern w:val="0"/>
          <w:szCs w:val="21"/>
        </w:rPr>
        <w:t>2.9870</w:t>
      </w:r>
      <w:r w:rsidR="00514A20" w:rsidRPr="00514A20">
        <w:rPr>
          <w:rFonts w:ascii="楷体_GB2312" w:eastAsia="楷体_GB2312" w:hAnsi="宋体" w:cs="宋体" w:hint="eastAsia"/>
          <w:kern w:val="0"/>
          <w:szCs w:val="21"/>
        </w:rPr>
        <w:t>%、</w:t>
      </w:r>
      <w:r w:rsidR="00871861">
        <w:rPr>
          <w:rFonts w:ascii="楷体_GB2312" w:eastAsia="楷体_GB2312" w:hAnsi="宋体" w:cs="宋体" w:hint="eastAsia"/>
          <w:kern w:val="0"/>
          <w:szCs w:val="21"/>
        </w:rPr>
        <w:t>4.0708</w:t>
      </w:r>
      <w:r w:rsidR="00514A20" w:rsidRPr="00514A20">
        <w:rPr>
          <w:rFonts w:ascii="楷体_GB2312" w:eastAsia="楷体_GB2312" w:hAnsi="宋体" w:cs="宋体" w:hint="eastAsia"/>
          <w:kern w:val="0"/>
          <w:szCs w:val="21"/>
        </w:rPr>
        <w:t>%。分别低于2002-2015年平均收益水平</w:t>
      </w:r>
      <w:r w:rsidR="00D24CC5">
        <w:rPr>
          <w:rFonts w:ascii="楷体_GB2312" w:eastAsia="楷体_GB2312" w:hAnsi="宋体" w:cs="宋体" w:hint="eastAsia"/>
          <w:kern w:val="0"/>
          <w:szCs w:val="21"/>
        </w:rPr>
        <w:t>65.73</w:t>
      </w:r>
      <w:r w:rsidR="00514A20" w:rsidRPr="00514A20">
        <w:rPr>
          <w:rFonts w:ascii="楷体_GB2312" w:eastAsia="楷体_GB2312" w:hAnsi="宋体" w:cs="宋体" w:hint="eastAsia"/>
          <w:kern w:val="0"/>
          <w:szCs w:val="21"/>
        </w:rPr>
        <w:t>、</w:t>
      </w:r>
      <w:r w:rsidR="00D24CC5">
        <w:rPr>
          <w:rFonts w:ascii="楷体_GB2312" w:eastAsia="楷体_GB2312" w:hAnsi="宋体" w:cs="宋体" w:hint="eastAsia"/>
          <w:kern w:val="0"/>
          <w:szCs w:val="21"/>
        </w:rPr>
        <w:t>93.5</w:t>
      </w:r>
      <w:r w:rsidR="00514A20" w:rsidRPr="00514A20">
        <w:rPr>
          <w:rFonts w:ascii="楷体_GB2312" w:eastAsia="楷体_GB2312" w:hAnsi="宋体" w:cs="宋体" w:hint="eastAsia"/>
          <w:kern w:val="0"/>
          <w:szCs w:val="21"/>
        </w:rPr>
        <w:t>BP。比较而言债市的收益率已经吸引力不足，信用利差也缩减至历史较低水平</w:t>
      </w:r>
      <w:r w:rsidR="00DD4DF7">
        <w:rPr>
          <w:rFonts w:ascii="楷体_GB2312" w:eastAsia="楷体_GB2312" w:hAnsi="宋体" w:cs="宋体" w:hint="eastAsia"/>
          <w:kern w:val="0"/>
          <w:szCs w:val="21"/>
        </w:rPr>
        <w:t>，前期股市异常导致的资金涌入大幅推高债市价格，目前已经出现泡沫隐患</w:t>
      </w:r>
      <w:r w:rsidR="00514A20" w:rsidRPr="00514A20">
        <w:rPr>
          <w:rFonts w:ascii="楷体_GB2312" w:eastAsia="楷体_GB2312" w:hAnsi="宋体" w:cs="宋体" w:hint="eastAsia"/>
          <w:kern w:val="0"/>
          <w:szCs w:val="21"/>
        </w:rPr>
        <w:t>，</w:t>
      </w:r>
      <w:r w:rsidR="00DD4DF7">
        <w:rPr>
          <w:rFonts w:ascii="楷体_GB2312" w:eastAsia="楷体_GB2312" w:hAnsi="宋体" w:cs="宋体" w:hint="eastAsia"/>
          <w:kern w:val="0"/>
          <w:szCs w:val="21"/>
        </w:rPr>
        <w:t>随着</w:t>
      </w:r>
      <w:r w:rsidR="00871861">
        <w:rPr>
          <w:rFonts w:ascii="楷体_GB2312" w:eastAsia="楷体_GB2312" w:hAnsi="宋体" w:cs="宋体" w:hint="eastAsia"/>
          <w:kern w:val="0"/>
          <w:szCs w:val="21"/>
        </w:rPr>
        <w:t>股</w:t>
      </w:r>
      <w:r w:rsidR="00DD4DF7">
        <w:rPr>
          <w:rFonts w:ascii="楷体_GB2312" w:eastAsia="楷体_GB2312" w:hAnsi="宋体" w:cs="宋体" w:hint="eastAsia"/>
          <w:kern w:val="0"/>
          <w:szCs w:val="21"/>
        </w:rPr>
        <w:t>回暖</w:t>
      </w:r>
      <w:r w:rsidR="00871861">
        <w:rPr>
          <w:rFonts w:ascii="楷体_GB2312" w:eastAsia="楷体_GB2312" w:hAnsi="宋体" w:cs="宋体" w:hint="eastAsia"/>
          <w:kern w:val="0"/>
          <w:szCs w:val="21"/>
        </w:rPr>
        <w:t>债市</w:t>
      </w:r>
      <w:r w:rsidR="00DD4DF7">
        <w:rPr>
          <w:rFonts w:ascii="楷体_GB2312" w:eastAsia="楷体_GB2312" w:hAnsi="宋体" w:cs="宋体" w:hint="eastAsia"/>
          <w:kern w:val="0"/>
          <w:szCs w:val="21"/>
        </w:rPr>
        <w:t>面临压力</w:t>
      </w:r>
      <w:r w:rsidR="00514A20" w:rsidRPr="00514A20">
        <w:rPr>
          <w:rFonts w:ascii="楷体_GB2312" w:eastAsia="楷体_GB2312" w:hAnsi="宋体" w:cs="宋体" w:hint="eastAsia"/>
          <w:kern w:val="0"/>
          <w:szCs w:val="21"/>
        </w:rPr>
        <w:t>。综上，我们判断短期</w:t>
      </w:r>
      <w:proofErr w:type="gramStart"/>
      <w:r w:rsidR="00514A20" w:rsidRPr="00514A20">
        <w:rPr>
          <w:rFonts w:ascii="楷体_GB2312" w:eastAsia="楷体_GB2312" w:hAnsi="宋体" w:cs="宋体" w:hint="eastAsia"/>
          <w:kern w:val="0"/>
          <w:szCs w:val="21"/>
        </w:rPr>
        <w:t>内债市</w:t>
      </w:r>
      <w:proofErr w:type="gramEnd"/>
      <w:r w:rsidR="00DD4DF7">
        <w:rPr>
          <w:rFonts w:ascii="楷体_GB2312" w:eastAsia="楷体_GB2312" w:hAnsi="宋体" w:cs="宋体" w:hint="eastAsia"/>
          <w:kern w:val="0"/>
          <w:szCs w:val="21"/>
        </w:rPr>
        <w:t>或</w:t>
      </w:r>
      <w:r w:rsidR="00871861">
        <w:rPr>
          <w:rFonts w:ascii="楷体_GB2312" w:eastAsia="楷体_GB2312" w:hAnsi="宋体" w:cs="宋体" w:hint="eastAsia"/>
          <w:kern w:val="0"/>
          <w:szCs w:val="21"/>
        </w:rPr>
        <w:t>将面临调整，</w:t>
      </w:r>
      <w:r w:rsidR="00514A20" w:rsidRPr="00514A20">
        <w:rPr>
          <w:rFonts w:ascii="楷体_GB2312" w:eastAsia="楷体_GB2312" w:hAnsi="宋体" w:cs="宋体" w:hint="eastAsia"/>
          <w:kern w:val="0"/>
          <w:szCs w:val="21"/>
        </w:rPr>
        <w:t>建议投资者可以适当</w:t>
      </w:r>
      <w:r w:rsidR="00D24CC5">
        <w:rPr>
          <w:rFonts w:ascii="楷体_GB2312" w:eastAsia="楷体_GB2312" w:hAnsi="宋体" w:cs="宋体" w:hint="eastAsia"/>
          <w:kern w:val="0"/>
          <w:szCs w:val="21"/>
        </w:rPr>
        <w:t>低配</w:t>
      </w:r>
      <w:r w:rsidR="00514A20" w:rsidRPr="00514A20">
        <w:rPr>
          <w:rFonts w:ascii="楷体_GB2312" w:eastAsia="楷体_GB2312" w:hAnsi="宋体" w:cs="宋体" w:hint="eastAsia"/>
          <w:kern w:val="0"/>
          <w:szCs w:val="21"/>
        </w:rPr>
        <w:t>债券型基金配置比例。</w:t>
      </w:r>
      <w:r w:rsidR="00514A20" w:rsidRPr="00DD4DF7">
        <w:rPr>
          <w:rFonts w:ascii="楷体_GB2312" w:eastAsia="楷体_GB2312" w:hAnsi="宋体" w:cs="宋体" w:hint="eastAsia"/>
          <w:kern w:val="0"/>
          <w:szCs w:val="21"/>
        </w:rPr>
        <w:t>在配置品种上，我们</w:t>
      </w:r>
      <w:r w:rsidR="00DD4DF7">
        <w:rPr>
          <w:rFonts w:ascii="楷体_GB2312" w:eastAsia="楷体_GB2312" w:hAnsi="宋体" w:cs="宋体" w:hint="eastAsia"/>
          <w:kern w:val="0"/>
          <w:szCs w:val="21"/>
        </w:rPr>
        <w:t>继续</w:t>
      </w:r>
      <w:r w:rsidR="00514A20" w:rsidRPr="00DD4DF7">
        <w:rPr>
          <w:rFonts w:ascii="楷体_GB2312" w:eastAsia="楷体_GB2312" w:hAnsi="宋体" w:cs="宋体" w:hint="eastAsia"/>
          <w:kern w:val="0"/>
          <w:szCs w:val="21"/>
        </w:rPr>
        <w:t>看好重仓期限为中期、评级为中高券种的债券型基金。</w:t>
      </w:r>
    </w:p>
    <w:p w:rsidR="00514A20" w:rsidRPr="00DB64DC" w:rsidRDefault="00D24CC5" w:rsidP="009925B4">
      <w:pPr>
        <w:ind w:leftChars="1350" w:left="2835" w:firstLineChars="202" w:firstLine="426"/>
        <w:rPr>
          <w:rFonts w:ascii="楷体_GB2312" w:eastAsia="楷体_GB2312" w:hAnsi="宋体" w:cs="宋体"/>
          <w:kern w:val="0"/>
          <w:szCs w:val="21"/>
        </w:rPr>
      </w:pPr>
      <w:r w:rsidRPr="00D24CC5">
        <w:rPr>
          <w:rFonts w:ascii="楷体_GB2312" w:eastAsia="楷体_GB2312" w:hAnsi="宋体" w:cs="宋体" w:hint="eastAsia"/>
          <w:b/>
          <w:kern w:val="0"/>
          <w:szCs w:val="21"/>
        </w:rPr>
        <w:t>QDII方面，</w:t>
      </w:r>
      <w:r w:rsidRPr="00985E3E">
        <w:rPr>
          <w:rFonts w:ascii="楷体_GB2312" w:eastAsia="楷体_GB2312" w:hAnsi="宋体" w:cs="宋体" w:hint="eastAsia"/>
          <w:kern w:val="0"/>
          <w:szCs w:val="21"/>
        </w:rPr>
        <w:t>美国最新公布的GDP数据不及预期，短期将导致美元回落，但长期来看美元走强仍将持续。</w:t>
      </w:r>
      <w:r w:rsidRPr="006E262D">
        <w:rPr>
          <w:rFonts w:ascii="楷体_GB2312" w:eastAsia="楷体_GB2312" w:hAnsi="宋体" w:cs="宋体" w:hint="eastAsia"/>
          <w:kern w:val="0"/>
          <w:szCs w:val="21"/>
        </w:rPr>
        <w:t>美国</w:t>
      </w:r>
      <w:r>
        <w:rPr>
          <w:rFonts w:ascii="楷体_GB2312" w:eastAsia="楷体_GB2312" w:hAnsi="宋体" w:cs="宋体" w:hint="eastAsia"/>
          <w:kern w:val="0"/>
          <w:szCs w:val="21"/>
        </w:rPr>
        <w:t>今后</w:t>
      </w:r>
      <w:r w:rsidRPr="006E262D">
        <w:rPr>
          <w:rFonts w:ascii="楷体_GB2312" w:eastAsia="楷体_GB2312" w:hAnsi="宋体" w:cs="宋体" w:hint="eastAsia"/>
          <w:kern w:val="0"/>
          <w:szCs w:val="21"/>
        </w:rPr>
        <w:t>的经济增长</w:t>
      </w:r>
      <w:r>
        <w:rPr>
          <w:rFonts w:ascii="楷体_GB2312" w:eastAsia="楷体_GB2312" w:hAnsi="宋体" w:cs="宋体" w:hint="eastAsia"/>
          <w:kern w:val="0"/>
          <w:szCs w:val="21"/>
        </w:rPr>
        <w:t>动力来自</w:t>
      </w:r>
      <w:r w:rsidRPr="006E262D">
        <w:rPr>
          <w:rFonts w:ascii="楷体_GB2312" w:eastAsia="楷体_GB2312" w:hAnsi="宋体" w:cs="宋体" w:hint="eastAsia"/>
          <w:kern w:val="0"/>
          <w:szCs w:val="21"/>
        </w:rPr>
        <w:t>工业回归、科技升级和房地产市场周期的自然增长</w:t>
      </w:r>
      <w:r w:rsidR="00985E3E">
        <w:rPr>
          <w:rFonts w:ascii="楷体_GB2312" w:eastAsia="楷体_GB2312" w:hAnsi="宋体" w:cs="宋体" w:hint="eastAsia"/>
          <w:kern w:val="0"/>
          <w:szCs w:val="21"/>
        </w:rPr>
        <w:t>。</w:t>
      </w:r>
      <w:r w:rsidR="00985E3E" w:rsidRPr="00985E3E">
        <w:rPr>
          <w:rFonts w:ascii="楷体_GB2312" w:eastAsia="楷体_GB2312" w:hAnsi="宋体" w:cs="宋体" w:hint="eastAsia"/>
          <w:kern w:val="0"/>
          <w:szCs w:val="21"/>
        </w:rPr>
        <w:t>而</w:t>
      </w:r>
      <w:r w:rsidR="00946936">
        <w:rPr>
          <w:rFonts w:ascii="楷体_GB2312" w:eastAsia="楷体_GB2312" w:hAnsi="宋体" w:cs="宋体" w:hint="eastAsia"/>
          <w:kern w:val="0"/>
          <w:szCs w:val="21"/>
        </w:rPr>
        <w:t>以</w:t>
      </w:r>
      <w:r w:rsidR="00985E3E" w:rsidRPr="00985E3E">
        <w:rPr>
          <w:rFonts w:ascii="楷体_GB2312" w:eastAsia="楷体_GB2312" w:hAnsi="宋体" w:cs="宋体" w:hint="eastAsia"/>
          <w:kern w:val="0"/>
          <w:szCs w:val="21"/>
        </w:rPr>
        <w:t>中国</w:t>
      </w:r>
      <w:r w:rsidR="00946936">
        <w:rPr>
          <w:rFonts w:ascii="楷体_GB2312" w:eastAsia="楷体_GB2312" w:hAnsi="宋体" w:cs="宋体" w:hint="eastAsia"/>
          <w:kern w:val="0"/>
          <w:szCs w:val="21"/>
        </w:rPr>
        <w:t>为代表的新兴市场</w:t>
      </w:r>
      <w:r w:rsidR="00985E3E" w:rsidRPr="00985E3E">
        <w:rPr>
          <w:rFonts w:ascii="楷体_GB2312" w:eastAsia="楷体_GB2312" w:hAnsi="宋体" w:cs="宋体" w:hint="eastAsia"/>
          <w:kern w:val="0"/>
          <w:szCs w:val="21"/>
        </w:rPr>
        <w:t>经济放缓可能意味著大宗商品价格长期处于低位，</w:t>
      </w:r>
      <w:r w:rsidR="00946936">
        <w:rPr>
          <w:rFonts w:ascii="楷体_GB2312" w:eastAsia="楷体_GB2312" w:hAnsi="宋体" w:cs="宋体" w:hint="eastAsia"/>
          <w:kern w:val="0"/>
          <w:szCs w:val="21"/>
        </w:rPr>
        <w:t>我们还没有看到</w:t>
      </w:r>
      <w:r w:rsidR="00985E3E" w:rsidRPr="00985E3E">
        <w:rPr>
          <w:rFonts w:ascii="楷体_GB2312" w:eastAsia="楷体_GB2312" w:hAnsi="宋体" w:cs="宋体" w:hint="eastAsia"/>
          <w:kern w:val="0"/>
          <w:szCs w:val="21"/>
        </w:rPr>
        <w:t>大</w:t>
      </w:r>
      <w:r w:rsidR="00946936">
        <w:rPr>
          <w:rFonts w:ascii="楷体_GB2312" w:eastAsia="楷体_GB2312" w:hAnsi="宋体" w:cs="宋体" w:hint="eastAsia"/>
          <w:kern w:val="0"/>
          <w:szCs w:val="21"/>
        </w:rPr>
        <w:t>宗商品有</w:t>
      </w:r>
      <w:r w:rsidR="00985E3E">
        <w:rPr>
          <w:rFonts w:ascii="楷体_GB2312" w:eastAsia="楷体_GB2312" w:hAnsi="宋体" w:cs="宋体" w:hint="eastAsia"/>
          <w:kern w:val="0"/>
          <w:szCs w:val="21"/>
        </w:rPr>
        <w:t>走出弱周期泥潭的迹象。</w:t>
      </w:r>
      <w:r w:rsidR="00985E3E" w:rsidRPr="00D24CC5">
        <w:rPr>
          <w:rFonts w:ascii="楷体_GB2312" w:eastAsia="楷体_GB2312" w:hAnsi="宋体" w:cs="宋体" w:hint="eastAsia"/>
          <w:kern w:val="0"/>
          <w:szCs w:val="21"/>
        </w:rPr>
        <w:t>综上建议投资者继续战略性配置</w:t>
      </w:r>
      <w:r w:rsidR="00946936">
        <w:rPr>
          <w:rFonts w:ascii="楷体_GB2312" w:eastAsia="楷体_GB2312" w:hAnsi="宋体" w:cs="宋体" w:hint="eastAsia"/>
          <w:kern w:val="0"/>
          <w:szCs w:val="21"/>
        </w:rPr>
        <w:t>有望走出泥潭且估值较低的欧洲股票QDII，适当关注</w:t>
      </w:r>
      <w:r>
        <w:rPr>
          <w:rFonts w:ascii="楷体_GB2312" w:eastAsia="楷体_GB2312" w:hAnsi="宋体" w:cs="宋体" w:hint="eastAsia"/>
          <w:kern w:val="0"/>
          <w:szCs w:val="21"/>
        </w:rPr>
        <w:t>美国</w:t>
      </w:r>
      <w:r w:rsidR="00946936">
        <w:rPr>
          <w:rFonts w:ascii="楷体_GB2312" w:eastAsia="楷体_GB2312" w:hAnsi="宋体" w:cs="宋体" w:hint="eastAsia"/>
          <w:kern w:val="0"/>
          <w:szCs w:val="21"/>
        </w:rPr>
        <w:t>房地产、制造业板块和</w:t>
      </w:r>
      <w:r>
        <w:rPr>
          <w:rFonts w:ascii="楷体_GB2312" w:eastAsia="楷体_GB2312" w:hAnsi="宋体" w:cs="宋体" w:hint="eastAsia"/>
          <w:kern w:val="0"/>
          <w:szCs w:val="21"/>
        </w:rPr>
        <w:t>科技股QDII</w:t>
      </w:r>
      <w:r w:rsidR="00985E3E">
        <w:rPr>
          <w:rFonts w:ascii="楷体_GB2312" w:eastAsia="楷体_GB2312" w:hAnsi="宋体" w:cs="宋体" w:hint="eastAsia"/>
          <w:kern w:val="0"/>
          <w:szCs w:val="21"/>
        </w:rPr>
        <w:t>，回避商品QDII，大中华QDII。</w:t>
      </w:r>
    </w:p>
    <w:p w:rsidR="009A18F4" w:rsidRPr="002822E3"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2822E3">
        <w:rPr>
          <w:rFonts w:ascii="黑体" w:eastAsia="黑体" w:hAnsi="宋体-18030" w:cs="宋体-18030" w:hint="eastAsia"/>
          <w:b/>
          <w:bCs/>
          <w:color w:val="003366"/>
          <w:kern w:val="44"/>
          <w:sz w:val="24"/>
        </w:rPr>
        <w:t>（三）基金组合推荐</w:t>
      </w:r>
    </w:p>
    <w:p w:rsidR="009F0BFD" w:rsidRPr="00A23D76" w:rsidRDefault="009A18F4" w:rsidP="004840D3">
      <w:pPr>
        <w:spacing w:beforeLines="50"/>
        <w:ind w:leftChars="1350" w:left="2835" w:firstLineChars="202" w:firstLine="424"/>
        <w:rPr>
          <w:rFonts w:ascii="楷体_GB2312" w:eastAsia="楷体_GB2312" w:hAnsi="宋体" w:cs="宋体"/>
          <w:color w:val="000000"/>
          <w:kern w:val="0"/>
          <w:szCs w:val="21"/>
        </w:rPr>
      </w:pPr>
      <w:r w:rsidRPr="00886401">
        <w:rPr>
          <w:rFonts w:ascii="楷体_GB2312" w:eastAsia="楷体_GB2312" w:hAnsi="宋体" w:cs="宋体" w:hint="eastAsia"/>
          <w:color w:val="000000"/>
          <w:kern w:val="0"/>
          <w:szCs w:val="21"/>
        </w:rPr>
        <w:t>具体到组合构建上，我们在上述基金投资策略指引下，充分考虑投资品种流动性，并依据资产配置、行业结构、投资风格分散化原则，</w:t>
      </w:r>
      <w:r w:rsidR="00207EB7" w:rsidRPr="00886401">
        <w:rPr>
          <w:rFonts w:ascii="楷体_GB2312" w:eastAsia="楷体_GB2312" w:hAnsi="宋体" w:cs="宋体" w:hint="eastAsia"/>
          <w:color w:val="000000"/>
          <w:kern w:val="0"/>
          <w:szCs w:val="21"/>
        </w:rPr>
        <w:t>以及基金的申购赎回开放状态，</w:t>
      </w:r>
      <w:r w:rsidRPr="00886401">
        <w:rPr>
          <w:rFonts w:ascii="楷体_GB2312" w:eastAsia="楷体_GB2312" w:hAnsi="宋体" w:cs="宋体" w:hint="eastAsia"/>
          <w:color w:val="000000"/>
          <w:kern w:val="0"/>
          <w:szCs w:val="21"/>
        </w:rPr>
        <w:t>构建三类投资组合以供投资参考，本期组合</w:t>
      </w:r>
      <w:r w:rsidR="00FE20FA" w:rsidRPr="00886401">
        <w:rPr>
          <w:rFonts w:ascii="楷体_GB2312" w:eastAsia="楷体_GB2312" w:hAnsi="宋体" w:cs="宋体" w:hint="eastAsia"/>
          <w:color w:val="000000"/>
          <w:kern w:val="0"/>
          <w:szCs w:val="21"/>
        </w:rPr>
        <w:t>不作调整</w:t>
      </w:r>
      <w:r w:rsidR="00A23D76" w:rsidRPr="00886401">
        <w:rPr>
          <w:rFonts w:ascii="楷体_GB2312" w:eastAsia="楷体_GB2312" w:hAnsi="宋体" w:cs="宋体" w:hint="eastAsia"/>
          <w:color w:val="000000"/>
          <w:kern w:val="0"/>
          <w:szCs w:val="21"/>
        </w:rPr>
        <w:t>。</w:t>
      </w:r>
    </w:p>
    <w:p w:rsidR="009A18F4" w:rsidRPr="00E921CB" w:rsidRDefault="009A18F4" w:rsidP="009925B4">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9A18F4" w:rsidRPr="00E921CB" w:rsidTr="00DE017A">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9A18F4" w:rsidRPr="00E921CB" w:rsidTr="003C2C63">
        <w:trPr>
          <w:trHeight w:val="285"/>
          <w:jc w:val="center"/>
        </w:trPr>
        <w:tc>
          <w:tcPr>
            <w:tcW w:w="1320" w:type="pct"/>
            <w:tcBorders>
              <w:left w:val="single" w:sz="4"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right w:val="single" w:sz="4" w:space="0" w:color="auto"/>
            </w:tcBorders>
            <w:vAlign w:val="center"/>
          </w:tcPr>
          <w:p w:rsidR="009A18F4" w:rsidRPr="00E921CB" w:rsidRDefault="009A18F4" w:rsidP="00DE017A">
            <w:pPr>
              <w:widowControl/>
              <w:jc w:val="left"/>
              <w:rPr>
                <w:rFonts w:ascii="宋体" w:hAnsi="宋体" w:cs="宋体"/>
                <w:kern w:val="0"/>
                <w:sz w:val="18"/>
                <w:szCs w:val="18"/>
              </w:rPr>
            </w:pPr>
          </w:p>
        </w:tc>
        <w:tc>
          <w:tcPr>
            <w:tcW w:w="936" w:type="pct"/>
            <w:tcBorders>
              <w:left w:val="single" w:sz="4"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right w:val="single" w:sz="4" w:space="0" w:color="auto"/>
            </w:tcBorders>
            <w:vAlign w:val="center"/>
          </w:tcPr>
          <w:p w:rsidR="009A18F4" w:rsidRPr="00E921CB" w:rsidRDefault="009A18F4" w:rsidP="00DE017A">
            <w:pPr>
              <w:widowControl/>
              <w:jc w:val="left"/>
              <w:rPr>
                <w:rFonts w:ascii="宋体" w:hAnsi="宋体" w:cs="宋体"/>
                <w:kern w:val="0"/>
                <w:sz w:val="18"/>
                <w:szCs w:val="18"/>
              </w:rPr>
            </w:pPr>
          </w:p>
        </w:tc>
        <w:tc>
          <w:tcPr>
            <w:tcW w:w="928" w:type="pct"/>
            <w:tcBorders>
              <w:left w:val="single" w:sz="4"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3A6BA8" w:rsidRPr="00E921CB" w:rsidTr="00DE017A">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3A6BA8" w:rsidRPr="007F4645" w:rsidRDefault="00DB64DC" w:rsidP="002B6917">
            <w:pPr>
              <w:jc w:val="center"/>
              <w:rPr>
                <w:sz w:val="18"/>
                <w:szCs w:val="18"/>
              </w:rPr>
            </w:pPr>
            <w:r>
              <w:rPr>
                <w:rFonts w:hint="eastAsia"/>
                <w:sz w:val="18"/>
                <w:szCs w:val="18"/>
              </w:rPr>
              <w:t>易方达</w:t>
            </w:r>
            <w:r w:rsidR="00B83E2C">
              <w:rPr>
                <w:rFonts w:hint="eastAsia"/>
                <w:sz w:val="18"/>
                <w:szCs w:val="18"/>
              </w:rPr>
              <w:t>科讯</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3A6BA8" w:rsidRPr="007F4645" w:rsidRDefault="00B83E2C" w:rsidP="00DE017A">
            <w:pPr>
              <w:jc w:val="center"/>
              <w:rPr>
                <w:sz w:val="18"/>
                <w:szCs w:val="18"/>
              </w:rPr>
            </w:pPr>
            <w:r>
              <w:rPr>
                <w:rFonts w:hint="eastAsia"/>
                <w:sz w:val="18"/>
                <w:szCs w:val="18"/>
              </w:rPr>
              <w:t>易方达科讯</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3A6BA8" w:rsidRPr="00E921CB" w:rsidRDefault="000C5EA0" w:rsidP="00DE017A">
            <w:pPr>
              <w:widowControl/>
              <w:jc w:val="center"/>
              <w:rPr>
                <w:rFonts w:ascii="宋体" w:hAnsi="宋体" w:cs="宋体"/>
                <w:kern w:val="0"/>
                <w:sz w:val="18"/>
                <w:szCs w:val="18"/>
              </w:rPr>
            </w:pPr>
            <w:r>
              <w:rPr>
                <w:rFonts w:hint="eastAsia"/>
                <w:sz w:val="18"/>
                <w:szCs w:val="18"/>
              </w:rPr>
              <w:t>3</w:t>
            </w:r>
            <w:r w:rsidR="003A6BA8">
              <w:rPr>
                <w:rFonts w:hint="eastAsia"/>
                <w:sz w:val="18"/>
                <w:szCs w:val="18"/>
              </w:rPr>
              <w:t>0%</w:t>
            </w:r>
          </w:p>
        </w:tc>
        <w:tc>
          <w:tcPr>
            <w:tcW w:w="297"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3A6BA8" w:rsidRPr="00460204" w:rsidRDefault="000C5EA0" w:rsidP="00DE017A">
            <w:pPr>
              <w:jc w:val="center"/>
              <w:rPr>
                <w:sz w:val="18"/>
                <w:szCs w:val="18"/>
              </w:rPr>
            </w:pPr>
            <w:r w:rsidRPr="000C5EA0">
              <w:rPr>
                <w:rFonts w:hint="eastAsia"/>
                <w:sz w:val="18"/>
                <w:szCs w:val="18"/>
              </w:rPr>
              <w:t>建</w:t>
            </w:r>
            <w:proofErr w:type="gramStart"/>
            <w:r w:rsidRPr="000C5EA0">
              <w:rPr>
                <w:rFonts w:hint="eastAsia"/>
                <w:sz w:val="18"/>
                <w:szCs w:val="18"/>
              </w:rPr>
              <w:t>信收益</w:t>
            </w:r>
            <w:proofErr w:type="gramEnd"/>
            <w:r w:rsidRPr="000C5EA0">
              <w:rPr>
                <w:rFonts w:hint="eastAsia"/>
                <w:sz w:val="18"/>
                <w:szCs w:val="18"/>
              </w:rPr>
              <w:t>增强</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30%</w:t>
            </w:r>
          </w:p>
        </w:tc>
      </w:tr>
      <w:tr w:rsidR="003A6BA8" w:rsidRPr="00E921CB"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proofErr w:type="gramStart"/>
            <w:r>
              <w:rPr>
                <w:rFonts w:hint="eastAsia"/>
                <w:sz w:val="18"/>
                <w:szCs w:val="18"/>
              </w:rPr>
              <w:t>添富价值</w:t>
            </w:r>
            <w:proofErr w:type="gramEnd"/>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proofErr w:type="gramStart"/>
            <w:r>
              <w:rPr>
                <w:rFonts w:hint="eastAsia"/>
                <w:sz w:val="18"/>
                <w:szCs w:val="18"/>
              </w:rPr>
              <w:t>添富价值</w:t>
            </w:r>
            <w:proofErr w:type="gramEnd"/>
          </w:p>
        </w:tc>
        <w:tc>
          <w:tcPr>
            <w:tcW w:w="393" w:type="pct"/>
            <w:tcBorders>
              <w:top w:val="nil"/>
              <w:left w:val="nil"/>
              <w:bottom w:val="single" w:sz="4" w:space="0" w:color="auto"/>
              <w:right w:val="single" w:sz="4" w:space="0" w:color="auto"/>
            </w:tcBorders>
            <w:shd w:val="clear" w:color="auto" w:fill="auto"/>
            <w:noWrap/>
            <w:vAlign w:val="bottom"/>
          </w:tcPr>
          <w:p w:rsidR="003A6BA8" w:rsidRPr="00E921CB" w:rsidRDefault="003A6BA8" w:rsidP="00DE017A">
            <w:pPr>
              <w:widowControl/>
              <w:jc w:val="center"/>
              <w:rPr>
                <w:rFonts w:ascii="宋体" w:hAnsi="宋体" w:cs="宋体"/>
                <w:kern w:val="0"/>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r w:rsidR="003A6BA8" w:rsidRPr="005B5148"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460204">
              <w:rPr>
                <w:rFonts w:hint="eastAsia"/>
                <w:sz w:val="18"/>
                <w:szCs w:val="18"/>
              </w:rPr>
              <w:t>景</w:t>
            </w:r>
            <w:proofErr w:type="gramStart"/>
            <w:r w:rsidRPr="00460204">
              <w:rPr>
                <w:rFonts w:hint="eastAsia"/>
                <w:sz w:val="18"/>
                <w:szCs w:val="18"/>
              </w:rPr>
              <w:t>顺核心</w:t>
            </w:r>
            <w:proofErr w:type="gramEnd"/>
            <w:r w:rsidRPr="00460204">
              <w:rPr>
                <w:rFonts w:hint="eastAsia"/>
                <w:sz w:val="18"/>
                <w:szCs w:val="18"/>
              </w:rPr>
              <w:t>竞争力</w:t>
            </w:r>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0C5EA0" w:rsidP="00DE017A">
            <w:pPr>
              <w:jc w:val="center"/>
              <w:rPr>
                <w:sz w:val="18"/>
                <w:szCs w:val="18"/>
              </w:rPr>
            </w:pPr>
            <w:r w:rsidRPr="000C5EA0">
              <w:rPr>
                <w:rFonts w:hint="eastAsia"/>
                <w:sz w:val="18"/>
                <w:szCs w:val="18"/>
              </w:rPr>
              <w:t>建</w:t>
            </w:r>
            <w:proofErr w:type="gramStart"/>
            <w:r w:rsidRPr="000C5EA0">
              <w:rPr>
                <w:rFonts w:hint="eastAsia"/>
                <w:sz w:val="18"/>
                <w:szCs w:val="18"/>
              </w:rPr>
              <w:t>信收益</w:t>
            </w:r>
            <w:proofErr w:type="gramEnd"/>
            <w:r w:rsidRPr="000C5EA0">
              <w:rPr>
                <w:rFonts w:hint="eastAsia"/>
                <w:sz w:val="18"/>
                <w:szCs w:val="18"/>
              </w:rPr>
              <w:t>增强</w:t>
            </w:r>
          </w:p>
        </w:tc>
        <w:tc>
          <w:tcPr>
            <w:tcW w:w="393" w:type="pct"/>
            <w:tcBorders>
              <w:top w:val="nil"/>
              <w:left w:val="nil"/>
              <w:bottom w:val="single" w:sz="4" w:space="0" w:color="auto"/>
              <w:right w:val="single" w:sz="4" w:space="0" w:color="auto"/>
            </w:tcBorders>
            <w:shd w:val="clear" w:color="auto" w:fill="auto"/>
            <w:noWrap/>
            <w:vAlign w:val="bottom"/>
          </w:tcPr>
          <w:p w:rsidR="003A6BA8" w:rsidRPr="00460204" w:rsidRDefault="000C5EA0" w:rsidP="00DE017A">
            <w:pPr>
              <w:widowControl/>
              <w:jc w:val="center"/>
              <w:rPr>
                <w:sz w:val="18"/>
                <w:szCs w:val="18"/>
              </w:rPr>
            </w:pPr>
            <w:r>
              <w:rPr>
                <w:rFonts w:hint="eastAsia"/>
                <w:sz w:val="18"/>
                <w:szCs w:val="18"/>
              </w:rPr>
              <w:t>4</w:t>
            </w:r>
            <w:r w:rsidR="003A6BA8">
              <w:rPr>
                <w:rFonts w:hint="eastAsia"/>
                <w:sz w:val="18"/>
                <w:szCs w:val="18"/>
              </w:rPr>
              <w:t>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bl>
    <w:p w:rsidR="009A18F4" w:rsidRDefault="009A18F4" w:rsidP="009A18F4">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756"/>
        <w:gridCol w:w="936"/>
        <w:gridCol w:w="849"/>
        <w:gridCol w:w="1903"/>
        <w:gridCol w:w="1903"/>
      </w:tblGrid>
      <w:tr w:rsidR="009A18F4" w:rsidRPr="002072D1" w:rsidTr="00DE017A">
        <w:trPr>
          <w:trHeight w:val="397"/>
          <w:tblHeader/>
          <w:jc w:val="center"/>
        </w:trPr>
        <w:tc>
          <w:tcPr>
            <w:tcW w:w="0" w:type="auto"/>
            <w:shd w:val="clear" w:color="auto" w:fill="0000FF"/>
            <w:noWrap/>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proofErr w:type="gramStart"/>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roofErr w:type="gramEnd"/>
          </w:p>
        </w:tc>
      </w:tr>
      <w:tr w:rsidR="009A18F4" w:rsidRPr="002072D1" w:rsidTr="00DE017A">
        <w:trPr>
          <w:trHeight w:val="397"/>
          <w:jc w:val="center"/>
        </w:trPr>
        <w:tc>
          <w:tcPr>
            <w:tcW w:w="0" w:type="auto"/>
            <w:shd w:val="clear" w:color="auto" w:fill="auto"/>
            <w:vAlign w:val="center"/>
          </w:tcPr>
          <w:p w:rsidR="009A18F4" w:rsidRPr="00074847" w:rsidRDefault="00B83E2C" w:rsidP="00DE017A">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易方达科讯</w:t>
            </w:r>
          </w:p>
        </w:tc>
        <w:tc>
          <w:tcPr>
            <w:tcW w:w="0" w:type="auto"/>
            <w:shd w:val="clear" w:color="auto" w:fill="auto"/>
            <w:vAlign w:val="center"/>
          </w:tcPr>
          <w:p w:rsidR="009A18F4" w:rsidRPr="00074847" w:rsidRDefault="00B83E2C"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110029</w:t>
            </w:r>
          </w:p>
        </w:tc>
        <w:tc>
          <w:tcPr>
            <w:tcW w:w="0" w:type="auto"/>
            <w:vAlign w:val="center"/>
          </w:tcPr>
          <w:p w:rsidR="009A18F4" w:rsidRPr="00573CAD" w:rsidRDefault="00B83E2C"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混合</w:t>
            </w:r>
            <w:r w:rsidR="009A18F4" w:rsidRPr="00573CAD">
              <w:rPr>
                <w:rFonts w:ascii="楷体_GB2312" w:eastAsia="楷体_GB2312" w:hAnsi="宋体" w:cs="宋体" w:hint="eastAsia"/>
                <w:color w:val="0D0D0D"/>
                <w:kern w:val="0"/>
                <w:sz w:val="18"/>
                <w:szCs w:val="18"/>
              </w:rPr>
              <w:t>型</w:t>
            </w:r>
          </w:p>
        </w:tc>
        <w:tc>
          <w:tcPr>
            <w:tcW w:w="0" w:type="auto"/>
            <w:vAlign w:val="center"/>
          </w:tcPr>
          <w:p w:rsidR="009A18F4" w:rsidRPr="00573CAD" w:rsidRDefault="00B83E2C"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易方达</w:t>
            </w:r>
          </w:p>
        </w:tc>
        <w:tc>
          <w:tcPr>
            <w:tcW w:w="0" w:type="auto"/>
            <w:shd w:val="clear" w:color="auto" w:fill="auto"/>
            <w:vAlign w:val="center"/>
          </w:tcPr>
          <w:p w:rsidR="009A18F4" w:rsidRPr="00B83E2C" w:rsidRDefault="00B83E2C" w:rsidP="00B83E2C">
            <w:pPr>
              <w:keepLines/>
              <w:adjustRightInd w:val="0"/>
              <w:snapToGrid w:val="0"/>
              <w:jc w:val="center"/>
              <w:rPr>
                <w:color w:val="FF0000"/>
                <w:sz w:val="22"/>
                <w:szCs w:val="22"/>
              </w:rPr>
            </w:pPr>
            <w:r w:rsidRPr="00B83E2C">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B83E2C" w:rsidRDefault="00B83E2C" w:rsidP="00B83E2C">
            <w:pPr>
              <w:keepLines/>
              <w:adjustRightInd w:val="0"/>
              <w:snapToGrid w:val="0"/>
              <w:jc w:val="center"/>
              <w:rPr>
                <w:color w:val="FF0000"/>
                <w:sz w:val="22"/>
                <w:szCs w:val="22"/>
              </w:rPr>
            </w:pPr>
            <w:r w:rsidRPr="00B83E2C">
              <w:rPr>
                <w:rFonts w:ascii="楷体_GB2312" w:eastAsia="楷体_GB2312" w:hAnsi="宋体" w:cs="宋体" w:hint="eastAsia"/>
                <w:color w:val="FF0000"/>
                <w:kern w:val="0"/>
                <w:sz w:val="18"/>
                <w:szCs w:val="18"/>
              </w:rPr>
              <w:t>★★★★</w:t>
            </w:r>
          </w:p>
        </w:tc>
      </w:tr>
      <w:tr w:rsidR="00207EB7" w:rsidRPr="002072D1" w:rsidTr="00DE017A">
        <w:trPr>
          <w:trHeight w:val="397"/>
          <w:jc w:val="center"/>
        </w:trPr>
        <w:tc>
          <w:tcPr>
            <w:tcW w:w="0" w:type="auto"/>
            <w:shd w:val="clear" w:color="auto" w:fill="auto"/>
            <w:vAlign w:val="center"/>
          </w:tcPr>
          <w:p w:rsidR="00207EB7" w:rsidRPr="0083054E" w:rsidRDefault="00D14DCB" w:rsidP="00DE017A">
            <w:pPr>
              <w:keepLines/>
              <w:adjustRightInd w:val="0"/>
              <w:snapToGrid w:val="0"/>
              <w:jc w:val="center"/>
              <w:rPr>
                <w:rFonts w:ascii="楷体_GB2312" w:eastAsia="楷体_GB2312" w:hAnsi="宋体" w:cs="宋体"/>
                <w:b/>
                <w:bCs/>
                <w:color w:val="0D0D0D"/>
                <w:kern w:val="0"/>
                <w:sz w:val="18"/>
                <w:szCs w:val="18"/>
              </w:rPr>
            </w:pPr>
            <w:r w:rsidRPr="00460204">
              <w:rPr>
                <w:rFonts w:ascii="楷体_GB2312" w:eastAsia="楷体_GB2312" w:hAnsi="宋体" w:cs="宋体" w:hint="eastAsia"/>
                <w:b/>
                <w:bCs/>
                <w:color w:val="0D0D0D"/>
                <w:kern w:val="0"/>
                <w:sz w:val="18"/>
                <w:szCs w:val="18"/>
              </w:rPr>
              <w:t>景</w:t>
            </w:r>
            <w:proofErr w:type="gramStart"/>
            <w:r w:rsidRPr="00460204">
              <w:rPr>
                <w:rFonts w:ascii="楷体_GB2312" w:eastAsia="楷体_GB2312" w:hAnsi="宋体" w:cs="宋体" w:hint="eastAsia"/>
                <w:b/>
                <w:bCs/>
                <w:color w:val="0D0D0D"/>
                <w:kern w:val="0"/>
                <w:sz w:val="18"/>
                <w:szCs w:val="18"/>
              </w:rPr>
              <w:t>顺核心</w:t>
            </w:r>
            <w:proofErr w:type="gramEnd"/>
            <w:r w:rsidRPr="00460204">
              <w:rPr>
                <w:rFonts w:ascii="楷体_GB2312" w:eastAsia="楷体_GB2312" w:hAnsi="宋体" w:cs="宋体" w:hint="eastAsia"/>
                <w:b/>
                <w:bCs/>
                <w:color w:val="0D0D0D"/>
                <w:kern w:val="0"/>
                <w:sz w:val="18"/>
                <w:szCs w:val="18"/>
              </w:rPr>
              <w:t>竞争力</w:t>
            </w:r>
          </w:p>
        </w:tc>
        <w:tc>
          <w:tcPr>
            <w:tcW w:w="0" w:type="auto"/>
            <w:shd w:val="clear" w:color="auto" w:fill="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sidRPr="00460204">
              <w:rPr>
                <w:rFonts w:ascii="楷体_GB2312" w:eastAsia="楷体_GB2312" w:hAnsi="宋体" w:cs="宋体"/>
                <w:color w:val="0D0D0D"/>
                <w:kern w:val="0"/>
                <w:sz w:val="18"/>
                <w:szCs w:val="18"/>
              </w:rPr>
              <w:t>260116</w:t>
            </w:r>
          </w:p>
        </w:tc>
        <w:tc>
          <w:tcPr>
            <w:tcW w:w="0" w:type="auto"/>
            <w:vAlign w:val="center"/>
          </w:tcPr>
          <w:p w:rsidR="00207EB7" w:rsidRPr="00573CAD"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混合型</w:t>
            </w:r>
          </w:p>
        </w:tc>
        <w:tc>
          <w:tcPr>
            <w:tcW w:w="0" w:type="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景顺</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r>
      <w:tr w:rsidR="009A18F4" w:rsidRPr="002072D1" w:rsidTr="00DE017A">
        <w:trPr>
          <w:trHeight w:val="397"/>
          <w:jc w:val="center"/>
        </w:trPr>
        <w:tc>
          <w:tcPr>
            <w:tcW w:w="0" w:type="auto"/>
            <w:shd w:val="clear" w:color="auto" w:fill="auto"/>
            <w:vAlign w:val="center"/>
          </w:tcPr>
          <w:p w:rsidR="009A18F4" w:rsidRPr="001941AC" w:rsidRDefault="009A18F4" w:rsidP="00DE017A">
            <w:pPr>
              <w:keepLines/>
              <w:adjustRightInd w:val="0"/>
              <w:snapToGrid w:val="0"/>
              <w:jc w:val="center"/>
              <w:rPr>
                <w:rFonts w:ascii="楷体_GB2312" w:eastAsia="楷体_GB2312" w:hAnsi="宋体" w:cs="宋体"/>
                <w:b/>
                <w:bCs/>
                <w:color w:val="0D0D0D"/>
                <w:kern w:val="0"/>
                <w:sz w:val="18"/>
                <w:szCs w:val="18"/>
              </w:rPr>
            </w:pPr>
            <w:proofErr w:type="gramStart"/>
            <w:r>
              <w:rPr>
                <w:rFonts w:ascii="楷体_GB2312" w:eastAsia="楷体_GB2312" w:hAnsi="宋体" w:cs="宋体" w:hint="eastAsia"/>
                <w:b/>
                <w:bCs/>
                <w:color w:val="0D0D0D"/>
                <w:kern w:val="0"/>
                <w:sz w:val="18"/>
                <w:szCs w:val="18"/>
              </w:rPr>
              <w:lastRenderedPageBreak/>
              <w:t>添富价值</w:t>
            </w:r>
            <w:proofErr w:type="gramEnd"/>
          </w:p>
        </w:tc>
        <w:tc>
          <w:tcPr>
            <w:tcW w:w="0" w:type="auto"/>
            <w:shd w:val="clear" w:color="auto" w:fill="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proofErr w:type="gramStart"/>
            <w:r w:rsidRPr="00573CAD">
              <w:rPr>
                <w:rFonts w:ascii="楷体_GB2312" w:eastAsia="楷体_GB2312" w:hAnsi="宋体" w:cs="宋体" w:hint="eastAsia"/>
                <w:color w:val="0D0D0D"/>
                <w:kern w:val="0"/>
                <w:sz w:val="18"/>
                <w:szCs w:val="18"/>
              </w:rPr>
              <w:t>汇添富</w:t>
            </w:r>
            <w:proofErr w:type="gramEnd"/>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D14DCB" w:rsidRPr="002072D1" w:rsidTr="00DB158F">
        <w:trPr>
          <w:trHeight w:val="397"/>
          <w:jc w:val="center"/>
        </w:trPr>
        <w:tc>
          <w:tcPr>
            <w:tcW w:w="0" w:type="auto"/>
            <w:shd w:val="clear" w:color="auto" w:fill="auto"/>
            <w:vAlign w:val="bottom"/>
          </w:tcPr>
          <w:p w:rsidR="00D14DCB" w:rsidRPr="00460204" w:rsidRDefault="00B83E2C" w:rsidP="00DB158F">
            <w:pPr>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建</w:t>
            </w:r>
            <w:proofErr w:type="gramStart"/>
            <w:r>
              <w:rPr>
                <w:rFonts w:ascii="楷体_GB2312" w:eastAsia="楷体_GB2312" w:hAnsi="宋体" w:cs="宋体" w:hint="eastAsia"/>
                <w:b/>
                <w:bCs/>
                <w:color w:val="0D0D0D"/>
                <w:kern w:val="0"/>
                <w:sz w:val="18"/>
                <w:szCs w:val="18"/>
              </w:rPr>
              <w:t>信收益</w:t>
            </w:r>
            <w:proofErr w:type="gramEnd"/>
            <w:r>
              <w:rPr>
                <w:rFonts w:ascii="楷体_GB2312" w:eastAsia="楷体_GB2312" w:hAnsi="宋体" w:cs="宋体" w:hint="eastAsia"/>
                <w:b/>
                <w:bCs/>
                <w:color w:val="0D0D0D"/>
                <w:kern w:val="0"/>
                <w:sz w:val="18"/>
                <w:szCs w:val="18"/>
              </w:rPr>
              <w:t>增强</w:t>
            </w:r>
          </w:p>
        </w:tc>
        <w:tc>
          <w:tcPr>
            <w:tcW w:w="0" w:type="auto"/>
            <w:shd w:val="clear" w:color="auto" w:fill="auto"/>
            <w:vAlign w:val="center"/>
          </w:tcPr>
          <w:p w:rsidR="00D14DCB" w:rsidRPr="001941AC" w:rsidRDefault="00B83E2C"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530009</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D14DCB" w:rsidRPr="001941AC" w:rsidRDefault="000C5EA0"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建信</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9A18F4" w:rsidRDefault="009A18F4" w:rsidP="009A18F4">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9A18F4" w:rsidRPr="00EF6A3A"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组合定位：</w:t>
      </w:r>
    </w:p>
    <w:p w:rsidR="009A18F4" w:rsidRPr="00236C83" w:rsidRDefault="009A18F4" w:rsidP="009925B4">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Pr>
          <w:rFonts w:ascii="楷体_GB2312" w:eastAsia="楷体_GB2312" w:hint="eastAsia"/>
          <w:color w:val="000000"/>
        </w:rPr>
        <w:t>适合风险承受能力较高，缺乏充分时间、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，侧重维持长期充分投资，愿意在承担高风险的基础上追求高收益的投资者，建议</w:t>
      </w:r>
      <w:r>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9A18F4" w:rsidRPr="00236C83" w:rsidRDefault="009A18F4" w:rsidP="009925B4">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Pr>
          <w:rFonts w:ascii="楷体_GB2312" w:eastAsia="楷体_GB2312" w:hint="eastAsia"/>
          <w:color w:val="000000"/>
        </w:rPr>
        <w:t>无</w:t>
      </w:r>
      <w:r w:rsidRPr="00236C83">
        <w:rPr>
          <w:rFonts w:ascii="楷体_GB2312" w:eastAsia="楷体_GB2312" w:hint="eastAsia"/>
          <w:color w:val="000000"/>
        </w:rPr>
        <w:t>家庭负担</w:t>
      </w:r>
      <w:r>
        <w:rPr>
          <w:rFonts w:ascii="楷体_GB2312" w:eastAsia="楷体_GB2312" w:hint="eastAsia"/>
          <w:color w:val="000000"/>
        </w:rPr>
        <w:t>不太高</w:t>
      </w:r>
      <w:r w:rsidRPr="00236C83">
        <w:rPr>
          <w:rFonts w:ascii="楷体_GB2312" w:eastAsia="楷体_GB2312" w:hint="eastAsia"/>
          <w:color w:val="000000"/>
        </w:rPr>
        <w:t>的中等风险偏好者参与。</w:t>
      </w:r>
    </w:p>
    <w:p w:rsidR="009A18F4" w:rsidRDefault="009A18F4" w:rsidP="009925B4">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，侧重维持长期投资，期望在严格控制风险的基础上实现稳健增值</w:t>
      </w:r>
      <w:r>
        <w:rPr>
          <w:rFonts w:ascii="楷体_GB2312" w:eastAsia="楷体_GB2312" w:hint="eastAsia"/>
          <w:color w:val="000000"/>
        </w:rPr>
        <w:t>、并对资产流动性有较高要求</w:t>
      </w:r>
      <w:r w:rsidRPr="00236C83">
        <w:rPr>
          <w:rFonts w:ascii="楷体_GB2312" w:eastAsia="楷体_GB2312" w:hint="eastAsia"/>
          <w:color w:val="000000"/>
        </w:rPr>
        <w:t>的投资者，建议</w:t>
      </w:r>
      <w:r>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9A18F4" w:rsidRPr="00EF6A3A"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9A18F4" w:rsidRDefault="009A18F4" w:rsidP="004840D3">
      <w:pPr>
        <w:spacing w:beforeLines="50"/>
        <w:ind w:leftChars="1350" w:left="2835" w:firstLineChars="202" w:firstLine="426"/>
        <w:rPr>
          <w:rFonts w:ascii="楷体_GB2312" w:eastAsia="楷体_GB2312" w:hAnsi="宋体" w:cs="宋体"/>
          <w:color w:val="000000" w:themeColor="text1"/>
          <w:kern w:val="0"/>
          <w:szCs w:val="21"/>
        </w:rPr>
      </w:pPr>
      <w:proofErr w:type="gramStart"/>
      <w:r w:rsidRPr="000E2698">
        <w:rPr>
          <w:rFonts w:ascii="楷体_GB2312" w:eastAsia="楷体_GB2312" w:hAnsi="宋体" w:cs="宋体" w:hint="eastAsia"/>
          <w:b/>
          <w:color w:val="000000" w:themeColor="text1"/>
          <w:kern w:val="0"/>
          <w:szCs w:val="21"/>
        </w:rPr>
        <w:t>添富价值</w:t>
      </w:r>
      <w:proofErr w:type="gramEnd"/>
      <w:r w:rsidRPr="000E2698">
        <w:rPr>
          <w:rFonts w:ascii="楷体_GB2312" w:eastAsia="楷体_GB2312" w:hAnsi="宋体" w:cs="宋体" w:hint="eastAsia"/>
          <w:b/>
          <w:color w:val="000000" w:themeColor="text1"/>
          <w:kern w:val="0"/>
          <w:szCs w:val="21"/>
        </w:rPr>
        <w:t>：</w:t>
      </w:r>
      <w:r w:rsidRPr="000E2698">
        <w:rPr>
          <w:rFonts w:ascii="楷体_GB2312" w:eastAsia="楷体_GB2312" w:hAnsi="宋体" w:cs="宋体" w:hint="eastAsia"/>
          <w:color w:val="000000" w:themeColor="text1"/>
          <w:kern w:val="0"/>
          <w:szCs w:val="21"/>
        </w:rPr>
        <w:t>该基金保持充分投资，行业结构调整灵活，对市场结构性机会把握能力出色，</w:t>
      </w:r>
      <w:proofErr w:type="gramStart"/>
      <w:r w:rsidRPr="000E2698">
        <w:rPr>
          <w:rFonts w:ascii="楷体_GB2312" w:eastAsia="楷体_GB2312" w:hAnsi="宋体" w:cs="宋体" w:hint="eastAsia"/>
          <w:color w:val="000000" w:themeColor="text1"/>
          <w:kern w:val="0"/>
          <w:szCs w:val="21"/>
        </w:rPr>
        <w:t>选证能力</w:t>
      </w:r>
      <w:proofErr w:type="gramEnd"/>
      <w:r w:rsidRPr="000E2698">
        <w:rPr>
          <w:rFonts w:ascii="楷体_GB2312" w:eastAsia="楷体_GB2312" w:hAnsi="宋体" w:cs="宋体" w:hint="eastAsia"/>
          <w:color w:val="000000" w:themeColor="text1"/>
          <w:kern w:val="0"/>
          <w:szCs w:val="21"/>
        </w:rPr>
        <w:t>和综合评级均获最高五星评级。基金经理稳定，投资风格和策略延续性强，历史管理绩效出色且稳定性强。</w:t>
      </w:r>
    </w:p>
    <w:p w:rsidR="00460204" w:rsidRPr="00B83E2C" w:rsidRDefault="00460204" w:rsidP="004840D3">
      <w:pPr>
        <w:spacing w:beforeLines="50"/>
        <w:ind w:leftChars="1350" w:left="2835" w:firstLineChars="202" w:firstLine="426"/>
        <w:rPr>
          <w:rFonts w:ascii="楷体_GB2312" w:eastAsia="楷体_GB2312" w:hAnsi="宋体" w:cs="宋体"/>
          <w:color w:val="000000" w:themeColor="text1"/>
          <w:kern w:val="0"/>
          <w:szCs w:val="21"/>
        </w:rPr>
      </w:pPr>
      <w:r w:rsidRPr="00B1089A">
        <w:rPr>
          <w:rFonts w:ascii="楷体_GB2312" w:eastAsia="楷体_GB2312" w:hAnsi="宋体" w:cs="宋体" w:hint="eastAsia"/>
          <w:b/>
          <w:color w:val="000000" w:themeColor="text1"/>
          <w:kern w:val="0"/>
          <w:szCs w:val="21"/>
        </w:rPr>
        <w:t>景</w:t>
      </w:r>
      <w:proofErr w:type="gramStart"/>
      <w:r w:rsidRPr="00B1089A">
        <w:rPr>
          <w:rFonts w:ascii="楷体_GB2312" w:eastAsia="楷体_GB2312" w:hAnsi="宋体" w:cs="宋体" w:hint="eastAsia"/>
          <w:b/>
          <w:color w:val="000000" w:themeColor="text1"/>
          <w:kern w:val="0"/>
          <w:szCs w:val="21"/>
        </w:rPr>
        <w:t>顺</w:t>
      </w:r>
      <w:r w:rsidRPr="00D206D3">
        <w:rPr>
          <w:rFonts w:ascii="楷体_GB2312" w:eastAsia="楷体_GB2312" w:hAnsi="宋体" w:cs="宋体" w:hint="eastAsia"/>
          <w:b/>
          <w:color w:val="000000" w:themeColor="text1"/>
          <w:kern w:val="0"/>
          <w:szCs w:val="21"/>
        </w:rPr>
        <w:t>核心</w:t>
      </w:r>
      <w:proofErr w:type="gramEnd"/>
      <w:r w:rsidRPr="00D206D3">
        <w:rPr>
          <w:rFonts w:ascii="楷体_GB2312" w:eastAsia="楷体_GB2312" w:hAnsi="宋体" w:cs="宋体" w:hint="eastAsia"/>
          <w:b/>
          <w:color w:val="000000" w:themeColor="text1"/>
          <w:kern w:val="0"/>
          <w:szCs w:val="21"/>
        </w:rPr>
        <w:t>竞争力：</w:t>
      </w:r>
      <w:r w:rsidRPr="00B83E2C">
        <w:rPr>
          <w:rFonts w:ascii="楷体_GB2312" w:eastAsia="楷体_GB2312" w:hAnsi="宋体" w:cs="宋体" w:hint="eastAsia"/>
          <w:color w:val="000000" w:themeColor="text1"/>
          <w:kern w:val="0"/>
          <w:szCs w:val="21"/>
        </w:rPr>
        <w:t>基金</w:t>
      </w:r>
      <w:r w:rsidR="00495AC4" w:rsidRPr="00B83E2C">
        <w:rPr>
          <w:rFonts w:ascii="楷体_GB2312" w:eastAsia="楷体_GB2312" w:hAnsi="宋体" w:cs="宋体" w:hint="eastAsia"/>
          <w:color w:val="000000" w:themeColor="text1"/>
          <w:kern w:val="0"/>
          <w:szCs w:val="21"/>
        </w:rPr>
        <w:t>选</w:t>
      </w:r>
      <w:proofErr w:type="gramStart"/>
      <w:r w:rsidR="00495AC4" w:rsidRPr="00B83E2C">
        <w:rPr>
          <w:rFonts w:ascii="楷体_GB2312" w:eastAsia="楷体_GB2312" w:hAnsi="宋体" w:cs="宋体" w:hint="eastAsia"/>
          <w:color w:val="000000" w:themeColor="text1"/>
          <w:kern w:val="0"/>
          <w:szCs w:val="21"/>
        </w:rPr>
        <w:t>股能力</w:t>
      </w:r>
      <w:proofErr w:type="gramEnd"/>
      <w:r w:rsidR="00495AC4" w:rsidRPr="00B83E2C">
        <w:rPr>
          <w:rFonts w:ascii="楷体_GB2312" w:eastAsia="楷体_GB2312" w:hAnsi="宋体" w:cs="宋体" w:hint="eastAsia"/>
          <w:color w:val="000000" w:themeColor="text1"/>
          <w:kern w:val="0"/>
          <w:szCs w:val="21"/>
        </w:rPr>
        <w:t>出众，善于挖掘新兴板块优势个股，曾在2012年、2013年、2014年的震荡行情中取得出色业绩，</w:t>
      </w:r>
      <w:r w:rsidR="004838BB" w:rsidRPr="00B83E2C">
        <w:rPr>
          <w:rFonts w:ascii="楷体_GB2312" w:eastAsia="楷体_GB2312" w:hAnsi="宋体" w:cs="宋体" w:hint="eastAsia"/>
          <w:color w:val="000000" w:themeColor="text1"/>
          <w:kern w:val="0"/>
          <w:szCs w:val="21"/>
        </w:rPr>
        <w:t>基金经理稳定，有利于业绩的延续。</w:t>
      </w:r>
    </w:p>
    <w:p w:rsidR="00396400" w:rsidRPr="00B83E2C" w:rsidRDefault="00B83E2C" w:rsidP="004840D3">
      <w:pPr>
        <w:spacing w:beforeLines="50"/>
        <w:ind w:leftChars="1350" w:left="2835" w:firstLineChars="202" w:firstLine="426"/>
        <w:rPr>
          <w:rFonts w:ascii="楷体_GB2312" w:eastAsia="楷体_GB2312" w:hAnsi="宋体" w:cs="宋体"/>
          <w:color w:val="000000" w:themeColor="text1"/>
          <w:kern w:val="0"/>
          <w:szCs w:val="21"/>
        </w:rPr>
      </w:pPr>
      <w:r w:rsidRPr="00B83E2C">
        <w:rPr>
          <w:rFonts w:ascii="楷体_GB2312" w:eastAsia="楷体_GB2312" w:hAnsi="宋体" w:cs="宋体" w:hint="eastAsia"/>
          <w:b/>
          <w:color w:val="000000" w:themeColor="text1"/>
          <w:kern w:val="0"/>
          <w:szCs w:val="21"/>
        </w:rPr>
        <w:t>易方达科讯</w:t>
      </w:r>
      <w:r w:rsidR="00B1089A" w:rsidRPr="00B83E2C">
        <w:rPr>
          <w:rFonts w:ascii="楷体_GB2312" w:eastAsia="楷体_GB2312" w:hAnsi="宋体" w:cs="宋体" w:hint="eastAsia"/>
          <w:b/>
          <w:color w:val="000000" w:themeColor="text1"/>
          <w:kern w:val="0"/>
          <w:szCs w:val="21"/>
        </w:rPr>
        <w:t>：</w:t>
      </w:r>
      <w:r w:rsidR="00396400" w:rsidRPr="00396400">
        <w:rPr>
          <w:rFonts w:ascii="楷体_GB2312" w:eastAsia="楷体_GB2312" w:hAnsi="宋体" w:cs="宋体" w:hint="eastAsia"/>
          <w:color w:val="000000" w:themeColor="text1"/>
          <w:kern w:val="0"/>
          <w:szCs w:val="21"/>
        </w:rPr>
        <w:t>易方达科讯投资风格侧重中小盘，</w:t>
      </w:r>
      <w:r w:rsidR="00396400">
        <w:rPr>
          <w:rFonts w:ascii="楷体_GB2312" w:eastAsia="楷体_GB2312" w:hAnsi="宋体" w:cs="宋体" w:hint="eastAsia"/>
          <w:color w:val="000000" w:themeColor="text1"/>
          <w:kern w:val="0"/>
          <w:szCs w:val="21"/>
        </w:rPr>
        <w:t>基金经理稳定，近期反弹行情中由于其出色</w:t>
      </w:r>
      <w:proofErr w:type="gramStart"/>
      <w:r w:rsidR="00396400">
        <w:rPr>
          <w:rFonts w:ascii="楷体_GB2312" w:eastAsia="楷体_GB2312" w:hAnsi="宋体" w:cs="宋体" w:hint="eastAsia"/>
          <w:color w:val="000000" w:themeColor="text1"/>
          <w:kern w:val="0"/>
          <w:szCs w:val="21"/>
        </w:rPr>
        <w:t>的选证能力</w:t>
      </w:r>
      <w:proofErr w:type="gramEnd"/>
      <w:r w:rsidR="00396400">
        <w:rPr>
          <w:rFonts w:ascii="楷体_GB2312" w:eastAsia="楷体_GB2312" w:hAnsi="宋体" w:cs="宋体" w:hint="eastAsia"/>
          <w:color w:val="000000" w:themeColor="text1"/>
          <w:kern w:val="0"/>
          <w:szCs w:val="21"/>
        </w:rPr>
        <w:t>，业绩出众。</w:t>
      </w:r>
      <w:r w:rsidR="000C5EA0">
        <w:rPr>
          <w:rFonts w:ascii="楷体_GB2312" w:eastAsia="楷体_GB2312" w:hAnsi="宋体" w:cs="宋体" w:hint="eastAsia"/>
          <w:color w:val="000000" w:themeColor="text1"/>
          <w:kern w:val="0"/>
          <w:szCs w:val="21"/>
        </w:rPr>
        <w:t>近期</w:t>
      </w:r>
      <w:r w:rsidR="00396400" w:rsidRPr="00B83E2C">
        <w:rPr>
          <w:rFonts w:ascii="楷体_GB2312" w:eastAsia="楷体_GB2312" w:hAnsi="宋体" w:cs="宋体" w:hint="eastAsia"/>
          <w:color w:val="000000" w:themeColor="text1"/>
          <w:kern w:val="0"/>
          <w:szCs w:val="21"/>
        </w:rPr>
        <w:t>基金配置</w:t>
      </w:r>
      <w:r w:rsidR="000C5EA0">
        <w:rPr>
          <w:rFonts w:ascii="楷体_GB2312" w:eastAsia="楷体_GB2312" w:hAnsi="宋体" w:cs="宋体" w:hint="eastAsia"/>
          <w:color w:val="000000" w:themeColor="text1"/>
          <w:kern w:val="0"/>
          <w:szCs w:val="21"/>
        </w:rPr>
        <w:t>加大</w:t>
      </w:r>
      <w:r w:rsidR="00396400">
        <w:rPr>
          <w:rFonts w:ascii="楷体_GB2312" w:eastAsia="楷体_GB2312" w:hAnsi="宋体" w:cs="宋体" w:hint="eastAsia"/>
          <w:color w:val="000000" w:themeColor="text1"/>
          <w:kern w:val="0"/>
          <w:szCs w:val="21"/>
        </w:rPr>
        <w:t>医疗</w:t>
      </w:r>
      <w:r w:rsidR="000C5EA0">
        <w:rPr>
          <w:rFonts w:ascii="楷体_GB2312" w:eastAsia="楷体_GB2312" w:hAnsi="宋体" w:cs="宋体" w:hint="eastAsia"/>
          <w:color w:val="000000" w:themeColor="text1"/>
          <w:kern w:val="0"/>
          <w:szCs w:val="21"/>
        </w:rPr>
        <w:t>生物的</w:t>
      </w:r>
      <w:r w:rsidR="009925B4">
        <w:rPr>
          <w:rFonts w:ascii="楷体_GB2312" w:eastAsia="楷体_GB2312" w:hAnsi="宋体" w:cs="宋体" w:hint="eastAsia"/>
          <w:color w:val="000000" w:themeColor="text1"/>
          <w:kern w:val="0"/>
          <w:szCs w:val="21"/>
        </w:rPr>
        <w:t>比例</w:t>
      </w:r>
      <w:r w:rsidR="00396400" w:rsidRPr="00B83E2C">
        <w:rPr>
          <w:rFonts w:ascii="楷体_GB2312" w:eastAsia="楷体_GB2312" w:hAnsi="宋体" w:cs="宋体" w:hint="eastAsia"/>
          <w:color w:val="000000" w:themeColor="text1"/>
          <w:kern w:val="0"/>
          <w:szCs w:val="21"/>
        </w:rPr>
        <w:t>，在一定程度上符合投资策略方向。</w:t>
      </w:r>
    </w:p>
    <w:p w:rsidR="009A18F4" w:rsidRPr="00A46E4C" w:rsidRDefault="00B83E2C" w:rsidP="004840D3">
      <w:pPr>
        <w:spacing w:beforeLines="50"/>
        <w:ind w:leftChars="1350" w:left="2835" w:firstLineChars="202" w:firstLine="426"/>
        <w:rPr>
          <w:rFonts w:ascii="楷体_GB2312" w:eastAsia="楷体_GB2312" w:hAnsi="宋体" w:cs="宋体"/>
          <w:color w:val="000000" w:themeColor="text1"/>
          <w:kern w:val="0"/>
          <w:szCs w:val="21"/>
        </w:rPr>
      </w:pPr>
      <w:r w:rsidRPr="00B83E2C">
        <w:rPr>
          <w:rFonts w:ascii="楷体_GB2312" w:eastAsia="楷体_GB2312" w:hAnsi="宋体" w:cs="宋体" w:hint="eastAsia"/>
          <w:b/>
          <w:color w:val="000000" w:themeColor="text1"/>
          <w:kern w:val="0"/>
          <w:szCs w:val="21"/>
        </w:rPr>
        <w:t>建</w:t>
      </w:r>
      <w:proofErr w:type="gramStart"/>
      <w:r w:rsidRPr="00B83E2C">
        <w:rPr>
          <w:rFonts w:ascii="楷体_GB2312" w:eastAsia="楷体_GB2312" w:hAnsi="宋体" w:cs="宋体" w:hint="eastAsia"/>
          <w:b/>
          <w:color w:val="000000" w:themeColor="text1"/>
          <w:kern w:val="0"/>
          <w:szCs w:val="21"/>
        </w:rPr>
        <w:t>信收益</w:t>
      </w:r>
      <w:proofErr w:type="gramEnd"/>
      <w:r w:rsidRPr="00B83E2C">
        <w:rPr>
          <w:rFonts w:ascii="楷体_GB2312" w:eastAsia="楷体_GB2312" w:hAnsi="宋体" w:cs="宋体" w:hint="eastAsia"/>
          <w:b/>
          <w:color w:val="000000" w:themeColor="text1"/>
          <w:kern w:val="0"/>
          <w:szCs w:val="21"/>
        </w:rPr>
        <w:t>增强</w:t>
      </w:r>
      <w:r w:rsidR="009A18F4" w:rsidRPr="00B83E2C">
        <w:rPr>
          <w:rFonts w:ascii="楷体_GB2312" w:eastAsia="楷体_GB2312" w:hAnsi="宋体" w:cs="宋体" w:hint="eastAsia"/>
          <w:color w:val="000000" w:themeColor="text1"/>
          <w:kern w:val="0"/>
          <w:szCs w:val="21"/>
        </w:rPr>
        <w:t>：该基金</w:t>
      </w:r>
      <w:r w:rsidR="00BB7764" w:rsidRPr="00B83E2C">
        <w:rPr>
          <w:rFonts w:ascii="楷体_GB2312" w:eastAsia="楷体_GB2312" w:hAnsi="宋体" w:cs="宋体" w:hint="eastAsia"/>
          <w:color w:val="000000" w:themeColor="text1"/>
          <w:kern w:val="0"/>
          <w:szCs w:val="21"/>
        </w:rPr>
        <w:t>谨慎</w:t>
      </w:r>
      <w:r w:rsidR="00396400">
        <w:rPr>
          <w:rFonts w:ascii="楷体_GB2312" w:eastAsia="楷体_GB2312" w:hAnsi="宋体" w:cs="宋体" w:hint="eastAsia"/>
          <w:color w:val="000000" w:themeColor="text1"/>
          <w:kern w:val="0"/>
          <w:szCs w:val="21"/>
        </w:rPr>
        <w:t>使用</w:t>
      </w:r>
      <w:r w:rsidR="00396400" w:rsidRPr="00396400">
        <w:rPr>
          <w:rFonts w:ascii="楷体_GB2312" w:eastAsia="楷体_GB2312" w:hAnsi="宋体" w:cs="宋体" w:hint="eastAsia"/>
          <w:color w:val="000000" w:themeColor="text1"/>
          <w:kern w:val="0"/>
          <w:szCs w:val="21"/>
        </w:rPr>
        <w:t>杠杆</w:t>
      </w:r>
      <w:r w:rsidR="009A18F4" w:rsidRPr="00396400">
        <w:rPr>
          <w:rFonts w:ascii="楷体_GB2312" w:eastAsia="楷体_GB2312" w:hAnsi="宋体" w:cs="宋体" w:hint="eastAsia"/>
          <w:color w:val="000000" w:themeColor="text1"/>
          <w:kern w:val="0"/>
          <w:szCs w:val="21"/>
        </w:rPr>
        <w:t>，</w:t>
      </w:r>
      <w:r w:rsidR="00BB7764" w:rsidRPr="000C5EA0">
        <w:rPr>
          <w:rFonts w:ascii="楷体_GB2312" w:eastAsia="楷体_GB2312" w:hAnsi="宋体" w:cs="宋体" w:hint="eastAsia"/>
          <w:color w:val="000000" w:themeColor="text1"/>
          <w:kern w:val="0"/>
          <w:szCs w:val="21"/>
        </w:rPr>
        <w:t>侧重配置企业债和金融债，</w:t>
      </w:r>
      <w:r w:rsidR="000C5EA0">
        <w:rPr>
          <w:rFonts w:ascii="楷体_GB2312" w:eastAsia="楷体_GB2312" w:hAnsi="宋体" w:cs="宋体" w:hint="eastAsia"/>
          <w:color w:val="000000" w:themeColor="text1"/>
          <w:kern w:val="0"/>
          <w:szCs w:val="21"/>
        </w:rPr>
        <w:t>近期加大了金融债的投资比重，</w:t>
      </w:r>
      <w:r w:rsidR="00BB7764" w:rsidRPr="000C5EA0">
        <w:rPr>
          <w:rFonts w:ascii="楷体_GB2312" w:eastAsia="楷体_GB2312" w:hAnsi="宋体" w:cs="宋体" w:hint="eastAsia"/>
          <w:color w:val="000000" w:themeColor="text1"/>
          <w:kern w:val="0"/>
          <w:szCs w:val="21"/>
        </w:rPr>
        <w:t>投资风格延续性强</w:t>
      </w:r>
      <w:r w:rsidR="000C5EA0">
        <w:rPr>
          <w:rFonts w:ascii="楷体_GB2312" w:eastAsia="楷体_GB2312" w:hAnsi="宋体" w:cs="宋体" w:hint="eastAsia"/>
          <w:color w:val="000000" w:themeColor="text1"/>
          <w:kern w:val="0"/>
          <w:szCs w:val="21"/>
        </w:rPr>
        <w:t>，</w:t>
      </w:r>
      <w:r w:rsidR="00B1089A" w:rsidRPr="000C5EA0">
        <w:rPr>
          <w:rFonts w:ascii="楷体_GB2312" w:eastAsia="楷体_GB2312" w:hAnsi="宋体" w:cs="宋体" w:hint="eastAsia"/>
          <w:color w:val="000000" w:themeColor="text1"/>
          <w:kern w:val="0"/>
          <w:szCs w:val="21"/>
        </w:rPr>
        <w:t>业绩持续稳定，在同业内排名靠前</w:t>
      </w:r>
      <w:r w:rsidR="009A18F4" w:rsidRPr="000C5EA0">
        <w:rPr>
          <w:rFonts w:ascii="楷体_GB2312" w:eastAsia="楷体_GB2312" w:hAnsi="宋体" w:cs="宋体" w:hint="eastAsia"/>
          <w:color w:val="000000" w:themeColor="text1"/>
          <w:kern w:val="0"/>
          <w:szCs w:val="21"/>
        </w:rPr>
        <w:t>，其良好获益能力有望得以延续。</w:t>
      </w:r>
    </w:p>
    <w:p w:rsidR="009A18F4" w:rsidRPr="000E2698" w:rsidRDefault="009A18F4" w:rsidP="004840D3">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04年4月，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sidR="000C502F">
        <w:rPr>
          <w:rFonts w:ascii="楷体_GB2312" w:eastAsia="楷体_GB2312" w:hAnsi="宋体" w:cs="宋体" w:hint="eastAsia"/>
          <w:color w:val="000000" w:themeColor="text1"/>
          <w:kern w:val="0"/>
          <w:szCs w:val="21"/>
        </w:rPr>
        <w:t>二</w:t>
      </w:r>
      <w:r>
        <w:rPr>
          <w:rFonts w:ascii="楷体_GB2312" w:eastAsia="楷体_GB2312" w:hAnsi="宋体" w:cs="宋体" w:hint="eastAsia"/>
          <w:color w:val="000000" w:themeColor="text1"/>
          <w:kern w:val="0"/>
          <w:szCs w:val="21"/>
        </w:rPr>
        <w:t>季度</w:t>
      </w:r>
      <w:r w:rsidRPr="004474F8">
        <w:rPr>
          <w:rFonts w:ascii="楷体_GB2312" w:eastAsia="楷体_GB2312" w:hAnsi="宋体" w:cs="宋体" w:hint="eastAsia"/>
          <w:color w:val="000000" w:themeColor="text1"/>
          <w:kern w:val="0"/>
          <w:szCs w:val="21"/>
        </w:rPr>
        <w:t>末基金份额合计</w:t>
      </w:r>
      <w:r w:rsidR="000C502F" w:rsidRPr="000C502F">
        <w:rPr>
          <w:rFonts w:ascii="楷体_GB2312" w:eastAsia="楷体_GB2312" w:hAnsi="宋体" w:cs="宋体" w:hint="eastAsia"/>
          <w:color w:val="000000" w:themeColor="text1"/>
          <w:kern w:val="0"/>
          <w:szCs w:val="21"/>
        </w:rPr>
        <w:t>772.41</w:t>
      </w:r>
      <w:r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9A18F4" w:rsidRPr="000E2698" w:rsidRDefault="009A18F4" w:rsidP="004840D3">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05年5月，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sidR="000C502F">
        <w:rPr>
          <w:rFonts w:ascii="楷体_GB2312" w:eastAsia="楷体_GB2312" w:hAnsi="宋体" w:cs="宋体" w:hint="eastAsia"/>
          <w:color w:val="000000" w:themeColor="text1"/>
          <w:kern w:val="0"/>
          <w:szCs w:val="21"/>
        </w:rPr>
        <w:t>二</w:t>
      </w:r>
      <w:r>
        <w:rPr>
          <w:rFonts w:ascii="楷体_GB2312" w:eastAsia="楷体_GB2312" w:hAnsi="宋体" w:cs="宋体" w:hint="eastAsia"/>
          <w:color w:val="000000" w:themeColor="text1"/>
          <w:kern w:val="0"/>
          <w:szCs w:val="21"/>
        </w:rPr>
        <w:t>季度</w:t>
      </w:r>
      <w:r w:rsidRPr="004474F8">
        <w:rPr>
          <w:rFonts w:ascii="楷体_GB2312" w:eastAsia="楷体_GB2312" w:hAnsi="宋体" w:cs="宋体" w:hint="eastAsia"/>
          <w:color w:val="000000" w:themeColor="text1"/>
          <w:kern w:val="0"/>
          <w:szCs w:val="21"/>
        </w:rPr>
        <w:t>末</w:t>
      </w:r>
      <w:r w:rsidRPr="000E2698">
        <w:rPr>
          <w:rFonts w:ascii="楷体_GB2312" w:eastAsia="楷体_GB2312" w:hAnsi="宋体" w:cs="宋体" w:hint="eastAsia"/>
          <w:color w:val="000000" w:themeColor="text1"/>
          <w:kern w:val="0"/>
          <w:szCs w:val="21"/>
        </w:rPr>
        <w:t>基金A、B份额合计</w:t>
      </w:r>
      <w:r w:rsidR="000C502F" w:rsidRPr="000C502F">
        <w:rPr>
          <w:rFonts w:ascii="楷体_GB2312" w:eastAsia="楷体_GB2312" w:hAnsi="宋体" w:cs="宋体"/>
          <w:color w:val="000000" w:themeColor="text1"/>
          <w:kern w:val="0"/>
          <w:szCs w:val="21"/>
        </w:rPr>
        <w:t>653.57</w:t>
      </w:r>
      <w:r w:rsidRPr="004474F8">
        <w:rPr>
          <w:rFonts w:ascii="楷体_GB2312" w:eastAsia="楷体_GB2312" w:hAnsi="宋体" w:cs="宋体" w:hint="eastAsia"/>
          <w:color w:val="000000" w:themeColor="text1"/>
          <w:kern w:val="0"/>
          <w:szCs w:val="21"/>
        </w:rPr>
        <w:t>亿份</w:t>
      </w:r>
      <w:r>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w:t>
      </w:r>
      <w:r>
        <w:rPr>
          <w:rFonts w:ascii="楷体_GB2312" w:eastAsia="楷体_GB2312" w:hAnsi="宋体" w:cs="宋体" w:hint="eastAsia"/>
          <w:color w:val="000000" w:themeColor="text1"/>
          <w:kern w:val="0"/>
          <w:szCs w:val="21"/>
        </w:rPr>
        <w:t>。基金</w:t>
      </w:r>
      <w:r w:rsidRPr="000E2698">
        <w:rPr>
          <w:rFonts w:ascii="楷体_GB2312" w:eastAsia="楷体_GB2312" w:hAnsi="宋体" w:cs="宋体" w:hint="eastAsia"/>
          <w:color w:val="000000" w:themeColor="text1"/>
          <w:kern w:val="0"/>
          <w:szCs w:val="21"/>
        </w:rPr>
        <w:t>历史管理业绩优秀，</w:t>
      </w:r>
      <w:r>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9A18F4" w:rsidRPr="00715274" w:rsidRDefault="009A18F4" w:rsidP="009A18F4">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Pr="00715274">
        <w:rPr>
          <w:rFonts w:ascii="黑体" w:eastAsia="黑体" w:hAnsi="宋体-18030" w:cs="宋体-18030" w:hint="eastAsia"/>
          <w:b/>
          <w:bCs/>
          <w:color w:val="000000"/>
          <w:kern w:val="44"/>
          <w:sz w:val="28"/>
          <w:szCs w:val="28"/>
        </w:rPr>
        <w:t>市场回顾</w:t>
      </w:r>
    </w:p>
    <w:p w:rsidR="009A18F4" w:rsidRPr="005E4592"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8B4B20" w:rsidRPr="008B4B20">
        <w:rPr>
          <w:rFonts w:ascii="黑体" w:eastAsia="黑体" w:hAnsi="宋体-18030" w:cs="宋体-18030" w:hint="eastAsia"/>
          <w:b/>
          <w:bCs/>
          <w:color w:val="003366"/>
          <w:kern w:val="44"/>
          <w:sz w:val="24"/>
        </w:rPr>
        <w:t>观望情绪渐退，风险偏好提升</w:t>
      </w:r>
    </w:p>
    <w:p w:rsidR="009A18F4" w:rsidRDefault="00287248"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经历了9月徘徊震荡期，</w:t>
      </w:r>
      <w:r w:rsidR="008B4B20">
        <w:rPr>
          <w:rFonts w:ascii="楷体_GB2312" w:eastAsia="楷体_GB2312" w:hAnsi="宋体" w:cs="宋体" w:hint="eastAsia"/>
          <w:kern w:val="0"/>
          <w:szCs w:val="21"/>
        </w:rPr>
        <w:t>10月在海内外正能量增多的背景下，</w:t>
      </w:r>
      <w:r>
        <w:rPr>
          <w:rFonts w:ascii="楷体_GB2312" w:eastAsia="楷体_GB2312" w:hAnsi="宋体" w:cs="宋体" w:hint="eastAsia"/>
          <w:kern w:val="0"/>
          <w:szCs w:val="21"/>
        </w:rPr>
        <w:t>市场观望</w:t>
      </w:r>
      <w:r w:rsidR="008B4B20">
        <w:rPr>
          <w:rFonts w:ascii="楷体_GB2312" w:eastAsia="楷体_GB2312" w:hAnsi="宋体" w:cs="宋体" w:hint="eastAsia"/>
          <w:kern w:val="0"/>
          <w:szCs w:val="21"/>
        </w:rPr>
        <w:t>情绪渐退，货币宽松刺激风险偏好提升</w:t>
      </w:r>
      <w:r w:rsidR="005E2CA8">
        <w:rPr>
          <w:rFonts w:ascii="楷体_GB2312" w:eastAsia="楷体_GB2312" w:hAnsi="宋体" w:cs="宋体" w:hint="eastAsia"/>
          <w:kern w:val="0"/>
          <w:szCs w:val="21"/>
        </w:rPr>
        <w:t>，</w:t>
      </w:r>
      <w:r w:rsidR="008B4B20">
        <w:rPr>
          <w:rFonts w:ascii="楷体_GB2312" w:eastAsia="楷体_GB2312" w:hAnsi="宋体" w:cs="宋体" w:hint="eastAsia"/>
          <w:kern w:val="0"/>
          <w:szCs w:val="21"/>
        </w:rPr>
        <w:t>使得</w:t>
      </w:r>
      <w:r w:rsidR="005E2CA8">
        <w:rPr>
          <w:rFonts w:ascii="楷体_GB2312" w:eastAsia="楷体_GB2312" w:hAnsi="宋体" w:cs="宋体" w:hint="eastAsia"/>
          <w:kern w:val="0"/>
          <w:szCs w:val="21"/>
        </w:rPr>
        <w:t>市场进入</w:t>
      </w:r>
      <w:r w:rsidR="008B4B20">
        <w:rPr>
          <w:rFonts w:ascii="楷体_GB2312" w:eastAsia="楷体_GB2312" w:hAnsi="宋体" w:cs="宋体" w:hint="eastAsia"/>
          <w:kern w:val="0"/>
          <w:szCs w:val="21"/>
        </w:rPr>
        <w:t>局部反弹</w:t>
      </w:r>
      <w:r w:rsidR="005E2CA8">
        <w:rPr>
          <w:rFonts w:ascii="楷体_GB2312" w:eastAsia="楷体_GB2312" w:hAnsi="宋体" w:cs="宋体" w:hint="eastAsia"/>
          <w:kern w:val="0"/>
          <w:szCs w:val="21"/>
        </w:rPr>
        <w:t>期</w:t>
      </w:r>
      <w:r w:rsidR="008B4B20">
        <w:rPr>
          <w:rFonts w:ascii="楷体_GB2312" w:eastAsia="楷体_GB2312" w:hAnsi="宋体" w:cs="宋体" w:hint="eastAsia"/>
          <w:kern w:val="0"/>
          <w:szCs w:val="21"/>
        </w:rPr>
        <w:t>，市场活跃度提高。</w:t>
      </w:r>
      <w:r w:rsidR="005E2CA8">
        <w:rPr>
          <w:rFonts w:ascii="楷体_GB2312" w:eastAsia="楷体_GB2312" w:hAnsi="宋体" w:cs="宋体" w:hint="eastAsia"/>
          <w:kern w:val="0"/>
          <w:szCs w:val="21"/>
        </w:rPr>
        <w:t>但多空两方</w:t>
      </w:r>
      <w:r w:rsidR="008B4B20">
        <w:rPr>
          <w:rFonts w:ascii="楷体_GB2312" w:eastAsia="楷体_GB2312" w:hAnsi="宋体" w:cs="宋体" w:hint="eastAsia"/>
          <w:kern w:val="0"/>
          <w:szCs w:val="21"/>
        </w:rPr>
        <w:t>对后续走势仍存不确定性</w:t>
      </w:r>
      <w:r w:rsidR="005E2CA8">
        <w:rPr>
          <w:rFonts w:ascii="楷体_GB2312" w:eastAsia="楷体_GB2312" w:hAnsi="宋体" w:cs="宋体" w:hint="eastAsia"/>
          <w:kern w:val="0"/>
          <w:szCs w:val="21"/>
        </w:rPr>
        <w:t>，两市日振幅</w:t>
      </w:r>
      <w:r w:rsidR="008B4B20">
        <w:rPr>
          <w:rFonts w:ascii="楷体_GB2312" w:eastAsia="楷体_GB2312" w:hAnsi="宋体" w:cs="宋体" w:hint="eastAsia"/>
          <w:kern w:val="0"/>
          <w:szCs w:val="21"/>
        </w:rPr>
        <w:t>依然</w:t>
      </w:r>
      <w:r w:rsidR="005E2CA8">
        <w:rPr>
          <w:rFonts w:ascii="楷体_GB2312" w:eastAsia="楷体_GB2312" w:hAnsi="宋体" w:cs="宋体" w:hint="eastAsia"/>
          <w:kern w:val="0"/>
          <w:szCs w:val="21"/>
        </w:rPr>
        <w:t>维持高位。</w:t>
      </w:r>
      <w:r w:rsidR="009A18F4">
        <w:rPr>
          <w:rFonts w:ascii="楷体_GB2312" w:eastAsia="楷体_GB2312" w:hAnsi="宋体" w:cs="宋体" w:hint="eastAsia"/>
          <w:kern w:val="0"/>
          <w:szCs w:val="21"/>
        </w:rPr>
        <w:t>截至</w:t>
      </w:r>
      <w:r w:rsidR="008B4B20">
        <w:rPr>
          <w:rFonts w:ascii="楷体_GB2312" w:eastAsia="楷体_GB2312" w:hAnsi="宋体" w:cs="宋体" w:hint="eastAsia"/>
          <w:kern w:val="0"/>
          <w:szCs w:val="21"/>
        </w:rPr>
        <w:t>10</w:t>
      </w:r>
      <w:r w:rsidR="009A18F4">
        <w:rPr>
          <w:rFonts w:ascii="楷体_GB2312" w:eastAsia="楷体_GB2312" w:hAnsi="宋体" w:cs="宋体" w:hint="eastAsia"/>
          <w:kern w:val="0"/>
          <w:szCs w:val="21"/>
        </w:rPr>
        <w:t>月</w:t>
      </w:r>
      <w:r w:rsidR="005E2CA8">
        <w:rPr>
          <w:rFonts w:ascii="楷体_GB2312" w:eastAsia="楷体_GB2312" w:hAnsi="宋体" w:cs="宋体" w:hint="eastAsia"/>
          <w:kern w:val="0"/>
          <w:szCs w:val="21"/>
        </w:rPr>
        <w:t>2</w:t>
      </w:r>
      <w:r>
        <w:rPr>
          <w:rFonts w:ascii="楷体_GB2312" w:eastAsia="楷体_GB2312" w:hAnsi="宋体" w:cs="宋体" w:hint="eastAsia"/>
          <w:kern w:val="0"/>
          <w:szCs w:val="21"/>
        </w:rPr>
        <w:t>8</w:t>
      </w:r>
      <w:r w:rsidR="009A18F4">
        <w:rPr>
          <w:rFonts w:ascii="楷体_GB2312" w:eastAsia="楷体_GB2312" w:hAnsi="宋体" w:cs="宋体" w:hint="eastAsia"/>
          <w:kern w:val="0"/>
          <w:szCs w:val="21"/>
        </w:rPr>
        <w:t>日</w:t>
      </w:r>
      <w:r w:rsidR="005E2CA8">
        <w:rPr>
          <w:rFonts w:ascii="楷体_GB2312" w:eastAsia="楷体_GB2312" w:hAnsi="宋体" w:cs="宋体" w:hint="eastAsia"/>
          <w:kern w:val="0"/>
          <w:szCs w:val="21"/>
        </w:rPr>
        <w:t>，</w:t>
      </w:r>
      <w:r w:rsidR="00032ECF">
        <w:rPr>
          <w:rFonts w:ascii="楷体_GB2312" w:eastAsia="楷体_GB2312" w:hAnsi="宋体" w:cs="宋体" w:hint="eastAsia"/>
          <w:kern w:val="0"/>
          <w:szCs w:val="21"/>
        </w:rPr>
        <w:t>全月</w:t>
      </w:r>
      <w:r w:rsidR="009A18F4" w:rsidRPr="008326EB">
        <w:rPr>
          <w:rFonts w:ascii="楷体_GB2312" w:eastAsia="楷体_GB2312" w:hAnsi="宋体" w:cs="宋体" w:hint="eastAsia"/>
          <w:kern w:val="0"/>
          <w:szCs w:val="21"/>
        </w:rPr>
        <w:t>上证指数</w:t>
      </w:r>
      <w:r w:rsidR="008B4B20">
        <w:rPr>
          <w:rFonts w:ascii="楷体_GB2312" w:eastAsia="楷体_GB2312" w:hAnsi="宋体" w:cs="宋体" w:hint="eastAsia"/>
          <w:kern w:val="0"/>
          <w:szCs w:val="21"/>
        </w:rPr>
        <w:t>上升10.56</w:t>
      </w:r>
      <w:r w:rsidR="005E2CA8">
        <w:rPr>
          <w:rFonts w:ascii="楷体_GB2312" w:eastAsia="楷体_GB2312" w:hAnsi="宋体" w:cs="宋体" w:hint="eastAsia"/>
          <w:kern w:val="0"/>
          <w:szCs w:val="21"/>
        </w:rPr>
        <w:t>,</w:t>
      </w:r>
      <w:r w:rsidR="009A18F4">
        <w:rPr>
          <w:rFonts w:ascii="楷体_GB2312" w:eastAsia="楷体_GB2312" w:hAnsi="宋体" w:cs="宋体" w:hint="eastAsia"/>
          <w:kern w:val="0"/>
          <w:szCs w:val="21"/>
        </w:rPr>
        <w:t>%、深圳综指</w:t>
      </w:r>
      <w:r w:rsidR="00FF4A3D">
        <w:rPr>
          <w:rFonts w:ascii="楷体_GB2312" w:eastAsia="楷体_GB2312" w:hAnsi="宋体" w:cs="宋体" w:hint="eastAsia"/>
          <w:kern w:val="0"/>
          <w:szCs w:val="21"/>
        </w:rPr>
        <w:t>大涨</w:t>
      </w:r>
      <w:r w:rsidR="008B4B20">
        <w:rPr>
          <w:rFonts w:ascii="楷体_GB2312" w:eastAsia="楷体_GB2312" w:hAnsi="宋体" w:cs="宋体" w:hint="eastAsia"/>
          <w:kern w:val="0"/>
          <w:szCs w:val="21"/>
        </w:rPr>
        <w:t>16.40</w:t>
      </w:r>
      <w:r w:rsidR="009A18F4">
        <w:rPr>
          <w:rFonts w:ascii="楷体_GB2312" w:eastAsia="楷体_GB2312" w:hAnsi="宋体" w:cs="宋体" w:hint="eastAsia"/>
          <w:kern w:val="0"/>
          <w:szCs w:val="21"/>
        </w:rPr>
        <w:t>%，</w:t>
      </w:r>
      <w:r w:rsidR="00FF4A3D">
        <w:rPr>
          <w:rFonts w:ascii="楷体_GB2312" w:eastAsia="楷体_GB2312" w:hAnsi="宋体" w:cs="宋体" w:hint="eastAsia"/>
          <w:kern w:val="0"/>
          <w:szCs w:val="21"/>
        </w:rPr>
        <w:t>A股</w:t>
      </w:r>
      <w:r w:rsidR="0026313E">
        <w:rPr>
          <w:rFonts w:ascii="楷体_GB2312" w:eastAsia="楷体_GB2312" w:hAnsi="宋体" w:cs="宋体" w:hint="eastAsia"/>
          <w:kern w:val="0"/>
          <w:szCs w:val="21"/>
        </w:rPr>
        <w:t>终于结束了</w:t>
      </w:r>
      <w:r w:rsidR="00FF4A3D">
        <w:rPr>
          <w:rFonts w:ascii="楷体_GB2312" w:eastAsia="楷体_GB2312" w:hAnsi="宋体" w:cs="宋体" w:hint="eastAsia"/>
          <w:kern w:val="0"/>
          <w:szCs w:val="21"/>
        </w:rPr>
        <w:t>之前</w:t>
      </w:r>
      <w:r w:rsidR="0026313E">
        <w:rPr>
          <w:rFonts w:ascii="楷体_GB2312" w:eastAsia="楷体_GB2312" w:hAnsi="宋体" w:cs="宋体" w:hint="eastAsia"/>
          <w:kern w:val="0"/>
          <w:szCs w:val="21"/>
        </w:rPr>
        <w:t>连续</w:t>
      </w:r>
      <w:r w:rsidR="00C739AE">
        <w:rPr>
          <w:rFonts w:ascii="楷体_GB2312" w:eastAsia="楷体_GB2312" w:hAnsi="宋体" w:cs="宋体" w:hint="eastAsia"/>
          <w:kern w:val="0"/>
          <w:szCs w:val="21"/>
        </w:rPr>
        <w:t>四个月</w:t>
      </w:r>
      <w:r w:rsidR="0026313E">
        <w:rPr>
          <w:rFonts w:ascii="楷体_GB2312" w:eastAsia="楷体_GB2312" w:hAnsi="宋体" w:cs="宋体" w:hint="eastAsia"/>
          <w:kern w:val="0"/>
          <w:szCs w:val="21"/>
        </w:rPr>
        <w:t>的</w:t>
      </w:r>
      <w:r w:rsidR="00C739AE">
        <w:rPr>
          <w:rFonts w:ascii="楷体_GB2312" w:eastAsia="楷体_GB2312" w:hAnsi="宋体" w:cs="宋体" w:hint="eastAsia"/>
          <w:kern w:val="0"/>
          <w:szCs w:val="21"/>
        </w:rPr>
        <w:t>下</w:t>
      </w:r>
      <w:r w:rsidR="00100321">
        <w:rPr>
          <w:rFonts w:ascii="楷体_GB2312" w:eastAsia="楷体_GB2312" w:hAnsi="宋体" w:cs="宋体" w:hint="eastAsia"/>
          <w:kern w:val="0"/>
          <w:szCs w:val="21"/>
        </w:rPr>
        <w:t>跌</w:t>
      </w:r>
      <w:r w:rsidR="00164673">
        <w:rPr>
          <w:rFonts w:ascii="楷体_GB2312" w:eastAsia="楷体_GB2312" w:hAnsi="宋体" w:cs="宋体" w:hint="eastAsia"/>
          <w:kern w:val="0"/>
          <w:szCs w:val="21"/>
        </w:rPr>
        <w:t>，</w:t>
      </w:r>
      <w:r w:rsidR="004521F3">
        <w:rPr>
          <w:rFonts w:ascii="楷体_GB2312" w:eastAsia="楷体_GB2312" w:hAnsi="宋体" w:cs="宋体" w:hint="eastAsia"/>
          <w:kern w:val="0"/>
          <w:szCs w:val="21"/>
        </w:rPr>
        <w:t>在10月</w:t>
      </w:r>
      <w:r w:rsidR="00FF4A3D">
        <w:rPr>
          <w:rFonts w:ascii="楷体_GB2312" w:eastAsia="楷体_GB2312" w:hAnsi="宋体" w:cs="宋体" w:hint="eastAsia"/>
          <w:kern w:val="0"/>
          <w:szCs w:val="21"/>
        </w:rPr>
        <w:t>迎来</w:t>
      </w:r>
      <w:r w:rsidR="004521F3">
        <w:rPr>
          <w:rFonts w:ascii="楷体_GB2312" w:eastAsia="楷体_GB2312" w:hAnsi="宋体" w:cs="宋体" w:hint="eastAsia"/>
          <w:kern w:val="0"/>
          <w:szCs w:val="21"/>
        </w:rPr>
        <w:t>较大幅度的反弹。</w:t>
      </w:r>
    </w:p>
    <w:tbl>
      <w:tblPr>
        <w:tblW w:w="9639" w:type="dxa"/>
        <w:tblInd w:w="-34" w:type="dxa"/>
        <w:tblLayout w:type="fixed"/>
        <w:tblLook w:val="04A0"/>
      </w:tblPr>
      <w:tblGrid>
        <w:gridCol w:w="4678"/>
        <w:gridCol w:w="142"/>
        <w:gridCol w:w="4819"/>
      </w:tblGrid>
      <w:tr w:rsidR="009A18F4" w:rsidRPr="00051DF8" w:rsidTr="000751B0">
        <w:tc>
          <w:tcPr>
            <w:tcW w:w="4820" w:type="dxa"/>
            <w:gridSpan w:val="2"/>
            <w:tcBorders>
              <w:bottom w:val="single" w:sz="4" w:space="0" w:color="FF0000"/>
            </w:tcBorders>
          </w:tcPr>
          <w:p w:rsidR="009A18F4" w:rsidRPr="00144B03" w:rsidRDefault="009A18F4" w:rsidP="009925B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Pr="00144B03">
              <w:rPr>
                <w:rFonts w:ascii="楷体_GB2312" w:eastAsia="楷体_GB2312" w:hint="eastAsia"/>
                <w:b/>
                <w:color w:val="000000"/>
                <w:sz w:val="18"/>
                <w:szCs w:val="18"/>
              </w:rPr>
              <w:t>、本月沪深两市累计涨幅（%）</w:t>
            </w:r>
          </w:p>
        </w:tc>
        <w:tc>
          <w:tcPr>
            <w:tcW w:w="4819" w:type="dxa"/>
            <w:tcBorders>
              <w:bottom w:val="single" w:sz="4" w:space="0" w:color="FF0000"/>
            </w:tcBorders>
          </w:tcPr>
          <w:p w:rsidR="009A18F4" w:rsidRPr="00144B03" w:rsidRDefault="009A18F4" w:rsidP="009925B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2</w:t>
            </w:r>
            <w:r w:rsidRPr="00144B03">
              <w:rPr>
                <w:rFonts w:ascii="楷体_GB2312" w:eastAsia="楷体_GB2312" w:hint="eastAsia"/>
                <w:b/>
                <w:color w:val="000000"/>
                <w:sz w:val="18"/>
                <w:szCs w:val="18"/>
              </w:rPr>
              <w:t>、最近12月沪深两市涨跌幅（%）</w:t>
            </w:r>
          </w:p>
        </w:tc>
      </w:tr>
      <w:tr w:rsidR="009A18F4" w:rsidRPr="00B22D95" w:rsidTr="000751B0">
        <w:tc>
          <w:tcPr>
            <w:tcW w:w="4678" w:type="dxa"/>
            <w:tcBorders>
              <w:top w:val="single" w:sz="4" w:space="0" w:color="FF0000"/>
              <w:bottom w:val="single" w:sz="4" w:space="0" w:color="FF0000"/>
            </w:tcBorders>
          </w:tcPr>
          <w:p w:rsidR="009A18F4" w:rsidRPr="00B22D95" w:rsidRDefault="00287248" w:rsidP="00DE017A">
            <w:pPr>
              <w:spacing w:line="360" w:lineRule="auto"/>
              <w:ind w:leftChars="16" w:left="34"/>
              <w:rPr>
                <w:rFonts w:ascii="楷体_GB2312" w:eastAsia="楷体_GB2312"/>
                <w:color w:val="000000"/>
                <w:sz w:val="18"/>
                <w:szCs w:val="18"/>
              </w:rPr>
            </w:pPr>
            <w:r w:rsidRPr="00287248">
              <w:rPr>
                <w:rFonts w:ascii="楷体_GB2312" w:eastAsia="楷体_GB2312"/>
                <w:noProof/>
                <w:color w:val="000000"/>
                <w:sz w:val="18"/>
                <w:szCs w:val="18"/>
              </w:rPr>
              <w:drawing>
                <wp:inline distT="0" distB="0" distL="0" distR="0">
                  <wp:extent cx="2859323" cy="1979875"/>
                  <wp:effectExtent l="19050" t="0" r="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961" w:type="dxa"/>
            <w:gridSpan w:val="2"/>
            <w:tcBorders>
              <w:top w:val="single" w:sz="4" w:space="0" w:color="FF0000"/>
              <w:bottom w:val="single" w:sz="4" w:space="0" w:color="FF0000"/>
            </w:tcBorders>
          </w:tcPr>
          <w:p w:rsidR="009A18F4" w:rsidRPr="00B22D95" w:rsidRDefault="000751B0" w:rsidP="000751B0">
            <w:pPr>
              <w:spacing w:line="360" w:lineRule="auto"/>
              <w:ind w:left="1" w:firstLineChars="18" w:firstLine="32"/>
              <w:jc w:val="left"/>
              <w:rPr>
                <w:rFonts w:ascii="楷体_GB2312" w:eastAsia="楷体_GB2312"/>
                <w:color w:val="000000"/>
                <w:sz w:val="18"/>
                <w:szCs w:val="18"/>
              </w:rPr>
            </w:pPr>
            <w:r w:rsidRPr="000751B0">
              <w:rPr>
                <w:rFonts w:ascii="楷体_GB2312" w:eastAsia="楷体_GB2312"/>
                <w:noProof/>
                <w:color w:val="000000"/>
                <w:sz w:val="18"/>
                <w:szCs w:val="18"/>
              </w:rPr>
              <w:drawing>
                <wp:inline distT="0" distB="0" distL="0" distR="0">
                  <wp:extent cx="2973788" cy="1979875"/>
                  <wp:effectExtent l="0" t="0" r="0" b="0"/>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注：数据截至2015年</w:t>
      </w:r>
      <w:r w:rsidR="000751B0">
        <w:rPr>
          <w:rFonts w:ascii="楷体_GB2312" w:eastAsia="楷体_GB2312" w:hint="eastAsia"/>
          <w:noProof/>
          <w:color w:val="000000"/>
          <w:sz w:val="18"/>
          <w:szCs w:val="18"/>
        </w:rPr>
        <w:t>10</w:t>
      </w:r>
      <w:r w:rsidR="00F96D59">
        <w:rPr>
          <w:rFonts w:ascii="楷体_GB2312" w:eastAsia="楷体_GB2312" w:hint="eastAsia"/>
          <w:noProof/>
          <w:color w:val="000000"/>
          <w:sz w:val="18"/>
          <w:szCs w:val="18"/>
        </w:rPr>
        <w:t>月</w:t>
      </w:r>
      <w:r w:rsidR="000751B0">
        <w:rPr>
          <w:rFonts w:ascii="楷体_GB2312" w:eastAsia="楷体_GB2312" w:hint="eastAsia"/>
          <w:noProof/>
          <w:color w:val="000000"/>
          <w:sz w:val="18"/>
          <w:szCs w:val="18"/>
        </w:rPr>
        <w:t>28</w:t>
      </w:r>
      <w:r w:rsidR="00F96D59">
        <w:rPr>
          <w:rFonts w:ascii="楷体_GB2312" w:eastAsia="楷体_GB2312" w:hint="eastAsia"/>
          <w:noProof/>
          <w:color w:val="000000"/>
          <w:sz w:val="18"/>
          <w:szCs w:val="18"/>
        </w:rPr>
        <w:t>日</w:t>
      </w:r>
      <w:r w:rsidRPr="00690811">
        <w:rPr>
          <w:rFonts w:ascii="楷体_GB2312" w:eastAsia="楷体_GB2312" w:hint="eastAsia"/>
          <w:noProof/>
          <w:color w:val="000000"/>
          <w:sz w:val="18"/>
          <w:szCs w:val="18"/>
        </w:rPr>
        <w:t>，以下同</w:t>
      </w:r>
    </w:p>
    <w:p w:rsidR="00DF28CD" w:rsidRPr="00607DB4" w:rsidRDefault="00DF28CD"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“红十月”大盘大幅反弹，</w:t>
      </w:r>
      <w:r w:rsidR="00C67705">
        <w:rPr>
          <w:rFonts w:ascii="楷体_GB2312" w:eastAsia="楷体_GB2312" w:hAnsi="宋体" w:cs="宋体" w:hint="eastAsia"/>
          <w:kern w:val="0"/>
          <w:szCs w:val="21"/>
        </w:rPr>
        <w:t>前大跌中遭遇大幅回调的板块在10月反攻势凌厉，中高市盈率涨幅领先，中小盘强势反弹。</w:t>
      </w:r>
      <w:r w:rsidR="009A18F4">
        <w:rPr>
          <w:rFonts w:ascii="楷体_GB2312" w:eastAsia="楷体_GB2312" w:hAnsi="宋体" w:cs="宋体" w:hint="eastAsia"/>
          <w:kern w:val="0"/>
          <w:szCs w:val="21"/>
        </w:rPr>
        <w:t>分行业来看，</w:t>
      </w:r>
      <w:r w:rsidR="00AD6112">
        <w:rPr>
          <w:rFonts w:ascii="楷体_GB2312" w:eastAsia="楷体_GB2312" w:hAnsi="宋体" w:cs="宋体" w:hint="eastAsia"/>
          <w:kern w:val="0"/>
          <w:szCs w:val="21"/>
        </w:rPr>
        <w:t>计算机</w:t>
      </w:r>
      <w:r w:rsidR="00D44E6D">
        <w:rPr>
          <w:rFonts w:ascii="楷体_GB2312" w:eastAsia="楷体_GB2312" w:hAnsi="宋体" w:cs="宋体" w:hint="eastAsia"/>
          <w:kern w:val="0"/>
          <w:szCs w:val="21"/>
        </w:rPr>
        <w:t>、</w:t>
      </w:r>
      <w:r w:rsidR="00AD6112">
        <w:rPr>
          <w:rFonts w:ascii="楷体_GB2312" w:eastAsia="楷体_GB2312" w:hAnsi="宋体" w:cs="宋体" w:hint="eastAsia"/>
          <w:kern w:val="0"/>
          <w:szCs w:val="21"/>
        </w:rPr>
        <w:t>国防军工</w:t>
      </w:r>
      <w:r w:rsidR="00D44E6D">
        <w:rPr>
          <w:rFonts w:ascii="楷体_GB2312" w:eastAsia="楷体_GB2312" w:hAnsi="宋体" w:cs="宋体" w:hint="eastAsia"/>
          <w:kern w:val="0"/>
          <w:szCs w:val="21"/>
        </w:rPr>
        <w:t>、</w:t>
      </w:r>
      <w:r w:rsidR="00AD6112">
        <w:rPr>
          <w:rFonts w:ascii="楷体_GB2312" w:eastAsia="楷体_GB2312" w:hAnsi="宋体" w:cs="宋体" w:hint="eastAsia"/>
          <w:kern w:val="0"/>
          <w:szCs w:val="21"/>
        </w:rPr>
        <w:t>通信</w:t>
      </w:r>
      <w:r w:rsidR="00D44E6D">
        <w:rPr>
          <w:rFonts w:ascii="楷体_GB2312" w:eastAsia="楷体_GB2312" w:hAnsi="宋体" w:cs="宋体" w:hint="eastAsia"/>
          <w:kern w:val="0"/>
          <w:szCs w:val="21"/>
        </w:rPr>
        <w:t>、</w:t>
      </w:r>
      <w:r w:rsidR="00AD6112">
        <w:rPr>
          <w:rFonts w:ascii="楷体_GB2312" w:eastAsia="楷体_GB2312" w:hAnsi="宋体" w:cs="宋体" w:hint="eastAsia"/>
          <w:kern w:val="0"/>
          <w:szCs w:val="21"/>
        </w:rPr>
        <w:t>电气设备</w:t>
      </w:r>
      <w:r w:rsidR="00D44E6D">
        <w:rPr>
          <w:rFonts w:ascii="楷体_GB2312" w:eastAsia="楷体_GB2312" w:hAnsi="宋体" w:cs="宋体" w:hint="eastAsia"/>
          <w:kern w:val="0"/>
          <w:szCs w:val="21"/>
        </w:rPr>
        <w:t>、</w:t>
      </w:r>
      <w:r w:rsidR="00AD6112">
        <w:rPr>
          <w:rFonts w:ascii="楷体_GB2312" w:eastAsia="楷体_GB2312" w:hAnsi="宋体" w:cs="宋体" w:hint="eastAsia"/>
          <w:kern w:val="0"/>
          <w:szCs w:val="21"/>
        </w:rPr>
        <w:t>电子、机械设备</w:t>
      </w:r>
      <w:r w:rsidR="00687EB9">
        <w:rPr>
          <w:rFonts w:ascii="楷体_GB2312" w:eastAsia="楷体_GB2312" w:hAnsi="宋体" w:cs="宋体" w:hint="eastAsia"/>
          <w:kern w:val="0"/>
          <w:szCs w:val="21"/>
        </w:rPr>
        <w:t>表现最佳，单月指数分别上涨</w:t>
      </w:r>
      <w:r>
        <w:rPr>
          <w:rFonts w:ascii="楷体_GB2312" w:eastAsia="楷体_GB2312" w:hAnsi="宋体" w:cs="宋体" w:hint="eastAsia"/>
          <w:kern w:val="0"/>
          <w:szCs w:val="21"/>
        </w:rPr>
        <w:t>21.65</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Pr>
          <w:rFonts w:ascii="楷体_GB2312" w:eastAsia="楷体_GB2312" w:hAnsi="宋体" w:cs="宋体" w:hint="eastAsia"/>
          <w:kern w:val="0"/>
          <w:szCs w:val="21"/>
        </w:rPr>
        <w:t>20.52</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Pr>
          <w:rFonts w:ascii="楷体_GB2312" w:eastAsia="楷体_GB2312" w:hAnsi="宋体" w:cs="宋体" w:hint="eastAsia"/>
          <w:kern w:val="0"/>
          <w:szCs w:val="21"/>
        </w:rPr>
        <w:t>19.42</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Pr>
          <w:rFonts w:ascii="楷体_GB2312" w:eastAsia="楷体_GB2312" w:hAnsi="宋体" w:cs="宋体" w:hint="eastAsia"/>
          <w:kern w:val="0"/>
          <w:szCs w:val="21"/>
        </w:rPr>
        <w:t>19.29</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Pr>
          <w:rFonts w:ascii="楷体_GB2312" w:eastAsia="楷体_GB2312" w:hAnsi="宋体" w:cs="宋体" w:hint="eastAsia"/>
          <w:kern w:val="0"/>
          <w:szCs w:val="21"/>
        </w:rPr>
        <w:t>17.76%、17.23%</w:t>
      </w:r>
      <w:r w:rsidR="00D44E6D">
        <w:rPr>
          <w:rFonts w:ascii="楷体_GB2312" w:eastAsia="楷体_GB2312" w:hAnsi="宋体" w:cs="宋体" w:hint="eastAsia"/>
          <w:kern w:val="0"/>
          <w:szCs w:val="21"/>
        </w:rPr>
        <w:t>。</w:t>
      </w:r>
      <w:r>
        <w:rPr>
          <w:rFonts w:ascii="楷体_GB2312" w:eastAsia="楷体_GB2312" w:hAnsi="宋体" w:cs="宋体" w:hint="eastAsia"/>
          <w:kern w:val="0"/>
          <w:szCs w:val="21"/>
        </w:rPr>
        <w:t>交通运输</w:t>
      </w:r>
      <w:r w:rsidR="00D44E6D">
        <w:rPr>
          <w:rFonts w:ascii="楷体_GB2312" w:eastAsia="楷体_GB2312" w:hAnsi="宋体" w:cs="宋体" w:hint="eastAsia"/>
          <w:kern w:val="0"/>
          <w:szCs w:val="21"/>
        </w:rPr>
        <w:t>、</w:t>
      </w:r>
      <w:r>
        <w:rPr>
          <w:rFonts w:ascii="楷体_GB2312" w:eastAsia="楷体_GB2312" w:hAnsi="宋体" w:cs="宋体" w:hint="eastAsia"/>
          <w:kern w:val="0"/>
          <w:szCs w:val="21"/>
        </w:rPr>
        <w:t>食品饮料</w:t>
      </w:r>
      <w:r w:rsidR="00D44E6D">
        <w:rPr>
          <w:rFonts w:ascii="楷体_GB2312" w:eastAsia="楷体_GB2312" w:hAnsi="宋体" w:cs="宋体" w:hint="eastAsia"/>
          <w:kern w:val="0"/>
          <w:szCs w:val="21"/>
        </w:rPr>
        <w:t>、</w:t>
      </w:r>
      <w:r>
        <w:rPr>
          <w:rFonts w:ascii="楷体_GB2312" w:eastAsia="楷体_GB2312" w:hAnsi="宋体" w:cs="宋体" w:hint="eastAsia"/>
          <w:kern w:val="0"/>
          <w:szCs w:val="21"/>
        </w:rPr>
        <w:t>银行反弹力度最小</w:t>
      </w:r>
      <w:r w:rsidR="00D44E6D">
        <w:rPr>
          <w:rFonts w:ascii="楷体_GB2312" w:eastAsia="楷体_GB2312" w:hAnsi="宋体" w:cs="宋体" w:hint="eastAsia"/>
          <w:kern w:val="0"/>
          <w:szCs w:val="21"/>
        </w:rPr>
        <w:t>，单月指数分别上涨</w:t>
      </w:r>
      <w:r>
        <w:rPr>
          <w:rFonts w:ascii="楷体_GB2312" w:eastAsia="楷体_GB2312" w:hAnsi="宋体" w:cs="宋体" w:hint="eastAsia"/>
          <w:kern w:val="0"/>
          <w:szCs w:val="21"/>
        </w:rPr>
        <w:t>7.81%、7.10%、3.61%</w:t>
      </w:r>
    </w:p>
    <w:tbl>
      <w:tblPr>
        <w:tblW w:w="9923" w:type="dxa"/>
        <w:tblInd w:w="-176" w:type="dxa"/>
        <w:tblLayout w:type="fixed"/>
        <w:tblLook w:val="04A0"/>
      </w:tblPr>
      <w:tblGrid>
        <w:gridCol w:w="4678"/>
        <w:gridCol w:w="142"/>
        <w:gridCol w:w="5103"/>
      </w:tblGrid>
      <w:tr w:rsidR="009A18F4" w:rsidRPr="00A429C3" w:rsidTr="00AD6112">
        <w:tc>
          <w:tcPr>
            <w:tcW w:w="4820" w:type="dxa"/>
            <w:gridSpan w:val="2"/>
            <w:tcBorders>
              <w:bottom w:val="single" w:sz="4" w:space="0" w:color="FF0000"/>
            </w:tcBorders>
          </w:tcPr>
          <w:p w:rsidR="009A18F4" w:rsidRPr="00A429C3" w:rsidRDefault="009A18F4" w:rsidP="009925B4">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图3、本月</w:t>
            </w:r>
            <w:proofErr w:type="gramStart"/>
            <w:r w:rsidRPr="00A429C3">
              <w:rPr>
                <w:rFonts w:ascii="楷体_GB2312" w:eastAsia="楷体_GB2312" w:hint="eastAsia"/>
                <w:b/>
                <w:color w:val="000000"/>
                <w:sz w:val="18"/>
                <w:szCs w:val="18"/>
              </w:rPr>
              <w:t>申万市场</w:t>
            </w:r>
            <w:proofErr w:type="gramEnd"/>
            <w:r w:rsidRPr="00A429C3">
              <w:rPr>
                <w:rFonts w:ascii="楷体_GB2312" w:eastAsia="楷体_GB2312" w:hint="eastAsia"/>
                <w:b/>
                <w:color w:val="000000"/>
                <w:sz w:val="18"/>
                <w:szCs w:val="18"/>
              </w:rPr>
              <w:t>风格指数涨跌幅（%）</w:t>
            </w:r>
          </w:p>
        </w:tc>
        <w:tc>
          <w:tcPr>
            <w:tcW w:w="5103" w:type="dxa"/>
            <w:tcBorders>
              <w:bottom w:val="single" w:sz="4" w:space="0" w:color="FF0000"/>
            </w:tcBorders>
          </w:tcPr>
          <w:p w:rsidR="009A18F4" w:rsidRPr="00A429C3" w:rsidRDefault="009A18F4" w:rsidP="009925B4">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图4、本月</w:t>
            </w:r>
            <w:proofErr w:type="gramStart"/>
            <w:r w:rsidRPr="00A429C3">
              <w:rPr>
                <w:rFonts w:ascii="楷体_GB2312" w:eastAsia="楷体_GB2312" w:hint="eastAsia"/>
                <w:b/>
                <w:color w:val="000000"/>
                <w:sz w:val="18"/>
                <w:szCs w:val="18"/>
              </w:rPr>
              <w:t>申万行业</w:t>
            </w:r>
            <w:proofErr w:type="gramEnd"/>
            <w:r w:rsidRPr="00A429C3">
              <w:rPr>
                <w:rFonts w:ascii="楷体_GB2312" w:eastAsia="楷体_GB2312" w:hint="eastAsia"/>
                <w:b/>
                <w:color w:val="000000"/>
                <w:sz w:val="18"/>
                <w:szCs w:val="18"/>
              </w:rPr>
              <w:t>指数涨跌幅（%）</w:t>
            </w:r>
          </w:p>
        </w:tc>
      </w:tr>
      <w:tr w:rsidR="009A18F4" w:rsidRPr="00A429C3" w:rsidTr="00AD6112">
        <w:tc>
          <w:tcPr>
            <w:tcW w:w="4678" w:type="dxa"/>
            <w:tcBorders>
              <w:top w:val="single" w:sz="4" w:space="0" w:color="FF0000"/>
              <w:bottom w:val="single" w:sz="4" w:space="0" w:color="FF0000"/>
            </w:tcBorders>
          </w:tcPr>
          <w:p w:rsidR="009A18F4" w:rsidRPr="00A429C3" w:rsidRDefault="00AD6112" w:rsidP="00DE017A">
            <w:pPr>
              <w:spacing w:line="360" w:lineRule="auto"/>
              <w:ind w:leftChars="16" w:left="34"/>
              <w:rPr>
                <w:rFonts w:ascii="楷体_GB2312" w:eastAsia="楷体_GB2312"/>
                <w:color w:val="000000"/>
                <w:sz w:val="18"/>
                <w:szCs w:val="18"/>
              </w:rPr>
            </w:pPr>
            <w:r w:rsidRPr="00AD6112">
              <w:rPr>
                <w:rFonts w:ascii="楷体_GB2312" w:eastAsia="楷体_GB2312"/>
                <w:noProof/>
                <w:color w:val="000000"/>
                <w:sz w:val="18"/>
                <w:szCs w:val="18"/>
              </w:rPr>
              <w:drawing>
                <wp:inline distT="0" distB="0" distL="0" distR="0">
                  <wp:extent cx="2655736" cy="2305878"/>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245" w:type="dxa"/>
            <w:gridSpan w:val="2"/>
            <w:tcBorders>
              <w:top w:val="single" w:sz="4" w:space="0" w:color="FF0000"/>
              <w:bottom w:val="single" w:sz="4" w:space="0" w:color="FF0000"/>
            </w:tcBorders>
          </w:tcPr>
          <w:p w:rsidR="009A18F4" w:rsidRPr="00A429C3" w:rsidRDefault="00AD6112" w:rsidP="00AD6112">
            <w:pPr>
              <w:spacing w:line="360" w:lineRule="auto"/>
              <w:ind w:left="1" w:firstLineChars="18" w:firstLine="32"/>
              <w:jc w:val="right"/>
              <w:rPr>
                <w:rFonts w:ascii="楷体_GB2312" w:eastAsia="楷体_GB2312"/>
                <w:color w:val="000000"/>
                <w:sz w:val="18"/>
                <w:szCs w:val="18"/>
              </w:rPr>
            </w:pPr>
            <w:r w:rsidRPr="00AD6112">
              <w:rPr>
                <w:rFonts w:ascii="楷体_GB2312" w:eastAsia="楷体_GB2312"/>
                <w:noProof/>
                <w:color w:val="000000"/>
                <w:sz w:val="18"/>
                <w:szCs w:val="18"/>
              </w:rPr>
              <w:drawing>
                <wp:inline distT="0" distB="0" distL="0" distR="0">
                  <wp:extent cx="3379304" cy="2297927"/>
                  <wp:effectExtent l="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lastRenderedPageBreak/>
        <w:t>来源：wind，上海证券基金评价研究中心</w:t>
      </w:r>
    </w:p>
    <w:p w:rsidR="00513479" w:rsidRPr="000F2EAA" w:rsidRDefault="00607DB4"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在10月债市延续上一个月走牛趋势，</w:t>
      </w:r>
      <w:r w:rsidR="00AC3E1E">
        <w:rPr>
          <w:rFonts w:ascii="楷体_GB2312" w:eastAsia="楷体_GB2312" w:hAnsi="宋体" w:cs="宋体" w:hint="eastAsia"/>
          <w:kern w:val="0"/>
          <w:szCs w:val="21"/>
        </w:rPr>
        <w:t>信用利差进一步缩窄，</w:t>
      </w:r>
      <w:r w:rsidR="00855F89">
        <w:rPr>
          <w:rFonts w:ascii="楷体_GB2312" w:eastAsia="楷体_GB2312" w:hAnsi="宋体" w:cs="宋体" w:hint="eastAsia"/>
          <w:kern w:val="0"/>
          <w:szCs w:val="21"/>
        </w:rPr>
        <w:t>但</w:t>
      </w:r>
      <w:r w:rsidR="00B644B2">
        <w:rPr>
          <w:rFonts w:ascii="楷体_GB2312" w:eastAsia="楷体_GB2312" w:hAnsi="宋体" w:cs="宋体" w:hint="eastAsia"/>
          <w:kern w:val="0"/>
          <w:szCs w:val="21"/>
        </w:rPr>
        <w:t>避险</w:t>
      </w:r>
      <w:r w:rsidR="006C009C">
        <w:rPr>
          <w:rFonts w:ascii="楷体_GB2312" w:eastAsia="楷体_GB2312" w:hAnsi="宋体" w:cs="宋体" w:hint="eastAsia"/>
          <w:kern w:val="0"/>
          <w:szCs w:val="21"/>
        </w:rPr>
        <w:t>需求</w:t>
      </w:r>
      <w:r w:rsidR="00B644B2">
        <w:rPr>
          <w:rFonts w:ascii="楷体_GB2312" w:eastAsia="楷体_GB2312" w:hAnsi="宋体" w:cs="宋体" w:hint="eastAsia"/>
          <w:kern w:val="0"/>
          <w:szCs w:val="21"/>
        </w:rPr>
        <w:t>缓解，</w:t>
      </w:r>
      <w:r w:rsidR="006C009C">
        <w:rPr>
          <w:rFonts w:ascii="楷体_GB2312" w:eastAsia="楷体_GB2312" w:hAnsi="宋体" w:cs="宋体" w:hint="eastAsia"/>
          <w:kern w:val="0"/>
          <w:szCs w:val="21"/>
        </w:rPr>
        <w:t>且债市杠杆水平创纪录，</w:t>
      </w:r>
      <w:r w:rsidR="00B644B2">
        <w:rPr>
          <w:rFonts w:ascii="楷体_GB2312" w:eastAsia="楷体_GB2312" w:hAnsi="宋体" w:cs="宋体" w:hint="eastAsia"/>
          <w:kern w:val="0"/>
          <w:szCs w:val="21"/>
        </w:rPr>
        <w:t>追高债市</w:t>
      </w:r>
      <w:r w:rsidR="006C009C">
        <w:rPr>
          <w:rFonts w:ascii="楷体_GB2312" w:eastAsia="楷体_GB2312" w:hAnsi="宋体" w:cs="宋体" w:hint="eastAsia"/>
          <w:kern w:val="0"/>
          <w:szCs w:val="21"/>
        </w:rPr>
        <w:t>风险聚</w:t>
      </w:r>
      <w:r w:rsidR="00AC3E1E">
        <w:rPr>
          <w:rFonts w:ascii="楷体_GB2312" w:eastAsia="楷体_GB2312" w:hAnsi="宋体" w:cs="宋体" w:hint="eastAsia"/>
          <w:kern w:val="0"/>
          <w:szCs w:val="21"/>
        </w:rPr>
        <w:t>集</w:t>
      </w:r>
      <w:r w:rsidR="006C009C">
        <w:rPr>
          <w:rFonts w:ascii="楷体_GB2312" w:eastAsia="楷体_GB2312" w:hAnsi="宋体" w:cs="宋体" w:hint="eastAsia"/>
          <w:kern w:val="0"/>
          <w:szCs w:val="21"/>
        </w:rPr>
        <w:t>。10月债市</w:t>
      </w:r>
      <w:r>
        <w:rPr>
          <w:rFonts w:ascii="楷体_GB2312" w:eastAsia="楷体_GB2312" w:hAnsi="宋体" w:cs="宋体" w:hint="eastAsia"/>
          <w:kern w:val="0"/>
          <w:szCs w:val="21"/>
        </w:rPr>
        <w:t>市场分歧</w:t>
      </w:r>
      <w:r w:rsidR="006C009C">
        <w:rPr>
          <w:rFonts w:ascii="楷体_GB2312" w:eastAsia="楷体_GB2312" w:hAnsi="宋体" w:cs="宋体" w:hint="eastAsia"/>
          <w:kern w:val="0"/>
          <w:szCs w:val="21"/>
        </w:rPr>
        <w:t>开始</w:t>
      </w:r>
      <w:r>
        <w:rPr>
          <w:rFonts w:ascii="楷体_GB2312" w:eastAsia="楷体_GB2312" w:hAnsi="宋体" w:cs="宋体" w:hint="eastAsia"/>
          <w:kern w:val="0"/>
          <w:szCs w:val="21"/>
        </w:rPr>
        <w:t>加大，波动幅度明显放大。</w:t>
      </w:r>
      <w:r w:rsidR="00B644B2">
        <w:rPr>
          <w:rFonts w:ascii="楷体_GB2312" w:eastAsia="楷体_GB2312" w:hAnsi="宋体" w:cs="宋体" w:hint="eastAsia"/>
          <w:kern w:val="0"/>
          <w:szCs w:val="21"/>
        </w:rPr>
        <w:t>收益率</w:t>
      </w:r>
      <w:r w:rsidR="00AC3E1E">
        <w:rPr>
          <w:rFonts w:ascii="楷体_GB2312" w:eastAsia="楷体_GB2312" w:hAnsi="宋体" w:cs="宋体" w:hint="eastAsia"/>
          <w:kern w:val="0"/>
          <w:szCs w:val="21"/>
        </w:rPr>
        <w:t>仍</w:t>
      </w:r>
      <w:r w:rsidR="00934446">
        <w:rPr>
          <w:rFonts w:ascii="楷体_GB2312" w:eastAsia="楷体_GB2312" w:hAnsi="宋体" w:cs="宋体" w:hint="eastAsia"/>
          <w:kern w:val="0"/>
          <w:szCs w:val="21"/>
        </w:rPr>
        <w:t>继续</w:t>
      </w:r>
      <w:r>
        <w:rPr>
          <w:rFonts w:ascii="楷体_GB2312" w:eastAsia="楷体_GB2312" w:hAnsi="宋体" w:cs="宋体" w:hint="eastAsia"/>
          <w:kern w:val="0"/>
          <w:szCs w:val="21"/>
        </w:rPr>
        <w:t>下行，十年</w:t>
      </w:r>
      <w:proofErr w:type="gramStart"/>
      <w:r>
        <w:rPr>
          <w:rFonts w:ascii="楷体_GB2312" w:eastAsia="楷体_GB2312" w:hAnsi="宋体" w:cs="宋体" w:hint="eastAsia"/>
          <w:kern w:val="0"/>
          <w:szCs w:val="21"/>
        </w:rPr>
        <w:t>国开已低至</w:t>
      </w:r>
      <w:proofErr w:type="gramEnd"/>
      <w:r w:rsidR="00934446">
        <w:rPr>
          <w:rFonts w:ascii="楷体_GB2312" w:eastAsia="楷体_GB2312" w:hAnsi="宋体" w:cs="宋体" w:hint="eastAsia"/>
          <w:kern w:val="0"/>
          <w:szCs w:val="21"/>
        </w:rPr>
        <w:t>3.40，十年国债</w:t>
      </w:r>
      <w:r w:rsidR="006C009C">
        <w:rPr>
          <w:rFonts w:ascii="楷体_GB2312" w:eastAsia="楷体_GB2312" w:hAnsi="宋体" w:cs="宋体" w:hint="eastAsia"/>
          <w:kern w:val="0"/>
          <w:szCs w:val="21"/>
        </w:rPr>
        <w:t>也</w:t>
      </w:r>
      <w:r w:rsidR="00934446">
        <w:rPr>
          <w:rFonts w:ascii="楷体_GB2312" w:eastAsia="楷体_GB2312" w:hAnsi="宋体" w:cs="宋体" w:hint="eastAsia"/>
          <w:kern w:val="0"/>
          <w:szCs w:val="21"/>
        </w:rPr>
        <w:t>跌破3.0</w:t>
      </w:r>
      <w:r w:rsidR="00B644B2">
        <w:rPr>
          <w:rFonts w:ascii="楷体_GB2312" w:eastAsia="楷体_GB2312" w:hAnsi="宋体" w:cs="宋体" w:hint="eastAsia"/>
          <w:kern w:val="0"/>
          <w:szCs w:val="21"/>
        </w:rPr>
        <w:t>，</w:t>
      </w:r>
      <w:r w:rsidR="00AC3E1E">
        <w:rPr>
          <w:rFonts w:ascii="楷体_GB2312" w:eastAsia="楷体_GB2312" w:hAnsi="宋体" w:cs="宋体" w:hint="eastAsia"/>
          <w:kern w:val="0"/>
          <w:szCs w:val="21"/>
        </w:rPr>
        <w:t>但</w:t>
      </w:r>
      <w:r w:rsidR="00B644B2">
        <w:rPr>
          <w:rFonts w:ascii="楷体_GB2312" w:eastAsia="楷体_GB2312" w:hAnsi="宋体" w:cs="宋体" w:hint="eastAsia"/>
          <w:kern w:val="0"/>
          <w:szCs w:val="21"/>
        </w:rPr>
        <w:t>收益率进一步下跌的空间有限。</w:t>
      </w:r>
      <w:r w:rsidR="009A18F4" w:rsidRPr="006C009C">
        <w:rPr>
          <w:rFonts w:ascii="楷体_GB2312" w:eastAsia="楷体_GB2312" w:hAnsi="宋体" w:cs="宋体" w:hint="eastAsia"/>
          <w:kern w:val="0"/>
          <w:szCs w:val="21"/>
        </w:rPr>
        <w:t>从价格指数表现来看，中</w:t>
      </w:r>
      <w:proofErr w:type="gramStart"/>
      <w:r w:rsidR="009A18F4" w:rsidRPr="006C009C">
        <w:rPr>
          <w:rFonts w:ascii="楷体_GB2312" w:eastAsia="楷体_GB2312" w:hAnsi="宋体" w:cs="宋体" w:hint="eastAsia"/>
          <w:kern w:val="0"/>
          <w:szCs w:val="21"/>
        </w:rPr>
        <w:t>证全债</w:t>
      </w:r>
      <w:proofErr w:type="gramEnd"/>
      <w:r w:rsidR="009A18F4" w:rsidRPr="006C009C">
        <w:rPr>
          <w:rFonts w:ascii="楷体_GB2312" w:eastAsia="楷体_GB2312" w:hAnsi="宋体" w:cs="宋体" w:hint="eastAsia"/>
          <w:kern w:val="0"/>
          <w:szCs w:val="21"/>
        </w:rPr>
        <w:t>单月上涨</w:t>
      </w:r>
      <w:r w:rsidR="008F3617" w:rsidRPr="006C009C">
        <w:rPr>
          <w:rFonts w:ascii="楷体_GB2312" w:eastAsia="楷体_GB2312" w:hAnsi="宋体" w:cs="宋体"/>
          <w:kern w:val="0"/>
          <w:szCs w:val="21"/>
        </w:rPr>
        <w:t>0.38</w:t>
      </w:r>
      <w:r w:rsidR="009A18F4" w:rsidRPr="006C009C">
        <w:rPr>
          <w:rFonts w:ascii="楷体_GB2312" w:eastAsia="楷体_GB2312" w:hAnsi="宋体" w:cs="宋体" w:hint="eastAsia"/>
          <w:kern w:val="0"/>
          <w:szCs w:val="21"/>
        </w:rPr>
        <w:t>%，</w:t>
      </w:r>
      <w:r w:rsidR="00B616C0" w:rsidRPr="006C009C">
        <w:rPr>
          <w:rFonts w:ascii="楷体_GB2312" w:eastAsia="楷体_GB2312" w:hAnsi="宋体" w:cs="宋体" w:hint="eastAsia"/>
          <w:kern w:val="0"/>
          <w:szCs w:val="21"/>
        </w:rPr>
        <w:t>其中</w:t>
      </w:r>
      <w:proofErr w:type="gramStart"/>
      <w:r w:rsidR="00513479" w:rsidRPr="006C009C">
        <w:rPr>
          <w:rFonts w:ascii="楷体_GB2312" w:eastAsia="楷体_GB2312" w:hAnsi="宋体" w:cs="宋体" w:hint="eastAsia"/>
          <w:kern w:val="0"/>
          <w:szCs w:val="21"/>
        </w:rPr>
        <w:t>中</w:t>
      </w:r>
      <w:proofErr w:type="gramEnd"/>
      <w:r w:rsidR="00513479" w:rsidRPr="006C009C">
        <w:rPr>
          <w:rFonts w:ascii="楷体_GB2312" w:eastAsia="楷体_GB2312" w:hAnsi="宋体" w:cs="宋体" w:hint="eastAsia"/>
          <w:kern w:val="0"/>
          <w:szCs w:val="21"/>
        </w:rPr>
        <w:t>证国债</w:t>
      </w:r>
      <w:r w:rsidR="008F3617" w:rsidRPr="006C009C">
        <w:rPr>
          <w:rFonts w:ascii="楷体_GB2312" w:eastAsia="楷体_GB2312" w:hAnsi="宋体" w:cs="宋体" w:hint="eastAsia"/>
          <w:kern w:val="0"/>
          <w:szCs w:val="21"/>
        </w:rPr>
        <w:t>上涨</w:t>
      </w:r>
      <w:r w:rsidR="006C009C">
        <w:rPr>
          <w:rFonts w:ascii="楷体_GB2312" w:eastAsia="楷体_GB2312" w:hAnsi="宋体" w:cs="宋体" w:hint="eastAsia"/>
          <w:kern w:val="0"/>
          <w:szCs w:val="21"/>
        </w:rPr>
        <w:t>1.47</w:t>
      </w:r>
      <w:r w:rsidR="00513479" w:rsidRPr="006C009C">
        <w:rPr>
          <w:rFonts w:ascii="楷体_GB2312" w:eastAsia="楷体_GB2312" w:hAnsi="宋体" w:cs="宋体" w:hint="eastAsia"/>
          <w:kern w:val="0"/>
          <w:szCs w:val="21"/>
        </w:rPr>
        <w:t>%，</w:t>
      </w:r>
      <w:r w:rsidR="000F2EAA" w:rsidRPr="006C009C">
        <w:rPr>
          <w:rFonts w:ascii="楷体_GB2312" w:eastAsia="楷体_GB2312" w:hAnsi="宋体" w:cs="宋体" w:hint="eastAsia"/>
          <w:kern w:val="0"/>
          <w:szCs w:val="21"/>
        </w:rPr>
        <w:t>中证企业债、中</w:t>
      </w:r>
      <w:proofErr w:type="gramStart"/>
      <w:r w:rsidR="000F2EAA" w:rsidRPr="006C009C">
        <w:rPr>
          <w:rFonts w:ascii="楷体_GB2312" w:eastAsia="楷体_GB2312" w:hAnsi="宋体" w:cs="宋体" w:hint="eastAsia"/>
          <w:kern w:val="0"/>
          <w:szCs w:val="21"/>
        </w:rPr>
        <w:t>证公司债分别</w:t>
      </w:r>
      <w:proofErr w:type="gramEnd"/>
      <w:r w:rsidR="000F2EAA" w:rsidRPr="006C009C">
        <w:rPr>
          <w:rFonts w:ascii="楷体_GB2312" w:eastAsia="楷体_GB2312" w:hAnsi="宋体" w:cs="宋体" w:hint="eastAsia"/>
          <w:kern w:val="0"/>
          <w:szCs w:val="21"/>
        </w:rPr>
        <w:t>上涨</w:t>
      </w:r>
      <w:r w:rsidR="00B616C0" w:rsidRPr="006C009C">
        <w:rPr>
          <w:rFonts w:ascii="楷体_GB2312" w:eastAsia="楷体_GB2312" w:hAnsi="宋体" w:cs="宋体"/>
          <w:kern w:val="0"/>
          <w:szCs w:val="21"/>
        </w:rPr>
        <w:t>0.</w:t>
      </w:r>
      <w:r w:rsidR="006C009C">
        <w:rPr>
          <w:rFonts w:ascii="楷体_GB2312" w:eastAsia="楷体_GB2312" w:hAnsi="宋体" w:cs="宋体" w:hint="eastAsia"/>
          <w:kern w:val="0"/>
          <w:szCs w:val="21"/>
        </w:rPr>
        <w:t>76</w:t>
      </w:r>
      <w:r w:rsidR="00B616C0" w:rsidRPr="006C009C">
        <w:rPr>
          <w:rFonts w:ascii="楷体_GB2312" w:eastAsia="楷体_GB2312" w:hAnsi="宋体" w:cs="宋体" w:hint="eastAsia"/>
          <w:kern w:val="0"/>
          <w:szCs w:val="21"/>
        </w:rPr>
        <w:t>%、</w:t>
      </w:r>
      <w:r w:rsidR="00B616C0" w:rsidRPr="006C009C">
        <w:rPr>
          <w:rFonts w:ascii="楷体_GB2312" w:eastAsia="楷体_GB2312" w:hAnsi="宋体" w:cs="宋体"/>
          <w:kern w:val="0"/>
          <w:szCs w:val="21"/>
        </w:rPr>
        <w:t>0.</w:t>
      </w:r>
      <w:r w:rsidR="006C009C">
        <w:rPr>
          <w:rFonts w:ascii="楷体_GB2312" w:eastAsia="楷体_GB2312" w:hAnsi="宋体" w:cs="宋体" w:hint="eastAsia"/>
          <w:kern w:val="0"/>
          <w:szCs w:val="21"/>
        </w:rPr>
        <w:t>51</w:t>
      </w:r>
      <w:r w:rsidR="000F2EAA" w:rsidRPr="006C009C">
        <w:rPr>
          <w:rFonts w:ascii="楷体_GB2312" w:eastAsia="楷体_GB2312" w:hAnsi="宋体" w:cs="宋体" w:hint="eastAsia"/>
          <w:kern w:val="0"/>
          <w:szCs w:val="21"/>
        </w:rPr>
        <w:t>%，中</w:t>
      </w:r>
      <w:r w:rsidR="006C009C">
        <w:rPr>
          <w:rFonts w:ascii="楷体_GB2312" w:eastAsia="楷体_GB2312" w:hAnsi="宋体" w:cs="宋体" w:hint="eastAsia"/>
          <w:kern w:val="0"/>
          <w:szCs w:val="21"/>
        </w:rPr>
        <w:t>证</w:t>
      </w:r>
      <w:r w:rsidR="000F2EAA" w:rsidRPr="006C009C">
        <w:rPr>
          <w:rFonts w:ascii="楷体_GB2312" w:eastAsia="楷体_GB2312" w:hAnsi="宋体" w:cs="宋体" w:hint="eastAsia"/>
          <w:kern w:val="0"/>
          <w:szCs w:val="21"/>
        </w:rPr>
        <w:t>可转</w:t>
      </w:r>
      <w:proofErr w:type="gramStart"/>
      <w:r w:rsidR="000F2EAA" w:rsidRPr="006C009C">
        <w:rPr>
          <w:rFonts w:ascii="楷体_GB2312" w:eastAsia="楷体_GB2312" w:hAnsi="宋体" w:cs="宋体" w:hint="eastAsia"/>
          <w:kern w:val="0"/>
          <w:szCs w:val="21"/>
        </w:rPr>
        <w:t>债指数</w:t>
      </w:r>
      <w:proofErr w:type="gramEnd"/>
      <w:r w:rsidR="000F2EAA" w:rsidRPr="006C009C">
        <w:rPr>
          <w:rFonts w:ascii="楷体_GB2312" w:eastAsia="楷体_GB2312" w:hAnsi="宋体" w:cs="宋体" w:hint="eastAsia"/>
          <w:kern w:val="0"/>
          <w:szCs w:val="21"/>
        </w:rPr>
        <w:t>受</w:t>
      </w:r>
      <w:r w:rsidR="006C009C">
        <w:rPr>
          <w:rFonts w:ascii="楷体_GB2312" w:eastAsia="楷体_GB2312" w:hAnsi="宋体" w:cs="宋体" w:hint="eastAsia"/>
          <w:kern w:val="0"/>
          <w:szCs w:val="21"/>
        </w:rPr>
        <w:t>大盘反弹影响上涨4.4</w:t>
      </w:r>
      <w:r w:rsidR="000F2EAA" w:rsidRPr="006C009C">
        <w:rPr>
          <w:rFonts w:ascii="楷体_GB2312" w:eastAsia="楷体_GB2312" w:hAnsi="宋体" w:cs="宋体" w:hint="eastAsia"/>
          <w:kern w:val="0"/>
          <w:szCs w:val="21"/>
        </w:rPr>
        <w:t>%。</w:t>
      </w:r>
    </w:p>
    <w:p w:rsidR="009A18F4" w:rsidRPr="00690CC4" w:rsidRDefault="009A18F4" w:rsidP="004840D3">
      <w:pPr>
        <w:spacing w:beforeLines="10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t>（二）基金市场回顾：</w:t>
      </w:r>
      <w:r w:rsidR="00573C42">
        <w:rPr>
          <w:rFonts w:ascii="黑体" w:eastAsia="黑体" w:hAnsi="宋体-18030" w:cs="宋体-18030" w:hint="eastAsia"/>
          <w:b/>
          <w:bCs/>
          <w:color w:val="003366"/>
          <w:kern w:val="44"/>
          <w:sz w:val="24"/>
        </w:rPr>
        <w:t>基金集体上涨，</w:t>
      </w:r>
      <w:proofErr w:type="gramStart"/>
      <w:r w:rsidR="00792D7B">
        <w:rPr>
          <w:rFonts w:ascii="黑体" w:eastAsia="黑体" w:hAnsi="宋体-18030" w:cs="宋体-18030" w:hint="eastAsia"/>
          <w:b/>
          <w:bCs/>
          <w:color w:val="003366"/>
          <w:kern w:val="44"/>
          <w:sz w:val="24"/>
        </w:rPr>
        <w:t>股基业绩</w:t>
      </w:r>
      <w:proofErr w:type="gramEnd"/>
      <w:r w:rsidR="00792D7B">
        <w:rPr>
          <w:rFonts w:ascii="黑体" w:eastAsia="黑体" w:hAnsi="宋体-18030" w:cs="宋体-18030" w:hint="eastAsia"/>
          <w:b/>
          <w:bCs/>
          <w:color w:val="003366"/>
          <w:kern w:val="44"/>
          <w:sz w:val="24"/>
        </w:rPr>
        <w:t>最佳</w:t>
      </w:r>
    </w:p>
    <w:p w:rsidR="00ED390B" w:rsidRDefault="009E7B60" w:rsidP="004840D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在10月大盘大幅反弹以及</w:t>
      </w:r>
      <w:proofErr w:type="gramStart"/>
      <w:r>
        <w:rPr>
          <w:rFonts w:ascii="楷体_GB2312" w:eastAsia="楷体_GB2312" w:hAnsi="宋体" w:cs="宋体" w:hint="eastAsia"/>
          <w:kern w:val="0"/>
          <w:szCs w:val="21"/>
        </w:rPr>
        <w:t>债牛未</w:t>
      </w:r>
      <w:proofErr w:type="gramEnd"/>
      <w:r>
        <w:rPr>
          <w:rFonts w:ascii="楷体_GB2312" w:eastAsia="楷体_GB2312" w:hAnsi="宋体" w:cs="宋体" w:hint="eastAsia"/>
          <w:kern w:val="0"/>
          <w:szCs w:val="21"/>
        </w:rPr>
        <w:t>出现反转的背景下，各类型基金</w:t>
      </w:r>
      <w:r w:rsidR="00EE6BAF">
        <w:rPr>
          <w:rFonts w:ascii="楷体_GB2312" w:eastAsia="楷体_GB2312" w:hAnsi="宋体" w:cs="宋体" w:hint="eastAsia"/>
          <w:kern w:val="0"/>
          <w:szCs w:val="21"/>
        </w:rPr>
        <w:t>全线收红</w:t>
      </w:r>
      <w:r w:rsidR="00573C42">
        <w:rPr>
          <w:rFonts w:ascii="楷体_GB2312" w:eastAsia="楷体_GB2312" w:hAnsi="宋体" w:cs="宋体" w:hint="eastAsia"/>
          <w:kern w:val="0"/>
          <w:szCs w:val="21"/>
        </w:rPr>
        <w:t>。</w:t>
      </w:r>
      <w:r w:rsidR="00E51E19">
        <w:rPr>
          <w:rFonts w:ascii="楷体_GB2312" w:eastAsia="楷体_GB2312" w:hAnsi="宋体" w:cs="宋体" w:hint="eastAsia"/>
          <w:kern w:val="0"/>
          <w:szCs w:val="21"/>
        </w:rPr>
        <w:t>截至</w:t>
      </w:r>
      <w:r w:rsidR="00AC3E1E">
        <w:rPr>
          <w:rFonts w:ascii="楷体_GB2312" w:eastAsia="楷体_GB2312" w:hAnsi="宋体" w:cs="宋体" w:hint="eastAsia"/>
          <w:kern w:val="0"/>
          <w:szCs w:val="21"/>
        </w:rPr>
        <w:t>10</w:t>
      </w:r>
      <w:r w:rsidR="00E51E19">
        <w:rPr>
          <w:rFonts w:ascii="楷体_GB2312" w:eastAsia="楷体_GB2312" w:hAnsi="宋体" w:cs="宋体" w:hint="eastAsia"/>
          <w:kern w:val="0"/>
          <w:szCs w:val="21"/>
        </w:rPr>
        <w:t>月2</w:t>
      </w:r>
      <w:r w:rsidR="00AC3E1E">
        <w:rPr>
          <w:rFonts w:ascii="楷体_GB2312" w:eastAsia="楷体_GB2312" w:hAnsi="宋体" w:cs="宋体" w:hint="eastAsia"/>
          <w:kern w:val="0"/>
          <w:szCs w:val="21"/>
        </w:rPr>
        <w:t>8</w:t>
      </w:r>
      <w:r w:rsidR="00E51E19">
        <w:rPr>
          <w:rFonts w:ascii="楷体_GB2312" w:eastAsia="楷体_GB2312" w:hAnsi="宋体" w:cs="宋体" w:hint="eastAsia"/>
          <w:kern w:val="0"/>
          <w:szCs w:val="21"/>
        </w:rPr>
        <w:t>日，全月</w:t>
      </w:r>
      <w:r w:rsidR="00460ACE">
        <w:rPr>
          <w:rFonts w:ascii="楷体_GB2312" w:eastAsia="楷体_GB2312" w:hAnsi="宋体" w:cs="宋体" w:hint="eastAsia"/>
          <w:kern w:val="0"/>
          <w:szCs w:val="21"/>
        </w:rPr>
        <w:t>股票基金</w:t>
      </w:r>
      <w:r w:rsidR="00FE62BA">
        <w:rPr>
          <w:rFonts w:ascii="楷体_GB2312" w:eastAsia="楷体_GB2312" w:hAnsi="宋体" w:cs="宋体" w:hint="eastAsia"/>
          <w:kern w:val="0"/>
          <w:szCs w:val="21"/>
        </w:rPr>
        <w:t>领</w:t>
      </w:r>
      <w:r>
        <w:rPr>
          <w:rFonts w:ascii="楷体_GB2312" w:eastAsia="楷体_GB2312" w:hAnsi="宋体" w:cs="宋体" w:hint="eastAsia"/>
          <w:kern w:val="0"/>
          <w:szCs w:val="21"/>
        </w:rPr>
        <w:t>涨</w:t>
      </w:r>
      <w:r w:rsidR="00FE62BA">
        <w:rPr>
          <w:rFonts w:ascii="楷体_GB2312" w:eastAsia="楷体_GB2312" w:hAnsi="宋体" w:cs="宋体" w:hint="eastAsia"/>
          <w:kern w:val="0"/>
          <w:szCs w:val="21"/>
        </w:rPr>
        <w:t>基金市场，</w:t>
      </w:r>
      <w:r>
        <w:rPr>
          <w:rFonts w:ascii="楷体_GB2312" w:eastAsia="楷体_GB2312" w:hAnsi="宋体" w:cs="宋体" w:hint="eastAsia"/>
          <w:kern w:val="0"/>
          <w:szCs w:val="21"/>
        </w:rPr>
        <w:t>幅度</w:t>
      </w:r>
      <w:r w:rsidR="00FE62BA">
        <w:rPr>
          <w:rFonts w:ascii="楷体_GB2312" w:eastAsia="楷体_GB2312" w:hAnsi="宋体" w:cs="宋体" w:hint="eastAsia"/>
          <w:kern w:val="0"/>
          <w:szCs w:val="21"/>
        </w:rPr>
        <w:t>高达</w:t>
      </w:r>
      <w:r>
        <w:rPr>
          <w:rFonts w:ascii="楷体_GB2312" w:eastAsia="楷体_GB2312" w:hAnsi="宋体" w:cs="宋体" w:hint="eastAsia"/>
          <w:kern w:val="0"/>
          <w:szCs w:val="21"/>
        </w:rPr>
        <w:t>18.36</w:t>
      </w:r>
      <w:r w:rsidR="00FE62BA">
        <w:rPr>
          <w:rFonts w:ascii="楷体_GB2312" w:eastAsia="楷体_GB2312" w:hAnsi="宋体" w:cs="宋体" w:hint="eastAsia"/>
          <w:kern w:val="0"/>
          <w:szCs w:val="21"/>
        </w:rPr>
        <w:t>%</w:t>
      </w:r>
      <w:r>
        <w:rPr>
          <w:rFonts w:ascii="楷体_GB2312" w:eastAsia="楷体_GB2312" w:hAnsi="宋体" w:cs="宋体" w:hint="eastAsia"/>
          <w:kern w:val="0"/>
          <w:szCs w:val="21"/>
        </w:rPr>
        <w:t>，超越同期A股股指涨幅，高</w:t>
      </w:r>
      <w:proofErr w:type="gramStart"/>
      <w:r>
        <w:rPr>
          <w:rFonts w:ascii="楷体_GB2312" w:eastAsia="楷体_GB2312" w:hAnsi="宋体" w:cs="宋体" w:hint="eastAsia"/>
          <w:kern w:val="0"/>
          <w:szCs w:val="21"/>
        </w:rPr>
        <w:t>仓位</w:t>
      </w:r>
      <w:proofErr w:type="gramEnd"/>
      <w:r>
        <w:rPr>
          <w:rFonts w:ascii="楷体_GB2312" w:eastAsia="楷体_GB2312" w:hAnsi="宋体" w:cs="宋体" w:hint="eastAsia"/>
          <w:kern w:val="0"/>
          <w:szCs w:val="21"/>
        </w:rPr>
        <w:t>在市场反弹中优势明显</w:t>
      </w:r>
      <w:r w:rsidR="00FE62BA">
        <w:rPr>
          <w:rFonts w:ascii="楷体_GB2312" w:eastAsia="楷体_GB2312" w:hAnsi="宋体" w:cs="宋体" w:hint="eastAsia"/>
          <w:kern w:val="0"/>
          <w:szCs w:val="21"/>
        </w:rPr>
        <w:t>；</w:t>
      </w:r>
      <w:r>
        <w:rPr>
          <w:rFonts w:ascii="楷体_GB2312" w:eastAsia="楷体_GB2312" w:hAnsi="宋体" w:cs="宋体" w:hint="eastAsia"/>
          <w:kern w:val="0"/>
          <w:szCs w:val="21"/>
        </w:rPr>
        <w:t>指数型</w:t>
      </w:r>
      <w:r w:rsidR="00F444C5">
        <w:rPr>
          <w:rFonts w:ascii="楷体_GB2312" w:eastAsia="楷体_GB2312" w:hAnsi="宋体" w:cs="宋体" w:hint="eastAsia"/>
          <w:kern w:val="0"/>
          <w:szCs w:val="21"/>
        </w:rPr>
        <w:t>基金和混合型基金</w:t>
      </w:r>
      <w:r w:rsidR="00573C42">
        <w:rPr>
          <w:rFonts w:ascii="楷体_GB2312" w:eastAsia="楷体_GB2312" w:hAnsi="宋体" w:cs="宋体" w:hint="eastAsia"/>
          <w:kern w:val="0"/>
          <w:szCs w:val="21"/>
        </w:rPr>
        <w:t>涨幅分别为12.09%和10.62%。</w:t>
      </w:r>
      <w:r w:rsidR="004D33BA">
        <w:rPr>
          <w:rFonts w:ascii="楷体_GB2312" w:eastAsia="楷体_GB2312" w:hAnsi="宋体" w:cs="宋体" w:hint="eastAsia"/>
          <w:kern w:val="0"/>
          <w:szCs w:val="21"/>
        </w:rPr>
        <w:t>债券型基金</w:t>
      </w:r>
      <w:r w:rsidR="00573C42">
        <w:rPr>
          <w:rFonts w:ascii="楷体_GB2312" w:eastAsia="楷体_GB2312" w:hAnsi="宋体" w:cs="宋体" w:hint="eastAsia"/>
          <w:kern w:val="0"/>
          <w:szCs w:val="21"/>
        </w:rPr>
        <w:t>本月收益为1.69%，</w:t>
      </w:r>
      <w:r w:rsidR="00792D7B">
        <w:rPr>
          <w:rFonts w:ascii="楷体_GB2312" w:eastAsia="楷体_GB2312" w:hAnsi="宋体" w:cs="宋体" w:hint="eastAsia"/>
          <w:kern w:val="0"/>
          <w:szCs w:val="21"/>
        </w:rPr>
        <w:t>较上月涨幅提高了近1个百分点。</w:t>
      </w:r>
      <w:r w:rsidR="002E1C77" w:rsidRPr="00FE62BA">
        <w:rPr>
          <w:rFonts w:ascii="楷体_GB2312" w:eastAsia="楷体_GB2312" w:hAnsi="宋体" w:cs="宋体" w:hint="eastAsia"/>
          <w:kern w:val="0"/>
          <w:szCs w:val="21"/>
        </w:rPr>
        <w:t>受全球市场走</w:t>
      </w:r>
      <w:r w:rsidR="002E1C77">
        <w:rPr>
          <w:rFonts w:ascii="楷体_GB2312" w:eastAsia="楷体_GB2312" w:hAnsi="宋体" w:cs="宋体" w:hint="eastAsia"/>
          <w:kern w:val="0"/>
          <w:szCs w:val="21"/>
        </w:rPr>
        <w:t>强</w:t>
      </w:r>
      <w:r w:rsidR="002E1C77" w:rsidRPr="00FE62BA">
        <w:rPr>
          <w:rFonts w:ascii="楷体_GB2312" w:eastAsia="楷体_GB2312" w:hAnsi="宋体" w:cs="宋体" w:hint="eastAsia"/>
          <w:kern w:val="0"/>
          <w:szCs w:val="21"/>
        </w:rPr>
        <w:t>影响，QDII</w:t>
      </w:r>
      <w:r w:rsidR="002E1C77">
        <w:rPr>
          <w:rFonts w:ascii="楷体_GB2312" w:eastAsia="楷体_GB2312" w:hAnsi="宋体" w:cs="宋体" w:hint="eastAsia"/>
          <w:kern w:val="0"/>
          <w:szCs w:val="21"/>
        </w:rPr>
        <w:t>业绩</w:t>
      </w:r>
      <w:r w:rsidR="002E1C77" w:rsidRPr="00FE62BA">
        <w:rPr>
          <w:rFonts w:ascii="楷体_GB2312" w:eastAsia="楷体_GB2312" w:hAnsi="宋体" w:cs="宋体" w:hint="eastAsia"/>
          <w:kern w:val="0"/>
          <w:szCs w:val="21"/>
        </w:rPr>
        <w:t>整体</w:t>
      </w:r>
      <w:r w:rsidR="002E1C77">
        <w:rPr>
          <w:rFonts w:ascii="楷体_GB2312" w:eastAsia="楷体_GB2312" w:hAnsi="宋体" w:cs="宋体" w:hint="eastAsia"/>
          <w:kern w:val="0"/>
          <w:szCs w:val="21"/>
        </w:rPr>
        <w:t>上升6.89</w:t>
      </w:r>
      <w:r w:rsidR="002E1C77" w:rsidRPr="00FE62BA">
        <w:rPr>
          <w:rFonts w:ascii="楷体_GB2312" w:eastAsia="楷体_GB2312" w:hAnsi="宋体" w:cs="宋体" w:hint="eastAsia"/>
          <w:kern w:val="0"/>
          <w:szCs w:val="21"/>
        </w:rPr>
        <w:t>%</w:t>
      </w:r>
      <w:r w:rsidR="002E1C77">
        <w:rPr>
          <w:rFonts w:ascii="楷体_GB2312" w:eastAsia="楷体_GB2312" w:hAnsi="宋体" w:cs="宋体" w:hint="eastAsia"/>
          <w:kern w:val="0"/>
          <w:szCs w:val="21"/>
        </w:rPr>
        <w:t>。相比其他基金，只有</w:t>
      </w:r>
      <w:r w:rsidR="004D33BA">
        <w:rPr>
          <w:rFonts w:ascii="楷体_GB2312" w:eastAsia="楷体_GB2312" w:hAnsi="宋体" w:cs="宋体" w:hint="eastAsia"/>
          <w:kern w:val="0"/>
          <w:szCs w:val="21"/>
        </w:rPr>
        <w:t>货币市场基金</w:t>
      </w:r>
      <w:r w:rsidR="00792D7B">
        <w:rPr>
          <w:rFonts w:ascii="楷体_GB2312" w:eastAsia="楷体_GB2312" w:hAnsi="宋体" w:cs="宋体" w:hint="eastAsia"/>
          <w:kern w:val="0"/>
          <w:szCs w:val="21"/>
        </w:rPr>
        <w:t>月度</w:t>
      </w:r>
      <w:r w:rsidR="00573C42">
        <w:rPr>
          <w:rFonts w:ascii="楷体_GB2312" w:eastAsia="楷体_GB2312" w:hAnsi="宋体" w:cs="宋体" w:hint="eastAsia"/>
          <w:kern w:val="0"/>
          <w:szCs w:val="21"/>
        </w:rPr>
        <w:t>收益较上月</w:t>
      </w:r>
      <w:r w:rsidR="00792D7B">
        <w:rPr>
          <w:rFonts w:ascii="楷体_GB2312" w:eastAsia="楷体_GB2312" w:hAnsi="宋体" w:cs="宋体" w:hint="eastAsia"/>
          <w:kern w:val="0"/>
          <w:szCs w:val="21"/>
        </w:rPr>
        <w:t>微降</w:t>
      </w:r>
      <w:r w:rsidR="002E1C77">
        <w:rPr>
          <w:rFonts w:ascii="楷体_GB2312" w:eastAsia="楷体_GB2312" w:hAnsi="宋体" w:cs="宋体" w:hint="eastAsia"/>
          <w:kern w:val="0"/>
          <w:szCs w:val="21"/>
        </w:rPr>
        <w:t>，市场利率持续下行</w:t>
      </w:r>
      <w:r w:rsidR="00000B83">
        <w:rPr>
          <w:rFonts w:ascii="楷体_GB2312" w:eastAsia="楷体_GB2312" w:hAnsi="宋体" w:cs="宋体" w:hint="eastAsia"/>
          <w:kern w:val="0"/>
          <w:szCs w:val="21"/>
        </w:rPr>
        <w:t>导致</w:t>
      </w:r>
      <w:r w:rsidR="002E1C77">
        <w:rPr>
          <w:rFonts w:ascii="楷体_GB2312" w:eastAsia="楷体_GB2312" w:hAnsi="宋体" w:cs="宋体" w:hint="eastAsia"/>
          <w:kern w:val="0"/>
          <w:szCs w:val="21"/>
        </w:rPr>
        <w:t>货币市场收益率下降趋势</w:t>
      </w:r>
      <w:r w:rsidR="00000B83">
        <w:rPr>
          <w:rFonts w:ascii="楷体_GB2312" w:eastAsia="楷体_GB2312" w:hAnsi="宋体" w:cs="宋体" w:hint="eastAsia"/>
          <w:kern w:val="0"/>
          <w:szCs w:val="21"/>
        </w:rPr>
        <w:t>仍</w:t>
      </w:r>
      <w:r w:rsidR="002E1C77">
        <w:rPr>
          <w:rFonts w:ascii="楷体_GB2312" w:eastAsia="楷体_GB2312" w:hAnsi="宋体" w:cs="宋体" w:hint="eastAsia"/>
          <w:kern w:val="0"/>
          <w:szCs w:val="21"/>
        </w:rPr>
        <w:t>将延续</w:t>
      </w:r>
      <w:r w:rsidR="00573C42">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9A18F4" w:rsidRPr="00F15A8A" w:rsidTr="00DE017A">
        <w:tc>
          <w:tcPr>
            <w:tcW w:w="6521" w:type="dxa"/>
            <w:tcBorders>
              <w:bottom w:val="single" w:sz="4" w:space="0" w:color="FF0000"/>
            </w:tcBorders>
          </w:tcPr>
          <w:p w:rsidR="009A18F4" w:rsidRPr="00F15A8A" w:rsidRDefault="009A18F4" w:rsidP="008E5BBA">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图7、本月各类型基金</w:t>
            </w:r>
            <w:r w:rsidR="008E5BBA">
              <w:rPr>
                <w:rFonts w:ascii="楷体_GB2312" w:eastAsia="楷体_GB2312" w:hint="eastAsia"/>
                <w:b/>
                <w:color w:val="000000"/>
                <w:sz w:val="18"/>
                <w:szCs w:val="18"/>
              </w:rPr>
              <w:t>收益率</w:t>
            </w:r>
          </w:p>
        </w:tc>
      </w:tr>
      <w:tr w:rsidR="009A18F4" w:rsidRPr="00F15A8A" w:rsidTr="001C24D7">
        <w:trPr>
          <w:trHeight w:val="3184"/>
        </w:trPr>
        <w:tc>
          <w:tcPr>
            <w:tcW w:w="6521" w:type="dxa"/>
            <w:tcBorders>
              <w:top w:val="single" w:sz="4" w:space="0" w:color="FF0000"/>
              <w:bottom w:val="single" w:sz="4" w:space="0" w:color="FF0000"/>
            </w:tcBorders>
          </w:tcPr>
          <w:p w:rsidR="009A18F4" w:rsidRPr="00F15A8A" w:rsidRDefault="009E7B60" w:rsidP="00DE017A">
            <w:pPr>
              <w:spacing w:line="360" w:lineRule="auto"/>
              <w:jc w:val="center"/>
              <w:rPr>
                <w:rFonts w:ascii="楷体_GB2312" w:eastAsia="楷体_GB2312"/>
                <w:color w:val="000000"/>
                <w:sz w:val="18"/>
                <w:szCs w:val="18"/>
              </w:rPr>
            </w:pPr>
            <w:r w:rsidRPr="009E7B60">
              <w:rPr>
                <w:rFonts w:ascii="楷体_GB2312" w:eastAsia="楷体_GB2312"/>
                <w:noProof/>
                <w:color w:val="000000"/>
                <w:sz w:val="18"/>
                <w:szCs w:val="18"/>
              </w:rPr>
              <w:drawing>
                <wp:inline distT="0" distB="0" distL="0" distR="0">
                  <wp:extent cx="3838575" cy="2235994"/>
                  <wp:effectExtent l="0" t="0" r="0" b="0"/>
                  <wp:docPr id="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A18F4" w:rsidRPr="005059AD" w:rsidTr="00DE017A">
        <w:tc>
          <w:tcPr>
            <w:tcW w:w="6521" w:type="dxa"/>
            <w:tcBorders>
              <w:top w:val="single" w:sz="4" w:space="0" w:color="FF0000"/>
            </w:tcBorders>
          </w:tcPr>
          <w:p w:rsidR="009A18F4" w:rsidRDefault="009A18F4" w:rsidP="004D33BA">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 上海证券基金评价研究中心</w:t>
            </w:r>
          </w:p>
          <w:p w:rsidR="004D33BA" w:rsidRPr="004D33BA" w:rsidRDefault="004D33BA" w:rsidP="004D33BA">
            <w:pPr>
              <w:rPr>
                <w:rFonts w:ascii="楷体_GB2312" w:eastAsia="楷体_GB2312"/>
                <w:noProof/>
                <w:color w:val="000000"/>
                <w:sz w:val="18"/>
                <w:szCs w:val="18"/>
              </w:rPr>
            </w:pPr>
            <w:r>
              <w:rPr>
                <w:rFonts w:ascii="楷体_GB2312" w:eastAsia="楷体_GB2312" w:hint="eastAsia"/>
                <w:noProof/>
                <w:color w:val="000000"/>
                <w:sz w:val="18"/>
                <w:szCs w:val="18"/>
              </w:rPr>
              <w:t>注：中国股基指数、中国混基指数和中国债基指数</w:t>
            </w:r>
            <w:r w:rsidR="00F54C25">
              <w:rPr>
                <w:rFonts w:ascii="楷体_GB2312" w:eastAsia="楷体_GB2312" w:hint="eastAsia"/>
                <w:noProof/>
                <w:color w:val="000000"/>
                <w:sz w:val="18"/>
                <w:szCs w:val="18"/>
              </w:rPr>
              <w:t>由</w:t>
            </w:r>
            <w:r w:rsidR="00F54C25" w:rsidRPr="00F54C25">
              <w:rPr>
                <w:rFonts w:ascii="楷体_GB2312" w:eastAsia="楷体_GB2312" w:hint="eastAsia"/>
                <w:noProof/>
                <w:color w:val="000000"/>
                <w:sz w:val="18"/>
                <w:szCs w:val="18"/>
              </w:rPr>
              <w:t>深圳证券信息公司、中国基金报和上海证券合作编制</w:t>
            </w:r>
            <w:r w:rsidR="00F54C25">
              <w:rPr>
                <w:rFonts w:ascii="楷体_GB2312" w:eastAsia="楷体_GB2312" w:hint="eastAsia"/>
                <w:noProof/>
                <w:color w:val="000000"/>
                <w:sz w:val="18"/>
                <w:szCs w:val="18"/>
              </w:rPr>
              <w:t>。</w:t>
            </w:r>
          </w:p>
        </w:tc>
      </w:tr>
    </w:tbl>
    <w:p w:rsidR="00F73995" w:rsidRPr="005E4592" w:rsidRDefault="00F73995" w:rsidP="004840D3">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Pr>
          <w:rFonts w:ascii="黑体" w:eastAsia="黑体" w:hAnsi="宋体-18030" w:cs="宋体-18030" w:hint="eastAsia"/>
          <w:b/>
          <w:bCs/>
          <w:color w:val="003366"/>
          <w:kern w:val="44"/>
          <w:sz w:val="24"/>
        </w:rPr>
        <w:t>市场信息和数据解读</w:t>
      </w:r>
    </w:p>
    <w:p w:rsidR="00F73995" w:rsidRPr="006E262D" w:rsidRDefault="00F73995" w:rsidP="004840D3">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数据显示欧元区经济</w:t>
      </w:r>
      <w:r w:rsidR="00C151A1">
        <w:rPr>
          <w:rFonts w:ascii="楷体_GB2312" w:eastAsia="楷体_GB2312" w:hAnsi="宋体" w:cs="宋体" w:hint="eastAsia"/>
          <w:kern w:val="0"/>
          <w:szCs w:val="21"/>
        </w:rPr>
        <w:t>复苏没有加速，仍面临通缩和衰退风险。</w:t>
      </w:r>
      <w:r w:rsidRPr="006E262D">
        <w:rPr>
          <w:rFonts w:ascii="楷体_GB2312" w:eastAsia="楷体_GB2312" w:hAnsi="宋体" w:cs="宋体" w:hint="eastAsia"/>
          <w:kern w:val="0"/>
          <w:szCs w:val="21"/>
        </w:rPr>
        <w:t>10月</w:t>
      </w:r>
      <w:proofErr w:type="spellStart"/>
      <w:r w:rsidRPr="006E262D">
        <w:rPr>
          <w:rFonts w:ascii="楷体_GB2312" w:eastAsia="楷体_GB2312" w:hAnsi="宋体" w:cs="宋体" w:hint="eastAsia"/>
          <w:kern w:val="0"/>
          <w:szCs w:val="21"/>
        </w:rPr>
        <w:t>Markit</w:t>
      </w:r>
      <w:proofErr w:type="spellEnd"/>
      <w:r w:rsidRPr="006E262D">
        <w:rPr>
          <w:rFonts w:ascii="楷体_GB2312" w:eastAsia="楷体_GB2312" w:hAnsi="宋体" w:cs="宋体" w:hint="eastAsia"/>
          <w:kern w:val="0"/>
          <w:szCs w:val="21"/>
        </w:rPr>
        <w:t>综合采购经理人指数(PMI)初值为54.0，略高于9月的53.6</w:t>
      </w:r>
      <w:r w:rsidR="00C151A1">
        <w:rPr>
          <w:rFonts w:ascii="楷体_GB2312" w:eastAsia="楷体_GB2312" w:hAnsi="宋体" w:cs="宋体" w:hint="eastAsia"/>
          <w:kern w:val="0"/>
          <w:szCs w:val="21"/>
        </w:rPr>
        <w:t>，但低于8月份的54.3，</w:t>
      </w:r>
      <w:r w:rsidRPr="006E262D">
        <w:rPr>
          <w:rFonts w:ascii="楷体_GB2312" w:eastAsia="楷体_GB2312" w:hAnsi="宋体" w:cs="宋体" w:hint="eastAsia"/>
          <w:kern w:val="0"/>
          <w:szCs w:val="21"/>
        </w:rPr>
        <w:t>该指数自2013年7月以来一直高于荣枯分水岭50。9月CPI</w:t>
      </w:r>
      <w:proofErr w:type="gramStart"/>
      <w:r w:rsidRPr="006E262D">
        <w:rPr>
          <w:rFonts w:ascii="楷体_GB2312" w:eastAsia="楷体_GB2312" w:hAnsi="宋体" w:cs="宋体" w:hint="eastAsia"/>
          <w:kern w:val="0"/>
          <w:szCs w:val="21"/>
        </w:rPr>
        <w:t>同比转</w:t>
      </w:r>
      <w:proofErr w:type="gramEnd"/>
      <w:r w:rsidRPr="006E262D">
        <w:rPr>
          <w:rFonts w:ascii="楷体_GB2312" w:eastAsia="楷体_GB2312" w:hAnsi="宋体" w:cs="宋体" w:hint="eastAsia"/>
          <w:kern w:val="0"/>
          <w:szCs w:val="21"/>
        </w:rPr>
        <w:t>负,通</w:t>
      </w:r>
      <w:proofErr w:type="gramStart"/>
      <w:r w:rsidRPr="006E262D">
        <w:rPr>
          <w:rFonts w:ascii="楷体_GB2312" w:eastAsia="楷体_GB2312" w:hAnsi="宋体" w:cs="宋体" w:hint="eastAsia"/>
          <w:kern w:val="0"/>
          <w:szCs w:val="21"/>
        </w:rPr>
        <w:t>缩压力</w:t>
      </w:r>
      <w:proofErr w:type="gramEnd"/>
      <w:r w:rsidRPr="006E262D">
        <w:rPr>
          <w:rFonts w:ascii="楷体_GB2312" w:eastAsia="楷体_GB2312" w:hAnsi="宋体" w:cs="宋体" w:hint="eastAsia"/>
          <w:kern w:val="0"/>
          <w:szCs w:val="21"/>
        </w:rPr>
        <w:t>仍存。16日的数据显示欧元区9月CPI同比-0.1%,为自今年3月以来首次转负,而核心CPI同比持平于0.9%。欧洲央行行长德拉吉近期表示：“</w:t>
      </w:r>
      <w:r w:rsidR="00904B45">
        <w:rPr>
          <w:rFonts w:ascii="楷体_GB2312" w:eastAsia="楷体_GB2312" w:hAnsi="宋体" w:cs="宋体" w:hint="eastAsia"/>
          <w:kern w:val="0"/>
          <w:szCs w:val="21"/>
        </w:rPr>
        <w:t>1</w:t>
      </w:r>
      <w:r w:rsidRPr="006E262D">
        <w:rPr>
          <w:rFonts w:ascii="楷体_GB2312" w:eastAsia="楷体_GB2312" w:hAnsi="宋体" w:cs="宋体" w:hint="eastAsia"/>
          <w:kern w:val="0"/>
          <w:szCs w:val="21"/>
        </w:rPr>
        <w:t>2月份必须重新审视货币政策宽松的程度。如有必要，QE将实施至2016年9月甚至更晚时候”。长期的QE政策刺</w:t>
      </w:r>
      <w:r w:rsidRPr="006E262D">
        <w:rPr>
          <w:rFonts w:ascii="楷体_GB2312" w:eastAsia="楷体_GB2312" w:hAnsi="宋体" w:cs="宋体" w:hint="eastAsia"/>
          <w:kern w:val="0"/>
          <w:szCs w:val="21"/>
        </w:rPr>
        <w:lastRenderedPageBreak/>
        <w:t>激将利于欧洲经济企稳向好。</w:t>
      </w:r>
    </w:p>
    <w:p w:rsidR="00F73995" w:rsidRPr="006E262D" w:rsidRDefault="00F73995" w:rsidP="004840D3">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美国经济增长势头良好</w:t>
      </w:r>
      <w:r w:rsidR="00C151A1">
        <w:rPr>
          <w:rFonts w:ascii="楷体_GB2312" w:eastAsia="楷体_GB2312" w:hAnsi="宋体" w:cs="宋体" w:hint="eastAsia"/>
          <w:kern w:val="0"/>
          <w:szCs w:val="21"/>
        </w:rPr>
        <w:t>，商</w:t>
      </w:r>
      <w:r w:rsidRPr="006E262D">
        <w:rPr>
          <w:rFonts w:ascii="楷体_GB2312" w:eastAsia="楷体_GB2312" w:hAnsi="宋体" w:cs="宋体" w:hint="eastAsia"/>
          <w:kern w:val="0"/>
          <w:szCs w:val="21"/>
        </w:rPr>
        <w:t>务部的数据显示美国第二季度实际GDP</w:t>
      </w:r>
      <w:proofErr w:type="gramStart"/>
      <w:r w:rsidRPr="006E262D">
        <w:rPr>
          <w:rFonts w:ascii="楷体_GB2312" w:eastAsia="楷体_GB2312" w:hAnsi="宋体" w:cs="宋体" w:hint="eastAsia"/>
          <w:kern w:val="0"/>
          <w:szCs w:val="21"/>
        </w:rPr>
        <w:t>年化季</w:t>
      </w:r>
      <w:proofErr w:type="gramEnd"/>
      <w:r w:rsidRPr="006E262D">
        <w:rPr>
          <w:rFonts w:ascii="楷体_GB2312" w:eastAsia="楷体_GB2312" w:hAnsi="宋体" w:cs="宋体" w:hint="eastAsia"/>
          <w:kern w:val="0"/>
          <w:szCs w:val="21"/>
        </w:rPr>
        <w:t>增长率为3.9%；密歇根大学的数据显示美国10月密歇根大学消费者信心指数数初值升至92.1，为连续三个月下滑后首次上升；</w:t>
      </w:r>
      <w:proofErr w:type="spellStart"/>
      <w:r w:rsidRPr="006E262D">
        <w:rPr>
          <w:rFonts w:ascii="楷体_GB2312" w:eastAsia="楷体_GB2312" w:hAnsi="宋体" w:cs="宋体" w:hint="eastAsia"/>
          <w:kern w:val="0"/>
          <w:szCs w:val="21"/>
        </w:rPr>
        <w:t>Markit</w:t>
      </w:r>
      <w:proofErr w:type="spellEnd"/>
      <w:r w:rsidRPr="006E262D">
        <w:rPr>
          <w:rFonts w:ascii="楷体_GB2312" w:eastAsia="楷体_GB2312" w:hAnsi="宋体" w:cs="宋体" w:hint="eastAsia"/>
          <w:kern w:val="0"/>
          <w:szCs w:val="21"/>
        </w:rPr>
        <w:t>的数据显示美国10月</w:t>
      </w:r>
      <w:proofErr w:type="spellStart"/>
      <w:r w:rsidRPr="006E262D">
        <w:rPr>
          <w:rFonts w:ascii="楷体_GB2312" w:eastAsia="楷体_GB2312" w:hAnsi="宋体" w:cs="宋体" w:hint="eastAsia"/>
          <w:kern w:val="0"/>
          <w:szCs w:val="21"/>
        </w:rPr>
        <w:t>Markit</w:t>
      </w:r>
      <w:proofErr w:type="spellEnd"/>
      <w:r w:rsidRPr="006E262D">
        <w:rPr>
          <w:rFonts w:ascii="楷体_GB2312" w:eastAsia="楷体_GB2312" w:hAnsi="宋体" w:cs="宋体" w:hint="eastAsia"/>
          <w:kern w:val="0"/>
          <w:szCs w:val="21"/>
        </w:rPr>
        <w:t>综合PMI初值为54.5，服务业PMI初值为54.4。</w:t>
      </w:r>
    </w:p>
    <w:p w:rsidR="00F73995" w:rsidRPr="006E262D" w:rsidRDefault="00F73995" w:rsidP="004840D3">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美国的经济增长主要是依靠工业回归、科技升级和房地产市场周期的自然增长。上周（10月19日-10月25日）</w:t>
      </w:r>
      <w:proofErr w:type="gramStart"/>
      <w:r w:rsidRPr="006E262D">
        <w:rPr>
          <w:rFonts w:ascii="楷体_GB2312" w:eastAsia="楷体_GB2312" w:hAnsi="宋体" w:cs="宋体" w:hint="eastAsia"/>
          <w:kern w:val="0"/>
          <w:szCs w:val="21"/>
        </w:rPr>
        <w:t>初请失业金人数</w:t>
      </w:r>
      <w:proofErr w:type="gramEnd"/>
      <w:r w:rsidRPr="006E262D">
        <w:rPr>
          <w:rFonts w:ascii="楷体_GB2312" w:eastAsia="楷体_GB2312" w:hAnsi="宋体" w:cs="宋体" w:hint="eastAsia"/>
          <w:kern w:val="0"/>
          <w:szCs w:val="21"/>
        </w:rPr>
        <w:t>25.9万，好于预期的26.5万，四周均值创42年新低。9月</w:t>
      </w:r>
      <w:proofErr w:type="gramStart"/>
      <w:r w:rsidRPr="006E262D">
        <w:rPr>
          <w:rFonts w:ascii="楷体_GB2312" w:eastAsia="楷体_GB2312" w:hAnsi="宋体" w:cs="宋体" w:hint="eastAsia"/>
          <w:kern w:val="0"/>
          <w:szCs w:val="21"/>
        </w:rPr>
        <w:t>谘</w:t>
      </w:r>
      <w:proofErr w:type="gramEnd"/>
      <w:r w:rsidRPr="006E262D">
        <w:rPr>
          <w:rFonts w:ascii="楷体_GB2312" w:eastAsia="楷体_GB2312" w:hAnsi="宋体" w:cs="宋体" w:hint="eastAsia"/>
          <w:kern w:val="0"/>
          <w:szCs w:val="21"/>
        </w:rPr>
        <w:t>商会领先指标（LEI）环比下跌0.2％，连续第三个月不及预期。9月成屋销售</w:t>
      </w:r>
      <w:proofErr w:type="gramStart"/>
      <w:r w:rsidRPr="006E262D">
        <w:rPr>
          <w:rFonts w:ascii="楷体_GB2312" w:eastAsia="楷体_GB2312" w:hAnsi="宋体" w:cs="宋体" w:hint="eastAsia"/>
          <w:kern w:val="0"/>
          <w:szCs w:val="21"/>
        </w:rPr>
        <w:t>总数年化</w:t>
      </w:r>
      <w:r>
        <w:rPr>
          <w:rFonts w:ascii="楷体_GB2312" w:eastAsia="楷体_GB2312" w:hAnsi="宋体" w:cs="宋体" w:hint="eastAsia"/>
          <w:kern w:val="0"/>
          <w:szCs w:val="21"/>
        </w:rPr>
        <w:t>555</w:t>
      </w:r>
      <w:r w:rsidRPr="006E262D">
        <w:rPr>
          <w:rFonts w:ascii="楷体_GB2312" w:eastAsia="楷体_GB2312" w:hAnsi="宋体" w:cs="宋体" w:hint="eastAsia"/>
          <w:kern w:val="0"/>
          <w:szCs w:val="21"/>
        </w:rPr>
        <w:t>万</w:t>
      </w:r>
      <w:proofErr w:type="gramEnd"/>
      <w:r w:rsidRPr="006E262D">
        <w:rPr>
          <w:rFonts w:ascii="楷体_GB2312" w:eastAsia="楷体_GB2312" w:hAnsi="宋体" w:cs="宋体" w:hint="eastAsia"/>
          <w:kern w:val="0"/>
          <w:szCs w:val="21"/>
        </w:rPr>
        <w:t>，高于市场预期的539万。9月新屋开建数量增长6.5%，</w:t>
      </w:r>
      <w:proofErr w:type="gramStart"/>
      <w:r w:rsidRPr="006E262D">
        <w:rPr>
          <w:rFonts w:ascii="楷体_GB2312" w:eastAsia="楷体_GB2312" w:hAnsi="宋体" w:cs="宋体" w:hint="eastAsia"/>
          <w:kern w:val="0"/>
          <w:szCs w:val="21"/>
        </w:rPr>
        <w:t>年化数字</w:t>
      </w:r>
      <w:proofErr w:type="gramEnd"/>
      <w:r w:rsidRPr="006E262D">
        <w:rPr>
          <w:rFonts w:ascii="楷体_GB2312" w:eastAsia="楷体_GB2312" w:hAnsi="宋体" w:cs="宋体" w:hint="eastAsia"/>
          <w:kern w:val="0"/>
          <w:szCs w:val="21"/>
        </w:rPr>
        <w:t>攀升至121万幢，创近8年新高。此前经济学家平均预期该数字将为114万幢。10月住宅建筑商信心指数上涨3点，升至64点，创2005年10月以来最高值。数据表明美国住宅建筑</w:t>
      </w:r>
      <w:proofErr w:type="gramStart"/>
      <w:r w:rsidRPr="006E262D">
        <w:rPr>
          <w:rFonts w:ascii="楷体_GB2312" w:eastAsia="楷体_GB2312" w:hAnsi="宋体" w:cs="宋体" w:hint="eastAsia"/>
          <w:kern w:val="0"/>
          <w:szCs w:val="21"/>
        </w:rPr>
        <w:t>商信心</w:t>
      </w:r>
      <w:proofErr w:type="gramEnd"/>
      <w:r w:rsidRPr="006E262D">
        <w:rPr>
          <w:rFonts w:ascii="楷体_GB2312" w:eastAsia="楷体_GB2312" w:hAnsi="宋体" w:cs="宋体" w:hint="eastAsia"/>
          <w:kern w:val="0"/>
          <w:szCs w:val="21"/>
        </w:rPr>
        <w:t>已攀升至上次房地产市场繁荣以来的最高值。美国三大科技巨头微软、谷歌和亚马逊上周先后公布三季度财报，业绩亮眼，其中云服务收入占比最大。</w:t>
      </w:r>
    </w:p>
    <w:p w:rsidR="00F73995" w:rsidRPr="001118DF" w:rsidRDefault="00F73995" w:rsidP="004840D3">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10月数据显示中国经济继续低迷</w:t>
      </w:r>
      <w:r>
        <w:rPr>
          <w:rFonts w:ascii="楷体_GB2312" w:eastAsia="楷体_GB2312" w:hAnsi="宋体" w:cs="宋体" w:hint="eastAsia"/>
          <w:kern w:val="0"/>
          <w:szCs w:val="21"/>
        </w:rPr>
        <w:t>1</w:t>
      </w:r>
      <w:r w:rsidRPr="006E262D">
        <w:rPr>
          <w:rFonts w:ascii="楷体_GB2312" w:eastAsia="楷体_GB2312" w:hAnsi="宋体" w:cs="宋体" w:hint="eastAsia"/>
          <w:kern w:val="0"/>
          <w:szCs w:val="21"/>
        </w:rPr>
        <w:t>9日统计局的数据显示，1-9月社会消费品零售总额216080亿元，同比增长10.5%；1-9月份全国房地产开发投资70535亿元，同比名义增长2.6%；1-9月全国固定资产投资（不含农户）394531亿元，同比名义增长10.3%；9月规模以上工业增加值同比实际增长5.7%；27日统计局的数据显示，1-9月规模以上工业企业利润总额43032.4亿元，同比降1.7%。</w:t>
      </w:r>
      <w:proofErr w:type="gramStart"/>
      <w:r w:rsidRPr="006E262D">
        <w:rPr>
          <w:rFonts w:ascii="楷体_GB2312" w:eastAsia="楷体_GB2312" w:hAnsi="宋体" w:cs="宋体" w:hint="eastAsia"/>
          <w:kern w:val="0"/>
          <w:szCs w:val="21"/>
        </w:rPr>
        <w:t>由于财新传媒</w:t>
      </w:r>
      <w:proofErr w:type="gramEnd"/>
      <w:r w:rsidRPr="006E262D">
        <w:rPr>
          <w:rFonts w:ascii="楷体_GB2312" w:eastAsia="楷体_GB2312" w:hAnsi="宋体" w:cs="宋体" w:hint="eastAsia"/>
          <w:kern w:val="0"/>
          <w:szCs w:val="21"/>
        </w:rPr>
        <w:t>宣布自10月起不再发布中国制造业PMI预览值数据，我们选用由中国民生银行和中国新供应经济研究院共同编制的非官方采购经理人指数，即民新PMI指数来替代。10月民新制造业PMI数据从10月的43上升到43.3，而非制造业指数从42.3上升到44.2。</w:t>
      </w:r>
    </w:p>
    <w:p w:rsidR="00F73995" w:rsidRPr="00816D44" w:rsidRDefault="00F73995" w:rsidP="004840D3">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三、组合业绩回顾</w:t>
      </w:r>
    </w:p>
    <w:p w:rsidR="00F73995" w:rsidRPr="00632368" w:rsidRDefault="00F73995" w:rsidP="00F73995">
      <w:pPr>
        <w:ind w:leftChars="1350" w:left="2835" w:firstLine="420"/>
        <w:rPr>
          <w:rFonts w:ascii="楷体_GB2312" w:eastAsia="楷体_GB2312"/>
          <w:noProof/>
          <w:color w:val="000000" w:themeColor="text1"/>
        </w:rPr>
      </w:pPr>
      <w:r w:rsidRPr="00DA1BEC">
        <w:rPr>
          <w:rFonts w:ascii="楷体_GB2312" w:eastAsia="楷体_GB2312" w:hint="eastAsia"/>
          <w:noProof/>
          <w:color w:val="000000" w:themeColor="text1"/>
        </w:rPr>
        <w:t>自2011年2月以来，截至2015年</w:t>
      </w:r>
      <w:r>
        <w:rPr>
          <w:rFonts w:ascii="楷体_GB2312" w:eastAsia="楷体_GB2312"/>
          <w:noProof/>
          <w:color w:val="000000" w:themeColor="text1"/>
        </w:rPr>
        <w:t>10</w:t>
      </w:r>
      <w:r>
        <w:rPr>
          <w:rFonts w:ascii="楷体_GB2312" w:eastAsia="楷体_GB2312" w:hint="eastAsia"/>
          <w:noProof/>
          <w:color w:val="000000" w:themeColor="text1"/>
        </w:rPr>
        <w:t>月2</w:t>
      </w:r>
      <w:r>
        <w:rPr>
          <w:rFonts w:ascii="楷体_GB2312" w:eastAsia="楷体_GB2312"/>
          <w:noProof/>
          <w:color w:val="000000" w:themeColor="text1"/>
        </w:rPr>
        <w:t>8</w:t>
      </w:r>
      <w:r>
        <w:rPr>
          <w:rFonts w:ascii="楷体_GB2312" w:eastAsia="楷体_GB2312" w:hint="eastAsia"/>
          <w:noProof/>
          <w:color w:val="000000" w:themeColor="text1"/>
        </w:rPr>
        <w:t>日上证综指</w:t>
      </w:r>
      <w:r w:rsidRPr="00DA1BEC">
        <w:rPr>
          <w:rFonts w:ascii="楷体_GB2312" w:eastAsia="楷体_GB2312" w:hint="eastAsia"/>
          <w:noProof/>
          <w:color w:val="000000" w:themeColor="text1"/>
        </w:rPr>
        <w:t>上涨</w:t>
      </w:r>
      <w:r>
        <w:rPr>
          <w:rFonts w:ascii="楷体_GB2312" w:eastAsia="楷体_GB2312"/>
          <w:noProof/>
          <w:color w:val="000000" w:themeColor="text1"/>
        </w:rPr>
        <w:t>20.94</w:t>
      </w:r>
      <w:r>
        <w:rPr>
          <w:rFonts w:ascii="楷体_GB2312" w:eastAsia="楷体_GB2312" w:hint="eastAsia"/>
          <w:noProof/>
          <w:color w:val="000000" w:themeColor="text1"/>
        </w:rPr>
        <w:t>%、深成指下跌</w:t>
      </w:r>
      <w:r>
        <w:rPr>
          <w:rFonts w:ascii="楷体_GB2312" w:eastAsia="楷体_GB2312"/>
          <w:noProof/>
          <w:color w:val="000000" w:themeColor="text1"/>
        </w:rPr>
        <w:t>4.17</w:t>
      </w:r>
      <w:r>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。上海证券三个风险等级组合</w:t>
      </w:r>
      <w:r>
        <w:rPr>
          <w:rFonts w:ascii="楷体_GB2312" w:eastAsia="楷体_GB2312" w:hint="eastAsia"/>
          <w:noProof/>
          <w:color w:val="000000" w:themeColor="text1"/>
        </w:rPr>
        <w:t>全线超越业绩比较基准，实现良好收益。具体来看，</w:t>
      </w:r>
      <w:r w:rsidRPr="00DA1BEC">
        <w:rPr>
          <w:rFonts w:ascii="楷体_GB2312" w:eastAsia="楷体_GB2312" w:hint="eastAsia"/>
          <w:noProof/>
          <w:color w:val="000000" w:themeColor="text1"/>
        </w:rPr>
        <w:t>积极型、平衡型、稳健型累计分别上涨</w:t>
      </w:r>
      <w:r>
        <w:rPr>
          <w:rFonts w:ascii="楷体_GB2312" w:eastAsia="楷体_GB2312"/>
          <w:b/>
          <w:noProof/>
          <w:color w:val="000000" w:themeColor="text1"/>
        </w:rPr>
        <w:t>125.64</w:t>
      </w:r>
      <w:r w:rsidRPr="00236F99">
        <w:rPr>
          <w:rFonts w:ascii="楷体_GB2312" w:eastAsia="楷体_GB2312"/>
          <w:b/>
          <w:noProof/>
          <w:color w:val="000000" w:themeColor="text1"/>
        </w:rPr>
        <w:t>%</w:t>
      </w:r>
      <w:r>
        <w:rPr>
          <w:rFonts w:ascii="楷体_GB2312" w:eastAsia="楷体_GB2312" w:hint="eastAsia"/>
          <w:b/>
          <w:noProof/>
          <w:color w:val="000000" w:themeColor="text1"/>
        </w:rPr>
        <w:t>、</w:t>
      </w:r>
      <w:r>
        <w:rPr>
          <w:rFonts w:ascii="楷体_GB2312" w:eastAsia="楷体_GB2312"/>
          <w:b/>
          <w:noProof/>
          <w:color w:val="000000" w:themeColor="text1"/>
        </w:rPr>
        <w:t>93.19</w:t>
      </w:r>
      <w:r w:rsidRPr="00236F99">
        <w:rPr>
          <w:rFonts w:ascii="楷体_GB2312" w:eastAsia="楷体_GB2312"/>
          <w:b/>
          <w:noProof/>
          <w:color w:val="000000" w:themeColor="text1"/>
        </w:rPr>
        <w:t>%</w:t>
      </w:r>
      <w:r>
        <w:rPr>
          <w:rFonts w:ascii="楷体_GB2312" w:eastAsia="楷体_GB2312" w:hint="eastAsia"/>
          <w:b/>
          <w:noProof/>
          <w:color w:val="000000" w:themeColor="text1"/>
        </w:rPr>
        <w:t>、</w:t>
      </w:r>
      <w:r>
        <w:rPr>
          <w:rFonts w:ascii="楷体_GB2312" w:eastAsia="楷体_GB2312"/>
          <w:b/>
          <w:noProof/>
          <w:color w:val="000000" w:themeColor="text1"/>
        </w:rPr>
        <w:t>27.30</w:t>
      </w:r>
      <w:r w:rsidRPr="00A839BE">
        <w:rPr>
          <w:rFonts w:ascii="楷体_GB2312" w:eastAsia="楷体_GB2312"/>
          <w:b/>
          <w:noProof/>
          <w:color w:val="000000" w:themeColor="text1"/>
        </w:rPr>
        <w:t>%</w:t>
      </w:r>
      <w:r w:rsidRPr="00DA1BEC">
        <w:rPr>
          <w:rFonts w:ascii="楷体_GB2312" w:eastAsia="楷体_GB2312" w:hint="eastAsia"/>
          <w:noProof/>
          <w:color w:val="000000" w:themeColor="text1"/>
        </w:rPr>
        <w:t>，分别超越相应基准</w:t>
      </w:r>
      <w:r w:rsidRPr="0039107B">
        <w:rPr>
          <w:rFonts w:ascii="楷体_GB2312" w:eastAsia="楷体_GB2312"/>
          <w:b/>
          <w:noProof/>
          <w:color w:val="000000" w:themeColor="text1"/>
        </w:rPr>
        <w:t>73.84</w:t>
      </w:r>
      <w:r w:rsidRPr="0039107B">
        <w:rPr>
          <w:rFonts w:ascii="楷体_GB2312" w:eastAsia="楷体_GB2312" w:hint="eastAsia"/>
          <w:b/>
          <w:noProof/>
          <w:color w:val="000000" w:themeColor="text1"/>
        </w:rPr>
        <w:t>、</w:t>
      </w:r>
      <w:r w:rsidRPr="0039107B">
        <w:rPr>
          <w:rFonts w:ascii="楷体_GB2312" w:eastAsia="楷体_GB2312"/>
          <w:b/>
          <w:noProof/>
          <w:color w:val="000000" w:themeColor="text1"/>
        </w:rPr>
        <w:t>44.78</w:t>
      </w:r>
      <w:r w:rsidRPr="0039107B">
        <w:rPr>
          <w:rFonts w:ascii="楷体_GB2312" w:eastAsia="楷体_GB2312" w:hint="eastAsia"/>
          <w:b/>
          <w:noProof/>
          <w:color w:val="000000" w:themeColor="text1"/>
        </w:rPr>
        <w:t>、</w:t>
      </w:r>
      <w:r w:rsidRPr="0039107B">
        <w:rPr>
          <w:rFonts w:ascii="楷体_GB2312" w:eastAsia="楷体_GB2312"/>
          <w:b/>
          <w:noProof/>
          <w:color w:val="000000" w:themeColor="text1"/>
        </w:rPr>
        <w:t>1</w:t>
      </w:r>
      <w:r w:rsidR="00A83F42">
        <w:rPr>
          <w:rFonts w:ascii="楷体_GB2312" w:eastAsia="楷体_GB2312" w:hint="eastAsia"/>
          <w:b/>
          <w:noProof/>
          <w:color w:val="000000" w:themeColor="text1"/>
        </w:rPr>
        <w:t>2.26</w:t>
      </w:r>
      <w:r w:rsidRPr="00DA1BEC">
        <w:rPr>
          <w:rFonts w:ascii="楷体_GB2312" w:eastAsia="楷体_GB2312" w:hint="eastAsia"/>
          <w:noProof/>
          <w:color w:val="000000" w:themeColor="text1"/>
        </w:rPr>
        <w:t>个百分点。2015年</w:t>
      </w:r>
      <w:r>
        <w:rPr>
          <w:rFonts w:ascii="楷体_GB2312" w:eastAsia="楷体_GB2312"/>
          <w:noProof/>
          <w:color w:val="000000" w:themeColor="text1"/>
        </w:rPr>
        <w:t>10</w:t>
      </w:r>
      <w:r w:rsidRPr="00DA1BEC">
        <w:rPr>
          <w:rFonts w:ascii="楷体_GB2312" w:eastAsia="楷体_GB2312" w:hint="eastAsia"/>
          <w:noProof/>
          <w:color w:val="000000" w:themeColor="text1"/>
        </w:rPr>
        <w:t>月，</w:t>
      </w:r>
      <w:r>
        <w:rPr>
          <w:rFonts w:ascii="楷体_GB2312" w:eastAsia="楷体_GB2312" w:hint="eastAsia"/>
          <w:noProof/>
          <w:color w:val="000000" w:themeColor="text1"/>
        </w:rPr>
        <w:t>股市逐渐企稳反弹，</w:t>
      </w:r>
      <w:r w:rsidRPr="00DA1BEC">
        <w:rPr>
          <w:rFonts w:ascii="楷体_GB2312" w:eastAsia="楷体_GB2312" w:hint="eastAsia"/>
          <w:noProof/>
          <w:color w:val="000000" w:themeColor="text1"/>
        </w:rPr>
        <w:t>上海证券旗下基金</w:t>
      </w:r>
      <w:r w:rsidRPr="00AD5EB9">
        <w:rPr>
          <w:rFonts w:ascii="楷体_GB2312" w:eastAsia="楷体_GB2312" w:hint="eastAsia"/>
          <w:noProof/>
          <w:color w:val="000000" w:themeColor="text1"/>
        </w:rPr>
        <w:t>积极型</w:t>
      </w:r>
      <w:r w:rsidR="00A83F42">
        <w:rPr>
          <w:rFonts w:ascii="楷体_GB2312" w:eastAsia="楷体_GB2312" w:hint="eastAsia"/>
          <w:noProof/>
          <w:color w:val="000000" w:themeColor="text1"/>
        </w:rPr>
        <w:t>组合</w:t>
      </w:r>
      <w:r>
        <w:rPr>
          <w:rFonts w:ascii="楷体_GB2312" w:eastAsia="楷体_GB2312" w:hint="eastAsia"/>
          <w:noProof/>
          <w:color w:val="000000" w:themeColor="text1"/>
        </w:rPr>
        <w:t>上涨1</w:t>
      </w:r>
      <w:r>
        <w:rPr>
          <w:rFonts w:ascii="楷体_GB2312" w:eastAsia="楷体_GB2312"/>
          <w:noProof/>
          <w:color w:val="000000" w:themeColor="text1"/>
        </w:rPr>
        <w:t>1.7</w:t>
      </w:r>
      <w:r w:rsidRPr="00632368">
        <w:rPr>
          <w:rFonts w:ascii="楷体_GB2312" w:eastAsia="楷体_GB2312"/>
          <w:noProof/>
          <w:color w:val="000000" w:themeColor="text1"/>
        </w:rPr>
        <w:t>6%</w:t>
      </w:r>
      <w:r w:rsidR="00A83F42">
        <w:rPr>
          <w:rFonts w:ascii="楷体_GB2312" w:eastAsia="楷体_GB2312" w:hint="eastAsia"/>
          <w:noProof/>
          <w:color w:val="000000" w:themeColor="text1"/>
        </w:rPr>
        <w:t>，</w:t>
      </w:r>
      <w:r>
        <w:rPr>
          <w:rFonts w:ascii="楷体_GB2312" w:eastAsia="楷体_GB2312" w:hint="eastAsia"/>
          <w:noProof/>
          <w:color w:val="000000" w:themeColor="text1"/>
        </w:rPr>
        <w:t>涨幅不及基准，</w:t>
      </w:r>
      <w:r w:rsidR="00C151A1">
        <w:rPr>
          <w:rFonts w:ascii="楷体_GB2312" w:eastAsia="楷体_GB2312" w:hint="eastAsia"/>
          <w:noProof/>
          <w:color w:val="000000" w:themeColor="text1"/>
        </w:rPr>
        <w:t>稍劣</w:t>
      </w:r>
      <w:r w:rsidRPr="00C151A1">
        <w:rPr>
          <w:rFonts w:ascii="楷体_GB2312" w:eastAsia="楷体_GB2312" w:hint="eastAsia"/>
          <w:noProof/>
          <w:color w:val="000000" w:themeColor="text1"/>
        </w:rPr>
        <w:t>于同期</w:t>
      </w:r>
      <w:r w:rsidR="00F2431D">
        <w:rPr>
          <w:rFonts w:ascii="楷体_GB2312" w:eastAsia="楷体_GB2312" w:hint="eastAsia"/>
          <w:noProof/>
          <w:color w:val="000000" w:themeColor="text1"/>
        </w:rPr>
        <w:t>股票型、</w:t>
      </w:r>
      <w:r w:rsidR="00A83F42">
        <w:rPr>
          <w:rFonts w:ascii="楷体_GB2312" w:eastAsia="楷体_GB2312" w:hint="eastAsia"/>
          <w:noProof/>
          <w:color w:val="000000" w:themeColor="text1"/>
        </w:rPr>
        <w:t>但优于</w:t>
      </w:r>
      <w:r w:rsidR="00C151A1" w:rsidRPr="00C151A1">
        <w:rPr>
          <w:rFonts w:ascii="楷体_GB2312" w:eastAsia="楷体_GB2312" w:hint="eastAsia"/>
          <w:noProof/>
          <w:color w:val="000000" w:themeColor="text1"/>
        </w:rPr>
        <w:t>混合</w:t>
      </w:r>
      <w:r w:rsidRPr="00C151A1">
        <w:rPr>
          <w:rFonts w:ascii="楷体_GB2312" w:eastAsia="楷体_GB2312" w:hint="eastAsia"/>
          <w:noProof/>
          <w:color w:val="000000" w:themeColor="text1"/>
        </w:rPr>
        <w:t>型</w:t>
      </w:r>
      <w:r w:rsidR="00C151A1">
        <w:rPr>
          <w:rFonts w:ascii="楷体_GB2312" w:eastAsia="楷体_GB2312" w:hint="eastAsia"/>
          <w:noProof/>
          <w:color w:val="000000" w:themeColor="text1"/>
        </w:rPr>
        <w:t>基金</w:t>
      </w:r>
      <w:r w:rsidRPr="00C151A1">
        <w:rPr>
          <w:rFonts w:ascii="楷体_GB2312" w:eastAsia="楷体_GB2312" w:hint="eastAsia"/>
          <w:noProof/>
          <w:color w:val="000000" w:themeColor="text1"/>
        </w:rPr>
        <w:t>的整体表现，</w:t>
      </w:r>
      <w:r w:rsidR="00F2431D">
        <w:rPr>
          <w:rFonts w:ascii="楷体_GB2312" w:eastAsia="楷体_GB2312" w:hint="eastAsia"/>
          <w:noProof/>
          <w:color w:val="000000" w:themeColor="text1"/>
        </w:rPr>
        <w:t>但</w:t>
      </w:r>
      <w:r w:rsidR="00C151A1" w:rsidRPr="00C151A1">
        <w:rPr>
          <w:rFonts w:ascii="楷体_GB2312" w:eastAsia="楷体_GB2312" w:hint="eastAsia"/>
          <w:noProof/>
          <w:color w:val="000000" w:themeColor="text1"/>
        </w:rPr>
        <w:t>基本与</w:t>
      </w:r>
      <w:r w:rsidRPr="00C151A1">
        <w:rPr>
          <w:rFonts w:ascii="楷体_GB2312" w:eastAsia="楷体_GB2312" w:hint="eastAsia"/>
          <w:noProof/>
          <w:color w:val="000000" w:themeColor="text1"/>
        </w:rPr>
        <w:t>同期沪深两市涨幅</w:t>
      </w:r>
      <w:r w:rsidR="00C151A1">
        <w:rPr>
          <w:rFonts w:ascii="楷体_GB2312" w:eastAsia="楷体_GB2312" w:hint="eastAsia"/>
          <w:noProof/>
          <w:color w:val="000000" w:themeColor="text1"/>
        </w:rPr>
        <w:t>持平</w:t>
      </w:r>
      <w:r>
        <w:rPr>
          <w:rFonts w:ascii="楷体_GB2312" w:eastAsia="楷体_GB2312" w:hint="eastAsia"/>
          <w:noProof/>
          <w:color w:val="000000" w:themeColor="text1"/>
        </w:rPr>
        <w:t>。</w:t>
      </w:r>
      <w:r w:rsidR="00A83F42">
        <w:rPr>
          <w:rFonts w:ascii="楷体_GB2312" w:eastAsia="楷体_GB2312" w:hint="eastAsia"/>
          <w:noProof/>
          <w:color w:val="000000" w:themeColor="text1"/>
        </w:rPr>
        <w:t>而</w:t>
      </w:r>
      <w:r w:rsidR="00A83F42" w:rsidRPr="00DA1BEC">
        <w:rPr>
          <w:rFonts w:ascii="楷体_GB2312" w:eastAsia="楷体_GB2312" w:hint="eastAsia"/>
          <w:noProof/>
          <w:color w:val="000000" w:themeColor="text1"/>
        </w:rPr>
        <w:t>平</w:t>
      </w:r>
      <w:r w:rsidR="00A83F42" w:rsidRPr="00AD5EB9">
        <w:rPr>
          <w:rFonts w:ascii="楷体_GB2312" w:eastAsia="楷体_GB2312" w:hint="eastAsia"/>
          <w:noProof/>
          <w:color w:val="000000" w:themeColor="text1"/>
        </w:rPr>
        <w:t>衡型</w:t>
      </w:r>
      <w:r w:rsidR="00A83F42" w:rsidRPr="00DA1BEC">
        <w:rPr>
          <w:rFonts w:ascii="楷体_GB2312" w:eastAsia="楷体_GB2312" w:hint="eastAsia"/>
          <w:noProof/>
          <w:color w:val="000000" w:themeColor="text1"/>
        </w:rPr>
        <w:t>组合</w:t>
      </w:r>
      <w:r w:rsidR="00A83F42">
        <w:rPr>
          <w:rFonts w:ascii="楷体_GB2312" w:eastAsia="楷体_GB2312" w:hint="eastAsia"/>
          <w:noProof/>
          <w:color w:val="000000" w:themeColor="text1"/>
        </w:rPr>
        <w:t>涨幅为</w:t>
      </w:r>
      <w:r w:rsidR="00A83F42">
        <w:rPr>
          <w:rFonts w:ascii="楷体_GB2312" w:eastAsia="楷体_GB2312"/>
          <w:noProof/>
          <w:color w:val="000000" w:themeColor="text1"/>
        </w:rPr>
        <w:t>6.61</w:t>
      </w:r>
      <w:r w:rsidR="00A83F42" w:rsidRPr="00A0408D">
        <w:rPr>
          <w:rFonts w:ascii="楷体_GB2312" w:eastAsia="楷体_GB2312"/>
          <w:noProof/>
          <w:color w:val="000000" w:themeColor="text1"/>
        </w:rPr>
        <w:t>%</w:t>
      </w:r>
      <w:bookmarkStart w:id="1" w:name="_GoBack"/>
      <w:bookmarkEnd w:id="1"/>
      <w:r w:rsidR="00A83F42">
        <w:rPr>
          <w:rFonts w:ascii="楷体_GB2312" w:eastAsia="楷体_GB2312" w:hint="eastAsia"/>
          <w:noProof/>
          <w:color w:val="000000" w:themeColor="text1"/>
        </w:rPr>
        <w:t>，</w:t>
      </w:r>
      <w:r w:rsidR="00C60DC5">
        <w:rPr>
          <w:rFonts w:ascii="楷体_GB2312" w:eastAsia="楷体_GB2312" w:hint="eastAsia"/>
          <w:noProof/>
          <w:color w:val="000000" w:themeColor="text1"/>
        </w:rPr>
        <w:t>与平均基金指数持平</w:t>
      </w:r>
      <w:r w:rsidR="00A83F42">
        <w:rPr>
          <w:rFonts w:ascii="楷体_GB2312" w:eastAsia="楷体_GB2312" w:hint="eastAsia"/>
          <w:noProof/>
          <w:color w:val="000000" w:themeColor="text1"/>
        </w:rPr>
        <w:t>。</w:t>
      </w:r>
    </w:p>
    <w:p w:rsidR="00F73995" w:rsidRPr="00144B03" w:rsidRDefault="00F73995" w:rsidP="00F73995">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2"/>
        <w:gridCol w:w="1361"/>
        <w:gridCol w:w="1361"/>
        <w:gridCol w:w="1361"/>
        <w:gridCol w:w="1378"/>
        <w:gridCol w:w="1376"/>
        <w:gridCol w:w="1372"/>
      </w:tblGrid>
      <w:tr w:rsidR="00F73995" w:rsidRPr="0039107B" w:rsidTr="009752A4">
        <w:trPr>
          <w:trHeight w:val="285"/>
        </w:trPr>
        <w:tc>
          <w:tcPr>
            <w:tcW w:w="711"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组合类型</w:t>
            </w:r>
          </w:p>
        </w:tc>
        <w:tc>
          <w:tcPr>
            <w:tcW w:w="2132" w:type="pct"/>
            <w:gridSpan w:val="3"/>
            <w:tcBorders>
              <w:top w:val="nil"/>
              <w:left w:val="nil"/>
              <w:bottom w:val="nil"/>
              <w:right w:val="single" w:sz="8" w:space="0" w:color="000000"/>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2015年10月</w:t>
            </w:r>
          </w:p>
        </w:tc>
        <w:tc>
          <w:tcPr>
            <w:tcW w:w="2158" w:type="pct"/>
            <w:gridSpan w:val="3"/>
            <w:tcBorders>
              <w:top w:val="nil"/>
              <w:left w:val="nil"/>
              <w:bottom w:val="nil"/>
              <w:right w:val="nil"/>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组合设立以来</w:t>
            </w:r>
          </w:p>
        </w:tc>
      </w:tr>
      <w:tr w:rsidR="00F73995" w:rsidRPr="0039107B" w:rsidTr="009752A4">
        <w:trPr>
          <w:trHeight w:val="300"/>
        </w:trPr>
        <w:tc>
          <w:tcPr>
            <w:tcW w:w="711" w:type="pct"/>
            <w:vMerge/>
            <w:tcBorders>
              <w:top w:val="single" w:sz="8" w:space="0" w:color="auto"/>
              <w:left w:val="single" w:sz="8" w:space="0" w:color="auto"/>
              <w:bottom w:val="single" w:sz="8" w:space="0" w:color="000000"/>
              <w:right w:val="single" w:sz="8" w:space="0" w:color="auto"/>
            </w:tcBorders>
            <w:vAlign w:val="center"/>
            <w:hideMark/>
          </w:tcPr>
          <w:p w:rsidR="00F73995" w:rsidRPr="0039107B" w:rsidRDefault="00F73995" w:rsidP="009752A4">
            <w:pPr>
              <w:widowControl/>
              <w:jc w:val="left"/>
              <w:rPr>
                <w:rFonts w:ascii="楷体_GB2312" w:eastAsia="楷体_GB2312" w:hAnsi="宋体" w:cs="宋体"/>
                <w:b/>
                <w:bCs/>
                <w:color w:val="FFFFFF"/>
                <w:kern w:val="0"/>
                <w:szCs w:val="21"/>
              </w:rPr>
            </w:pP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c>
          <w:tcPr>
            <w:tcW w:w="720"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积极型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11.76%</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12.89%</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color w:val="FF0000"/>
                <w:kern w:val="0"/>
                <w:szCs w:val="21"/>
              </w:rPr>
            </w:pPr>
            <w:r w:rsidRPr="0039107B">
              <w:rPr>
                <w:b/>
                <w:bCs/>
                <w:i/>
                <w:iCs/>
                <w:color w:val="FF0000"/>
                <w:kern w:val="0"/>
                <w:szCs w:val="21"/>
              </w:rPr>
              <w:t>-1.14%</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125.64%</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51.80%</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73.84%</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平衡型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6.61%</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7.30%</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color w:val="FF0000"/>
                <w:kern w:val="0"/>
                <w:szCs w:val="21"/>
              </w:rPr>
            </w:pPr>
            <w:r w:rsidRPr="0039107B">
              <w:rPr>
                <w:b/>
                <w:bCs/>
                <w:i/>
                <w:iCs/>
                <w:color w:val="FF0000"/>
                <w:kern w:val="0"/>
                <w:szCs w:val="21"/>
              </w:rPr>
              <w:t>-0.69%</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93.19%</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48.41%</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44.78%</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lastRenderedPageBreak/>
              <w:t>稳健型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0.40%</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A83F42">
            <w:pPr>
              <w:widowControl/>
              <w:jc w:val="center"/>
              <w:rPr>
                <w:i/>
                <w:iCs/>
                <w:kern w:val="0"/>
                <w:szCs w:val="21"/>
              </w:rPr>
            </w:pPr>
            <w:r w:rsidRPr="0039107B">
              <w:rPr>
                <w:i/>
                <w:iCs/>
                <w:kern w:val="0"/>
                <w:szCs w:val="21"/>
              </w:rPr>
              <w:t>0.1</w:t>
            </w:r>
            <w:r w:rsidR="00A83F42">
              <w:rPr>
                <w:rFonts w:hint="eastAsia"/>
                <w:i/>
                <w:iCs/>
                <w:kern w:val="0"/>
                <w:szCs w:val="21"/>
              </w:rPr>
              <w:t>4</w:t>
            </w:r>
            <w:r w:rsidRPr="0039107B">
              <w:rPr>
                <w:i/>
                <w:iCs/>
                <w:kern w:val="0"/>
                <w:szCs w:val="21"/>
              </w:rPr>
              <w:t>%</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A83F42">
            <w:pPr>
              <w:widowControl/>
              <w:jc w:val="center"/>
              <w:rPr>
                <w:b/>
                <w:bCs/>
                <w:i/>
                <w:iCs/>
                <w:kern w:val="0"/>
                <w:szCs w:val="21"/>
              </w:rPr>
            </w:pPr>
            <w:r w:rsidRPr="0039107B">
              <w:rPr>
                <w:b/>
                <w:bCs/>
                <w:i/>
                <w:iCs/>
                <w:kern w:val="0"/>
                <w:szCs w:val="21"/>
              </w:rPr>
              <w:t>0.2</w:t>
            </w:r>
            <w:r w:rsidR="00A83F42">
              <w:rPr>
                <w:rFonts w:hint="eastAsia"/>
                <w:b/>
                <w:bCs/>
                <w:i/>
                <w:iCs/>
                <w:kern w:val="0"/>
                <w:szCs w:val="21"/>
              </w:rPr>
              <w:t>6</w:t>
            </w:r>
            <w:r w:rsidRPr="0039107B">
              <w:rPr>
                <w:b/>
                <w:bCs/>
                <w:i/>
                <w:iCs/>
                <w:kern w:val="0"/>
                <w:szCs w:val="21"/>
              </w:rPr>
              <w:t>%</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27.30%</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A83F42" w:rsidP="009752A4">
            <w:pPr>
              <w:widowControl/>
              <w:jc w:val="center"/>
              <w:rPr>
                <w:i/>
                <w:iCs/>
                <w:kern w:val="0"/>
                <w:szCs w:val="21"/>
              </w:rPr>
            </w:pPr>
            <w:r w:rsidRPr="00A83F42">
              <w:rPr>
                <w:rFonts w:hint="eastAsia"/>
                <w:i/>
                <w:iCs/>
                <w:kern w:val="0"/>
                <w:szCs w:val="21"/>
              </w:rPr>
              <w:t>15.04</w:t>
            </w:r>
            <w:r w:rsidR="00F73995" w:rsidRPr="00A83F42">
              <w:rPr>
                <w:i/>
                <w:iCs/>
                <w:kern w:val="0"/>
                <w:szCs w:val="21"/>
              </w:rPr>
              <w:t>%</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A83F42" w:rsidP="00A83F42">
            <w:pPr>
              <w:widowControl/>
              <w:jc w:val="center"/>
              <w:rPr>
                <w:b/>
                <w:bCs/>
                <w:i/>
                <w:iCs/>
                <w:kern w:val="0"/>
                <w:szCs w:val="21"/>
              </w:rPr>
            </w:pPr>
            <w:r>
              <w:rPr>
                <w:rFonts w:hint="eastAsia"/>
                <w:b/>
                <w:bCs/>
                <w:i/>
                <w:iCs/>
                <w:kern w:val="0"/>
                <w:szCs w:val="21"/>
              </w:rPr>
              <w:t>12</w:t>
            </w:r>
            <w:r w:rsidR="00F73995" w:rsidRPr="0039107B">
              <w:rPr>
                <w:b/>
                <w:bCs/>
                <w:i/>
                <w:iCs/>
                <w:kern w:val="0"/>
                <w:szCs w:val="21"/>
              </w:rPr>
              <w:t>.2</w:t>
            </w:r>
            <w:r>
              <w:rPr>
                <w:rFonts w:hint="eastAsia"/>
                <w:b/>
                <w:bCs/>
                <w:i/>
                <w:iCs/>
                <w:kern w:val="0"/>
                <w:szCs w:val="21"/>
              </w:rPr>
              <w:t>6</w:t>
            </w:r>
            <w:r w:rsidR="00F73995" w:rsidRPr="0039107B">
              <w:rPr>
                <w:b/>
                <w:bCs/>
                <w:i/>
                <w:iCs/>
                <w:kern w:val="0"/>
                <w:szCs w:val="21"/>
              </w:rPr>
              <w:t>%</w:t>
            </w:r>
          </w:p>
        </w:tc>
      </w:tr>
      <w:tr w:rsidR="00F73995" w:rsidRPr="0039107B" w:rsidTr="009752A4">
        <w:trPr>
          <w:trHeight w:val="285"/>
        </w:trPr>
        <w:tc>
          <w:tcPr>
            <w:tcW w:w="711" w:type="pct"/>
            <w:vMerge w:val="restart"/>
            <w:tcBorders>
              <w:top w:val="nil"/>
              <w:left w:val="single" w:sz="8" w:space="0" w:color="auto"/>
              <w:bottom w:val="single" w:sz="8" w:space="0" w:color="000000"/>
              <w:right w:val="single" w:sz="8" w:space="0" w:color="auto"/>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组合类型</w:t>
            </w:r>
          </w:p>
        </w:tc>
        <w:tc>
          <w:tcPr>
            <w:tcW w:w="2132" w:type="pct"/>
            <w:gridSpan w:val="3"/>
            <w:tcBorders>
              <w:top w:val="single" w:sz="8" w:space="0" w:color="auto"/>
              <w:left w:val="nil"/>
              <w:bottom w:val="nil"/>
              <w:right w:val="single" w:sz="8" w:space="0" w:color="000000"/>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2014年全年</w:t>
            </w:r>
          </w:p>
        </w:tc>
        <w:tc>
          <w:tcPr>
            <w:tcW w:w="2158" w:type="pct"/>
            <w:gridSpan w:val="3"/>
            <w:tcBorders>
              <w:top w:val="single" w:sz="8" w:space="0" w:color="auto"/>
              <w:left w:val="nil"/>
              <w:bottom w:val="nil"/>
              <w:right w:val="nil"/>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2013年全年</w:t>
            </w:r>
          </w:p>
        </w:tc>
      </w:tr>
      <w:tr w:rsidR="00F73995" w:rsidRPr="0039107B" w:rsidTr="009752A4">
        <w:trPr>
          <w:trHeight w:val="300"/>
        </w:trPr>
        <w:tc>
          <w:tcPr>
            <w:tcW w:w="711" w:type="pct"/>
            <w:vMerge/>
            <w:tcBorders>
              <w:top w:val="nil"/>
              <w:left w:val="single" w:sz="8" w:space="0" w:color="auto"/>
              <w:bottom w:val="single" w:sz="8" w:space="0" w:color="000000"/>
              <w:right w:val="single" w:sz="8" w:space="0" w:color="auto"/>
            </w:tcBorders>
            <w:vAlign w:val="center"/>
            <w:hideMark/>
          </w:tcPr>
          <w:p w:rsidR="00F73995" w:rsidRPr="0039107B" w:rsidRDefault="00F73995" w:rsidP="009752A4">
            <w:pPr>
              <w:widowControl/>
              <w:jc w:val="left"/>
              <w:rPr>
                <w:rFonts w:ascii="楷体_GB2312" w:eastAsia="楷体_GB2312" w:hAnsi="宋体" w:cs="宋体"/>
                <w:b/>
                <w:bCs/>
                <w:color w:val="FFFFFF"/>
                <w:kern w:val="0"/>
                <w:szCs w:val="21"/>
              </w:rPr>
            </w:pP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c>
          <w:tcPr>
            <w:tcW w:w="720"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积极型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54.94%</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21.76%</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28.08%</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30.22%</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12.99%</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15.93%</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平衡型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30.92%</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20.21%</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9.02%</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9.98%</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8.27%</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1.49%</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稳健型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8.23%</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3.05%</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5.04%</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2.96%</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3.08%</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color w:val="FF0000"/>
                <w:kern w:val="0"/>
                <w:szCs w:val="21"/>
              </w:rPr>
            </w:pPr>
            <w:r w:rsidRPr="0039107B">
              <w:rPr>
                <w:b/>
                <w:bCs/>
                <w:i/>
                <w:iCs/>
                <w:color w:val="FF0000"/>
                <w:kern w:val="0"/>
                <w:szCs w:val="21"/>
              </w:rPr>
              <w:t>-0.12%</w:t>
            </w:r>
          </w:p>
        </w:tc>
      </w:tr>
      <w:tr w:rsidR="00F73995" w:rsidRPr="0039107B" w:rsidTr="009752A4">
        <w:trPr>
          <w:trHeight w:val="285"/>
        </w:trPr>
        <w:tc>
          <w:tcPr>
            <w:tcW w:w="711" w:type="pct"/>
            <w:vMerge w:val="restart"/>
            <w:tcBorders>
              <w:top w:val="nil"/>
              <w:left w:val="single" w:sz="8" w:space="0" w:color="auto"/>
              <w:bottom w:val="single" w:sz="8" w:space="0" w:color="000000"/>
              <w:right w:val="single" w:sz="8" w:space="0" w:color="auto"/>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组合类型</w:t>
            </w:r>
          </w:p>
        </w:tc>
        <w:tc>
          <w:tcPr>
            <w:tcW w:w="2132" w:type="pct"/>
            <w:gridSpan w:val="3"/>
            <w:tcBorders>
              <w:top w:val="single" w:sz="8" w:space="0" w:color="auto"/>
              <w:left w:val="nil"/>
              <w:bottom w:val="nil"/>
              <w:right w:val="single" w:sz="8" w:space="0" w:color="000000"/>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2012年全年</w:t>
            </w:r>
          </w:p>
        </w:tc>
        <w:tc>
          <w:tcPr>
            <w:tcW w:w="2158" w:type="pct"/>
            <w:gridSpan w:val="3"/>
            <w:tcBorders>
              <w:top w:val="single" w:sz="8" w:space="0" w:color="auto"/>
              <w:left w:val="nil"/>
              <w:bottom w:val="nil"/>
              <w:right w:val="nil"/>
            </w:tcBorders>
            <w:shd w:val="clear" w:color="000000" w:fill="666699"/>
            <w:noWrap/>
            <w:vAlign w:val="center"/>
            <w:hideMark/>
          </w:tcPr>
          <w:p w:rsidR="00F73995" w:rsidRPr="0039107B" w:rsidRDefault="00F73995" w:rsidP="009752A4">
            <w:pPr>
              <w:widowControl/>
              <w:jc w:val="center"/>
              <w:rPr>
                <w:rFonts w:ascii="楷体_GB2312" w:eastAsia="楷体_GB2312" w:hAnsi="宋体" w:cs="宋体"/>
                <w:b/>
                <w:bCs/>
                <w:color w:val="FFFFFF"/>
                <w:kern w:val="0"/>
                <w:szCs w:val="21"/>
              </w:rPr>
            </w:pPr>
            <w:r w:rsidRPr="0039107B">
              <w:rPr>
                <w:rFonts w:ascii="楷体_GB2312" w:eastAsia="楷体_GB2312" w:hAnsi="宋体" w:cs="宋体" w:hint="eastAsia"/>
                <w:b/>
                <w:bCs/>
                <w:color w:val="FFFFFF"/>
                <w:kern w:val="0"/>
                <w:szCs w:val="21"/>
              </w:rPr>
              <w:t>2011年2月至2011年12月</w:t>
            </w:r>
          </w:p>
        </w:tc>
      </w:tr>
      <w:tr w:rsidR="00F73995" w:rsidRPr="0039107B" w:rsidTr="009752A4">
        <w:trPr>
          <w:trHeight w:val="300"/>
        </w:trPr>
        <w:tc>
          <w:tcPr>
            <w:tcW w:w="711" w:type="pct"/>
            <w:vMerge/>
            <w:tcBorders>
              <w:top w:val="nil"/>
              <w:left w:val="single" w:sz="8" w:space="0" w:color="auto"/>
              <w:bottom w:val="single" w:sz="8" w:space="0" w:color="000000"/>
              <w:right w:val="single" w:sz="8" w:space="0" w:color="auto"/>
            </w:tcBorders>
            <w:vAlign w:val="center"/>
            <w:hideMark/>
          </w:tcPr>
          <w:p w:rsidR="00F73995" w:rsidRPr="0039107B" w:rsidRDefault="00F73995" w:rsidP="009752A4">
            <w:pPr>
              <w:widowControl/>
              <w:jc w:val="left"/>
              <w:rPr>
                <w:rFonts w:ascii="楷体_GB2312" w:eastAsia="楷体_GB2312" w:hAnsi="宋体" w:cs="宋体"/>
                <w:b/>
                <w:bCs/>
                <w:color w:val="FFFFFF"/>
                <w:kern w:val="0"/>
                <w:szCs w:val="21"/>
              </w:rPr>
            </w:pP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1"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c>
          <w:tcPr>
            <w:tcW w:w="720"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组合业绩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基准业绩</w:t>
            </w:r>
          </w:p>
        </w:tc>
        <w:tc>
          <w:tcPr>
            <w:tcW w:w="719" w:type="pct"/>
            <w:tcBorders>
              <w:top w:val="nil"/>
              <w:left w:val="nil"/>
              <w:bottom w:val="single" w:sz="8" w:space="0" w:color="auto"/>
              <w:right w:val="single" w:sz="8" w:space="0" w:color="auto"/>
            </w:tcBorders>
            <w:shd w:val="clear" w:color="000000" w:fill="FFCC00"/>
            <w:noWrap/>
            <w:vAlign w:val="center"/>
            <w:hideMark/>
          </w:tcPr>
          <w:p w:rsidR="00F73995" w:rsidRPr="0039107B" w:rsidRDefault="00F73995" w:rsidP="009752A4">
            <w:pPr>
              <w:widowControl/>
              <w:jc w:val="center"/>
              <w:rPr>
                <w:rFonts w:ascii="楷体_GB2312" w:eastAsia="楷体_GB2312" w:hAnsi="宋体" w:cs="宋体"/>
                <w:color w:val="000000"/>
                <w:kern w:val="0"/>
                <w:szCs w:val="21"/>
              </w:rPr>
            </w:pPr>
            <w:r w:rsidRPr="0039107B">
              <w:rPr>
                <w:rFonts w:ascii="楷体_GB2312" w:eastAsia="楷体_GB2312" w:hAnsi="宋体" w:cs="宋体" w:hint="eastAsia"/>
                <w:color w:val="000000"/>
                <w:kern w:val="0"/>
                <w:szCs w:val="21"/>
              </w:rPr>
              <w:t>超越基准</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积极型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7.57%</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4.95%</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2.43%</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color w:val="FF0000"/>
                <w:kern w:val="0"/>
                <w:szCs w:val="21"/>
              </w:rPr>
            </w:pPr>
            <w:r w:rsidRPr="0039107B">
              <w:rPr>
                <w:i/>
                <w:iCs/>
                <w:color w:val="FF0000"/>
                <w:kern w:val="0"/>
                <w:szCs w:val="21"/>
              </w:rPr>
              <w:t>-14.96%</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color w:val="FF0000"/>
                <w:kern w:val="0"/>
                <w:szCs w:val="21"/>
              </w:rPr>
            </w:pPr>
            <w:r w:rsidRPr="0039107B">
              <w:rPr>
                <w:i/>
                <w:iCs/>
                <w:color w:val="FF0000"/>
                <w:kern w:val="0"/>
                <w:szCs w:val="21"/>
              </w:rPr>
              <w:t>-19.25%</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4.29%</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平衡型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11.89%</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6.28%</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5.19%</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color w:val="FF0000"/>
                <w:kern w:val="0"/>
                <w:szCs w:val="21"/>
              </w:rPr>
            </w:pPr>
            <w:r w:rsidRPr="0039107B">
              <w:rPr>
                <w:i/>
                <w:iCs/>
                <w:color w:val="FF0000"/>
                <w:kern w:val="0"/>
                <w:szCs w:val="21"/>
              </w:rPr>
              <w:t>-6.50%</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color w:val="FF0000"/>
                <w:kern w:val="0"/>
                <w:szCs w:val="21"/>
              </w:rPr>
            </w:pPr>
            <w:r w:rsidRPr="0039107B">
              <w:rPr>
                <w:i/>
                <w:iCs/>
                <w:color w:val="FF0000"/>
                <w:kern w:val="0"/>
                <w:szCs w:val="21"/>
              </w:rPr>
              <w:t>-10.95%</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4.45%</w:t>
            </w:r>
          </w:p>
        </w:tc>
      </w:tr>
      <w:tr w:rsidR="00F73995" w:rsidRPr="0039107B" w:rsidTr="009752A4">
        <w:trPr>
          <w:trHeight w:val="300"/>
        </w:trPr>
        <w:tc>
          <w:tcPr>
            <w:tcW w:w="711" w:type="pct"/>
            <w:tcBorders>
              <w:top w:val="nil"/>
              <w:left w:val="single" w:sz="8" w:space="0" w:color="auto"/>
              <w:bottom w:val="single" w:sz="8" w:space="0" w:color="auto"/>
              <w:right w:val="single" w:sz="8" w:space="0" w:color="auto"/>
            </w:tcBorders>
            <w:shd w:val="clear" w:color="000000" w:fill="CCFFCC"/>
            <w:vAlign w:val="center"/>
            <w:hideMark/>
          </w:tcPr>
          <w:p w:rsidR="00F73995" w:rsidRPr="0039107B" w:rsidRDefault="00F73995" w:rsidP="009752A4">
            <w:pPr>
              <w:widowControl/>
              <w:jc w:val="center"/>
              <w:rPr>
                <w:rFonts w:ascii="楷体_GB2312" w:eastAsia="楷体_GB2312" w:hAnsi="宋体" w:cs="宋体"/>
                <w:b/>
                <w:bCs/>
                <w:color w:val="000000"/>
                <w:kern w:val="0"/>
                <w:szCs w:val="21"/>
              </w:rPr>
            </w:pPr>
            <w:r w:rsidRPr="0039107B">
              <w:rPr>
                <w:rFonts w:ascii="楷体_GB2312" w:eastAsia="楷体_GB2312" w:hAnsi="宋体" w:cs="宋体" w:hint="eastAsia"/>
                <w:b/>
                <w:bCs/>
                <w:color w:val="000000"/>
                <w:kern w:val="0"/>
                <w:szCs w:val="21"/>
              </w:rPr>
              <w:t>稳健型</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4.70%</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3.34%</w:t>
            </w:r>
          </w:p>
        </w:tc>
        <w:tc>
          <w:tcPr>
            <w:tcW w:w="711"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1.32%</w:t>
            </w:r>
          </w:p>
        </w:tc>
        <w:tc>
          <w:tcPr>
            <w:tcW w:w="720"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3.24%</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i/>
                <w:iCs/>
                <w:kern w:val="0"/>
                <w:szCs w:val="21"/>
              </w:rPr>
            </w:pPr>
            <w:r w:rsidRPr="0039107B">
              <w:rPr>
                <w:i/>
                <w:iCs/>
                <w:kern w:val="0"/>
                <w:szCs w:val="21"/>
              </w:rPr>
              <w:t>3.18%</w:t>
            </w:r>
          </w:p>
        </w:tc>
        <w:tc>
          <w:tcPr>
            <w:tcW w:w="719" w:type="pct"/>
            <w:tcBorders>
              <w:top w:val="nil"/>
              <w:left w:val="nil"/>
              <w:bottom w:val="single" w:sz="8" w:space="0" w:color="auto"/>
              <w:right w:val="single" w:sz="8" w:space="0" w:color="auto"/>
            </w:tcBorders>
            <w:shd w:val="clear" w:color="auto" w:fill="auto"/>
            <w:noWrap/>
            <w:vAlign w:val="center"/>
            <w:hideMark/>
          </w:tcPr>
          <w:p w:rsidR="00F73995" w:rsidRPr="0039107B" w:rsidRDefault="00F73995" w:rsidP="009752A4">
            <w:pPr>
              <w:widowControl/>
              <w:jc w:val="center"/>
              <w:rPr>
                <w:b/>
                <w:bCs/>
                <w:i/>
                <w:iCs/>
                <w:kern w:val="0"/>
                <w:szCs w:val="21"/>
              </w:rPr>
            </w:pPr>
            <w:r w:rsidRPr="0039107B">
              <w:rPr>
                <w:b/>
                <w:bCs/>
                <w:i/>
                <w:iCs/>
                <w:kern w:val="0"/>
                <w:szCs w:val="21"/>
              </w:rPr>
              <w:t>0.06%</w:t>
            </w:r>
          </w:p>
        </w:tc>
      </w:tr>
    </w:tbl>
    <w:p w:rsidR="00F73995" w:rsidRPr="00690811" w:rsidRDefault="00F73995" w:rsidP="00F73995">
      <w:pPr>
        <w:rPr>
          <w:rFonts w:ascii="楷体_GB2312" w:eastAsia="楷体_GB2312"/>
          <w:noProof/>
          <w:color w:val="000000"/>
          <w:sz w:val="18"/>
          <w:szCs w:val="18"/>
        </w:rPr>
      </w:pPr>
      <w:r w:rsidRPr="00690811">
        <w:rPr>
          <w:rFonts w:ascii="楷体_GB2312" w:eastAsia="楷体_GB2312" w:hint="eastAsia"/>
          <w:noProof/>
          <w:color w:val="000000"/>
          <w:sz w:val="18"/>
          <w:szCs w:val="18"/>
        </w:rPr>
        <w:t>注1：组合于2011年2月1日设立，数据截至2015年</w:t>
      </w:r>
      <w:r>
        <w:rPr>
          <w:rFonts w:ascii="楷体_GB2312" w:eastAsia="楷体_GB2312"/>
          <w:noProof/>
          <w:color w:val="000000"/>
          <w:sz w:val="18"/>
          <w:szCs w:val="18"/>
        </w:rPr>
        <w:t>10月</w:t>
      </w:r>
      <w:r>
        <w:rPr>
          <w:rFonts w:ascii="楷体_GB2312" w:eastAsia="楷体_GB2312" w:hint="eastAsia"/>
          <w:noProof/>
          <w:color w:val="000000"/>
          <w:sz w:val="18"/>
          <w:szCs w:val="18"/>
        </w:rPr>
        <w:t>2</w:t>
      </w:r>
      <w:r>
        <w:rPr>
          <w:rFonts w:ascii="楷体_GB2312" w:eastAsia="楷体_GB2312"/>
          <w:noProof/>
          <w:color w:val="000000"/>
          <w:sz w:val="18"/>
          <w:szCs w:val="18"/>
        </w:rPr>
        <w:t>8日</w:t>
      </w:r>
    </w:p>
    <w:p w:rsidR="00F73995" w:rsidRPr="00690811" w:rsidRDefault="00F73995" w:rsidP="00F73995">
      <w:pPr>
        <w:rPr>
          <w:rFonts w:ascii="楷体_GB2312" w:eastAsia="楷体_GB2312"/>
          <w:noProof/>
          <w:color w:val="000000"/>
          <w:sz w:val="18"/>
          <w:szCs w:val="18"/>
        </w:rPr>
      </w:pPr>
      <w:r w:rsidRPr="00690811">
        <w:rPr>
          <w:rFonts w:ascii="楷体_GB2312" w:eastAsia="楷体_GB2312" w:hint="eastAsia"/>
          <w:noProof/>
          <w:color w:val="000000"/>
          <w:sz w:val="18"/>
          <w:szCs w:val="18"/>
        </w:rPr>
        <w:t>注2：历史组合及调整情况请联系上海证券</w:t>
      </w:r>
    </w:p>
    <w:p w:rsidR="009A18F4" w:rsidRPr="0039146B" w:rsidRDefault="009A18F4" w:rsidP="009A18F4">
      <w:pPr>
        <w:rPr>
          <w:rFonts w:ascii="楷体_GB2312" w:eastAsia="楷体_GB2312"/>
          <w:b/>
          <w:noProof/>
          <w:color w:val="000000"/>
          <w:sz w:val="18"/>
          <w:szCs w:val="18"/>
        </w:rPr>
      </w:pPr>
      <w:r w:rsidRPr="0039146B">
        <w:rPr>
          <w:rFonts w:ascii="楷体_GB2312" w:eastAsia="楷体_GB2312" w:hint="eastAsia"/>
          <w:b/>
          <w:noProof/>
          <w:color w:val="000000"/>
          <w:sz w:val="18"/>
          <w:szCs w:val="18"/>
        </w:rPr>
        <w:t>注3：2015年起，上海证券基金推荐组合中的积极型组合和平衡型业绩比较基准</w:t>
      </w:r>
      <w:r>
        <w:rPr>
          <w:rFonts w:ascii="楷体_GB2312" w:eastAsia="楷体_GB2312" w:hint="eastAsia"/>
          <w:b/>
          <w:noProof/>
          <w:color w:val="000000"/>
          <w:sz w:val="18"/>
          <w:szCs w:val="18"/>
        </w:rPr>
        <w:t>有所调整</w:t>
      </w:r>
    </w:p>
    <w:p w:rsidR="009A18F4" w:rsidRPr="00960590" w:rsidRDefault="009A18F4" w:rsidP="009A18F4">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826FC1">
        <w:rPr>
          <w:rFonts w:ascii="楷体_GB2312" w:eastAsia="楷体_GB2312" w:hint="eastAsia"/>
          <w:noProof/>
        </w:rPr>
        <w:t>中国股基指数</w:t>
      </w:r>
      <w:r>
        <w:rPr>
          <w:rFonts w:ascii="楷体_GB2312" w:eastAsia="楷体_GB2312" w:hint="eastAsia"/>
          <w:noProof/>
        </w:rPr>
        <w:t>60%+</w:t>
      </w:r>
      <w:r w:rsidRPr="00826FC1">
        <w:rPr>
          <w:rFonts w:ascii="楷体_GB2312" w:eastAsia="楷体_GB2312" w:hint="eastAsia"/>
          <w:noProof/>
        </w:rPr>
        <w:t>中国混基指数</w:t>
      </w:r>
      <w:r>
        <w:rPr>
          <w:rFonts w:ascii="楷体_GB2312" w:eastAsia="楷体_GB2312" w:hint="eastAsia"/>
          <w:noProof/>
        </w:rPr>
        <w:t>40%(原基准：</w:t>
      </w:r>
      <w:r w:rsidRPr="00960590">
        <w:rPr>
          <w:rFonts w:ascii="楷体_GB2312" w:eastAsia="楷体_GB2312" w:hint="eastAsia"/>
          <w:noProof/>
        </w:rPr>
        <w:t>主动投资偏股型基金</w:t>
      </w:r>
      <w:r>
        <w:rPr>
          <w:rFonts w:ascii="楷体_GB2312" w:eastAsia="楷体_GB2312" w:hint="eastAsia"/>
          <w:noProof/>
        </w:rPr>
        <w:t>简单平均收益率)；</w:t>
      </w:r>
    </w:p>
    <w:p w:rsidR="009A18F4" w:rsidRPr="00826FC1" w:rsidRDefault="009A18F4" w:rsidP="009A18F4">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826FC1">
        <w:rPr>
          <w:rFonts w:ascii="楷体_GB2312" w:eastAsia="楷体_GB2312" w:hint="eastAsia"/>
          <w:noProof/>
        </w:rPr>
        <w:t>中国股基指数</w:t>
      </w:r>
      <w:r>
        <w:rPr>
          <w:rFonts w:ascii="楷体_GB2312" w:eastAsia="楷体_GB2312" w:hint="eastAsia"/>
          <w:noProof/>
        </w:rPr>
        <w:t>30%+</w:t>
      </w:r>
      <w:r w:rsidRPr="00826FC1">
        <w:rPr>
          <w:rFonts w:ascii="楷体_GB2312" w:eastAsia="楷体_GB2312" w:hint="eastAsia"/>
          <w:noProof/>
        </w:rPr>
        <w:t>中国混基指数</w:t>
      </w:r>
      <w:r>
        <w:rPr>
          <w:rFonts w:ascii="楷体_GB2312" w:eastAsia="楷体_GB2312" w:hint="eastAsia"/>
          <w:noProof/>
        </w:rPr>
        <w:t>20%+</w:t>
      </w:r>
      <w:r w:rsidRPr="004D17B6">
        <w:rPr>
          <w:rFonts w:ascii="楷体_GB2312" w:eastAsia="楷体_GB2312" w:hint="eastAsia"/>
          <w:noProof/>
        </w:rPr>
        <w:t>中国债基指数</w:t>
      </w:r>
      <w:r>
        <w:rPr>
          <w:rFonts w:ascii="楷体_GB2312" w:eastAsia="楷体_GB2312" w:hint="eastAsia"/>
          <w:noProof/>
        </w:rPr>
        <w:t>50%（原基准：</w:t>
      </w:r>
      <w:r w:rsidRPr="00960590">
        <w:rPr>
          <w:rFonts w:ascii="楷体_GB2312" w:eastAsia="楷体_GB2312" w:hint="eastAsia"/>
          <w:noProof/>
        </w:rPr>
        <w:t>50%主动投资偏股型基金+50%债券型基金</w:t>
      </w:r>
      <w:r>
        <w:rPr>
          <w:rFonts w:ascii="楷体_GB2312" w:eastAsia="楷体_GB2312" w:hint="eastAsia"/>
          <w:noProof/>
        </w:rPr>
        <w:t>）；</w:t>
      </w:r>
    </w:p>
    <w:p w:rsidR="009A18F4" w:rsidRDefault="009A18F4" w:rsidP="009A18F4">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4840D3">
      <w:pPr>
        <w:spacing w:beforeLines="50"/>
        <w:rPr>
          <w:rFonts w:eastAsia="楷体_GB2312"/>
          <w:sz w:val="18"/>
          <w:szCs w:val="18"/>
        </w:rPr>
      </w:pPr>
      <w:r w:rsidRPr="00394675">
        <w:rPr>
          <w:rFonts w:eastAsia="楷体_GB2312"/>
          <w:sz w:val="18"/>
          <w:szCs w:val="18"/>
        </w:rPr>
        <w:t>分析师</w:t>
      </w:r>
      <w:r>
        <w:rPr>
          <w:rFonts w:eastAsia="楷体_GB2312" w:hint="eastAsia"/>
          <w:sz w:val="18"/>
          <w:szCs w:val="18"/>
        </w:rPr>
        <w:t xml:space="preserve"> </w:t>
      </w:r>
      <w:r>
        <w:rPr>
          <w:rFonts w:eastAsia="楷体_GB2312" w:hint="eastAsia"/>
          <w:sz w:val="18"/>
          <w:szCs w:val="18"/>
        </w:rPr>
        <w:t>刘亦千</w:t>
      </w:r>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sectPr w:rsidR="009A18F4" w:rsidRPr="00693B26" w:rsidSect="00DE017A">
      <w:headerReference w:type="default" r:id="rId18"/>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267" w:rsidRDefault="00E31267" w:rsidP="00E24F52">
      <w:r>
        <w:separator/>
      </w:r>
    </w:p>
  </w:endnote>
  <w:endnote w:type="continuationSeparator" w:id="0">
    <w:p w:rsidR="00E31267" w:rsidRDefault="00E31267" w:rsidP="00E24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A4" w:rsidRDefault="009752A4" w:rsidP="00DE017A">
    <w:pPr>
      <w:pStyle w:val="a5"/>
      <w:framePr w:wrap="around" w:vAnchor="text" w:hAnchor="margin" w:xAlign="right" w:y="1"/>
      <w:rPr>
        <w:rStyle w:val="a7"/>
      </w:rPr>
    </w:pPr>
    <w:r>
      <w:rPr>
        <w:rStyle w:val="a7"/>
        <w:noProof/>
      </w:rPr>
      <w:t>1</w:t>
    </w:r>
  </w:p>
  <w:p w:rsidR="009752A4" w:rsidRDefault="009752A4" w:rsidP="00DE017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A4" w:rsidRDefault="00995D36" w:rsidP="00DE017A">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56704;mso-position-horizontal-relative:page;mso-position-vertical-relative:page" filled="f" stroked="f">
          <v:textbox style="mso-next-textbox:#_x0000_s2049" inset="0,0,0,0">
            <w:txbxContent>
              <w:p w:rsidR="009752A4" w:rsidRPr="00310D17" w:rsidRDefault="009752A4"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w:t>
                </w:r>
                <w:proofErr w:type="gramStart"/>
                <w:r w:rsidRPr="00EF283B">
                  <w:rPr>
                    <w:rFonts w:ascii="楷体_GB2312" w:eastAsia="楷体_GB2312" w:hint="eastAsia"/>
                    <w:b/>
                    <w:color w:val="003366"/>
                    <w:szCs w:val="21"/>
                  </w:rPr>
                  <w:t>尾页分析</w:t>
                </w:r>
                <w:proofErr w:type="gramEnd"/>
                <w:r w:rsidRPr="00EF283B">
                  <w:rPr>
                    <w:rFonts w:ascii="楷体_GB2312" w:eastAsia="楷体_GB2312" w:hint="eastAsia"/>
                    <w:b/>
                    <w:color w:val="003366"/>
                    <w:szCs w:val="21"/>
                  </w:rPr>
                  <w:t>师承诺和免责条款</w:t>
                </w:r>
                <w:r>
                  <w:rPr>
                    <w:rFonts w:ascii="楷体_GB2312" w:eastAsia="楷体_GB2312" w:hint="eastAsia"/>
                    <w:b/>
                    <w:color w:val="003366"/>
                    <w:szCs w:val="21"/>
                  </w:rPr>
                  <w:t xml:space="preserve">                                                   </w:t>
                </w:r>
                <w:r w:rsidR="00995D36"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995D36" w:rsidRPr="00310D17">
                  <w:rPr>
                    <w:rFonts w:ascii="楷体_GB2312" w:eastAsia="楷体_GB2312"/>
                    <w:color w:val="003366"/>
                    <w:szCs w:val="21"/>
                  </w:rPr>
                  <w:fldChar w:fldCharType="separate"/>
                </w:r>
                <w:r w:rsidR="004840D3" w:rsidRPr="004840D3">
                  <w:rPr>
                    <w:rFonts w:ascii="楷体_GB2312" w:eastAsia="楷体_GB2312"/>
                    <w:noProof/>
                    <w:color w:val="003366"/>
                    <w:szCs w:val="21"/>
                    <w:lang w:val="zh-CN"/>
                  </w:rPr>
                  <w:t>2</w:t>
                </w:r>
                <w:r w:rsidR="00995D36"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267" w:rsidRDefault="00E31267" w:rsidP="00E24F52">
      <w:r>
        <w:separator/>
      </w:r>
    </w:p>
  </w:footnote>
  <w:footnote w:type="continuationSeparator" w:id="0">
    <w:p w:rsidR="00E31267" w:rsidRDefault="00E31267" w:rsidP="00E2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A4" w:rsidRPr="0010121A" w:rsidRDefault="009752A4">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A4" w:rsidRPr="00935FC9" w:rsidRDefault="00995D36" w:rsidP="00DE017A">
    <w:pPr>
      <w:pStyle w:val="a4"/>
      <w:jc w:val="left"/>
      <w:rPr>
        <w:rFonts w:ascii="楷体_GB2312" w:eastAsia="楷体_GB2312"/>
        <w:b/>
        <w:color w:val="333399"/>
        <w:sz w:val="24"/>
        <w:szCs w:val="24"/>
      </w:rPr>
    </w:pPr>
    <w:r w:rsidRPr="00995D36">
      <w:rPr>
        <w:rFonts w:ascii="楷体_GB2312" w:eastAsia="楷体_GB2312"/>
        <w:b/>
        <w:noProof/>
        <w:color w:val="003366"/>
        <w:sz w:val="21"/>
        <w:szCs w:val="21"/>
      </w:rPr>
      <w:pict>
        <v:line id="_x0000_s2051" style="position:absolute;z-index:251658752" from="70.1pt,20.55pt" to="459pt,20.55pt" strokecolor="#036" strokeweight="1.5pt"/>
      </w:pict>
    </w:r>
    <w:r w:rsidR="009752A4">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995D36">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0" type="#_x0000_t202" style="position:absolute;margin-left:-189pt;margin-top:-2.85pt;width:89.25pt;height:30.1pt;z-index:251657728;mso-wrap-style:none;mso-position-horizontal-relative:text;mso-position-vertical-relative:text" stroked="f">
          <v:textbox style="mso-next-textbox:#_x0000_s2050;mso-fit-shape-to-text:t">
            <w:txbxContent>
              <w:p w:rsidR="009752A4" w:rsidRDefault="009752A4">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9752A4">
      <w:rPr>
        <w:rFonts w:ascii="楷体_GB2312" w:eastAsia="楷体_GB2312" w:hint="eastAsia"/>
        <w:b/>
        <w:color w:val="333399"/>
        <w:sz w:val="21"/>
        <w:szCs w:val="21"/>
      </w:rPr>
      <w:t xml:space="preserve"> </w:t>
    </w:r>
    <w:r w:rsidR="009752A4" w:rsidRPr="00935FC9">
      <w:rPr>
        <w:rFonts w:ascii="楷体_GB2312" w:eastAsia="楷体_GB2312" w:hint="eastAsia"/>
        <w:b/>
        <w:color w:val="333399"/>
        <w:sz w:val="24"/>
        <w:szCs w:val="24"/>
      </w:rPr>
      <w:t xml:space="preserve">   </w:t>
    </w:r>
    <w:r w:rsidR="009752A4">
      <w:rPr>
        <w:rFonts w:ascii="楷体_GB2312" w:eastAsia="楷体_GB2312" w:hint="eastAsia"/>
        <w:b/>
        <w:color w:val="333399"/>
        <w:sz w:val="24"/>
        <w:szCs w:val="24"/>
      </w:rPr>
      <w:t xml:space="preserve">         </w:t>
    </w:r>
    <w:r w:rsidR="009752A4"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8F4"/>
    <w:rsid w:val="00000B83"/>
    <w:rsid w:val="00010CE4"/>
    <w:rsid w:val="00013019"/>
    <w:rsid w:val="0001673A"/>
    <w:rsid w:val="00020146"/>
    <w:rsid w:val="00023532"/>
    <w:rsid w:val="00026A52"/>
    <w:rsid w:val="00032ECF"/>
    <w:rsid w:val="0003446C"/>
    <w:rsid w:val="00035528"/>
    <w:rsid w:val="00036DDA"/>
    <w:rsid w:val="00040E1B"/>
    <w:rsid w:val="00041878"/>
    <w:rsid w:val="00047501"/>
    <w:rsid w:val="00051780"/>
    <w:rsid w:val="00051A90"/>
    <w:rsid w:val="00057B41"/>
    <w:rsid w:val="00061718"/>
    <w:rsid w:val="0006216C"/>
    <w:rsid w:val="000626E3"/>
    <w:rsid w:val="00064ADC"/>
    <w:rsid w:val="0006727C"/>
    <w:rsid w:val="000751B0"/>
    <w:rsid w:val="0008165B"/>
    <w:rsid w:val="00081B9A"/>
    <w:rsid w:val="00083B36"/>
    <w:rsid w:val="00084235"/>
    <w:rsid w:val="00086FF6"/>
    <w:rsid w:val="000904B6"/>
    <w:rsid w:val="00095E11"/>
    <w:rsid w:val="000A6776"/>
    <w:rsid w:val="000B5D37"/>
    <w:rsid w:val="000C1475"/>
    <w:rsid w:val="000C502F"/>
    <w:rsid w:val="000C5EA0"/>
    <w:rsid w:val="000C7DEE"/>
    <w:rsid w:val="000D04E7"/>
    <w:rsid w:val="000D2C90"/>
    <w:rsid w:val="000D4A04"/>
    <w:rsid w:val="000E3E14"/>
    <w:rsid w:val="000F1F0F"/>
    <w:rsid w:val="000F2EAA"/>
    <w:rsid w:val="000F5C28"/>
    <w:rsid w:val="000F72DD"/>
    <w:rsid w:val="00100321"/>
    <w:rsid w:val="0010331E"/>
    <w:rsid w:val="001112E7"/>
    <w:rsid w:val="001118DF"/>
    <w:rsid w:val="0012058D"/>
    <w:rsid w:val="00140E6E"/>
    <w:rsid w:val="00142C20"/>
    <w:rsid w:val="00144F30"/>
    <w:rsid w:val="00152BDE"/>
    <w:rsid w:val="0016275E"/>
    <w:rsid w:val="001638F6"/>
    <w:rsid w:val="00163D42"/>
    <w:rsid w:val="00164673"/>
    <w:rsid w:val="00167899"/>
    <w:rsid w:val="0017209A"/>
    <w:rsid w:val="00172699"/>
    <w:rsid w:val="00174F43"/>
    <w:rsid w:val="00181B57"/>
    <w:rsid w:val="00192B66"/>
    <w:rsid w:val="001A069B"/>
    <w:rsid w:val="001A2517"/>
    <w:rsid w:val="001A4967"/>
    <w:rsid w:val="001A4AB4"/>
    <w:rsid w:val="001A5521"/>
    <w:rsid w:val="001A6B56"/>
    <w:rsid w:val="001B44DF"/>
    <w:rsid w:val="001C0B97"/>
    <w:rsid w:val="001C1C0B"/>
    <w:rsid w:val="001C24D7"/>
    <w:rsid w:val="001C2D94"/>
    <w:rsid w:val="001C39BB"/>
    <w:rsid w:val="001D06C6"/>
    <w:rsid w:val="001D20C0"/>
    <w:rsid w:val="001D2846"/>
    <w:rsid w:val="001D486A"/>
    <w:rsid w:val="001D5026"/>
    <w:rsid w:val="001D584F"/>
    <w:rsid w:val="001D7185"/>
    <w:rsid w:val="001F2385"/>
    <w:rsid w:val="001F4FE3"/>
    <w:rsid w:val="00207810"/>
    <w:rsid w:val="00207EB7"/>
    <w:rsid w:val="00213557"/>
    <w:rsid w:val="0021526F"/>
    <w:rsid w:val="002154A6"/>
    <w:rsid w:val="00215F78"/>
    <w:rsid w:val="00222CAD"/>
    <w:rsid w:val="00224620"/>
    <w:rsid w:val="002304D4"/>
    <w:rsid w:val="00232B81"/>
    <w:rsid w:val="00233D51"/>
    <w:rsid w:val="00235CD7"/>
    <w:rsid w:val="00236ADA"/>
    <w:rsid w:val="00236F99"/>
    <w:rsid w:val="002373ED"/>
    <w:rsid w:val="0024068A"/>
    <w:rsid w:val="00245287"/>
    <w:rsid w:val="002474B8"/>
    <w:rsid w:val="00250432"/>
    <w:rsid w:val="00251B81"/>
    <w:rsid w:val="0025298E"/>
    <w:rsid w:val="00253BBC"/>
    <w:rsid w:val="00262231"/>
    <w:rsid w:val="002626D6"/>
    <w:rsid w:val="0026313E"/>
    <w:rsid w:val="0027134C"/>
    <w:rsid w:val="002822E3"/>
    <w:rsid w:val="00287248"/>
    <w:rsid w:val="00292B84"/>
    <w:rsid w:val="00292D32"/>
    <w:rsid w:val="002A2C01"/>
    <w:rsid w:val="002A7731"/>
    <w:rsid w:val="002B178E"/>
    <w:rsid w:val="002B6917"/>
    <w:rsid w:val="002C008E"/>
    <w:rsid w:val="002C01C5"/>
    <w:rsid w:val="002C6E5F"/>
    <w:rsid w:val="002D35B0"/>
    <w:rsid w:val="002E06C6"/>
    <w:rsid w:val="002E093E"/>
    <w:rsid w:val="002E1C77"/>
    <w:rsid w:val="002E56A1"/>
    <w:rsid w:val="002E6972"/>
    <w:rsid w:val="002F20D2"/>
    <w:rsid w:val="002F26F5"/>
    <w:rsid w:val="002F632D"/>
    <w:rsid w:val="00306269"/>
    <w:rsid w:val="003106EF"/>
    <w:rsid w:val="003107E7"/>
    <w:rsid w:val="00311012"/>
    <w:rsid w:val="00312345"/>
    <w:rsid w:val="0031261A"/>
    <w:rsid w:val="0031366F"/>
    <w:rsid w:val="00313CFA"/>
    <w:rsid w:val="003157FF"/>
    <w:rsid w:val="003158CF"/>
    <w:rsid w:val="0033389A"/>
    <w:rsid w:val="00333EEE"/>
    <w:rsid w:val="00337181"/>
    <w:rsid w:val="0034440F"/>
    <w:rsid w:val="00345829"/>
    <w:rsid w:val="00345C7D"/>
    <w:rsid w:val="00345F69"/>
    <w:rsid w:val="00352632"/>
    <w:rsid w:val="003526AD"/>
    <w:rsid w:val="0036515A"/>
    <w:rsid w:val="0037235C"/>
    <w:rsid w:val="0037247A"/>
    <w:rsid w:val="00374AF5"/>
    <w:rsid w:val="00376D77"/>
    <w:rsid w:val="0039387E"/>
    <w:rsid w:val="00396400"/>
    <w:rsid w:val="0039786A"/>
    <w:rsid w:val="003A6BA8"/>
    <w:rsid w:val="003A771D"/>
    <w:rsid w:val="003B5AB3"/>
    <w:rsid w:val="003B6256"/>
    <w:rsid w:val="003C2C63"/>
    <w:rsid w:val="003C5B36"/>
    <w:rsid w:val="003D75EB"/>
    <w:rsid w:val="003E460C"/>
    <w:rsid w:val="003F5624"/>
    <w:rsid w:val="003F6979"/>
    <w:rsid w:val="003F751E"/>
    <w:rsid w:val="00411272"/>
    <w:rsid w:val="0041170A"/>
    <w:rsid w:val="00411F75"/>
    <w:rsid w:val="004157E5"/>
    <w:rsid w:val="00415FDE"/>
    <w:rsid w:val="00420E69"/>
    <w:rsid w:val="004232DB"/>
    <w:rsid w:val="00424B2D"/>
    <w:rsid w:val="00425C85"/>
    <w:rsid w:val="004312D8"/>
    <w:rsid w:val="00440178"/>
    <w:rsid w:val="00440E40"/>
    <w:rsid w:val="0044562D"/>
    <w:rsid w:val="00447422"/>
    <w:rsid w:val="00450AE9"/>
    <w:rsid w:val="004513D0"/>
    <w:rsid w:val="004521F3"/>
    <w:rsid w:val="004533B2"/>
    <w:rsid w:val="004561F7"/>
    <w:rsid w:val="004565F1"/>
    <w:rsid w:val="0046010C"/>
    <w:rsid w:val="00460204"/>
    <w:rsid w:val="00460528"/>
    <w:rsid w:val="00460ACE"/>
    <w:rsid w:val="00471EDE"/>
    <w:rsid w:val="0047423F"/>
    <w:rsid w:val="00480D27"/>
    <w:rsid w:val="004838BB"/>
    <w:rsid w:val="004840D3"/>
    <w:rsid w:val="00487DC2"/>
    <w:rsid w:val="00487F7F"/>
    <w:rsid w:val="00491A8B"/>
    <w:rsid w:val="00493B33"/>
    <w:rsid w:val="00495AC4"/>
    <w:rsid w:val="00497659"/>
    <w:rsid w:val="004A4D4B"/>
    <w:rsid w:val="004A57AE"/>
    <w:rsid w:val="004A6DF0"/>
    <w:rsid w:val="004B36A9"/>
    <w:rsid w:val="004C1815"/>
    <w:rsid w:val="004C3873"/>
    <w:rsid w:val="004C5156"/>
    <w:rsid w:val="004C559B"/>
    <w:rsid w:val="004C71D0"/>
    <w:rsid w:val="004D093E"/>
    <w:rsid w:val="004D0A4B"/>
    <w:rsid w:val="004D33BA"/>
    <w:rsid w:val="004D54CD"/>
    <w:rsid w:val="004D5D1C"/>
    <w:rsid w:val="004D5FC7"/>
    <w:rsid w:val="004E4E3B"/>
    <w:rsid w:val="004E5695"/>
    <w:rsid w:val="004F103B"/>
    <w:rsid w:val="004F71A5"/>
    <w:rsid w:val="004F78E4"/>
    <w:rsid w:val="005033C5"/>
    <w:rsid w:val="00506ECC"/>
    <w:rsid w:val="00513479"/>
    <w:rsid w:val="00514A20"/>
    <w:rsid w:val="0052404C"/>
    <w:rsid w:val="00525209"/>
    <w:rsid w:val="00525880"/>
    <w:rsid w:val="005307D3"/>
    <w:rsid w:val="005356A2"/>
    <w:rsid w:val="00540E6E"/>
    <w:rsid w:val="0054141D"/>
    <w:rsid w:val="00541C5D"/>
    <w:rsid w:val="00543F81"/>
    <w:rsid w:val="0055161D"/>
    <w:rsid w:val="00553D99"/>
    <w:rsid w:val="00560F1B"/>
    <w:rsid w:val="005613BF"/>
    <w:rsid w:val="0056261C"/>
    <w:rsid w:val="00562F08"/>
    <w:rsid w:val="005658F0"/>
    <w:rsid w:val="00571941"/>
    <w:rsid w:val="00572523"/>
    <w:rsid w:val="005726B7"/>
    <w:rsid w:val="005739CD"/>
    <w:rsid w:val="00573C42"/>
    <w:rsid w:val="00577453"/>
    <w:rsid w:val="00586DEA"/>
    <w:rsid w:val="00587A3B"/>
    <w:rsid w:val="00590164"/>
    <w:rsid w:val="005964AE"/>
    <w:rsid w:val="00597988"/>
    <w:rsid w:val="005A288F"/>
    <w:rsid w:val="005A62A2"/>
    <w:rsid w:val="005A7472"/>
    <w:rsid w:val="005B3C66"/>
    <w:rsid w:val="005B7078"/>
    <w:rsid w:val="005C194A"/>
    <w:rsid w:val="005E16F4"/>
    <w:rsid w:val="005E2CA8"/>
    <w:rsid w:val="005E4A8B"/>
    <w:rsid w:val="005F5459"/>
    <w:rsid w:val="00603864"/>
    <w:rsid w:val="006055EF"/>
    <w:rsid w:val="00607DB4"/>
    <w:rsid w:val="006117FF"/>
    <w:rsid w:val="0061313D"/>
    <w:rsid w:val="006146DF"/>
    <w:rsid w:val="00615C7D"/>
    <w:rsid w:val="0062328E"/>
    <w:rsid w:val="00624BB1"/>
    <w:rsid w:val="00627700"/>
    <w:rsid w:val="006315D6"/>
    <w:rsid w:val="00632368"/>
    <w:rsid w:val="00642BFA"/>
    <w:rsid w:val="00644703"/>
    <w:rsid w:val="00651D0A"/>
    <w:rsid w:val="00652DB4"/>
    <w:rsid w:val="00657A31"/>
    <w:rsid w:val="00661347"/>
    <w:rsid w:val="00663C51"/>
    <w:rsid w:val="00672EA4"/>
    <w:rsid w:val="006732C6"/>
    <w:rsid w:val="00677C07"/>
    <w:rsid w:val="00681AFE"/>
    <w:rsid w:val="0068466B"/>
    <w:rsid w:val="00684DDD"/>
    <w:rsid w:val="00684DFA"/>
    <w:rsid w:val="00687EB9"/>
    <w:rsid w:val="006911E1"/>
    <w:rsid w:val="00693C58"/>
    <w:rsid w:val="00696EA5"/>
    <w:rsid w:val="006A2A98"/>
    <w:rsid w:val="006A40DA"/>
    <w:rsid w:val="006B12C0"/>
    <w:rsid w:val="006B174D"/>
    <w:rsid w:val="006B2815"/>
    <w:rsid w:val="006B2F9C"/>
    <w:rsid w:val="006B462E"/>
    <w:rsid w:val="006B5130"/>
    <w:rsid w:val="006B676A"/>
    <w:rsid w:val="006C009C"/>
    <w:rsid w:val="006C0719"/>
    <w:rsid w:val="006C15AD"/>
    <w:rsid w:val="006C448B"/>
    <w:rsid w:val="006C73F9"/>
    <w:rsid w:val="006C7A33"/>
    <w:rsid w:val="006D10E5"/>
    <w:rsid w:val="006F3275"/>
    <w:rsid w:val="006F38D9"/>
    <w:rsid w:val="006F5C65"/>
    <w:rsid w:val="0070349D"/>
    <w:rsid w:val="00707DBA"/>
    <w:rsid w:val="00713791"/>
    <w:rsid w:val="00717045"/>
    <w:rsid w:val="0072322E"/>
    <w:rsid w:val="00723988"/>
    <w:rsid w:val="00724C8A"/>
    <w:rsid w:val="00736A29"/>
    <w:rsid w:val="007378A3"/>
    <w:rsid w:val="0075204E"/>
    <w:rsid w:val="00754826"/>
    <w:rsid w:val="007629C6"/>
    <w:rsid w:val="007640D3"/>
    <w:rsid w:val="00792D7B"/>
    <w:rsid w:val="00795A90"/>
    <w:rsid w:val="00796C81"/>
    <w:rsid w:val="007A038F"/>
    <w:rsid w:val="007A638C"/>
    <w:rsid w:val="007B0849"/>
    <w:rsid w:val="007B1CBD"/>
    <w:rsid w:val="007B3371"/>
    <w:rsid w:val="007C1CD2"/>
    <w:rsid w:val="007C22B1"/>
    <w:rsid w:val="007E172C"/>
    <w:rsid w:val="007E4289"/>
    <w:rsid w:val="007F5B42"/>
    <w:rsid w:val="007F6797"/>
    <w:rsid w:val="00803AB5"/>
    <w:rsid w:val="00807BE4"/>
    <w:rsid w:val="00812624"/>
    <w:rsid w:val="00816CE0"/>
    <w:rsid w:val="00821289"/>
    <w:rsid w:val="0082259A"/>
    <w:rsid w:val="0082666B"/>
    <w:rsid w:val="00832246"/>
    <w:rsid w:val="008347F3"/>
    <w:rsid w:val="00836234"/>
    <w:rsid w:val="00836FDA"/>
    <w:rsid w:val="00846A83"/>
    <w:rsid w:val="00847D66"/>
    <w:rsid w:val="00850A16"/>
    <w:rsid w:val="0085406B"/>
    <w:rsid w:val="00854551"/>
    <w:rsid w:val="00855F89"/>
    <w:rsid w:val="008561DB"/>
    <w:rsid w:val="0086359B"/>
    <w:rsid w:val="00865ADC"/>
    <w:rsid w:val="00871203"/>
    <w:rsid w:val="008716A8"/>
    <w:rsid w:val="00871861"/>
    <w:rsid w:val="008735F9"/>
    <w:rsid w:val="00875004"/>
    <w:rsid w:val="0087625C"/>
    <w:rsid w:val="00886401"/>
    <w:rsid w:val="00886440"/>
    <w:rsid w:val="00887614"/>
    <w:rsid w:val="00896CC9"/>
    <w:rsid w:val="008B247F"/>
    <w:rsid w:val="008B4B20"/>
    <w:rsid w:val="008C1ACE"/>
    <w:rsid w:val="008C277F"/>
    <w:rsid w:val="008C31D4"/>
    <w:rsid w:val="008C400F"/>
    <w:rsid w:val="008C5C35"/>
    <w:rsid w:val="008E3896"/>
    <w:rsid w:val="008E5BBA"/>
    <w:rsid w:val="008F180D"/>
    <w:rsid w:val="008F3617"/>
    <w:rsid w:val="00901C70"/>
    <w:rsid w:val="00902E86"/>
    <w:rsid w:val="00904B45"/>
    <w:rsid w:val="009114F7"/>
    <w:rsid w:val="0091303C"/>
    <w:rsid w:val="009130B3"/>
    <w:rsid w:val="00914F6A"/>
    <w:rsid w:val="0091562B"/>
    <w:rsid w:val="0091763A"/>
    <w:rsid w:val="00934446"/>
    <w:rsid w:val="00945A99"/>
    <w:rsid w:val="0094617F"/>
    <w:rsid w:val="00946936"/>
    <w:rsid w:val="009512F8"/>
    <w:rsid w:val="009568EE"/>
    <w:rsid w:val="009575B1"/>
    <w:rsid w:val="00960F35"/>
    <w:rsid w:val="00961358"/>
    <w:rsid w:val="00963D26"/>
    <w:rsid w:val="00966036"/>
    <w:rsid w:val="00967B51"/>
    <w:rsid w:val="00970772"/>
    <w:rsid w:val="00972696"/>
    <w:rsid w:val="0097354A"/>
    <w:rsid w:val="00974A85"/>
    <w:rsid w:val="009752A4"/>
    <w:rsid w:val="00977F80"/>
    <w:rsid w:val="00981FE6"/>
    <w:rsid w:val="009835A6"/>
    <w:rsid w:val="00985E3E"/>
    <w:rsid w:val="0099203E"/>
    <w:rsid w:val="009925B4"/>
    <w:rsid w:val="00995D36"/>
    <w:rsid w:val="00997CEC"/>
    <w:rsid w:val="009A18F4"/>
    <w:rsid w:val="009A21F4"/>
    <w:rsid w:val="009A27E7"/>
    <w:rsid w:val="009A4F16"/>
    <w:rsid w:val="009C0C29"/>
    <w:rsid w:val="009C23ED"/>
    <w:rsid w:val="009D304D"/>
    <w:rsid w:val="009D375E"/>
    <w:rsid w:val="009E3AE1"/>
    <w:rsid w:val="009E5FA7"/>
    <w:rsid w:val="009E7B60"/>
    <w:rsid w:val="009F0BFD"/>
    <w:rsid w:val="009F2B92"/>
    <w:rsid w:val="009F539B"/>
    <w:rsid w:val="009F6878"/>
    <w:rsid w:val="00A00AC6"/>
    <w:rsid w:val="00A0408D"/>
    <w:rsid w:val="00A051BB"/>
    <w:rsid w:val="00A11FB0"/>
    <w:rsid w:val="00A23D76"/>
    <w:rsid w:val="00A27C3A"/>
    <w:rsid w:val="00A36325"/>
    <w:rsid w:val="00A44FE5"/>
    <w:rsid w:val="00A5173E"/>
    <w:rsid w:val="00A63650"/>
    <w:rsid w:val="00A63ECA"/>
    <w:rsid w:val="00A71B95"/>
    <w:rsid w:val="00A83F42"/>
    <w:rsid w:val="00A85EF3"/>
    <w:rsid w:val="00A941A9"/>
    <w:rsid w:val="00AA07FC"/>
    <w:rsid w:val="00AA1131"/>
    <w:rsid w:val="00AA26F1"/>
    <w:rsid w:val="00AA3A9D"/>
    <w:rsid w:val="00AA641D"/>
    <w:rsid w:val="00AA6E5E"/>
    <w:rsid w:val="00AA79FE"/>
    <w:rsid w:val="00AB670C"/>
    <w:rsid w:val="00AB74DE"/>
    <w:rsid w:val="00AC1350"/>
    <w:rsid w:val="00AC3376"/>
    <w:rsid w:val="00AC3E1E"/>
    <w:rsid w:val="00AC405F"/>
    <w:rsid w:val="00AD0716"/>
    <w:rsid w:val="00AD2FE0"/>
    <w:rsid w:val="00AD4F0E"/>
    <w:rsid w:val="00AD5EB9"/>
    <w:rsid w:val="00AD6112"/>
    <w:rsid w:val="00AE46E4"/>
    <w:rsid w:val="00AE6566"/>
    <w:rsid w:val="00B0557D"/>
    <w:rsid w:val="00B05944"/>
    <w:rsid w:val="00B0665B"/>
    <w:rsid w:val="00B1089A"/>
    <w:rsid w:val="00B20F43"/>
    <w:rsid w:val="00B2206C"/>
    <w:rsid w:val="00B24117"/>
    <w:rsid w:val="00B53B55"/>
    <w:rsid w:val="00B555D5"/>
    <w:rsid w:val="00B55E2A"/>
    <w:rsid w:val="00B564A2"/>
    <w:rsid w:val="00B616C0"/>
    <w:rsid w:val="00B6387B"/>
    <w:rsid w:val="00B644B2"/>
    <w:rsid w:val="00B6530A"/>
    <w:rsid w:val="00B66E1B"/>
    <w:rsid w:val="00B70738"/>
    <w:rsid w:val="00B71268"/>
    <w:rsid w:val="00B8113C"/>
    <w:rsid w:val="00B83033"/>
    <w:rsid w:val="00B83C55"/>
    <w:rsid w:val="00B83E2C"/>
    <w:rsid w:val="00B84BA4"/>
    <w:rsid w:val="00B90FF8"/>
    <w:rsid w:val="00B92374"/>
    <w:rsid w:val="00B93D49"/>
    <w:rsid w:val="00B9708B"/>
    <w:rsid w:val="00B978D7"/>
    <w:rsid w:val="00BA14FC"/>
    <w:rsid w:val="00BA2A9C"/>
    <w:rsid w:val="00BA5043"/>
    <w:rsid w:val="00BB3107"/>
    <w:rsid w:val="00BB3F52"/>
    <w:rsid w:val="00BB5B04"/>
    <w:rsid w:val="00BB640F"/>
    <w:rsid w:val="00BB7764"/>
    <w:rsid w:val="00BB7FA1"/>
    <w:rsid w:val="00BC0693"/>
    <w:rsid w:val="00BC2122"/>
    <w:rsid w:val="00BC4A5B"/>
    <w:rsid w:val="00BC657C"/>
    <w:rsid w:val="00BD4CA7"/>
    <w:rsid w:val="00BE0799"/>
    <w:rsid w:val="00BE08B9"/>
    <w:rsid w:val="00BE3EAF"/>
    <w:rsid w:val="00BE77FA"/>
    <w:rsid w:val="00BF1C5F"/>
    <w:rsid w:val="00BF38F3"/>
    <w:rsid w:val="00BF4BDC"/>
    <w:rsid w:val="00BF7C1A"/>
    <w:rsid w:val="00BF7D66"/>
    <w:rsid w:val="00C02BB2"/>
    <w:rsid w:val="00C0412D"/>
    <w:rsid w:val="00C05411"/>
    <w:rsid w:val="00C14673"/>
    <w:rsid w:val="00C151A1"/>
    <w:rsid w:val="00C31162"/>
    <w:rsid w:val="00C3153A"/>
    <w:rsid w:val="00C4040B"/>
    <w:rsid w:val="00C4201E"/>
    <w:rsid w:val="00C429B8"/>
    <w:rsid w:val="00C4652F"/>
    <w:rsid w:val="00C568B6"/>
    <w:rsid w:val="00C60238"/>
    <w:rsid w:val="00C60DC5"/>
    <w:rsid w:val="00C67705"/>
    <w:rsid w:val="00C718AF"/>
    <w:rsid w:val="00C739AE"/>
    <w:rsid w:val="00C73F03"/>
    <w:rsid w:val="00C772B5"/>
    <w:rsid w:val="00C77E64"/>
    <w:rsid w:val="00C84AA4"/>
    <w:rsid w:val="00C9277E"/>
    <w:rsid w:val="00C929A0"/>
    <w:rsid w:val="00CA0CBE"/>
    <w:rsid w:val="00CA1537"/>
    <w:rsid w:val="00CA3EB0"/>
    <w:rsid w:val="00CB0182"/>
    <w:rsid w:val="00CB28B6"/>
    <w:rsid w:val="00CC3057"/>
    <w:rsid w:val="00CC32F8"/>
    <w:rsid w:val="00CC6478"/>
    <w:rsid w:val="00CE07F9"/>
    <w:rsid w:val="00CE0ADB"/>
    <w:rsid w:val="00CE3745"/>
    <w:rsid w:val="00CF01F4"/>
    <w:rsid w:val="00CF07AB"/>
    <w:rsid w:val="00D01B5F"/>
    <w:rsid w:val="00D11330"/>
    <w:rsid w:val="00D1147F"/>
    <w:rsid w:val="00D134D7"/>
    <w:rsid w:val="00D14DCB"/>
    <w:rsid w:val="00D1675E"/>
    <w:rsid w:val="00D16B57"/>
    <w:rsid w:val="00D17A78"/>
    <w:rsid w:val="00D206D3"/>
    <w:rsid w:val="00D24CC5"/>
    <w:rsid w:val="00D268FA"/>
    <w:rsid w:val="00D35AC3"/>
    <w:rsid w:val="00D447C3"/>
    <w:rsid w:val="00D44E6D"/>
    <w:rsid w:val="00D455BA"/>
    <w:rsid w:val="00D4606D"/>
    <w:rsid w:val="00D51F8E"/>
    <w:rsid w:val="00D62D7F"/>
    <w:rsid w:val="00D6348B"/>
    <w:rsid w:val="00D634F6"/>
    <w:rsid w:val="00D702F8"/>
    <w:rsid w:val="00D73E12"/>
    <w:rsid w:val="00D854AB"/>
    <w:rsid w:val="00D85802"/>
    <w:rsid w:val="00D911A0"/>
    <w:rsid w:val="00DA53DE"/>
    <w:rsid w:val="00DA7628"/>
    <w:rsid w:val="00DA7E99"/>
    <w:rsid w:val="00DB158F"/>
    <w:rsid w:val="00DB4143"/>
    <w:rsid w:val="00DB574F"/>
    <w:rsid w:val="00DB64DC"/>
    <w:rsid w:val="00DC5F87"/>
    <w:rsid w:val="00DD4DF7"/>
    <w:rsid w:val="00DE017A"/>
    <w:rsid w:val="00DE4B5C"/>
    <w:rsid w:val="00DF02F7"/>
    <w:rsid w:val="00DF03BC"/>
    <w:rsid w:val="00DF14FB"/>
    <w:rsid w:val="00DF28CD"/>
    <w:rsid w:val="00DF39D0"/>
    <w:rsid w:val="00DF5A67"/>
    <w:rsid w:val="00DF6567"/>
    <w:rsid w:val="00E05745"/>
    <w:rsid w:val="00E126F6"/>
    <w:rsid w:val="00E172F1"/>
    <w:rsid w:val="00E221C5"/>
    <w:rsid w:val="00E24F52"/>
    <w:rsid w:val="00E31267"/>
    <w:rsid w:val="00E31CEA"/>
    <w:rsid w:val="00E428E4"/>
    <w:rsid w:val="00E51E19"/>
    <w:rsid w:val="00E61295"/>
    <w:rsid w:val="00E62682"/>
    <w:rsid w:val="00E7332D"/>
    <w:rsid w:val="00E755D3"/>
    <w:rsid w:val="00E81841"/>
    <w:rsid w:val="00E82A0E"/>
    <w:rsid w:val="00E862EB"/>
    <w:rsid w:val="00E91EAF"/>
    <w:rsid w:val="00E95B68"/>
    <w:rsid w:val="00E971ED"/>
    <w:rsid w:val="00EA4A18"/>
    <w:rsid w:val="00EB64BD"/>
    <w:rsid w:val="00EB6C7A"/>
    <w:rsid w:val="00EC29F0"/>
    <w:rsid w:val="00ED390B"/>
    <w:rsid w:val="00EE6BAF"/>
    <w:rsid w:val="00EF11EA"/>
    <w:rsid w:val="00EF2026"/>
    <w:rsid w:val="00EF532C"/>
    <w:rsid w:val="00F04B97"/>
    <w:rsid w:val="00F070A6"/>
    <w:rsid w:val="00F13448"/>
    <w:rsid w:val="00F224A8"/>
    <w:rsid w:val="00F22B2D"/>
    <w:rsid w:val="00F22EEC"/>
    <w:rsid w:val="00F233B6"/>
    <w:rsid w:val="00F240D1"/>
    <w:rsid w:val="00F2431D"/>
    <w:rsid w:val="00F27058"/>
    <w:rsid w:val="00F27295"/>
    <w:rsid w:val="00F37F11"/>
    <w:rsid w:val="00F41253"/>
    <w:rsid w:val="00F444C5"/>
    <w:rsid w:val="00F500E8"/>
    <w:rsid w:val="00F54C25"/>
    <w:rsid w:val="00F65AD2"/>
    <w:rsid w:val="00F717CA"/>
    <w:rsid w:val="00F72241"/>
    <w:rsid w:val="00F73995"/>
    <w:rsid w:val="00F74CFD"/>
    <w:rsid w:val="00F753FB"/>
    <w:rsid w:val="00F75E77"/>
    <w:rsid w:val="00F81891"/>
    <w:rsid w:val="00F836BB"/>
    <w:rsid w:val="00F83B80"/>
    <w:rsid w:val="00F848F9"/>
    <w:rsid w:val="00F963FE"/>
    <w:rsid w:val="00F96D59"/>
    <w:rsid w:val="00FA3DFE"/>
    <w:rsid w:val="00FA433D"/>
    <w:rsid w:val="00FB039B"/>
    <w:rsid w:val="00FB0DD3"/>
    <w:rsid w:val="00FB4E9A"/>
    <w:rsid w:val="00FB5FCB"/>
    <w:rsid w:val="00FC465D"/>
    <w:rsid w:val="00FC4CD6"/>
    <w:rsid w:val="00FC7678"/>
    <w:rsid w:val="00FD4D8E"/>
    <w:rsid w:val="00FE20FA"/>
    <w:rsid w:val="00FE2193"/>
    <w:rsid w:val="00FE3094"/>
    <w:rsid w:val="00FE62BA"/>
    <w:rsid w:val="00FF442B"/>
    <w:rsid w:val="00FF4A3D"/>
    <w:rsid w:val="00FF63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A18F4"/>
    <w:rPr>
      <w:rFonts w:ascii="Times New Roman" w:eastAsia="宋体" w:hAnsi="Times New Roman" w:cs="Times New Roman"/>
      <w:b/>
      <w:bCs/>
      <w:kern w:val="44"/>
      <w:sz w:val="44"/>
      <w:szCs w:val="44"/>
    </w:rPr>
  </w:style>
  <w:style w:type="character" w:customStyle="1" w:styleId="2Char">
    <w:name w:val="标题 2 Char"/>
    <w:basedOn w:val="a1"/>
    <w:link w:val="2"/>
    <w:rsid w:val="009A18F4"/>
    <w:rPr>
      <w:rFonts w:ascii="Arial" w:eastAsia="黑体" w:hAnsi="Arial" w:cs="Times New Roman"/>
      <w:b/>
      <w:bCs/>
      <w:sz w:val="32"/>
      <w:szCs w:val="32"/>
    </w:rPr>
  </w:style>
  <w:style w:type="character" w:customStyle="1" w:styleId="3Char">
    <w:name w:val="标题 3 Char"/>
    <w:basedOn w:val="a1"/>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sz w:val="18"/>
      <w:szCs w:val="18"/>
    </w:rPr>
  </w:style>
  <w:style w:type="character" w:customStyle="1" w:styleId="Char">
    <w:name w:val="页眉 Char"/>
    <w:basedOn w:val="a1"/>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sz w:val="18"/>
      <w:szCs w:val="18"/>
    </w:rPr>
  </w:style>
  <w:style w:type="character" w:customStyle="1" w:styleId="Char0">
    <w:name w:val="页脚 Char"/>
    <w:basedOn w:val="a1"/>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cs="Courier New"/>
      <w:szCs w:val="21"/>
    </w:rPr>
  </w:style>
  <w:style w:type="character" w:customStyle="1" w:styleId="Char1">
    <w:name w:val="纯文本 Char"/>
    <w:basedOn w:val="a1"/>
    <w:link w:val="a8"/>
    <w:uiPriority w:val="99"/>
    <w:rsid w:val="009A18F4"/>
    <w:rPr>
      <w:rFonts w:ascii="宋体" w:eastAsia="宋体" w:hAnsi="Courier New" w:cs="Courier New"/>
      <w:szCs w:val="21"/>
    </w:rPr>
  </w:style>
  <w:style w:type="table" w:customStyle="1" w:styleId="10">
    <w:name w:val="浅色底纹1"/>
    <w:basedOn w:val="a2"/>
    <w:uiPriority w:val="60"/>
    <w:rsid w:val="009A18F4"/>
    <w:rPr>
      <w:rFonts w:ascii="Calibri" w:eastAsia="宋体" w:hAnsi="Calibri" w:cs="Times New Roman"/>
      <w:color w:val="000000"/>
      <w:kern w:val="0"/>
      <w:sz w:val="20"/>
      <w:szCs w:val="2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sz w:val="18"/>
      <w:szCs w:val="18"/>
    </w:rPr>
  </w:style>
  <w:style w:type="character" w:customStyle="1" w:styleId="Char2">
    <w:name w:val="批注框文本 Char"/>
    <w:basedOn w:val="a1"/>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sz w:val="18"/>
      <w:szCs w:val="18"/>
    </w:rPr>
  </w:style>
  <w:style w:type="character" w:customStyle="1" w:styleId="Char3">
    <w:name w:val="脚注文本 Char"/>
    <w:basedOn w:val="a1"/>
    <w:link w:val="aa"/>
    <w:semiHidden/>
    <w:rsid w:val="009A18F4"/>
    <w:rPr>
      <w:rFonts w:ascii="Times New Roman" w:eastAsia="宋体" w:hAnsi="Times New Roman" w:cs="Times New Roman"/>
      <w:sz w:val="18"/>
      <w:szCs w:val="18"/>
    </w:rPr>
  </w:style>
  <w:style w:type="character" w:styleId="ab">
    <w:name w:val="footnote reference"/>
    <w:basedOn w:val="a1"/>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basedOn w:val="a1"/>
    <w:rsid w:val="009A18F4"/>
    <w:rPr>
      <w:color w:val="0000FF"/>
      <w:u w:val="single"/>
    </w:rPr>
  </w:style>
  <w:style w:type="paragraph" w:styleId="ad">
    <w:name w:val="Date"/>
    <w:basedOn w:val="a0"/>
    <w:next w:val="a0"/>
    <w:link w:val="Char4"/>
    <w:rsid w:val="009A18F4"/>
    <w:pPr>
      <w:ind w:leftChars="2500" w:left="100"/>
    </w:pPr>
  </w:style>
  <w:style w:type="character" w:customStyle="1" w:styleId="Char4">
    <w:name w:val="日期 Char"/>
    <w:basedOn w:val="a1"/>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basedOn w:val="a1"/>
    <w:uiPriority w:val="22"/>
    <w:qFormat/>
    <w:rsid w:val="009A18F4"/>
    <w:rPr>
      <w:b/>
      <w:bCs/>
    </w:rPr>
  </w:style>
  <w:style w:type="character" w:styleId="af">
    <w:name w:val="Emphasis"/>
    <w:basedOn w:val="a1"/>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kern w:val="0"/>
      <w:sz w:val="22"/>
    </w:rPr>
  </w:style>
  <w:style w:type="character" w:customStyle="1" w:styleId="Char5">
    <w:name w:val="无间隔 Char"/>
    <w:basedOn w:val="a1"/>
    <w:link w:val="af1"/>
    <w:uiPriority w:val="1"/>
    <w:rsid w:val="009A18F4"/>
    <w:rPr>
      <w:kern w:val="0"/>
      <w:sz w:val="22"/>
    </w:rPr>
  </w:style>
  <w:style w:type="paragraph" w:customStyle="1" w:styleId="Default">
    <w:name w:val="Default"/>
    <w:rsid w:val="009A18F4"/>
    <w:pPr>
      <w:widowControl w:val="0"/>
      <w:autoSpaceDE w:val="0"/>
      <w:autoSpaceDN w:val="0"/>
      <w:adjustRightInd w:val="0"/>
    </w:pPr>
    <w:rPr>
      <w:rFonts w:ascii="宋体" w:eastAsia="宋体" w:hAnsi="Times New Roman" w:cs="宋体"/>
      <w:color w:val="000000"/>
      <w:kern w:val="0"/>
      <w:sz w:val="24"/>
      <w:szCs w:val="24"/>
    </w:rPr>
  </w:style>
  <w:style w:type="character" w:styleId="af2">
    <w:name w:val="FollowedHyperlink"/>
    <w:basedOn w:val="a1"/>
    <w:rsid w:val="009A18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9972384">
      <w:bodyDiv w:val="1"/>
      <w:marLeft w:val="0"/>
      <w:marRight w:val="0"/>
      <w:marTop w:val="0"/>
      <w:marBottom w:val="0"/>
      <w:divBdr>
        <w:top w:val="none" w:sz="0" w:space="0" w:color="auto"/>
        <w:left w:val="none" w:sz="0" w:space="0" w:color="auto"/>
        <w:bottom w:val="none" w:sz="0" w:space="0" w:color="auto"/>
        <w:right w:val="none" w:sz="0" w:space="0" w:color="auto"/>
      </w:divBdr>
    </w:div>
    <w:div w:id="262879661">
      <w:bodyDiv w:val="1"/>
      <w:marLeft w:val="0"/>
      <w:marRight w:val="0"/>
      <w:marTop w:val="0"/>
      <w:marBottom w:val="0"/>
      <w:divBdr>
        <w:top w:val="none" w:sz="0" w:space="0" w:color="auto"/>
        <w:left w:val="none" w:sz="0" w:space="0" w:color="auto"/>
        <w:bottom w:val="none" w:sz="0" w:space="0" w:color="auto"/>
        <w:right w:val="none" w:sz="0" w:space="0" w:color="auto"/>
      </w:divBdr>
    </w:div>
    <w:div w:id="1587499124">
      <w:bodyDiv w:val="1"/>
      <w:marLeft w:val="0"/>
      <w:marRight w:val="0"/>
      <w:marTop w:val="0"/>
      <w:marBottom w:val="0"/>
      <w:divBdr>
        <w:top w:val="none" w:sz="0" w:space="0" w:color="auto"/>
        <w:left w:val="none" w:sz="0" w:space="0" w:color="auto"/>
        <w:bottom w:val="none" w:sz="0" w:space="0" w:color="auto"/>
        <w:right w:val="none" w:sz="0" w:space="0" w:color="auto"/>
      </w:divBdr>
    </w:div>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 w:id="17501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ews.fx678.com/news/keywords/eur.shtml" TargetMode="Externa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4037;&#20316;\&#30740;&#31350;\&#22522;&#37329;&#31574;&#30053;&#25253;&#21578;\&#26376;&#25253;&#20351;&#2999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2"/>
  <c:chart>
    <c:plotArea>
      <c:layout>
        <c:manualLayout>
          <c:layoutTarget val="inner"/>
          <c:xMode val="edge"/>
          <c:yMode val="edge"/>
          <c:x val="0.14437132858392701"/>
          <c:y val="6.6964330608099282E-2"/>
          <c:w val="0.82251729897399151"/>
          <c:h val="0.80803571428571463"/>
        </c:manualLayout>
      </c:layout>
      <c:barChart>
        <c:barDir val="col"/>
        <c:grouping val="clustered"/>
        <c:ser>
          <c:idx val="0"/>
          <c:order val="0"/>
          <c:dLbls>
            <c:dLbl>
              <c:idx val="2"/>
              <c:tx>
                <c:rich>
                  <a:bodyPr/>
                  <a:lstStyle/>
                  <a:p>
                    <a:r>
                      <a:rPr lang="en-US" altLang="en-US"/>
                      <a:t>0.02%</a:t>
                    </a:r>
                  </a:p>
                </c:rich>
              </c:tx>
              <c:showVal val="1"/>
            </c:dLbl>
            <c:dLbl>
              <c:idx val="3"/>
              <c:layout>
                <c:manualLayout>
                  <c:x val="7.9365079365079413E-3"/>
                  <c:y val="1.5329290735209819E-2"/>
                </c:manualLayout>
              </c:layout>
              <c:dLblPos val="outEnd"/>
              <c:showVal val="1"/>
            </c:dLbl>
            <c:txPr>
              <a:bodyPr/>
              <a:lstStyle/>
              <a:p>
                <a:pPr>
                  <a:defRPr sz="800"/>
                </a:pPr>
                <a:endParaRPr lang="zh-CN"/>
              </a:p>
            </c:txPr>
            <c:showVal val="1"/>
          </c:dLbls>
          <c:cat>
            <c:strRef>
              <c:f>分类汇总!$D$76:$D$79</c:f>
              <c:strCache>
                <c:ptCount val="4"/>
                <c:pt idx="0">
                  <c:v>极大值</c:v>
                </c:pt>
                <c:pt idx="1">
                  <c:v>中位数</c:v>
                </c:pt>
                <c:pt idx="2">
                  <c:v>众数</c:v>
                </c:pt>
                <c:pt idx="3">
                  <c:v>极小值</c:v>
                </c:pt>
              </c:strCache>
            </c:strRef>
          </c:cat>
          <c:val>
            <c:numRef>
              <c:f>分类汇总!$E$76:$E$79</c:f>
              <c:numCache>
                <c:formatCode>0.00%</c:formatCode>
                <c:ptCount val="4"/>
                <c:pt idx="0">
                  <c:v>0.54270000000000063</c:v>
                </c:pt>
                <c:pt idx="1">
                  <c:v>3.0200000000000012E-2</c:v>
                </c:pt>
                <c:pt idx="2">
                  <c:v>0</c:v>
                </c:pt>
                <c:pt idx="3">
                  <c:v>-0.1482000000000003</c:v>
                </c:pt>
              </c:numCache>
            </c:numRef>
          </c:val>
        </c:ser>
        <c:axId val="129091456"/>
        <c:axId val="129092992"/>
      </c:barChart>
      <c:catAx>
        <c:axId val="129091456"/>
        <c:scaling>
          <c:orientation val="minMax"/>
        </c:scaling>
        <c:axPos val="b"/>
        <c:numFmt formatCode="General" sourceLinked="1"/>
        <c:majorTickMark val="in"/>
        <c:tickLblPos val="low"/>
        <c:txPr>
          <a:bodyPr rot="0" vert="horz"/>
          <a:lstStyle/>
          <a:p>
            <a:pPr>
              <a:defRPr sz="800"/>
            </a:pPr>
            <a:endParaRPr lang="zh-CN"/>
          </a:p>
        </c:txPr>
        <c:crossAx val="129092992"/>
        <c:crosses val="autoZero"/>
        <c:auto val="1"/>
        <c:lblAlgn val="ctr"/>
        <c:lblOffset val="0"/>
        <c:tickLblSkip val="1"/>
        <c:tickMarkSkip val="1"/>
      </c:catAx>
      <c:valAx>
        <c:axId val="129092992"/>
        <c:scaling>
          <c:orientation val="minMax"/>
          <c:max val="0.60000000000000064"/>
          <c:min val="-0.2"/>
        </c:scaling>
        <c:axPos val="l"/>
        <c:numFmt formatCode="0%" sourceLinked="0"/>
        <c:majorTickMark val="in"/>
        <c:tickLblPos val="nextTo"/>
        <c:txPr>
          <a:bodyPr rot="0" vert="horz"/>
          <a:lstStyle/>
          <a:p>
            <a:pPr>
              <a:defRPr sz="800"/>
            </a:pPr>
            <a:endParaRPr lang="zh-CN"/>
          </a:p>
        </c:txPr>
        <c:crossAx val="129091456"/>
        <c:crosses val="autoZero"/>
        <c:crossBetween val="between"/>
        <c:majorUnit val="0.2"/>
        <c:minorUnit val="5.0000000000000114E-3"/>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2781954887218044"/>
          <c:y val="5.9322033898305759E-2"/>
          <c:w val="0.80701754385964553"/>
          <c:h val="0.6991525423728816"/>
        </c:manualLayout>
      </c:layout>
      <c:lineChart>
        <c:grouping val="standard"/>
        <c:ser>
          <c:idx val="0"/>
          <c:order val="0"/>
          <c:tx>
            <c:strRef>
              <c:f>沪深2市!$C$3</c:f>
              <c:strCache>
                <c:ptCount val="1"/>
                <c:pt idx="0">
                  <c:v>上证指数</c:v>
                </c:pt>
              </c:strCache>
            </c:strRef>
          </c:tx>
          <c:marker>
            <c:symbol val="none"/>
          </c:marker>
          <c:cat>
            <c:numRef>
              <c:f>沪深2市!$B$68:$B$82</c:f>
              <c:numCache>
                <c:formatCode>yyyy/mm/dd</c:formatCode>
                <c:ptCount val="15"/>
                <c:pt idx="0">
                  <c:v>42285</c:v>
                </c:pt>
                <c:pt idx="1">
                  <c:v>42286</c:v>
                </c:pt>
                <c:pt idx="2">
                  <c:v>42289</c:v>
                </c:pt>
                <c:pt idx="3">
                  <c:v>42290</c:v>
                </c:pt>
                <c:pt idx="4">
                  <c:v>42291</c:v>
                </c:pt>
                <c:pt idx="5">
                  <c:v>42292</c:v>
                </c:pt>
                <c:pt idx="6">
                  <c:v>42293</c:v>
                </c:pt>
                <c:pt idx="7">
                  <c:v>42296</c:v>
                </c:pt>
                <c:pt idx="8">
                  <c:v>42297</c:v>
                </c:pt>
                <c:pt idx="9">
                  <c:v>42298</c:v>
                </c:pt>
                <c:pt idx="10">
                  <c:v>42299</c:v>
                </c:pt>
                <c:pt idx="11">
                  <c:v>42300</c:v>
                </c:pt>
                <c:pt idx="12">
                  <c:v>42303</c:v>
                </c:pt>
                <c:pt idx="13">
                  <c:v>42304</c:v>
                </c:pt>
                <c:pt idx="14">
                  <c:v>42305</c:v>
                </c:pt>
              </c:numCache>
            </c:numRef>
          </c:cat>
          <c:val>
            <c:numRef>
              <c:f>沪深2市!$C$68:$C$82</c:f>
              <c:numCache>
                <c:formatCode>#,##0.00;[Red]#,##0.00</c:formatCode>
                <c:ptCount val="15"/>
                <c:pt idx="0">
                  <c:v>2.9699999999999998</c:v>
                </c:pt>
                <c:pt idx="1">
                  <c:v>4.2699999999999996</c:v>
                </c:pt>
                <c:pt idx="2">
                  <c:v>7.6899999999999995</c:v>
                </c:pt>
                <c:pt idx="3">
                  <c:v>7.88</c:v>
                </c:pt>
                <c:pt idx="4">
                  <c:v>6.87</c:v>
                </c:pt>
                <c:pt idx="5">
                  <c:v>9.3500000000000068</c:v>
                </c:pt>
                <c:pt idx="6">
                  <c:v>11.09</c:v>
                </c:pt>
                <c:pt idx="7">
                  <c:v>10.94</c:v>
                </c:pt>
                <c:pt idx="8">
                  <c:v>12.2</c:v>
                </c:pt>
                <c:pt idx="9">
                  <c:v>8.7800000000000011</c:v>
                </c:pt>
                <c:pt idx="10">
                  <c:v>10.350000000000026</c:v>
                </c:pt>
                <c:pt idx="11">
                  <c:v>11.78</c:v>
                </c:pt>
                <c:pt idx="12">
                  <c:v>12.34</c:v>
                </c:pt>
                <c:pt idx="13">
                  <c:v>12.5</c:v>
                </c:pt>
                <c:pt idx="14">
                  <c:v>10.56</c:v>
                </c:pt>
              </c:numCache>
            </c:numRef>
          </c:val>
        </c:ser>
        <c:ser>
          <c:idx val="1"/>
          <c:order val="1"/>
          <c:tx>
            <c:strRef>
              <c:f>沪深2市!$D$3</c:f>
              <c:strCache>
                <c:ptCount val="1"/>
                <c:pt idx="0">
                  <c:v>深圳综指</c:v>
                </c:pt>
              </c:strCache>
            </c:strRef>
          </c:tx>
          <c:marker>
            <c:symbol val="none"/>
          </c:marker>
          <c:cat>
            <c:numRef>
              <c:f>沪深2市!$B$68:$B$82</c:f>
              <c:numCache>
                <c:formatCode>yyyy/mm/dd</c:formatCode>
                <c:ptCount val="15"/>
                <c:pt idx="0">
                  <c:v>42285</c:v>
                </c:pt>
                <c:pt idx="1">
                  <c:v>42286</c:v>
                </c:pt>
                <c:pt idx="2">
                  <c:v>42289</c:v>
                </c:pt>
                <c:pt idx="3">
                  <c:v>42290</c:v>
                </c:pt>
                <c:pt idx="4">
                  <c:v>42291</c:v>
                </c:pt>
                <c:pt idx="5">
                  <c:v>42292</c:v>
                </c:pt>
                <c:pt idx="6">
                  <c:v>42293</c:v>
                </c:pt>
                <c:pt idx="7">
                  <c:v>42296</c:v>
                </c:pt>
                <c:pt idx="8">
                  <c:v>42297</c:v>
                </c:pt>
                <c:pt idx="9">
                  <c:v>42298</c:v>
                </c:pt>
                <c:pt idx="10">
                  <c:v>42299</c:v>
                </c:pt>
                <c:pt idx="11">
                  <c:v>42300</c:v>
                </c:pt>
                <c:pt idx="12">
                  <c:v>42303</c:v>
                </c:pt>
                <c:pt idx="13">
                  <c:v>42304</c:v>
                </c:pt>
                <c:pt idx="14">
                  <c:v>42305</c:v>
                </c:pt>
              </c:numCache>
            </c:numRef>
          </c:cat>
          <c:val>
            <c:numRef>
              <c:f>沪深2市!$D$68:$D$82</c:f>
              <c:numCache>
                <c:formatCode>#,##0.00;[Red]#,##0.00</c:formatCode>
                <c:ptCount val="15"/>
                <c:pt idx="0">
                  <c:v>4</c:v>
                </c:pt>
                <c:pt idx="1">
                  <c:v>5.52</c:v>
                </c:pt>
                <c:pt idx="2">
                  <c:v>9.93</c:v>
                </c:pt>
                <c:pt idx="3">
                  <c:v>11.09</c:v>
                </c:pt>
                <c:pt idx="4">
                  <c:v>9.75</c:v>
                </c:pt>
                <c:pt idx="5">
                  <c:v>13.08</c:v>
                </c:pt>
                <c:pt idx="6">
                  <c:v>14.57</c:v>
                </c:pt>
                <c:pt idx="7">
                  <c:v>14.729999999999999</c:v>
                </c:pt>
                <c:pt idx="8">
                  <c:v>16.989999999999888</c:v>
                </c:pt>
                <c:pt idx="9">
                  <c:v>10.040000000000001</c:v>
                </c:pt>
                <c:pt idx="10">
                  <c:v>14.12</c:v>
                </c:pt>
                <c:pt idx="11">
                  <c:v>17.47</c:v>
                </c:pt>
                <c:pt idx="12">
                  <c:v>18.27</c:v>
                </c:pt>
                <c:pt idx="13">
                  <c:v>19.05</c:v>
                </c:pt>
                <c:pt idx="14">
                  <c:v>16.399999999999999</c:v>
                </c:pt>
              </c:numCache>
            </c:numRef>
          </c:val>
        </c:ser>
        <c:marker val="1"/>
        <c:axId val="131517824"/>
        <c:axId val="222581888"/>
      </c:lineChart>
      <c:dateAx>
        <c:axId val="131517824"/>
        <c:scaling>
          <c:orientation val="minMax"/>
        </c:scaling>
        <c:axPos val="b"/>
        <c:numFmt formatCode="yyyy/m/d" sourceLinked="0"/>
        <c:tickLblPos val="low"/>
        <c:txPr>
          <a:bodyPr rot="0"/>
          <a:lstStyle/>
          <a:p>
            <a:pPr>
              <a:defRPr sz="800"/>
            </a:pPr>
            <a:endParaRPr lang="zh-CN"/>
          </a:p>
        </c:txPr>
        <c:crossAx val="222581888"/>
        <c:crosses val="autoZero"/>
        <c:auto val="1"/>
        <c:lblOffset val="100"/>
      </c:dateAx>
      <c:valAx>
        <c:axId val="222581888"/>
        <c:scaling>
          <c:orientation val="minMax"/>
        </c:scaling>
        <c:axPos val="l"/>
        <c:numFmt formatCode="#,##0.00;[Red]#,##0.00" sourceLinked="1"/>
        <c:tickLblPos val="nextTo"/>
        <c:txPr>
          <a:bodyPr/>
          <a:lstStyle/>
          <a:p>
            <a:pPr>
              <a:defRPr sz="800"/>
            </a:pPr>
            <a:endParaRPr lang="zh-CN"/>
          </a:p>
        </c:txPr>
        <c:crossAx val="131517824"/>
        <c:crosses val="autoZero"/>
        <c:crossBetween val="between"/>
      </c:valAx>
    </c:plotArea>
    <c:legend>
      <c:legendPos val="b"/>
      <c:layout>
        <c:manualLayout>
          <c:xMode val="edge"/>
          <c:yMode val="edge"/>
          <c:x val="0.24141403377209655"/>
          <c:y val="0.90314115396592354"/>
          <c:w val="0.5171716693308076"/>
          <c:h val="8.1419102273232791E-2"/>
        </c:manualLayout>
      </c:layout>
      <c:txPr>
        <a:bodyPr/>
        <a:lstStyle/>
        <a:p>
          <a:pPr>
            <a:defRPr sz="800"/>
          </a:pPr>
          <a:endParaRPr lang="zh-CN"/>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5433622018276827"/>
          <c:y val="6.9792498704325551E-2"/>
          <c:w val="0.82993570418380969"/>
          <c:h val="0.64292006519862765"/>
        </c:manualLayout>
      </c:layout>
      <c:barChart>
        <c:barDir val="col"/>
        <c:grouping val="clustered"/>
        <c:ser>
          <c:idx val="0"/>
          <c:order val="0"/>
          <c:tx>
            <c:strRef>
              <c:f>行业!$B$52</c:f>
              <c:strCache>
                <c:ptCount val="1"/>
                <c:pt idx="0">
                  <c:v>上证指数</c:v>
                </c:pt>
              </c:strCache>
            </c:strRef>
          </c:tx>
          <c:dLbls>
            <c:delete val="1"/>
          </c:dLbls>
          <c:cat>
            <c:numRef>
              <c:f>行业!$E$51:$P$51</c:f>
              <c:numCache>
                <c:formatCode>yyyy/m/d</c:formatCode>
                <c:ptCount val="12"/>
                <c:pt idx="0">
                  <c:v>42305</c:v>
                </c:pt>
                <c:pt idx="1">
                  <c:v>42277</c:v>
                </c:pt>
                <c:pt idx="2">
                  <c:v>42247</c:v>
                </c:pt>
                <c:pt idx="3">
                  <c:v>42216</c:v>
                </c:pt>
                <c:pt idx="4">
                  <c:v>42185</c:v>
                </c:pt>
                <c:pt idx="5">
                  <c:v>42155</c:v>
                </c:pt>
                <c:pt idx="6">
                  <c:v>42124</c:v>
                </c:pt>
                <c:pt idx="7">
                  <c:v>42094</c:v>
                </c:pt>
                <c:pt idx="8">
                  <c:v>42063</c:v>
                </c:pt>
                <c:pt idx="9">
                  <c:v>42035</c:v>
                </c:pt>
                <c:pt idx="10">
                  <c:v>42004</c:v>
                </c:pt>
                <c:pt idx="11">
                  <c:v>41973</c:v>
                </c:pt>
              </c:numCache>
            </c:numRef>
          </c:cat>
          <c:val>
            <c:numRef>
              <c:f>行业!$E$52:$P$52</c:f>
              <c:numCache>
                <c:formatCode>#,##0.00;[Red]#,##0.00</c:formatCode>
                <c:ptCount val="12"/>
                <c:pt idx="0">
                  <c:v>10.56</c:v>
                </c:pt>
                <c:pt idx="1">
                  <c:v>-4.78</c:v>
                </c:pt>
                <c:pt idx="2">
                  <c:v>-12.49</c:v>
                </c:pt>
                <c:pt idx="3">
                  <c:v>-14.34</c:v>
                </c:pt>
                <c:pt idx="4">
                  <c:v>-7.25</c:v>
                </c:pt>
                <c:pt idx="5">
                  <c:v>3.8299999999999987</c:v>
                </c:pt>
                <c:pt idx="6">
                  <c:v>18.510000000000005</c:v>
                </c:pt>
                <c:pt idx="7">
                  <c:v>13.219999999999999</c:v>
                </c:pt>
                <c:pt idx="8">
                  <c:v>3.11</c:v>
                </c:pt>
                <c:pt idx="9">
                  <c:v>-0.75000000000000289</c:v>
                </c:pt>
                <c:pt idx="10">
                  <c:v>20.57</c:v>
                </c:pt>
                <c:pt idx="11">
                  <c:v>10.850000000000026</c:v>
                </c:pt>
              </c:numCache>
            </c:numRef>
          </c:val>
        </c:ser>
        <c:ser>
          <c:idx val="1"/>
          <c:order val="1"/>
          <c:tx>
            <c:strRef>
              <c:f>行业!$B$53</c:f>
              <c:strCache>
                <c:ptCount val="1"/>
                <c:pt idx="0">
                  <c:v>深圳综指</c:v>
                </c:pt>
              </c:strCache>
            </c:strRef>
          </c:tx>
          <c:dLbls>
            <c:delete val="1"/>
          </c:dLbls>
          <c:cat>
            <c:numRef>
              <c:f>行业!$E$51:$P$51</c:f>
              <c:numCache>
                <c:formatCode>yyyy/m/d</c:formatCode>
                <c:ptCount val="12"/>
                <c:pt idx="0">
                  <c:v>42305</c:v>
                </c:pt>
                <c:pt idx="1">
                  <c:v>42277</c:v>
                </c:pt>
                <c:pt idx="2">
                  <c:v>42247</c:v>
                </c:pt>
                <c:pt idx="3">
                  <c:v>42216</c:v>
                </c:pt>
                <c:pt idx="4">
                  <c:v>42185</c:v>
                </c:pt>
                <c:pt idx="5">
                  <c:v>42155</c:v>
                </c:pt>
                <c:pt idx="6">
                  <c:v>42124</c:v>
                </c:pt>
                <c:pt idx="7">
                  <c:v>42094</c:v>
                </c:pt>
                <c:pt idx="8">
                  <c:v>42063</c:v>
                </c:pt>
                <c:pt idx="9">
                  <c:v>42035</c:v>
                </c:pt>
                <c:pt idx="10">
                  <c:v>42004</c:v>
                </c:pt>
                <c:pt idx="11">
                  <c:v>41973</c:v>
                </c:pt>
              </c:numCache>
            </c:numRef>
          </c:cat>
          <c:val>
            <c:numRef>
              <c:f>行业!$E$53:$P$53</c:f>
              <c:numCache>
                <c:formatCode>#,##0.00;[Red]#,##0.00</c:formatCode>
                <c:ptCount val="12"/>
                <c:pt idx="0">
                  <c:v>16.399999999999999</c:v>
                </c:pt>
                <c:pt idx="1">
                  <c:v>-4.1099999999999985</c:v>
                </c:pt>
                <c:pt idx="2">
                  <c:v>-15.18</c:v>
                </c:pt>
                <c:pt idx="3">
                  <c:v>-14.350000000000026</c:v>
                </c:pt>
                <c:pt idx="4">
                  <c:v>-11.78</c:v>
                </c:pt>
                <c:pt idx="5">
                  <c:v>23.17</c:v>
                </c:pt>
                <c:pt idx="6">
                  <c:v>15.8</c:v>
                </c:pt>
                <c:pt idx="7">
                  <c:v>20.14</c:v>
                </c:pt>
                <c:pt idx="8">
                  <c:v>7.78</c:v>
                </c:pt>
                <c:pt idx="9">
                  <c:v>6.87</c:v>
                </c:pt>
                <c:pt idx="10">
                  <c:v>-0.36000000000000032</c:v>
                </c:pt>
                <c:pt idx="11">
                  <c:v>5.17</c:v>
                </c:pt>
              </c:numCache>
            </c:numRef>
          </c:val>
        </c:ser>
        <c:dLbls>
          <c:showVal val="1"/>
        </c:dLbls>
        <c:gapWidth val="100"/>
        <c:axId val="222766208"/>
        <c:axId val="222767744"/>
      </c:barChart>
      <c:dateAx>
        <c:axId val="222766208"/>
        <c:scaling>
          <c:orientation val="minMax"/>
        </c:scaling>
        <c:axPos val="b"/>
        <c:numFmt formatCode="yyyy/m" sourceLinked="0"/>
        <c:majorTickMark val="none"/>
        <c:tickLblPos val="low"/>
        <c:txPr>
          <a:bodyPr rot="-2700000"/>
          <a:lstStyle/>
          <a:p>
            <a:pPr>
              <a:defRPr sz="800"/>
            </a:pPr>
            <a:endParaRPr lang="zh-CN"/>
          </a:p>
        </c:txPr>
        <c:crossAx val="222767744"/>
        <c:crosses val="autoZero"/>
        <c:auto val="1"/>
        <c:lblOffset val="100"/>
        <c:baseTimeUnit val="months"/>
        <c:majorUnit val="1"/>
        <c:majorTimeUnit val="months"/>
        <c:minorUnit val="1"/>
        <c:minorTimeUnit val="months"/>
      </c:dateAx>
      <c:valAx>
        <c:axId val="222767744"/>
        <c:scaling>
          <c:orientation val="minMax"/>
        </c:scaling>
        <c:axPos val="l"/>
        <c:numFmt formatCode="#,##0.00;[Red]#,##0.00" sourceLinked="0"/>
        <c:majorTickMark val="none"/>
        <c:tickLblPos val="nextTo"/>
        <c:txPr>
          <a:bodyPr/>
          <a:lstStyle/>
          <a:p>
            <a:pPr>
              <a:defRPr sz="800"/>
            </a:pPr>
            <a:endParaRPr lang="zh-CN"/>
          </a:p>
        </c:txPr>
        <c:crossAx val="222766208"/>
        <c:crosses val="autoZero"/>
        <c:crossBetween val="between"/>
      </c:valAx>
    </c:plotArea>
    <c:legend>
      <c:legendPos val="t"/>
      <c:layout>
        <c:manualLayout>
          <c:xMode val="edge"/>
          <c:yMode val="edge"/>
          <c:x val="0.27288091820937055"/>
          <c:y val="0.87249147619929412"/>
          <c:w val="0.5225681857617217"/>
          <c:h val="0.12723538543535454"/>
        </c:manualLayout>
      </c:layout>
      <c:txPr>
        <a:bodyPr/>
        <a:lstStyle/>
        <a:p>
          <a:pPr>
            <a:defRPr sz="800"/>
          </a:pPr>
          <a:endParaRPr lang="zh-CN"/>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20"/>
  <c:chart>
    <c:autoTitleDeleted val="1"/>
    <c:plotArea>
      <c:layout>
        <c:manualLayout>
          <c:layoutTarget val="inner"/>
          <c:xMode val="edge"/>
          <c:yMode val="edge"/>
          <c:x val="0.23772797889171024"/>
          <c:y val="0"/>
          <c:w val="0.70372712250802039"/>
          <c:h val="0.83705467325059646"/>
        </c:manualLayout>
      </c:layout>
      <c:barChart>
        <c:barDir val="bar"/>
        <c:grouping val="clustered"/>
        <c:ser>
          <c:idx val="0"/>
          <c:order val="0"/>
          <c:tx>
            <c:strRef>
              <c:f>行业!$C$29</c:f>
              <c:strCache>
                <c:ptCount val="1"/>
                <c:pt idx="0">
                  <c:v>月度涨幅(%)</c:v>
                </c:pt>
              </c:strCache>
            </c:strRef>
          </c:tx>
          <c:dLbls>
            <c:txPr>
              <a:bodyPr/>
              <a:lstStyle/>
              <a:p>
                <a:pPr>
                  <a:defRPr sz="800"/>
                </a:pPr>
                <a:endParaRPr lang="zh-CN"/>
              </a:p>
            </c:txPr>
            <c:showVal val="1"/>
          </c:dLbls>
          <c:cat>
            <c:strRef>
              <c:f>行业!$B$30:$B$35</c:f>
              <c:strCache>
                <c:ptCount val="6"/>
                <c:pt idx="0">
                  <c:v>高市盈率指数</c:v>
                </c:pt>
                <c:pt idx="1">
                  <c:v>中盘指数</c:v>
                </c:pt>
                <c:pt idx="2">
                  <c:v>小盘指数</c:v>
                </c:pt>
                <c:pt idx="3">
                  <c:v>中市盈率指数</c:v>
                </c:pt>
                <c:pt idx="4">
                  <c:v>低市盈率指数</c:v>
                </c:pt>
                <c:pt idx="5">
                  <c:v>大盘指数</c:v>
                </c:pt>
              </c:strCache>
            </c:strRef>
          </c:cat>
          <c:val>
            <c:numRef>
              <c:f>行业!$C$30:$C$35</c:f>
              <c:numCache>
                <c:formatCode>#,##0.00;[Red]#,##0.00</c:formatCode>
                <c:ptCount val="6"/>
                <c:pt idx="0">
                  <c:v>13.19</c:v>
                </c:pt>
                <c:pt idx="1">
                  <c:v>14.92</c:v>
                </c:pt>
                <c:pt idx="2">
                  <c:v>16.739999999999988</c:v>
                </c:pt>
                <c:pt idx="3">
                  <c:v>17.309999999999999</c:v>
                </c:pt>
                <c:pt idx="4">
                  <c:v>9.5500000000000007</c:v>
                </c:pt>
                <c:pt idx="5">
                  <c:v>9.65</c:v>
                </c:pt>
              </c:numCache>
            </c:numRef>
          </c:val>
        </c:ser>
        <c:axId val="222791552"/>
        <c:axId val="222793088"/>
      </c:barChart>
      <c:catAx>
        <c:axId val="222791552"/>
        <c:scaling>
          <c:orientation val="minMax"/>
        </c:scaling>
        <c:axPos val="l"/>
        <c:numFmt formatCode="General" sourceLinked="1"/>
        <c:tickLblPos val="low"/>
        <c:txPr>
          <a:bodyPr/>
          <a:lstStyle/>
          <a:p>
            <a:pPr>
              <a:defRPr sz="800"/>
            </a:pPr>
            <a:endParaRPr lang="zh-CN"/>
          </a:p>
        </c:txPr>
        <c:crossAx val="222793088"/>
        <c:crossesAt val="0"/>
        <c:auto val="1"/>
        <c:lblAlgn val="ctr"/>
        <c:lblOffset val="100"/>
      </c:catAx>
      <c:valAx>
        <c:axId val="222793088"/>
        <c:scaling>
          <c:orientation val="minMax"/>
        </c:scaling>
        <c:axPos val="b"/>
        <c:numFmt formatCode="#,##0.00;[Red]#,##0.00" sourceLinked="1"/>
        <c:tickLblPos val="nextTo"/>
        <c:txPr>
          <a:bodyPr/>
          <a:lstStyle/>
          <a:p>
            <a:pPr>
              <a:defRPr sz="800"/>
            </a:pPr>
            <a:endParaRPr lang="zh-CN"/>
          </a:p>
        </c:txPr>
        <c:crossAx val="222791552"/>
        <c:crosses val="autoZero"/>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20"/>
  <c:chart>
    <c:autoTitleDeleted val="1"/>
    <c:plotArea>
      <c:layout>
        <c:manualLayout>
          <c:layoutTarget val="inner"/>
          <c:xMode val="edge"/>
          <c:yMode val="edge"/>
          <c:x val="0.11375661375661456"/>
          <c:y val="5.8091286307053944E-2"/>
          <c:w val="0.84656084656084662"/>
          <c:h val="0.72199170124481726"/>
        </c:manualLayout>
      </c:layout>
      <c:barChart>
        <c:barDir val="col"/>
        <c:grouping val="clustered"/>
        <c:ser>
          <c:idx val="0"/>
          <c:order val="0"/>
          <c:tx>
            <c:strRef>
              <c:f>行业!$K$3</c:f>
              <c:strCache>
                <c:ptCount val="1"/>
                <c:pt idx="0">
                  <c:v>月度涨幅(%)</c:v>
                </c:pt>
              </c:strCache>
            </c:strRef>
          </c:tx>
          <c:cat>
            <c:strRef>
              <c:f>行业!$J$4:$J$31</c:f>
              <c:strCache>
                <c:ptCount val="28"/>
                <c:pt idx="0">
                  <c:v>计算机</c:v>
                </c:pt>
                <c:pt idx="1">
                  <c:v>国防军工</c:v>
                </c:pt>
                <c:pt idx="2">
                  <c:v>通信</c:v>
                </c:pt>
                <c:pt idx="3">
                  <c:v>电气设备</c:v>
                </c:pt>
                <c:pt idx="4">
                  <c:v>电子</c:v>
                </c:pt>
                <c:pt idx="5">
                  <c:v>机械设备</c:v>
                </c:pt>
                <c:pt idx="6">
                  <c:v>纺织服装</c:v>
                </c:pt>
                <c:pt idx="7">
                  <c:v>有色金属</c:v>
                </c:pt>
                <c:pt idx="8">
                  <c:v>化工</c:v>
                </c:pt>
                <c:pt idx="9">
                  <c:v>商业贸易</c:v>
                </c:pt>
                <c:pt idx="10">
                  <c:v>传媒</c:v>
                </c:pt>
                <c:pt idx="11">
                  <c:v>房地产</c:v>
                </c:pt>
                <c:pt idx="12">
                  <c:v>农林牧渔</c:v>
                </c:pt>
                <c:pt idx="13">
                  <c:v>医药生物</c:v>
                </c:pt>
                <c:pt idx="14">
                  <c:v>非银金融</c:v>
                </c:pt>
                <c:pt idx="15">
                  <c:v>汽车</c:v>
                </c:pt>
                <c:pt idx="16">
                  <c:v>家用电器</c:v>
                </c:pt>
                <c:pt idx="17">
                  <c:v>综合</c:v>
                </c:pt>
                <c:pt idx="18">
                  <c:v>建筑装饰</c:v>
                </c:pt>
                <c:pt idx="19">
                  <c:v>公用事业</c:v>
                </c:pt>
                <c:pt idx="20">
                  <c:v>轻工制造</c:v>
                </c:pt>
                <c:pt idx="21">
                  <c:v>采掘</c:v>
                </c:pt>
                <c:pt idx="22">
                  <c:v>休闲服务</c:v>
                </c:pt>
                <c:pt idx="23">
                  <c:v>建筑材料</c:v>
                </c:pt>
                <c:pt idx="24">
                  <c:v>钢铁</c:v>
                </c:pt>
                <c:pt idx="25">
                  <c:v>交通运输</c:v>
                </c:pt>
                <c:pt idx="26">
                  <c:v>食品饮料</c:v>
                </c:pt>
                <c:pt idx="27">
                  <c:v>银行</c:v>
                </c:pt>
              </c:strCache>
            </c:strRef>
          </c:cat>
          <c:val>
            <c:numRef>
              <c:f>行业!$K$4:$K$31</c:f>
              <c:numCache>
                <c:formatCode>0.00_ </c:formatCode>
                <c:ptCount val="28"/>
                <c:pt idx="0">
                  <c:v>21.650000000000031</c:v>
                </c:pt>
                <c:pt idx="1">
                  <c:v>20.52</c:v>
                </c:pt>
                <c:pt idx="2">
                  <c:v>19.420000000000002</c:v>
                </c:pt>
                <c:pt idx="3">
                  <c:v>19.29</c:v>
                </c:pt>
                <c:pt idx="4">
                  <c:v>17.760000000000002</c:v>
                </c:pt>
                <c:pt idx="5">
                  <c:v>17.23</c:v>
                </c:pt>
                <c:pt idx="6">
                  <c:v>16.86</c:v>
                </c:pt>
                <c:pt idx="7">
                  <c:v>16.59</c:v>
                </c:pt>
                <c:pt idx="8">
                  <c:v>16.010000000000005</c:v>
                </c:pt>
                <c:pt idx="9">
                  <c:v>15.9</c:v>
                </c:pt>
                <c:pt idx="10">
                  <c:v>15.53</c:v>
                </c:pt>
                <c:pt idx="11">
                  <c:v>14.68</c:v>
                </c:pt>
                <c:pt idx="12">
                  <c:v>14.44</c:v>
                </c:pt>
                <c:pt idx="13">
                  <c:v>14.42</c:v>
                </c:pt>
                <c:pt idx="14">
                  <c:v>14.34</c:v>
                </c:pt>
                <c:pt idx="15">
                  <c:v>13.75</c:v>
                </c:pt>
                <c:pt idx="16">
                  <c:v>12.93</c:v>
                </c:pt>
                <c:pt idx="17">
                  <c:v>12.88</c:v>
                </c:pt>
                <c:pt idx="18">
                  <c:v>12.6</c:v>
                </c:pt>
                <c:pt idx="19">
                  <c:v>12.59</c:v>
                </c:pt>
                <c:pt idx="20">
                  <c:v>12.41</c:v>
                </c:pt>
                <c:pt idx="21">
                  <c:v>10.41</c:v>
                </c:pt>
                <c:pt idx="22">
                  <c:v>10.120000000000001</c:v>
                </c:pt>
                <c:pt idx="23">
                  <c:v>9.7100000000000009</c:v>
                </c:pt>
                <c:pt idx="24">
                  <c:v>9.07</c:v>
                </c:pt>
                <c:pt idx="25">
                  <c:v>7.81</c:v>
                </c:pt>
                <c:pt idx="26">
                  <c:v>7.1</c:v>
                </c:pt>
                <c:pt idx="27">
                  <c:v>3.61</c:v>
                </c:pt>
              </c:numCache>
            </c:numRef>
          </c:val>
        </c:ser>
        <c:axId val="222804608"/>
        <c:axId val="222818688"/>
      </c:barChart>
      <c:catAx>
        <c:axId val="222804608"/>
        <c:scaling>
          <c:orientation val="minMax"/>
        </c:scaling>
        <c:axPos val="b"/>
        <c:numFmt formatCode="0.00_ " sourceLinked="0"/>
        <c:majorTickMark val="in"/>
        <c:tickLblPos val="low"/>
        <c:txPr>
          <a:bodyPr rot="-2700000" vert="horz"/>
          <a:lstStyle/>
          <a:p>
            <a:pPr>
              <a:defRPr sz="700"/>
            </a:pPr>
            <a:endParaRPr lang="zh-CN"/>
          </a:p>
        </c:txPr>
        <c:crossAx val="222818688"/>
        <c:crosses val="autoZero"/>
        <c:auto val="1"/>
        <c:lblAlgn val="ctr"/>
        <c:lblOffset val="0"/>
        <c:tickLblSkip val="1"/>
        <c:tickMarkSkip val="1"/>
      </c:catAx>
      <c:valAx>
        <c:axId val="222818688"/>
        <c:scaling>
          <c:orientation val="minMax"/>
        </c:scaling>
        <c:axPos val="l"/>
        <c:numFmt formatCode="#,##0.00;[Red]#,##0.00" sourceLinked="0"/>
        <c:majorTickMark val="in"/>
        <c:tickLblPos val="low"/>
        <c:txPr>
          <a:bodyPr rot="0" vert="horz"/>
          <a:lstStyle/>
          <a:p>
            <a:pPr>
              <a:defRPr sz="800"/>
            </a:pPr>
            <a:endParaRPr lang="zh-CN"/>
          </a:p>
        </c:txPr>
        <c:crossAx val="222804608"/>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style val="20"/>
  <c:chart>
    <c:autoTitleDeleted val="1"/>
    <c:plotArea>
      <c:layout>
        <c:manualLayout>
          <c:layoutTarget val="inner"/>
          <c:xMode val="edge"/>
          <c:yMode val="edge"/>
          <c:x val="0.1142857142857148"/>
          <c:y val="3.3613445378151259E-2"/>
          <c:w val="0.85194805194805556"/>
          <c:h val="0.62067966193111679"/>
        </c:manualLayout>
      </c:layout>
      <c:barChart>
        <c:barDir val="col"/>
        <c:grouping val="clustered"/>
        <c:ser>
          <c:idx val="0"/>
          <c:order val="0"/>
          <c:tx>
            <c:strRef>
              <c:f>基金指数!$C$3</c:f>
              <c:strCache>
                <c:ptCount val="1"/>
                <c:pt idx="0">
                  <c:v>中国混基指数</c:v>
                </c:pt>
              </c:strCache>
            </c:strRef>
          </c:tx>
          <c:dLbls>
            <c:dLbl>
              <c:idx val="0"/>
              <c:layout>
                <c:manualLayout>
                  <c:x val="1.9851116625310278E-2"/>
                  <c:y val="0"/>
                </c:manualLayout>
              </c:layout>
              <c:showVal val="1"/>
            </c:dLbl>
            <c:txPr>
              <a:bodyPr/>
              <a:lstStyle/>
              <a:p>
                <a:pPr>
                  <a:defRPr sz="800"/>
                </a:pPr>
                <a:endParaRPr lang="zh-CN"/>
              </a:p>
            </c:txPr>
            <c:showVal val="1"/>
          </c:dLbls>
          <c:cat>
            <c:strRef>
              <c:f>基金指数!$F$2:$F$10</c:f>
              <c:strCache>
                <c:ptCount val="9"/>
                <c:pt idx="0">
                  <c:v>中国股基指数</c:v>
                </c:pt>
                <c:pt idx="1">
                  <c:v>中国混基指数</c:v>
                </c:pt>
                <c:pt idx="2">
                  <c:v>中国债基指数</c:v>
                </c:pt>
                <c:pt idx="3">
                  <c:v>WIND指基指数</c:v>
                </c:pt>
                <c:pt idx="4">
                  <c:v>WIND QDII基指数</c:v>
                </c:pt>
                <c:pt idx="5">
                  <c:v>WIND 货基指数</c:v>
                </c:pt>
                <c:pt idx="6">
                  <c:v>上证综指</c:v>
                </c:pt>
                <c:pt idx="7">
                  <c:v>深证综指</c:v>
                </c:pt>
                <c:pt idx="8">
                  <c:v>中证全债</c:v>
                </c:pt>
              </c:strCache>
            </c:strRef>
          </c:cat>
          <c:val>
            <c:numRef>
              <c:f>基金指数!$G$2:$G$10</c:f>
              <c:numCache>
                <c:formatCode>0.00%</c:formatCode>
                <c:ptCount val="9"/>
                <c:pt idx="0">
                  <c:v>0.18360000000000001</c:v>
                </c:pt>
                <c:pt idx="1">
                  <c:v>0.10620000000000022</c:v>
                </c:pt>
                <c:pt idx="2">
                  <c:v>1.6899999999999998E-2</c:v>
                </c:pt>
                <c:pt idx="3">
                  <c:v>0.12089999999999998</c:v>
                </c:pt>
                <c:pt idx="4">
                  <c:v>6.8900000000000003E-2</c:v>
                </c:pt>
                <c:pt idx="5">
                  <c:v>1.4000000000000041E-3</c:v>
                </c:pt>
                <c:pt idx="6">
                  <c:v>0.10560000000000012</c:v>
                </c:pt>
                <c:pt idx="7">
                  <c:v>0.16400000000000001</c:v>
                </c:pt>
                <c:pt idx="8">
                  <c:v>1.2E-2</c:v>
                </c:pt>
              </c:numCache>
            </c:numRef>
          </c:val>
        </c:ser>
        <c:axId val="224865280"/>
        <c:axId val="224871168"/>
      </c:barChart>
      <c:catAx>
        <c:axId val="224865280"/>
        <c:scaling>
          <c:orientation val="minMax"/>
        </c:scaling>
        <c:axPos val="b"/>
        <c:numFmt formatCode="0.00_ " sourceLinked="0"/>
        <c:majorTickMark val="in"/>
        <c:tickLblPos val="low"/>
        <c:txPr>
          <a:bodyPr rot="-2700000" vert="horz"/>
          <a:lstStyle/>
          <a:p>
            <a:pPr>
              <a:defRPr sz="800"/>
            </a:pPr>
            <a:endParaRPr lang="zh-CN"/>
          </a:p>
        </c:txPr>
        <c:crossAx val="224871168"/>
        <c:crosses val="autoZero"/>
        <c:auto val="1"/>
        <c:lblAlgn val="ctr"/>
        <c:lblOffset val="0"/>
        <c:tickLblSkip val="1"/>
        <c:tickMarkSkip val="1"/>
      </c:catAx>
      <c:valAx>
        <c:axId val="224871168"/>
        <c:scaling>
          <c:orientation val="minMax"/>
        </c:scaling>
        <c:axPos val="l"/>
        <c:numFmt formatCode="0%" sourceLinked="0"/>
        <c:majorTickMark val="in"/>
        <c:tickLblPos val="low"/>
        <c:txPr>
          <a:bodyPr rot="0" vert="horz"/>
          <a:lstStyle/>
          <a:p>
            <a:pPr>
              <a:defRPr sz="900"/>
            </a:pPr>
            <a:endParaRPr lang="zh-CN"/>
          </a:p>
        </c:txPr>
        <c:crossAx val="224865280"/>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3795</TotalTime>
  <Pages>9</Pages>
  <Words>1234</Words>
  <Characters>7034</Characters>
  <Application>Microsoft Office Word</Application>
  <DocSecurity>0</DocSecurity>
  <Lines>58</Lines>
  <Paragraphs>16</Paragraphs>
  <ScaleCrop>false</ScaleCrop>
  <Company>SHSC</Company>
  <LinksUpToDate>false</LinksUpToDate>
  <CharactersWithSpaces>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刘亦千:</dc:creator>
  <cp:keywords/>
  <dc:description/>
  <cp:lastModifiedBy>闻嘉琦:</cp:lastModifiedBy>
  <cp:revision>99</cp:revision>
  <cp:lastPrinted>2015-07-31T03:17:00Z</cp:lastPrinted>
  <dcterms:created xsi:type="dcterms:W3CDTF">2015-08-28T07:40:00Z</dcterms:created>
  <dcterms:modified xsi:type="dcterms:W3CDTF">2015-11-02T06:11:00Z</dcterms:modified>
</cp:coreProperties>
</file>