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C97435" w:rsidTr="00D334D2">
        <w:trPr>
          <w:trHeight w:val="532"/>
        </w:trPr>
        <w:tc>
          <w:tcPr>
            <w:tcW w:w="7663" w:type="dxa"/>
            <w:tcBorders>
              <w:top w:val="single" w:sz="4" w:space="0" w:color="auto"/>
            </w:tcBorders>
            <w:shd w:val="clear" w:color="auto" w:fill="F0EAC6"/>
          </w:tcPr>
          <w:p w:rsidR="00CE2EF7" w:rsidRPr="00C97435" w:rsidRDefault="001F0CB4" w:rsidP="000D2E16">
            <w:pPr>
              <w:rPr>
                <w:rFonts w:ascii="Arial" w:hAnsi="Arial" w:cs="Arial"/>
                <w:b/>
                <w:sz w:val="32"/>
              </w:rPr>
            </w:pPr>
            <w:r>
              <w:rPr>
                <w:rFonts w:ascii="Arial" w:hAnsi="Arial" w:cs="Arial"/>
                <w:b/>
                <w:sz w:val="32"/>
              </w:rPr>
              <w:t>凯石</w:t>
            </w:r>
            <w:r w:rsidR="00F277FE" w:rsidRPr="00C97435">
              <w:rPr>
                <w:rFonts w:ascii="Arial" w:hAnsi="Arial" w:cs="Arial"/>
                <w:b/>
                <w:sz w:val="32"/>
              </w:rPr>
              <w:t>公</w:t>
            </w:r>
            <w:proofErr w:type="gramStart"/>
            <w:r w:rsidR="00F277FE" w:rsidRPr="00C97435">
              <w:rPr>
                <w:rFonts w:ascii="Arial" w:hAnsi="Arial" w:cs="Arial"/>
                <w:b/>
                <w:sz w:val="32"/>
              </w:rPr>
              <w:t>募基金</w:t>
            </w:r>
            <w:proofErr w:type="gramEnd"/>
            <w:r w:rsidR="00F277FE" w:rsidRPr="00C97435">
              <w:rPr>
                <w:rFonts w:ascii="Arial" w:hAnsi="Arial" w:cs="Arial"/>
                <w:b/>
                <w:sz w:val="32"/>
              </w:rPr>
              <w:t>周报（</w:t>
            </w:r>
            <w:r w:rsidR="00F277FE" w:rsidRPr="00C97435">
              <w:rPr>
                <w:rFonts w:ascii="Arial" w:hAnsi="Arial" w:cs="Arial"/>
                <w:b/>
                <w:sz w:val="32"/>
              </w:rPr>
              <w:t>2015.9.21-2015.9.25</w:t>
            </w:r>
            <w:r w:rsidR="00F277FE" w:rsidRPr="00C97435">
              <w:rPr>
                <w:rFonts w:ascii="Arial" w:hAnsi="Arial" w:cs="Arial"/>
                <w:b/>
                <w:sz w:val="32"/>
              </w:rPr>
              <w:t>）</w:t>
            </w:r>
          </w:p>
          <w:p w:rsidR="005036AC" w:rsidRPr="00C97435" w:rsidRDefault="00CE2EF7" w:rsidP="00441F2B">
            <w:pPr>
              <w:rPr>
                <w:rFonts w:ascii="Arial" w:hAnsi="Arial" w:cs="Arial"/>
                <w:b/>
                <w:sz w:val="32"/>
              </w:rPr>
            </w:pPr>
            <w:r w:rsidRPr="00C97435">
              <w:rPr>
                <w:rFonts w:ascii="Arial" w:hAnsi="Arial" w:cs="Arial"/>
                <w:b/>
                <w:sz w:val="32"/>
              </w:rPr>
              <w:softHyphen/>
            </w:r>
            <w:r w:rsidRPr="00C97435">
              <w:rPr>
                <w:rFonts w:ascii="Arial" w:hAnsi="Arial" w:cs="Arial"/>
                <w:b/>
                <w:sz w:val="32"/>
              </w:rPr>
              <w:softHyphen/>
              <w:t xml:space="preserve">    ——</w:t>
            </w:r>
            <w:r w:rsidR="00441F2B">
              <w:rPr>
                <w:rFonts w:ascii="Arial" w:hAnsi="Arial" w:cs="Arial" w:hint="eastAsia"/>
                <w:b/>
                <w:sz w:val="32"/>
              </w:rPr>
              <w:t>季末叠加长假，善用货币基金盘活闲散资金</w:t>
            </w:r>
          </w:p>
        </w:tc>
      </w:tr>
      <w:tr w:rsidR="00110D1A" w:rsidRPr="00C97435" w:rsidTr="00D334D2">
        <w:trPr>
          <w:trHeight w:val="11778"/>
        </w:trPr>
        <w:tc>
          <w:tcPr>
            <w:tcW w:w="7663" w:type="dxa"/>
          </w:tcPr>
          <w:p w:rsidR="00C97435" w:rsidRPr="00C97435" w:rsidRDefault="00C97435" w:rsidP="00C97435">
            <w:pPr>
              <w:ind w:firstLineChars="200" w:firstLine="400"/>
              <w:rPr>
                <w:rStyle w:val="textsmall2"/>
                <w:rFonts w:ascii="Arial" w:hAnsi="Arial" w:cs="Arial"/>
                <w:sz w:val="20"/>
                <w:szCs w:val="20"/>
              </w:rPr>
            </w:pPr>
          </w:p>
          <w:p w:rsidR="00C97435" w:rsidRPr="00C97435" w:rsidRDefault="00C97435" w:rsidP="00736D60">
            <w:pPr>
              <w:pStyle w:val="af7"/>
              <w:numPr>
                <w:ilvl w:val="0"/>
                <w:numId w:val="3"/>
              </w:numPr>
              <w:spacing w:line="300" w:lineRule="auto"/>
              <w:ind w:firstLineChars="0"/>
              <w:rPr>
                <w:rStyle w:val="textsmall2"/>
                <w:rFonts w:ascii="Arial" w:hAnsi="Arial" w:cs="Arial"/>
                <w:b/>
                <w:color w:val="000000"/>
                <w:szCs w:val="21"/>
              </w:rPr>
            </w:pPr>
            <w:r w:rsidRPr="00C97435">
              <w:rPr>
                <w:rStyle w:val="textsmall2"/>
                <w:rFonts w:ascii="Arial" w:hAnsi="Arial" w:cs="Arial"/>
                <w:b/>
                <w:color w:val="000000"/>
                <w:szCs w:val="21"/>
              </w:rPr>
              <w:t>一周资本市场回顾</w:t>
            </w:r>
          </w:p>
          <w:p w:rsidR="00D61617" w:rsidRDefault="00C97435" w:rsidP="00C97435">
            <w:pPr>
              <w:ind w:firstLineChars="200" w:firstLine="402"/>
              <w:rPr>
                <w:rStyle w:val="textsmall2"/>
                <w:rFonts w:ascii="Arial" w:hAnsi="Arial" w:cs="Arial"/>
                <w:sz w:val="20"/>
                <w:szCs w:val="20"/>
              </w:rPr>
            </w:pPr>
            <w:r w:rsidRPr="00C97435">
              <w:rPr>
                <w:rStyle w:val="textsmall2"/>
                <w:rFonts w:ascii="Arial" w:hAnsi="Arial" w:cs="Arial"/>
                <w:b/>
                <w:sz w:val="20"/>
                <w:szCs w:val="20"/>
              </w:rPr>
              <w:t>A</w:t>
            </w:r>
            <w:r w:rsidRPr="00C97435">
              <w:rPr>
                <w:rStyle w:val="textsmall2"/>
                <w:rFonts w:ascii="Arial" w:hAnsi="Arial" w:cs="Arial"/>
                <w:b/>
                <w:sz w:val="20"/>
                <w:szCs w:val="20"/>
              </w:rPr>
              <w:t>股市场：</w:t>
            </w:r>
            <w:r w:rsidRPr="00C97435">
              <w:rPr>
                <w:rStyle w:val="textsmall2"/>
                <w:rFonts w:ascii="Arial" w:hAnsi="Arial" w:cs="Arial"/>
                <w:sz w:val="20"/>
                <w:szCs w:val="20"/>
              </w:rPr>
              <w:t>上周，两市成交量继续萎缩，指数横盘整理，大盘跌速较大。</w:t>
            </w:r>
            <w:r w:rsidR="00D61617" w:rsidRPr="00C97435">
              <w:rPr>
                <w:rFonts w:ascii="Arial" w:hAnsi="Arial" w:cs="Arial"/>
                <w:sz w:val="20"/>
                <w:szCs w:val="20"/>
              </w:rPr>
              <w:t>上证指数、沪深</w:t>
            </w:r>
            <w:r w:rsidR="00D61617" w:rsidRPr="00C97435">
              <w:rPr>
                <w:rFonts w:ascii="Arial" w:hAnsi="Arial" w:cs="Arial"/>
                <w:sz w:val="20"/>
                <w:szCs w:val="20"/>
              </w:rPr>
              <w:t>300</w:t>
            </w:r>
            <w:r w:rsidR="00D61617" w:rsidRPr="00C97435">
              <w:rPr>
                <w:rFonts w:ascii="Arial" w:hAnsi="Arial" w:cs="Arial"/>
                <w:sz w:val="20"/>
                <w:szCs w:val="20"/>
              </w:rPr>
              <w:t>分别下跌</w:t>
            </w:r>
            <w:r w:rsidR="00D61617" w:rsidRPr="00C97435">
              <w:rPr>
                <w:rFonts w:ascii="Arial" w:hAnsi="Arial" w:cs="Arial"/>
                <w:sz w:val="20"/>
                <w:szCs w:val="20"/>
              </w:rPr>
              <w:t>0.18%</w:t>
            </w:r>
            <w:r w:rsidR="00D61617" w:rsidRPr="00C97435">
              <w:rPr>
                <w:rFonts w:ascii="Arial" w:hAnsi="Arial" w:cs="Arial"/>
                <w:sz w:val="20"/>
                <w:szCs w:val="20"/>
              </w:rPr>
              <w:t>、</w:t>
            </w:r>
            <w:r w:rsidR="00D61617" w:rsidRPr="00C97435">
              <w:rPr>
                <w:rFonts w:ascii="Arial" w:hAnsi="Arial" w:cs="Arial"/>
                <w:sz w:val="20"/>
                <w:szCs w:val="20"/>
              </w:rPr>
              <w:t>0.59%</w:t>
            </w:r>
            <w:r w:rsidR="00D61617" w:rsidRPr="00C97435">
              <w:rPr>
                <w:rFonts w:ascii="Arial" w:hAnsi="Arial" w:cs="Arial"/>
                <w:sz w:val="20"/>
                <w:szCs w:val="20"/>
              </w:rPr>
              <w:t>，创业板指、中小板指分别上涨</w:t>
            </w:r>
            <w:r w:rsidR="00D61617" w:rsidRPr="00C97435">
              <w:rPr>
                <w:rFonts w:ascii="Arial" w:hAnsi="Arial" w:cs="Arial"/>
                <w:sz w:val="20"/>
                <w:szCs w:val="20"/>
              </w:rPr>
              <w:t>1.40%</w:t>
            </w:r>
            <w:r w:rsidR="00D61617" w:rsidRPr="00C97435">
              <w:rPr>
                <w:rFonts w:ascii="Arial" w:hAnsi="Arial" w:cs="Arial"/>
                <w:sz w:val="20"/>
                <w:szCs w:val="20"/>
              </w:rPr>
              <w:t>、</w:t>
            </w:r>
            <w:r w:rsidR="00D61617" w:rsidRPr="00C97435">
              <w:rPr>
                <w:rFonts w:ascii="Arial" w:hAnsi="Arial" w:cs="Arial"/>
                <w:sz w:val="20"/>
                <w:szCs w:val="20"/>
              </w:rPr>
              <w:t>1.90%</w:t>
            </w:r>
            <w:r w:rsidR="00D61617" w:rsidRPr="00C97435">
              <w:rPr>
                <w:rFonts w:ascii="Arial" w:hAnsi="Arial" w:cs="Arial"/>
                <w:sz w:val="20"/>
                <w:szCs w:val="20"/>
              </w:rPr>
              <w:t>。行业方面，国防军工（</w:t>
            </w:r>
            <w:r w:rsidR="00D61617" w:rsidRPr="00C97435">
              <w:rPr>
                <w:rFonts w:ascii="Arial" w:hAnsi="Arial" w:cs="Arial"/>
                <w:sz w:val="20"/>
                <w:szCs w:val="20"/>
              </w:rPr>
              <w:t>4.11%</w:t>
            </w:r>
            <w:r w:rsidR="00D61617" w:rsidRPr="00C97435">
              <w:rPr>
                <w:rFonts w:ascii="Arial" w:hAnsi="Arial" w:cs="Arial"/>
                <w:sz w:val="20"/>
                <w:szCs w:val="20"/>
              </w:rPr>
              <w:t>）、电力设备（</w:t>
            </w:r>
            <w:r w:rsidR="00D61617" w:rsidRPr="00C97435">
              <w:rPr>
                <w:rFonts w:ascii="Arial" w:hAnsi="Arial" w:cs="Arial"/>
                <w:sz w:val="20"/>
                <w:szCs w:val="20"/>
              </w:rPr>
              <w:t>3.73%</w:t>
            </w:r>
            <w:r w:rsidR="00D61617" w:rsidRPr="00C97435">
              <w:rPr>
                <w:rFonts w:ascii="Arial" w:hAnsi="Arial" w:cs="Arial"/>
                <w:sz w:val="20"/>
                <w:szCs w:val="20"/>
              </w:rPr>
              <w:t>）和传媒（</w:t>
            </w:r>
            <w:r w:rsidR="00D61617" w:rsidRPr="00C97435">
              <w:rPr>
                <w:rFonts w:ascii="Arial" w:hAnsi="Arial" w:cs="Arial"/>
                <w:sz w:val="20"/>
                <w:szCs w:val="20"/>
              </w:rPr>
              <w:t>3.54%</w:t>
            </w:r>
            <w:r w:rsidR="00D61617" w:rsidRPr="00C97435">
              <w:rPr>
                <w:rFonts w:ascii="Arial" w:hAnsi="Arial" w:cs="Arial"/>
                <w:sz w:val="20"/>
                <w:szCs w:val="20"/>
              </w:rPr>
              <w:t>）涨幅居前，钢铁（</w:t>
            </w:r>
            <w:r w:rsidR="00D61617" w:rsidRPr="00C97435">
              <w:rPr>
                <w:rFonts w:ascii="Arial" w:hAnsi="Arial" w:cs="Arial"/>
                <w:sz w:val="20"/>
                <w:szCs w:val="20"/>
              </w:rPr>
              <w:t>-2.98%</w:t>
            </w:r>
            <w:r w:rsidR="00D61617" w:rsidRPr="00C97435">
              <w:rPr>
                <w:rFonts w:ascii="Arial" w:hAnsi="Arial" w:cs="Arial"/>
                <w:sz w:val="20"/>
                <w:szCs w:val="20"/>
              </w:rPr>
              <w:t>）和家电（</w:t>
            </w:r>
            <w:r w:rsidR="00D61617" w:rsidRPr="00C97435">
              <w:rPr>
                <w:rFonts w:ascii="Arial" w:hAnsi="Arial" w:cs="Arial"/>
                <w:sz w:val="20"/>
                <w:szCs w:val="20"/>
              </w:rPr>
              <w:t>-1.94%</w:t>
            </w:r>
            <w:r w:rsidR="00D61617" w:rsidRPr="00C97435">
              <w:rPr>
                <w:rFonts w:ascii="Arial" w:hAnsi="Arial" w:cs="Arial"/>
                <w:sz w:val="20"/>
                <w:szCs w:val="20"/>
              </w:rPr>
              <w:t>）跌幅较大</w:t>
            </w:r>
            <w:r w:rsidR="00D61617">
              <w:rPr>
                <w:rFonts w:ascii="Arial" w:hAnsi="Arial" w:cs="Arial" w:hint="eastAsia"/>
                <w:sz w:val="20"/>
                <w:szCs w:val="20"/>
              </w:rPr>
              <w:t>。</w:t>
            </w:r>
          </w:p>
          <w:p w:rsidR="00D61617" w:rsidRPr="00D61617" w:rsidRDefault="00C97435" w:rsidP="00D61617">
            <w:pPr>
              <w:ind w:firstLineChars="200" w:firstLine="402"/>
              <w:rPr>
                <w:rStyle w:val="textsmall2"/>
                <w:rFonts w:ascii="Arial" w:hAnsi="Arial" w:cs="Arial"/>
                <w:sz w:val="20"/>
                <w:szCs w:val="20"/>
              </w:rPr>
            </w:pPr>
            <w:r w:rsidRPr="00D61617">
              <w:rPr>
                <w:rStyle w:val="textsmall2"/>
                <w:rFonts w:ascii="Arial" w:hAnsi="Arial" w:cs="Arial"/>
                <w:b/>
                <w:sz w:val="20"/>
                <w:szCs w:val="20"/>
              </w:rPr>
              <w:t>国内债市：</w:t>
            </w:r>
            <w:r w:rsidRPr="00D61617">
              <w:rPr>
                <w:rStyle w:val="textsmall2"/>
                <w:rFonts w:ascii="Arial" w:hAnsi="Arial" w:cs="Arial"/>
                <w:sz w:val="20"/>
                <w:szCs w:val="20"/>
              </w:rPr>
              <w:t>债市资金</w:t>
            </w:r>
            <w:proofErr w:type="gramStart"/>
            <w:r w:rsidRPr="00D61617">
              <w:rPr>
                <w:rStyle w:val="textsmall2"/>
                <w:rFonts w:ascii="Arial" w:hAnsi="Arial" w:cs="Arial"/>
                <w:sz w:val="20"/>
                <w:szCs w:val="20"/>
              </w:rPr>
              <w:t>面整体</w:t>
            </w:r>
            <w:proofErr w:type="gramEnd"/>
            <w:r w:rsidRPr="00D61617">
              <w:rPr>
                <w:rStyle w:val="textsmall2"/>
                <w:rFonts w:ascii="Arial" w:hAnsi="Arial" w:cs="Arial"/>
                <w:sz w:val="20"/>
                <w:szCs w:val="20"/>
              </w:rPr>
              <w:t>平稳，</w:t>
            </w:r>
            <w:proofErr w:type="gramStart"/>
            <w:r w:rsidR="00D61617">
              <w:rPr>
                <w:rStyle w:val="textsmall2"/>
                <w:rFonts w:ascii="Arial" w:hAnsi="Arial" w:cs="Arial" w:hint="eastAsia"/>
                <w:sz w:val="20"/>
                <w:szCs w:val="20"/>
              </w:rPr>
              <w:t>中债总净价</w:t>
            </w:r>
            <w:proofErr w:type="gramEnd"/>
            <w:r w:rsidR="00D61617">
              <w:rPr>
                <w:rStyle w:val="textsmall2"/>
                <w:rFonts w:ascii="Arial" w:hAnsi="Arial" w:cs="Arial" w:hint="eastAsia"/>
                <w:sz w:val="20"/>
                <w:szCs w:val="20"/>
              </w:rPr>
              <w:t>指数微跌</w:t>
            </w:r>
            <w:r w:rsidR="00D61617">
              <w:rPr>
                <w:rStyle w:val="textsmall2"/>
                <w:rFonts w:ascii="Arial" w:hAnsi="Arial" w:cs="Arial" w:hint="eastAsia"/>
                <w:sz w:val="20"/>
                <w:szCs w:val="20"/>
              </w:rPr>
              <w:t>0.1%</w:t>
            </w:r>
            <w:r w:rsidR="00D61617">
              <w:rPr>
                <w:rStyle w:val="textsmall2"/>
                <w:rFonts w:ascii="Arial" w:hAnsi="Arial" w:cs="Arial" w:hint="eastAsia"/>
                <w:sz w:val="20"/>
                <w:szCs w:val="20"/>
              </w:rPr>
              <w:t>，中</w:t>
            </w:r>
            <w:proofErr w:type="gramStart"/>
            <w:r w:rsidR="00D61617">
              <w:rPr>
                <w:rStyle w:val="textsmall2"/>
                <w:rFonts w:ascii="Arial" w:hAnsi="Arial" w:cs="Arial" w:hint="eastAsia"/>
                <w:sz w:val="20"/>
                <w:szCs w:val="20"/>
              </w:rPr>
              <w:t>债企业债总</w:t>
            </w:r>
            <w:proofErr w:type="gramEnd"/>
            <w:r w:rsidR="00D61617">
              <w:rPr>
                <w:rStyle w:val="textsmall2"/>
                <w:rFonts w:ascii="Arial" w:hAnsi="Arial" w:cs="Arial" w:hint="eastAsia"/>
                <w:sz w:val="20"/>
                <w:szCs w:val="20"/>
              </w:rPr>
              <w:t>净价指数微跌</w:t>
            </w:r>
            <w:r w:rsidR="00D61617">
              <w:rPr>
                <w:rStyle w:val="textsmall2"/>
                <w:rFonts w:ascii="Arial" w:hAnsi="Arial" w:cs="Arial" w:hint="eastAsia"/>
                <w:sz w:val="20"/>
                <w:szCs w:val="20"/>
              </w:rPr>
              <w:t>0.08%</w:t>
            </w:r>
            <w:r w:rsidR="00D61617">
              <w:rPr>
                <w:rStyle w:val="textsmall2"/>
                <w:rFonts w:ascii="Arial" w:hAnsi="Arial" w:cs="Arial" w:hint="eastAsia"/>
                <w:sz w:val="20"/>
                <w:szCs w:val="20"/>
              </w:rPr>
              <w:t>，而中债国债净价指数微跌</w:t>
            </w:r>
            <w:r w:rsidR="00D61617">
              <w:rPr>
                <w:rStyle w:val="textsmall2"/>
                <w:rFonts w:ascii="Arial" w:hAnsi="Arial" w:cs="Arial" w:hint="eastAsia"/>
                <w:sz w:val="20"/>
                <w:szCs w:val="20"/>
              </w:rPr>
              <w:t>0.19</w:t>
            </w:r>
            <w:r w:rsidRPr="00D61617">
              <w:rPr>
                <w:rStyle w:val="textsmall2"/>
                <w:rFonts w:ascii="Arial" w:hAnsi="Arial" w:cs="Arial"/>
                <w:sz w:val="20"/>
                <w:szCs w:val="20"/>
              </w:rPr>
              <w:t>%</w:t>
            </w:r>
            <w:r w:rsidRPr="00D61617">
              <w:rPr>
                <w:rStyle w:val="textsmall2"/>
                <w:rFonts w:ascii="Arial" w:hAnsi="Arial" w:cs="Arial"/>
                <w:sz w:val="20"/>
                <w:szCs w:val="20"/>
              </w:rPr>
              <w:t>。</w:t>
            </w:r>
          </w:p>
          <w:p w:rsidR="00D61617" w:rsidRPr="00D61617" w:rsidRDefault="00D61617" w:rsidP="00D61617">
            <w:pPr>
              <w:ind w:firstLineChars="200" w:firstLine="402"/>
              <w:rPr>
                <w:rStyle w:val="textsmall2"/>
              </w:rPr>
            </w:pPr>
            <w:r w:rsidRPr="00D61617">
              <w:rPr>
                <w:rStyle w:val="textsmall2"/>
                <w:rFonts w:ascii="Arial" w:hAnsi="Arial" w:cs="Arial" w:hint="eastAsia"/>
                <w:b/>
                <w:sz w:val="20"/>
                <w:szCs w:val="20"/>
              </w:rPr>
              <w:t>海外市场：</w:t>
            </w:r>
            <w:r>
              <w:rPr>
                <w:rStyle w:val="textsmall2"/>
                <w:rFonts w:ascii="Arial" w:hAnsi="Arial" w:cs="Arial" w:hint="eastAsia"/>
                <w:sz w:val="20"/>
                <w:szCs w:val="20"/>
              </w:rPr>
              <w:t>美股下跌，</w:t>
            </w:r>
            <w:r w:rsidRPr="00D61617">
              <w:rPr>
                <w:rStyle w:val="textsmall2"/>
                <w:rFonts w:ascii="Arial" w:hAnsi="Arial" w:cs="Arial"/>
                <w:sz w:val="20"/>
                <w:szCs w:val="20"/>
              </w:rPr>
              <w:t>纳斯达克</w:t>
            </w:r>
            <w:r w:rsidRPr="00D61617">
              <w:rPr>
                <w:rStyle w:val="textsmall2"/>
                <w:rFonts w:ascii="Arial" w:hAnsi="Arial" w:cs="Arial"/>
                <w:sz w:val="20"/>
                <w:szCs w:val="20"/>
              </w:rPr>
              <w:t>100</w:t>
            </w:r>
            <w:r w:rsidRPr="00D61617">
              <w:rPr>
                <w:rStyle w:val="textsmall2"/>
                <w:rFonts w:ascii="Arial" w:hAnsi="Arial" w:cs="Arial"/>
                <w:sz w:val="20"/>
                <w:szCs w:val="20"/>
              </w:rPr>
              <w:t>下跌</w:t>
            </w:r>
            <w:r w:rsidRPr="00D61617">
              <w:rPr>
                <w:rStyle w:val="textsmall2"/>
                <w:rFonts w:ascii="Arial" w:hAnsi="Arial" w:cs="Arial"/>
                <w:sz w:val="20"/>
                <w:szCs w:val="20"/>
              </w:rPr>
              <w:t>2.82%</w:t>
            </w:r>
            <w:r w:rsidRPr="00D61617">
              <w:rPr>
                <w:rStyle w:val="textsmall2"/>
                <w:rFonts w:ascii="Arial" w:hAnsi="Arial" w:cs="Arial"/>
                <w:sz w:val="20"/>
                <w:szCs w:val="20"/>
              </w:rPr>
              <w:t>、</w:t>
            </w:r>
            <w:proofErr w:type="gramStart"/>
            <w:r w:rsidRPr="00D61617">
              <w:rPr>
                <w:rStyle w:val="textsmall2"/>
                <w:rFonts w:ascii="Arial" w:hAnsi="Arial" w:cs="Arial"/>
                <w:sz w:val="20"/>
                <w:szCs w:val="20"/>
              </w:rPr>
              <w:t>标普</w:t>
            </w:r>
            <w:proofErr w:type="gramEnd"/>
            <w:r w:rsidRPr="00D61617">
              <w:rPr>
                <w:rStyle w:val="textsmall2"/>
                <w:rFonts w:ascii="Arial" w:hAnsi="Arial" w:cs="Arial"/>
                <w:sz w:val="20"/>
                <w:szCs w:val="20"/>
              </w:rPr>
              <w:t>500</w:t>
            </w:r>
            <w:r w:rsidRPr="00D61617">
              <w:rPr>
                <w:rStyle w:val="textsmall2"/>
                <w:rFonts w:ascii="Arial" w:hAnsi="Arial" w:cs="Arial"/>
                <w:sz w:val="20"/>
                <w:szCs w:val="20"/>
              </w:rPr>
              <w:t>下跌</w:t>
            </w:r>
            <w:r w:rsidRPr="00D61617">
              <w:rPr>
                <w:rStyle w:val="textsmall2"/>
                <w:rFonts w:ascii="Arial" w:hAnsi="Arial" w:cs="Arial"/>
                <w:sz w:val="20"/>
                <w:szCs w:val="20"/>
              </w:rPr>
              <w:t>2.91%</w:t>
            </w:r>
            <w:r w:rsidRPr="00D61617">
              <w:rPr>
                <w:rStyle w:val="textsmall2"/>
                <w:rFonts w:ascii="Arial" w:hAnsi="Arial" w:cs="Arial"/>
                <w:sz w:val="20"/>
                <w:szCs w:val="20"/>
              </w:rPr>
              <w:t>、道琼</w:t>
            </w:r>
            <w:proofErr w:type="gramStart"/>
            <w:r w:rsidRPr="00D61617">
              <w:rPr>
                <w:rStyle w:val="textsmall2"/>
                <w:rFonts w:ascii="Arial" w:hAnsi="Arial" w:cs="Arial"/>
                <w:sz w:val="20"/>
                <w:szCs w:val="20"/>
              </w:rPr>
              <w:t>斯工指</w:t>
            </w:r>
            <w:proofErr w:type="gramEnd"/>
            <w:r w:rsidRPr="00D61617">
              <w:rPr>
                <w:rStyle w:val="textsmall2"/>
                <w:rFonts w:ascii="Arial" w:hAnsi="Arial" w:cs="Arial"/>
                <w:sz w:val="20"/>
                <w:szCs w:val="20"/>
              </w:rPr>
              <w:t>下跌</w:t>
            </w:r>
            <w:r w:rsidRPr="00D61617">
              <w:rPr>
                <w:rStyle w:val="textsmall2"/>
                <w:rFonts w:ascii="Arial" w:hAnsi="Arial" w:cs="Arial"/>
                <w:sz w:val="20"/>
                <w:szCs w:val="20"/>
              </w:rPr>
              <w:t>2.84%</w:t>
            </w:r>
            <w:r w:rsidRPr="00D61617">
              <w:rPr>
                <w:rStyle w:val="textsmall2"/>
                <w:rFonts w:ascii="Arial" w:hAnsi="Arial" w:cs="Arial"/>
                <w:sz w:val="20"/>
                <w:szCs w:val="20"/>
              </w:rPr>
              <w:t>，泛欧斯托克</w:t>
            </w:r>
            <w:r w:rsidRPr="00D61617">
              <w:rPr>
                <w:rStyle w:val="textsmall2"/>
                <w:rFonts w:ascii="Arial" w:hAnsi="Arial" w:cs="Arial"/>
                <w:sz w:val="20"/>
                <w:szCs w:val="20"/>
              </w:rPr>
              <w:t>600</w:t>
            </w:r>
            <w:r w:rsidRPr="00D61617">
              <w:rPr>
                <w:rStyle w:val="textsmall2"/>
                <w:rFonts w:ascii="Arial" w:hAnsi="Arial" w:cs="Arial"/>
                <w:sz w:val="20"/>
                <w:szCs w:val="20"/>
              </w:rPr>
              <w:t>大跌</w:t>
            </w:r>
            <w:r w:rsidRPr="00D61617">
              <w:rPr>
                <w:rStyle w:val="textsmall2"/>
                <w:rFonts w:ascii="Arial" w:hAnsi="Arial" w:cs="Arial"/>
                <w:sz w:val="20"/>
                <w:szCs w:val="20"/>
              </w:rPr>
              <w:t>5.97%</w:t>
            </w:r>
            <w:r w:rsidRPr="00D61617">
              <w:rPr>
                <w:rStyle w:val="textsmall2"/>
                <w:rFonts w:ascii="Arial" w:hAnsi="Arial" w:cs="Arial"/>
                <w:sz w:val="20"/>
                <w:szCs w:val="20"/>
              </w:rPr>
              <w:t>。港股在</w:t>
            </w:r>
            <w:r w:rsidRPr="00D61617">
              <w:rPr>
                <w:rStyle w:val="textsmall2"/>
                <w:rFonts w:ascii="Arial" w:hAnsi="Arial" w:cs="Arial"/>
                <w:sz w:val="20"/>
                <w:szCs w:val="20"/>
              </w:rPr>
              <w:t>A</w:t>
            </w:r>
            <w:r w:rsidRPr="00D61617">
              <w:rPr>
                <w:rStyle w:val="textsmall2"/>
                <w:rFonts w:ascii="Arial" w:hAnsi="Arial" w:cs="Arial"/>
                <w:sz w:val="20"/>
                <w:szCs w:val="20"/>
              </w:rPr>
              <w:t>股盘整和外围低迷的氛围中，顺势下跌，恒生指数勉强守住</w:t>
            </w:r>
            <w:r w:rsidRPr="00D61617">
              <w:rPr>
                <w:rStyle w:val="textsmall2"/>
                <w:rFonts w:ascii="Arial" w:hAnsi="Arial" w:cs="Arial"/>
                <w:sz w:val="20"/>
                <w:szCs w:val="20"/>
              </w:rPr>
              <w:t>21000</w:t>
            </w:r>
            <w:r w:rsidRPr="00D61617">
              <w:rPr>
                <w:rStyle w:val="textsmall2"/>
                <w:rFonts w:ascii="Arial" w:hAnsi="Arial" w:cs="Arial"/>
                <w:sz w:val="20"/>
                <w:szCs w:val="20"/>
              </w:rPr>
              <w:t>，全周下跌</w:t>
            </w:r>
            <w:r w:rsidRPr="00D61617">
              <w:rPr>
                <w:rStyle w:val="textsmall2"/>
                <w:rFonts w:ascii="Arial" w:hAnsi="Arial" w:cs="Arial"/>
                <w:sz w:val="20"/>
                <w:szCs w:val="20"/>
              </w:rPr>
              <w:t>3.47%</w:t>
            </w:r>
            <w:r w:rsidRPr="00D61617">
              <w:rPr>
                <w:rStyle w:val="textsmall2"/>
                <w:rFonts w:ascii="Arial" w:hAnsi="Arial" w:cs="Arial"/>
                <w:sz w:val="20"/>
                <w:szCs w:val="20"/>
              </w:rPr>
              <w:t>，日经</w:t>
            </w:r>
            <w:r w:rsidRPr="00D61617">
              <w:rPr>
                <w:rStyle w:val="textsmall2"/>
                <w:rFonts w:ascii="Arial" w:hAnsi="Arial" w:cs="Arial"/>
                <w:sz w:val="20"/>
                <w:szCs w:val="20"/>
              </w:rPr>
              <w:t>225</w:t>
            </w:r>
            <w:r w:rsidRPr="00D61617">
              <w:rPr>
                <w:rStyle w:val="textsmall2"/>
                <w:rFonts w:ascii="Arial" w:hAnsi="Arial" w:cs="Arial"/>
                <w:sz w:val="20"/>
                <w:szCs w:val="20"/>
              </w:rPr>
              <w:t>全周下跌</w:t>
            </w:r>
            <w:r w:rsidRPr="00D61617">
              <w:rPr>
                <w:rStyle w:val="textsmall2"/>
                <w:rFonts w:ascii="Arial" w:hAnsi="Arial" w:cs="Arial"/>
                <w:sz w:val="20"/>
                <w:szCs w:val="20"/>
              </w:rPr>
              <w:t>4.67%</w:t>
            </w:r>
            <w:r w:rsidRPr="00D61617">
              <w:rPr>
                <w:rStyle w:val="textsmall2"/>
                <w:rFonts w:ascii="Arial" w:hAnsi="Arial" w:cs="Arial"/>
                <w:sz w:val="20"/>
                <w:szCs w:val="20"/>
              </w:rPr>
              <w:t>。</w:t>
            </w:r>
            <w:r w:rsidRPr="00D61617">
              <w:rPr>
                <w:rStyle w:val="textsmall2"/>
                <w:rFonts w:ascii="Arial" w:hAnsi="Arial" w:cs="Arial"/>
                <w:sz w:val="20"/>
                <w:szCs w:val="20"/>
              </w:rPr>
              <w:t xml:space="preserve">  </w:t>
            </w:r>
            <w:r w:rsidRPr="00D61617">
              <w:rPr>
                <w:rStyle w:val="textsmall2"/>
              </w:rPr>
              <w:t xml:space="preserve"> </w:t>
            </w:r>
          </w:p>
          <w:p w:rsidR="00C97435"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 xml:space="preserve"> </w:t>
            </w:r>
          </w:p>
          <w:p w:rsidR="00C97435" w:rsidRPr="00C97435" w:rsidRDefault="00C97435" w:rsidP="00736D60">
            <w:pPr>
              <w:pStyle w:val="af7"/>
              <w:numPr>
                <w:ilvl w:val="0"/>
                <w:numId w:val="3"/>
              </w:numPr>
              <w:spacing w:line="300" w:lineRule="auto"/>
              <w:ind w:firstLineChars="0"/>
              <w:rPr>
                <w:rStyle w:val="textsmall2"/>
                <w:rFonts w:ascii="Arial" w:hAnsi="Arial" w:cs="Arial"/>
                <w:b/>
                <w:color w:val="000000"/>
                <w:szCs w:val="21"/>
              </w:rPr>
            </w:pPr>
            <w:r w:rsidRPr="00C97435">
              <w:rPr>
                <w:rStyle w:val="textsmall2"/>
                <w:rFonts w:ascii="Arial" w:hAnsi="Arial" w:cs="Arial"/>
                <w:b/>
                <w:color w:val="000000"/>
                <w:szCs w:val="21"/>
              </w:rPr>
              <w:t>一周基金表现回顾</w:t>
            </w:r>
          </w:p>
          <w:p w:rsidR="00C97435" w:rsidRDefault="00C97435" w:rsidP="00C97435">
            <w:pPr>
              <w:ind w:firstLineChars="200" w:firstLine="400"/>
              <w:rPr>
                <w:rStyle w:val="textsmall2"/>
                <w:rFonts w:ascii="Arial" w:hAnsi="Arial" w:cs="Arial"/>
                <w:sz w:val="20"/>
                <w:szCs w:val="20"/>
              </w:rPr>
            </w:pPr>
            <w:r w:rsidRPr="00C97435">
              <w:rPr>
                <w:rStyle w:val="textsmall2"/>
                <w:rFonts w:ascii="Arial" w:hAnsi="Arial" w:cs="Arial"/>
                <w:sz w:val="20"/>
                <w:szCs w:val="20"/>
              </w:rPr>
              <w:t>股票型基金平均涨幅为</w:t>
            </w:r>
            <w:r w:rsidRPr="00C97435">
              <w:rPr>
                <w:rStyle w:val="textsmall2"/>
                <w:rFonts w:ascii="Arial" w:hAnsi="Arial" w:cs="Arial"/>
                <w:sz w:val="20"/>
                <w:szCs w:val="20"/>
              </w:rPr>
              <w:t>0.49%</w:t>
            </w:r>
            <w:r w:rsidRPr="00C97435">
              <w:rPr>
                <w:rStyle w:val="textsmall2"/>
                <w:rFonts w:ascii="Arial" w:hAnsi="Arial" w:cs="Arial"/>
                <w:sz w:val="20"/>
                <w:szCs w:val="20"/>
              </w:rPr>
              <w:t>，普通股</w:t>
            </w:r>
            <w:proofErr w:type="gramStart"/>
            <w:r w:rsidRPr="00C97435">
              <w:rPr>
                <w:rStyle w:val="textsmall2"/>
                <w:rFonts w:ascii="Arial" w:hAnsi="Arial" w:cs="Arial"/>
                <w:sz w:val="20"/>
                <w:szCs w:val="20"/>
              </w:rPr>
              <w:t>基平均</w:t>
            </w:r>
            <w:proofErr w:type="gramEnd"/>
            <w:r w:rsidRPr="00C97435">
              <w:rPr>
                <w:rStyle w:val="textsmall2"/>
                <w:rFonts w:ascii="Arial" w:hAnsi="Arial" w:cs="Arial"/>
                <w:sz w:val="20"/>
                <w:szCs w:val="20"/>
              </w:rPr>
              <w:t>涨</w:t>
            </w:r>
            <w:r w:rsidRPr="00C97435">
              <w:rPr>
                <w:rStyle w:val="textsmall2"/>
                <w:rFonts w:ascii="Arial" w:hAnsi="Arial" w:cs="Arial"/>
                <w:sz w:val="20"/>
                <w:szCs w:val="20"/>
              </w:rPr>
              <w:t>1.30%</w:t>
            </w:r>
            <w:r w:rsidRPr="00C97435">
              <w:rPr>
                <w:rStyle w:val="textsmall2"/>
                <w:rFonts w:ascii="Arial" w:hAnsi="Arial" w:cs="Arial"/>
                <w:sz w:val="20"/>
                <w:szCs w:val="20"/>
              </w:rPr>
              <w:t>，指数</w:t>
            </w:r>
            <w:proofErr w:type="gramStart"/>
            <w:r w:rsidRPr="00C97435">
              <w:rPr>
                <w:rStyle w:val="textsmall2"/>
                <w:rFonts w:ascii="Arial" w:hAnsi="Arial" w:cs="Arial"/>
                <w:sz w:val="20"/>
                <w:szCs w:val="20"/>
              </w:rPr>
              <w:t>股基平均</w:t>
            </w:r>
            <w:proofErr w:type="gramEnd"/>
            <w:r w:rsidRPr="00C97435">
              <w:rPr>
                <w:rStyle w:val="textsmall2"/>
                <w:rFonts w:ascii="Arial" w:hAnsi="Arial" w:cs="Arial"/>
                <w:sz w:val="20"/>
                <w:szCs w:val="20"/>
              </w:rPr>
              <w:t>涨</w:t>
            </w:r>
            <w:r w:rsidRPr="00C97435">
              <w:rPr>
                <w:rStyle w:val="textsmall2"/>
                <w:rFonts w:ascii="Arial" w:hAnsi="Arial" w:cs="Arial"/>
                <w:sz w:val="20"/>
                <w:szCs w:val="20"/>
              </w:rPr>
              <w:t>0.22%</w:t>
            </w:r>
            <w:r w:rsidRPr="00C97435">
              <w:rPr>
                <w:rStyle w:val="textsmall2"/>
                <w:rFonts w:ascii="Arial" w:hAnsi="Arial" w:cs="Arial"/>
                <w:sz w:val="20"/>
                <w:szCs w:val="20"/>
              </w:rPr>
              <w:t>；混合基金中，</w:t>
            </w:r>
            <w:proofErr w:type="gramStart"/>
            <w:r w:rsidRPr="00C97435">
              <w:rPr>
                <w:rStyle w:val="textsmall2"/>
                <w:rFonts w:ascii="Arial" w:hAnsi="Arial" w:cs="Arial"/>
                <w:sz w:val="20"/>
                <w:szCs w:val="20"/>
              </w:rPr>
              <w:t>偏股型收益</w:t>
            </w:r>
            <w:proofErr w:type="gramEnd"/>
            <w:r w:rsidRPr="00C97435">
              <w:rPr>
                <w:rStyle w:val="textsmall2"/>
                <w:rFonts w:ascii="Arial" w:hAnsi="Arial" w:cs="Arial"/>
                <w:sz w:val="20"/>
                <w:szCs w:val="20"/>
              </w:rPr>
              <w:t>最高，平均涨</w:t>
            </w:r>
            <w:r w:rsidRPr="00C97435">
              <w:rPr>
                <w:rStyle w:val="textsmall2"/>
                <w:rFonts w:ascii="Arial" w:hAnsi="Arial" w:cs="Arial"/>
                <w:sz w:val="20"/>
                <w:szCs w:val="20"/>
              </w:rPr>
              <w:t>1.53%</w:t>
            </w:r>
            <w:r w:rsidRPr="00C97435">
              <w:rPr>
                <w:rStyle w:val="textsmall2"/>
                <w:rFonts w:ascii="Arial" w:hAnsi="Arial" w:cs="Arial"/>
                <w:sz w:val="20"/>
                <w:szCs w:val="20"/>
              </w:rPr>
              <w:t>，灵活型和平衡</w:t>
            </w:r>
            <w:proofErr w:type="gramStart"/>
            <w:r w:rsidRPr="00C97435">
              <w:rPr>
                <w:rStyle w:val="textsmall2"/>
                <w:rFonts w:ascii="Arial" w:hAnsi="Arial" w:cs="Arial"/>
                <w:sz w:val="20"/>
                <w:szCs w:val="20"/>
              </w:rPr>
              <w:t>型分别</w:t>
            </w:r>
            <w:proofErr w:type="gramEnd"/>
            <w:r w:rsidRPr="00C97435">
              <w:rPr>
                <w:rStyle w:val="textsmall2"/>
                <w:rFonts w:ascii="Arial" w:hAnsi="Arial" w:cs="Arial"/>
                <w:sz w:val="20"/>
                <w:szCs w:val="20"/>
              </w:rPr>
              <w:t>平均涨</w:t>
            </w:r>
            <w:r w:rsidRPr="00C97435">
              <w:rPr>
                <w:rStyle w:val="textsmall2"/>
                <w:rFonts w:ascii="Arial" w:hAnsi="Arial" w:cs="Arial"/>
                <w:sz w:val="20"/>
                <w:szCs w:val="20"/>
              </w:rPr>
              <w:t>0.63%</w:t>
            </w:r>
            <w:r w:rsidRPr="00C97435">
              <w:rPr>
                <w:rStyle w:val="textsmall2"/>
                <w:rFonts w:ascii="Arial" w:hAnsi="Arial" w:cs="Arial"/>
                <w:sz w:val="20"/>
                <w:szCs w:val="20"/>
              </w:rPr>
              <w:t>、</w:t>
            </w:r>
            <w:r w:rsidRPr="00C97435">
              <w:rPr>
                <w:rStyle w:val="textsmall2"/>
                <w:rFonts w:ascii="Arial" w:hAnsi="Arial" w:cs="Arial"/>
                <w:sz w:val="20"/>
                <w:szCs w:val="20"/>
              </w:rPr>
              <w:t>0.61%</w:t>
            </w:r>
            <w:r w:rsidRPr="00C97435">
              <w:rPr>
                <w:rStyle w:val="textsmall2"/>
                <w:rFonts w:ascii="Arial" w:hAnsi="Arial" w:cs="Arial"/>
                <w:sz w:val="20"/>
                <w:szCs w:val="20"/>
              </w:rPr>
              <w:t>。商品基金平均上涨</w:t>
            </w:r>
            <w:r w:rsidRPr="00C97435">
              <w:rPr>
                <w:rStyle w:val="textsmall2"/>
                <w:rFonts w:ascii="Arial" w:hAnsi="Arial" w:cs="Arial"/>
                <w:sz w:val="20"/>
                <w:szCs w:val="20"/>
              </w:rPr>
              <w:t>1.26%</w:t>
            </w:r>
            <w:r w:rsidRPr="00C97435">
              <w:rPr>
                <w:rStyle w:val="textsmall2"/>
                <w:rFonts w:ascii="Arial" w:hAnsi="Arial" w:cs="Arial"/>
                <w:sz w:val="20"/>
                <w:szCs w:val="20"/>
              </w:rPr>
              <w:t>；货币基金七日</w:t>
            </w:r>
            <w:proofErr w:type="gramStart"/>
            <w:r w:rsidRPr="00C97435">
              <w:rPr>
                <w:rStyle w:val="textsmall2"/>
                <w:rFonts w:ascii="Arial" w:hAnsi="Arial" w:cs="Arial"/>
                <w:sz w:val="20"/>
                <w:szCs w:val="20"/>
              </w:rPr>
              <w:t>年化收益</w:t>
            </w:r>
            <w:proofErr w:type="gramEnd"/>
            <w:r w:rsidRPr="00C97435">
              <w:rPr>
                <w:rStyle w:val="textsmall2"/>
                <w:rFonts w:ascii="Arial" w:hAnsi="Arial" w:cs="Arial"/>
                <w:sz w:val="20"/>
                <w:szCs w:val="20"/>
              </w:rPr>
              <w:t>均值为</w:t>
            </w:r>
            <w:r w:rsidRPr="00C97435">
              <w:rPr>
                <w:rStyle w:val="textsmall2"/>
                <w:rFonts w:ascii="Arial" w:hAnsi="Arial" w:cs="Arial"/>
                <w:sz w:val="20"/>
                <w:szCs w:val="20"/>
              </w:rPr>
              <w:t>2.77%</w:t>
            </w:r>
            <w:r w:rsidRPr="00C97435">
              <w:rPr>
                <w:rStyle w:val="textsmall2"/>
                <w:rFonts w:ascii="Arial" w:hAnsi="Arial" w:cs="Arial"/>
                <w:sz w:val="20"/>
                <w:szCs w:val="20"/>
              </w:rPr>
              <w:t>；</w:t>
            </w:r>
            <w:r w:rsidRPr="00C97435">
              <w:rPr>
                <w:rStyle w:val="textsmall2"/>
                <w:rFonts w:ascii="Arial" w:hAnsi="Arial" w:cs="Arial"/>
                <w:sz w:val="20"/>
                <w:szCs w:val="20"/>
              </w:rPr>
              <w:t>95</w:t>
            </w:r>
            <w:r w:rsidRPr="00C97435">
              <w:rPr>
                <w:rStyle w:val="textsmall2"/>
                <w:rFonts w:ascii="Arial" w:hAnsi="Arial" w:cs="Arial"/>
                <w:sz w:val="20"/>
                <w:szCs w:val="20"/>
              </w:rPr>
              <w:t>只</w:t>
            </w:r>
            <w:r w:rsidRPr="00C97435">
              <w:rPr>
                <w:rStyle w:val="textsmall2"/>
                <w:rFonts w:ascii="Arial" w:hAnsi="Arial" w:cs="Arial"/>
                <w:sz w:val="20"/>
                <w:szCs w:val="20"/>
              </w:rPr>
              <w:t>QDII</w:t>
            </w:r>
            <w:r w:rsidRPr="00C97435">
              <w:rPr>
                <w:rStyle w:val="textsmall2"/>
                <w:rFonts w:ascii="Arial" w:hAnsi="Arial" w:cs="Arial"/>
                <w:sz w:val="20"/>
                <w:szCs w:val="20"/>
              </w:rPr>
              <w:t>产品仅仅</w:t>
            </w:r>
            <w:r w:rsidRPr="00C97435">
              <w:rPr>
                <w:rStyle w:val="textsmall2"/>
                <w:rFonts w:ascii="Arial" w:hAnsi="Arial" w:cs="Arial"/>
                <w:sz w:val="20"/>
                <w:szCs w:val="20"/>
              </w:rPr>
              <w:t>15</w:t>
            </w:r>
            <w:r w:rsidRPr="00C97435">
              <w:rPr>
                <w:rStyle w:val="textsmall2"/>
                <w:rFonts w:ascii="Arial" w:hAnsi="Arial" w:cs="Arial"/>
                <w:sz w:val="20"/>
                <w:szCs w:val="20"/>
              </w:rPr>
              <w:t>只产品收正，商品基金和债券基金</w:t>
            </w:r>
            <w:proofErr w:type="gramStart"/>
            <w:r w:rsidRPr="00C97435">
              <w:rPr>
                <w:rStyle w:val="textsmall2"/>
                <w:rFonts w:ascii="Arial" w:hAnsi="Arial" w:cs="Arial"/>
                <w:sz w:val="20"/>
                <w:szCs w:val="20"/>
              </w:rPr>
              <w:t>收益居</w:t>
            </w:r>
            <w:proofErr w:type="gramEnd"/>
            <w:r w:rsidRPr="00C97435">
              <w:rPr>
                <w:rStyle w:val="textsmall2"/>
                <w:rFonts w:ascii="Arial" w:hAnsi="Arial" w:cs="Arial"/>
                <w:sz w:val="20"/>
                <w:szCs w:val="20"/>
              </w:rPr>
              <w:t>前，美股基金表现好与新兴市场基金，</w:t>
            </w:r>
            <w:proofErr w:type="gramStart"/>
            <w:r w:rsidRPr="00C97435">
              <w:rPr>
                <w:rStyle w:val="textsmall2"/>
                <w:rFonts w:ascii="Arial" w:hAnsi="Arial" w:cs="Arial"/>
                <w:sz w:val="20"/>
                <w:szCs w:val="20"/>
              </w:rPr>
              <w:t>好于欧股基金</w:t>
            </w:r>
            <w:proofErr w:type="gramEnd"/>
            <w:r w:rsidRPr="00C97435">
              <w:rPr>
                <w:rStyle w:val="textsmall2"/>
                <w:rFonts w:ascii="Arial" w:hAnsi="Arial" w:cs="Arial"/>
                <w:sz w:val="20"/>
                <w:szCs w:val="20"/>
              </w:rPr>
              <w:t>。</w:t>
            </w:r>
          </w:p>
          <w:p w:rsidR="00D61617" w:rsidRPr="00D61617" w:rsidRDefault="00D61617" w:rsidP="00D61617">
            <w:pPr>
              <w:ind w:firstLineChars="200" w:firstLine="420"/>
            </w:pPr>
          </w:p>
          <w:p w:rsidR="00D61617" w:rsidRDefault="00D72BA6" w:rsidP="00D61617">
            <w:pPr>
              <w:pStyle w:val="af7"/>
              <w:numPr>
                <w:ilvl w:val="0"/>
                <w:numId w:val="3"/>
              </w:numPr>
              <w:spacing w:line="300" w:lineRule="auto"/>
              <w:ind w:firstLineChars="0"/>
              <w:rPr>
                <w:rStyle w:val="textsmall2"/>
                <w:rFonts w:ascii="Arial" w:hAnsi="Arial" w:cs="Arial"/>
                <w:b/>
                <w:color w:val="000000"/>
                <w:szCs w:val="21"/>
              </w:rPr>
            </w:pPr>
            <w:r>
              <w:rPr>
                <w:rStyle w:val="textsmall2"/>
                <w:rFonts w:ascii="Arial" w:hAnsi="Arial" w:cs="Arial" w:hint="eastAsia"/>
                <w:b/>
                <w:color w:val="000000"/>
                <w:szCs w:val="21"/>
              </w:rPr>
              <w:t>投资环境展望</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经济基本面：四季度经济加速下滑的风险不容小觑</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资金面</w:t>
            </w:r>
            <w:r w:rsidRPr="00D61617">
              <w:rPr>
                <w:rStyle w:val="textsmall2"/>
                <w:rFonts w:ascii="Arial" w:hAnsi="Arial" w:cs="Arial" w:hint="eastAsia"/>
                <w:sz w:val="20"/>
                <w:szCs w:val="20"/>
              </w:rPr>
              <w:t>：</w:t>
            </w:r>
            <w:proofErr w:type="gramStart"/>
            <w:r w:rsidRPr="00D61617">
              <w:rPr>
                <w:rStyle w:val="textsmall2"/>
                <w:rFonts w:ascii="Arial" w:hAnsi="Arial" w:cs="Arial" w:hint="eastAsia"/>
                <w:sz w:val="20"/>
                <w:szCs w:val="20"/>
              </w:rPr>
              <w:t>季末短期</w:t>
            </w:r>
            <w:proofErr w:type="gramEnd"/>
            <w:r w:rsidRPr="00D61617">
              <w:rPr>
                <w:rStyle w:val="textsmall2"/>
                <w:rFonts w:ascii="Arial" w:hAnsi="Arial" w:cs="Arial" w:hint="eastAsia"/>
                <w:sz w:val="20"/>
                <w:szCs w:val="20"/>
              </w:rPr>
              <w:t>或承压，杠杆资金进一步清理</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政策面：货币政策</w:t>
            </w:r>
            <w:r w:rsidRPr="00D61617">
              <w:rPr>
                <w:rStyle w:val="textsmall2"/>
                <w:rFonts w:ascii="Arial" w:hAnsi="Arial" w:cs="Arial" w:hint="eastAsia"/>
                <w:sz w:val="20"/>
                <w:szCs w:val="20"/>
              </w:rPr>
              <w:t>维持偏宽</w:t>
            </w:r>
            <w:r w:rsidRPr="00D61617">
              <w:rPr>
                <w:rStyle w:val="textsmall2"/>
                <w:rFonts w:ascii="Arial" w:hAnsi="Arial" w:cs="Arial"/>
                <w:sz w:val="20"/>
                <w:szCs w:val="20"/>
              </w:rPr>
              <w:t>，</w:t>
            </w:r>
            <w:proofErr w:type="gramStart"/>
            <w:r w:rsidRPr="00D61617">
              <w:rPr>
                <w:rStyle w:val="textsmall2"/>
                <w:rFonts w:ascii="Arial" w:hAnsi="Arial" w:cs="Arial" w:hint="eastAsia"/>
                <w:sz w:val="20"/>
                <w:szCs w:val="20"/>
              </w:rPr>
              <w:t>稳增长</w:t>
            </w:r>
            <w:proofErr w:type="gramEnd"/>
            <w:r w:rsidRPr="00D61617">
              <w:rPr>
                <w:rStyle w:val="textsmall2"/>
                <w:rFonts w:ascii="Arial" w:hAnsi="Arial" w:cs="Arial" w:hint="eastAsia"/>
                <w:sz w:val="20"/>
                <w:szCs w:val="20"/>
              </w:rPr>
              <w:t>进一步发力</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国际面：美联储年内加息预期增强</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汇率：</w:t>
            </w:r>
            <w:r w:rsidRPr="00D61617">
              <w:rPr>
                <w:rStyle w:val="textsmall2"/>
                <w:rFonts w:ascii="Arial" w:hAnsi="Arial" w:cs="Arial" w:hint="eastAsia"/>
                <w:sz w:val="20"/>
                <w:szCs w:val="20"/>
              </w:rPr>
              <w:t>人民币小幅贬值，进一步贬值压力减弱</w:t>
            </w:r>
          </w:p>
          <w:p w:rsidR="00D61617" w:rsidRPr="00D61617" w:rsidRDefault="00D61617" w:rsidP="00D61617">
            <w:pPr>
              <w:ind w:firstLineChars="200" w:firstLine="400"/>
              <w:rPr>
                <w:rStyle w:val="textsmall2"/>
                <w:rFonts w:ascii="Arial" w:hAnsi="Arial" w:cs="Arial"/>
                <w:sz w:val="20"/>
                <w:szCs w:val="20"/>
              </w:rPr>
            </w:pPr>
            <w:r w:rsidRPr="00D61617">
              <w:rPr>
                <w:rStyle w:val="textsmall2"/>
                <w:rFonts w:ascii="Arial" w:hAnsi="Arial" w:cs="Arial"/>
                <w:sz w:val="20"/>
                <w:szCs w:val="20"/>
              </w:rPr>
              <w:t>市场面：</w:t>
            </w:r>
            <w:r w:rsidRPr="00D61617">
              <w:rPr>
                <w:rStyle w:val="textsmall2"/>
                <w:rFonts w:ascii="Arial" w:hAnsi="Arial" w:cs="Arial" w:hint="eastAsia"/>
                <w:sz w:val="20"/>
                <w:szCs w:val="20"/>
              </w:rPr>
              <w:t>成交量继续低迷，热点龙头再现活力</w:t>
            </w:r>
          </w:p>
          <w:p w:rsidR="00D61617" w:rsidRPr="00D61617" w:rsidRDefault="00D61617" w:rsidP="00D61617">
            <w:pPr>
              <w:ind w:firstLineChars="200" w:firstLine="420"/>
            </w:pPr>
          </w:p>
          <w:p w:rsidR="00D61617" w:rsidRPr="00D61617" w:rsidRDefault="00D61617" w:rsidP="00D61617">
            <w:pPr>
              <w:pStyle w:val="af7"/>
              <w:numPr>
                <w:ilvl w:val="0"/>
                <w:numId w:val="3"/>
              </w:numPr>
              <w:spacing w:line="300" w:lineRule="auto"/>
              <w:ind w:firstLineChars="0"/>
              <w:rPr>
                <w:rStyle w:val="textsmall2"/>
                <w:rFonts w:ascii="Arial" w:hAnsi="Arial" w:cs="Arial"/>
                <w:b/>
                <w:color w:val="000000"/>
                <w:szCs w:val="21"/>
              </w:rPr>
            </w:pPr>
            <w:r w:rsidRPr="00D61617">
              <w:rPr>
                <w:rStyle w:val="textsmall2"/>
                <w:rFonts w:ascii="Arial" w:hAnsi="Arial" w:cs="Arial"/>
                <w:b/>
                <w:color w:val="000000"/>
                <w:szCs w:val="21"/>
              </w:rPr>
              <w:t>未来基金投资策略</w:t>
            </w:r>
          </w:p>
          <w:p w:rsidR="00D61617" w:rsidRPr="00D61617" w:rsidRDefault="00D61617" w:rsidP="00D61617">
            <w:pPr>
              <w:pStyle w:val="a0"/>
              <w:spacing w:before="120" w:line="240" w:lineRule="auto"/>
              <w:ind w:leftChars="0" w:left="0" w:firstLine="402"/>
              <w:rPr>
                <w:rFonts w:ascii="Arial" w:hAnsi="Arial" w:cs="Arial"/>
                <w:sz w:val="20"/>
              </w:rPr>
            </w:pPr>
            <w:proofErr w:type="gramStart"/>
            <w:r w:rsidRPr="0067105E">
              <w:rPr>
                <w:rFonts w:ascii="Arial" w:hAnsi="Arial" w:cs="Arial" w:hint="eastAsia"/>
                <w:b/>
                <w:sz w:val="20"/>
              </w:rPr>
              <w:t>股混基金</w:t>
            </w:r>
            <w:proofErr w:type="gramEnd"/>
            <w:r w:rsidRPr="0067105E">
              <w:rPr>
                <w:rFonts w:ascii="Arial" w:hAnsi="Arial" w:cs="Arial" w:hint="eastAsia"/>
                <w:b/>
                <w:sz w:val="20"/>
              </w:rPr>
              <w:t>投资方面，</w:t>
            </w:r>
            <w:r w:rsidRPr="00D61617">
              <w:rPr>
                <w:rFonts w:ascii="Arial" w:hAnsi="Arial" w:cs="Arial" w:hint="eastAsia"/>
                <w:sz w:val="20"/>
              </w:rPr>
              <w:t>由于短期内我们对</w:t>
            </w:r>
            <w:r w:rsidRPr="00D61617">
              <w:rPr>
                <w:rFonts w:ascii="Arial" w:hAnsi="Arial" w:cs="Arial" w:hint="eastAsia"/>
                <w:sz w:val="20"/>
              </w:rPr>
              <w:t>A</w:t>
            </w:r>
            <w:r w:rsidRPr="00D61617">
              <w:rPr>
                <w:rFonts w:ascii="Arial" w:hAnsi="Arial" w:cs="Arial" w:hint="eastAsia"/>
                <w:sz w:val="20"/>
              </w:rPr>
              <w:t>股的判断中性偏乐观，但依然警惕市场可能的恐慌杀跌，因此建议偏左侧和</w:t>
            </w:r>
            <w:proofErr w:type="gramStart"/>
            <w:r w:rsidRPr="00D61617">
              <w:rPr>
                <w:rFonts w:ascii="Arial" w:hAnsi="Arial" w:cs="Arial" w:hint="eastAsia"/>
                <w:sz w:val="20"/>
              </w:rPr>
              <w:t>偏长期</w:t>
            </w:r>
            <w:proofErr w:type="gramEnd"/>
            <w:r w:rsidRPr="00D61617">
              <w:rPr>
                <w:rFonts w:ascii="Arial" w:hAnsi="Arial" w:cs="Arial" w:hint="eastAsia"/>
                <w:sz w:val="20"/>
              </w:rPr>
              <w:t>的投资者可以考虑逐步建仓，而偏右侧较为保守的投资者依然可以等待</w:t>
            </w:r>
            <w:r w:rsidRPr="00D61617">
              <w:rPr>
                <w:rFonts w:ascii="Arial" w:hAnsi="Arial" w:cs="Arial"/>
                <w:sz w:val="20"/>
              </w:rPr>
              <w:t>市场信心进一步恢复</w:t>
            </w:r>
            <w:r w:rsidRPr="00D61617">
              <w:rPr>
                <w:rFonts w:ascii="Arial" w:hAnsi="Arial" w:cs="Arial" w:hint="eastAsia"/>
                <w:sz w:val="20"/>
              </w:rPr>
              <w:t>后再行动。在股混基金产品选择上，依然建议关注基金经理短期交易能力和选股能力，</w:t>
            </w:r>
            <w:r w:rsidRPr="00D61617">
              <w:rPr>
                <w:rFonts w:ascii="Arial" w:hAnsi="Arial" w:cs="Arial"/>
                <w:sz w:val="20"/>
              </w:rPr>
              <w:t>优选</w:t>
            </w:r>
            <w:proofErr w:type="gramStart"/>
            <w:r w:rsidRPr="00D61617">
              <w:rPr>
                <w:rFonts w:ascii="Arial" w:hAnsi="Arial" w:cs="Arial"/>
                <w:sz w:val="20"/>
              </w:rPr>
              <w:t>仓位</w:t>
            </w:r>
            <w:proofErr w:type="gramEnd"/>
            <w:r w:rsidRPr="00D61617">
              <w:rPr>
                <w:rFonts w:ascii="Arial" w:hAnsi="Arial" w:cs="Arial"/>
                <w:sz w:val="20"/>
              </w:rPr>
              <w:t>灵活且基金经理择股能力突出的混合型基金。主题方面，</w:t>
            </w:r>
            <w:r w:rsidRPr="00D61617">
              <w:rPr>
                <w:rFonts w:ascii="Arial" w:hAnsi="Arial" w:cs="Arial" w:hint="eastAsia"/>
                <w:sz w:val="20"/>
              </w:rPr>
              <w:t>近期</w:t>
            </w:r>
            <w:r w:rsidRPr="00D61617">
              <w:rPr>
                <w:rFonts w:ascii="Arial" w:hAnsi="Arial" w:cs="Arial"/>
                <w:sz w:val="20"/>
              </w:rPr>
              <w:t>2018</w:t>
            </w:r>
            <w:r w:rsidRPr="00D61617">
              <w:rPr>
                <w:rFonts w:ascii="Arial" w:hAnsi="Arial" w:cs="Arial"/>
                <w:sz w:val="20"/>
              </w:rPr>
              <w:t>年底前中央政府层面将实现数据统一共享交换平台全覆盖等消息利好网络安全等相关板块，习近平访美概念，如高铁、核电等，也具备一定投资机会。</w:t>
            </w:r>
          </w:p>
          <w:p w:rsidR="00D61617" w:rsidRPr="00D61617" w:rsidRDefault="00D61617" w:rsidP="00D61617">
            <w:pPr>
              <w:pStyle w:val="a0"/>
              <w:spacing w:before="120" w:line="240" w:lineRule="auto"/>
              <w:ind w:leftChars="0" w:left="0" w:firstLine="402"/>
              <w:rPr>
                <w:rFonts w:ascii="Arial" w:hAnsi="Arial" w:cs="Arial"/>
                <w:sz w:val="20"/>
              </w:rPr>
            </w:pPr>
            <w:r w:rsidRPr="0067105E">
              <w:rPr>
                <w:rFonts w:ascii="Arial" w:hAnsi="Arial" w:cs="Arial" w:hint="eastAsia"/>
                <w:b/>
                <w:sz w:val="20"/>
              </w:rPr>
              <w:t>固定收益基金投资方面，</w:t>
            </w:r>
            <w:r w:rsidRPr="00D61617">
              <w:rPr>
                <w:rFonts w:ascii="Arial" w:hAnsi="Arial" w:cs="Arial" w:hint="eastAsia"/>
                <w:sz w:val="20"/>
              </w:rPr>
              <w:t>债券基金尤其</w:t>
            </w:r>
            <w:proofErr w:type="gramStart"/>
            <w:r w:rsidRPr="00D61617">
              <w:rPr>
                <w:rFonts w:ascii="Arial" w:hAnsi="Arial" w:cs="Arial" w:hint="eastAsia"/>
                <w:sz w:val="20"/>
              </w:rPr>
              <w:t>是债性较纯</w:t>
            </w:r>
            <w:proofErr w:type="gramEnd"/>
            <w:r w:rsidRPr="00D61617">
              <w:rPr>
                <w:rFonts w:ascii="Arial" w:hAnsi="Arial" w:cs="Arial" w:hint="eastAsia"/>
                <w:sz w:val="20"/>
              </w:rPr>
              <w:t>的一级</w:t>
            </w:r>
            <w:proofErr w:type="gramStart"/>
            <w:r w:rsidRPr="00D61617">
              <w:rPr>
                <w:rFonts w:ascii="Arial" w:hAnsi="Arial" w:cs="Arial" w:hint="eastAsia"/>
                <w:sz w:val="20"/>
              </w:rPr>
              <w:t>债基依然</w:t>
            </w:r>
            <w:proofErr w:type="gramEnd"/>
            <w:r w:rsidRPr="00D61617">
              <w:rPr>
                <w:rFonts w:ascii="Arial" w:hAnsi="Arial" w:cs="Arial" w:hint="eastAsia"/>
                <w:sz w:val="20"/>
              </w:rPr>
              <w:t>是当前市场中保守投资者的较好选择。同时，季末叠加长假，有闲散资金的投资者可以积极使用货币基金工具进行现金管理。</w:t>
            </w:r>
          </w:p>
          <w:p w:rsidR="00775559" w:rsidRPr="00C97435" w:rsidRDefault="00D61617" w:rsidP="00D61617">
            <w:pPr>
              <w:pStyle w:val="a0"/>
              <w:spacing w:before="120" w:line="240" w:lineRule="auto"/>
              <w:ind w:leftChars="0" w:left="0" w:firstLine="402"/>
              <w:rPr>
                <w:rFonts w:ascii="Arial" w:hAnsi="Arial" w:cs="Arial"/>
                <w:b/>
                <w:bCs/>
                <w:sz w:val="30"/>
                <w:szCs w:val="30"/>
              </w:rPr>
            </w:pPr>
            <w:r>
              <w:rPr>
                <w:rFonts w:ascii="Arial" w:hAnsi="Arial" w:cs="Arial" w:hint="eastAsia"/>
                <w:b/>
                <w:sz w:val="20"/>
              </w:rPr>
              <w:t>QDII</w:t>
            </w:r>
            <w:r>
              <w:rPr>
                <w:rFonts w:ascii="Arial" w:hAnsi="Arial" w:cs="Arial" w:hint="eastAsia"/>
                <w:b/>
                <w:sz w:val="20"/>
              </w:rPr>
              <w:t>及商品基金等方面，</w:t>
            </w:r>
            <w:r w:rsidRPr="0067105E">
              <w:rPr>
                <w:rFonts w:ascii="Arial" w:hAnsi="Arial" w:cs="Arial" w:hint="eastAsia"/>
                <w:sz w:val="20"/>
              </w:rPr>
              <w:t>由于长期看人民币贬值压力持续存在，从大类资产配置策略出发投资者可以考虑配置少量美元计价资产，而</w:t>
            </w:r>
            <w:r w:rsidRPr="0067105E">
              <w:rPr>
                <w:rFonts w:ascii="Arial" w:hAnsi="Arial" w:cs="Arial" w:hint="eastAsia"/>
                <w:sz w:val="20"/>
              </w:rPr>
              <w:t>QDII</w:t>
            </w:r>
            <w:r w:rsidRPr="0067105E">
              <w:rPr>
                <w:rFonts w:ascii="Arial" w:hAnsi="Arial" w:cs="Arial" w:hint="eastAsia"/>
                <w:sz w:val="20"/>
              </w:rPr>
              <w:t>产品中</w:t>
            </w:r>
            <w:proofErr w:type="gramStart"/>
            <w:r w:rsidRPr="0067105E">
              <w:rPr>
                <w:rFonts w:ascii="Arial" w:hAnsi="Arial" w:cs="Arial" w:hint="eastAsia"/>
                <w:sz w:val="20"/>
              </w:rPr>
              <w:t>投资美</w:t>
            </w:r>
            <w:proofErr w:type="gramEnd"/>
            <w:r w:rsidRPr="0067105E">
              <w:rPr>
                <w:rFonts w:ascii="Arial" w:hAnsi="Arial" w:cs="Arial" w:hint="eastAsia"/>
                <w:sz w:val="20"/>
              </w:rPr>
              <w:t>债、美股、</w:t>
            </w:r>
            <w:r w:rsidRPr="0067105E">
              <w:rPr>
                <w:rFonts w:ascii="Arial" w:hAnsi="Arial" w:cs="Arial" w:hint="eastAsia"/>
                <w:sz w:val="20"/>
              </w:rPr>
              <w:t>REITs</w:t>
            </w:r>
            <w:r w:rsidRPr="0067105E">
              <w:rPr>
                <w:rFonts w:ascii="Arial" w:hAnsi="Arial" w:cs="Arial" w:hint="eastAsia"/>
                <w:sz w:val="20"/>
              </w:rPr>
              <w:t>等方面的产品均是不错选择。</w:t>
            </w:r>
          </w:p>
        </w:tc>
      </w:tr>
    </w:tbl>
    <w:p w:rsidR="00B92F06" w:rsidRPr="00C97435" w:rsidRDefault="00573A8D" w:rsidP="00350325">
      <w:pPr>
        <w:tabs>
          <w:tab w:val="left" w:pos="900"/>
        </w:tabs>
        <w:jc w:val="left"/>
        <w:rPr>
          <w:rFonts w:ascii="Arial" w:hAnsi="Arial" w:cs="Arial"/>
          <w:b/>
        </w:rPr>
        <w:sectPr w:rsidR="00B92F06" w:rsidRPr="00C97435" w:rsidSect="00D334D2">
          <w:headerReference w:type="even" r:id="rId9"/>
          <w:headerReference w:type="default" r:id="rId10"/>
          <w:footerReference w:type="even" r:id="rId11"/>
          <w:footerReference w:type="default" r:id="rId12"/>
          <w:headerReference w:type="first" r:id="rId13"/>
          <w:footerReference w:type="first" r:id="rId14"/>
          <w:pgSz w:w="11907" w:h="16840" w:code="9"/>
          <w:pgMar w:top="1674" w:right="680" w:bottom="851" w:left="680" w:header="851" w:footer="612" w:gutter="0"/>
          <w:cols w:space="425"/>
          <w:docGrid w:linePitch="312"/>
        </w:sectPr>
      </w:pPr>
      <w:r w:rsidRPr="00C97435">
        <w:rPr>
          <w:rFonts w:ascii="Arial" w:hAnsi="Arial" w:cs="Arial"/>
          <w:b/>
          <w:noProof/>
        </w:rPr>
        <mc:AlternateContent>
          <mc:Choice Requires="wps">
            <w:drawing>
              <wp:anchor distT="0" distB="0" distL="114300" distR="114300" simplePos="0" relativeHeight="251658240" behindDoc="0" locked="0" layoutInCell="1" allowOverlap="1" wp14:anchorId="1A26C0D6" wp14:editId="5BC0A0CA">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740" w:rsidRPr="004071E8" w:rsidRDefault="00FD5740"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D5740" w:rsidRPr="006D5835" w:rsidTr="006A63C5">
                              <w:trPr>
                                <w:cantSplit/>
                                <w:trHeight w:val="764"/>
                              </w:trPr>
                              <w:tc>
                                <w:tcPr>
                                  <w:tcW w:w="2899" w:type="dxa"/>
                                  <w:shd w:val="clear" w:color="auto" w:fill="F0EAC6"/>
                                  <w:vAlign w:val="center"/>
                                </w:tcPr>
                                <w:p w:rsidR="00FD5740" w:rsidRPr="006D5835" w:rsidRDefault="00FD5740" w:rsidP="00757B1C">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9</w:t>
                                  </w:r>
                                  <w:r w:rsidRPr="00537295">
                                    <w:rPr>
                                      <w:rFonts w:ascii="Arial" w:cs="Arial" w:hint="eastAsia"/>
                                      <w:b/>
                                      <w:sz w:val="18"/>
                                      <w:szCs w:val="16"/>
                                    </w:rPr>
                                    <w:t>-2</w:t>
                                  </w:r>
                                  <w:r>
                                    <w:rPr>
                                      <w:rFonts w:ascii="Arial" w:cs="Arial" w:hint="eastAsia"/>
                                      <w:b/>
                                      <w:sz w:val="18"/>
                                      <w:szCs w:val="16"/>
                                    </w:rPr>
                                    <w:t>9</w:t>
                                  </w:r>
                                </w:p>
                              </w:tc>
                            </w:tr>
                            <w:tr w:rsidR="00FD5740" w:rsidRPr="006D5835" w:rsidTr="00C97435">
                              <w:trPr>
                                <w:cantSplit/>
                                <w:trHeight w:val="2023"/>
                              </w:trPr>
                              <w:tc>
                                <w:tcPr>
                                  <w:tcW w:w="2899" w:type="dxa"/>
                                  <w:tcBorders>
                                    <w:top w:val="single" w:sz="4" w:space="0" w:color="auto"/>
                                    <w:bottom w:val="single" w:sz="4" w:space="0" w:color="auto"/>
                                  </w:tcBorders>
                                  <w:shd w:val="clear" w:color="auto" w:fill="F0EAC6"/>
                                </w:tcPr>
                                <w:p w:rsidR="00FD5740" w:rsidRDefault="00FD5740" w:rsidP="00537295">
                                  <w:pPr>
                                    <w:rPr>
                                      <w:rFonts w:ascii="Arial" w:cs="Arial"/>
                                      <w:b/>
                                      <w:sz w:val="18"/>
                                      <w:szCs w:val="16"/>
                                    </w:rPr>
                                  </w:pPr>
                                </w:p>
                                <w:p w:rsidR="00FD5740" w:rsidRPr="00C97435" w:rsidRDefault="00FD5740" w:rsidP="00C97435"/>
                                <w:p w:rsidR="00FD5740" w:rsidRPr="00F277FE" w:rsidRDefault="00FD5740"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D5740" w:rsidRPr="00537295" w:rsidRDefault="00FD5740"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D5740" w:rsidRDefault="00FD5740" w:rsidP="00537295">
                                  <w:pPr>
                                    <w:ind w:firstLineChars="50" w:firstLine="80"/>
                                    <w:rPr>
                                      <w:rFonts w:ascii="Arial" w:cs="Arial"/>
                                      <w:sz w:val="16"/>
                                      <w:szCs w:val="16"/>
                                    </w:rPr>
                                  </w:pPr>
                                </w:p>
                                <w:p w:rsidR="00FD5740" w:rsidRPr="00F277FE" w:rsidRDefault="00FD5740" w:rsidP="00F277FE">
                                  <w:pPr>
                                    <w:rPr>
                                      <w:rFonts w:ascii="Arial" w:cs="Arial"/>
                                      <w:b/>
                                      <w:sz w:val="18"/>
                                      <w:szCs w:val="16"/>
                                    </w:rPr>
                                  </w:pPr>
                                  <w:r w:rsidRPr="00F277FE">
                                    <w:rPr>
                                      <w:rFonts w:ascii="Arial" w:cs="Arial" w:hint="eastAsia"/>
                                      <w:b/>
                                      <w:sz w:val="18"/>
                                      <w:szCs w:val="16"/>
                                    </w:rPr>
                                    <w:t>分析师：万晓微</w:t>
                                  </w:r>
                                </w:p>
                                <w:p w:rsidR="00FD5740" w:rsidRPr="00537295" w:rsidRDefault="00FD5740"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sidR="00D72BA6">
                                    <w:rPr>
                                      <w:rFonts w:ascii="Arial" w:cs="Arial" w:hint="eastAsia"/>
                                      <w:sz w:val="18"/>
                                      <w:szCs w:val="16"/>
                                    </w:rPr>
                                    <w:t>wan</w:t>
                                  </w:r>
                                  <w:r>
                                    <w:rPr>
                                      <w:rFonts w:ascii="Arial" w:cs="Arial" w:hint="eastAsia"/>
                                      <w:sz w:val="18"/>
                                      <w:szCs w:val="16"/>
                                    </w:rPr>
                                    <w:t>xw@vstone.com.cn</w:t>
                                  </w:r>
                                </w:p>
                                <w:p w:rsidR="00FD5740" w:rsidRPr="00F277FE" w:rsidRDefault="00FD5740"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FD5740" w:rsidRDefault="00FD5740" w:rsidP="00537295">
                                  <w:pPr>
                                    <w:ind w:firstLineChars="50" w:firstLine="80"/>
                                    <w:rPr>
                                      <w:rFonts w:ascii="Arial" w:cs="Arial"/>
                                      <w:sz w:val="16"/>
                                      <w:szCs w:val="16"/>
                                    </w:rPr>
                                  </w:pPr>
                                </w:p>
                                <w:p w:rsidR="00FD5740" w:rsidRDefault="00FD5740" w:rsidP="00537295">
                                  <w:pPr>
                                    <w:ind w:firstLineChars="50" w:firstLine="80"/>
                                    <w:rPr>
                                      <w:rFonts w:ascii="Arial" w:cs="Arial"/>
                                      <w:sz w:val="16"/>
                                      <w:szCs w:val="16"/>
                                    </w:rPr>
                                  </w:pPr>
                                </w:p>
                                <w:p w:rsidR="00FD5740" w:rsidRPr="00F853B7" w:rsidRDefault="00FD5740" w:rsidP="00537295">
                                  <w:pPr>
                                    <w:ind w:firstLineChars="50" w:firstLine="80"/>
                                    <w:rPr>
                                      <w:rFonts w:ascii="Arial" w:hAnsi="Arial" w:cs="Arial"/>
                                      <w:sz w:val="16"/>
                                      <w:szCs w:val="16"/>
                                    </w:rPr>
                                  </w:pPr>
                                </w:p>
                              </w:tc>
                            </w:tr>
                            <w:tr w:rsidR="00FD5740" w:rsidRPr="006D5835" w:rsidTr="00D52111">
                              <w:trPr>
                                <w:cantSplit/>
                                <w:trHeight w:val="10189"/>
                              </w:trPr>
                              <w:tc>
                                <w:tcPr>
                                  <w:tcW w:w="2899" w:type="dxa"/>
                                  <w:tcBorders>
                                    <w:top w:val="single" w:sz="4" w:space="0" w:color="auto"/>
                                  </w:tcBorders>
                                  <w:shd w:val="clear" w:color="auto" w:fill="F0EAC6"/>
                                </w:tcPr>
                                <w:p w:rsidR="00FD5740" w:rsidRPr="00C97435" w:rsidRDefault="00FD5740" w:rsidP="00C97435">
                                  <w:pPr>
                                    <w:rPr>
                                      <w:rFonts w:ascii="Arial" w:cs="Arial"/>
                                      <w:b/>
                                      <w:sz w:val="18"/>
                                      <w:szCs w:val="16"/>
                                    </w:rPr>
                                  </w:pPr>
                                </w:p>
                                <w:p w:rsidR="00FD5740" w:rsidRPr="00C97435" w:rsidRDefault="00FD5740" w:rsidP="00C97435">
                                  <w:pPr>
                                    <w:rPr>
                                      <w:rFonts w:ascii="Arial" w:cs="Arial"/>
                                      <w:b/>
                                      <w:sz w:val="18"/>
                                      <w:szCs w:val="16"/>
                                    </w:rPr>
                                  </w:pPr>
                                  <w:r w:rsidRPr="00C97435">
                                    <w:rPr>
                                      <w:rFonts w:ascii="Arial" w:cs="Arial" w:hint="eastAsia"/>
                                      <w:b/>
                                      <w:sz w:val="18"/>
                                      <w:szCs w:val="16"/>
                                    </w:rPr>
                                    <w:t>相关报告</w:t>
                                  </w:r>
                                </w:p>
                                <w:p w:rsidR="00FD5740" w:rsidRPr="00C97435" w:rsidRDefault="00FD5740" w:rsidP="00C97435">
                                  <w:pPr>
                                    <w:rPr>
                                      <w:rFonts w:ascii="Arial" w:cs="Arial"/>
                                      <w:b/>
                                      <w:sz w:val="18"/>
                                      <w:szCs w:val="16"/>
                                    </w:rPr>
                                  </w:pPr>
                                </w:p>
                              </w:tc>
                            </w:tr>
                          </w:tbl>
                          <w:p w:rsidR="00FD5740" w:rsidRPr="004071E8" w:rsidRDefault="00FD5740"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FD5740" w:rsidRPr="004071E8" w:rsidRDefault="00FD5740"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FD5740" w:rsidRPr="006D5835" w:rsidTr="006A63C5">
                        <w:trPr>
                          <w:cantSplit/>
                          <w:trHeight w:val="764"/>
                        </w:trPr>
                        <w:tc>
                          <w:tcPr>
                            <w:tcW w:w="2899" w:type="dxa"/>
                            <w:shd w:val="clear" w:color="auto" w:fill="F0EAC6"/>
                            <w:vAlign w:val="center"/>
                          </w:tcPr>
                          <w:p w:rsidR="00FD5740" w:rsidRPr="006D5835" w:rsidRDefault="00FD5740" w:rsidP="00757B1C">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9</w:t>
                            </w:r>
                            <w:r w:rsidRPr="00537295">
                              <w:rPr>
                                <w:rFonts w:ascii="Arial" w:cs="Arial" w:hint="eastAsia"/>
                                <w:b/>
                                <w:sz w:val="18"/>
                                <w:szCs w:val="16"/>
                              </w:rPr>
                              <w:t>-2</w:t>
                            </w:r>
                            <w:r>
                              <w:rPr>
                                <w:rFonts w:ascii="Arial" w:cs="Arial" w:hint="eastAsia"/>
                                <w:b/>
                                <w:sz w:val="18"/>
                                <w:szCs w:val="16"/>
                              </w:rPr>
                              <w:t>9</w:t>
                            </w:r>
                          </w:p>
                        </w:tc>
                      </w:tr>
                      <w:tr w:rsidR="00FD5740" w:rsidRPr="006D5835" w:rsidTr="00C97435">
                        <w:trPr>
                          <w:cantSplit/>
                          <w:trHeight w:val="2023"/>
                        </w:trPr>
                        <w:tc>
                          <w:tcPr>
                            <w:tcW w:w="2899" w:type="dxa"/>
                            <w:tcBorders>
                              <w:top w:val="single" w:sz="4" w:space="0" w:color="auto"/>
                              <w:bottom w:val="single" w:sz="4" w:space="0" w:color="auto"/>
                            </w:tcBorders>
                            <w:shd w:val="clear" w:color="auto" w:fill="F0EAC6"/>
                          </w:tcPr>
                          <w:p w:rsidR="00FD5740" w:rsidRDefault="00FD5740" w:rsidP="00537295">
                            <w:pPr>
                              <w:rPr>
                                <w:rFonts w:ascii="Arial" w:cs="Arial"/>
                                <w:b/>
                                <w:sz w:val="18"/>
                                <w:szCs w:val="16"/>
                              </w:rPr>
                            </w:pPr>
                          </w:p>
                          <w:p w:rsidR="00FD5740" w:rsidRPr="00C97435" w:rsidRDefault="00FD5740" w:rsidP="00C97435"/>
                          <w:p w:rsidR="00FD5740" w:rsidRPr="00F277FE" w:rsidRDefault="00FD5740"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FD5740" w:rsidRPr="00537295" w:rsidRDefault="00FD5740"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FD5740" w:rsidRDefault="00FD5740" w:rsidP="00537295">
                            <w:pPr>
                              <w:ind w:firstLineChars="50" w:firstLine="80"/>
                              <w:rPr>
                                <w:rFonts w:ascii="Arial" w:cs="Arial"/>
                                <w:sz w:val="16"/>
                                <w:szCs w:val="16"/>
                              </w:rPr>
                            </w:pPr>
                          </w:p>
                          <w:p w:rsidR="00FD5740" w:rsidRPr="00F277FE" w:rsidRDefault="00FD5740" w:rsidP="00F277FE">
                            <w:pPr>
                              <w:rPr>
                                <w:rFonts w:ascii="Arial" w:cs="Arial"/>
                                <w:b/>
                                <w:sz w:val="18"/>
                                <w:szCs w:val="16"/>
                              </w:rPr>
                            </w:pPr>
                            <w:r w:rsidRPr="00F277FE">
                              <w:rPr>
                                <w:rFonts w:ascii="Arial" w:cs="Arial" w:hint="eastAsia"/>
                                <w:b/>
                                <w:sz w:val="18"/>
                                <w:szCs w:val="16"/>
                              </w:rPr>
                              <w:t>分析师：万晓微</w:t>
                            </w:r>
                          </w:p>
                          <w:p w:rsidR="00FD5740" w:rsidRPr="00537295" w:rsidRDefault="00FD5740" w:rsidP="00F277FE">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sidR="00D72BA6">
                              <w:rPr>
                                <w:rFonts w:ascii="Arial" w:cs="Arial" w:hint="eastAsia"/>
                                <w:sz w:val="18"/>
                                <w:szCs w:val="16"/>
                              </w:rPr>
                              <w:t>wan</w:t>
                            </w:r>
                            <w:r>
                              <w:rPr>
                                <w:rFonts w:ascii="Arial" w:cs="Arial" w:hint="eastAsia"/>
                                <w:sz w:val="18"/>
                                <w:szCs w:val="16"/>
                              </w:rPr>
                              <w:t>xw@vstone.com.cn</w:t>
                            </w:r>
                          </w:p>
                          <w:p w:rsidR="00FD5740" w:rsidRPr="00F277FE" w:rsidRDefault="00FD5740" w:rsidP="00F277FE">
                            <w:pPr>
                              <w:rPr>
                                <w:rFonts w:ascii="Arial" w:cs="Arial"/>
                                <w:sz w:val="18"/>
                                <w:szCs w:val="16"/>
                              </w:rPr>
                            </w:pPr>
                            <w:r w:rsidRPr="00F277FE">
                              <w:rPr>
                                <w:rFonts w:ascii="Arial" w:cs="Arial" w:hint="eastAsia"/>
                                <w:sz w:val="18"/>
                                <w:szCs w:val="16"/>
                              </w:rPr>
                              <w:t>电话：</w:t>
                            </w:r>
                            <w:r w:rsidRPr="00F277FE">
                              <w:rPr>
                                <w:rFonts w:ascii="Arial" w:cs="Arial"/>
                                <w:sz w:val="18"/>
                                <w:szCs w:val="16"/>
                              </w:rPr>
                              <w:t>021 63333389-205</w:t>
                            </w:r>
                          </w:p>
                          <w:p w:rsidR="00FD5740" w:rsidRDefault="00FD5740" w:rsidP="00537295">
                            <w:pPr>
                              <w:ind w:firstLineChars="50" w:firstLine="80"/>
                              <w:rPr>
                                <w:rFonts w:ascii="Arial" w:cs="Arial"/>
                                <w:sz w:val="16"/>
                                <w:szCs w:val="16"/>
                              </w:rPr>
                            </w:pPr>
                          </w:p>
                          <w:p w:rsidR="00FD5740" w:rsidRDefault="00FD5740" w:rsidP="00537295">
                            <w:pPr>
                              <w:ind w:firstLineChars="50" w:firstLine="80"/>
                              <w:rPr>
                                <w:rFonts w:ascii="Arial" w:cs="Arial"/>
                                <w:sz w:val="16"/>
                                <w:szCs w:val="16"/>
                              </w:rPr>
                            </w:pPr>
                          </w:p>
                          <w:p w:rsidR="00FD5740" w:rsidRPr="00F853B7" w:rsidRDefault="00FD5740" w:rsidP="00537295">
                            <w:pPr>
                              <w:ind w:firstLineChars="50" w:firstLine="80"/>
                              <w:rPr>
                                <w:rFonts w:ascii="Arial" w:hAnsi="Arial" w:cs="Arial"/>
                                <w:sz w:val="16"/>
                                <w:szCs w:val="16"/>
                              </w:rPr>
                            </w:pPr>
                          </w:p>
                        </w:tc>
                      </w:tr>
                      <w:tr w:rsidR="00FD5740" w:rsidRPr="006D5835" w:rsidTr="00D52111">
                        <w:trPr>
                          <w:cantSplit/>
                          <w:trHeight w:val="10189"/>
                        </w:trPr>
                        <w:tc>
                          <w:tcPr>
                            <w:tcW w:w="2899" w:type="dxa"/>
                            <w:tcBorders>
                              <w:top w:val="single" w:sz="4" w:space="0" w:color="auto"/>
                            </w:tcBorders>
                            <w:shd w:val="clear" w:color="auto" w:fill="F0EAC6"/>
                          </w:tcPr>
                          <w:p w:rsidR="00FD5740" w:rsidRPr="00C97435" w:rsidRDefault="00FD5740" w:rsidP="00C97435">
                            <w:pPr>
                              <w:rPr>
                                <w:rFonts w:ascii="Arial" w:cs="Arial"/>
                                <w:b/>
                                <w:sz w:val="18"/>
                                <w:szCs w:val="16"/>
                              </w:rPr>
                            </w:pPr>
                          </w:p>
                          <w:p w:rsidR="00FD5740" w:rsidRPr="00C97435" w:rsidRDefault="00FD5740" w:rsidP="00C97435">
                            <w:pPr>
                              <w:rPr>
                                <w:rFonts w:ascii="Arial" w:cs="Arial"/>
                                <w:b/>
                                <w:sz w:val="18"/>
                                <w:szCs w:val="16"/>
                              </w:rPr>
                            </w:pPr>
                            <w:r w:rsidRPr="00C97435">
                              <w:rPr>
                                <w:rFonts w:ascii="Arial" w:cs="Arial" w:hint="eastAsia"/>
                                <w:b/>
                                <w:sz w:val="18"/>
                                <w:szCs w:val="16"/>
                              </w:rPr>
                              <w:t>相关报告</w:t>
                            </w:r>
                          </w:p>
                          <w:p w:rsidR="00FD5740" w:rsidRPr="00C97435" w:rsidRDefault="00FD5740" w:rsidP="00C97435">
                            <w:pPr>
                              <w:rPr>
                                <w:rFonts w:ascii="Arial" w:cs="Arial"/>
                                <w:b/>
                                <w:sz w:val="18"/>
                                <w:szCs w:val="16"/>
                              </w:rPr>
                            </w:pPr>
                          </w:p>
                        </w:tc>
                      </w:tr>
                    </w:tbl>
                    <w:p w:rsidR="00FD5740" w:rsidRPr="004071E8" w:rsidRDefault="00FD5740" w:rsidP="005036AC">
                      <w:pPr>
                        <w:rPr>
                          <w:rFonts w:ascii="楷体_GB2312"/>
                        </w:rPr>
                      </w:pPr>
                    </w:p>
                  </w:txbxContent>
                </v:textbox>
              </v:shape>
            </w:pict>
          </mc:Fallback>
        </mc:AlternateContent>
      </w:r>
    </w:p>
    <w:p w:rsidR="00921CE9" w:rsidRPr="00C97435" w:rsidRDefault="00A64D32" w:rsidP="00736D60">
      <w:pPr>
        <w:pStyle w:val="af7"/>
        <w:numPr>
          <w:ilvl w:val="0"/>
          <w:numId w:val="1"/>
        </w:numPr>
        <w:ind w:firstLineChars="0"/>
        <w:rPr>
          <w:rFonts w:ascii="Arial" w:hAnsi="Arial" w:cs="Arial"/>
          <w:b/>
          <w:color w:val="996600"/>
          <w:sz w:val="32"/>
          <w:szCs w:val="28"/>
        </w:rPr>
      </w:pPr>
      <w:bookmarkStart w:id="1" w:name="_Toc431285223"/>
      <w:r w:rsidRPr="00C97435">
        <w:rPr>
          <w:rFonts w:ascii="Arial" w:hAnsi="Arial" w:cs="Arial"/>
          <w:noProof/>
          <w:sz w:val="20"/>
          <w:szCs w:val="20"/>
        </w:rPr>
        <w:lastRenderedPageBreak/>
        <mc:AlternateContent>
          <mc:Choice Requires="wps">
            <w:drawing>
              <wp:anchor distT="0" distB="0" distL="0" distR="0" simplePos="0" relativeHeight="251672576" behindDoc="0" locked="0" layoutInCell="1" allowOverlap="0" wp14:anchorId="07E5576D" wp14:editId="0457B59C">
                <wp:simplePos x="0" y="0"/>
                <wp:positionH relativeFrom="page">
                  <wp:posOffset>416966</wp:posOffset>
                </wp:positionH>
                <wp:positionV relativeFrom="paragraph">
                  <wp:posOffset>-1829</wp:posOffset>
                </wp:positionV>
                <wp:extent cx="2340000" cy="8814816"/>
                <wp:effectExtent l="0" t="0" r="3175" b="571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8814816"/>
                        </a:xfrm>
                        <a:prstGeom prst="rect">
                          <a:avLst/>
                        </a:prstGeom>
                        <a:solidFill>
                          <a:srgbClr val="FFFFFF"/>
                        </a:solidFill>
                        <a:ln w="9525">
                          <a:noFill/>
                          <a:miter lim="800000"/>
                          <a:headEnd/>
                          <a:tailEnd/>
                        </a:ln>
                      </wps:spPr>
                      <wps:txbx>
                        <w:txbxContent>
                          <w:tbl>
                            <w:tblPr>
                              <w:tblW w:w="3402" w:type="dxa"/>
                              <w:tblInd w:w="93" w:type="dxa"/>
                              <w:tblLayout w:type="fixed"/>
                              <w:tblLook w:val="04A0" w:firstRow="1" w:lastRow="0" w:firstColumn="1" w:lastColumn="0" w:noHBand="0" w:noVBand="1"/>
                            </w:tblPr>
                            <w:tblGrid>
                              <w:gridCol w:w="1134"/>
                              <w:gridCol w:w="15"/>
                              <w:gridCol w:w="1119"/>
                              <w:gridCol w:w="1134"/>
                            </w:tblGrid>
                            <w:tr w:rsidR="00FD5740" w:rsidRPr="00A64D32" w:rsidTr="009D2B6E">
                              <w:trPr>
                                <w:trHeight w:val="417"/>
                              </w:trPr>
                              <w:tc>
                                <w:tcPr>
                                  <w:tcW w:w="1149" w:type="dxa"/>
                                  <w:gridSpan w:val="2"/>
                                  <w:tcBorders>
                                    <w:top w:val="single" w:sz="8" w:space="0" w:color="000000"/>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53" w:type="dxa"/>
                                  <w:gridSpan w:val="2"/>
                                  <w:tcBorders>
                                    <w:top w:val="single" w:sz="8" w:space="0" w:color="000000"/>
                                    <w:left w:val="nil"/>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lang w:val="en-GB"/>
                                    </w:rPr>
                                    <w:t>2015.09.21-2015.09.25</w:t>
                                  </w:r>
                                </w:p>
                              </w:tc>
                            </w:tr>
                            <w:tr w:rsidR="00FD5740" w:rsidRPr="00A64D32" w:rsidTr="003175BA">
                              <w:trPr>
                                <w:trHeight w:val="283"/>
                              </w:trPr>
                              <w:tc>
                                <w:tcPr>
                                  <w:tcW w:w="1134" w:type="dxa"/>
                                  <w:tcBorders>
                                    <w:top w:val="nil"/>
                                    <w:bottom w:val="single" w:sz="8" w:space="0" w:color="000000"/>
                                    <w:right w:val="single" w:sz="8" w:space="0" w:color="000000"/>
                                  </w:tcBorders>
                                  <w:shd w:val="clear" w:color="auto" w:fill="FFFFFF" w:themeFill="background1"/>
                                  <w:vAlign w:val="center"/>
                                </w:tcPr>
                                <w:p w:rsidR="00FD5740" w:rsidRPr="003175BA" w:rsidRDefault="00FD5740"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1134" w:type="dxa"/>
                                  <w:gridSpan w:val="2"/>
                                  <w:tcBorders>
                                    <w:top w:val="nil"/>
                                    <w:left w:val="nil"/>
                                    <w:bottom w:val="single" w:sz="8" w:space="0" w:color="000000"/>
                                    <w:right w:val="single" w:sz="8" w:space="0" w:color="000000"/>
                                  </w:tcBorders>
                                  <w:shd w:val="clear" w:color="auto" w:fill="FFFFFF" w:themeFill="background1"/>
                                  <w:vAlign w:val="center"/>
                                </w:tcPr>
                                <w:p w:rsidR="00FD5740" w:rsidRPr="003175BA" w:rsidRDefault="00FD5740"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D5740" w:rsidRPr="003175BA" w:rsidRDefault="00FD5740" w:rsidP="003175BA">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D5740" w:rsidRPr="00A64D32" w:rsidTr="009D2B6E">
                              <w:trPr>
                                <w:trHeight w:val="283"/>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上证综指</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3092.35</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-0.18</w:t>
                                  </w:r>
                                </w:p>
                              </w:tc>
                            </w:tr>
                            <w:tr w:rsidR="00FD5740" w:rsidRPr="00A64D32" w:rsidTr="009D2B6E">
                              <w:trPr>
                                <w:trHeight w:val="283"/>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沪深300</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3231.95</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-0.59</w:t>
                                  </w:r>
                                </w:p>
                              </w:tc>
                            </w:tr>
                            <w:tr w:rsidR="00FD5740" w:rsidRPr="00A64D32" w:rsidTr="009D2B6E">
                              <w:trPr>
                                <w:trHeight w:val="283"/>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中小板指</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6708.31</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1.4</w:t>
                                  </w:r>
                                </w:p>
                              </w:tc>
                            </w:tr>
                            <w:tr w:rsidR="00FD5740" w:rsidRPr="00A64D32" w:rsidTr="009D2B6E">
                              <w:trPr>
                                <w:trHeight w:val="283"/>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创业板指</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2020.97</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1.9</w:t>
                                  </w:r>
                                </w:p>
                              </w:tc>
                            </w:tr>
                            <w:tr w:rsidR="00FD5740" w:rsidRPr="00A64D32" w:rsidTr="009D2B6E">
                              <w:trPr>
                                <w:trHeight w:val="283"/>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中证国债</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161.05</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w:t>
                                  </w:r>
                                </w:p>
                              </w:tc>
                            </w:tr>
                            <w:tr w:rsidR="00FD5740" w:rsidRPr="00A64D32" w:rsidTr="009D2B6E">
                              <w:trPr>
                                <w:trHeight w:val="283"/>
                              </w:trPr>
                              <w:tc>
                                <w:tcPr>
                                  <w:tcW w:w="1134" w:type="dxa"/>
                                  <w:tcBorders>
                                    <w:top w:val="nil"/>
                                    <w:bottom w:val="single" w:sz="8" w:space="0" w:color="auto"/>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w:t>
                                  </w:r>
                                  <w:proofErr w:type="gramStart"/>
                                  <w:r w:rsidRPr="00A64D32">
                                    <w:rPr>
                                      <w:rFonts w:ascii="楷体" w:eastAsia="楷体" w:hAnsi="楷体" w:cs="宋体" w:hint="eastAsia"/>
                                      <w:color w:val="000000"/>
                                      <w:kern w:val="0"/>
                                      <w:sz w:val="16"/>
                                      <w:szCs w:val="16"/>
                                    </w:rPr>
                                    <w:t>证全债</w:t>
                                  </w:r>
                                  <w:proofErr w:type="gramEnd"/>
                                </w:p>
                              </w:tc>
                              <w:tc>
                                <w:tcPr>
                                  <w:tcW w:w="1134" w:type="dxa"/>
                                  <w:gridSpan w:val="2"/>
                                  <w:tcBorders>
                                    <w:top w:val="nil"/>
                                    <w:left w:val="nil"/>
                                    <w:bottom w:val="single" w:sz="8" w:space="0" w:color="auto"/>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167.26</w:t>
                                  </w:r>
                                </w:p>
                              </w:tc>
                              <w:tc>
                                <w:tcPr>
                                  <w:tcW w:w="1134" w:type="dxa"/>
                                  <w:tcBorders>
                                    <w:top w:val="nil"/>
                                    <w:left w:val="nil"/>
                                    <w:bottom w:val="single" w:sz="8" w:space="0" w:color="auto"/>
                                    <w:right w:val="nil"/>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0.01</w:t>
                                  </w:r>
                                </w:p>
                              </w:tc>
                            </w:tr>
                            <w:tr w:rsidR="00FD5740" w:rsidRPr="00A64D32" w:rsidTr="009D2B6E">
                              <w:trPr>
                                <w:trHeight w:val="435"/>
                              </w:trPr>
                              <w:tc>
                                <w:tcPr>
                                  <w:tcW w:w="1149" w:type="dxa"/>
                                  <w:gridSpan w:val="2"/>
                                  <w:tcBorders>
                                    <w:top w:val="single" w:sz="8" w:space="0" w:color="000000"/>
                                    <w:bottom w:val="single" w:sz="8" w:space="0" w:color="000000"/>
                                    <w:right w:val="nil"/>
                                  </w:tcBorders>
                                  <w:shd w:val="clear" w:color="F79646" w:fill="F79646"/>
                                  <w:vAlign w:val="center"/>
                                  <w:hideMark/>
                                </w:tcPr>
                                <w:p w:rsidR="00FD5740" w:rsidRPr="00A64D32" w:rsidRDefault="00FD5740"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53" w:type="dxa"/>
                                  <w:gridSpan w:val="2"/>
                                  <w:tcBorders>
                                    <w:top w:val="single" w:sz="8" w:space="0" w:color="auto"/>
                                    <w:left w:val="nil"/>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lang w:val="en-GB"/>
                                    </w:rPr>
                                    <w:t>2015.09.18-2015.09.24</w:t>
                                  </w:r>
                                </w:p>
                              </w:tc>
                            </w:tr>
                            <w:tr w:rsidR="00FD5740" w:rsidRPr="00A64D32" w:rsidTr="00E06260">
                              <w:trPr>
                                <w:trHeight w:val="285"/>
                              </w:trPr>
                              <w:tc>
                                <w:tcPr>
                                  <w:tcW w:w="1134" w:type="dxa"/>
                                  <w:tcBorders>
                                    <w:top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1134" w:type="dxa"/>
                                  <w:gridSpan w:val="2"/>
                                  <w:tcBorders>
                                    <w:top w:val="nil"/>
                                    <w:left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4261.1</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-2.82</w:t>
                                  </w:r>
                                </w:p>
                              </w:tc>
                            </w:tr>
                            <w:tr w:rsidR="00FD5740" w:rsidRPr="00A64D32" w:rsidTr="009D2B6E">
                              <w:trPr>
                                <w:trHeight w:val="285"/>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1932.24</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-2.91</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16201.32</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-2.84</w:t>
                                  </w:r>
                                </w:p>
                              </w:tc>
                            </w:tr>
                            <w:tr w:rsidR="00FD5740" w:rsidRPr="00A64D32" w:rsidTr="009D2B6E">
                              <w:trPr>
                                <w:trHeight w:val="285"/>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21095.98</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-3.47</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17571.83</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-4.67</w:t>
                                  </w:r>
                                </w:p>
                              </w:tc>
                            </w:tr>
                            <w:tr w:rsidR="00FD5740" w:rsidRPr="00A64D32" w:rsidTr="009D2B6E">
                              <w:trPr>
                                <w:trHeight w:val="435"/>
                              </w:trPr>
                              <w:tc>
                                <w:tcPr>
                                  <w:tcW w:w="1134" w:type="dxa"/>
                                  <w:tcBorders>
                                    <w:top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1134" w:type="dxa"/>
                                  <w:gridSpan w:val="2"/>
                                  <w:tcBorders>
                                    <w:top w:val="nil"/>
                                    <w:left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339.63</w:t>
                                  </w:r>
                                </w:p>
                              </w:tc>
                              <w:tc>
                                <w:tcPr>
                                  <w:tcW w:w="1134" w:type="dxa"/>
                                  <w:tcBorders>
                                    <w:top w:val="nil"/>
                                    <w:left w:val="nil"/>
                                    <w:bottom w:val="single" w:sz="8" w:space="0" w:color="auto"/>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-5.97</w:t>
                                  </w:r>
                                </w:p>
                              </w:tc>
                            </w:tr>
                            <w:tr w:rsidR="00FD5740" w:rsidRPr="00A64D32" w:rsidTr="009D2B6E">
                              <w:trPr>
                                <w:trHeight w:val="435"/>
                              </w:trPr>
                              <w:tc>
                                <w:tcPr>
                                  <w:tcW w:w="1149" w:type="dxa"/>
                                  <w:gridSpan w:val="2"/>
                                  <w:tcBorders>
                                    <w:top w:val="single" w:sz="8" w:space="0" w:color="000000"/>
                                    <w:bottom w:val="single" w:sz="8" w:space="0" w:color="000000"/>
                                    <w:right w:val="nil"/>
                                  </w:tcBorders>
                                  <w:shd w:val="clear" w:color="F79646" w:fill="F79646"/>
                                  <w:vAlign w:val="center"/>
                                  <w:hideMark/>
                                </w:tcPr>
                                <w:p w:rsidR="00FD5740" w:rsidRPr="00A64D32" w:rsidRDefault="00FD5740"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53" w:type="dxa"/>
                                  <w:gridSpan w:val="2"/>
                                  <w:tcBorders>
                                    <w:top w:val="single" w:sz="8" w:space="0" w:color="auto"/>
                                    <w:left w:val="nil"/>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C97435">
                                    <w:rPr>
                                      <w:rFonts w:ascii="楷体" w:eastAsia="楷体" w:hAnsi="楷体" w:cs="宋体" w:hint="eastAsia"/>
                                      <w:b/>
                                      <w:bCs/>
                                      <w:color w:val="000000"/>
                                      <w:kern w:val="0"/>
                                      <w:sz w:val="18"/>
                                      <w:szCs w:val="16"/>
                                      <w:lang w:val="en-GB"/>
                                    </w:rPr>
                                    <w:t>2015.09.21-2015.09.25</w:t>
                                  </w:r>
                                </w:p>
                              </w:tc>
                            </w:tr>
                            <w:tr w:rsidR="00FD5740" w:rsidRPr="00A64D32" w:rsidTr="00E06260">
                              <w:trPr>
                                <w:trHeight w:val="285"/>
                              </w:trPr>
                              <w:tc>
                                <w:tcPr>
                                  <w:tcW w:w="1134" w:type="dxa"/>
                                  <w:tcBorders>
                                    <w:top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1134" w:type="dxa"/>
                                  <w:gridSpan w:val="2"/>
                                  <w:tcBorders>
                                    <w:top w:val="nil"/>
                                    <w:left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96.26</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1.16</w:t>
                                  </w:r>
                                </w:p>
                              </w:tc>
                            </w:tr>
                            <w:tr w:rsidR="00FD5740" w:rsidRPr="00A64D32" w:rsidTr="009D2B6E">
                              <w:trPr>
                                <w:trHeight w:val="285"/>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122.18</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1.01</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1145.5</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0.56</w:t>
                                  </w:r>
                                </w:p>
                              </w:tc>
                            </w:tr>
                            <w:tr w:rsidR="00FD5740" w:rsidRPr="00A64D32" w:rsidTr="009D2B6E">
                              <w:trPr>
                                <w:trHeight w:val="270"/>
                              </w:trPr>
                              <w:tc>
                                <w:tcPr>
                                  <w:tcW w:w="1134" w:type="dxa"/>
                                  <w:tcBorders>
                                    <w:top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1134" w:type="dxa"/>
                                  <w:gridSpan w:val="2"/>
                                  <w:tcBorders>
                                    <w:top w:val="nil"/>
                                    <w:left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45.34</w:t>
                                  </w:r>
                                </w:p>
                              </w:tc>
                              <w:tc>
                                <w:tcPr>
                                  <w:tcW w:w="1134" w:type="dxa"/>
                                  <w:tcBorders>
                                    <w:top w:val="nil"/>
                                    <w:left w:val="nil"/>
                                    <w:bottom w:val="single" w:sz="8" w:space="0" w:color="auto"/>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0.04</w:t>
                                  </w:r>
                                </w:p>
                              </w:tc>
                            </w:tr>
                          </w:tbl>
                          <w:p w:rsidR="00FD5740" w:rsidRDefault="00FD5740" w:rsidP="005517D6">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5517D6" w:rsidRDefault="00FD5740" w:rsidP="005517D6">
                            <w:pPr>
                              <w:rPr>
                                <w:lang w:val="en-GB"/>
                              </w:rPr>
                            </w:pPr>
                          </w:p>
                          <w:tbl>
                            <w:tblPr>
                              <w:tblW w:w="3402" w:type="dxa"/>
                              <w:tblInd w:w="93"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02"/>
                            </w:tblGrid>
                            <w:tr w:rsidR="00FD5740" w:rsidRPr="00A64D32" w:rsidTr="009D2B6E">
                              <w:trPr>
                                <w:trHeight w:val="435"/>
                              </w:trPr>
                              <w:tc>
                                <w:tcPr>
                                  <w:tcW w:w="3402" w:type="dxa"/>
                                  <w:tcBorders>
                                    <w:left w:val="nil"/>
                                    <w:right w:val="nil"/>
                                  </w:tcBorders>
                                  <w:shd w:val="clear" w:color="F79646" w:fill="F79646"/>
                                  <w:vAlign w:val="center"/>
                                  <w:hideMark/>
                                </w:tcPr>
                                <w:p w:rsidR="00FD5740" w:rsidRDefault="00FD5740" w:rsidP="005517D6">
                                  <w:pPr>
                                    <w:jc w:val="center"/>
                                  </w:pPr>
                                  <w:r w:rsidRPr="00DD0B1C">
                                    <w:rPr>
                                      <w:rFonts w:ascii="Arial" w:cs="Arial" w:hint="eastAsia"/>
                                      <w:b/>
                                      <w:sz w:val="18"/>
                                      <w:szCs w:val="16"/>
                                    </w:rPr>
                                    <w:t>中信一级行业涨跌</w:t>
                                  </w:r>
                                  <w:r w:rsidRPr="00DD0B1C">
                                    <w:rPr>
                                      <w:rFonts w:ascii="Arial" w:cs="Arial" w:hint="eastAsia"/>
                                      <w:b/>
                                      <w:sz w:val="18"/>
                                      <w:szCs w:val="16"/>
                                    </w:rPr>
                                    <w:t xml:space="preserve"> 2015.09.21-09.25</w:t>
                                  </w:r>
                                </w:p>
                              </w:tc>
                            </w:tr>
                            <w:tr w:rsidR="00FD5740" w:rsidRPr="00A64D32" w:rsidTr="009D2B6E">
                              <w:trPr>
                                <w:trHeight w:val="285"/>
                              </w:trPr>
                              <w:tc>
                                <w:tcPr>
                                  <w:tcW w:w="3402" w:type="dxa"/>
                                  <w:shd w:val="clear" w:color="auto" w:fill="auto"/>
                                  <w:vAlign w:val="center"/>
                                  <w:hideMark/>
                                </w:tcPr>
                                <w:p w:rsidR="00FD5740" w:rsidRPr="00A64D32" w:rsidRDefault="00FD5740" w:rsidP="00FD5740">
                                  <w:pPr>
                                    <w:widowControl/>
                                    <w:jc w:val="center"/>
                                    <w:rPr>
                                      <w:rFonts w:ascii="楷体" w:eastAsia="楷体" w:hAnsi="楷体" w:cs="宋体"/>
                                      <w:color w:val="000000"/>
                                      <w:kern w:val="0"/>
                                      <w:sz w:val="16"/>
                                      <w:szCs w:val="16"/>
                                    </w:rPr>
                                  </w:pPr>
                                  <w:r>
                                    <w:rPr>
                                      <w:noProof/>
                                    </w:rPr>
                                    <w:drawing>
                                      <wp:inline distT="0" distB="0" distL="0" distR="0" wp14:anchorId="56A6EAA9" wp14:editId="5C8528CA">
                                        <wp:extent cx="2023586" cy="2966362"/>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167" cy="2973077"/>
                                                </a:xfrm>
                                                <a:prstGeom prst="rect">
                                                  <a:avLst/>
                                                </a:prstGeom>
                                                <a:noFill/>
                                                <a:ln>
                                                  <a:noFill/>
                                                </a:ln>
                                              </pic:spPr>
                                            </pic:pic>
                                          </a:graphicData>
                                        </a:graphic>
                                      </wp:inline>
                                    </w:drawing>
                                  </w:r>
                                </w:p>
                              </w:tc>
                            </w:tr>
                          </w:tbl>
                          <w:p w:rsidR="00FD5740" w:rsidRDefault="00FD5740" w:rsidP="009D2B6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9D2B6E" w:rsidRDefault="00FD5740" w:rsidP="005517D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7" type="#_x0000_t202" style="position:absolute;left:0;text-align:left;margin-left:32.85pt;margin-top:-.15pt;width:184.25pt;height:694.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" o:allowoverlap="f" stroked="f">
                <v:textbox>
                  <w:txbxContent>
                    <w:tbl>
                      <w:tblPr>
                        <w:tblW w:w="3402" w:type="dxa"/>
                        <w:tblInd w:w="93" w:type="dxa"/>
                        <w:tblLayout w:type="fixed"/>
                        <w:tblLook w:val="04A0" w:firstRow="1" w:lastRow="0" w:firstColumn="1" w:lastColumn="0" w:noHBand="0" w:noVBand="1"/>
                      </w:tblPr>
                      <w:tblGrid>
                        <w:gridCol w:w="1134"/>
                        <w:gridCol w:w="15"/>
                        <w:gridCol w:w="1119"/>
                        <w:gridCol w:w="1134"/>
                      </w:tblGrid>
                      <w:tr w:rsidR="00FD5740" w:rsidRPr="00A64D32" w:rsidTr="009D2B6E">
                        <w:trPr>
                          <w:trHeight w:val="417"/>
                        </w:trPr>
                        <w:tc>
                          <w:tcPr>
                            <w:tcW w:w="1149" w:type="dxa"/>
                            <w:gridSpan w:val="2"/>
                            <w:tcBorders>
                              <w:top w:val="single" w:sz="8" w:space="0" w:color="000000"/>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国内市场</w:t>
                            </w:r>
                          </w:p>
                        </w:tc>
                        <w:tc>
                          <w:tcPr>
                            <w:tcW w:w="2253" w:type="dxa"/>
                            <w:gridSpan w:val="2"/>
                            <w:tcBorders>
                              <w:top w:val="single" w:sz="8" w:space="0" w:color="000000"/>
                              <w:left w:val="nil"/>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lang w:val="en-GB"/>
                              </w:rPr>
                              <w:t>2015.09.21-2015.09.25</w:t>
                            </w:r>
                          </w:p>
                        </w:tc>
                      </w:tr>
                      <w:tr w:rsidR="00FD5740" w:rsidRPr="00A64D32" w:rsidTr="003175BA">
                        <w:trPr>
                          <w:trHeight w:val="283"/>
                        </w:trPr>
                        <w:tc>
                          <w:tcPr>
                            <w:tcW w:w="1134" w:type="dxa"/>
                            <w:tcBorders>
                              <w:top w:val="nil"/>
                              <w:bottom w:val="single" w:sz="8" w:space="0" w:color="000000"/>
                              <w:right w:val="single" w:sz="8" w:space="0" w:color="000000"/>
                            </w:tcBorders>
                            <w:shd w:val="clear" w:color="auto" w:fill="FFFFFF" w:themeFill="background1"/>
                            <w:vAlign w:val="center"/>
                          </w:tcPr>
                          <w:p w:rsidR="00FD5740" w:rsidRPr="003175BA" w:rsidRDefault="00FD5740"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1134" w:type="dxa"/>
                            <w:gridSpan w:val="2"/>
                            <w:tcBorders>
                              <w:top w:val="nil"/>
                              <w:left w:val="nil"/>
                              <w:bottom w:val="single" w:sz="8" w:space="0" w:color="000000"/>
                              <w:right w:val="single" w:sz="8" w:space="0" w:color="000000"/>
                            </w:tcBorders>
                            <w:shd w:val="clear" w:color="auto" w:fill="FFFFFF" w:themeFill="background1"/>
                            <w:vAlign w:val="center"/>
                          </w:tcPr>
                          <w:p w:rsidR="00FD5740" w:rsidRPr="003175BA" w:rsidRDefault="00FD5740" w:rsidP="003175BA">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FFFFFF" w:themeFill="background1"/>
                            <w:vAlign w:val="center"/>
                          </w:tcPr>
                          <w:p w:rsidR="00FD5740" w:rsidRPr="003175BA" w:rsidRDefault="00FD5740" w:rsidP="003175BA">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D5740" w:rsidRPr="00A64D32" w:rsidTr="009D2B6E">
                        <w:trPr>
                          <w:trHeight w:val="283"/>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上证综指</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3092.35</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-0.18</w:t>
                            </w:r>
                          </w:p>
                        </w:tc>
                      </w:tr>
                      <w:tr w:rsidR="00FD5740" w:rsidRPr="00A64D32" w:rsidTr="009D2B6E">
                        <w:trPr>
                          <w:trHeight w:val="283"/>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沪深300</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3231.95</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-0.59</w:t>
                            </w:r>
                          </w:p>
                        </w:tc>
                      </w:tr>
                      <w:tr w:rsidR="00FD5740" w:rsidRPr="00A64D32" w:rsidTr="009D2B6E">
                        <w:trPr>
                          <w:trHeight w:val="283"/>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中小板指</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6708.31</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1.4</w:t>
                            </w:r>
                          </w:p>
                        </w:tc>
                      </w:tr>
                      <w:tr w:rsidR="00FD5740" w:rsidRPr="00A64D32" w:rsidTr="009D2B6E">
                        <w:trPr>
                          <w:trHeight w:val="283"/>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创业板指</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2020.97</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1.9</w:t>
                            </w:r>
                          </w:p>
                        </w:tc>
                      </w:tr>
                      <w:tr w:rsidR="00FD5740" w:rsidRPr="00A64D32" w:rsidTr="009D2B6E">
                        <w:trPr>
                          <w:trHeight w:val="283"/>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中证国债</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161.05</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w:t>
                            </w:r>
                          </w:p>
                        </w:tc>
                      </w:tr>
                      <w:tr w:rsidR="00FD5740" w:rsidRPr="00A64D32" w:rsidTr="009D2B6E">
                        <w:trPr>
                          <w:trHeight w:val="283"/>
                        </w:trPr>
                        <w:tc>
                          <w:tcPr>
                            <w:tcW w:w="1134" w:type="dxa"/>
                            <w:tcBorders>
                              <w:top w:val="nil"/>
                              <w:bottom w:val="single" w:sz="8" w:space="0" w:color="auto"/>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中</w:t>
                            </w:r>
                            <w:proofErr w:type="gramStart"/>
                            <w:r w:rsidRPr="00A64D32">
                              <w:rPr>
                                <w:rFonts w:ascii="楷体" w:eastAsia="楷体" w:hAnsi="楷体" w:cs="宋体" w:hint="eastAsia"/>
                                <w:color w:val="000000"/>
                                <w:kern w:val="0"/>
                                <w:sz w:val="16"/>
                                <w:szCs w:val="16"/>
                              </w:rPr>
                              <w:t>证全债</w:t>
                            </w:r>
                            <w:proofErr w:type="gramEnd"/>
                          </w:p>
                        </w:tc>
                        <w:tc>
                          <w:tcPr>
                            <w:tcW w:w="1134" w:type="dxa"/>
                            <w:gridSpan w:val="2"/>
                            <w:tcBorders>
                              <w:top w:val="nil"/>
                              <w:left w:val="nil"/>
                              <w:bottom w:val="single" w:sz="8" w:space="0" w:color="auto"/>
                              <w:right w:val="single" w:sz="8" w:space="0" w:color="000000"/>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167.26</w:t>
                            </w:r>
                          </w:p>
                        </w:tc>
                        <w:tc>
                          <w:tcPr>
                            <w:tcW w:w="1134" w:type="dxa"/>
                            <w:tcBorders>
                              <w:top w:val="nil"/>
                              <w:left w:val="nil"/>
                              <w:bottom w:val="single" w:sz="8" w:space="0" w:color="auto"/>
                              <w:right w:val="nil"/>
                            </w:tcBorders>
                            <w:shd w:val="clear" w:color="auto" w:fill="auto"/>
                            <w:vAlign w:val="center"/>
                            <w:hideMark/>
                          </w:tcPr>
                          <w:p w:rsidR="00FD5740" w:rsidRPr="00A64D32" w:rsidRDefault="00FD5740" w:rsidP="005517D6">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0.01</w:t>
                            </w:r>
                          </w:p>
                        </w:tc>
                      </w:tr>
                      <w:tr w:rsidR="00FD5740" w:rsidRPr="00A64D32" w:rsidTr="009D2B6E">
                        <w:trPr>
                          <w:trHeight w:val="435"/>
                        </w:trPr>
                        <w:tc>
                          <w:tcPr>
                            <w:tcW w:w="1149" w:type="dxa"/>
                            <w:gridSpan w:val="2"/>
                            <w:tcBorders>
                              <w:top w:val="single" w:sz="8" w:space="0" w:color="000000"/>
                              <w:bottom w:val="single" w:sz="8" w:space="0" w:color="000000"/>
                              <w:right w:val="nil"/>
                            </w:tcBorders>
                            <w:shd w:val="clear" w:color="F79646" w:fill="F79646"/>
                            <w:vAlign w:val="center"/>
                            <w:hideMark/>
                          </w:tcPr>
                          <w:p w:rsidR="00FD5740" w:rsidRPr="00A64D32" w:rsidRDefault="00FD5740"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海外市场</w:t>
                            </w:r>
                          </w:p>
                        </w:tc>
                        <w:tc>
                          <w:tcPr>
                            <w:tcW w:w="2253" w:type="dxa"/>
                            <w:gridSpan w:val="2"/>
                            <w:tcBorders>
                              <w:top w:val="single" w:sz="8" w:space="0" w:color="auto"/>
                              <w:left w:val="nil"/>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lang w:val="en-GB"/>
                              </w:rPr>
                              <w:t>2015.09.18-2015.09.24</w:t>
                            </w:r>
                          </w:p>
                        </w:tc>
                      </w:tr>
                      <w:tr w:rsidR="00FD5740" w:rsidRPr="00A64D32" w:rsidTr="00E06260">
                        <w:trPr>
                          <w:trHeight w:val="285"/>
                        </w:trPr>
                        <w:tc>
                          <w:tcPr>
                            <w:tcW w:w="1134" w:type="dxa"/>
                            <w:tcBorders>
                              <w:top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1134" w:type="dxa"/>
                            <w:gridSpan w:val="2"/>
                            <w:tcBorders>
                              <w:top w:val="nil"/>
                              <w:left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纳斯达克100</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4261.1</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-2.82</w:t>
                            </w:r>
                          </w:p>
                        </w:tc>
                      </w:tr>
                      <w:tr w:rsidR="00FD5740" w:rsidRPr="00A64D32" w:rsidTr="009D2B6E">
                        <w:trPr>
                          <w:trHeight w:val="285"/>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proofErr w:type="gramStart"/>
                            <w:r w:rsidRPr="00A64D32">
                              <w:rPr>
                                <w:rFonts w:ascii="楷体" w:eastAsia="楷体" w:hAnsi="楷体" w:cs="宋体" w:hint="eastAsia"/>
                                <w:color w:val="000000"/>
                                <w:kern w:val="0"/>
                                <w:sz w:val="16"/>
                                <w:szCs w:val="16"/>
                              </w:rPr>
                              <w:t>标普</w:t>
                            </w:r>
                            <w:proofErr w:type="gramEnd"/>
                            <w:r w:rsidRPr="00A64D32">
                              <w:rPr>
                                <w:rFonts w:ascii="楷体" w:eastAsia="楷体" w:hAnsi="楷体" w:cs="宋体" w:hint="eastAsia"/>
                                <w:color w:val="000000"/>
                                <w:kern w:val="0"/>
                                <w:sz w:val="16"/>
                                <w:szCs w:val="16"/>
                              </w:rPr>
                              <w:t>500</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1932.24</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-2.91</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道琼</w:t>
                            </w:r>
                            <w:proofErr w:type="gramStart"/>
                            <w:r w:rsidRPr="00A64D32">
                              <w:rPr>
                                <w:rFonts w:ascii="楷体" w:eastAsia="楷体" w:hAnsi="楷体" w:cs="宋体" w:hint="eastAsia"/>
                                <w:color w:val="000000"/>
                                <w:kern w:val="0"/>
                                <w:sz w:val="16"/>
                                <w:szCs w:val="16"/>
                              </w:rPr>
                              <w:t>斯工指</w:t>
                            </w:r>
                            <w:proofErr w:type="gramEnd"/>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16201.32</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-2.84</w:t>
                            </w:r>
                          </w:p>
                        </w:tc>
                      </w:tr>
                      <w:tr w:rsidR="00FD5740" w:rsidRPr="00A64D32" w:rsidTr="009D2B6E">
                        <w:trPr>
                          <w:trHeight w:val="285"/>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恒生指数</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21095.98</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-3.47</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日经225</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17571.83</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-4.67</w:t>
                            </w:r>
                          </w:p>
                        </w:tc>
                      </w:tr>
                      <w:tr w:rsidR="00FD5740" w:rsidRPr="00A64D32" w:rsidTr="009D2B6E">
                        <w:trPr>
                          <w:trHeight w:val="435"/>
                        </w:trPr>
                        <w:tc>
                          <w:tcPr>
                            <w:tcW w:w="1134" w:type="dxa"/>
                            <w:tcBorders>
                              <w:top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泛欧斯托克600</w:t>
                            </w:r>
                          </w:p>
                        </w:tc>
                        <w:tc>
                          <w:tcPr>
                            <w:tcW w:w="1134" w:type="dxa"/>
                            <w:gridSpan w:val="2"/>
                            <w:tcBorders>
                              <w:top w:val="nil"/>
                              <w:left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339.63</w:t>
                            </w:r>
                          </w:p>
                        </w:tc>
                        <w:tc>
                          <w:tcPr>
                            <w:tcW w:w="1134" w:type="dxa"/>
                            <w:tcBorders>
                              <w:top w:val="nil"/>
                              <w:left w:val="nil"/>
                              <w:bottom w:val="single" w:sz="8" w:space="0" w:color="auto"/>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-5.97</w:t>
                            </w:r>
                          </w:p>
                        </w:tc>
                      </w:tr>
                      <w:tr w:rsidR="00FD5740" w:rsidRPr="00A64D32" w:rsidTr="009D2B6E">
                        <w:trPr>
                          <w:trHeight w:val="435"/>
                        </w:trPr>
                        <w:tc>
                          <w:tcPr>
                            <w:tcW w:w="1149" w:type="dxa"/>
                            <w:gridSpan w:val="2"/>
                            <w:tcBorders>
                              <w:top w:val="single" w:sz="8" w:space="0" w:color="000000"/>
                              <w:bottom w:val="single" w:sz="8" w:space="0" w:color="000000"/>
                              <w:right w:val="nil"/>
                            </w:tcBorders>
                            <w:shd w:val="clear" w:color="F79646" w:fill="F79646"/>
                            <w:vAlign w:val="center"/>
                            <w:hideMark/>
                          </w:tcPr>
                          <w:p w:rsidR="00FD5740" w:rsidRPr="00A64D32" w:rsidRDefault="00FD5740" w:rsidP="00A64D32">
                            <w:pPr>
                              <w:widowControl/>
                              <w:jc w:val="center"/>
                              <w:rPr>
                                <w:rFonts w:ascii="楷体" w:eastAsia="楷体" w:hAnsi="楷体" w:cs="宋体"/>
                                <w:b/>
                                <w:bCs/>
                                <w:color w:val="000000"/>
                                <w:kern w:val="0"/>
                                <w:sz w:val="18"/>
                                <w:szCs w:val="16"/>
                              </w:rPr>
                            </w:pPr>
                            <w:r w:rsidRPr="00A64D32">
                              <w:rPr>
                                <w:rFonts w:ascii="楷体" w:eastAsia="楷体" w:hAnsi="楷体" w:cs="宋体" w:hint="eastAsia"/>
                                <w:b/>
                                <w:bCs/>
                                <w:color w:val="000000"/>
                                <w:kern w:val="0"/>
                                <w:sz w:val="18"/>
                                <w:szCs w:val="16"/>
                              </w:rPr>
                              <w:t>其他</w:t>
                            </w:r>
                          </w:p>
                        </w:tc>
                        <w:tc>
                          <w:tcPr>
                            <w:tcW w:w="2253" w:type="dxa"/>
                            <w:gridSpan w:val="2"/>
                            <w:tcBorders>
                              <w:top w:val="single" w:sz="8" w:space="0" w:color="auto"/>
                              <w:left w:val="nil"/>
                              <w:bottom w:val="single" w:sz="8" w:space="0" w:color="000000"/>
                              <w:right w:val="nil"/>
                            </w:tcBorders>
                            <w:shd w:val="clear" w:color="F79646" w:fill="F79646"/>
                            <w:vAlign w:val="center"/>
                            <w:hideMark/>
                          </w:tcPr>
                          <w:p w:rsidR="00FD5740" w:rsidRPr="00A64D32" w:rsidRDefault="00FD5740" w:rsidP="005517D6">
                            <w:pPr>
                              <w:widowControl/>
                              <w:jc w:val="center"/>
                              <w:rPr>
                                <w:rFonts w:ascii="楷体" w:eastAsia="楷体" w:hAnsi="楷体" w:cs="宋体"/>
                                <w:b/>
                                <w:bCs/>
                                <w:color w:val="000000"/>
                                <w:kern w:val="0"/>
                                <w:sz w:val="18"/>
                                <w:szCs w:val="16"/>
                              </w:rPr>
                            </w:pPr>
                            <w:r w:rsidRPr="00C97435">
                              <w:rPr>
                                <w:rFonts w:ascii="楷体" w:eastAsia="楷体" w:hAnsi="楷体" w:cs="宋体" w:hint="eastAsia"/>
                                <w:b/>
                                <w:bCs/>
                                <w:color w:val="000000"/>
                                <w:kern w:val="0"/>
                                <w:sz w:val="18"/>
                                <w:szCs w:val="16"/>
                                <w:lang w:val="en-GB"/>
                              </w:rPr>
                              <w:t>2015.09.21-2015.09.25</w:t>
                            </w:r>
                          </w:p>
                        </w:tc>
                      </w:tr>
                      <w:tr w:rsidR="00FD5740" w:rsidRPr="00A64D32" w:rsidTr="00E06260">
                        <w:trPr>
                          <w:trHeight w:val="285"/>
                        </w:trPr>
                        <w:tc>
                          <w:tcPr>
                            <w:tcW w:w="1134" w:type="dxa"/>
                            <w:tcBorders>
                              <w:top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指数名称</w:t>
                            </w:r>
                          </w:p>
                        </w:tc>
                        <w:tc>
                          <w:tcPr>
                            <w:tcW w:w="1134" w:type="dxa"/>
                            <w:gridSpan w:val="2"/>
                            <w:tcBorders>
                              <w:top w:val="nil"/>
                              <w:left w:val="nil"/>
                              <w:bottom w:val="single" w:sz="8" w:space="0" w:color="000000"/>
                              <w:right w:val="single" w:sz="8" w:space="0" w:color="000000"/>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r w:rsidRPr="003175BA">
                              <w:rPr>
                                <w:rFonts w:ascii="楷体" w:eastAsia="楷体" w:hAnsi="楷体" w:cs="宋体" w:hint="eastAsia"/>
                                <w:b/>
                                <w:color w:val="000000"/>
                                <w:kern w:val="0"/>
                                <w:sz w:val="16"/>
                                <w:szCs w:val="16"/>
                              </w:rPr>
                              <w:t>收盘</w:t>
                            </w:r>
                          </w:p>
                        </w:tc>
                        <w:tc>
                          <w:tcPr>
                            <w:tcW w:w="1134" w:type="dxa"/>
                            <w:tcBorders>
                              <w:top w:val="nil"/>
                              <w:left w:val="nil"/>
                              <w:bottom w:val="single" w:sz="8" w:space="0" w:color="000000"/>
                              <w:right w:val="nil"/>
                            </w:tcBorders>
                            <w:shd w:val="clear" w:color="auto" w:fill="auto"/>
                            <w:vAlign w:val="center"/>
                          </w:tcPr>
                          <w:p w:rsidR="00FD5740" w:rsidRPr="003175BA" w:rsidRDefault="00FD5740" w:rsidP="00FD5740">
                            <w:pPr>
                              <w:widowControl/>
                              <w:jc w:val="center"/>
                              <w:rPr>
                                <w:rFonts w:ascii="楷体" w:eastAsia="楷体" w:hAnsi="楷体" w:cs="宋体"/>
                                <w:b/>
                                <w:color w:val="000000"/>
                                <w:kern w:val="0"/>
                                <w:sz w:val="16"/>
                                <w:szCs w:val="16"/>
                              </w:rPr>
                            </w:pPr>
                            <w:proofErr w:type="gramStart"/>
                            <w:r w:rsidRPr="003175BA">
                              <w:rPr>
                                <w:rFonts w:ascii="楷体" w:eastAsia="楷体" w:hAnsi="楷体" w:cs="宋体" w:hint="eastAsia"/>
                                <w:b/>
                                <w:color w:val="000000"/>
                                <w:kern w:val="0"/>
                                <w:sz w:val="16"/>
                                <w:szCs w:val="16"/>
                              </w:rPr>
                              <w:t>区间涨幅</w:t>
                            </w:r>
                            <w:proofErr w:type="gramEnd"/>
                            <w:r w:rsidRPr="003175BA">
                              <w:rPr>
                                <w:rFonts w:ascii="楷体" w:eastAsia="楷体" w:hAnsi="楷体" w:cs="宋体" w:hint="eastAsia"/>
                                <w:b/>
                                <w:color w:val="000000"/>
                                <w:kern w:val="0"/>
                                <w:sz w:val="16"/>
                                <w:szCs w:val="16"/>
                              </w:rPr>
                              <w:t xml:space="preserve"> %</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美元指数</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96.26</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1.16</w:t>
                            </w:r>
                          </w:p>
                        </w:tc>
                      </w:tr>
                      <w:tr w:rsidR="00FD5740" w:rsidRPr="00A64D32" w:rsidTr="009D2B6E">
                        <w:trPr>
                          <w:trHeight w:val="285"/>
                        </w:trPr>
                        <w:tc>
                          <w:tcPr>
                            <w:tcW w:w="1134" w:type="dxa"/>
                            <w:tcBorders>
                              <w:top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人民币指数</w:t>
                            </w:r>
                          </w:p>
                        </w:tc>
                        <w:tc>
                          <w:tcPr>
                            <w:tcW w:w="1134" w:type="dxa"/>
                            <w:gridSpan w:val="2"/>
                            <w:tcBorders>
                              <w:top w:val="nil"/>
                              <w:left w:val="nil"/>
                              <w:bottom w:val="single" w:sz="8" w:space="0" w:color="000000"/>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122.18</w:t>
                            </w:r>
                          </w:p>
                        </w:tc>
                        <w:tc>
                          <w:tcPr>
                            <w:tcW w:w="1134" w:type="dxa"/>
                            <w:tcBorders>
                              <w:top w:val="nil"/>
                              <w:left w:val="nil"/>
                              <w:bottom w:val="single" w:sz="8" w:space="0" w:color="000000"/>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1.01</w:t>
                            </w:r>
                          </w:p>
                        </w:tc>
                      </w:tr>
                      <w:tr w:rsidR="00FD5740" w:rsidRPr="00A64D32" w:rsidTr="009D2B6E">
                        <w:trPr>
                          <w:trHeight w:val="285"/>
                        </w:trPr>
                        <w:tc>
                          <w:tcPr>
                            <w:tcW w:w="1134" w:type="dxa"/>
                            <w:tcBorders>
                              <w:top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COMEX黄金</w:t>
                            </w:r>
                          </w:p>
                        </w:tc>
                        <w:tc>
                          <w:tcPr>
                            <w:tcW w:w="1134" w:type="dxa"/>
                            <w:gridSpan w:val="2"/>
                            <w:tcBorders>
                              <w:top w:val="nil"/>
                              <w:left w:val="nil"/>
                              <w:bottom w:val="single" w:sz="8" w:space="0" w:color="000000"/>
                              <w:right w:val="single" w:sz="8" w:space="0" w:color="000000"/>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1145.5</w:t>
                            </w:r>
                          </w:p>
                        </w:tc>
                        <w:tc>
                          <w:tcPr>
                            <w:tcW w:w="1134" w:type="dxa"/>
                            <w:tcBorders>
                              <w:top w:val="nil"/>
                              <w:left w:val="nil"/>
                              <w:bottom w:val="single" w:sz="8" w:space="0" w:color="000000"/>
                              <w:right w:val="nil"/>
                            </w:tcBorders>
                            <w:shd w:val="clear" w:color="D9D9D9" w:fill="D9D9D9"/>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0.56</w:t>
                            </w:r>
                          </w:p>
                        </w:tc>
                      </w:tr>
                      <w:tr w:rsidR="00FD5740" w:rsidRPr="00A64D32" w:rsidTr="009D2B6E">
                        <w:trPr>
                          <w:trHeight w:val="270"/>
                        </w:trPr>
                        <w:tc>
                          <w:tcPr>
                            <w:tcW w:w="1134" w:type="dxa"/>
                            <w:tcBorders>
                              <w:top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lang w:val="en-GB"/>
                              </w:rPr>
                              <w:t>NYMEX原油</w:t>
                            </w:r>
                          </w:p>
                        </w:tc>
                        <w:tc>
                          <w:tcPr>
                            <w:tcW w:w="1134" w:type="dxa"/>
                            <w:gridSpan w:val="2"/>
                            <w:tcBorders>
                              <w:top w:val="nil"/>
                              <w:left w:val="nil"/>
                              <w:bottom w:val="single" w:sz="8" w:space="0" w:color="auto"/>
                              <w:right w:val="single" w:sz="8" w:space="0" w:color="000000"/>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45.34</w:t>
                            </w:r>
                          </w:p>
                        </w:tc>
                        <w:tc>
                          <w:tcPr>
                            <w:tcW w:w="1134" w:type="dxa"/>
                            <w:tcBorders>
                              <w:top w:val="nil"/>
                              <w:left w:val="nil"/>
                              <w:bottom w:val="single" w:sz="8" w:space="0" w:color="auto"/>
                              <w:right w:val="nil"/>
                            </w:tcBorders>
                            <w:shd w:val="clear" w:color="auto" w:fill="auto"/>
                            <w:vAlign w:val="center"/>
                            <w:hideMark/>
                          </w:tcPr>
                          <w:p w:rsidR="00FD5740" w:rsidRPr="00A64D32" w:rsidRDefault="00FD5740" w:rsidP="00A64D32">
                            <w:pPr>
                              <w:widowControl/>
                              <w:jc w:val="center"/>
                              <w:rPr>
                                <w:rFonts w:ascii="楷体" w:eastAsia="楷体" w:hAnsi="楷体" w:cs="宋体"/>
                                <w:color w:val="000000"/>
                                <w:kern w:val="0"/>
                                <w:sz w:val="16"/>
                                <w:szCs w:val="16"/>
                              </w:rPr>
                            </w:pPr>
                            <w:r w:rsidRPr="00A64D32">
                              <w:rPr>
                                <w:rFonts w:ascii="楷体" w:eastAsia="楷体" w:hAnsi="楷体" w:cs="宋体" w:hint="eastAsia"/>
                                <w:color w:val="000000"/>
                                <w:kern w:val="0"/>
                                <w:sz w:val="16"/>
                                <w:szCs w:val="16"/>
                              </w:rPr>
                              <w:t>0.04</w:t>
                            </w:r>
                          </w:p>
                        </w:tc>
                      </w:tr>
                    </w:tbl>
                    <w:p w:rsidR="00FD5740" w:rsidRDefault="00FD5740" w:rsidP="005517D6">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5517D6" w:rsidRDefault="00FD5740" w:rsidP="005517D6">
                      <w:pPr>
                        <w:rPr>
                          <w:lang w:val="en-GB"/>
                        </w:rPr>
                      </w:pPr>
                    </w:p>
                    <w:tbl>
                      <w:tblPr>
                        <w:tblW w:w="3402" w:type="dxa"/>
                        <w:tblInd w:w="93" w:type="dxa"/>
                        <w:tblBorders>
                          <w:top w:val="single" w:sz="8" w:space="0" w:color="000000"/>
                          <w:left w:val="single" w:sz="4" w:space="0" w:color="auto"/>
                          <w:bottom w:val="single" w:sz="8" w:space="0" w:color="000000"/>
                          <w:right w:val="single" w:sz="4" w:space="0" w:color="auto"/>
                          <w:insideH w:val="single" w:sz="8" w:space="0" w:color="000000"/>
                          <w:insideV w:val="single" w:sz="8" w:space="0" w:color="000000"/>
                        </w:tblBorders>
                        <w:tblLayout w:type="fixed"/>
                        <w:tblLook w:val="04A0" w:firstRow="1" w:lastRow="0" w:firstColumn="1" w:lastColumn="0" w:noHBand="0" w:noVBand="1"/>
                      </w:tblPr>
                      <w:tblGrid>
                        <w:gridCol w:w="3402"/>
                      </w:tblGrid>
                      <w:tr w:rsidR="00FD5740" w:rsidRPr="00A64D32" w:rsidTr="009D2B6E">
                        <w:trPr>
                          <w:trHeight w:val="435"/>
                        </w:trPr>
                        <w:tc>
                          <w:tcPr>
                            <w:tcW w:w="3402" w:type="dxa"/>
                            <w:tcBorders>
                              <w:left w:val="nil"/>
                              <w:right w:val="nil"/>
                            </w:tcBorders>
                            <w:shd w:val="clear" w:color="F79646" w:fill="F79646"/>
                            <w:vAlign w:val="center"/>
                            <w:hideMark/>
                          </w:tcPr>
                          <w:p w:rsidR="00FD5740" w:rsidRDefault="00FD5740" w:rsidP="005517D6">
                            <w:pPr>
                              <w:jc w:val="center"/>
                            </w:pPr>
                            <w:r w:rsidRPr="00DD0B1C">
                              <w:rPr>
                                <w:rFonts w:ascii="Arial" w:cs="Arial" w:hint="eastAsia"/>
                                <w:b/>
                                <w:sz w:val="18"/>
                                <w:szCs w:val="16"/>
                              </w:rPr>
                              <w:t>中信一级行业涨跌</w:t>
                            </w:r>
                            <w:r w:rsidRPr="00DD0B1C">
                              <w:rPr>
                                <w:rFonts w:ascii="Arial" w:cs="Arial" w:hint="eastAsia"/>
                                <w:b/>
                                <w:sz w:val="18"/>
                                <w:szCs w:val="16"/>
                              </w:rPr>
                              <w:t xml:space="preserve"> 2015.09.21-09.25</w:t>
                            </w:r>
                          </w:p>
                        </w:tc>
                      </w:tr>
                      <w:tr w:rsidR="00FD5740" w:rsidRPr="00A64D32" w:rsidTr="009D2B6E">
                        <w:trPr>
                          <w:trHeight w:val="285"/>
                        </w:trPr>
                        <w:tc>
                          <w:tcPr>
                            <w:tcW w:w="3402" w:type="dxa"/>
                            <w:shd w:val="clear" w:color="auto" w:fill="auto"/>
                            <w:vAlign w:val="center"/>
                            <w:hideMark/>
                          </w:tcPr>
                          <w:p w:rsidR="00FD5740" w:rsidRPr="00A64D32" w:rsidRDefault="00FD5740" w:rsidP="00FD5740">
                            <w:pPr>
                              <w:widowControl/>
                              <w:jc w:val="center"/>
                              <w:rPr>
                                <w:rFonts w:ascii="楷体" w:eastAsia="楷体" w:hAnsi="楷体" w:cs="宋体"/>
                                <w:color w:val="000000"/>
                                <w:kern w:val="0"/>
                                <w:sz w:val="16"/>
                                <w:szCs w:val="16"/>
                              </w:rPr>
                            </w:pPr>
                            <w:r>
                              <w:rPr>
                                <w:noProof/>
                              </w:rPr>
                              <w:drawing>
                                <wp:inline distT="0" distB="0" distL="0" distR="0" wp14:anchorId="56A6EAA9" wp14:editId="5C8528CA">
                                  <wp:extent cx="2023586" cy="2966362"/>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167" cy="2973077"/>
                                          </a:xfrm>
                                          <a:prstGeom prst="rect">
                                            <a:avLst/>
                                          </a:prstGeom>
                                          <a:noFill/>
                                          <a:ln>
                                            <a:noFill/>
                                          </a:ln>
                                        </pic:spPr>
                                      </pic:pic>
                                    </a:graphicData>
                                  </a:graphic>
                                </wp:inline>
                              </w:drawing>
                            </w:r>
                          </w:p>
                        </w:tc>
                      </w:tr>
                    </w:tbl>
                    <w:p w:rsidR="00FD5740" w:rsidRDefault="00FD5740" w:rsidP="009D2B6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9D2B6E" w:rsidRDefault="00FD5740" w:rsidP="005517D6">
                      <w:pPr>
                        <w:rPr>
                          <w:lang w:val="en-GB"/>
                        </w:rPr>
                      </w:pPr>
                    </w:p>
                  </w:txbxContent>
                </v:textbox>
                <w10:wrap anchorx="page"/>
              </v:shape>
            </w:pict>
          </mc:Fallback>
        </mc:AlternateContent>
      </w:r>
      <w:r w:rsidR="001B0255" w:rsidRPr="00C97435">
        <w:rPr>
          <w:rFonts w:ascii="Arial" w:hAnsi="Arial" w:cs="Arial"/>
          <w:b/>
          <w:color w:val="996600"/>
          <w:sz w:val="32"/>
          <w:szCs w:val="28"/>
        </w:rPr>
        <w:t>一周</w:t>
      </w:r>
      <w:r w:rsidR="00921CE9" w:rsidRPr="00C97435">
        <w:rPr>
          <w:rFonts w:ascii="Arial" w:hAnsi="Arial" w:cs="Arial"/>
          <w:b/>
          <w:color w:val="996600"/>
          <w:sz w:val="32"/>
          <w:szCs w:val="28"/>
        </w:rPr>
        <w:t>资本市场回顾</w:t>
      </w:r>
      <w:bookmarkEnd w:id="1"/>
    </w:p>
    <w:p w:rsidR="00921CE9" w:rsidRPr="00C97435" w:rsidRDefault="001B0255"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A</w:t>
      </w:r>
      <w:r w:rsidR="00921CE9" w:rsidRPr="00C97435">
        <w:rPr>
          <w:rFonts w:ascii="Arial" w:eastAsia="楷体_GB2312" w:hAnsi="Arial" w:cs="Arial"/>
          <w:b/>
          <w:bCs/>
          <w:color w:val="002060"/>
          <w:kern w:val="0"/>
          <w:sz w:val="24"/>
          <w:szCs w:val="13"/>
        </w:rPr>
        <w:t>股票市场</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上周，两市成交量继续萎缩，指数横盘整理，大盘跌速较大。消息面上，</w:t>
      </w:r>
      <w:proofErr w:type="gramStart"/>
      <w:r w:rsidRPr="00C97435">
        <w:rPr>
          <w:rFonts w:ascii="Arial" w:eastAsia="楷体_GB2312" w:hAnsi="Arial" w:cs="Arial"/>
          <w:color w:val="auto"/>
          <w:sz w:val="20"/>
          <w:szCs w:val="20"/>
        </w:rPr>
        <w:t>9</w:t>
      </w:r>
      <w:r w:rsidRPr="00C97435">
        <w:rPr>
          <w:rFonts w:ascii="Arial" w:eastAsia="楷体_GB2312" w:hAnsi="Arial" w:cs="Arial"/>
          <w:color w:val="auto"/>
          <w:sz w:val="20"/>
          <w:szCs w:val="20"/>
        </w:rPr>
        <w:t>月财新制造业</w:t>
      </w:r>
      <w:proofErr w:type="gramEnd"/>
      <w:r w:rsidRPr="00C97435">
        <w:rPr>
          <w:rFonts w:ascii="Arial" w:eastAsia="楷体_GB2312" w:hAnsi="Arial" w:cs="Arial"/>
          <w:color w:val="auto"/>
          <w:sz w:val="20"/>
          <w:szCs w:val="20"/>
        </w:rPr>
        <w:t>PMI</w:t>
      </w:r>
      <w:r w:rsidRPr="00C97435">
        <w:rPr>
          <w:rFonts w:ascii="Arial" w:eastAsia="楷体_GB2312" w:hAnsi="Arial" w:cs="Arial"/>
          <w:color w:val="auto"/>
          <w:sz w:val="20"/>
          <w:szCs w:val="20"/>
        </w:rPr>
        <w:t>初值降至</w:t>
      </w:r>
      <w:r w:rsidRPr="00C97435">
        <w:rPr>
          <w:rFonts w:ascii="Arial" w:eastAsia="楷体_GB2312" w:hAnsi="Arial" w:cs="Arial"/>
          <w:color w:val="auto"/>
          <w:sz w:val="20"/>
          <w:szCs w:val="20"/>
        </w:rPr>
        <w:t>47</w:t>
      </w:r>
      <w:r w:rsidRPr="00C97435">
        <w:rPr>
          <w:rFonts w:ascii="Arial" w:eastAsia="楷体_GB2312" w:hAnsi="Arial" w:cs="Arial"/>
          <w:color w:val="auto"/>
          <w:sz w:val="20"/>
          <w:szCs w:val="20"/>
        </w:rPr>
        <w:t>，创下</w:t>
      </w:r>
      <w:r w:rsidRPr="00C97435">
        <w:rPr>
          <w:rFonts w:ascii="Arial" w:eastAsia="楷体_GB2312" w:hAnsi="Arial" w:cs="Arial"/>
          <w:color w:val="auto"/>
          <w:sz w:val="20"/>
          <w:szCs w:val="20"/>
        </w:rPr>
        <w:t>6</w:t>
      </w:r>
      <w:r w:rsidRPr="00C97435">
        <w:rPr>
          <w:rFonts w:ascii="Arial" w:eastAsia="楷体_GB2312" w:hAnsi="Arial" w:cs="Arial"/>
          <w:color w:val="auto"/>
          <w:sz w:val="20"/>
          <w:szCs w:val="20"/>
        </w:rPr>
        <w:t>年半新低。欧美市场暴跌使得</w:t>
      </w:r>
      <w:r w:rsidRPr="00C97435">
        <w:rPr>
          <w:rFonts w:ascii="Arial" w:eastAsia="楷体_GB2312" w:hAnsi="Arial" w:cs="Arial"/>
          <w:color w:val="auto"/>
          <w:sz w:val="20"/>
          <w:szCs w:val="20"/>
        </w:rPr>
        <w:t>A</w:t>
      </w:r>
      <w:r w:rsidRPr="00C97435">
        <w:rPr>
          <w:rFonts w:ascii="Arial" w:eastAsia="楷体_GB2312" w:hAnsi="Arial" w:cs="Arial"/>
          <w:color w:val="auto"/>
          <w:sz w:val="20"/>
          <w:szCs w:val="20"/>
        </w:rPr>
        <w:t>股投资者绷紧神经，做多情绪低迷。在市场信心未恢复的情况下，在周五，</w:t>
      </w:r>
      <w:r w:rsidRPr="00C97435">
        <w:rPr>
          <w:rFonts w:ascii="Arial" w:eastAsia="楷体_GB2312" w:hAnsi="Arial" w:cs="Arial"/>
          <w:color w:val="auto"/>
          <w:sz w:val="20"/>
          <w:szCs w:val="20"/>
        </w:rPr>
        <w:t>IPO</w:t>
      </w:r>
      <w:r w:rsidRPr="00C97435">
        <w:rPr>
          <w:rFonts w:ascii="Arial" w:eastAsia="楷体_GB2312" w:hAnsi="Arial" w:cs="Arial"/>
          <w:color w:val="auto"/>
          <w:sz w:val="20"/>
          <w:szCs w:val="20"/>
        </w:rPr>
        <w:t>重启传言引起市场恐慌，随后管理层辟谣所传不实。全周来看，上证指数、沪深</w:t>
      </w:r>
      <w:r w:rsidRPr="00C97435">
        <w:rPr>
          <w:rFonts w:ascii="Arial" w:eastAsia="楷体_GB2312" w:hAnsi="Arial" w:cs="Arial"/>
          <w:color w:val="auto"/>
          <w:sz w:val="20"/>
          <w:szCs w:val="20"/>
        </w:rPr>
        <w:t>300</w:t>
      </w:r>
      <w:r w:rsidRPr="00C97435">
        <w:rPr>
          <w:rFonts w:ascii="Arial" w:eastAsia="楷体_GB2312" w:hAnsi="Arial" w:cs="Arial"/>
          <w:color w:val="auto"/>
          <w:sz w:val="20"/>
          <w:szCs w:val="20"/>
        </w:rPr>
        <w:t>分别下跌</w:t>
      </w:r>
      <w:r w:rsidRPr="00C97435">
        <w:rPr>
          <w:rFonts w:ascii="Arial" w:eastAsia="楷体_GB2312" w:hAnsi="Arial" w:cs="Arial"/>
          <w:color w:val="auto"/>
          <w:sz w:val="20"/>
          <w:szCs w:val="20"/>
        </w:rPr>
        <w:t>0.18%</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0.59%</w:t>
      </w:r>
      <w:r w:rsidRPr="00C97435">
        <w:rPr>
          <w:rFonts w:ascii="Arial" w:eastAsia="楷体_GB2312" w:hAnsi="Arial" w:cs="Arial"/>
          <w:color w:val="auto"/>
          <w:sz w:val="20"/>
          <w:szCs w:val="20"/>
        </w:rPr>
        <w:t>，创业板指、中小板指分别上涨</w:t>
      </w:r>
      <w:r w:rsidRPr="00C97435">
        <w:rPr>
          <w:rFonts w:ascii="Arial" w:eastAsia="楷体_GB2312" w:hAnsi="Arial" w:cs="Arial"/>
          <w:color w:val="auto"/>
          <w:sz w:val="20"/>
          <w:szCs w:val="20"/>
        </w:rPr>
        <w:t>1.40%</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1.90%</w:t>
      </w:r>
      <w:r w:rsidRPr="00C97435">
        <w:rPr>
          <w:rFonts w:ascii="Arial" w:eastAsia="楷体_GB2312" w:hAnsi="Arial" w:cs="Arial"/>
          <w:color w:val="auto"/>
          <w:sz w:val="20"/>
          <w:szCs w:val="20"/>
        </w:rPr>
        <w:t>。行业方面，国防军工（</w:t>
      </w:r>
      <w:r w:rsidRPr="00C97435">
        <w:rPr>
          <w:rFonts w:ascii="Arial" w:eastAsia="楷体_GB2312" w:hAnsi="Arial" w:cs="Arial"/>
          <w:color w:val="auto"/>
          <w:sz w:val="20"/>
          <w:szCs w:val="20"/>
        </w:rPr>
        <w:t>4.11%</w:t>
      </w:r>
      <w:r w:rsidRPr="00C97435">
        <w:rPr>
          <w:rFonts w:ascii="Arial" w:eastAsia="楷体_GB2312" w:hAnsi="Arial" w:cs="Arial"/>
          <w:color w:val="auto"/>
          <w:sz w:val="20"/>
          <w:szCs w:val="20"/>
        </w:rPr>
        <w:t>）、电力设备（</w:t>
      </w:r>
      <w:r w:rsidRPr="00C97435">
        <w:rPr>
          <w:rFonts w:ascii="Arial" w:eastAsia="楷体_GB2312" w:hAnsi="Arial" w:cs="Arial"/>
          <w:color w:val="auto"/>
          <w:sz w:val="20"/>
          <w:szCs w:val="20"/>
        </w:rPr>
        <w:t>3.73%</w:t>
      </w:r>
      <w:r w:rsidRPr="00C97435">
        <w:rPr>
          <w:rFonts w:ascii="Arial" w:eastAsia="楷体_GB2312" w:hAnsi="Arial" w:cs="Arial"/>
          <w:color w:val="auto"/>
          <w:sz w:val="20"/>
          <w:szCs w:val="20"/>
        </w:rPr>
        <w:t>）和传媒（</w:t>
      </w:r>
      <w:r w:rsidRPr="00C97435">
        <w:rPr>
          <w:rFonts w:ascii="Arial" w:eastAsia="楷体_GB2312" w:hAnsi="Arial" w:cs="Arial"/>
          <w:color w:val="auto"/>
          <w:sz w:val="20"/>
          <w:szCs w:val="20"/>
        </w:rPr>
        <w:t>3.54%</w:t>
      </w:r>
      <w:r w:rsidRPr="00C97435">
        <w:rPr>
          <w:rFonts w:ascii="Arial" w:eastAsia="楷体_GB2312" w:hAnsi="Arial" w:cs="Arial"/>
          <w:color w:val="auto"/>
          <w:sz w:val="20"/>
          <w:szCs w:val="20"/>
        </w:rPr>
        <w:t>）涨幅居前，钢铁（</w:t>
      </w:r>
      <w:r w:rsidRPr="00C97435">
        <w:rPr>
          <w:rFonts w:ascii="Arial" w:eastAsia="楷体_GB2312" w:hAnsi="Arial" w:cs="Arial"/>
          <w:color w:val="auto"/>
          <w:sz w:val="20"/>
          <w:szCs w:val="20"/>
        </w:rPr>
        <w:t>-2.98%</w:t>
      </w:r>
      <w:r w:rsidRPr="00C97435">
        <w:rPr>
          <w:rFonts w:ascii="Arial" w:eastAsia="楷体_GB2312" w:hAnsi="Arial" w:cs="Arial"/>
          <w:color w:val="auto"/>
          <w:sz w:val="20"/>
          <w:szCs w:val="20"/>
        </w:rPr>
        <w:t>）和家电（</w:t>
      </w:r>
      <w:r w:rsidRPr="00C97435">
        <w:rPr>
          <w:rFonts w:ascii="Arial" w:eastAsia="楷体_GB2312" w:hAnsi="Arial" w:cs="Arial"/>
          <w:color w:val="auto"/>
          <w:sz w:val="20"/>
          <w:szCs w:val="20"/>
        </w:rPr>
        <w:t>-1.94%</w:t>
      </w:r>
      <w:r w:rsidRPr="00C97435">
        <w:rPr>
          <w:rFonts w:ascii="Arial" w:eastAsia="楷体_GB2312" w:hAnsi="Arial" w:cs="Arial"/>
          <w:color w:val="auto"/>
          <w:sz w:val="20"/>
          <w:szCs w:val="20"/>
        </w:rPr>
        <w:t>）跌幅较大。</w:t>
      </w:r>
    </w:p>
    <w:p w:rsidR="00921CE9" w:rsidRPr="00C97435" w:rsidRDefault="001B0255"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国内</w:t>
      </w:r>
      <w:r w:rsidR="00921CE9" w:rsidRPr="00C97435">
        <w:rPr>
          <w:rFonts w:ascii="Arial" w:eastAsia="楷体_GB2312" w:hAnsi="Arial" w:cs="Arial"/>
          <w:b/>
          <w:bCs/>
          <w:color w:val="002060"/>
          <w:kern w:val="0"/>
          <w:sz w:val="24"/>
          <w:szCs w:val="13"/>
        </w:rPr>
        <w:t>债券市场</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上周，资金</w:t>
      </w:r>
      <w:proofErr w:type="gramStart"/>
      <w:r w:rsidRPr="00C97435">
        <w:rPr>
          <w:rFonts w:ascii="Arial" w:eastAsia="楷体_GB2312" w:hAnsi="Arial" w:cs="Arial"/>
          <w:color w:val="auto"/>
          <w:sz w:val="20"/>
          <w:szCs w:val="20"/>
        </w:rPr>
        <w:t>面整体</w:t>
      </w:r>
      <w:proofErr w:type="gramEnd"/>
      <w:r w:rsidRPr="00C97435">
        <w:rPr>
          <w:rFonts w:ascii="Arial" w:eastAsia="楷体_GB2312" w:hAnsi="Arial" w:cs="Arial"/>
          <w:color w:val="auto"/>
          <w:sz w:val="20"/>
          <w:szCs w:val="20"/>
        </w:rPr>
        <w:t>平稳，央行重启</w:t>
      </w:r>
      <w:r w:rsidRPr="00C97435">
        <w:rPr>
          <w:rFonts w:ascii="Arial" w:eastAsia="楷体_GB2312" w:hAnsi="Arial" w:cs="Arial"/>
          <w:color w:val="auto"/>
          <w:sz w:val="20"/>
          <w:szCs w:val="20"/>
        </w:rPr>
        <w:t>800</w:t>
      </w:r>
      <w:r w:rsidRPr="00C97435">
        <w:rPr>
          <w:rFonts w:ascii="Arial" w:eastAsia="楷体_GB2312" w:hAnsi="Arial" w:cs="Arial"/>
          <w:color w:val="auto"/>
          <w:sz w:val="20"/>
          <w:szCs w:val="20"/>
        </w:rPr>
        <w:t>亿元</w:t>
      </w:r>
      <w:r w:rsidRPr="00C97435">
        <w:rPr>
          <w:rFonts w:ascii="Arial" w:eastAsia="楷体_GB2312" w:hAnsi="Arial" w:cs="Arial"/>
          <w:color w:val="auto"/>
          <w:sz w:val="20"/>
          <w:szCs w:val="20"/>
        </w:rPr>
        <w:t>14</w:t>
      </w:r>
      <w:r w:rsidRPr="00C97435">
        <w:rPr>
          <w:rFonts w:ascii="Arial" w:eastAsia="楷体_GB2312" w:hAnsi="Arial" w:cs="Arial"/>
          <w:color w:val="auto"/>
          <w:sz w:val="20"/>
          <w:szCs w:val="20"/>
        </w:rPr>
        <w:t>天期逆回购，中标利率为</w:t>
      </w:r>
      <w:r w:rsidRPr="00C97435">
        <w:rPr>
          <w:rFonts w:ascii="Arial" w:eastAsia="楷体_GB2312" w:hAnsi="Arial" w:cs="Arial"/>
          <w:color w:val="auto"/>
          <w:sz w:val="20"/>
          <w:szCs w:val="20"/>
        </w:rPr>
        <w:t>2.7%</w:t>
      </w:r>
      <w:r w:rsidRPr="00C97435">
        <w:rPr>
          <w:rFonts w:ascii="Arial" w:eastAsia="楷体_GB2312" w:hAnsi="Arial" w:cs="Arial"/>
          <w:color w:val="auto"/>
          <w:sz w:val="20"/>
          <w:szCs w:val="20"/>
        </w:rPr>
        <w:t>，全周公开市场净投放</w:t>
      </w:r>
      <w:r w:rsidRPr="00C97435">
        <w:rPr>
          <w:rFonts w:ascii="Arial" w:eastAsia="楷体_GB2312" w:hAnsi="Arial" w:cs="Arial"/>
          <w:color w:val="auto"/>
          <w:sz w:val="20"/>
          <w:szCs w:val="20"/>
        </w:rPr>
        <w:t>400</w:t>
      </w:r>
      <w:r w:rsidRPr="00C97435">
        <w:rPr>
          <w:rFonts w:ascii="Arial" w:eastAsia="楷体_GB2312" w:hAnsi="Arial" w:cs="Arial"/>
          <w:color w:val="auto"/>
          <w:sz w:val="20"/>
          <w:szCs w:val="20"/>
        </w:rPr>
        <w:t>亿元。公司债发行量持续创新高，而发行利率持续创新低。</w:t>
      </w:r>
      <w:r w:rsidRPr="00C97435">
        <w:rPr>
          <w:rFonts w:ascii="Arial" w:eastAsia="楷体_GB2312" w:hAnsi="Arial" w:cs="Arial"/>
          <w:color w:val="auto"/>
          <w:sz w:val="20"/>
          <w:szCs w:val="20"/>
        </w:rPr>
        <w:t>9</w:t>
      </w:r>
      <w:r w:rsidRPr="00C97435">
        <w:rPr>
          <w:rFonts w:ascii="Arial" w:eastAsia="楷体_GB2312" w:hAnsi="Arial" w:cs="Arial"/>
          <w:color w:val="auto"/>
          <w:sz w:val="20"/>
          <w:szCs w:val="20"/>
        </w:rPr>
        <w:t>月</w:t>
      </w:r>
      <w:r w:rsidRPr="00C97435">
        <w:rPr>
          <w:rFonts w:ascii="Arial" w:eastAsia="楷体_GB2312" w:hAnsi="Arial" w:cs="Arial"/>
          <w:color w:val="auto"/>
          <w:sz w:val="20"/>
          <w:szCs w:val="20"/>
        </w:rPr>
        <w:t>25</w:t>
      </w:r>
      <w:r w:rsidRPr="00C97435">
        <w:rPr>
          <w:rFonts w:ascii="Arial" w:eastAsia="楷体_GB2312" w:hAnsi="Arial" w:cs="Arial"/>
          <w:color w:val="auto"/>
          <w:sz w:val="20"/>
          <w:szCs w:val="20"/>
        </w:rPr>
        <w:t>日</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万科发布公告，其</w:t>
      </w:r>
      <w:r w:rsidRPr="00C97435">
        <w:rPr>
          <w:rFonts w:ascii="Arial" w:eastAsia="楷体_GB2312" w:hAnsi="Arial" w:cs="Arial"/>
          <w:color w:val="auto"/>
          <w:sz w:val="20"/>
          <w:szCs w:val="20"/>
        </w:rPr>
        <w:t>2015</w:t>
      </w:r>
      <w:r w:rsidRPr="00C97435">
        <w:rPr>
          <w:rFonts w:ascii="Arial" w:eastAsia="楷体_GB2312" w:hAnsi="Arial" w:cs="Arial"/>
          <w:color w:val="auto"/>
          <w:sz w:val="20"/>
          <w:szCs w:val="20"/>
        </w:rPr>
        <w:t>年发行的第一期</w:t>
      </w:r>
      <w:r w:rsidRPr="00C97435">
        <w:rPr>
          <w:rFonts w:ascii="Arial" w:eastAsia="楷体_GB2312" w:hAnsi="Arial" w:cs="Arial"/>
          <w:color w:val="auto"/>
          <w:sz w:val="20"/>
          <w:szCs w:val="20"/>
        </w:rPr>
        <w:t>5</w:t>
      </w:r>
      <w:r w:rsidRPr="00C97435">
        <w:rPr>
          <w:rFonts w:ascii="Arial" w:eastAsia="楷体_GB2312" w:hAnsi="Arial" w:cs="Arial"/>
          <w:color w:val="auto"/>
          <w:sz w:val="20"/>
          <w:szCs w:val="20"/>
        </w:rPr>
        <w:t>年期</w:t>
      </w:r>
      <w:r w:rsidRPr="00C97435">
        <w:rPr>
          <w:rFonts w:ascii="Arial" w:eastAsia="楷体_GB2312" w:hAnsi="Arial" w:cs="Arial"/>
          <w:color w:val="auto"/>
          <w:sz w:val="20"/>
          <w:szCs w:val="20"/>
        </w:rPr>
        <w:t>50</w:t>
      </w:r>
      <w:r w:rsidRPr="00C97435">
        <w:rPr>
          <w:rFonts w:ascii="Arial" w:eastAsia="楷体_GB2312" w:hAnsi="Arial" w:cs="Arial"/>
          <w:color w:val="auto"/>
          <w:sz w:val="20"/>
          <w:szCs w:val="20"/>
        </w:rPr>
        <w:t>亿元公司债券票面利率为</w:t>
      </w:r>
      <w:r w:rsidRPr="00C97435">
        <w:rPr>
          <w:rFonts w:ascii="Arial" w:eastAsia="楷体_GB2312" w:hAnsi="Arial" w:cs="Arial"/>
          <w:color w:val="auto"/>
          <w:sz w:val="20"/>
          <w:szCs w:val="20"/>
        </w:rPr>
        <w:t>3.5%</w:t>
      </w:r>
      <w:r w:rsidRPr="00C97435">
        <w:rPr>
          <w:rFonts w:ascii="Arial" w:eastAsia="楷体_GB2312" w:hAnsi="Arial" w:cs="Arial"/>
          <w:color w:val="auto"/>
          <w:sz w:val="20"/>
          <w:szCs w:val="20"/>
        </w:rPr>
        <w:t>，为</w:t>
      </w:r>
      <w:proofErr w:type="gramStart"/>
      <w:r w:rsidRPr="00C97435">
        <w:rPr>
          <w:rFonts w:ascii="Arial" w:eastAsia="楷体_GB2312" w:hAnsi="Arial" w:cs="Arial"/>
          <w:color w:val="auto"/>
          <w:sz w:val="20"/>
          <w:szCs w:val="20"/>
        </w:rPr>
        <w:t>同类房企发</w:t>
      </w:r>
      <w:proofErr w:type="gramEnd"/>
      <w:r w:rsidRPr="00C97435">
        <w:rPr>
          <w:rFonts w:ascii="Arial" w:eastAsia="楷体_GB2312" w:hAnsi="Arial" w:cs="Arial"/>
          <w:color w:val="auto"/>
          <w:sz w:val="20"/>
          <w:szCs w:val="20"/>
        </w:rPr>
        <w:t>债利率新低，接近同期限国债利率。债市收益无较大改观，上证国债指数持平，上</w:t>
      </w:r>
      <w:proofErr w:type="gramStart"/>
      <w:r w:rsidRPr="00C97435">
        <w:rPr>
          <w:rFonts w:ascii="Arial" w:eastAsia="楷体_GB2312" w:hAnsi="Arial" w:cs="Arial"/>
          <w:color w:val="auto"/>
          <w:sz w:val="20"/>
          <w:szCs w:val="20"/>
        </w:rPr>
        <w:t>证全债指数微</w:t>
      </w:r>
      <w:proofErr w:type="gramEnd"/>
      <w:r w:rsidRPr="00C97435">
        <w:rPr>
          <w:rFonts w:ascii="Arial" w:eastAsia="楷体_GB2312" w:hAnsi="Arial" w:cs="Arial"/>
          <w:color w:val="auto"/>
          <w:sz w:val="20"/>
          <w:szCs w:val="20"/>
        </w:rPr>
        <w:t>涨</w:t>
      </w:r>
      <w:r w:rsidRPr="00C97435">
        <w:rPr>
          <w:rFonts w:ascii="Arial" w:eastAsia="楷体_GB2312" w:hAnsi="Arial" w:cs="Arial"/>
          <w:color w:val="auto"/>
          <w:sz w:val="20"/>
          <w:szCs w:val="20"/>
        </w:rPr>
        <w:t>0.01%</w:t>
      </w:r>
      <w:r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海外市场</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全球经济增速放缓使得投资者担忧情绪凝聚，美联储高举加息大棒，海外市场气氛普遍谨慎。欧美股市连遭暴跌洗礼，消息面上，美国</w:t>
      </w:r>
      <w:r w:rsidRPr="00C97435">
        <w:rPr>
          <w:rFonts w:ascii="Arial" w:eastAsia="楷体_GB2312" w:hAnsi="Arial" w:cs="Arial"/>
          <w:color w:val="auto"/>
          <w:sz w:val="20"/>
          <w:szCs w:val="20"/>
        </w:rPr>
        <w:t>8</w:t>
      </w:r>
      <w:r w:rsidRPr="00C97435">
        <w:rPr>
          <w:rFonts w:ascii="Arial" w:eastAsia="楷体_GB2312" w:hAnsi="Arial" w:cs="Arial"/>
          <w:color w:val="auto"/>
          <w:sz w:val="20"/>
          <w:szCs w:val="20"/>
        </w:rPr>
        <w:t>月成屋销售</w:t>
      </w:r>
      <w:proofErr w:type="gramStart"/>
      <w:r w:rsidRPr="00C97435">
        <w:rPr>
          <w:rFonts w:ascii="Arial" w:eastAsia="楷体_GB2312" w:hAnsi="Arial" w:cs="Arial"/>
          <w:color w:val="auto"/>
          <w:sz w:val="20"/>
          <w:szCs w:val="20"/>
        </w:rPr>
        <w:t>年率环</w:t>
      </w:r>
      <w:proofErr w:type="gramEnd"/>
      <w:r w:rsidRPr="00C97435">
        <w:rPr>
          <w:rFonts w:ascii="Arial" w:eastAsia="楷体_GB2312" w:hAnsi="Arial" w:cs="Arial"/>
          <w:color w:val="auto"/>
          <w:sz w:val="20"/>
          <w:szCs w:val="20"/>
        </w:rPr>
        <w:t>比下降</w:t>
      </w:r>
      <w:r w:rsidRPr="00C97435">
        <w:rPr>
          <w:rFonts w:ascii="Arial" w:eastAsia="楷体_GB2312" w:hAnsi="Arial" w:cs="Arial"/>
          <w:color w:val="auto"/>
          <w:sz w:val="20"/>
          <w:szCs w:val="20"/>
        </w:rPr>
        <w:t>4.80%</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9</w:t>
      </w:r>
      <w:r w:rsidRPr="00C97435">
        <w:rPr>
          <w:rFonts w:ascii="Arial" w:eastAsia="楷体_GB2312" w:hAnsi="Arial" w:cs="Arial"/>
          <w:color w:val="auto"/>
          <w:sz w:val="20"/>
          <w:szCs w:val="20"/>
        </w:rPr>
        <w:t>月密歇根大学的消费者信心指数终值创</w:t>
      </w:r>
      <w:r w:rsidRPr="00C97435">
        <w:rPr>
          <w:rFonts w:ascii="Arial" w:eastAsia="楷体_GB2312" w:hAnsi="Arial" w:cs="Arial"/>
          <w:color w:val="auto"/>
          <w:sz w:val="20"/>
          <w:szCs w:val="20"/>
        </w:rPr>
        <w:t>2014</w:t>
      </w:r>
      <w:r w:rsidRPr="00C97435">
        <w:rPr>
          <w:rFonts w:ascii="Arial" w:eastAsia="楷体_GB2312" w:hAnsi="Arial" w:cs="Arial"/>
          <w:color w:val="auto"/>
          <w:sz w:val="20"/>
          <w:szCs w:val="20"/>
        </w:rPr>
        <w:t>年</w:t>
      </w:r>
      <w:r w:rsidRPr="00C97435">
        <w:rPr>
          <w:rFonts w:ascii="Arial" w:eastAsia="楷体_GB2312" w:hAnsi="Arial" w:cs="Arial"/>
          <w:color w:val="auto"/>
          <w:sz w:val="20"/>
          <w:szCs w:val="20"/>
        </w:rPr>
        <w:t>10</w:t>
      </w:r>
      <w:r w:rsidRPr="00C97435">
        <w:rPr>
          <w:rFonts w:ascii="Arial" w:eastAsia="楷体_GB2312" w:hAnsi="Arial" w:cs="Arial"/>
          <w:color w:val="auto"/>
          <w:sz w:val="20"/>
          <w:szCs w:val="20"/>
        </w:rPr>
        <w:t>月份以来最低水平，美股应声下挫。此外，德国大众汽车公司陷入丑闻引起</w:t>
      </w:r>
      <w:proofErr w:type="gramStart"/>
      <w:r w:rsidRPr="00C97435">
        <w:rPr>
          <w:rFonts w:ascii="Arial" w:eastAsia="楷体_GB2312" w:hAnsi="Arial" w:cs="Arial"/>
          <w:color w:val="auto"/>
          <w:sz w:val="20"/>
          <w:szCs w:val="20"/>
        </w:rPr>
        <w:t>欧股汽车</w:t>
      </w:r>
      <w:proofErr w:type="gramEnd"/>
      <w:r w:rsidRPr="00C97435">
        <w:rPr>
          <w:rFonts w:ascii="Arial" w:eastAsia="楷体_GB2312" w:hAnsi="Arial" w:cs="Arial"/>
          <w:color w:val="auto"/>
          <w:sz w:val="20"/>
          <w:szCs w:val="20"/>
        </w:rPr>
        <w:t>板块地震，资源类和工程技术类个股亦大幅杀跌。</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美国商务部上周五公布的数据显示，美国二季度</w:t>
      </w:r>
      <w:r w:rsidRPr="00C97435">
        <w:rPr>
          <w:rFonts w:ascii="Arial" w:eastAsia="楷体_GB2312" w:hAnsi="Arial" w:cs="Arial"/>
          <w:color w:val="auto"/>
          <w:sz w:val="20"/>
          <w:szCs w:val="20"/>
        </w:rPr>
        <w:t>GDP</w:t>
      </w:r>
      <w:r w:rsidRPr="00C97435">
        <w:rPr>
          <w:rFonts w:ascii="Arial" w:eastAsia="楷体_GB2312" w:hAnsi="Arial" w:cs="Arial"/>
          <w:color w:val="auto"/>
          <w:sz w:val="20"/>
          <w:szCs w:val="20"/>
        </w:rPr>
        <w:t>增幅由</w:t>
      </w:r>
      <w:r w:rsidRPr="00C97435">
        <w:rPr>
          <w:rFonts w:ascii="Arial" w:eastAsia="楷体_GB2312" w:hAnsi="Arial" w:cs="Arial"/>
          <w:color w:val="auto"/>
          <w:sz w:val="20"/>
          <w:szCs w:val="20"/>
        </w:rPr>
        <w:t>3.7%</w:t>
      </w:r>
      <w:r w:rsidRPr="00C97435">
        <w:rPr>
          <w:rFonts w:ascii="Arial" w:eastAsia="楷体_GB2312" w:hAnsi="Arial" w:cs="Arial"/>
          <w:color w:val="auto"/>
          <w:sz w:val="20"/>
          <w:szCs w:val="20"/>
        </w:rPr>
        <w:t>上修至</w:t>
      </w:r>
      <w:r w:rsidRPr="00C97435">
        <w:rPr>
          <w:rFonts w:ascii="Arial" w:eastAsia="楷体_GB2312" w:hAnsi="Arial" w:cs="Arial"/>
          <w:color w:val="auto"/>
          <w:sz w:val="20"/>
          <w:szCs w:val="20"/>
        </w:rPr>
        <w:t>3.9%</w:t>
      </w:r>
      <w:r w:rsidRPr="00C97435">
        <w:rPr>
          <w:rFonts w:ascii="Arial" w:eastAsia="楷体_GB2312" w:hAnsi="Arial" w:cs="Arial"/>
          <w:color w:val="auto"/>
          <w:sz w:val="20"/>
          <w:szCs w:val="20"/>
        </w:rPr>
        <w:t>，二季度个人消费支出环比折算年率增长</w:t>
      </w:r>
      <w:r w:rsidRPr="00C97435">
        <w:rPr>
          <w:rFonts w:ascii="Arial" w:eastAsia="楷体_GB2312" w:hAnsi="Arial" w:cs="Arial"/>
          <w:color w:val="auto"/>
          <w:sz w:val="20"/>
          <w:szCs w:val="20"/>
        </w:rPr>
        <w:t>3.6%</w:t>
      </w:r>
      <w:r w:rsidRPr="00C97435">
        <w:rPr>
          <w:rFonts w:ascii="Arial" w:eastAsia="楷体_GB2312" w:hAnsi="Arial" w:cs="Arial"/>
          <w:color w:val="auto"/>
          <w:sz w:val="20"/>
          <w:szCs w:val="20"/>
        </w:rPr>
        <w:t>，好于预期的</w:t>
      </w:r>
      <w:r w:rsidRPr="00C97435">
        <w:rPr>
          <w:rFonts w:ascii="Arial" w:eastAsia="楷体_GB2312" w:hAnsi="Arial" w:cs="Arial"/>
          <w:color w:val="auto"/>
          <w:sz w:val="20"/>
          <w:szCs w:val="20"/>
        </w:rPr>
        <w:t>3.2%</w:t>
      </w:r>
      <w:r w:rsidRPr="00C97435">
        <w:rPr>
          <w:rFonts w:ascii="Arial" w:eastAsia="楷体_GB2312" w:hAnsi="Arial" w:cs="Arial"/>
          <w:color w:val="auto"/>
          <w:sz w:val="20"/>
          <w:szCs w:val="20"/>
        </w:rPr>
        <w:t>，缓解了市场对经济的担忧。整周来看，纳斯达克</w:t>
      </w:r>
      <w:r w:rsidRPr="00C97435">
        <w:rPr>
          <w:rFonts w:ascii="Arial" w:eastAsia="楷体_GB2312" w:hAnsi="Arial" w:cs="Arial"/>
          <w:color w:val="auto"/>
          <w:sz w:val="20"/>
          <w:szCs w:val="20"/>
        </w:rPr>
        <w:t>100</w:t>
      </w:r>
      <w:r w:rsidRPr="00C97435">
        <w:rPr>
          <w:rFonts w:ascii="Arial" w:eastAsia="楷体_GB2312" w:hAnsi="Arial" w:cs="Arial"/>
          <w:color w:val="auto"/>
          <w:sz w:val="20"/>
          <w:szCs w:val="20"/>
        </w:rPr>
        <w:t>下跌</w:t>
      </w:r>
      <w:r w:rsidRPr="00C97435">
        <w:rPr>
          <w:rFonts w:ascii="Arial" w:eastAsia="楷体_GB2312" w:hAnsi="Arial" w:cs="Arial"/>
          <w:color w:val="auto"/>
          <w:sz w:val="20"/>
          <w:szCs w:val="20"/>
        </w:rPr>
        <w:t>2.82%</w:t>
      </w:r>
      <w:r w:rsidRPr="00C97435">
        <w:rPr>
          <w:rFonts w:ascii="Arial" w:eastAsia="楷体_GB2312" w:hAnsi="Arial" w:cs="Arial"/>
          <w:color w:val="auto"/>
          <w:sz w:val="20"/>
          <w:szCs w:val="20"/>
        </w:rPr>
        <w:t>、</w:t>
      </w:r>
      <w:proofErr w:type="gramStart"/>
      <w:r w:rsidRPr="00C97435">
        <w:rPr>
          <w:rFonts w:ascii="Arial" w:eastAsia="楷体_GB2312" w:hAnsi="Arial" w:cs="Arial"/>
          <w:color w:val="auto"/>
          <w:sz w:val="20"/>
          <w:szCs w:val="20"/>
        </w:rPr>
        <w:t>标普</w:t>
      </w:r>
      <w:proofErr w:type="gramEnd"/>
      <w:r w:rsidRPr="00C97435">
        <w:rPr>
          <w:rFonts w:ascii="Arial" w:eastAsia="楷体_GB2312" w:hAnsi="Arial" w:cs="Arial"/>
          <w:color w:val="auto"/>
          <w:sz w:val="20"/>
          <w:szCs w:val="20"/>
        </w:rPr>
        <w:t>500</w:t>
      </w:r>
      <w:r w:rsidRPr="00C97435">
        <w:rPr>
          <w:rFonts w:ascii="Arial" w:eastAsia="楷体_GB2312" w:hAnsi="Arial" w:cs="Arial"/>
          <w:color w:val="auto"/>
          <w:sz w:val="20"/>
          <w:szCs w:val="20"/>
        </w:rPr>
        <w:t>下跌</w:t>
      </w:r>
      <w:r w:rsidRPr="00C97435">
        <w:rPr>
          <w:rFonts w:ascii="Arial" w:eastAsia="楷体_GB2312" w:hAnsi="Arial" w:cs="Arial"/>
          <w:color w:val="auto"/>
          <w:sz w:val="20"/>
          <w:szCs w:val="20"/>
        </w:rPr>
        <w:t>2.91%</w:t>
      </w:r>
      <w:r w:rsidRPr="00C97435">
        <w:rPr>
          <w:rFonts w:ascii="Arial" w:eastAsia="楷体_GB2312" w:hAnsi="Arial" w:cs="Arial"/>
          <w:color w:val="auto"/>
          <w:sz w:val="20"/>
          <w:szCs w:val="20"/>
        </w:rPr>
        <w:t>、道琼</w:t>
      </w:r>
      <w:proofErr w:type="gramStart"/>
      <w:r w:rsidRPr="00C97435">
        <w:rPr>
          <w:rFonts w:ascii="Arial" w:eastAsia="楷体_GB2312" w:hAnsi="Arial" w:cs="Arial"/>
          <w:color w:val="auto"/>
          <w:sz w:val="20"/>
          <w:szCs w:val="20"/>
        </w:rPr>
        <w:t>斯工指</w:t>
      </w:r>
      <w:proofErr w:type="gramEnd"/>
      <w:r w:rsidRPr="00C97435">
        <w:rPr>
          <w:rFonts w:ascii="Arial" w:eastAsia="楷体_GB2312" w:hAnsi="Arial" w:cs="Arial"/>
          <w:color w:val="auto"/>
          <w:sz w:val="20"/>
          <w:szCs w:val="20"/>
        </w:rPr>
        <w:t>下跌</w:t>
      </w:r>
      <w:r w:rsidRPr="00C97435">
        <w:rPr>
          <w:rFonts w:ascii="Arial" w:eastAsia="楷体_GB2312" w:hAnsi="Arial" w:cs="Arial"/>
          <w:color w:val="auto"/>
          <w:sz w:val="20"/>
          <w:szCs w:val="20"/>
        </w:rPr>
        <w:t>2.84%</w:t>
      </w:r>
      <w:r w:rsidRPr="00C97435">
        <w:rPr>
          <w:rFonts w:ascii="Arial" w:eastAsia="楷体_GB2312" w:hAnsi="Arial" w:cs="Arial"/>
          <w:color w:val="auto"/>
          <w:sz w:val="20"/>
          <w:szCs w:val="20"/>
        </w:rPr>
        <w:t>，泛欧斯托克</w:t>
      </w:r>
      <w:r w:rsidRPr="00C97435">
        <w:rPr>
          <w:rFonts w:ascii="Arial" w:eastAsia="楷体_GB2312" w:hAnsi="Arial" w:cs="Arial"/>
          <w:color w:val="auto"/>
          <w:sz w:val="20"/>
          <w:szCs w:val="20"/>
        </w:rPr>
        <w:t>600</w:t>
      </w:r>
      <w:r w:rsidRPr="00C97435">
        <w:rPr>
          <w:rFonts w:ascii="Arial" w:eastAsia="楷体_GB2312" w:hAnsi="Arial" w:cs="Arial"/>
          <w:color w:val="auto"/>
          <w:sz w:val="20"/>
          <w:szCs w:val="20"/>
        </w:rPr>
        <w:t>大跌</w:t>
      </w:r>
      <w:r w:rsidRPr="00C97435">
        <w:rPr>
          <w:rFonts w:ascii="Arial" w:eastAsia="楷体_GB2312" w:hAnsi="Arial" w:cs="Arial"/>
          <w:color w:val="auto"/>
          <w:sz w:val="20"/>
          <w:szCs w:val="20"/>
        </w:rPr>
        <w:t>5.97%</w:t>
      </w:r>
      <w:r w:rsidRPr="00C97435">
        <w:rPr>
          <w:rFonts w:ascii="Arial" w:eastAsia="楷体_GB2312" w:hAnsi="Arial" w:cs="Arial"/>
          <w:color w:val="auto"/>
          <w:sz w:val="20"/>
          <w:szCs w:val="20"/>
        </w:rPr>
        <w:t>。港股在</w:t>
      </w:r>
      <w:r w:rsidRPr="00C97435">
        <w:rPr>
          <w:rFonts w:ascii="Arial" w:eastAsia="楷体_GB2312" w:hAnsi="Arial" w:cs="Arial"/>
          <w:color w:val="auto"/>
          <w:sz w:val="20"/>
          <w:szCs w:val="20"/>
        </w:rPr>
        <w:t>A</w:t>
      </w:r>
      <w:r w:rsidRPr="00C97435">
        <w:rPr>
          <w:rFonts w:ascii="Arial" w:eastAsia="楷体_GB2312" w:hAnsi="Arial" w:cs="Arial"/>
          <w:color w:val="auto"/>
          <w:sz w:val="20"/>
          <w:szCs w:val="20"/>
        </w:rPr>
        <w:t>股盘整和外围低迷的氛围中，顺势下跌，恒生指数勉强守住</w:t>
      </w:r>
      <w:r w:rsidRPr="00C97435">
        <w:rPr>
          <w:rFonts w:ascii="Arial" w:eastAsia="楷体_GB2312" w:hAnsi="Arial" w:cs="Arial"/>
          <w:color w:val="auto"/>
          <w:sz w:val="20"/>
          <w:szCs w:val="20"/>
        </w:rPr>
        <w:t>21000</w:t>
      </w:r>
      <w:r w:rsidRPr="00C97435">
        <w:rPr>
          <w:rFonts w:ascii="Arial" w:eastAsia="楷体_GB2312" w:hAnsi="Arial" w:cs="Arial"/>
          <w:color w:val="auto"/>
          <w:sz w:val="20"/>
          <w:szCs w:val="20"/>
        </w:rPr>
        <w:t>，全周下跌</w:t>
      </w:r>
      <w:r w:rsidRPr="00C97435">
        <w:rPr>
          <w:rFonts w:ascii="Arial" w:eastAsia="楷体_GB2312" w:hAnsi="Arial" w:cs="Arial"/>
          <w:color w:val="auto"/>
          <w:sz w:val="20"/>
          <w:szCs w:val="20"/>
        </w:rPr>
        <w:t>3.47%</w:t>
      </w:r>
      <w:r w:rsidRPr="00C97435">
        <w:rPr>
          <w:rFonts w:ascii="Arial" w:eastAsia="楷体_GB2312" w:hAnsi="Arial" w:cs="Arial"/>
          <w:color w:val="auto"/>
          <w:sz w:val="20"/>
          <w:szCs w:val="20"/>
        </w:rPr>
        <w:t>，日经</w:t>
      </w:r>
      <w:r w:rsidRPr="00C97435">
        <w:rPr>
          <w:rFonts w:ascii="Arial" w:eastAsia="楷体_GB2312" w:hAnsi="Arial" w:cs="Arial"/>
          <w:color w:val="auto"/>
          <w:sz w:val="20"/>
          <w:szCs w:val="20"/>
        </w:rPr>
        <w:t>225</w:t>
      </w:r>
      <w:r w:rsidRPr="00C97435">
        <w:rPr>
          <w:rFonts w:ascii="Arial" w:eastAsia="楷体_GB2312" w:hAnsi="Arial" w:cs="Arial"/>
          <w:color w:val="auto"/>
          <w:sz w:val="20"/>
          <w:szCs w:val="20"/>
        </w:rPr>
        <w:t>全周下跌</w:t>
      </w:r>
      <w:r w:rsidRPr="00C97435">
        <w:rPr>
          <w:rFonts w:ascii="Arial" w:eastAsia="楷体_GB2312" w:hAnsi="Arial" w:cs="Arial"/>
          <w:color w:val="auto"/>
          <w:sz w:val="20"/>
          <w:szCs w:val="20"/>
        </w:rPr>
        <w:t>4.67%</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 xml:space="preserve">   </w:t>
      </w:r>
    </w:p>
    <w:p w:rsidR="003175BA" w:rsidRDefault="003175BA">
      <w:pPr>
        <w:widowControl/>
        <w:jc w:val="left"/>
        <w:rPr>
          <w:rFonts w:ascii="Arial" w:hAnsi="Arial" w:cs="Arial"/>
          <w:b/>
          <w:color w:val="996600"/>
          <w:sz w:val="32"/>
          <w:szCs w:val="28"/>
        </w:rPr>
      </w:pPr>
      <w:r>
        <w:rPr>
          <w:rFonts w:ascii="Arial" w:hAnsi="Arial" w:cs="Arial"/>
          <w:b/>
          <w:color w:val="996600"/>
          <w:sz w:val="32"/>
          <w:szCs w:val="28"/>
        </w:rPr>
        <w:br w:type="page"/>
      </w:r>
    </w:p>
    <w:p w:rsidR="00921CE9" w:rsidRPr="00C97435" w:rsidRDefault="003175BA" w:rsidP="00736D60">
      <w:pPr>
        <w:pStyle w:val="af7"/>
        <w:numPr>
          <w:ilvl w:val="0"/>
          <w:numId w:val="1"/>
        </w:numPr>
        <w:ind w:firstLineChars="0"/>
        <w:rPr>
          <w:rFonts w:ascii="Arial" w:hAnsi="Arial" w:cs="Arial"/>
          <w:b/>
          <w:color w:val="996600"/>
          <w:sz w:val="32"/>
          <w:szCs w:val="28"/>
        </w:rPr>
      </w:pPr>
      <w:r w:rsidRPr="00C97435">
        <w:rPr>
          <w:rFonts w:ascii="Arial" w:hAnsi="Arial" w:cs="Arial"/>
          <w:noProof/>
          <w:sz w:val="20"/>
          <w:szCs w:val="20"/>
        </w:rPr>
        <w:lastRenderedPageBreak/>
        <mc:AlternateContent>
          <mc:Choice Requires="wps">
            <w:drawing>
              <wp:anchor distT="0" distB="0" distL="0" distR="0" simplePos="0" relativeHeight="251674624" behindDoc="0" locked="0" layoutInCell="1" allowOverlap="0" wp14:anchorId="0F3E5CC5" wp14:editId="6679AF28">
                <wp:simplePos x="0" y="0"/>
                <wp:positionH relativeFrom="page">
                  <wp:posOffset>382222</wp:posOffset>
                </wp:positionH>
                <wp:positionV relativeFrom="paragraph">
                  <wp:posOffset>-81556</wp:posOffset>
                </wp:positionV>
                <wp:extent cx="2339975" cy="8814435"/>
                <wp:effectExtent l="0" t="0" r="0" b="5715"/>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8814435"/>
                        </a:xfrm>
                        <a:prstGeom prst="rect">
                          <a:avLst/>
                        </a:prstGeom>
                        <a:noFill/>
                        <a:ln w="9525">
                          <a:noFill/>
                          <a:miter lim="800000"/>
                          <a:headEnd/>
                          <a:tailEnd/>
                        </a:ln>
                      </wps:spPr>
                      <wps:txbx>
                        <w:txbxContent>
                          <w:p w:rsidR="00FD5740" w:rsidRDefault="00FD5740" w:rsidP="009D2B6E">
                            <w:pPr>
                              <w:rPr>
                                <w:rFonts w:ascii="楷体" w:eastAsia="楷体" w:hAnsi="楷体" w:cs="宋体"/>
                                <w:b/>
                                <w:bCs/>
                                <w:color w:val="000000"/>
                                <w:kern w:val="0"/>
                                <w:sz w:val="16"/>
                                <w:szCs w:val="16"/>
                                <w:lang w:val="en-GB"/>
                              </w:rPr>
                            </w:pPr>
                          </w:p>
                          <w:tbl>
                            <w:tblPr>
                              <w:tblW w:w="3402" w:type="dxa"/>
                              <w:tblInd w:w="93" w:type="dxa"/>
                              <w:tblLook w:val="04A0" w:firstRow="1" w:lastRow="0" w:firstColumn="1" w:lastColumn="0" w:noHBand="0" w:noVBand="1"/>
                            </w:tblPr>
                            <w:tblGrid>
                              <w:gridCol w:w="582"/>
                              <w:gridCol w:w="815"/>
                              <w:gridCol w:w="1389"/>
                              <w:gridCol w:w="616"/>
                            </w:tblGrid>
                            <w:tr w:rsidR="00FD5740" w:rsidRPr="009D2B6E" w:rsidTr="00F0615C">
                              <w:trPr>
                                <w:trHeight w:val="284"/>
                              </w:trPr>
                              <w:tc>
                                <w:tcPr>
                                  <w:tcW w:w="582" w:type="dxa"/>
                                  <w:tcBorders>
                                    <w:top w:val="single" w:sz="8" w:space="0" w:color="000000"/>
                                    <w:left w:val="nil"/>
                                    <w:bottom w:val="single" w:sz="8" w:space="0" w:color="000000"/>
                                    <w:right w:val="single" w:sz="8" w:space="0" w:color="000000"/>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类型</w:t>
                                  </w:r>
                                </w:p>
                              </w:tc>
                              <w:tc>
                                <w:tcPr>
                                  <w:tcW w:w="815" w:type="dxa"/>
                                  <w:tcBorders>
                                    <w:top w:val="single" w:sz="8" w:space="0" w:color="000000"/>
                                    <w:left w:val="nil"/>
                                    <w:bottom w:val="single" w:sz="8" w:space="0" w:color="000000"/>
                                    <w:right w:val="nil"/>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代码</w:t>
                                  </w:r>
                                </w:p>
                              </w:tc>
                              <w:tc>
                                <w:tcPr>
                                  <w:tcW w:w="1389" w:type="dxa"/>
                                  <w:tcBorders>
                                    <w:top w:val="single" w:sz="8" w:space="0" w:color="000000"/>
                                    <w:left w:val="nil"/>
                                    <w:bottom w:val="single" w:sz="8" w:space="0" w:color="000000"/>
                                    <w:right w:val="nil"/>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简称</w:t>
                                  </w:r>
                                </w:p>
                              </w:tc>
                              <w:tc>
                                <w:tcPr>
                                  <w:tcW w:w="616" w:type="dxa"/>
                                  <w:tcBorders>
                                    <w:top w:val="single" w:sz="8" w:space="0" w:color="000000"/>
                                    <w:left w:val="nil"/>
                                    <w:bottom w:val="single" w:sz="8" w:space="0" w:color="000000"/>
                                    <w:right w:val="nil"/>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收益率</w:t>
                                  </w:r>
                                  <w:r w:rsidRPr="009D2B6E">
                                    <w:rPr>
                                      <w:rFonts w:ascii="Arial" w:cs="Arial" w:hint="eastAsia"/>
                                      <w:b/>
                                      <w:sz w:val="18"/>
                                      <w:szCs w:val="16"/>
                                    </w:rPr>
                                    <w:t>%</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普通股基</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793</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工银瑞信</w:t>
                                  </w:r>
                                  <w:proofErr w:type="gramEnd"/>
                                  <w:r w:rsidRPr="009D2B6E">
                                    <w:rPr>
                                      <w:rFonts w:ascii="楷体" w:eastAsia="楷体" w:hAnsi="楷体" w:cs="宋体" w:hint="eastAsia"/>
                                      <w:color w:val="000000"/>
                                      <w:kern w:val="0"/>
                                      <w:sz w:val="16"/>
                                      <w:szCs w:val="13"/>
                                    </w:rPr>
                                    <w:t>高端制造行业</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7.19</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803</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工</w:t>
                                  </w:r>
                                  <w:proofErr w:type="gramStart"/>
                                  <w:r w:rsidRPr="009D2B6E">
                                    <w:rPr>
                                      <w:rFonts w:ascii="楷体" w:eastAsia="楷体" w:hAnsi="楷体" w:cs="宋体" w:hint="eastAsia"/>
                                      <w:color w:val="000000"/>
                                      <w:kern w:val="0"/>
                                      <w:sz w:val="16"/>
                                      <w:szCs w:val="13"/>
                                    </w:rPr>
                                    <w:t>银瑞信研究</w:t>
                                  </w:r>
                                  <w:proofErr w:type="gramEnd"/>
                                  <w:r w:rsidRPr="009D2B6E">
                                    <w:rPr>
                                      <w:rFonts w:ascii="楷体" w:eastAsia="楷体" w:hAnsi="楷体" w:cs="宋体" w:hint="eastAsia"/>
                                      <w:color w:val="000000"/>
                                      <w:kern w:val="0"/>
                                      <w:sz w:val="16"/>
                                      <w:szCs w:val="13"/>
                                    </w:rPr>
                                    <w:t>精选</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6.67</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1158</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工银瑞信</w:t>
                                  </w:r>
                                  <w:proofErr w:type="gramEnd"/>
                                  <w:r w:rsidRPr="009D2B6E">
                                    <w:rPr>
                                      <w:rFonts w:ascii="楷体" w:eastAsia="楷体" w:hAnsi="楷体" w:cs="宋体" w:hint="eastAsia"/>
                                      <w:color w:val="000000"/>
                                      <w:kern w:val="0"/>
                                      <w:sz w:val="16"/>
                                      <w:szCs w:val="13"/>
                                    </w:rPr>
                                    <w:t>新材料新能源行业</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5.57</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指数股基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160630</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鹏华中证国防</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5.02</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160628</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鹏华中证800地产</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4.39</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596</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前海开源中证军工</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4.03</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Pr>
                                      <w:rFonts w:ascii="楷体" w:eastAsia="楷体" w:hAnsi="楷体" w:cs="宋体" w:hint="eastAsia"/>
                                      <w:b/>
                                      <w:bCs/>
                                      <w:color w:val="000000"/>
                                      <w:kern w:val="0"/>
                                      <w:sz w:val="16"/>
                                      <w:szCs w:val="13"/>
                                    </w:rPr>
                                    <w:t>混合偏股</w:t>
                                  </w:r>
                                  <w:proofErr w:type="gramEnd"/>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590008</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中</w:t>
                                  </w:r>
                                  <w:proofErr w:type="gramStart"/>
                                  <w:r w:rsidRPr="009D2B6E">
                                    <w:rPr>
                                      <w:rFonts w:ascii="楷体" w:eastAsia="楷体" w:hAnsi="楷体" w:cs="宋体" w:hint="eastAsia"/>
                                      <w:color w:val="000000"/>
                                      <w:kern w:val="0"/>
                                      <w:sz w:val="16"/>
                                      <w:szCs w:val="13"/>
                                    </w:rPr>
                                    <w:t>邮战略</w:t>
                                  </w:r>
                                  <w:proofErr w:type="gramEnd"/>
                                  <w:r w:rsidRPr="009D2B6E">
                                    <w:rPr>
                                      <w:rFonts w:ascii="楷体" w:eastAsia="楷体" w:hAnsi="楷体" w:cs="宋体" w:hint="eastAsia"/>
                                      <w:color w:val="000000"/>
                                      <w:kern w:val="0"/>
                                      <w:sz w:val="16"/>
                                      <w:szCs w:val="13"/>
                                    </w:rPr>
                                    <w:t>新兴产业</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6.41</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160512</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博时卓越品牌</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6.22</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580006</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东吴新经济</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5.68</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混合偏债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1353</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广发聚康</w:t>
                                  </w:r>
                                  <w:proofErr w:type="gramEnd"/>
                                  <w:r w:rsidRPr="009D2B6E">
                                    <w:rPr>
                                      <w:rFonts w:ascii="楷体" w:eastAsia="楷体" w:hAnsi="楷体" w:cs="宋体" w:hint="eastAsia"/>
                                      <w:color w:val="000000"/>
                                      <w:kern w:val="0"/>
                                      <w:sz w:val="16"/>
                                      <w:szCs w:val="13"/>
                                    </w:rPr>
                                    <w:t>A</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2.35</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1354</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广发聚康</w:t>
                                  </w:r>
                                  <w:proofErr w:type="gramEnd"/>
                                  <w:r w:rsidRPr="009D2B6E">
                                    <w:rPr>
                                      <w:rFonts w:ascii="楷体" w:eastAsia="楷体" w:hAnsi="楷体" w:cs="宋体" w:hint="eastAsia"/>
                                      <w:color w:val="000000"/>
                                      <w:kern w:val="0"/>
                                      <w:sz w:val="16"/>
                                      <w:szCs w:val="13"/>
                                    </w:rPr>
                                    <w:t>C</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2.33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150103</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银河银泰理财分红</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1.68</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混合灵活</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410006</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华富策略精选</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6.79</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519956</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长信</w:t>
                                  </w:r>
                                  <w:proofErr w:type="gramStart"/>
                                  <w:r w:rsidRPr="009D2B6E">
                                    <w:rPr>
                                      <w:rFonts w:ascii="楷体" w:eastAsia="楷体" w:hAnsi="楷体" w:cs="宋体" w:hint="eastAsia"/>
                                      <w:color w:val="000000"/>
                                      <w:kern w:val="0"/>
                                      <w:sz w:val="16"/>
                                      <w:szCs w:val="13"/>
                                    </w:rPr>
                                    <w:t>睿</w:t>
                                  </w:r>
                                  <w:proofErr w:type="gramEnd"/>
                                  <w:r w:rsidRPr="009D2B6E">
                                    <w:rPr>
                                      <w:rFonts w:ascii="楷体" w:eastAsia="楷体" w:hAnsi="楷体" w:cs="宋体" w:hint="eastAsia"/>
                                      <w:color w:val="000000"/>
                                      <w:kern w:val="0"/>
                                      <w:sz w:val="16"/>
                                      <w:szCs w:val="13"/>
                                    </w:rPr>
                                    <w:t>进C</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6.53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519957</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长信</w:t>
                                  </w:r>
                                  <w:proofErr w:type="gramStart"/>
                                  <w:r w:rsidRPr="009D2B6E">
                                    <w:rPr>
                                      <w:rFonts w:ascii="楷体" w:eastAsia="楷体" w:hAnsi="楷体" w:cs="宋体" w:hint="eastAsia"/>
                                      <w:color w:val="000000"/>
                                      <w:kern w:val="0"/>
                                      <w:sz w:val="16"/>
                                      <w:szCs w:val="13"/>
                                    </w:rPr>
                                    <w:t>睿</w:t>
                                  </w:r>
                                  <w:proofErr w:type="gramEnd"/>
                                  <w:r w:rsidRPr="009D2B6E">
                                    <w:rPr>
                                      <w:rFonts w:ascii="楷体" w:eastAsia="楷体" w:hAnsi="楷体" w:cs="宋体" w:hint="eastAsia"/>
                                      <w:color w:val="000000"/>
                                      <w:kern w:val="0"/>
                                      <w:sz w:val="16"/>
                                      <w:szCs w:val="13"/>
                                    </w:rPr>
                                    <w:t>进A</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6.51</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Pr>
                                      <w:rFonts w:ascii="楷体" w:eastAsia="楷体" w:hAnsi="楷体" w:cs="宋体" w:hint="eastAsia"/>
                                      <w:b/>
                                      <w:bCs/>
                                      <w:color w:val="000000"/>
                                      <w:kern w:val="0"/>
                                      <w:sz w:val="16"/>
                                      <w:szCs w:val="13"/>
                                    </w:rPr>
                                    <w:t>混合平衡</w:t>
                                  </w: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180001</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银</w:t>
                                  </w:r>
                                  <w:proofErr w:type="gramStart"/>
                                  <w:r w:rsidRPr="009D2B6E">
                                    <w:rPr>
                                      <w:rFonts w:ascii="楷体" w:eastAsia="楷体" w:hAnsi="楷体" w:cs="宋体" w:hint="eastAsia"/>
                                      <w:color w:val="000000"/>
                                      <w:kern w:val="0"/>
                                      <w:sz w:val="16"/>
                                      <w:szCs w:val="13"/>
                                    </w:rPr>
                                    <w:t>华优势</w:t>
                                  </w:r>
                                  <w:proofErr w:type="gramEnd"/>
                                  <w:r w:rsidRPr="009D2B6E">
                                    <w:rPr>
                                      <w:rFonts w:ascii="楷体" w:eastAsia="楷体" w:hAnsi="楷体" w:cs="宋体" w:hint="eastAsia"/>
                                      <w:color w:val="000000"/>
                                      <w:kern w:val="0"/>
                                      <w:sz w:val="16"/>
                                      <w:szCs w:val="13"/>
                                    </w:rPr>
                                    <w:t>企业</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1.83</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110001</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易方达平稳增长</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1.58</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270001</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广</w:t>
                                  </w:r>
                                  <w:proofErr w:type="gramStart"/>
                                  <w:r w:rsidRPr="009D2B6E">
                                    <w:rPr>
                                      <w:rFonts w:ascii="楷体" w:eastAsia="楷体" w:hAnsi="楷体" w:cs="宋体" w:hint="eastAsia"/>
                                      <w:color w:val="000000"/>
                                      <w:kern w:val="0"/>
                                      <w:sz w:val="16"/>
                                      <w:szCs w:val="13"/>
                                    </w:rPr>
                                    <w:t>发聚富</w:t>
                                  </w:r>
                                  <w:proofErr w:type="gramEnd"/>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1.54</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Pr>
                                      <w:rFonts w:ascii="楷体" w:eastAsia="楷体" w:hAnsi="楷体" w:cs="宋体" w:hint="eastAsia"/>
                                      <w:b/>
                                      <w:bCs/>
                                      <w:color w:val="000000"/>
                                      <w:kern w:val="0"/>
                                      <w:sz w:val="16"/>
                                      <w:szCs w:val="13"/>
                                    </w:rPr>
                                    <w:t>纯债基金</w:t>
                                  </w:r>
                                  <w:proofErr w:type="gramEnd"/>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163825</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中银互利分级</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0.98</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81</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天治可转</w:t>
                                  </w:r>
                                  <w:proofErr w:type="gramStart"/>
                                  <w:r w:rsidRPr="009D2B6E">
                                    <w:rPr>
                                      <w:rFonts w:ascii="楷体" w:eastAsia="楷体" w:hAnsi="楷体" w:cs="宋体" w:hint="eastAsia"/>
                                      <w:color w:val="000000"/>
                                      <w:kern w:val="0"/>
                                      <w:sz w:val="16"/>
                                      <w:szCs w:val="13"/>
                                    </w:rPr>
                                    <w:t>债增强</w:t>
                                  </w:r>
                                  <w:proofErr w:type="gramEnd"/>
                                  <w:r w:rsidRPr="009D2B6E">
                                    <w:rPr>
                                      <w:rFonts w:ascii="楷体" w:eastAsia="楷体" w:hAnsi="楷体" w:cs="宋体" w:hint="eastAsia"/>
                                      <w:color w:val="000000"/>
                                      <w:kern w:val="0"/>
                                      <w:sz w:val="16"/>
                                      <w:szCs w:val="13"/>
                                    </w:rPr>
                                    <w:t>C</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0.83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80</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天治可转</w:t>
                                  </w:r>
                                  <w:proofErr w:type="gramStart"/>
                                  <w:r w:rsidRPr="009D2B6E">
                                    <w:rPr>
                                      <w:rFonts w:ascii="楷体" w:eastAsia="楷体" w:hAnsi="楷体" w:cs="宋体" w:hint="eastAsia"/>
                                      <w:color w:val="000000"/>
                                      <w:kern w:val="0"/>
                                      <w:sz w:val="16"/>
                                      <w:szCs w:val="13"/>
                                    </w:rPr>
                                    <w:t>债增强</w:t>
                                  </w:r>
                                  <w:proofErr w:type="gramEnd"/>
                                  <w:r w:rsidRPr="009D2B6E">
                                    <w:rPr>
                                      <w:rFonts w:ascii="楷体" w:eastAsia="楷体" w:hAnsi="楷体" w:cs="宋体" w:hint="eastAsia"/>
                                      <w:color w:val="000000"/>
                                      <w:kern w:val="0"/>
                                      <w:sz w:val="16"/>
                                      <w:szCs w:val="13"/>
                                    </w:rPr>
                                    <w:t>A</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0.83</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一级债基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161719</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招商可转债</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1.07</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240018</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华宝兴业可转债</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0.91</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166105</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信</w:t>
                                  </w:r>
                                  <w:proofErr w:type="gramStart"/>
                                  <w:r w:rsidRPr="009D2B6E">
                                    <w:rPr>
                                      <w:rFonts w:ascii="楷体" w:eastAsia="楷体" w:hAnsi="楷体" w:cs="宋体" w:hint="eastAsia"/>
                                      <w:color w:val="000000"/>
                                      <w:kern w:val="0"/>
                                      <w:sz w:val="16"/>
                                      <w:szCs w:val="13"/>
                                    </w:rPr>
                                    <w:t>达澳银稳定</w:t>
                                  </w:r>
                                  <w:proofErr w:type="gramEnd"/>
                                  <w:r w:rsidRPr="009D2B6E">
                                    <w:rPr>
                                      <w:rFonts w:ascii="楷体" w:eastAsia="楷体" w:hAnsi="楷体" w:cs="宋体" w:hint="eastAsia"/>
                                      <w:color w:val="000000"/>
                                      <w:kern w:val="0"/>
                                      <w:sz w:val="16"/>
                                      <w:szCs w:val="13"/>
                                    </w:rPr>
                                    <w:t>增利</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0.85</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二级债基</w:t>
                                  </w:r>
                                  <w:proofErr w:type="gramEnd"/>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297</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鹏华可转债</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2.55</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90017</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大成可转债</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2.14</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68</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民生</w:t>
                                  </w:r>
                                  <w:proofErr w:type="gramStart"/>
                                  <w:r w:rsidRPr="009D2B6E">
                                    <w:rPr>
                                      <w:rFonts w:ascii="楷体" w:eastAsia="楷体" w:hAnsi="楷体" w:cs="宋体" w:hint="eastAsia"/>
                                      <w:color w:val="000000"/>
                                      <w:kern w:val="0"/>
                                      <w:sz w:val="16"/>
                                      <w:szCs w:val="13"/>
                                    </w:rPr>
                                    <w:t>加银转债</w:t>
                                  </w:r>
                                  <w:proofErr w:type="gramEnd"/>
                                  <w:r w:rsidRPr="009D2B6E">
                                    <w:rPr>
                                      <w:rFonts w:ascii="楷体" w:eastAsia="楷体" w:hAnsi="楷体" w:cs="宋体" w:hint="eastAsia"/>
                                      <w:color w:val="000000"/>
                                      <w:kern w:val="0"/>
                                      <w:sz w:val="16"/>
                                      <w:szCs w:val="13"/>
                                    </w:rPr>
                                    <w:t>优选C</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2.02</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指数债基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161826</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银</w:t>
                                  </w:r>
                                  <w:proofErr w:type="gramStart"/>
                                  <w:r w:rsidRPr="009D2B6E">
                                    <w:rPr>
                                      <w:rFonts w:ascii="楷体" w:eastAsia="楷体" w:hAnsi="楷体" w:cs="宋体" w:hint="eastAsia"/>
                                      <w:color w:val="000000"/>
                                      <w:kern w:val="0"/>
                                      <w:sz w:val="16"/>
                                      <w:szCs w:val="13"/>
                                    </w:rPr>
                                    <w:t>华中证转债</w:t>
                                  </w:r>
                                  <w:proofErr w:type="gramEnd"/>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1.79</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161625</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融通标普中国</w:t>
                                  </w:r>
                                  <w:proofErr w:type="gramEnd"/>
                                  <w:r w:rsidRPr="009D2B6E">
                                    <w:rPr>
                                      <w:rFonts w:ascii="楷体" w:eastAsia="楷体" w:hAnsi="楷体" w:cs="宋体" w:hint="eastAsia"/>
                                      <w:color w:val="000000"/>
                                      <w:kern w:val="0"/>
                                      <w:sz w:val="16"/>
                                      <w:szCs w:val="13"/>
                                    </w:rPr>
                                    <w:t>可转债C</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1.31</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161624</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融通标普中国</w:t>
                                  </w:r>
                                  <w:proofErr w:type="gramEnd"/>
                                  <w:r w:rsidRPr="009D2B6E">
                                    <w:rPr>
                                      <w:rFonts w:ascii="楷体" w:eastAsia="楷体" w:hAnsi="楷体" w:cs="宋体" w:hint="eastAsia"/>
                                      <w:color w:val="000000"/>
                                      <w:kern w:val="0"/>
                                      <w:sz w:val="16"/>
                                      <w:szCs w:val="13"/>
                                    </w:rPr>
                                    <w:t>可转债A</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1.31</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货币基金</w:t>
                                  </w:r>
                                  <w:r w:rsidRPr="009D2B6E">
                                    <w:rPr>
                                      <w:rFonts w:ascii="楷体" w:eastAsia="楷体" w:hAnsi="楷体" w:cs="宋体" w:hint="eastAsia"/>
                                      <w:color w:val="000000"/>
                                      <w:kern w:val="0"/>
                                      <w:sz w:val="16"/>
                                      <w:szCs w:val="13"/>
                                    </w:rPr>
                                    <w:t>（七日年化</w:t>
                                  </w:r>
                                  <w:r>
                                    <w:rPr>
                                      <w:rFonts w:ascii="楷体" w:eastAsia="楷体" w:hAnsi="楷体" w:cs="宋体"/>
                                      <w:color w:val="000000"/>
                                      <w:kern w:val="0"/>
                                      <w:sz w:val="16"/>
                                      <w:szCs w:val="13"/>
                                    </w:rPr>
                                    <w:t>）</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846</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中融货币</w:t>
                                  </w:r>
                                  <w:proofErr w:type="gramEnd"/>
                                  <w:r w:rsidRPr="009D2B6E">
                                    <w:rPr>
                                      <w:rFonts w:ascii="楷体" w:eastAsia="楷体" w:hAnsi="楷体" w:cs="宋体" w:hint="eastAsia"/>
                                      <w:color w:val="000000"/>
                                      <w:kern w:val="0"/>
                                      <w:sz w:val="16"/>
                                      <w:szCs w:val="13"/>
                                    </w:rPr>
                                    <w:t>C</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17.47</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847</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中融货币</w:t>
                                  </w:r>
                                  <w:proofErr w:type="gramEnd"/>
                                  <w:r w:rsidRPr="009D2B6E">
                                    <w:rPr>
                                      <w:rFonts w:ascii="楷体" w:eastAsia="楷体" w:hAnsi="楷体" w:cs="宋体" w:hint="eastAsia"/>
                                      <w:color w:val="000000"/>
                                      <w:kern w:val="0"/>
                                      <w:sz w:val="16"/>
                                      <w:szCs w:val="13"/>
                                    </w:rPr>
                                    <w:t>A</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17.19</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80011</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长盛货币</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8.99</w:t>
                                  </w:r>
                                </w:p>
                              </w:tc>
                            </w:tr>
                            <w:tr w:rsidR="00FD5740" w:rsidRPr="009D2B6E" w:rsidTr="003175BA">
                              <w:trPr>
                                <w:trHeight w:val="284"/>
                              </w:trPr>
                              <w:tc>
                                <w:tcPr>
                                  <w:tcW w:w="582" w:type="dxa"/>
                                  <w:tcBorders>
                                    <w:top w:val="nil"/>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商品基金</w:t>
                                  </w: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216</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华安易富黄金ETF联接A</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1.49</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QDII</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163813</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中</w:t>
                                  </w:r>
                                  <w:proofErr w:type="gramStart"/>
                                  <w:r w:rsidRPr="009D2B6E">
                                    <w:rPr>
                                      <w:rFonts w:ascii="楷体" w:eastAsia="楷体" w:hAnsi="楷体" w:cs="宋体" w:hint="eastAsia"/>
                                      <w:color w:val="000000"/>
                                      <w:kern w:val="0"/>
                                      <w:sz w:val="16"/>
                                      <w:szCs w:val="13"/>
                                    </w:rPr>
                                    <w:t>银全球</w:t>
                                  </w:r>
                                  <w:proofErr w:type="gramEnd"/>
                                  <w:r w:rsidRPr="009D2B6E">
                                    <w:rPr>
                                      <w:rFonts w:ascii="楷体" w:eastAsia="楷体" w:hAnsi="楷体" w:cs="宋体" w:hint="eastAsia"/>
                                      <w:color w:val="000000"/>
                                      <w:kern w:val="0"/>
                                      <w:sz w:val="16"/>
                                      <w:szCs w:val="13"/>
                                    </w:rPr>
                                    <w:t>策略</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160719</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嘉实黄金</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1.43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320013</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诺安全球</w:t>
                                  </w:r>
                                  <w:proofErr w:type="gramEnd"/>
                                  <w:r w:rsidRPr="009D2B6E">
                                    <w:rPr>
                                      <w:rFonts w:ascii="楷体" w:eastAsia="楷体" w:hAnsi="楷体" w:cs="宋体" w:hint="eastAsia"/>
                                      <w:color w:val="000000"/>
                                      <w:kern w:val="0"/>
                                      <w:sz w:val="16"/>
                                      <w:szCs w:val="13"/>
                                    </w:rPr>
                                    <w:t>黄金</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1.41</w:t>
                                  </w:r>
                                </w:p>
                              </w:tc>
                            </w:tr>
                          </w:tbl>
                          <w:p w:rsidR="00FD5740" w:rsidRDefault="00FD5740"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F0615C" w:rsidRDefault="00FD5740" w:rsidP="009D2B6E">
                            <w:pPr>
                              <w:rPr>
                                <w:rFonts w:ascii="楷体" w:eastAsia="楷体" w:hAnsi="楷体" w:cs="宋体"/>
                                <w:b/>
                                <w:bCs/>
                                <w:color w:val="000000"/>
                                <w:kern w:val="0"/>
                                <w:sz w:val="16"/>
                                <w:szCs w:val="16"/>
                                <w:lang w:val="en-GB"/>
                              </w:rPr>
                            </w:pPr>
                          </w:p>
                          <w:p w:rsidR="00FD5740" w:rsidRDefault="00FD5740" w:rsidP="009D2B6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5517D6" w:rsidRDefault="00FD5740" w:rsidP="009D2B6E">
                            <w:pPr>
                              <w:rPr>
                                <w:lang w:val="en-GB"/>
                              </w:rPr>
                            </w:pPr>
                          </w:p>
                          <w:p w:rsidR="00FD5740" w:rsidRPr="009D2B6E" w:rsidRDefault="00FD5740" w:rsidP="009D2B6E">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1pt;margin-top:-6.4pt;width:184.25pt;height:694.0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" o:allowoverlap="f" filled="f" stroked="f">
                <v:textbox>
                  <w:txbxContent>
                    <w:p w:rsidR="00FD5740" w:rsidRDefault="00FD5740" w:rsidP="009D2B6E">
                      <w:pPr>
                        <w:rPr>
                          <w:rFonts w:ascii="楷体" w:eastAsia="楷体" w:hAnsi="楷体" w:cs="宋体"/>
                          <w:b/>
                          <w:bCs/>
                          <w:color w:val="000000"/>
                          <w:kern w:val="0"/>
                          <w:sz w:val="16"/>
                          <w:szCs w:val="16"/>
                          <w:lang w:val="en-GB"/>
                        </w:rPr>
                      </w:pPr>
                    </w:p>
                    <w:tbl>
                      <w:tblPr>
                        <w:tblW w:w="3402" w:type="dxa"/>
                        <w:tblInd w:w="93" w:type="dxa"/>
                        <w:tblLook w:val="04A0" w:firstRow="1" w:lastRow="0" w:firstColumn="1" w:lastColumn="0" w:noHBand="0" w:noVBand="1"/>
                      </w:tblPr>
                      <w:tblGrid>
                        <w:gridCol w:w="582"/>
                        <w:gridCol w:w="815"/>
                        <w:gridCol w:w="1389"/>
                        <w:gridCol w:w="616"/>
                      </w:tblGrid>
                      <w:tr w:rsidR="00FD5740" w:rsidRPr="009D2B6E" w:rsidTr="00F0615C">
                        <w:trPr>
                          <w:trHeight w:val="284"/>
                        </w:trPr>
                        <w:tc>
                          <w:tcPr>
                            <w:tcW w:w="582" w:type="dxa"/>
                            <w:tcBorders>
                              <w:top w:val="single" w:sz="8" w:space="0" w:color="000000"/>
                              <w:left w:val="nil"/>
                              <w:bottom w:val="single" w:sz="8" w:space="0" w:color="000000"/>
                              <w:right w:val="single" w:sz="8" w:space="0" w:color="000000"/>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类型</w:t>
                            </w:r>
                          </w:p>
                        </w:tc>
                        <w:tc>
                          <w:tcPr>
                            <w:tcW w:w="815" w:type="dxa"/>
                            <w:tcBorders>
                              <w:top w:val="single" w:sz="8" w:space="0" w:color="000000"/>
                              <w:left w:val="nil"/>
                              <w:bottom w:val="single" w:sz="8" w:space="0" w:color="000000"/>
                              <w:right w:val="nil"/>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代码</w:t>
                            </w:r>
                          </w:p>
                        </w:tc>
                        <w:tc>
                          <w:tcPr>
                            <w:tcW w:w="1389" w:type="dxa"/>
                            <w:tcBorders>
                              <w:top w:val="single" w:sz="8" w:space="0" w:color="000000"/>
                              <w:left w:val="nil"/>
                              <w:bottom w:val="single" w:sz="8" w:space="0" w:color="000000"/>
                              <w:right w:val="nil"/>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简称</w:t>
                            </w:r>
                          </w:p>
                        </w:tc>
                        <w:tc>
                          <w:tcPr>
                            <w:tcW w:w="616" w:type="dxa"/>
                            <w:tcBorders>
                              <w:top w:val="single" w:sz="8" w:space="0" w:color="000000"/>
                              <w:left w:val="nil"/>
                              <w:bottom w:val="single" w:sz="8" w:space="0" w:color="000000"/>
                              <w:right w:val="nil"/>
                            </w:tcBorders>
                            <w:shd w:val="clear" w:color="F79646" w:fill="F79646"/>
                            <w:vAlign w:val="center"/>
                            <w:hideMark/>
                          </w:tcPr>
                          <w:p w:rsidR="00FD5740" w:rsidRPr="009D2B6E" w:rsidRDefault="00FD5740" w:rsidP="009D2B6E">
                            <w:pPr>
                              <w:widowControl/>
                              <w:jc w:val="center"/>
                              <w:rPr>
                                <w:rFonts w:ascii="Arial" w:cs="Arial"/>
                                <w:b/>
                                <w:sz w:val="18"/>
                                <w:szCs w:val="16"/>
                              </w:rPr>
                            </w:pPr>
                            <w:r w:rsidRPr="009D2B6E">
                              <w:rPr>
                                <w:rFonts w:ascii="Arial" w:cs="Arial" w:hint="eastAsia"/>
                                <w:b/>
                                <w:sz w:val="18"/>
                                <w:szCs w:val="16"/>
                              </w:rPr>
                              <w:t>收益率</w:t>
                            </w:r>
                            <w:r w:rsidRPr="009D2B6E">
                              <w:rPr>
                                <w:rFonts w:ascii="Arial" w:cs="Arial" w:hint="eastAsia"/>
                                <w:b/>
                                <w:sz w:val="18"/>
                                <w:szCs w:val="16"/>
                              </w:rPr>
                              <w:t>%</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普通股基</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793</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工银瑞信</w:t>
                            </w:r>
                            <w:proofErr w:type="gramEnd"/>
                            <w:r w:rsidRPr="009D2B6E">
                              <w:rPr>
                                <w:rFonts w:ascii="楷体" w:eastAsia="楷体" w:hAnsi="楷体" w:cs="宋体" w:hint="eastAsia"/>
                                <w:color w:val="000000"/>
                                <w:kern w:val="0"/>
                                <w:sz w:val="16"/>
                                <w:szCs w:val="13"/>
                              </w:rPr>
                              <w:t>高端制造行业</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7.19</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803</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工</w:t>
                            </w:r>
                            <w:proofErr w:type="gramStart"/>
                            <w:r w:rsidRPr="009D2B6E">
                              <w:rPr>
                                <w:rFonts w:ascii="楷体" w:eastAsia="楷体" w:hAnsi="楷体" w:cs="宋体" w:hint="eastAsia"/>
                                <w:color w:val="000000"/>
                                <w:kern w:val="0"/>
                                <w:sz w:val="16"/>
                                <w:szCs w:val="13"/>
                              </w:rPr>
                              <w:t>银瑞信研究</w:t>
                            </w:r>
                            <w:proofErr w:type="gramEnd"/>
                            <w:r w:rsidRPr="009D2B6E">
                              <w:rPr>
                                <w:rFonts w:ascii="楷体" w:eastAsia="楷体" w:hAnsi="楷体" w:cs="宋体" w:hint="eastAsia"/>
                                <w:color w:val="000000"/>
                                <w:kern w:val="0"/>
                                <w:sz w:val="16"/>
                                <w:szCs w:val="13"/>
                              </w:rPr>
                              <w:t>精选</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6.67</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1158</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工银瑞信</w:t>
                            </w:r>
                            <w:proofErr w:type="gramEnd"/>
                            <w:r w:rsidRPr="009D2B6E">
                              <w:rPr>
                                <w:rFonts w:ascii="楷体" w:eastAsia="楷体" w:hAnsi="楷体" w:cs="宋体" w:hint="eastAsia"/>
                                <w:color w:val="000000"/>
                                <w:kern w:val="0"/>
                                <w:sz w:val="16"/>
                                <w:szCs w:val="13"/>
                              </w:rPr>
                              <w:t>新材料新能源行业</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5.57</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指数股基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160630</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鹏华中证国防</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5.02</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160628</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鹏华中证800地产</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4.39</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596</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前海开源中证军工</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4.03</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Pr>
                                <w:rFonts w:ascii="楷体" w:eastAsia="楷体" w:hAnsi="楷体" w:cs="宋体" w:hint="eastAsia"/>
                                <w:b/>
                                <w:bCs/>
                                <w:color w:val="000000"/>
                                <w:kern w:val="0"/>
                                <w:sz w:val="16"/>
                                <w:szCs w:val="13"/>
                              </w:rPr>
                              <w:t>混合偏股</w:t>
                            </w:r>
                            <w:proofErr w:type="gramEnd"/>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590008</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中</w:t>
                            </w:r>
                            <w:proofErr w:type="gramStart"/>
                            <w:r w:rsidRPr="009D2B6E">
                              <w:rPr>
                                <w:rFonts w:ascii="楷体" w:eastAsia="楷体" w:hAnsi="楷体" w:cs="宋体" w:hint="eastAsia"/>
                                <w:color w:val="000000"/>
                                <w:kern w:val="0"/>
                                <w:sz w:val="16"/>
                                <w:szCs w:val="13"/>
                              </w:rPr>
                              <w:t>邮战略</w:t>
                            </w:r>
                            <w:proofErr w:type="gramEnd"/>
                            <w:r w:rsidRPr="009D2B6E">
                              <w:rPr>
                                <w:rFonts w:ascii="楷体" w:eastAsia="楷体" w:hAnsi="楷体" w:cs="宋体" w:hint="eastAsia"/>
                                <w:color w:val="000000"/>
                                <w:kern w:val="0"/>
                                <w:sz w:val="16"/>
                                <w:szCs w:val="13"/>
                              </w:rPr>
                              <w:t>新兴产业</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6.41</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160512</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博时卓越品牌</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6.22</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580006</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东吴新经济</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5.68</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混合偏债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1353</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广发聚康</w:t>
                            </w:r>
                            <w:proofErr w:type="gramEnd"/>
                            <w:r w:rsidRPr="009D2B6E">
                              <w:rPr>
                                <w:rFonts w:ascii="楷体" w:eastAsia="楷体" w:hAnsi="楷体" w:cs="宋体" w:hint="eastAsia"/>
                                <w:color w:val="000000"/>
                                <w:kern w:val="0"/>
                                <w:sz w:val="16"/>
                                <w:szCs w:val="13"/>
                              </w:rPr>
                              <w:t>A</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2.35</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1354</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广发聚康</w:t>
                            </w:r>
                            <w:proofErr w:type="gramEnd"/>
                            <w:r w:rsidRPr="009D2B6E">
                              <w:rPr>
                                <w:rFonts w:ascii="楷体" w:eastAsia="楷体" w:hAnsi="楷体" w:cs="宋体" w:hint="eastAsia"/>
                                <w:color w:val="000000"/>
                                <w:kern w:val="0"/>
                                <w:sz w:val="16"/>
                                <w:szCs w:val="13"/>
                              </w:rPr>
                              <w:t>C</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2.33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150103</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银河银泰理财分红</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1.68</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混合灵活</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410006</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华富策略精选</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6.79</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519956</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长信</w:t>
                            </w:r>
                            <w:proofErr w:type="gramStart"/>
                            <w:r w:rsidRPr="009D2B6E">
                              <w:rPr>
                                <w:rFonts w:ascii="楷体" w:eastAsia="楷体" w:hAnsi="楷体" w:cs="宋体" w:hint="eastAsia"/>
                                <w:color w:val="000000"/>
                                <w:kern w:val="0"/>
                                <w:sz w:val="16"/>
                                <w:szCs w:val="13"/>
                              </w:rPr>
                              <w:t>睿</w:t>
                            </w:r>
                            <w:proofErr w:type="gramEnd"/>
                            <w:r w:rsidRPr="009D2B6E">
                              <w:rPr>
                                <w:rFonts w:ascii="楷体" w:eastAsia="楷体" w:hAnsi="楷体" w:cs="宋体" w:hint="eastAsia"/>
                                <w:color w:val="000000"/>
                                <w:kern w:val="0"/>
                                <w:sz w:val="16"/>
                                <w:szCs w:val="13"/>
                              </w:rPr>
                              <w:t>进C</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6.53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519957</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长信</w:t>
                            </w:r>
                            <w:proofErr w:type="gramStart"/>
                            <w:r w:rsidRPr="009D2B6E">
                              <w:rPr>
                                <w:rFonts w:ascii="楷体" w:eastAsia="楷体" w:hAnsi="楷体" w:cs="宋体" w:hint="eastAsia"/>
                                <w:color w:val="000000"/>
                                <w:kern w:val="0"/>
                                <w:sz w:val="16"/>
                                <w:szCs w:val="13"/>
                              </w:rPr>
                              <w:t>睿</w:t>
                            </w:r>
                            <w:proofErr w:type="gramEnd"/>
                            <w:r w:rsidRPr="009D2B6E">
                              <w:rPr>
                                <w:rFonts w:ascii="楷体" w:eastAsia="楷体" w:hAnsi="楷体" w:cs="宋体" w:hint="eastAsia"/>
                                <w:color w:val="000000"/>
                                <w:kern w:val="0"/>
                                <w:sz w:val="16"/>
                                <w:szCs w:val="13"/>
                              </w:rPr>
                              <w:t>进A</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6.51</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Pr>
                                <w:rFonts w:ascii="楷体" w:eastAsia="楷体" w:hAnsi="楷体" w:cs="宋体" w:hint="eastAsia"/>
                                <w:b/>
                                <w:bCs/>
                                <w:color w:val="000000"/>
                                <w:kern w:val="0"/>
                                <w:sz w:val="16"/>
                                <w:szCs w:val="13"/>
                              </w:rPr>
                              <w:t>混合平衡</w:t>
                            </w: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180001</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银</w:t>
                            </w:r>
                            <w:proofErr w:type="gramStart"/>
                            <w:r w:rsidRPr="009D2B6E">
                              <w:rPr>
                                <w:rFonts w:ascii="楷体" w:eastAsia="楷体" w:hAnsi="楷体" w:cs="宋体" w:hint="eastAsia"/>
                                <w:color w:val="000000"/>
                                <w:kern w:val="0"/>
                                <w:sz w:val="16"/>
                                <w:szCs w:val="13"/>
                              </w:rPr>
                              <w:t>华优势</w:t>
                            </w:r>
                            <w:proofErr w:type="gramEnd"/>
                            <w:r w:rsidRPr="009D2B6E">
                              <w:rPr>
                                <w:rFonts w:ascii="楷体" w:eastAsia="楷体" w:hAnsi="楷体" w:cs="宋体" w:hint="eastAsia"/>
                                <w:color w:val="000000"/>
                                <w:kern w:val="0"/>
                                <w:sz w:val="16"/>
                                <w:szCs w:val="13"/>
                              </w:rPr>
                              <w:t>企业</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1.83</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110001</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易方达平稳增长</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1.58</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270001</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广</w:t>
                            </w:r>
                            <w:proofErr w:type="gramStart"/>
                            <w:r w:rsidRPr="009D2B6E">
                              <w:rPr>
                                <w:rFonts w:ascii="楷体" w:eastAsia="楷体" w:hAnsi="楷体" w:cs="宋体" w:hint="eastAsia"/>
                                <w:color w:val="000000"/>
                                <w:kern w:val="0"/>
                                <w:sz w:val="16"/>
                                <w:szCs w:val="13"/>
                              </w:rPr>
                              <w:t>发聚富</w:t>
                            </w:r>
                            <w:proofErr w:type="gramEnd"/>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1.54</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Pr>
                                <w:rFonts w:ascii="楷体" w:eastAsia="楷体" w:hAnsi="楷体" w:cs="宋体" w:hint="eastAsia"/>
                                <w:b/>
                                <w:bCs/>
                                <w:color w:val="000000"/>
                                <w:kern w:val="0"/>
                                <w:sz w:val="16"/>
                                <w:szCs w:val="13"/>
                              </w:rPr>
                              <w:t>纯债基金</w:t>
                            </w:r>
                            <w:proofErr w:type="gramEnd"/>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163825</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中银互利分级</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0.98</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81</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天治可转</w:t>
                            </w:r>
                            <w:proofErr w:type="gramStart"/>
                            <w:r w:rsidRPr="009D2B6E">
                              <w:rPr>
                                <w:rFonts w:ascii="楷体" w:eastAsia="楷体" w:hAnsi="楷体" w:cs="宋体" w:hint="eastAsia"/>
                                <w:color w:val="000000"/>
                                <w:kern w:val="0"/>
                                <w:sz w:val="16"/>
                                <w:szCs w:val="13"/>
                              </w:rPr>
                              <w:t>债增强</w:t>
                            </w:r>
                            <w:proofErr w:type="gramEnd"/>
                            <w:r w:rsidRPr="009D2B6E">
                              <w:rPr>
                                <w:rFonts w:ascii="楷体" w:eastAsia="楷体" w:hAnsi="楷体" w:cs="宋体" w:hint="eastAsia"/>
                                <w:color w:val="000000"/>
                                <w:kern w:val="0"/>
                                <w:sz w:val="16"/>
                                <w:szCs w:val="13"/>
                              </w:rPr>
                              <w:t>C</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0.83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80</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天治可转</w:t>
                            </w:r>
                            <w:proofErr w:type="gramStart"/>
                            <w:r w:rsidRPr="009D2B6E">
                              <w:rPr>
                                <w:rFonts w:ascii="楷体" w:eastAsia="楷体" w:hAnsi="楷体" w:cs="宋体" w:hint="eastAsia"/>
                                <w:color w:val="000000"/>
                                <w:kern w:val="0"/>
                                <w:sz w:val="16"/>
                                <w:szCs w:val="13"/>
                              </w:rPr>
                              <w:t>债增强</w:t>
                            </w:r>
                            <w:proofErr w:type="gramEnd"/>
                            <w:r w:rsidRPr="009D2B6E">
                              <w:rPr>
                                <w:rFonts w:ascii="楷体" w:eastAsia="楷体" w:hAnsi="楷体" w:cs="宋体" w:hint="eastAsia"/>
                                <w:color w:val="000000"/>
                                <w:kern w:val="0"/>
                                <w:sz w:val="16"/>
                                <w:szCs w:val="13"/>
                              </w:rPr>
                              <w:t>A</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0.83</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一级债基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161719</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招商可转债</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1.07</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240018</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华宝兴业可转债</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0.91</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166105</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信</w:t>
                            </w:r>
                            <w:proofErr w:type="gramStart"/>
                            <w:r w:rsidRPr="009D2B6E">
                              <w:rPr>
                                <w:rFonts w:ascii="楷体" w:eastAsia="楷体" w:hAnsi="楷体" w:cs="宋体" w:hint="eastAsia"/>
                                <w:color w:val="000000"/>
                                <w:kern w:val="0"/>
                                <w:sz w:val="16"/>
                                <w:szCs w:val="13"/>
                              </w:rPr>
                              <w:t>达澳银稳定</w:t>
                            </w:r>
                            <w:proofErr w:type="gramEnd"/>
                            <w:r w:rsidRPr="009D2B6E">
                              <w:rPr>
                                <w:rFonts w:ascii="楷体" w:eastAsia="楷体" w:hAnsi="楷体" w:cs="宋体" w:hint="eastAsia"/>
                                <w:color w:val="000000"/>
                                <w:kern w:val="0"/>
                                <w:sz w:val="16"/>
                                <w:szCs w:val="13"/>
                              </w:rPr>
                              <w:t>增利</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0.85</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二级债基</w:t>
                            </w:r>
                            <w:proofErr w:type="gramEnd"/>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297</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鹏华可转债</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2.55</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90017</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大成可转债</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2.14</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68</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民生</w:t>
                            </w:r>
                            <w:proofErr w:type="gramStart"/>
                            <w:r w:rsidRPr="009D2B6E">
                              <w:rPr>
                                <w:rFonts w:ascii="楷体" w:eastAsia="楷体" w:hAnsi="楷体" w:cs="宋体" w:hint="eastAsia"/>
                                <w:color w:val="000000"/>
                                <w:kern w:val="0"/>
                                <w:sz w:val="16"/>
                                <w:szCs w:val="13"/>
                              </w:rPr>
                              <w:t>加银转债</w:t>
                            </w:r>
                            <w:proofErr w:type="gramEnd"/>
                            <w:r w:rsidRPr="009D2B6E">
                              <w:rPr>
                                <w:rFonts w:ascii="楷体" w:eastAsia="楷体" w:hAnsi="楷体" w:cs="宋体" w:hint="eastAsia"/>
                                <w:color w:val="000000"/>
                                <w:kern w:val="0"/>
                                <w:sz w:val="16"/>
                                <w:szCs w:val="13"/>
                              </w:rPr>
                              <w:t>优选C</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2.02</w:t>
                            </w:r>
                          </w:p>
                        </w:tc>
                      </w:tr>
                      <w:tr w:rsidR="00FD5740" w:rsidRPr="009D2B6E" w:rsidTr="003175BA">
                        <w:trPr>
                          <w:trHeight w:val="284"/>
                        </w:trPr>
                        <w:tc>
                          <w:tcPr>
                            <w:tcW w:w="582" w:type="dxa"/>
                            <w:vMerge w:val="restart"/>
                            <w:tcBorders>
                              <w:top w:val="nil"/>
                              <w:left w:val="nil"/>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roofErr w:type="gramStart"/>
                            <w:r w:rsidRPr="009D2B6E">
                              <w:rPr>
                                <w:rFonts w:ascii="楷体" w:eastAsia="楷体" w:hAnsi="楷体" w:cs="宋体" w:hint="eastAsia"/>
                                <w:b/>
                                <w:bCs/>
                                <w:color w:val="000000"/>
                                <w:kern w:val="0"/>
                                <w:sz w:val="16"/>
                                <w:szCs w:val="13"/>
                              </w:rPr>
                              <w:t>指数债基</w:t>
                            </w:r>
                            <w:proofErr w:type="gramEnd"/>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161826</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银</w:t>
                            </w:r>
                            <w:proofErr w:type="gramStart"/>
                            <w:r w:rsidRPr="009D2B6E">
                              <w:rPr>
                                <w:rFonts w:ascii="楷体" w:eastAsia="楷体" w:hAnsi="楷体" w:cs="宋体" w:hint="eastAsia"/>
                                <w:color w:val="000000"/>
                                <w:kern w:val="0"/>
                                <w:sz w:val="16"/>
                                <w:szCs w:val="13"/>
                              </w:rPr>
                              <w:t>华中证转债</w:t>
                            </w:r>
                            <w:proofErr w:type="gramEnd"/>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1.79</w:t>
                            </w:r>
                          </w:p>
                        </w:tc>
                      </w:tr>
                      <w:tr w:rsidR="00FD5740" w:rsidRPr="009D2B6E" w:rsidTr="003175BA">
                        <w:trPr>
                          <w:trHeight w:val="284"/>
                        </w:trPr>
                        <w:tc>
                          <w:tcPr>
                            <w:tcW w:w="582" w:type="dxa"/>
                            <w:vMerge/>
                            <w:tcBorders>
                              <w:left w:val="nil"/>
                              <w:right w:val="single" w:sz="8" w:space="0" w:color="000000"/>
                            </w:tcBorders>
                            <w:shd w:val="clear" w:color="auto" w:fill="F2F2F2" w:themeFill="background1" w:themeFillShade="F2"/>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161625</w:t>
                            </w:r>
                          </w:p>
                        </w:tc>
                        <w:tc>
                          <w:tcPr>
                            <w:tcW w:w="1389"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融通标普中国</w:t>
                            </w:r>
                            <w:proofErr w:type="gramEnd"/>
                            <w:r w:rsidRPr="009D2B6E">
                              <w:rPr>
                                <w:rFonts w:ascii="楷体" w:eastAsia="楷体" w:hAnsi="楷体" w:cs="宋体" w:hint="eastAsia"/>
                                <w:color w:val="000000"/>
                                <w:kern w:val="0"/>
                                <w:sz w:val="16"/>
                                <w:szCs w:val="13"/>
                              </w:rPr>
                              <w:t>可转债C</w:t>
                            </w:r>
                          </w:p>
                        </w:tc>
                        <w:tc>
                          <w:tcPr>
                            <w:tcW w:w="616" w:type="dxa"/>
                            <w:tcBorders>
                              <w:top w:val="nil"/>
                              <w:left w:val="nil"/>
                              <w:bottom w:val="nil"/>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1.31</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161624</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融通标普中国</w:t>
                            </w:r>
                            <w:proofErr w:type="gramEnd"/>
                            <w:r w:rsidRPr="009D2B6E">
                              <w:rPr>
                                <w:rFonts w:ascii="楷体" w:eastAsia="楷体" w:hAnsi="楷体" w:cs="宋体" w:hint="eastAsia"/>
                                <w:color w:val="000000"/>
                                <w:kern w:val="0"/>
                                <w:sz w:val="16"/>
                                <w:szCs w:val="13"/>
                              </w:rPr>
                              <w:t>可转债A</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1.31</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货币基金</w:t>
                            </w:r>
                            <w:r w:rsidRPr="009D2B6E">
                              <w:rPr>
                                <w:rFonts w:ascii="楷体" w:eastAsia="楷体" w:hAnsi="楷体" w:cs="宋体" w:hint="eastAsia"/>
                                <w:color w:val="000000"/>
                                <w:kern w:val="0"/>
                                <w:sz w:val="16"/>
                                <w:szCs w:val="13"/>
                              </w:rPr>
                              <w:t>（七日年化</w:t>
                            </w:r>
                            <w:r>
                              <w:rPr>
                                <w:rFonts w:ascii="楷体" w:eastAsia="楷体" w:hAnsi="楷体" w:cs="宋体"/>
                                <w:color w:val="000000"/>
                                <w:kern w:val="0"/>
                                <w:sz w:val="16"/>
                                <w:szCs w:val="13"/>
                              </w:rPr>
                              <w:t>）</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846</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中融货币</w:t>
                            </w:r>
                            <w:proofErr w:type="gramEnd"/>
                            <w:r w:rsidRPr="009D2B6E">
                              <w:rPr>
                                <w:rFonts w:ascii="楷体" w:eastAsia="楷体" w:hAnsi="楷体" w:cs="宋体" w:hint="eastAsia"/>
                                <w:color w:val="000000"/>
                                <w:kern w:val="0"/>
                                <w:sz w:val="16"/>
                                <w:szCs w:val="13"/>
                              </w:rPr>
                              <w:t>C</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17.47</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847</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中融货币</w:t>
                            </w:r>
                            <w:proofErr w:type="gramEnd"/>
                            <w:r w:rsidRPr="009D2B6E">
                              <w:rPr>
                                <w:rFonts w:ascii="楷体" w:eastAsia="楷体" w:hAnsi="楷体" w:cs="宋体" w:hint="eastAsia"/>
                                <w:color w:val="000000"/>
                                <w:kern w:val="0"/>
                                <w:sz w:val="16"/>
                                <w:szCs w:val="13"/>
                              </w:rPr>
                              <w:t>A</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17.19</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80011</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长盛货币</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8.99</w:t>
                            </w:r>
                          </w:p>
                        </w:tc>
                      </w:tr>
                      <w:tr w:rsidR="00FD5740" w:rsidRPr="009D2B6E" w:rsidTr="003175BA">
                        <w:trPr>
                          <w:trHeight w:val="284"/>
                        </w:trPr>
                        <w:tc>
                          <w:tcPr>
                            <w:tcW w:w="582" w:type="dxa"/>
                            <w:tcBorders>
                              <w:top w:val="nil"/>
                              <w:left w:val="nil"/>
                              <w:bottom w:val="single" w:sz="8" w:space="0" w:color="000000"/>
                              <w:right w:val="single" w:sz="8" w:space="0" w:color="000000"/>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商品基金</w:t>
                            </w:r>
                          </w:p>
                        </w:tc>
                        <w:tc>
                          <w:tcPr>
                            <w:tcW w:w="815"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216</w:t>
                            </w:r>
                          </w:p>
                        </w:tc>
                        <w:tc>
                          <w:tcPr>
                            <w:tcW w:w="1389"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华安易富黄金ETF联接A</w:t>
                            </w:r>
                          </w:p>
                        </w:tc>
                        <w:tc>
                          <w:tcPr>
                            <w:tcW w:w="616" w:type="dxa"/>
                            <w:tcBorders>
                              <w:top w:val="nil"/>
                              <w:left w:val="nil"/>
                              <w:bottom w:val="single" w:sz="8" w:space="0" w:color="000000"/>
                              <w:right w:val="nil"/>
                            </w:tcBorders>
                            <w:shd w:val="clear" w:color="auto" w:fill="F2F2F2" w:themeFill="background1" w:themeFillShade="F2"/>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1.49</w:t>
                            </w:r>
                          </w:p>
                        </w:tc>
                      </w:tr>
                      <w:tr w:rsidR="00FD5740" w:rsidRPr="009D2B6E" w:rsidTr="003175BA">
                        <w:trPr>
                          <w:trHeight w:val="284"/>
                        </w:trPr>
                        <w:tc>
                          <w:tcPr>
                            <w:tcW w:w="582" w:type="dxa"/>
                            <w:vMerge w:val="restart"/>
                            <w:tcBorders>
                              <w:top w:val="single" w:sz="8" w:space="0" w:color="000000"/>
                              <w:left w:val="nil"/>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r w:rsidRPr="009D2B6E">
                              <w:rPr>
                                <w:rFonts w:ascii="楷体" w:eastAsia="楷体" w:hAnsi="楷体" w:cs="宋体" w:hint="eastAsia"/>
                                <w:b/>
                                <w:bCs/>
                                <w:color w:val="000000"/>
                                <w:kern w:val="0"/>
                                <w:sz w:val="16"/>
                                <w:szCs w:val="13"/>
                              </w:rPr>
                              <w:t>QDII</w:t>
                            </w: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163813</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中</w:t>
                            </w:r>
                            <w:proofErr w:type="gramStart"/>
                            <w:r w:rsidRPr="009D2B6E">
                              <w:rPr>
                                <w:rFonts w:ascii="楷体" w:eastAsia="楷体" w:hAnsi="楷体" w:cs="宋体" w:hint="eastAsia"/>
                                <w:color w:val="000000"/>
                                <w:kern w:val="0"/>
                                <w:sz w:val="16"/>
                                <w:szCs w:val="13"/>
                              </w:rPr>
                              <w:t>银全球</w:t>
                            </w:r>
                            <w:proofErr w:type="gramEnd"/>
                            <w:r w:rsidRPr="009D2B6E">
                              <w:rPr>
                                <w:rFonts w:ascii="楷体" w:eastAsia="楷体" w:hAnsi="楷体" w:cs="宋体" w:hint="eastAsia"/>
                                <w:color w:val="000000"/>
                                <w:kern w:val="0"/>
                                <w:sz w:val="16"/>
                                <w:szCs w:val="13"/>
                              </w:rPr>
                              <w:t>策略</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w:t>
                            </w:r>
                          </w:p>
                        </w:tc>
                      </w:tr>
                      <w:tr w:rsidR="00FD5740" w:rsidRPr="009D2B6E" w:rsidTr="003175BA">
                        <w:trPr>
                          <w:trHeight w:val="284"/>
                        </w:trPr>
                        <w:tc>
                          <w:tcPr>
                            <w:tcW w:w="582" w:type="dxa"/>
                            <w:vMerge/>
                            <w:tcBorders>
                              <w:left w:val="nil"/>
                              <w:right w:val="single" w:sz="8" w:space="0" w:color="000000"/>
                            </w:tcBorders>
                            <w:shd w:val="clear" w:color="auto" w:fill="FFFFFF" w:themeFill="background1"/>
                            <w:vAlign w:val="center"/>
                            <w:hideMark/>
                          </w:tcPr>
                          <w:p w:rsidR="00FD5740" w:rsidRPr="009D2B6E" w:rsidRDefault="00FD5740" w:rsidP="009D2B6E">
                            <w:pPr>
                              <w:jc w:val="left"/>
                              <w:rPr>
                                <w:rFonts w:ascii="楷体" w:eastAsia="楷体" w:hAnsi="楷体" w:cs="宋体"/>
                                <w:b/>
                                <w:bCs/>
                                <w:color w:val="000000"/>
                                <w:kern w:val="0"/>
                                <w:sz w:val="16"/>
                                <w:szCs w:val="13"/>
                              </w:rPr>
                            </w:pPr>
                          </w:p>
                        </w:tc>
                        <w:tc>
                          <w:tcPr>
                            <w:tcW w:w="815"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160719</w:t>
                            </w:r>
                          </w:p>
                        </w:tc>
                        <w:tc>
                          <w:tcPr>
                            <w:tcW w:w="1389"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嘉实黄金</w:t>
                            </w:r>
                          </w:p>
                        </w:tc>
                        <w:tc>
                          <w:tcPr>
                            <w:tcW w:w="616" w:type="dxa"/>
                            <w:tcBorders>
                              <w:top w:val="nil"/>
                              <w:left w:val="nil"/>
                              <w:bottom w:val="nil"/>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1.43</w:t>
                            </w:r>
                          </w:p>
                        </w:tc>
                      </w:tr>
                      <w:tr w:rsidR="00FD5740" w:rsidRPr="009D2B6E" w:rsidTr="003175BA">
                        <w:trPr>
                          <w:trHeight w:val="284"/>
                        </w:trPr>
                        <w:tc>
                          <w:tcPr>
                            <w:tcW w:w="582" w:type="dxa"/>
                            <w:vMerge/>
                            <w:tcBorders>
                              <w:left w:val="nil"/>
                              <w:bottom w:val="single" w:sz="8" w:space="0" w:color="000000"/>
                              <w:right w:val="single" w:sz="8" w:space="0" w:color="000000"/>
                            </w:tcBorders>
                            <w:shd w:val="clear" w:color="auto" w:fill="FFFFFF" w:themeFill="background1"/>
                            <w:vAlign w:val="center"/>
                            <w:hideMark/>
                          </w:tcPr>
                          <w:p w:rsidR="00FD5740" w:rsidRPr="009D2B6E" w:rsidRDefault="00FD5740" w:rsidP="009D2B6E">
                            <w:pPr>
                              <w:widowControl/>
                              <w:jc w:val="left"/>
                              <w:rPr>
                                <w:rFonts w:ascii="楷体" w:eastAsia="楷体" w:hAnsi="楷体" w:cs="宋体"/>
                                <w:b/>
                                <w:bCs/>
                                <w:color w:val="000000"/>
                                <w:kern w:val="0"/>
                                <w:sz w:val="16"/>
                                <w:szCs w:val="13"/>
                              </w:rPr>
                            </w:pPr>
                          </w:p>
                        </w:tc>
                        <w:tc>
                          <w:tcPr>
                            <w:tcW w:w="815"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320013</w:t>
                            </w:r>
                          </w:p>
                        </w:tc>
                        <w:tc>
                          <w:tcPr>
                            <w:tcW w:w="1389"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left"/>
                              <w:rPr>
                                <w:rFonts w:ascii="楷体" w:eastAsia="楷体" w:hAnsi="楷体" w:cs="宋体"/>
                                <w:color w:val="000000"/>
                                <w:kern w:val="0"/>
                                <w:sz w:val="16"/>
                                <w:szCs w:val="13"/>
                              </w:rPr>
                            </w:pPr>
                            <w:proofErr w:type="gramStart"/>
                            <w:r w:rsidRPr="009D2B6E">
                              <w:rPr>
                                <w:rFonts w:ascii="楷体" w:eastAsia="楷体" w:hAnsi="楷体" w:cs="宋体" w:hint="eastAsia"/>
                                <w:color w:val="000000"/>
                                <w:kern w:val="0"/>
                                <w:sz w:val="16"/>
                                <w:szCs w:val="13"/>
                              </w:rPr>
                              <w:t>诺安全球</w:t>
                            </w:r>
                            <w:proofErr w:type="gramEnd"/>
                            <w:r w:rsidRPr="009D2B6E">
                              <w:rPr>
                                <w:rFonts w:ascii="楷体" w:eastAsia="楷体" w:hAnsi="楷体" w:cs="宋体" w:hint="eastAsia"/>
                                <w:color w:val="000000"/>
                                <w:kern w:val="0"/>
                                <w:sz w:val="16"/>
                                <w:szCs w:val="13"/>
                              </w:rPr>
                              <w:t>黄金</w:t>
                            </w:r>
                          </w:p>
                        </w:tc>
                        <w:tc>
                          <w:tcPr>
                            <w:tcW w:w="616" w:type="dxa"/>
                            <w:tcBorders>
                              <w:top w:val="nil"/>
                              <w:left w:val="nil"/>
                              <w:bottom w:val="single" w:sz="8" w:space="0" w:color="000000"/>
                              <w:right w:val="nil"/>
                            </w:tcBorders>
                            <w:shd w:val="clear" w:color="auto" w:fill="FFFFFF" w:themeFill="background1"/>
                            <w:vAlign w:val="center"/>
                            <w:hideMark/>
                          </w:tcPr>
                          <w:p w:rsidR="00FD5740" w:rsidRPr="009D2B6E" w:rsidRDefault="00FD5740" w:rsidP="009D2B6E">
                            <w:pPr>
                              <w:widowControl/>
                              <w:jc w:val="center"/>
                              <w:rPr>
                                <w:rFonts w:ascii="楷体" w:eastAsia="楷体" w:hAnsi="楷体" w:cs="宋体"/>
                                <w:color w:val="000000"/>
                                <w:kern w:val="0"/>
                                <w:sz w:val="16"/>
                                <w:szCs w:val="13"/>
                              </w:rPr>
                            </w:pPr>
                            <w:r w:rsidRPr="009D2B6E">
                              <w:rPr>
                                <w:rFonts w:ascii="楷体" w:eastAsia="楷体" w:hAnsi="楷体" w:cs="宋体" w:hint="eastAsia"/>
                                <w:color w:val="000000"/>
                                <w:kern w:val="0"/>
                                <w:sz w:val="16"/>
                                <w:szCs w:val="13"/>
                              </w:rPr>
                              <w:t>1.41</w:t>
                            </w:r>
                          </w:p>
                        </w:tc>
                      </w:tr>
                    </w:tbl>
                    <w:p w:rsidR="00FD5740" w:rsidRDefault="00FD5740"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F0615C" w:rsidRDefault="00FD5740" w:rsidP="009D2B6E">
                      <w:pPr>
                        <w:rPr>
                          <w:rFonts w:ascii="楷体" w:eastAsia="楷体" w:hAnsi="楷体" w:cs="宋体"/>
                          <w:b/>
                          <w:bCs/>
                          <w:color w:val="000000"/>
                          <w:kern w:val="0"/>
                          <w:sz w:val="16"/>
                          <w:szCs w:val="16"/>
                          <w:lang w:val="en-GB"/>
                        </w:rPr>
                      </w:pPr>
                    </w:p>
                    <w:p w:rsidR="00FD5740" w:rsidRDefault="00FD5740" w:rsidP="009D2B6E">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5517D6" w:rsidRDefault="00FD5740" w:rsidP="009D2B6E">
                      <w:pPr>
                        <w:rPr>
                          <w:lang w:val="en-GB"/>
                        </w:rPr>
                      </w:pPr>
                    </w:p>
                    <w:p w:rsidR="00FD5740" w:rsidRPr="009D2B6E" w:rsidRDefault="00FD5740" w:rsidP="009D2B6E">
                      <w:pPr>
                        <w:rPr>
                          <w:lang w:val="en-GB"/>
                        </w:rPr>
                      </w:pPr>
                    </w:p>
                  </w:txbxContent>
                </v:textbox>
                <w10:wrap anchorx="page"/>
              </v:shape>
            </w:pict>
          </mc:Fallback>
        </mc:AlternateContent>
      </w:r>
      <w:r w:rsidR="001B0255" w:rsidRPr="00C97435">
        <w:rPr>
          <w:rFonts w:ascii="Arial" w:hAnsi="Arial" w:cs="Arial"/>
          <w:b/>
          <w:color w:val="996600"/>
          <w:sz w:val="32"/>
          <w:szCs w:val="28"/>
        </w:rPr>
        <w:t>一周基金表现回顾</w:t>
      </w:r>
      <w:r w:rsidR="00921CE9" w:rsidRPr="00C97435">
        <w:rPr>
          <w:rFonts w:ascii="Arial" w:hAnsi="Arial" w:cs="Arial"/>
          <w:b/>
          <w:color w:val="996600"/>
          <w:sz w:val="32"/>
          <w:szCs w:val="28"/>
        </w:rPr>
        <w:t xml:space="preserve"> </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股票基金</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股票型基金平均涨幅为</w:t>
      </w:r>
      <w:r w:rsidRPr="00C97435">
        <w:rPr>
          <w:rFonts w:ascii="Arial" w:eastAsia="楷体_GB2312" w:hAnsi="Arial" w:cs="Arial"/>
          <w:color w:val="auto"/>
          <w:sz w:val="20"/>
          <w:szCs w:val="20"/>
        </w:rPr>
        <w:t>0.49%</w:t>
      </w:r>
      <w:r w:rsidRPr="00C97435">
        <w:rPr>
          <w:rFonts w:ascii="Arial" w:eastAsia="楷体_GB2312" w:hAnsi="Arial" w:cs="Arial"/>
          <w:color w:val="auto"/>
          <w:sz w:val="20"/>
          <w:szCs w:val="20"/>
        </w:rPr>
        <w:t>，其中，普通股</w:t>
      </w:r>
      <w:proofErr w:type="gramStart"/>
      <w:r w:rsidRPr="00C97435">
        <w:rPr>
          <w:rFonts w:ascii="Arial" w:eastAsia="楷体_GB2312" w:hAnsi="Arial" w:cs="Arial"/>
          <w:color w:val="auto"/>
          <w:sz w:val="20"/>
          <w:szCs w:val="20"/>
        </w:rPr>
        <w:t>基平均</w:t>
      </w:r>
      <w:proofErr w:type="gramEnd"/>
      <w:r w:rsidRPr="00C97435">
        <w:rPr>
          <w:rFonts w:ascii="Arial" w:eastAsia="楷体_GB2312" w:hAnsi="Arial" w:cs="Arial"/>
          <w:color w:val="auto"/>
          <w:sz w:val="20"/>
          <w:szCs w:val="20"/>
        </w:rPr>
        <w:t>收益为</w:t>
      </w:r>
      <w:r w:rsidRPr="00C97435">
        <w:rPr>
          <w:rFonts w:ascii="Arial" w:eastAsia="楷体_GB2312" w:hAnsi="Arial" w:cs="Arial"/>
          <w:color w:val="auto"/>
          <w:sz w:val="20"/>
          <w:szCs w:val="20"/>
        </w:rPr>
        <w:t>1.30%</w:t>
      </w:r>
      <w:r w:rsidRPr="00C97435">
        <w:rPr>
          <w:rFonts w:ascii="Arial" w:eastAsia="楷体_GB2312" w:hAnsi="Arial" w:cs="Arial"/>
          <w:color w:val="auto"/>
          <w:sz w:val="20"/>
          <w:szCs w:val="20"/>
        </w:rPr>
        <w:t>，约八成产品上涨，最高收益</w:t>
      </w:r>
      <w:proofErr w:type="gramStart"/>
      <w:r w:rsidRPr="00C97435">
        <w:rPr>
          <w:rFonts w:ascii="Arial" w:eastAsia="楷体_GB2312" w:hAnsi="Arial" w:cs="Arial"/>
          <w:color w:val="auto"/>
          <w:sz w:val="20"/>
          <w:szCs w:val="20"/>
        </w:rPr>
        <w:t>为工银瑞信</w:t>
      </w:r>
      <w:proofErr w:type="gramEnd"/>
      <w:r w:rsidRPr="00C97435">
        <w:rPr>
          <w:rFonts w:ascii="Arial" w:eastAsia="楷体_GB2312" w:hAnsi="Arial" w:cs="Arial"/>
          <w:color w:val="auto"/>
          <w:sz w:val="20"/>
          <w:szCs w:val="20"/>
        </w:rPr>
        <w:t>高端制造行业的</w:t>
      </w:r>
      <w:r w:rsidRPr="00C97435">
        <w:rPr>
          <w:rFonts w:ascii="Arial" w:eastAsia="楷体_GB2312" w:hAnsi="Arial" w:cs="Arial"/>
          <w:color w:val="auto"/>
          <w:sz w:val="20"/>
          <w:szCs w:val="20"/>
        </w:rPr>
        <w:t>7.19%</w:t>
      </w:r>
      <w:r w:rsidRPr="00C97435">
        <w:rPr>
          <w:rFonts w:ascii="Arial" w:eastAsia="楷体_GB2312" w:hAnsi="Arial" w:cs="Arial"/>
          <w:color w:val="auto"/>
          <w:sz w:val="20"/>
          <w:szCs w:val="20"/>
        </w:rPr>
        <w:t>，指数</w:t>
      </w:r>
      <w:proofErr w:type="gramStart"/>
      <w:r w:rsidRPr="00C97435">
        <w:rPr>
          <w:rFonts w:ascii="Arial" w:eastAsia="楷体_GB2312" w:hAnsi="Arial" w:cs="Arial"/>
          <w:color w:val="auto"/>
          <w:sz w:val="20"/>
          <w:szCs w:val="20"/>
        </w:rPr>
        <w:t>股基平均</w:t>
      </w:r>
      <w:proofErr w:type="gramEnd"/>
      <w:r w:rsidRPr="00C97435">
        <w:rPr>
          <w:rFonts w:ascii="Arial" w:eastAsia="楷体_GB2312" w:hAnsi="Arial" w:cs="Arial"/>
          <w:color w:val="auto"/>
          <w:sz w:val="20"/>
          <w:szCs w:val="20"/>
        </w:rPr>
        <w:t>收益为</w:t>
      </w:r>
      <w:r w:rsidRPr="00C97435">
        <w:rPr>
          <w:rFonts w:ascii="Arial" w:eastAsia="楷体_GB2312" w:hAnsi="Arial" w:cs="Arial"/>
          <w:color w:val="auto"/>
          <w:sz w:val="20"/>
          <w:szCs w:val="20"/>
        </w:rPr>
        <w:t>0.22%</w:t>
      </w:r>
      <w:r w:rsidRPr="00C97435">
        <w:rPr>
          <w:rFonts w:ascii="Arial" w:eastAsia="楷体_GB2312" w:hAnsi="Arial" w:cs="Arial"/>
          <w:color w:val="auto"/>
          <w:sz w:val="20"/>
          <w:szCs w:val="20"/>
        </w:rPr>
        <w:t>，约五成产品上涨，最高收益为鹏华中证国防的</w:t>
      </w:r>
      <w:r w:rsidRPr="00C97435">
        <w:rPr>
          <w:rFonts w:ascii="Arial" w:eastAsia="楷体_GB2312" w:hAnsi="Arial" w:cs="Arial"/>
          <w:color w:val="auto"/>
          <w:sz w:val="20"/>
          <w:szCs w:val="20"/>
        </w:rPr>
        <w:t>5.02%</w:t>
      </w:r>
      <w:r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混合基金</w:t>
      </w:r>
    </w:p>
    <w:p w:rsidR="00921CE9" w:rsidRPr="00C97435" w:rsidRDefault="00921CE9" w:rsidP="00A64D32">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混合基金中，</w:t>
      </w:r>
      <w:proofErr w:type="gramStart"/>
      <w:r w:rsidRPr="00C97435">
        <w:rPr>
          <w:rFonts w:ascii="Arial" w:eastAsia="楷体_GB2312" w:hAnsi="Arial" w:cs="Arial"/>
          <w:color w:val="auto"/>
          <w:sz w:val="20"/>
          <w:szCs w:val="20"/>
        </w:rPr>
        <w:t>偏股型</w:t>
      </w:r>
      <w:proofErr w:type="gramEnd"/>
      <w:r w:rsidRPr="00C97435">
        <w:rPr>
          <w:rFonts w:ascii="Arial" w:eastAsia="楷体_GB2312" w:hAnsi="Arial" w:cs="Arial"/>
          <w:color w:val="auto"/>
          <w:sz w:val="20"/>
          <w:szCs w:val="20"/>
        </w:rPr>
        <w:t>产品收益最高，平均上涨</w:t>
      </w:r>
      <w:r w:rsidRPr="00C97435">
        <w:rPr>
          <w:rFonts w:ascii="Arial" w:eastAsia="楷体_GB2312" w:hAnsi="Arial" w:cs="Arial"/>
          <w:color w:val="auto"/>
          <w:sz w:val="20"/>
          <w:szCs w:val="20"/>
        </w:rPr>
        <w:t>1.53%</w:t>
      </w:r>
      <w:r w:rsidRPr="00C97435">
        <w:rPr>
          <w:rFonts w:ascii="Arial" w:eastAsia="楷体_GB2312" w:hAnsi="Arial" w:cs="Arial"/>
          <w:color w:val="auto"/>
          <w:sz w:val="20"/>
          <w:szCs w:val="20"/>
        </w:rPr>
        <w:t>，灵活型产品和平衡型产品收益相近，分别平均上涨</w:t>
      </w:r>
      <w:r w:rsidRPr="00C97435">
        <w:rPr>
          <w:rFonts w:ascii="Arial" w:eastAsia="楷体_GB2312" w:hAnsi="Arial" w:cs="Arial"/>
          <w:color w:val="auto"/>
          <w:sz w:val="20"/>
          <w:szCs w:val="20"/>
        </w:rPr>
        <w:t>0.63%</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0.61%</w:t>
      </w:r>
      <w:r w:rsidRPr="00C97435">
        <w:rPr>
          <w:rFonts w:ascii="Arial" w:eastAsia="楷体_GB2312" w:hAnsi="Arial" w:cs="Arial"/>
          <w:color w:val="auto"/>
          <w:sz w:val="20"/>
          <w:szCs w:val="20"/>
        </w:rPr>
        <w:t>。</w:t>
      </w:r>
      <w:proofErr w:type="gramStart"/>
      <w:r w:rsidRPr="00C97435">
        <w:rPr>
          <w:rFonts w:ascii="Arial" w:eastAsia="楷体_GB2312" w:hAnsi="Arial" w:cs="Arial"/>
          <w:color w:val="auto"/>
          <w:sz w:val="20"/>
          <w:szCs w:val="20"/>
        </w:rPr>
        <w:t>混合偏股基金</w:t>
      </w:r>
      <w:proofErr w:type="gramEnd"/>
      <w:r w:rsidRPr="00C97435">
        <w:rPr>
          <w:rFonts w:ascii="Arial" w:eastAsia="楷体_GB2312" w:hAnsi="Arial" w:cs="Arial"/>
          <w:color w:val="auto"/>
          <w:sz w:val="20"/>
          <w:szCs w:val="20"/>
        </w:rPr>
        <w:t>中，近九成产品上涨，最高收益为中</w:t>
      </w:r>
      <w:proofErr w:type="gramStart"/>
      <w:r w:rsidRPr="00C97435">
        <w:rPr>
          <w:rFonts w:ascii="Arial" w:eastAsia="楷体_GB2312" w:hAnsi="Arial" w:cs="Arial"/>
          <w:color w:val="auto"/>
          <w:sz w:val="20"/>
          <w:szCs w:val="20"/>
        </w:rPr>
        <w:t>邮战略</w:t>
      </w:r>
      <w:proofErr w:type="gramEnd"/>
      <w:r w:rsidRPr="00C97435">
        <w:rPr>
          <w:rFonts w:ascii="Arial" w:eastAsia="楷体_GB2312" w:hAnsi="Arial" w:cs="Arial"/>
          <w:color w:val="auto"/>
          <w:sz w:val="20"/>
          <w:szCs w:val="20"/>
        </w:rPr>
        <w:t>新兴产业的</w:t>
      </w:r>
      <w:r w:rsidRPr="00C97435">
        <w:rPr>
          <w:rFonts w:ascii="Arial" w:eastAsia="楷体_GB2312" w:hAnsi="Arial" w:cs="Arial"/>
          <w:color w:val="auto"/>
          <w:sz w:val="20"/>
          <w:szCs w:val="20"/>
        </w:rPr>
        <w:t>6.41%</w:t>
      </w:r>
      <w:r w:rsidRPr="00C97435">
        <w:rPr>
          <w:rFonts w:ascii="Arial" w:eastAsia="楷体_GB2312" w:hAnsi="Arial" w:cs="Arial"/>
          <w:color w:val="auto"/>
          <w:sz w:val="20"/>
          <w:szCs w:val="20"/>
        </w:rPr>
        <w:t>；混合灵活基金中，近七成产品上涨，产品业绩分化较大，最高收益为华富策略精选的</w:t>
      </w:r>
      <w:r w:rsidRPr="00C97435">
        <w:rPr>
          <w:rFonts w:ascii="Arial" w:eastAsia="楷体_GB2312" w:hAnsi="Arial" w:cs="Arial"/>
          <w:color w:val="auto"/>
          <w:sz w:val="20"/>
          <w:szCs w:val="20"/>
        </w:rPr>
        <w:t>6.79%</w:t>
      </w:r>
      <w:r w:rsidRPr="00C97435">
        <w:rPr>
          <w:rFonts w:ascii="Arial" w:eastAsia="楷体_GB2312" w:hAnsi="Arial" w:cs="Arial"/>
          <w:color w:val="auto"/>
          <w:sz w:val="20"/>
          <w:szCs w:val="20"/>
        </w:rPr>
        <w:t>，最低收益为</w:t>
      </w:r>
      <w:r w:rsidRPr="00C97435">
        <w:rPr>
          <w:rFonts w:ascii="Arial" w:eastAsia="楷体_GB2312" w:hAnsi="Arial" w:cs="Arial"/>
          <w:color w:val="auto"/>
          <w:sz w:val="20"/>
          <w:szCs w:val="20"/>
        </w:rPr>
        <w:t>-12.92%</w:t>
      </w:r>
      <w:r w:rsidRPr="00C97435">
        <w:rPr>
          <w:rFonts w:ascii="Arial" w:eastAsia="楷体_GB2312" w:hAnsi="Arial" w:cs="Arial"/>
          <w:color w:val="auto"/>
          <w:sz w:val="20"/>
          <w:szCs w:val="20"/>
        </w:rPr>
        <w:t>；混合平衡基金中，超八成产品上涨，最高收益为银</w:t>
      </w:r>
      <w:proofErr w:type="gramStart"/>
      <w:r w:rsidRPr="00C97435">
        <w:rPr>
          <w:rFonts w:ascii="Arial" w:eastAsia="楷体_GB2312" w:hAnsi="Arial" w:cs="Arial"/>
          <w:color w:val="auto"/>
          <w:sz w:val="20"/>
          <w:szCs w:val="20"/>
        </w:rPr>
        <w:t>华优势</w:t>
      </w:r>
      <w:proofErr w:type="gramEnd"/>
      <w:r w:rsidRPr="00C97435">
        <w:rPr>
          <w:rFonts w:ascii="Arial" w:eastAsia="楷体_GB2312" w:hAnsi="Arial" w:cs="Arial"/>
          <w:color w:val="auto"/>
          <w:sz w:val="20"/>
          <w:szCs w:val="20"/>
        </w:rPr>
        <w:t>企业的</w:t>
      </w:r>
      <w:r w:rsidRPr="00C97435">
        <w:rPr>
          <w:rFonts w:ascii="Arial" w:eastAsia="楷体_GB2312" w:hAnsi="Arial" w:cs="Arial"/>
          <w:color w:val="auto"/>
          <w:sz w:val="20"/>
          <w:szCs w:val="20"/>
        </w:rPr>
        <w:t>1.83%</w:t>
      </w:r>
      <w:r w:rsidRPr="00C97435">
        <w:rPr>
          <w:rFonts w:ascii="Arial" w:eastAsia="楷体_GB2312" w:hAnsi="Arial" w:cs="Arial"/>
          <w:color w:val="auto"/>
          <w:sz w:val="20"/>
          <w:szCs w:val="20"/>
        </w:rPr>
        <w:t>。混合</w:t>
      </w:r>
      <w:proofErr w:type="gramStart"/>
      <w:r w:rsidRPr="00C97435">
        <w:rPr>
          <w:rFonts w:ascii="Arial" w:eastAsia="楷体_GB2312" w:hAnsi="Arial" w:cs="Arial"/>
          <w:color w:val="auto"/>
          <w:sz w:val="20"/>
          <w:szCs w:val="20"/>
        </w:rPr>
        <w:t>偏债基金</w:t>
      </w:r>
      <w:proofErr w:type="gramEnd"/>
      <w:r w:rsidRPr="00C97435">
        <w:rPr>
          <w:rFonts w:ascii="Arial" w:eastAsia="楷体_GB2312" w:hAnsi="Arial" w:cs="Arial"/>
          <w:color w:val="auto"/>
          <w:sz w:val="20"/>
          <w:szCs w:val="20"/>
        </w:rPr>
        <w:t>平均上涨</w:t>
      </w:r>
      <w:r w:rsidRPr="00C97435">
        <w:rPr>
          <w:rFonts w:ascii="Arial" w:eastAsia="楷体_GB2312" w:hAnsi="Arial" w:cs="Arial"/>
          <w:color w:val="auto"/>
          <w:sz w:val="20"/>
          <w:szCs w:val="20"/>
        </w:rPr>
        <w:t>0.19%</w:t>
      </w:r>
      <w:r w:rsidRPr="00C97435">
        <w:rPr>
          <w:rFonts w:ascii="Arial" w:eastAsia="楷体_GB2312" w:hAnsi="Arial" w:cs="Arial"/>
          <w:color w:val="auto"/>
          <w:sz w:val="20"/>
          <w:szCs w:val="20"/>
        </w:rPr>
        <w:t>，约六成半产品上涨，</w:t>
      </w:r>
      <w:proofErr w:type="gramStart"/>
      <w:r w:rsidRPr="00C97435">
        <w:rPr>
          <w:rFonts w:ascii="Arial" w:eastAsia="楷体_GB2312" w:hAnsi="Arial" w:cs="Arial"/>
          <w:color w:val="auto"/>
          <w:sz w:val="20"/>
          <w:szCs w:val="20"/>
        </w:rPr>
        <w:t>广发聚康</w:t>
      </w:r>
      <w:proofErr w:type="gramEnd"/>
      <w:r w:rsidRPr="00C97435">
        <w:rPr>
          <w:rFonts w:ascii="Arial" w:eastAsia="楷体_GB2312" w:hAnsi="Arial" w:cs="Arial"/>
          <w:color w:val="auto"/>
          <w:sz w:val="20"/>
          <w:szCs w:val="20"/>
        </w:rPr>
        <w:t>A</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2.35%</w:t>
      </w:r>
      <w:r w:rsidRPr="00C97435">
        <w:rPr>
          <w:rFonts w:ascii="Arial" w:eastAsia="楷体_GB2312" w:hAnsi="Arial" w:cs="Arial"/>
          <w:color w:val="auto"/>
          <w:sz w:val="20"/>
          <w:szCs w:val="20"/>
        </w:rPr>
        <w:t>）</w:t>
      </w:r>
      <w:proofErr w:type="gramStart"/>
      <w:r w:rsidRPr="00C97435">
        <w:rPr>
          <w:rFonts w:ascii="Arial" w:eastAsia="楷体_GB2312" w:hAnsi="Arial" w:cs="Arial"/>
          <w:color w:val="auto"/>
          <w:sz w:val="20"/>
          <w:szCs w:val="20"/>
        </w:rPr>
        <w:t>收益居</w:t>
      </w:r>
      <w:proofErr w:type="gramEnd"/>
      <w:r w:rsidRPr="00C97435">
        <w:rPr>
          <w:rFonts w:ascii="Arial" w:eastAsia="楷体_GB2312" w:hAnsi="Arial" w:cs="Arial"/>
          <w:color w:val="auto"/>
          <w:sz w:val="20"/>
          <w:szCs w:val="20"/>
        </w:rPr>
        <w:t>前。</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债券基金</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roofErr w:type="gramStart"/>
      <w:r w:rsidRPr="00C97435">
        <w:rPr>
          <w:rFonts w:ascii="Arial" w:eastAsia="楷体_GB2312" w:hAnsi="Arial" w:cs="Arial"/>
          <w:color w:val="auto"/>
          <w:sz w:val="20"/>
          <w:szCs w:val="20"/>
        </w:rPr>
        <w:t>纯债基金</w:t>
      </w:r>
      <w:proofErr w:type="gramEnd"/>
      <w:r w:rsidRPr="00C97435">
        <w:rPr>
          <w:rFonts w:ascii="Arial" w:eastAsia="楷体_GB2312" w:hAnsi="Arial" w:cs="Arial"/>
          <w:color w:val="auto"/>
          <w:sz w:val="20"/>
          <w:szCs w:val="20"/>
        </w:rPr>
        <w:t>平均收益为</w:t>
      </w:r>
      <w:r w:rsidRPr="00C97435">
        <w:rPr>
          <w:rFonts w:ascii="Arial" w:eastAsia="楷体_GB2312" w:hAnsi="Arial" w:cs="Arial"/>
          <w:color w:val="auto"/>
          <w:sz w:val="20"/>
          <w:szCs w:val="20"/>
        </w:rPr>
        <w:t>0.10%</w:t>
      </w:r>
      <w:r w:rsidRPr="00C97435">
        <w:rPr>
          <w:rFonts w:ascii="Arial" w:eastAsia="楷体_GB2312" w:hAnsi="Arial" w:cs="Arial"/>
          <w:color w:val="auto"/>
          <w:sz w:val="20"/>
          <w:szCs w:val="20"/>
        </w:rPr>
        <w:t>，超三成半产品上涨，近三成产品下跌，最高收益为中银互利分级的</w:t>
      </w:r>
      <w:r w:rsidRPr="00C97435">
        <w:rPr>
          <w:rFonts w:ascii="Arial" w:eastAsia="楷体_GB2312" w:hAnsi="Arial" w:cs="Arial"/>
          <w:color w:val="auto"/>
          <w:sz w:val="20"/>
          <w:szCs w:val="20"/>
        </w:rPr>
        <w:t>0.98%</w:t>
      </w:r>
      <w:r w:rsidRPr="00C97435">
        <w:rPr>
          <w:rFonts w:ascii="Arial" w:eastAsia="楷体_GB2312" w:hAnsi="Arial" w:cs="Arial"/>
          <w:color w:val="auto"/>
          <w:sz w:val="20"/>
          <w:szCs w:val="20"/>
        </w:rPr>
        <w:t>。一级债基、二级</w:t>
      </w:r>
      <w:proofErr w:type="gramStart"/>
      <w:r w:rsidRPr="00C97435">
        <w:rPr>
          <w:rFonts w:ascii="Arial" w:eastAsia="楷体_GB2312" w:hAnsi="Arial" w:cs="Arial"/>
          <w:color w:val="auto"/>
          <w:sz w:val="20"/>
          <w:szCs w:val="20"/>
        </w:rPr>
        <w:t>债基平均</w:t>
      </w:r>
      <w:proofErr w:type="gramEnd"/>
      <w:r w:rsidRPr="00C97435">
        <w:rPr>
          <w:rFonts w:ascii="Arial" w:eastAsia="楷体_GB2312" w:hAnsi="Arial" w:cs="Arial"/>
          <w:color w:val="auto"/>
          <w:sz w:val="20"/>
          <w:szCs w:val="20"/>
        </w:rPr>
        <w:t>收益分别为</w:t>
      </w:r>
      <w:r w:rsidRPr="00C97435">
        <w:rPr>
          <w:rFonts w:ascii="Arial" w:eastAsia="楷体_GB2312" w:hAnsi="Arial" w:cs="Arial"/>
          <w:color w:val="auto"/>
          <w:sz w:val="20"/>
          <w:szCs w:val="20"/>
        </w:rPr>
        <w:t>0.04%</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0.25%</w:t>
      </w:r>
      <w:r w:rsidRPr="00C97435">
        <w:rPr>
          <w:rFonts w:ascii="Arial" w:eastAsia="楷体_GB2312" w:hAnsi="Arial" w:cs="Arial"/>
          <w:color w:val="auto"/>
          <w:sz w:val="20"/>
          <w:szCs w:val="20"/>
        </w:rPr>
        <w:t>，分别有近五成产品、六成半产品上涨。具体产品方面，一级</w:t>
      </w:r>
      <w:proofErr w:type="gramStart"/>
      <w:r w:rsidRPr="00C97435">
        <w:rPr>
          <w:rFonts w:ascii="Arial" w:eastAsia="楷体_GB2312" w:hAnsi="Arial" w:cs="Arial"/>
          <w:color w:val="auto"/>
          <w:sz w:val="20"/>
          <w:szCs w:val="20"/>
        </w:rPr>
        <w:t>债基最高</w:t>
      </w:r>
      <w:proofErr w:type="gramEnd"/>
      <w:r w:rsidRPr="00C97435">
        <w:rPr>
          <w:rFonts w:ascii="Arial" w:eastAsia="楷体_GB2312" w:hAnsi="Arial" w:cs="Arial"/>
          <w:color w:val="auto"/>
          <w:sz w:val="20"/>
          <w:szCs w:val="20"/>
        </w:rPr>
        <w:t>收益为招商可转债的</w:t>
      </w:r>
      <w:r w:rsidRPr="00C97435">
        <w:rPr>
          <w:rFonts w:ascii="Arial" w:eastAsia="楷体_GB2312" w:hAnsi="Arial" w:cs="Arial"/>
          <w:color w:val="auto"/>
          <w:sz w:val="20"/>
          <w:szCs w:val="20"/>
        </w:rPr>
        <w:t>1.07%</w:t>
      </w:r>
      <w:r w:rsidRPr="00C97435">
        <w:rPr>
          <w:rFonts w:ascii="Arial" w:eastAsia="楷体_GB2312" w:hAnsi="Arial" w:cs="Arial"/>
          <w:color w:val="auto"/>
          <w:sz w:val="20"/>
          <w:szCs w:val="20"/>
        </w:rPr>
        <w:t>；</w:t>
      </w:r>
      <w:proofErr w:type="gramStart"/>
      <w:r w:rsidRPr="00C97435">
        <w:rPr>
          <w:rFonts w:ascii="Arial" w:eastAsia="楷体_GB2312" w:hAnsi="Arial" w:cs="Arial"/>
          <w:color w:val="auto"/>
          <w:sz w:val="20"/>
          <w:szCs w:val="20"/>
        </w:rPr>
        <w:t>二级债基中</w:t>
      </w:r>
      <w:proofErr w:type="gramEnd"/>
      <w:r w:rsidRPr="00C97435">
        <w:rPr>
          <w:rFonts w:ascii="Arial" w:eastAsia="楷体_GB2312" w:hAnsi="Arial" w:cs="Arial"/>
          <w:color w:val="auto"/>
          <w:sz w:val="20"/>
          <w:szCs w:val="20"/>
        </w:rPr>
        <w:t>可转</w:t>
      </w:r>
      <w:proofErr w:type="gramStart"/>
      <w:r w:rsidRPr="00C97435">
        <w:rPr>
          <w:rFonts w:ascii="Arial" w:eastAsia="楷体_GB2312" w:hAnsi="Arial" w:cs="Arial"/>
          <w:color w:val="auto"/>
          <w:sz w:val="20"/>
          <w:szCs w:val="20"/>
        </w:rPr>
        <w:t>债产品收益居</w:t>
      </w:r>
      <w:proofErr w:type="gramEnd"/>
      <w:r w:rsidRPr="00C97435">
        <w:rPr>
          <w:rFonts w:ascii="Arial" w:eastAsia="楷体_GB2312" w:hAnsi="Arial" w:cs="Arial"/>
          <w:color w:val="auto"/>
          <w:sz w:val="20"/>
          <w:szCs w:val="20"/>
        </w:rPr>
        <w:t>前，鹏华</w:t>
      </w:r>
      <w:proofErr w:type="gramStart"/>
      <w:r w:rsidRPr="00C97435">
        <w:rPr>
          <w:rFonts w:ascii="Arial" w:eastAsia="楷体_GB2312" w:hAnsi="Arial" w:cs="Arial"/>
          <w:color w:val="auto"/>
          <w:sz w:val="20"/>
          <w:szCs w:val="20"/>
        </w:rPr>
        <w:t>可转债涨</w:t>
      </w:r>
      <w:proofErr w:type="gramEnd"/>
      <w:r w:rsidRPr="00C97435">
        <w:rPr>
          <w:rFonts w:ascii="Arial" w:eastAsia="楷体_GB2312" w:hAnsi="Arial" w:cs="Arial"/>
          <w:color w:val="auto"/>
          <w:sz w:val="20"/>
          <w:szCs w:val="20"/>
        </w:rPr>
        <w:t>2.55%</w:t>
      </w:r>
      <w:r w:rsidRPr="00C97435">
        <w:rPr>
          <w:rFonts w:ascii="Arial" w:eastAsia="楷体_GB2312" w:hAnsi="Arial" w:cs="Arial"/>
          <w:color w:val="auto"/>
          <w:sz w:val="20"/>
          <w:szCs w:val="20"/>
        </w:rPr>
        <w:t>，大成</w:t>
      </w:r>
      <w:proofErr w:type="gramStart"/>
      <w:r w:rsidRPr="00C97435">
        <w:rPr>
          <w:rFonts w:ascii="Arial" w:eastAsia="楷体_GB2312" w:hAnsi="Arial" w:cs="Arial"/>
          <w:color w:val="auto"/>
          <w:sz w:val="20"/>
          <w:szCs w:val="20"/>
        </w:rPr>
        <w:t>可转债涨</w:t>
      </w:r>
      <w:proofErr w:type="gramEnd"/>
      <w:r w:rsidRPr="00C97435">
        <w:rPr>
          <w:rFonts w:ascii="Arial" w:eastAsia="楷体_GB2312" w:hAnsi="Arial" w:cs="Arial"/>
          <w:color w:val="auto"/>
          <w:sz w:val="20"/>
          <w:szCs w:val="20"/>
        </w:rPr>
        <w:t>2.14%</w:t>
      </w:r>
      <w:r w:rsidRPr="00C97435">
        <w:rPr>
          <w:rFonts w:ascii="Arial" w:eastAsia="楷体_GB2312" w:hAnsi="Arial" w:cs="Arial"/>
          <w:color w:val="auto"/>
          <w:sz w:val="20"/>
          <w:szCs w:val="20"/>
        </w:rPr>
        <w:t>。指数</w:t>
      </w:r>
      <w:proofErr w:type="gramStart"/>
      <w:r w:rsidRPr="00C97435">
        <w:rPr>
          <w:rFonts w:ascii="Arial" w:eastAsia="楷体_GB2312" w:hAnsi="Arial" w:cs="Arial"/>
          <w:color w:val="auto"/>
          <w:sz w:val="20"/>
          <w:szCs w:val="20"/>
        </w:rPr>
        <w:t>债基平均</w:t>
      </w:r>
      <w:proofErr w:type="gramEnd"/>
      <w:r w:rsidRPr="00C97435">
        <w:rPr>
          <w:rFonts w:ascii="Arial" w:eastAsia="楷体_GB2312" w:hAnsi="Arial" w:cs="Arial"/>
          <w:color w:val="auto"/>
          <w:sz w:val="20"/>
          <w:szCs w:val="20"/>
        </w:rPr>
        <w:t>收益为</w:t>
      </w:r>
      <w:r w:rsidRPr="00C97435">
        <w:rPr>
          <w:rFonts w:ascii="Arial" w:eastAsia="楷体_GB2312" w:hAnsi="Arial" w:cs="Arial"/>
          <w:color w:val="auto"/>
          <w:sz w:val="20"/>
          <w:szCs w:val="20"/>
        </w:rPr>
        <w:t>0.16%</w:t>
      </w:r>
      <w:r w:rsidRPr="00C97435">
        <w:rPr>
          <w:rFonts w:ascii="Arial" w:eastAsia="楷体_GB2312" w:hAnsi="Arial" w:cs="Arial"/>
          <w:color w:val="auto"/>
          <w:sz w:val="20"/>
          <w:szCs w:val="20"/>
        </w:rPr>
        <w:t>，有六成半产品上涨，可转类产品收益亦突出，银华中</w:t>
      </w:r>
      <w:proofErr w:type="gramStart"/>
      <w:r w:rsidRPr="00C97435">
        <w:rPr>
          <w:rFonts w:ascii="Arial" w:eastAsia="楷体_GB2312" w:hAnsi="Arial" w:cs="Arial"/>
          <w:color w:val="auto"/>
          <w:sz w:val="20"/>
          <w:szCs w:val="20"/>
        </w:rPr>
        <w:t>证转债涨</w:t>
      </w:r>
      <w:proofErr w:type="gramEnd"/>
      <w:r w:rsidRPr="00C97435">
        <w:rPr>
          <w:rFonts w:ascii="Arial" w:eastAsia="楷体_GB2312" w:hAnsi="Arial" w:cs="Arial"/>
          <w:color w:val="auto"/>
          <w:sz w:val="20"/>
          <w:szCs w:val="20"/>
        </w:rPr>
        <w:t>1.79%</w:t>
      </w:r>
      <w:r w:rsidRPr="00C97435">
        <w:rPr>
          <w:rFonts w:ascii="Arial" w:eastAsia="楷体_GB2312" w:hAnsi="Arial" w:cs="Arial"/>
          <w:color w:val="auto"/>
          <w:sz w:val="20"/>
          <w:szCs w:val="20"/>
        </w:rPr>
        <w:t>，</w:t>
      </w:r>
      <w:proofErr w:type="gramStart"/>
      <w:r w:rsidRPr="00C97435">
        <w:rPr>
          <w:rFonts w:ascii="Arial" w:eastAsia="楷体_GB2312" w:hAnsi="Arial" w:cs="Arial"/>
          <w:color w:val="auto"/>
          <w:sz w:val="20"/>
          <w:szCs w:val="20"/>
        </w:rPr>
        <w:t>融通标普中国</w:t>
      </w:r>
      <w:proofErr w:type="gramEnd"/>
      <w:r w:rsidRPr="00C97435">
        <w:rPr>
          <w:rFonts w:ascii="Arial" w:eastAsia="楷体_GB2312" w:hAnsi="Arial" w:cs="Arial"/>
          <w:color w:val="auto"/>
          <w:sz w:val="20"/>
          <w:szCs w:val="20"/>
        </w:rPr>
        <w:t>可转债</w:t>
      </w:r>
      <w:r w:rsidRPr="00C97435">
        <w:rPr>
          <w:rFonts w:ascii="Arial" w:eastAsia="楷体_GB2312" w:hAnsi="Arial" w:cs="Arial"/>
          <w:color w:val="auto"/>
          <w:sz w:val="20"/>
          <w:szCs w:val="20"/>
        </w:rPr>
        <w:t>C</w:t>
      </w:r>
      <w:r w:rsidRPr="00C97435">
        <w:rPr>
          <w:rFonts w:ascii="Arial" w:eastAsia="楷体_GB2312" w:hAnsi="Arial" w:cs="Arial"/>
          <w:color w:val="auto"/>
          <w:sz w:val="20"/>
          <w:szCs w:val="20"/>
        </w:rPr>
        <w:t>和</w:t>
      </w:r>
      <w:proofErr w:type="gramStart"/>
      <w:r w:rsidRPr="00C97435">
        <w:rPr>
          <w:rFonts w:ascii="Arial" w:eastAsia="楷体_GB2312" w:hAnsi="Arial" w:cs="Arial"/>
          <w:color w:val="auto"/>
          <w:sz w:val="20"/>
          <w:szCs w:val="20"/>
        </w:rPr>
        <w:t>融通标普中国</w:t>
      </w:r>
      <w:proofErr w:type="gramEnd"/>
      <w:r w:rsidRPr="00C97435">
        <w:rPr>
          <w:rFonts w:ascii="Arial" w:eastAsia="楷体_GB2312" w:hAnsi="Arial" w:cs="Arial"/>
          <w:color w:val="auto"/>
          <w:sz w:val="20"/>
          <w:szCs w:val="20"/>
        </w:rPr>
        <w:t>可转债</w:t>
      </w:r>
      <w:r w:rsidRPr="00C97435">
        <w:rPr>
          <w:rFonts w:ascii="Arial" w:eastAsia="楷体_GB2312" w:hAnsi="Arial" w:cs="Arial"/>
          <w:color w:val="auto"/>
          <w:sz w:val="20"/>
          <w:szCs w:val="20"/>
        </w:rPr>
        <w:t>A</w:t>
      </w:r>
      <w:r w:rsidRPr="00C97435">
        <w:rPr>
          <w:rFonts w:ascii="Arial" w:eastAsia="楷体_GB2312" w:hAnsi="Arial" w:cs="Arial"/>
          <w:color w:val="auto"/>
          <w:sz w:val="20"/>
          <w:szCs w:val="20"/>
        </w:rPr>
        <w:t>均涨</w:t>
      </w:r>
      <w:r w:rsidRPr="00C97435">
        <w:rPr>
          <w:rFonts w:ascii="Arial" w:eastAsia="楷体_GB2312" w:hAnsi="Arial" w:cs="Arial"/>
          <w:color w:val="auto"/>
          <w:sz w:val="20"/>
          <w:szCs w:val="20"/>
        </w:rPr>
        <w:t>1.31%</w:t>
      </w:r>
      <w:r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商品基金及对冲基金</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商品基金平均收益</w:t>
      </w:r>
      <w:r w:rsidRPr="00C97435">
        <w:rPr>
          <w:rFonts w:ascii="Arial" w:eastAsia="楷体_GB2312" w:hAnsi="Arial" w:cs="Arial"/>
          <w:color w:val="auto"/>
          <w:sz w:val="20"/>
          <w:szCs w:val="20"/>
        </w:rPr>
        <w:t>1.26%</w:t>
      </w:r>
      <w:r w:rsidRPr="00C97435">
        <w:rPr>
          <w:rFonts w:ascii="Arial" w:eastAsia="楷体_GB2312" w:hAnsi="Arial" w:cs="Arial"/>
          <w:color w:val="auto"/>
          <w:sz w:val="20"/>
          <w:szCs w:val="20"/>
        </w:rPr>
        <w:t>，多数产品收益集中在</w:t>
      </w:r>
      <w:r w:rsidRPr="00C97435">
        <w:rPr>
          <w:rFonts w:ascii="Arial" w:eastAsia="楷体_GB2312" w:hAnsi="Arial" w:cs="Arial"/>
          <w:color w:val="auto"/>
          <w:sz w:val="20"/>
          <w:szCs w:val="20"/>
        </w:rPr>
        <w:t>1.4%</w:t>
      </w:r>
      <w:r w:rsidRPr="00C97435">
        <w:rPr>
          <w:rFonts w:ascii="Arial" w:eastAsia="楷体_GB2312" w:hAnsi="Arial" w:cs="Arial"/>
          <w:color w:val="auto"/>
          <w:sz w:val="20"/>
          <w:szCs w:val="20"/>
        </w:rPr>
        <w:t>以上，最高收益为华安易富黄金</w:t>
      </w:r>
      <w:r w:rsidRPr="00C97435">
        <w:rPr>
          <w:rFonts w:ascii="Arial" w:eastAsia="楷体_GB2312" w:hAnsi="Arial" w:cs="Arial"/>
          <w:color w:val="auto"/>
          <w:sz w:val="20"/>
          <w:szCs w:val="20"/>
        </w:rPr>
        <w:t>ETF</w:t>
      </w:r>
      <w:r w:rsidRPr="00C97435">
        <w:rPr>
          <w:rFonts w:ascii="Arial" w:eastAsia="楷体_GB2312" w:hAnsi="Arial" w:cs="Arial"/>
          <w:color w:val="auto"/>
          <w:sz w:val="20"/>
          <w:szCs w:val="20"/>
        </w:rPr>
        <w:t>联接</w:t>
      </w:r>
      <w:r w:rsidRPr="00C97435">
        <w:rPr>
          <w:rFonts w:ascii="Arial" w:eastAsia="楷体_GB2312" w:hAnsi="Arial" w:cs="Arial"/>
          <w:color w:val="auto"/>
          <w:sz w:val="20"/>
          <w:szCs w:val="20"/>
        </w:rPr>
        <w:t>A</w:t>
      </w:r>
      <w:r w:rsidRPr="00C97435">
        <w:rPr>
          <w:rFonts w:ascii="Arial" w:eastAsia="楷体_GB2312" w:hAnsi="Arial" w:cs="Arial"/>
          <w:color w:val="auto"/>
          <w:sz w:val="20"/>
          <w:szCs w:val="20"/>
        </w:rPr>
        <w:t>的</w:t>
      </w:r>
      <w:r w:rsidRPr="00C97435">
        <w:rPr>
          <w:rFonts w:ascii="Arial" w:eastAsia="楷体_GB2312" w:hAnsi="Arial" w:cs="Arial"/>
          <w:color w:val="auto"/>
          <w:sz w:val="20"/>
          <w:szCs w:val="20"/>
        </w:rPr>
        <w:t>1.49%</w:t>
      </w:r>
      <w:r w:rsidRPr="00C97435">
        <w:rPr>
          <w:rFonts w:ascii="Arial" w:eastAsia="楷体_GB2312" w:hAnsi="Arial" w:cs="Arial"/>
          <w:color w:val="auto"/>
          <w:sz w:val="20"/>
          <w:szCs w:val="20"/>
        </w:rPr>
        <w:t>，其次为华安黄金</w:t>
      </w:r>
      <w:r w:rsidRPr="00C97435">
        <w:rPr>
          <w:rFonts w:ascii="Arial" w:eastAsia="楷体_GB2312" w:hAnsi="Arial" w:cs="Arial"/>
          <w:color w:val="auto"/>
          <w:sz w:val="20"/>
          <w:szCs w:val="20"/>
        </w:rPr>
        <w:t>ETF</w:t>
      </w:r>
      <w:r w:rsidRPr="00C97435">
        <w:rPr>
          <w:rFonts w:ascii="Arial" w:eastAsia="楷体_GB2312" w:hAnsi="Arial" w:cs="Arial"/>
          <w:color w:val="auto"/>
          <w:sz w:val="20"/>
          <w:szCs w:val="20"/>
        </w:rPr>
        <w:t>的</w:t>
      </w:r>
      <w:r w:rsidRPr="00C97435">
        <w:rPr>
          <w:rFonts w:ascii="Arial" w:eastAsia="楷体_GB2312" w:hAnsi="Arial" w:cs="Arial"/>
          <w:color w:val="auto"/>
          <w:sz w:val="20"/>
          <w:szCs w:val="20"/>
        </w:rPr>
        <w:t>1.42%</w:t>
      </w:r>
      <w:r w:rsidRPr="00C97435">
        <w:rPr>
          <w:rFonts w:ascii="Arial" w:eastAsia="楷体_GB2312" w:hAnsi="Arial" w:cs="Arial"/>
          <w:color w:val="auto"/>
          <w:sz w:val="20"/>
          <w:szCs w:val="20"/>
        </w:rPr>
        <w:t>。以绝对收益为投资目标的股票多空类产品平均收益为</w:t>
      </w:r>
      <w:r w:rsidRPr="00C97435">
        <w:rPr>
          <w:rFonts w:ascii="Arial" w:eastAsia="楷体_GB2312" w:hAnsi="Arial" w:cs="Arial"/>
          <w:color w:val="auto"/>
          <w:sz w:val="20"/>
          <w:szCs w:val="20"/>
        </w:rPr>
        <w:t>0.02%</w:t>
      </w:r>
      <w:r w:rsidRPr="00C97435">
        <w:rPr>
          <w:rFonts w:ascii="Arial" w:eastAsia="楷体_GB2312" w:hAnsi="Arial" w:cs="Arial"/>
          <w:color w:val="auto"/>
          <w:sz w:val="20"/>
          <w:szCs w:val="20"/>
        </w:rPr>
        <w:t>，最高收益</w:t>
      </w:r>
      <w:proofErr w:type="gramStart"/>
      <w:r w:rsidRPr="00C97435">
        <w:rPr>
          <w:rFonts w:ascii="Arial" w:eastAsia="楷体_GB2312" w:hAnsi="Arial" w:cs="Arial"/>
          <w:color w:val="auto"/>
          <w:sz w:val="20"/>
          <w:szCs w:val="20"/>
        </w:rPr>
        <w:t>为永赢量化</w:t>
      </w:r>
      <w:proofErr w:type="gramEnd"/>
      <w:r w:rsidRPr="00C97435">
        <w:rPr>
          <w:rFonts w:ascii="Arial" w:eastAsia="楷体_GB2312" w:hAnsi="Arial" w:cs="Arial"/>
          <w:color w:val="auto"/>
          <w:sz w:val="20"/>
          <w:szCs w:val="20"/>
        </w:rPr>
        <w:t>的</w:t>
      </w:r>
      <w:r w:rsidRPr="00C97435">
        <w:rPr>
          <w:rFonts w:ascii="Arial" w:eastAsia="楷体_GB2312" w:hAnsi="Arial" w:cs="Arial"/>
          <w:color w:val="auto"/>
          <w:sz w:val="20"/>
          <w:szCs w:val="20"/>
        </w:rPr>
        <w:t>0.10%</w:t>
      </w:r>
      <w:r w:rsidRPr="00C97435">
        <w:rPr>
          <w:rFonts w:ascii="Arial" w:eastAsia="楷体_GB2312" w:hAnsi="Arial" w:cs="Arial"/>
          <w:color w:val="auto"/>
          <w:sz w:val="20"/>
          <w:szCs w:val="20"/>
        </w:rPr>
        <w:t>，最低收益为</w:t>
      </w:r>
      <w:r w:rsidRPr="00C97435">
        <w:rPr>
          <w:rFonts w:ascii="Arial" w:eastAsia="楷体_GB2312" w:hAnsi="Arial" w:cs="Arial"/>
          <w:color w:val="auto"/>
          <w:sz w:val="20"/>
          <w:szCs w:val="20"/>
        </w:rPr>
        <w:t>-0.09%</w:t>
      </w:r>
      <w:r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货币基金</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货币基金整体业绩仍无起色，个别产品收益突出。上周五，货币基金</w:t>
      </w:r>
      <w:proofErr w:type="gramStart"/>
      <w:r w:rsidRPr="00C97435">
        <w:rPr>
          <w:rFonts w:ascii="Arial" w:eastAsia="楷体_GB2312" w:hAnsi="Arial" w:cs="Arial"/>
          <w:color w:val="auto"/>
          <w:sz w:val="20"/>
          <w:szCs w:val="20"/>
        </w:rPr>
        <w:t>七日年化收益率</w:t>
      </w:r>
      <w:proofErr w:type="gramEnd"/>
      <w:r w:rsidRPr="00C97435">
        <w:rPr>
          <w:rFonts w:ascii="Arial" w:eastAsia="楷体_GB2312" w:hAnsi="Arial" w:cs="Arial"/>
          <w:color w:val="auto"/>
          <w:sz w:val="20"/>
          <w:szCs w:val="20"/>
        </w:rPr>
        <w:t>均值为</w:t>
      </w:r>
      <w:r w:rsidRPr="00C97435">
        <w:rPr>
          <w:rFonts w:ascii="Arial" w:eastAsia="楷体_GB2312" w:hAnsi="Arial" w:cs="Arial"/>
          <w:color w:val="auto"/>
          <w:sz w:val="20"/>
          <w:szCs w:val="20"/>
        </w:rPr>
        <w:t>2.77%</w:t>
      </w:r>
      <w:r w:rsidRPr="00C97435">
        <w:rPr>
          <w:rFonts w:ascii="Arial" w:eastAsia="楷体_GB2312" w:hAnsi="Arial" w:cs="Arial"/>
          <w:color w:val="auto"/>
          <w:sz w:val="20"/>
          <w:szCs w:val="20"/>
        </w:rPr>
        <w:t>，</w:t>
      </w:r>
      <w:proofErr w:type="gramStart"/>
      <w:r w:rsidRPr="00C97435">
        <w:rPr>
          <w:rFonts w:ascii="Arial" w:eastAsia="楷体_GB2312" w:hAnsi="Arial" w:cs="Arial"/>
          <w:color w:val="auto"/>
          <w:sz w:val="20"/>
          <w:szCs w:val="20"/>
        </w:rPr>
        <w:t>中融货币</w:t>
      </w:r>
      <w:proofErr w:type="gramEnd"/>
      <w:r w:rsidRPr="00C97435">
        <w:rPr>
          <w:rFonts w:ascii="Arial" w:eastAsia="楷体_GB2312" w:hAnsi="Arial" w:cs="Arial"/>
          <w:color w:val="auto"/>
          <w:sz w:val="20"/>
          <w:szCs w:val="20"/>
        </w:rPr>
        <w:t>C</w:t>
      </w:r>
      <w:r w:rsidRPr="00C97435">
        <w:rPr>
          <w:rFonts w:ascii="Arial" w:eastAsia="楷体_GB2312" w:hAnsi="Arial" w:cs="Arial"/>
          <w:color w:val="auto"/>
          <w:sz w:val="20"/>
          <w:szCs w:val="20"/>
        </w:rPr>
        <w:t>和中</w:t>
      </w:r>
      <w:proofErr w:type="gramStart"/>
      <w:r w:rsidRPr="00C97435">
        <w:rPr>
          <w:rFonts w:ascii="Arial" w:eastAsia="楷体_GB2312" w:hAnsi="Arial" w:cs="Arial"/>
          <w:color w:val="auto"/>
          <w:sz w:val="20"/>
          <w:szCs w:val="20"/>
        </w:rPr>
        <w:t>融货币</w:t>
      </w:r>
      <w:proofErr w:type="gramEnd"/>
      <w:r w:rsidRPr="00C97435">
        <w:rPr>
          <w:rFonts w:ascii="Arial" w:eastAsia="楷体_GB2312" w:hAnsi="Arial" w:cs="Arial"/>
          <w:color w:val="auto"/>
          <w:sz w:val="20"/>
          <w:szCs w:val="20"/>
        </w:rPr>
        <w:t>A</w:t>
      </w:r>
      <w:r w:rsidRPr="00C97435">
        <w:rPr>
          <w:rFonts w:ascii="Arial" w:eastAsia="楷体_GB2312" w:hAnsi="Arial" w:cs="Arial"/>
          <w:color w:val="auto"/>
          <w:sz w:val="20"/>
          <w:szCs w:val="20"/>
        </w:rPr>
        <w:t>收益最前，七日</w:t>
      </w:r>
      <w:proofErr w:type="gramStart"/>
      <w:r w:rsidRPr="00C97435">
        <w:rPr>
          <w:rFonts w:ascii="Arial" w:eastAsia="楷体_GB2312" w:hAnsi="Arial" w:cs="Arial"/>
          <w:color w:val="auto"/>
          <w:sz w:val="20"/>
          <w:szCs w:val="20"/>
        </w:rPr>
        <w:t>年化收益</w:t>
      </w:r>
      <w:proofErr w:type="gramEnd"/>
      <w:r w:rsidRPr="00C97435">
        <w:rPr>
          <w:rFonts w:ascii="Arial" w:eastAsia="楷体_GB2312" w:hAnsi="Arial" w:cs="Arial"/>
          <w:color w:val="auto"/>
          <w:sz w:val="20"/>
          <w:szCs w:val="20"/>
        </w:rPr>
        <w:t>分别为</w:t>
      </w:r>
      <w:r w:rsidRPr="00C97435">
        <w:rPr>
          <w:rFonts w:ascii="Arial" w:eastAsia="楷体_GB2312" w:hAnsi="Arial" w:cs="Arial"/>
          <w:color w:val="auto"/>
          <w:sz w:val="20"/>
          <w:szCs w:val="20"/>
        </w:rPr>
        <w:t>17.47%</w:t>
      </w:r>
      <w:r w:rsidRPr="00C97435">
        <w:rPr>
          <w:rFonts w:ascii="Arial" w:eastAsia="楷体_GB2312" w:hAnsi="Arial" w:cs="Arial"/>
          <w:color w:val="auto"/>
          <w:sz w:val="20"/>
          <w:szCs w:val="20"/>
        </w:rPr>
        <w:t>和</w:t>
      </w:r>
      <w:r w:rsidRPr="00C97435">
        <w:rPr>
          <w:rFonts w:ascii="Arial" w:eastAsia="楷体_GB2312" w:hAnsi="Arial" w:cs="Arial"/>
          <w:color w:val="auto"/>
          <w:sz w:val="20"/>
          <w:szCs w:val="20"/>
        </w:rPr>
        <w:t xml:space="preserve">17.19%, </w:t>
      </w:r>
      <w:r w:rsidRPr="00C97435">
        <w:rPr>
          <w:rFonts w:ascii="Arial" w:eastAsia="楷体_GB2312" w:hAnsi="Arial" w:cs="Arial"/>
          <w:color w:val="auto"/>
          <w:sz w:val="20"/>
          <w:szCs w:val="20"/>
        </w:rPr>
        <w:t>其次为长盛货币，七日年化收益为</w:t>
      </w:r>
      <w:r w:rsidRPr="00C97435">
        <w:rPr>
          <w:rFonts w:ascii="Arial" w:eastAsia="楷体_GB2312" w:hAnsi="Arial" w:cs="Arial"/>
          <w:color w:val="auto"/>
          <w:sz w:val="20"/>
          <w:szCs w:val="20"/>
        </w:rPr>
        <w:t>8.99%</w:t>
      </w:r>
      <w:r w:rsidRPr="00C97435">
        <w:rPr>
          <w:rFonts w:ascii="Arial" w:eastAsia="楷体_GB2312" w:hAnsi="Arial" w:cs="Arial"/>
          <w:color w:val="auto"/>
          <w:sz w:val="20"/>
          <w:szCs w:val="20"/>
        </w:rPr>
        <w:t>。整体来看，</w:t>
      </w:r>
      <w:r w:rsidRPr="00C97435">
        <w:rPr>
          <w:rFonts w:ascii="Arial" w:eastAsia="楷体_GB2312" w:hAnsi="Arial" w:cs="Arial"/>
          <w:color w:val="auto"/>
          <w:sz w:val="20"/>
          <w:szCs w:val="20"/>
        </w:rPr>
        <w:t>5%</w:t>
      </w:r>
      <w:r w:rsidRPr="00C97435">
        <w:rPr>
          <w:rFonts w:ascii="Arial" w:eastAsia="楷体_GB2312" w:hAnsi="Arial" w:cs="Arial"/>
          <w:color w:val="auto"/>
          <w:sz w:val="20"/>
          <w:szCs w:val="20"/>
        </w:rPr>
        <w:t>的产品七日</w:t>
      </w:r>
      <w:proofErr w:type="gramStart"/>
      <w:r w:rsidRPr="00C97435">
        <w:rPr>
          <w:rFonts w:ascii="Arial" w:eastAsia="楷体_GB2312" w:hAnsi="Arial" w:cs="Arial"/>
          <w:color w:val="auto"/>
          <w:sz w:val="20"/>
          <w:szCs w:val="20"/>
        </w:rPr>
        <w:t>年化收益</w:t>
      </w:r>
      <w:proofErr w:type="gramEnd"/>
      <w:r w:rsidRPr="00C97435">
        <w:rPr>
          <w:rFonts w:ascii="Arial" w:eastAsia="楷体_GB2312" w:hAnsi="Arial" w:cs="Arial"/>
          <w:color w:val="auto"/>
          <w:sz w:val="20"/>
          <w:szCs w:val="20"/>
        </w:rPr>
        <w:t>超</w:t>
      </w:r>
      <w:r w:rsidRPr="00C97435">
        <w:rPr>
          <w:rFonts w:ascii="Arial" w:eastAsia="楷体_GB2312" w:hAnsi="Arial" w:cs="Arial"/>
          <w:color w:val="auto"/>
          <w:sz w:val="20"/>
          <w:szCs w:val="20"/>
        </w:rPr>
        <w:t>5%</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4%</w:t>
      </w:r>
      <w:r w:rsidRPr="00C97435">
        <w:rPr>
          <w:rFonts w:ascii="Arial" w:eastAsia="楷体_GB2312" w:hAnsi="Arial" w:cs="Arial"/>
          <w:color w:val="auto"/>
          <w:sz w:val="20"/>
          <w:szCs w:val="20"/>
        </w:rPr>
        <w:t>的产品在</w:t>
      </w:r>
      <w:r w:rsidRPr="00C97435">
        <w:rPr>
          <w:rFonts w:ascii="Arial" w:eastAsia="楷体_GB2312" w:hAnsi="Arial" w:cs="Arial"/>
          <w:color w:val="auto"/>
          <w:sz w:val="20"/>
          <w:szCs w:val="20"/>
        </w:rPr>
        <w:t>4%~5%</w:t>
      </w:r>
      <w:r w:rsidRPr="00C97435">
        <w:rPr>
          <w:rFonts w:ascii="Arial" w:eastAsia="楷体_GB2312" w:hAnsi="Arial" w:cs="Arial"/>
          <w:color w:val="auto"/>
          <w:sz w:val="20"/>
          <w:szCs w:val="20"/>
        </w:rPr>
        <w:t>之间，</w:t>
      </w:r>
      <w:r w:rsidRPr="00C97435">
        <w:rPr>
          <w:rFonts w:ascii="Arial" w:eastAsia="楷体_GB2312" w:hAnsi="Arial" w:cs="Arial"/>
          <w:color w:val="auto"/>
          <w:sz w:val="20"/>
          <w:szCs w:val="20"/>
        </w:rPr>
        <w:t>28%</w:t>
      </w:r>
      <w:r w:rsidRPr="00C97435">
        <w:rPr>
          <w:rFonts w:ascii="Arial" w:eastAsia="楷体_GB2312" w:hAnsi="Arial" w:cs="Arial"/>
          <w:color w:val="auto"/>
          <w:sz w:val="20"/>
          <w:szCs w:val="20"/>
        </w:rPr>
        <w:t>的产品在</w:t>
      </w:r>
      <w:r w:rsidRPr="00C97435">
        <w:rPr>
          <w:rFonts w:ascii="Arial" w:eastAsia="楷体_GB2312" w:hAnsi="Arial" w:cs="Arial"/>
          <w:color w:val="auto"/>
          <w:sz w:val="20"/>
          <w:szCs w:val="20"/>
        </w:rPr>
        <w:t>3%~4%</w:t>
      </w:r>
      <w:r w:rsidRPr="00C97435">
        <w:rPr>
          <w:rFonts w:ascii="Arial" w:eastAsia="楷体_GB2312" w:hAnsi="Arial" w:cs="Arial"/>
          <w:color w:val="auto"/>
          <w:sz w:val="20"/>
          <w:szCs w:val="20"/>
        </w:rPr>
        <w:t>之间，</w:t>
      </w:r>
      <w:r w:rsidRPr="00C97435">
        <w:rPr>
          <w:rFonts w:ascii="Arial" w:eastAsia="楷体_GB2312" w:hAnsi="Arial" w:cs="Arial"/>
          <w:color w:val="auto"/>
          <w:sz w:val="20"/>
          <w:szCs w:val="20"/>
        </w:rPr>
        <w:t>47%</w:t>
      </w:r>
      <w:r w:rsidRPr="00C97435">
        <w:rPr>
          <w:rFonts w:ascii="Arial" w:eastAsia="楷体_GB2312" w:hAnsi="Arial" w:cs="Arial"/>
          <w:color w:val="auto"/>
          <w:sz w:val="20"/>
          <w:szCs w:val="20"/>
        </w:rPr>
        <w:t>的产品在</w:t>
      </w:r>
      <w:r w:rsidRPr="00C97435">
        <w:rPr>
          <w:rFonts w:ascii="Arial" w:eastAsia="楷体_GB2312" w:hAnsi="Arial" w:cs="Arial"/>
          <w:color w:val="auto"/>
          <w:sz w:val="20"/>
          <w:szCs w:val="20"/>
        </w:rPr>
        <w:t>2%~3%</w:t>
      </w:r>
      <w:r w:rsidRPr="00C97435">
        <w:rPr>
          <w:rFonts w:ascii="Arial" w:eastAsia="楷体_GB2312" w:hAnsi="Arial" w:cs="Arial"/>
          <w:color w:val="auto"/>
          <w:sz w:val="20"/>
          <w:szCs w:val="20"/>
        </w:rPr>
        <w:t>之间。</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QDII</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QDII</w:t>
      </w:r>
      <w:r w:rsidRPr="00C97435">
        <w:rPr>
          <w:rFonts w:ascii="Arial" w:eastAsia="楷体_GB2312" w:hAnsi="Arial" w:cs="Arial"/>
          <w:color w:val="auto"/>
          <w:sz w:val="20"/>
          <w:szCs w:val="20"/>
        </w:rPr>
        <w:t>基金业绩普遍失血，</w:t>
      </w:r>
      <w:r w:rsidRPr="00C97435">
        <w:rPr>
          <w:rFonts w:ascii="Arial" w:eastAsia="楷体_GB2312" w:hAnsi="Arial" w:cs="Arial"/>
          <w:color w:val="auto"/>
          <w:sz w:val="20"/>
          <w:szCs w:val="20"/>
        </w:rPr>
        <w:t>95</w:t>
      </w:r>
      <w:r w:rsidRPr="00C97435">
        <w:rPr>
          <w:rFonts w:ascii="Arial" w:eastAsia="楷体_GB2312" w:hAnsi="Arial" w:cs="Arial"/>
          <w:color w:val="auto"/>
          <w:sz w:val="20"/>
          <w:szCs w:val="20"/>
        </w:rPr>
        <w:t>只</w:t>
      </w:r>
      <w:r w:rsidRPr="00C97435">
        <w:rPr>
          <w:rFonts w:ascii="Arial" w:eastAsia="楷体_GB2312" w:hAnsi="Arial" w:cs="Arial"/>
          <w:color w:val="auto"/>
          <w:sz w:val="20"/>
          <w:szCs w:val="20"/>
        </w:rPr>
        <w:t>QDII</w:t>
      </w:r>
      <w:r w:rsidRPr="00C97435">
        <w:rPr>
          <w:rFonts w:ascii="Arial" w:eastAsia="楷体_GB2312" w:hAnsi="Arial" w:cs="Arial"/>
          <w:color w:val="auto"/>
          <w:sz w:val="20"/>
          <w:szCs w:val="20"/>
        </w:rPr>
        <w:t>产品仅仅</w:t>
      </w:r>
      <w:r w:rsidRPr="00C97435">
        <w:rPr>
          <w:rFonts w:ascii="Arial" w:eastAsia="楷体_GB2312" w:hAnsi="Arial" w:cs="Arial"/>
          <w:color w:val="auto"/>
          <w:sz w:val="20"/>
          <w:szCs w:val="20"/>
        </w:rPr>
        <w:t>15</w:t>
      </w:r>
      <w:r w:rsidRPr="00C97435">
        <w:rPr>
          <w:rFonts w:ascii="Arial" w:eastAsia="楷体_GB2312" w:hAnsi="Arial" w:cs="Arial"/>
          <w:color w:val="auto"/>
          <w:sz w:val="20"/>
          <w:szCs w:val="20"/>
        </w:rPr>
        <w:t>只产品收益率为正，最高收益为中银全球策略的</w:t>
      </w:r>
      <w:r w:rsidRPr="00C97435">
        <w:rPr>
          <w:rFonts w:ascii="Arial" w:eastAsia="楷体_GB2312" w:hAnsi="Arial" w:cs="Arial"/>
          <w:color w:val="auto"/>
          <w:sz w:val="20"/>
          <w:szCs w:val="20"/>
        </w:rPr>
        <w:t>1.60%</w:t>
      </w:r>
      <w:r w:rsidRPr="00C97435">
        <w:rPr>
          <w:rFonts w:ascii="Arial" w:eastAsia="楷体_GB2312" w:hAnsi="Arial" w:cs="Arial"/>
          <w:color w:val="auto"/>
          <w:sz w:val="20"/>
          <w:szCs w:val="20"/>
        </w:rPr>
        <w:t>，随后为嘉实黄金的</w:t>
      </w:r>
      <w:r w:rsidRPr="00C97435">
        <w:rPr>
          <w:rFonts w:ascii="Arial" w:eastAsia="楷体_GB2312" w:hAnsi="Arial" w:cs="Arial"/>
          <w:color w:val="auto"/>
          <w:sz w:val="20"/>
          <w:szCs w:val="20"/>
        </w:rPr>
        <w:t>1.43%</w:t>
      </w:r>
      <w:r w:rsidRPr="00C97435">
        <w:rPr>
          <w:rFonts w:ascii="Arial" w:eastAsia="楷体_GB2312" w:hAnsi="Arial" w:cs="Arial"/>
          <w:color w:val="auto"/>
          <w:sz w:val="20"/>
          <w:szCs w:val="20"/>
        </w:rPr>
        <w:t>和</w:t>
      </w:r>
      <w:proofErr w:type="gramStart"/>
      <w:r w:rsidRPr="00C97435">
        <w:rPr>
          <w:rFonts w:ascii="Arial" w:eastAsia="楷体_GB2312" w:hAnsi="Arial" w:cs="Arial"/>
          <w:color w:val="auto"/>
          <w:sz w:val="20"/>
          <w:szCs w:val="20"/>
        </w:rPr>
        <w:t>诺安全</w:t>
      </w:r>
      <w:proofErr w:type="gramEnd"/>
      <w:r w:rsidRPr="00C97435">
        <w:rPr>
          <w:rFonts w:ascii="Arial" w:eastAsia="楷体_GB2312" w:hAnsi="Arial" w:cs="Arial"/>
          <w:color w:val="auto"/>
          <w:sz w:val="20"/>
          <w:szCs w:val="20"/>
        </w:rPr>
        <w:t>球黄金的</w:t>
      </w:r>
      <w:r w:rsidRPr="00C97435">
        <w:rPr>
          <w:rFonts w:ascii="Arial" w:eastAsia="楷体_GB2312" w:hAnsi="Arial" w:cs="Arial"/>
          <w:color w:val="auto"/>
          <w:sz w:val="20"/>
          <w:szCs w:val="20"/>
        </w:rPr>
        <w:t>1.41%</w:t>
      </w:r>
      <w:r w:rsidRPr="00C97435">
        <w:rPr>
          <w:rFonts w:ascii="Arial" w:eastAsia="楷体_GB2312" w:hAnsi="Arial" w:cs="Arial"/>
          <w:color w:val="auto"/>
          <w:sz w:val="20"/>
          <w:szCs w:val="20"/>
        </w:rPr>
        <w:t>，最低收益为</w:t>
      </w:r>
      <w:r w:rsidRPr="00C97435">
        <w:rPr>
          <w:rFonts w:ascii="Arial" w:eastAsia="楷体_GB2312" w:hAnsi="Arial" w:cs="Arial"/>
          <w:color w:val="auto"/>
          <w:sz w:val="20"/>
          <w:szCs w:val="20"/>
        </w:rPr>
        <w:t>-7.96%</w:t>
      </w:r>
      <w:r w:rsidRPr="00C97435">
        <w:rPr>
          <w:rFonts w:ascii="Arial" w:eastAsia="楷体_GB2312" w:hAnsi="Arial" w:cs="Arial"/>
          <w:color w:val="auto"/>
          <w:sz w:val="20"/>
          <w:szCs w:val="20"/>
        </w:rPr>
        <w:t>。担忧情绪升温以及股市动荡导致商品基金和债券基金</w:t>
      </w:r>
      <w:proofErr w:type="gramStart"/>
      <w:r w:rsidRPr="00C97435">
        <w:rPr>
          <w:rFonts w:ascii="Arial" w:eastAsia="楷体_GB2312" w:hAnsi="Arial" w:cs="Arial"/>
          <w:color w:val="auto"/>
          <w:sz w:val="20"/>
          <w:szCs w:val="20"/>
        </w:rPr>
        <w:t>收益居</w:t>
      </w:r>
      <w:proofErr w:type="gramEnd"/>
      <w:r w:rsidRPr="00C97435">
        <w:rPr>
          <w:rFonts w:ascii="Arial" w:eastAsia="楷体_GB2312" w:hAnsi="Arial" w:cs="Arial"/>
          <w:color w:val="auto"/>
          <w:sz w:val="20"/>
          <w:szCs w:val="20"/>
        </w:rPr>
        <w:t>前，美股基金表现好与新兴市场基金，</w:t>
      </w:r>
      <w:proofErr w:type="gramStart"/>
      <w:r w:rsidRPr="00C97435">
        <w:rPr>
          <w:rFonts w:ascii="Arial" w:eastAsia="楷体_GB2312" w:hAnsi="Arial" w:cs="Arial"/>
          <w:color w:val="auto"/>
          <w:sz w:val="20"/>
          <w:szCs w:val="20"/>
        </w:rPr>
        <w:t>好于欧股基金</w:t>
      </w:r>
      <w:proofErr w:type="gramEnd"/>
      <w:r w:rsidRPr="00C97435">
        <w:rPr>
          <w:rFonts w:ascii="Arial" w:eastAsia="楷体_GB2312" w:hAnsi="Arial" w:cs="Arial"/>
          <w:color w:val="auto"/>
          <w:sz w:val="20"/>
          <w:szCs w:val="20"/>
        </w:rPr>
        <w:t>。油气、资源类产品业绩排名整体靠后。</w:t>
      </w:r>
    </w:p>
    <w:p w:rsidR="003175BA" w:rsidRDefault="003175BA">
      <w:pPr>
        <w:widowControl/>
        <w:jc w:val="left"/>
        <w:rPr>
          <w:rFonts w:ascii="Arial" w:hAnsi="Arial" w:cs="Arial"/>
          <w:b/>
          <w:color w:val="996600"/>
          <w:sz w:val="32"/>
          <w:szCs w:val="28"/>
        </w:rPr>
      </w:pPr>
      <w:r>
        <w:rPr>
          <w:rFonts w:ascii="Arial" w:hAnsi="Arial" w:cs="Arial"/>
          <w:b/>
          <w:color w:val="996600"/>
          <w:sz w:val="32"/>
          <w:szCs w:val="28"/>
        </w:rPr>
        <w:br w:type="page"/>
      </w:r>
    </w:p>
    <w:p w:rsidR="00921CE9" w:rsidRPr="00C97435" w:rsidRDefault="003175BA" w:rsidP="00736D60">
      <w:pPr>
        <w:pStyle w:val="af7"/>
        <w:numPr>
          <w:ilvl w:val="0"/>
          <w:numId w:val="1"/>
        </w:numPr>
        <w:ind w:firstLineChars="0"/>
        <w:rPr>
          <w:rFonts w:ascii="Arial" w:hAnsi="Arial" w:cs="Arial"/>
          <w:b/>
          <w:color w:val="996600"/>
          <w:sz w:val="32"/>
          <w:szCs w:val="28"/>
        </w:rPr>
      </w:pPr>
      <w:r w:rsidRPr="00C97435">
        <w:rPr>
          <w:rFonts w:ascii="Arial" w:hAnsi="Arial" w:cs="Arial"/>
          <w:noProof/>
          <w:sz w:val="20"/>
          <w:szCs w:val="20"/>
        </w:rPr>
        <w:lastRenderedPageBreak/>
        <mc:AlternateContent>
          <mc:Choice Requires="wps">
            <w:drawing>
              <wp:anchor distT="0" distB="0" distL="0" distR="0" simplePos="0" relativeHeight="251676672" behindDoc="0" locked="0" layoutInCell="1" allowOverlap="0" wp14:anchorId="3B9E9D3A" wp14:editId="4F027D0E">
                <wp:simplePos x="0" y="0"/>
                <wp:positionH relativeFrom="page">
                  <wp:posOffset>354054</wp:posOffset>
                </wp:positionH>
                <wp:positionV relativeFrom="paragraph">
                  <wp:posOffset>15240</wp:posOffset>
                </wp:positionV>
                <wp:extent cx="2339975" cy="8814435"/>
                <wp:effectExtent l="0" t="0" r="3175" b="5715"/>
                <wp:wrapNone/>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8814435"/>
                        </a:xfrm>
                        <a:prstGeom prst="rect">
                          <a:avLst/>
                        </a:prstGeom>
                        <a:solidFill>
                          <a:srgbClr val="FFFFFF"/>
                        </a:solidFill>
                        <a:ln w="9525">
                          <a:noFill/>
                          <a:miter lim="800000"/>
                          <a:headEnd/>
                          <a:tailEnd/>
                        </a:ln>
                      </wps:spPr>
                      <wps:txbx>
                        <w:txbxContent>
                          <w:tbl>
                            <w:tblPr>
                              <w:tblW w:w="3402" w:type="dxa"/>
                              <w:tblInd w:w="93" w:type="dxa"/>
                              <w:tblLook w:val="04A0" w:firstRow="1" w:lastRow="0" w:firstColumn="1" w:lastColumn="0" w:noHBand="0" w:noVBand="1"/>
                            </w:tblPr>
                            <w:tblGrid>
                              <w:gridCol w:w="2142"/>
                              <w:gridCol w:w="1260"/>
                            </w:tblGrid>
                            <w:tr w:rsidR="00FD5740" w:rsidRPr="00F0615C" w:rsidTr="00E06260">
                              <w:trPr>
                                <w:trHeight w:val="284"/>
                              </w:trPr>
                              <w:tc>
                                <w:tcPr>
                                  <w:tcW w:w="3402" w:type="dxa"/>
                                  <w:gridSpan w:val="2"/>
                                  <w:tcBorders>
                                    <w:top w:val="single" w:sz="4" w:space="0" w:color="auto"/>
                                    <w:bottom w:val="single" w:sz="8" w:space="0" w:color="auto"/>
                                  </w:tcBorders>
                                  <w:shd w:val="clear" w:color="auto" w:fill="CC6600"/>
                                  <w:vAlign w:val="center"/>
                                </w:tcPr>
                                <w:p w:rsidR="00FD5740" w:rsidRPr="00E06260" w:rsidRDefault="00FD5740" w:rsidP="00E06260">
                                  <w:pPr>
                                    <w:spacing w:beforeLines="50" w:before="120" w:afterLines="50" w:after="120"/>
                                    <w:rPr>
                                      <w:rFonts w:ascii="楷体" w:eastAsia="楷体" w:hAnsi="楷体" w:cs="宋体"/>
                                      <w:b/>
                                      <w:bCs/>
                                      <w:color w:val="000000"/>
                                      <w:kern w:val="0"/>
                                      <w:sz w:val="20"/>
                                      <w:szCs w:val="16"/>
                                      <w:lang w:val="en-GB"/>
                                    </w:rPr>
                                  </w:pPr>
                                  <w:r w:rsidRPr="00F0615C">
                                    <w:rPr>
                                      <w:rFonts w:ascii="楷体" w:eastAsia="楷体" w:hAnsi="楷体" w:cs="宋体" w:hint="eastAsia"/>
                                      <w:b/>
                                      <w:bCs/>
                                      <w:color w:val="000000"/>
                                      <w:kern w:val="0"/>
                                      <w:sz w:val="20"/>
                                      <w:szCs w:val="16"/>
                                      <w:lang w:val="en-GB"/>
                                    </w:rPr>
                                    <w:t>国内经济重要数据</w:t>
                                  </w:r>
                                </w:p>
                              </w:tc>
                            </w:tr>
                            <w:tr w:rsidR="00FD5740" w:rsidRPr="00F0615C" w:rsidTr="00E06260">
                              <w:trPr>
                                <w:trHeight w:val="284"/>
                              </w:trPr>
                              <w:tc>
                                <w:tcPr>
                                  <w:tcW w:w="2142" w:type="dxa"/>
                                  <w:tcBorders>
                                    <w:top w:val="nil"/>
                                    <w:left w:val="nil"/>
                                    <w:bottom w:val="single" w:sz="8" w:space="0" w:color="auto"/>
                                    <w:right w:val="single" w:sz="8" w:space="0" w:color="auto"/>
                                  </w:tcBorders>
                                  <w:shd w:val="clear" w:color="auto" w:fill="D9D9D9" w:themeFill="background1" w:themeFillShade="D9"/>
                                  <w:vAlign w:val="center"/>
                                  <w:hideMark/>
                                </w:tcPr>
                                <w:p w:rsidR="00FD5740" w:rsidRPr="00E06260" w:rsidRDefault="00FD5740"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项目</w:t>
                                  </w:r>
                                </w:p>
                              </w:tc>
                              <w:tc>
                                <w:tcPr>
                                  <w:tcW w:w="1260" w:type="dxa"/>
                                  <w:tcBorders>
                                    <w:top w:val="nil"/>
                                    <w:left w:val="nil"/>
                                    <w:bottom w:val="single" w:sz="8" w:space="0" w:color="auto"/>
                                    <w:right w:val="nil"/>
                                  </w:tcBorders>
                                  <w:shd w:val="clear" w:color="auto" w:fill="D9D9D9" w:themeFill="background1" w:themeFillShade="D9"/>
                                  <w:vAlign w:val="center"/>
                                  <w:hideMark/>
                                </w:tcPr>
                                <w:p w:rsidR="00FD5740" w:rsidRPr="00E06260" w:rsidRDefault="00FD5740"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数据</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proofErr w:type="gramStart"/>
                                  <w:r w:rsidRPr="00F0615C">
                                    <w:rPr>
                                      <w:rFonts w:ascii="楷体" w:eastAsia="楷体" w:hAnsi="楷体" w:cs="宋体" w:hint="eastAsia"/>
                                      <w:color w:val="000000"/>
                                      <w:kern w:val="0"/>
                                      <w:sz w:val="16"/>
                                      <w:szCs w:val="13"/>
                                    </w:rPr>
                                    <w:t>9月财新制造业</w:t>
                                  </w:r>
                                  <w:proofErr w:type="gramEnd"/>
                                  <w:r w:rsidRPr="00F0615C">
                                    <w:rPr>
                                      <w:rFonts w:ascii="楷体" w:eastAsia="楷体" w:hAnsi="楷体" w:cs="宋体" w:hint="eastAsia"/>
                                      <w:color w:val="000000"/>
                                      <w:kern w:val="0"/>
                                      <w:sz w:val="16"/>
                                      <w:szCs w:val="13"/>
                                    </w:rPr>
                                    <w:t>PMI预览值</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47</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8月工业企业利润同比</w:t>
                                  </w:r>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-8.80%</w:t>
                                  </w:r>
                                </w:p>
                              </w:tc>
                            </w:tr>
                          </w:tbl>
                          <w:p w:rsidR="00FD5740" w:rsidRDefault="00FD5740"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F0615C" w:rsidRDefault="00FD5740" w:rsidP="00C97435">
                            <w:pPr>
                              <w:spacing w:beforeLines="50" w:before="120" w:afterLines="50" w:after="120"/>
                              <w:rPr>
                                <w:rFonts w:ascii="楷体" w:eastAsia="楷体" w:hAnsi="楷体" w:cs="宋体"/>
                                <w:b/>
                                <w:bCs/>
                                <w:color w:val="000000"/>
                                <w:kern w:val="0"/>
                                <w:sz w:val="20"/>
                                <w:szCs w:val="16"/>
                                <w:lang w:val="en-GB"/>
                              </w:rPr>
                            </w:pPr>
                          </w:p>
                          <w:tbl>
                            <w:tblPr>
                              <w:tblW w:w="3402" w:type="dxa"/>
                              <w:tblInd w:w="93" w:type="dxa"/>
                              <w:tblLook w:val="04A0" w:firstRow="1" w:lastRow="0" w:firstColumn="1" w:lastColumn="0" w:noHBand="0" w:noVBand="1"/>
                            </w:tblPr>
                            <w:tblGrid>
                              <w:gridCol w:w="2142"/>
                              <w:gridCol w:w="1260"/>
                            </w:tblGrid>
                            <w:tr w:rsidR="00FD5740" w:rsidRPr="00F0615C" w:rsidTr="00E06260">
                              <w:trPr>
                                <w:trHeight w:val="284"/>
                              </w:trPr>
                              <w:tc>
                                <w:tcPr>
                                  <w:tcW w:w="3402" w:type="dxa"/>
                                  <w:gridSpan w:val="2"/>
                                  <w:tcBorders>
                                    <w:top w:val="single" w:sz="4" w:space="0" w:color="auto"/>
                                    <w:left w:val="nil"/>
                                    <w:bottom w:val="single" w:sz="8" w:space="0" w:color="auto"/>
                                  </w:tcBorders>
                                  <w:shd w:val="clear" w:color="auto" w:fill="CC6600"/>
                                  <w:vAlign w:val="center"/>
                                </w:tcPr>
                                <w:p w:rsidR="00FD5740" w:rsidRPr="00F0615C" w:rsidRDefault="00FD5740" w:rsidP="00E06260">
                                  <w:pPr>
                                    <w:spacing w:beforeLines="50" w:before="120" w:afterLines="50" w:after="120"/>
                                    <w:rPr>
                                      <w:rFonts w:ascii="楷体" w:eastAsia="楷体" w:hAnsi="楷体" w:cs="宋体"/>
                                      <w:b/>
                                      <w:color w:val="000000"/>
                                      <w:kern w:val="0"/>
                                      <w:sz w:val="18"/>
                                      <w:szCs w:val="13"/>
                                    </w:rPr>
                                  </w:pPr>
                                  <w:r>
                                    <w:rPr>
                                      <w:rFonts w:ascii="楷体" w:eastAsia="楷体" w:hAnsi="楷体" w:cs="宋体" w:hint="eastAsia"/>
                                      <w:b/>
                                      <w:bCs/>
                                      <w:color w:val="000000"/>
                                      <w:kern w:val="0"/>
                                      <w:sz w:val="20"/>
                                      <w:szCs w:val="16"/>
                                      <w:lang w:val="en-GB"/>
                                    </w:rPr>
                                    <w:t>海外</w:t>
                                  </w:r>
                                  <w:r w:rsidRPr="00F0615C">
                                    <w:rPr>
                                      <w:rFonts w:ascii="楷体" w:eastAsia="楷体" w:hAnsi="楷体" w:cs="宋体" w:hint="eastAsia"/>
                                      <w:b/>
                                      <w:bCs/>
                                      <w:color w:val="000000"/>
                                      <w:kern w:val="0"/>
                                      <w:sz w:val="20"/>
                                      <w:szCs w:val="16"/>
                                      <w:lang w:val="en-GB"/>
                                    </w:rPr>
                                    <w:t>经济重要数据</w:t>
                                  </w:r>
                                </w:p>
                              </w:tc>
                            </w:tr>
                            <w:tr w:rsidR="00FD5740" w:rsidRPr="00F0615C" w:rsidTr="00E06260">
                              <w:trPr>
                                <w:trHeight w:val="284"/>
                              </w:trPr>
                              <w:tc>
                                <w:tcPr>
                                  <w:tcW w:w="2142"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FD5740" w:rsidRPr="00F0615C" w:rsidRDefault="00FD5740"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项目</w:t>
                                  </w:r>
                                </w:p>
                              </w:tc>
                              <w:tc>
                                <w:tcPr>
                                  <w:tcW w:w="1260" w:type="dxa"/>
                                  <w:tcBorders>
                                    <w:top w:val="single" w:sz="4" w:space="0" w:color="auto"/>
                                    <w:left w:val="nil"/>
                                    <w:bottom w:val="single" w:sz="8" w:space="0" w:color="auto"/>
                                    <w:right w:val="nil"/>
                                  </w:tcBorders>
                                  <w:shd w:val="clear" w:color="auto" w:fill="D9D9D9" w:themeFill="background1" w:themeFillShade="D9"/>
                                  <w:vAlign w:val="center"/>
                                  <w:hideMark/>
                                </w:tcPr>
                                <w:p w:rsidR="00FD5740" w:rsidRPr="00F0615C" w:rsidRDefault="00FD5740"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数据</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美国：8月成屋销售折年率</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环比-4.80%</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美国：9月19日当周初请失业</w:t>
                                  </w:r>
                                  <w:proofErr w:type="gramStart"/>
                                  <w:r w:rsidRPr="00F0615C">
                                    <w:rPr>
                                      <w:rFonts w:ascii="楷体" w:eastAsia="楷体" w:hAnsi="楷体" w:cs="宋体" w:hint="eastAsia"/>
                                      <w:color w:val="000000"/>
                                      <w:kern w:val="0"/>
                                      <w:sz w:val="16"/>
                                      <w:szCs w:val="13"/>
                                    </w:rPr>
                                    <w:t>金人数</w:t>
                                  </w:r>
                                  <w:proofErr w:type="gramEnd"/>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26.7万人（季调）</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美国：8月新房销售</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5.80%</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美国：第二季度GDP增幅</w:t>
                                  </w:r>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由3.7%上修为3.9%</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美国：9月密歇根大学的消费者信心指数</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终值87.2</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美国：9月</w:t>
                                  </w:r>
                                  <w:proofErr w:type="spellStart"/>
                                  <w:r w:rsidRPr="00F0615C">
                                    <w:rPr>
                                      <w:rFonts w:ascii="楷体" w:eastAsia="楷体" w:hAnsi="楷体" w:cs="宋体" w:hint="eastAsia"/>
                                      <w:color w:val="000000"/>
                                      <w:kern w:val="0"/>
                                      <w:sz w:val="16"/>
                                      <w:szCs w:val="13"/>
                                    </w:rPr>
                                    <w:t>Markit</w:t>
                                  </w:r>
                                  <w:proofErr w:type="spellEnd"/>
                                  <w:r w:rsidRPr="00F0615C">
                                    <w:rPr>
                                      <w:rFonts w:ascii="楷体" w:eastAsia="楷体" w:hAnsi="楷体" w:cs="宋体" w:hint="eastAsia"/>
                                      <w:color w:val="000000"/>
                                      <w:kern w:val="0"/>
                                      <w:sz w:val="16"/>
                                      <w:szCs w:val="13"/>
                                    </w:rPr>
                                    <w:t>制造业PMI</w:t>
                                  </w:r>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初值为53.0</w:t>
                                  </w:r>
                                </w:p>
                              </w:tc>
                            </w:tr>
                          </w:tbl>
                          <w:p w:rsidR="00FD5740" w:rsidRDefault="00FD5740"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F0615C" w:rsidRDefault="00FD5740" w:rsidP="00F0615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9pt;margin-top:1.2pt;width:184.25pt;height:694.0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" o:allowoverlap="f" stroked="f">
                <v:textbox>
                  <w:txbxContent>
                    <w:tbl>
                      <w:tblPr>
                        <w:tblW w:w="3402" w:type="dxa"/>
                        <w:tblInd w:w="93" w:type="dxa"/>
                        <w:tblLook w:val="04A0" w:firstRow="1" w:lastRow="0" w:firstColumn="1" w:lastColumn="0" w:noHBand="0" w:noVBand="1"/>
                      </w:tblPr>
                      <w:tblGrid>
                        <w:gridCol w:w="2142"/>
                        <w:gridCol w:w="1260"/>
                      </w:tblGrid>
                      <w:tr w:rsidR="00FD5740" w:rsidRPr="00F0615C" w:rsidTr="00E06260">
                        <w:trPr>
                          <w:trHeight w:val="284"/>
                        </w:trPr>
                        <w:tc>
                          <w:tcPr>
                            <w:tcW w:w="3402" w:type="dxa"/>
                            <w:gridSpan w:val="2"/>
                            <w:tcBorders>
                              <w:top w:val="single" w:sz="4" w:space="0" w:color="auto"/>
                              <w:bottom w:val="single" w:sz="8" w:space="0" w:color="auto"/>
                            </w:tcBorders>
                            <w:shd w:val="clear" w:color="auto" w:fill="CC6600"/>
                            <w:vAlign w:val="center"/>
                          </w:tcPr>
                          <w:p w:rsidR="00FD5740" w:rsidRPr="00E06260" w:rsidRDefault="00FD5740" w:rsidP="00E06260">
                            <w:pPr>
                              <w:spacing w:beforeLines="50" w:before="120" w:afterLines="50" w:after="120"/>
                              <w:rPr>
                                <w:rFonts w:ascii="楷体" w:eastAsia="楷体" w:hAnsi="楷体" w:cs="宋体"/>
                                <w:b/>
                                <w:bCs/>
                                <w:color w:val="000000"/>
                                <w:kern w:val="0"/>
                                <w:sz w:val="20"/>
                                <w:szCs w:val="16"/>
                                <w:lang w:val="en-GB"/>
                              </w:rPr>
                            </w:pPr>
                            <w:r w:rsidRPr="00F0615C">
                              <w:rPr>
                                <w:rFonts w:ascii="楷体" w:eastAsia="楷体" w:hAnsi="楷体" w:cs="宋体" w:hint="eastAsia"/>
                                <w:b/>
                                <w:bCs/>
                                <w:color w:val="000000"/>
                                <w:kern w:val="0"/>
                                <w:sz w:val="20"/>
                                <w:szCs w:val="16"/>
                                <w:lang w:val="en-GB"/>
                              </w:rPr>
                              <w:t>国内经济重要数据</w:t>
                            </w:r>
                          </w:p>
                        </w:tc>
                      </w:tr>
                      <w:tr w:rsidR="00FD5740" w:rsidRPr="00F0615C" w:rsidTr="00E06260">
                        <w:trPr>
                          <w:trHeight w:val="284"/>
                        </w:trPr>
                        <w:tc>
                          <w:tcPr>
                            <w:tcW w:w="2142" w:type="dxa"/>
                            <w:tcBorders>
                              <w:top w:val="nil"/>
                              <w:left w:val="nil"/>
                              <w:bottom w:val="single" w:sz="8" w:space="0" w:color="auto"/>
                              <w:right w:val="single" w:sz="8" w:space="0" w:color="auto"/>
                            </w:tcBorders>
                            <w:shd w:val="clear" w:color="auto" w:fill="D9D9D9" w:themeFill="background1" w:themeFillShade="D9"/>
                            <w:vAlign w:val="center"/>
                            <w:hideMark/>
                          </w:tcPr>
                          <w:p w:rsidR="00FD5740" w:rsidRPr="00E06260" w:rsidRDefault="00FD5740"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项目</w:t>
                            </w:r>
                          </w:p>
                        </w:tc>
                        <w:tc>
                          <w:tcPr>
                            <w:tcW w:w="1260" w:type="dxa"/>
                            <w:tcBorders>
                              <w:top w:val="nil"/>
                              <w:left w:val="nil"/>
                              <w:bottom w:val="single" w:sz="8" w:space="0" w:color="auto"/>
                              <w:right w:val="nil"/>
                            </w:tcBorders>
                            <w:shd w:val="clear" w:color="auto" w:fill="D9D9D9" w:themeFill="background1" w:themeFillShade="D9"/>
                            <w:vAlign w:val="center"/>
                            <w:hideMark/>
                          </w:tcPr>
                          <w:p w:rsidR="00FD5740" w:rsidRPr="00E06260" w:rsidRDefault="00FD5740" w:rsidP="00E06260">
                            <w:pPr>
                              <w:widowControl/>
                              <w:jc w:val="center"/>
                              <w:rPr>
                                <w:rFonts w:ascii="楷体" w:eastAsia="楷体" w:hAnsi="楷体" w:cs="宋体"/>
                                <w:b/>
                                <w:color w:val="000000"/>
                                <w:kern w:val="0"/>
                                <w:sz w:val="16"/>
                                <w:szCs w:val="13"/>
                              </w:rPr>
                            </w:pPr>
                            <w:r w:rsidRPr="00E06260">
                              <w:rPr>
                                <w:rFonts w:ascii="楷体" w:eastAsia="楷体" w:hAnsi="楷体" w:cs="宋体" w:hint="eastAsia"/>
                                <w:b/>
                                <w:color w:val="000000"/>
                                <w:kern w:val="0"/>
                                <w:sz w:val="16"/>
                                <w:szCs w:val="13"/>
                              </w:rPr>
                              <w:t>数据</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proofErr w:type="gramStart"/>
                            <w:r w:rsidRPr="00F0615C">
                              <w:rPr>
                                <w:rFonts w:ascii="楷体" w:eastAsia="楷体" w:hAnsi="楷体" w:cs="宋体" w:hint="eastAsia"/>
                                <w:color w:val="000000"/>
                                <w:kern w:val="0"/>
                                <w:sz w:val="16"/>
                                <w:szCs w:val="13"/>
                              </w:rPr>
                              <w:t>9月财新制造业</w:t>
                            </w:r>
                            <w:proofErr w:type="gramEnd"/>
                            <w:r w:rsidRPr="00F0615C">
                              <w:rPr>
                                <w:rFonts w:ascii="楷体" w:eastAsia="楷体" w:hAnsi="楷体" w:cs="宋体" w:hint="eastAsia"/>
                                <w:color w:val="000000"/>
                                <w:kern w:val="0"/>
                                <w:sz w:val="16"/>
                                <w:szCs w:val="13"/>
                              </w:rPr>
                              <w:t>PMI预览值</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47</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8月工业企业利润同比</w:t>
                            </w:r>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-8.80%</w:t>
                            </w:r>
                          </w:p>
                        </w:tc>
                      </w:tr>
                    </w:tbl>
                    <w:p w:rsidR="00FD5740" w:rsidRDefault="00FD5740"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F0615C" w:rsidRDefault="00FD5740" w:rsidP="00C97435">
                      <w:pPr>
                        <w:spacing w:beforeLines="50" w:before="120" w:afterLines="50" w:after="120"/>
                        <w:rPr>
                          <w:rFonts w:ascii="楷体" w:eastAsia="楷体" w:hAnsi="楷体" w:cs="宋体"/>
                          <w:b/>
                          <w:bCs/>
                          <w:color w:val="000000"/>
                          <w:kern w:val="0"/>
                          <w:sz w:val="20"/>
                          <w:szCs w:val="16"/>
                          <w:lang w:val="en-GB"/>
                        </w:rPr>
                      </w:pPr>
                    </w:p>
                    <w:tbl>
                      <w:tblPr>
                        <w:tblW w:w="3402" w:type="dxa"/>
                        <w:tblInd w:w="93" w:type="dxa"/>
                        <w:tblLook w:val="04A0" w:firstRow="1" w:lastRow="0" w:firstColumn="1" w:lastColumn="0" w:noHBand="0" w:noVBand="1"/>
                      </w:tblPr>
                      <w:tblGrid>
                        <w:gridCol w:w="2142"/>
                        <w:gridCol w:w="1260"/>
                      </w:tblGrid>
                      <w:tr w:rsidR="00FD5740" w:rsidRPr="00F0615C" w:rsidTr="00E06260">
                        <w:trPr>
                          <w:trHeight w:val="284"/>
                        </w:trPr>
                        <w:tc>
                          <w:tcPr>
                            <w:tcW w:w="3402" w:type="dxa"/>
                            <w:gridSpan w:val="2"/>
                            <w:tcBorders>
                              <w:top w:val="single" w:sz="4" w:space="0" w:color="auto"/>
                              <w:left w:val="nil"/>
                              <w:bottom w:val="single" w:sz="8" w:space="0" w:color="auto"/>
                            </w:tcBorders>
                            <w:shd w:val="clear" w:color="auto" w:fill="CC6600"/>
                            <w:vAlign w:val="center"/>
                          </w:tcPr>
                          <w:p w:rsidR="00FD5740" w:rsidRPr="00F0615C" w:rsidRDefault="00FD5740" w:rsidP="00E06260">
                            <w:pPr>
                              <w:spacing w:beforeLines="50" w:before="120" w:afterLines="50" w:after="120"/>
                              <w:rPr>
                                <w:rFonts w:ascii="楷体" w:eastAsia="楷体" w:hAnsi="楷体" w:cs="宋体"/>
                                <w:b/>
                                <w:color w:val="000000"/>
                                <w:kern w:val="0"/>
                                <w:sz w:val="18"/>
                                <w:szCs w:val="13"/>
                              </w:rPr>
                            </w:pPr>
                            <w:r>
                              <w:rPr>
                                <w:rFonts w:ascii="楷体" w:eastAsia="楷体" w:hAnsi="楷体" w:cs="宋体" w:hint="eastAsia"/>
                                <w:b/>
                                <w:bCs/>
                                <w:color w:val="000000"/>
                                <w:kern w:val="0"/>
                                <w:sz w:val="20"/>
                                <w:szCs w:val="16"/>
                                <w:lang w:val="en-GB"/>
                              </w:rPr>
                              <w:t>海外</w:t>
                            </w:r>
                            <w:r w:rsidRPr="00F0615C">
                              <w:rPr>
                                <w:rFonts w:ascii="楷体" w:eastAsia="楷体" w:hAnsi="楷体" w:cs="宋体" w:hint="eastAsia"/>
                                <w:b/>
                                <w:bCs/>
                                <w:color w:val="000000"/>
                                <w:kern w:val="0"/>
                                <w:sz w:val="20"/>
                                <w:szCs w:val="16"/>
                                <w:lang w:val="en-GB"/>
                              </w:rPr>
                              <w:t>经济重要数据</w:t>
                            </w:r>
                          </w:p>
                        </w:tc>
                      </w:tr>
                      <w:tr w:rsidR="00FD5740" w:rsidRPr="00F0615C" w:rsidTr="00E06260">
                        <w:trPr>
                          <w:trHeight w:val="284"/>
                        </w:trPr>
                        <w:tc>
                          <w:tcPr>
                            <w:tcW w:w="2142" w:type="dxa"/>
                            <w:tcBorders>
                              <w:top w:val="single" w:sz="4" w:space="0" w:color="auto"/>
                              <w:left w:val="nil"/>
                              <w:bottom w:val="single" w:sz="8" w:space="0" w:color="auto"/>
                              <w:right w:val="single" w:sz="8" w:space="0" w:color="auto"/>
                            </w:tcBorders>
                            <w:shd w:val="clear" w:color="auto" w:fill="D9D9D9" w:themeFill="background1" w:themeFillShade="D9"/>
                            <w:vAlign w:val="center"/>
                            <w:hideMark/>
                          </w:tcPr>
                          <w:p w:rsidR="00FD5740" w:rsidRPr="00F0615C" w:rsidRDefault="00FD5740"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项目</w:t>
                            </w:r>
                          </w:p>
                        </w:tc>
                        <w:tc>
                          <w:tcPr>
                            <w:tcW w:w="1260" w:type="dxa"/>
                            <w:tcBorders>
                              <w:top w:val="single" w:sz="4" w:space="0" w:color="auto"/>
                              <w:left w:val="nil"/>
                              <w:bottom w:val="single" w:sz="8" w:space="0" w:color="auto"/>
                              <w:right w:val="nil"/>
                            </w:tcBorders>
                            <w:shd w:val="clear" w:color="auto" w:fill="D9D9D9" w:themeFill="background1" w:themeFillShade="D9"/>
                            <w:vAlign w:val="center"/>
                            <w:hideMark/>
                          </w:tcPr>
                          <w:p w:rsidR="00FD5740" w:rsidRPr="00F0615C" w:rsidRDefault="00FD5740" w:rsidP="00F0615C">
                            <w:pPr>
                              <w:widowControl/>
                              <w:jc w:val="center"/>
                              <w:rPr>
                                <w:rFonts w:ascii="楷体" w:eastAsia="楷体" w:hAnsi="楷体" w:cs="宋体"/>
                                <w:b/>
                                <w:color w:val="000000"/>
                                <w:kern w:val="0"/>
                                <w:sz w:val="18"/>
                                <w:szCs w:val="13"/>
                              </w:rPr>
                            </w:pPr>
                            <w:r w:rsidRPr="00F0615C">
                              <w:rPr>
                                <w:rFonts w:ascii="楷体" w:eastAsia="楷体" w:hAnsi="楷体" w:cs="宋体" w:hint="eastAsia"/>
                                <w:b/>
                                <w:color w:val="000000"/>
                                <w:kern w:val="0"/>
                                <w:sz w:val="18"/>
                                <w:szCs w:val="13"/>
                              </w:rPr>
                              <w:t>数据</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美国：8月成屋销售折年率</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环比-4.80%</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美国：9月19日当周初请失业</w:t>
                            </w:r>
                            <w:proofErr w:type="gramStart"/>
                            <w:r w:rsidRPr="00F0615C">
                              <w:rPr>
                                <w:rFonts w:ascii="楷体" w:eastAsia="楷体" w:hAnsi="楷体" w:cs="宋体" w:hint="eastAsia"/>
                                <w:color w:val="000000"/>
                                <w:kern w:val="0"/>
                                <w:sz w:val="16"/>
                                <w:szCs w:val="13"/>
                              </w:rPr>
                              <w:t>金人数</w:t>
                            </w:r>
                            <w:proofErr w:type="gramEnd"/>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26.7万人（季调）</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美国：8月新房销售</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5.80%</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美国：第二季度GDP增幅</w:t>
                            </w:r>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由3.7%上修为3.9%</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auto" w:fill="auto"/>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美国：9月密歇根大学的消费者信心指数</w:t>
                            </w:r>
                          </w:p>
                        </w:tc>
                        <w:tc>
                          <w:tcPr>
                            <w:tcW w:w="1260" w:type="dxa"/>
                            <w:tcBorders>
                              <w:top w:val="nil"/>
                              <w:left w:val="nil"/>
                              <w:bottom w:val="single" w:sz="8" w:space="0" w:color="auto"/>
                              <w:right w:val="nil"/>
                            </w:tcBorders>
                            <w:shd w:val="clear" w:color="auto" w:fill="auto"/>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终值87.2</w:t>
                            </w:r>
                          </w:p>
                        </w:tc>
                      </w:tr>
                      <w:tr w:rsidR="00FD5740" w:rsidRPr="00F0615C" w:rsidTr="00F0615C">
                        <w:trPr>
                          <w:trHeight w:val="284"/>
                        </w:trPr>
                        <w:tc>
                          <w:tcPr>
                            <w:tcW w:w="2142" w:type="dxa"/>
                            <w:tcBorders>
                              <w:top w:val="nil"/>
                              <w:left w:val="nil"/>
                              <w:bottom w:val="single" w:sz="8" w:space="0" w:color="auto"/>
                              <w:right w:val="single" w:sz="8" w:space="0" w:color="auto"/>
                            </w:tcBorders>
                            <w:shd w:val="clear" w:color="D9D9D9" w:fill="D9D9D9"/>
                            <w:vAlign w:val="center"/>
                            <w:hideMark/>
                          </w:tcPr>
                          <w:p w:rsidR="00FD5740" w:rsidRPr="00F0615C" w:rsidRDefault="00FD5740" w:rsidP="00F0615C">
                            <w:pPr>
                              <w:widowControl/>
                              <w:jc w:val="left"/>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美国：9月</w:t>
                            </w:r>
                            <w:proofErr w:type="spellStart"/>
                            <w:r w:rsidRPr="00F0615C">
                              <w:rPr>
                                <w:rFonts w:ascii="楷体" w:eastAsia="楷体" w:hAnsi="楷体" w:cs="宋体" w:hint="eastAsia"/>
                                <w:color w:val="000000"/>
                                <w:kern w:val="0"/>
                                <w:sz w:val="16"/>
                                <w:szCs w:val="13"/>
                              </w:rPr>
                              <w:t>Markit</w:t>
                            </w:r>
                            <w:proofErr w:type="spellEnd"/>
                            <w:r w:rsidRPr="00F0615C">
                              <w:rPr>
                                <w:rFonts w:ascii="楷体" w:eastAsia="楷体" w:hAnsi="楷体" w:cs="宋体" w:hint="eastAsia"/>
                                <w:color w:val="000000"/>
                                <w:kern w:val="0"/>
                                <w:sz w:val="16"/>
                                <w:szCs w:val="13"/>
                              </w:rPr>
                              <w:t>制造业PMI</w:t>
                            </w:r>
                          </w:p>
                        </w:tc>
                        <w:tc>
                          <w:tcPr>
                            <w:tcW w:w="1260" w:type="dxa"/>
                            <w:tcBorders>
                              <w:top w:val="nil"/>
                              <w:left w:val="nil"/>
                              <w:bottom w:val="single" w:sz="8" w:space="0" w:color="auto"/>
                              <w:right w:val="nil"/>
                            </w:tcBorders>
                            <w:shd w:val="clear" w:color="D9D9D9" w:fill="D9D9D9"/>
                            <w:vAlign w:val="center"/>
                            <w:hideMark/>
                          </w:tcPr>
                          <w:p w:rsidR="00FD5740" w:rsidRPr="00F0615C" w:rsidRDefault="00FD5740" w:rsidP="00F0615C">
                            <w:pPr>
                              <w:widowControl/>
                              <w:jc w:val="center"/>
                              <w:rPr>
                                <w:rFonts w:ascii="楷体" w:eastAsia="楷体" w:hAnsi="楷体" w:cs="宋体"/>
                                <w:color w:val="000000"/>
                                <w:kern w:val="0"/>
                                <w:sz w:val="16"/>
                                <w:szCs w:val="13"/>
                              </w:rPr>
                            </w:pPr>
                            <w:r w:rsidRPr="00F0615C">
                              <w:rPr>
                                <w:rFonts w:ascii="楷体" w:eastAsia="楷体" w:hAnsi="楷体" w:cs="宋体" w:hint="eastAsia"/>
                                <w:color w:val="000000"/>
                                <w:kern w:val="0"/>
                                <w:sz w:val="16"/>
                                <w:szCs w:val="13"/>
                              </w:rPr>
                              <w:t>初值为53.0</w:t>
                            </w:r>
                          </w:p>
                        </w:tc>
                      </w:tr>
                    </w:tbl>
                    <w:p w:rsidR="00FD5740" w:rsidRDefault="00FD5740" w:rsidP="00F0615C">
                      <w:pPr>
                        <w:rPr>
                          <w:rFonts w:ascii="楷体" w:eastAsia="楷体" w:hAnsi="楷体" w:cs="宋体"/>
                          <w:b/>
                          <w:bCs/>
                          <w:color w:val="000000"/>
                          <w:kern w:val="0"/>
                          <w:sz w:val="16"/>
                          <w:szCs w:val="16"/>
                          <w:lang w:val="en-GB"/>
                        </w:rPr>
                      </w:pPr>
                      <w:r>
                        <w:rPr>
                          <w:rFonts w:ascii="楷体" w:eastAsia="楷体" w:hAnsi="楷体" w:cs="宋体" w:hint="eastAsia"/>
                          <w:b/>
                          <w:bCs/>
                          <w:color w:val="000000"/>
                          <w:kern w:val="0"/>
                          <w:sz w:val="16"/>
                          <w:szCs w:val="16"/>
                          <w:lang w:val="en-GB"/>
                        </w:rPr>
                        <w:t>数据来源：凯石、WIND</w:t>
                      </w:r>
                    </w:p>
                    <w:p w:rsidR="00FD5740" w:rsidRPr="00F0615C" w:rsidRDefault="00FD5740" w:rsidP="00F0615C">
                      <w:pPr>
                        <w:rPr>
                          <w:lang w:val="en-GB"/>
                        </w:rPr>
                      </w:pPr>
                    </w:p>
                  </w:txbxContent>
                </v:textbox>
                <w10:wrap anchorx="page"/>
              </v:shape>
            </w:pict>
          </mc:Fallback>
        </mc:AlternateContent>
      </w:r>
      <w:r w:rsidR="001B0255" w:rsidRPr="00C97435">
        <w:rPr>
          <w:rFonts w:ascii="Arial" w:hAnsi="Arial" w:cs="Arial"/>
          <w:b/>
          <w:color w:val="996600"/>
          <w:sz w:val="32"/>
          <w:szCs w:val="28"/>
        </w:rPr>
        <w:t>投资环境展望</w:t>
      </w:r>
    </w:p>
    <w:p w:rsidR="00921CE9" w:rsidRPr="00C97435" w:rsidRDefault="00E06260" w:rsidP="001B0255">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凯石金融产品研究中心在对资本市场分析中遵循“非常</w:t>
      </w:r>
      <w:r>
        <w:rPr>
          <w:rFonts w:ascii="Arial" w:eastAsia="楷体_GB2312" w:hAnsi="Arial" w:cs="Arial" w:hint="eastAsia"/>
          <w:color w:val="auto"/>
          <w:sz w:val="20"/>
          <w:szCs w:val="20"/>
        </w:rPr>
        <w:t>6+1</w:t>
      </w:r>
      <w:r>
        <w:rPr>
          <w:rFonts w:ascii="Arial" w:eastAsia="楷体_GB2312" w:hAnsi="Arial" w:cs="Arial" w:hint="eastAsia"/>
          <w:color w:val="auto"/>
          <w:sz w:val="20"/>
          <w:szCs w:val="20"/>
        </w:rPr>
        <w:t>”的分析框架，其中</w:t>
      </w:r>
      <w:r w:rsidR="00921CE9" w:rsidRPr="00C97435">
        <w:rPr>
          <w:rFonts w:ascii="Arial" w:eastAsia="楷体_GB2312" w:hAnsi="Arial" w:cs="Arial"/>
          <w:color w:val="auto"/>
          <w:sz w:val="20"/>
          <w:szCs w:val="20"/>
        </w:rPr>
        <w:t>经济基本面、资金面、政策面、国际面、汇率</w:t>
      </w:r>
      <w:r>
        <w:rPr>
          <w:rFonts w:ascii="Arial" w:eastAsia="楷体_GB2312" w:hAnsi="Arial" w:cs="Arial" w:hint="eastAsia"/>
          <w:color w:val="auto"/>
          <w:sz w:val="20"/>
          <w:szCs w:val="20"/>
        </w:rPr>
        <w:t>、</w:t>
      </w:r>
      <w:r w:rsidR="00921CE9" w:rsidRPr="00C97435">
        <w:rPr>
          <w:rFonts w:ascii="Arial" w:eastAsia="楷体_GB2312" w:hAnsi="Arial" w:cs="Arial"/>
          <w:color w:val="auto"/>
          <w:sz w:val="20"/>
          <w:szCs w:val="20"/>
        </w:rPr>
        <w:t>市场</w:t>
      </w:r>
      <w:r>
        <w:rPr>
          <w:rFonts w:ascii="Arial" w:eastAsia="楷体_GB2312" w:hAnsi="Arial" w:cs="Arial" w:hint="eastAsia"/>
          <w:color w:val="auto"/>
          <w:sz w:val="20"/>
          <w:szCs w:val="20"/>
        </w:rPr>
        <w:t>面是常规分析的</w:t>
      </w:r>
      <w:r>
        <w:rPr>
          <w:rFonts w:ascii="Arial" w:eastAsia="楷体_GB2312" w:hAnsi="Arial" w:cs="Arial" w:hint="eastAsia"/>
          <w:color w:val="auto"/>
          <w:sz w:val="20"/>
          <w:szCs w:val="20"/>
        </w:rPr>
        <w:t>6</w:t>
      </w:r>
      <w:r>
        <w:rPr>
          <w:rFonts w:ascii="Arial" w:eastAsia="楷体_GB2312" w:hAnsi="Arial" w:cs="Arial" w:hint="eastAsia"/>
          <w:color w:val="auto"/>
          <w:sz w:val="20"/>
          <w:szCs w:val="20"/>
        </w:rPr>
        <w:t>个对市场影响较大的因素，而国际政治等其他因素也会对资本市场产生影响，我们将不定期进行分析。本周</w:t>
      </w:r>
      <w:r w:rsidR="00FD5740">
        <w:rPr>
          <w:rFonts w:ascii="Arial" w:eastAsia="楷体_GB2312" w:hAnsi="Arial" w:cs="Arial" w:hint="eastAsia"/>
          <w:color w:val="auto"/>
          <w:sz w:val="20"/>
          <w:szCs w:val="20"/>
        </w:rPr>
        <w:t>各个影响因素的情况如下</w:t>
      </w:r>
      <w:r w:rsidR="00921CE9"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经济基本面：四季度经济加速下滑的风险不容小觑</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近期公布的宏观数据显示，国内经济下行压力仍然较大，</w:t>
      </w:r>
      <w:proofErr w:type="gramStart"/>
      <w:r w:rsidRPr="00C97435">
        <w:rPr>
          <w:rFonts w:ascii="Arial" w:eastAsia="楷体_GB2312" w:hAnsi="Arial" w:cs="Arial"/>
          <w:color w:val="auto"/>
          <w:sz w:val="20"/>
          <w:szCs w:val="20"/>
        </w:rPr>
        <w:t>9</w:t>
      </w:r>
      <w:r w:rsidRPr="00C97435">
        <w:rPr>
          <w:rFonts w:ascii="Arial" w:eastAsia="楷体_GB2312" w:hAnsi="Arial" w:cs="Arial"/>
          <w:color w:val="auto"/>
          <w:sz w:val="20"/>
          <w:szCs w:val="20"/>
        </w:rPr>
        <w:t>月财新制造业</w:t>
      </w:r>
      <w:proofErr w:type="gramEnd"/>
      <w:r w:rsidRPr="00C97435">
        <w:rPr>
          <w:rFonts w:ascii="Arial" w:eastAsia="楷体_GB2312" w:hAnsi="Arial" w:cs="Arial"/>
          <w:color w:val="auto"/>
          <w:sz w:val="20"/>
          <w:szCs w:val="20"/>
        </w:rPr>
        <w:t>PMI</w:t>
      </w:r>
      <w:r w:rsidRPr="00C97435">
        <w:rPr>
          <w:rFonts w:ascii="Arial" w:eastAsia="楷体_GB2312" w:hAnsi="Arial" w:cs="Arial"/>
          <w:color w:val="auto"/>
          <w:sz w:val="20"/>
          <w:szCs w:val="20"/>
        </w:rPr>
        <w:t>初值为</w:t>
      </w:r>
      <w:r w:rsidRPr="00C97435">
        <w:rPr>
          <w:rFonts w:ascii="Arial" w:eastAsia="楷体_GB2312" w:hAnsi="Arial" w:cs="Arial"/>
          <w:color w:val="auto"/>
          <w:sz w:val="20"/>
          <w:szCs w:val="20"/>
        </w:rPr>
        <w:t>47</w:t>
      </w:r>
      <w:r w:rsidRPr="00C97435">
        <w:rPr>
          <w:rFonts w:ascii="Arial" w:eastAsia="楷体_GB2312" w:hAnsi="Arial" w:cs="Arial"/>
          <w:color w:val="auto"/>
          <w:sz w:val="20"/>
          <w:szCs w:val="20"/>
        </w:rPr>
        <w:t>，创</w:t>
      </w:r>
      <w:r w:rsidRPr="00C97435">
        <w:rPr>
          <w:rFonts w:ascii="Arial" w:eastAsia="楷体_GB2312" w:hAnsi="Arial" w:cs="Arial"/>
          <w:color w:val="auto"/>
          <w:sz w:val="20"/>
          <w:szCs w:val="20"/>
        </w:rPr>
        <w:t>6</w:t>
      </w:r>
      <w:r w:rsidRPr="00C97435">
        <w:rPr>
          <w:rFonts w:ascii="Arial" w:eastAsia="楷体_GB2312" w:hAnsi="Arial" w:cs="Arial"/>
          <w:color w:val="auto"/>
          <w:sz w:val="20"/>
          <w:szCs w:val="20"/>
        </w:rPr>
        <w:t>年半新低。此外，受需求疲弱和增长模式改变影响，工业企业利润下滑，</w:t>
      </w:r>
      <w:r w:rsidRPr="00C97435">
        <w:rPr>
          <w:rFonts w:ascii="Arial" w:eastAsia="楷体_GB2312" w:hAnsi="Arial" w:cs="Arial"/>
          <w:color w:val="auto"/>
          <w:sz w:val="20"/>
          <w:szCs w:val="20"/>
        </w:rPr>
        <w:t>8</w:t>
      </w:r>
      <w:r w:rsidRPr="00C97435">
        <w:rPr>
          <w:rFonts w:ascii="Arial" w:eastAsia="楷体_GB2312" w:hAnsi="Arial" w:cs="Arial"/>
          <w:color w:val="auto"/>
          <w:sz w:val="20"/>
          <w:szCs w:val="20"/>
        </w:rPr>
        <w:t>月规模以上工业企业实现利润总额</w:t>
      </w:r>
      <w:r w:rsidRPr="00C97435">
        <w:rPr>
          <w:rFonts w:ascii="Arial" w:eastAsia="楷体_GB2312" w:hAnsi="Arial" w:cs="Arial"/>
          <w:color w:val="auto"/>
          <w:sz w:val="20"/>
          <w:szCs w:val="20"/>
        </w:rPr>
        <w:t>4481.1</w:t>
      </w:r>
      <w:r w:rsidRPr="00C97435">
        <w:rPr>
          <w:rFonts w:ascii="Arial" w:eastAsia="楷体_GB2312" w:hAnsi="Arial" w:cs="Arial"/>
          <w:color w:val="auto"/>
          <w:sz w:val="20"/>
          <w:szCs w:val="20"/>
        </w:rPr>
        <w:t>亿元，同比下降</w:t>
      </w:r>
      <w:r w:rsidRPr="00C97435">
        <w:rPr>
          <w:rFonts w:ascii="Arial" w:eastAsia="楷体_GB2312" w:hAnsi="Arial" w:cs="Arial"/>
          <w:color w:val="auto"/>
          <w:sz w:val="20"/>
          <w:szCs w:val="20"/>
        </w:rPr>
        <w:t>8.8%</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1-8</w:t>
      </w:r>
      <w:r w:rsidRPr="00C97435">
        <w:rPr>
          <w:rFonts w:ascii="Arial" w:eastAsia="楷体_GB2312" w:hAnsi="Arial" w:cs="Arial"/>
          <w:color w:val="auto"/>
          <w:sz w:val="20"/>
          <w:szCs w:val="20"/>
        </w:rPr>
        <w:t>月规模以上工业企业实现利润总额</w:t>
      </w:r>
      <w:r w:rsidRPr="00C97435">
        <w:rPr>
          <w:rFonts w:ascii="Arial" w:eastAsia="楷体_GB2312" w:hAnsi="Arial" w:cs="Arial"/>
          <w:color w:val="auto"/>
          <w:sz w:val="20"/>
          <w:szCs w:val="20"/>
        </w:rPr>
        <w:t>37662.7</w:t>
      </w:r>
      <w:r w:rsidRPr="00C97435">
        <w:rPr>
          <w:rFonts w:ascii="Arial" w:eastAsia="楷体_GB2312" w:hAnsi="Arial" w:cs="Arial"/>
          <w:color w:val="auto"/>
          <w:sz w:val="20"/>
          <w:szCs w:val="20"/>
        </w:rPr>
        <w:t>亿元，同比下降</w:t>
      </w:r>
      <w:r w:rsidRPr="00C97435">
        <w:rPr>
          <w:rFonts w:ascii="Arial" w:eastAsia="楷体_GB2312" w:hAnsi="Arial" w:cs="Arial"/>
          <w:color w:val="auto"/>
          <w:sz w:val="20"/>
          <w:szCs w:val="20"/>
        </w:rPr>
        <w:t>1.9%</w:t>
      </w:r>
      <w:r w:rsidRPr="00C97435">
        <w:rPr>
          <w:rFonts w:ascii="Arial" w:eastAsia="楷体_GB2312" w:hAnsi="Arial" w:cs="Arial"/>
          <w:color w:val="auto"/>
          <w:sz w:val="20"/>
          <w:szCs w:val="20"/>
        </w:rPr>
        <w:t>。整体来看，四季度经济加速下滑的风险不容小觑。</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资金面</w:t>
      </w:r>
      <w:r w:rsidR="00FD5740">
        <w:rPr>
          <w:rFonts w:ascii="Arial" w:eastAsia="楷体_GB2312" w:hAnsi="Arial" w:cs="Arial" w:hint="eastAsia"/>
          <w:b/>
          <w:bCs/>
          <w:color w:val="002060"/>
          <w:kern w:val="0"/>
          <w:sz w:val="24"/>
          <w:szCs w:val="13"/>
        </w:rPr>
        <w:t>：</w:t>
      </w:r>
      <w:proofErr w:type="gramStart"/>
      <w:r w:rsidR="00FD5740">
        <w:rPr>
          <w:rFonts w:ascii="Arial" w:eastAsia="楷体_GB2312" w:hAnsi="Arial" w:cs="Arial" w:hint="eastAsia"/>
          <w:b/>
          <w:bCs/>
          <w:color w:val="002060"/>
          <w:kern w:val="0"/>
          <w:sz w:val="24"/>
          <w:szCs w:val="13"/>
        </w:rPr>
        <w:t>季末短期</w:t>
      </w:r>
      <w:proofErr w:type="gramEnd"/>
      <w:r w:rsidR="00FD5740">
        <w:rPr>
          <w:rFonts w:ascii="Arial" w:eastAsia="楷体_GB2312" w:hAnsi="Arial" w:cs="Arial" w:hint="eastAsia"/>
          <w:b/>
          <w:bCs/>
          <w:color w:val="002060"/>
          <w:kern w:val="0"/>
          <w:sz w:val="24"/>
          <w:szCs w:val="13"/>
        </w:rPr>
        <w:t>或承压，杠杆资金进一步清理</w:t>
      </w:r>
    </w:p>
    <w:p w:rsidR="00FD5740" w:rsidRDefault="00FD5740"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大资金面上，上周继续公开市场进行资金净投放，</w:t>
      </w:r>
      <w:r w:rsidR="00921CE9" w:rsidRPr="00C97435">
        <w:rPr>
          <w:rFonts w:ascii="Arial" w:eastAsia="楷体_GB2312" w:hAnsi="Arial" w:cs="Arial"/>
          <w:color w:val="auto"/>
          <w:sz w:val="20"/>
          <w:szCs w:val="20"/>
        </w:rPr>
        <w:t>9</w:t>
      </w:r>
      <w:r w:rsidR="00921CE9" w:rsidRPr="00C97435">
        <w:rPr>
          <w:rFonts w:ascii="Arial" w:eastAsia="楷体_GB2312" w:hAnsi="Arial" w:cs="Arial"/>
          <w:color w:val="auto"/>
          <w:sz w:val="20"/>
          <w:szCs w:val="20"/>
        </w:rPr>
        <w:t>月</w:t>
      </w:r>
      <w:r w:rsidR="00921CE9" w:rsidRPr="00C97435">
        <w:rPr>
          <w:rFonts w:ascii="Arial" w:eastAsia="楷体_GB2312" w:hAnsi="Arial" w:cs="Arial"/>
          <w:color w:val="auto"/>
          <w:sz w:val="20"/>
          <w:szCs w:val="20"/>
        </w:rPr>
        <w:t>24</w:t>
      </w:r>
      <w:r>
        <w:rPr>
          <w:rFonts w:ascii="Arial" w:eastAsia="楷体_GB2312" w:hAnsi="Arial" w:cs="Arial"/>
          <w:color w:val="auto"/>
          <w:sz w:val="20"/>
          <w:szCs w:val="20"/>
        </w:rPr>
        <w:t>日</w:t>
      </w:r>
      <w:r w:rsidR="00921CE9" w:rsidRPr="00C97435">
        <w:rPr>
          <w:rFonts w:ascii="Arial" w:eastAsia="楷体_GB2312" w:hAnsi="Arial" w:cs="Arial"/>
          <w:color w:val="auto"/>
          <w:sz w:val="20"/>
          <w:szCs w:val="20"/>
        </w:rPr>
        <w:t>央行在公开市场实现资金净投放</w:t>
      </w:r>
      <w:r w:rsidR="00921CE9" w:rsidRPr="00C97435">
        <w:rPr>
          <w:rFonts w:ascii="Arial" w:eastAsia="楷体_GB2312" w:hAnsi="Arial" w:cs="Arial"/>
          <w:color w:val="auto"/>
          <w:sz w:val="20"/>
          <w:szCs w:val="20"/>
        </w:rPr>
        <w:t>400</w:t>
      </w:r>
      <w:r w:rsidR="00921CE9" w:rsidRPr="00C97435">
        <w:rPr>
          <w:rFonts w:ascii="Arial" w:eastAsia="楷体_GB2312" w:hAnsi="Arial" w:cs="Arial"/>
          <w:color w:val="auto"/>
          <w:sz w:val="20"/>
          <w:szCs w:val="20"/>
        </w:rPr>
        <w:t>亿元，同日，财政部和央行实施一期</w:t>
      </w:r>
      <w:r w:rsidR="00921CE9" w:rsidRPr="00C97435">
        <w:rPr>
          <w:rFonts w:ascii="Arial" w:eastAsia="楷体_GB2312" w:hAnsi="Arial" w:cs="Arial"/>
          <w:color w:val="auto"/>
          <w:sz w:val="20"/>
          <w:szCs w:val="20"/>
        </w:rPr>
        <w:t>6</w:t>
      </w:r>
      <w:r w:rsidR="00921CE9" w:rsidRPr="00C97435">
        <w:rPr>
          <w:rFonts w:ascii="Arial" w:eastAsia="楷体_GB2312" w:hAnsi="Arial" w:cs="Arial"/>
          <w:color w:val="auto"/>
          <w:sz w:val="20"/>
          <w:szCs w:val="20"/>
        </w:rPr>
        <w:t>月期国库现金定存招标，中标总量为</w:t>
      </w:r>
      <w:r w:rsidR="00921CE9" w:rsidRPr="00C97435">
        <w:rPr>
          <w:rFonts w:ascii="Arial" w:eastAsia="楷体_GB2312" w:hAnsi="Arial" w:cs="Arial"/>
          <w:color w:val="auto"/>
          <w:sz w:val="20"/>
          <w:szCs w:val="20"/>
        </w:rPr>
        <w:t>600</w:t>
      </w:r>
      <w:r w:rsidR="00921CE9" w:rsidRPr="00C97435">
        <w:rPr>
          <w:rFonts w:ascii="Arial" w:eastAsia="楷体_GB2312" w:hAnsi="Arial" w:cs="Arial"/>
          <w:color w:val="auto"/>
          <w:sz w:val="20"/>
          <w:szCs w:val="20"/>
        </w:rPr>
        <w:t>亿元。</w:t>
      </w:r>
      <w:r>
        <w:rPr>
          <w:rFonts w:ascii="Arial" w:eastAsia="楷体_GB2312" w:hAnsi="Arial" w:cs="Arial" w:hint="eastAsia"/>
          <w:color w:val="auto"/>
          <w:sz w:val="20"/>
          <w:szCs w:val="20"/>
        </w:rPr>
        <w:t>而</w:t>
      </w:r>
      <w:r w:rsidR="00921CE9" w:rsidRPr="00C97435">
        <w:rPr>
          <w:rFonts w:ascii="Arial" w:eastAsia="楷体_GB2312" w:hAnsi="Arial" w:cs="Arial"/>
          <w:color w:val="auto"/>
          <w:sz w:val="20"/>
          <w:szCs w:val="20"/>
        </w:rPr>
        <w:t>本周为国庆假前一周，同时处于季末和月末，银行季末考核和企业与个人资金需求使得资金面存在一定压力，</w:t>
      </w:r>
      <w:r>
        <w:rPr>
          <w:rFonts w:ascii="Arial" w:eastAsia="楷体_GB2312" w:hAnsi="Arial" w:cs="Arial" w:hint="eastAsia"/>
          <w:color w:val="auto"/>
          <w:sz w:val="20"/>
          <w:szCs w:val="20"/>
        </w:rPr>
        <w:t>但从近期央行动作看</w:t>
      </w:r>
      <w:r w:rsidR="00921CE9" w:rsidRPr="00C97435">
        <w:rPr>
          <w:rFonts w:ascii="Arial" w:eastAsia="楷体_GB2312" w:hAnsi="Arial" w:cs="Arial"/>
          <w:color w:val="auto"/>
          <w:sz w:val="20"/>
          <w:szCs w:val="20"/>
        </w:rPr>
        <w:t>预计央行或将进一步加大资金投放</w:t>
      </w:r>
      <w:r>
        <w:rPr>
          <w:rFonts w:ascii="Arial" w:eastAsia="楷体_GB2312" w:hAnsi="Arial" w:cs="Arial" w:hint="eastAsia"/>
          <w:color w:val="auto"/>
          <w:sz w:val="20"/>
          <w:szCs w:val="20"/>
        </w:rPr>
        <w:t>平滑短期资金压力，无须过度担忧</w:t>
      </w:r>
      <w:r w:rsidR="00921CE9" w:rsidRPr="00C97435">
        <w:rPr>
          <w:rFonts w:ascii="Arial" w:eastAsia="楷体_GB2312" w:hAnsi="Arial" w:cs="Arial"/>
          <w:color w:val="auto"/>
          <w:sz w:val="20"/>
          <w:szCs w:val="20"/>
        </w:rPr>
        <w:t>。</w:t>
      </w:r>
    </w:p>
    <w:p w:rsidR="00921CE9" w:rsidRPr="00C97435" w:rsidRDefault="00FD5740"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股市资金面上，从杠杆资金看，截止上周</w:t>
      </w:r>
      <w:r>
        <w:rPr>
          <w:rFonts w:ascii="Arial" w:eastAsia="楷体_GB2312" w:hAnsi="Arial" w:cs="Arial"/>
          <w:color w:val="auto"/>
          <w:sz w:val="20"/>
          <w:szCs w:val="20"/>
        </w:rPr>
        <w:t>五</w:t>
      </w:r>
      <w:r w:rsidR="00921CE9" w:rsidRPr="00C97435">
        <w:rPr>
          <w:rFonts w:ascii="Arial" w:eastAsia="楷体_GB2312" w:hAnsi="Arial" w:cs="Arial"/>
          <w:color w:val="auto"/>
          <w:sz w:val="20"/>
          <w:szCs w:val="20"/>
        </w:rPr>
        <w:t>沪深两市融资融券余额为</w:t>
      </w:r>
      <w:r w:rsidR="00921CE9" w:rsidRPr="00C97435">
        <w:rPr>
          <w:rFonts w:ascii="Arial" w:eastAsia="楷体_GB2312" w:hAnsi="Arial" w:cs="Arial"/>
          <w:color w:val="auto"/>
          <w:sz w:val="20"/>
          <w:szCs w:val="20"/>
        </w:rPr>
        <w:t>9275.6</w:t>
      </w:r>
      <w:r w:rsidR="00921CE9" w:rsidRPr="00C97435">
        <w:rPr>
          <w:rFonts w:ascii="Arial" w:eastAsia="楷体_GB2312" w:hAnsi="Arial" w:cs="Arial"/>
          <w:color w:val="auto"/>
          <w:sz w:val="20"/>
          <w:szCs w:val="20"/>
        </w:rPr>
        <w:t>亿元，</w:t>
      </w:r>
      <w:r>
        <w:rPr>
          <w:rFonts w:ascii="Arial" w:eastAsia="楷体_GB2312" w:hAnsi="Arial" w:cs="Arial" w:hint="eastAsia"/>
          <w:color w:val="auto"/>
          <w:sz w:val="20"/>
          <w:szCs w:val="20"/>
        </w:rPr>
        <w:t>进一步微幅降低，同时</w:t>
      </w:r>
      <w:r w:rsidR="00921CE9" w:rsidRPr="00C97435">
        <w:rPr>
          <w:rFonts w:ascii="Arial" w:eastAsia="楷体_GB2312" w:hAnsi="Arial" w:cs="Arial"/>
          <w:color w:val="auto"/>
          <w:sz w:val="20"/>
          <w:szCs w:val="20"/>
        </w:rPr>
        <w:t>占</w:t>
      </w:r>
      <w:r w:rsidR="00921CE9" w:rsidRPr="00C97435">
        <w:rPr>
          <w:rFonts w:ascii="Arial" w:eastAsia="楷体_GB2312" w:hAnsi="Arial" w:cs="Arial"/>
          <w:color w:val="auto"/>
          <w:sz w:val="20"/>
          <w:szCs w:val="20"/>
        </w:rPr>
        <w:t>A</w:t>
      </w:r>
      <w:r w:rsidR="00921CE9" w:rsidRPr="00C97435">
        <w:rPr>
          <w:rFonts w:ascii="Arial" w:eastAsia="楷体_GB2312" w:hAnsi="Arial" w:cs="Arial"/>
          <w:color w:val="auto"/>
          <w:sz w:val="20"/>
          <w:szCs w:val="20"/>
        </w:rPr>
        <w:t>流通市值</w:t>
      </w:r>
      <w:r>
        <w:rPr>
          <w:rFonts w:ascii="Arial" w:eastAsia="楷体_GB2312" w:hAnsi="Arial" w:cs="Arial" w:hint="eastAsia"/>
          <w:color w:val="auto"/>
          <w:sz w:val="20"/>
          <w:szCs w:val="20"/>
        </w:rPr>
        <w:t>比例仅为</w:t>
      </w:r>
      <w:r w:rsidR="00921CE9" w:rsidRPr="00C97435">
        <w:rPr>
          <w:rFonts w:ascii="Arial" w:eastAsia="楷体_GB2312" w:hAnsi="Arial" w:cs="Arial"/>
          <w:color w:val="auto"/>
          <w:sz w:val="20"/>
          <w:szCs w:val="20"/>
        </w:rPr>
        <w:t>2.73%</w:t>
      </w:r>
      <w:r>
        <w:rPr>
          <w:rFonts w:ascii="Arial" w:eastAsia="楷体_GB2312" w:hAnsi="Arial" w:cs="Arial" w:hint="eastAsia"/>
          <w:color w:val="auto"/>
          <w:sz w:val="20"/>
          <w:szCs w:val="20"/>
        </w:rPr>
        <w:t>，本轮去杠杆或接近尾声，资金面上杠杆资金抛压继续收缩</w:t>
      </w:r>
      <w:r w:rsidR="00921CE9" w:rsidRPr="00C97435">
        <w:rPr>
          <w:rFonts w:ascii="Arial" w:eastAsia="楷体_GB2312" w:hAnsi="Arial" w:cs="Arial"/>
          <w:color w:val="auto"/>
          <w:sz w:val="20"/>
          <w:szCs w:val="20"/>
        </w:rPr>
        <w:t>。</w:t>
      </w:r>
      <w:r>
        <w:rPr>
          <w:rFonts w:ascii="Arial" w:eastAsia="楷体_GB2312" w:hAnsi="Arial" w:cs="Arial" w:hint="eastAsia"/>
          <w:color w:val="auto"/>
          <w:sz w:val="20"/>
          <w:szCs w:val="20"/>
        </w:rPr>
        <w:t>考虑到杠杆资金持续清理和大量机构及个人资金等待入场，从</w:t>
      </w:r>
      <w:r>
        <w:rPr>
          <w:rFonts w:ascii="Arial" w:eastAsia="楷体_GB2312" w:hAnsi="Arial" w:cs="Arial" w:hint="eastAsia"/>
          <w:color w:val="auto"/>
          <w:sz w:val="20"/>
          <w:szCs w:val="20"/>
        </w:rPr>
        <w:t>A</w:t>
      </w:r>
      <w:r>
        <w:rPr>
          <w:rFonts w:ascii="Arial" w:eastAsia="楷体_GB2312" w:hAnsi="Arial" w:cs="Arial" w:hint="eastAsia"/>
          <w:color w:val="auto"/>
          <w:sz w:val="20"/>
          <w:szCs w:val="20"/>
        </w:rPr>
        <w:t>股资金来源看最坏的时候正在过去，改善正在进行中。</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政策面：货币政策</w:t>
      </w:r>
      <w:r w:rsidR="00FD5740">
        <w:rPr>
          <w:rFonts w:ascii="Arial" w:eastAsia="楷体_GB2312" w:hAnsi="Arial" w:cs="Arial" w:hint="eastAsia"/>
          <w:b/>
          <w:bCs/>
          <w:color w:val="002060"/>
          <w:kern w:val="0"/>
          <w:sz w:val="24"/>
          <w:szCs w:val="13"/>
        </w:rPr>
        <w:t>维持偏宽</w:t>
      </w:r>
      <w:r w:rsidRPr="00C97435">
        <w:rPr>
          <w:rFonts w:ascii="Arial" w:eastAsia="楷体_GB2312" w:hAnsi="Arial" w:cs="Arial"/>
          <w:b/>
          <w:bCs/>
          <w:color w:val="002060"/>
          <w:kern w:val="0"/>
          <w:sz w:val="24"/>
          <w:szCs w:val="13"/>
        </w:rPr>
        <w:t>，</w:t>
      </w:r>
      <w:proofErr w:type="gramStart"/>
      <w:r w:rsidR="00FD5740">
        <w:rPr>
          <w:rFonts w:ascii="Arial" w:eastAsia="楷体_GB2312" w:hAnsi="Arial" w:cs="Arial" w:hint="eastAsia"/>
          <w:b/>
          <w:bCs/>
          <w:color w:val="002060"/>
          <w:kern w:val="0"/>
          <w:sz w:val="24"/>
          <w:szCs w:val="13"/>
        </w:rPr>
        <w:t>稳增长</w:t>
      </w:r>
      <w:proofErr w:type="gramEnd"/>
      <w:r w:rsidR="00FD5740">
        <w:rPr>
          <w:rFonts w:ascii="Arial" w:eastAsia="楷体_GB2312" w:hAnsi="Arial" w:cs="Arial" w:hint="eastAsia"/>
          <w:b/>
          <w:bCs/>
          <w:color w:val="002060"/>
          <w:kern w:val="0"/>
          <w:sz w:val="24"/>
          <w:szCs w:val="13"/>
        </w:rPr>
        <w:t>进一步发力</w:t>
      </w:r>
    </w:p>
    <w:p w:rsidR="00FD5740" w:rsidRDefault="00FD5740"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货币政策方面，虽然</w:t>
      </w:r>
      <w:proofErr w:type="gramStart"/>
      <w:r>
        <w:rPr>
          <w:rFonts w:ascii="Arial" w:eastAsia="楷体_GB2312" w:hAnsi="Arial" w:cs="Arial" w:hint="eastAsia"/>
          <w:color w:val="auto"/>
          <w:sz w:val="20"/>
          <w:szCs w:val="20"/>
        </w:rPr>
        <w:t>联系降准降息</w:t>
      </w:r>
      <w:proofErr w:type="gramEnd"/>
      <w:r>
        <w:rPr>
          <w:rFonts w:ascii="Arial" w:eastAsia="楷体_GB2312" w:hAnsi="Arial" w:cs="Arial" w:hint="eastAsia"/>
          <w:color w:val="auto"/>
          <w:sz w:val="20"/>
          <w:szCs w:val="20"/>
        </w:rPr>
        <w:t>后进一步大幅放松的货币政策空间有限，但上周央行偏宽松的政策表态依然非常明显，重启</w:t>
      </w:r>
      <w:r>
        <w:rPr>
          <w:rFonts w:ascii="Arial" w:eastAsia="楷体_GB2312" w:hAnsi="Arial" w:cs="Arial" w:hint="eastAsia"/>
          <w:color w:val="auto"/>
          <w:sz w:val="20"/>
          <w:szCs w:val="20"/>
        </w:rPr>
        <w:t>14</w:t>
      </w:r>
      <w:r>
        <w:rPr>
          <w:rFonts w:ascii="Arial" w:eastAsia="楷体_GB2312" w:hAnsi="Arial" w:cs="Arial" w:hint="eastAsia"/>
          <w:color w:val="auto"/>
          <w:sz w:val="20"/>
          <w:szCs w:val="20"/>
        </w:rPr>
        <w:t>天逆回购继续维持资金面稳定同时在央行</w:t>
      </w:r>
      <w:r>
        <w:rPr>
          <w:rFonts w:ascii="Arial" w:eastAsia="楷体_GB2312" w:hAnsi="Arial" w:cs="Arial" w:hint="eastAsia"/>
          <w:color w:val="auto"/>
          <w:sz w:val="20"/>
          <w:szCs w:val="20"/>
        </w:rPr>
        <w:t>3</w:t>
      </w:r>
      <w:r>
        <w:rPr>
          <w:rFonts w:ascii="Arial" w:eastAsia="楷体_GB2312" w:hAnsi="Arial" w:cs="Arial" w:hint="eastAsia"/>
          <w:color w:val="auto"/>
          <w:sz w:val="20"/>
          <w:szCs w:val="20"/>
        </w:rPr>
        <w:t>季度货币政策例会中将“防风险”作为主题词，再次重申央行保底的态度</w:t>
      </w:r>
      <w:r w:rsidR="00A62D6A">
        <w:rPr>
          <w:rFonts w:ascii="Arial" w:eastAsia="楷体_GB2312" w:hAnsi="Arial" w:cs="Arial" w:hint="eastAsia"/>
          <w:color w:val="auto"/>
          <w:sz w:val="20"/>
          <w:szCs w:val="20"/>
        </w:rPr>
        <w:t>，指出“当前全球经济动荡，汇率依然不稳，资金时有流出，因而央行仍有必要加大货币投放，维持流动性稳定”</w:t>
      </w:r>
      <w:r>
        <w:rPr>
          <w:rFonts w:ascii="Arial" w:eastAsia="楷体_GB2312" w:hAnsi="Arial" w:cs="Arial" w:hint="eastAsia"/>
          <w:color w:val="auto"/>
          <w:sz w:val="20"/>
          <w:szCs w:val="20"/>
        </w:rPr>
        <w:t>。</w:t>
      </w:r>
    </w:p>
    <w:p w:rsidR="00921CE9" w:rsidRPr="00C97435" w:rsidRDefault="00FD5740"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财政政策方面，</w:t>
      </w:r>
      <w:r w:rsidR="00A62D6A">
        <w:rPr>
          <w:rFonts w:ascii="Arial" w:eastAsia="楷体_GB2312" w:hAnsi="Arial" w:cs="Arial" w:hint="eastAsia"/>
          <w:color w:val="auto"/>
          <w:sz w:val="20"/>
          <w:szCs w:val="20"/>
        </w:rPr>
        <w:t>随着上周公布的</w:t>
      </w:r>
      <w:r w:rsidR="00A62D6A">
        <w:rPr>
          <w:rFonts w:ascii="Arial" w:eastAsia="楷体_GB2312" w:hAnsi="Arial" w:cs="Arial" w:hint="eastAsia"/>
          <w:color w:val="auto"/>
          <w:sz w:val="20"/>
          <w:szCs w:val="20"/>
        </w:rPr>
        <w:t>PMI</w:t>
      </w:r>
      <w:r w:rsidR="00A62D6A">
        <w:rPr>
          <w:rFonts w:ascii="Arial" w:eastAsia="楷体_GB2312" w:hAnsi="Arial" w:cs="Arial" w:hint="eastAsia"/>
          <w:color w:val="auto"/>
          <w:sz w:val="20"/>
          <w:szCs w:val="20"/>
        </w:rPr>
        <w:t>等经济数据显示经济依然低位难见起色，</w:t>
      </w:r>
      <w:proofErr w:type="gramStart"/>
      <w:r w:rsidR="00A62D6A">
        <w:rPr>
          <w:rFonts w:ascii="Arial" w:eastAsia="楷体_GB2312" w:hAnsi="Arial" w:cs="Arial" w:hint="eastAsia"/>
          <w:color w:val="auto"/>
          <w:sz w:val="20"/>
          <w:szCs w:val="20"/>
        </w:rPr>
        <w:t>稳增长</w:t>
      </w:r>
      <w:proofErr w:type="gramEnd"/>
      <w:r w:rsidR="00A62D6A">
        <w:rPr>
          <w:rFonts w:ascii="Arial" w:eastAsia="楷体_GB2312" w:hAnsi="Arial" w:cs="Arial" w:hint="eastAsia"/>
          <w:color w:val="auto"/>
          <w:sz w:val="20"/>
          <w:szCs w:val="20"/>
        </w:rPr>
        <w:t>财政政策有望进一步跟进。上周</w:t>
      </w:r>
      <w:proofErr w:type="gramStart"/>
      <w:r w:rsidR="00A62D6A">
        <w:rPr>
          <w:rFonts w:ascii="Arial" w:eastAsia="楷体_GB2312" w:hAnsi="Arial" w:cs="Arial" w:hint="eastAsia"/>
          <w:color w:val="auto"/>
          <w:sz w:val="20"/>
          <w:szCs w:val="20"/>
        </w:rPr>
        <w:t>习主席</w:t>
      </w:r>
      <w:proofErr w:type="gramEnd"/>
      <w:r w:rsidR="00A62D6A">
        <w:rPr>
          <w:rFonts w:ascii="Arial" w:eastAsia="楷体_GB2312" w:hAnsi="Arial" w:cs="Arial" w:hint="eastAsia"/>
          <w:color w:val="auto"/>
          <w:sz w:val="20"/>
          <w:szCs w:val="20"/>
        </w:rPr>
        <w:t>访美成市场关注焦点，中美两国达成了全面合作的多项共识，这些合作共识将有望直接推动航空、高铁等相关领域的机会</w:t>
      </w:r>
      <w:r w:rsidR="00921CE9"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国际面：美联储年内加息预期增强</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美国经济数据喜忧参半，二季度</w:t>
      </w:r>
      <w:r w:rsidRPr="00C97435">
        <w:rPr>
          <w:rFonts w:ascii="Arial" w:eastAsia="楷体_GB2312" w:hAnsi="Arial" w:cs="Arial"/>
          <w:color w:val="auto"/>
          <w:sz w:val="20"/>
          <w:szCs w:val="20"/>
        </w:rPr>
        <w:t>GDP</w:t>
      </w:r>
      <w:r w:rsidRPr="00C97435">
        <w:rPr>
          <w:rFonts w:ascii="Arial" w:eastAsia="楷体_GB2312" w:hAnsi="Arial" w:cs="Arial"/>
          <w:color w:val="auto"/>
          <w:sz w:val="20"/>
          <w:szCs w:val="20"/>
        </w:rPr>
        <w:t>增幅上修至</w:t>
      </w:r>
      <w:r w:rsidRPr="00C97435">
        <w:rPr>
          <w:rFonts w:ascii="Arial" w:eastAsia="楷体_GB2312" w:hAnsi="Arial" w:cs="Arial"/>
          <w:color w:val="auto"/>
          <w:sz w:val="20"/>
          <w:szCs w:val="20"/>
        </w:rPr>
        <w:t>3.9%</w:t>
      </w:r>
      <w:r w:rsidRPr="00C97435">
        <w:rPr>
          <w:rFonts w:ascii="Arial" w:eastAsia="楷体_GB2312" w:hAnsi="Arial" w:cs="Arial"/>
          <w:color w:val="auto"/>
          <w:sz w:val="20"/>
          <w:szCs w:val="20"/>
        </w:rPr>
        <w:t>，二季度个人消费支出环比折算年率、二季度商业投资环比折算年率，家庭消费增速均好于预期，然而，美国</w:t>
      </w:r>
      <w:r w:rsidRPr="00C97435">
        <w:rPr>
          <w:rFonts w:ascii="Arial" w:eastAsia="楷体_GB2312" w:hAnsi="Arial" w:cs="Arial"/>
          <w:color w:val="auto"/>
          <w:sz w:val="20"/>
          <w:szCs w:val="20"/>
        </w:rPr>
        <w:t>8</w:t>
      </w:r>
      <w:r w:rsidRPr="00C97435">
        <w:rPr>
          <w:rFonts w:ascii="Arial" w:eastAsia="楷体_GB2312" w:hAnsi="Arial" w:cs="Arial"/>
          <w:color w:val="auto"/>
          <w:sz w:val="20"/>
          <w:szCs w:val="20"/>
        </w:rPr>
        <w:t>月成屋销售</w:t>
      </w:r>
      <w:proofErr w:type="gramStart"/>
      <w:r w:rsidRPr="00C97435">
        <w:rPr>
          <w:rFonts w:ascii="Arial" w:eastAsia="楷体_GB2312" w:hAnsi="Arial" w:cs="Arial"/>
          <w:color w:val="auto"/>
          <w:sz w:val="20"/>
          <w:szCs w:val="20"/>
        </w:rPr>
        <w:t>年率环</w:t>
      </w:r>
      <w:proofErr w:type="gramEnd"/>
      <w:r w:rsidRPr="00C97435">
        <w:rPr>
          <w:rFonts w:ascii="Arial" w:eastAsia="楷体_GB2312" w:hAnsi="Arial" w:cs="Arial"/>
          <w:color w:val="auto"/>
          <w:sz w:val="20"/>
          <w:szCs w:val="20"/>
        </w:rPr>
        <w:t>比下降，</w:t>
      </w:r>
      <w:r w:rsidRPr="00C97435">
        <w:rPr>
          <w:rFonts w:ascii="Arial" w:eastAsia="楷体_GB2312" w:hAnsi="Arial" w:cs="Arial"/>
          <w:color w:val="auto"/>
          <w:sz w:val="20"/>
          <w:szCs w:val="20"/>
        </w:rPr>
        <w:t>9</w:t>
      </w:r>
      <w:r w:rsidRPr="00C97435">
        <w:rPr>
          <w:rFonts w:ascii="Arial" w:eastAsia="楷体_GB2312" w:hAnsi="Arial" w:cs="Arial"/>
          <w:color w:val="auto"/>
          <w:sz w:val="20"/>
          <w:szCs w:val="20"/>
        </w:rPr>
        <w:t>月密歇根大学的消费者信心指数终值创</w:t>
      </w:r>
      <w:r w:rsidRPr="00C97435">
        <w:rPr>
          <w:rFonts w:ascii="Arial" w:eastAsia="楷体_GB2312" w:hAnsi="Arial" w:cs="Arial"/>
          <w:color w:val="auto"/>
          <w:sz w:val="20"/>
          <w:szCs w:val="20"/>
        </w:rPr>
        <w:t>2014</w:t>
      </w:r>
      <w:r w:rsidRPr="00C97435">
        <w:rPr>
          <w:rFonts w:ascii="Arial" w:eastAsia="楷体_GB2312" w:hAnsi="Arial" w:cs="Arial"/>
          <w:color w:val="auto"/>
          <w:sz w:val="20"/>
          <w:szCs w:val="20"/>
        </w:rPr>
        <w:t>年</w:t>
      </w:r>
      <w:r w:rsidRPr="00C97435">
        <w:rPr>
          <w:rFonts w:ascii="Arial" w:eastAsia="楷体_GB2312" w:hAnsi="Arial" w:cs="Arial"/>
          <w:color w:val="auto"/>
          <w:sz w:val="20"/>
          <w:szCs w:val="20"/>
        </w:rPr>
        <w:t>10</w:t>
      </w:r>
      <w:r w:rsidRPr="00C97435">
        <w:rPr>
          <w:rFonts w:ascii="Arial" w:eastAsia="楷体_GB2312" w:hAnsi="Arial" w:cs="Arial"/>
          <w:color w:val="auto"/>
          <w:sz w:val="20"/>
          <w:szCs w:val="20"/>
        </w:rPr>
        <w:t>月份以来最低水平。欧洲经济受大众汽车作假丑闻和其他资源类公司的利空传闻袭击，经济复苏途中遭遇风险。</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美联储主席耶伦暗示，在通胀保持稳定，就业市场无</w:t>
      </w:r>
      <w:proofErr w:type="gramStart"/>
      <w:r w:rsidRPr="00C97435">
        <w:rPr>
          <w:rFonts w:ascii="Arial" w:eastAsia="楷体_GB2312" w:hAnsi="Arial" w:cs="Arial"/>
          <w:color w:val="auto"/>
          <w:sz w:val="20"/>
          <w:szCs w:val="20"/>
        </w:rPr>
        <w:t>较大担忧</w:t>
      </w:r>
      <w:proofErr w:type="gramEnd"/>
      <w:r w:rsidRPr="00C97435">
        <w:rPr>
          <w:rFonts w:ascii="Arial" w:eastAsia="楷体_GB2312" w:hAnsi="Arial" w:cs="Arial"/>
          <w:color w:val="auto"/>
          <w:sz w:val="20"/>
          <w:szCs w:val="20"/>
        </w:rPr>
        <w:t>的情况下，就存在年内加息的可能，上周公布的强劲数据增强了美联储年内加息的预期。</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lastRenderedPageBreak/>
        <w:t>汇率：</w:t>
      </w:r>
      <w:r w:rsidR="00A62D6A">
        <w:rPr>
          <w:rFonts w:ascii="Arial" w:eastAsia="楷体_GB2312" w:hAnsi="Arial" w:cs="Arial" w:hint="eastAsia"/>
          <w:b/>
          <w:bCs/>
          <w:color w:val="002060"/>
          <w:kern w:val="0"/>
          <w:sz w:val="24"/>
          <w:szCs w:val="13"/>
        </w:rPr>
        <w:t>人民币小幅贬值，</w:t>
      </w:r>
      <w:r w:rsidR="00B415F5">
        <w:rPr>
          <w:rFonts w:ascii="Arial" w:eastAsia="楷体_GB2312" w:hAnsi="Arial" w:cs="Arial" w:hint="eastAsia"/>
          <w:b/>
          <w:bCs/>
          <w:color w:val="002060"/>
          <w:kern w:val="0"/>
          <w:sz w:val="24"/>
          <w:szCs w:val="13"/>
        </w:rPr>
        <w:t>进一步贬值压力减弱</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上周五美元兑人民币</w:t>
      </w:r>
      <w:r w:rsidR="00B415F5">
        <w:rPr>
          <w:rFonts w:ascii="Arial" w:eastAsia="楷体_GB2312" w:hAnsi="Arial" w:cs="Arial" w:hint="eastAsia"/>
          <w:color w:val="auto"/>
          <w:sz w:val="20"/>
          <w:szCs w:val="20"/>
        </w:rPr>
        <w:t>报收</w:t>
      </w:r>
      <w:r w:rsidRPr="00C97435">
        <w:rPr>
          <w:rFonts w:ascii="Arial" w:eastAsia="楷体_GB2312" w:hAnsi="Arial" w:cs="Arial"/>
          <w:color w:val="auto"/>
          <w:sz w:val="20"/>
          <w:szCs w:val="20"/>
        </w:rPr>
        <w:t>6.3</w:t>
      </w:r>
      <w:r w:rsidR="00B415F5">
        <w:rPr>
          <w:rFonts w:ascii="Arial" w:eastAsia="楷体_GB2312" w:hAnsi="Arial" w:cs="Arial" w:hint="eastAsia"/>
          <w:color w:val="auto"/>
          <w:sz w:val="20"/>
          <w:szCs w:val="20"/>
        </w:rPr>
        <w:t>744</w:t>
      </w:r>
      <w:r w:rsidRPr="00C97435">
        <w:rPr>
          <w:rFonts w:ascii="Arial" w:eastAsia="楷体_GB2312" w:hAnsi="Arial" w:cs="Arial"/>
          <w:color w:val="auto"/>
          <w:sz w:val="20"/>
          <w:szCs w:val="20"/>
        </w:rPr>
        <w:t>，较前周五涨</w:t>
      </w:r>
      <w:r w:rsidRPr="00C97435">
        <w:rPr>
          <w:rFonts w:ascii="Arial" w:eastAsia="楷体_GB2312" w:hAnsi="Arial" w:cs="Arial"/>
          <w:color w:val="auto"/>
          <w:sz w:val="20"/>
          <w:szCs w:val="20"/>
        </w:rPr>
        <w:t>0.</w:t>
      </w:r>
      <w:r w:rsidR="00B415F5">
        <w:rPr>
          <w:rFonts w:ascii="Arial" w:eastAsia="楷体_GB2312" w:hAnsi="Arial" w:cs="Arial" w:hint="eastAsia"/>
          <w:color w:val="auto"/>
          <w:sz w:val="20"/>
          <w:szCs w:val="20"/>
        </w:rPr>
        <w:t>16</w:t>
      </w:r>
      <w:r w:rsidRPr="00C97435">
        <w:rPr>
          <w:rFonts w:ascii="Arial" w:eastAsia="楷体_GB2312" w:hAnsi="Arial" w:cs="Arial"/>
          <w:color w:val="auto"/>
          <w:sz w:val="20"/>
          <w:szCs w:val="20"/>
        </w:rPr>
        <w:t>%</w:t>
      </w:r>
      <w:r w:rsidRPr="00C97435">
        <w:rPr>
          <w:rFonts w:ascii="Arial" w:eastAsia="楷体_GB2312" w:hAnsi="Arial" w:cs="Arial"/>
          <w:color w:val="auto"/>
          <w:sz w:val="20"/>
          <w:szCs w:val="20"/>
        </w:rPr>
        <w:t>，</w:t>
      </w:r>
      <w:r w:rsidR="00B415F5">
        <w:rPr>
          <w:rFonts w:ascii="Arial" w:eastAsia="楷体_GB2312" w:hAnsi="Arial" w:cs="Arial" w:hint="eastAsia"/>
          <w:color w:val="auto"/>
          <w:sz w:val="20"/>
          <w:szCs w:val="20"/>
        </w:rPr>
        <w:t>显示人民币继续小幅贬值。但从人民币远期汇率看，</w:t>
      </w:r>
      <w:r w:rsidR="00B415F5">
        <w:rPr>
          <w:rFonts w:ascii="Arial" w:eastAsia="楷体_GB2312" w:hAnsi="Arial" w:cs="Arial" w:hint="eastAsia"/>
          <w:color w:val="auto"/>
          <w:sz w:val="20"/>
          <w:szCs w:val="20"/>
        </w:rPr>
        <w:t>16</w:t>
      </w:r>
      <w:r w:rsidR="00B415F5">
        <w:rPr>
          <w:rFonts w:ascii="Arial" w:eastAsia="楷体_GB2312" w:hAnsi="Arial" w:cs="Arial" w:hint="eastAsia"/>
          <w:color w:val="auto"/>
          <w:sz w:val="20"/>
          <w:szCs w:val="20"/>
        </w:rPr>
        <w:t>年</w:t>
      </w:r>
      <w:r w:rsidR="00B415F5">
        <w:rPr>
          <w:rFonts w:ascii="Arial" w:eastAsia="楷体_GB2312" w:hAnsi="Arial" w:cs="Arial" w:hint="eastAsia"/>
          <w:color w:val="auto"/>
          <w:sz w:val="20"/>
          <w:szCs w:val="20"/>
        </w:rPr>
        <w:t>1</w:t>
      </w:r>
      <w:r w:rsidR="00B415F5">
        <w:rPr>
          <w:rFonts w:ascii="Arial" w:eastAsia="楷体_GB2312" w:hAnsi="Arial" w:cs="Arial" w:hint="eastAsia"/>
          <w:color w:val="auto"/>
          <w:sz w:val="20"/>
          <w:szCs w:val="20"/>
        </w:rPr>
        <w:t>月初远期美元兑人民币汇率为</w:t>
      </w:r>
      <w:r w:rsidR="00B415F5">
        <w:rPr>
          <w:rFonts w:ascii="Arial" w:eastAsia="楷体_GB2312" w:hAnsi="Arial" w:cs="Arial" w:hint="eastAsia"/>
          <w:color w:val="auto"/>
          <w:sz w:val="20"/>
          <w:szCs w:val="20"/>
        </w:rPr>
        <w:t>6.4257</w:t>
      </w:r>
      <w:r w:rsidR="00B415F5">
        <w:rPr>
          <w:rFonts w:ascii="Arial" w:eastAsia="楷体_GB2312" w:hAnsi="Arial" w:cs="Arial" w:hint="eastAsia"/>
          <w:color w:val="auto"/>
          <w:sz w:val="20"/>
          <w:szCs w:val="20"/>
        </w:rPr>
        <w:t>，与当前汇率对比显示人民币还有进一步贬值压力。但从远期汇率升水幅度变化趋势看，升水幅度逐步收</w:t>
      </w:r>
      <w:proofErr w:type="gramStart"/>
      <w:r w:rsidR="00B415F5">
        <w:rPr>
          <w:rFonts w:ascii="Arial" w:eastAsia="楷体_GB2312" w:hAnsi="Arial" w:cs="Arial" w:hint="eastAsia"/>
          <w:color w:val="auto"/>
          <w:sz w:val="20"/>
          <w:szCs w:val="20"/>
        </w:rPr>
        <w:t>窄显示</w:t>
      </w:r>
      <w:proofErr w:type="gramEnd"/>
      <w:r w:rsidR="00B415F5">
        <w:rPr>
          <w:rFonts w:ascii="Arial" w:eastAsia="楷体_GB2312" w:hAnsi="Arial" w:cs="Arial" w:hint="eastAsia"/>
          <w:color w:val="auto"/>
          <w:sz w:val="20"/>
          <w:szCs w:val="20"/>
        </w:rPr>
        <w:t>人民币进一步贬值压力逐步减弱</w:t>
      </w:r>
      <w:r w:rsidRPr="00C97435">
        <w:rPr>
          <w:rFonts w:ascii="Arial" w:eastAsia="楷体_GB2312" w:hAnsi="Arial" w:cs="Arial"/>
          <w:color w:val="auto"/>
          <w:sz w:val="20"/>
          <w:szCs w:val="20"/>
        </w:rPr>
        <w:t>。</w:t>
      </w:r>
    </w:p>
    <w:p w:rsidR="00921CE9" w:rsidRPr="00C97435" w:rsidRDefault="00921CE9" w:rsidP="00736D60">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sidRPr="00C97435">
        <w:rPr>
          <w:rFonts w:ascii="Arial" w:eastAsia="楷体_GB2312" w:hAnsi="Arial" w:cs="Arial"/>
          <w:b/>
          <w:bCs/>
          <w:color w:val="002060"/>
          <w:kern w:val="0"/>
          <w:sz w:val="24"/>
          <w:szCs w:val="13"/>
        </w:rPr>
        <w:t>市场面：</w:t>
      </w:r>
      <w:r w:rsidR="00A62D6A">
        <w:rPr>
          <w:rFonts w:ascii="Arial" w:eastAsia="楷体_GB2312" w:hAnsi="Arial" w:cs="Arial" w:hint="eastAsia"/>
          <w:b/>
          <w:bCs/>
          <w:color w:val="002060"/>
          <w:kern w:val="0"/>
          <w:sz w:val="24"/>
          <w:szCs w:val="13"/>
        </w:rPr>
        <w:t>成交量继续低迷，热点龙头再现活力</w:t>
      </w:r>
    </w:p>
    <w:p w:rsidR="00E466FB"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sidRPr="00C97435">
        <w:rPr>
          <w:rFonts w:ascii="Arial" w:eastAsia="楷体_GB2312" w:hAnsi="Arial" w:cs="Arial"/>
          <w:color w:val="auto"/>
          <w:sz w:val="20"/>
          <w:szCs w:val="20"/>
        </w:rPr>
        <w:t>上周</w:t>
      </w:r>
      <w:r w:rsidR="00B415F5">
        <w:rPr>
          <w:rFonts w:ascii="Arial" w:eastAsia="楷体_GB2312" w:hAnsi="Arial" w:cs="Arial" w:hint="eastAsia"/>
          <w:color w:val="auto"/>
          <w:sz w:val="20"/>
          <w:szCs w:val="20"/>
        </w:rPr>
        <w:t>从实际资金入市和成交量看市场面并未大幅改善，数据方面：从成交量看，上周两市</w:t>
      </w:r>
      <w:r w:rsidR="00E466FB">
        <w:rPr>
          <w:rFonts w:ascii="Arial" w:eastAsia="楷体_GB2312" w:hAnsi="Arial" w:cs="Arial" w:hint="eastAsia"/>
          <w:color w:val="auto"/>
          <w:sz w:val="20"/>
          <w:szCs w:val="20"/>
        </w:rPr>
        <w:t>单日平均成交金额为</w:t>
      </w:r>
      <w:r w:rsidR="00E466FB">
        <w:rPr>
          <w:rFonts w:ascii="Arial" w:eastAsia="楷体_GB2312" w:hAnsi="Arial" w:cs="Arial" w:hint="eastAsia"/>
          <w:color w:val="auto"/>
          <w:sz w:val="20"/>
          <w:szCs w:val="20"/>
        </w:rPr>
        <w:t>5867</w:t>
      </w:r>
      <w:r w:rsidR="00E466FB">
        <w:rPr>
          <w:rFonts w:ascii="Arial" w:eastAsia="楷体_GB2312" w:hAnsi="Arial" w:cs="Arial" w:hint="eastAsia"/>
          <w:color w:val="auto"/>
          <w:sz w:val="20"/>
          <w:szCs w:val="20"/>
        </w:rPr>
        <w:t>亿元，相对今年初单日万亿的成交金额看依然低迷，且相比前周环比改善也不明显；我们监测的关于个人投资者为主的银证转账净额上周进一步减少</w:t>
      </w:r>
      <w:r w:rsidR="00E466FB">
        <w:rPr>
          <w:rFonts w:ascii="Arial" w:eastAsia="楷体_GB2312" w:hAnsi="Arial" w:cs="Arial" w:hint="eastAsia"/>
          <w:color w:val="auto"/>
          <w:sz w:val="20"/>
          <w:szCs w:val="20"/>
        </w:rPr>
        <w:t>735</w:t>
      </w:r>
      <w:r w:rsidR="00E466FB">
        <w:rPr>
          <w:rFonts w:ascii="Arial" w:eastAsia="楷体_GB2312" w:hAnsi="Arial" w:cs="Arial" w:hint="eastAsia"/>
          <w:color w:val="auto"/>
          <w:sz w:val="20"/>
          <w:szCs w:val="20"/>
        </w:rPr>
        <w:t>亿；公</w:t>
      </w:r>
      <w:proofErr w:type="gramStart"/>
      <w:r w:rsidR="00E466FB">
        <w:rPr>
          <w:rFonts w:ascii="Arial" w:eastAsia="楷体_GB2312" w:hAnsi="Arial" w:cs="Arial" w:hint="eastAsia"/>
          <w:color w:val="auto"/>
          <w:sz w:val="20"/>
          <w:szCs w:val="20"/>
        </w:rPr>
        <w:t>募基金</w:t>
      </w:r>
      <w:proofErr w:type="gramEnd"/>
      <w:r w:rsidR="00E466FB">
        <w:rPr>
          <w:rFonts w:ascii="Arial" w:eastAsia="楷体_GB2312" w:hAnsi="Arial" w:cs="Arial" w:hint="eastAsia"/>
          <w:color w:val="auto"/>
          <w:sz w:val="20"/>
          <w:szCs w:val="20"/>
        </w:rPr>
        <w:t>发行也在低位。总体看市场情绪依然较为低迷。但从上周盘面表现看，前期龙头板块信息、军工等再次发力，一批今年以来表现出色的龙头个股也再度领涨，从板块各个股层面看市场情绪正在逐步恢复，未来一段时间市场面或呈现出总体</w:t>
      </w:r>
      <w:proofErr w:type="gramStart"/>
      <w:r w:rsidR="00E466FB">
        <w:rPr>
          <w:rFonts w:ascii="Arial" w:eastAsia="楷体_GB2312" w:hAnsi="Arial" w:cs="Arial" w:hint="eastAsia"/>
          <w:color w:val="auto"/>
          <w:sz w:val="20"/>
          <w:szCs w:val="20"/>
        </w:rPr>
        <w:t>低迷但</w:t>
      </w:r>
      <w:proofErr w:type="gramEnd"/>
      <w:r w:rsidR="00E466FB">
        <w:rPr>
          <w:rFonts w:ascii="Arial" w:eastAsia="楷体_GB2312" w:hAnsi="Arial" w:cs="Arial" w:hint="eastAsia"/>
          <w:color w:val="auto"/>
          <w:sz w:val="20"/>
          <w:szCs w:val="20"/>
        </w:rPr>
        <w:t>部分板块和个股活跃的结构性情况。</w:t>
      </w:r>
    </w:p>
    <w:p w:rsidR="00E466FB" w:rsidRDefault="00E466FB" w:rsidP="00E466FB">
      <w:pPr>
        <w:pStyle w:val="ac"/>
        <w:numPr>
          <w:ilvl w:val="0"/>
          <w:numId w:val="2"/>
        </w:numPr>
        <w:spacing w:beforeLines="100" w:before="240" w:afterLines="100" w:after="240" w:line="260" w:lineRule="exact"/>
        <w:ind w:leftChars="0" w:rightChars="-34" w:right="-71"/>
        <w:rPr>
          <w:rFonts w:ascii="Arial" w:eastAsia="楷体_GB2312" w:hAnsi="Arial" w:cs="Arial"/>
          <w:b/>
          <w:bCs/>
          <w:color w:val="002060"/>
          <w:kern w:val="0"/>
          <w:sz w:val="24"/>
          <w:szCs w:val="13"/>
        </w:rPr>
      </w:pPr>
      <w:r>
        <w:rPr>
          <w:rFonts w:ascii="Arial" w:eastAsia="楷体_GB2312" w:hAnsi="Arial" w:cs="Arial" w:hint="eastAsia"/>
          <w:b/>
          <w:bCs/>
          <w:color w:val="002060"/>
          <w:kern w:val="0"/>
          <w:sz w:val="24"/>
          <w:szCs w:val="13"/>
        </w:rPr>
        <w:t>A</w:t>
      </w:r>
      <w:r>
        <w:rPr>
          <w:rFonts w:ascii="Arial" w:eastAsia="楷体_GB2312" w:hAnsi="Arial" w:cs="Arial" w:hint="eastAsia"/>
          <w:b/>
          <w:bCs/>
          <w:color w:val="002060"/>
          <w:kern w:val="0"/>
          <w:sz w:val="24"/>
          <w:szCs w:val="13"/>
        </w:rPr>
        <w:t>股短期展望</w:t>
      </w:r>
    </w:p>
    <w:p w:rsidR="001B0255" w:rsidRPr="00C97435" w:rsidRDefault="00E466FB" w:rsidP="0067105E">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r>
        <w:rPr>
          <w:rFonts w:ascii="Arial" w:eastAsia="楷体_GB2312" w:hAnsi="Arial" w:cs="Arial" w:hint="eastAsia"/>
          <w:color w:val="auto"/>
          <w:sz w:val="20"/>
          <w:szCs w:val="20"/>
        </w:rPr>
        <w:t>综合影响</w:t>
      </w:r>
      <w:r>
        <w:rPr>
          <w:rFonts w:ascii="Arial" w:eastAsia="楷体_GB2312" w:hAnsi="Arial" w:cs="Arial" w:hint="eastAsia"/>
          <w:color w:val="auto"/>
          <w:sz w:val="20"/>
          <w:szCs w:val="20"/>
        </w:rPr>
        <w:t>A</w:t>
      </w:r>
      <w:r>
        <w:rPr>
          <w:rFonts w:ascii="Arial" w:eastAsia="楷体_GB2312" w:hAnsi="Arial" w:cs="Arial" w:hint="eastAsia"/>
          <w:color w:val="auto"/>
          <w:sz w:val="20"/>
          <w:szCs w:val="20"/>
        </w:rPr>
        <w:t>股的</w:t>
      </w:r>
      <w:r>
        <w:rPr>
          <w:rFonts w:ascii="Arial" w:eastAsia="楷体_GB2312" w:hAnsi="Arial" w:cs="Arial" w:hint="eastAsia"/>
          <w:color w:val="auto"/>
          <w:sz w:val="20"/>
          <w:szCs w:val="20"/>
        </w:rPr>
        <w:t>6</w:t>
      </w:r>
      <w:r>
        <w:rPr>
          <w:rFonts w:ascii="Arial" w:eastAsia="楷体_GB2312" w:hAnsi="Arial" w:cs="Arial" w:hint="eastAsia"/>
          <w:color w:val="auto"/>
          <w:sz w:val="20"/>
          <w:szCs w:val="20"/>
        </w:rPr>
        <w:t>大因素，我们认为当前最有可能对市场形成较大冲击的是</w:t>
      </w:r>
      <w:r w:rsidR="00921CE9" w:rsidRPr="00C97435">
        <w:rPr>
          <w:rFonts w:ascii="Arial" w:eastAsia="楷体_GB2312" w:hAnsi="Arial" w:cs="Arial"/>
          <w:color w:val="auto"/>
          <w:sz w:val="20"/>
          <w:szCs w:val="20"/>
        </w:rPr>
        <w:t>经济</w:t>
      </w:r>
      <w:r>
        <w:rPr>
          <w:rFonts w:ascii="Arial" w:eastAsia="楷体_GB2312" w:hAnsi="Arial" w:cs="Arial" w:hint="eastAsia"/>
          <w:color w:val="auto"/>
          <w:sz w:val="20"/>
          <w:szCs w:val="20"/>
        </w:rPr>
        <w:t>超预期</w:t>
      </w:r>
      <w:r w:rsidR="00921CE9" w:rsidRPr="00C97435">
        <w:rPr>
          <w:rFonts w:ascii="Arial" w:eastAsia="楷体_GB2312" w:hAnsi="Arial" w:cs="Arial"/>
          <w:color w:val="auto"/>
          <w:sz w:val="20"/>
          <w:szCs w:val="20"/>
        </w:rPr>
        <w:t>下行</w:t>
      </w:r>
      <w:r>
        <w:rPr>
          <w:rFonts w:ascii="Arial" w:eastAsia="楷体_GB2312" w:hAnsi="Arial" w:cs="Arial" w:hint="eastAsia"/>
          <w:color w:val="auto"/>
          <w:sz w:val="20"/>
          <w:szCs w:val="20"/>
        </w:rPr>
        <w:t>，但参考历史市场表现，经济下行对股市的负面影响往往是相对长期的影响，并且从经济下行到市场形成一致的下行预期往往有一定的时滞，因此当前时点上，我们认为短期内经济下行对市场还不会造成大幅的</w:t>
      </w:r>
      <w:r w:rsidR="0067105E">
        <w:rPr>
          <w:rFonts w:ascii="Arial" w:eastAsia="楷体_GB2312" w:hAnsi="Arial" w:cs="Arial" w:hint="eastAsia"/>
          <w:color w:val="auto"/>
          <w:sz w:val="20"/>
          <w:szCs w:val="20"/>
        </w:rPr>
        <w:t>压力。而从其他因素看都处在相对稳定状态，总体判断也是中性偏乐观，如</w:t>
      </w:r>
      <w:r w:rsidR="00921CE9" w:rsidRPr="00C97435">
        <w:rPr>
          <w:rFonts w:ascii="Arial" w:eastAsia="楷体_GB2312" w:hAnsi="Arial" w:cs="Arial"/>
          <w:color w:val="auto"/>
          <w:sz w:val="20"/>
          <w:szCs w:val="20"/>
        </w:rPr>
        <w:t>美联储年内加息对</w:t>
      </w:r>
      <w:r w:rsidR="00921CE9" w:rsidRPr="00C97435">
        <w:rPr>
          <w:rFonts w:ascii="Arial" w:eastAsia="楷体_GB2312" w:hAnsi="Arial" w:cs="Arial"/>
          <w:color w:val="auto"/>
          <w:sz w:val="20"/>
          <w:szCs w:val="20"/>
        </w:rPr>
        <w:t>A</w:t>
      </w:r>
      <w:r w:rsidR="0067105E">
        <w:rPr>
          <w:rFonts w:ascii="Arial" w:eastAsia="楷体_GB2312" w:hAnsi="Arial" w:cs="Arial"/>
          <w:color w:val="auto"/>
          <w:sz w:val="20"/>
          <w:szCs w:val="20"/>
        </w:rPr>
        <w:t>股的影响已被一定程度消化，政策面趋暖，货币政策中性偏宽松</w:t>
      </w:r>
      <w:r w:rsidR="0067105E">
        <w:rPr>
          <w:rFonts w:ascii="Arial" w:eastAsia="楷体_GB2312" w:hAnsi="Arial" w:cs="Arial" w:hint="eastAsia"/>
          <w:color w:val="auto"/>
          <w:sz w:val="20"/>
          <w:szCs w:val="20"/>
        </w:rPr>
        <w:t>等。因此，我们认为短期内</w:t>
      </w:r>
      <w:r w:rsidR="00921CE9" w:rsidRPr="00C97435">
        <w:rPr>
          <w:rFonts w:ascii="Arial" w:eastAsia="楷体_GB2312" w:hAnsi="Arial" w:cs="Arial"/>
          <w:color w:val="auto"/>
          <w:sz w:val="20"/>
          <w:szCs w:val="20"/>
        </w:rPr>
        <w:t>A</w:t>
      </w:r>
      <w:r w:rsidR="00921CE9" w:rsidRPr="00C97435">
        <w:rPr>
          <w:rFonts w:ascii="Arial" w:eastAsia="楷体_GB2312" w:hAnsi="Arial" w:cs="Arial"/>
          <w:color w:val="auto"/>
          <w:sz w:val="20"/>
          <w:szCs w:val="20"/>
        </w:rPr>
        <w:t>股</w:t>
      </w:r>
      <w:r w:rsidR="0067105E">
        <w:rPr>
          <w:rFonts w:ascii="Arial" w:eastAsia="楷体_GB2312" w:hAnsi="Arial" w:cs="Arial" w:hint="eastAsia"/>
          <w:color w:val="auto"/>
          <w:sz w:val="20"/>
          <w:szCs w:val="20"/>
        </w:rPr>
        <w:t>的走势可能受市场面影响最大，而市场面方面虽然未见成交放大等全面改善迹象，但结构性点状活跃正在显现，如市场情绪进一步改善短期</w:t>
      </w:r>
      <w:r w:rsidR="0067105E">
        <w:rPr>
          <w:rFonts w:ascii="Arial" w:eastAsia="楷体_GB2312" w:hAnsi="Arial" w:cs="Arial" w:hint="eastAsia"/>
          <w:color w:val="auto"/>
          <w:sz w:val="20"/>
          <w:szCs w:val="20"/>
        </w:rPr>
        <w:t>A</w:t>
      </w:r>
      <w:r w:rsidR="0067105E">
        <w:rPr>
          <w:rFonts w:ascii="Arial" w:eastAsia="楷体_GB2312" w:hAnsi="Arial" w:cs="Arial" w:hint="eastAsia"/>
          <w:color w:val="auto"/>
          <w:sz w:val="20"/>
          <w:szCs w:val="20"/>
        </w:rPr>
        <w:t>股依然有反弹希望，但目前时点在基本面下行风险未消和市场情绪依然整体脆弱的情况下，依然需要谨慎市场恐慌杀跌的可能性。</w:t>
      </w:r>
    </w:p>
    <w:p w:rsidR="001B0255" w:rsidRPr="00C97435" w:rsidRDefault="001B0255" w:rsidP="00736D60">
      <w:pPr>
        <w:pStyle w:val="af7"/>
        <w:numPr>
          <w:ilvl w:val="0"/>
          <w:numId w:val="1"/>
        </w:numPr>
        <w:ind w:firstLineChars="0"/>
        <w:rPr>
          <w:rFonts w:ascii="Arial" w:hAnsi="Arial" w:cs="Arial"/>
          <w:b/>
          <w:color w:val="996600"/>
          <w:sz w:val="32"/>
          <w:szCs w:val="28"/>
        </w:rPr>
      </w:pPr>
      <w:r w:rsidRPr="00C97435">
        <w:rPr>
          <w:rFonts w:ascii="Arial" w:hAnsi="Arial" w:cs="Arial"/>
          <w:b/>
          <w:color w:val="996600"/>
          <w:sz w:val="32"/>
          <w:szCs w:val="28"/>
        </w:rPr>
        <w:t>未来基金投资策略</w:t>
      </w:r>
    </w:p>
    <w:p w:rsidR="0067105E" w:rsidRDefault="0067105E" w:rsidP="0067105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proofErr w:type="gramStart"/>
      <w:r w:rsidRPr="0067105E">
        <w:rPr>
          <w:rFonts w:ascii="Arial" w:eastAsia="楷体_GB2312" w:hAnsi="Arial" w:cs="Arial" w:hint="eastAsia"/>
          <w:b/>
          <w:color w:val="auto"/>
          <w:sz w:val="20"/>
          <w:szCs w:val="20"/>
        </w:rPr>
        <w:t>股混基金</w:t>
      </w:r>
      <w:proofErr w:type="gramEnd"/>
      <w:r w:rsidRPr="0067105E">
        <w:rPr>
          <w:rFonts w:ascii="Arial" w:eastAsia="楷体_GB2312" w:hAnsi="Arial" w:cs="Arial" w:hint="eastAsia"/>
          <w:b/>
          <w:color w:val="auto"/>
          <w:sz w:val="20"/>
          <w:szCs w:val="20"/>
        </w:rPr>
        <w:t>投资方面，</w:t>
      </w:r>
      <w:r>
        <w:rPr>
          <w:rFonts w:ascii="Arial" w:eastAsia="楷体_GB2312" w:hAnsi="Arial" w:cs="Arial" w:hint="eastAsia"/>
          <w:color w:val="auto"/>
          <w:sz w:val="20"/>
          <w:szCs w:val="20"/>
        </w:rPr>
        <w:t>由于短期内我们对</w:t>
      </w:r>
      <w:r>
        <w:rPr>
          <w:rFonts w:ascii="Arial" w:eastAsia="楷体_GB2312" w:hAnsi="Arial" w:cs="Arial" w:hint="eastAsia"/>
          <w:color w:val="auto"/>
          <w:sz w:val="20"/>
          <w:szCs w:val="20"/>
        </w:rPr>
        <w:t>A</w:t>
      </w:r>
      <w:r>
        <w:rPr>
          <w:rFonts w:ascii="Arial" w:eastAsia="楷体_GB2312" w:hAnsi="Arial" w:cs="Arial" w:hint="eastAsia"/>
          <w:color w:val="auto"/>
          <w:sz w:val="20"/>
          <w:szCs w:val="20"/>
        </w:rPr>
        <w:t>股的判断中性偏乐观，但依然警惕市场可能的恐慌杀跌，因此建议偏左侧和</w:t>
      </w:r>
      <w:proofErr w:type="gramStart"/>
      <w:r>
        <w:rPr>
          <w:rFonts w:ascii="Arial" w:eastAsia="楷体_GB2312" w:hAnsi="Arial" w:cs="Arial" w:hint="eastAsia"/>
          <w:color w:val="auto"/>
          <w:sz w:val="20"/>
          <w:szCs w:val="20"/>
        </w:rPr>
        <w:t>偏长期</w:t>
      </w:r>
      <w:proofErr w:type="gramEnd"/>
      <w:r>
        <w:rPr>
          <w:rFonts w:ascii="Arial" w:eastAsia="楷体_GB2312" w:hAnsi="Arial" w:cs="Arial" w:hint="eastAsia"/>
          <w:color w:val="auto"/>
          <w:sz w:val="20"/>
          <w:szCs w:val="20"/>
        </w:rPr>
        <w:t>的投资者可以考虑逐步</w:t>
      </w:r>
      <w:r w:rsidR="00D61617">
        <w:rPr>
          <w:rFonts w:ascii="Arial" w:eastAsia="楷体_GB2312" w:hAnsi="Arial" w:cs="Arial" w:hint="eastAsia"/>
          <w:color w:val="auto"/>
          <w:sz w:val="20"/>
          <w:szCs w:val="20"/>
        </w:rPr>
        <w:t>建仓</w:t>
      </w:r>
      <w:r>
        <w:rPr>
          <w:rFonts w:ascii="Arial" w:eastAsia="楷体_GB2312" w:hAnsi="Arial" w:cs="Arial" w:hint="eastAsia"/>
          <w:color w:val="auto"/>
          <w:sz w:val="20"/>
          <w:szCs w:val="20"/>
        </w:rPr>
        <w:t>，而偏右侧较为保守的投资者依然可以等待</w:t>
      </w:r>
      <w:r w:rsidR="00921CE9" w:rsidRPr="00C97435">
        <w:rPr>
          <w:rFonts w:ascii="Arial" w:eastAsia="楷体_GB2312" w:hAnsi="Arial" w:cs="Arial"/>
          <w:color w:val="auto"/>
          <w:sz w:val="20"/>
          <w:szCs w:val="20"/>
        </w:rPr>
        <w:t>市场信心进一步恢复</w:t>
      </w:r>
      <w:r>
        <w:rPr>
          <w:rFonts w:ascii="Arial" w:eastAsia="楷体_GB2312" w:hAnsi="Arial" w:cs="Arial" w:hint="eastAsia"/>
          <w:color w:val="auto"/>
          <w:sz w:val="20"/>
          <w:szCs w:val="20"/>
        </w:rPr>
        <w:t>后再行动。在股混基金产品选择上，依然建议关注基金经理短期交易能力和选股能力，</w:t>
      </w:r>
      <w:r w:rsidR="00921CE9" w:rsidRPr="00C97435">
        <w:rPr>
          <w:rFonts w:ascii="Arial" w:eastAsia="楷体_GB2312" w:hAnsi="Arial" w:cs="Arial"/>
          <w:color w:val="auto"/>
          <w:sz w:val="20"/>
          <w:szCs w:val="20"/>
        </w:rPr>
        <w:t>优选</w:t>
      </w:r>
      <w:proofErr w:type="gramStart"/>
      <w:r w:rsidR="00921CE9" w:rsidRPr="00C97435">
        <w:rPr>
          <w:rFonts w:ascii="Arial" w:eastAsia="楷体_GB2312" w:hAnsi="Arial" w:cs="Arial"/>
          <w:color w:val="auto"/>
          <w:sz w:val="20"/>
          <w:szCs w:val="20"/>
        </w:rPr>
        <w:t>仓位</w:t>
      </w:r>
      <w:proofErr w:type="gramEnd"/>
      <w:r w:rsidR="00921CE9" w:rsidRPr="00C97435">
        <w:rPr>
          <w:rFonts w:ascii="Arial" w:eastAsia="楷体_GB2312" w:hAnsi="Arial" w:cs="Arial"/>
          <w:color w:val="auto"/>
          <w:sz w:val="20"/>
          <w:szCs w:val="20"/>
        </w:rPr>
        <w:t>灵活且基金经理择股能力突出的混合型基金。主题方面，</w:t>
      </w:r>
      <w:r>
        <w:rPr>
          <w:rFonts w:ascii="Arial" w:eastAsia="楷体_GB2312" w:hAnsi="Arial" w:cs="Arial" w:hint="eastAsia"/>
          <w:color w:val="auto"/>
          <w:sz w:val="20"/>
          <w:szCs w:val="20"/>
        </w:rPr>
        <w:t>近期</w:t>
      </w:r>
      <w:r w:rsidR="00921CE9" w:rsidRPr="00C97435">
        <w:rPr>
          <w:rFonts w:ascii="Arial" w:eastAsia="楷体_GB2312" w:hAnsi="Arial" w:cs="Arial"/>
          <w:color w:val="auto"/>
          <w:sz w:val="20"/>
          <w:szCs w:val="20"/>
        </w:rPr>
        <w:t>2018</w:t>
      </w:r>
      <w:r w:rsidR="00921CE9" w:rsidRPr="00C97435">
        <w:rPr>
          <w:rFonts w:ascii="Arial" w:eastAsia="楷体_GB2312" w:hAnsi="Arial" w:cs="Arial"/>
          <w:color w:val="auto"/>
          <w:sz w:val="20"/>
          <w:szCs w:val="20"/>
        </w:rPr>
        <w:t>年底前中央政府层面将实现数据统一共享交换平台全覆盖等消息利好网络安全等相关板块，习近平访美概念，如高铁、核电等，也具备一定投资机会。</w:t>
      </w:r>
    </w:p>
    <w:p w:rsidR="008702B6" w:rsidRDefault="0067105E" w:rsidP="0067105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sidRPr="0067105E">
        <w:rPr>
          <w:rFonts w:ascii="Arial" w:eastAsia="楷体_GB2312" w:hAnsi="Arial" w:cs="Arial" w:hint="eastAsia"/>
          <w:b/>
          <w:color w:val="auto"/>
          <w:sz w:val="20"/>
          <w:szCs w:val="20"/>
        </w:rPr>
        <w:t>固定收益基金投资方面，</w:t>
      </w:r>
      <w:r>
        <w:rPr>
          <w:rFonts w:ascii="Arial" w:eastAsia="楷体_GB2312" w:hAnsi="Arial" w:cs="Arial" w:hint="eastAsia"/>
          <w:color w:val="auto"/>
          <w:sz w:val="20"/>
          <w:szCs w:val="20"/>
        </w:rPr>
        <w:t>债券基金尤其</w:t>
      </w:r>
      <w:proofErr w:type="gramStart"/>
      <w:r>
        <w:rPr>
          <w:rFonts w:ascii="Arial" w:eastAsia="楷体_GB2312" w:hAnsi="Arial" w:cs="Arial" w:hint="eastAsia"/>
          <w:color w:val="auto"/>
          <w:sz w:val="20"/>
          <w:szCs w:val="20"/>
        </w:rPr>
        <w:t>是债性较纯</w:t>
      </w:r>
      <w:proofErr w:type="gramEnd"/>
      <w:r>
        <w:rPr>
          <w:rFonts w:ascii="Arial" w:eastAsia="楷体_GB2312" w:hAnsi="Arial" w:cs="Arial" w:hint="eastAsia"/>
          <w:color w:val="auto"/>
          <w:sz w:val="20"/>
          <w:szCs w:val="20"/>
        </w:rPr>
        <w:t>的一级</w:t>
      </w:r>
      <w:proofErr w:type="gramStart"/>
      <w:r>
        <w:rPr>
          <w:rFonts w:ascii="Arial" w:eastAsia="楷体_GB2312" w:hAnsi="Arial" w:cs="Arial" w:hint="eastAsia"/>
          <w:color w:val="auto"/>
          <w:sz w:val="20"/>
          <w:szCs w:val="20"/>
        </w:rPr>
        <w:t>债基依然</w:t>
      </w:r>
      <w:proofErr w:type="gramEnd"/>
      <w:r>
        <w:rPr>
          <w:rFonts w:ascii="Arial" w:eastAsia="楷体_GB2312" w:hAnsi="Arial" w:cs="Arial" w:hint="eastAsia"/>
          <w:color w:val="auto"/>
          <w:sz w:val="20"/>
          <w:szCs w:val="20"/>
        </w:rPr>
        <w:t>是当前市场中保守投资者的较好选择。同时，季末叠加长假，有闲散资金的投资者可以积极使用货币基金工具进行现金管理。</w:t>
      </w:r>
    </w:p>
    <w:p w:rsidR="0067105E" w:rsidRPr="0067105E" w:rsidRDefault="0067105E" w:rsidP="0067105E">
      <w:pPr>
        <w:pStyle w:val="ac"/>
        <w:spacing w:beforeLines="100" w:before="240" w:afterLines="100" w:after="240" w:line="260" w:lineRule="exact"/>
        <w:ind w:leftChars="1822" w:left="3826" w:rightChars="-34" w:right="-71" w:firstLineChars="212" w:firstLine="426"/>
        <w:rPr>
          <w:rFonts w:ascii="Arial" w:eastAsia="楷体_GB2312" w:hAnsi="Arial" w:cs="Arial"/>
          <w:color w:val="auto"/>
          <w:sz w:val="20"/>
          <w:szCs w:val="20"/>
        </w:rPr>
      </w:pPr>
      <w:r>
        <w:rPr>
          <w:rFonts w:ascii="Arial" w:eastAsia="楷体_GB2312" w:hAnsi="Arial" w:cs="Arial" w:hint="eastAsia"/>
          <w:b/>
          <w:color w:val="auto"/>
          <w:sz w:val="20"/>
          <w:szCs w:val="20"/>
        </w:rPr>
        <w:t>QDII</w:t>
      </w:r>
      <w:r>
        <w:rPr>
          <w:rFonts w:ascii="Arial" w:eastAsia="楷体_GB2312" w:hAnsi="Arial" w:cs="Arial" w:hint="eastAsia"/>
          <w:b/>
          <w:color w:val="auto"/>
          <w:sz w:val="20"/>
          <w:szCs w:val="20"/>
        </w:rPr>
        <w:t>及商品基金等方面，</w:t>
      </w:r>
      <w:r w:rsidRPr="0067105E">
        <w:rPr>
          <w:rFonts w:ascii="Arial" w:eastAsia="楷体_GB2312" w:hAnsi="Arial" w:cs="Arial" w:hint="eastAsia"/>
          <w:color w:val="auto"/>
          <w:sz w:val="20"/>
          <w:szCs w:val="20"/>
        </w:rPr>
        <w:t>由于长期看人民币贬值压力持续存在，从大类资产配置策略出发投资者可以考虑配置少量美元计价资产，而</w:t>
      </w:r>
      <w:r w:rsidRPr="0067105E">
        <w:rPr>
          <w:rFonts w:ascii="Arial" w:eastAsia="楷体_GB2312" w:hAnsi="Arial" w:cs="Arial" w:hint="eastAsia"/>
          <w:color w:val="auto"/>
          <w:sz w:val="20"/>
          <w:szCs w:val="20"/>
        </w:rPr>
        <w:t>QDII</w:t>
      </w:r>
      <w:r w:rsidRPr="0067105E">
        <w:rPr>
          <w:rFonts w:ascii="Arial" w:eastAsia="楷体_GB2312" w:hAnsi="Arial" w:cs="Arial" w:hint="eastAsia"/>
          <w:color w:val="auto"/>
          <w:sz w:val="20"/>
          <w:szCs w:val="20"/>
        </w:rPr>
        <w:t>产品中</w:t>
      </w:r>
      <w:proofErr w:type="gramStart"/>
      <w:r w:rsidRPr="0067105E">
        <w:rPr>
          <w:rFonts w:ascii="Arial" w:eastAsia="楷体_GB2312" w:hAnsi="Arial" w:cs="Arial" w:hint="eastAsia"/>
          <w:color w:val="auto"/>
          <w:sz w:val="20"/>
          <w:szCs w:val="20"/>
        </w:rPr>
        <w:t>投资美</w:t>
      </w:r>
      <w:proofErr w:type="gramEnd"/>
      <w:r w:rsidRPr="0067105E">
        <w:rPr>
          <w:rFonts w:ascii="Arial" w:eastAsia="楷体_GB2312" w:hAnsi="Arial" w:cs="Arial" w:hint="eastAsia"/>
          <w:color w:val="auto"/>
          <w:sz w:val="20"/>
          <w:szCs w:val="20"/>
        </w:rPr>
        <w:t>债、美股、</w:t>
      </w:r>
      <w:r w:rsidRPr="0067105E">
        <w:rPr>
          <w:rFonts w:ascii="Arial" w:eastAsia="楷体_GB2312" w:hAnsi="Arial" w:cs="Arial" w:hint="eastAsia"/>
          <w:color w:val="auto"/>
          <w:sz w:val="20"/>
          <w:szCs w:val="20"/>
        </w:rPr>
        <w:t>REITs</w:t>
      </w:r>
      <w:r w:rsidRPr="0067105E">
        <w:rPr>
          <w:rFonts w:ascii="Arial" w:eastAsia="楷体_GB2312" w:hAnsi="Arial" w:cs="Arial" w:hint="eastAsia"/>
          <w:color w:val="auto"/>
          <w:sz w:val="20"/>
          <w:szCs w:val="20"/>
        </w:rPr>
        <w:t>等方面的产品均是不错选择。</w:t>
      </w:r>
    </w:p>
    <w:p w:rsidR="00921CE9" w:rsidRPr="00C97435" w:rsidRDefault="00921CE9" w:rsidP="00921CE9">
      <w:pPr>
        <w:pStyle w:val="ac"/>
        <w:spacing w:beforeLines="100" w:before="240" w:afterLines="100" w:after="240" w:line="260" w:lineRule="exact"/>
        <w:ind w:leftChars="1822" w:left="3826" w:rightChars="-34" w:right="-71" w:firstLineChars="212" w:firstLine="424"/>
        <w:rPr>
          <w:rFonts w:ascii="Arial" w:eastAsia="楷体_GB2312" w:hAnsi="Arial" w:cs="Arial"/>
          <w:color w:val="auto"/>
          <w:sz w:val="20"/>
          <w:szCs w:val="20"/>
        </w:rPr>
      </w:pPr>
    </w:p>
    <w:p w:rsidR="00921CE9" w:rsidRPr="00C97435" w:rsidRDefault="00921CE9" w:rsidP="001B0255">
      <w:pPr>
        <w:pStyle w:val="ac"/>
        <w:spacing w:beforeLines="100" w:before="240" w:afterLines="100" w:after="240" w:line="260" w:lineRule="exact"/>
        <w:ind w:leftChars="0" w:left="0" w:rightChars="-34" w:right="-71" w:firstLine="0"/>
        <w:rPr>
          <w:rFonts w:ascii="Arial" w:eastAsia="楷体_GB2312" w:hAnsi="Arial" w:cs="Arial"/>
          <w:color w:val="auto"/>
          <w:sz w:val="20"/>
          <w:szCs w:val="20"/>
        </w:rPr>
      </w:pPr>
    </w:p>
    <w:p w:rsidR="00D52111" w:rsidRPr="00C97435" w:rsidRDefault="004718C2" w:rsidP="00230961">
      <w:pPr>
        <w:widowControl/>
        <w:jc w:val="left"/>
        <w:rPr>
          <w:rFonts w:ascii="Arial" w:hAnsi="Arial" w:cs="Arial"/>
          <w:b/>
          <w:color w:val="000080"/>
          <w:kern w:val="0"/>
          <w:sz w:val="36"/>
          <w:szCs w:val="34"/>
        </w:rPr>
      </w:pPr>
      <w:r w:rsidRPr="00C97435">
        <w:rPr>
          <w:rFonts w:ascii="Arial" w:hAnsi="Arial" w:cs="Arial"/>
          <w:b/>
          <w:color w:val="000080"/>
          <w:kern w:val="0"/>
          <w:sz w:val="36"/>
          <w:szCs w:val="34"/>
        </w:rPr>
        <w:br w:type="page"/>
      </w:r>
      <w:r w:rsidR="00D52111" w:rsidRPr="00C97435">
        <w:rPr>
          <w:rFonts w:ascii="Arial" w:hAnsi="Arial" w:cs="Arial"/>
          <w:b/>
          <w:color w:val="000080"/>
          <w:kern w:val="0"/>
          <w:sz w:val="36"/>
          <w:szCs w:val="34"/>
        </w:rPr>
        <w:lastRenderedPageBreak/>
        <w:t>免责声明</w:t>
      </w:r>
    </w:p>
    <w:p w:rsidR="00D52111" w:rsidRPr="00C97435" w:rsidRDefault="00D52111" w:rsidP="00D52111">
      <w:pPr>
        <w:rPr>
          <w:rFonts w:ascii="Arial" w:hAnsi="Arial" w:cs="Arial"/>
          <w:b/>
          <w:color w:val="000080"/>
          <w:kern w:val="0"/>
          <w:sz w:val="36"/>
          <w:szCs w:val="34"/>
        </w:rPr>
      </w:pPr>
    </w:p>
    <w:p w:rsidR="00D52111" w:rsidRPr="00C97435" w:rsidRDefault="00D52111" w:rsidP="00D52111">
      <w:pPr>
        <w:rPr>
          <w:rFonts w:ascii="Arial" w:hAnsi="Arial" w:cs="Arial"/>
          <w:sz w:val="22"/>
        </w:rPr>
      </w:pPr>
      <w:r w:rsidRPr="00C97435">
        <w:rPr>
          <w:rFonts w:ascii="Arial" w:hAnsi="Arial" w:cs="Arial"/>
          <w:sz w:val="22"/>
        </w:rPr>
        <w:t>本报告中的所有内容版权均属上海凯石财富基金销售有限公司（以下简称</w:t>
      </w:r>
      <w:r w:rsidRPr="00C97435">
        <w:rPr>
          <w:rFonts w:ascii="Arial" w:hAnsi="Arial" w:cs="Arial"/>
          <w:sz w:val="22"/>
        </w:rPr>
        <w:t>“</w:t>
      </w:r>
      <w:r w:rsidRPr="00C97435">
        <w:rPr>
          <w:rFonts w:ascii="Arial" w:hAnsi="Arial" w:cs="Arial"/>
          <w:sz w:val="22"/>
        </w:rPr>
        <w:t>本公司</w:t>
      </w:r>
      <w:r w:rsidRPr="00C97435">
        <w:rPr>
          <w:rFonts w:ascii="Arial" w:hAnsi="Arial" w:cs="Arial"/>
          <w:sz w:val="22"/>
        </w:rPr>
        <w:t>”</w:t>
      </w:r>
      <w:r w:rsidRPr="00C97435">
        <w:rPr>
          <w:rFonts w:ascii="Arial" w:hAnsi="Arial" w:cs="Arial"/>
          <w:sz w:val="22"/>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基金销售有限公司研究中心，且不得对本文进行任何有悖原意的引用和删改。</w:t>
      </w:r>
    </w:p>
    <w:p w:rsidR="00D52111" w:rsidRPr="00C97435" w:rsidRDefault="00D52111" w:rsidP="00D52111">
      <w:pPr>
        <w:rPr>
          <w:rFonts w:ascii="Arial" w:hAnsi="Arial" w:cs="Arial"/>
          <w:sz w:val="22"/>
        </w:rPr>
      </w:pPr>
    </w:p>
    <w:p w:rsidR="00D52111" w:rsidRPr="00C97435" w:rsidRDefault="00D52111" w:rsidP="00D52111">
      <w:pPr>
        <w:rPr>
          <w:rFonts w:ascii="Arial" w:hAnsi="Arial" w:cs="Arial"/>
          <w:sz w:val="22"/>
        </w:rPr>
      </w:pPr>
      <w:r w:rsidRPr="00C97435">
        <w:rPr>
          <w:rFonts w:ascii="Arial" w:hAnsi="Arial" w:cs="Arial"/>
          <w:sz w:val="22"/>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C97435" w:rsidRDefault="00D52111" w:rsidP="00D52111">
      <w:pPr>
        <w:rPr>
          <w:rFonts w:ascii="Arial" w:hAnsi="Arial" w:cs="Arial"/>
          <w:sz w:val="22"/>
        </w:rPr>
      </w:pPr>
    </w:p>
    <w:p w:rsidR="00D52111" w:rsidRPr="00C97435" w:rsidRDefault="00D52111" w:rsidP="00D52111">
      <w:pPr>
        <w:rPr>
          <w:rFonts w:ascii="Arial" w:hAnsi="Arial" w:cs="Arial"/>
          <w:sz w:val="22"/>
        </w:rPr>
      </w:pPr>
      <w:r w:rsidRPr="00C97435">
        <w:rPr>
          <w:rFonts w:ascii="Arial" w:hAnsi="Arial" w:cs="Arial"/>
          <w:sz w:val="22"/>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C97435" w:rsidRDefault="008B5D7D" w:rsidP="00BC0C10">
      <w:pPr>
        <w:ind w:rightChars="26" w:right="55"/>
        <w:rPr>
          <w:rFonts w:ascii="Arial" w:hAnsi="Arial" w:cs="Arial"/>
          <w:sz w:val="13"/>
        </w:rPr>
      </w:pPr>
    </w:p>
    <w:sectPr w:rsidR="008B5D7D" w:rsidRPr="00C97435" w:rsidSect="00D52111">
      <w:headerReference w:type="default" r:id="rId16"/>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F7" w:rsidRDefault="006868F7">
      <w:r>
        <w:separator/>
      </w:r>
    </w:p>
  </w:endnote>
  <w:endnote w:type="continuationSeparator" w:id="0">
    <w:p w:rsidR="006868F7" w:rsidRDefault="0068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A6" w:rsidRDefault="00D72B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740" w:rsidRPr="00D52111" w:rsidRDefault="00FD5740"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4A19F771" wp14:editId="613675BA">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014F4BF2" wp14:editId="5A21418E">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D72BA6" w:rsidRPr="00D72BA6">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D72BA6" w:rsidRPr="00D72BA6">
      <w:rPr>
        <w:rFonts w:ascii="Arial" w:eastAsia="新宋体" w:hAnsi="Arial" w:cs="Arial"/>
        <w:noProof/>
        <w:sz w:val="15"/>
        <w:szCs w:val="13"/>
        <w:lang w:val="zh-CN"/>
      </w:rPr>
      <w:t>6</w:t>
    </w:r>
    <w:r w:rsidRPr="00D52111">
      <w:rPr>
        <w:rFonts w:ascii="Arial" w:eastAsia="新宋体" w:hAnsi="Arial" w:cs="Arial"/>
        <w:b/>
        <w:noProof/>
        <w:sz w:val="15"/>
        <w:szCs w:val="13"/>
      </w:rPr>
      <w:fldChar w:fldCharType="end"/>
    </w:r>
  </w:p>
  <w:p w:rsidR="00FD5740" w:rsidRDefault="00FD5740">
    <w:pPr>
      <w:pStyle w:val="a5"/>
      <w:rPr>
        <w:sz w:val="4"/>
        <w:szCs w:val="4"/>
      </w:rPr>
    </w:pPr>
  </w:p>
  <w:p w:rsidR="00FD5740" w:rsidRDefault="00FD5740">
    <w:pPr>
      <w:pStyle w:val="a5"/>
      <w:rPr>
        <w:rFonts w:ascii="楷体_GB2312"/>
        <w:sz w:val="4"/>
        <w:szCs w:val="4"/>
      </w:rPr>
    </w:pPr>
  </w:p>
  <w:p w:rsidR="00FD5740" w:rsidRPr="00F957FD" w:rsidRDefault="00FD5740" w:rsidP="00537A56">
    <w:pPr>
      <w:pStyle w:val="a5"/>
      <w:ind w:right="-515"/>
    </w:pPr>
    <w:r>
      <w:rPr>
        <w:rFonts w:ascii="楷体_GB2312" w:hint="eastAsia"/>
        <w:szCs w:val="16"/>
      </w:rPr>
      <w:t xml:space="preserve">                                                                                       请务必阅读正文之后的免责声明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A6" w:rsidRDefault="00D72B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F7" w:rsidRDefault="006868F7">
      <w:r>
        <w:separator/>
      </w:r>
    </w:p>
  </w:footnote>
  <w:footnote w:type="continuationSeparator" w:id="0">
    <w:p w:rsidR="006868F7" w:rsidRDefault="00686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A6" w:rsidRDefault="00D72BA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740" w:rsidRDefault="00FD5740">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61FF678E" wp14:editId="1E34A0BC">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0" w:name="_GoBack"/>
  <w:bookmarkEnd w:id="0"/>
  <w:p w:rsidR="00FD5740" w:rsidRDefault="00FD5740">
    <w:r>
      <w:rPr>
        <w:noProof/>
      </w:rPr>
      <mc:AlternateContent>
        <mc:Choice Requires="wps">
          <w:drawing>
            <wp:anchor distT="0" distB="0" distL="114300" distR="114300" simplePos="0" relativeHeight="251665408" behindDoc="0" locked="0" layoutInCell="1" allowOverlap="1" wp14:anchorId="64070038" wp14:editId="7BA05FD2">
              <wp:simplePos x="0" y="0"/>
              <wp:positionH relativeFrom="column">
                <wp:posOffset>3891280</wp:posOffset>
              </wp:positionH>
              <wp:positionV relativeFrom="paragraph">
                <wp:posOffset>78105</wp:posOffset>
              </wp:positionV>
              <wp:extent cx="2757170" cy="297180"/>
              <wp:effectExtent l="0" t="0" r="0" b="63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740" w:rsidRPr="00880D7C" w:rsidRDefault="00FD5740"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凯石金融产品研究中心*基金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06.4pt;margin-top:6.15pt;width:217.1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" filled="f" stroked="f">
              <v:textbox>
                <w:txbxContent>
                  <w:p w:rsidR="00FD5740" w:rsidRPr="00880D7C" w:rsidRDefault="00FD5740" w:rsidP="00350325">
                    <w:pPr>
                      <w:jc w:val="center"/>
                      <w:rPr>
                        <w:b/>
                        <w:sz w:val="24"/>
                      </w:rPr>
                    </w:pPr>
                    <w:r>
                      <w:rPr>
                        <w:rFonts w:ascii="楷体_GB2312" w:hint="eastAsia"/>
                        <w:color w:val="333333"/>
                        <w:sz w:val="20"/>
                      </w:rPr>
                      <w:t xml:space="preserve"> </w:t>
                    </w:r>
                    <w:r w:rsidRPr="00573A8D">
                      <w:rPr>
                        <w:rFonts w:ascii="楷体" w:eastAsia="楷体" w:hAnsi="楷体" w:hint="eastAsia"/>
                        <w:b/>
                        <w:color w:val="996600"/>
                        <w:sz w:val="24"/>
                      </w:rPr>
                      <w:t xml:space="preserve"> </w:t>
                    </w:r>
                    <w:r w:rsidRPr="00573A8D">
                      <w:rPr>
                        <w:rFonts w:ascii="楷体" w:eastAsia="楷体" w:hAnsi="楷体" w:hint="eastAsia"/>
                        <w:b/>
                        <w:color w:val="996600"/>
                        <w:sz w:val="22"/>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528908AE" wp14:editId="6E1ECBC2">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BA6" w:rsidRDefault="00D72BA6">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740" w:rsidRDefault="00FD5740">
    <w:pPr>
      <w:pStyle w:val="a4"/>
      <w:pBdr>
        <w:bottom w:val="none" w:sz="0" w:space="0" w:color="auto"/>
      </w:pBdr>
      <w:jc w:val="both"/>
    </w:pPr>
    <w:r>
      <w:rPr>
        <w:noProof/>
      </w:rPr>
      <mc:AlternateContent>
        <mc:Choice Requires="wps">
          <w:drawing>
            <wp:anchor distT="0" distB="0" distL="114300" distR="114300" simplePos="0" relativeHeight="251657216" behindDoc="0" locked="0" layoutInCell="1" allowOverlap="1">
              <wp:simplePos x="0" y="0"/>
              <wp:positionH relativeFrom="column">
                <wp:posOffset>3736163</wp:posOffset>
              </wp:positionH>
              <wp:positionV relativeFrom="paragraph">
                <wp:posOffset>55038</wp:posOffset>
              </wp:positionV>
              <wp:extent cx="2759267" cy="2971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267"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740" w:rsidRPr="00880D7C" w:rsidRDefault="00FD5740" w:rsidP="00F324F2">
                          <w:pPr>
                            <w:jc w:val="center"/>
                            <w:rPr>
                              <w:b/>
                              <w:sz w:val="24"/>
                            </w:rPr>
                          </w:pPr>
                          <w:r>
                            <w:rPr>
                              <w:rFonts w:ascii="楷体_GB2312" w:hint="eastAsia"/>
                              <w:color w:val="333333"/>
                              <w:sz w:val="20"/>
                            </w:rPr>
                            <w:t xml:space="preserve">    </w:t>
                          </w:r>
                          <w:r w:rsidRPr="00573A8D">
                            <w:rPr>
                              <w:rFonts w:ascii="楷体" w:eastAsia="楷体" w:hAnsi="楷体" w:hint="eastAsia"/>
                              <w:b/>
                              <w:color w:val="996600"/>
                              <w:sz w:val="22"/>
                            </w:rPr>
                            <w:t>凯石金融产品研究中心*基金</w:t>
                          </w:r>
                          <w:r>
                            <w:rPr>
                              <w:rFonts w:ascii="楷体" w:eastAsia="楷体" w:hAnsi="楷体" w:hint="eastAsia"/>
                              <w:b/>
                              <w:color w:val="996600"/>
                              <w:sz w:val="22"/>
                            </w:rPr>
                            <w:t>周报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left:0;text-align:left;margin-left:294.2pt;margin-top:4.35pt;width:217.25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" filled="f" stroked="f">
              <v:textbox>
                <w:txbxContent>
                  <w:p w:rsidR="00FD5740" w:rsidRPr="00880D7C" w:rsidRDefault="00FD5740" w:rsidP="00F324F2">
                    <w:pPr>
                      <w:jc w:val="center"/>
                      <w:rPr>
                        <w:b/>
                        <w:sz w:val="24"/>
                      </w:rPr>
                    </w:pPr>
                    <w:r>
                      <w:rPr>
                        <w:rFonts w:ascii="楷体_GB2312" w:hint="eastAsia"/>
                        <w:color w:val="333333"/>
                        <w:sz w:val="20"/>
                      </w:rPr>
                      <w:t xml:space="preserve">    </w:t>
                    </w: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产品研究中心*基金</w:t>
                    </w:r>
                    <w:r>
                      <w:rPr>
                        <w:rFonts w:ascii="楷体" w:eastAsia="楷体" w:hAnsi="楷体" w:hint="eastAsia"/>
                        <w:b/>
                        <w:color w:val="996600"/>
                        <w:sz w:val="22"/>
                      </w:rPr>
                      <w:t>周报</w:t>
                    </w:r>
                  </w:p>
                </w:txbxContent>
              </v:textbox>
            </v:shape>
          </w:pict>
        </mc:Fallback>
      </mc:AlternateContent>
    </w:r>
    <w:r>
      <w:rPr>
        <w:noProof/>
      </w:rPr>
      <w:drawing>
        <wp:anchor distT="0" distB="0" distL="114300" distR="114300" simplePos="0" relativeHeight="251660288" behindDoc="0" locked="0" layoutInCell="1" allowOverlap="1" wp14:anchorId="0D11C5FC" wp14:editId="7DE4FFED">
          <wp:simplePos x="0" y="0"/>
          <wp:positionH relativeFrom="column">
            <wp:posOffset>224017</wp:posOffset>
          </wp:positionH>
          <wp:positionV relativeFrom="paragraph">
            <wp:posOffset>-363330</wp:posOffset>
          </wp:positionV>
          <wp:extent cx="829310" cy="713740"/>
          <wp:effectExtent l="0" t="0" r="0" b="0"/>
          <wp:wrapNone/>
          <wp:docPr id="4" name="图片 4"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1076307864,1107365649&amp;fm=21&amp;gp=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 xml:space="preserve">                                       </w:t>
    </w:r>
  </w:p>
  <w:p w:rsidR="00FD5740" w:rsidRDefault="00FD5740">
    <w:pPr>
      <w:pStyle w:val="a4"/>
      <w:pBdr>
        <w:bottom w:val="none" w:sz="0" w:space="0" w:color="auto"/>
      </w:pBdr>
      <w:spacing w:line="120" w:lineRule="exact"/>
      <w:jc w:val="both"/>
    </w:pPr>
    <w:r>
      <w:rPr>
        <w:noProof/>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313055</wp:posOffset>
              </wp:positionV>
              <wp:extent cx="7776210" cy="0"/>
              <wp:effectExtent l="13970" t="17780" r="20320" b="203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pt,24.65pt" to="568.4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3" type="#_x0000_t75" style="width:11.25pt;height:11.2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2">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179C"/>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6F3D"/>
    <w:rsid w:val="0000719B"/>
    <w:rsid w:val="0000720C"/>
    <w:rsid w:val="000076C0"/>
    <w:rsid w:val="00007C70"/>
    <w:rsid w:val="00007EF3"/>
    <w:rsid w:val="0001104B"/>
    <w:rsid w:val="00011132"/>
    <w:rsid w:val="0001196B"/>
    <w:rsid w:val="000129EE"/>
    <w:rsid w:val="00012D27"/>
    <w:rsid w:val="0001326B"/>
    <w:rsid w:val="000139D0"/>
    <w:rsid w:val="00013A01"/>
    <w:rsid w:val="00014254"/>
    <w:rsid w:val="0001451E"/>
    <w:rsid w:val="00014D3A"/>
    <w:rsid w:val="00014F8A"/>
    <w:rsid w:val="00014FE8"/>
    <w:rsid w:val="00015443"/>
    <w:rsid w:val="00015F08"/>
    <w:rsid w:val="000160FE"/>
    <w:rsid w:val="00016C51"/>
    <w:rsid w:val="00016CF5"/>
    <w:rsid w:val="00016DA1"/>
    <w:rsid w:val="0001760A"/>
    <w:rsid w:val="0001787C"/>
    <w:rsid w:val="00017AB9"/>
    <w:rsid w:val="00017D27"/>
    <w:rsid w:val="00017F58"/>
    <w:rsid w:val="000200E0"/>
    <w:rsid w:val="00020125"/>
    <w:rsid w:val="0002024B"/>
    <w:rsid w:val="00020345"/>
    <w:rsid w:val="00020D5C"/>
    <w:rsid w:val="00020E34"/>
    <w:rsid w:val="00020E9E"/>
    <w:rsid w:val="0002153B"/>
    <w:rsid w:val="000219AF"/>
    <w:rsid w:val="00021B94"/>
    <w:rsid w:val="00021E35"/>
    <w:rsid w:val="00022651"/>
    <w:rsid w:val="000226CB"/>
    <w:rsid w:val="00022987"/>
    <w:rsid w:val="00023166"/>
    <w:rsid w:val="00023359"/>
    <w:rsid w:val="00023B6C"/>
    <w:rsid w:val="00024105"/>
    <w:rsid w:val="000245A2"/>
    <w:rsid w:val="000248C6"/>
    <w:rsid w:val="00024B0D"/>
    <w:rsid w:val="000254A2"/>
    <w:rsid w:val="00026323"/>
    <w:rsid w:val="00026634"/>
    <w:rsid w:val="0002668D"/>
    <w:rsid w:val="00026A2D"/>
    <w:rsid w:val="00026F36"/>
    <w:rsid w:val="00027959"/>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5A80"/>
    <w:rsid w:val="00036292"/>
    <w:rsid w:val="000362B9"/>
    <w:rsid w:val="000362D4"/>
    <w:rsid w:val="000365C8"/>
    <w:rsid w:val="00036E34"/>
    <w:rsid w:val="00036E3E"/>
    <w:rsid w:val="00037641"/>
    <w:rsid w:val="00040972"/>
    <w:rsid w:val="00040DC4"/>
    <w:rsid w:val="00040E20"/>
    <w:rsid w:val="0004114A"/>
    <w:rsid w:val="0004146C"/>
    <w:rsid w:val="00041F5E"/>
    <w:rsid w:val="0004201D"/>
    <w:rsid w:val="0004292F"/>
    <w:rsid w:val="00043ADE"/>
    <w:rsid w:val="00043DEC"/>
    <w:rsid w:val="00043E15"/>
    <w:rsid w:val="00044307"/>
    <w:rsid w:val="00044596"/>
    <w:rsid w:val="0004472E"/>
    <w:rsid w:val="0004490E"/>
    <w:rsid w:val="00044976"/>
    <w:rsid w:val="00044B96"/>
    <w:rsid w:val="00045432"/>
    <w:rsid w:val="00045B34"/>
    <w:rsid w:val="00045EB7"/>
    <w:rsid w:val="00045FE9"/>
    <w:rsid w:val="00046016"/>
    <w:rsid w:val="00046B18"/>
    <w:rsid w:val="00047A39"/>
    <w:rsid w:val="00047EE0"/>
    <w:rsid w:val="000501D6"/>
    <w:rsid w:val="00050257"/>
    <w:rsid w:val="00050E20"/>
    <w:rsid w:val="00051212"/>
    <w:rsid w:val="00051C35"/>
    <w:rsid w:val="00051DC3"/>
    <w:rsid w:val="000524C0"/>
    <w:rsid w:val="000524DA"/>
    <w:rsid w:val="000529B9"/>
    <w:rsid w:val="00052ABB"/>
    <w:rsid w:val="00052B99"/>
    <w:rsid w:val="00052F4C"/>
    <w:rsid w:val="00053602"/>
    <w:rsid w:val="0005398F"/>
    <w:rsid w:val="00053A12"/>
    <w:rsid w:val="00054000"/>
    <w:rsid w:val="00054C14"/>
    <w:rsid w:val="0005576F"/>
    <w:rsid w:val="00055843"/>
    <w:rsid w:val="00055E54"/>
    <w:rsid w:val="000563D8"/>
    <w:rsid w:val="000568BE"/>
    <w:rsid w:val="000569D5"/>
    <w:rsid w:val="0005720C"/>
    <w:rsid w:val="00057A88"/>
    <w:rsid w:val="000601A3"/>
    <w:rsid w:val="0006025B"/>
    <w:rsid w:val="00060AAF"/>
    <w:rsid w:val="00060B66"/>
    <w:rsid w:val="00060D83"/>
    <w:rsid w:val="00060DB9"/>
    <w:rsid w:val="00060E5B"/>
    <w:rsid w:val="000612CD"/>
    <w:rsid w:val="00061875"/>
    <w:rsid w:val="00061A16"/>
    <w:rsid w:val="00061A53"/>
    <w:rsid w:val="0006283A"/>
    <w:rsid w:val="00063471"/>
    <w:rsid w:val="0006438C"/>
    <w:rsid w:val="000646A2"/>
    <w:rsid w:val="00065376"/>
    <w:rsid w:val="000654D5"/>
    <w:rsid w:val="00065578"/>
    <w:rsid w:val="000656A8"/>
    <w:rsid w:val="00066087"/>
    <w:rsid w:val="00066170"/>
    <w:rsid w:val="000661C6"/>
    <w:rsid w:val="00066C95"/>
    <w:rsid w:val="00067010"/>
    <w:rsid w:val="00067075"/>
    <w:rsid w:val="000672C2"/>
    <w:rsid w:val="000679E6"/>
    <w:rsid w:val="00067E9C"/>
    <w:rsid w:val="00070988"/>
    <w:rsid w:val="00071395"/>
    <w:rsid w:val="00071742"/>
    <w:rsid w:val="00071F4C"/>
    <w:rsid w:val="00072B87"/>
    <w:rsid w:val="00072EE9"/>
    <w:rsid w:val="00072EFE"/>
    <w:rsid w:val="00072F3C"/>
    <w:rsid w:val="00073170"/>
    <w:rsid w:val="00073313"/>
    <w:rsid w:val="0007399A"/>
    <w:rsid w:val="0007412F"/>
    <w:rsid w:val="00074785"/>
    <w:rsid w:val="00074B11"/>
    <w:rsid w:val="00074FD2"/>
    <w:rsid w:val="00075483"/>
    <w:rsid w:val="00075750"/>
    <w:rsid w:val="0007592D"/>
    <w:rsid w:val="000762BB"/>
    <w:rsid w:val="00076561"/>
    <w:rsid w:val="00076FFF"/>
    <w:rsid w:val="000774D7"/>
    <w:rsid w:val="00077B76"/>
    <w:rsid w:val="00077C0A"/>
    <w:rsid w:val="00077C6B"/>
    <w:rsid w:val="000825D0"/>
    <w:rsid w:val="0008286D"/>
    <w:rsid w:val="00082946"/>
    <w:rsid w:val="000835F3"/>
    <w:rsid w:val="000836B1"/>
    <w:rsid w:val="00084238"/>
    <w:rsid w:val="00084A92"/>
    <w:rsid w:val="00084EA6"/>
    <w:rsid w:val="000854EB"/>
    <w:rsid w:val="00086053"/>
    <w:rsid w:val="00086359"/>
    <w:rsid w:val="00086576"/>
    <w:rsid w:val="0008698C"/>
    <w:rsid w:val="000869C5"/>
    <w:rsid w:val="00086A85"/>
    <w:rsid w:val="0008739F"/>
    <w:rsid w:val="000878C8"/>
    <w:rsid w:val="000903AF"/>
    <w:rsid w:val="00090E7F"/>
    <w:rsid w:val="0009124E"/>
    <w:rsid w:val="000917F2"/>
    <w:rsid w:val="0009224D"/>
    <w:rsid w:val="00092530"/>
    <w:rsid w:val="0009270E"/>
    <w:rsid w:val="000929BF"/>
    <w:rsid w:val="00092BE9"/>
    <w:rsid w:val="00093D50"/>
    <w:rsid w:val="00094780"/>
    <w:rsid w:val="00094E86"/>
    <w:rsid w:val="00094EBE"/>
    <w:rsid w:val="000954DB"/>
    <w:rsid w:val="000957BD"/>
    <w:rsid w:val="00095A91"/>
    <w:rsid w:val="00095DF1"/>
    <w:rsid w:val="00096533"/>
    <w:rsid w:val="00096C63"/>
    <w:rsid w:val="00096F68"/>
    <w:rsid w:val="00097489"/>
    <w:rsid w:val="0009790E"/>
    <w:rsid w:val="00097972"/>
    <w:rsid w:val="00097B85"/>
    <w:rsid w:val="000A005A"/>
    <w:rsid w:val="000A030D"/>
    <w:rsid w:val="000A049A"/>
    <w:rsid w:val="000A0EE7"/>
    <w:rsid w:val="000A168F"/>
    <w:rsid w:val="000A1A13"/>
    <w:rsid w:val="000A1F9F"/>
    <w:rsid w:val="000A1FCD"/>
    <w:rsid w:val="000A22F9"/>
    <w:rsid w:val="000A3266"/>
    <w:rsid w:val="000A364A"/>
    <w:rsid w:val="000A3C52"/>
    <w:rsid w:val="000A3F88"/>
    <w:rsid w:val="000A4F2B"/>
    <w:rsid w:val="000A526B"/>
    <w:rsid w:val="000A5639"/>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BA1"/>
    <w:rsid w:val="000B7BC5"/>
    <w:rsid w:val="000B7E3C"/>
    <w:rsid w:val="000C040E"/>
    <w:rsid w:val="000C057F"/>
    <w:rsid w:val="000C08F0"/>
    <w:rsid w:val="000C0D8C"/>
    <w:rsid w:val="000C1324"/>
    <w:rsid w:val="000C1730"/>
    <w:rsid w:val="000C1F73"/>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A01"/>
    <w:rsid w:val="000C715F"/>
    <w:rsid w:val="000C78C4"/>
    <w:rsid w:val="000D0012"/>
    <w:rsid w:val="000D05F7"/>
    <w:rsid w:val="000D0BD3"/>
    <w:rsid w:val="000D13A7"/>
    <w:rsid w:val="000D187A"/>
    <w:rsid w:val="000D1E07"/>
    <w:rsid w:val="000D1E8E"/>
    <w:rsid w:val="000D2001"/>
    <w:rsid w:val="000D2462"/>
    <w:rsid w:val="000D2A20"/>
    <w:rsid w:val="000D2A63"/>
    <w:rsid w:val="000D2D79"/>
    <w:rsid w:val="000D2E16"/>
    <w:rsid w:val="000D30DB"/>
    <w:rsid w:val="000D3220"/>
    <w:rsid w:val="000D3308"/>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102E"/>
    <w:rsid w:val="000E103F"/>
    <w:rsid w:val="000E11A0"/>
    <w:rsid w:val="000E1634"/>
    <w:rsid w:val="000E1A01"/>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BD3"/>
    <w:rsid w:val="000E4EA1"/>
    <w:rsid w:val="000E5262"/>
    <w:rsid w:val="000E5666"/>
    <w:rsid w:val="000E5EB1"/>
    <w:rsid w:val="000E5EF3"/>
    <w:rsid w:val="000E61E6"/>
    <w:rsid w:val="000E6428"/>
    <w:rsid w:val="000E656A"/>
    <w:rsid w:val="000E685F"/>
    <w:rsid w:val="000E6878"/>
    <w:rsid w:val="000E6A0D"/>
    <w:rsid w:val="000E6C9B"/>
    <w:rsid w:val="000E7781"/>
    <w:rsid w:val="000E7C70"/>
    <w:rsid w:val="000E7ED1"/>
    <w:rsid w:val="000F01C0"/>
    <w:rsid w:val="000F0786"/>
    <w:rsid w:val="000F0987"/>
    <w:rsid w:val="000F09FB"/>
    <w:rsid w:val="000F0B55"/>
    <w:rsid w:val="000F0CD5"/>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5B6"/>
    <w:rsid w:val="000F5AFD"/>
    <w:rsid w:val="000F63E2"/>
    <w:rsid w:val="000F6897"/>
    <w:rsid w:val="000F6CAA"/>
    <w:rsid w:val="000F7AC5"/>
    <w:rsid w:val="000F7BD3"/>
    <w:rsid w:val="000F7F31"/>
    <w:rsid w:val="001000B4"/>
    <w:rsid w:val="00100ACB"/>
    <w:rsid w:val="00101425"/>
    <w:rsid w:val="00101BDD"/>
    <w:rsid w:val="00102115"/>
    <w:rsid w:val="00102F89"/>
    <w:rsid w:val="0010361D"/>
    <w:rsid w:val="001038D6"/>
    <w:rsid w:val="00104357"/>
    <w:rsid w:val="00104725"/>
    <w:rsid w:val="001051F1"/>
    <w:rsid w:val="00106C2B"/>
    <w:rsid w:val="00106F24"/>
    <w:rsid w:val="00106F54"/>
    <w:rsid w:val="00107937"/>
    <w:rsid w:val="00107F0C"/>
    <w:rsid w:val="00107F0F"/>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7092"/>
    <w:rsid w:val="0011715D"/>
    <w:rsid w:val="001177B4"/>
    <w:rsid w:val="00117838"/>
    <w:rsid w:val="00117C6F"/>
    <w:rsid w:val="001209DB"/>
    <w:rsid w:val="001211A3"/>
    <w:rsid w:val="001216F5"/>
    <w:rsid w:val="0012177D"/>
    <w:rsid w:val="001223E5"/>
    <w:rsid w:val="00123274"/>
    <w:rsid w:val="00123518"/>
    <w:rsid w:val="00123E4A"/>
    <w:rsid w:val="00124061"/>
    <w:rsid w:val="0012407A"/>
    <w:rsid w:val="001246A7"/>
    <w:rsid w:val="0012493C"/>
    <w:rsid w:val="00124EDD"/>
    <w:rsid w:val="001257D3"/>
    <w:rsid w:val="00125869"/>
    <w:rsid w:val="00125A1D"/>
    <w:rsid w:val="00125B44"/>
    <w:rsid w:val="00126651"/>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E6"/>
    <w:rsid w:val="00133D1F"/>
    <w:rsid w:val="00133F3B"/>
    <w:rsid w:val="00133F8F"/>
    <w:rsid w:val="00134308"/>
    <w:rsid w:val="00134391"/>
    <w:rsid w:val="0013439A"/>
    <w:rsid w:val="0013462E"/>
    <w:rsid w:val="00134AC0"/>
    <w:rsid w:val="00135259"/>
    <w:rsid w:val="001353A7"/>
    <w:rsid w:val="00135880"/>
    <w:rsid w:val="00135D68"/>
    <w:rsid w:val="00135DCE"/>
    <w:rsid w:val="0013642A"/>
    <w:rsid w:val="00136940"/>
    <w:rsid w:val="001369DD"/>
    <w:rsid w:val="00136E0C"/>
    <w:rsid w:val="00137178"/>
    <w:rsid w:val="00137985"/>
    <w:rsid w:val="00137BD9"/>
    <w:rsid w:val="001405DA"/>
    <w:rsid w:val="0014082E"/>
    <w:rsid w:val="001416ED"/>
    <w:rsid w:val="0014204B"/>
    <w:rsid w:val="001422AC"/>
    <w:rsid w:val="00143261"/>
    <w:rsid w:val="00143F76"/>
    <w:rsid w:val="001448A4"/>
    <w:rsid w:val="00144BBF"/>
    <w:rsid w:val="00144D93"/>
    <w:rsid w:val="00145F0E"/>
    <w:rsid w:val="00145F5C"/>
    <w:rsid w:val="0014667B"/>
    <w:rsid w:val="00146976"/>
    <w:rsid w:val="00146B63"/>
    <w:rsid w:val="00147317"/>
    <w:rsid w:val="001476A4"/>
    <w:rsid w:val="00147DCD"/>
    <w:rsid w:val="00150824"/>
    <w:rsid w:val="00150F6D"/>
    <w:rsid w:val="001518E3"/>
    <w:rsid w:val="00152417"/>
    <w:rsid w:val="00152D34"/>
    <w:rsid w:val="001530B6"/>
    <w:rsid w:val="0015408C"/>
    <w:rsid w:val="001549BC"/>
    <w:rsid w:val="00154F47"/>
    <w:rsid w:val="0015503F"/>
    <w:rsid w:val="001550D8"/>
    <w:rsid w:val="00155188"/>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4B8"/>
    <w:rsid w:val="001630E4"/>
    <w:rsid w:val="00163709"/>
    <w:rsid w:val="00163C49"/>
    <w:rsid w:val="001641C1"/>
    <w:rsid w:val="0016438F"/>
    <w:rsid w:val="00164B8E"/>
    <w:rsid w:val="00164E35"/>
    <w:rsid w:val="00164EC0"/>
    <w:rsid w:val="00164F87"/>
    <w:rsid w:val="0016527B"/>
    <w:rsid w:val="00165291"/>
    <w:rsid w:val="00165295"/>
    <w:rsid w:val="001658D4"/>
    <w:rsid w:val="00165D86"/>
    <w:rsid w:val="00165E46"/>
    <w:rsid w:val="00165FAA"/>
    <w:rsid w:val="0016714F"/>
    <w:rsid w:val="001672DB"/>
    <w:rsid w:val="001675D2"/>
    <w:rsid w:val="00167E0E"/>
    <w:rsid w:val="00170347"/>
    <w:rsid w:val="00170488"/>
    <w:rsid w:val="00170811"/>
    <w:rsid w:val="001715CE"/>
    <w:rsid w:val="001719C3"/>
    <w:rsid w:val="00171CF8"/>
    <w:rsid w:val="0017279F"/>
    <w:rsid w:val="00172818"/>
    <w:rsid w:val="00172971"/>
    <w:rsid w:val="00172B9F"/>
    <w:rsid w:val="00172CDE"/>
    <w:rsid w:val="001736FC"/>
    <w:rsid w:val="00173B0F"/>
    <w:rsid w:val="00173EC6"/>
    <w:rsid w:val="00174116"/>
    <w:rsid w:val="0017509E"/>
    <w:rsid w:val="001752B6"/>
    <w:rsid w:val="00175640"/>
    <w:rsid w:val="00175699"/>
    <w:rsid w:val="00175C06"/>
    <w:rsid w:val="00175C30"/>
    <w:rsid w:val="001760A0"/>
    <w:rsid w:val="001761EB"/>
    <w:rsid w:val="001768F5"/>
    <w:rsid w:val="00176A52"/>
    <w:rsid w:val="00177308"/>
    <w:rsid w:val="00177961"/>
    <w:rsid w:val="001779BF"/>
    <w:rsid w:val="001818E6"/>
    <w:rsid w:val="00181934"/>
    <w:rsid w:val="0018197E"/>
    <w:rsid w:val="00181C40"/>
    <w:rsid w:val="00182110"/>
    <w:rsid w:val="0018229A"/>
    <w:rsid w:val="001825C1"/>
    <w:rsid w:val="0018298B"/>
    <w:rsid w:val="00182A95"/>
    <w:rsid w:val="00182E72"/>
    <w:rsid w:val="00182E84"/>
    <w:rsid w:val="001831FF"/>
    <w:rsid w:val="001834A0"/>
    <w:rsid w:val="001836CF"/>
    <w:rsid w:val="001838D9"/>
    <w:rsid w:val="00183D13"/>
    <w:rsid w:val="00187219"/>
    <w:rsid w:val="00187EA3"/>
    <w:rsid w:val="0019028A"/>
    <w:rsid w:val="0019034B"/>
    <w:rsid w:val="00191114"/>
    <w:rsid w:val="0019232E"/>
    <w:rsid w:val="00192A6A"/>
    <w:rsid w:val="00192B71"/>
    <w:rsid w:val="00192C98"/>
    <w:rsid w:val="0019318B"/>
    <w:rsid w:val="00193237"/>
    <w:rsid w:val="001935F2"/>
    <w:rsid w:val="00193D87"/>
    <w:rsid w:val="00193EEE"/>
    <w:rsid w:val="00194587"/>
    <w:rsid w:val="00194D80"/>
    <w:rsid w:val="0019563D"/>
    <w:rsid w:val="00195794"/>
    <w:rsid w:val="00195BC7"/>
    <w:rsid w:val="00195C41"/>
    <w:rsid w:val="00195F2C"/>
    <w:rsid w:val="0019688E"/>
    <w:rsid w:val="00196B5F"/>
    <w:rsid w:val="001972D7"/>
    <w:rsid w:val="00197EAE"/>
    <w:rsid w:val="001A007C"/>
    <w:rsid w:val="001A05C6"/>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EE3"/>
    <w:rsid w:val="001A52BF"/>
    <w:rsid w:val="001A557C"/>
    <w:rsid w:val="001A5CBB"/>
    <w:rsid w:val="001A5D59"/>
    <w:rsid w:val="001A5D76"/>
    <w:rsid w:val="001A686D"/>
    <w:rsid w:val="001A6B2F"/>
    <w:rsid w:val="001A6B84"/>
    <w:rsid w:val="001A6CC4"/>
    <w:rsid w:val="001A7564"/>
    <w:rsid w:val="001A76BC"/>
    <w:rsid w:val="001A7BD8"/>
    <w:rsid w:val="001A7E84"/>
    <w:rsid w:val="001B024B"/>
    <w:rsid w:val="001B0255"/>
    <w:rsid w:val="001B06B1"/>
    <w:rsid w:val="001B0A47"/>
    <w:rsid w:val="001B0C01"/>
    <w:rsid w:val="001B0F49"/>
    <w:rsid w:val="001B1348"/>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C71"/>
    <w:rsid w:val="001B3D1F"/>
    <w:rsid w:val="001B3D53"/>
    <w:rsid w:val="001B3EC2"/>
    <w:rsid w:val="001B4255"/>
    <w:rsid w:val="001B45E6"/>
    <w:rsid w:val="001B4BC1"/>
    <w:rsid w:val="001B4C08"/>
    <w:rsid w:val="001B5A91"/>
    <w:rsid w:val="001B600A"/>
    <w:rsid w:val="001B6257"/>
    <w:rsid w:val="001B72B3"/>
    <w:rsid w:val="001B77A3"/>
    <w:rsid w:val="001B7DDE"/>
    <w:rsid w:val="001B7F46"/>
    <w:rsid w:val="001C0630"/>
    <w:rsid w:val="001C0CA3"/>
    <w:rsid w:val="001C118E"/>
    <w:rsid w:val="001C1894"/>
    <w:rsid w:val="001C2449"/>
    <w:rsid w:val="001C27AB"/>
    <w:rsid w:val="001C27D1"/>
    <w:rsid w:val="001C2D5C"/>
    <w:rsid w:val="001C2F74"/>
    <w:rsid w:val="001C308C"/>
    <w:rsid w:val="001C32A1"/>
    <w:rsid w:val="001C32BB"/>
    <w:rsid w:val="001C379F"/>
    <w:rsid w:val="001C4205"/>
    <w:rsid w:val="001C420A"/>
    <w:rsid w:val="001C4CF6"/>
    <w:rsid w:val="001C4E0F"/>
    <w:rsid w:val="001C5616"/>
    <w:rsid w:val="001C56E2"/>
    <w:rsid w:val="001C590E"/>
    <w:rsid w:val="001C640D"/>
    <w:rsid w:val="001C64F7"/>
    <w:rsid w:val="001C6A86"/>
    <w:rsid w:val="001C6E24"/>
    <w:rsid w:val="001C6F8C"/>
    <w:rsid w:val="001C6FCC"/>
    <w:rsid w:val="001C7E04"/>
    <w:rsid w:val="001D20DC"/>
    <w:rsid w:val="001D21C3"/>
    <w:rsid w:val="001D363D"/>
    <w:rsid w:val="001D3650"/>
    <w:rsid w:val="001D3F02"/>
    <w:rsid w:val="001D3F30"/>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14AA"/>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6A4"/>
    <w:rsid w:val="001E5859"/>
    <w:rsid w:val="001E67ED"/>
    <w:rsid w:val="001E67FD"/>
    <w:rsid w:val="001E77FE"/>
    <w:rsid w:val="001E7862"/>
    <w:rsid w:val="001E7A44"/>
    <w:rsid w:val="001F0277"/>
    <w:rsid w:val="001F028E"/>
    <w:rsid w:val="001F07D2"/>
    <w:rsid w:val="001F0B26"/>
    <w:rsid w:val="001F0CB4"/>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F00"/>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10085"/>
    <w:rsid w:val="002100EB"/>
    <w:rsid w:val="002104EF"/>
    <w:rsid w:val="0021075D"/>
    <w:rsid w:val="002107DA"/>
    <w:rsid w:val="00211DA5"/>
    <w:rsid w:val="00212D8E"/>
    <w:rsid w:val="00212FA1"/>
    <w:rsid w:val="00212FB1"/>
    <w:rsid w:val="00213996"/>
    <w:rsid w:val="00213ACF"/>
    <w:rsid w:val="00213AE6"/>
    <w:rsid w:val="0021474F"/>
    <w:rsid w:val="002150D0"/>
    <w:rsid w:val="0021517F"/>
    <w:rsid w:val="002158B1"/>
    <w:rsid w:val="00215A50"/>
    <w:rsid w:val="00215D15"/>
    <w:rsid w:val="00215D4B"/>
    <w:rsid w:val="00215F99"/>
    <w:rsid w:val="00216056"/>
    <w:rsid w:val="00216110"/>
    <w:rsid w:val="002164DF"/>
    <w:rsid w:val="00216547"/>
    <w:rsid w:val="00216B6A"/>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33C"/>
    <w:rsid w:val="00223724"/>
    <w:rsid w:val="00223912"/>
    <w:rsid w:val="00223916"/>
    <w:rsid w:val="0022392C"/>
    <w:rsid w:val="00223937"/>
    <w:rsid w:val="00223A5B"/>
    <w:rsid w:val="00223EF6"/>
    <w:rsid w:val="002241C9"/>
    <w:rsid w:val="002244B5"/>
    <w:rsid w:val="002248A6"/>
    <w:rsid w:val="00224E4D"/>
    <w:rsid w:val="002250D2"/>
    <w:rsid w:val="00225344"/>
    <w:rsid w:val="0022535F"/>
    <w:rsid w:val="00225392"/>
    <w:rsid w:val="0022552F"/>
    <w:rsid w:val="00225856"/>
    <w:rsid w:val="00225963"/>
    <w:rsid w:val="002265DF"/>
    <w:rsid w:val="00226CAF"/>
    <w:rsid w:val="00226EB1"/>
    <w:rsid w:val="002270A3"/>
    <w:rsid w:val="00227F1B"/>
    <w:rsid w:val="00230961"/>
    <w:rsid w:val="00230DC6"/>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452A"/>
    <w:rsid w:val="002447C8"/>
    <w:rsid w:val="00244C5D"/>
    <w:rsid w:val="00245266"/>
    <w:rsid w:val="00246226"/>
    <w:rsid w:val="002462C1"/>
    <w:rsid w:val="0024649B"/>
    <w:rsid w:val="0024678F"/>
    <w:rsid w:val="002467A2"/>
    <w:rsid w:val="0024689B"/>
    <w:rsid w:val="00247339"/>
    <w:rsid w:val="00247931"/>
    <w:rsid w:val="00247A14"/>
    <w:rsid w:val="00247AF4"/>
    <w:rsid w:val="00250599"/>
    <w:rsid w:val="00251624"/>
    <w:rsid w:val="0025185A"/>
    <w:rsid w:val="00251FFA"/>
    <w:rsid w:val="0025247E"/>
    <w:rsid w:val="00252521"/>
    <w:rsid w:val="00253177"/>
    <w:rsid w:val="00253478"/>
    <w:rsid w:val="00253DA1"/>
    <w:rsid w:val="00253DD9"/>
    <w:rsid w:val="00253E0A"/>
    <w:rsid w:val="00253ECC"/>
    <w:rsid w:val="002552B3"/>
    <w:rsid w:val="002553CC"/>
    <w:rsid w:val="002560D3"/>
    <w:rsid w:val="002569A8"/>
    <w:rsid w:val="00256F03"/>
    <w:rsid w:val="00257388"/>
    <w:rsid w:val="00257469"/>
    <w:rsid w:val="002576E6"/>
    <w:rsid w:val="00260111"/>
    <w:rsid w:val="00260412"/>
    <w:rsid w:val="00261487"/>
    <w:rsid w:val="00261CA8"/>
    <w:rsid w:val="00261D1B"/>
    <w:rsid w:val="00261E1C"/>
    <w:rsid w:val="00261F22"/>
    <w:rsid w:val="002621EE"/>
    <w:rsid w:val="00262265"/>
    <w:rsid w:val="002627DD"/>
    <w:rsid w:val="00262989"/>
    <w:rsid w:val="00262E39"/>
    <w:rsid w:val="0026312F"/>
    <w:rsid w:val="0026381E"/>
    <w:rsid w:val="00263A3D"/>
    <w:rsid w:val="00263FBA"/>
    <w:rsid w:val="002640EC"/>
    <w:rsid w:val="002643B5"/>
    <w:rsid w:val="00265A7A"/>
    <w:rsid w:val="00265DFA"/>
    <w:rsid w:val="00265E0B"/>
    <w:rsid w:val="00266538"/>
    <w:rsid w:val="00266775"/>
    <w:rsid w:val="0026687E"/>
    <w:rsid w:val="002674E7"/>
    <w:rsid w:val="00267748"/>
    <w:rsid w:val="002679AA"/>
    <w:rsid w:val="00267E7F"/>
    <w:rsid w:val="002709AD"/>
    <w:rsid w:val="00270D08"/>
    <w:rsid w:val="0027102C"/>
    <w:rsid w:val="0027122D"/>
    <w:rsid w:val="00271E32"/>
    <w:rsid w:val="0027238E"/>
    <w:rsid w:val="00272475"/>
    <w:rsid w:val="00272AD9"/>
    <w:rsid w:val="00272C53"/>
    <w:rsid w:val="0027344E"/>
    <w:rsid w:val="002736E7"/>
    <w:rsid w:val="002739E0"/>
    <w:rsid w:val="00274061"/>
    <w:rsid w:val="00274357"/>
    <w:rsid w:val="00274565"/>
    <w:rsid w:val="0027470A"/>
    <w:rsid w:val="00274D2C"/>
    <w:rsid w:val="00274FA4"/>
    <w:rsid w:val="002757CE"/>
    <w:rsid w:val="00275B43"/>
    <w:rsid w:val="00275C25"/>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EB0"/>
    <w:rsid w:val="002830AC"/>
    <w:rsid w:val="002831CB"/>
    <w:rsid w:val="002832C3"/>
    <w:rsid w:val="0028355B"/>
    <w:rsid w:val="00283E59"/>
    <w:rsid w:val="00283EB5"/>
    <w:rsid w:val="002840AC"/>
    <w:rsid w:val="0028478A"/>
    <w:rsid w:val="00284DA1"/>
    <w:rsid w:val="00285DF7"/>
    <w:rsid w:val="0028643E"/>
    <w:rsid w:val="00286449"/>
    <w:rsid w:val="00286A0F"/>
    <w:rsid w:val="00287650"/>
    <w:rsid w:val="00287BF8"/>
    <w:rsid w:val="00287D1C"/>
    <w:rsid w:val="00290022"/>
    <w:rsid w:val="002900F1"/>
    <w:rsid w:val="0029059A"/>
    <w:rsid w:val="00290A69"/>
    <w:rsid w:val="00290AE7"/>
    <w:rsid w:val="00290DCE"/>
    <w:rsid w:val="00291D78"/>
    <w:rsid w:val="002924B2"/>
    <w:rsid w:val="002927CD"/>
    <w:rsid w:val="0029336F"/>
    <w:rsid w:val="00293A4A"/>
    <w:rsid w:val="00293B66"/>
    <w:rsid w:val="002940C9"/>
    <w:rsid w:val="002945EE"/>
    <w:rsid w:val="00295389"/>
    <w:rsid w:val="002954F5"/>
    <w:rsid w:val="00295709"/>
    <w:rsid w:val="00295999"/>
    <w:rsid w:val="00295D05"/>
    <w:rsid w:val="00295E54"/>
    <w:rsid w:val="00296934"/>
    <w:rsid w:val="00296DAC"/>
    <w:rsid w:val="00296E5B"/>
    <w:rsid w:val="00296FD5"/>
    <w:rsid w:val="002978D3"/>
    <w:rsid w:val="00297AF6"/>
    <w:rsid w:val="00297F64"/>
    <w:rsid w:val="00297FAA"/>
    <w:rsid w:val="002A06C2"/>
    <w:rsid w:val="002A0703"/>
    <w:rsid w:val="002A08B0"/>
    <w:rsid w:val="002A0E8E"/>
    <w:rsid w:val="002A15A9"/>
    <w:rsid w:val="002A1BEA"/>
    <w:rsid w:val="002A1ECB"/>
    <w:rsid w:val="002A276B"/>
    <w:rsid w:val="002A278E"/>
    <w:rsid w:val="002A2CF0"/>
    <w:rsid w:val="002A34D5"/>
    <w:rsid w:val="002A3736"/>
    <w:rsid w:val="002A4481"/>
    <w:rsid w:val="002A4F63"/>
    <w:rsid w:val="002A5507"/>
    <w:rsid w:val="002A5FC3"/>
    <w:rsid w:val="002A6039"/>
    <w:rsid w:val="002A6841"/>
    <w:rsid w:val="002A7360"/>
    <w:rsid w:val="002A751B"/>
    <w:rsid w:val="002A7794"/>
    <w:rsid w:val="002A7AA4"/>
    <w:rsid w:val="002A7AA8"/>
    <w:rsid w:val="002A7E4E"/>
    <w:rsid w:val="002A7F72"/>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D30"/>
    <w:rsid w:val="002C2563"/>
    <w:rsid w:val="002C27B5"/>
    <w:rsid w:val="002C28D7"/>
    <w:rsid w:val="002C2E5F"/>
    <w:rsid w:val="002C2F62"/>
    <w:rsid w:val="002C2F6B"/>
    <w:rsid w:val="002C35D4"/>
    <w:rsid w:val="002C3607"/>
    <w:rsid w:val="002C3A44"/>
    <w:rsid w:val="002C47EF"/>
    <w:rsid w:val="002C4913"/>
    <w:rsid w:val="002C4CA4"/>
    <w:rsid w:val="002C4DA9"/>
    <w:rsid w:val="002C521F"/>
    <w:rsid w:val="002C5C0B"/>
    <w:rsid w:val="002C61B3"/>
    <w:rsid w:val="002C6815"/>
    <w:rsid w:val="002C6E9B"/>
    <w:rsid w:val="002C70DD"/>
    <w:rsid w:val="002C71B1"/>
    <w:rsid w:val="002C7E07"/>
    <w:rsid w:val="002D00EC"/>
    <w:rsid w:val="002D07E8"/>
    <w:rsid w:val="002D0C9F"/>
    <w:rsid w:val="002D1AA4"/>
    <w:rsid w:val="002D3044"/>
    <w:rsid w:val="002D3A18"/>
    <w:rsid w:val="002D42DC"/>
    <w:rsid w:val="002D4942"/>
    <w:rsid w:val="002D49C2"/>
    <w:rsid w:val="002D4E07"/>
    <w:rsid w:val="002D4FDD"/>
    <w:rsid w:val="002D4FE2"/>
    <w:rsid w:val="002D671F"/>
    <w:rsid w:val="002D7746"/>
    <w:rsid w:val="002D78AC"/>
    <w:rsid w:val="002E0132"/>
    <w:rsid w:val="002E0813"/>
    <w:rsid w:val="002E0826"/>
    <w:rsid w:val="002E0C3E"/>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75C"/>
    <w:rsid w:val="002F0A32"/>
    <w:rsid w:val="002F1150"/>
    <w:rsid w:val="002F1169"/>
    <w:rsid w:val="002F1739"/>
    <w:rsid w:val="002F1E1A"/>
    <w:rsid w:val="002F1FFF"/>
    <w:rsid w:val="002F215F"/>
    <w:rsid w:val="002F2454"/>
    <w:rsid w:val="002F2BFD"/>
    <w:rsid w:val="002F2CD9"/>
    <w:rsid w:val="002F2DB4"/>
    <w:rsid w:val="002F35E2"/>
    <w:rsid w:val="002F3849"/>
    <w:rsid w:val="002F3AAB"/>
    <w:rsid w:val="002F448B"/>
    <w:rsid w:val="002F4B14"/>
    <w:rsid w:val="002F52B3"/>
    <w:rsid w:val="002F5996"/>
    <w:rsid w:val="002F624A"/>
    <w:rsid w:val="002F64D0"/>
    <w:rsid w:val="002F66E3"/>
    <w:rsid w:val="002F720D"/>
    <w:rsid w:val="002F73C5"/>
    <w:rsid w:val="002F77EA"/>
    <w:rsid w:val="002F7C25"/>
    <w:rsid w:val="0030009A"/>
    <w:rsid w:val="00300357"/>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542E"/>
    <w:rsid w:val="003056A2"/>
    <w:rsid w:val="003057C6"/>
    <w:rsid w:val="00305895"/>
    <w:rsid w:val="003058FB"/>
    <w:rsid w:val="0030592B"/>
    <w:rsid w:val="00306005"/>
    <w:rsid w:val="003061C0"/>
    <w:rsid w:val="00306911"/>
    <w:rsid w:val="00307180"/>
    <w:rsid w:val="00307F52"/>
    <w:rsid w:val="003100AD"/>
    <w:rsid w:val="003105D2"/>
    <w:rsid w:val="003109E9"/>
    <w:rsid w:val="00311B9A"/>
    <w:rsid w:val="0031204D"/>
    <w:rsid w:val="00312074"/>
    <w:rsid w:val="00312494"/>
    <w:rsid w:val="003127DF"/>
    <w:rsid w:val="00312DCC"/>
    <w:rsid w:val="003154F9"/>
    <w:rsid w:val="00315AE7"/>
    <w:rsid w:val="00315BBB"/>
    <w:rsid w:val="00315BEB"/>
    <w:rsid w:val="00315C24"/>
    <w:rsid w:val="00315DB3"/>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CB"/>
    <w:rsid w:val="00324317"/>
    <w:rsid w:val="00324C7B"/>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A46"/>
    <w:rsid w:val="00331E2B"/>
    <w:rsid w:val="00332719"/>
    <w:rsid w:val="00333E3C"/>
    <w:rsid w:val="00334837"/>
    <w:rsid w:val="0033490B"/>
    <w:rsid w:val="00336B45"/>
    <w:rsid w:val="00336FC5"/>
    <w:rsid w:val="00337011"/>
    <w:rsid w:val="003372C5"/>
    <w:rsid w:val="00337632"/>
    <w:rsid w:val="003377F9"/>
    <w:rsid w:val="003379D9"/>
    <w:rsid w:val="00337CD6"/>
    <w:rsid w:val="00337F98"/>
    <w:rsid w:val="0034101C"/>
    <w:rsid w:val="00341315"/>
    <w:rsid w:val="00342627"/>
    <w:rsid w:val="00342790"/>
    <w:rsid w:val="00342B5E"/>
    <w:rsid w:val="0034306F"/>
    <w:rsid w:val="00343AF4"/>
    <w:rsid w:val="00343E71"/>
    <w:rsid w:val="0034404A"/>
    <w:rsid w:val="00344526"/>
    <w:rsid w:val="00344590"/>
    <w:rsid w:val="00344743"/>
    <w:rsid w:val="003449BE"/>
    <w:rsid w:val="0034549A"/>
    <w:rsid w:val="00345549"/>
    <w:rsid w:val="00345AEF"/>
    <w:rsid w:val="00345FEE"/>
    <w:rsid w:val="003468AF"/>
    <w:rsid w:val="00346CD6"/>
    <w:rsid w:val="00346CF5"/>
    <w:rsid w:val="00347162"/>
    <w:rsid w:val="0034720A"/>
    <w:rsid w:val="0034763A"/>
    <w:rsid w:val="00350325"/>
    <w:rsid w:val="00350482"/>
    <w:rsid w:val="00350859"/>
    <w:rsid w:val="0035117F"/>
    <w:rsid w:val="003513C8"/>
    <w:rsid w:val="00351C56"/>
    <w:rsid w:val="00352119"/>
    <w:rsid w:val="003521F5"/>
    <w:rsid w:val="0035255D"/>
    <w:rsid w:val="003526EC"/>
    <w:rsid w:val="00352CAD"/>
    <w:rsid w:val="00353371"/>
    <w:rsid w:val="00353446"/>
    <w:rsid w:val="00353C1E"/>
    <w:rsid w:val="0035403A"/>
    <w:rsid w:val="003540E9"/>
    <w:rsid w:val="003540ED"/>
    <w:rsid w:val="003541B9"/>
    <w:rsid w:val="0035437E"/>
    <w:rsid w:val="003543ED"/>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EA4"/>
    <w:rsid w:val="003617D3"/>
    <w:rsid w:val="00361EAC"/>
    <w:rsid w:val="0036494E"/>
    <w:rsid w:val="003649EA"/>
    <w:rsid w:val="003652D5"/>
    <w:rsid w:val="003653F9"/>
    <w:rsid w:val="00365989"/>
    <w:rsid w:val="00366203"/>
    <w:rsid w:val="0036673C"/>
    <w:rsid w:val="003668EC"/>
    <w:rsid w:val="00366E11"/>
    <w:rsid w:val="0036765B"/>
    <w:rsid w:val="00367B36"/>
    <w:rsid w:val="00370430"/>
    <w:rsid w:val="00370EE1"/>
    <w:rsid w:val="00370F7F"/>
    <w:rsid w:val="003715E0"/>
    <w:rsid w:val="00371A19"/>
    <w:rsid w:val="00371AB5"/>
    <w:rsid w:val="0037201E"/>
    <w:rsid w:val="00372432"/>
    <w:rsid w:val="00372802"/>
    <w:rsid w:val="003732AE"/>
    <w:rsid w:val="003733E7"/>
    <w:rsid w:val="00373F5D"/>
    <w:rsid w:val="00374579"/>
    <w:rsid w:val="003747C8"/>
    <w:rsid w:val="00375540"/>
    <w:rsid w:val="00375606"/>
    <w:rsid w:val="003759BD"/>
    <w:rsid w:val="003759E5"/>
    <w:rsid w:val="00375D76"/>
    <w:rsid w:val="00375E36"/>
    <w:rsid w:val="003761B9"/>
    <w:rsid w:val="0037645E"/>
    <w:rsid w:val="00377924"/>
    <w:rsid w:val="00377E05"/>
    <w:rsid w:val="0038020C"/>
    <w:rsid w:val="00380659"/>
    <w:rsid w:val="003809CB"/>
    <w:rsid w:val="00380C33"/>
    <w:rsid w:val="00381710"/>
    <w:rsid w:val="00381F75"/>
    <w:rsid w:val="00381F8D"/>
    <w:rsid w:val="003825E6"/>
    <w:rsid w:val="0038289D"/>
    <w:rsid w:val="00382CA3"/>
    <w:rsid w:val="003830AC"/>
    <w:rsid w:val="00383923"/>
    <w:rsid w:val="00384820"/>
    <w:rsid w:val="00384C4B"/>
    <w:rsid w:val="0038500C"/>
    <w:rsid w:val="0038514F"/>
    <w:rsid w:val="003852BC"/>
    <w:rsid w:val="003857A0"/>
    <w:rsid w:val="003857CF"/>
    <w:rsid w:val="00385DBF"/>
    <w:rsid w:val="003865CB"/>
    <w:rsid w:val="003868B2"/>
    <w:rsid w:val="00386902"/>
    <w:rsid w:val="00386B1B"/>
    <w:rsid w:val="00387813"/>
    <w:rsid w:val="00387BBA"/>
    <w:rsid w:val="00387CF1"/>
    <w:rsid w:val="00390C42"/>
    <w:rsid w:val="00391282"/>
    <w:rsid w:val="0039186B"/>
    <w:rsid w:val="003923FF"/>
    <w:rsid w:val="00392716"/>
    <w:rsid w:val="0039276C"/>
    <w:rsid w:val="003936C3"/>
    <w:rsid w:val="00393756"/>
    <w:rsid w:val="003940F2"/>
    <w:rsid w:val="0039435E"/>
    <w:rsid w:val="0039452E"/>
    <w:rsid w:val="003949E3"/>
    <w:rsid w:val="00394C1D"/>
    <w:rsid w:val="0039542F"/>
    <w:rsid w:val="00395BD7"/>
    <w:rsid w:val="003961D0"/>
    <w:rsid w:val="003962BF"/>
    <w:rsid w:val="003964F1"/>
    <w:rsid w:val="003966AD"/>
    <w:rsid w:val="003967CA"/>
    <w:rsid w:val="00396A7E"/>
    <w:rsid w:val="003973DA"/>
    <w:rsid w:val="00397953"/>
    <w:rsid w:val="00397991"/>
    <w:rsid w:val="00397C21"/>
    <w:rsid w:val="003A0478"/>
    <w:rsid w:val="003A1008"/>
    <w:rsid w:val="003A114D"/>
    <w:rsid w:val="003A11F7"/>
    <w:rsid w:val="003A21BA"/>
    <w:rsid w:val="003A236C"/>
    <w:rsid w:val="003A26C5"/>
    <w:rsid w:val="003A27C1"/>
    <w:rsid w:val="003A28C5"/>
    <w:rsid w:val="003A2C4D"/>
    <w:rsid w:val="003A2EB4"/>
    <w:rsid w:val="003A2F0B"/>
    <w:rsid w:val="003A4DA9"/>
    <w:rsid w:val="003A4FC8"/>
    <w:rsid w:val="003A54EB"/>
    <w:rsid w:val="003A584D"/>
    <w:rsid w:val="003A5A08"/>
    <w:rsid w:val="003A6488"/>
    <w:rsid w:val="003A6CC3"/>
    <w:rsid w:val="003A705F"/>
    <w:rsid w:val="003A7515"/>
    <w:rsid w:val="003A75C5"/>
    <w:rsid w:val="003A7ABF"/>
    <w:rsid w:val="003B0059"/>
    <w:rsid w:val="003B03D7"/>
    <w:rsid w:val="003B04D5"/>
    <w:rsid w:val="003B0693"/>
    <w:rsid w:val="003B1A27"/>
    <w:rsid w:val="003B1EA2"/>
    <w:rsid w:val="003B1FCD"/>
    <w:rsid w:val="003B2080"/>
    <w:rsid w:val="003B20BB"/>
    <w:rsid w:val="003B2316"/>
    <w:rsid w:val="003B24B3"/>
    <w:rsid w:val="003B2539"/>
    <w:rsid w:val="003B256E"/>
    <w:rsid w:val="003B2BF0"/>
    <w:rsid w:val="003B384E"/>
    <w:rsid w:val="003B3A1B"/>
    <w:rsid w:val="003B3BC6"/>
    <w:rsid w:val="003B49E1"/>
    <w:rsid w:val="003B4C97"/>
    <w:rsid w:val="003B4D90"/>
    <w:rsid w:val="003B4F23"/>
    <w:rsid w:val="003B4FED"/>
    <w:rsid w:val="003B5532"/>
    <w:rsid w:val="003B61FF"/>
    <w:rsid w:val="003B62AF"/>
    <w:rsid w:val="003B65AF"/>
    <w:rsid w:val="003B68E8"/>
    <w:rsid w:val="003B6A67"/>
    <w:rsid w:val="003B6C61"/>
    <w:rsid w:val="003B7084"/>
    <w:rsid w:val="003B7286"/>
    <w:rsid w:val="003C00BD"/>
    <w:rsid w:val="003C03AF"/>
    <w:rsid w:val="003C03C7"/>
    <w:rsid w:val="003C0DA1"/>
    <w:rsid w:val="003C0DDA"/>
    <w:rsid w:val="003C105A"/>
    <w:rsid w:val="003C1964"/>
    <w:rsid w:val="003C2672"/>
    <w:rsid w:val="003C2803"/>
    <w:rsid w:val="003C2957"/>
    <w:rsid w:val="003C305A"/>
    <w:rsid w:val="003C3697"/>
    <w:rsid w:val="003C3D79"/>
    <w:rsid w:val="003C3DE3"/>
    <w:rsid w:val="003C4A3A"/>
    <w:rsid w:val="003C4D73"/>
    <w:rsid w:val="003C548C"/>
    <w:rsid w:val="003C5496"/>
    <w:rsid w:val="003C5AB0"/>
    <w:rsid w:val="003C60A8"/>
    <w:rsid w:val="003C6659"/>
    <w:rsid w:val="003C6733"/>
    <w:rsid w:val="003C69A7"/>
    <w:rsid w:val="003C6D42"/>
    <w:rsid w:val="003C6D7E"/>
    <w:rsid w:val="003C709A"/>
    <w:rsid w:val="003C753B"/>
    <w:rsid w:val="003C7EDD"/>
    <w:rsid w:val="003D066B"/>
    <w:rsid w:val="003D06DD"/>
    <w:rsid w:val="003D09B0"/>
    <w:rsid w:val="003D0E88"/>
    <w:rsid w:val="003D1009"/>
    <w:rsid w:val="003D1BFA"/>
    <w:rsid w:val="003D1C8C"/>
    <w:rsid w:val="003D275A"/>
    <w:rsid w:val="003D397B"/>
    <w:rsid w:val="003D3DF9"/>
    <w:rsid w:val="003D3F3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807"/>
    <w:rsid w:val="003E723F"/>
    <w:rsid w:val="003E7D40"/>
    <w:rsid w:val="003E7E99"/>
    <w:rsid w:val="003F013F"/>
    <w:rsid w:val="003F0261"/>
    <w:rsid w:val="003F0B83"/>
    <w:rsid w:val="003F108F"/>
    <w:rsid w:val="003F123E"/>
    <w:rsid w:val="003F1C85"/>
    <w:rsid w:val="003F2F96"/>
    <w:rsid w:val="003F2FE5"/>
    <w:rsid w:val="003F372C"/>
    <w:rsid w:val="003F4044"/>
    <w:rsid w:val="003F4C2A"/>
    <w:rsid w:val="003F5445"/>
    <w:rsid w:val="003F5471"/>
    <w:rsid w:val="003F581B"/>
    <w:rsid w:val="003F6281"/>
    <w:rsid w:val="003F7029"/>
    <w:rsid w:val="0040078A"/>
    <w:rsid w:val="00400EEA"/>
    <w:rsid w:val="00401142"/>
    <w:rsid w:val="004012B1"/>
    <w:rsid w:val="004016CE"/>
    <w:rsid w:val="00401B11"/>
    <w:rsid w:val="00402484"/>
    <w:rsid w:val="00402A23"/>
    <w:rsid w:val="00402B8D"/>
    <w:rsid w:val="004030C8"/>
    <w:rsid w:val="004034B7"/>
    <w:rsid w:val="00403846"/>
    <w:rsid w:val="00404489"/>
    <w:rsid w:val="004044B1"/>
    <w:rsid w:val="00404602"/>
    <w:rsid w:val="004046DA"/>
    <w:rsid w:val="0040490A"/>
    <w:rsid w:val="004055A5"/>
    <w:rsid w:val="004056E4"/>
    <w:rsid w:val="00405BAA"/>
    <w:rsid w:val="00405DFB"/>
    <w:rsid w:val="0040617B"/>
    <w:rsid w:val="0040639C"/>
    <w:rsid w:val="00406546"/>
    <w:rsid w:val="004071E8"/>
    <w:rsid w:val="004072DE"/>
    <w:rsid w:val="004072EF"/>
    <w:rsid w:val="00407F3A"/>
    <w:rsid w:val="0041079A"/>
    <w:rsid w:val="00410D6A"/>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D24"/>
    <w:rsid w:val="00416141"/>
    <w:rsid w:val="00416536"/>
    <w:rsid w:val="004167E7"/>
    <w:rsid w:val="004169E4"/>
    <w:rsid w:val="00416B6A"/>
    <w:rsid w:val="00417396"/>
    <w:rsid w:val="0041773F"/>
    <w:rsid w:val="004178D5"/>
    <w:rsid w:val="004179C9"/>
    <w:rsid w:val="00417ABC"/>
    <w:rsid w:val="00420322"/>
    <w:rsid w:val="0042047F"/>
    <w:rsid w:val="00420517"/>
    <w:rsid w:val="0042059F"/>
    <w:rsid w:val="00420A1C"/>
    <w:rsid w:val="00421247"/>
    <w:rsid w:val="00421A4E"/>
    <w:rsid w:val="00421DD4"/>
    <w:rsid w:val="00421F9C"/>
    <w:rsid w:val="004220C9"/>
    <w:rsid w:val="00422189"/>
    <w:rsid w:val="00422298"/>
    <w:rsid w:val="004223EF"/>
    <w:rsid w:val="004224A3"/>
    <w:rsid w:val="0042273E"/>
    <w:rsid w:val="0042304D"/>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DBA"/>
    <w:rsid w:val="00430556"/>
    <w:rsid w:val="00430C3A"/>
    <w:rsid w:val="004317BC"/>
    <w:rsid w:val="0043184B"/>
    <w:rsid w:val="004318C7"/>
    <w:rsid w:val="00431BF0"/>
    <w:rsid w:val="00431CEF"/>
    <w:rsid w:val="00431F27"/>
    <w:rsid w:val="0043275A"/>
    <w:rsid w:val="00433599"/>
    <w:rsid w:val="00433672"/>
    <w:rsid w:val="00433890"/>
    <w:rsid w:val="00433AA6"/>
    <w:rsid w:val="00433BDA"/>
    <w:rsid w:val="00434026"/>
    <w:rsid w:val="00434219"/>
    <w:rsid w:val="004344A1"/>
    <w:rsid w:val="00434562"/>
    <w:rsid w:val="00434847"/>
    <w:rsid w:val="00435583"/>
    <w:rsid w:val="00435C17"/>
    <w:rsid w:val="004362D6"/>
    <w:rsid w:val="00436E86"/>
    <w:rsid w:val="00436F57"/>
    <w:rsid w:val="004377F3"/>
    <w:rsid w:val="00437D58"/>
    <w:rsid w:val="00440694"/>
    <w:rsid w:val="00440A6D"/>
    <w:rsid w:val="00440DEB"/>
    <w:rsid w:val="00440F29"/>
    <w:rsid w:val="00440FDC"/>
    <w:rsid w:val="004412E7"/>
    <w:rsid w:val="00441D9F"/>
    <w:rsid w:val="00441F2B"/>
    <w:rsid w:val="00442107"/>
    <w:rsid w:val="004421DF"/>
    <w:rsid w:val="004421E7"/>
    <w:rsid w:val="0044225B"/>
    <w:rsid w:val="00442358"/>
    <w:rsid w:val="004426C3"/>
    <w:rsid w:val="00442A35"/>
    <w:rsid w:val="00442B26"/>
    <w:rsid w:val="00442E60"/>
    <w:rsid w:val="004433C4"/>
    <w:rsid w:val="00443F83"/>
    <w:rsid w:val="00444DED"/>
    <w:rsid w:val="00445422"/>
    <w:rsid w:val="004456DC"/>
    <w:rsid w:val="00445EBA"/>
    <w:rsid w:val="00445EFF"/>
    <w:rsid w:val="0044628E"/>
    <w:rsid w:val="00446C20"/>
    <w:rsid w:val="0044769F"/>
    <w:rsid w:val="004479B7"/>
    <w:rsid w:val="00450230"/>
    <w:rsid w:val="00450B1A"/>
    <w:rsid w:val="0045125F"/>
    <w:rsid w:val="004515FF"/>
    <w:rsid w:val="00451BCB"/>
    <w:rsid w:val="00452AF1"/>
    <w:rsid w:val="004534BD"/>
    <w:rsid w:val="004535BF"/>
    <w:rsid w:val="00454236"/>
    <w:rsid w:val="00454A98"/>
    <w:rsid w:val="00455985"/>
    <w:rsid w:val="00455A61"/>
    <w:rsid w:val="004564CF"/>
    <w:rsid w:val="00456FE3"/>
    <w:rsid w:val="00457807"/>
    <w:rsid w:val="00457F2C"/>
    <w:rsid w:val="0046006A"/>
    <w:rsid w:val="004603C0"/>
    <w:rsid w:val="00460D97"/>
    <w:rsid w:val="00461247"/>
    <w:rsid w:val="004619A8"/>
    <w:rsid w:val="00461B2F"/>
    <w:rsid w:val="0046239F"/>
    <w:rsid w:val="00462DFD"/>
    <w:rsid w:val="0046307B"/>
    <w:rsid w:val="0046318C"/>
    <w:rsid w:val="00463ADF"/>
    <w:rsid w:val="00463F1C"/>
    <w:rsid w:val="00464507"/>
    <w:rsid w:val="00464FB1"/>
    <w:rsid w:val="00465E8B"/>
    <w:rsid w:val="0046654A"/>
    <w:rsid w:val="00466D65"/>
    <w:rsid w:val="004672C6"/>
    <w:rsid w:val="00467326"/>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DC4"/>
    <w:rsid w:val="004765A1"/>
    <w:rsid w:val="004767F4"/>
    <w:rsid w:val="004768AA"/>
    <w:rsid w:val="00476CE7"/>
    <w:rsid w:val="00476DCD"/>
    <w:rsid w:val="0047774C"/>
    <w:rsid w:val="00477DBA"/>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868"/>
    <w:rsid w:val="00484D7B"/>
    <w:rsid w:val="00484ECF"/>
    <w:rsid w:val="00485373"/>
    <w:rsid w:val="00485A12"/>
    <w:rsid w:val="00486175"/>
    <w:rsid w:val="004863AD"/>
    <w:rsid w:val="0048641E"/>
    <w:rsid w:val="00486425"/>
    <w:rsid w:val="004869AA"/>
    <w:rsid w:val="00486ACC"/>
    <w:rsid w:val="004875D7"/>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9DA"/>
    <w:rsid w:val="00492C01"/>
    <w:rsid w:val="0049304D"/>
    <w:rsid w:val="00493199"/>
    <w:rsid w:val="004932B4"/>
    <w:rsid w:val="0049330D"/>
    <w:rsid w:val="004933F2"/>
    <w:rsid w:val="00493D56"/>
    <w:rsid w:val="00494008"/>
    <w:rsid w:val="00494D4B"/>
    <w:rsid w:val="004953A8"/>
    <w:rsid w:val="00495F4C"/>
    <w:rsid w:val="00496331"/>
    <w:rsid w:val="004966DE"/>
    <w:rsid w:val="004970D2"/>
    <w:rsid w:val="004970FE"/>
    <w:rsid w:val="00497146"/>
    <w:rsid w:val="0049742A"/>
    <w:rsid w:val="00497BE4"/>
    <w:rsid w:val="00497F74"/>
    <w:rsid w:val="004A0091"/>
    <w:rsid w:val="004A04A6"/>
    <w:rsid w:val="004A1364"/>
    <w:rsid w:val="004A18FE"/>
    <w:rsid w:val="004A1AA7"/>
    <w:rsid w:val="004A1AD2"/>
    <w:rsid w:val="004A1BAC"/>
    <w:rsid w:val="004A1FC1"/>
    <w:rsid w:val="004A243B"/>
    <w:rsid w:val="004A263D"/>
    <w:rsid w:val="004A2A32"/>
    <w:rsid w:val="004A2C9D"/>
    <w:rsid w:val="004A3B23"/>
    <w:rsid w:val="004A3EA3"/>
    <w:rsid w:val="004A442D"/>
    <w:rsid w:val="004A4D45"/>
    <w:rsid w:val="004A4E43"/>
    <w:rsid w:val="004A5942"/>
    <w:rsid w:val="004A5F6F"/>
    <w:rsid w:val="004A619F"/>
    <w:rsid w:val="004A670C"/>
    <w:rsid w:val="004A687A"/>
    <w:rsid w:val="004A6897"/>
    <w:rsid w:val="004A6F7D"/>
    <w:rsid w:val="004A72BD"/>
    <w:rsid w:val="004A732C"/>
    <w:rsid w:val="004A77FB"/>
    <w:rsid w:val="004A7A04"/>
    <w:rsid w:val="004A7E3F"/>
    <w:rsid w:val="004B0B91"/>
    <w:rsid w:val="004B0DA6"/>
    <w:rsid w:val="004B0ED0"/>
    <w:rsid w:val="004B13A9"/>
    <w:rsid w:val="004B1462"/>
    <w:rsid w:val="004B1776"/>
    <w:rsid w:val="004B1A95"/>
    <w:rsid w:val="004B22D1"/>
    <w:rsid w:val="004B25B8"/>
    <w:rsid w:val="004B2BE4"/>
    <w:rsid w:val="004B2E53"/>
    <w:rsid w:val="004B31F8"/>
    <w:rsid w:val="004B39C5"/>
    <w:rsid w:val="004B3E33"/>
    <w:rsid w:val="004B4245"/>
    <w:rsid w:val="004B44C8"/>
    <w:rsid w:val="004B47C4"/>
    <w:rsid w:val="004B4844"/>
    <w:rsid w:val="004B4A30"/>
    <w:rsid w:val="004B4A42"/>
    <w:rsid w:val="004B4C5E"/>
    <w:rsid w:val="004B4CC8"/>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C0103"/>
    <w:rsid w:val="004C0955"/>
    <w:rsid w:val="004C0F52"/>
    <w:rsid w:val="004C1020"/>
    <w:rsid w:val="004C1447"/>
    <w:rsid w:val="004C14FB"/>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EE9"/>
    <w:rsid w:val="004D2082"/>
    <w:rsid w:val="004D20C4"/>
    <w:rsid w:val="004D221C"/>
    <w:rsid w:val="004D29D4"/>
    <w:rsid w:val="004D2ED1"/>
    <w:rsid w:val="004D32CA"/>
    <w:rsid w:val="004D33E5"/>
    <w:rsid w:val="004D3C9E"/>
    <w:rsid w:val="004D427D"/>
    <w:rsid w:val="004D4457"/>
    <w:rsid w:val="004D4828"/>
    <w:rsid w:val="004D49C8"/>
    <w:rsid w:val="004D49D0"/>
    <w:rsid w:val="004D53A6"/>
    <w:rsid w:val="004D5A1D"/>
    <w:rsid w:val="004D5F6E"/>
    <w:rsid w:val="004D670A"/>
    <w:rsid w:val="004D675E"/>
    <w:rsid w:val="004D6A8D"/>
    <w:rsid w:val="004D6F59"/>
    <w:rsid w:val="004D724A"/>
    <w:rsid w:val="004D77FC"/>
    <w:rsid w:val="004D7DDC"/>
    <w:rsid w:val="004D7F75"/>
    <w:rsid w:val="004E0CAE"/>
    <w:rsid w:val="004E11CF"/>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E3"/>
    <w:rsid w:val="004F6B71"/>
    <w:rsid w:val="004F6C36"/>
    <w:rsid w:val="004F7DCF"/>
    <w:rsid w:val="005006EC"/>
    <w:rsid w:val="00500A11"/>
    <w:rsid w:val="005011F4"/>
    <w:rsid w:val="0050178C"/>
    <w:rsid w:val="00501BEF"/>
    <w:rsid w:val="0050221A"/>
    <w:rsid w:val="005028C6"/>
    <w:rsid w:val="005029FD"/>
    <w:rsid w:val="00502AB1"/>
    <w:rsid w:val="00502B89"/>
    <w:rsid w:val="0050307B"/>
    <w:rsid w:val="00503335"/>
    <w:rsid w:val="005036AC"/>
    <w:rsid w:val="0050382A"/>
    <w:rsid w:val="005038A8"/>
    <w:rsid w:val="005038B8"/>
    <w:rsid w:val="00503B46"/>
    <w:rsid w:val="005042D6"/>
    <w:rsid w:val="00504AB0"/>
    <w:rsid w:val="00505526"/>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70B"/>
    <w:rsid w:val="0052275A"/>
    <w:rsid w:val="0052282E"/>
    <w:rsid w:val="00522B7B"/>
    <w:rsid w:val="00522B83"/>
    <w:rsid w:val="00522BCD"/>
    <w:rsid w:val="00522D72"/>
    <w:rsid w:val="00522E83"/>
    <w:rsid w:val="005231B9"/>
    <w:rsid w:val="005232E5"/>
    <w:rsid w:val="00523F85"/>
    <w:rsid w:val="005240E2"/>
    <w:rsid w:val="0052419D"/>
    <w:rsid w:val="005241D3"/>
    <w:rsid w:val="00524B64"/>
    <w:rsid w:val="005255D8"/>
    <w:rsid w:val="005255FA"/>
    <w:rsid w:val="00525D3B"/>
    <w:rsid w:val="00525DC1"/>
    <w:rsid w:val="00525FE6"/>
    <w:rsid w:val="0052625C"/>
    <w:rsid w:val="00526333"/>
    <w:rsid w:val="0052662C"/>
    <w:rsid w:val="00526A7B"/>
    <w:rsid w:val="00526B6A"/>
    <w:rsid w:val="00526D29"/>
    <w:rsid w:val="00526E04"/>
    <w:rsid w:val="00530311"/>
    <w:rsid w:val="00530628"/>
    <w:rsid w:val="00530762"/>
    <w:rsid w:val="00530EA1"/>
    <w:rsid w:val="00531380"/>
    <w:rsid w:val="005315CE"/>
    <w:rsid w:val="00531830"/>
    <w:rsid w:val="00531A60"/>
    <w:rsid w:val="00531EB6"/>
    <w:rsid w:val="0053257D"/>
    <w:rsid w:val="005326B1"/>
    <w:rsid w:val="00532A44"/>
    <w:rsid w:val="00532D5C"/>
    <w:rsid w:val="00532F51"/>
    <w:rsid w:val="005333E4"/>
    <w:rsid w:val="005346F8"/>
    <w:rsid w:val="00534700"/>
    <w:rsid w:val="00534AAD"/>
    <w:rsid w:val="005358B9"/>
    <w:rsid w:val="00535944"/>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53D"/>
    <w:rsid w:val="00544653"/>
    <w:rsid w:val="00544747"/>
    <w:rsid w:val="00544B46"/>
    <w:rsid w:val="00544F16"/>
    <w:rsid w:val="005451CA"/>
    <w:rsid w:val="0054530E"/>
    <w:rsid w:val="00545311"/>
    <w:rsid w:val="00545653"/>
    <w:rsid w:val="005459BB"/>
    <w:rsid w:val="00545CD4"/>
    <w:rsid w:val="0054677F"/>
    <w:rsid w:val="005467AB"/>
    <w:rsid w:val="005468BD"/>
    <w:rsid w:val="0054694E"/>
    <w:rsid w:val="00546E37"/>
    <w:rsid w:val="0054733F"/>
    <w:rsid w:val="00547562"/>
    <w:rsid w:val="00547BD0"/>
    <w:rsid w:val="005506FD"/>
    <w:rsid w:val="00550A39"/>
    <w:rsid w:val="00550B77"/>
    <w:rsid w:val="00550C45"/>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73A6"/>
    <w:rsid w:val="005575EF"/>
    <w:rsid w:val="005577CD"/>
    <w:rsid w:val="005577D1"/>
    <w:rsid w:val="00557972"/>
    <w:rsid w:val="00557CB9"/>
    <w:rsid w:val="005602BC"/>
    <w:rsid w:val="00561290"/>
    <w:rsid w:val="00561B25"/>
    <w:rsid w:val="0056265D"/>
    <w:rsid w:val="00562DEB"/>
    <w:rsid w:val="0056312A"/>
    <w:rsid w:val="00563A23"/>
    <w:rsid w:val="00565265"/>
    <w:rsid w:val="005653A7"/>
    <w:rsid w:val="00565699"/>
    <w:rsid w:val="005656BA"/>
    <w:rsid w:val="00565D25"/>
    <w:rsid w:val="005663BF"/>
    <w:rsid w:val="00566733"/>
    <w:rsid w:val="00566900"/>
    <w:rsid w:val="00566AC2"/>
    <w:rsid w:val="00566B06"/>
    <w:rsid w:val="005670DD"/>
    <w:rsid w:val="00567928"/>
    <w:rsid w:val="00567C1E"/>
    <w:rsid w:val="00567FF7"/>
    <w:rsid w:val="0057082B"/>
    <w:rsid w:val="0057099C"/>
    <w:rsid w:val="00570BEC"/>
    <w:rsid w:val="00571420"/>
    <w:rsid w:val="00571F30"/>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886"/>
    <w:rsid w:val="00581B32"/>
    <w:rsid w:val="00582030"/>
    <w:rsid w:val="0058208B"/>
    <w:rsid w:val="005821AE"/>
    <w:rsid w:val="00582C91"/>
    <w:rsid w:val="00583039"/>
    <w:rsid w:val="0058331D"/>
    <w:rsid w:val="005837C4"/>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FB4"/>
    <w:rsid w:val="0059004D"/>
    <w:rsid w:val="005903C8"/>
    <w:rsid w:val="0059060F"/>
    <w:rsid w:val="005909B3"/>
    <w:rsid w:val="00591AD7"/>
    <w:rsid w:val="00591D86"/>
    <w:rsid w:val="0059252B"/>
    <w:rsid w:val="00592C11"/>
    <w:rsid w:val="00592E10"/>
    <w:rsid w:val="00593279"/>
    <w:rsid w:val="0059379C"/>
    <w:rsid w:val="00594EED"/>
    <w:rsid w:val="0059512B"/>
    <w:rsid w:val="005954EA"/>
    <w:rsid w:val="0059580E"/>
    <w:rsid w:val="00595A29"/>
    <w:rsid w:val="00595A5C"/>
    <w:rsid w:val="00595E1B"/>
    <w:rsid w:val="00596582"/>
    <w:rsid w:val="00596AE6"/>
    <w:rsid w:val="005971E2"/>
    <w:rsid w:val="005A017B"/>
    <w:rsid w:val="005A06D1"/>
    <w:rsid w:val="005A07B3"/>
    <w:rsid w:val="005A0E26"/>
    <w:rsid w:val="005A19F9"/>
    <w:rsid w:val="005A1B85"/>
    <w:rsid w:val="005A1DD8"/>
    <w:rsid w:val="005A2A57"/>
    <w:rsid w:val="005A2DA3"/>
    <w:rsid w:val="005A2DC9"/>
    <w:rsid w:val="005A2F08"/>
    <w:rsid w:val="005A309D"/>
    <w:rsid w:val="005A3DD8"/>
    <w:rsid w:val="005A408A"/>
    <w:rsid w:val="005A4BA3"/>
    <w:rsid w:val="005A4EFB"/>
    <w:rsid w:val="005A52C5"/>
    <w:rsid w:val="005A546B"/>
    <w:rsid w:val="005A5634"/>
    <w:rsid w:val="005A57D1"/>
    <w:rsid w:val="005A60C6"/>
    <w:rsid w:val="005A66DA"/>
    <w:rsid w:val="005A71E3"/>
    <w:rsid w:val="005A7632"/>
    <w:rsid w:val="005A7DD9"/>
    <w:rsid w:val="005B0316"/>
    <w:rsid w:val="005B0436"/>
    <w:rsid w:val="005B046D"/>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883"/>
    <w:rsid w:val="005B5A47"/>
    <w:rsid w:val="005B5D8A"/>
    <w:rsid w:val="005B60A1"/>
    <w:rsid w:val="005B65D1"/>
    <w:rsid w:val="005B7153"/>
    <w:rsid w:val="005B723E"/>
    <w:rsid w:val="005B7597"/>
    <w:rsid w:val="005B7B34"/>
    <w:rsid w:val="005C009D"/>
    <w:rsid w:val="005C040D"/>
    <w:rsid w:val="005C0EF2"/>
    <w:rsid w:val="005C123C"/>
    <w:rsid w:val="005C1278"/>
    <w:rsid w:val="005C1338"/>
    <w:rsid w:val="005C167F"/>
    <w:rsid w:val="005C1695"/>
    <w:rsid w:val="005C1EF2"/>
    <w:rsid w:val="005C1EFF"/>
    <w:rsid w:val="005C1FE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82D"/>
    <w:rsid w:val="005D19BC"/>
    <w:rsid w:val="005D39D0"/>
    <w:rsid w:val="005D4E45"/>
    <w:rsid w:val="005D544E"/>
    <w:rsid w:val="005D554D"/>
    <w:rsid w:val="005D5E6E"/>
    <w:rsid w:val="005D69A7"/>
    <w:rsid w:val="005D6AD7"/>
    <w:rsid w:val="005D6E47"/>
    <w:rsid w:val="005D7EB4"/>
    <w:rsid w:val="005E043C"/>
    <w:rsid w:val="005E0827"/>
    <w:rsid w:val="005E084E"/>
    <w:rsid w:val="005E0B2C"/>
    <w:rsid w:val="005E1184"/>
    <w:rsid w:val="005E1218"/>
    <w:rsid w:val="005E1D30"/>
    <w:rsid w:val="005E28F5"/>
    <w:rsid w:val="005E2AB2"/>
    <w:rsid w:val="005E2B70"/>
    <w:rsid w:val="005E304A"/>
    <w:rsid w:val="005E3CD3"/>
    <w:rsid w:val="005E3E88"/>
    <w:rsid w:val="005E441F"/>
    <w:rsid w:val="005E4CD9"/>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99B"/>
    <w:rsid w:val="0060301F"/>
    <w:rsid w:val="00603E96"/>
    <w:rsid w:val="00604B96"/>
    <w:rsid w:val="006053BE"/>
    <w:rsid w:val="0060542D"/>
    <w:rsid w:val="00605451"/>
    <w:rsid w:val="00605555"/>
    <w:rsid w:val="006071D3"/>
    <w:rsid w:val="00607282"/>
    <w:rsid w:val="006075DD"/>
    <w:rsid w:val="00607BB0"/>
    <w:rsid w:val="00607D2D"/>
    <w:rsid w:val="00607E2E"/>
    <w:rsid w:val="006104D5"/>
    <w:rsid w:val="006105E1"/>
    <w:rsid w:val="006106F8"/>
    <w:rsid w:val="00610893"/>
    <w:rsid w:val="00610996"/>
    <w:rsid w:val="006109B1"/>
    <w:rsid w:val="00610FB9"/>
    <w:rsid w:val="006112C3"/>
    <w:rsid w:val="006112C7"/>
    <w:rsid w:val="00611650"/>
    <w:rsid w:val="00611652"/>
    <w:rsid w:val="0061165A"/>
    <w:rsid w:val="006119AE"/>
    <w:rsid w:val="00611CBC"/>
    <w:rsid w:val="00612145"/>
    <w:rsid w:val="00612406"/>
    <w:rsid w:val="0061282B"/>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20391"/>
    <w:rsid w:val="00620804"/>
    <w:rsid w:val="00621CDC"/>
    <w:rsid w:val="0062204A"/>
    <w:rsid w:val="00622433"/>
    <w:rsid w:val="006224B0"/>
    <w:rsid w:val="006229B0"/>
    <w:rsid w:val="00622DF0"/>
    <w:rsid w:val="00623070"/>
    <w:rsid w:val="006234CC"/>
    <w:rsid w:val="00623781"/>
    <w:rsid w:val="006240CC"/>
    <w:rsid w:val="006255A7"/>
    <w:rsid w:val="00625CB5"/>
    <w:rsid w:val="00626271"/>
    <w:rsid w:val="006265AE"/>
    <w:rsid w:val="00627FC9"/>
    <w:rsid w:val="00630082"/>
    <w:rsid w:val="00630581"/>
    <w:rsid w:val="00630944"/>
    <w:rsid w:val="0063095F"/>
    <w:rsid w:val="00630965"/>
    <w:rsid w:val="00631105"/>
    <w:rsid w:val="00631496"/>
    <w:rsid w:val="00631603"/>
    <w:rsid w:val="00631B3D"/>
    <w:rsid w:val="00632265"/>
    <w:rsid w:val="0063260C"/>
    <w:rsid w:val="00632F90"/>
    <w:rsid w:val="00633114"/>
    <w:rsid w:val="00633732"/>
    <w:rsid w:val="00633760"/>
    <w:rsid w:val="00633937"/>
    <w:rsid w:val="006339CA"/>
    <w:rsid w:val="00633AB7"/>
    <w:rsid w:val="00633B50"/>
    <w:rsid w:val="00634372"/>
    <w:rsid w:val="00634643"/>
    <w:rsid w:val="00634715"/>
    <w:rsid w:val="0063473E"/>
    <w:rsid w:val="00634A94"/>
    <w:rsid w:val="00634C65"/>
    <w:rsid w:val="00634FC4"/>
    <w:rsid w:val="006354C4"/>
    <w:rsid w:val="00635510"/>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55A"/>
    <w:rsid w:val="006468D7"/>
    <w:rsid w:val="00646AC3"/>
    <w:rsid w:val="006473D9"/>
    <w:rsid w:val="0064791D"/>
    <w:rsid w:val="006479A1"/>
    <w:rsid w:val="00647FA0"/>
    <w:rsid w:val="006501CB"/>
    <w:rsid w:val="0065074A"/>
    <w:rsid w:val="00650C64"/>
    <w:rsid w:val="006516B2"/>
    <w:rsid w:val="00651F57"/>
    <w:rsid w:val="006536AA"/>
    <w:rsid w:val="0065386B"/>
    <w:rsid w:val="00653A5F"/>
    <w:rsid w:val="00654331"/>
    <w:rsid w:val="00654541"/>
    <w:rsid w:val="006555E5"/>
    <w:rsid w:val="00655FDB"/>
    <w:rsid w:val="00656430"/>
    <w:rsid w:val="00656C51"/>
    <w:rsid w:val="00656E5E"/>
    <w:rsid w:val="0065711D"/>
    <w:rsid w:val="006571DB"/>
    <w:rsid w:val="00657CBD"/>
    <w:rsid w:val="00657FE1"/>
    <w:rsid w:val="00660146"/>
    <w:rsid w:val="006602A1"/>
    <w:rsid w:val="006608BD"/>
    <w:rsid w:val="0066127D"/>
    <w:rsid w:val="006615CC"/>
    <w:rsid w:val="0066178B"/>
    <w:rsid w:val="0066186E"/>
    <w:rsid w:val="00661AC4"/>
    <w:rsid w:val="00661D12"/>
    <w:rsid w:val="00661FFD"/>
    <w:rsid w:val="00662688"/>
    <w:rsid w:val="006626DE"/>
    <w:rsid w:val="006628FE"/>
    <w:rsid w:val="006629B3"/>
    <w:rsid w:val="00663A2B"/>
    <w:rsid w:val="00663EAA"/>
    <w:rsid w:val="00663F1B"/>
    <w:rsid w:val="00664117"/>
    <w:rsid w:val="0066460E"/>
    <w:rsid w:val="00665192"/>
    <w:rsid w:val="006651B7"/>
    <w:rsid w:val="00665428"/>
    <w:rsid w:val="006659A4"/>
    <w:rsid w:val="00666330"/>
    <w:rsid w:val="0066678D"/>
    <w:rsid w:val="006669ED"/>
    <w:rsid w:val="006677FC"/>
    <w:rsid w:val="00667BAD"/>
    <w:rsid w:val="006700C1"/>
    <w:rsid w:val="006703B0"/>
    <w:rsid w:val="00670B4D"/>
    <w:rsid w:val="0067105E"/>
    <w:rsid w:val="0067126B"/>
    <w:rsid w:val="00671402"/>
    <w:rsid w:val="00671F74"/>
    <w:rsid w:val="006720EB"/>
    <w:rsid w:val="00672225"/>
    <w:rsid w:val="00672CB9"/>
    <w:rsid w:val="00672E5E"/>
    <w:rsid w:val="00673778"/>
    <w:rsid w:val="00673F55"/>
    <w:rsid w:val="006741AE"/>
    <w:rsid w:val="00674F4A"/>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F19"/>
    <w:rsid w:val="00681359"/>
    <w:rsid w:val="006819DB"/>
    <w:rsid w:val="00681D39"/>
    <w:rsid w:val="00682178"/>
    <w:rsid w:val="00682309"/>
    <w:rsid w:val="00682E74"/>
    <w:rsid w:val="006835EF"/>
    <w:rsid w:val="0068409D"/>
    <w:rsid w:val="00684532"/>
    <w:rsid w:val="00684DE6"/>
    <w:rsid w:val="00684E59"/>
    <w:rsid w:val="00684F31"/>
    <w:rsid w:val="00685299"/>
    <w:rsid w:val="00685600"/>
    <w:rsid w:val="00685633"/>
    <w:rsid w:val="00685D98"/>
    <w:rsid w:val="0068633E"/>
    <w:rsid w:val="006868F7"/>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79A"/>
    <w:rsid w:val="00693A7B"/>
    <w:rsid w:val="006941B9"/>
    <w:rsid w:val="006948FD"/>
    <w:rsid w:val="006949DC"/>
    <w:rsid w:val="00694CFF"/>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2982"/>
    <w:rsid w:val="006A2D32"/>
    <w:rsid w:val="006A2DE8"/>
    <w:rsid w:val="006A38EB"/>
    <w:rsid w:val="006A399B"/>
    <w:rsid w:val="006A3C1A"/>
    <w:rsid w:val="006A3FD1"/>
    <w:rsid w:val="006A4139"/>
    <w:rsid w:val="006A42D8"/>
    <w:rsid w:val="006A4552"/>
    <w:rsid w:val="006A4BA8"/>
    <w:rsid w:val="006A5D4F"/>
    <w:rsid w:val="006A6096"/>
    <w:rsid w:val="006A63C5"/>
    <w:rsid w:val="006A792E"/>
    <w:rsid w:val="006A7A68"/>
    <w:rsid w:val="006A7B57"/>
    <w:rsid w:val="006B0276"/>
    <w:rsid w:val="006B048F"/>
    <w:rsid w:val="006B06A1"/>
    <w:rsid w:val="006B083E"/>
    <w:rsid w:val="006B0891"/>
    <w:rsid w:val="006B08A4"/>
    <w:rsid w:val="006B0955"/>
    <w:rsid w:val="006B12E5"/>
    <w:rsid w:val="006B1CB4"/>
    <w:rsid w:val="006B25AF"/>
    <w:rsid w:val="006B430F"/>
    <w:rsid w:val="006B4F81"/>
    <w:rsid w:val="006B58EB"/>
    <w:rsid w:val="006B5BC2"/>
    <w:rsid w:val="006B5DBB"/>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627"/>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FD4"/>
    <w:rsid w:val="006D0255"/>
    <w:rsid w:val="006D05F0"/>
    <w:rsid w:val="006D0EEC"/>
    <w:rsid w:val="006D19DC"/>
    <w:rsid w:val="006D1DE2"/>
    <w:rsid w:val="006D1E21"/>
    <w:rsid w:val="006D227B"/>
    <w:rsid w:val="006D25B4"/>
    <w:rsid w:val="006D3ABE"/>
    <w:rsid w:val="006D3F36"/>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AE2"/>
    <w:rsid w:val="006E55D6"/>
    <w:rsid w:val="006E56AF"/>
    <w:rsid w:val="006E6305"/>
    <w:rsid w:val="006E6A0F"/>
    <w:rsid w:val="006E72D1"/>
    <w:rsid w:val="006E75BE"/>
    <w:rsid w:val="006E75F8"/>
    <w:rsid w:val="006E78EE"/>
    <w:rsid w:val="006E7CE8"/>
    <w:rsid w:val="006E7D46"/>
    <w:rsid w:val="006E7D6F"/>
    <w:rsid w:val="006E7F16"/>
    <w:rsid w:val="006F0016"/>
    <w:rsid w:val="006F0C80"/>
    <w:rsid w:val="006F156B"/>
    <w:rsid w:val="006F1BED"/>
    <w:rsid w:val="006F22F7"/>
    <w:rsid w:val="006F23EF"/>
    <w:rsid w:val="006F28CD"/>
    <w:rsid w:val="006F28CF"/>
    <w:rsid w:val="006F2B99"/>
    <w:rsid w:val="006F3187"/>
    <w:rsid w:val="006F31A0"/>
    <w:rsid w:val="006F327A"/>
    <w:rsid w:val="006F38B9"/>
    <w:rsid w:val="006F394F"/>
    <w:rsid w:val="006F3A0C"/>
    <w:rsid w:val="006F3A48"/>
    <w:rsid w:val="006F3C38"/>
    <w:rsid w:val="006F49A9"/>
    <w:rsid w:val="006F4B88"/>
    <w:rsid w:val="006F4F48"/>
    <w:rsid w:val="006F6CFF"/>
    <w:rsid w:val="006F6F12"/>
    <w:rsid w:val="006F70D1"/>
    <w:rsid w:val="006F72DE"/>
    <w:rsid w:val="006F7617"/>
    <w:rsid w:val="00700006"/>
    <w:rsid w:val="007000EB"/>
    <w:rsid w:val="00700492"/>
    <w:rsid w:val="00700592"/>
    <w:rsid w:val="00700636"/>
    <w:rsid w:val="00700B8A"/>
    <w:rsid w:val="00701AB4"/>
    <w:rsid w:val="00701BEF"/>
    <w:rsid w:val="00701FC5"/>
    <w:rsid w:val="00703093"/>
    <w:rsid w:val="00703728"/>
    <w:rsid w:val="007037AC"/>
    <w:rsid w:val="007037B7"/>
    <w:rsid w:val="00703920"/>
    <w:rsid w:val="00703DAA"/>
    <w:rsid w:val="0070404A"/>
    <w:rsid w:val="007046D9"/>
    <w:rsid w:val="007047D8"/>
    <w:rsid w:val="00704FCD"/>
    <w:rsid w:val="0070507E"/>
    <w:rsid w:val="007051C0"/>
    <w:rsid w:val="007052C9"/>
    <w:rsid w:val="007056BA"/>
    <w:rsid w:val="00705918"/>
    <w:rsid w:val="00706071"/>
    <w:rsid w:val="0070611F"/>
    <w:rsid w:val="007065D5"/>
    <w:rsid w:val="0070712D"/>
    <w:rsid w:val="0070778F"/>
    <w:rsid w:val="00707B52"/>
    <w:rsid w:val="00707E54"/>
    <w:rsid w:val="00707E9C"/>
    <w:rsid w:val="00707FC0"/>
    <w:rsid w:val="007104BC"/>
    <w:rsid w:val="00710A18"/>
    <w:rsid w:val="00710ABE"/>
    <w:rsid w:val="00710C7A"/>
    <w:rsid w:val="00711A19"/>
    <w:rsid w:val="00711F08"/>
    <w:rsid w:val="0071205F"/>
    <w:rsid w:val="00712101"/>
    <w:rsid w:val="007125A7"/>
    <w:rsid w:val="00712728"/>
    <w:rsid w:val="00712AD6"/>
    <w:rsid w:val="00712D01"/>
    <w:rsid w:val="007139DA"/>
    <w:rsid w:val="00713D7D"/>
    <w:rsid w:val="00713EBE"/>
    <w:rsid w:val="00714116"/>
    <w:rsid w:val="00714184"/>
    <w:rsid w:val="00714C50"/>
    <w:rsid w:val="00714EBA"/>
    <w:rsid w:val="00715660"/>
    <w:rsid w:val="0071593D"/>
    <w:rsid w:val="00716A1E"/>
    <w:rsid w:val="007175E2"/>
    <w:rsid w:val="00720163"/>
    <w:rsid w:val="0072097C"/>
    <w:rsid w:val="007213D9"/>
    <w:rsid w:val="00721ECC"/>
    <w:rsid w:val="00722389"/>
    <w:rsid w:val="0072278D"/>
    <w:rsid w:val="007238F9"/>
    <w:rsid w:val="00723E70"/>
    <w:rsid w:val="00724136"/>
    <w:rsid w:val="00724B54"/>
    <w:rsid w:val="00724F3B"/>
    <w:rsid w:val="00725093"/>
    <w:rsid w:val="00725321"/>
    <w:rsid w:val="00725CD7"/>
    <w:rsid w:val="0072626D"/>
    <w:rsid w:val="007263D9"/>
    <w:rsid w:val="00726F8D"/>
    <w:rsid w:val="00727D44"/>
    <w:rsid w:val="00727DDC"/>
    <w:rsid w:val="00730003"/>
    <w:rsid w:val="0073083E"/>
    <w:rsid w:val="00730B1A"/>
    <w:rsid w:val="00731057"/>
    <w:rsid w:val="007310B1"/>
    <w:rsid w:val="00731421"/>
    <w:rsid w:val="00731428"/>
    <w:rsid w:val="007317B0"/>
    <w:rsid w:val="007318B1"/>
    <w:rsid w:val="007318DD"/>
    <w:rsid w:val="00731B4C"/>
    <w:rsid w:val="00731B4D"/>
    <w:rsid w:val="00732EA4"/>
    <w:rsid w:val="0073332E"/>
    <w:rsid w:val="00733505"/>
    <w:rsid w:val="00733734"/>
    <w:rsid w:val="00733B3B"/>
    <w:rsid w:val="00733B68"/>
    <w:rsid w:val="00733D2E"/>
    <w:rsid w:val="007341D8"/>
    <w:rsid w:val="007348DD"/>
    <w:rsid w:val="00734935"/>
    <w:rsid w:val="00735721"/>
    <w:rsid w:val="00735BFF"/>
    <w:rsid w:val="00736477"/>
    <w:rsid w:val="00736D60"/>
    <w:rsid w:val="00737629"/>
    <w:rsid w:val="00737ADC"/>
    <w:rsid w:val="00737BD8"/>
    <w:rsid w:val="00741286"/>
    <w:rsid w:val="00741B43"/>
    <w:rsid w:val="00742644"/>
    <w:rsid w:val="007427C4"/>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50035"/>
    <w:rsid w:val="00750AE1"/>
    <w:rsid w:val="007513EF"/>
    <w:rsid w:val="00751C34"/>
    <w:rsid w:val="00751C78"/>
    <w:rsid w:val="007524B1"/>
    <w:rsid w:val="0075258D"/>
    <w:rsid w:val="00752B36"/>
    <w:rsid w:val="007552B2"/>
    <w:rsid w:val="00755E16"/>
    <w:rsid w:val="007565CE"/>
    <w:rsid w:val="00756B2E"/>
    <w:rsid w:val="00757890"/>
    <w:rsid w:val="00757B1C"/>
    <w:rsid w:val="00757CE2"/>
    <w:rsid w:val="00757F0E"/>
    <w:rsid w:val="007600CD"/>
    <w:rsid w:val="00761504"/>
    <w:rsid w:val="00761C5A"/>
    <w:rsid w:val="007620C4"/>
    <w:rsid w:val="007629CC"/>
    <w:rsid w:val="0076326E"/>
    <w:rsid w:val="0076351B"/>
    <w:rsid w:val="00763943"/>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B3A"/>
    <w:rsid w:val="00777837"/>
    <w:rsid w:val="00777941"/>
    <w:rsid w:val="00777C7B"/>
    <w:rsid w:val="00777D98"/>
    <w:rsid w:val="00777E69"/>
    <w:rsid w:val="007802F7"/>
    <w:rsid w:val="0078120E"/>
    <w:rsid w:val="00781AB2"/>
    <w:rsid w:val="007831CF"/>
    <w:rsid w:val="00783360"/>
    <w:rsid w:val="0078364B"/>
    <w:rsid w:val="007841E9"/>
    <w:rsid w:val="007847F5"/>
    <w:rsid w:val="00784A0B"/>
    <w:rsid w:val="00784E4B"/>
    <w:rsid w:val="007856A7"/>
    <w:rsid w:val="00785D24"/>
    <w:rsid w:val="00785E41"/>
    <w:rsid w:val="0078691E"/>
    <w:rsid w:val="00786B7F"/>
    <w:rsid w:val="00786C8B"/>
    <w:rsid w:val="00787976"/>
    <w:rsid w:val="00787E92"/>
    <w:rsid w:val="00790311"/>
    <w:rsid w:val="00790716"/>
    <w:rsid w:val="00791402"/>
    <w:rsid w:val="0079171D"/>
    <w:rsid w:val="0079176E"/>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9DF"/>
    <w:rsid w:val="007A0C10"/>
    <w:rsid w:val="007A0E1A"/>
    <w:rsid w:val="007A11DC"/>
    <w:rsid w:val="007A16CA"/>
    <w:rsid w:val="007A1BA8"/>
    <w:rsid w:val="007A1E2E"/>
    <w:rsid w:val="007A2579"/>
    <w:rsid w:val="007A27B9"/>
    <w:rsid w:val="007A2935"/>
    <w:rsid w:val="007A29D3"/>
    <w:rsid w:val="007A2C85"/>
    <w:rsid w:val="007A2E5A"/>
    <w:rsid w:val="007A32E7"/>
    <w:rsid w:val="007A3F9B"/>
    <w:rsid w:val="007A4911"/>
    <w:rsid w:val="007A4E04"/>
    <w:rsid w:val="007A5369"/>
    <w:rsid w:val="007A56DE"/>
    <w:rsid w:val="007A598D"/>
    <w:rsid w:val="007A5A95"/>
    <w:rsid w:val="007A5BED"/>
    <w:rsid w:val="007A69B4"/>
    <w:rsid w:val="007A6AF6"/>
    <w:rsid w:val="007A73C3"/>
    <w:rsid w:val="007A77EC"/>
    <w:rsid w:val="007A7A43"/>
    <w:rsid w:val="007A7F90"/>
    <w:rsid w:val="007B0D8C"/>
    <w:rsid w:val="007B0F66"/>
    <w:rsid w:val="007B1BA2"/>
    <w:rsid w:val="007B1D19"/>
    <w:rsid w:val="007B1E78"/>
    <w:rsid w:val="007B1E98"/>
    <w:rsid w:val="007B2C28"/>
    <w:rsid w:val="007B30E5"/>
    <w:rsid w:val="007B3130"/>
    <w:rsid w:val="007B3402"/>
    <w:rsid w:val="007B55B1"/>
    <w:rsid w:val="007B5949"/>
    <w:rsid w:val="007B645F"/>
    <w:rsid w:val="007B70D4"/>
    <w:rsid w:val="007B71D9"/>
    <w:rsid w:val="007B72B3"/>
    <w:rsid w:val="007B7468"/>
    <w:rsid w:val="007B7AC3"/>
    <w:rsid w:val="007C00D8"/>
    <w:rsid w:val="007C026F"/>
    <w:rsid w:val="007C0308"/>
    <w:rsid w:val="007C0D2B"/>
    <w:rsid w:val="007C1514"/>
    <w:rsid w:val="007C1B41"/>
    <w:rsid w:val="007C2002"/>
    <w:rsid w:val="007C2028"/>
    <w:rsid w:val="007C22F8"/>
    <w:rsid w:val="007C249E"/>
    <w:rsid w:val="007C2C3A"/>
    <w:rsid w:val="007C3355"/>
    <w:rsid w:val="007C379D"/>
    <w:rsid w:val="007C3B58"/>
    <w:rsid w:val="007C456C"/>
    <w:rsid w:val="007C4B9A"/>
    <w:rsid w:val="007C561A"/>
    <w:rsid w:val="007C5E7E"/>
    <w:rsid w:val="007C5EC0"/>
    <w:rsid w:val="007C64A7"/>
    <w:rsid w:val="007C675F"/>
    <w:rsid w:val="007C6BEF"/>
    <w:rsid w:val="007C6C64"/>
    <w:rsid w:val="007C6F29"/>
    <w:rsid w:val="007C7F98"/>
    <w:rsid w:val="007D0146"/>
    <w:rsid w:val="007D01EB"/>
    <w:rsid w:val="007D02A9"/>
    <w:rsid w:val="007D05D1"/>
    <w:rsid w:val="007D072F"/>
    <w:rsid w:val="007D07E1"/>
    <w:rsid w:val="007D09E1"/>
    <w:rsid w:val="007D0F55"/>
    <w:rsid w:val="007D118D"/>
    <w:rsid w:val="007D1620"/>
    <w:rsid w:val="007D17F4"/>
    <w:rsid w:val="007D1B64"/>
    <w:rsid w:val="007D1CF5"/>
    <w:rsid w:val="007D2468"/>
    <w:rsid w:val="007D2E7A"/>
    <w:rsid w:val="007D39F9"/>
    <w:rsid w:val="007D3A6C"/>
    <w:rsid w:val="007D45EE"/>
    <w:rsid w:val="007D460A"/>
    <w:rsid w:val="007D47AD"/>
    <w:rsid w:val="007D4908"/>
    <w:rsid w:val="007D496D"/>
    <w:rsid w:val="007D590D"/>
    <w:rsid w:val="007D5E81"/>
    <w:rsid w:val="007D73C8"/>
    <w:rsid w:val="007D7472"/>
    <w:rsid w:val="007D77CA"/>
    <w:rsid w:val="007D79CF"/>
    <w:rsid w:val="007E016A"/>
    <w:rsid w:val="007E0785"/>
    <w:rsid w:val="007E0EED"/>
    <w:rsid w:val="007E1392"/>
    <w:rsid w:val="007E17C7"/>
    <w:rsid w:val="007E2273"/>
    <w:rsid w:val="007E245E"/>
    <w:rsid w:val="007E2544"/>
    <w:rsid w:val="007E2717"/>
    <w:rsid w:val="007E2989"/>
    <w:rsid w:val="007E29C3"/>
    <w:rsid w:val="007E2BB2"/>
    <w:rsid w:val="007E35EC"/>
    <w:rsid w:val="007E3BCA"/>
    <w:rsid w:val="007E46E1"/>
    <w:rsid w:val="007E47EE"/>
    <w:rsid w:val="007E4D62"/>
    <w:rsid w:val="007E500D"/>
    <w:rsid w:val="007E5355"/>
    <w:rsid w:val="007E5ABF"/>
    <w:rsid w:val="007E5DB7"/>
    <w:rsid w:val="007E662C"/>
    <w:rsid w:val="007E6D72"/>
    <w:rsid w:val="007E769A"/>
    <w:rsid w:val="007E7ADB"/>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41EA"/>
    <w:rsid w:val="007F4241"/>
    <w:rsid w:val="007F431F"/>
    <w:rsid w:val="007F486A"/>
    <w:rsid w:val="007F4AD7"/>
    <w:rsid w:val="007F4B70"/>
    <w:rsid w:val="007F5588"/>
    <w:rsid w:val="007F56FF"/>
    <w:rsid w:val="007F5A9B"/>
    <w:rsid w:val="007F5AAC"/>
    <w:rsid w:val="007F677A"/>
    <w:rsid w:val="007F6AB8"/>
    <w:rsid w:val="007F7011"/>
    <w:rsid w:val="007F71CD"/>
    <w:rsid w:val="007F72AA"/>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C98"/>
    <w:rsid w:val="0080628B"/>
    <w:rsid w:val="00807052"/>
    <w:rsid w:val="0080705A"/>
    <w:rsid w:val="00807144"/>
    <w:rsid w:val="00807362"/>
    <w:rsid w:val="0080762D"/>
    <w:rsid w:val="008076E3"/>
    <w:rsid w:val="0080795D"/>
    <w:rsid w:val="00807EC3"/>
    <w:rsid w:val="00810069"/>
    <w:rsid w:val="00810324"/>
    <w:rsid w:val="008103A3"/>
    <w:rsid w:val="00810A1B"/>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215"/>
    <w:rsid w:val="008159E8"/>
    <w:rsid w:val="00815BE0"/>
    <w:rsid w:val="00816886"/>
    <w:rsid w:val="00816D08"/>
    <w:rsid w:val="00816F89"/>
    <w:rsid w:val="0081714D"/>
    <w:rsid w:val="0081733B"/>
    <w:rsid w:val="008178AA"/>
    <w:rsid w:val="00820310"/>
    <w:rsid w:val="00820AE7"/>
    <w:rsid w:val="00820D54"/>
    <w:rsid w:val="008212B5"/>
    <w:rsid w:val="00821577"/>
    <w:rsid w:val="00821751"/>
    <w:rsid w:val="00821A9D"/>
    <w:rsid w:val="00822ACC"/>
    <w:rsid w:val="00822C8A"/>
    <w:rsid w:val="00822D8D"/>
    <w:rsid w:val="0082383C"/>
    <w:rsid w:val="00824A5A"/>
    <w:rsid w:val="00824E12"/>
    <w:rsid w:val="00824F84"/>
    <w:rsid w:val="0082510D"/>
    <w:rsid w:val="0082531E"/>
    <w:rsid w:val="0082551F"/>
    <w:rsid w:val="008259EB"/>
    <w:rsid w:val="00826C51"/>
    <w:rsid w:val="0082719C"/>
    <w:rsid w:val="008274C8"/>
    <w:rsid w:val="00827721"/>
    <w:rsid w:val="00827E06"/>
    <w:rsid w:val="00827E51"/>
    <w:rsid w:val="00827EF3"/>
    <w:rsid w:val="008307AE"/>
    <w:rsid w:val="00830C82"/>
    <w:rsid w:val="00830E0E"/>
    <w:rsid w:val="00830F4C"/>
    <w:rsid w:val="00831D89"/>
    <w:rsid w:val="00831DB8"/>
    <w:rsid w:val="0083293F"/>
    <w:rsid w:val="00832B83"/>
    <w:rsid w:val="00832CD1"/>
    <w:rsid w:val="0083306B"/>
    <w:rsid w:val="00833AB0"/>
    <w:rsid w:val="00833D50"/>
    <w:rsid w:val="00834117"/>
    <w:rsid w:val="00834376"/>
    <w:rsid w:val="008347C3"/>
    <w:rsid w:val="008351E8"/>
    <w:rsid w:val="00835222"/>
    <w:rsid w:val="008355FA"/>
    <w:rsid w:val="00835A6F"/>
    <w:rsid w:val="00835B90"/>
    <w:rsid w:val="00835BC2"/>
    <w:rsid w:val="00836519"/>
    <w:rsid w:val="008365E3"/>
    <w:rsid w:val="0083663F"/>
    <w:rsid w:val="00836E1E"/>
    <w:rsid w:val="008370B3"/>
    <w:rsid w:val="0083797F"/>
    <w:rsid w:val="00837BA9"/>
    <w:rsid w:val="00837EC1"/>
    <w:rsid w:val="00837F11"/>
    <w:rsid w:val="00840AE7"/>
    <w:rsid w:val="00840D95"/>
    <w:rsid w:val="00841461"/>
    <w:rsid w:val="00841F10"/>
    <w:rsid w:val="0084207D"/>
    <w:rsid w:val="00842377"/>
    <w:rsid w:val="00842437"/>
    <w:rsid w:val="00843968"/>
    <w:rsid w:val="00843EBA"/>
    <w:rsid w:val="008449C0"/>
    <w:rsid w:val="00844B49"/>
    <w:rsid w:val="008452F2"/>
    <w:rsid w:val="0084544D"/>
    <w:rsid w:val="0084699A"/>
    <w:rsid w:val="008469E2"/>
    <w:rsid w:val="00846A4D"/>
    <w:rsid w:val="00846E43"/>
    <w:rsid w:val="008470B4"/>
    <w:rsid w:val="008477BE"/>
    <w:rsid w:val="008478AE"/>
    <w:rsid w:val="00847ABD"/>
    <w:rsid w:val="00847ECA"/>
    <w:rsid w:val="00847EF9"/>
    <w:rsid w:val="00850218"/>
    <w:rsid w:val="0085088B"/>
    <w:rsid w:val="00850A2A"/>
    <w:rsid w:val="008515A5"/>
    <w:rsid w:val="008517E3"/>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60124"/>
    <w:rsid w:val="008602BA"/>
    <w:rsid w:val="00860E8A"/>
    <w:rsid w:val="00862117"/>
    <w:rsid w:val="00862895"/>
    <w:rsid w:val="0086327D"/>
    <w:rsid w:val="0086338B"/>
    <w:rsid w:val="00864081"/>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30B8"/>
    <w:rsid w:val="008733B3"/>
    <w:rsid w:val="00873CF0"/>
    <w:rsid w:val="00873EB2"/>
    <w:rsid w:val="00873EE1"/>
    <w:rsid w:val="00874140"/>
    <w:rsid w:val="00874479"/>
    <w:rsid w:val="00874491"/>
    <w:rsid w:val="0087464B"/>
    <w:rsid w:val="00875007"/>
    <w:rsid w:val="008753CC"/>
    <w:rsid w:val="00875890"/>
    <w:rsid w:val="00875C51"/>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2FA"/>
    <w:rsid w:val="008820E3"/>
    <w:rsid w:val="008822CF"/>
    <w:rsid w:val="008823BE"/>
    <w:rsid w:val="0088294B"/>
    <w:rsid w:val="00882C29"/>
    <w:rsid w:val="008831C8"/>
    <w:rsid w:val="00883A92"/>
    <w:rsid w:val="008843BE"/>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DD"/>
    <w:rsid w:val="00890FF4"/>
    <w:rsid w:val="00891121"/>
    <w:rsid w:val="00891DEC"/>
    <w:rsid w:val="0089206D"/>
    <w:rsid w:val="008921D0"/>
    <w:rsid w:val="00892534"/>
    <w:rsid w:val="0089277B"/>
    <w:rsid w:val="00892951"/>
    <w:rsid w:val="00892C4D"/>
    <w:rsid w:val="0089304B"/>
    <w:rsid w:val="00893130"/>
    <w:rsid w:val="008932E9"/>
    <w:rsid w:val="008935FD"/>
    <w:rsid w:val="00893710"/>
    <w:rsid w:val="00893EFE"/>
    <w:rsid w:val="00893F52"/>
    <w:rsid w:val="00894A0A"/>
    <w:rsid w:val="00894CBF"/>
    <w:rsid w:val="00894FDA"/>
    <w:rsid w:val="00895561"/>
    <w:rsid w:val="008956E7"/>
    <w:rsid w:val="008958DF"/>
    <w:rsid w:val="00895992"/>
    <w:rsid w:val="00895E0A"/>
    <w:rsid w:val="00895E49"/>
    <w:rsid w:val="00896A16"/>
    <w:rsid w:val="008973EF"/>
    <w:rsid w:val="008978C1"/>
    <w:rsid w:val="008979B3"/>
    <w:rsid w:val="00897E1C"/>
    <w:rsid w:val="008A0858"/>
    <w:rsid w:val="008A0C5F"/>
    <w:rsid w:val="008A1C15"/>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AA"/>
    <w:rsid w:val="008A68C2"/>
    <w:rsid w:val="008A6DE0"/>
    <w:rsid w:val="008A7063"/>
    <w:rsid w:val="008A79AB"/>
    <w:rsid w:val="008A7E44"/>
    <w:rsid w:val="008A7E72"/>
    <w:rsid w:val="008A7F6D"/>
    <w:rsid w:val="008B11D7"/>
    <w:rsid w:val="008B123D"/>
    <w:rsid w:val="008B128F"/>
    <w:rsid w:val="008B1468"/>
    <w:rsid w:val="008B185B"/>
    <w:rsid w:val="008B2089"/>
    <w:rsid w:val="008B21C5"/>
    <w:rsid w:val="008B248C"/>
    <w:rsid w:val="008B2720"/>
    <w:rsid w:val="008B277D"/>
    <w:rsid w:val="008B2C8F"/>
    <w:rsid w:val="008B3948"/>
    <w:rsid w:val="008B39B0"/>
    <w:rsid w:val="008B3BAD"/>
    <w:rsid w:val="008B3D9C"/>
    <w:rsid w:val="008B3F9D"/>
    <w:rsid w:val="008B3FD8"/>
    <w:rsid w:val="008B41D1"/>
    <w:rsid w:val="008B4654"/>
    <w:rsid w:val="008B5603"/>
    <w:rsid w:val="008B585E"/>
    <w:rsid w:val="008B59D1"/>
    <w:rsid w:val="008B5A8F"/>
    <w:rsid w:val="008B5D7D"/>
    <w:rsid w:val="008B5EF6"/>
    <w:rsid w:val="008B712B"/>
    <w:rsid w:val="008C0284"/>
    <w:rsid w:val="008C091B"/>
    <w:rsid w:val="008C0CBD"/>
    <w:rsid w:val="008C12A9"/>
    <w:rsid w:val="008C14E9"/>
    <w:rsid w:val="008C1569"/>
    <w:rsid w:val="008C1EA7"/>
    <w:rsid w:val="008C21AF"/>
    <w:rsid w:val="008C22D3"/>
    <w:rsid w:val="008C29AD"/>
    <w:rsid w:val="008C29B3"/>
    <w:rsid w:val="008C2A8B"/>
    <w:rsid w:val="008C3072"/>
    <w:rsid w:val="008C30D2"/>
    <w:rsid w:val="008C346B"/>
    <w:rsid w:val="008C397D"/>
    <w:rsid w:val="008C39BD"/>
    <w:rsid w:val="008C41DB"/>
    <w:rsid w:val="008C456D"/>
    <w:rsid w:val="008C492A"/>
    <w:rsid w:val="008C53D8"/>
    <w:rsid w:val="008C5608"/>
    <w:rsid w:val="008C681B"/>
    <w:rsid w:val="008C691C"/>
    <w:rsid w:val="008C6DB6"/>
    <w:rsid w:val="008C6EE5"/>
    <w:rsid w:val="008C7368"/>
    <w:rsid w:val="008C74CC"/>
    <w:rsid w:val="008C79F0"/>
    <w:rsid w:val="008C7AC9"/>
    <w:rsid w:val="008C7B70"/>
    <w:rsid w:val="008C7C66"/>
    <w:rsid w:val="008C7C7E"/>
    <w:rsid w:val="008C7CED"/>
    <w:rsid w:val="008C7DA9"/>
    <w:rsid w:val="008D0115"/>
    <w:rsid w:val="008D032C"/>
    <w:rsid w:val="008D050D"/>
    <w:rsid w:val="008D168D"/>
    <w:rsid w:val="008D17BB"/>
    <w:rsid w:val="008D1D32"/>
    <w:rsid w:val="008D299E"/>
    <w:rsid w:val="008D2B10"/>
    <w:rsid w:val="008D3545"/>
    <w:rsid w:val="008D3624"/>
    <w:rsid w:val="008D389A"/>
    <w:rsid w:val="008D4BEE"/>
    <w:rsid w:val="008D5512"/>
    <w:rsid w:val="008D572F"/>
    <w:rsid w:val="008D5755"/>
    <w:rsid w:val="008D59EB"/>
    <w:rsid w:val="008D6436"/>
    <w:rsid w:val="008D64C0"/>
    <w:rsid w:val="008D6E15"/>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5E9"/>
    <w:rsid w:val="008F0903"/>
    <w:rsid w:val="008F0F2C"/>
    <w:rsid w:val="008F136F"/>
    <w:rsid w:val="008F139F"/>
    <w:rsid w:val="008F1445"/>
    <w:rsid w:val="008F1BDF"/>
    <w:rsid w:val="008F2253"/>
    <w:rsid w:val="008F2BCB"/>
    <w:rsid w:val="008F3545"/>
    <w:rsid w:val="008F35C0"/>
    <w:rsid w:val="008F36BC"/>
    <w:rsid w:val="008F39F8"/>
    <w:rsid w:val="008F40C6"/>
    <w:rsid w:val="008F47BC"/>
    <w:rsid w:val="008F5353"/>
    <w:rsid w:val="008F5741"/>
    <w:rsid w:val="008F580E"/>
    <w:rsid w:val="008F5822"/>
    <w:rsid w:val="008F59D2"/>
    <w:rsid w:val="008F6053"/>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7DE"/>
    <w:rsid w:val="00903ED1"/>
    <w:rsid w:val="00903F2C"/>
    <w:rsid w:val="009040AE"/>
    <w:rsid w:val="0090425F"/>
    <w:rsid w:val="00904EB7"/>
    <w:rsid w:val="00904FB2"/>
    <w:rsid w:val="00905134"/>
    <w:rsid w:val="00905305"/>
    <w:rsid w:val="00905FC3"/>
    <w:rsid w:val="00906453"/>
    <w:rsid w:val="00907911"/>
    <w:rsid w:val="00907AF2"/>
    <w:rsid w:val="00907ECB"/>
    <w:rsid w:val="00910315"/>
    <w:rsid w:val="00910979"/>
    <w:rsid w:val="00910E77"/>
    <w:rsid w:val="00910EA7"/>
    <w:rsid w:val="009113B5"/>
    <w:rsid w:val="009113B8"/>
    <w:rsid w:val="009117D6"/>
    <w:rsid w:val="00911C5C"/>
    <w:rsid w:val="00912E81"/>
    <w:rsid w:val="00913B9B"/>
    <w:rsid w:val="00913D53"/>
    <w:rsid w:val="00914562"/>
    <w:rsid w:val="0091476D"/>
    <w:rsid w:val="00914B37"/>
    <w:rsid w:val="00915130"/>
    <w:rsid w:val="009152E2"/>
    <w:rsid w:val="009153F2"/>
    <w:rsid w:val="0091574D"/>
    <w:rsid w:val="00915838"/>
    <w:rsid w:val="00915CE8"/>
    <w:rsid w:val="00916640"/>
    <w:rsid w:val="009167F0"/>
    <w:rsid w:val="00916D0F"/>
    <w:rsid w:val="0091757B"/>
    <w:rsid w:val="009177E5"/>
    <w:rsid w:val="00920946"/>
    <w:rsid w:val="00920DE8"/>
    <w:rsid w:val="00921811"/>
    <w:rsid w:val="009219BB"/>
    <w:rsid w:val="00921B93"/>
    <w:rsid w:val="00921CE9"/>
    <w:rsid w:val="0092229C"/>
    <w:rsid w:val="00922722"/>
    <w:rsid w:val="009232A5"/>
    <w:rsid w:val="00923420"/>
    <w:rsid w:val="00923627"/>
    <w:rsid w:val="00923799"/>
    <w:rsid w:val="009237F4"/>
    <w:rsid w:val="009239F4"/>
    <w:rsid w:val="00923B0B"/>
    <w:rsid w:val="00923D0D"/>
    <w:rsid w:val="009250EE"/>
    <w:rsid w:val="00925547"/>
    <w:rsid w:val="00925F96"/>
    <w:rsid w:val="00927140"/>
    <w:rsid w:val="009272D5"/>
    <w:rsid w:val="00927669"/>
    <w:rsid w:val="00927812"/>
    <w:rsid w:val="00930C2E"/>
    <w:rsid w:val="009314A6"/>
    <w:rsid w:val="00931F1E"/>
    <w:rsid w:val="009320C9"/>
    <w:rsid w:val="009323EF"/>
    <w:rsid w:val="00932A96"/>
    <w:rsid w:val="0093321C"/>
    <w:rsid w:val="00933E8A"/>
    <w:rsid w:val="00933E96"/>
    <w:rsid w:val="00933EF6"/>
    <w:rsid w:val="00935E55"/>
    <w:rsid w:val="0093738D"/>
    <w:rsid w:val="009373EB"/>
    <w:rsid w:val="009378EB"/>
    <w:rsid w:val="00937BD3"/>
    <w:rsid w:val="00937D99"/>
    <w:rsid w:val="00937FF3"/>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E3B"/>
    <w:rsid w:val="00946F3E"/>
    <w:rsid w:val="009471D2"/>
    <w:rsid w:val="00947432"/>
    <w:rsid w:val="00947D90"/>
    <w:rsid w:val="00947E4F"/>
    <w:rsid w:val="00947E99"/>
    <w:rsid w:val="009501AB"/>
    <w:rsid w:val="00950A35"/>
    <w:rsid w:val="00950A57"/>
    <w:rsid w:val="009513CA"/>
    <w:rsid w:val="009515AE"/>
    <w:rsid w:val="00951DB7"/>
    <w:rsid w:val="00951DEA"/>
    <w:rsid w:val="00952F2E"/>
    <w:rsid w:val="009539A5"/>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C93"/>
    <w:rsid w:val="00957F13"/>
    <w:rsid w:val="0096029D"/>
    <w:rsid w:val="00960FA6"/>
    <w:rsid w:val="009613B5"/>
    <w:rsid w:val="009616B6"/>
    <w:rsid w:val="00961AFA"/>
    <w:rsid w:val="00961B05"/>
    <w:rsid w:val="009629A2"/>
    <w:rsid w:val="00962A52"/>
    <w:rsid w:val="00962AC1"/>
    <w:rsid w:val="0096316F"/>
    <w:rsid w:val="0096391E"/>
    <w:rsid w:val="00963A46"/>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655"/>
    <w:rsid w:val="0097372C"/>
    <w:rsid w:val="00973789"/>
    <w:rsid w:val="00973871"/>
    <w:rsid w:val="00973928"/>
    <w:rsid w:val="0097484D"/>
    <w:rsid w:val="009754E4"/>
    <w:rsid w:val="009755D5"/>
    <w:rsid w:val="009756F8"/>
    <w:rsid w:val="0097595C"/>
    <w:rsid w:val="00976F84"/>
    <w:rsid w:val="00976FDD"/>
    <w:rsid w:val="009772A8"/>
    <w:rsid w:val="009776EF"/>
    <w:rsid w:val="009778B4"/>
    <w:rsid w:val="00977C52"/>
    <w:rsid w:val="00980062"/>
    <w:rsid w:val="00980609"/>
    <w:rsid w:val="00980DC3"/>
    <w:rsid w:val="00980E68"/>
    <w:rsid w:val="00981B17"/>
    <w:rsid w:val="00981C5F"/>
    <w:rsid w:val="00982824"/>
    <w:rsid w:val="00982AF0"/>
    <w:rsid w:val="00982B16"/>
    <w:rsid w:val="00983181"/>
    <w:rsid w:val="00983183"/>
    <w:rsid w:val="009836F7"/>
    <w:rsid w:val="009838C3"/>
    <w:rsid w:val="00983F06"/>
    <w:rsid w:val="00984DB5"/>
    <w:rsid w:val="0098506D"/>
    <w:rsid w:val="00985162"/>
    <w:rsid w:val="009853FD"/>
    <w:rsid w:val="009857F2"/>
    <w:rsid w:val="00985C92"/>
    <w:rsid w:val="009862BA"/>
    <w:rsid w:val="0098652F"/>
    <w:rsid w:val="0098655F"/>
    <w:rsid w:val="0098673A"/>
    <w:rsid w:val="00986AEC"/>
    <w:rsid w:val="00986ED4"/>
    <w:rsid w:val="009870DC"/>
    <w:rsid w:val="0098775A"/>
    <w:rsid w:val="009877FD"/>
    <w:rsid w:val="00987ACA"/>
    <w:rsid w:val="009902C7"/>
    <w:rsid w:val="00991467"/>
    <w:rsid w:val="0099163D"/>
    <w:rsid w:val="0099233D"/>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813"/>
    <w:rsid w:val="009A0BF5"/>
    <w:rsid w:val="009A0E43"/>
    <w:rsid w:val="009A18C2"/>
    <w:rsid w:val="009A27E0"/>
    <w:rsid w:val="009A31E4"/>
    <w:rsid w:val="009A36FB"/>
    <w:rsid w:val="009A37AD"/>
    <w:rsid w:val="009A482B"/>
    <w:rsid w:val="009A5079"/>
    <w:rsid w:val="009A56C5"/>
    <w:rsid w:val="009A56CD"/>
    <w:rsid w:val="009A5799"/>
    <w:rsid w:val="009A6040"/>
    <w:rsid w:val="009A633A"/>
    <w:rsid w:val="009A6E49"/>
    <w:rsid w:val="009A71E1"/>
    <w:rsid w:val="009A74F2"/>
    <w:rsid w:val="009A7669"/>
    <w:rsid w:val="009B1548"/>
    <w:rsid w:val="009B1B62"/>
    <w:rsid w:val="009B1BF6"/>
    <w:rsid w:val="009B1FB9"/>
    <w:rsid w:val="009B21D5"/>
    <w:rsid w:val="009B2EA2"/>
    <w:rsid w:val="009B303D"/>
    <w:rsid w:val="009B3211"/>
    <w:rsid w:val="009B334B"/>
    <w:rsid w:val="009B3C8D"/>
    <w:rsid w:val="009B3FE4"/>
    <w:rsid w:val="009B4556"/>
    <w:rsid w:val="009B4956"/>
    <w:rsid w:val="009B4B36"/>
    <w:rsid w:val="009B4F77"/>
    <w:rsid w:val="009B5312"/>
    <w:rsid w:val="009B593F"/>
    <w:rsid w:val="009B5D0A"/>
    <w:rsid w:val="009B797C"/>
    <w:rsid w:val="009B7BBE"/>
    <w:rsid w:val="009C073A"/>
    <w:rsid w:val="009C0EAE"/>
    <w:rsid w:val="009C1225"/>
    <w:rsid w:val="009C1F9B"/>
    <w:rsid w:val="009C2207"/>
    <w:rsid w:val="009C2E46"/>
    <w:rsid w:val="009C30F3"/>
    <w:rsid w:val="009C354C"/>
    <w:rsid w:val="009C3570"/>
    <w:rsid w:val="009C4165"/>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B9"/>
    <w:rsid w:val="009D15E0"/>
    <w:rsid w:val="009D1AF7"/>
    <w:rsid w:val="009D1EAE"/>
    <w:rsid w:val="009D24B0"/>
    <w:rsid w:val="009D2B6E"/>
    <w:rsid w:val="009D3065"/>
    <w:rsid w:val="009D327C"/>
    <w:rsid w:val="009D35C1"/>
    <w:rsid w:val="009D4B47"/>
    <w:rsid w:val="009D4D15"/>
    <w:rsid w:val="009D53D2"/>
    <w:rsid w:val="009D5698"/>
    <w:rsid w:val="009D56BC"/>
    <w:rsid w:val="009D5A54"/>
    <w:rsid w:val="009D5BAB"/>
    <w:rsid w:val="009D5FED"/>
    <w:rsid w:val="009D6CA9"/>
    <w:rsid w:val="009D6D9B"/>
    <w:rsid w:val="009D6F75"/>
    <w:rsid w:val="009D7140"/>
    <w:rsid w:val="009D7221"/>
    <w:rsid w:val="009D764D"/>
    <w:rsid w:val="009D79D4"/>
    <w:rsid w:val="009E03BE"/>
    <w:rsid w:val="009E05DE"/>
    <w:rsid w:val="009E07FD"/>
    <w:rsid w:val="009E0A18"/>
    <w:rsid w:val="009E1126"/>
    <w:rsid w:val="009E13AE"/>
    <w:rsid w:val="009E191A"/>
    <w:rsid w:val="009E1CD4"/>
    <w:rsid w:val="009E1E46"/>
    <w:rsid w:val="009E1EC4"/>
    <w:rsid w:val="009E1F72"/>
    <w:rsid w:val="009E21C9"/>
    <w:rsid w:val="009E2595"/>
    <w:rsid w:val="009E2765"/>
    <w:rsid w:val="009E27C3"/>
    <w:rsid w:val="009E290A"/>
    <w:rsid w:val="009E3443"/>
    <w:rsid w:val="009E3717"/>
    <w:rsid w:val="009E45DC"/>
    <w:rsid w:val="009E4A18"/>
    <w:rsid w:val="009E4F25"/>
    <w:rsid w:val="009E53DE"/>
    <w:rsid w:val="009E57AD"/>
    <w:rsid w:val="009E5B12"/>
    <w:rsid w:val="009E5D91"/>
    <w:rsid w:val="009E6328"/>
    <w:rsid w:val="009E6E3C"/>
    <w:rsid w:val="009E6F64"/>
    <w:rsid w:val="009E7B8E"/>
    <w:rsid w:val="009E7C41"/>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93D"/>
    <w:rsid w:val="009F5FEB"/>
    <w:rsid w:val="009F6E73"/>
    <w:rsid w:val="009F705A"/>
    <w:rsid w:val="009F7A43"/>
    <w:rsid w:val="009F7D1A"/>
    <w:rsid w:val="009F7E5A"/>
    <w:rsid w:val="00A003DC"/>
    <w:rsid w:val="00A00C04"/>
    <w:rsid w:val="00A00DAE"/>
    <w:rsid w:val="00A00E0B"/>
    <w:rsid w:val="00A017B9"/>
    <w:rsid w:val="00A01943"/>
    <w:rsid w:val="00A021A0"/>
    <w:rsid w:val="00A0249D"/>
    <w:rsid w:val="00A027ED"/>
    <w:rsid w:val="00A02BC3"/>
    <w:rsid w:val="00A031B0"/>
    <w:rsid w:val="00A034B8"/>
    <w:rsid w:val="00A03584"/>
    <w:rsid w:val="00A03593"/>
    <w:rsid w:val="00A03642"/>
    <w:rsid w:val="00A03973"/>
    <w:rsid w:val="00A03BD1"/>
    <w:rsid w:val="00A04398"/>
    <w:rsid w:val="00A04623"/>
    <w:rsid w:val="00A04A46"/>
    <w:rsid w:val="00A04D9B"/>
    <w:rsid w:val="00A0505D"/>
    <w:rsid w:val="00A05734"/>
    <w:rsid w:val="00A0582E"/>
    <w:rsid w:val="00A063C3"/>
    <w:rsid w:val="00A06DE6"/>
    <w:rsid w:val="00A06EA2"/>
    <w:rsid w:val="00A0714C"/>
    <w:rsid w:val="00A07550"/>
    <w:rsid w:val="00A07618"/>
    <w:rsid w:val="00A0794F"/>
    <w:rsid w:val="00A07DC4"/>
    <w:rsid w:val="00A1023A"/>
    <w:rsid w:val="00A10F54"/>
    <w:rsid w:val="00A110B6"/>
    <w:rsid w:val="00A11385"/>
    <w:rsid w:val="00A1174F"/>
    <w:rsid w:val="00A11B45"/>
    <w:rsid w:val="00A11BD0"/>
    <w:rsid w:val="00A11F92"/>
    <w:rsid w:val="00A12D78"/>
    <w:rsid w:val="00A132B9"/>
    <w:rsid w:val="00A1330D"/>
    <w:rsid w:val="00A13D6A"/>
    <w:rsid w:val="00A144D1"/>
    <w:rsid w:val="00A14E4F"/>
    <w:rsid w:val="00A14ED0"/>
    <w:rsid w:val="00A162CE"/>
    <w:rsid w:val="00A16439"/>
    <w:rsid w:val="00A164EB"/>
    <w:rsid w:val="00A1666F"/>
    <w:rsid w:val="00A172D7"/>
    <w:rsid w:val="00A17363"/>
    <w:rsid w:val="00A17DF6"/>
    <w:rsid w:val="00A2033C"/>
    <w:rsid w:val="00A20628"/>
    <w:rsid w:val="00A211EF"/>
    <w:rsid w:val="00A2161D"/>
    <w:rsid w:val="00A222F9"/>
    <w:rsid w:val="00A22554"/>
    <w:rsid w:val="00A2309A"/>
    <w:rsid w:val="00A23351"/>
    <w:rsid w:val="00A23D92"/>
    <w:rsid w:val="00A246EE"/>
    <w:rsid w:val="00A24B00"/>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30D3"/>
    <w:rsid w:val="00A3350B"/>
    <w:rsid w:val="00A33732"/>
    <w:rsid w:val="00A33A88"/>
    <w:rsid w:val="00A33D1E"/>
    <w:rsid w:val="00A344AA"/>
    <w:rsid w:val="00A3491F"/>
    <w:rsid w:val="00A34A81"/>
    <w:rsid w:val="00A34E79"/>
    <w:rsid w:val="00A34F53"/>
    <w:rsid w:val="00A359E6"/>
    <w:rsid w:val="00A369B2"/>
    <w:rsid w:val="00A36D51"/>
    <w:rsid w:val="00A37206"/>
    <w:rsid w:val="00A378B8"/>
    <w:rsid w:val="00A379A6"/>
    <w:rsid w:val="00A37B3E"/>
    <w:rsid w:val="00A37FC0"/>
    <w:rsid w:val="00A40308"/>
    <w:rsid w:val="00A408B8"/>
    <w:rsid w:val="00A408D1"/>
    <w:rsid w:val="00A408F4"/>
    <w:rsid w:val="00A4117F"/>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FE4"/>
    <w:rsid w:val="00A4700A"/>
    <w:rsid w:val="00A470C3"/>
    <w:rsid w:val="00A47738"/>
    <w:rsid w:val="00A47789"/>
    <w:rsid w:val="00A4795C"/>
    <w:rsid w:val="00A500D2"/>
    <w:rsid w:val="00A501AA"/>
    <w:rsid w:val="00A50C0E"/>
    <w:rsid w:val="00A515A3"/>
    <w:rsid w:val="00A51DC8"/>
    <w:rsid w:val="00A5204B"/>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6A"/>
    <w:rsid w:val="00A57422"/>
    <w:rsid w:val="00A57C5E"/>
    <w:rsid w:val="00A57D8F"/>
    <w:rsid w:val="00A57F46"/>
    <w:rsid w:val="00A60301"/>
    <w:rsid w:val="00A606B5"/>
    <w:rsid w:val="00A60C14"/>
    <w:rsid w:val="00A60F34"/>
    <w:rsid w:val="00A61011"/>
    <w:rsid w:val="00A61026"/>
    <w:rsid w:val="00A614C1"/>
    <w:rsid w:val="00A615F6"/>
    <w:rsid w:val="00A6165A"/>
    <w:rsid w:val="00A61759"/>
    <w:rsid w:val="00A61A43"/>
    <w:rsid w:val="00A61B9F"/>
    <w:rsid w:val="00A62277"/>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D32"/>
    <w:rsid w:val="00A64E8D"/>
    <w:rsid w:val="00A6578C"/>
    <w:rsid w:val="00A65E26"/>
    <w:rsid w:val="00A66626"/>
    <w:rsid w:val="00A66848"/>
    <w:rsid w:val="00A66F2D"/>
    <w:rsid w:val="00A66FBE"/>
    <w:rsid w:val="00A702BD"/>
    <w:rsid w:val="00A70579"/>
    <w:rsid w:val="00A71133"/>
    <w:rsid w:val="00A711D1"/>
    <w:rsid w:val="00A716F4"/>
    <w:rsid w:val="00A739F0"/>
    <w:rsid w:val="00A73E4D"/>
    <w:rsid w:val="00A7424E"/>
    <w:rsid w:val="00A74716"/>
    <w:rsid w:val="00A74AAD"/>
    <w:rsid w:val="00A757C2"/>
    <w:rsid w:val="00A76A6E"/>
    <w:rsid w:val="00A76B1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5937"/>
    <w:rsid w:val="00A85E32"/>
    <w:rsid w:val="00A860CB"/>
    <w:rsid w:val="00A865CC"/>
    <w:rsid w:val="00A869FF"/>
    <w:rsid w:val="00A87335"/>
    <w:rsid w:val="00A87A27"/>
    <w:rsid w:val="00A87F61"/>
    <w:rsid w:val="00A9056E"/>
    <w:rsid w:val="00A905F6"/>
    <w:rsid w:val="00A90834"/>
    <w:rsid w:val="00A908AB"/>
    <w:rsid w:val="00A913BF"/>
    <w:rsid w:val="00A9151A"/>
    <w:rsid w:val="00A9167E"/>
    <w:rsid w:val="00A91D41"/>
    <w:rsid w:val="00A9215F"/>
    <w:rsid w:val="00A92D35"/>
    <w:rsid w:val="00A93B6F"/>
    <w:rsid w:val="00A93B9F"/>
    <w:rsid w:val="00A93C74"/>
    <w:rsid w:val="00A94178"/>
    <w:rsid w:val="00A941C7"/>
    <w:rsid w:val="00A94443"/>
    <w:rsid w:val="00A94DF4"/>
    <w:rsid w:val="00A954E3"/>
    <w:rsid w:val="00A963A3"/>
    <w:rsid w:val="00A964D0"/>
    <w:rsid w:val="00A96897"/>
    <w:rsid w:val="00A96B42"/>
    <w:rsid w:val="00A96ED8"/>
    <w:rsid w:val="00A96F46"/>
    <w:rsid w:val="00A96FEC"/>
    <w:rsid w:val="00A974E3"/>
    <w:rsid w:val="00A97BEE"/>
    <w:rsid w:val="00A97D59"/>
    <w:rsid w:val="00AA0110"/>
    <w:rsid w:val="00AA1238"/>
    <w:rsid w:val="00AA123B"/>
    <w:rsid w:val="00AA1570"/>
    <w:rsid w:val="00AA175B"/>
    <w:rsid w:val="00AA1763"/>
    <w:rsid w:val="00AA1F45"/>
    <w:rsid w:val="00AA2256"/>
    <w:rsid w:val="00AA2494"/>
    <w:rsid w:val="00AA29A8"/>
    <w:rsid w:val="00AA3275"/>
    <w:rsid w:val="00AA3511"/>
    <w:rsid w:val="00AA3B3A"/>
    <w:rsid w:val="00AA3FD7"/>
    <w:rsid w:val="00AA4322"/>
    <w:rsid w:val="00AA44E1"/>
    <w:rsid w:val="00AA4605"/>
    <w:rsid w:val="00AA4785"/>
    <w:rsid w:val="00AA4C1C"/>
    <w:rsid w:val="00AA6593"/>
    <w:rsid w:val="00AA687D"/>
    <w:rsid w:val="00AA6FDF"/>
    <w:rsid w:val="00AA7345"/>
    <w:rsid w:val="00AA756A"/>
    <w:rsid w:val="00AB074A"/>
    <w:rsid w:val="00AB0A61"/>
    <w:rsid w:val="00AB0AAD"/>
    <w:rsid w:val="00AB10F8"/>
    <w:rsid w:val="00AB1753"/>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838"/>
    <w:rsid w:val="00AC0C89"/>
    <w:rsid w:val="00AC0E87"/>
    <w:rsid w:val="00AC16D7"/>
    <w:rsid w:val="00AC1FA8"/>
    <w:rsid w:val="00AC202E"/>
    <w:rsid w:val="00AC26FF"/>
    <w:rsid w:val="00AC2863"/>
    <w:rsid w:val="00AC2ACE"/>
    <w:rsid w:val="00AC2AE2"/>
    <w:rsid w:val="00AC3326"/>
    <w:rsid w:val="00AC3567"/>
    <w:rsid w:val="00AC35AC"/>
    <w:rsid w:val="00AC3636"/>
    <w:rsid w:val="00AC47B3"/>
    <w:rsid w:val="00AC5922"/>
    <w:rsid w:val="00AC5955"/>
    <w:rsid w:val="00AC5B3F"/>
    <w:rsid w:val="00AC6063"/>
    <w:rsid w:val="00AC62DE"/>
    <w:rsid w:val="00AC7766"/>
    <w:rsid w:val="00AD0639"/>
    <w:rsid w:val="00AD0A1C"/>
    <w:rsid w:val="00AD0A45"/>
    <w:rsid w:val="00AD0AB2"/>
    <w:rsid w:val="00AD0B8E"/>
    <w:rsid w:val="00AD0DFD"/>
    <w:rsid w:val="00AD1176"/>
    <w:rsid w:val="00AD157B"/>
    <w:rsid w:val="00AD17B5"/>
    <w:rsid w:val="00AD245C"/>
    <w:rsid w:val="00AD24CC"/>
    <w:rsid w:val="00AD24EE"/>
    <w:rsid w:val="00AD2C4C"/>
    <w:rsid w:val="00AD351B"/>
    <w:rsid w:val="00AD38C1"/>
    <w:rsid w:val="00AD3AF4"/>
    <w:rsid w:val="00AD3B24"/>
    <w:rsid w:val="00AD3CC1"/>
    <w:rsid w:val="00AD3E2C"/>
    <w:rsid w:val="00AD42EF"/>
    <w:rsid w:val="00AD45D9"/>
    <w:rsid w:val="00AD4E01"/>
    <w:rsid w:val="00AD4FAD"/>
    <w:rsid w:val="00AD505A"/>
    <w:rsid w:val="00AD58E7"/>
    <w:rsid w:val="00AD5DB1"/>
    <w:rsid w:val="00AD5F07"/>
    <w:rsid w:val="00AD60B9"/>
    <w:rsid w:val="00AD6284"/>
    <w:rsid w:val="00AD6501"/>
    <w:rsid w:val="00AD65A3"/>
    <w:rsid w:val="00AD65B5"/>
    <w:rsid w:val="00AD6875"/>
    <w:rsid w:val="00AD6A23"/>
    <w:rsid w:val="00AD6ED1"/>
    <w:rsid w:val="00AD6FBB"/>
    <w:rsid w:val="00AD7037"/>
    <w:rsid w:val="00AD72AE"/>
    <w:rsid w:val="00AE0264"/>
    <w:rsid w:val="00AE03C5"/>
    <w:rsid w:val="00AE0492"/>
    <w:rsid w:val="00AE092D"/>
    <w:rsid w:val="00AE09CB"/>
    <w:rsid w:val="00AE1083"/>
    <w:rsid w:val="00AE1B27"/>
    <w:rsid w:val="00AE2BE8"/>
    <w:rsid w:val="00AE2F7B"/>
    <w:rsid w:val="00AE336A"/>
    <w:rsid w:val="00AE38A0"/>
    <w:rsid w:val="00AE457B"/>
    <w:rsid w:val="00AE47A3"/>
    <w:rsid w:val="00AE47D3"/>
    <w:rsid w:val="00AE47FD"/>
    <w:rsid w:val="00AE489A"/>
    <w:rsid w:val="00AE48D4"/>
    <w:rsid w:val="00AE4A05"/>
    <w:rsid w:val="00AE4D60"/>
    <w:rsid w:val="00AE5099"/>
    <w:rsid w:val="00AE50AC"/>
    <w:rsid w:val="00AE51E2"/>
    <w:rsid w:val="00AE5456"/>
    <w:rsid w:val="00AE55C6"/>
    <w:rsid w:val="00AE56B9"/>
    <w:rsid w:val="00AE57C8"/>
    <w:rsid w:val="00AE584A"/>
    <w:rsid w:val="00AE61A5"/>
    <w:rsid w:val="00AE6651"/>
    <w:rsid w:val="00AE7610"/>
    <w:rsid w:val="00AE7690"/>
    <w:rsid w:val="00AE78E5"/>
    <w:rsid w:val="00AE7BC5"/>
    <w:rsid w:val="00AE7DE5"/>
    <w:rsid w:val="00AE7E08"/>
    <w:rsid w:val="00AE7E66"/>
    <w:rsid w:val="00AF01CF"/>
    <w:rsid w:val="00AF0BB1"/>
    <w:rsid w:val="00AF0D8E"/>
    <w:rsid w:val="00AF0F54"/>
    <w:rsid w:val="00AF1671"/>
    <w:rsid w:val="00AF185C"/>
    <w:rsid w:val="00AF1EA7"/>
    <w:rsid w:val="00AF2163"/>
    <w:rsid w:val="00AF2759"/>
    <w:rsid w:val="00AF293F"/>
    <w:rsid w:val="00AF29FD"/>
    <w:rsid w:val="00AF311F"/>
    <w:rsid w:val="00AF31D3"/>
    <w:rsid w:val="00AF37D9"/>
    <w:rsid w:val="00AF3EA9"/>
    <w:rsid w:val="00AF494C"/>
    <w:rsid w:val="00AF4BC1"/>
    <w:rsid w:val="00AF4EA3"/>
    <w:rsid w:val="00AF5288"/>
    <w:rsid w:val="00AF5EFD"/>
    <w:rsid w:val="00AF6709"/>
    <w:rsid w:val="00AF67E3"/>
    <w:rsid w:val="00AF7ADA"/>
    <w:rsid w:val="00AF7E11"/>
    <w:rsid w:val="00B00232"/>
    <w:rsid w:val="00B00935"/>
    <w:rsid w:val="00B00A96"/>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6AA0"/>
    <w:rsid w:val="00B06F47"/>
    <w:rsid w:val="00B07B9F"/>
    <w:rsid w:val="00B103F0"/>
    <w:rsid w:val="00B10456"/>
    <w:rsid w:val="00B10A4F"/>
    <w:rsid w:val="00B10DBA"/>
    <w:rsid w:val="00B11056"/>
    <w:rsid w:val="00B11251"/>
    <w:rsid w:val="00B112D1"/>
    <w:rsid w:val="00B1174B"/>
    <w:rsid w:val="00B11835"/>
    <w:rsid w:val="00B11E1B"/>
    <w:rsid w:val="00B128DF"/>
    <w:rsid w:val="00B131C1"/>
    <w:rsid w:val="00B137AB"/>
    <w:rsid w:val="00B13863"/>
    <w:rsid w:val="00B1420C"/>
    <w:rsid w:val="00B14727"/>
    <w:rsid w:val="00B14778"/>
    <w:rsid w:val="00B154A3"/>
    <w:rsid w:val="00B15560"/>
    <w:rsid w:val="00B15AB9"/>
    <w:rsid w:val="00B15CA9"/>
    <w:rsid w:val="00B15D17"/>
    <w:rsid w:val="00B16078"/>
    <w:rsid w:val="00B16304"/>
    <w:rsid w:val="00B16591"/>
    <w:rsid w:val="00B168EA"/>
    <w:rsid w:val="00B16F6E"/>
    <w:rsid w:val="00B17624"/>
    <w:rsid w:val="00B178FE"/>
    <w:rsid w:val="00B17D3B"/>
    <w:rsid w:val="00B17ED2"/>
    <w:rsid w:val="00B20205"/>
    <w:rsid w:val="00B20286"/>
    <w:rsid w:val="00B208DE"/>
    <w:rsid w:val="00B20EB8"/>
    <w:rsid w:val="00B21189"/>
    <w:rsid w:val="00B212EC"/>
    <w:rsid w:val="00B2132E"/>
    <w:rsid w:val="00B21A22"/>
    <w:rsid w:val="00B22592"/>
    <w:rsid w:val="00B22658"/>
    <w:rsid w:val="00B22713"/>
    <w:rsid w:val="00B22C89"/>
    <w:rsid w:val="00B23209"/>
    <w:rsid w:val="00B2365F"/>
    <w:rsid w:val="00B239B1"/>
    <w:rsid w:val="00B23C38"/>
    <w:rsid w:val="00B24AC1"/>
    <w:rsid w:val="00B250D1"/>
    <w:rsid w:val="00B257FD"/>
    <w:rsid w:val="00B25BB7"/>
    <w:rsid w:val="00B25F4E"/>
    <w:rsid w:val="00B25FC7"/>
    <w:rsid w:val="00B264D1"/>
    <w:rsid w:val="00B26B00"/>
    <w:rsid w:val="00B26DAC"/>
    <w:rsid w:val="00B270FC"/>
    <w:rsid w:val="00B2712C"/>
    <w:rsid w:val="00B2769D"/>
    <w:rsid w:val="00B27DC6"/>
    <w:rsid w:val="00B27EFE"/>
    <w:rsid w:val="00B301D9"/>
    <w:rsid w:val="00B303AA"/>
    <w:rsid w:val="00B30B16"/>
    <w:rsid w:val="00B31433"/>
    <w:rsid w:val="00B31464"/>
    <w:rsid w:val="00B31B42"/>
    <w:rsid w:val="00B31B4D"/>
    <w:rsid w:val="00B31F17"/>
    <w:rsid w:val="00B3349C"/>
    <w:rsid w:val="00B336FA"/>
    <w:rsid w:val="00B33ABF"/>
    <w:rsid w:val="00B33E8E"/>
    <w:rsid w:val="00B33F41"/>
    <w:rsid w:val="00B343C4"/>
    <w:rsid w:val="00B345AF"/>
    <w:rsid w:val="00B34643"/>
    <w:rsid w:val="00B34F8A"/>
    <w:rsid w:val="00B35183"/>
    <w:rsid w:val="00B355BB"/>
    <w:rsid w:val="00B35BD5"/>
    <w:rsid w:val="00B360AC"/>
    <w:rsid w:val="00B3697E"/>
    <w:rsid w:val="00B36BAE"/>
    <w:rsid w:val="00B370C4"/>
    <w:rsid w:val="00B3723F"/>
    <w:rsid w:val="00B37A6D"/>
    <w:rsid w:val="00B37BAB"/>
    <w:rsid w:val="00B37D07"/>
    <w:rsid w:val="00B37DA3"/>
    <w:rsid w:val="00B402E8"/>
    <w:rsid w:val="00B404D6"/>
    <w:rsid w:val="00B4062D"/>
    <w:rsid w:val="00B40C20"/>
    <w:rsid w:val="00B40D00"/>
    <w:rsid w:val="00B4108F"/>
    <w:rsid w:val="00B410E0"/>
    <w:rsid w:val="00B41231"/>
    <w:rsid w:val="00B415F5"/>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51066"/>
    <w:rsid w:val="00B513C4"/>
    <w:rsid w:val="00B51755"/>
    <w:rsid w:val="00B51ABA"/>
    <w:rsid w:val="00B51D0B"/>
    <w:rsid w:val="00B51FD8"/>
    <w:rsid w:val="00B520BC"/>
    <w:rsid w:val="00B5300E"/>
    <w:rsid w:val="00B53121"/>
    <w:rsid w:val="00B53152"/>
    <w:rsid w:val="00B54378"/>
    <w:rsid w:val="00B5494E"/>
    <w:rsid w:val="00B54AE6"/>
    <w:rsid w:val="00B54CB6"/>
    <w:rsid w:val="00B54E8F"/>
    <w:rsid w:val="00B54F1A"/>
    <w:rsid w:val="00B5503A"/>
    <w:rsid w:val="00B55062"/>
    <w:rsid w:val="00B5638A"/>
    <w:rsid w:val="00B56FF5"/>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33F7"/>
    <w:rsid w:val="00B6355C"/>
    <w:rsid w:val="00B63ACA"/>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7033"/>
    <w:rsid w:val="00B6719C"/>
    <w:rsid w:val="00B67714"/>
    <w:rsid w:val="00B705CE"/>
    <w:rsid w:val="00B70652"/>
    <w:rsid w:val="00B709E2"/>
    <w:rsid w:val="00B70C96"/>
    <w:rsid w:val="00B70D00"/>
    <w:rsid w:val="00B70D50"/>
    <w:rsid w:val="00B71171"/>
    <w:rsid w:val="00B7169B"/>
    <w:rsid w:val="00B71CEF"/>
    <w:rsid w:val="00B71F47"/>
    <w:rsid w:val="00B7230F"/>
    <w:rsid w:val="00B723A1"/>
    <w:rsid w:val="00B73307"/>
    <w:rsid w:val="00B73C56"/>
    <w:rsid w:val="00B73E67"/>
    <w:rsid w:val="00B74491"/>
    <w:rsid w:val="00B74C70"/>
    <w:rsid w:val="00B74DCA"/>
    <w:rsid w:val="00B74F28"/>
    <w:rsid w:val="00B75525"/>
    <w:rsid w:val="00B75D39"/>
    <w:rsid w:val="00B76115"/>
    <w:rsid w:val="00B76267"/>
    <w:rsid w:val="00B76A14"/>
    <w:rsid w:val="00B76F93"/>
    <w:rsid w:val="00B77157"/>
    <w:rsid w:val="00B77AAC"/>
    <w:rsid w:val="00B77AD5"/>
    <w:rsid w:val="00B77C64"/>
    <w:rsid w:val="00B80528"/>
    <w:rsid w:val="00B8084E"/>
    <w:rsid w:val="00B810EB"/>
    <w:rsid w:val="00B812BB"/>
    <w:rsid w:val="00B81349"/>
    <w:rsid w:val="00B81EBB"/>
    <w:rsid w:val="00B820E6"/>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F06"/>
    <w:rsid w:val="00B93103"/>
    <w:rsid w:val="00B939AA"/>
    <w:rsid w:val="00B93A4C"/>
    <w:rsid w:val="00B93B34"/>
    <w:rsid w:val="00B94DBA"/>
    <w:rsid w:val="00B95411"/>
    <w:rsid w:val="00B9558A"/>
    <w:rsid w:val="00B95837"/>
    <w:rsid w:val="00B958CF"/>
    <w:rsid w:val="00B95FEF"/>
    <w:rsid w:val="00B9612E"/>
    <w:rsid w:val="00B96919"/>
    <w:rsid w:val="00B97078"/>
    <w:rsid w:val="00BA0682"/>
    <w:rsid w:val="00BA071A"/>
    <w:rsid w:val="00BA0D21"/>
    <w:rsid w:val="00BA0F2C"/>
    <w:rsid w:val="00BA1220"/>
    <w:rsid w:val="00BA1511"/>
    <w:rsid w:val="00BA29F0"/>
    <w:rsid w:val="00BA30FC"/>
    <w:rsid w:val="00BA3414"/>
    <w:rsid w:val="00BA3FBA"/>
    <w:rsid w:val="00BA421D"/>
    <w:rsid w:val="00BA43BE"/>
    <w:rsid w:val="00BA4DD6"/>
    <w:rsid w:val="00BA5C1F"/>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23F4"/>
    <w:rsid w:val="00BB3176"/>
    <w:rsid w:val="00BB342D"/>
    <w:rsid w:val="00BB38B7"/>
    <w:rsid w:val="00BB3BA3"/>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874"/>
    <w:rsid w:val="00BC2A70"/>
    <w:rsid w:val="00BC2D9B"/>
    <w:rsid w:val="00BC3957"/>
    <w:rsid w:val="00BC3E26"/>
    <w:rsid w:val="00BC4314"/>
    <w:rsid w:val="00BC5466"/>
    <w:rsid w:val="00BC553F"/>
    <w:rsid w:val="00BC58FB"/>
    <w:rsid w:val="00BC7772"/>
    <w:rsid w:val="00BC7A30"/>
    <w:rsid w:val="00BD006E"/>
    <w:rsid w:val="00BD08C4"/>
    <w:rsid w:val="00BD0A4A"/>
    <w:rsid w:val="00BD0BDF"/>
    <w:rsid w:val="00BD0DE2"/>
    <w:rsid w:val="00BD0E87"/>
    <w:rsid w:val="00BD1056"/>
    <w:rsid w:val="00BD1D83"/>
    <w:rsid w:val="00BD1E94"/>
    <w:rsid w:val="00BD202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4FB"/>
    <w:rsid w:val="00BD5A92"/>
    <w:rsid w:val="00BD5F76"/>
    <w:rsid w:val="00BD634F"/>
    <w:rsid w:val="00BD6644"/>
    <w:rsid w:val="00BD66B0"/>
    <w:rsid w:val="00BD6B20"/>
    <w:rsid w:val="00BD6EF7"/>
    <w:rsid w:val="00BD733E"/>
    <w:rsid w:val="00BD7346"/>
    <w:rsid w:val="00BD737F"/>
    <w:rsid w:val="00BD746D"/>
    <w:rsid w:val="00BD756F"/>
    <w:rsid w:val="00BD7B94"/>
    <w:rsid w:val="00BD7C39"/>
    <w:rsid w:val="00BD7C90"/>
    <w:rsid w:val="00BE0CB2"/>
    <w:rsid w:val="00BE13CC"/>
    <w:rsid w:val="00BE1C73"/>
    <w:rsid w:val="00BE25D2"/>
    <w:rsid w:val="00BE3C4B"/>
    <w:rsid w:val="00BE5DF1"/>
    <w:rsid w:val="00BE6B4E"/>
    <w:rsid w:val="00BE6BD8"/>
    <w:rsid w:val="00BE7403"/>
    <w:rsid w:val="00BE756D"/>
    <w:rsid w:val="00BF0479"/>
    <w:rsid w:val="00BF0487"/>
    <w:rsid w:val="00BF0710"/>
    <w:rsid w:val="00BF0CFA"/>
    <w:rsid w:val="00BF0F3A"/>
    <w:rsid w:val="00BF0F58"/>
    <w:rsid w:val="00BF1155"/>
    <w:rsid w:val="00BF123A"/>
    <w:rsid w:val="00BF1795"/>
    <w:rsid w:val="00BF1E6D"/>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9E"/>
    <w:rsid w:val="00BF6C41"/>
    <w:rsid w:val="00BF789B"/>
    <w:rsid w:val="00C002D5"/>
    <w:rsid w:val="00C008B0"/>
    <w:rsid w:val="00C009F3"/>
    <w:rsid w:val="00C020DD"/>
    <w:rsid w:val="00C02220"/>
    <w:rsid w:val="00C026B7"/>
    <w:rsid w:val="00C0306D"/>
    <w:rsid w:val="00C0307A"/>
    <w:rsid w:val="00C03417"/>
    <w:rsid w:val="00C0375C"/>
    <w:rsid w:val="00C04380"/>
    <w:rsid w:val="00C04581"/>
    <w:rsid w:val="00C04987"/>
    <w:rsid w:val="00C0545B"/>
    <w:rsid w:val="00C056D1"/>
    <w:rsid w:val="00C05AC1"/>
    <w:rsid w:val="00C05C52"/>
    <w:rsid w:val="00C066A7"/>
    <w:rsid w:val="00C06796"/>
    <w:rsid w:val="00C068E2"/>
    <w:rsid w:val="00C07AC8"/>
    <w:rsid w:val="00C104CE"/>
    <w:rsid w:val="00C10A24"/>
    <w:rsid w:val="00C1142D"/>
    <w:rsid w:val="00C1185D"/>
    <w:rsid w:val="00C1292A"/>
    <w:rsid w:val="00C12AF8"/>
    <w:rsid w:val="00C132E2"/>
    <w:rsid w:val="00C133C7"/>
    <w:rsid w:val="00C134BD"/>
    <w:rsid w:val="00C13970"/>
    <w:rsid w:val="00C14611"/>
    <w:rsid w:val="00C1478D"/>
    <w:rsid w:val="00C15021"/>
    <w:rsid w:val="00C15775"/>
    <w:rsid w:val="00C16C10"/>
    <w:rsid w:val="00C16E31"/>
    <w:rsid w:val="00C16EC1"/>
    <w:rsid w:val="00C17399"/>
    <w:rsid w:val="00C174FD"/>
    <w:rsid w:val="00C17A18"/>
    <w:rsid w:val="00C17EB6"/>
    <w:rsid w:val="00C206B6"/>
    <w:rsid w:val="00C20BEA"/>
    <w:rsid w:val="00C20EEF"/>
    <w:rsid w:val="00C21174"/>
    <w:rsid w:val="00C2135C"/>
    <w:rsid w:val="00C219A2"/>
    <w:rsid w:val="00C21A16"/>
    <w:rsid w:val="00C23661"/>
    <w:rsid w:val="00C2425C"/>
    <w:rsid w:val="00C24299"/>
    <w:rsid w:val="00C24E98"/>
    <w:rsid w:val="00C2519F"/>
    <w:rsid w:val="00C251F6"/>
    <w:rsid w:val="00C25233"/>
    <w:rsid w:val="00C254F2"/>
    <w:rsid w:val="00C26011"/>
    <w:rsid w:val="00C268A3"/>
    <w:rsid w:val="00C27121"/>
    <w:rsid w:val="00C27447"/>
    <w:rsid w:val="00C308F5"/>
    <w:rsid w:val="00C3112C"/>
    <w:rsid w:val="00C313A1"/>
    <w:rsid w:val="00C31CA6"/>
    <w:rsid w:val="00C322AC"/>
    <w:rsid w:val="00C326C4"/>
    <w:rsid w:val="00C32823"/>
    <w:rsid w:val="00C3294C"/>
    <w:rsid w:val="00C32D67"/>
    <w:rsid w:val="00C32FFF"/>
    <w:rsid w:val="00C3303F"/>
    <w:rsid w:val="00C331B2"/>
    <w:rsid w:val="00C3343C"/>
    <w:rsid w:val="00C3363F"/>
    <w:rsid w:val="00C33B18"/>
    <w:rsid w:val="00C33BF3"/>
    <w:rsid w:val="00C33C78"/>
    <w:rsid w:val="00C347CC"/>
    <w:rsid w:val="00C34883"/>
    <w:rsid w:val="00C34B75"/>
    <w:rsid w:val="00C34F9D"/>
    <w:rsid w:val="00C3525A"/>
    <w:rsid w:val="00C366AD"/>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117E"/>
    <w:rsid w:val="00C4131A"/>
    <w:rsid w:val="00C416D1"/>
    <w:rsid w:val="00C417B1"/>
    <w:rsid w:val="00C41912"/>
    <w:rsid w:val="00C41F8A"/>
    <w:rsid w:val="00C41FB1"/>
    <w:rsid w:val="00C42538"/>
    <w:rsid w:val="00C42A87"/>
    <w:rsid w:val="00C42DBB"/>
    <w:rsid w:val="00C42E3E"/>
    <w:rsid w:val="00C4324D"/>
    <w:rsid w:val="00C4392C"/>
    <w:rsid w:val="00C43A81"/>
    <w:rsid w:val="00C44172"/>
    <w:rsid w:val="00C44495"/>
    <w:rsid w:val="00C44CB5"/>
    <w:rsid w:val="00C452E4"/>
    <w:rsid w:val="00C4560D"/>
    <w:rsid w:val="00C45849"/>
    <w:rsid w:val="00C45C7C"/>
    <w:rsid w:val="00C45CCA"/>
    <w:rsid w:val="00C45D67"/>
    <w:rsid w:val="00C45EBE"/>
    <w:rsid w:val="00C4607A"/>
    <w:rsid w:val="00C4723F"/>
    <w:rsid w:val="00C47282"/>
    <w:rsid w:val="00C475FE"/>
    <w:rsid w:val="00C4765A"/>
    <w:rsid w:val="00C4780A"/>
    <w:rsid w:val="00C47A8A"/>
    <w:rsid w:val="00C47C6C"/>
    <w:rsid w:val="00C50709"/>
    <w:rsid w:val="00C50BC1"/>
    <w:rsid w:val="00C50C95"/>
    <w:rsid w:val="00C50CAA"/>
    <w:rsid w:val="00C5124A"/>
    <w:rsid w:val="00C51825"/>
    <w:rsid w:val="00C52A3E"/>
    <w:rsid w:val="00C53239"/>
    <w:rsid w:val="00C532E6"/>
    <w:rsid w:val="00C53325"/>
    <w:rsid w:val="00C533E6"/>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89"/>
    <w:rsid w:val="00C615DC"/>
    <w:rsid w:val="00C61F5A"/>
    <w:rsid w:val="00C62AFD"/>
    <w:rsid w:val="00C6345A"/>
    <w:rsid w:val="00C638AC"/>
    <w:rsid w:val="00C6395D"/>
    <w:rsid w:val="00C63B57"/>
    <w:rsid w:val="00C63D86"/>
    <w:rsid w:val="00C6574C"/>
    <w:rsid w:val="00C659FE"/>
    <w:rsid w:val="00C6644F"/>
    <w:rsid w:val="00C6716E"/>
    <w:rsid w:val="00C67209"/>
    <w:rsid w:val="00C6724B"/>
    <w:rsid w:val="00C673FF"/>
    <w:rsid w:val="00C67D37"/>
    <w:rsid w:val="00C67DF8"/>
    <w:rsid w:val="00C67EFA"/>
    <w:rsid w:val="00C70291"/>
    <w:rsid w:val="00C70D2F"/>
    <w:rsid w:val="00C71477"/>
    <w:rsid w:val="00C7201B"/>
    <w:rsid w:val="00C72064"/>
    <w:rsid w:val="00C72326"/>
    <w:rsid w:val="00C72F94"/>
    <w:rsid w:val="00C73552"/>
    <w:rsid w:val="00C73AE4"/>
    <w:rsid w:val="00C741FE"/>
    <w:rsid w:val="00C74E60"/>
    <w:rsid w:val="00C74FF7"/>
    <w:rsid w:val="00C7504D"/>
    <w:rsid w:val="00C754B1"/>
    <w:rsid w:val="00C758B1"/>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312D"/>
    <w:rsid w:val="00C83AA1"/>
    <w:rsid w:val="00C83C84"/>
    <w:rsid w:val="00C84229"/>
    <w:rsid w:val="00C8454B"/>
    <w:rsid w:val="00C8500F"/>
    <w:rsid w:val="00C8529D"/>
    <w:rsid w:val="00C8531B"/>
    <w:rsid w:val="00C862CF"/>
    <w:rsid w:val="00C86586"/>
    <w:rsid w:val="00C8739B"/>
    <w:rsid w:val="00C87FDC"/>
    <w:rsid w:val="00C908EC"/>
    <w:rsid w:val="00C90939"/>
    <w:rsid w:val="00C9124F"/>
    <w:rsid w:val="00C91671"/>
    <w:rsid w:val="00C91B7D"/>
    <w:rsid w:val="00C91BAB"/>
    <w:rsid w:val="00C91BDA"/>
    <w:rsid w:val="00C91F18"/>
    <w:rsid w:val="00C92059"/>
    <w:rsid w:val="00C92490"/>
    <w:rsid w:val="00C925C1"/>
    <w:rsid w:val="00C92708"/>
    <w:rsid w:val="00C927A1"/>
    <w:rsid w:val="00C928DA"/>
    <w:rsid w:val="00C93A79"/>
    <w:rsid w:val="00C942B2"/>
    <w:rsid w:val="00C9467D"/>
    <w:rsid w:val="00C95375"/>
    <w:rsid w:val="00C9541D"/>
    <w:rsid w:val="00C95C72"/>
    <w:rsid w:val="00C95F5A"/>
    <w:rsid w:val="00C96337"/>
    <w:rsid w:val="00C96D04"/>
    <w:rsid w:val="00C970B5"/>
    <w:rsid w:val="00C97435"/>
    <w:rsid w:val="00C9751D"/>
    <w:rsid w:val="00C976BF"/>
    <w:rsid w:val="00CA0AF9"/>
    <w:rsid w:val="00CA0CD3"/>
    <w:rsid w:val="00CA12E0"/>
    <w:rsid w:val="00CA17D0"/>
    <w:rsid w:val="00CA1871"/>
    <w:rsid w:val="00CA2209"/>
    <w:rsid w:val="00CA22B3"/>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564"/>
    <w:rsid w:val="00CA6810"/>
    <w:rsid w:val="00CA77D5"/>
    <w:rsid w:val="00CA7901"/>
    <w:rsid w:val="00CA79F5"/>
    <w:rsid w:val="00CB03A8"/>
    <w:rsid w:val="00CB07CC"/>
    <w:rsid w:val="00CB10AD"/>
    <w:rsid w:val="00CB1990"/>
    <w:rsid w:val="00CB1A1A"/>
    <w:rsid w:val="00CB1DA5"/>
    <w:rsid w:val="00CB1DB5"/>
    <w:rsid w:val="00CB1DC0"/>
    <w:rsid w:val="00CB20B3"/>
    <w:rsid w:val="00CB3875"/>
    <w:rsid w:val="00CB39EE"/>
    <w:rsid w:val="00CB3BB4"/>
    <w:rsid w:val="00CB3F24"/>
    <w:rsid w:val="00CB41CF"/>
    <w:rsid w:val="00CB42EF"/>
    <w:rsid w:val="00CB4451"/>
    <w:rsid w:val="00CB4C8C"/>
    <w:rsid w:val="00CB4DB2"/>
    <w:rsid w:val="00CB55EA"/>
    <w:rsid w:val="00CB5B45"/>
    <w:rsid w:val="00CB5FB6"/>
    <w:rsid w:val="00CB642B"/>
    <w:rsid w:val="00CB6CA3"/>
    <w:rsid w:val="00CB6DE5"/>
    <w:rsid w:val="00CB7029"/>
    <w:rsid w:val="00CB7214"/>
    <w:rsid w:val="00CB7E7C"/>
    <w:rsid w:val="00CC0465"/>
    <w:rsid w:val="00CC08F7"/>
    <w:rsid w:val="00CC0F96"/>
    <w:rsid w:val="00CC1740"/>
    <w:rsid w:val="00CC3933"/>
    <w:rsid w:val="00CC3B15"/>
    <w:rsid w:val="00CC3C0F"/>
    <w:rsid w:val="00CC3D81"/>
    <w:rsid w:val="00CC4582"/>
    <w:rsid w:val="00CC4B00"/>
    <w:rsid w:val="00CC4FF0"/>
    <w:rsid w:val="00CC52F9"/>
    <w:rsid w:val="00CC57A3"/>
    <w:rsid w:val="00CC57D9"/>
    <w:rsid w:val="00CC6386"/>
    <w:rsid w:val="00CC66F9"/>
    <w:rsid w:val="00CC6F23"/>
    <w:rsid w:val="00CC75F9"/>
    <w:rsid w:val="00CC79C0"/>
    <w:rsid w:val="00CD090F"/>
    <w:rsid w:val="00CD1370"/>
    <w:rsid w:val="00CD1C8F"/>
    <w:rsid w:val="00CD1DB2"/>
    <w:rsid w:val="00CD1DC9"/>
    <w:rsid w:val="00CD22CB"/>
    <w:rsid w:val="00CD24BF"/>
    <w:rsid w:val="00CD252E"/>
    <w:rsid w:val="00CD29D8"/>
    <w:rsid w:val="00CD317C"/>
    <w:rsid w:val="00CD33C3"/>
    <w:rsid w:val="00CD352E"/>
    <w:rsid w:val="00CD3741"/>
    <w:rsid w:val="00CD3FA5"/>
    <w:rsid w:val="00CD446D"/>
    <w:rsid w:val="00CD4AE6"/>
    <w:rsid w:val="00CD4F14"/>
    <w:rsid w:val="00CD5547"/>
    <w:rsid w:val="00CD578A"/>
    <w:rsid w:val="00CD5842"/>
    <w:rsid w:val="00CD58BC"/>
    <w:rsid w:val="00CD6301"/>
    <w:rsid w:val="00CD64C9"/>
    <w:rsid w:val="00CD698B"/>
    <w:rsid w:val="00CD6AD0"/>
    <w:rsid w:val="00CD7B8A"/>
    <w:rsid w:val="00CE109B"/>
    <w:rsid w:val="00CE1137"/>
    <w:rsid w:val="00CE1CE4"/>
    <w:rsid w:val="00CE25B6"/>
    <w:rsid w:val="00CE2E5F"/>
    <w:rsid w:val="00CE2EF7"/>
    <w:rsid w:val="00CE35C3"/>
    <w:rsid w:val="00CE492A"/>
    <w:rsid w:val="00CE4CDC"/>
    <w:rsid w:val="00CE4DC7"/>
    <w:rsid w:val="00CE5142"/>
    <w:rsid w:val="00CE5303"/>
    <w:rsid w:val="00CE57E4"/>
    <w:rsid w:val="00CE581C"/>
    <w:rsid w:val="00CE59AD"/>
    <w:rsid w:val="00CE5EC6"/>
    <w:rsid w:val="00CE5FF9"/>
    <w:rsid w:val="00CE602F"/>
    <w:rsid w:val="00CE6849"/>
    <w:rsid w:val="00CE6B1E"/>
    <w:rsid w:val="00CE78AB"/>
    <w:rsid w:val="00CF0040"/>
    <w:rsid w:val="00CF007E"/>
    <w:rsid w:val="00CF0B0C"/>
    <w:rsid w:val="00CF0D88"/>
    <w:rsid w:val="00CF13A5"/>
    <w:rsid w:val="00CF2013"/>
    <w:rsid w:val="00CF26D4"/>
    <w:rsid w:val="00CF305B"/>
    <w:rsid w:val="00CF30CE"/>
    <w:rsid w:val="00CF4059"/>
    <w:rsid w:val="00CF41CF"/>
    <w:rsid w:val="00CF454F"/>
    <w:rsid w:val="00CF5A2C"/>
    <w:rsid w:val="00CF5D30"/>
    <w:rsid w:val="00CF6B74"/>
    <w:rsid w:val="00CF6E7F"/>
    <w:rsid w:val="00CF70BA"/>
    <w:rsid w:val="00CF72B6"/>
    <w:rsid w:val="00CF733E"/>
    <w:rsid w:val="00CF734D"/>
    <w:rsid w:val="00CF7B34"/>
    <w:rsid w:val="00D0018C"/>
    <w:rsid w:val="00D00D81"/>
    <w:rsid w:val="00D0119E"/>
    <w:rsid w:val="00D011B1"/>
    <w:rsid w:val="00D0129E"/>
    <w:rsid w:val="00D01B15"/>
    <w:rsid w:val="00D01E3A"/>
    <w:rsid w:val="00D023F5"/>
    <w:rsid w:val="00D02F18"/>
    <w:rsid w:val="00D032DB"/>
    <w:rsid w:val="00D03579"/>
    <w:rsid w:val="00D037A0"/>
    <w:rsid w:val="00D0438E"/>
    <w:rsid w:val="00D04DFA"/>
    <w:rsid w:val="00D04E38"/>
    <w:rsid w:val="00D06932"/>
    <w:rsid w:val="00D06D1C"/>
    <w:rsid w:val="00D0707C"/>
    <w:rsid w:val="00D074DD"/>
    <w:rsid w:val="00D0789F"/>
    <w:rsid w:val="00D07ED2"/>
    <w:rsid w:val="00D07FEC"/>
    <w:rsid w:val="00D1011D"/>
    <w:rsid w:val="00D10694"/>
    <w:rsid w:val="00D10A58"/>
    <w:rsid w:val="00D10BAF"/>
    <w:rsid w:val="00D10CF6"/>
    <w:rsid w:val="00D128A5"/>
    <w:rsid w:val="00D12A1A"/>
    <w:rsid w:val="00D12EAF"/>
    <w:rsid w:val="00D1396C"/>
    <w:rsid w:val="00D13B59"/>
    <w:rsid w:val="00D13DE2"/>
    <w:rsid w:val="00D146FC"/>
    <w:rsid w:val="00D17067"/>
    <w:rsid w:val="00D17463"/>
    <w:rsid w:val="00D17AB0"/>
    <w:rsid w:val="00D2039F"/>
    <w:rsid w:val="00D2054A"/>
    <w:rsid w:val="00D20550"/>
    <w:rsid w:val="00D210A8"/>
    <w:rsid w:val="00D21DD5"/>
    <w:rsid w:val="00D228AF"/>
    <w:rsid w:val="00D22C5C"/>
    <w:rsid w:val="00D23043"/>
    <w:rsid w:val="00D23150"/>
    <w:rsid w:val="00D23C85"/>
    <w:rsid w:val="00D24184"/>
    <w:rsid w:val="00D246AE"/>
    <w:rsid w:val="00D24DAA"/>
    <w:rsid w:val="00D25402"/>
    <w:rsid w:val="00D25456"/>
    <w:rsid w:val="00D25758"/>
    <w:rsid w:val="00D25C6E"/>
    <w:rsid w:val="00D25F28"/>
    <w:rsid w:val="00D25F74"/>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E4"/>
    <w:rsid w:val="00D358A4"/>
    <w:rsid w:val="00D35919"/>
    <w:rsid w:val="00D359F4"/>
    <w:rsid w:val="00D35BD6"/>
    <w:rsid w:val="00D3695E"/>
    <w:rsid w:val="00D37A33"/>
    <w:rsid w:val="00D37AB8"/>
    <w:rsid w:val="00D37B8D"/>
    <w:rsid w:val="00D37E5C"/>
    <w:rsid w:val="00D37FAB"/>
    <w:rsid w:val="00D400F4"/>
    <w:rsid w:val="00D404D4"/>
    <w:rsid w:val="00D4064D"/>
    <w:rsid w:val="00D40A76"/>
    <w:rsid w:val="00D40D23"/>
    <w:rsid w:val="00D41F7F"/>
    <w:rsid w:val="00D42B66"/>
    <w:rsid w:val="00D42C63"/>
    <w:rsid w:val="00D42EC8"/>
    <w:rsid w:val="00D436BE"/>
    <w:rsid w:val="00D436FF"/>
    <w:rsid w:val="00D437C6"/>
    <w:rsid w:val="00D4394F"/>
    <w:rsid w:val="00D43A3F"/>
    <w:rsid w:val="00D43D72"/>
    <w:rsid w:val="00D44BF8"/>
    <w:rsid w:val="00D450A8"/>
    <w:rsid w:val="00D45A11"/>
    <w:rsid w:val="00D46236"/>
    <w:rsid w:val="00D462FE"/>
    <w:rsid w:val="00D46FB3"/>
    <w:rsid w:val="00D47335"/>
    <w:rsid w:val="00D47748"/>
    <w:rsid w:val="00D47866"/>
    <w:rsid w:val="00D5001A"/>
    <w:rsid w:val="00D50448"/>
    <w:rsid w:val="00D50C3A"/>
    <w:rsid w:val="00D51387"/>
    <w:rsid w:val="00D51656"/>
    <w:rsid w:val="00D51FB7"/>
    <w:rsid w:val="00D52027"/>
    <w:rsid w:val="00D52111"/>
    <w:rsid w:val="00D5299A"/>
    <w:rsid w:val="00D52D37"/>
    <w:rsid w:val="00D5345C"/>
    <w:rsid w:val="00D53544"/>
    <w:rsid w:val="00D5363E"/>
    <w:rsid w:val="00D536AE"/>
    <w:rsid w:val="00D53BEA"/>
    <w:rsid w:val="00D54B65"/>
    <w:rsid w:val="00D54F2A"/>
    <w:rsid w:val="00D55AD1"/>
    <w:rsid w:val="00D55E6C"/>
    <w:rsid w:val="00D55F17"/>
    <w:rsid w:val="00D55FDF"/>
    <w:rsid w:val="00D56313"/>
    <w:rsid w:val="00D56B29"/>
    <w:rsid w:val="00D574C2"/>
    <w:rsid w:val="00D575E2"/>
    <w:rsid w:val="00D57619"/>
    <w:rsid w:val="00D5777F"/>
    <w:rsid w:val="00D57AF6"/>
    <w:rsid w:val="00D602A3"/>
    <w:rsid w:val="00D60709"/>
    <w:rsid w:val="00D60BBC"/>
    <w:rsid w:val="00D61610"/>
    <w:rsid w:val="00D61617"/>
    <w:rsid w:val="00D618D4"/>
    <w:rsid w:val="00D6303E"/>
    <w:rsid w:val="00D6327B"/>
    <w:rsid w:val="00D6343A"/>
    <w:rsid w:val="00D6420A"/>
    <w:rsid w:val="00D6434D"/>
    <w:rsid w:val="00D6488C"/>
    <w:rsid w:val="00D651A6"/>
    <w:rsid w:val="00D6548D"/>
    <w:rsid w:val="00D65808"/>
    <w:rsid w:val="00D65A3B"/>
    <w:rsid w:val="00D65B08"/>
    <w:rsid w:val="00D65F0F"/>
    <w:rsid w:val="00D66B7E"/>
    <w:rsid w:val="00D66F1B"/>
    <w:rsid w:val="00D6731E"/>
    <w:rsid w:val="00D6736A"/>
    <w:rsid w:val="00D67839"/>
    <w:rsid w:val="00D70128"/>
    <w:rsid w:val="00D715F8"/>
    <w:rsid w:val="00D71EE7"/>
    <w:rsid w:val="00D724B0"/>
    <w:rsid w:val="00D72BA6"/>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514A"/>
    <w:rsid w:val="00D8571A"/>
    <w:rsid w:val="00D85F67"/>
    <w:rsid w:val="00D864FA"/>
    <w:rsid w:val="00D873B2"/>
    <w:rsid w:val="00D8756C"/>
    <w:rsid w:val="00D87976"/>
    <w:rsid w:val="00D9029C"/>
    <w:rsid w:val="00D909AC"/>
    <w:rsid w:val="00D90B24"/>
    <w:rsid w:val="00D92030"/>
    <w:rsid w:val="00D93B4B"/>
    <w:rsid w:val="00D93E7E"/>
    <w:rsid w:val="00D9568F"/>
    <w:rsid w:val="00D95861"/>
    <w:rsid w:val="00D959AD"/>
    <w:rsid w:val="00D9631B"/>
    <w:rsid w:val="00D9687C"/>
    <w:rsid w:val="00D96E91"/>
    <w:rsid w:val="00D96EAB"/>
    <w:rsid w:val="00D97254"/>
    <w:rsid w:val="00DA0052"/>
    <w:rsid w:val="00DA0094"/>
    <w:rsid w:val="00DA034A"/>
    <w:rsid w:val="00DA04BB"/>
    <w:rsid w:val="00DA06BA"/>
    <w:rsid w:val="00DA07E3"/>
    <w:rsid w:val="00DA1AF0"/>
    <w:rsid w:val="00DA1BCC"/>
    <w:rsid w:val="00DA2026"/>
    <w:rsid w:val="00DA2102"/>
    <w:rsid w:val="00DA26BA"/>
    <w:rsid w:val="00DA2AF9"/>
    <w:rsid w:val="00DA2C1D"/>
    <w:rsid w:val="00DA3122"/>
    <w:rsid w:val="00DA3123"/>
    <w:rsid w:val="00DA337E"/>
    <w:rsid w:val="00DA36D2"/>
    <w:rsid w:val="00DA3B6C"/>
    <w:rsid w:val="00DA42F4"/>
    <w:rsid w:val="00DA5794"/>
    <w:rsid w:val="00DA57B7"/>
    <w:rsid w:val="00DA5833"/>
    <w:rsid w:val="00DA5A63"/>
    <w:rsid w:val="00DA5B9A"/>
    <w:rsid w:val="00DA64FA"/>
    <w:rsid w:val="00DA69D0"/>
    <w:rsid w:val="00DA6C5A"/>
    <w:rsid w:val="00DA6F74"/>
    <w:rsid w:val="00DA76DE"/>
    <w:rsid w:val="00DA787B"/>
    <w:rsid w:val="00DA7A8A"/>
    <w:rsid w:val="00DA7DAD"/>
    <w:rsid w:val="00DB0160"/>
    <w:rsid w:val="00DB0F6B"/>
    <w:rsid w:val="00DB1217"/>
    <w:rsid w:val="00DB1332"/>
    <w:rsid w:val="00DB1372"/>
    <w:rsid w:val="00DB1375"/>
    <w:rsid w:val="00DB143A"/>
    <w:rsid w:val="00DB17A1"/>
    <w:rsid w:val="00DB1B96"/>
    <w:rsid w:val="00DB2186"/>
    <w:rsid w:val="00DB2338"/>
    <w:rsid w:val="00DB2A65"/>
    <w:rsid w:val="00DB2D0E"/>
    <w:rsid w:val="00DB2EF0"/>
    <w:rsid w:val="00DB30A5"/>
    <w:rsid w:val="00DB344E"/>
    <w:rsid w:val="00DB36B7"/>
    <w:rsid w:val="00DB3737"/>
    <w:rsid w:val="00DB3F72"/>
    <w:rsid w:val="00DB4BB2"/>
    <w:rsid w:val="00DB5713"/>
    <w:rsid w:val="00DB580C"/>
    <w:rsid w:val="00DB5935"/>
    <w:rsid w:val="00DB5CAA"/>
    <w:rsid w:val="00DB60A9"/>
    <w:rsid w:val="00DB61E3"/>
    <w:rsid w:val="00DB740A"/>
    <w:rsid w:val="00DB77A7"/>
    <w:rsid w:val="00DB7B03"/>
    <w:rsid w:val="00DC002E"/>
    <w:rsid w:val="00DC02E7"/>
    <w:rsid w:val="00DC04ED"/>
    <w:rsid w:val="00DC0E23"/>
    <w:rsid w:val="00DC1E2D"/>
    <w:rsid w:val="00DC204D"/>
    <w:rsid w:val="00DC2170"/>
    <w:rsid w:val="00DC21A8"/>
    <w:rsid w:val="00DC2B6A"/>
    <w:rsid w:val="00DC2EE8"/>
    <w:rsid w:val="00DC3903"/>
    <w:rsid w:val="00DC4F2F"/>
    <w:rsid w:val="00DC50E8"/>
    <w:rsid w:val="00DC5B82"/>
    <w:rsid w:val="00DC63FD"/>
    <w:rsid w:val="00DC651B"/>
    <w:rsid w:val="00DC6544"/>
    <w:rsid w:val="00DC6AC4"/>
    <w:rsid w:val="00DC6B76"/>
    <w:rsid w:val="00DC72A3"/>
    <w:rsid w:val="00DC72E1"/>
    <w:rsid w:val="00DD0106"/>
    <w:rsid w:val="00DD034C"/>
    <w:rsid w:val="00DD0855"/>
    <w:rsid w:val="00DD0CF5"/>
    <w:rsid w:val="00DD0E68"/>
    <w:rsid w:val="00DD0FD1"/>
    <w:rsid w:val="00DD1239"/>
    <w:rsid w:val="00DD1339"/>
    <w:rsid w:val="00DD17FD"/>
    <w:rsid w:val="00DD1C5C"/>
    <w:rsid w:val="00DD234B"/>
    <w:rsid w:val="00DD2510"/>
    <w:rsid w:val="00DD2889"/>
    <w:rsid w:val="00DD2A11"/>
    <w:rsid w:val="00DD2A1A"/>
    <w:rsid w:val="00DD2A44"/>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E0204"/>
    <w:rsid w:val="00DE0B19"/>
    <w:rsid w:val="00DE1F70"/>
    <w:rsid w:val="00DE200F"/>
    <w:rsid w:val="00DE222C"/>
    <w:rsid w:val="00DE23BA"/>
    <w:rsid w:val="00DE263D"/>
    <w:rsid w:val="00DE301F"/>
    <w:rsid w:val="00DE35B2"/>
    <w:rsid w:val="00DE36F2"/>
    <w:rsid w:val="00DE3870"/>
    <w:rsid w:val="00DE404C"/>
    <w:rsid w:val="00DE4874"/>
    <w:rsid w:val="00DE498C"/>
    <w:rsid w:val="00DE4B3D"/>
    <w:rsid w:val="00DE4F88"/>
    <w:rsid w:val="00DE5266"/>
    <w:rsid w:val="00DE538E"/>
    <w:rsid w:val="00DE68B0"/>
    <w:rsid w:val="00DE6C4D"/>
    <w:rsid w:val="00DE70DF"/>
    <w:rsid w:val="00DF0972"/>
    <w:rsid w:val="00DF0DA3"/>
    <w:rsid w:val="00DF0F66"/>
    <w:rsid w:val="00DF102B"/>
    <w:rsid w:val="00DF12B0"/>
    <w:rsid w:val="00DF1667"/>
    <w:rsid w:val="00DF1DEB"/>
    <w:rsid w:val="00DF244B"/>
    <w:rsid w:val="00DF24E1"/>
    <w:rsid w:val="00DF2866"/>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91"/>
    <w:rsid w:val="00E01B8F"/>
    <w:rsid w:val="00E01FA0"/>
    <w:rsid w:val="00E020EC"/>
    <w:rsid w:val="00E02163"/>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777C"/>
    <w:rsid w:val="00E20402"/>
    <w:rsid w:val="00E20624"/>
    <w:rsid w:val="00E2084C"/>
    <w:rsid w:val="00E20967"/>
    <w:rsid w:val="00E20B84"/>
    <w:rsid w:val="00E20F5C"/>
    <w:rsid w:val="00E2121F"/>
    <w:rsid w:val="00E215F9"/>
    <w:rsid w:val="00E21DCF"/>
    <w:rsid w:val="00E227E5"/>
    <w:rsid w:val="00E22DFF"/>
    <w:rsid w:val="00E22E13"/>
    <w:rsid w:val="00E22EF2"/>
    <w:rsid w:val="00E23451"/>
    <w:rsid w:val="00E237A2"/>
    <w:rsid w:val="00E23837"/>
    <w:rsid w:val="00E23EE3"/>
    <w:rsid w:val="00E24A82"/>
    <w:rsid w:val="00E24C8D"/>
    <w:rsid w:val="00E24E63"/>
    <w:rsid w:val="00E24F19"/>
    <w:rsid w:val="00E25AE9"/>
    <w:rsid w:val="00E26C0B"/>
    <w:rsid w:val="00E2773F"/>
    <w:rsid w:val="00E27C3F"/>
    <w:rsid w:val="00E304C0"/>
    <w:rsid w:val="00E30962"/>
    <w:rsid w:val="00E31632"/>
    <w:rsid w:val="00E317B3"/>
    <w:rsid w:val="00E31967"/>
    <w:rsid w:val="00E3218B"/>
    <w:rsid w:val="00E32F2E"/>
    <w:rsid w:val="00E32F4F"/>
    <w:rsid w:val="00E337AA"/>
    <w:rsid w:val="00E33CE2"/>
    <w:rsid w:val="00E341BE"/>
    <w:rsid w:val="00E343AA"/>
    <w:rsid w:val="00E345DF"/>
    <w:rsid w:val="00E35494"/>
    <w:rsid w:val="00E35547"/>
    <w:rsid w:val="00E35902"/>
    <w:rsid w:val="00E35B0B"/>
    <w:rsid w:val="00E36579"/>
    <w:rsid w:val="00E36942"/>
    <w:rsid w:val="00E36E4A"/>
    <w:rsid w:val="00E371FB"/>
    <w:rsid w:val="00E37394"/>
    <w:rsid w:val="00E37514"/>
    <w:rsid w:val="00E37641"/>
    <w:rsid w:val="00E37E89"/>
    <w:rsid w:val="00E4050B"/>
    <w:rsid w:val="00E408EE"/>
    <w:rsid w:val="00E40FF5"/>
    <w:rsid w:val="00E41508"/>
    <w:rsid w:val="00E41A18"/>
    <w:rsid w:val="00E41CBA"/>
    <w:rsid w:val="00E4224E"/>
    <w:rsid w:val="00E4245C"/>
    <w:rsid w:val="00E42CDA"/>
    <w:rsid w:val="00E42D5D"/>
    <w:rsid w:val="00E4332D"/>
    <w:rsid w:val="00E43E7E"/>
    <w:rsid w:val="00E44CAF"/>
    <w:rsid w:val="00E44DC2"/>
    <w:rsid w:val="00E44E70"/>
    <w:rsid w:val="00E45869"/>
    <w:rsid w:val="00E461F3"/>
    <w:rsid w:val="00E466FB"/>
    <w:rsid w:val="00E46A8E"/>
    <w:rsid w:val="00E47647"/>
    <w:rsid w:val="00E478B3"/>
    <w:rsid w:val="00E47AE3"/>
    <w:rsid w:val="00E47CF3"/>
    <w:rsid w:val="00E50341"/>
    <w:rsid w:val="00E508A3"/>
    <w:rsid w:val="00E50B1B"/>
    <w:rsid w:val="00E51209"/>
    <w:rsid w:val="00E512F3"/>
    <w:rsid w:val="00E52474"/>
    <w:rsid w:val="00E529F3"/>
    <w:rsid w:val="00E532E3"/>
    <w:rsid w:val="00E5334D"/>
    <w:rsid w:val="00E535F6"/>
    <w:rsid w:val="00E538B4"/>
    <w:rsid w:val="00E53B1C"/>
    <w:rsid w:val="00E546DD"/>
    <w:rsid w:val="00E549C2"/>
    <w:rsid w:val="00E5537D"/>
    <w:rsid w:val="00E556E7"/>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C75"/>
    <w:rsid w:val="00E6227A"/>
    <w:rsid w:val="00E623E3"/>
    <w:rsid w:val="00E62410"/>
    <w:rsid w:val="00E629ED"/>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E11"/>
    <w:rsid w:val="00E70E32"/>
    <w:rsid w:val="00E713D2"/>
    <w:rsid w:val="00E715B0"/>
    <w:rsid w:val="00E71835"/>
    <w:rsid w:val="00E7199E"/>
    <w:rsid w:val="00E71A51"/>
    <w:rsid w:val="00E71C43"/>
    <w:rsid w:val="00E71CD4"/>
    <w:rsid w:val="00E71D35"/>
    <w:rsid w:val="00E720D0"/>
    <w:rsid w:val="00E726FE"/>
    <w:rsid w:val="00E72ACB"/>
    <w:rsid w:val="00E72EC2"/>
    <w:rsid w:val="00E73080"/>
    <w:rsid w:val="00E7393E"/>
    <w:rsid w:val="00E74423"/>
    <w:rsid w:val="00E7460E"/>
    <w:rsid w:val="00E74B5C"/>
    <w:rsid w:val="00E752D5"/>
    <w:rsid w:val="00E75790"/>
    <w:rsid w:val="00E75989"/>
    <w:rsid w:val="00E75F17"/>
    <w:rsid w:val="00E76340"/>
    <w:rsid w:val="00E768C5"/>
    <w:rsid w:val="00E76955"/>
    <w:rsid w:val="00E76CDE"/>
    <w:rsid w:val="00E76D57"/>
    <w:rsid w:val="00E7769A"/>
    <w:rsid w:val="00E77AA7"/>
    <w:rsid w:val="00E77D4A"/>
    <w:rsid w:val="00E77D50"/>
    <w:rsid w:val="00E77D93"/>
    <w:rsid w:val="00E77EE3"/>
    <w:rsid w:val="00E80B4F"/>
    <w:rsid w:val="00E814C0"/>
    <w:rsid w:val="00E81597"/>
    <w:rsid w:val="00E81724"/>
    <w:rsid w:val="00E819B1"/>
    <w:rsid w:val="00E8268A"/>
    <w:rsid w:val="00E82921"/>
    <w:rsid w:val="00E82C1A"/>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FA1"/>
    <w:rsid w:val="00E9122F"/>
    <w:rsid w:val="00E92280"/>
    <w:rsid w:val="00E93055"/>
    <w:rsid w:val="00E948C6"/>
    <w:rsid w:val="00E94DF1"/>
    <w:rsid w:val="00E950E5"/>
    <w:rsid w:val="00E950E6"/>
    <w:rsid w:val="00E95E7F"/>
    <w:rsid w:val="00E95F55"/>
    <w:rsid w:val="00E9637E"/>
    <w:rsid w:val="00E969E1"/>
    <w:rsid w:val="00E969EB"/>
    <w:rsid w:val="00E974C4"/>
    <w:rsid w:val="00E97D17"/>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717E"/>
    <w:rsid w:val="00EA7257"/>
    <w:rsid w:val="00EA7394"/>
    <w:rsid w:val="00EB033E"/>
    <w:rsid w:val="00EB09B9"/>
    <w:rsid w:val="00EB1B65"/>
    <w:rsid w:val="00EB2C0F"/>
    <w:rsid w:val="00EB2F12"/>
    <w:rsid w:val="00EB347C"/>
    <w:rsid w:val="00EB378D"/>
    <w:rsid w:val="00EB38A0"/>
    <w:rsid w:val="00EB3A5D"/>
    <w:rsid w:val="00EB4126"/>
    <w:rsid w:val="00EB4448"/>
    <w:rsid w:val="00EB474F"/>
    <w:rsid w:val="00EB47E4"/>
    <w:rsid w:val="00EB5274"/>
    <w:rsid w:val="00EB6175"/>
    <w:rsid w:val="00EB639B"/>
    <w:rsid w:val="00EB7356"/>
    <w:rsid w:val="00EB78B3"/>
    <w:rsid w:val="00EB7AFB"/>
    <w:rsid w:val="00EC0DF3"/>
    <w:rsid w:val="00EC0F44"/>
    <w:rsid w:val="00EC0FB8"/>
    <w:rsid w:val="00EC1429"/>
    <w:rsid w:val="00EC15B7"/>
    <w:rsid w:val="00EC2FB7"/>
    <w:rsid w:val="00EC32E2"/>
    <w:rsid w:val="00EC3475"/>
    <w:rsid w:val="00EC39E9"/>
    <w:rsid w:val="00EC438F"/>
    <w:rsid w:val="00EC4B66"/>
    <w:rsid w:val="00EC4EA6"/>
    <w:rsid w:val="00EC5156"/>
    <w:rsid w:val="00EC557C"/>
    <w:rsid w:val="00EC6642"/>
    <w:rsid w:val="00EC79A5"/>
    <w:rsid w:val="00ED02D0"/>
    <w:rsid w:val="00ED097B"/>
    <w:rsid w:val="00ED0AAE"/>
    <w:rsid w:val="00ED0BC0"/>
    <w:rsid w:val="00ED0D6A"/>
    <w:rsid w:val="00ED0F94"/>
    <w:rsid w:val="00ED145D"/>
    <w:rsid w:val="00ED16CC"/>
    <w:rsid w:val="00ED1967"/>
    <w:rsid w:val="00ED2076"/>
    <w:rsid w:val="00ED2E18"/>
    <w:rsid w:val="00ED3079"/>
    <w:rsid w:val="00ED3328"/>
    <w:rsid w:val="00ED33DB"/>
    <w:rsid w:val="00ED35D3"/>
    <w:rsid w:val="00ED4EE9"/>
    <w:rsid w:val="00ED56F0"/>
    <w:rsid w:val="00ED6114"/>
    <w:rsid w:val="00ED6C39"/>
    <w:rsid w:val="00EE02A0"/>
    <w:rsid w:val="00EE07A5"/>
    <w:rsid w:val="00EE0B4D"/>
    <w:rsid w:val="00EE18C7"/>
    <w:rsid w:val="00EE19B1"/>
    <w:rsid w:val="00EE1BCF"/>
    <w:rsid w:val="00EE1CFF"/>
    <w:rsid w:val="00EE229B"/>
    <w:rsid w:val="00EE2444"/>
    <w:rsid w:val="00EE294C"/>
    <w:rsid w:val="00EE2F8F"/>
    <w:rsid w:val="00EE313A"/>
    <w:rsid w:val="00EE3180"/>
    <w:rsid w:val="00EE3245"/>
    <w:rsid w:val="00EE3C62"/>
    <w:rsid w:val="00EE419D"/>
    <w:rsid w:val="00EE452A"/>
    <w:rsid w:val="00EE4786"/>
    <w:rsid w:val="00EE4B59"/>
    <w:rsid w:val="00EE5715"/>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20A1"/>
    <w:rsid w:val="00EF2451"/>
    <w:rsid w:val="00EF2CCE"/>
    <w:rsid w:val="00EF383A"/>
    <w:rsid w:val="00EF3ECB"/>
    <w:rsid w:val="00EF4323"/>
    <w:rsid w:val="00EF557D"/>
    <w:rsid w:val="00EF5F91"/>
    <w:rsid w:val="00EF7532"/>
    <w:rsid w:val="00EF78FC"/>
    <w:rsid w:val="00EF7B19"/>
    <w:rsid w:val="00EF7F2E"/>
    <w:rsid w:val="00EF7F33"/>
    <w:rsid w:val="00F004D1"/>
    <w:rsid w:val="00F00561"/>
    <w:rsid w:val="00F005DD"/>
    <w:rsid w:val="00F009FC"/>
    <w:rsid w:val="00F00D7D"/>
    <w:rsid w:val="00F01006"/>
    <w:rsid w:val="00F0103D"/>
    <w:rsid w:val="00F01599"/>
    <w:rsid w:val="00F016E8"/>
    <w:rsid w:val="00F01972"/>
    <w:rsid w:val="00F019A3"/>
    <w:rsid w:val="00F01FDC"/>
    <w:rsid w:val="00F02551"/>
    <w:rsid w:val="00F02553"/>
    <w:rsid w:val="00F02751"/>
    <w:rsid w:val="00F02AA0"/>
    <w:rsid w:val="00F03499"/>
    <w:rsid w:val="00F03503"/>
    <w:rsid w:val="00F035B6"/>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271A"/>
    <w:rsid w:val="00F13046"/>
    <w:rsid w:val="00F1400C"/>
    <w:rsid w:val="00F149CC"/>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204B7"/>
    <w:rsid w:val="00F206DB"/>
    <w:rsid w:val="00F20775"/>
    <w:rsid w:val="00F20850"/>
    <w:rsid w:val="00F208BB"/>
    <w:rsid w:val="00F20EFA"/>
    <w:rsid w:val="00F20F85"/>
    <w:rsid w:val="00F210F1"/>
    <w:rsid w:val="00F2133D"/>
    <w:rsid w:val="00F21D4F"/>
    <w:rsid w:val="00F21F9C"/>
    <w:rsid w:val="00F21FD1"/>
    <w:rsid w:val="00F2209A"/>
    <w:rsid w:val="00F22362"/>
    <w:rsid w:val="00F226F3"/>
    <w:rsid w:val="00F227AD"/>
    <w:rsid w:val="00F2303B"/>
    <w:rsid w:val="00F23560"/>
    <w:rsid w:val="00F23BFF"/>
    <w:rsid w:val="00F246F5"/>
    <w:rsid w:val="00F25091"/>
    <w:rsid w:val="00F25593"/>
    <w:rsid w:val="00F25C32"/>
    <w:rsid w:val="00F25DBD"/>
    <w:rsid w:val="00F25E02"/>
    <w:rsid w:val="00F26199"/>
    <w:rsid w:val="00F262C6"/>
    <w:rsid w:val="00F26740"/>
    <w:rsid w:val="00F26B36"/>
    <w:rsid w:val="00F27093"/>
    <w:rsid w:val="00F271D7"/>
    <w:rsid w:val="00F27457"/>
    <w:rsid w:val="00F277FE"/>
    <w:rsid w:val="00F27BCD"/>
    <w:rsid w:val="00F300F4"/>
    <w:rsid w:val="00F30363"/>
    <w:rsid w:val="00F3052D"/>
    <w:rsid w:val="00F3092B"/>
    <w:rsid w:val="00F3158F"/>
    <w:rsid w:val="00F317E9"/>
    <w:rsid w:val="00F31C5A"/>
    <w:rsid w:val="00F31DFF"/>
    <w:rsid w:val="00F32078"/>
    <w:rsid w:val="00F320EB"/>
    <w:rsid w:val="00F323D9"/>
    <w:rsid w:val="00F324F2"/>
    <w:rsid w:val="00F32B83"/>
    <w:rsid w:val="00F32EFE"/>
    <w:rsid w:val="00F33EF5"/>
    <w:rsid w:val="00F345DF"/>
    <w:rsid w:val="00F34A11"/>
    <w:rsid w:val="00F34AFC"/>
    <w:rsid w:val="00F354F1"/>
    <w:rsid w:val="00F35506"/>
    <w:rsid w:val="00F3551E"/>
    <w:rsid w:val="00F35EBE"/>
    <w:rsid w:val="00F360AD"/>
    <w:rsid w:val="00F3667A"/>
    <w:rsid w:val="00F366B9"/>
    <w:rsid w:val="00F37086"/>
    <w:rsid w:val="00F370A2"/>
    <w:rsid w:val="00F37A17"/>
    <w:rsid w:val="00F37DD6"/>
    <w:rsid w:val="00F40737"/>
    <w:rsid w:val="00F4082D"/>
    <w:rsid w:val="00F408FA"/>
    <w:rsid w:val="00F40CCA"/>
    <w:rsid w:val="00F40F2F"/>
    <w:rsid w:val="00F4148F"/>
    <w:rsid w:val="00F41648"/>
    <w:rsid w:val="00F41D77"/>
    <w:rsid w:val="00F41E43"/>
    <w:rsid w:val="00F425C7"/>
    <w:rsid w:val="00F42CA0"/>
    <w:rsid w:val="00F43288"/>
    <w:rsid w:val="00F43A11"/>
    <w:rsid w:val="00F441B4"/>
    <w:rsid w:val="00F44871"/>
    <w:rsid w:val="00F44D99"/>
    <w:rsid w:val="00F459F3"/>
    <w:rsid w:val="00F45DCA"/>
    <w:rsid w:val="00F45E00"/>
    <w:rsid w:val="00F45F60"/>
    <w:rsid w:val="00F460F6"/>
    <w:rsid w:val="00F474D1"/>
    <w:rsid w:val="00F50424"/>
    <w:rsid w:val="00F50A64"/>
    <w:rsid w:val="00F50CF7"/>
    <w:rsid w:val="00F50EAF"/>
    <w:rsid w:val="00F5103F"/>
    <w:rsid w:val="00F51054"/>
    <w:rsid w:val="00F51108"/>
    <w:rsid w:val="00F51D2A"/>
    <w:rsid w:val="00F51E04"/>
    <w:rsid w:val="00F51F89"/>
    <w:rsid w:val="00F523D9"/>
    <w:rsid w:val="00F52A13"/>
    <w:rsid w:val="00F52B57"/>
    <w:rsid w:val="00F52ED9"/>
    <w:rsid w:val="00F52F59"/>
    <w:rsid w:val="00F5338B"/>
    <w:rsid w:val="00F5358F"/>
    <w:rsid w:val="00F546AD"/>
    <w:rsid w:val="00F54998"/>
    <w:rsid w:val="00F55556"/>
    <w:rsid w:val="00F55A91"/>
    <w:rsid w:val="00F5669E"/>
    <w:rsid w:val="00F56A31"/>
    <w:rsid w:val="00F56C5A"/>
    <w:rsid w:val="00F571DF"/>
    <w:rsid w:val="00F571FF"/>
    <w:rsid w:val="00F57722"/>
    <w:rsid w:val="00F5788A"/>
    <w:rsid w:val="00F57981"/>
    <w:rsid w:val="00F603D5"/>
    <w:rsid w:val="00F60483"/>
    <w:rsid w:val="00F60810"/>
    <w:rsid w:val="00F60905"/>
    <w:rsid w:val="00F60BE6"/>
    <w:rsid w:val="00F60F85"/>
    <w:rsid w:val="00F612D2"/>
    <w:rsid w:val="00F6209D"/>
    <w:rsid w:val="00F622F3"/>
    <w:rsid w:val="00F62843"/>
    <w:rsid w:val="00F641EC"/>
    <w:rsid w:val="00F644B6"/>
    <w:rsid w:val="00F64828"/>
    <w:rsid w:val="00F64B7E"/>
    <w:rsid w:val="00F64D5A"/>
    <w:rsid w:val="00F64DE7"/>
    <w:rsid w:val="00F64DF3"/>
    <w:rsid w:val="00F64E25"/>
    <w:rsid w:val="00F64EED"/>
    <w:rsid w:val="00F65231"/>
    <w:rsid w:val="00F65272"/>
    <w:rsid w:val="00F65952"/>
    <w:rsid w:val="00F6618A"/>
    <w:rsid w:val="00F665FF"/>
    <w:rsid w:val="00F66B5C"/>
    <w:rsid w:val="00F677E1"/>
    <w:rsid w:val="00F70078"/>
    <w:rsid w:val="00F705ED"/>
    <w:rsid w:val="00F7062A"/>
    <w:rsid w:val="00F708C4"/>
    <w:rsid w:val="00F71120"/>
    <w:rsid w:val="00F71531"/>
    <w:rsid w:val="00F7164A"/>
    <w:rsid w:val="00F72A1D"/>
    <w:rsid w:val="00F73591"/>
    <w:rsid w:val="00F73C02"/>
    <w:rsid w:val="00F74637"/>
    <w:rsid w:val="00F74DFF"/>
    <w:rsid w:val="00F750F6"/>
    <w:rsid w:val="00F7590A"/>
    <w:rsid w:val="00F75BD6"/>
    <w:rsid w:val="00F75F43"/>
    <w:rsid w:val="00F761FB"/>
    <w:rsid w:val="00F7639A"/>
    <w:rsid w:val="00F76576"/>
    <w:rsid w:val="00F76645"/>
    <w:rsid w:val="00F77144"/>
    <w:rsid w:val="00F776BE"/>
    <w:rsid w:val="00F776D4"/>
    <w:rsid w:val="00F80424"/>
    <w:rsid w:val="00F80809"/>
    <w:rsid w:val="00F81361"/>
    <w:rsid w:val="00F81593"/>
    <w:rsid w:val="00F81CA9"/>
    <w:rsid w:val="00F820F7"/>
    <w:rsid w:val="00F82602"/>
    <w:rsid w:val="00F82F6B"/>
    <w:rsid w:val="00F8300C"/>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EBB"/>
    <w:rsid w:val="00F8735B"/>
    <w:rsid w:val="00F8769E"/>
    <w:rsid w:val="00F87D0F"/>
    <w:rsid w:val="00F90093"/>
    <w:rsid w:val="00F9079A"/>
    <w:rsid w:val="00F90805"/>
    <w:rsid w:val="00F9126F"/>
    <w:rsid w:val="00F917DA"/>
    <w:rsid w:val="00F91914"/>
    <w:rsid w:val="00F92096"/>
    <w:rsid w:val="00F92409"/>
    <w:rsid w:val="00F929B4"/>
    <w:rsid w:val="00F9310D"/>
    <w:rsid w:val="00F9330D"/>
    <w:rsid w:val="00F937BF"/>
    <w:rsid w:val="00F93AE3"/>
    <w:rsid w:val="00F94003"/>
    <w:rsid w:val="00F9401B"/>
    <w:rsid w:val="00F953AA"/>
    <w:rsid w:val="00F957FD"/>
    <w:rsid w:val="00F96793"/>
    <w:rsid w:val="00F96858"/>
    <w:rsid w:val="00F97516"/>
    <w:rsid w:val="00F97E7C"/>
    <w:rsid w:val="00F97F24"/>
    <w:rsid w:val="00FA0085"/>
    <w:rsid w:val="00FA045A"/>
    <w:rsid w:val="00FA1A54"/>
    <w:rsid w:val="00FA2C85"/>
    <w:rsid w:val="00FA3242"/>
    <w:rsid w:val="00FA324D"/>
    <w:rsid w:val="00FA3285"/>
    <w:rsid w:val="00FA3896"/>
    <w:rsid w:val="00FA3DC6"/>
    <w:rsid w:val="00FA3DC7"/>
    <w:rsid w:val="00FA4134"/>
    <w:rsid w:val="00FA44D7"/>
    <w:rsid w:val="00FA455D"/>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83C"/>
    <w:rsid w:val="00FB1A78"/>
    <w:rsid w:val="00FB1AC8"/>
    <w:rsid w:val="00FB1D84"/>
    <w:rsid w:val="00FB23DE"/>
    <w:rsid w:val="00FB23ED"/>
    <w:rsid w:val="00FB2E5A"/>
    <w:rsid w:val="00FB312E"/>
    <w:rsid w:val="00FB3392"/>
    <w:rsid w:val="00FB33BB"/>
    <w:rsid w:val="00FB3810"/>
    <w:rsid w:val="00FB41EC"/>
    <w:rsid w:val="00FB43EE"/>
    <w:rsid w:val="00FB4943"/>
    <w:rsid w:val="00FB4FF7"/>
    <w:rsid w:val="00FB5192"/>
    <w:rsid w:val="00FB5222"/>
    <w:rsid w:val="00FB52F6"/>
    <w:rsid w:val="00FB58D8"/>
    <w:rsid w:val="00FB5DB6"/>
    <w:rsid w:val="00FB5F15"/>
    <w:rsid w:val="00FB604E"/>
    <w:rsid w:val="00FB6600"/>
    <w:rsid w:val="00FB6876"/>
    <w:rsid w:val="00FB6940"/>
    <w:rsid w:val="00FB6D89"/>
    <w:rsid w:val="00FB6E96"/>
    <w:rsid w:val="00FB7B01"/>
    <w:rsid w:val="00FB7CCC"/>
    <w:rsid w:val="00FC01FF"/>
    <w:rsid w:val="00FC037A"/>
    <w:rsid w:val="00FC03C5"/>
    <w:rsid w:val="00FC062F"/>
    <w:rsid w:val="00FC114E"/>
    <w:rsid w:val="00FC1E48"/>
    <w:rsid w:val="00FC267C"/>
    <w:rsid w:val="00FC2781"/>
    <w:rsid w:val="00FC2949"/>
    <w:rsid w:val="00FC2FF7"/>
    <w:rsid w:val="00FC31B7"/>
    <w:rsid w:val="00FC32BD"/>
    <w:rsid w:val="00FC3F8D"/>
    <w:rsid w:val="00FC4A0E"/>
    <w:rsid w:val="00FC4A6B"/>
    <w:rsid w:val="00FC50EA"/>
    <w:rsid w:val="00FC5524"/>
    <w:rsid w:val="00FC56CE"/>
    <w:rsid w:val="00FC5787"/>
    <w:rsid w:val="00FC57EC"/>
    <w:rsid w:val="00FC5DC0"/>
    <w:rsid w:val="00FC6433"/>
    <w:rsid w:val="00FC67AC"/>
    <w:rsid w:val="00FC6DC1"/>
    <w:rsid w:val="00FC75A1"/>
    <w:rsid w:val="00FC7717"/>
    <w:rsid w:val="00FC789E"/>
    <w:rsid w:val="00FC792D"/>
    <w:rsid w:val="00FC7FE3"/>
    <w:rsid w:val="00FD0155"/>
    <w:rsid w:val="00FD0A2C"/>
    <w:rsid w:val="00FD0B6E"/>
    <w:rsid w:val="00FD0D36"/>
    <w:rsid w:val="00FD0FCA"/>
    <w:rsid w:val="00FD1121"/>
    <w:rsid w:val="00FD174B"/>
    <w:rsid w:val="00FD1AE5"/>
    <w:rsid w:val="00FD1C9F"/>
    <w:rsid w:val="00FD1D7D"/>
    <w:rsid w:val="00FD253F"/>
    <w:rsid w:val="00FD30BE"/>
    <w:rsid w:val="00FD3803"/>
    <w:rsid w:val="00FD397F"/>
    <w:rsid w:val="00FD3C1B"/>
    <w:rsid w:val="00FD3CD2"/>
    <w:rsid w:val="00FD3FF3"/>
    <w:rsid w:val="00FD4383"/>
    <w:rsid w:val="00FD47EF"/>
    <w:rsid w:val="00FD4AFB"/>
    <w:rsid w:val="00FD4D89"/>
    <w:rsid w:val="00FD4F3F"/>
    <w:rsid w:val="00FD51AB"/>
    <w:rsid w:val="00FD535C"/>
    <w:rsid w:val="00FD5421"/>
    <w:rsid w:val="00FD5740"/>
    <w:rsid w:val="00FD5850"/>
    <w:rsid w:val="00FD632B"/>
    <w:rsid w:val="00FD6551"/>
    <w:rsid w:val="00FD731A"/>
    <w:rsid w:val="00FD73F4"/>
    <w:rsid w:val="00FD765F"/>
    <w:rsid w:val="00FD7E2D"/>
    <w:rsid w:val="00FE0EE9"/>
    <w:rsid w:val="00FE103A"/>
    <w:rsid w:val="00FE1116"/>
    <w:rsid w:val="00FE1417"/>
    <w:rsid w:val="00FE1463"/>
    <w:rsid w:val="00FE198F"/>
    <w:rsid w:val="00FE1E50"/>
    <w:rsid w:val="00FE21EB"/>
    <w:rsid w:val="00FE2BFA"/>
    <w:rsid w:val="00FE2D01"/>
    <w:rsid w:val="00FE2EAC"/>
    <w:rsid w:val="00FE3278"/>
    <w:rsid w:val="00FE3418"/>
    <w:rsid w:val="00FE3800"/>
    <w:rsid w:val="00FE3A05"/>
    <w:rsid w:val="00FE3B77"/>
    <w:rsid w:val="00FE3E80"/>
    <w:rsid w:val="00FE3ED4"/>
    <w:rsid w:val="00FE3F64"/>
    <w:rsid w:val="00FE4508"/>
    <w:rsid w:val="00FE4983"/>
    <w:rsid w:val="00FE538E"/>
    <w:rsid w:val="00FE5A7B"/>
    <w:rsid w:val="00FE6225"/>
    <w:rsid w:val="00FE641A"/>
    <w:rsid w:val="00FE646E"/>
    <w:rsid w:val="00FE6F8E"/>
    <w:rsid w:val="00FE7348"/>
    <w:rsid w:val="00FE734C"/>
    <w:rsid w:val="00FE7D80"/>
    <w:rsid w:val="00FE7E4E"/>
    <w:rsid w:val="00FF060B"/>
    <w:rsid w:val="00FF1349"/>
    <w:rsid w:val="00FF17E0"/>
    <w:rsid w:val="00FF198C"/>
    <w:rsid w:val="00FF1D1E"/>
    <w:rsid w:val="00FF1DEC"/>
    <w:rsid w:val="00FF265A"/>
    <w:rsid w:val="00FF27E8"/>
    <w:rsid w:val="00FF289D"/>
    <w:rsid w:val="00FF3284"/>
    <w:rsid w:val="00FF3D4B"/>
    <w:rsid w:val="00FF3DDF"/>
    <w:rsid w:val="00FF4E39"/>
    <w:rsid w:val="00FF4EA7"/>
    <w:rsid w:val="00FF5695"/>
    <w:rsid w:val="00FF590E"/>
    <w:rsid w:val="00FF5C48"/>
    <w:rsid w:val="00FF62AB"/>
    <w:rsid w:val="00FF6D9E"/>
    <w:rsid w:val="00FF6E86"/>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E0FB55F-5D0B-4EDD-8946-AEE65EDB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894</Words>
  <Characters>5097</Characters>
  <Application>Microsoft Office Word</Application>
  <DocSecurity>0</DocSecurity>
  <Lines>42</Lines>
  <Paragraphs>11</Paragraphs>
  <ScaleCrop>false</ScaleCrop>
  <Company>MC SYSTEM</Company>
  <LinksUpToDate>false</LinksUpToDate>
  <CharactersWithSpaces>5980</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user</cp:lastModifiedBy>
  <cp:revision>6</cp:revision>
  <cp:lastPrinted>2015-09-29T06:50:00Z</cp:lastPrinted>
  <dcterms:created xsi:type="dcterms:W3CDTF">2015-09-29T01:18:00Z</dcterms:created>
  <dcterms:modified xsi:type="dcterms:W3CDTF">2015-09-29T06:58:00Z</dcterms:modified>
</cp:coreProperties>
</file>