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BF0"/>
  <w:body>
    <w:p w:rsidR="0090542D" w:rsidRDefault="00BC331F" w:rsidP="00B80CE3">
      <w:pPr>
        <w:ind w:right="600" w:firstLineChars="4650" w:firstLine="8370"/>
        <w:rPr>
          <w:rFonts w:eastAsia="黑体" w:cs="Arial"/>
          <w:sz w:val="30"/>
          <w:szCs w:val="52"/>
        </w:rPr>
      </w:pPr>
      <w:r>
        <w:rPr>
          <w:noProof/>
        </w:rPr>
        <w:pict>
          <v:shapetype id="_x0000_t202" coordsize="21600,21600" o:spt="202" path="m,l,21600r21600,l21600,xe">
            <v:stroke joinstyle="miter"/>
            <v:path gradientshapeok="t" o:connecttype="rect"/>
          </v:shapetype>
          <v:shape id="Text Box 340" o:spid="_x0000_s1034" type="#_x0000_t202" style="position:absolute;left:0;text-align:left;margin-left:456.65pt;margin-top:41.1pt;width:117.3pt;height:23.25pt;z-index:2516720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HsgIAALwFAAAOAAAAZHJzL2Uyb0RvYy54bWysVFtvmzAUfp+0/2D5nXKpkwAqqdoQpknd&#10;RWr3AxwwwRrYzHYCXbX/vmOTpGn3shsPyPY5/s7l+3yurseuRXumNJciw+FFgBETpay42Gb4y0Ph&#10;xRhpQ0VFWylYhh+ZxtfLt2+uhj5lkWxkWzGFAETodOgz3BjTp76vy4Z1VF/Ingkw1lJ11MBWbf1K&#10;0QHQu9aPgmDuD1JVvZIl0xpO88mIlw6/rllpPtW1Zga1GYbcjPsr99/Yv7+8oulW0b7h5SEN+hdZ&#10;dJQLCHqCyqmhaKf4L1AdL5XUsjYXpex8Wde8ZK4GqCYMXlVz39CeuVqgObo/tUn/P9jy4/6zQrwC&#10;7oApQTvg6IGNBt3KEV0S16Ch1yn43ffgaUYwgLMrVvd3svyqkZCrhootu1FKDg2jFSQY2tb6Z1ct&#10;JTrVFmQzfJAVBKI7Ix3QWKvOdg/6gQAdiHo8kWOTKW1IEieLEEwl2KJkFi1mLgRNj7d7pc07Jjtk&#10;FxlWQL5Dp/s7bWw2ND262GBCFrxtnQBa8eIAHKcTiA1Xrc1m4fh8SoJkHa9j4pFovvZIkOfeTbEi&#10;3rwIF7P8Ml+t8vCHjRuStOFVxYQNc9RWSH6Pu4PKJ1Wc1KVlyysLZ1PSartZtQrtqdU2fEVxaMiZ&#10;m/8yDdcEqOVVSWFEgtso8Yp5vPBIQWZesghiLwiT22QekITkxcuS7rhg/14SGjIMRM4mMf1xbTTt&#10;uIHp0fIuw7HtwOE9WwmuReWoNZS30/qsFTb951YA3UeinWCtRie1mnEzAooV7kZWjyBdJUFZIEIY&#10;ebBopPqO0QDjI8P6244qhlH7XoD8k5DA40HGbchsEcFGnVs25xYqSoDKsMFoWq7MNKN2veLbBiJN&#10;D07IG3gyNXdqfs7q8NBgRLiiDuPMzqDzvfN6HrrLnwAAAP//AwBQSwMEFAAGAAgAAAAhAB4d0N7h&#10;AAAACwEAAA8AAABkcnMvZG93bnJldi54bWxMj8FOg0AQhu8mvsNmTLwYu7A1FpClMY3G2JvoxdsU&#10;RqBlZwm7LejTuz3pbSbz5Z/vz9ez6cWJRtdZ1hAvIhDEla07bjR8vD/fJiCcR66xt0wavsnBuri8&#10;yDGr7cRvdCp9I0IIuww1tN4PmZSuasmgW9iBONy+7GjQh3VsZD3iFMJNL1UU3UuDHYcPLQ60aak6&#10;lEej4XDz8vlkk9ctqdTvp43doyp/tL6+mh8fQHia/R8MZ/2gDkVw2tkj1070GtJ4uQyohkQpEGcg&#10;vlulIHZhUskKZJHL/x2KXwAAAP//AwBQSwECLQAUAAYACAAAACEAtoM4kv4AAADhAQAAEwAAAAAA&#10;AAAAAAAAAAAAAAAAW0NvbnRlbnRfVHlwZXNdLnhtbFBLAQItABQABgAIAAAAIQA4/SH/1gAAAJQB&#10;AAALAAAAAAAAAAAAAAAAAC8BAABfcmVscy8ucmVsc1BLAQItABQABgAIAAAAIQBCj+KHsgIAALwF&#10;AAAOAAAAAAAAAAAAAAAAAC4CAABkcnMvZTJvRG9jLnhtbFBLAQItABQABgAIAAAAIQAeHdDe4QAA&#10;AAsBAAAPAAAAAAAAAAAAAAAAAAwFAABkcnMvZG93bnJldi54bWxQSwUGAAAAAAQABADzAAAAGgYA&#10;AAAA&#10;" filled="f" fillcolor="blue" stroked="f" strokecolor="blue">
            <v:textbox>
              <w:txbxContent>
                <w:p w:rsidR="00BC331F" w:rsidRPr="00EE31AB" w:rsidRDefault="00BC331F" w:rsidP="00EE31AB">
                  <w:pPr>
                    <w:jc w:val="right"/>
                    <w:rPr>
                      <w:sz w:val="15"/>
                      <w:szCs w:val="15"/>
                    </w:rPr>
                  </w:pPr>
                  <w:r>
                    <w:rPr>
                      <w:rFonts w:ascii="楷体_GB2312" w:hint="eastAsia"/>
                      <w:sz w:val="15"/>
                      <w:szCs w:val="15"/>
                    </w:rPr>
                    <w:t>证券研究报告</w:t>
                  </w:r>
                </w:p>
              </w:txbxContent>
            </v:textbox>
            <w10:wrap anchorx="page" anchory="page"/>
          </v:shape>
        </w:pict>
      </w:r>
      <w:r>
        <w:rPr>
          <w:noProof/>
        </w:rPr>
        <w:pict>
          <v:shape id="Text Box 336" o:spid="_x0000_s1033" type="#_x0000_t202" style="position:absolute;left:0;text-align:left;margin-left:15.3pt;margin-top:49.15pt;width:409.2pt;height:25.5pt;z-index:2516689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euuQIAAMMFAAAOAAAAZHJzL2Uyb0RvYy54bWysVNtunDAQfa/Uf7D8TrgssIDCRsmyVJXS&#10;i5T0A7xgFqtgU9u7bBr13zs2e0v6ErXlAdke+8yZmTNzfbPvO7SjUjHBc+xfeRhRXoma8U2Ovz2W&#10;ToKR0oTXpBOc5viJKnyzeP/uehwyGohWdDWVCEC4ysYhx63WQ+a6qmppT9SVGCgHYyNkTzRs5cat&#10;JRkBve/cwPNidxSyHqSoqFJwWkxGvLD4TUMr/aVpFNWoyzFw0/Yv7X9t/u7immQbSYaWVQca5C9Y&#10;9IRxcHqCKogmaCvZH1A9q6RQotFXlehd0TSsojYGiMb3XkXz0JKB2lggOWo4pUn9P9jq8+6rRKyG&#10;2s0x4qSHGj3SvUZ3Yo9ms9gkaBxUBvceBrip92CAyzZYNdyL6rtCXCxbwjf0VkoxtpTUQNA3L92L&#10;pxOOMiDr8ZOowRHZamGB9o3sTfYgHwjQoVBPp+IYMhUcRn4aJyGYKrDNglkS2eq5JDu+HqTSH6jo&#10;kVnkWELxLTrZ3Stt2JDseMU446JkXWcF0PEXB3BxOgHf8NTYDAtbz+fUS1fJKgmdMIhXTugVhXNb&#10;LkMnLv15VMyK5bLwfxm/fpi1rK4pN26O2vLDt9XuoPJJFSd1KdGx2sAZSkpu1stOoh0x2oavLG3O&#10;wXK+5r6kYZMAsbwKyQ9C7y5InTJO5k5YhpGTzr3E8fz0Lo29MA2L8mVI94zTfw8JjTlOoyCaxHQm&#10;/cbYSNYzDdOjY32OE5OBQz8bCa54bUurCeum9UUqDP1zKqDcx0JbwRqNTmrV+/V+ao5jH6xF/QQK&#10;lgIEBlqEyQeLVsifGI0wRXKsfmyJpBh1Hzl0QeqHRrLabsJoHsBGXlrWlxbCK4DKscZoWi71NKq2&#10;g2SbFjxNfcfFLXROw6yoTYtNrA79BpPCxnaYamYUXe7trfPsXfwGAAD//wMAUEsDBBQABgAIAAAA&#10;IQAqSTDq3wAAAAkBAAAPAAAAZHJzL2Rvd25yZXYueG1sTI9BT4NAEIXvJv6HzZh4MXYRmgYoS2Ma&#10;jdFb0UtvU3YEWnaXsNuC/nrHkx4n78ub7xWb2fTiQqPvnFXwsIhAkK2d7myj4OP9+T4F4QNajb2z&#10;pOCLPGzK66sCc+0mu6NLFRrBJdbnqKANYcil9HVLBv3CDWQ5+3SjwcDn2Eg94sTlppdxFK2kwc7y&#10;hxYH2rZUn6qzUXC6e9k/ufT1jeIsHKetO2JcfSt1ezM/rkEEmsMfDL/6rA4lOx3c2WovegVJtGJS&#10;QZYmIDhPlxlvOzC4zBKQZSH/Lyh/AAAA//8DAFBLAQItABQABgAIAAAAIQC2gziS/gAAAOEBAAAT&#10;AAAAAAAAAAAAAAAAAAAAAABbQ29udGVudF9UeXBlc10ueG1sUEsBAi0AFAAGAAgAAAAhADj9If/W&#10;AAAAlAEAAAsAAAAAAAAAAAAAAAAALwEAAF9yZWxzLy5yZWxzUEsBAi0AFAAGAAgAAAAhAHOO1665&#10;AgAAwwUAAA4AAAAAAAAAAAAAAAAALgIAAGRycy9lMm9Eb2MueG1sUEsBAi0AFAAGAAgAAAAhACpJ&#10;MOrfAAAACQEAAA8AAAAAAAAAAAAAAAAAEwUAAGRycy9kb3ducmV2LnhtbFBLBQYAAAAABAAEAPMA&#10;AAAfBgAAAAA=&#10;" filled="f" fillcolor="blue" stroked="f" strokecolor="blue">
            <v:textbox>
              <w:txbxContent>
                <w:p w:rsidR="00BC331F" w:rsidRPr="00AE6908" w:rsidRDefault="00BC331F" w:rsidP="00346B58">
                  <w:pPr>
                    <w:rPr>
                      <w:rFonts w:ascii="楷体_GB2312"/>
                      <w:b/>
                      <w:sz w:val="30"/>
                      <w:szCs w:val="30"/>
                    </w:rPr>
                  </w:pPr>
                  <w:r>
                    <w:rPr>
                      <w:rFonts w:ascii="楷体_GB2312" w:hint="eastAsia"/>
                      <w:b/>
                      <w:sz w:val="30"/>
                      <w:szCs w:val="30"/>
                    </w:rPr>
                    <w:t>2015年9月固定收益类基金投资策略</w:t>
                  </w:r>
                </w:p>
                <w:p w:rsidR="00BC331F" w:rsidRPr="00AE6908" w:rsidRDefault="00BC331F" w:rsidP="00346B58">
                  <w:pPr>
                    <w:rPr>
                      <w:rFonts w:ascii="楷体_GB2312"/>
                      <w:b/>
                      <w:sz w:val="30"/>
                      <w:szCs w:val="30"/>
                    </w:rPr>
                  </w:pPr>
                </w:p>
                <w:p w:rsidR="00BC331F" w:rsidRPr="00346B58" w:rsidRDefault="00BC331F">
                  <w:pPr>
                    <w:rPr>
                      <w:rFonts w:ascii="楷体_GB2312"/>
                      <w:b/>
                      <w:sz w:val="30"/>
                      <w:szCs w:val="30"/>
                    </w:rPr>
                  </w:pPr>
                </w:p>
              </w:txbxContent>
            </v:textbox>
            <w10:wrap anchorx="page" anchory="page"/>
          </v:shape>
        </w:pict>
      </w:r>
      <w:r>
        <w:rPr>
          <w:noProof/>
        </w:rPr>
        <w:pict>
          <v:shape id="Text Box 335" o:spid="_x0000_s1032" type="#_x0000_t202" style="position:absolute;left:0;text-align:left;margin-left:15.3pt;margin-top:15.6pt;width:370.25pt;height:21.55pt;z-index:2516679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JsugIAAMMFAAAOAAAAZHJzL2Uyb0RvYy54bWysVNtu2zAMfR+wfxD07voSJbGNOkUbx8OA&#10;7gK0+wDFlmNhtuRJSpyu2L+PknNr91Js84MhidLhIXnI65t916IdU5pLkeHwKsCIiVJWXGwy/O2x&#10;8GKMtKGioq0ULMNPTOObxft310Ofskg2sq2YQgAidDr0GW6M6VPf12XDOqqvZM8EGGupOmpgqzZ+&#10;pegA6F3rR0Ew8wepql7JkmkNp/loxAuHX9esNF/qWjOD2gwDN+P+yv3X9u8vrmm6UbRveHmgQf+C&#10;RUe5AKcnqJwairaK/wHV8VJJLWtzVcrOl3XNS+ZigGjC4FU0Dw3tmYsFkqP7U5r0/4MtP+++KsQr&#10;qN0MI0E7qNEj2xt0J/doMpnaBA29TuHeQw83zR4McNkFq/t7WX7XSMhlQ8WG3Solh4bRCgiG9qV/&#10;8XTE0RZkPXySFTiiWyMd0L5Wnc0e5AMBOhTq6VQcS6aEQzIPonA+xagEWzSfzGJHzqfp8XWvtPnA&#10;ZIfsIsMKiu/Q6e5eG8uGpscr1pmQBW9bJ4BWvDiAi+MJ+Ian1mZZuHo+J0Gyilcx8Ug0W3kkyHPv&#10;tlgSb1YAu3ySL5d5+Mv6DUna8Kpiwro5aiskb6vdQeWjKk7q0rLllYWzlLTarJetQjtqtQ1fUbic&#10;g+V8zX9JwyUBYnkVUhiR4C5KvGIWzz1SkKmXzIPYC8LkLpkFJCF58TKkey7Yv4eEhgwn02g6iulM&#10;+o2x0bTjBqZHy7sMxzYDh362ElyJypXWUN6O64tUWPrnVEC5j4V2grUaHdVq9uu9a47o2AdrWT2B&#10;gpUEgYFMYfLBopHqJ0YDTJEM6x9bqhhG7UcBXZCEhNix4zZkOo9goy4t60sLFSVAZdhgNC6XZhxV&#10;217xTQOexr4T8hY6p+ZO1LbFRlaHfoNJ4WI7TDU7ii737tZ59i5+AwAA//8DAFBLAwQUAAYACAAA&#10;ACEAmGNNmd8AAAAIAQAADwAAAGRycy9kb3ducmV2LnhtbEyPQU+DQBCF7yb+h82YeDF2gZq2Iktj&#10;Go3Rm+jF2xRGoGVnCbst2F/f8aSnmcl7efO9bD3ZTh1p8K1jA/EsAkVcuqrl2sDnx/PtCpQPyBV2&#10;jsnAD3lY55cXGaaVG/mdjkWolYSwT9FAE0Kfau3Lhiz6meuJRft2g8Ug51DrasBRwm2nkyhaaIst&#10;y4cGe9o0VO6LgzWwv3n5enKr1zdK7sNu3LgdJsXJmOur6fEBVKAp/JnhF1/QIRemrTtw5VVnYB4t&#10;xCkzTkCJvlzGMaitLHdz0Hmm/xfIzwAAAP//AwBQSwECLQAUAAYACAAAACEAtoM4kv4AAADhAQAA&#10;EwAAAAAAAAAAAAAAAAAAAAAAW0NvbnRlbnRfVHlwZXNdLnhtbFBLAQItABQABgAIAAAAIQA4/SH/&#10;1gAAAJQBAAALAAAAAAAAAAAAAAAAAC8BAABfcmVscy8ucmVsc1BLAQItABQABgAIAAAAIQBuZyJs&#10;ugIAAMMFAAAOAAAAAAAAAAAAAAAAAC4CAABkcnMvZTJvRG9jLnhtbFBLAQItABQABgAIAAAAIQCY&#10;Y02Z3wAAAAgBAAAPAAAAAAAAAAAAAAAAABQFAABkcnMvZG93bnJldi54bWxQSwUGAAAAAAQABADz&#10;AAAAIAYAAAAA&#10;" filled="f" fillcolor="blue" stroked="f" strokecolor="blue">
            <v:textbox>
              <w:txbxContent>
                <w:bookmarkStart w:id="0" w:name="reportDate"/>
                <w:p w:rsidR="00BC331F" w:rsidRDefault="00BC331F" w:rsidP="00832F33">
                  <w:pPr>
                    <w:jc w:val="left"/>
                  </w:pPr>
                  <w:sdt>
                    <w:sdtPr>
                      <w:rPr>
                        <w:rFonts w:eastAsia="黑体" w:cs="Arial" w:hint="eastAsia"/>
                        <w:b/>
                        <w:sz w:val="21"/>
                        <w:szCs w:val="21"/>
                      </w:rPr>
                      <w:alias w:val="报告日期"/>
                      <w:tag w:val="BDCONTENTCONTROL_5c179c93-3177-4ab7-ae62-1dc3677fa3d8"/>
                      <w:id w:val="3936421"/>
                      <w:placeholder>
                        <w:docPart w:val="80490560CA5345CA91D41A90ABE9FDB6"/>
                      </w:placeholder>
                      <w:text/>
                    </w:sdtPr>
                    <w:sdtContent>
                      <w:r>
                        <w:rPr>
                          <w:rFonts w:eastAsia="黑体" w:cs="Arial" w:hint="eastAsia"/>
                          <w:b/>
                          <w:sz w:val="21"/>
                          <w:szCs w:val="21"/>
                        </w:rPr>
                        <w:t>2015</w:t>
                      </w:r>
                      <w:r>
                        <w:rPr>
                          <w:rFonts w:eastAsia="黑体" w:cs="Arial" w:hint="eastAsia"/>
                          <w:b/>
                          <w:sz w:val="21"/>
                          <w:szCs w:val="21"/>
                        </w:rPr>
                        <w:t>年</w:t>
                      </w:r>
                      <w:r>
                        <w:rPr>
                          <w:rFonts w:eastAsia="黑体" w:cs="Arial" w:hint="eastAsia"/>
                          <w:b/>
                          <w:sz w:val="21"/>
                          <w:szCs w:val="21"/>
                        </w:rPr>
                        <w:t>09</w:t>
                      </w:r>
                      <w:r>
                        <w:rPr>
                          <w:rFonts w:eastAsia="黑体" w:cs="Arial" w:hint="eastAsia"/>
                          <w:b/>
                          <w:sz w:val="21"/>
                          <w:szCs w:val="21"/>
                        </w:rPr>
                        <w:t>月</w:t>
                      </w:r>
                      <w:r>
                        <w:rPr>
                          <w:rFonts w:eastAsia="黑体" w:cs="Arial" w:hint="eastAsia"/>
                          <w:b/>
                          <w:sz w:val="21"/>
                          <w:szCs w:val="21"/>
                        </w:rPr>
                        <w:t>01</w:t>
                      </w:r>
                      <w:r>
                        <w:rPr>
                          <w:rFonts w:eastAsia="黑体" w:cs="Arial" w:hint="eastAsia"/>
                          <w:b/>
                          <w:sz w:val="21"/>
                          <w:szCs w:val="21"/>
                        </w:rPr>
                        <w:t>日</w:t>
                      </w:r>
                    </w:sdtContent>
                  </w:sdt>
                  <w:bookmarkEnd w:id="0"/>
                </w:p>
              </w:txbxContent>
            </v:textbox>
            <w10:wrap anchorx="page" anchory="page"/>
          </v:shape>
        </w:pict>
      </w:r>
      <w:r>
        <w:rPr>
          <w:noProof/>
        </w:rPr>
        <w:pict>
          <v:rect id="Rectangle 406" o:spid="_x0000_s1031" style="position:absolute;left:0;text-align:left;margin-left:416.25pt;margin-top:-30.75pt;width:124.5pt;height:16.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8s+gIAAIYGAAAOAAAAZHJzL2Uyb0RvYy54bWysVd1umzAUvp+0d7B8T4HEJIBKqoSEaVK3&#10;Vev2AA6YYA1sZrsl3bR337FJ0zTdxbSOC+sc+/j4+84fl1f7rkX3TGkuRYbDiwAjJkpZcbHL8Ncv&#10;hRdjpA0VFW2lYBl+YBpfLd6+uRz6lE1kI9uKKQROhE6HPsONMX3q+7psWEf1heyZgMNaqo4aUNXO&#10;rxQdwHvX+pMgmPmDVFWvZMm0ht31eIgXzn9ds9J8qmvNDGozDNiMW5Vbt3b1F5c03SnaN7w8wKD/&#10;gKKjXMCjR1draii6U/yFq46XSmpZm4tSdr6sa14yxwHYhMEZm9uG9sxxgeDo/hgm/f/clh/vbxTi&#10;VYanEB5BO8jRZ4gaFbuWIRLMbISGXqdgeNvfKMtR99ey/KaRkHkDdmyplBwaRivAFVp7/9kFq2i4&#10;irbDB1mBf3pnpAvWvladdQhhQHuXk4djTtjeoBI2wygOwwiwlXA2CZIIZPsETR9v90qbd0x2yAoZ&#10;VoDeeaf319qMpo8m9jEhC962sE/TVjzbAJ/jDnOFM96mKSAB0VpaTC6pP5Mg2cSbmHhkMtt4JFiv&#10;vWWRE29WhPNoPV3n+Tr8ZVGEJG14VTFhH30ssJD8XQIPpT6WxrHEtGx5Zd1ZSFrttnmr0D2FAi/c&#10;dwjPiZn/HIaLHnA5oxROSLCaJF4xi+ceKUjkJfMg9oIwWSWzgCRkXTyndM0Fez0lNGQ4iSYRRrTd&#10;wQwpjXLpO8F/RnMKX5K8pEnTjhuYJi3vMhwH9rNGNLW1uRGVkw3l7SifRMUy+XNUlkUUzMk09ubz&#10;aOqR6SbwVnGRe8s8nM3mm1W+2pwleuOKR78+MC49J5V4gvfwxhNkKN3HMnXNZ/tt7Fuz3+7H/rax&#10;sL24ldUDdKOS0CzQVzC8QWik+oHRAIMww/r7HVUMo/a9gI5OQkLs5HQKieYTUNTpyfb0hIoSXGXY&#10;QDqdmJtx2t71iu8aeCl02RVyCVOg5q5Bn1ABI6vAsHPcDoPZTtNT3Vk9/T4WvwEAAP//AwBQSwME&#10;FAAGAAgAAAAhAFekN2vgAAAADAEAAA8AAABkcnMvZG93bnJldi54bWxMj8FugzAQRO+V+g/WRuot&#10;MaEiQhQTRVXTUw8NSaQcHbwBVGwj2wHy911O7W12ZzT7Nt9OumMDOt9aI2C9ioChqaxqTS3gdNwv&#10;U2A+SKNkZw0KeKCHbfH8lMtM2dEccChDzajE+EwKaELoM8591aCWfmV7NOTdrNMy0OhqrpwcqVx3&#10;PI6iDdeyNXShkT2+N1j9lHct4MONt4v6OvM9t+fh83QsD9/JQ4iXxbR7AxZwCn9hmPEJHQpiutq7&#10;UZ51AtLXOKGogOVmTWJOROmsrrSK0wR4kfP/TxS/AAAA//8DAFBLAQItABQABgAIAAAAIQC2gziS&#10;/gAAAOEBAAATAAAAAAAAAAAAAAAAAAAAAABbQ29udGVudF9UeXBlc10ueG1sUEsBAi0AFAAGAAgA&#10;AAAhADj9If/WAAAAlAEAAAsAAAAAAAAAAAAAAAAALwEAAF9yZWxzLy5yZWxzUEsBAi0AFAAGAAgA&#10;AAAhAJ5/Hyz6AgAAhgYAAA4AAAAAAAAAAAAAAAAALgIAAGRycy9lMm9Eb2MueG1sUEsBAi0AFAAG&#10;AAgAAAAhAFekN2vgAAAADAEAAA8AAAAAAAAAAAAAAAAAVAUAAGRycy9kb3ducmV2LnhtbFBLBQYA&#10;AAAABAAEAPMAAABhBgAAAAA=&#10;" filled="f" stroked="f" strokecolor="#339">
            <v:textbox>
              <w:txbxContent>
                <w:p w:rsidR="00BC331F" w:rsidRPr="00EC07DB" w:rsidRDefault="00BC331F" w:rsidP="00865BF6">
                  <w:pPr>
                    <w:jc w:val="right"/>
                    <w:rPr>
                      <w:sz w:val="15"/>
                      <w:szCs w:val="15"/>
                    </w:rPr>
                  </w:pPr>
                </w:p>
              </w:txbxContent>
            </v:textbox>
            <w10:anchorlock/>
          </v:rect>
        </w:pict>
      </w:r>
      <w:r>
        <w:rPr>
          <w:noProof/>
        </w:rPr>
        <w:pict>
          <v:shape id="Text Box 405" o:spid="_x0000_s1030" type="#_x0000_t202" style="position:absolute;left:0;text-align:left;margin-left:414.3pt;margin-top:15.6pt;width:128.45pt;height:34.3pt;z-index:251665920;visibility:visible;mso-wrap-style:non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tMj9QIAAIIGAAAOAAAAZHJzL2Uyb0RvYy54bWysVV9vmzAQf5+072D5nQKJIQGVVAkJ06Tu&#10;j9TuAzhggjWwke2GdNO++84mSdN2D9M6Hizbd7773d3vjuubQ9eiPVOaS5Hh8CrAiIlSVlzsMvzt&#10;vvDmGGlDRUVbKViGH5nGN4v3766HPmUT2ci2YgqBEaHToc9wY0yf+r4uG9ZRfSV7JkBYS9VRA0e1&#10;8ytFB7Detf4kCGJ/kKrqlSyZ1nC7HoV44ezXNSvNl7rWzKA2w4DNuFW5dWtXf3FN052ifcPLIwz6&#10;Dyg6ygU4PZtaU0PRg+KvTHW8VFLL2lyVsvNlXfOSuRggmjB4Ec1dQ3vmYoHk6P6cJv3/zJaf918V&#10;4lWGJwlGgnZQo3t2MGglD4gEkU3Q0OsU9O560DQHEEChXbC6v5Xld42EzBsqdmyplBwaRisAGNqX&#10;/sXT0Y62RrbDJ1mBI/pgpDN0qFVnswf5QGAdCvV4Lo4FU1qX8TSchhFGJcjINIpDVz2fpqfXvdLm&#10;A5MdspsMKyi+s073t9pYNDQ9qVhnQha8bR0BWvHsAhTHG+YYNL6mKSCBrdW0mFx1fyZBsplv5sQj&#10;k3jjkWC99pZFTry4CGfRerrO83X4y6IISdrwqmLCOj0xLSR/V8kj50eOnLmmZcsra85C0mq3zVuF&#10;9hSYXrjPVQAkT2r+cxguJRDLi5DCCQlWk8Qr4vnMIwWJvGQWzL0gTFZJHJCErIvnId1ywd4eEhoy&#10;nESTaKTWE+gXsQXuex0bTTtuYJa0vMvw/KxEU0vIjahcoQ3l7bi/SIWF/+dULIsomJHp3JvNoqlH&#10;ppvAW82L3FvmYRzPNqt8tXlR3Y1jjH57NlxNLuh3gffo4wky8PXETddxtsnGdjOH7cF1Nzk18lZW&#10;j9CCSkKHQJ/B6IZNI9UPjAYYgxkWMKcxaj8KaOIkJMROTXcg0WwCB3Up2V5KqCjBUIYNRuM2N+Ok&#10;fegV3zXgZxwbQi6h8WvuetJOiBETxGMPMOhcZMehbCfp5dlpPf06Fr8BAAD//wMAUEsDBBQABgAI&#10;AAAAIQAc1q9s4gAAAAoBAAAPAAAAZHJzL2Rvd25yZXYueG1sTI/BTsMwEETvSPyDtUhcEHXiqpUb&#10;sqkQCC5URRQOHJ14SQKxHcVumvbrcU9wXM3TzNt8PZmOjTT41lmEdJYAI1s53doa4eP96VYC80FZ&#10;rTpnCeFIHtbF5UWuMu0O9o3GXahZLLE+UwhNCH3Gua8aMsrPXE82Zl9uMCrEc6i5HtQhlpuOiyRZ&#10;cqNaGxca1dNDQ9XPbm8QTq/DxgmxeU7Lz3k7hseb7+3LFvH6arq/AxZoCn8wnPWjOhTRqXR7qz3r&#10;EKSQy4gizFMB7AwkcrEAViKsVhJ4kfP/LxS/AAAA//8DAFBLAQItABQABgAIAAAAIQC2gziS/gAA&#10;AOEBAAATAAAAAAAAAAAAAAAAAAAAAABbQ29udGVudF9UeXBlc10ueG1sUEsBAi0AFAAGAAgAAAAh&#10;ADj9If/WAAAAlAEAAAsAAAAAAAAAAAAAAAAALwEAAF9yZWxzLy5yZWxzUEsBAi0AFAAGAAgAAAAh&#10;AGHS0yP1AgAAggYAAA4AAAAAAAAAAAAAAAAALgIAAGRycy9lMm9Eb2MueG1sUEsBAi0AFAAGAAgA&#10;AAAhABzWr2ziAAAACgEAAA8AAAAAAAAAAAAAAAAATwUAAGRycy9kb3ducmV2LnhtbFBLBQYAAAAA&#10;BAAEAPMAAABeBgAAAAA=&#10;" filled="f" stroked="f">
            <v:textbox>
              <w:txbxContent>
                <w:p w:rsidR="00BC331F" w:rsidRPr="00E17DD1" w:rsidRDefault="00BC331F" w:rsidP="00865BF6">
                  <w:r>
                    <w:rPr>
                      <w:noProof/>
                    </w:rPr>
                    <w:drawing>
                      <wp:inline distT="0" distB="0" distL="0" distR="0">
                        <wp:extent cx="1438275" cy="352425"/>
                        <wp:effectExtent l="0" t="0" r="9525" b="9525"/>
                        <wp:docPr id="7" name="图片 3" descr="未命名的-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未命名的-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352425"/>
                                </a:xfrm>
                                <a:prstGeom prst="rect">
                                  <a:avLst/>
                                </a:prstGeom>
                                <a:noFill/>
                                <a:ln>
                                  <a:noFill/>
                                </a:ln>
                              </pic:spPr>
                            </pic:pic>
                          </a:graphicData>
                        </a:graphic>
                      </wp:inline>
                    </w:drawing>
                  </w:r>
                </w:p>
              </w:txbxContent>
            </v:textbox>
            <w10:wrap anchory="page"/>
            <w10:anchorlock/>
          </v:shape>
        </w:pict>
      </w:r>
      <w:r>
        <w:rPr>
          <w:noProof/>
        </w:rPr>
        <w:pict>
          <v:rect id="lastSuggestion" o:spid="_x0000_s1029" style="position:absolute;left:0;text-align:left;margin-left:299.1pt;margin-top:12.75pt;width:86.55pt;height:25.65pt;z-index:25165568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24AQMAAJIGAAAOAAAAZHJzL2Uyb0RvYy54bWysVdtunDAQfa/Uf7D8TrgsLBeFVLvsUlVK&#10;20hpP8ALBqyCTW1v2LTqv3dsNslu0oeqKQ+WL+PxOXNmhst3h6FHd1QqJniO/QsPI8orUTPe5vjr&#10;l9JJMFKa8Jr0gtMc31OF3129fXM5jRkNRCf6mkoETrjKpjHHndZj5rqq6uhA1IUYKYfDRsiBaFjK&#10;1q0lmcD70LuB5y3dSch6lKKiSsHuZj7EV9Z/09BKf24aRTXqcwzYtB2lHXdmdK8uSdZKMnasOsIg&#10;/4BiIIzDo4+uNkQTtJfshauBVVIo0eiLSgyuaBpWUcsB2PjeMza3HRmp5QLBUeNjmNT/c1t9uruR&#10;iNU5DpYYcTKARj1R+nbftlRpUBWjjtU1NeqaaE2jyuDS7XgjDV81Xovqm0JcFB3hLV1JKaaOkhow&#10;Wnv37IJZKLiKdtNHUcNbZK+FDdyhkYNxCCFBB6vP/aM+9KBRBZu+l6Z+EmFUwdkiiOIoMpBckj3c&#10;HqXS76kYkJnkWIL+1ju5u1Z6Nn0wMY9xUbK+tznQ87MN8DnvUJtE822SARKYGkuDyQr8M/XSbbJN&#10;QicMllsn9DYbZ1UWobMs/TjaLDZFsfF/GRR+mM2hNI8+JJsf/p2Yx7Sf0+Qx3ZToWW3cGUhKtrui&#10;l+iOQLKX9juG58TMPYdhowdcnlHyg9BbB6lTLpPYCcswctLYSxzPT9fp0gvTcFOeU7pmnL6eEppy&#10;nEYBKEz6FjKu0tLKd4L/Gc0FfGn6kibJBqahs/RsyHHimc8Ykczk5pbXdq4J6+f5SVQMkz9HZVVG&#10;XhwuEieOo4UTLraes07KwlkV/nIZb9fFevtM6K1NHvX6wFh5TjLxBO/xjSfIkLoPaWqLz9TbXLf6&#10;sDvYWrdlY2pxJ+p7qEYpoFigPUIjh0kn5A+MJmiKOVbf90RSjPoPHCo69cPQdFG7CKM4gIU8Pdmd&#10;nhBegasca5DTTgs9d979KFnbwUu+VZeLFXSBhtkCfUIFjMwCGp/ldmzSprOerq3V06/k6jcAAAD/&#10;/wMAUEsDBBQABgAIAAAAIQDvfCaJ4AAAAAkBAAAPAAAAZHJzL2Rvd25yZXYueG1sTI/BTsMwDIbv&#10;SLxDZCRuLG1Rt1KaThMCxAUBA4lr2nhtReNUTbaWPf28E9xs+fPvz8V6tr044Og7RwriRQQCqXam&#10;o0bB1+fTTQbCB01G945QwS96WJeXF4XOjZvoAw/b0AgOIZ9rBW0IQy6lr1u02i/cgMSznRutDtyO&#10;jTSjnjjc9jKJoqW0uiO+0OoBH1qsf7Z7yxo7d2zeutfn5Ptl2lQxRvHx/VGp66t5cw8i4Bz+YDjr&#10;8w6U7FS5PRkvegXpXZYwqiBJUxAMrFbxLYiKi2UGsizk/w/KEwAAAP//AwBQSwECLQAUAAYACAAA&#10;ACEAtoM4kv4AAADhAQAAEwAAAAAAAAAAAAAAAAAAAAAAW0NvbnRlbnRfVHlwZXNdLnhtbFBLAQIt&#10;ABQABgAIAAAAIQA4/SH/1gAAAJQBAAALAAAAAAAAAAAAAAAAAC8BAABfcmVscy8ucmVsc1BLAQIt&#10;ABQABgAIAAAAIQAvCX24AQMAAJIGAAAOAAAAAAAAAAAAAAAAAC4CAABkcnMvZTJvRG9jLnhtbFBL&#10;AQItABQABgAIAAAAIQDvfCaJ4AAAAAkBAAAPAAAAAAAAAAAAAAAAAFsFAABkcnMvZG93bnJldi54&#10;bWxQSwUGAAAAAAQABADzAAAAaAYAAAAA&#10;" filled="f" stroked="f" strokecolor="#339">
            <v:textbox>
              <w:txbxContent>
                <w:p w:rsidR="00BC331F" w:rsidRPr="00FE4B43" w:rsidRDefault="00BC331F" w:rsidP="006449BF">
                  <w:pPr>
                    <w:rPr>
                      <w:b/>
                      <w:sz w:val="24"/>
                      <w:szCs w:val="24"/>
                    </w:rPr>
                  </w:pPr>
                  <w:bookmarkStart w:id="1" w:name="lastInvestSuggestion"/>
                  <w:r>
                    <w:rPr>
                      <w:rFonts w:hint="eastAsia"/>
                      <w:b/>
                      <w:sz w:val="24"/>
                      <w:szCs w:val="24"/>
                    </w:rPr>
                    <w:t>买入</w:t>
                  </w:r>
                  <w:bookmarkEnd w:id="1"/>
                </w:p>
              </w:txbxContent>
            </v:textbox>
          </v:rect>
        </w:pict>
      </w:r>
    </w:p>
    <w:p w:rsidR="0090542D" w:rsidRDefault="00BC331F">
      <w:pPr>
        <w:jc w:val="right"/>
        <w:rPr>
          <w:rFonts w:eastAsia="黑体" w:cs="Arial"/>
          <w:sz w:val="30"/>
          <w:szCs w:val="52"/>
        </w:rPr>
      </w:pPr>
      <w:r>
        <w:rPr>
          <w:noProof/>
        </w:rPr>
        <w:pict>
          <v:shape id="Text Box 338" o:spid="_x0000_s1028" type="#_x0000_t202" style="position:absolute;left:0;text-align:left;margin-left:341.25pt;margin-top:98.35pt;width:228.75pt;height:22.1pt;z-index:2516710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iwugIAAMMFAAAOAAAAZHJzL2Uyb0RvYy54bWysVNtunDAQfa/Uf7D8TrjEywIKWyXLUlVK&#10;L1LSD/CCWayCTW3vsmnVf+/Y7C3pS9SWB2R77DNnZs7Mzbt936EdU5pLkePwKsCIiUrWXGxy/PWx&#10;9BKMtKGipp0ULMdPTON3i7dvbsYhY5FsZVczhQBE6GwcctwaM2S+r6uW9VRfyYEJMDZS9dTAVm38&#10;WtER0PvOj4Ig9kep6kHJimkNp8VkxAuH3zSsMp+bRjODuhwDN+P+yv3X9u8vbmi2UXRoeXWgQf+C&#10;RU+5AKcnqIIairaK/wHV80pJLRtzVcnel03DK+ZigGjC4EU0Dy0dmIsFkqOHU5r0/4OtPu2+KMRr&#10;qN0MI0F7qNEj2xt0J/fo+jqxCRoHncG9hwFumj0Y4LILVg/3svqmkZDLlooNu1VKji2jNRAM7Uv/&#10;4umEoy3Ievwoa3BEt0Y6oH2jeps9yAcCdCjU06k4lkwFh1EazMIISFZgi5Ignrvq+TQ7vh6UNu+Z&#10;7JFd5FhB8R063d1rY9nQ7HjFOhOy5F3nBNCJZwdwcToB3/DU2iwLV8+faZCuklVCPBLFK48EReHd&#10;lkvixWU4nxXXxXJZhL+s35BkLa9rJqybo7ZC8rraHVQ+qeKkLi07Xls4S0mrzXrZKbSjVtvwlaXL&#10;OVjO1/znNFwSIJYXIYURCe6i1CvjZO6Rksy8dB4kXhCmd2kckJQU5fOQ7rlg/x4SGnOczqCmLpwz&#10;6VfGRrOeG5geHe9znNgMHPrZSnAlaldaQ3k3rS9SYemfUwHlPhbaCdZqdFKr2a/3rjniYx+sZf0E&#10;ClYSBAYyhckHi1aqHxiNMEVyrL9vqWIYdR8EdEEaEmLHjtuQ2TyCjbq0rC8tVFQAlWOD0bRcmmlU&#10;bQfFNy14mvpOyFvonIY7UdsWm1gd+g0mhYvtMNXsKLrcu1vn2bv4DQAA//8DAFBLAwQUAAYACAAA&#10;ACEALbTMo+EAAAAMAQAADwAAAGRycy9kb3ducmV2LnhtbEyPwU7DMBBE70j8g7VIXBC1a5WQhDgV&#10;qkCI3ghcuG3jJUkb21HsNoGvxz3BcTVPs2+K9Wx6dqLRd84qWC4EMLK1051tFHy8P9+mwHxAq7F3&#10;lhR8k4d1eXlRYK7dZN/oVIWGxRLrc1TQhjDknPu6JYN+4QayMftyo8EQz7HhesQplpueSyESbrCz&#10;8UOLA21aqg/V0Sg43Lx8Prn0dUsyC/tp4/Yoqx+lrq/mxwdggebwB8NZP6pDGZ127mi1Z72CJJV3&#10;EY1BltwDOxPLlYjzdgrkSmTAy4L/H1H+AgAA//8DAFBLAQItABQABgAIAAAAIQC2gziS/gAAAOEB&#10;AAATAAAAAAAAAAAAAAAAAAAAAABbQ29udGVudF9UeXBlc10ueG1sUEsBAi0AFAAGAAgAAAAhADj9&#10;If/WAAAAlAEAAAsAAAAAAAAAAAAAAAAALwEAAF9yZWxzLy5yZWxzUEsBAi0AFAAGAAgAAAAhAC8w&#10;aLC6AgAAwwUAAA4AAAAAAAAAAAAAAAAALgIAAGRycy9lMm9Eb2MueG1sUEsBAi0AFAAGAAgAAAAh&#10;AC20zKPhAAAADAEAAA8AAAAAAAAAAAAAAAAAFAUAAGRycy9kb3ducmV2LnhtbFBLBQYAAAAABAAE&#10;APMAAAAiBgAAAAA=&#10;" filled="f" fillcolor="blue" stroked="f" strokecolor="blue">
            <v:textbox>
              <w:txbxContent>
                <w:p w:rsidR="00BC331F" w:rsidRDefault="00BC331F" w:rsidP="00F30157">
                  <w:pPr>
                    <w:jc w:val="right"/>
                  </w:pPr>
                  <w:sdt>
                    <w:sdtPr>
                      <w:rPr>
                        <w:rFonts w:hint="eastAsia"/>
                        <w:b/>
                        <w:sz w:val="24"/>
                        <w:szCs w:val="24"/>
                      </w:rPr>
                      <w:alias w:val="报告类型"/>
                      <w:tag w:val="BDCONTENTCONTROL_84bd61de-94b7-4c7c-8f81-60dfebe1887e"/>
                      <w:id w:val="1634203798"/>
                      <w:text/>
                    </w:sdtPr>
                    <w:sdtContent>
                      <w:r>
                        <w:rPr>
                          <w:rFonts w:hint="eastAsia"/>
                          <w:b/>
                          <w:sz w:val="24"/>
                          <w:szCs w:val="24"/>
                        </w:rPr>
                        <w:t>基金投资策略报告</w:t>
                      </w:r>
                    </w:sdtContent>
                  </w:sdt>
                </w:p>
              </w:txbxContent>
            </v:textbox>
            <w10:wrap anchorx="page" anchory="page"/>
          </v:shape>
        </w:pict>
      </w:r>
    </w:p>
    <w:p w:rsidR="0090542D" w:rsidRDefault="00BC331F">
      <w:pPr>
        <w:jc w:val="right"/>
        <w:rPr>
          <w:rFonts w:eastAsia="黑体" w:cs="Arial"/>
          <w:sz w:val="30"/>
          <w:szCs w:val="52"/>
        </w:rPr>
      </w:pPr>
      <w:r>
        <w:rPr>
          <w:noProof/>
        </w:rPr>
        <w:pict>
          <v:line id="Line 335" o:spid="_x0000_s1027" style="position:absolute;left:0;text-align:left;z-index:251653632;visibility:visible;mso-wrap-distance-top:-3e-5mm;mso-wrap-distance-bottom:-3e-5mm" from="-31.8pt,12.65pt" to="565.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BKkAIAAGUFAAAOAAAAZHJzL2Uyb0RvYy54bWysVMGOmzAQvVfqP1i+s0AgCUFLVllCetm2&#10;K+1WPTvYBKtgI9sJiar+e8dOoMn2UlULkuWxPc9v5s34/uHYNujAlOZSZDi8CzBiopSUi12Gv71u&#10;vAQjbYigpJGCZfjENH5Yfvxw33cpm8haNpQpBCBCp32X4dqYLvV9XdasJfpOdkzAZiVVSwyYaudT&#10;RXpAbxt/EgQzv5eKdkqWTGtYXZ838dLhVxUrzdeq0sygJsPAzbhRuXFrR395T9KdIl3NywsN8h8s&#10;WsIFXDpCrYkhaK/4X1AtL5XUsjJ3pWx9WVW8ZC4GiCYM3kTzUpOOuVggObob06TfD7b8cnhWiNMM&#10;TyKMBGlBoycuGIqiqU1O3+kUzuTiWdnwyqN46Z5k+UMjIfOaiB1zJF9PHTiG1sO/cbGG7uCKbf9Z&#10;UjhD9ka6TB0r1VpIyAE6OkFOoyDsaFAJi/NpEi4C0K0c9nySDo6d0uYTky2ykww3wNoBk8OTNpYI&#10;SYcj9h4hN7xpnN6NQD2wDRdR4jy0bDi1u/acVrtt3ih0ILZkglVQLFxYsHN9TMm9oA6tZoQWl7kh&#10;vDnP4fZGWDzmqvBMCayjgalbhxhdhfxcBIsiKZLYiyezwouD9dpbbfLYm23C+XQdrfN8Hf6yRMM4&#10;rTmlTFiuQ7WG8b9Vw6VvznU21uuYFf8W3aUPyN4yXW2mwTyOEm8+n0ZeHBWB95hscm+Vh7PZvHjM&#10;H4s3TAsXvX4fsmMqLSu5N0y91LRHlFv9o+liEmIwoLsn88B+GJFmB89SaRRGSprv3NSuXG2hWYwb&#10;rZPA/hetR/RzIgYNrTWqcIntT6pA80Ff1wW28M8ttJX09KyG7oBedk6Xd8c+Ftc2zK9fx+VvAAAA&#10;//8DAFBLAwQUAAYACAAAACEAtutIat8AAAAKAQAADwAAAGRycy9kb3ducmV2LnhtbEyPwU7DMAyG&#10;70i8Q2Qkblu6dRRUmk4DwQFxGWWHcfMar61onKrJuvbtycQBjrY//f7+bD2aVgzUu8aygsU8AkFc&#10;Wt1wpWD3+Tp7AOE8ssbWMimYyME6v77KMNX2zB80FL4SIYRdigpq77tUSlfWZNDNbUccbkfbG/Rh&#10;7CupezyHcNPKZRQl0mDD4UONHT3XVH4XJ6PgPt4/TW/TZlW9Jy/Fl9wOjSmPSt3ejJtHEJ5G/wfD&#10;RT+oQx6cDvbE2olWwSyJk4AqWN7FIC7AIo5WIA6/G5ln8n+F/AcAAP//AwBQSwECLQAUAAYACAAA&#10;ACEAtoM4kv4AAADhAQAAEwAAAAAAAAAAAAAAAAAAAAAAW0NvbnRlbnRfVHlwZXNdLnhtbFBLAQIt&#10;ABQABgAIAAAAIQA4/SH/1gAAAJQBAAALAAAAAAAAAAAAAAAAAC8BAABfcmVscy8ucmVsc1BLAQIt&#10;ABQABgAIAAAAIQClijBKkAIAAGUFAAAOAAAAAAAAAAAAAAAAAC4CAABkcnMvZTJvRG9jLnhtbFBL&#10;AQItABQABgAIAAAAIQC260hq3wAAAAoBAAAPAAAAAAAAAAAAAAAAAOoEAABkcnMvZG93bnJldi54&#10;bWxQSwUGAAAAAAQABADzAAAA9gUAAAAA&#10;" strokecolor="#00a0e9" strokeweight=".94pt"/>
        </w:pict>
      </w:r>
    </w:p>
    <w:p w:rsidR="00EB010E" w:rsidRDefault="00EB010E">
      <w:pPr>
        <w:jc w:val="right"/>
        <w:rPr>
          <w:rFonts w:eastAsia="黑体" w:cs="Arial"/>
          <w:sz w:val="30"/>
          <w:szCs w:val="52"/>
        </w:rPr>
      </w:pPr>
    </w:p>
    <w:tbl>
      <w:tblPr>
        <w:tblStyle w:val="af"/>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9"/>
        <w:gridCol w:w="7568"/>
      </w:tblGrid>
      <w:tr w:rsidR="00EB010E" w:rsidTr="003A7A25">
        <w:trPr>
          <w:trHeight w:val="12531"/>
        </w:trPr>
        <w:tc>
          <w:tcPr>
            <w:tcW w:w="3459" w:type="dxa"/>
            <w:tcMar>
              <w:top w:w="28" w:type="dxa"/>
              <w:left w:w="0" w:type="dxa"/>
              <w:right w:w="108" w:type="dxa"/>
            </w:tcMar>
          </w:tcPr>
          <w:p w:rsidR="00351D32" w:rsidRDefault="00351D32" w:rsidP="00351D32">
            <w:pPr>
              <w:spacing w:line="14" w:lineRule="exact"/>
            </w:pPr>
          </w:p>
          <w:p w:rsidR="000E6AE0" w:rsidRPr="00F224E2" w:rsidRDefault="000E6AE0" w:rsidP="00346B58">
            <w:pPr>
              <w:pStyle w:val="a6"/>
              <w:widowControl/>
              <w:pBdr>
                <w:bottom w:val="none" w:sz="0" w:space="0" w:color="auto"/>
              </w:pBdr>
              <w:tabs>
                <w:tab w:val="clear" w:pos="4153"/>
                <w:tab w:val="clear" w:pos="8306"/>
              </w:tabs>
              <w:snapToGrid/>
              <w:ind w:left="420" w:rightChars="300" w:right="540"/>
              <w:jc w:val="both"/>
              <w:rPr>
                <w:sz w:val="21"/>
              </w:rPr>
            </w:pPr>
          </w:p>
          <w:p w:rsidR="008D4BDD" w:rsidRPr="000E6AE0" w:rsidRDefault="008D4BDD" w:rsidP="000E6AE0">
            <w:pPr>
              <w:ind w:rightChars="300" w:right="540"/>
            </w:pPr>
          </w:p>
          <w:p w:rsidR="00F72FA2" w:rsidRDefault="00F72FA2"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sdt>
            <w:sdtPr>
              <w:rPr>
                <w:rFonts w:eastAsia="黑体" w:cs="Arial"/>
                <w:sz w:val="30"/>
                <w:szCs w:val="52"/>
              </w:rPr>
              <w:alias w:val="专题相关报告万能版"/>
              <w:tag w:val="BDCONTENTCONTROL_0694d7ec-429e-443a-8333-6c91828fed93"/>
              <w:id w:val="-68895231"/>
              <w:placeholder>
                <w:docPart w:val="E7912DAFCB32445FAD460B5A59941714"/>
              </w:placeholder>
            </w:sdtPr>
            <w:sdtContent>
              <w:p w:rsidR="00A05AC0" w:rsidRDefault="00A05AC0" w:rsidP="00A05AC0">
                <w:pPr>
                  <w:spacing w:line="14" w:lineRule="exact"/>
                  <w:ind w:rightChars="300" w:right="540"/>
                  <w:jc w:val="left"/>
                  <w:rPr>
                    <w:rFonts w:eastAsia="黑体" w:cs="Arial"/>
                    <w:sz w:val="30"/>
                    <w:szCs w:val="52"/>
                  </w:rPr>
                </w:pPr>
              </w:p>
              <w:tbl>
                <w:tblPr>
                  <w:tblW w:w="3368" w:type="dxa"/>
                  <w:tblLayout w:type="fixed"/>
                  <w:tblLook w:val="0000" w:firstRow="0" w:lastRow="0" w:firstColumn="0" w:lastColumn="0" w:noHBand="0" w:noVBand="0"/>
                </w:tblPr>
                <w:tblGrid>
                  <w:gridCol w:w="3368"/>
                </w:tblGrid>
                <w:tr w:rsidR="00A05AC0" w:rsidTr="004F7C74">
                  <w:trPr>
                    <w:trHeight w:val="510"/>
                  </w:trPr>
                  <w:tc>
                    <w:tcPr>
                      <w:tcW w:w="3368" w:type="dxa"/>
                      <w:vAlign w:val="bottom"/>
                    </w:tcPr>
                    <w:p w:rsidR="00A05AC0" w:rsidRPr="00A05AC0" w:rsidRDefault="00A05AC0" w:rsidP="004F7C74">
                      <w:pPr>
                        <w:ind w:rightChars="300" w:right="540"/>
                        <w:rPr>
                          <w:rFonts w:ascii="楷体_GB2312" w:cs="Arial"/>
                          <w:b/>
                          <w:sz w:val="21"/>
                          <w:szCs w:val="21"/>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626F55" w:rsidTr="004F7C74">
                  <w:trPr>
                    <w:trHeight w:val="510"/>
                  </w:trPr>
                  <w:tc>
                    <w:tcPr>
                      <w:tcW w:w="3368" w:type="dxa"/>
                      <w:vAlign w:val="bottom"/>
                    </w:tcPr>
                    <w:p w:rsidR="00626F55" w:rsidRPr="00A05AC0" w:rsidRDefault="00626F55" w:rsidP="004F7C74">
                      <w:pPr>
                        <w:ind w:rightChars="300" w:right="540"/>
                        <w:rPr>
                          <w:rFonts w:cs="Arial"/>
                          <w:szCs w:val="52"/>
                        </w:rPr>
                      </w:pPr>
                    </w:p>
                  </w:tc>
                </w:tr>
              </w:tbl>
              <w:p w:rsidR="000E6AE0" w:rsidRDefault="00BC331F" w:rsidP="00A05AC0">
                <w:pPr>
                  <w:spacing w:line="14" w:lineRule="exact"/>
                  <w:ind w:rightChars="300" w:right="540"/>
                  <w:jc w:val="left"/>
                  <w:rPr>
                    <w:rFonts w:eastAsia="黑体" w:cs="Arial"/>
                    <w:sz w:val="30"/>
                    <w:szCs w:val="52"/>
                  </w:rPr>
                </w:pPr>
              </w:p>
            </w:sdtContent>
          </w:sdt>
          <w:p w:rsidR="000E6AE0" w:rsidRDefault="000E6AE0" w:rsidP="000E6AE0">
            <w:pPr>
              <w:ind w:rightChars="300" w:right="540"/>
              <w:jc w:val="left"/>
              <w:rPr>
                <w:rFonts w:eastAsia="黑体" w:cs="Arial"/>
                <w:sz w:val="30"/>
                <w:szCs w:val="52"/>
              </w:rPr>
            </w:pPr>
          </w:p>
          <w:p w:rsidR="000E6AE0" w:rsidRDefault="000E6AE0" w:rsidP="00AA352E">
            <w:pPr>
              <w:jc w:val="left"/>
              <w:rPr>
                <w:rFonts w:eastAsia="黑体" w:cs="Arial"/>
                <w:sz w:val="30"/>
                <w:szCs w:val="52"/>
              </w:rPr>
            </w:pPr>
          </w:p>
          <w:p w:rsidR="00A05AC0" w:rsidRDefault="00A05AC0" w:rsidP="00AA352E">
            <w:pPr>
              <w:jc w:val="left"/>
              <w:rPr>
                <w:rFonts w:eastAsia="黑体" w:cs="Arial"/>
                <w:sz w:val="30"/>
                <w:szCs w:val="52"/>
              </w:rPr>
            </w:pPr>
          </w:p>
          <w:p w:rsidR="009562F7" w:rsidRDefault="009562F7" w:rsidP="00AA352E">
            <w:pPr>
              <w:jc w:val="left"/>
              <w:rPr>
                <w:rFonts w:eastAsia="黑体" w:cs="Arial"/>
                <w:sz w:val="30"/>
                <w:szCs w:val="52"/>
              </w:rPr>
            </w:pPr>
          </w:p>
          <w:p w:rsidR="000E6AE0" w:rsidRDefault="000E6AE0" w:rsidP="00AA352E">
            <w:pPr>
              <w:jc w:val="left"/>
              <w:rPr>
                <w:rFonts w:eastAsia="黑体" w:cs="Arial"/>
                <w:sz w:val="30"/>
                <w:szCs w:val="52"/>
              </w:rPr>
            </w:pPr>
          </w:p>
          <w:p w:rsidR="000E6AE0" w:rsidRDefault="000E6AE0" w:rsidP="00AA352E">
            <w:pPr>
              <w:jc w:val="left"/>
              <w:rPr>
                <w:rFonts w:eastAsia="黑体" w:cs="Arial"/>
                <w:sz w:val="30"/>
                <w:szCs w:val="52"/>
              </w:rPr>
            </w:pPr>
          </w:p>
          <w:p w:rsidR="00D2211C" w:rsidRPr="008D4BDD" w:rsidRDefault="00D2211C" w:rsidP="00AA352E">
            <w:pPr>
              <w:jc w:val="left"/>
              <w:rPr>
                <w:rFonts w:eastAsia="黑体" w:cs="Arial"/>
                <w:sz w:val="30"/>
                <w:szCs w:val="52"/>
              </w:rPr>
            </w:pPr>
          </w:p>
          <w:tbl>
            <w:tblPr>
              <w:tblStyle w:val="af"/>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D62C60" w:rsidTr="00A50B9B">
              <w:trPr>
                <w:trHeight w:val="2665"/>
              </w:trPr>
              <w:tc>
                <w:tcPr>
                  <w:tcW w:w="3458" w:type="dxa"/>
                  <w:tcMar>
                    <w:left w:w="57" w:type="dxa"/>
                    <w:right w:w="0" w:type="dxa"/>
                  </w:tcMar>
                  <w:vAlign w:val="bottom"/>
                </w:tcPr>
                <w:p w:rsidR="00D62C60" w:rsidRDefault="00D62C60" w:rsidP="00B632AD">
                  <w:pPr>
                    <w:rPr>
                      <w:rFonts w:ascii="楷体_GB2312"/>
                      <w:b/>
                      <w:sz w:val="21"/>
                      <w:szCs w:val="21"/>
                    </w:rPr>
                  </w:pPr>
                </w:p>
                <w:sdt>
                  <w:sdtPr>
                    <w:rPr>
                      <w:rFonts w:hint="eastAsia"/>
                    </w:rPr>
                    <w:alias w:val="作者展示"/>
                    <w:tag w:val="BDCONTENTCONTROL_3df14c52-472a-44c1-9e63-51d70c06bfcd"/>
                    <w:id w:val="1476954864"/>
                    <w:placeholder>
                      <w:docPart w:val="54AF2181C0C147DEA030CF0D673747D7"/>
                    </w:placeholder>
                  </w:sdtPr>
                  <w:sdtContent>
                    <w:p w:rsidR="00346B58" w:rsidRPr="00B632AD" w:rsidRDefault="00346B58" w:rsidP="00B632AD">
                      <w:pPr>
                        <w:spacing w:line="14" w:lineRule="exact"/>
                      </w:pPr>
                    </w:p>
                    <w:tbl>
                      <w:tblPr>
                        <w:tblW w:w="3458" w:type="dxa"/>
                        <w:tblLayout w:type="fixed"/>
                        <w:tblCellMar>
                          <w:left w:w="0" w:type="dxa"/>
                          <w:right w:w="0" w:type="dxa"/>
                        </w:tblCellMar>
                        <w:tblLook w:val="0000" w:firstRow="0" w:lastRow="0" w:firstColumn="0" w:lastColumn="0" w:noHBand="0" w:noVBand="0"/>
                      </w:tblPr>
                      <w:tblGrid>
                        <w:gridCol w:w="850"/>
                        <w:gridCol w:w="2608"/>
                      </w:tblGrid>
                      <w:tr w:rsidR="00346B58" w:rsidTr="00BC331F">
                        <w:trPr>
                          <w:trHeight w:val="567"/>
                        </w:trPr>
                        <w:tc>
                          <w:tcPr>
                            <w:tcW w:w="1229" w:type="pct"/>
                            <w:tcMar>
                              <w:left w:w="0" w:type="dxa"/>
                              <w:right w:w="28" w:type="dxa"/>
                            </w:tcMar>
                          </w:tcPr>
                          <w:p w:rsidR="00346B58" w:rsidRDefault="00346B58" w:rsidP="004E627E">
                            <w:pPr>
                              <w:pStyle w:val="GJReportFirPageAuthorName"/>
                            </w:pPr>
                            <w:r>
                              <w:rPr>
                                <w:rFonts w:hint="eastAsia"/>
                              </w:rPr>
                              <w:t>王聃聃</w:t>
                            </w:r>
                          </w:p>
                        </w:tc>
                        <w:tc>
                          <w:tcPr>
                            <w:tcW w:w="3771" w:type="pct"/>
                            <w:tcMar>
                              <w:left w:w="0" w:type="dxa"/>
                              <w:right w:w="28" w:type="dxa"/>
                            </w:tcMar>
                          </w:tcPr>
                          <w:p w:rsidR="00346B58" w:rsidRPr="00EE0794" w:rsidRDefault="00346B58" w:rsidP="00346B58">
                            <w:pPr>
                              <w:pStyle w:val="GJReportFirPageAuthorEmail"/>
                            </w:pPr>
                          </w:p>
                        </w:tc>
                      </w:tr>
                    </w:tbl>
                    <w:p w:rsidR="00B632AD" w:rsidRPr="006E3D11" w:rsidRDefault="00BC331F" w:rsidP="00346B58">
                      <w:pPr>
                        <w:spacing w:line="14" w:lineRule="exact"/>
                      </w:pPr>
                    </w:p>
                  </w:sdtContent>
                </w:sdt>
              </w:tc>
            </w:tr>
          </w:tbl>
          <w:p w:rsidR="008D4BDD" w:rsidRPr="008D4BDD" w:rsidRDefault="008D4BDD" w:rsidP="00D62C60">
            <w:pPr>
              <w:jc w:val="left"/>
              <w:rPr>
                <w:rFonts w:eastAsia="黑体" w:cs="Arial"/>
                <w:sz w:val="30"/>
                <w:szCs w:val="52"/>
              </w:rPr>
            </w:pPr>
          </w:p>
        </w:tc>
        <w:tc>
          <w:tcPr>
            <w:tcW w:w="7568" w:type="dxa"/>
            <w:tcMar>
              <w:top w:w="28" w:type="dxa"/>
              <w:left w:w="108" w:type="dxa"/>
              <w:right w:w="28" w:type="dxa"/>
            </w:tcMar>
          </w:tcPr>
          <w:sdt>
            <w:sdtPr>
              <w:rPr>
                <w:rFonts w:ascii="楷体_GB2312" w:hint="eastAsia"/>
                <w:b/>
                <w:bCs/>
                <w:sz w:val="36"/>
                <w:szCs w:val="36"/>
              </w:rPr>
              <w:alias w:val="副标题"/>
              <w:tag w:val="BDCONTENTCONTROL_AUTO_SAVE_SubTitle"/>
              <w:id w:val="-642272724"/>
              <w:lock w:val="sdtLocked"/>
              <w:placeholder>
                <w:docPart w:val="54AF2181C0C147DEA030CF0D673747D7"/>
              </w:placeholder>
            </w:sdtPr>
            <w:sdtEndPr>
              <w:rPr>
                <w:sz w:val="32"/>
                <w:szCs w:val="32"/>
              </w:rPr>
            </w:sdtEndPr>
            <w:sdtContent>
              <w:p w:rsidR="00962AD2" w:rsidRPr="00346B58" w:rsidRDefault="00346B58" w:rsidP="00AA352E">
                <w:pPr>
                  <w:ind w:rightChars="13" w:right="23"/>
                  <w:jc w:val="center"/>
                  <w:rPr>
                    <w:rFonts w:ascii="楷体_GB2312"/>
                    <w:b/>
                    <w:bCs/>
                    <w:sz w:val="32"/>
                    <w:szCs w:val="32"/>
                  </w:rPr>
                </w:pPr>
                <w:r w:rsidRPr="00346B58">
                  <w:rPr>
                    <w:rFonts w:ascii="楷体_GB2312" w:hint="eastAsia"/>
                    <w:b/>
                    <w:bCs/>
                    <w:sz w:val="32"/>
                    <w:szCs w:val="32"/>
                  </w:rPr>
                  <w:t>稳健配置抵御短期风险，灵活轮动期待</w:t>
                </w:r>
                <w:proofErr w:type="gramStart"/>
                <w:r w:rsidRPr="00346B58">
                  <w:rPr>
                    <w:rFonts w:ascii="楷体_GB2312" w:hint="eastAsia"/>
                    <w:b/>
                    <w:bCs/>
                    <w:sz w:val="32"/>
                    <w:szCs w:val="32"/>
                  </w:rPr>
                  <w:t>长期债牛</w:t>
                </w:r>
                <w:proofErr w:type="gramEnd"/>
              </w:p>
            </w:sdtContent>
          </w:sdt>
          <w:p w:rsidR="00962AD2" w:rsidRPr="00BD4986" w:rsidRDefault="00962AD2" w:rsidP="00AA352E">
            <w:pPr>
              <w:jc w:val="left"/>
              <w:rPr>
                <w:rFonts w:eastAsia="黑体" w:cs="Arial"/>
                <w:sz w:val="30"/>
                <w:szCs w:val="52"/>
              </w:rPr>
            </w:pPr>
          </w:p>
          <w:sdt>
            <w:sdtPr>
              <w:rPr>
                <w:rFonts w:cs="Arial"/>
                <w:b/>
                <w:sz w:val="24"/>
                <w:szCs w:val="24"/>
              </w:rPr>
              <w:alias w:val="摘要"/>
              <w:tag w:val="BDCONTENTCONTROL_AUTO_SAVE_Summary"/>
              <w:id w:val="1939021410"/>
              <w:lock w:val="sdtLocked"/>
              <w:placeholder>
                <w:docPart w:val="54AF2181C0C147DEA030CF0D673747D7"/>
              </w:placeholder>
            </w:sdtPr>
            <w:sdtEndPr>
              <w:rPr>
                <w:rFonts w:cs="Times New Roman"/>
                <w:b w:val="0"/>
                <w:sz w:val="21"/>
                <w:szCs w:val="21"/>
              </w:rPr>
            </w:sdtEndPr>
            <w:sdtContent>
              <w:p w:rsidR="000E6AE0" w:rsidRPr="00346E26" w:rsidRDefault="000E6AE0" w:rsidP="000E6AE0">
                <w:pPr>
                  <w:pStyle w:val="a0"/>
                  <w:spacing w:line="240" w:lineRule="auto"/>
                  <w:ind w:left="0" w:rightChars="12" w:right="22"/>
                  <w:jc w:val="left"/>
                  <w:rPr>
                    <w:b/>
                    <w:bCs/>
                    <w:color w:val="auto"/>
                    <w:sz w:val="24"/>
                  </w:rPr>
                </w:pPr>
                <w:r w:rsidRPr="00346E26">
                  <w:rPr>
                    <w:b/>
                    <w:bCs/>
                    <w:color w:val="auto"/>
                    <w:sz w:val="24"/>
                  </w:rPr>
                  <w:t>基本结论</w:t>
                </w:r>
                <w:bookmarkStart w:id="2" w:name="_GoBack"/>
                <w:bookmarkEnd w:id="2"/>
              </w:p>
              <w:p w:rsidR="00346B58" w:rsidRPr="00AF2B72" w:rsidRDefault="00346B58" w:rsidP="00346B58">
                <w:pPr>
                  <w:pStyle w:val="14"/>
                  <w:ind w:left="0"/>
                  <w:rPr>
                    <w:b w:val="0"/>
                    <w:bCs w:val="0"/>
                    <w:color w:val="auto"/>
                  </w:rPr>
                </w:pPr>
                <w:r w:rsidRPr="00AF2B72">
                  <w:rPr>
                    <w:rFonts w:hint="eastAsia"/>
                    <w:color w:val="auto"/>
                    <w:sz w:val="21"/>
                    <w:szCs w:val="21"/>
                  </w:rPr>
                  <w:t>稳健配置抵御短期风险，灵活轮动</w:t>
                </w:r>
                <w:r>
                  <w:rPr>
                    <w:rFonts w:hint="eastAsia"/>
                    <w:color w:val="auto"/>
                    <w:sz w:val="21"/>
                    <w:szCs w:val="21"/>
                  </w:rPr>
                  <w:t>期待</w:t>
                </w:r>
                <w:r w:rsidRPr="00AF2B72">
                  <w:rPr>
                    <w:rFonts w:hint="eastAsia"/>
                    <w:color w:val="auto"/>
                    <w:sz w:val="21"/>
                    <w:szCs w:val="21"/>
                  </w:rPr>
                  <w:t>长期债牛——开放型债券基金投资建议</w:t>
                </w:r>
              </w:p>
              <w:p w:rsidR="00346B58" w:rsidRPr="00C87A4C" w:rsidRDefault="00346B58" w:rsidP="00346B58">
                <w:pPr>
                  <w:pStyle w:val="a0"/>
                  <w:widowControl/>
                  <w:numPr>
                    <w:ilvl w:val="0"/>
                    <w:numId w:val="33"/>
                  </w:numPr>
                  <w:spacing w:line="240" w:lineRule="auto"/>
                  <w:ind w:rightChars="12" w:right="22"/>
                  <w:jc w:val="left"/>
                  <w:rPr>
                    <w:rFonts w:ascii="楷体_GB2312"/>
                    <w:color w:val="auto"/>
                  </w:rPr>
                </w:pPr>
                <w:r w:rsidRPr="00C87A4C">
                  <w:rPr>
                    <w:rFonts w:ascii="楷体_GB2312" w:hint="eastAsia"/>
                    <w:color w:val="auto"/>
                  </w:rPr>
                  <w:t>7月公开数据表明，当月国内经济增速继续回落，物价扣除猪肉单一因素影响基本处于通缩。8月财新PMI指数初值荣枯线下大幅回落0.7至47.1，创09年3月以来新低，表明经济将继续疲态。国金宏观组认为8月中采PMI指数大概率将大幅下调，三季度或将处于工业波动式下滑与GDP台阶式下滑的双重叠加期。</w:t>
                </w:r>
              </w:p>
              <w:p w:rsidR="00346B58" w:rsidRPr="00C87A4C" w:rsidRDefault="00346B58" w:rsidP="00346B58">
                <w:pPr>
                  <w:pStyle w:val="a0"/>
                  <w:widowControl/>
                  <w:numPr>
                    <w:ilvl w:val="0"/>
                    <w:numId w:val="33"/>
                  </w:numPr>
                  <w:spacing w:line="240" w:lineRule="auto"/>
                  <w:ind w:rightChars="12" w:right="22"/>
                  <w:jc w:val="left"/>
                  <w:rPr>
                    <w:rFonts w:ascii="楷体_GB2312"/>
                    <w:color w:val="auto"/>
                  </w:rPr>
                </w:pPr>
                <w:r w:rsidRPr="00C87A4C">
                  <w:rPr>
                    <w:rFonts w:ascii="楷体_GB2312" w:hint="eastAsia"/>
                    <w:color w:val="auto"/>
                  </w:rPr>
                  <w:t>8月11日央行突然调整外汇中间价机制，人民币汇率贬值，累计贬值压力得到释放，但市场仍存贬值预期。为对冲人民币贬值和资本外流带来的资金面压力，央行持续加大货币工具应用的频率和规模，并超预期双降以增加流动性、降低资金成本。从结果看，多种货币政策工具的运用有利于稳定信心，但对经济基本面和资金面的改善都仍需谨慎看待。</w:t>
                </w:r>
              </w:p>
              <w:p w:rsidR="00346B58" w:rsidRPr="00C87A4C" w:rsidRDefault="00346B58" w:rsidP="00346B58">
                <w:pPr>
                  <w:pStyle w:val="a0"/>
                  <w:widowControl/>
                  <w:numPr>
                    <w:ilvl w:val="0"/>
                    <w:numId w:val="33"/>
                  </w:numPr>
                  <w:spacing w:line="240" w:lineRule="auto"/>
                  <w:ind w:rightChars="12" w:right="22"/>
                  <w:jc w:val="left"/>
                  <w:rPr>
                    <w:rFonts w:ascii="楷体_GB2312"/>
                    <w:color w:val="auto"/>
                  </w:rPr>
                </w:pPr>
                <w:r w:rsidRPr="00C87A4C">
                  <w:rPr>
                    <w:rFonts w:ascii="楷体_GB2312" w:hint="eastAsia"/>
                    <w:color w:val="auto"/>
                  </w:rPr>
                  <w:t>长期来看，国内经济增长疲软、公开市场手段及双降政策超预期、股市资金流出、避险情绪升温、美联储加息有可能后延等因素均利好债市，长期债牛可期。但短期来看，货币政策频出缓解了市场担忧但对资金面的缓解程度待评估，资金持续外流加剧，美联储9月加息预期减小但具体时点预测仍有争议，地方政府替换债扩容影响供给面预期，因此短期债市投资仍需谨慎</w:t>
                </w:r>
              </w:p>
              <w:p w:rsidR="00346B58" w:rsidRPr="00C87A4C" w:rsidRDefault="00346B58" w:rsidP="00346B58">
                <w:pPr>
                  <w:pStyle w:val="a0"/>
                  <w:widowControl/>
                  <w:numPr>
                    <w:ilvl w:val="0"/>
                    <w:numId w:val="33"/>
                  </w:numPr>
                  <w:spacing w:line="240" w:lineRule="auto"/>
                  <w:ind w:rightChars="12" w:right="22"/>
                  <w:jc w:val="left"/>
                  <w:rPr>
                    <w:rFonts w:ascii="楷体_GB2312"/>
                    <w:color w:val="auto"/>
                  </w:rPr>
                </w:pPr>
                <w:r w:rsidRPr="00935202">
                  <w:rPr>
                    <w:rFonts w:ascii="楷体_GB2312" w:hint="eastAsia"/>
                    <w:color w:val="auto"/>
                  </w:rPr>
                  <w:t>完全型债基</w:t>
                </w:r>
                <w:r>
                  <w:rPr>
                    <w:rFonts w:ascii="楷体_GB2312" w:hint="eastAsia"/>
                    <w:color w:val="auto"/>
                  </w:rPr>
                  <w:t>可作为短期稳健配置更好的</w:t>
                </w:r>
                <w:r w:rsidRPr="00935202">
                  <w:rPr>
                    <w:rFonts w:ascii="楷体_GB2312" w:hint="eastAsia"/>
                    <w:color w:val="auto"/>
                  </w:rPr>
                  <w:t>选择，新股申购型债基和普通型债基也仍可分享长期债市转牛带来的收益</w:t>
                </w:r>
                <w:r>
                  <w:rPr>
                    <w:rFonts w:ascii="楷体_GB2312" w:hint="eastAsia"/>
                    <w:color w:val="auto"/>
                  </w:rPr>
                  <w:t>，</w:t>
                </w:r>
                <w:r w:rsidRPr="00935202">
                  <w:rPr>
                    <w:rFonts w:ascii="楷体_GB2312" w:hint="eastAsia"/>
                    <w:color w:val="auto"/>
                  </w:rPr>
                  <w:t>但</w:t>
                </w:r>
                <w:r>
                  <w:rPr>
                    <w:rFonts w:ascii="楷体_GB2312" w:hint="eastAsia"/>
                    <w:color w:val="auto"/>
                  </w:rPr>
                  <w:t>考虑短期权益类市场的波动</w:t>
                </w:r>
                <w:r w:rsidRPr="00935202">
                  <w:rPr>
                    <w:rFonts w:ascii="楷体_GB2312" w:hint="eastAsia"/>
                    <w:color w:val="auto"/>
                  </w:rPr>
                  <w:t>须细心挑选</w:t>
                </w:r>
                <w:r>
                  <w:rPr>
                    <w:rFonts w:ascii="楷体_GB2312" w:hint="eastAsia"/>
                    <w:color w:val="auto"/>
                  </w:rPr>
                  <w:t>、</w:t>
                </w:r>
                <w:r w:rsidRPr="00935202">
                  <w:rPr>
                    <w:rFonts w:ascii="楷体_GB2312" w:hint="eastAsia"/>
                    <w:color w:val="auto"/>
                  </w:rPr>
                  <w:t>谨慎配置。</w:t>
                </w:r>
                <w:r w:rsidRPr="00C87A4C">
                  <w:rPr>
                    <w:rFonts w:ascii="楷体_GB2312" w:hint="eastAsia"/>
                    <w:color w:val="auto"/>
                  </w:rPr>
                  <w:t>建议首选历史业绩稳健，下行风险控制有效，能够通过灵活把握大类资产轮动节奏在牛熊市中均获得较好收益的债券基金。此外，我们倾向于“低权益配置比例（包括可转债）+短久期+中低债券仓位”的策略选择，希望以此规避权益市场动荡风险和短期债市波动带来的资本利得损失，同时保持充足流动性以便在长期及时转向把握债市牛市行情。</w:t>
                </w:r>
              </w:p>
              <w:p w:rsidR="00346B58" w:rsidRPr="00AF2B72" w:rsidRDefault="00346B58" w:rsidP="00346B58">
                <w:pPr>
                  <w:pStyle w:val="a0"/>
                  <w:widowControl/>
                  <w:ind w:left="0" w:rightChars="95" w:right="171"/>
                  <w:rPr>
                    <w:b/>
                  </w:rPr>
                </w:pPr>
                <w:r w:rsidRPr="00AF2B72">
                  <w:rPr>
                    <w:rFonts w:hint="eastAsia"/>
                    <w:b/>
                  </w:rPr>
                  <w:t>活期存款替代工具，超短期流动性选择——货币市场基金投资建议</w:t>
                </w:r>
              </w:p>
              <w:p w:rsidR="00346B58" w:rsidRPr="00C87A4C" w:rsidRDefault="00346B58" w:rsidP="00346B58">
                <w:pPr>
                  <w:pStyle w:val="a0"/>
                  <w:widowControl/>
                  <w:numPr>
                    <w:ilvl w:val="0"/>
                    <w:numId w:val="33"/>
                  </w:numPr>
                  <w:spacing w:line="240" w:lineRule="auto"/>
                  <w:ind w:rightChars="12" w:right="22"/>
                  <w:jc w:val="left"/>
                  <w:rPr>
                    <w:rFonts w:ascii="楷体_GB2312"/>
                    <w:color w:val="auto"/>
                  </w:rPr>
                </w:pPr>
                <w:r w:rsidRPr="00C87A4C">
                  <w:rPr>
                    <w:rFonts w:ascii="楷体_GB2312" w:hint="eastAsia"/>
                    <w:color w:val="auto"/>
                  </w:rPr>
                  <w:t>现期货币市场基金益率远低于银行理财，但在短期股市债市均未见趋势性机会、投资者风险偏好下移的时间段内，可作为活期存款的升级替代品种加以配置。我们推荐选择历史业绩居前且稳定性较好，基金规模较大具有较强协议存款议价能力并能抵御赎回冲击的品种。在此基础上，建议关注互联网宝类货币基金产品以实现快速取现并降低手续费。</w:t>
                </w:r>
              </w:p>
              <w:tbl>
                <w:tblPr>
                  <w:tblW w:w="7409" w:type="dxa"/>
                  <w:tblBorders>
                    <w:top w:val="single" w:sz="4" w:space="0" w:color="00B0F0"/>
                    <w:bottom w:val="single" w:sz="4" w:space="0" w:color="00B0F0"/>
                    <w:insideH w:val="single" w:sz="4" w:space="0" w:color="00B0F0"/>
                  </w:tblBorders>
                  <w:tblLayout w:type="fixed"/>
                  <w:tblCellMar>
                    <w:left w:w="0" w:type="dxa"/>
                    <w:right w:w="0" w:type="dxa"/>
                  </w:tblCellMar>
                  <w:tblLook w:val="0000" w:firstRow="0" w:lastRow="0" w:firstColumn="0" w:lastColumn="0" w:noHBand="0" w:noVBand="0"/>
                </w:tblPr>
                <w:tblGrid>
                  <w:gridCol w:w="1236"/>
                  <w:gridCol w:w="1435"/>
                  <w:gridCol w:w="992"/>
                  <w:gridCol w:w="224"/>
                  <w:gridCol w:w="1286"/>
                  <w:gridCol w:w="1538"/>
                  <w:gridCol w:w="698"/>
                </w:tblGrid>
                <w:tr w:rsidR="00346B58" w:rsidRPr="00D04C22" w:rsidTr="00BC331F">
                  <w:trPr>
                    <w:cantSplit/>
                    <w:trHeight w:val="206"/>
                  </w:trPr>
                  <w:tc>
                    <w:tcPr>
                      <w:tcW w:w="3663" w:type="dxa"/>
                      <w:gridSpan w:val="3"/>
                      <w:shd w:val="clear" w:color="auto" w:fill="auto"/>
                    </w:tcPr>
                    <w:p w:rsidR="00346B58" w:rsidRPr="00935202" w:rsidRDefault="00346B58" w:rsidP="00BC331F">
                      <w:pPr>
                        <w:pStyle w:val="SubTitleLargeTable"/>
                        <w:rPr>
                          <w:rFonts w:ascii="楷体" w:eastAsia="楷体" w:hAnsi="楷体"/>
                          <w:color w:val="auto"/>
                          <w:sz w:val="18"/>
                          <w:szCs w:val="18"/>
                          <w:lang w:val="en-US"/>
                        </w:rPr>
                      </w:pPr>
                      <w:r w:rsidRPr="00935202">
                        <w:rPr>
                          <w:rFonts w:ascii="楷体" w:eastAsia="楷体" w:hAnsi="楷体" w:hint="eastAsia"/>
                          <w:sz w:val="18"/>
                          <w:szCs w:val="18"/>
                        </w:rPr>
                        <w:t>固定收益基金相对收益组合</w:t>
                      </w:r>
                    </w:p>
                  </w:tc>
                  <w:tc>
                    <w:tcPr>
                      <w:tcW w:w="224" w:type="dxa"/>
                      <w:shd w:val="clear" w:color="auto" w:fill="auto"/>
                    </w:tcPr>
                    <w:p w:rsidR="00346B58" w:rsidRPr="00935202" w:rsidRDefault="00346B58" w:rsidP="00BC331F">
                      <w:pPr>
                        <w:pStyle w:val="a0"/>
                        <w:spacing w:after="0" w:line="10" w:lineRule="atLeast"/>
                        <w:ind w:left="0"/>
                        <w:jc w:val="center"/>
                        <w:rPr>
                          <w:rFonts w:ascii="楷体" w:eastAsia="楷体" w:hAnsi="楷体" w:cs="Arial"/>
                          <w:color w:val="auto"/>
                          <w:sz w:val="18"/>
                          <w:szCs w:val="18"/>
                        </w:rPr>
                      </w:pPr>
                    </w:p>
                  </w:tc>
                  <w:tc>
                    <w:tcPr>
                      <w:tcW w:w="3522" w:type="dxa"/>
                      <w:gridSpan w:val="3"/>
                      <w:shd w:val="clear" w:color="auto" w:fill="auto"/>
                    </w:tcPr>
                    <w:p w:rsidR="00346B58" w:rsidRPr="00935202" w:rsidRDefault="00346B58" w:rsidP="00BC331F">
                      <w:pPr>
                        <w:pStyle w:val="SubTitleLargeTable"/>
                        <w:rPr>
                          <w:rFonts w:ascii="楷体" w:eastAsia="楷体" w:hAnsi="楷体"/>
                          <w:color w:val="auto"/>
                          <w:sz w:val="18"/>
                          <w:szCs w:val="18"/>
                          <w:lang w:val="en-US"/>
                        </w:rPr>
                      </w:pPr>
                      <w:r w:rsidRPr="00935202">
                        <w:rPr>
                          <w:rFonts w:ascii="楷体" w:eastAsia="楷体" w:hAnsi="楷体" w:hint="eastAsia"/>
                          <w:color w:val="auto"/>
                          <w:sz w:val="18"/>
                          <w:szCs w:val="18"/>
                          <w:lang w:val="en-US"/>
                        </w:rPr>
                        <w:t>固定收益绝对收益组合</w:t>
                      </w:r>
                    </w:p>
                  </w:tc>
                </w:tr>
                <w:tr w:rsidR="00346B58" w:rsidRPr="00D04C22" w:rsidTr="00BC331F">
                  <w:trPr>
                    <w:cantSplit/>
                    <w:trHeight w:val="321"/>
                  </w:trPr>
                  <w:tc>
                    <w:tcPr>
                      <w:tcW w:w="1236" w:type="dxa"/>
                      <w:shd w:val="clear" w:color="auto" w:fill="auto"/>
                      <w:vAlign w:val="center"/>
                    </w:tcPr>
                    <w:p w:rsidR="00346B58" w:rsidRPr="00935202" w:rsidRDefault="00346B58" w:rsidP="00BC331F">
                      <w:pPr>
                        <w:jc w:val="center"/>
                        <w:rPr>
                          <w:rFonts w:ascii="楷体" w:eastAsia="楷体" w:hAnsi="楷体"/>
                          <w:b/>
                          <w:szCs w:val="18"/>
                        </w:rPr>
                      </w:pPr>
                      <w:r w:rsidRPr="00935202">
                        <w:rPr>
                          <w:rFonts w:ascii="楷体" w:eastAsia="楷体" w:hAnsi="楷体" w:hint="eastAsia"/>
                          <w:b/>
                          <w:szCs w:val="18"/>
                        </w:rPr>
                        <w:t>基金名称</w:t>
                      </w:r>
                    </w:p>
                  </w:tc>
                  <w:tc>
                    <w:tcPr>
                      <w:tcW w:w="1435" w:type="dxa"/>
                      <w:shd w:val="clear" w:color="auto" w:fill="auto"/>
                      <w:vAlign w:val="center"/>
                    </w:tcPr>
                    <w:p w:rsidR="00346B58" w:rsidRPr="00935202" w:rsidRDefault="00346B58" w:rsidP="00BC331F">
                      <w:pPr>
                        <w:jc w:val="center"/>
                        <w:rPr>
                          <w:rFonts w:ascii="楷体" w:eastAsia="楷体" w:hAnsi="楷体"/>
                          <w:b/>
                          <w:szCs w:val="18"/>
                        </w:rPr>
                      </w:pPr>
                      <w:r w:rsidRPr="00935202">
                        <w:rPr>
                          <w:rFonts w:ascii="楷体" w:eastAsia="楷体" w:hAnsi="楷体" w:hint="eastAsia"/>
                          <w:b/>
                          <w:szCs w:val="18"/>
                        </w:rPr>
                        <w:t>基金类型</w:t>
                      </w:r>
                    </w:p>
                  </w:tc>
                  <w:tc>
                    <w:tcPr>
                      <w:tcW w:w="992" w:type="dxa"/>
                      <w:shd w:val="clear" w:color="auto" w:fill="auto"/>
                      <w:vAlign w:val="center"/>
                    </w:tcPr>
                    <w:p w:rsidR="00346B58" w:rsidRPr="00935202" w:rsidRDefault="00346B58" w:rsidP="00BC331F">
                      <w:pPr>
                        <w:jc w:val="center"/>
                        <w:rPr>
                          <w:rFonts w:ascii="楷体" w:eastAsia="楷体" w:hAnsi="楷体"/>
                          <w:b/>
                          <w:szCs w:val="18"/>
                        </w:rPr>
                      </w:pPr>
                      <w:r w:rsidRPr="00935202">
                        <w:rPr>
                          <w:rFonts w:ascii="楷体" w:eastAsia="楷体" w:hAnsi="楷体" w:hint="eastAsia"/>
                          <w:b/>
                          <w:szCs w:val="18"/>
                        </w:rPr>
                        <w:t>权重</w:t>
                      </w:r>
                    </w:p>
                  </w:tc>
                  <w:tc>
                    <w:tcPr>
                      <w:tcW w:w="224" w:type="dxa"/>
                      <w:vMerge w:val="restart"/>
                      <w:shd w:val="clear" w:color="auto" w:fill="auto"/>
                      <w:vAlign w:val="center"/>
                    </w:tcPr>
                    <w:p w:rsidR="00346B58" w:rsidRPr="00935202" w:rsidRDefault="00346B58" w:rsidP="00BC331F">
                      <w:pPr>
                        <w:jc w:val="center"/>
                        <w:rPr>
                          <w:rFonts w:ascii="楷体" w:eastAsia="楷体" w:hAnsi="楷体"/>
                          <w:szCs w:val="18"/>
                        </w:rPr>
                      </w:pPr>
                    </w:p>
                  </w:tc>
                  <w:tc>
                    <w:tcPr>
                      <w:tcW w:w="1286" w:type="dxa"/>
                      <w:shd w:val="clear" w:color="auto" w:fill="auto"/>
                      <w:vAlign w:val="center"/>
                    </w:tcPr>
                    <w:p w:rsidR="00346B58" w:rsidRPr="00935202" w:rsidRDefault="00346B58" w:rsidP="00BC331F">
                      <w:pPr>
                        <w:jc w:val="center"/>
                        <w:rPr>
                          <w:rFonts w:ascii="楷体" w:eastAsia="楷体" w:hAnsi="楷体"/>
                          <w:b/>
                          <w:szCs w:val="18"/>
                        </w:rPr>
                      </w:pPr>
                      <w:r w:rsidRPr="00935202">
                        <w:rPr>
                          <w:rFonts w:ascii="楷体" w:eastAsia="楷体" w:hAnsi="楷体" w:hint="eastAsia"/>
                          <w:b/>
                          <w:szCs w:val="18"/>
                        </w:rPr>
                        <w:t>基金名称</w:t>
                      </w:r>
                    </w:p>
                  </w:tc>
                  <w:tc>
                    <w:tcPr>
                      <w:tcW w:w="1538" w:type="dxa"/>
                      <w:shd w:val="clear" w:color="auto" w:fill="auto"/>
                      <w:vAlign w:val="center"/>
                    </w:tcPr>
                    <w:p w:rsidR="00346B58" w:rsidRPr="00935202" w:rsidRDefault="00346B58" w:rsidP="00BC331F">
                      <w:pPr>
                        <w:jc w:val="center"/>
                        <w:rPr>
                          <w:rFonts w:ascii="楷体" w:eastAsia="楷体" w:hAnsi="楷体"/>
                          <w:b/>
                          <w:szCs w:val="18"/>
                        </w:rPr>
                      </w:pPr>
                      <w:r w:rsidRPr="00935202">
                        <w:rPr>
                          <w:rFonts w:ascii="楷体" w:eastAsia="楷体" w:hAnsi="楷体" w:hint="eastAsia"/>
                          <w:b/>
                          <w:szCs w:val="18"/>
                        </w:rPr>
                        <w:t>基金类型</w:t>
                      </w:r>
                    </w:p>
                  </w:tc>
                  <w:tc>
                    <w:tcPr>
                      <w:tcW w:w="698" w:type="dxa"/>
                      <w:shd w:val="clear" w:color="auto" w:fill="auto"/>
                      <w:vAlign w:val="center"/>
                    </w:tcPr>
                    <w:p w:rsidR="00346B58" w:rsidRPr="00935202" w:rsidRDefault="00346B58" w:rsidP="00BC331F">
                      <w:pPr>
                        <w:jc w:val="center"/>
                        <w:rPr>
                          <w:rFonts w:ascii="楷体" w:eastAsia="楷体" w:hAnsi="楷体"/>
                          <w:b/>
                          <w:szCs w:val="18"/>
                        </w:rPr>
                      </w:pPr>
                      <w:r w:rsidRPr="00935202">
                        <w:rPr>
                          <w:rFonts w:ascii="楷体" w:eastAsia="楷体" w:hAnsi="楷体" w:hint="eastAsia"/>
                          <w:b/>
                          <w:szCs w:val="18"/>
                        </w:rPr>
                        <w:t>权重</w:t>
                      </w:r>
                    </w:p>
                  </w:tc>
                </w:tr>
                <w:tr w:rsidR="00346B58" w:rsidRPr="00D04C22" w:rsidTr="00BC331F">
                  <w:trPr>
                    <w:cantSplit/>
                    <w:trHeight w:val="157"/>
                  </w:trPr>
                  <w:tc>
                    <w:tcPr>
                      <w:tcW w:w="1236" w:type="dxa"/>
                      <w:shd w:val="clear" w:color="auto" w:fill="auto"/>
                      <w:vAlign w:val="center"/>
                    </w:tcPr>
                    <w:p w:rsidR="00346B58" w:rsidRPr="00C87A4C" w:rsidRDefault="00346B58" w:rsidP="00BC331F">
                      <w:pPr>
                        <w:jc w:val="center"/>
                        <w:rPr>
                          <w:rFonts w:ascii="楷体_GB2312" w:hAnsiTheme="minorEastAsia" w:cs="宋体"/>
                          <w:szCs w:val="18"/>
                        </w:rPr>
                      </w:pPr>
                      <w:r w:rsidRPr="00C87A4C">
                        <w:rPr>
                          <w:rFonts w:ascii="楷体_GB2312" w:hAnsiTheme="minorEastAsia" w:hint="eastAsia"/>
                          <w:szCs w:val="18"/>
                        </w:rPr>
                        <w:t>南方金利</w:t>
                      </w:r>
                      <w:r w:rsidRPr="00C87A4C">
                        <w:rPr>
                          <w:rFonts w:ascii="楷体_GB2312" w:hAnsiTheme="minorEastAsia" w:hint="eastAsia"/>
                          <w:b/>
                          <w:bCs/>
                          <w:color w:val="FF0000"/>
                          <w:szCs w:val="18"/>
                          <w:vertAlign w:val="superscript"/>
                        </w:rPr>
                        <w:t>★</w:t>
                      </w:r>
                    </w:p>
                  </w:tc>
                  <w:tc>
                    <w:tcPr>
                      <w:tcW w:w="1435" w:type="dxa"/>
                      <w:shd w:val="clear" w:color="auto" w:fill="auto"/>
                      <w:vAlign w:val="center"/>
                    </w:tcPr>
                    <w:p w:rsidR="00346B58" w:rsidRPr="00C87A4C" w:rsidRDefault="00346B58" w:rsidP="00BC331F">
                      <w:pPr>
                        <w:jc w:val="center"/>
                        <w:rPr>
                          <w:rFonts w:ascii="楷体_GB2312" w:hAnsiTheme="minorEastAsia" w:cs="宋体"/>
                          <w:szCs w:val="18"/>
                        </w:rPr>
                      </w:pPr>
                      <w:r w:rsidRPr="00C87A4C">
                        <w:rPr>
                          <w:rFonts w:ascii="楷体_GB2312" w:hAnsiTheme="minorEastAsia" w:hint="eastAsia"/>
                          <w:szCs w:val="18"/>
                        </w:rPr>
                        <w:t>债券-完全债券型</w:t>
                      </w:r>
                    </w:p>
                  </w:tc>
                  <w:tc>
                    <w:tcPr>
                      <w:tcW w:w="992" w:type="dxa"/>
                      <w:shd w:val="clear" w:color="auto" w:fill="auto"/>
                      <w:vAlign w:val="center"/>
                    </w:tcPr>
                    <w:p w:rsidR="00346B58" w:rsidRPr="00C87A4C" w:rsidRDefault="00346B58" w:rsidP="00BC331F">
                      <w:pPr>
                        <w:jc w:val="center"/>
                        <w:rPr>
                          <w:rFonts w:ascii="楷体_GB2312" w:hAnsiTheme="minorEastAsia" w:cs="宋体"/>
                          <w:szCs w:val="18"/>
                        </w:rPr>
                      </w:pPr>
                      <w:r w:rsidRPr="00C87A4C">
                        <w:rPr>
                          <w:rFonts w:ascii="楷体_GB2312" w:hAnsiTheme="minorEastAsia" w:hint="eastAsia"/>
                          <w:szCs w:val="18"/>
                        </w:rPr>
                        <w:t>25%</w:t>
                      </w:r>
                    </w:p>
                  </w:tc>
                  <w:tc>
                    <w:tcPr>
                      <w:tcW w:w="224" w:type="dxa"/>
                      <w:vMerge/>
                      <w:shd w:val="clear" w:color="auto" w:fill="auto"/>
                      <w:vAlign w:val="center"/>
                    </w:tcPr>
                    <w:p w:rsidR="00346B58" w:rsidRPr="00C87A4C" w:rsidRDefault="00346B58" w:rsidP="00BC331F">
                      <w:pPr>
                        <w:jc w:val="center"/>
                        <w:rPr>
                          <w:rFonts w:ascii="楷体_GB2312" w:hAnsi="楷体"/>
                          <w:szCs w:val="18"/>
                        </w:rPr>
                      </w:pPr>
                    </w:p>
                  </w:tc>
                  <w:tc>
                    <w:tcPr>
                      <w:tcW w:w="1286" w:type="dxa"/>
                      <w:shd w:val="clear" w:color="auto" w:fill="auto"/>
                      <w:vAlign w:val="center"/>
                    </w:tcPr>
                    <w:p w:rsidR="00346B58" w:rsidRPr="00C87A4C" w:rsidRDefault="00346B58" w:rsidP="00BC331F">
                      <w:pPr>
                        <w:jc w:val="center"/>
                        <w:rPr>
                          <w:rFonts w:ascii="楷体_GB2312" w:hAnsiTheme="minorEastAsia" w:cs="宋体"/>
                          <w:color w:val="000000"/>
                          <w:szCs w:val="18"/>
                        </w:rPr>
                      </w:pPr>
                      <w:r w:rsidRPr="00C87A4C">
                        <w:rPr>
                          <w:rFonts w:ascii="楷体_GB2312" w:hAnsiTheme="minorEastAsia" w:hint="eastAsia"/>
                          <w:color w:val="000000"/>
                          <w:szCs w:val="18"/>
                        </w:rPr>
                        <w:t>富国产业债</w:t>
                      </w:r>
                    </w:p>
                  </w:tc>
                  <w:tc>
                    <w:tcPr>
                      <w:tcW w:w="1538" w:type="dxa"/>
                      <w:shd w:val="clear" w:color="auto" w:fill="auto"/>
                      <w:vAlign w:val="center"/>
                    </w:tcPr>
                    <w:p w:rsidR="00346B58" w:rsidRPr="00C87A4C" w:rsidRDefault="00346B58" w:rsidP="00BC331F">
                      <w:pPr>
                        <w:jc w:val="center"/>
                        <w:rPr>
                          <w:rFonts w:ascii="楷体_GB2312" w:hAnsiTheme="minorEastAsia" w:cs="宋体"/>
                          <w:color w:val="000000"/>
                          <w:szCs w:val="18"/>
                        </w:rPr>
                      </w:pPr>
                      <w:r w:rsidRPr="00C87A4C">
                        <w:rPr>
                          <w:rFonts w:ascii="楷体_GB2312" w:hAnsiTheme="minorEastAsia" w:hint="eastAsia"/>
                          <w:color w:val="000000"/>
                          <w:szCs w:val="18"/>
                        </w:rPr>
                        <w:t>债券-完全债券型</w:t>
                      </w:r>
                    </w:p>
                  </w:tc>
                  <w:tc>
                    <w:tcPr>
                      <w:tcW w:w="698" w:type="dxa"/>
                      <w:shd w:val="clear" w:color="auto" w:fill="auto"/>
                      <w:vAlign w:val="center"/>
                    </w:tcPr>
                    <w:p w:rsidR="00346B58" w:rsidRPr="00C87A4C" w:rsidRDefault="00346B58" w:rsidP="00BC331F">
                      <w:pPr>
                        <w:jc w:val="center"/>
                        <w:rPr>
                          <w:rFonts w:ascii="楷体_GB2312" w:hAnsi="宋体"/>
                          <w:szCs w:val="18"/>
                        </w:rPr>
                      </w:pPr>
                      <w:r w:rsidRPr="00C87A4C">
                        <w:rPr>
                          <w:rFonts w:ascii="楷体_GB2312" w:hAnsi="宋体" w:hint="eastAsia"/>
                          <w:szCs w:val="18"/>
                        </w:rPr>
                        <w:t>50%</w:t>
                      </w:r>
                    </w:p>
                  </w:tc>
                </w:tr>
                <w:tr w:rsidR="00346B58" w:rsidRPr="00D04C22" w:rsidTr="00BC331F">
                  <w:trPr>
                    <w:cantSplit/>
                    <w:trHeight w:val="251"/>
                  </w:trPr>
                  <w:tc>
                    <w:tcPr>
                      <w:tcW w:w="1236" w:type="dxa"/>
                      <w:shd w:val="clear" w:color="auto" w:fill="auto"/>
                      <w:vAlign w:val="center"/>
                    </w:tcPr>
                    <w:p w:rsidR="00346B58" w:rsidRPr="00C87A4C" w:rsidRDefault="00346B58" w:rsidP="00BC331F">
                      <w:pPr>
                        <w:jc w:val="center"/>
                        <w:rPr>
                          <w:rFonts w:ascii="楷体_GB2312" w:hAnsiTheme="minorEastAsia" w:cs="宋体"/>
                          <w:szCs w:val="18"/>
                        </w:rPr>
                      </w:pPr>
                      <w:r w:rsidRPr="00C87A4C">
                        <w:rPr>
                          <w:rFonts w:ascii="楷体_GB2312" w:hAnsiTheme="minorEastAsia" w:hint="eastAsia"/>
                          <w:szCs w:val="18"/>
                        </w:rPr>
                        <w:t>富国强回报</w:t>
                      </w:r>
                    </w:p>
                  </w:tc>
                  <w:tc>
                    <w:tcPr>
                      <w:tcW w:w="1435" w:type="dxa"/>
                      <w:shd w:val="clear" w:color="auto" w:fill="auto"/>
                      <w:vAlign w:val="center"/>
                    </w:tcPr>
                    <w:p w:rsidR="00346B58" w:rsidRPr="00C87A4C" w:rsidRDefault="00346B58" w:rsidP="00BC331F">
                      <w:pPr>
                        <w:jc w:val="center"/>
                        <w:rPr>
                          <w:rFonts w:ascii="楷体_GB2312" w:hAnsiTheme="minorEastAsia" w:cs="宋体"/>
                          <w:szCs w:val="18"/>
                        </w:rPr>
                      </w:pPr>
                      <w:r w:rsidRPr="00C87A4C">
                        <w:rPr>
                          <w:rFonts w:ascii="楷体_GB2312" w:hAnsiTheme="minorEastAsia" w:hint="eastAsia"/>
                          <w:szCs w:val="18"/>
                        </w:rPr>
                        <w:t>债券-完全债券型</w:t>
                      </w:r>
                    </w:p>
                  </w:tc>
                  <w:tc>
                    <w:tcPr>
                      <w:tcW w:w="992" w:type="dxa"/>
                      <w:shd w:val="clear" w:color="auto" w:fill="auto"/>
                      <w:vAlign w:val="center"/>
                    </w:tcPr>
                    <w:p w:rsidR="00346B58" w:rsidRPr="00C87A4C" w:rsidRDefault="00346B58" w:rsidP="00BC331F">
                      <w:pPr>
                        <w:jc w:val="center"/>
                        <w:rPr>
                          <w:rFonts w:ascii="楷体_GB2312" w:hAnsiTheme="minorEastAsia" w:cs="宋体"/>
                          <w:szCs w:val="18"/>
                        </w:rPr>
                      </w:pPr>
                      <w:r w:rsidRPr="00C87A4C">
                        <w:rPr>
                          <w:rFonts w:ascii="楷体_GB2312" w:hAnsiTheme="minorEastAsia" w:hint="eastAsia"/>
                          <w:szCs w:val="18"/>
                        </w:rPr>
                        <w:t>25%</w:t>
                      </w:r>
                    </w:p>
                  </w:tc>
                  <w:tc>
                    <w:tcPr>
                      <w:tcW w:w="224" w:type="dxa"/>
                      <w:vMerge/>
                      <w:shd w:val="clear" w:color="auto" w:fill="auto"/>
                      <w:vAlign w:val="center"/>
                    </w:tcPr>
                    <w:p w:rsidR="00346B58" w:rsidRPr="00C87A4C" w:rsidRDefault="00346B58" w:rsidP="00BC331F">
                      <w:pPr>
                        <w:jc w:val="center"/>
                        <w:rPr>
                          <w:rFonts w:ascii="楷体_GB2312" w:hAnsi="楷体"/>
                          <w:szCs w:val="18"/>
                        </w:rPr>
                      </w:pPr>
                    </w:p>
                  </w:tc>
                  <w:tc>
                    <w:tcPr>
                      <w:tcW w:w="1286" w:type="dxa"/>
                      <w:shd w:val="clear" w:color="auto" w:fill="auto"/>
                      <w:vAlign w:val="center"/>
                    </w:tcPr>
                    <w:p w:rsidR="00346B58" w:rsidRPr="00C87A4C" w:rsidRDefault="00346B58" w:rsidP="00BC331F">
                      <w:pPr>
                        <w:jc w:val="center"/>
                        <w:rPr>
                          <w:rFonts w:ascii="楷体_GB2312" w:hAnsiTheme="minorEastAsia" w:cs="宋体"/>
                          <w:szCs w:val="18"/>
                        </w:rPr>
                      </w:pPr>
                      <w:r w:rsidRPr="00C87A4C">
                        <w:rPr>
                          <w:rFonts w:ascii="楷体_GB2312" w:hAnsiTheme="minorEastAsia" w:hint="eastAsia"/>
                          <w:szCs w:val="18"/>
                        </w:rPr>
                        <w:t>建信收益</w:t>
                      </w:r>
                      <w:r w:rsidRPr="00C87A4C">
                        <w:rPr>
                          <w:rFonts w:ascii="楷体_GB2312" w:hAnsiTheme="minorEastAsia" w:hint="eastAsia"/>
                          <w:b/>
                          <w:bCs/>
                          <w:color w:val="FF0000"/>
                          <w:szCs w:val="18"/>
                          <w:vertAlign w:val="superscript"/>
                        </w:rPr>
                        <w:t>★</w:t>
                      </w:r>
                    </w:p>
                  </w:tc>
                  <w:tc>
                    <w:tcPr>
                      <w:tcW w:w="1538" w:type="dxa"/>
                      <w:shd w:val="clear" w:color="auto" w:fill="auto"/>
                      <w:vAlign w:val="center"/>
                    </w:tcPr>
                    <w:p w:rsidR="00346B58" w:rsidRPr="00C87A4C" w:rsidRDefault="00346B58" w:rsidP="00BC331F">
                      <w:pPr>
                        <w:jc w:val="center"/>
                        <w:rPr>
                          <w:rFonts w:ascii="楷体_GB2312" w:hAnsiTheme="minorEastAsia" w:cs="宋体"/>
                          <w:color w:val="000000"/>
                          <w:szCs w:val="18"/>
                        </w:rPr>
                      </w:pPr>
                      <w:r w:rsidRPr="00C87A4C">
                        <w:rPr>
                          <w:rFonts w:ascii="楷体_GB2312" w:hAnsiTheme="minorEastAsia" w:hint="eastAsia"/>
                          <w:color w:val="000000"/>
                          <w:szCs w:val="18"/>
                        </w:rPr>
                        <w:t>债券-普通债券型</w:t>
                      </w:r>
                    </w:p>
                  </w:tc>
                  <w:tc>
                    <w:tcPr>
                      <w:tcW w:w="698" w:type="dxa"/>
                      <w:shd w:val="clear" w:color="auto" w:fill="auto"/>
                      <w:vAlign w:val="center"/>
                    </w:tcPr>
                    <w:p w:rsidR="00346B58" w:rsidRPr="00C87A4C" w:rsidRDefault="00346B58" w:rsidP="00BC331F">
                      <w:pPr>
                        <w:jc w:val="center"/>
                        <w:rPr>
                          <w:rFonts w:ascii="楷体_GB2312" w:hAnsi="宋体"/>
                          <w:szCs w:val="18"/>
                        </w:rPr>
                      </w:pPr>
                      <w:r w:rsidRPr="00C87A4C">
                        <w:rPr>
                          <w:rFonts w:ascii="楷体_GB2312" w:hAnsi="宋体" w:hint="eastAsia"/>
                          <w:szCs w:val="18"/>
                        </w:rPr>
                        <w:t>50%</w:t>
                      </w:r>
                    </w:p>
                  </w:tc>
                </w:tr>
                <w:tr w:rsidR="00346B58" w:rsidRPr="00D04C22" w:rsidTr="00BC331F">
                  <w:trPr>
                    <w:cantSplit/>
                    <w:trHeight w:val="211"/>
                  </w:trPr>
                  <w:tc>
                    <w:tcPr>
                      <w:tcW w:w="1236" w:type="dxa"/>
                      <w:shd w:val="clear" w:color="auto" w:fill="auto"/>
                      <w:vAlign w:val="center"/>
                    </w:tcPr>
                    <w:p w:rsidR="00346B58" w:rsidRPr="00C87A4C" w:rsidRDefault="00346B58" w:rsidP="00BC331F">
                      <w:pPr>
                        <w:jc w:val="center"/>
                        <w:rPr>
                          <w:rFonts w:ascii="楷体_GB2312" w:hAnsiTheme="minorEastAsia" w:cs="宋体"/>
                          <w:szCs w:val="18"/>
                        </w:rPr>
                      </w:pPr>
                      <w:r w:rsidRPr="00C87A4C">
                        <w:rPr>
                          <w:rFonts w:ascii="楷体_GB2312" w:hAnsiTheme="minorEastAsia" w:hint="eastAsia"/>
                          <w:szCs w:val="18"/>
                        </w:rPr>
                        <w:t>建信增利</w:t>
                      </w:r>
                    </w:p>
                  </w:tc>
                  <w:tc>
                    <w:tcPr>
                      <w:tcW w:w="1435" w:type="dxa"/>
                      <w:shd w:val="clear" w:color="auto" w:fill="auto"/>
                      <w:vAlign w:val="center"/>
                    </w:tcPr>
                    <w:p w:rsidR="00346B58" w:rsidRPr="00C87A4C" w:rsidRDefault="00346B58" w:rsidP="00BC331F">
                      <w:pPr>
                        <w:jc w:val="center"/>
                        <w:rPr>
                          <w:rFonts w:ascii="楷体_GB2312" w:hAnsiTheme="minorEastAsia" w:cs="宋体"/>
                          <w:szCs w:val="18"/>
                        </w:rPr>
                      </w:pPr>
                      <w:r w:rsidRPr="00C87A4C">
                        <w:rPr>
                          <w:rFonts w:ascii="楷体_GB2312" w:hAnsiTheme="minorEastAsia" w:hint="eastAsia"/>
                          <w:szCs w:val="18"/>
                        </w:rPr>
                        <w:t>债券-新股申购型</w:t>
                      </w:r>
                    </w:p>
                  </w:tc>
                  <w:tc>
                    <w:tcPr>
                      <w:tcW w:w="992" w:type="dxa"/>
                      <w:shd w:val="clear" w:color="auto" w:fill="auto"/>
                      <w:vAlign w:val="center"/>
                    </w:tcPr>
                    <w:p w:rsidR="00346B58" w:rsidRPr="00C87A4C" w:rsidRDefault="00346B58" w:rsidP="00BC331F">
                      <w:pPr>
                        <w:jc w:val="center"/>
                        <w:rPr>
                          <w:rFonts w:ascii="楷体_GB2312" w:hAnsiTheme="minorEastAsia" w:cs="宋体"/>
                          <w:szCs w:val="18"/>
                        </w:rPr>
                      </w:pPr>
                      <w:r w:rsidRPr="00C87A4C">
                        <w:rPr>
                          <w:rFonts w:ascii="楷体_GB2312" w:hAnsiTheme="minorEastAsia" w:hint="eastAsia"/>
                          <w:szCs w:val="18"/>
                        </w:rPr>
                        <w:t>25%</w:t>
                      </w:r>
                    </w:p>
                  </w:tc>
                  <w:tc>
                    <w:tcPr>
                      <w:tcW w:w="224" w:type="dxa"/>
                      <w:vMerge/>
                      <w:shd w:val="clear" w:color="auto" w:fill="auto"/>
                      <w:vAlign w:val="center"/>
                    </w:tcPr>
                    <w:p w:rsidR="00346B58" w:rsidRPr="00C87A4C" w:rsidRDefault="00346B58" w:rsidP="00BC331F">
                      <w:pPr>
                        <w:jc w:val="center"/>
                        <w:rPr>
                          <w:rFonts w:ascii="楷体_GB2312" w:hAnsi="楷体"/>
                          <w:szCs w:val="18"/>
                        </w:rPr>
                      </w:pPr>
                    </w:p>
                  </w:tc>
                  <w:tc>
                    <w:tcPr>
                      <w:tcW w:w="1286" w:type="dxa"/>
                      <w:shd w:val="clear" w:color="auto" w:fill="auto"/>
                      <w:vAlign w:val="center"/>
                    </w:tcPr>
                    <w:p w:rsidR="00346B58" w:rsidRPr="00C87A4C" w:rsidRDefault="00346B58" w:rsidP="00BC331F">
                      <w:pPr>
                        <w:jc w:val="center"/>
                        <w:rPr>
                          <w:rFonts w:ascii="楷体_GB2312" w:hAnsi="楷体"/>
                          <w:szCs w:val="18"/>
                        </w:rPr>
                      </w:pPr>
                    </w:p>
                  </w:tc>
                  <w:tc>
                    <w:tcPr>
                      <w:tcW w:w="1538" w:type="dxa"/>
                      <w:shd w:val="clear" w:color="auto" w:fill="auto"/>
                      <w:vAlign w:val="center"/>
                    </w:tcPr>
                    <w:p w:rsidR="00346B58" w:rsidRPr="00C87A4C" w:rsidRDefault="00346B58" w:rsidP="00BC331F">
                      <w:pPr>
                        <w:jc w:val="center"/>
                        <w:rPr>
                          <w:rFonts w:ascii="楷体_GB2312" w:hAnsi="楷体"/>
                          <w:szCs w:val="18"/>
                        </w:rPr>
                      </w:pPr>
                    </w:p>
                  </w:tc>
                  <w:tc>
                    <w:tcPr>
                      <w:tcW w:w="698" w:type="dxa"/>
                      <w:shd w:val="clear" w:color="auto" w:fill="auto"/>
                      <w:vAlign w:val="center"/>
                    </w:tcPr>
                    <w:p w:rsidR="00346B58" w:rsidRPr="00C87A4C" w:rsidRDefault="00346B58" w:rsidP="00BC331F">
                      <w:pPr>
                        <w:jc w:val="center"/>
                        <w:rPr>
                          <w:rFonts w:ascii="楷体_GB2312" w:hAnsi="楷体"/>
                          <w:szCs w:val="18"/>
                        </w:rPr>
                      </w:pPr>
                    </w:p>
                  </w:tc>
                </w:tr>
                <w:tr w:rsidR="00346B58" w:rsidRPr="00D04C22" w:rsidTr="00BC331F">
                  <w:trPr>
                    <w:cantSplit/>
                    <w:trHeight w:val="182"/>
                  </w:trPr>
                  <w:tc>
                    <w:tcPr>
                      <w:tcW w:w="1236" w:type="dxa"/>
                      <w:shd w:val="clear" w:color="auto" w:fill="auto"/>
                      <w:vAlign w:val="center"/>
                    </w:tcPr>
                    <w:p w:rsidR="00346B58" w:rsidRPr="00C87A4C" w:rsidRDefault="00346B58" w:rsidP="00BC331F">
                      <w:pPr>
                        <w:jc w:val="center"/>
                        <w:rPr>
                          <w:rFonts w:ascii="楷体_GB2312" w:hAnsiTheme="minorEastAsia" w:cs="宋体"/>
                          <w:szCs w:val="18"/>
                        </w:rPr>
                      </w:pPr>
                      <w:r w:rsidRPr="00C87A4C">
                        <w:rPr>
                          <w:rFonts w:ascii="楷体_GB2312" w:hAnsiTheme="minorEastAsia" w:hint="eastAsia"/>
                          <w:szCs w:val="18"/>
                        </w:rPr>
                        <w:t>工银添颐</w:t>
                      </w:r>
                      <w:r w:rsidRPr="00C87A4C">
                        <w:rPr>
                          <w:rFonts w:ascii="楷体_GB2312" w:hAnsiTheme="minorEastAsia" w:hint="eastAsia"/>
                          <w:b/>
                          <w:bCs/>
                          <w:color w:val="FF0000"/>
                          <w:szCs w:val="18"/>
                          <w:vertAlign w:val="superscript"/>
                        </w:rPr>
                        <w:t>★</w:t>
                      </w:r>
                    </w:p>
                  </w:tc>
                  <w:tc>
                    <w:tcPr>
                      <w:tcW w:w="1435" w:type="dxa"/>
                      <w:shd w:val="clear" w:color="auto" w:fill="auto"/>
                      <w:vAlign w:val="center"/>
                    </w:tcPr>
                    <w:p w:rsidR="00346B58" w:rsidRPr="00C87A4C" w:rsidRDefault="00346B58" w:rsidP="00BC331F">
                      <w:pPr>
                        <w:jc w:val="center"/>
                        <w:rPr>
                          <w:rFonts w:ascii="楷体_GB2312" w:hAnsiTheme="minorEastAsia" w:cs="宋体"/>
                          <w:szCs w:val="18"/>
                        </w:rPr>
                      </w:pPr>
                      <w:r w:rsidRPr="00C87A4C">
                        <w:rPr>
                          <w:rFonts w:ascii="楷体_GB2312" w:hAnsiTheme="minorEastAsia" w:hint="eastAsia"/>
                          <w:szCs w:val="18"/>
                        </w:rPr>
                        <w:t>债券-普通债券型</w:t>
                      </w:r>
                    </w:p>
                  </w:tc>
                  <w:tc>
                    <w:tcPr>
                      <w:tcW w:w="992" w:type="dxa"/>
                      <w:shd w:val="clear" w:color="auto" w:fill="auto"/>
                      <w:vAlign w:val="center"/>
                    </w:tcPr>
                    <w:p w:rsidR="00346B58" w:rsidRPr="00C87A4C" w:rsidRDefault="00346B58" w:rsidP="00BC331F">
                      <w:pPr>
                        <w:jc w:val="center"/>
                        <w:rPr>
                          <w:rFonts w:ascii="楷体_GB2312" w:hAnsiTheme="minorEastAsia" w:cs="宋体"/>
                          <w:color w:val="000000"/>
                          <w:szCs w:val="18"/>
                        </w:rPr>
                      </w:pPr>
                      <w:r w:rsidRPr="00C87A4C">
                        <w:rPr>
                          <w:rFonts w:ascii="楷体_GB2312" w:hAnsiTheme="minorEastAsia" w:hint="eastAsia"/>
                          <w:color w:val="000000"/>
                          <w:szCs w:val="18"/>
                        </w:rPr>
                        <w:t>25%</w:t>
                      </w:r>
                    </w:p>
                  </w:tc>
                  <w:tc>
                    <w:tcPr>
                      <w:tcW w:w="224" w:type="dxa"/>
                      <w:vMerge/>
                      <w:shd w:val="clear" w:color="auto" w:fill="auto"/>
                      <w:vAlign w:val="center"/>
                    </w:tcPr>
                    <w:p w:rsidR="00346B58" w:rsidRPr="00C87A4C" w:rsidRDefault="00346B58" w:rsidP="00BC331F">
                      <w:pPr>
                        <w:jc w:val="center"/>
                        <w:rPr>
                          <w:rFonts w:ascii="楷体_GB2312" w:hAnsi="楷体"/>
                          <w:szCs w:val="18"/>
                        </w:rPr>
                      </w:pPr>
                    </w:p>
                  </w:tc>
                  <w:tc>
                    <w:tcPr>
                      <w:tcW w:w="1286" w:type="dxa"/>
                      <w:shd w:val="clear" w:color="auto" w:fill="auto"/>
                      <w:vAlign w:val="center"/>
                    </w:tcPr>
                    <w:p w:rsidR="00346B58" w:rsidRPr="00C87A4C" w:rsidRDefault="00346B58" w:rsidP="00BC331F">
                      <w:pPr>
                        <w:jc w:val="center"/>
                        <w:rPr>
                          <w:rFonts w:ascii="楷体_GB2312" w:hAnsi="宋体"/>
                          <w:szCs w:val="18"/>
                        </w:rPr>
                      </w:pPr>
                    </w:p>
                  </w:tc>
                  <w:tc>
                    <w:tcPr>
                      <w:tcW w:w="1538" w:type="dxa"/>
                      <w:shd w:val="clear" w:color="auto" w:fill="auto"/>
                      <w:vAlign w:val="center"/>
                    </w:tcPr>
                    <w:p w:rsidR="00346B58" w:rsidRPr="00C87A4C" w:rsidRDefault="00346B58" w:rsidP="00BC331F">
                      <w:pPr>
                        <w:jc w:val="center"/>
                        <w:rPr>
                          <w:rFonts w:ascii="楷体_GB2312" w:cs="Arial"/>
                          <w:szCs w:val="18"/>
                        </w:rPr>
                      </w:pPr>
                    </w:p>
                  </w:tc>
                  <w:tc>
                    <w:tcPr>
                      <w:tcW w:w="698" w:type="dxa"/>
                      <w:shd w:val="clear" w:color="auto" w:fill="auto"/>
                      <w:vAlign w:val="center"/>
                    </w:tcPr>
                    <w:p w:rsidR="00346B58" w:rsidRPr="00C87A4C" w:rsidRDefault="00346B58" w:rsidP="00BC331F">
                      <w:pPr>
                        <w:jc w:val="center"/>
                        <w:rPr>
                          <w:rFonts w:ascii="楷体_GB2312" w:hAnsi="宋体"/>
                          <w:szCs w:val="18"/>
                        </w:rPr>
                      </w:pPr>
                    </w:p>
                  </w:tc>
                </w:tr>
              </w:tbl>
              <w:p w:rsidR="00AE6908" w:rsidRDefault="00AE6908" w:rsidP="000E6AE0">
                <w:pPr>
                  <w:pStyle w:val="a0"/>
                  <w:widowControl/>
                  <w:ind w:left="0" w:rightChars="95" w:right="171"/>
                </w:pPr>
              </w:p>
              <w:p w:rsidR="00BC7E24" w:rsidRPr="005A4767" w:rsidRDefault="00BC331F" w:rsidP="000E6AE0">
                <w:pPr>
                  <w:pStyle w:val="a0"/>
                  <w:widowControl/>
                  <w:ind w:left="0" w:rightChars="95" w:right="171"/>
                </w:pPr>
              </w:p>
            </w:sdtContent>
          </w:sdt>
        </w:tc>
      </w:tr>
    </w:tbl>
    <w:p w:rsidR="00346B58" w:rsidRDefault="00346B58" w:rsidP="00346B58">
      <w:pPr>
        <w:pStyle w:val="14"/>
        <w:ind w:leftChars="1890"/>
        <w:rPr>
          <w:color w:val="auto"/>
        </w:rPr>
      </w:pPr>
      <w:r>
        <w:rPr>
          <w:rFonts w:hint="eastAsia"/>
          <w:color w:val="auto"/>
        </w:rPr>
        <w:lastRenderedPageBreak/>
        <w:t>一、稳健配置抵御短期风险，灵活轮动期待长期债牛——开放型债券基金投资建议</w:t>
      </w:r>
    </w:p>
    <w:p w:rsidR="00346B58" w:rsidRPr="00935202" w:rsidRDefault="00346B58" w:rsidP="00346B58">
      <w:pPr>
        <w:pStyle w:val="a0"/>
        <w:spacing w:line="240" w:lineRule="auto"/>
        <w:rPr>
          <w:rFonts w:ascii="楷体_GB2312"/>
          <w:b/>
          <w:color w:val="00B0F0"/>
        </w:rPr>
      </w:pPr>
      <w:r w:rsidRPr="00935202">
        <w:rPr>
          <w:rFonts w:ascii="楷体_GB2312" w:hint="eastAsia"/>
          <w:b/>
          <w:color w:val="00B0F0"/>
        </w:rPr>
        <w:t>国内经济：下行趋势基本确认</w:t>
      </w:r>
    </w:p>
    <w:p w:rsidR="00346B58" w:rsidRPr="00935202" w:rsidRDefault="00346B58" w:rsidP="00346B58">
      <w:pPr>
        <w:pStyle w:val="a0"/>
        <w:numPr>
          <w:ilvl w:val="4"/>
          <w:numId w:val="3"/>
        </w:numPr>
        <w:spacing w:line="240" w:lineRule="auto"/>
        <w:rPr>
          <w:rFonts w:ascii="楷体_GB2312"/>
          <w:color w:val="auto"/>
        </w:rPr>
      </w:pPr>
      <w:r w:rsidRPr="00935202">
        <w:rPr>
          <w:rFonts w:ascii="楷体_GB2312" w:hint="eastAsia"/>
          <w:color w:val="auto"/>
        </w:rPr>
        <w:t>投资方面，1-7月全国固定资产投资增速较上半年回落，单月投资下滑，其中基建、制造业、房地产投资季节性下滑均甚于历史同期。7月工业</w:t>
      </w:r>
      <w:proofErr w:type="gramStart"/>
      <w:r w:rsidRPr="00935202">
        <w:rPr>
          <w:rFonts w:ascii="楷体_GB2312" w:hint="eastAsia"/>
          <w:color w:val="auto"/>
        </w:rPr>
        <w:t>真实面</w:t>
      </w:r>
      <w:proofErr w:type="gramEnd"/>
      <w:r w:rsidRPr="00935202">
        <w:rPr>
          <w:rFonts w:ascii="楷体_GB2312" w:hint="eastAsia"/>
          <w:color w:val="auto"/>
        </w:rPr>
        <w:t>在前月工作日效应消除之后有所显现，同比回落0.8个点，增长出现小断崖。可能是受股市下行及油价下调带来的财富效应影响，7月实际消费下调，其中石油制品和汽车消费低位下滑。出口方面，7月出口增速大幅下滑，扣除</w:t>
      </w:r>
      <w:proofErr w:type="gramStart"/>
      <w:r w:rsidRPr="00935202">
        <w:rPr>
          <w:rFonts w:ascii="楷体_GB2312" w:hint="eastAsia"/>
          <w:color w:val="auto"/>
        </w:rPr>
        <w:t>掉上年</w:t>
      </w:r>
      <w:proofErr w:type="gramEnd"/>
      <w:r w:rsidRPr="00935202">
        <w:rPr>
          <w:rFonts w:ascii="楷体_GB2312" w:hint="eastAsia"/>
          <w:color w:val="auto"/>
        </w:rPr>
        <w:t>同期高基数效应和工作日效应后，国金宏观组认为中国出口水平在低水平持续下滑。经济产出组成中，仅有财政支出大幅抬升，同时财政收入下滑，下半年财政压力增大。价格方面，生产与消费价格继续分化，CPI受猪肉价格大幅上涨带动温和回升，PPI同环比跌幅扩大。综合来看，7月国内经济增速继续回落，仅有财政支出拖动GDP增长，物价扣除猪肉单一因素影响基本处于通缩，整体经济增长无起色。</w:t>
      </w:r>
    </w:p>
    <w:p w:rsidR="00346B58" w:rsidRPr="00935202" w:rsidRDefault="00346B58" w:rsidP="00346B58">
      <w:pPr>
        <w:pStyle w:val="a0"/>
        <w:numPr>
          <w:ilvl w:val="4"/>
          <w:numId w:val="3"/>
        </w:numPr>
        <w:spacing w:line="240" w:lineRule="auto"/>
        <w:rPr>
          <w:rFonts w:ascii="楷体_GB2312"/>
          <w:color w:val="auto"/>
        </w:rPr>
      </w:pPr>
      <w:r w:rsidRPr="00935202">
        <w:rPr>
          <w:rFonts w:ascii="楷体_GB2312" w:hint="eastAsia"/>
          <w:color w:val="auto"/>
        </w:rPr>
        <w:t>8月财新PMI指数初值荣枯线下大幅回落0.7至47.1，创09年3月以来新低（预期48.2），表明经济将继续疲态，且增长有可能低于预期。分类指标中，产出指数初值大幅下降0.5至46.6，创45个月以来新低；原材料库存下滑，产成品库存上升，企业生产意愿下降，产能过剩依旧存在；受工业购进价格回升叠加出厂价格下降影响，企业利润进一步压缩。需求方面，新订单及出口订单双双回落，内外需求均乏力。除此之外，就业指数也于荣枯线下陡峭下行。在此基础上，国金宏观组认为8月中采PMI指数大概率将大幅下调，工业下行趋势基本确定，三季度或将处于工业波动式下滑与GDP台阶式下滑的双重叠加期。</w:t>
      </w:r>
    </w:p>
    <w:p w:rsidR="00346B58" w:rsidRPr="00935202" w:rsidRDefault="00346B58" w:rsidP="00346B58">
      <w:pPr>
        <w:pStyle w:val="a0"/>
        <w:spacing w:line="240" w:lineRule="auto"/>
        <w:rPr>
          <w:rFonts w:ascii="楷体_GB2312"/>
          <w:b/>
          <w:color w:val="00B0F0"/>
        </w:rPr>
      </w:pPr>
      <w:r w:rsidRPr="00935202">
        <w:rPr>
          <w:rFonts w:ascii="楷体_GB2312" w:hint="eastAsia"/>
          <w:b/>
          <w:color w:val="00B0F0"/>
        </w:rPr>
        <w:t>资金面情况：公开市场工具叠加双降，资金</w:t>
      </w:r>
      <w:proofErr w:type="gramStart"/>
      <w:r w:rsidRPr="00935202">
        <w:rPr>
          <w:rFonts w:ascii="楷体_GB2312" w:hint="eastAsia"/>
          <w:b/>
          <w:color w:val="00B0F0"/>
        </w:rPr>
        <w:t>面改善</w:t>
      </w:r>
      <w:proofErr w:type="gramEnd"/>
      <w:r w:rsidRPr="00935202">
        <w:rPr>
          <w:rFonts w:ascii="楷体_GB2312" w:hint="eastAsia"/>
          <w:b/>
          <w:color w:val="00B0F0"/>
        </w:rPr>
        <w:t>有限</w:t>
      </w:r>
    </w:p>
    <w:p w:rsidR="00346B58" w:rsidRPr="00935202" w:rsidRDefault="00346B58" w:rsidP="00346B58">
      <w:pPr>
        <w:pStyle w:val="a0"/>
        <w:numPr>
          <w:ilvl w:val="4"/>
          <w:numId w:val="3"/>
        </w:numPr>
        <w:spacing w:line="240" w:lineRule="auto"/>
        <w:rPr>
          <w:rFonts w:ascii="楷体_GB2312"/>
          <w:color w:val="auto"/>
        </w:rPr>
      </w:pPr>
      <w:r w:rsidRPr="00935202">
        <w:rPr>
          <w:rFonts w:ascii="楷体_GB2312" w:hint="eastAsia"/>
          <w:color w:val="auto"/>
        </w:rPr>
        <w:t>今年以来，受外汇占款大规模减少、资本外流和基本面疲软影响，人民币相对除美元以外其他货币的实际汇率上升，存在贬值压力。8月中旬央行调整汇率中间</w:t>
      </w:r>
      <w:proofErr w:type="gramStart"/>
      <w:r w:rsidRPr="00935202">
        <w:rPr>
          <w:rFonts w:ascii="楷体_GB2312" w:hint="eastAsia"/>
          <w:color w:val="auto"/>
        </w:rPr>
        <w:t>价机制造成汇率超</w:t>
      </w:r>
      <w:proofErr w:type="gramEnd"/>
      <w:r w:rsidRPr="00935202">
        <w:rPr>
          <w:rFonts w:ascii="楷体_GB2312" w:hint="eastAsia"/>
          <w:color w:val="auto"/>
        </w:rPr>
        <w:t>预期贬值，连续3天人民币对美元汇率累计贬值4.66%，之后趋势上看汇率止跌回稳，前期积累贬值压力基本得到一次性释放。尽管政府明确表态人民币不存在长期贬值基础，但受市场购汇意愿强烈、金融机构外汇占款持续下降和年内美元加息可能性犹存（尽管9月加息概率下降）的影响，市场仍存贬值预期，进一步恶化</w:t>
      </w:r>
      <w:proofErr w:type="gramStart"/>
      <w:r w:rsidRPr="00935202">
        <w:rPr>
          <w:rFonts w:ascii="楷体_GB2312" w:hint="eastAsia"/>
          <w:color w:val="auto"/>
        </w:rPr>
        <w:t>当前外占局面</w:t>
      </w:r>
      <w:proofErr w:type="gramEnd"/>
      <w:r w:rsidRPr="00935202">
        <w:rPr>
          <w:rFonts w:ascii="楷体_GB2312" w:hint="eastAsia"/>
          <w:color w:val="auto"/>
        </w:rPr>
        <w:t>，资金面边际趋紧。此外，汇率变量加入使得央行实行货币政策时汇率与利率目标相互掣肘，难度加大，市场担忧情绪有所上升。</w:t>
      </w:r>
    </w:p>
    <w:p w:rsidR="00346B58" w:rsidRPr="00935202" w:rsidRDefault="00346B58" w:rsidP="00346B58">
      <w:pPr>
        <w:pStyle w:val="a0"/>
        <w:numPr>
          <w:ilvl w:val="4"/>
          <w:numId w:val="3"/>
        </w:numPr>
        <w:spacing w:line="240" w:lineRule="auto"/>
        <w:rPr>
          <w:rFonts w:ascii="楷体_GB2312"/>
          <w:color w:val="auto"/>
        </w:rPr>
      </w:pPr>
      <w:r w:rsidRPr="00935202">
        <w:rPr>
          <w:rFonts w:ascii="楷体_GB2312" w:hint="eastAsia"/>
          <w:color w:val="auto"/>
        </w:rPr>
        <w:t>为对冲人民币贬值和资本外流带来的资金面压力，央行持续加大货币工具应用的频率和规模以投放短期流动性。8月第三周两天各1200亿元逆回购及一次1100亿元新增MLF操作，共向市场释放</w:t>
      </w:r>
      <w:proofErr w:type="gramStart"/>
      <w:r w:rsidRPr="00935202">
        <w:rPr>
          <w:rFonts w:ascii="楷体_GB2312" w:hint="eastAsia"/>
          <w:color w:val="auto"/>
        </w:rPr>
        <w:t>3500亿短期</w:t>
      </w:r>
      <w:proofErr w:type="gramEnd"/>
      <w:r w:rsidRPr="00935202">
        <w:rPr>
          <w:rFonts w:ascii="楷体_GB2312" w:hint="eastAsia"/>
          <w:color w:val="auto"/>
        </w:rPr>
        <w:t>及中期流动性。扣除逆回购到期，央行公开市场单周净投放1500亿元，创年后最大单周资金投放量记录。但此轮公开市场操作作用有限，银行间利率继续上行，结合股市连续2日暴跌，</w:t>
      </w:r>
      <w:proofErr w:type="gramStart"/>
      <w:r w:rsidRPr="00935202">
        <w:rPr>
          <w:rFonts w:ascii="楷体_GB2312" w:hint="eastAsia"/>
          <w:color w:val="auto"/>
        </w:rPr>
        <w:t>市场降准呼声</w:t>
      </w:r>
      <w:proofErr w:type="gramEnd"/>
      <w:r w:rsidRPr="00935202">
        <w:rPr>
          <w:rFonts w:ascii="楷体_GB2312" w:hint="eastAsia"/>
          <w:color w:val="auto"/>
        </w:rPr>
        <w:t>加大。8月25日央行宣布降息+</w:t>
      </w:r>
      <w:proofErr w:type="gramStart"/>
      <w:r w:rsidRPr="00935202">
        <w:rPr>
          <w:rFonts w:ascii="楷体_GB2312" w:hint="eastAsia"/>
          <w:color w:val="auto"/>
        </w:rPr>
        <w:t>降准</w:t>
      </w:r>
      <w:proofErr w:type="gramEnd"/>
      <w:r w:rsidRPr="00935202">
        <w:rPr>
          <w:rFonts w:ascii="楷体_GB2312" w:hint="eastAsia"/>
          <w:color w:val="auto"/>
        </w:rPr>
        <w:t>+</w:t>
      </w:r>
      <w:proofErr w:type="gramStart"/>
      <w:r w:rsidRPr="00935202">
        <w:rPr>
          <w:rFonts w:ascii="楷体_GB2312" w:hint="eastAsia"/>
          <w:color w:val="auto"/>
        </w:rPr>
        <w:t>定向降准重拳</w:t>
      </w:r>
      <w:proofErr w:type="gramEnd"/>
      <w:r w:rsidRPr="00935202">
        <w:rPr>
          <w:rFonts w:ascii="楷体_GB2312" w:hint="eastAsia"/>
          <w:color w:val="auto"/>
        </w:rPr>
        <w:t>出击，时间及组合力度超出市场预期。8月26日，央行宣布开展1400亿SLO操作继续释放流动性以应对月末资金压力。8月27日央行进行1500亿逆回购操作，净投放资金300亿，发行利率下调15BP至2.35%。8月28日开展600亿SLO操作，利率2.35%。</w:t>
      </w:r>
      <w:r>
        <w:rPr>
          <w:rFonts w:ascii="楷体_GB2312" w:hint="eastAsia"/>
          <w:color w:val="auto"/>
        </w:rPr>
        <w:t>8月31日第三次开展SLO向银行体系注入1400亿元短期流动性。</w:t>
      </w:r>
      <w:r w:rsidRPr="00935202">
        <w:rPr>
          <w:rFonts w:ascii="楷体_GB2312" w:hint="eastAsia"/>
          <w:color w:val="auto"/>
        </w:rPr>
        <w:t>央行一系列政策及施政时点表明，在面对资金面、股市、经济实体的多维变量组合中，</w:t>
      </w:r>
      <w:proofErr w:type="gramStart"/>
      <w:r w:rsidRPr="00935202">
        <w:rPr>
          <w:rFonts w:ascii="楷体_GB2312" w:hint="eastAsia"/>
          <w:color w:val="auto"/>
        </w:rPr>
        <w:t>稳增长</w:t>
      </w:r>
      <w:proofErr w:type="gramEnd"/>
      <w:r w:rsidRPr="00935202">
        <w:rPr>
          <w:rFonts w:ascii="楷体_GB2312" w:hint="eastAsia"/>
          <w:color w:val="auto"/>
        </w:rPr>
        <w:t>或为当前政策主要基调。多轮公开市场操作力度有限但有利于推升市场情绪；降准将一定程度上对冲前期汇改造成的外汇外流，提</w:t>
      </w:r>
      <w:proofErr w:type="gramStart"/>
      <w:r w:rsidRPr="00935202">
        <w:rPr>
          <w:rFonts w:ascii="楷体_GB2312" w:hint="eastAsia"/>
          <w:color w:val="auto"/>
        </w:rPr>
        <w:t>振市场</w:t>
      </w:r>
      <w:proofErr w:type="gramEnd"/>
      <w:r w:rsidRPr="00935202">
        <w:rPr>
          <w:rFonts w:ascii="楷体_GB2312" w:hint="eastAsia"/>
          <w:color w:val="auto"/>
        </w:rPr>
        <w:t>信心，但短期对</w:t>
      </w:r>
      <w:r w:rsidRPr="00935202">
        <w:rPr>
          <w:rFonts w:ascii="楷体_GB2312" w:hint="eastAsia"/>
          <w:color w:val="auto"/>
        </w:rPr>
        <w:lastRenderedPageBreak/>
        <w:t>资金面缓解有限。降息有利于降低地方政府融资利息支出及企业融资成本，但受政策传导机制限制对实体经济刺激有限。综合来看，</w:t>
      </w:r>
      <w:proofErr w:type="gramStart"/>
      <w:r w:rsidRPr="00935202">
        <w:rPr>
          <w:rFonts w:ascii="楷体_GB2312" w:hint="eastAsia"/>
          <w:color w:val="auto"/>
        </w:rPr>
        <w:t>降息降准有利于</w:t>
      </w:r>
      <w:proofErr w:type="gramEnd"/>
      <w:r w:rsidRPr="00935202">
        <w:rPr>
          <w:rFonts w:ascii="楷体_GB2312" w:hint="eastAsia"/>
          <w:color w:val="auto"/>
        </w:rPr>
        <w:t>稳定信心，但对经济基本面和资金面的改善都仍需谨慎看待，长期来看利率趋势性回调可能性有限。</w:t>
      </w:r>
      <w:r w:rsidRPr="00935202">
        <w:rPr>
          <w:rFonts w:ascii="楷体_GB2312"/>
          <w:color w:val="auto"/>
        </w:rPr>
        <w:t xml:space="preserve"> </w:t>
      </w:r>
    </w:p>
    <w:p w:rsidR="00346B58" w:rsidRPr="00935202" w:rsidRDefault="00346B58" w:rsidP="00346B58">
      <w:pPr>
        <w:pStyle w:val="a0"/>
        <w:numPr>
          <w:ilvl w:val="4"/>
          <w:numId w:val="3"/>
        </w:numPr>
        <w:spacing w:line="240" w:lineRule="auto"/>
        <w:rPr>
          <w:rFonts w:ascii="楷体_GB2312"/>
          <w:color w:val="auto"/>
        </w:rPr>
      </w:pPr>
      <w:r w:rsidRPr="00935202">
        <w:rPr>
          <w:rFonts w:ascii="楷体_GB2312" w:hint="eastAsia"/>
          <w:color w:val="auto"/>
        </w:rPr>
        <w:t>8月双</w:t>
      </w:r>
      <w:proofErr w:type="gramStart"/>
      <w:r w:rsidRPr="00935202">
        <w:rPr>
          <w:rFonts w:ascii="楷体_GB2312" w:hint="eastAsia"/>
          <w:color w:val="auto"/>
        </w:rPr>
        <w:t>降公布</w:t>
      </w:r>
      <w:proofErr w:type="gramEnd"/>
      <w:r w:rsidRPr="00935202">
        <w:rPr>
          <w:rFonts w:ascii="楷体_GB2312" w:hint="eastAsia"/>
          <w:color w:val="auto"/>
        </w:rPr>
        <w:t>之前资金面边际收紧，银行间、交易所各期限利率大幅上行，截至25日，银行间隔夜、7天、14天、1月质押回购利率分别上涨39BP、14BP、24BP和28BP。交易所隔夜、7天、14天、28天质押回购利率上涨50BP、46BP、52BP和31BP。整体来看期限利差缩小，短期资金吃紧，双</w:t>
      </w:r>
      <w:proofErr w:type="gramStart"/>
      <w:r w:rsidRPr="00935202">
        <w:rPr>
          <w:rFonts w:ascii="楷体_GB2312" w:hint="eastAsia"/>
          <w:color w:val="auto"/>
        </w:rPr>
        <w:t>降之前</w:t>
      </w:r>
      <w:proofErr w:type="gramEnd"/>
      <w:r w:rsidRPr="00935202">
        <w:rPr>
          <w:rFonts w:ascii="楷体_GB2312" w:hint="eastAsia"/>
          <w:color w:val="auto"/>
        </w:rPr>
        <w:t>的短期流动性投放未能改变利率上升趋势。双</w:t>
      </w:r>
      <w:proofErr w:type="gramStart"/>
      <w:r w:rsidRPr="00935202">
        <w:rPr>
          <w:rFonts w:ascii="楷体_GB2312" w:hint="eastAsia"/>
          <w:color w:val="auto"/>
        </w:rPr>
        <w:t>降宣布</w:t>
      </w:r>
      <w:proofErr w:type="gramEnd"/>
      <w:r w:rsidRPr="00935202">
        <w:rPr>
          <w:rFonts w:ascii="楷体_GB2312" w:hint="eastAsia"/>
          <w:color w:val="auto"/>
        </w:rPr>
        <w:t>后，明显提升市场信心，截至27日</w:t>
      </w:r>
      <w:proofErr w:type="gramStart"/>
      <w:r w:rsidRPr="00935202">
        <w:rPr>
          <w:rFonts w:ascii="楷体_GB2312" w:hint="eastAsia"/>
          <w:color w:val="auto"/>
        </w:rPr>
        <w:t>隔夜和</w:t>
      </w:r>
      <w:proofErr w:type="gramEnd"/>
      <w:r w:rsidRPr="00935202">
        <w:rPr>
          <w:rFonts w:ascii="楷体_GB2312" w:hint="eastAsia"/>
          <w:color w:val="auto"/>
        </w:rPr>
        <w:t>7日银行间利率分别下行14BP和13BP。但其余各期限银行间利率继续上行趋势，交易所隔夜利率大幅跳升，短期趋势仍需谨慎关注。</w:t>
      </w:r>
    </w:p>
    <w:tbl>
      <w:tblPr>
        <w:tblStyle w:val="GJStylesChartInsertDoubleCol"/>
        <w:tblW w:w="10771" w:type="dxa"/>
        <w:tblLayout w:type="fixed"/>
        <w:tblLook w:val="07E0" w:firstRow="1" w:lastRow="1" w:firstColumn="1" w:lastColumn="1" w:noHBand="1" w:noVBand="1"/>
      </w:tblPr>
      <w:tblGrid>
        <w:gridCol w:w="5273"/>
        <w:gridCol w:w="236"/>
        <w:gridCol w:w="5262"/>
      </w:tblGrid>
      <w:tr w:rsidR="00346B58" w:rsidTr="00BC331F">
        <w:tc>
          <w:tcPr>
            <w:cnfStyle w:val="001000000000" w:firstRow="0" w:lastRow="0" w:firstColumn="1" w:lastColumn="0" w:oddVBand="0" w:evenVBand="0" w:oddHBand="0" w:evenHBand="0" w:firstRowFirstColumn="0" w:firstRowLastColumn="0" w:lastRowFirstColumn="0" w:lastRowLastColumn="0"/>
            <w:tcW w:w="5273" w:type="dxa"/>
          </w:tcPr>
          <w:p w:rsidR="00346B58" w:rsidRPr="007012B3" w:rsidRDefault="00346B58" w:rsidP="00BC331F">
            <w:pPr>
              <w:pStyle w:val="GJStylesGraphTitle"/>
            </w:pPr>
            <w:r>
              <w:rPr>
                <w:rFonts w:hint="eastAsia"/>
              </w:rPr>
              <w:t>图表</w:t>
            </w:r>
            <w:r w:rsidR="00BC331F">
              <w:fldChar w:fldCharType="begin"/>
            </w:r>
            <w:r w:rsidR="00BC331F">
              <w:instrText xml:space="preserve"> SEQ </w:instrText>
            </w:r>
            <w:r w:rsidR="00BC331F">
              <w:instrText>图表</w:instrText>
            </w:r>
            <w:r w:rsidR="00BC331F">
              <w:instrText xml:space="preserve"> \* ARABIC  \* MERGEFORMAT </w:instrText>
            </w:r>
            <w:r w:rsidR="00BC331F">
              <w:fldChar w:fldCharType="separate"/>
            </w:r>
            <w:r>
              <w:rPr>
                <w:noProof/>
              </w:rPr>
              <w:t>1</w:t>
            </w:r>
            <w:r w:rsidR="00BC331F">
              <w:rPr>
                <w:noProof/>
              </w:rPr>
              <w:fldChar w:fldCharType="end"/>
            </w:r>
            <w:r>
              <w:rPr>
                <w:rFonts w:hint="eastAsia"/>
              </w:rPr>
              <w:t>：银行间债券回购加权利率走势</w:t>
            </w:r>
            <w:r w:rsidRPr="007012B3">
              <w:t xml:space="preserve"> </w:t>
            </w:r>
          </w:p>
        </w:tc>
        <w:tc>
          <w:tcPr>
            <w:tcW w:w="236" w:type="dxa"/>
          </w:tcPr>
          <w:p w:rsidR="00346B58" w:rsidRDefault="00346B58" w:rsidP="00BC331F">
            <w:pPr>
              <w:pStyle w:val="GJStylesGraphTitle"/>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62" w:type="dxa"/>
          </w:tcPr>
          <w:p w:rsidR="00346B58" w:rsidRDefault="00346B58" w:rsidP="00BC331F">
            <w:pPr>
              <w:pStyle w:val="GJStylesGraphTitle"/>
              <w:rPr>
                <w:color w:val="auto"/>
              </w:rPr>
            </w:pPr>
            <w:r>
              <w:rPr>
                <w:rFonts w:hint="eastAsia"/>
                <w:color w:val="auto"/>
              </w:rPr>
              <w:t>图表</w:t>
            </w:r>
            <w:r w:rsidR="00BC331F">
              <w:fldChar w:fldCharType="begin"/>
            </w:r>
            <w:r w:rsidR="00BC331F">
              <w:instrText xml:space="preserve"> SEQ </w:instrText>
            </w:r>
            <w:r w:rsidR="00BC331F">
              <w:instrText>图表</w:instrText>
            </w:r>
            <w:r w:rsidR="00BC331F">
              <w:instrText xml:space="preserve"> \* ARABIC  \* MERGEFORMAT </w:instrText>
            </w:r>
            <w:r w:rsidR="00BC331F">
              <w:fldChar w:fldCharType="separate"/>
            </w:r>
            <w:r>
              <w:rPr>
                <w:noProof/>
                <w:color w:val="auto"/>
              </w:rPr>
              <w:t>2</w:t>
            </w:r>
            <w:r w:rsidR="00BC331F">
              <w:rPr>
                <w:noProof/>
                <w:color w:val="auto"/>
              </w:rPr>
              <w:fldChar w:fldCharType="end"/>
            </w:r>
            <w:r>
              <w:rPr>
                <w:rFonts w:hint="eastAsia"/>
                <w:color w:val="auto"/>
              </w:rPr>
              <w:t>：上交所新质押式国债回购利率（加权平均）走势</w:t>
            </w:r>
            <w:r>
              <w:rPr>
                <w:color w:val="auto"/>
              </w:rPr>
              <w:t xml:space="preserve"> </w:t>
            </w:r>
          </w:p>
        </w:tc>
      </w:tr>
      <w:tr w:rsidR="00346B58" w:rsidTr="00BC331F">
        <w:trPr>
          <w:trHeight w:val="3016"/>
        </w:trPr>
        <w:tc>
          <w:tcPr>
            <w:cnfStyle w:val="001000000000" w:firstRow="0" w:lastRow="0" w:firstColumn="1" w:lastColumn="0" w:oddVBand="0" w:evenVBand="0" w:oddHBand="0" w:evenHBand="0" w:firstRowFirstColumn="0" w:firstRowLastColumn="0" w:lastRowFirstColumn="0" w:lastRowLastColumn="0"/>
            <w:tcW w:w="5273" w:type="dxa"/>
          </w:tcPr>
          <w:p w:rsidR="00346B58" w:rsidRPr="007012B3" w:rsidRDefault="00346B58" w:rsidP="00BC331F">
            <w:r>
              <w:rPr>
                <w:noProof/>
              </w:rPr>
              <w:drawing>
                <wp:inline distT="0" distB="0" distL="0" distR="0">
                  <wp:extent cx="3285772" cy="1975104"/>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90455" cy="1977919"/>
                          </a:xfrm>
                          <a:prstGeom prst="rect">
                            <a:avLst/>
                          </a:prstGeom>
                          <a:noFill/>
                        </pic:spPr>
                      </pic:pic>
                    </a:graphicData>
                  </a:graphic>
                </wp:inline>
              </w:drawing>
            </w:r>
          </w:p>
        </w:tc>
        <w:tc>
          <w:tcPr>
            <w:tcW w:w="236" w:type="dxa"/>
          </w:tcPr>
          <w:p w:rsidR="00346B58" w:rsidRDefault="00346B58" w:rsidP="00BC331F">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62" w:type="dxa"/>
          </w:tcPr>
          <w:p w:rsidR="00346B58" w:rsidRPr="007012B3" w:rsidRDefault="00346B58" w:rsidP="00BC331F">
            <w:r>
              <w:rPr>
                <w:noProof/>
              </w:rPr>
              <w:drawing>
                <wp:inline distT="0" distB="0" distL="0" distR="0">
                  <wp:extent cx="3310112" cy="198973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5028" cy="1998701"/>
                          </a:xfrm>
                          <a:prstGeom prst="rect">
                            <a:avLst/>
                          </a:prstGeom>
                          <a:noFill/>
                        </pic:spPr>
                      </pic:pic>
                    </a:graphicData>
                  </a:graphic>
                </wp:inline>
              </w:drawing>
            </w:r>
          </w:p>
        </w:tc>
      </w:tr>
      <w:tr w:rsidR="00346B58" w:rsidTr="00BC331F">
        <w:tc>
          <w:tcPr>
            <w:tcW w:w="5273" w:type="dxa"/>
          </w:tcPr>
          <w:p w:rsidR="00346B58" w:rsidRDefault="00346B58" w:rsidP="00BC331F">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注：数据截止至</w:t>
            </w:r>
            <w:r>
              <w:rPr>
                <w:rFonts w:hint="eastAsia"/>
              </w:rPr>
              <w:t>8</w:t>
            </w:r>
            <w:r>
              <w:rPr>
                <w:rFonts w:hint="eastAsia"/>
              </w:rPr>
              <w:t>月</w:t>
            </w:r>
            <w:r>
              <w:rPr>
                <w:rFonts w:hint="eastAsia"/>
              </w:rPr>
              <w:t>27</w:t>
            </w:r>
            <w:r>
              <w:rPr>
                <w:rFonts w:hint="eastAsia"/>
              </w:rPr>
              <w:t>日</w:t>
            </w:r>
          </w:p>
          <w:p w:rsidR="00346B58" w:rsidRDefault="00346B58" w:rsidP="00BC331F">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来源：国金证券研究所，</w:t>
            </w:r>
            <w:r>
              <w:rPr>
                <w:rFonts w:hint="eastAsia"/>
              </w:rPr>
              <w:t>WIND</w:t>
            </w:r>
          </w:p>
        </w:tc>
        <w:tc>
          <w:tcPr>
            <w:tcW w:w="236" w:type="dxa"/>
          </w:tcPr>
          <w:p w:rsidR="00346B58" w:rsidRDefault="00346B58" w:rsidP="00BC331F">
            <w:pPr>
              <w:pStyle w:val="GJStylesGraphSource"/>
            </w:pPr>
          </w:p>
        </w:tc>
        <w:tc>
          <w:tcPr>
            <w:tcW w:w="5262" w:type="dxa"/>
          </w:tcPr>
          <w:p w:rsidR="00346B58" w:rsidRDefault="00346B58" w:rsidP="00BC331F">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注：数据截止至</w:t>
            </w:r>
            <w:r>
              <w:rPr>
                <w:rFonts w:hint="eastAsia"/>
              </w:rPr>
              <w:t>8</w:t>
            </w:r>
            <w:r>
              <w:rPr>
                <w:rFonts w:hint="eastAsia"/>
              </w:rPr>
              <w:t>月</w:t>
            </w:r>
            <w:r>
              <w:rPr>
                <w:rFonts w:hint="eastAsia"/>
              </w:rPr>
              <w:t>27</w:t>
            </w:r>
            <w:r>
              <w:rPr>
                <w:rFonts w:hint="eastAsia"/>
              </w:rPr>
              <w:t>日</w:t>
            </w:r>
          </w:p>
          <w:p w:rsidR="00346B58" w:rsidRDefault="00346B58" w:rsidP="00BC331F">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来源：国金证券研究所，</w:t>
            </w:r>
            <w:r>
              <w:rPr>
                <w:rFonts w:hint="eastAsia"/>
              </w:rPr>
              <w:t>WIND</w:t>
            </w:r>
          </w:p>
        </w:tc>
      </w:tr>
    </w:tbl>
    <w:p w:rsidR="00346B58" w:rsidRPr="00935202" w:rsidRDefault="00346B58" w:rsidP="00346B58">
      <w:pPr>
        <w:pStyle w:val="a0"/>
        <w:spacing w:line="240" w:lineRule="auto"/>
        <w:rPr>
          <w:rFonts w:ascii="楷体_GB2312"/>
          <w:b/>
          <w:color w:val="00B0F0"/>
        </w:rPr>
      </w:pPr>
      <w:r w:rsidRPr="00935202">
        <w:rPr>
          <w:rFonts w:ascii="楷体_GB2312" w:hint="eastAsia"/>
          <w:b/>
          <w:color w:val="00B0F0"/>
        </w:rPr>
        <w:t>债市：短期谨慎投资，长期全面利好</w:t>
      </w:r>
    </w:p>
    <w:p w:rsidR="00346B58" w:rsidRPr="00935202" w:rsidRDefault="00346B58" w:rsidP="00346B58">
      <w:pPr>
        <w:pStyle w:val="a0"/>
        <w:numPr>
          <w:ilvl w:val="4"/>
          <w:numId w:val="3"/>
        </w:numPr>
        <w:spacing w:line="240" w:lineRule="auto"/>
        <w:rPr>
          <w:rFonts w:ascii="楷体_GB2312"/>
          <w:color w:val="auto"/>
        </w:rPr>
      </w:pPr>
      <w:r w:rsidRPr="00935202">
        <w:rPr>
          <w:rFonts w:ascii="楷体_GB2312" w:hint="eastAsia"/>
          <w:color w:val="auto"/>
        </w:rPr>
        <w:t>8月债市表现总体平稳，</w:t>
      </w:r>
      <w:proofErr w:type="gramStart"/>
      <w:r w:rsidRPr="00935202">
        <w:rPr>
          <w:rFonts w:ascii="楷体_GB2312" w:hint="eastAsia"/>
          <w:color w:val="auto"/>
        </w:rPr>
        <w:t>中债总财富</w:t>
      </w:r>
      <w:proofErr w:type="gramEnd"/>
      <w:r w:rsidRPr="00935202">
        <w:rPr>
          <w:rFonts w:ascii="楷体_GB2312" w:hint="eastAsia"/>
          <w:color w:val="auto"/>
        </w:rPr>
        <w:t>（总值）指数和</w:t>
      </w:r>
      <w:proofErr w:type="gramStart"/>
      <w:r w:rsidRPr="00935202">
        <w:rPr>
          <w:rFonts w:ascii="楷体_GB2312" w:hint="eastAsia"/>
          <w:color w:val="auto"/>
        </w:rPr>
        <w:t>企业债总财富</w:t>
      </w:r>
      <w:proofErr w:type="gramEnd"/>
      <w:r w:rsidRPr="00935202">
        <w:rPr>
          <w:rFonts w:ascii="楷体_GB2312" w:hint="eastAsia"/>
          <w:color w:val="auto"/>
        </w:rPr>
        <w:t>（总值）指数均呈现总体小幅上涨（截至8月27日，下同）。随股市暴跌，中标可转</w:t>
      </w:r>
      <w:proofErr w:type="gramStart"/>
      <w:r w:rsidRPr="00935202">
        <w:rPr>
          <w:rFonts w:ascii="楷体_GB2312" w:hint="eastAsia"/>
          <w:color w:val="auto"/>
        </w:rPr>
        <w:t>债指数</w:t>
      </w:r>
      <w:proofErr w:type="gramEnd"/>
      <w:r w:rsidRPr="00935202">
        <w:rPr>
          <w:rFonts w:ascii="楷体_GB2312" w:hint="eastAsia"/>
          <w:color w:val="auto"/>
        </w:rPr>
        <w:t>先升后降，总体大幅下行。</w:t>
      </w:r>
    </w:p>
    <w:tbl>
      <w:tblPr>
        <w:tblStyle w:val="GJStylesChartInsertSingleCol"/>
        <w:tblW w:w="7370" w:type="dxa"/>
        <w:tblInd w:w="3402" w:type="dxa"/>
        <w:tblLook w:val="0600" w:firstRow="0" w:lastRow="0" w:firstColumn="0" w:lastColumn="0" w:noHBand="1" w:noVBand="1"/>
      </w:tblPr>
      <w:tblGrid>
        <w:gridCol w:w="7370"/>
      </w:tblGrid>
      <w:tr w:rsidR="00346B58" w:rsidTr="00BC331F">
        <w:tc>
          <w:tcPr>
            <w:tcW w:w="7370" w:type="dxa"/>
          </w:tcPr>
          <w:p w:rsidR="00346B58" w:rsidRPr="00F05393" w:rsidRDefault="00346B58" w:rsidP="00BC331F">
            <w:pPr>
              <w:pStyle w:val="GJStylesGraphTitle"/>
            </w:pPr>
            <w:r>
              <w:rPr>
                <w:rFonts w:hint="eastAsia"/>
              </w:rPr>
              <w:t>图表</w:t>
            </w:r>
            <w:r w:rsidR="00BC331F">
              <w:fldChar w:fldCharType="begin"/>
            </w:r>
            <w:r w:rsidR="00BC331F">
              <w:instrText xml:space="preserve"> SEQ </w:instrText>
            </w:r>
            <w:r w:rsidR="00BC331F">
              <w:instrText>图表</w:instrText>
            </w:r>
            <w:r w:rsidR="00BC331F">
              <w:instrText xml:space="preserve"> \* ARABIC  \* MERGEFORMAT </w:instrText>
            </w:r>
            <w:r w:rsidR="00BC331F">
              <w:fldChar w:fldCharType="separate"/>
            </w:r>
            <w:r>
              <w:rPr>
                <w:noProof/>
              </w:rPr>
              <w:t>3</w:t>
            </w:r>
            <w:r w:rsidR="00BC331F">
              <w:rPr>
                <w:noProof/>
              </w:rPr>
              <w:fldChar w:fldCharType="end"/>
            </w:r>
            <w:r>
              <w:rPr>
                <w:rFonts w:hint="eastAsia"/>
              </w:rPr>
              <w:t>：债券市场主要指数走势（截至</w:t>
            </w:r>
            <w:r>
              <w:t>8</w:t>
            </w:r>
            <w:r>
              <w:rPr>
                <w:rFonts w:hint="eastAsia"/>
              </w:rPr>
              <w:t>月</w:t>
            </w:r>
            <w:r>
              <w:t>27</w:t>
            </w:r>
            <w:r>
              <w:rPr>
                <w:rFonts w:hint="eastAsia"/>
              </w:rPr>
              <w:t>日）</w:t>
            </w:r>
          </w:p>
        </w:tc>
      </w:tr>
      <w:tr w:rsidR="00346B58" w:rsidTr="00BC331F">
        <w:trPr>
          <w:trHeight w:val="3509"/>
        </w:trPr>
        <w:tc>
          <w:tcPr>
            <w:tcW w:w="7370" w:type="dxa"/>
          </w:tcPr>
          <w:p w:rsidR="00346B58" w:rsidRPr="00F05393" w:rsidRDefault="00346B58" w:rsidP="00BC331F">
            <w:r>
              <w:rPr>
                <w:noProof/>
              </w:rPr>
              <w:drawing>
                <wp:inline distT="0" distB="0" distL="0" distR="0">
                  <wp:extent cx="4637837" cy="2238188"/>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44447" cy="2241378"/>
                          </a:xfrm>
                          <a:prstGeom prst="rect">
                            <a:avLst/>
                          </a:prstGeom>
                          <a:noFill/>
                        </pic:spPr>
                      </pic:pic>
                    </a:graphicData>
                  </a:graphic>
                </wp:inline>
              </w:drawing>
            </w:r>
          </w:p>
        </w:tc>
      </w:tr>
      <w:tr w:rsidR="00346B58" w:rsidTr="00BC331F">
        <w:tc>
          <w:tcPr>
            <w:tcW w:w="7370" w:type="dxa"/>
          </w:tcPr>
          <w:p w:rsidR="00346B58" w:rsidRDefault="00346B58" w:rsidP="00BC331F">
            <w:pPr>
              <w:pStyle w:val="GJStylesGraphSource"/>
            </w:pPr>
            <w:r>
              <w:rPr>
                <w:rFonts w:hint="eastAsia"/>
              </w:rPr>
              <w:t>来源：国金证券研究所，</w:t>
            </w:r>
            <w:r>
              <w:rPr>
                <w:rFonts w:hint="eastAsia"/>
              </w:rPr>
              <w:t>WIND</w:t>
            </w:r>
          </w:p>
        </w:tc>
      </w:tr>
    </w:tbl>
    <w:p w:rsidR="00346B58" w:rsidRPr="00935202" w:rsidRDefault="00346B58" w:rsidP="00346B58">
      <w:pPr>
        <w:pStyle w:val="a0"/>
        <w:numPr>
          <w:ilvl w:val="4"/>
          <w:numId w:val="3"/>
        </w:numPr>
        <w:spacing w:line="240" w:lineRule="auto"/>
        <w:rPr>
          <w:rFonts w:ascii="楷体_GB2312"/>
          <w:color w:val="auto"/>
        </w:rPr>
      </w:pPr>
      <w:r w:rsidRPr="00935202">
        <w:rPr>
          <w:rFonts w:ascii="楷体_GB2312" w:hint="eastAsia"/>
          <w:color w:val="auto"/>
        </w:rPr>
        <w:t>分券别来看，信用债中，中债中短期票据到期收益率AAA级1年期收益率上行16BP，AA级1年期收益率下调21BP，短端信用利差缩小。长端10年</w:t>
      </w:r>
      <w:r w:rsidRPr="00935202">
        <w:rPr>
          <w:rFonts w:ascii="楷体_GB2312" w:hint="eastAsia"/>
          <w:color w:val="auto"/>
        </w:rPr>
        <w:lastRenderedPageBreak/>
        <w:t>期AAA级和AA级均有所下行，信用利差维持。利率债方面，10年期国债到期收益率小幅波动，受降息影响小幅下行8BP；10年期</w:t>
      </w:r>
      <w:proofErr w:type="gramStart"/>
      <w:r w:rsidRPr="00935202">
        <w:rPr>
          <w:rFonts w:ascii="楷体_GB2312" w:hint="eastAsia"/>
          <w:color w:val="auto"/>
        </w:rPr>
        <w:t>国开债到期</w:t>
      </w:r>
      <w:proofErr w:type="gramEnd"/>
      <w:r w:rsidRPr="00935202">
        <w:rPr>
          <w:rFonts w:ascii="楷体_GB2312" w:hint="eastAsia"/>
          <w:color w:val="auto"/>
        </w:rPr>
        <w:t>收益率波动更为明显，总体较大幅度下行16BP。</w:t>
      </w:r>
      <w:proofErr w:type="gramStart"/>
      <w:r w:rsidRPr="00935202">
        <w:rPr>
          <w:rFonts w:ascii="楷体_GB2312" w:hint="eastAsia"/>
          <w:color w:val="auto"/>
        </w:rPr>
        <w:t>国开债短</w:t>
      </w:r>
      <w:proofErr w:type="gramEnd"/>
      <w:r w:rsidRPr="00935202">
        <w:rPr>
          <w:rFonts w:ascii="楷体_GB2312" w:hint="eastAsia"/>
          <w:color w:val="auto"/>
        </w:rPr>
        <w:t>端（1年期）利率上行7BP，长端（10年期）利率下行16BP，期限利差缩小，利率曲线平坦化。</w:t>
      </w:r>
    </w:p>
    <w:tbl>
      <w:tblPr>
        <w:tblStyle w:val="GJStylesChartInsertDoubleCol"/>
        <w:tblW w:w="10771" w:type="dxa"/>
        <w:tblLayout w:type="fixed"/>
        <w:tblLook w:val="07E0" w:firstRow="1" w:lastRow="1" w:firstColumn="1" w:lastColumn="1" w:noHBand="1" w:noVBand="1"/>
      </w:tblPr>
      <w:tblGrid>
        <w:gridCol w:w="5273"/>
        <w:gridCol w:w="226"/>
        <w:gridCol w:w="5272"/>
      </w:tblGrid>
      <w:tr w:rsidR="00346B58" w:rsidTr="00BC331F">
        <w:tc>
          <w:tcPr>
            <w:cnfStyle w:val="001000000000" w:firstRow="0" w:lastRow="0" w:firstColumn="1" w:lastColumn="0" w:oddVBand="0" w:evenVBand="0" w:oddHBand="0" w:evenHBand="0" w:firstRowFirstColumn="0" w:firstRowLastColumn="0" w:lastRowFirstColumn="0" w:lastRowLastColumn="0"/>
            <w:tcW w:w="5273" w:type="dxa"/>
          </w:tcPr>
          <w:p w:rsidR="00346B58" w:rsidRPr="00F05393" w:rsidRDefault="00346B58" w:rsidP="00BC331F">
            <w:pPr>
              <w:pStyle w:val="GJStylesGraphTitle"/>
            </w:pPr>
            <w:r>
              <w:rPr>
                <w:rFonts w:hint="eastAsia"/>
              </w:rPr>
              <w:t>图表</w:t>
            </w:r>
            <w:r w:rsidR="00BC331F">
              <w:fldChar w:fldCharType="begin"/>
            </w:r>
            <w:r w:rsidR="00BC331F">
              <w:instrText xml:space="preserve"> SEQ </w:instrText>
            </w:r>
            <w:r w:rsidR="00BC331F">
              <w:instrText>图表</w:instrText>
            </w:r>
            <w:r w:rsidR="00BC331F">
              <w:instrText xml:space="preserve"> \* ARABIC  \* MERGEFORMAT </w:instrText>
            </w:r>
            <w:r w:rsidR="00BC331F">
              <w:fldChar w:fldCharType="separate"/>
            </w:r>
            <w:r>
              <w:rPr>
                <w:noProof/>
              </w:rPr>
              <w:t>4</w:t>
            </w:r>
            <w:r w:rsidR="00BC331F">
              <w:rPr>
                <w:noProof/>
              </w:rPr>
              <w:fldChar w:fldCharType="end"/>
            </w:r>
            <w:r>
              <w:rPr>
                <w:rFonts w:hint="eastAsia"/>
              </w:rPr>
              <w:t>：中债中短期票据到期收益率曲线（截至</w:t>
            </w:r>
            <w:r>
              <w:rPr>
                <w:rFonts w:hint="eastAsia"/>
              </w:rPr>
              <w:t>8</w:t>
            </w:r>
            <w:r>
              <w:rPr>
                <w:rFonts w:hint="eastAsia"/>
              </w:rPr>
              <w:t>月</w:t>
            </w:r>
            <w:r>
              <w:rPr>
                <w:rFonts w:hint="eastAsia"/>
              </w:rPr>
              <w:t>27</w:t>
            </w:r>
            <w:r>
              <w:rPr>
                <w:rFonts w:hint="eastAsia"/>
              </w:rPr>
              <w:t>日）</w:t>
            </w:r>
          </w:p>
        </w:tc>
        <w:tc>
          <w:tcPr>
            <w:tcW w:w="226" w:type="dxa"/>
          </w:tcPr>
          <w:p w:rsidR="00346B58" w:rsidRDefault="00346B58" w:rsidP="00BC331F">
            <w:pPr>
              <w:pStyle w:val="GJStylesGraphTitle"/>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72" w:type="dxa"/>
          </w:tcPr>
          <w:p w:rsidR="00346B58" w:rsidRDefault="00346B58" w:rsidP="00BC331F">
            <w:pPr>
              <w:pStyle w:val="GJStylesGraphTitle"/>
              <w:rPr>
                <w:color w:val="auto"/>
              </w:rPr>
            </w:pPr>
            <w:r>
              <w:rPr>
                <w:rFonts w:hint="eastAsia"/>
                <w:color w:val="auto"/>
              </w:rPr>
              <w:t>图表</w:t>
            </w:r>
            <w:r w:rsidR="00BC331F">
              <w:fldChar w:fldCharType="begin"/>
            </w:r>
            <w:r w:rsidR="00BC331F">
              <w:instrText xml:space="preserve"> SEQ </w:instrText>
            </w:r>
            <w:r w:rsidR="00BC331F">
              <w:instrText>图表</w:instrText>
            </w:r>
            <w:r w:rsidR="00BC331F">
              <w:instrText xml:space="preserve"> \* ARABIC  \* MERGEFORMAT </w:instrText>
            </w:r>
            <w:r w:rsidR="00BC331F">
              <w:fldChar w:fldCharType="separate"/>
            </w:r>
            <w:r>
              <w:rPr>
                <w:noProof/>
                <w:color w:val="auto"/>
              </w:rPr>
              <w:t>5</w:t>
            </w:r>
            <w:r w:rsidR="00BC331F">
              <w:rPr>
                <w:noProof/>
                <w:color w:val="auto"/>
              </w:rPr>
              <w:fldChar w:fldCharType="end"/>
            </w:r>
            <w:r>
              <w:rPr>
                <w:rFonts w:hint="eastAsia"/>
                <w:color w:val="auto"/>
              </w:rPr>
              <w:t>：中债国债</w:t>
            </w:r>
            <w:r>
              <w:rPr>
                <w:rFonts w:hint="eastAsia"/>
                <w:color w:val="auto"/>
              </w:rPr>
              <w:t>/</w:t>
            </w:r>
            <w:proofErr w:type="gramStart"/>
            <w:r>
              <w:rPr>
                <w:rFonts w:hint="eastAsia"/>
                <w:color w:val="auto"/>
              </w:rPr>
              <w:t>国开债到期</w:t>
            </w:r>
            <w:proofErr w:type="gramEnd"/>
            <w:r>
              <w:rPr>
                <w:rFonts w:hint="eastAsia"/>
                <w:color w:val="auto"/>
              </w:rPr>
              <w:t>收益率曲线（截至</w:t>
            </w:r>
            <w:r>
              <w:rPr>
                <w:rFonts w:hint="eastAsia"/>
                <w:color w:val="auto"/>
              </w:rPr>
              <w:t>8</w:t>
            </w:r>
            <w:r>
              <w:rPr>
                <w:rFonts w:hint="eastAsia"/>
                <w:color w:val="auto"/>
              </w:rPr>
              <w:t>月</w:t>
            </w:r>
            <w:r>
              <w:rPr>
                <w:rFonts w:hint="eastAsia"/>
                <w:color w:val="auto"/>
              </w:rPr>
              <w:t>27</w:t>
            </w:r>
            <w:r>
              <w:rPr>
                <w:rFonts w:hint="eastAsia"/>
                <w:color w:val="auto"/>
              </w:rPr>
              <w:t>日）</w:t>
            </w:r>
          </w:p>
        </w:tc>
      </w:tr>
      <w:tr w:rsidR="00346B58" w:rsidTr="00BC331F">
        <w:trPr>
          <w:trHeight w:val="3016"/>
        </w:trPr>
        <w:tc>
          <w:tcPr>
            <w:cnfStyle w:val="001000000000" w:firstRow="0" w:lastRow="0" w:firstColumn="1" w:lastColumn="0" w:oddVBand="0" w:evenVBand="0" w:oddHBand="0" w:evenHBand="0" w:firstRowFirstColumn="0" w:firstRowLastColumn="0" w:lastRowFirstColumn="0" w:lastRowLastColumn="0"/>
            <w:tcW w:w="5273" w:type="dxa"/>
          </w:tcPr>
          <w:p w:rsidR="00346B58" w:rsidRPr="00F05393" w:rsidRDefault="00346B58" w:rsidP="00BC331F">
            <w:r>
              <w:rPr>
                <w:noProof/>
              </w:rPr>
              <w:drawing>
                <wp:inline distT="0" distB="0" distL="0" distR="0">
                  <wp:extent cx="3313785" cy="1991943"/>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12223" cy="1991004"/>
                          </a:xfrm>
                          <a:prstGeom prst="rect">
                            <a:avLst/>
                          </a:prstGeom>
                          <a:noFill/>
                        </pic:spPr>
                      </pic:pic>
                    </a:graphicData>
                  </a:graphic>
                </wp:inline>
              </w:drawing>
            </w:r>
          </w:p>
        </w:tc>
        <w:tc>
          <w:tcPr>
            <w:tcW w:w="226" w:type="dxa"/>
          </w:tcPr>
          <w:p w:rsidR="00346B58" w:rsidRDefault="00346B58" w:rsidP="00BC331F">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72" w:type="dxa"/>
          </w:tcPr>
          <w:p w:rsidR="00346B58" w:rsidRPr="00F05393" w:rsidRDefault="00346B58" w:rsidP="00BC331F">
            <w:r>
              <w:rPr>
                <w:noProof/>
              </w:rPr>
              <w:drawing>
                <wp:inline distT="0" distB="0" distL="0" distR="0">
                  <wp:extent cx="3299156" cy="198315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99156" cy="1983150"/>
                          </a:xfrm>
                          <a:prstGeom prst="rect">
                            <a:avLst/>
                          </a:prstGeom>
                          <a:noFill/>
                        </pic:spPr>
                      </pic:pic>
                    </a:graphicData>
                  </a:graphic>
                </wp:inline>
              </w:drawing>
            </w:r>
          </w:p>
        </w:tc>
      </w:tr>
      <w:tr w:rsidR="00346B58" w:rsidTr="00BC331F">
        <w:tc>
          <w:tcPr>
            <w:tcW w:w="5273" w:type="dxa"/>
          </w:tcPr>
          <w:p w:rsidR="00346B58" w:rsidRDefault="00346B58" w:rsidP="00BC331F">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来源：国金证券研究所，</w:t>
            </w:r>
            <w:r>
              <w:rPr>
                <w:rFonts w:hint="eastAsia"/>
              </w:rPr>
              <w:t>WIND</w:t>
            </w:r>
          </w:p>
        </w:tc>
        <w:tc>
          <w:tcPr>
            <w:tcW w:w="226" w:type="dxa"/>
          </w:tcPr>
          <w:p w:rsidR="00346B58" w:rsidRDefault="00346B58" w:rsidP="00BC331F">
            <w:pPr>
              <w:pStyle w:val="GJStylesGraphSource"/>
            </w:pPr>
          </w:p>
        </w:tc>
        <w:tc>
          <w:tcPr>
            <w:tcW w:w="5272" w:type="dxa"/>
          </w:tcPr>
          <w:p w:rsidR="00346B58" w:rsidRDefault="00346B58" w:rsidP="00BC331F">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来源：国金证券研究所，</w:t>
            </w:r>
            <w:r>
              <w:rPr>
                <w:rFonts w:hint="eastAsia"/>
              </w:rPr>
              <w:t>WIND</w:t>
            </w:r>
          </w:p>
        </w:tc>
      </w:tr>
    </w:tbl>
    <w:p w:rsidR="00346B58" w:rsidRPr="00935202" w:rsidRDefault="00346B58" w:rsidP="00346B58">
      <w:pPr>
        <w:pStyle w:val="a0"/>
        <w:numPr>
          <w:ilvl w:val="4"/>
          <w:numId w:val="3"/>
        </w:numPr>
        <w:spacing w:line="240" w:lineRule="auto"/>
        <w:rPr>
          <w:rFonts w:ascii="楷体_GB2312"/>
          <w:color w:val="auto"/>
        </w:rPr>
      </w:pPr>
      <w:r>
        <w:rPr>
          <w:rFonts w:ascii="楷体_GB2312" w:hint="eastAsia"/>
          <w:color w:val="auto"/>
        </w:rPr>
        <w:t>在恐慌情绪和避险情绪主导下</w:t>
      </w:r>
      <w:r w:rsidRPr="00935202">
        <w:rPr>
          <w:rFonts w:ascii="楷体_GB2312" w:hint="eastAsia"/>
          <w:color w:val="auto"/>
        </w:rPr>
        <w:t>，8月股市暴跌，全月（截至27日）上证综指下行</w:t>
      </w:r>
      <w:r>
        <w:rPr>
          <w:rFonts w:ascii="楷体_GB2312" w:hint="eastAsia"/>
          <w:color w:val="auto"/>
        </w:rPr>
        <w:t>近16 %</w:t>
      </w:r>
      <w:r w:rsidRPr="00935202">
        <w:rPr>
          <w:rFonts w:ascii="楷体_GB2312" w:hint="eastAsia"/>
          <w:color w:val="auto"/>
        </w:rPr>
        <w:t>，当年涨幅全部回吐。受中国经济下行和全球经济疲软影响，全球金融市场大幅震荡，风险偏好整体下调。长期来看，国内经济增长疲软、公开市场手段及双降政策、股市资金流出、避险情绪升温、美联储加息有可能后延等因素均利好债市，</w:t>
      </w:r>
      <w:proofErr w:type="gramStart"/>
      <w:r w:rsidRPr="00935202">
        <w:rPr>
          <w:rFonts w:ascii="楷体_GB2312" w:hint="eastAsia"/>
          <w:color w:val="auto"/>
        </w:rPr>
        <w:t>长期债牛可</w:t>
      </w:r>
      <w:proofErr w:type="gramEnd"/>
      <w:r w:rsidRPr="00935202">
        <w:rPr>
          <w:rFonts w:ascii="楷体_GB2312" w:hint="eastAsia"/>
          <w:color w:val="auto"/>
        </w:rPr>
        <w:t>期。但短期来看，货币政策频出缓解市场担忧但对资金面的缓解程度待评估，资金持续外流加剧，美联储9月加息预期减少但具体时点预测仍有争议，地方政府替换债扩容影响供给面预期，因此短期债市投资仍需谨慎。具体到券种来看，长</w:t>
      </w:r>
      <w:proofErr w:type="gramStart"/>
      <w:r w:rsidRPr="00935202">
        <w:rPr>
          <w:rFonts w:ascii="楷体_GB2312" w:hint="eastAsia"/>
          <w:color w:val="auto"/>
        </w:rPr>
        <w:t>端利率债受</w:t>
      </w:r>
      <w:proofErr w:type="gramEnd"/>
      <w:r w:rsidRPr="00935202">
        <w:rPr>
          <w:rFonts w:ascii="楷体_GB2312" w:hint="eastAsia"/>
          <w:color w:val="auto"/>
        </w:rPr>
        <w:t>债市利好消息影响投资价值显现，而产能过剩、经济下滑的宏观环境下企业信用风险事件发生概率加大，更看好中高等级信用债，投机级信用债投资应谨慎。</w:t>
      </w:r>
    </w:p>
    <w:p w:rsidR="00346B58" w:rsidRPr="002C50BC" w:rsidRDefault="00346B58" w:rsidP="00346B58">
      <w:pPr>
        <w:pStyle w:val="a0"/>
        <w:spacing w:line="240" w:lineRule="auto"/>
        <w:rPr>
          <w:rFonts w:ascii="楷体_GB2312"/>
          <w:b/>
          <w:color w:val="00B0F0"/>
        </w:rPr>
      </w:pPr>
      <w:r w:rsidRPr="00935202">
        <w:rPr>
          <w:rFonts w:ascii="楷体_GB2312" w:hint="eastAsia"/>
          <w:b/>
          <w:color w:val="00B0F0"/>
        </w:rPr>
        <w:t>债券型基金投资策略</w:t>
      </w:r>
      <w:r>
        <w:rPr>
          <w:rFonts w:ascii="楷体_GB2312" w:hint="eastAsia"/>
          <w:b/>
          <w:color w:val="00B0F0"/>
        </w:rPr>
        <w:t>：稳健配置抵御短期风险，灵活轮动期待长期债牛</w:t>
      </w:r>
    </w:p>
    <w:p w:rsidR="00346B58" w:rsidRPr="00935202" w:rsidRDefault="00346B58" w:rsidP="00346B58">
      <w:pPr>
        <w:pStyle w:val="a0"/>
        <w:numPr>
          <w:ilvl w:val="4"/>
          <w:numId w:val="3"/>
        </w:numPr>
        <w:spacing w:line="240" w:lineRule="auto"/>
        <w:rPr>
          <w:rFonts w:ascii="楷体_GB2312"/>
          <w:color w:val="auto"/>
        </w:rPr>
      </w:pPr>
      <w:r w:rsidRPr="00935202">
        <w:rPr>
          <w:rFonts w:ascii="楷体_GB2312" w:hint="eastAsia"/>
          <w:color w:val="auto"/>
        </w:rPr>
        <w:t>截至8月27日，各</w:t>
      </w:r>
      <w:proofErr w:type="gramStart"/>
      <w:r w:rsidRPr="00935202">
        <w:rPr>
          <w:rFonts w:ascii="楷体_GB2312" w:hint="eastAsia"/>
          <w:color w:val="auto"/>
        </w:rPr>
        <w:t>类债基</w:t>
      </w:r>
      <w:proofErr w:type="gramEnd"/>
      <w:r w:rsidRPr="00935202">
        <w:rPr>
          <w:rFonts w:ascii="楷体_GB2312" w:hint="eastAsia"/>
          <w:color w:val="auto"/>
        </w:rPr>
        <w:t>收益率算数平均值显示，8月完全型债券基金微涨（0.55%），而普通型债基因股市波动收益率整体回撤1.29%, 新股申购型基金收益居中（微涨0.18%）。其中普通型债券基金接近三分之二出现收益率下行。如前文所述，当前经济基本面不振，工业及GDP双双存在下行趋势；</w:t>
      </w:r>
      <w:proofErr w:type="gramStart"/>
      <w:r w:rsidRPr="00935202">
        <w:rPr>
          <w:rFonts w:ascii="楷体_GB2312" w:hint="eastAsia"/>
          <w:color w:val="auto"/>
        </w:rPr>
        <w:t>汇改挤出</w:t>
      </w:r>
      <w:proofErr w:type="gramEnd"/>
      <w:r w:rsidRPr="00935202">
        <w:rPr>
          <w:rFonts w:ascii="楷体_GB2312" w:hint="eastAsia"/>
          <w:color w:val="auto"/>
        </w:rPr>
        <w:t>金融机构外汇占款，加剧资本外流，汇率贬值压力犹存；央行频繁采用多种公开市场操作释放短期流动性且超市场预期实行双降，提</w:t>
      </w:r>
      <w:proofErr w:type="gramStart"/>
      <w:r w:rsidRPr="00935202">
        <w:rPr>
          <w:rFonts w:ascii="楷体_GB2312" w:hint="eastAsia"/>
          <w:color w:val="auto"/>
        </w:rPr>
        <w:t>振市场</w:t>
      </w:r>
      <w:proofErr w:type="gramEnd"/>
      <w:r w:rsidRPr="00935202">
        <w:rPr>
          <w:rFonts w:ascii="楷体_GB2312" w:hint="eastAsia"/>
          <w:color w:val="auto"/>
        </w:rPr>
        <w:t>对资金</w:t>
      </w:r>
      <w:proofErr w:type="gramStart"/>
      <w:r w:rsidRPr="00935202">
        <w:rPr>
          <w:rFonts w:ascii="楷体_GB2312" w:hint="eastAsia"/>
          <w:color w:val="auto"/>
        </w:rPr>
        <w:t>面信心但</w:t>
      </w:r>
      <w:proofErr w:type="gramEnd"/>
      <w:r w:rsidRPr="00935202">
        <w:rPr>
          <w:rFonts w:ascii="楷体_GB2312" w:hint="eastAsia"/>
          <w:color w:val="auto"/>
        </w:rPr>
        <w:t>资金面紧张能否缓解尚不明朗；美联储9月降息概率减少，但年内降息可能仍在，具体时点存在分歧。前述各方因素作用下，股市8月总体大跌但仍未见底，债市短期受各方因素博弈影响有波动可能但长期看好，此种市场造成完全型债券基金相对优于投资权益市场的债券基金，且在股市无明显转向情况下此种优势有扩大可能。</w:t>
      </w:r>
    </w:p>
    <w:p w:rsidR="00346B58" w:rsidRPr="00935202" w:rsidRDefault="00346B58" w:rsidP="00346B58">
      <w:pPr>
        <w:pStyle w:val="a0"/>
        <w:numPr>
          <w:ilvl w:val="4"/>
          <w:numId w:val="3"/>
        </w:numPr>
        <w:spacing w:line="240" w:lineRule="auto"/>
        <w:rPr>
          <w:rFonts w:ascii="楷体_GB2312"/>
          <w:color w:val="auto"/>
        </w:rPr>
      </w:pPr>
      <w:r w:rsidRPr="00935202">
        <w:rPr>
          <w:rFonts w:ascii="楷体_GB2312" w:hint="eastAsia"/>
          <w:color w:val="auto"/>
        </w:rPr>
        <w:t>具体到债券基金投资策略，整体来看完全</w:t>
      </w:r>
      <w:proofErr w:type="gramStart"/>
      <w:r w:rsidRPr="00935202">
        <w:rPr>
          <w:rFonts w:ascii="楷体_GB2312" w:hint="eastAsia"/>
          <w:color w:val="auto"/>
        </w:rPr>
        <w:t>型债基</w:t>
      </w:r>
      <w:proofErr w:type="gramEnd"/>
      <w:r>
        <w:rPr>
          <w:rFonts w:ascii="楷体_GB2312" w:hint="eastAsia"/>
          <w:color w:val="auto"/>
        </w:rPr>
        <w:t>可作为短期稳健配置更好的</w:t>
      </w:r>
      <w:r w:rsidRPr="00935202">
        <w:rPr>
          <w:rFonts w:ascii="楷体_GB2312" w:hint="eastAsia"/>
          <w:color w:val="auto"/>
        </w:rPr>
        <w:t>选择，新股申购</w:t>
      </w:r>
      <w:proofErr w:type="gramStart"/>
      <w:r w:rsidRPr="00935202">
        <w:rPr>
          <w:rFonts w:ascii="楷体_GB2312" w:hint="eastAsia"/>
          <w:color w:val="auto"/>
        </w:rPr>
        <w:t>型债基</w:t>
      </w:r>
      <w:proofErr w:type="gramEnd"/>
      <w:r w:rsidRPr="00935202">
        <w:rPr>
          <w:rFonts w:ascii="楷体_GB2312" w:hint="eastAsia"/>
          <w:color w:val="auto"/>
        </w:rPr>
        <w:t>和</w:t>
      </w:r>
      <w:proofErr w:type="gramStart"/>
      <w:r w:rsidRPr="00935202">
        <w:rPr>
          <w:rFonts w:ascii="楷体_GB2312" w:hint="eastAsia"/>
          <w:color w:val="auto"/>
        </w:rPr>
        <w:t>普通型债基也</w:t>
      </w:r>
      <w:proofErr w:type="gramEnd"/>
      <w:r w:rsidRPr="00935202">
        <w:rPr>
          <w:rFonts w:ascii="楷体_GB2312" w:hint="eastAsia"/>
          <w:color w:val="auto"/>
        </w:rPr>
        <w:t>仍可分享长期债市转</w:t>
      </w:r>
      <w:proofErr w:type="gramStart"/>
      <w:r w:rsidRPr="00935202">
        <w:rPr>
          <w:rFonts w:ascii="楷体_GB2312" w:hint="eastAsia"/>
          <w:color w:val="auto"/>
        </w:rPr>
        <w:t>牛带来</w:t>
      </w:r>
      <w:proofErr w:type="gramEnd"/>
      <w:r w:rsidRPr="00935202">
        <w:rPr>
          <w:rFonts w:ascii="楷体_GB2312" w:hint="eastAsia"/>
          <w:color w:val="auto"/>
        </w:rPr>
        <w:t>的收益</w:t>
      </w:r>
      <w:r>
        <w:rPr>
          <w:rFonts w:ascii="楷体_GB2312" w:hint="eastAsia"/>
          <w:color w:val="auto"/>
        </w:rPr>
        <w:t>，</w:t>
      </w:r>
      <w:r w:rsidRPr="00935202">
        <w:rPr>
          <w:rFonts w:ascii="楷体_GB2312" w:hint="eastAsia"/>
          <w:color w:val="auto"/>
        </w:rPr>
        <w:t>但</w:t>
      </w:r>
      <w:r>
        <w:rPr>
          <w:rFonts w:ascii="楷体_GB2312" w:hint="eastAsia"/>
          <w:color w:val="auto"/>
        </w:rPr>
        <w:t>考虑短期权益类市场的波动</w:t>
      </w:r>
      <w:r w:rsidRPr="00935202">
        <w:rPr>
          <w:rFonts w:ascii="楷体_GB2312" w:hint="eastAsia"/>
          <w:color w:val="auto"/>
        </w:rPr>
        <w:t>须细心挑选</w:t>
      </w:r>
      <w:r>
        <w:rPr>
          <w:rFonts w:ascii="楷体_GB2312" w:hint="eastAsia"/>
          <w:color w:val="auto"/>
        </w:rPr>
        <w:t>、</w:t>
      </w:r>
      <w:r w:rsidRPr="00935202">
        <w:rPr>
          <w:rFonts w:ascii="楷体_GB2312" w:hint="eastAsia"/>
          <w:color w:val="auto"/>
        </w:rPr>
        <w:t>谨慎配置。从基金整体表现来看，建议首选历史业绩稳健，下行风险控制有效，能够通过灵活把握大类资产轮动节奏在牛熊市中均获得较好收益的债券基金。我们着重考察在2年内这段债市股市均经过牛熊转换的时期，通过绝对收益率持续位于同类基金前列或多月月度收益率超过同类基金平均数两项标准，筛选出能</w:t>
      </w:r>
      <w:r w:rsidRPr="00935202">
        <w:rPr>
          <w:rFonts w:ascii="楷体_GB2312" w:hint="eastAsia"/>
          <w:color w:val="auto"/>
        </w:rPr>
        <w:lastRenderedPageBreak/>
        <w:t>够灵活配置抵御系统风险，保持平稳增长，避免大幅下行的产品。此外，在投资特征选择上，我们倾向于“低权益配置比例（包括可转债）+短久期+中低债券</w:t>
      </w:r>
      <w:proofErr w:type="gramStart"/>
      <w:r w:rsidRPr="00935202">
        <w:rPr>
          <w:rFonts w:ascii="楷体_GB2312" w:hint="eastAsia"/>
          <w:color w:val="auto"/>
        </w:rPr>
        <w:t>仓位</w:t>
      </w:r>
      <w:proofErr w:type="gramEnd"/>
      <w:r w:rsidRPr="00935202">
        <w:rPr>
          <w:rFonts w:ascii="楷体_GB2312" w:hint="eastAsia"/>
          <w:color w:val="auto"/>
        </w:rPr>
        <w:t>”的策略选择，希望以此规避权益市场动荡风险和短期债市波动带来的资本利得损失，同时保持充足流动性以便在长期及时转向把握债市牛市行情。综合以上两方面标准，我们筛选出以下基金供投资者选择，同时也可作为整体资产组合中稳健投资部分进行配置。</w:t>
      </w:r>
    </w:p>
    <w:tbl>
      <w:tblPr>
        <w:tblStyle w:val="GJStylesChartInsertSingleCol"/>
        <w:tblW w:w="10771" w:type="dxa"/>
        <w:tblLayout w:type="fixed"/>
        <w:tblLook w:val="0600" w:firstRow="0" w:lastRow="0" w:firstColumn="0" w:lastColumn="0" w:noHBand="1" w:noVBand="1"/>
      </w:tblPr>
      <w:tblGrid>
        <w:gridCol w:w="851"/>
        <w:gridCol w:w="1701"/>
        <w:gridCol w:w="1417"/>
        <w:gridCol w:w="709"/>
        <w:gridCol w:w="851"/>
        <w:gridCol w:w="850"/>
        <w:gridCol w:w="851"/>
        <w:gridCol w:w="850"/>
        <w:gridCol w:w="851"/>
        <w:gridCol w:w="860"/>
        <w:gridCol w:w="980"/>
      </w:tblGrid>
      <w:tr w:rsidR="00346B58" w:rsidTr="00BC331F">
        <w:tc>
          <w:tcPr>
            <w:tcW w:w="10771" w:type="dxa"/>
            <w:gridSpan w:val="11"/>
            <w:tcBorders>
              <w:bottom w:val="single" w:sz="4" w:space="0" w:color="00A0E9"/>
            </w:tcBorders>
          </w:tcPr>
          <w:p w:rsidR="00346B58" w:rsidRPr="00DA11F6" w:rsidRDefault="00346B58" w:rsidP="00BC331F">
            <w:pPr>
              <w:pStyle w:val="GJStylesGraphTitle"/>
            </w:pPr>
            <w:r>
              <w:rPr>
                <w:rFonts w:hint="eastAsia"/>
              </w:rPr>
              <w:t>图表</w:t>
            </w:r>
            <w:r w:rsidR="00BC331F">
              <w:fldChar w:fldCharType="begin"/>
            </w:r>
            <w:r w:rsidR="00BC331F">
              <w:instrText xml:space="preserve"> SEQ </w:instrText>
            </w:r>
            <w:r w:rsidR="00BC331F">
              <w:instrText>图表</w:instrText>
            </w:r>
            <w:r w:rsidR="00BC331F">
              <w:instrText xml:space="preserve"> \* ARABIC  \* MERGEFORMAT </w:instrText>
            </w:r>
            <w:r w:rsidR="00BC331F">
              <w:fldChar w:fldCharType="separate"/>
            </w:r>
            <w:r>
              <w:rPr>
                <w:noProof/>
              </w:rPr>
              <w:t>6</w:t>
            </w:r>
            <w:r w:rsidR="00BC331F">
              <w:rPr>
                <w:noProof/>
              </w:rPr>
              <w:fldChar w:fldCharType="end"/>
            </w:r>
            <w:r>
              <w:rPr>
                <w:rFonts w:hint="eastAsia"/>
              </w:rPr>
              <w:t>：</w:t>
            </w:r>
            <w:r>
              <w:rPr>
                <w:rFonts w:hint="eastAsia"/>
              </w:rPr>
              <w:t>9</w:t>
            </w:r>
            <w:r>
              <w:rPr>
                <w:rFonts w:hint="eastAsia"/>
              </w:rPr>
              <w:t>月可重点关注的债券型基金</w:t>
            </w:r>
          </w:p>
        </w:tc>
      </w:tr>
      <w:tr w:rsidR="00346B58" w:rsidTr="00BC331F">
        <w:trPr>
          <w:trHeight w:val="188"/>
        </w:trPr>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基金代码</w:t>
            </w:r>
          </w:p>
        </w:tc>
        <w:tc>
          <w:tcPr>
            <w:tcW w:w="170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基金简称</w:t>
            </w:r>
          </w:p>
        </w:tc>
        <w:tc>
          <w:tcPr>
            <w:tcW w:w="1417"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国金分类</w:t>
            </w:r>
          </w:p>
        </w:tc>
        <w:tc>
          <w:tcPr>
            <w:tcW w:w="709"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本月收益率</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同类排名</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今年以来收益率</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同类排名</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上季末债券持仓比例</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上季末股票持仓比例</w:t>
            </w:r>
          </w:p>
        </w:tc>
        <w:tc>
          <w:tcPr>
            <w:tcW w:w="86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上季末可转债持仓比例</w:t>
            </w:r>
          </w:p>
        </w:tc>
        <w:tc>
          <w:tcPr>
            <w:tcW w:w="98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过去</w:t>
            </w:r>
            <w:r w:rsidRPr="00D5699D">
              <w:rPr>
                <w:rFonts w:hint="eastAsia"/>
              </w:rPr>
              <w:t>36</w:t>
            </w:r>
            <w:r w:rsidRPr="00D5699D">
              <w:rPr>
                <w:rFonts w:hint="eastAsia"/>
              </w:rPr>
              <w:t>个月业绩战胜同类均值的期数</w:t>
            </w:r>
          </w:p>
        </w:tc>
      </w:tr>
      <w:tr w:rsidR="00346B58" w:rsidTr="00BC331F">
        <w:trPr>
          <w:trHeight w:val="183"/>
        </w:trPr>
        <w:tc>
          <w:tcPr>
            <w:tcW w:w="85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r w:rsidRPr="00AF2B72">
              <w:rPr>
                <w:rFonts w:hint="eastAsia"/>
              </w:rPr>
              <w:t>020033</w:t>
            </w:r>
          </w:p>
        </w:tc>
        <w:tc>
          <w:tcPr>
            <w:tcW w:w="170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r w:rsidRPr="00AF2B72">
              <w:rPr>
                <w:rFonts w:hint="eastAsia"/>
              </w:rPr>
              <w:t>国泰民安增利</w:t>
            </w:r>
          </w:p>
        </w:tc>
        <w:tc>
          <w:tcPr>
            <w:tcW w:w="1417"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债券</w:t>
            </w:r>
            <w:r w:rsidRPr="00D5699D">
              <w:rPr>
                <w:rFonts w:hint="eastAsia"/>
              </w:rPr>
              <w:t>-</w:t>
            </w:r>
            <w:r w:rsidRPr="00D5699D">
              <w:rPr>
                <w:rFonts w:hint="eastAsia"/>
              </w:rPr>
              <w:t>普通债券型</w:t>
            </w:r>
          </w:p>
        </w:tc>
        <w:tc>
          <w:tcPr>
            <w:tcW w:w="709"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-0.43</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82/205</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8.47</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94/205</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81.31</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5.3810</w:t>
            </w:r>
          </w:p>
        </w:tc>
        <w:tc>
          <w:tcPr>
            <w:tcW w:w="86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0.82</w:t>
            </w:r>
          </w:p>
        </w:tc>
        <w:tc>
          <w:tcPr>
            <w:tcW w:w="98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22</w:t>
            </w:r>
          </w:p>
        </w:tc>
      </w:tr>
      <w:tr w:rsidR="00346B58" w:rsidTr="00BC331F">
        <w:trPr>
          <w:trHeight w:val="183"/>
        </w:trPr>
        <w:tc>
          <w:tcPr>
            <w:tcW w:w="85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r w:rsidRPr="00AF2B72">
              <w:rPr>
                <w:rFonts w:hint="eastAsia"/>
              </w:rPr>
              <w:t>040012</w:t>
            </w:r>
          </w:p>
        </w:tc>
        <w:tc>
          <w:tcPr>
            <w:tcW w:w="170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proofErr w:type="gramStart"/>
            <w:r w:rsidRPr="00AF2B72">
              <w:rPr>
                <w:rFonts w:hint="eastAsia"/>
              </w:rPr>
              <w:t>华安强债</w:t>
            </w:r>
            <w:proofErr w:type="gramEnd"/>
          </w:p>
        </w:tc>
        <w:tc>
          <w:tcPr>
            <w:tcW w:w="1417"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债券</w:t>
            </w:r>
            <w:r w:rsidRPr="00D5699D">
              <w:rPr>
                <w:rFonts w:hint="eastAsia"/>
              </w:rPr>
              <w:t>-</w:t>
            </w:r>
            <w:r w:rsidRPr="00D5699D">
              <w:rPr>
                <w:rFonts w:hint="eastAsia"/>
              </w:rPr>
              <w:t>普通债券型</w:t>
            </w:r>
          </w:p>
        </w:tc>
        <w:tc>
          <w:tcPr>
            <w:tcW w:w="709"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-0.14</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70/205</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16.99</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8/205</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83.33</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7.3797</w:t>
            </w:r>
          </w:p>
        </w:tc>
        <w:tc>
          <w:tcPr>
            <w:tcW w:w="86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0.05</w:t>
            </w:r>
          </w:p>
        </w:tc>
        <w:tc>
          <w:tcPr>
            <w:tcW w:w="98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18</w:t>
            </w:r>
          </w:p>
        </w:tc>
      </w:tr>
      <w:tr w:rsidR="00346B58" w:rsidTr="00BC331F">
        <w:trPr>
          <w:trHeight w:val="183"/>
        </w:trPr>
        <w:tc>
          <w:tcPr>
            <w:tcW w:w="85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r w:rsidRPr="00AF2B72">
              <w:rPr>
                <w:rFonts w:hint="eastAsia"/>
              </w:rPr>
              <w:t>161902</w:t>
            </w:r>
          </w:p>
        </w:tc>
        <w:tc>
          <w:tcPr>
            <w:tcW w:w="170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r w:rsidRPr="00AF2B72">
              <w:rPr>
                <w:rFonts w:hint="eastAsia"/>
              </w:rPr>
              <w:t>万家债券</w:t>
            </w:r>
          </w:p>
        </w:tc>
        <w:tc>
          <w:tcPr>
            <w:tcW w:w="1417"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债券</w:t>
            </w:r>
            <w:r w:rsidRPr="00D5699D">
              <w:rPr>
                <w:rFonts w:hint="eastAsia"/>
              </w:rPr>
              <w:t>-</w:t>
            </w:r>
            <w:r w:rsidRPr="00D5699D">
              <w:rPr>
                <w:rFonts w:hint="eastAsia"/>
              </w:rPr>
              <w:t>普通债券型</w:t>
            </w:r>
          </w:p>
        </w:tc>
        <w:tc>
          <w:tcPr>
            <w:tcW w:w="709"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-0.54</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98/205</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5.75</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135/205</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94.57</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7.4428</w:t>
            </w:r>
          </w:p>
        </w:tc>
        <w:tc>
          <w:tcPr>
            <w:tcW w:w="86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1.67</w:t>
            </w:r>
          </w:p>
        </w:tc>
        <w:tc>
          <w:tcPr>
            <w:tcW w:w="98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18</w:t>
            </w:r>
          </w:p>
        </w:tc>
      </w:tr>
      <w:tr w:rsidR="00346B58" w:rsidTr="00BC331F">
        <w:trPr>
          <w:trHeight w:val="183"/>
        </w:trPr>
        <w:tc>
          <w:tcPr>
            <w:tcW w:w="85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r w:rsidRPr="00AF2B72">
              <w:rPr>
                <w:rFonts w:hint="eastAsia"/>
              </w:rPr>
              <w:t>162210</w:t>
            </w:r>
          </w:p>
        </w:tc>
        <w:tc>
          <w:tcPr>
            <w:tcW w:w="170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r w:rsidRPr="00AF2B72">
              <w:rPr>
                <w:rFonts w:hint="eastAsia"/>
              </w:rPr>
              <w:t>泰</w:t>
            </w:r>
            <w:proofErr w:type="gramStart"/>
            <w:r w:rsidRPr="00AF2B72">
              <w:rPr>
                <w:rFonts w:hint="eastAsia"/>
              </w:rPr>
              <w:t>达集利</w:t>
            </w:r>
            <w:proofErr w:type="gramEnd"/>
          </w:p>
        </w:tc>
        <w:tc>
          <w:tcPr>
            <w:tcW w:w="1417"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债券</w:t>
            </w:r>
            <w:r w:rsidRPr="00D5699D">
              <w:rPr>
                <w:rFonts w:hint="eastAsia"/>
              </w:rPr>
              <w:t>-</w:t>
            </w:r>
            <w:r w:rsidRPr="00D5699D">
              <w:rPr>
                <w:rFonts w:hint="eastAsia"/>
              </w:rPr>
              <w:t>普通债券型</w:t>
            </w:r>
          </w:p>
        </w:tc>
        <w:tc>
          <w:tcPr>
            <w:tcW w:w="709"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-1.00</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122/205</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14.98</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18/205</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91.80</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2.6851</w:t>
            </w:r>
          </w:p>
        </w:tc>
        <w:tc>
          <w:tcPr>
            <w:tcW w:w="86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0.07</w:t>
            </w:r>
          </w:p>
        </w:tc>
        <w:tc>
          <w:tcPr>
            <w:tcW w:w="98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22</w:t>
            </w:r>
          </w:p>
        </w:tc>
      </w:tr>
      <w:tr w:rsidR="00346B58" w:rsidTr="00BC331F">
        <w:trPr>
          <w:trHeight w:val="183"/>
        </w:trPr>
        <w:tc>
          <w:tcPr>
            <w:tcW w:w="85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r w:rsidRPr="00AF2B72">
              <w:rPr>
                <w:rFonts w:hint="eastAsia"/>
              </w:rPr>
              <w:t>485111</w:t>
            </w:r>
          </w:p>
        </w:tc>
        <w:tc>
          <w:tcPr>
            <w:tcW w:w="170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proofErr w:type="gramStart"/>
            <w:r w:rsidRPr="00AF2B72">
              <w:rPr>
                <w:rFonts w:hint="eastAsia"/>
              </w:rPr>
              <w:t>工银双利</w:t>
            </w:r>
            <w:proofErr w:type="gramEnd"/>
          </w:p>
        </w:tc>
        <w:tc>
          <w:tcPr>
            <w:tcW w:w="1417"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债券</w:t>
            </w:r>
            <w:r w:rsidRPr="00D5699D">
              <w:rPr>
                <w:rFonts w:hint="eastAsia"/>
              </w:rPr>
              <w:t>-</w:t>
            </w:r>
            <w:r w:rsidRPr="00D5699D">
              <w:rPr>
                <w:rFonts w:hint="eastAsia"/>
              </w:rPr>
              <w:t>普通债券型</w:t>
            </w:r>
          </w:p>
        </w:tc>
        <w:tc>
          <w:tcPr>
            <w:tcW w:w="709"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-0.81</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115/205</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11.56</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54/205</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98.06</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6.9543</w:t>
            </w:r>
          </w:p>
        </w:tc>
        <w:tc>
          <w:tcPr>
            <w:tcW w:w="86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0.03</w:t>
            </w:r>
          </w:p>
        </w:tc>
        <w:tc>
          <w:tcPr>
            <w:tcW w:w="98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19</w:t>
            </w:r>
          </w:p>
        </w:tc>
      </w:tr>
      <w:tr w:rsidR="00346B58" w:rsidTr="00BC331F">
        <w:trPr>
          <w:trHeight w:val="183"/>
        </w:trPr>
        <w:tc>
          <w:tcPr>
            <w:tcW w:w="85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r w:rsidRPr="00AF2B72">
              <w:rPr>
                <w:rFonts w:hint="eastAsia"/>
              </w:rPr>
              <w:t>485114</w:t>
            </w:r>
          </w:p>
        </w:tc>
        <w:tc>
          <w:tcPr>
            <w:tcW w:w="170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r w:rsidRPr="00AF2B72">
              <w:rPr>
                <w:rFonts w:hint="eastAsia"/>
              </w:rPr>
              <w:t>工银添</w:t>
            </w:r>
            <w:proofErr w:type="gramStart"/>
            <w:r w:rsidRPr="00AF2B72">
              <w:rPr>
                <w:rFonts w:hint="eastAsia"/>
              </w:rPr>
              <w:t>颐</w:t>
            </w:r>
            <w:proofErr w:type="gramEnd"/>
          </w:p>
        </w:tc>
        <w:tc>
          <w:tcPr>
            <w:tcW w:w="1417"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债券</w:t>
            </w:r>
            <w:r w:rsidRPr="00D5699D">
              <w:rPr>
                <w:rFonts w:hint="eastAsia"/>
              </w:rPr>
              <w:t>-</w:t>
            </w:r>
            <w:r w:rsidRPr="00D5699D">
              <w:rPr>
                <w:rFonts w:hint="eastAsia"/>
              </w:rPr>
              <w:t>普通债券型</w:t>
            </w:r>
          </w:p>
        </w:tc>
        <w:tc>
          <w:tcPr>
            <w:tcW w:w="709"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0.16</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54/205</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8.56</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92/205</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97.22</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9.5350</w:t>
            </w:r>
          </w:p>
        </w:tc>
        <w:tc>
          <w:tcPr>
            <w:tcW w:w="86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0.12</w:t>
            </w:r>
          </w:p>
        </w:tc>
        <w:tc>
          <w:tcPr>
            <w:tcW w:w="98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25</w:t>
            </w:r>
          </w:p>
        </w:tc>
      </w:tr>
      <w:tr w:rsidR="00346B58" w:rsidTr="00BC331F">
        <w:trPr>
          <w:trHeight w:val="183"/>
        </w:trPr>
        <w:tc>
          <w:tcPr>
            <w:tcW w:w="85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r w:rsidRPr="00AF2B72">
              <w:rPr>
                <w:rFonts w:hint="eastAsia"/>
              </w:rPr>
              <w:t>530009</w:t>
            </w:r>
          </w:p>
        </w:tc>
        <w:tc>
          <w:tcPr>
            <w:tcW w:w="170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r w:rsidRPr="00AF2B72">
              <w:rPr>
                <w:rFonts w:hint="eastAsia"/>
              </w:rPr>
              <w:t>建</w:t>
            </w:r>
            <w:proofErr w:type="gramStart"/>
            <w:r w:rsidRPr="00AF2B72">
              <w:rPr>
                <w:rFonts w:hint="eastAsia"/>
              </w:rPr>
              <w:t>信收益</w:t>
            </w:r>
            <w:proofErr w:type="gramEnd"/>
          </w:p>
        </w:tc>
        <w:tc>
          <w:tcPr>
            <w:tcW w:w="1417"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债券</w:t>
            </w:r>
            <w:r w:rsidRPr="00D5699D">
              <w:rPr>
                <w:rFonts w:hint="eastAsia"/>
              </w:rPr>
              <w:t>-</w:t>
            </w:r>
            <w:r w:rsidRPr="00D5699D">
              <w:rPr>
                <w:rFonts w:hint="eastAsia"/>
              </w:rPr>
              <w:t>普通债券型</w:t>
            </w:r>
          </w:p>
        </w:tc>
        <w:tc>
          <w:tcPr>
            <w:tcW w:w="709"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0.41</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45/205</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15.66</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15/205</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105.91</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10.6659</w:t>
            </w:r>
          </w:p>
        </w:tc>
        <w:tc>
          <w:tcPr>
            <w:tcW w:w="86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3.50</w:t>
            </w:r>
          </w:p>
        </w:tc>
        <w:tc>
          <w:tcPr>
            <w:tcW w:w="98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18</w:t>
            </w:r>
          </w:p>
        </w:tc>
      </w:tr>
      <w:tr w:rsidR="00346B58" w:rsidTr="00BC331F">
        <w:trPr>
          <w:trHeight w:val="183"/>
        </w:trPr>
        <w:tc>
          <w:tcPr>
            <w:tcW w:w="85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r w:rsidRPr="00AF2B72">
              <w:rPr>
                <w:rFonts w:hint="eastAsia"/>
              </w:rPr>
              <w:t>530017</w:t>
            </w:r>
          </w:p>
        </w:tc>
        <w:tc>
          <w:tcPr>
            <w:tcW w:w="170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proofErr w:type="gramStart"/>
            <w:r w:rsidRPr="00AF2B72">
              <w:rPr>
                <w:rFonts w:hint="eastAsia"/>
              </w:rPr>
              <w:t>建信双息</w:t>
            </w:r>
            <w:proofErr w:type="gramEnd"/>
          </w:p>
        </w:tc>
        <w:tc>
          <w:tcPr>
            <w:tcW w:w="1417"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债券</w:t>
            </w:r>
            <w:r w:rsidRPr="00D5699D">
              <w:rPr>
                <w:rFonts w:hint="eastAsia"/>
              </w:rPr>
              <w:t>-</w:t>
            </w:r>
            <w:r w:rsidRPr="00D5699D">
              <w:rPr>
                <w:rFonts w:hint="eastAsia"/>
              </w:rPr>
              <w:t>普通债券型</w:t>
            </w:r>
          </w:p>
        </w:tc>
        <w:tc>
          <w:tcPr>
            <w:tcW w:w="709"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0.00</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63/205</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16.88</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9/205</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101.42</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11.3820</w:t>
            </w:r>
          </w:p>
        </w:tc>
        <w:tc>
          <w:tcPr>
            <w:tcW w:w="86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0.05</w:t>
            </w:r>
          </w:p>
        </w:tc>
        <w:tc>
          <w:tcPr>
            <w:tcW w:w="98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22</w:t>
            </w:r>
          </w:p>
        </w:tc>
      </w:tr>
      <w:tr w:rsidR="00346B58" w:rsidTr="00BC331F">
        <w:trPr>
          <w:trHeight w:val="183"/>
        </w:trPr>
        <w:tc>
          <w:tcPr>
            <w:tcW w:w="85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r w:rsidRPr="00AF2B72">
              <w:rPr>
                <w:rFonts w:hint="eastAsia"/>
              </w:rPr>
              <w:t>100058</w:t>
            </w:r>
          </w:p>
        </w:tc>
        <w:tc>
          <w:tcPr>
            <w:tcW w:w="170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r w:rsidRPr="00AF2B72">
              <w:rPr>
                <w:rFonts w:hint="eastAsia"/>
              </w:rPr>
              <w:t>富国产业债</w:t>
            </w:r>
          </w:p>
        </w:tc>
        <w:tc>
          <w:tcPr>
            <w:tcW w:w="1417"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债券</w:t>
            </w:r>
            <w:r w:rsidRPr="00D5699D">
              <w:rPr>
                <w:rFonts w:hint="eastAsia"/>
              </w:rPr>
              <w:t>-</w:t>
            </w:r>
            <w:r w:rsidRPr="00D5699D">
              <w:rPr>
                <w:rFonts w:hint="eastAsia"/>
              </w:rPr>
              <w:t>完全债券型</w:t>
            </w:r>
          </w:p>
        </w:tc>
        <w:tc>
          <w:tcPr>
            <w:tcW w:w="709"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0.47</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200/303</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7.41</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120/303</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95.87</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0.0000</w:t>
            </w:r>
          </w:p>
        </w:tc>
        <w:tc>
          <w:tcPr>
            <w:tcW w:w="86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1.31</w:t>
            </w:r>
          </w:p>
        </w:tc>
        <w:tc>
          <w:tcPr>
            <w:tcW w:w="98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21</w:t>
            </w:r>
          </w:p>
        </w:tc>
      </w:tr>
      <w:tr w:rsidR="00346B58" w:rsidTr="00BC331F">
        <w:trPr>
          <w:trHeight w:val="183"/>
        </w:trPr>
        <w:tc>
          <w:tcPr>
            <w:tcW w:w="85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r w:rsidRPr="00AF2B72">
              <w:rPr>
                <w:rFonts w:hint="eastAsia"/>
              </w:rPr>
              <w:t>160128</w:t>
            </w:r>
          </w:p>
        </w:tc>
        <w:tc>
          <w:tcPr>
            <w:tcW w:w="170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r w:rsidRPr="00AF2B72">
              <w:rPr>
                <w:rFonts w:hint="eastAsia"/>
              </w:rPr>
              <w:t>南方金利</w:t>
            </w:r>
          </w:p>
        </w:tc>
        <w:tc>
          <w:tcPr>
            <w:tcW w:w="1417"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债券</w:t>
            </w:r>
            <w:r w:rsidRPr="00D5699D">
              <w:rPr>
                <w:rFonts w:hint="eastAsia"/>
              </w:rPr>
              <w:t>-</w:t>
            </w:r>
            <w:r w:rsidRPr="00D5699D">
              <w:rPr>
                <w:rFonts w:hint="eastAsia"/>
              </w:rPr>
              <w:t>完全债券型</w:t>
            </w:r>
          </w:p>
        </w:tc>
        <w:tc>
          <w:tcPr>
            <w:tcW w:w="709"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1.73</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4/303</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7.43</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119/303</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132.04</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0.0000</w:t>
            </w:r>
          </w:p>
        </w:tc>
        <w:tc>
          <w:tcPr>
            <w:tcW w:w="86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0.00</w:t>
            </w:r>
          </w:p>
        </w:tc>
        <w:tc>
          <w:tcPr>
            <w:tcW w:w="98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20</w:t>
            </w:r>
          </w:p>
        </w:tc>
      </w:tr>
      <w:tr w:rsidR="00346B58" w:rsidTr="00BC331F">
        <w:trPr>
          <w:trHeight w:val="183"/>
        </w:trPr>
        <w:tc>
          <w:tcPr>
            <w:tcW w:w="85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r w:rsidRPr="00AF2B72">
              <w:rPr>
                <w:rFonts w:hint="eastAsia"/>
              </w:rPr>
              <w:t>371020</w:t>
            </w:r>
          </w:p>
        </w:tc>
        <w:tc>
          <w:tcPr>
            <w:tcW w:w="170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r w:rsidRPr="00AF2B72">
              <w:rPr>
                <w:rFonts w:hint="eastAsia"/>
              </w:rPr>
              <w:t>上</w:t>
            </w:r>
            <w:proofErr w:type="gramStart"/>
            <w:r w:rsidRPr="00AF2B72">
              <w:rPr>
                <w:rFonts w:hint="eastAsia"/>
              </w:rPr>
              <w:t>投纯债</w:t>
            </w:r>
            <w:proofErr w:type="gramEnd"/>
          </w:p>
        </w:tc>
        <w:tc>
          <w:tcPr>
            <w:tcW w:w="1417"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债券</w:t>
            </w:r>
            <w:r w:rsidRPr="00D5699D">
              <w:rPr>
                <w:rFonts w:hint="eastAsia"/>
              </w:rPr>
              <w:t>-</w:t>
            </w:r>
            <w:r w:rsidRPr="00D5699D">
              <w:rPr>
                <w:rFonts w:hint="eastAsia"/>
              </w:rPr>
              <w:t>完全债券型</w:t>
            </w:r>
          </w:p>
        </w:tc>
        <w:tc>
          <w:tcPr>
            <w:tcW w:w="709"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0.45</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206/303</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7.30</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128/303</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81.48</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0.0000</w:t>
            </w:r>
          </w:p>
        </w:tc>
        <w:tc>
          <w:tcPr>
            <w:tcW w:w="86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4.50</w:t>
            </w:r>
          </w:p>
        </w:tc>
        <w:tc>
          <w:tcPr>
            <w:tcW w:w="98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20</w:t>
            </w:r>
          </w:p>
        </w:tc>
      </w:tr>
      <w:tr w:rsidR="00346B58" w:rsidTr="00BC331F">
        <w:trPr>
          <w:trHeight w:val="183"/>
        </w:trPr>
        <w:tc>
          <w:tcPr>
            <w:tcW w:w="85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r w:rsidRPr="00AF2B72">
              <w:rPr>
                <w:rFonts w:hint="eastAsia"/>
              </w:rPr>
              <w:t>460108</w:t>
            </w:r>
          </w:p>
        </w:tc>
        <w:tc>
          <w:tcPr>
            <w:tcW w:w="170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r w:rsidRPr="00AF2B72">
              <w:rPr>
                <w:rFonts w:hint="eastAsia"/>
              </w:rPr>
              <w:t>华泰柏瑞稳健</w:t>
            </w:r>
          </w:p>
        </w:tc>
        <w:tc>
          <w:tcPr>
            <w:tcW w:w="1417"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债券</w:t>
            </w:r>
            <w:r w:rsidRPr="00D5699D">
              <w:rPr>
                <w:rFonts w:hint="eastAsia"/>
              </w:rPr>
              <w:t>-</w:t>
            </w:r>
            <w:r w:rsidRPr="00D5699D">
              <w:rPr>
                <w:rFonts w:hint="eastAsia"/>
              </w:rPr>
              <w:t>完全债券型</w:t>
            </w:r>
          </w:p>
        </w:tc>
        <w:tc>
          <w:tcPr>
            <w:tcW w:w="709"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0.92</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83/303</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6.06</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177/303</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106.70</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0.0000</w:t>
            </w:r>
          </w:p>
        </w:tc>
        <w:tc>
          <w:tcPr>
            <w:tcW w:w="86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0.00</w:t>
            </w:r>
          </w:p>
        </w:tc>
        <w:tc>
          <w:tcPr>
            <w:tcW w:w="98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17</w:t>
            </w:r>
          </w:p>
        </w:tc>
      </w:tr>
      <w:tr w:rsidR="00346B58" w:rsidTr="00BC331F">
        <w:trPr>
          <w:trHeight w:val="183"/>
        </w:trPr>
        <w:tc>
          <w:tcPr>
            <w:tcW w:w="85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r w:rsidRPr="00AF2B72">
              <w:rPr>
                <w:rFonts w:hint="eastAsia"/>
              </w:rPr>
              <w:t>200013</w:t>
            </w:r>
          </w:p>
        </w:tc>
        <w:tc>
          <w:tcPr>
            <w:tcW w:w="170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r w:rsidRPr="00AF2B72">
              <w:rPr>
                <w:rFonts w:hint="eastAsia"/>
              </w:rPr>
              <w:t>长城积债</w:t>
            </w:r>
          </w:p>
        </w:tc>
        <w:tc>
          <w:tcPr>
            <w:tcW w:w="1417"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债券</w:t>
            </w:r>
            <w:r w:rsidRPr="00D5699D">
              <w:rPr>
                <w:rFonts w:hint="eastAsia"/>
              </w:rPr>
              <w:t>-</w:t>
            </w:r>
            <w:r w:rsidRPr="00D5699D">
              <w:rPr>
                <w:rFonts w:hint="eastAsia"/>
              </w:rPr>
              <w:t>新股申购型</w:t>
            </w:r>
          </w:p>
        </w:tc>
        <w:tc>
          <w:tcPr>
            <w:tcW w:w="709"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0.39</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98/150</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8.37</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44/150</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101.20</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0.2242</w:t>
            </w:r>
          </w:p>
        </w:tc>
        <w:tc>
          <w:tcPr>
            <w:tcW w:w="86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0.00</w:t>
            </w:r>
          </w:p>
        </w:tc>
        <w:tc>
          <w:tcPr>
            <w:tcW w:w="98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21</w:t>
            </w:r>
          </w:p>
        </w:tc>
      </w:tr>
      <w:tr w:rsidR="00346B58" w:rsidTr="00BC331F">
        <w:trPr>
          <w:trHeight w:val="183"/>
        </w:trPr>
        <w:tc>
          <w:tcPr>
            <w:tcW w:w="85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r w:rsidRPr="00AF2B72">
              <w:rPr>
                <w:rFonts w:hint="eastAsia"/>
              </w:rPr>
              <w:t>370021</w:t>
            </w:r>
          </w:p>
        </w:tc>
        <w:tc>
          <w:tcPr>
            <w:tcW w:w="170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r w:rsidRPr="00AF2B72">
              <w:rPr>
                <w:rFonts w:hint="eastAsia"/>
              </w:rPr>
              <w:t>上投添利</w:t>
            </w:r>
          </w:p>
        </w:tc>
        <w:tc>
          <w:tcPr>
            <w:tcW w:w="1417"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债券</w:t>
            </w:r>
            <w:r w:rsidRPr="00D5699D">
              <w:rPr>
                <w:rFonts w:hint="eastAsia"/>
              </w:rPr>
              <w:t>-</w:t>
            </w:r>
            <w:r w:rsidRPr="00D5699D">
              <w:rPr>
                <w:rFonts w:hint="eastAsia"/>
              </w:rPr>
              <w:t>新股申购型</w:t>
            </w:r>
          </w:p>
        </w:tc>
        <w:tc>
          <w:tcPr>
            <w:tcW w:w="709"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0.54</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79/150</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7.78</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65/150</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122.63</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4.2884</w:t>
            </w:r>
          </w:p>
        </w:tc>
        <w:tc>
          <w:tcPr>
            <w:tcW w:w="86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3.62</w:t>
            </w:r>
          </w:p>
        </w:tc>
        <w:tc>
          <w:tcPr>
            <w:tcW w:w="98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20</w:t>
            </w:r>
          </w:p>
        </w:tc>
      </w:tr>
      <w:tr w:rsidR="00346B58" w:rsidTr="00BC331F">
        <w:trPr>
          <w:trHeight w:val="183"/>
        </w:trPr>
        <w:tc>
          <w:tcPr>
            <w:tcW w:w="85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r w:rsidRPr="00AF2B72">
              <w:rPr>
                <w:rFonts w:hint="eastAsia"/>
              </w:rPr>
              <w:t>519186</w:t>
            </w:r>
          </w:p>
        </w:tc>
        <w:tc>
          <w:tcPr>
            <w:tcW w:w="170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r w:rsidRPr="00AF2B72">
              <w:rPr>
                <w:rFonts w:hint="eastAsia"/>
              </w:rPr>
              <w:t>万家稳增</w:t>
            </w:r>
          </w:p>
        </w:tc>
        <w:tc>
          <w:tcPr>
            <w:tcW w:w="1417"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债券</w:t>
            </w:r>
            <w:r w:rsidRPr="00D5699D">
              <w:rPr>
                <w:rFonts w:hint="eastAsia"/>
              </w:rPr>
              <w:t>-</w:t>
            </w:r>
            <w:r w:rsidRPr="00D5699D">
              <w:rPr>
                <w:rFonts w:hint="eastAsia"/>
              </w:rPr>
              <w:t>新股申购型</w:t>
            </w:r>
          </w:p>
        </w:tc>
        <w:tc>
          <w:tcPr>
            <w:tcW w:w="709"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0.42</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92/150</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8.33</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47/150</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117.29</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3.7530</w:t>
            </w:r>
          </w:p>
        </w:tc>
        <w:tc>
          <w:tcPr>
            <w:tcW w:w="86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0.82</w:t>
            </w:r>
          </w:p>
        </w:tc>
        <w:tc>
          <w:tcPr>
            <w:tcW w:w="98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19</w:t>
            </w:r>
          </w:p>
        </w:tc>
      </w:tr>
      <w:tr w:rsidR="00346B58" w:rsidTr="00BC331F">
        <w:trPr>
          <w:trHeight w:val="183"/>
        </w:trPr>
        <w:tc>
          <w:tcPr>
            <w:tcW w:w="85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r w:rsidRPr="00AF2B72">
              <w:rPr>
                <w:rFonts w:hint="eastAsia"/>
              </w:rPr>
              <w:t>530008</w:t>
            </w:r>
          </w:p>
        </w:tc>
        <w:tc>
          <w:tcPr>
            <w:tcW w:w="1701"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pPr>
            <w:r w:rsidRPr="00AF2B72">
              <w:rPr>
                <w:rFonts w:hint="eastAsia"/>
              </w:rPr>
              <w:t>建信增利</w:t>
            </w:r>
          </w:p>
        </w:tc>
        <w:tc>
          <w:tcPr>
            <w:tcW w:w="1417"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债券</w:t>
            </w:r>
            <w:r w:rsidRPr="00D5699D">
              <w:rPr>
                <w:rFonts w:hint="eastAsia"/>
              </w:rPr>
              <w:t>-</w:t>
            </w:r>
            <w:r w:rsidRPr="00D5699D">
              <w:rPr>
                <w:rFonts w:hint="eastAsia"/>
              </w:rPr>
              <w:t>新股申购型</w:t>
            </w:r>
          </w:p>
        </w:tc>
        <w:tc>
          <w:tcPr>
            <w:tcW w:w="709"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0.71</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55/150</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8.97</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31/150</w:t>
            </w:r>
          </w:p>
        </w:tc>
        <w:tc>
          <w:tcPr>
            <w:tcW w:w="85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138.44</w:t>
            </w:r>
          </w:p>
        </w:tc>
        <w:tc>
          <w:tcPr>
            <w:tcW w:w="851"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3.5634</w:t>
            </w:r>
          </w:p>
        </w:tc>
        <w:tc>
          <w:tcPr>
            <w:tcW w:w="860" w:type="dxa"/>
            <w:tcBorders>
              <w:left w:val="single" w:sz="4" w:space="0" w:color="00A0E9"/>
              <w:bottom w:val="single" w:sz="4" w:space="0" w:color="00A0E9"/>
              <w:right w:val="single" w:sz="4" w:space="0" w:color="00A0E9"/>
            </w:tcBorders>
            <w:vAlign w:val="center"/>
          </w:tcPr>
          <w:p w:rsidR="00346B58" w:rsidRPr="00D5699D" w:rsidRDefault="00346B58" w:rsidP="00BC331F">
            <w:pPr>
              <w:jc w:val="center"/>
            </w:pPr>
            <w:r w:rsidRPr="00D5699D">
              <w:rPr>
                <w:rFonts w:hint="eastAsia"/>
              </w:rPr>
              <w:t>0.07</w:t>
            </w:r>
          </w:p>
        </w:tc>
        <w:tc>
          <w:tcPr>
            <w:tcW w:w="980" w:type="dxa"/>
            <w:tcBorders>
              <w:left w:val="single" w:sz="4" w:space="0" w:color="00A0E9"/>
              <w:bottom w:val="single" w:sz="4" w:space="0" w:color="00A0E9"/>
              <w:right w:val="single" w:sz="4" w:space="0" w:color="00A0E9"/>
            </w:tcBorders>
            <w:vAlign w:val="center"/>
          </w:tcPr>
          <w:p w:rsidR="00346B58" w:rsidRDefault="00346B58" w:rsidP="00BC331F">
            <w:pPr>
              <w:jc w:val="center"/>
            </w:pPr>
            <w:r w:rsidRPr="00D5699D">
              <w:rPr>
                <w:rFonts w:hint="eastAsia"/>
              </w:rPr>
              <w:t>23</w:t>
            </w:r>
          </w:p>
        </w:tc>
      </w:tr>
      <w:tr w:rsidR="00346B58" w:rsidTr="00BC331F">
        <w:trPr>
          <w:trHeight w:val="183"/>
        </w:trPr>
        <w:tc>
          <w:tcPr>
            <w:tcW w:w="10771" w:type="dxa"/>
            <w:gridSpan w:val="11"/>
            <w:tcBorders>
              <w:left w:val="single" w:sz="4" w:space="0" w:color="00A0E9"/>
              <w:bottom w:val="single" w:sz="4" w:space="0" w:color="00A0E9"/>
              <w:right w:val="single" w:sz="4" w:space="0" w:color="00A0E9"/>
            </w:tcBorders>
            <w:vAlign w:val="center"/>
          </w:tcPr>
          <w:p w:rsidR="00346B58" w:rsidRPr="00D5699D" w:rsidRDefault="00346B58" w:rsidP="00BC331F">
            <w:r>
              <w:rPr>
                <w:rFonts w:hint="eastAsia"/>
              </w:rPr>
              <w:t>注：</w:t>
            </w:r>
            <w:r>
              <w:rPr>
                <w:rFonts w:hint="eastAsia"/>
              </w:rPr>
              <w:t>1</w:t>
            </w:r>
            <w:r>
              <w:rPr>
                <w:rFonts w:hint="eastAsia"/>
              </w:rPr>
              <w:t>、收益率数据截至</w:t>
            </w:r>
            <w:r>
              <w:rPr>
                <w:rFonts w:hint="eastAsia"/>
              </w:rPr>
              <w:t>2015</w:t>
            </w:r>
            <w:r>
              <w:rPr>
                <w:rFonts w:hint="eastAsia"/>
              </w:rPr>
              <w:t>年</w:t>
            </w:r>
            <w:r>
              <w:rPr>
                <w:rFonts w:hint="eastAsia"/>
              </w:rPr>
              <w:t>8</w:t>
            </w:r>
            <w:r>
              <w:rPr>
                <w:rFonts w:hint="eastAsia"/>
              </w:rPr>
              <w:t>月</w:t>
            </w:r>
            <w:r>
              <w:rPr>
                <w:rFonts w:hint="eastAsia"/>
              </w:rPr>
              <w:t>27</w:t>
            </w:r>
            <w:r>
              <w:rPr>
                <w:rFonts w:hint="eastAsia"/>
              </w:rPr>
              <w:t>日；</w:t>
            </w:r>
            <w:r>
              <w:rPr>
                <w:rFonts w:hint="eastAsia"/>
              </w:rPr>
              <w:t>2</w:t>
            </w:r>
            <w:r>
              <w:rPr>
                <w:rFonts w:hint="eastAsia"/>
              </w:rPr>
              <w:t>、</w:t>
            </w:r>
            <w:r>
              <w:rPr>
                <w:rFonts w:hint="eastAsia"/>
              </w:rPr>
              <w:t xml:space="preserve"> </w:t>
            </w:r>
            <w:r>
              <w:rPr>
                <w:rFonts w:hint="eastAsia"/>
              </w:rPr>
              <w:t>过去</w:t>
            </w:r>
            <w:r>
              <w:rPr>
                <w:rFonts w:hint="eastAsia"/>
              </w:rPr>
              <w:t>36</w:t>
            </w:r>
            <w:r>
              <w:rPr>
                <w:rFonts w:hint="eastAsia"/>
              </w:rPr>
              <w:t>个月业绩战胜同类均值期数数据截至</w:t>
            </w:r>
            <w:r>
              <w:rPr>
                <w:rFonts w:hint="eastAsia"/>
              </w:rPr>
              <w:t>2015</w:t>
            </w:r>
            <w:r>
              <w:rPr>
                <w:rFonts w:hint="eastAsia"/>
              </w:rPr>
              <w:t>年</w:t>
            </w:r>
            <w:r>
              <w:rPr>
                <w:rFonts w:hint="eastAsia"/>
              </w:rPr>
              <w:t>7</w:t>
            </w:r>
            <w:r>
              <w:rPr>
                <w:rFonts w:hint="eastAsia"/>
              </w:rPr>
              <w:t>月。</w:t>
            </w:r>
          </w:p>
        </w:tc>
      </w:tr>
      <w:tr w:rsidR="00346B58" w:rsidTr="00BC331F">
        <w:tc>
          <w:tcPr>
            <w:tcW w:w="10771" w:type="dxa"/>
            <w:gridSpan w:val="11"/>
            <w:tcBorders>
              <w:top w:val="single" w:sz="4" w:space="0" w:color="00A0E9"/>
            </w:tcBorders>
          </w:tcPr>
          <w:p w:rsidR="00346B58" w:rsidRDefault="00346B58" w:rsidP="00BC331F">
            <w:pPr>
              <w:pStyle w:val="GJStylesGraphSource"/>
            </w:pPr>
            <w:r>
              <w:rPr>
                <w:rFonts w:hint="eastAsia"/>
              </w:rPr>
              <w:t>来源：国金证券研究所，</w:t>
            </w:r>
            <w:r>
              <w:rPr>
                <w:rFonts w:hint="eastAsia"/>
              </w:rPr>
              <w:t>WIND</w:t>
            </w:r>
          </w:p>
        </w:tc>
      </w:tr>
    </w:tbl>
    <w:p w:rsidR="00346B58" w:rsidRDefault="00346B58" w:rsidP="00346B58">
      <w:pPr>
        <w:pStyle w:val="11"/>
        <w:rPr>
          <w:color w:val="auto"/>
        </w:rPr>
      </w:pPr>
      <w:r>
        <w:rPr>
          <w:rFonts w:hint="eastAsia"/>
          <w:color w:val="auto"/>
        </w:rPr>
        <w:t>二、活期存款替代工具，超短期流动性选择——货币市场基金投资建议</w:t>
      </w:r>
    </w:p>
    <w:p w:rsidR="00346B58" w:rsidRPr="00935202" w:rsidRDefault="00346B58" w:rsidP="00346B58">
      <w:pPr>
        <w:pStyle w:val="a0"/>
        <w:spacing w:line="240" w:lineRule="auto"/>
        <w:rPr>
          <w:rFonts w:ascii="楷体_GB2312"/>
          <w:b/>
          <w:color w:val="00B0F0"/>
        </w:rPr>
      </w:pPr>
      <w:r w:rsidRPr="00935202">
        <w:rPr>
          <w:rFonts w:ascii="楷体_GB2312" w:hint="eastAsia"/>
          <w:b/>
          <w:color w:val="00B0F0"/>
        </w:rPr>
        <w:t>货币市场基金8月收益</w:t>
      </w:r>
      <w:r>
        <w:rPr>
          <w:rFonts w:ascii="楷体_GB2312" w:hint="eastAsia"/>
          <w:b/>
          <w:color w:val="00B0F0"/>
        </w:rPr>
        <w:t>回顾</w:t>
      </w:r>
    </w:p>
    <w:p w:rsidR="00346B58" w:rsidRPr="00935202" w:rsidRDefault="00346B58" w:rsidP="00346B58">
      <w:pPr>
        <w:pStyle w:val="a0"/>
        <w:numPr>
          <w:ilvl w:val="4"/>
          <w:numId w:val="3"/>
        </w:numPr>
        <w:spacing w:line="240" w:lineRule="auto"/>
        <w:rPr>
          <w:rFonts w:ascii="楷体_GB2312"/>
          <w:color w:val="auto"/>
        </w:rPr>
      </w:pPr>
      <w:r w:rsidRPr="00935202">
        <w:rPr>
          <w:rFonts w:ascii="楷体_GB2312" w:hint="eastAsia"/>
          <w:color w:val="auto"/>
        </w:rPr>
        <w:t>今年以来，央行5次下调存款基准利率共125BP，无风险利率下降，债市波动上行。在此基础上，货币基金自今年5月以来整体平均收益率陡峭下行，且同类产品收益率差距缩小。截至8月27日，当月</w:t>
      </w:r>
      <w:proofErr w:type="gramStart"/>
      <w:r w:rsidRPr="00935202">
        <w:rPr>
          <w:rFonts w:ascii="楷体_GB2312" w:hint="eastAsia"/>
          <w:color w:val="auto"/>
        </w:rPr>
        <w:t>7日年化收益率</w:t>
      </w:r>
      <w:proofErr w:type="gramEnd"/>
      <w:r w:rsidRPr="00935202">
        <w:rPr>
          <w:rFonts w:ascii="楷体_GB2312" w:hint="eastAsia"/>
          <w:color w:val="auto"/>
        </w:rPr>
        <w:t>均值2.72</w:t>
      </w:r>
      <w:r>
        <w:rPr>
          <w:rFonts w:ascii="楷体_GB2312" w:hint="eastAsia"/>
          <w:color w:val="auto"/>
        </w:rPr>
        <w:t>%</w:t>
      </w:r>
      <w:r w:rsidRPr="00935202">
        <w:rPr>
          <w:rFonts w:ascii="楷体_GB2312" w:hint="eastAsia"/>
          <w:color w:val="auto"/>
        </w:rPr>
        <w:t>，为今年以来最低水平。</w:t>
      </w:r>
    </w:p>
    <w:tbl>
      <w:tblPr>
        <w:tblStyle w:val="GJStylesChartInsertSingleCol"/>
        <w:tblW w:w="7370" w:type="dxa"/>
        <w:tblInd w:w="3402" w:type="dxa"/>
        <w:tblLook w:val="0600" w:firstRow="0" w:lastRow="0" w:firstColumn="0" w:lastColumn="0" w:noHBand="1" w:noVBand="1"/>
      </w:tblPr>
      <w:tblGrid>
        <w:gridCol w:w="7370"/>
      </w:tblGrid>
      <w:tr w:rsidR="00346B58" w:rsidTr="00BC331F">
        <w:tc>
          <w:tcPr>
            <w:tcW w:w="7370" w:type="dxa"/>
          </w:tcPr>
          <w:p w:rsidR="00346B58" w:rsidRPr="00DA11F6" w:rsidRDefault="00346B58" w:rsidP="00BC331F">
            <w:pPr>
              <w:pStyle w:val="GJStylesGraphTitle"/>
            </w:pPr>
            <w:r>
              <w:rPr>
                <w:rFonts w:hint="eastAsia"/>
              </w:rPr>
              <w:t>图表</w:t>
            </w:r>
            <w:r w:rsidR="00BC331F">
              <w:fldChar w:fldCharType="begin"/>
            </w:r>
            <w:r w:rsidR="00BC331F">
              <w:instrText xml:space="preserve"> SEQ </w:instrText>
            </w:r>
            <w:r w:rsidR="00BC331F">
              <w:instrText>图表</w:instrText>
            </w:r>
            <w:r w:rsidR="00BC331F">
              <w:instrText xml:space="preserve"> \* ARABIC  \* MERGEFORMAT </w:instrText>
            </w:r>
            <w:r w:rsidR="00BC331F">
              <w:fldChar w:fldCharType="separate"/>
            </w:r>
            <w:r>
              <w:rPr>
                <w:noProof/>
              </w:rPr>
              <w:t>7</w:t>
            </w:r>
            <w:r w:rsidR="00BC331F">
              <w:rPr>
                <w:noProof/>
              </w:rPr>
              <w:fldChar w:fldCharType="end"/>
            </w:r>
            <w:r>
              <w:rPr>
                <w:rFonts w:hint="eastAsia"/>
              </w:rPr>
              <w:t>：</w:t>
            </w:r>
            <w:r>
              <w:rPr>
                <w:rFonts w:hint="eastAsia"/>
              </w:rPr>
              <w:t>2015</w:t>
            </w:r>
            <w:r>
              <w:rPr>
                <w:rFonts w:hint="eastAsia"/>
              </w:rPr>
              <w:t>年货币市场基金月度</w:t>
            </w:r>
            <w:proofErr w:type="gramStart"/>
            <w:r>
              <w:rPr>
                <w:rFonts w:hint="eastAsia"/>
              </w:rPr>
              <w:t>7</w:t>
            </w:r>
            <w:r>
              <w:rPr>
                <w:rFonts w:hint="eastAsia"/>
              </w:rPr>
              <w:t>日年化收益率</w:t>
            </w:r>
            <w:proofErr w:type="gramEnd"/>
            <w:r>
              <w:rPr>
                <w:rFonts w:hint="eastAsia"/>
              </w:rPr>
              <w:t>均值曲线</w:t>
            </w:r>
            <w:r w:rsidRPr="00DA11F6">
              <w:t xml:space="preserve"> </w:t>
            </w:r>
          </w:p>
        </w:tc>
      </w:tr>
      <w:tr w:rsidR="00346B58" w:rsidTr="00BC331F">
        <w:trPr>
          <w:trHeight w:val="3182"/>
        </w:trPr>
        <w:tc>
          <w:tcPr>
            <w:tcW w:w="7370" w:type="dxa"/>
          </w:tcPr>
          <w:p w:rsidR="00346B58" w:rsidRPr="00DA11F6" w:rsidRDefault="00346B58" w:rsidP="00BC331F">
            <w:r>
              <w:rPr>
                <w:noProof/>
              </w:rPr>
              <w:drawing>
                <wp:inline distT="0" distB="0" distL="0" distR="0">
                  <wp:extent cx="4586630" cy="1967789"/>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84700" cy="1966961"/>
                          </a:xfrm>
                          <a:prstGeom prst="rect">
                            <a:avLst/>
                          </a:prstGeom>
                          <a:noFill/>
                        </pic:spPr>
                      </pic:pic>
                    </a:graphicData>
                  </a:graphic>
                </wp:inline>
              </w:drawing>
            </w:r>
          </w:p>
        </w:tc>
      </w:tr>
      <w:tr w:rsidR="00346B58" w:rsidTr="00BC331F">
        <w:tc>
          <w:tcPr>
            <w:tcW w:w="7370" w:type="dxa"/>
          </w:tcPr>
          <w:p w:rsidR="00346B58" w:rsidRDefault="00346B58" w:rsidP="00BC331F">
            <w:pPr>
              <w:pStyle w:val="GJStylesGraphSource"/>
            </w:pPr>
            <w:r>
              <w:rPr>
                <w:rFonts w:hint="eastAsia"/>
              </w:rPr>
              <w:t>注：</w:t>
            </w:r>
            <w:r>
              <w:rPr>
                <w:rFonts w:hint="eastAsia"/>
              </w:rPr>
              <w:t>8</w:t>
            </w:r>
            <w:r>
              <w:rPr>
                <w:rFonts w:hint="eastAsia"/>
              </w:rPr>
              <w:t>月数据截止至</w:t>
            </w:r>
            <w:r>
              <w:rPr>
                <w:rFonts w:hint="eastAsia"/>
              </w:rPr>
              <w:t>8</w:t>
            </w:r>
            <w:r>
              <w:rPr>
                <w:rFonts w:hint="eastAsia"/>
              </w:rPr>
              <w:t>月</w:t>
            </w:r>
            <w:r>
              <w:rPr>
                <w:rFonts w:hint="eastAsia"/>
              </w:rPr>
              <w:t>26</w:t>
            </w:r>
            <w:r>
              <w:rPr>
                <w:rFonts w:hint="eastAsia"/>
              </w:rPr>
              <w:t>日来源：国金证券研究所，</w:t>
            </w:r>
            <w:r>
              <w:rPr>
                <w:rFonts w:hint="eastAsia"/>
              </w:rPr>
              <w:t>WIND</w:t>
            </w:r>
          </w:p>
        </w:tc>
      </w:tr>
    </w:tbl>
    <w:p w:rsidR="00346B58" w:rsidRPr="00935202" w:rsidRDefault="00346B58" w:rsidP="00346B58">
      <w:pPr>
        <w:pStyle w:val="a0"/>
        <w:spacing w:line="240" w:lineRule="auto"/>
        <w:rPr>
          <w:rFonts w:ascii="楷体_GB2312"/>
          <w:b/>
          <w:color w:val="00B0F0"/>
        </w:rPr>
      </w:pPr>
      <w:r w:rsidRPr="00935202">
        <w:rPr>
          <w:rFonts w:ascii="楷体_GB2312" w:hint="eastAsia"/>
          <w:b/>
          <w:color w:val="00B0F0"/>
        </w:rPr>
        <w:lastRenderedPageBreak/>
        <w:t>货币市场基金投资建议</w:t>
      </w:r>
    </w:p>
    <w:p w:rsidR="00346B58" w:rsidRPr="00935202" w:rsidRDefault="00346B58" w:rsidP="00346B58">
      <w:pPr>
        <w:pStyle w:val="a0"/>
        <w:numPr>
          <w:ilvl w:val="4"/>
          <w:numId w:val="3"/>
        </w:numPr>
        <w:spacing w:line="240" w:lineRule="auto"/>
        <w:rPr>
          <w:rFonts w:ascii="楷体_GB2312"/>
          <w:color w:val="auto"/>
        </w:rPr>
      </w:pPr>
      <w:r w:rsidRPr="00935202">
        <w:rPr>
          <w:rFonts w:ascii="楷体_GB2312" w:hint="eastAsia"/>
          <w:color w:val="auto"/>
        </w:rPr>
        <w:t>现期货币市场基金益率远低于银行理财，但在短期股市债市均未见趋势性机会、投资者风险偏好下移的时间段内，可作为活期存款的升级替代品种加以配置。首先，我们筛选出历史业绩居前且稳定性较好，基金规模较大具有较强协议存款议价能力并能抵御赎回冲击的品种。在此基础上，建议优先选择互联网宝类货币基金产品，凭借快速取现功能和相对传统货币基金更低的手续费来获得更大的附加价值。综合考虑上述筛选条件，我们重点推荐兴全添利宝、易方达天天、嘉实活期宝、广发天天红、</w:t>
      </w:r>
      <w:proofErr w:type="gramStart"/>
      <w:r w:rsidRPr="00935202">
        <w:rPr>
          <w:rFonts w:ascii="楷体_GB2312" w:hint="eastAsia"/>
          <w:color w:val="auto"/>
        </w:rPr>
        <w:t>汇添富</w:t>
      </w:r>
      <w:proofErr w:type="gramEnd"/>
      <w:r w:rsidRPr="00935202">
        <w:rPr>
          <w:rFonts w:ascii="楷体_GB2312" w:hint="eastAsia"/>
          <w:color w:val="auto"/>
        </w:rPr>
        <w:t>余额宝、广发钱袋子等产品，作为现金存款的升级替代产品为投资者提供较为稳定的收益和更为充分的资金流动性。</w:t>
      </w:r>
    </w:p>
    <w:tbl>
      <w:tblPr>
        <w:tblStyle w:val="GJStylesChartInsertSingleCol"/>
        <w:tblW w:w="10771" w:type="dxa"/>
        <w:tblLayout w:type="fixed"/>
        <w:tblLook w:val="0600" w:firstRow="0" w:lastRow="0" w:firstColumn="0" w:lastColumn="0" w:noHBand="1" w:noVBand="1"/>
      </w:tblPr>
      <w:tblGrid>
        <w:gridCol w:w="993"/>
        <w:gridCol w:w="1275"/>
        <w:gridCol w:w="1134"/>
        <w:gridCol w:w="1134"/>
        <w:gridCol w:w="1134"/>
        <w:gridCol w:w="1134"/>
        <w:gridCol w:w="1418"/>
        <w:gridCol w:w="1134"/>
        <w:gridCol w:w="1415"/>
      </w:tblGrid>
      <w:tr w:rsidR="00346B58" w:rsidTr="00BC331F">
        <w:tc>
          <w:tcPr>
            <w:tcW w:w="10771" w:type="dxa"/>
            <w:gridSpan w:val="9"/>
            <w:tcBorders>
              <w:bottom w:val="single" w:sz="4" w:space="0" w:color="00A0E9"/>
            </w:tcBorders>
          </w:tcPr>
          <w:p w:rsidR="00346B58" w:rsidRPr="005D302C" w:rsidRDefault="00346B58" w:rsidP="00BC331F">
            <w:pPr>
              <w:pStyle w:val="GJStylesGraphTitle"/>
            </w:pPr>
            <w:r>
              <w:rPr>
                <w:rFonts w:hint="eastAsia"/>
              </w:rPr>
              <w:t>图表</w:t>
            </w:r>
            <w:r w:rsidR="00BC331F">
              <w:fldChar w:fldCharType="begin"/>
            </w:r>
            <w:r w:rsidR="00BC331F">
              <w:instrText xml:space="preserve"> SEQ </w:instrText>
            </w:r>
            <w:r w:rsidR="00BC331F">
              <w:instrText>图表</w:instrText>
            </w:r>
            <w:r w:rsidR="00BC331F">
              <w:instrText xml:space="preserve"> \* ARABIC  \* MERGEFORMAT </w:instrText>
            </w:r>
            <w:r w:rsidR="00BC331F">
              <w:fldChar w:fldCharType="separate"/>
            </w:r>
            <w:r>
              <w:rPr>
                <w:noProof/>
              </w:rPr>
              <w:t>8</w:t>
            </w:r>
            <w:r w:rsidR="00BC331F">
              <w:rPr>
                <w:noProof/>
              </w:rPr>
              <w:fldChar w:fldCharType="end"/>
            </w:r>
            <w:r>
              <w:rPr>
                <w:rFonts w:hint="eastAsia"/>
              </w:rPr>
              <w:t>：</w:t>
            </w:r>
            <w:r>
              <w:rPr>
                <w:rFonts w:hint="eastAsia"/>
              </w:rPr>
              <w:t>9</w:t>
            </w:r>
            <w:r>
              <w:rPr>
                <w:rFonts w:hint="eastAsia"/>
              </w:rPr>
              <w:t>月重点关注货币市场基金各项指标比较</w:t>
            </w:r>
            <w:r w:rsidRPr="005D302C">
              <w:t xml:space="preserve"> </w:t>
            </w:r>
          </w:p>
        </w:tc>
      </w:tr>
      <w:tr w:rsidR="00346B58" w:rsidTr="00BC331F">
        <w:trPr>
          <w:trHeight w:val="432"/>
        </w:trPr>
        <w:tc>
          <w:tcPr>
            <w:tcW w:w="993"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b/>
                <w:color w:val="000000"/>
                <w:szCs w:val="18"/>
              </w:rPr>
            </w:pPr>
            <w:r w:rsidRPr="00AF2B72">
              <w:rPr>
                <w:rFonts w:ascii="楷体" w:eastAsia="楷体" w:hAnsi="楷体" w:hint="eastAsia"/>
                <w:b/>
                <w:color w:val="000000"/>
                <w:szCs w:val="18"/>
              </w:rPr>
              <w:t>基金代码</w:t>
            </w:r>
          </w:p>
        </w:tc>
        <w:tc>
          <w:tcPr>
            <w:tcW w:w="1275"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b/>
                <w:color w:val="000000"/>
                <w:szCs w:val="18"/>
              </w:rPr>
            </w:pPr>
            <w:r w:rsidRPr="00AF2B72">
              <w:rPr>
                <w:rFonts w:ascii="楷体" w:eastAsia="楷体" w:hAnsi="楷体" w:hint="eastAsia"/>
                <w:b/>
                <w:color w:val="000000"/>
                <w:szCs w:val="18"/>
              </w:rPr>
              <w:t>基金名称</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b/>
                <w:color w:val="000000"/>
                <w:szCs w:val="18"/>
              </w:rPr>
            </w:pPr>
            <w:r w:rsidRPr="00AF2B72">
              <w:rPr>
                <w:rFonts w:ascii="楷体" w:eastAsia="楷体" w:hAnsi="楷体" w:hint="eastAsia"/>
                <w:b/>
                <w:color w:val="000000"/>
                <w:szCs w:val="18"/>
              </w:rPr>
              <w:t>基金成立日</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b/>
                <w:color w:val="000000"/>
                <w:szCs w:val="18"/>
              </w:rPr>
            </w:pPr>
            <w:r w:rsidRPr="00AF2B72">
              <w:rPr>
                <w:rFonts w:ascii="楷体" w:eastAsia="楷体" w:hAnsi="楷体" w:hint="eastAsia"/>
                <w:b/>
                <w:color w:val="000000"/>
                <w:szCs w:val="18"/>
              </w:rPr>
              <w:t>基金规模</w:t>
            </w:r>
            <w:r w:rsidRPr="00AF2B72">
              <w:rPr>
                <w:rFonts w:ascii="楷体" w:eastAsia="楷体" w:hAnsi="楷体" w:hint="eastAsia"/>
                <w:b/>
                <w:color w:val="000000"/>
                <w:szCs w:val="18"/>
              </w:rPr>
              <w:br/>
              <w:t>（亿元）</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b/>
                <w:color w:val="000000"/>
                <w:szCs w:val="18"/>
              </w:rPr>
            </w:pPr>
            <w:r w:rsidRPr="00AF2B72">
              <w:rPr>
                <w:rFonts w:ascii="楷体" w:eastAsia="楷体" w:hAnsi="楷体" w:hint="eastAsia"/>
                <w:b/>
                <w:color w:val="000000"/>
                <w:szCs w:val="18"/>
              </w:rPr>
              <w:t>最新</w:t>
            </w:r>
            <w:proofErr w:type="gramStart"/>
            <w:r w:rsidRPr="00AF2B72">
              <w:rPr>
                <w:rFonts w:ascii="楷体" w:eastAsia="楷体" w:hAnsi="楷体" w:hint="eastAsia"/>
                <w:b/>
                <w:color w:val="000000"/>
                <w:szCs w:val="18"/>
              </w:rPr>
              <w:t>7日年化收益率</w:t>
            </w:r>
            <w:proofErr w:type="gramEnd"/>
            <w:r w:rsidRPr="00AF2B72">
              <w:rPr>
                <w:rFonts w:ascii="楷体" w:eastAsia="楷体" w:hAnsi="楷体" w:hint="eastAsia"/>
                <w:b/>
                <w:color w:val="000000"/>
                <w:szCs w:val="18"/>
              </w:rPr>
              <w:t xml:space="preserve"> （%）</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b/>
                <w:color w:val="000000"/>
                <w:szCs w:val="18"/>
              </w:rPr>
            </w:pPr>
            <w:r w:rsidRPr="00AF2B72">
              <w:rPr>
                <w:rFonts w:ascii="楷体" w:eastAsia="楷体" w:hAnsi="楷体" w:hint="eastAsia"/>
                <w:b/>
                <w:color w:val="000000"/>
                <w:szCs w:val="18"/>
              </w:rPr>
              <w:t>最新万份基金单位收益 （元）</w:t>
            </w:r>
          </w:p>
        </w:tc>
        <w:tc>
          <w:tcPr>
            <w:tcW w:w="1418"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b/>
                <w:color w:val="000000"/>
                <w:szCs w:val="18"/>
              </w:rPr>
            </w:pPr>
            <w:r w:rsidRPr="00AF2B72">
              <w:rPr>
                <w:rFonts w:ascii="楷体" w:eastAsia="楷体" w:hAnsi="楷体" w:hint="eastAsia"/>
                <w:b/>
                <w:color w:val="000000"/>
                <w:szCs w:val="18"/>
              </w:rPr>
              <w:t>今年以来</w:t>
            </w:r>
            <w:proofErr w:type="gramStart"/>
            <w:r w:rsidRPr="00AF2B72">
              <w:rPr>
                <w:rFonts w:ascii="楷体" w:eastAsia="楷体" w:hAnsi="楷体" w:hint="eastAsia"/>
                <w:b/>
                <w:color w:val="000000"/>
                <w:szCs w:val="18"/>
              </w:rPr>
              <w:t>7日年化收益率</w:t>
            </w:r>
            <w:proofErr w:type="gramEnd"/>
            <w:r w:rsidRPr="00AF2B72">
              <w:rPr>
                <w:rFonts w:ascii="楷体" w:eastAsia="楷体" w:hAnsi="楷体" w:hint="eastAsia"/>
                <w:b/>
                <w:color w:val="000000"/>
                <w:szCs w:val="18"/>
              </w:rPr>
              <w:t>均值 （%）</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b/>
                <w:color w:val="000000"/>
                <w:szCs w:val="18"/>
              </w:rPr>
            </w:pPr>
            <w:r w:rsidRPr="00AF2B72">
              <w:rPr>
                <w:rFonts w:ascii="楷体" w:eastAsia="楷体" w:hAnsi="楷体" w:hint="eastAsia"/>
                <w:b/>
                <w:color w:val="000000"/>
                <w:szCs w:val="18"/>
              </w:rPr>
              <w:t>偏离度均值（ %）</w:t>
            </w:r>
          </w:p>
        </w:tc>
        <w:tc>
          <w:tcPr>
            <w:tcW w:w="1415"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b/>
                <w:color w:val="000000"/>
                <w:szCs w:val="18"/>
              </w:rPr>
            </w:pPr>
            <w:r w:rsidRPr="00AF2B72">
              <w:rPr>
                <w:rFonts w:ascii="楷体" w:eastAsia="楷体" w:hAnsi="楷体" w:hint="eastAsia"/>
                <w:b/>
                <w:color w:val="000000"/>
                <w:szCs w:val="18"/>
              </w:rPr>
              <w:t>投资组合平均剩余期限</w:t>
            </w:r>
            <w:r w:rsidRPr="00AF2B72">
              <w:rPr>
                <w:rFonts w:ascii="楷体" w:eastAsia="楷体" w:hAnsi="楷体" w:hint="eastAsia"/>
                <w:b/>
                <w:color w:val="000000"/>
                <w:szCs w:val="18"/>
              </w:rPr>
              <w:br/>
              <w:t>（天）</w:t>
            </w:r>
          </w:p>
        </w:tc>
      </w:tr>
      <w:tr w:rsidR="00346B58" w:rsidTr="00BC331F">
        <w:trPr>
          <w:trHeight w:val="427"/>
        </w:trPr>
        <w:tc>
          <w:tcPr>
            <w:tcW w:w="993"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000575</w:t>
            </w:r>
          </w:p>
        </w:tc>
        <w:tc>
          <w:tcPr>
            <w:tcW w:w="1275"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兴全添利宝</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2014-02-27</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703.24</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3.47</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0.94</w:t>
            </w:r>
          </w:p>
        </w:tc>
        <w:tc>
          <w:tcPr>
            <w:tcW w:w="1418"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4.44</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0.16</w:t>
            </w:r>
          </w:p>
        </w:tc>
        <w:tc>
          <w:tcPr>
            <w:tcW w:w="1415"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106.00</w:t>
            </w:r>
          </w:p>
        </w:tc>
      </w:tr>
      <w:tr w:rsidR="00346B58" w:rsidTr="00BC331F">
        <w:trPr>
          <w:trHeight w:val="427"/>
        </w:trPr>
        <w:tc>
          <w:tcPr>
            <w:tcW w:w="993"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000009</w:t>
            </w:r>
          </w:p>
        </w:tc>
        <w:tc>
          <w:tcPr>
            <w:tcW w:w="1275"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易方达天天</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2013-03-04</w:t>
            </w:r>
          </w:p>
        </w:tc>
        <w:tc>
          <w:tcPr>
            <w:tcW w:w="1134" w:type="dxa"/>
            <w:tcBorders>
              <w:left w:val="single" w:sz="4" w:space="0" w:color="00A0E9"/>
              <w:bottom w:val="single" w:sz="4" w:space="0" w:color="00A0E9"/>
              <w:right w:val="single" w:sz="4" w:space="0" w:color="00A0E9"/>
            </w:tcBorders>
            <w:vAlign w:val="center"/>
          </w:tcPr>
          <w:p w:rsidR="00346B58" w:rsidRPr="00AF2B72" w:rsidRDefault="00EA4061" w:rsidP="00BC331F">
            <w:pPr>
              <w:jc w:val="center"/>
              <w:rPr>
                <w:rFonts w:ascii="楷体" w:eastAsia="楷体" w:hAnsi="楷体" w:cs="宋体"/>
                <w:color w:val="000000"/>
                <w:szCs w:val="18"/>
              </w:rPr>
            </w:pPr>
            <w:r w:rsidRPr="00EA4061">
              <w:rPr>
                <w:rFonts w:ascii="楷体" w:eastAsia="楷体" w:hAnsi="楷体"/>
                <w:color w:val="000000"/>
                <w:szCs w:val="18"/>
              </w:rPr>
              <w:t>377.94</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3.00</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0.89</w:t>
            </w:r>
          </w:p>
        </w:tc>
        <w:tc>
          <w:tcPr>
            <w:tcW w:w="1418"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4.24</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0.20</w:t>
            </w:r>
          </w:p>
        </w:tc>
        <w:tc>
          <w:tcPr>
            <w:tcW w:w="1415"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118.00</w:t>
            </w:r>
          </w:p>
        </w:tc>
      </w:tr>
      <w:tr w:rsidR="00346B58" w:rsidTr="00BC331F">
        <w:trPr>
          <w:trHeight w:val="427"/>
        </w:trPr>
        <w:tc>
          <w:tcPr>
            <w:tcW w:w="993"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000464</w:t>
            </w:r>
          </w:p>
        </w:tc>
        <w:tc>
          <w:tcPr>
            <w:tcW w:w="1275"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嘉实活期宝</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2013-12-18</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206.40</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3.52</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1.02</w:t>
            </w:r>
          </w:p>
        </w:tc>
        <w:tc>
          <w:tcPr>
            <w:tcW w:w="1418"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4.59</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0.25</w:t>
            </w:r>
          </w:p>
        </w:tc>
        <w:tc>
          <w:tcPr>
            <w:tcW w:w="1415"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70.00</w:t>
            </w:r>
          </w:p>
        </w:tc>
      </w:tr>
      <w:tr w:rsidR="00346B58" w:rsidTr="00BC331F">
        <w:trPr>
          <w:trHeight w:val="427"/>
        </w:trPr>
        <w:tc>
          <w:tcPr>
            <w:tcW w:w="993"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000389</w:t>
            </w:r>
          </w:p>
        </w:tc>
        <w:tc>
          <w:tcPr>
            <w:tcW w:w="1275"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广发天天红</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2013-10-22</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204.20</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3.12</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0.68</w:t>
            </w:r>
          </w:p>
        </w:tc>
        <w:tc>
          <w:tcPr>
            <w:tcW w:w="1418"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4.37</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0.29</w:t>
            </w:r>
          </w:p>
        </w:tc>
        <w:tc>
          <w:tcPr>
            <w:tcW w:w="1415"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99.00</w:t>
            </w:r>
          </w:p>
        </w:tc>
      </w:tr>
      <w:tr w:rsidR="00346B58" w:rsidTr="00BC331F">
        <w:trPr>
          <w:trHeight w:val="427"/>
        </w:trPr>
        <w:tc>
          <w:tcPr>
            <w:tcW w:w="993"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000397</w:t>
            </w:r>
          </w:p>
        </w:tc>
        <w:tc>
          <w:tcPr>
            <w:tcW w:w="1275"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proofErr w:type="gramStart"/>
            <w:r w:rsidRPr="00AF2B72">
              <w:rPr>
                <w:rFonts w:ascii="楷体" w:eastAsia="楷体" w:hAnsi="楷体" w:hint="eastAsia"/>
                <w:color w:val="000000"/>
                <w:szCs w:val="18"/>
              </w:rPr>
              <w:t>汇添富</w:t>
            </w:r>
            <w:proofErr w:type="gramEnd"/>
            <w:r w:rsidRPr="00AF2B72">
              <w:rPr>
                <w:rFonts w:ascii="楷体" w:eastAsia="楷体" w:hAnsi="楷体" w:hint="eastAsia"/>
                <w:color w:val="000000"/>
                <w:szCs w:val="18"/>
              </w:rPr>
              <w:t>全额宝</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2013-12-13</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106.51</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3.28</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0.91</w:t>
            </w:r>
          </w:p>
        </w:tc>
        <w:tc>
          <w:tcPr>
            <w:tcW w:w="1418"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4.44</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0.18</w:t>
            </w:r>
          </w:p>
        </w:tc>
        <w:tc>
          <w:tcPr>
            <w:tcW w:w="1415"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108.00</w:t>
            </w:r>
          </w:p>
        </w:tc>
      </w:tr>
      <w:tr w:rsidR="00346B58" w:rsidTr="00BC331F">
        <w:trPr>
          <w:trHeight w:val="427"/>
        </w:trPr>
        <w:tc>
          <w:tcPr>
            <w:tcW w:w="993"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000509</w:t>
            </w:r>
          </w:p>
        </w:tc>
        <w:tc>
          <w:tcPr>
            <w:tcW w:w="1275"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广发钱袋子</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2014-01-10</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68.82</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3.74</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0.82</w:t>
            </w:r>
          </w:p>
        </w:tc>
        <w:tc>
          <w:tcPr>
            <w:tcW w:w="1418"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4.44</w:t>
            </w:r>
          </w:p>
        </w:tc>
        <w:tc>
          <w:tcPr>
            <w:tcW w:w="1134"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0.25</w:t>
            </w:r>
          </w:p>
        </w:tc>
        <w:tc>
          <w:tcPr>
            <w:tcW w:w="1415" w:type="dxa"/>
            <w:tcBorders>
              <w:left w:val="single" w:sz="4" w:space="0" w:color="00A0E9"/>
              <w:bottom w:val="single" w:sz="4" w:space="0" w:color="00A0E9"/>
              <w:right w:val="single" w:sz="4" w:space="0" w:color="00A0E9"/>
            </w:tcBorders>
            <w:vAlign w:val="center"/>
          </w:tcPr>
          <w:p w:rsidR="00346B58" w:rsidRPr="00AF2B72" w:rsidRDefault="00346B58" w:rsidP="00BC331F">
            <w:pPr>
              <w:jc w:val="center"/>
              <w:rPr>
                <w:rFonts w:ascii="楷体" w:eastAsia="楷体" w:hAnsi="楷体" w:cs="宋体"/>
                <w:color w:val="000000"/>
                <w:szCs w:val="18"/>
              </w:rPr>
            </w:pPr>
            <w:r w:rsidRPr="00AF2B72">
              <w:rPr>
                <w:rFonts w:ascii="楷体" w:eastAsia="楷体" w:hAnsi="楷体" w:hint="eastAsia"/>
                <w:color w:val="000000"/>
                <w:szCs w:val="18"/>
              </w:rPr>
              <w:t>90.00</w:t>
            </w:r>
          </w:p>
        </w:tc>
      </w:tr>
      <w:tr w:rsidR="00346B58" w:rsidTr="00BC331F">
        <w:trPr>
          <w:trHeight w:val="427"/>
        </w:trPr>
        <w:tc>
          <w:tcPr>
            <w:tcW w:w="10771" w:type="dxa"/>
            <w:gridSpan w:val="9"/>
            <w:tcBorders>
              <w:top w:val="single" w:sz="4" w:space="0" w:color="00A0E9"/>
            </w:tcBorders>
          </w:tcPr>
          <w:p w:rsidR="00346B58" w:rsidRPr="005D302C" w:rsidRDefault="00346B58" w:rsidP="00EA4061">
            <w:r w:rsidRPr="00AF2B72">
              <w:rPr>
                <w:rFonts w:hint="eastAsia"/>
              </w:rPr>
              <w:t>1</w:t>
            </w:r>
            <w:r w:rsidRPr="00AF2B72">
              <w:rPr>
                <w:rFonts w:hint="eastAsia"/>
              </w:rPr>
              <w:t>、</w:t>
            </w:r>
            <w:r w:rsidRPr="00AF2B72">
              <w:rPr>
                <w:rFonts w:hint="eastAsia"/>
              </w:rPr>
              <w:t>7</w:t>
            </w:r>
            <w:r w:rsidRPr="00AF2B72">
              <w:rPr>
                <w:rFonts w:hint="eastAsia"/>
              </w:rPr>
              <w:t>日年华收益率及万份基金单位收益数据截止至</w:t>
            </w:r>
            <w:r w:rsidRPr="00AF2B72">
              <w:rPr>
                <w:rFonts w:hint="eastAsia"/>
              </w:rPr>
              <w:t>2015</w:t>
            </w:r>
            <w:r w:rsidRPr="00AF2B72">
              <w:rPr>
                <w:rFonts w:hint="eastAsia"/>
              </w:rPr>
              <w:t>年</w:t>
            </w:r>
            <w:r w:rsidRPr="00AF2B72">
              <w:rPr>
                <w:rFonts w:hint="eastAsia"/>
              </w:rPr>
              <w:t>8</w:t>
            </w:r>
            <w:r w:rsidRPr="00AF2B72">
              <w:rPr>
                <w:rFonts w:hint="eastAsia"/>
              </w:rPr>
              <w:t>月</w:t>
            </w:r>
            <w:r w:rsidRPr="00AF2B72">
              <w:rPr>
                <w:rFonts w:hint="eastAsia"/>
              </w:rPr>
              <w:t>28</w:t>
            </w:r>
            <w:r w:rsidRPr="00AF2B72">
              <w:rPr>
                <w:rFonts w:hint="eastAsia"/>
              </w:rPr>
              <w:t>日；</w:t>
            </w:r>
            <w:r w:rsidRPr="00AF2B72">
              <w:rPr>
                <w:rFonts w:hint="eastAsia"/>
              </w:rPr>
              <w:t>2</w:t>
            </w:r>
            <w:r w:rsidRPr="00AF2B72">
              <w:rPr>
                <w:rFonts w:hint="eastAsia"/>
              </w:rPr>
              <w:t>、基金规模截止至</w:t>
            </w:r>
            <w:r w:rsidRPr="00AF2B72">
              <w:rPr>
                <w:rFonts w:hint="eastAsia"/>
              </w:rPr>
              <w:t>2015</w:t>
            </w:r>
            <w:r w:rsidRPr="00AF2B72">
              <w:rPr>
                <w:rFonts w:hint="eastAsia"/>
              </w:rPr>
              <w:t>年</w:t>
            </w:r>
            <w:r w:rsidRPr="00AF2B72">
              <w:rPr>
                <w:rFonts w:hint="eastAsia"/>
              </w:rPr>
              <w:t>2</w:t>
            </w:r>
            <w:r w:rsidRPr="00AF2B72">
              <w:rPr>
                <w:rFonts w:hint="eastAsia"/>
              </w:rPr>
              <w:t>季度；</w:t>
            </w:r>
            <w:r w:rsidRPr="00AF2B72">
              <w:rPr>
                <w:rFonts w:hint="eastAsia"/>
              </w:rPr>
              <w:t>3</w:t>
            </w:r>
            <w:r w:rsidRPr="00AF2B72">
              <w:rPr>
                <w:rFonts w:hint="eastAsia"/>
              </w:rPr>
              <w:t>、分级基金只考虑</w:t>
            </w:r>
            <w:r w:rsidRPr="00AF2B72">
              <w:rPr>
                <w:rFonts w:hint="eastAsia"/>
              </w:rPr>
              <w:t>A</w:t>
            </w:r>
            <w:r w:rsidRPr="00AF2B72">
              <w:rPr>
                <w:rFonts w:hint="eastAsia"/>
              </w:rPr>
              <w:t>类基金业绩；</w:t>
            </w:r>
            <w:r w:rsidRPr="00AF2B72">
              <w:rPr>
                <w:rFonts w:hint="eastAsia"/>
              </w:rPr>
              <w:t>4</w:t>
            </w:r>
            <w:r w:rsidRPr="00AF2B72">
              <w:rPr>
                <w:rFonts w:hint="eastAsia"/>
              </w:rPr>
              <w:t>、偏离度均值和组合平均剩余度均值为</w:t>
            </w:r>
            <w:r w:rsidRPr="00AF2B72">
              <w:rPr>
                <w:rFonts w:hint="eastAsia"/>
              </w:rPr>
              <w:t>2015</w:t>
            </w:r>
            <w:r w:rsidRPr="00AF2B72">
              <w:rPr>
                <w:rFonts w:hint="eastAsia"/>
              </w:rPr>
              <w:t>年</w:t>
            </w:r>
            <w:r w:rsidRPr="00AF2B72">
              <w:rPr>
                <w:rFonts w:hint="eastAsia"/>
              </w:rPr>
              <w:t>2</w:t>
            </w:r>
            <w:r w:rsidRPr="00AF2B72">
              <w:rPr>
                <w:rFonts w:hint="eastAsia"/>
              </w:rPr>
              <w:t>季度数据；</w:t>
            </w:r>
            <w:r w:rsidRPr="00AF2B72">
              <w:rPr>
                <w:rFonts w:hint="eastAsia"/>
              </w:rPr>
              <w:t>5</w:t>
            </w:r>
            <w:r w:rsidRPr="00AF2B72">
              <w:rPr>
                <w:rFonts w:hint="eastAsia"/>
              </w:rPr>
              <w:t>、偏离度均值为报告期内工作日偏离度的绝对值的简单平均值。</w:t>
            </w:r>
          </w:p>
        </w:tc>
      </w:tr>
      <w:tr w:rsidR="00346B58" w:rsidTr="00BC331F">
        <w:tc>
          <w:tcPr>
            <w:tcW w:w="10771" w:type="dxa"/>
            <w:gridSpan w:val="9"/>
          </w:tcPr>
          <w:p w:rsidR="00346B58" w:rsidRDefault="00346B58" w:rsidP="00BC331F">
            <w:pPr>
              <w:pStyle w:val="GJStylesGraphSource"/>
            </w:pPr>
            <w:r>
              <w:rPr>
                <w:rFonts w:hint="eastAsia"/>
              </w:rPr>
              <w:t>来源：国金证券研究所，</w:t>
            </w:r>
            <w:r>
              <w:rPr>
                <w:rFonts w:hint="eastAsia"/>
              </w:rPr>
              <w:t>WIND</w:t>
            </w:r>
          </w:p>
        </w:tc>
      </w:tr>
    </w:tbl>
    <w:p w:rsidR="00346B58" w:rsidRPr="00F17961" w:rsidRDefault="00346B58" w:rsidP="00346B58">
      <w:pPr>
        <w:pStyle w:val="a0"/>
      </w:pPr>
    </w:p>
    <w:p w:rsidR="00346B58" w:rsidRPr="00AF2B72" w:rsidRDefault="00346B58" w:rsidP="00346B58">
      <w:pPr>
        <w:pStyle w:val="14"/>
        <w:ind w:leftChars="1890"/>
        <w:rPr>
          <w:color w:val="auto"/>
        </w:rPr>
      </w:pPr>
      <w:r w:rsidRPr="00AF2B72">
        <w:rPr>
          <w:color w:val="auto"/>
        </w:rPr>
        <w:lastRenderedPageBreak/>
        <w:t>三、基金池及基金组合推荐</w:t>
      </w:r>
    </w:p>
    <w:p w:rsidR="00346B58" w:rsidRPr="00935202" w:rsidRDefault="00346B58" w:rsidP="00346B58">
      <w:pPr>
        <w:pStyle w:val="a0"/>
        <w:numPr>
          <w:ilvl w:val="4"/>
          <w:numId w:val="3"/>
        </w:numPr>
        <w:spacing w:line="240" w:lineRule="auto"/>
        <w:rPr>
          <w:rFonts w:ascii="楷体_GB2312"/>
          <w:color w:val="auto"/>
        </w:rPr>
      </w:pPr>
      <w:r w:rsidRPr="00935202">
        <w:rPr>
          <w:rFonts w:ascii="楷体_GB2312"/>
          <w:color w:val="auto"/>
        </w:rPr>
        <w:t>根据前面各部分对相关市场以及各类产品投资操作策略的分析，建立国金</w:t>
      </w:r>
      <w:r w:rsidRPr="00935202">
        <w:rPr>
          <w:rFonts w:ascii="楷体_GB2312" w:hint="eastAsia"/>
          <w:color w:val="auto"/>
        </w:rPr>
        <w:t>1509</w:t>
      </w:r>
      <w:r w:rsidRPr="00935202">
        <w:rPr>
          <w:rFonts w:ascii="楷体_GB2312"/>
          <w:color w:val="auto"/>
        </w:rPr>
        <w:t>期基金组合如下表。为了方便投资者在配置之外选择重点的品种，我们对于相对更看好的个别基金加上</w:t>
      </w:r>
      <w:r w:rsidRPr="00935202">
        <w:rPr>
          <w:rFonts w:ascii="楷体_GB2312" w:hint="eastAsia"/>
          <w:color w:val="FF0000"/>
        </w:rPr>
        <w:t>★</w:t>
      </w:r>
      <w:r w:rsidRPr="00935202">
        <w:rPr>
          <w:rFonts w:ascii="楷体_GB2312"/>
          <w:color w:val="auto"/>
        </w:rPr>
        <w:t>。</w:t>
      </w:r>
    </w:p>
    <w:tbl>
      <w:tblPr>
        <w:tblStyle w:val="GJStylesChartInsertDoubleCol"/>
        <w:tblW w:w="10771" w:type="dxa"/>
        <w:tblBorders>
          <w:top w:val="single" w:sz="4" w:space="0" w:color="00A0E9"/>
        </w:tblBorders>
        <w:tblLayout w:type="fixed"/>
        <w:tblLook w:val="07E0" w:firstRow="1" w:lastRow="1" w:firstColumn="1" w:lastColumn="1" w:noHBand="1" w:noVBand="1"/>
      </w:tblPr>
      <w:tblGrid>
        <w:gridCol w:w="993"/>
        <w:gridCol w:w="1559"/>
        <w:gridCol w:w="1276"/>
        <w:gridCol w:w="850"/>
        <w:gridCol w:w="595"/>
        <w:gridCol w:w="236"/>
        <w:gridCol w:w="1044"/>
        <w:gridCol w:w="1385"/>
        <w:gridCol w:w="993"/>
        <w:gridCol w:w="992"/>
        <w:gridCol w:w="848"/>
      </w:tblGrid>
      <w:tr w:rsidR="00346B58" w:rsidTr="00BC331F">
        <w:tc>
          <w:tcPr>
            <w:cnfStyle w:val="001000000000" w:firstRow="0" w:lastRow="0" w:firstColumn="1" w:lastColumn="0" w:oddVBand="0" w:evenVBand="0" w:oddHBand="0" w:evenHBand="0" w:firstRowFirstColumn="0" w:firstRowLastColumn="0" w:lastRowFirstColumn="0" w:lastRowLastColumn="0"/>
            <w:tcW w:w="5273" w:type="dxa"/>
            <w:gridSpan w:val="5"/>
          </w:tcPr>
          <w:p w:rsidR="00346B58" w:rsidRPr="00AF2B72" w:rsidRDefault="00346B58" w:rsidP="00BC331F">
            <w:pPr>
              <w:pStyle w:val="GJStylesGraphTitle"/>
            </w:pPr>
            <w:r>
              <w:rPr>
                <w:rFonts w:hint="eastAsia"/>
              </w:rPr>
              <w:t>图表</w:t>
            </w:r>
            <w:r w:rsidR="00BC331F">
              <w:fldChar w:fldCharType="begin"/>
            </w:r>
            <w:r w:rsidR="00BC331F">
              <w:instrText xml:space="preserve"> SEQ </w:instrText>
            </w:r>
            <w:r w:rsidR="00BC331F">
              <w:instrText>图表</w:instrText>
            </w:r>
            <w:r w:rsidR="00BC331F">
              <w:instrText xml:space="preserve"> \* ARABIC  \* MERGEFORMAT </w:instrText>
            </w:r>
            <w:r w:rsidR="00BC331F">
              <w:fldChar w:fldCharType="separate"/>
            </w:r>
            <w:r>
              <w:rPr>
                <w:noProof/>
              </w:rPr>
              <w:t>9</w:t>
            </w:r>
            <w:r w:rsidR="00BC331F">
              <w:rPr>
                <w:noProof/>
              </w:rPr>
              <w:fldChar w:fldCharType="end"/>
            </w:r>
            <w:r>
              <w:rPr>
                <w:rFonts w:hint="eastAsia"/>
              </w:rPr>
              <w:t>：</w:t>
            </w:r>
            <w:r w:rsidRPr="00AF2B72">
              <w:rPr>
                <w:rFonts w:hint="eastAsia"/>
              </w:rPr>
              <w:t>固定收益基金相对收益组合</w:t>
            </w:r>
          </w:p>
        </w:tc>
        <w:tc>
          <w:tcPr>
            <w:tcW w:w="236" w:type="dxa"/>
          </w:tcPr>
          <w:p w:rsidR="00346B58" w:rsidRDefault="00346B58" w:rsidP="00BC331F">
            <w:pPr>
              <w:pStyle w:val="GJStylesGraphTitle"/>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5262" w:type="dxa"/>
            <w:gridSpan w:val="5"/>
          </w:tcPr>
          <w:p w:rsidR="00346B58" w:rsidRDefault="00346B58" w:rsidP="00BC331F">
            <w:pPr>
              <w:pStyle w:val="GJStylesGraphTitle"/>
            </w:pPr>
            <w:r>
              <w:rPr>
                <w:rFonts w:hint="eastAsia"/>
              </w:rPr>
              <w:t>图表</w:t>
            </w:r>
            <w:r w:rsidR="00BC331F">
              <w:fldChar w:fldCharType="begin"/>
            </w:r>
            <w:r w:rsidR="00BC331F">
              <w:instrText xml:space="preserve"> SEQ </w:instrText>
            </w:r>
            <w:r w:rsidR="00BC331F">
              <w:instrText>图表</w:instrText>
            </w:r>
            <w:r w:rsidR="00BC331F">
              <w:instrText xml:space="preserve"> \* ARABIC  \* MERGEFORMAT </w:instrText>
            </w:r>
            <w:r w:rsidR="00BC331F">
              <w:fldChar w:fldCharType="separate"/>
            </w:r>
            <w:r>
              <w:rPr>
                <w:noProof/>
              </w:rPr>
              <w:t>10</w:t>
            </w:r>
            <w:r w:rsidR="00BC331F">
              <w:rPr>
                <w:noProof/>
              </w:rPr>
              <w:fldChar w:fldCharType="end"/>
            </w:r>
            <w:r>
              <w:rPr>
                <w:rFonts w:hint="eastAsia"/>
              </w:rPr>
              <w:t>：</w:t>
            </w:r>
            <w:r w:rsidRPr="00AF2B72">
              <w:rPr>
                <w:rFonts w:hint="eastAsia"/>
              </w:rPr>
              <w:t>绝对收益组合</w:t>
            </w:r>
          </w:p>
        </w:tc>
      </w:tr>
      <w:tr w:rsidR="00346B58" w:rsidTr="00BC331F">
        <w:trPr>
          <w:trHeight w:val="464"/>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A0E9"/>
              <w:left w:val="nil"/>
              <w:right w:val="single" w:sz="4" w:space="0" w:color="00A0E9"/>
            </w:tcBorders>
            <w:vAlign w:val="center"/>
          </w:tcPr>
          <w:p w:rsidR="00346B58" w:rsidRPr="00AF2B72" w:rsidRDefault="00346B58" w:rsidP="00BC331F">
            <w:pPr>
              <w:jc w:val="center"/>
              <w:rPr>
                <w:rFonts w:ascii="宋体" w:eastAsia="宋体" w:hAnsi="宋体" w:cs="宋体"/>
                <w:szCs w:val="18"/>
              </w:rPr>
            </w:pPr>
            <w:r w:rsidRPr="00AF2B72">
              <w:rPr>
                <w:rFonts w:hint="eastAsia"/>
                <w:szCs w:val="18"/>
              </w:rPr>
              <w:t>基金简称</w:t>
            </w:r>
          </w:p>
        </w:tc>
        <w:tc>
          <w:tcPr>
            <w:tcW w:w="1559" w:type="dxa"/>
            <w:tcBorders>
              <w:top w:val="single" w:sz="4" w:space="0" w:color="00A0E9"/>
              <w:left w:val="single" w:sz="4" w:space="0" w:color="00A0E9"/>
              <w:bottom w:val="single" w:sz="4" w:space="0" w:color="00A0E9"/>
              <w:right w:val="single" w:sz="4" w:space="0" w:color="00A0E9"/>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AF2B72">
              <w:rPr>
                <w:rFonts w:hint="eastAsia"/>
                <w:szCs w:val="18"/>
              </w:rPr>
              <w:t>基金类型</w:t>
            </w:r>
          </w:p>
        </w:tc>
        <w:tc>
          <w:tcPr>
            <w:tcW w:w="1276" w:type="dxa"/>
            <w:tcBorders>
              <w:top w:val="single" w:sz="4" w:space="0" w:color="00A0E9"/>
              <w:left w:val="single" w:sz="4" w:space="0" w:color="00A0E9"/>
              <w:bottom w:val="single" w:sz="4" w:space="0" w:color="00A0E9"/>
              <w:right w:val="single" w:sz="4" w:space="0" w:color="00A0E9"/>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AF2B72">
              <w:rPr>
                <w:rFonts w:hint="eastAsia"/>
                <w:szCs w:val="18"/>
              </w:rPr>
              <w:t>基金经理</w:t>
            </w:r>
          </w:p>
        </w:tc>
        <w:tc>
          <w:tcPr>
            <w:tcW w:w="850" w:type="dxa"/>
            <w:tcBorders>
              <w:top w:val="single" w:sz="4" w:space="0" w:color="00A0E9"/>
              <w:left w:val="single" w:sz="4" w:space="0" w:color="00A0E9"/>
              <w:bottom w:val="single" w:sz="4" w:space="0" w:color="00A0E9"/>
              <w:right w:val="single" w:sz="4" w:space="0" w:color="00A0E9"/>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AF2B72">
              <w:rPr>
                <w:rFonts w:hint="eastAsia"/>
                <w:szCs w:val="18"/>
              </w:rPr>
              <w:t>管理人</w:t>
            </w:r>
          </w:p>
        </w:tc>
        <w:tc>
          <w:tcPr>
            <w:tcW w:w="595" w:type="dxa"/>
            <w:tcBorders>
              <w:top w:val="single" w:sz="4" w:space="0" w:color="00A0E9"/>
              <w:left w:val="single" w:sz="4" w:space="0" w:color="00A0E9"/>
              <w:bottom w:val="single" w:sz="4" w:space="0" w:color="00A0E9"/>
              <w:right w:val="nil"/>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AF2B72">
              <w:rPr>
                <w:rFonts w:hint="eastAsia"/>
                <w:szCs w:val="18"/>
              </w:rPr>
              <w:t>权重</w:t>
            </w:r>
          </w:p>
        </w:tc>
        <w:tc>
          <w:tcPr>
            <w:tcW w:w="236" w:type="dxa"/>
            <w:vMerge w:val="restart"/>
            <w:tcBorders>
              <w:left w:val="nil"/>
            </w:tcBorders>
          </w:tcPr>
          <w:p w:rsidR="00346B58" w:rsidRDefault="00346B58" w:rsidP="00BC331F">
            <w:pPr>
              <w:pStyle w:val="a0"/>
              <w:ind w:left="0"/>
              <w:cnfStyle w:val="000000000000" w:firstRow="0" w:lastRow="0" w:firstColumn="0" w:lastColumn="0" w:oddVBand="0" w:evenVBand="0" w:oddHBand="0" w:evenHBand="0" w:firstRowFirstColumn="0" w:firstRowLastColumn="0" w:lastRowFirstColumn="0" w:lastRowLastColumn="0"/>
            </w:pPr>
          </w:p>
        </w:tc>
        <w:tc>
          <w:tcPr>
            <w:tcW w:w="1044" w:type="dxa"/>
            <w:tcBorders>
              <w:top w:val="single" w:sz="4" w:space="0" w:color="00A0E9"/>
              <w:bottom w:val="single" w:sz="4" w:space="0" w:color="00A0E9"/>
              <w:right w:val="single" w:sz="4" w:space="0" w:color="00A0E9"/>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AF2B72">
              <w:rPr>
                <w:rFonts w:hint="eastAsia"/>
                <w:color w:val="000000"/>
                <w:szCs w:val="18"/>
              </w:rPr>
              <w:t>基金简称</w:t>
            </w:r>
          </w:p>
        </w:tc>
        <w:tc>
          <w:tcPr>
            <w:tcW w:w="1385" w:type="dxa"/>
            <w:tcBorders>
              <w:top w:val="single" w:sz="4" w:space="0" w:color="00A0E9"/>
              <w:left w:val="single" w:sz="4" w:space="0" w:color="00A0E9"/>
              <w:bottom w:val="single" w:sz="4" w:space="0" w:color="00A0E9"/>
              <w:right w:val="single" w:sz="4" w:space="0" w:color="00A0E9"/>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AF2B72">
              <w:rPr>
                <w:rFonts w:hint="eastAsia"/>
                <w:szCs w:val="18"/>
              </w:rPr>
              <w:t>基金类型</w:t>
            </w:r>
          </w:p>
        </w:tc>
        <w:tc>
          <w:tcPr>
            <w:tcW w:w="993" w:type="dxa"/>
            <w:tcBorders>
              <w:top w:val="single" w:sz="4" w:space="0" w:color="00A0E9"/>
              <w:left w:val="single" w:sz="4" w:space="0" w:color="00A0E9"/>
              <w:bottom w:val="single" w:sz="4" w:space="0" w:color="00A0E9"/>
              <w:right w:val="single" w:sz="4" w:space="0" w:color="00A0E9"/>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AF2B72">
              <w:rPr>
                <w:rFonts w:hint="eastAsia"/>
                <w:szCs w:val="18"/>
              </w:rPr>
              <w:t>基金经理</w:t>
            </w:r>
          </w:p>
        </w:tc>
        <w:tc>
          <w:tcPr>
            <w:tcW w:w="992" w:type="dxa"/>
            <w:tcBorders>
              <w:top w:val="single" w:sz="4" w:space="0" w:color="00A0E9"/>
              <w:left w:val="single" w:sz="4" w:space="0" w:color="00A0E9"/>
              <w:bottom w:val="single" w:sz="4" w:space="0" w:color="00A0E9"/>
              <w:right w:val="single" w:sz="4" w:space="0" w:color="00A0E9"/>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AF2B72">
              <w:rPr>
                <w:rFonts w:hint="eastAsia"/>
                <w:szCs w:val="18"/>
              </w:rPr>
              <w:t>管理人</w:t>
            </w:r>
          </w:p>
        </w:tc>
        <w:tc>
          <w:tcPr>
            <w:cnfStyle w:val="000100000000" w:firstRow="0" w:lastRow="0" w:firstColumn="0" w:lastColumn="1" w:oddVBand="0" w:evenVBand="0" w:oddHBand="0" w:evenHBand="0" w:firstRowFirstColumn="0" w:firstRowLastColumn="0" w:lastRowFirstColumn="0" w:lastRowLastColumn="0"/>
            <w:tcW w:w="848" w:type="dxa"/>
            <w:tcBorders>
              <w:top w:val="single" w:sz="4" w:space="0" w:color="00A0E9"/>
              <w:left w:val="single" w:sz="4" w:space="0" w:color="00A0E9"/>
            </w:tcBorders>
            <w:vAlign w:val="center"/>
          </w:tcPr>
          <w:p w:rsidR="00346B58" w:rsidRPr="00AF2B72" w:rsidRDefault="00346B58" w:rsidP="00BC331F">
            <w:pPr>
              <w:jc w:val="center"/>
              <w:rPr>
                <w:rFonts w:ascii="宋体" w:eastAsia="宋体" w:hAnsi="宋体" w:cs="宋体"/>
                <w:szCs w:val="18"/>
              </w:rPr>
            </w:pPr>
            <w:r w:rsidRPr="00AF2B72">
              <w:rPr>
                <w:rFonts w:hint="eastAsia"/>
                <w:szCs w:val="18"/>
              </w:rPr>
              <w:t>权重</w:t>
            </w:r>
          </w:p>
        </w:tc>
      </w:tr>
      <w:tr w:rsidR="00346B58" w:rsidTr="00BC331F">
        <w:trPr>
          <w:trHeight w:val="463"/>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A0E9"/>
              <w:left w:val="nil"/>
              <w:right w:val="single" w:sz="4" w:space="0" w:color="00A0E9"/>
            </w:tcBorders>
            <w:vAlign w:val="center"/>
          </w:tcPr>
          <w:p w:rsidR="00346B58" w:rsidRPr="00AF2B72" w:rsidRDefault="00346B58" w:rsidP="00BC331F">
            <w:pPr>
              <w:jc w:val="center"/>
              <w:rPr>
                <w:rFonts w:ascii="宋体" w:eastAsia="宋体" w:hAnsi="宋体" w:cs="宋体"/>
                <w:szCs w:val="18"/>
              </w:rPr>
            </w:pPr>
            <w:r w:rsidRPr="00AF2B72">
              <w:rPr>
                <w:rFonts w:hint="eastAsia"/>
                <w:szCs w:val="18"/>
              </w:rPr>
              <w:t>南方金利</w:t>
            </w:r>
            <w:r w:rsidRPr="00AF2B72">
              <w:rPr>
                <w:rFonts w:hint="eastAsia"/>
                <w:b/>
                <w:bCs/>
                <w:color w:val="FF0000"/>
                <w:szCs w:val="18"/>
                <w:vertAlign w:val="superscript"/>
              </w:rPr>
              <w:t>★</w:t>
            </w:r>
          </w:p>
        </w:tc>
        <w:tc>
          <w:tcPr>
            <w:tcW w:w="1559" w:type="dxa"/>
            <w:tcBorders>
              <w:top w:val="single" w:sz="4" w:space="0" w:color="00A0E9"/>
              <w:left w:val="single" w:sz="4" w:space="0" w:color="00A0E9"/>
              <w:bottom w:val="single" w:sz="4" w:space="0" w:color="00A0E9"/>
              <w:right w:val="single" w:sz="4" w:space="0" w:color="00A0E9"/>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AF2B72">
              <w:rPr>
                <w:rFonts w:hint="eastAsia"/>
                <w:szCs w:val="18"/>
              </w:rPr>
              <w:t>债券</w:t>
            </w:r>
            <w:r w:rsidRPr="00AF2B72">
              <w:rPr>
                <w:rFonts w:hint="eastAsia"/>
                <w:szCs w:val="18"/>
              </w:rPr>
              <w:t>-</w:t>
            </w:r>
            <w:r w:rsidRPr="00AF2B72">
              <w:rPr>
                <w:rFonts w:hint="eastAsia"/>
                <w:szCs w:val="18"/>
              </w:rPr>
              <w:t>完全债券型</w:t>
            </w:r>
          </w:p>
        </w:tc>
        <w:tc>
          <w:tcPr>
            <w:tcW w:w="1276" w:type="dxa"/>
            <w:tcBorders>
              <w:top w:val="single" w:sz="4" w:space="0" w:color="00A0E9"/>
              <w:left w:val="single" w:sz="4" w:space="0" w:color="00A0E9"/>
              <w:bottom w:val="single" w:sz="4" w:space="0" w:color="00A0E9"/>
              <w:right w:val="single" w:sz="4" w:space="0" w:color="00A0E9"/>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AF2B72">
              <w:rPr>
                <w:rFonts w:hint="eastAsia"/>
                <w:szCs w:val="18"/>
              </w:rPr>
              <w:t>李璇</w:t>
            </w:r>
          </w:p>
        </w:tc>
        <w:tc>
          <w:tcPr>
            <w:tcW w:w="850" w:type="dxa"/>
            <w:tcBorders>
              <w:top w:val="single" w:sz="4" w:space="0" w:color="00A0E9"/>
              <w:left w:val="single" w:sz="4" w:space="0" w:color="00A0E9"/>
              <w:bottom w:val="single" w:sz="4" w:space="0" w:color="00A0E9"/>
              <w:right w:val="single" w:sz="4" w:space="0" w:color="00A0E9"/>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AF2B72">
              <w:rPr>
                <w:rFonts w:hint="eastAsia"/>
                <w:szCs w:val="18"/>
              </w:rPr>
              <w:t>南方</w:t>
            </w:r>
          </w:p>
        </w:tc>
        <w:tc>
          <w:tcPr>
            <w:tcW w:w="595" w:type="dxa"/>
            <w:tcBorders>
              <w:top w:val="single" w:sz="4" w:space="0" w:color="00A0E9"/>
              <w:left w:val="single" w:sz="4" w:space="0" w:color="00A0E9"/>
              <w:bottom w:val="single" w:sz="4" w:space="0" w:color="00A0E9"/>
              <w:right w:val="nil"/>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AF2B72">
              <w:rPr>
                <w:rFonts w:hint="eastAsia"/>
                <w:szCs w:val="18"/>
              </w:rPr>
              <w:t>25%</w:t>
            </w:r>
          </w:p>
        </w:tc>
        <w:tc>
          <w:tcPr>
            <w:tcW w:w="236" w:type="dxa"/>
            <w:vMerge/>
            <w:tcBorders>
              <w:left w:val="nil"/>
            </w:tcBorders>
          </w:tcPr>
          <w:p w:rsidR="00346B58" w:rsidRDefault="00346B58" w:rsidP="00BC331F">
            <w:pPr>
              <w:pStyle w:val="a0"/>
              <w:ind w:left="0"/>
              <w:cnfStyle w:val="000000000000" w:firstRow="0" w:lastRow="0" w:firstColumn="0" w:lastColumn="0" w:oddVBand="0" w:evenVBand="0" w:oddHBand="0" w:evenHBand="0" w:firstRowFirstColumn="0" w:firstRowLastColumn="0" w:lastRowFirstColumn="0" w:lastRowLastColumn="0"/>
            </w:pPr>
          </w:p>
        </w:tc>
        <w:tc>
          <w:tcPr>
            <w:tcW w:w="1044" w:type="dxa"/>
            <w:tcBorders>
              <w:top w:val="single" w:sz="4" w:space="0" w:color="00A0E9"/>
              <w:bottom w:val="single" w:sz="4" w:space="0" w:color="00A0E9"/>
              <w:right w:val="single" w:sz="4" w:space="0" w:color="00A0E9"/>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AF2B72">
              <w:rPr>
                <w:rFonts w:hint="eastAsia"/>
                <w:color w:val="000000"/>
                <w:szCs w:val="18"/>
              </w:rPr>
              <w:t>富国产业债</w:t>
            </w:r>
          </w:p>
        </w:tc>
        <w:tc>
          <w:tcPr>
            <w:tcW w:w="1385" w:type="dxa"/>
            <w:tcBorders>
              <w:top w:val="single" w:sz="4" w:space="0" w:color="00A0E9"/>
              <w:left w:val="single" w:sz="4" w:space="0" w:color="00A0E9"/>
              <w:bottom w:val="single" w:sz="4" w:space="0" w:color="00A0E9"/>
              <w:right w:val="single" w:sz="4" w:space="0" w:color="00A0E9"/>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AF2B72">
              <w:rPr>
                <w:rFonts w:hint="eastAsia"/>
                <w:color w:val="000000"/>
                <w:szCs w:val="18"/>
              </w:rPr>
              <w:t>债券</w:t>
            </w:r>
            <w:r w:rsidRPr="00AF2B72">
              <w:rPr>
                <w:rFonts w:hint="eastAsia"/>
                <w:color w:val="000000"/>
                <w:szCs w:val="18"/>
              </w:rPr>
              <w:t>-</w:t>
            </w:r>
            <w:r w:rsidRPr="00AF2B72">
              <w:rPr>
                <w:rFonts w:hint="eastAsia"/>
                <w:color w:val="000000"/>
                <w:szCs w:val="18"/>
              </w:rPr>
              <w:t>完全债券型</w:t>
            </w:r>
          </w:p>
        </w:tc>
        <w:tc>
          <w:tcPr>
            <w:tcW w:w="993" w:type="dxa"/>
            <w:tcBorders>
              <w:top w:val="single" w:sz="4" w:space="0" w:color="00A0E9"/>
              <w:left w:val="single" w:sz="4" w:space="0" w:color="00A0E9"/>
              <w:bottom w:val="single" w:sz="4" w:space="0" w:color="00A0E9"/>
              <w:right w:val="single" w:sz="4" w:space="0" w:color="00A0E9"/>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AF2B72">
              <w:rPr>
                <w:rFonts w:hint="eastAsia"/>
                <w:szCs w:val="18"/>
              </w:rPr>
              <w:t>张</w:t>
            </w:r>
            <w:proofErr w:type="gramStart"/>
            <w:r w:rsidRPr="00AF2B72">
              <w:rPr>
                <w:rFonts w:hint="eastAsia"/>
                <w:szCs w:val="18"/>
              </w:rPr>
              <w:t>钫</w:t>
            </w:r>
            <w:proofErr w:type="gramEnd"/>
          </w:p>
        </w:tc>
        <w:tc>
          <w:tcPr>
            <w:tcW w:w="992" w:type="dxa"/>
            <w:tcBorders>
              <w:top w:val="single" w:sz="4" w:space="0" w:color="00A0E9"/>
              <w:left w:val="single" w:sz="4" w:space="0" w:color="00A0E9"/>
              <w:bottom w:val="single" w:sz="4" w:space="0" w:color="00A0E9"/>
              <w:right w:val="single" w:sz="4" w:space="0" w:color="00A0E9"/>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AF2B72">
              <w:rPr>
                <w:rFonts w:hint="eastAsia"/>
                <w:szCs w:val="18"/>
              </w:rPr>
              <w:t>富国</w:t>
            </w:r>
          </w:p>
        </w:tc>
        <w:tc>
          <w:tcPr>
            <w:cnfStyle w:val="000100000000" w:firstRow="0" w:lastRow="0" w:firstColumn="0" w:lastColumn="1" w:oddVBand="0" w:evenVBand="0" w:oddHBand="0" w:evenHBand="0" w:firstRowFirstColumn="0" w:firstRowLastColumn="0" w:lastRowFirstColumn="0" w:lastRowLastColumn="0"/>
            <w:tcW w:w="848" w:type="dxa"/>
            <w:tcBorders>
              <w:top w:val="single" w:sz="4" w:space="0" w:color="00A0E9"/>
              <w:left w:val="single" w:sz="4" w:space="0" w:color="00A0E9"/>
            </w:tcBorders>
            <w:vAlign w:val="center"/>
          </w:tcPr>
          <w:p w:rsidR="00346B58" w:rsidRPr="00AF2B72" w:rsidRDefault="00346B58" w:rsidP="00BC331F">
            <w:pPr>
              <w:jc w:val="center"/>
              <w:rPr>
                <w:rFonts w:ascii="宋体" w:eastAsia="宋体" w:hAnsi="宋体" w:cs="宋体"/>
                <w:szCs w:val="18"/>
              </w:rPr>
            </w:pPr>
            <w:r w:rsidRPr="00AF2B72">
              <w:rPr>
                <w:rFonts w:hint="eastAsia"/>
                <w:szCs w:val="18"/>
              </w:rPr>
              <w:t>50%</w:t>
            </w:r>
          </w:p>
        </w:tc>
      </w:tr>
      <w:tr w:rsidR="00346B58" w:rsidTr="00BC331F">
        <w:trPr>
          <w:trHeight w:val="463"/>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A0E9"/>
              <w:left w:val="nil"/>
              <w:right w:val="single" w:sz="4" w:space="0" w:color="00A0E9"/>
            </w:tcBorders>
            <w:vAlign w:val="center"/>
          </w:tcPr>
          <w:p w:rsidR="00346B58" w:rsidRPr="00AF2B72" w:rsidRDefault="00346B58" w:rsidP="00BC331F">
            <w:pPr>
              <w:jc w:val="center"/>
              <w:rPr>
                <w:rFonts w:ascii="宋体" w:eastAsia="宋体" w:hAnsi="宋体" w:cs="宋体"/>
                <w:szCs w:val="18"/>
              </w:rPr>
            </w:pPr>
            <w:r w:rsidRPr="00AF2B72">
              <w:rPr>
                <w:rFonts w:hint="eastAsia"/>
                <w:szCs w:val="18"/>
              </w:rPr>
              <w:t>富国强回报</w:t>
            </w:r>
          </w:p>
        </w:tc>
        <w:tc>
          <w:tcPr>
            <w:tcW w:w="1559" w:type="dxa"/>
            <w:tcBorders>
              <w:top w:val="single" w:sz="4" w:space="0" w:color="00A0E9"/>
              <w:left w:val="single" w:sz="4" w:space="0" w:color="00A0E9"/>
              <w:bottom w:val="single" w:sz="4" w:space="0" w:color="00A0E9"/>
              <w:right w:val="single" w:sz="4" w:space="0" w:color="00A0E9"/>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AF2B72">
              <w:rPr>
                <w:rFonts w:hint="eastAsia"/>
                <w:szCs w:val="18"/>
              </w:rPr>
              <w:t>债券</w:t>
            </w:r>
            <w:r w:rsidRPr="00AF2B72">
              <w:rPr>
                <w:rFonts w:hint="eastAsia"/>
                <w:szCs w:val="18"/>
              </w:rPr>
              <w:t>-</w:t>
            </w:r>
            <w:r w:rsidRPr="00AF2B72">
              <w:rPr>
                <w:rFonts w:hint="eastAsia"/>
                <w:szCs w:val="18"/>
              </w:rPr>
              <w:t>完全债券型</w:t>
            </w:r>
          </w:p>
        </w:tc>
        <w:tc>
          <w:tcPr>
            <w:tcW w:w="1276" w:type="dxa"/>
            <w:tcBorders>
              <w:top w:val="single" w:sz="4" w:space="0" w:color="00A0E9"/>
              <w:left w:val="single" w:sz="4" w:space="0" w:color="00A0E9"/>
              <w:bottom w:val="single" w:sz="4" w:space="0" w:color="00A0E9"/>
              <w:right w:val="single" w:sz="4" w:space="0" w:color="00A0E9"/>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proofErr w:type="gramStart"/>
            <w:r w:rsidRPr="00AF2B72">
              <w:rPr>
                <w:rFonts w:hint="eastAsia"/>
                <w:szCs w:val="18"/>
              </w:rPr>
              <w:t>黄纪亮</w:t>
            </w:r>
            <w:proofErr w:type="gramEnd"/>
          </w:p>
        </w:tc>
        <w:tc>
          <w:tcPr>
            <w:tcW w:w="850" w:type="dxa"/>
            <w:tcBorders>
              <w:top w:val="single" w:sz="4" w:space="0" w:color="00A0E9"/>
              <w:left w:val="single" w:sz="4" w:space="0" w:color="00A0E9"/>
              <w:bottom w:val="single" w:sz="4" w:space="0" w:color="00A0E9"/>
              <w:right w:val="single" w:sz="4" w:space="0" w:color="00A0E9"/>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AF2B72">
              <w:rPr>
                <w:rFonts w:hint="eastAsia"/>
                <w:szCs w:val="18"/>
              </w:rPr>
              <w:t>富国</w:t>
            </w:r>
          </w:p>
        </w:tc>
        <w:tc>
          <w:tcPr>
            <w:tcW w:w="595" w:type="dxa"/>
            <w:tcBorders>
              <w:top w:val="single" w:sz="4" w:space="0" w:color="00A0E9"/>
              <w:left w:val="single" w:sz="4" w:space="0" w:color="00A0E9"/>
              <w:bottom w:val="single" w:sz="4" w:space="0" w:color="00A0E9"/>
              <w:right w:val="nil"/>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AF2B72">
              <w:rPr>
                <w:rFonts w:hint="eastAsia"/>
                <w:szCs w:val="18"/>
              </w:rPr>
              <w:t>25%</w:t>
            </w:r>
          </w:p>
        </w:tc>
        <w:tc>
          <w:tcPr>
            <w:tcW w:w="236" w:type="dxa"/>
            <w:vMerge/>
            <w:tcBorders>
              <w:left w:val="nil"/>
            </w:tcBorders>
          </w:tcPr>
          <w:p w:rsidR="00346B58" w:rsidRDefault="00346B58" w:rsidP="00BC331F">
            <w:pPr>
              <w:pStyle w:val="a0"/>
              <w:ind w:left="0"/>
              <w:cnfStyle w:val="000000000000" w:firstRow="0" w:lastRow="0" w:firstColumn="0" w:lastColumn="0" w:oddVBand="0" w:evenVBand="0" w:oddHBand="0" w:evenHBand="0" w:firstRowFirstColumn="0" w:firstRowLastColumn="0" w:lastRowFirstColumn="0" w:lastRowLastColumn="0"/>
            </w:pPr>
          </w:p>
        </w:tc>
        <w:tc>
          <w:tcPr>
            <w:tcW w:w="1044" w:type="dxa"/>
            <w:tcBorders>
              <w:top w:val="single" w:sz="4" w:space="0" w:color="00A0E9"/>
              <w:bottom w:val="single" w:sz="4" w:space="0" w:color="00A0E9"/>
              <w:right w:val="single" w:sz="4" w:space="0" w:color="00A0E9"/>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AF2B72">
              <w:rPr>
                <w:rFonts w:hint="eastAsia"/>
              </w:rPr>
              <w:t>建</w:t>
            </w:r>
            <w:proofErr w:type="gramStart"/>
            <w:r w:rsidRPr="00AF2B72">
              <w:rPr>
                <w:rFonts w:hint="eastAsia"/>
              </w:rPr>
              <w:t>信收益</w:t>
            </w:r>
            <w:proofErr w:type="gramEnd"/>
            <w:r w:rsidRPr="00AF2B72">
              <w:rPr>
                <w:rFonts w:hint="eastAsia"/>
                <w:b/>
                <w:bCs/>
                <w:color w:val="FF0000"/>
                <w:szCs w:val="18"/>
                <w:vertAlign w:val="superscript"/>
              </w:rPr>
              <w:t>★</w:t>
            </w:r>
          </w:p>
        </w:tc>
        <w:tc>
          <w:tcPr>
            <w:tcW w:w="1385" w:type="dxa"/>
            <w:tcBorders>
              <w:top w:val="single" w:sz="4" w:space="0" w:color="00A0E9"/>
              <w:left w:val="single" w:sz="4" w:space="0" w:color="00A0E9"/>
              <w:bottom w:val="single" w:sz="4" w:space="0" w:color="00A0E9"/>
              <w:right w:val="single" w:sz="4" w:space="0" w:color="00A0E9"/>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AF2B72">
              <w:rPr>
                <w:rFonts w:hint="eastAsia"/>
                <w:color w:val="000000"/>
                <w:szCs w:val="18"/>
              </w:rPr>
              <w:t>债券</w:t>
            </w:r>
            <w:r w:rsidRPr="00AF2B72">
              <w:rPr>
                <w:rFonts w:hint="eastAsia"/>
                <w:color w:val="000000"/>
                <w:szCs w:val="18"/>
              </w:rPr>
              <w:t>-</w:t>
            </w:r>
            <w:r w:rsidRPr="00AF2B72">
              <w:rPr>
                <w:rFonts w:hint="eastAsia"/>
                <w:color w:val="000000"/>
                <w:szCs w:val="18"/>
              </w:rPr>
              <w:t>普通债券型</w:t>
            </w:r>
          </w:p>
        </w:tc>
        <w:tc>
          <w:tcPr>
            <w:tcW w:w="993" w:type="dxa"/>
            <w:tcBorders>
              <w:top w:val="single" w:sz="4" w:space="0" w:color="00A0E9"/>
              <w:left w:val="single" w:sz="4" w:space="0" w:color="00A0E9"/>
              <w:bottom w:val="single" w:sz="4" w:space="0" w:color="00A0E9"/>
              <w:right w:val="single" w:sz="4" w:space="0" w:color="00A0E9"/>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Pr>
                <w:rFonts w:cs="Arial"/>
                <w:szCs w:val="18"/>
              </w:rPr>
              <w:t>李菁</w:t>
            </w:r>
          </w:p>
        </w:tc>
        <w:tc>
          <w:tcPr>
            <w:tcW w:w="992" w:type="dxa"/>
            <w:tcBorders>
              <w:top w:val="single" w:sz="4" w:space="0" w:color="00A0E9"/>
              <w:left w:val="single" w:sz="4" w:space="0" w:color="00A0E9"/>
              <w:bottom w:val="single" w:sz="4" w:space="0" w:color="00A0E9"/>
              <w:right w:val="single" w:sz="4" w:space="0" w:color="00A0E9"/>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Pr>
                <w:rFonts w:hint="eastAsia"/>
                <w:szCs w:val="18"/>
              </w:rPr>
              <w:t>建信</w:t>
            </w:r>
          </w:p>
        </w:tc>
        <w:tc>
          <w:tcPr>
            <w:cnfStyle w:val="000100000000" w:firstRow="0" w:lastRow="0" w:firstColumn="0" w:lastColumn="1" w:oddVBand="0" w:evenVBand="0" w:oddHBand="0" w:evenHBand="0" w:firstRowFirstColumn="0" w:firstRowLastColumn="0" w:lastRowFirstColumn="0" w:lastRowLastColumn="0"/>
            <w:tcW w:w="848" w:type="dxa"/>
            <w:tcBorders>
              <w:top w:val="single" w:sz="4" w:space="0" w:color="00A0E9"/>
              <w:left w:val="single" w:sz="4" w:space="0" w:color="00A0E9"/>
            </w:tcBorders>
            <w:vAlign w:val="center"/>
          </w:tcPr>
          <w:p w:rsidR="00346B58" w:rsidRPr="00AF2B72" w:rsidRDefault="00346B58" w:rsidP="00BC331F">
            <w:pPr>
              <w:jc w:val="center"/>
              <w:rPr>
                <w:rFonts w:ascii="宋体" w:eastAsia="宋体" w:hAnsi="宋体" w:cs="宋体"/>
                <w:szCs w:val="18"/>
              </w:rPr>
            </w:pPr>
            <w:r w:rsidRPr="00AF2B72">
              <w:rPr>
                <w:rFonts w:hint="eastAsia"/>
                <w:szCs w:val="18"/>
              </w:rPr>
              <w:t>50%</w:t>
            </w:r>
          </w:p>
        </w:tc>
      </w:tr>
      <w:tr w:rsidR="00346B58" w:rsidTr="00BC331F">
        <w:trPr>
          <w:trHeight w:val="463"/>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A0E9"/>
              <w:left w:val="nil"/>
              <w:right w:val="single" w:sz="4" w:space="0" w:color="00A0E9"/>
            </w:tcBorders>
            <w:vAlign w:val="center"/>
          </w:tcPr>
          <w:p w:rsidR="00346B58" w:rsidRPr="00AF2B72" w:rsidRDefault="00346B58" w:rsidP="00BC331F">
            <w:pPr>
              <w:jc w:val="center"/>
              <w:rPr>
                <w:rFonts w:ascii="宋体" w:eastAsia="宋体" w:hAnsi="宋体" w:cs="宋体"/>
                <w:szCs w:val="18"/>
              </w:rPr>
            </w:pPr>
            <w:r w:rsidRPr="00AF2B72">
              <w:rPr>
                <w:rFonts w:hint="eastAsia"/>
                <w:szCs w:val="18"/>
              </w:rPr>
              <w:t>建信增利</w:t>
            </w:r>
          </w:p>
        </w:tc>
        <w:tc>
          <w:tcPr>
            <w:tcW w:w="1559" w:type="dxa"/>
            <w:tcBorders>
              <w:top w:val="single" w:sz="4" w:space="0" w:color="00A0E9"/>
              <w:left w:val="single" w:sz="4" w:space="0" w:color="00A0E9"/>
              <w:bottom w:val="single" w:sz="4" w:space="0" w:color="00A0E9"/>
              <w:right w:val="single" w:sz="4" w:space="0" w:color="00A0E9"/>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AF2B72">
              <w:rPr>
                <w:rFonts w:hint="eastAsia"/>
                <w:szCs w:val="18"/>
              </w:rPr>
              <w:t>债券</w:t>
            </w:r>
            <w:r w:rsidRPr="00AF2B72">
              <w:rPr>
                <w:rFonts w:hint="eastAsia"/>
                <w:szCs w:val="18"/>
              </w:rPr>
              <w:t>-</w:t>
            </w:r>
            <w:r w:rsidRPr="00AF2B72">
              <w:rPr>
                <w:rFonts w:hint="eastAsia"/>
                <w:szCs w:val="18"/>
              </w:rPr>
              <w:t>新股申购型</w:t>
            </w:r>
          </w:p>
        </w:tc>
        <w:tc>
          <w:tcPr>
            <w:tcW w:w="1276" w:type="dxa"/>
            <w:tcBorders>
              <w:top w:val="single" w:sz="4" w:space="0" w:color="00A0E9"/>
              <w:left w:val="single" w:sz="4" w:space="0" w:color="00A0E9"/>
              <w:bottom w:val="single" w:sz="4" w:space="0" w:color="00A0E9"/>
              <w:right w:val="single" w:sz="4" w:space="0" w:color="00A0E9"/>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AF2B72">
              <w:rPr>
                <w:rFonts w:hint="eastAsia"/>
                <w:szCs w:val="18"/>
              </w:rPr>
              <w:t>钟敬棣</w:t>
            </w:r>
          </w:p>
        </w:tc>
        <w:tc>
          <w:tcPr>
            <w:tcW w:w="850" w:type="dxa"/>
            <w:tcBorders>
              <w:top w:val="single" w:sz="4" w:space="0" w:color="00A0E9"/>
              <w:left w:val="single" w:sz="4" w:space="0" w:color="00A0E9"/>
              <w:bottom w:val="single" w:sz="4" w:space="0" w:color="00A0E9"/>
              <w:right w:val="single" w:sz="4" w:space="0" w:color="00A0E9"/>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AF2B72">
              <w:rPr>
                <w:rFonts w:hint="eastAsia"/>
                <w:szCs w:val="18"/>
              </w:rPr>
              <w:t>建信</w:t>
            </w:r>
          </w:p>
        </w:tc>
        <w:tc>
          <w:tcPr>
            <w:tcW w:w="595" w:type="dxa"/>
            <w:tcBorders>
              <w:top w:val="single" w:sz="4" w:space="0" w:color="00A0E9"/>
              <w:left w:val="single" w:sz="4" w:space="0" w:color="00A0E9"/>
              <w:bottom w:val="single" w:sz="4" w:space="0" w:color="00A0E9"/>
              <w:right w:val="nil"/>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AF2B72">
              <w:rPr>
                <w:rFonts w:hint="eastAsia"/>
                <w:szCs w:val="18"/>
              </w:rPr>
              <w:t>25%</w:t>
            </w:r>
          </w:p>
        </w:tc>
        <w:tc>
          <w:tcPr>
            <w:tcW w:w="236" w:type="dxa"/>
            <w:vMerge/>
            <w:tcBorders>
              <w:left w:val="nil"/>
            </w:tcBorders>
          </w:tcPr>
          <w:p w:rsidR="00346B58" w:rsidRDefault="00346B58" w:rsidP="00BC331F">
            <w:pPr>
              <w:pStyle w:val="a0"/>
              <w:ind w:left="0"/>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5262" w:type="dxa"/>
            <w:gridSpan w:val="5"/>
            <w:tcBorders>
              <w:top w:val="single" w:sz="4" w:space="0" w:color="00A0E9"/>
            </w:tcBorders>
          </w:tcPr>
          <w:p w:rsidR="00346B58" w:rsidRPr="00AF2B72" w:rsidRDefault="00346B58" w:rsidP="00BC331F"/>
        </w:tc>
      </w:tr>
      <w:tr w:rsidR="00346B58" w:rsidTr="00BC331F">
        <w:trPr>
          <w:trHeight w:val="463"/>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A0E9"/>
              <w:left w:val="nil"/>
              <w:right w:val="single" w:sz="4" w:space="0" w:color="00A0E9"/>
            </w:tcBorders>
            <w:vAlign w:val="center"/>
          </w:tcPr>
          <w:p w:rsidR="00346B58" w:rsidRPr="00AF2B72" w:rsidRDefault="00346B58" w:rsidP="00BC331F">
            <w:pPr>
              <w:jc w:val="center"/>
              <w:rPr>
                <w:rFonts w:ascii="宋体" w:eastAsia="宋体" w:hAnsi="宋体" w:cs="宋体"/>
                <w:szCs w:val="18"/>
              </w:rPr>
            </w:pPr>
            <w:r w:rsidRPr="00AF2B72">
              <w:rPr>
                <w:rFonts w:hint="eastAsia"/>
                <w:szCs w:val="18"/>
              </w:rPr>
              <w:t>工银添</w:t>
            </w:r>
            <w:proofErr w:type="gramStart"/>
            <w:r w:rsidRPr="00AF2B72">
              <w:rPr>
                <w:rFonts w:hint="eastAsia"/>
                <w:szCs w:val="18"/>
              </w:rPr>
              <w:t>颐</w:t>
            </w:r>
            <w:proofErr w:type="gramEnd"/>
            <w:r w:rsidRPr="00AF2B72">
              <w:rPr>
                <w:rFonts w:hint="eastAsia"/>
                <w:b/>
                <w:bCs/>
                <w:color w:val="FF0000"/>
                <w:szCs w:val="18"/>
                <w:vertAlign w:val="superscript"/>
              </w:rPr>
              <w:t>★</w:t>
            </w:r>
          </w:p>
        </w:tc>
        <w:tc>
          <w:tcPr>
            <w:tcW w:w="1559" w:type="dxa"/>
            <w:tcBorders>
              <w:top w:val="single" w:sz="4" w:space="0" w:color="00A0E9"/>
              <w:left w:val="single" w:sz="4" w:space="0" w:color="00A0E9"/>
              <w:bottom w:val="single" w:sz="4" w:space="0" w:color="00A0E9"/>
              <w:right w:val="single" w:sz="4" w:space="0" w:color="00A0E9"/>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AF2B72">
              <w:rPr>
                <w:rFonts w:hint="eastAsia"/>
                <w:szCs w:val="18"/>
              </w:rPr>
              <w:t>债券</w:t>
            </w:r>
            <w:r w:rsidRPr="00AF2B72">
              <w:rPr>
                <w:rFonts w:hint="eastAsia"/>
                <w:szCs w:val="18"/>
              </w:rPr>
              <w:t>-</w:t>
            </w:r>
            <w:r w:rsidRPr="00AF2B72">
              <w:rPr>
                <w:rFonts w:hint="eastAsia"/>
                <w:szCs w:val="18"/>
              </w:rPr>
              <w:t>普通债券型</w:t>
            </w:r>
          </w:p>
        </w:tc>
        <w:tc>
          <w:tcPr>
            <w:tcW w:w="1276" w:type="dxa"/>
            <w:tcBorders>
              <w:top w:val="single" w:sz="4" w:space="0" w:color="00A0E9"/>
              <w:left w:val="single" w:sz="4" w:space="0" w:color="00A0E9"/>
              <w:bottom w:val="single" w:sz="4" w:space="0" w:color="00A0E9"/>
              <w:right w:val="single" w:sz="4" w:space="0" w:color="00A0E9"/>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AF2B72">
              <w:rPr>
                <w:rFonts w:hint="eastAsia"/>
                <w:color w:val="000000"/>
                <w:szCs w:val="18"/>
              </w:rPr>
              <w:t>宋炳珅，杜海涛</w:t>
            </w:r>
          </w:p>
        </w:tc>
        <w:tc>
          <w:tcPr>
            <w:tcW w:w="850" w:type="dxa"/>
            <w:tcBorders>
              <w:top w:val="single" w:sz="4" w:space="0" w:color="00A0E9"/>
              <w:left w:val="single" w:sz="4" w:space="0" w:color="00A0E9"/>
              <w:bottom w:val="single" w:sz="4" w:space="0" w:color="00A0E9"/>
              <w:right w:val="single" w:sz="4" w:space="0" w:color="00A0E9"/>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proofErr w:type="gramStart"/>
            <w:r w:rsidRPr="00AF2B72">
              <w:rPr>
                <w:rFonts w:hint="eastAsia"/>
                <w:szCs w:val="18"/>
              </w:rPr>
              <w:t>工银瑞信</w:t>
            </w:r>
            <w:proofErr w:type="gramEnd"/>
          </w:p>
        </w:tc>
        <w:tc>
          <w:tcPr>
            <w:tcW w:w="595" w:type="dxa"/>
            <w:tcBorders>
              <w:top w:val="single" w:sz="4" w:space="0" w:color="00A0E9"/>
              <w:left w:val="single" w:sz="4" w:space="0" w:color="00A0E9"/>
              <w:bottom w:val="single" w:sz="4" w:space="0" w:color="00A0E9"/>
              <w:right w:val="nil"/>
            </w:tcBorders>
            <w:vAlign w:val="center"/>
          </w:tcPr>
          <w:p w:rsidR="00346B58" w:rsidRPr="00AF2B72" w:rsidRDefault="00346B58" w:rsidP="00BC331F">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AF2B72">
              <w:rPr>
                <w:rFonts w:hint="eastAsia"/>
                <w:szCs w:val="18"/>
              </w:rPr>
              <w:t>25%</w:t>
            </w:r>
          </w:p>
        </w:tc>
        <w:tc>
          <w:tcPr>
            <w:tcW w:w="236" w:type="dxa"/>
            <w:vMerge/>
            <w:tcBorders>
              <w:left w:val="nil"/>
            </w:tcBorders>
          </w:tcPr>
          <w:p w:rsidR="00346B58" w:rsidRDefault="00346B58" w:rsidP="00BC331F">
            <w:pPr>
              <w:pStyle w:val="a0"/>
              <w:ind w:left="0"/>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5262" w:type="dxa"/>
            <w:gridSpan w:val="5"/>
            <w:tcBorders>
              <w:top w:val="single" w:sz="4" w:space="0" w:color="00A0E9"/>
            </w:tcBorders>
          </w:tcPr>
          <w:p w:rsidR="00346B58" w:rsidRPr="00AF2B72" w:rsidRDefault="00346B58" w:rsidP="00BC331F"/>
        </w:tc>
      </w:tr>
      <w:tr w:rsidR="00346B58" w:rsidTr="00BC331F">
        <w:tc>
          <w:tcPr>
            <w:tcW w:w="5273" w:type="dxa"/>
            <w:gridSpan w:val="5"/>
            <w:tcBorders>
              <w:top w:val="single" w:sz="4" w:space="0" w:color="00A0E9"/>
            </w:tcBorders>
          </w:tcPr>
          <w:p w:rsidR="00346B58" w:rsidRDefault="00346B58" w:rsidP="00BC331F">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来源：国金证券研究所</w:t>
            </w:r>
          </w:p>
        </w:tc>
        <w:tc>
          <w:tcPr>
            <w:tcW w:w="236" w:type="dxa"/>
          </w:tcPr>
          <w:p w:rsidR="00346B58" w:rsidRDefault="00346B58" w:rsidP="00BC331F">
            <w:pPr>
              <w:pStyle w:val="GJStylesGraphSource"/>
            </w:pPr>
          </w:p>
        </w:tc>
        <w:tc>
          <w:tcPr>
            <w:tcW w:w="5262" w:type="dxa"/>
            <w:gridSpan w:val="5"/>
          </w:tcPr>
          <w:p w:rsidR="00346B58" w:rsidRDefault="00346B58" w:rsidP="00BC331F">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来源：国金证券研究所</w:t>
            </w:r>
          </w:p>
        </w:tc>
      </w:tr>
    </w:tbl>
    <w:p w:rsidR="00346B58" w:rsidRDefault="00346B58" w:rsidP="00346B58">
      <w:pPr>
        <w:pStyle w:val="a0"/>
      </w:pPr>
    </w:p>
    <w:tbl>
      <w:tblPr>
        <w:tblStyle w:val="GJStylesChartInsertSingleCol"/>
        <w:tblW w:w="10771" w:type="dxa"/>
        <w:tblBorders>
          <w:bottom w:val="single" w:sz="4" w:space="0" w:color="00A0E9"/>
          <w:insideV w:val="single" w:sz="4" w:space="0" w:color="00A0E9"/>
        </w:tblBorders>
        <w:tblLayout w:type="fixed"/>
        <w:tblLook w:val="0600" w:firstRow="0" w:lastRow="0" w:firstColumn="0" w:lastColumn="0" w:noHBand="1" w:noVBand="1"/>
      </w:tblPr>
      <w:tblGrid>
        <w:gridCol w:w="1565"/>
        <w:gridCol w:w="4672"/>
        <w:gridCol w:w="4534"/>
      </w:tblGrid>
      <w:tr w:rsidR="00346B58" w:rsidTr="00BC331F">
        <w:tc>
          <w:tcPr>
            <w:tcW w:w="10771" w:type="dxa"/>
            <w:gridSpan w:val="3"/>
          </w:tcPr>
          <w:p w:rsidR="00346B58" w:rsidRPr="00AF2B72" w:rsidRDefault="00346B58" w:rsidP="00BC331F">
            <w:pPr>
              <w:pStyle w:val="GJStylesGraphTitle"/>
            </w:pPr>
            <w:r>
              <w:rPr>
                <w:rFonts w:hint="eastAsia"/>
              </w:rPr>
              <w:t>图表</w:t>
            </w:r>
            <w:r w:rsidR="00BC331F">
              <w:fldChar w:fldCharType="begin"/>
            </w:r>
            <w:r w:rsidR="00BC331F">
              <w:instrText xml:space="preserve"> SEQ </w:instrText>
            </w:r>
            <w:r w:rsidR="00BC331F">
              <w:instrText>图表</w:instrText>
            </w:r>
            <w:r w:rsidR="00BC331F">
              <w:instrText xml:space="preserve"> \* ARABIC  \* MERGEFORMAT </w:instrText>
            </w:r>
            <w:r w:rsidR="00BC331F">
              <w:fldChar w:fldCharType="separate"/>
            </w:r>
            <w:r>
              <w:rPr>
                <w:noProof/>
              </w:rPr>
              <w:t>11</w:t>
            </w:r>
            <w:r w:rsidR="00BC331F">
              <w:rPr>
                <w:noProof/>
              </w:rPr>
              <w:fldChar w:fldCharType="end"/>
            </w:r>
            <w:r>
              <w:rPr>
                <w:rFonts w:hint="eastAsia"/>
              </w:rPr>
              <w:t>：组合说明</w:t>
            </w:r>
            <w:r w:rsidRPr="00AF2B72">
              <w:t xml:space="preserve"> </w:t>
            </w:r>
          </w:p>
        </w:tc>
      </w:tr>
      <w:tr w:rsidR="00346B58" w:rsidTr="00BC331F">
        <w:trPr>
          <w:trHeight w:val="404"/>
        </w:trPr>
        <w:tc>
          <w:tcPr>
            <w:tcW w:w="1565" w:type="dxa"/>
            <w:vAlign w:val="center"/>
          </w:tcPr>
          <w:p w:rsidR="00346B58" w:rsidRPr="007B4C4F" w:rsidRDefault="00346B58" w:rsidP="00BC331F">
            <w:pPr>
              <w:jc w:val="center"/>
              <w:rPr>
                <w:rFonts w:ascii="宋体" w:eastAsia="宋体" w:hAnsi="宋体" w:cs="宋体"/>
                <w:color w:val="000000"/>
                <w:szCs w:val="18"/>
              </w:rPr>
            </w:pPr>
          </w:p>
        </w:tc>
        <w:tc>
          <w:tcPr>
            <w:tcW w:w="4672" w:type="dxa"/>
            <w:vAlign w:val="center"/>
          </w:tcPr>
          <w:p w:rsidR="00346B58" w:rsidRPr="007B4C4F" w:rsidRDefault="00346B58" w:rsidP="00BC331F">
            <w:pPr>
              <w:jc w:val="center"/>
              <w:rPr>
                <w:rFonts w:ascii="宋体" w:eastAsia="宋体" w:hAnsi="宋体" w:cs="宋体"/>
                <w:b/>
                <w:color w:val="000000"/>
                <w:szCs w:val="18"/>
              </w:rPr>
            </w:pPr>
            <w:r w:rsidRPr="007B4C4F">
              <w:rPr>
                <w:rFonts w:ascii="宋体" w:eastAsia="宋体" w:hAnsi="宋体" w:hint="eastAsia"/>
                <w:b/>
                <w:color w:val="000000"/>
                <w:szCs w:val="18"/>
              </w:rPr>
              <w:t>相对收益组合</w:t>
            </w:r>
          </w:p>
        </w:tc>
        <w:tc>
          <w:tcPr>
            <w:tcW w:w="4534" w:type="dxa"/>
            <w:vAlign w:val="center"/>
          </w:tcPr>
          <w:p w:rsidR="00346B58" w:rsidRPr="007B4C4F" w:rsidRDefault="00346B58" w:rsidP="00BC331F">
            <w:pPr>
              <w:jc w:val="center"/>
              <w:rPr>
                <w:rFonts w:ascii="宋体" w:eastAsia="宋体" w:hAnsi="宋体" w:cs="宋体"/>
                <w:b/>
                <w:color w:val="000000"/>
                <w:szCs w:val="18"/>
              </w:rPr>
            </w:pPr>
            <w:r w:rsidRPr="007B4C4F">
              <w:rPr>
                <w:rFonts w:ascii="宋体" w:eastAsia="宋体" w:hAnsi="宋体" w:hint="eastAsia"/>
                <w:b/>
                <w:color w:val="000000"/>
                <w:szCs w:val="18"/>
              </w:rPr>
              <w:t>绝对收益组合</w:t>
            </w:r>
          </w:p>
        </w:tc>
      </w:tr>
      <w:tr w:rsidR="00346B58" w:rsidTr="00BC331F">
        <w:trPr>
          <w:trHeight w:val="575"/>
        </w:trPr>
        <w:tc>
          <w:tcPr>
            <w:tcW w:w="1565" w:type="dxa"/>
            <w:vAlign w:val="center"/>
          </w:tcPr>
          <w:p w:rsidR="00346B58" w:rsidRPr="007B4C4F" w:rsidRDefault="00346B58" w:rsidP="00BC331F">
            <w:pPr>
              <w:jc w:val="center"/>
              <w:rPr>
                <w:rFonts w:ascii="宋体" w:eastAsia="宋体" w:hAnsi="宋体" w:cs="宋体"/>
                <w:b/>
                <w:color w:val="000000"/>
                <w:szCs w:val="18"/>
              </w:rPr>
            </w:pPr>
            <w:r w:rsidRPr="007B4C4F">
              <w:rPr>
                <w:rFonts w:ascii="宋体" w:eastAsia="宋体" w:hAnsi="宋体" w:hint="eastAsia"/>
                <w:b/>
                <w:color w:val="000000"/>
                <w:szCs w:val="18"/>
              </w:rPr>
              <w:t>投资对象</w:t>
            </w:r>
          </w:p>
        </w:tc>
        <w:tc>
          <w:tcPr>
            <w:tcW w:w="4672" w:type="dxa"/>
            <w:vAlign w:val="center"/>
          </w:tcPr>
          <w:p w:rsidR="00346B58" w:rsidRPr="00935202" w:rsidRDefault="00346B58" w:rsidP="00BC331F">
            <w:pPr>
              <w:jc w:val="center"/>
              <w:rPr>
                <w:rFonts w:ascii="楷体_GB2312" w:hAnsi="宋体" w:cs="宋体"/>
                <w:color w:val="000000"/>
                <w:szCs w:val="18"/>
              </w:rPr>
            </w:pPr>
            <w:r w:rsidRPr="00935202">
              <w:rPr>
                <w:rFonts w:ascii="楷体_GB2312" w:hAnsi="宋体" w:hint="eastAsia"/>
                <w:color w:val="000000"/>
                <w:szCs w:val="18"/>
              </w:rPr>
              <w:t>涵盖债券型开放式基金/货币市场基金</w:t>
            </w:r>
          </w:p>
        </w:tc>
        <w:tc>
          <w:tcPr>
            <w:tcW w:w="4534" w:type="dxa"/>
            <w:vAlign w:val="center"/>
          </w:tcPr>
          <w:p w:rsidR="00346B58" w:rsidRPr="00935202" w:rsidRDefault="00346B58" w:rsidP="00BC331F">
            <w:pPr>
              <w:jc w:val="center"/>
              <w:rPr>
                <w:rFonts w:ascii="楷体_GB2312" w:hAnsi="宋体" w:cs="宋体"/>
                <w:color w:val="000000"/>
                <w:szCs w:val="18"/>
              </w:rPr>
            </w:pPr>
            <w:r w:rsidRPr="00935202">
              <w:rPr>
                <w:rFonts w:ascii="楷体_GB2312" w:hAnsi="宋体" w:hint="eastAsia"/>
                <w:color w:val="000000"/>
                <w:szCs w:val="18"/>
              </w:rPr>
              <w:t>以债券型开放式基金（或者类似固定收益类）/货币市场基金为主，两类产品配置比例不低于80%</w:t>
            </w:r>
          </w:p>
        </w:tc>
      </w:tr>
      <w:tr w:rsidR="00346B58" w:rsidTr="00BC331F">
        <w:trPr>
          <w:trHeight w:val="533"/>
        </w:trPr>
        <w:tc>
          <w:tcPr>
            <w:tcW w:w="1565" w:type="dxa"/>
            <w:vAlign w:val="center"/>
          </w:tcPr>
          <w:p w:rsidR="00346B58" w:rsidRPr="007B4C4F" w:rsidRDefault="00346B58" w:rsidP="00BC331F">
            <w:pPr>
              <w:jc w:val="center"/>
              <w:rPr>
                <w:rFonts w:ascii="宋体" w:eastAsia="宋体" w:hAnsi="宋体" w:cs="宋体"/>
                <w:b/>
                <w:color w:val="000000"/>
                <w:szCs w:val="18"/>
              </w:rPr>
            </w:pPr>
            <w:r w:rsidRPr="007B4C4F">
              <w:rPr>
                <w:rFonts w:ascii="宋体" w:eastAsia="宋体" w:hAnsi="宋体" w:hint="eastAsia"/>
                <w:b/>
                <w:color w:val="000000"/>
                <w:szCs w:val="18"/>
              </w:rPr>
              <w:t>组合目标</w:t>
            </w:r>
          </w:p>
        </w:tc>
        <w:tc>
          <w:tcPr>
            <w:tcW w:w="4672" w:type="dxa"/>
            <w:vAlign w:val="center"/>
          </w:tcPr>
          <w:p w:rsidR="00346B58" w:rsidRPr="00935202" w:rsidRDefault="00346B58" w:rsidP="00BC331F">
            <w:pPr>
              <w:jc w:val="center"/>
              <w:rPr>
                <w:rFonts w:ascii="楷体_GB2312" w:hAnsi="宋体" w:cs="宋体"/>
                <w:color w:val="000000"/>
                <w:szCs w:val="18"/>
              </w:rPr>
            </w:pPr>
            <w:r w:rsidRPr="00935202">
              <w:rPr>
                <w:rFonts w:ascii="楷体_GB2312" w:hAnsi="宋体" w:hint="eastAsia"/>
                <w:color w:val="000000"/>
                <w:szCs w:val="18"/>
              </w:rPr>
              <w:t>旨在取得超越业绩基准的相对收益，适合对自身风险定位清晰及有主动进行配置需求的投资者。</w:t>
            </w:r>
          </w:p>
        </w:tc>
        <w:tc>
          <w:tcPr>
            <w:tcW w:w="4534" w:type="dxa"/>
            <w:vAlign w:val="center"/>
          </w:tcPr>
          <w:p w:rsidR="00346B58" w:rsidRPr="00935202" w:rsidRDefault="00346B58" w:rsidP="00BC331F">
            <w:pPr>
              <w:jc w:val="center"/>
              <w:rPr>
                <w:rFonts w:ascii="楷体_GB2312" w:hAnsi="宋体" w:cs="宋体"/>
                <w:color w:val="000000"/>
                <w:szCs w:val="18"/>
              </w:rPr>
            </w:pPr>
            <w:r w:rsidRPr="00935202">
              <w:rPr>
                <w:rFonts w:ascii="楷体_GB2312" w:hAnsi="宋体" w:hint="eastAsia"/>
                <w:color w:val="000000"/>
                <w:szCs w:val="18"/>
              </w:rPr>
              <w:t>以获得绝对收益为目标，适合对自身风险定位不甚清晰、在保值基础上有适当增值需求的投资者。</w:t>
            </w:r>
          </w:p>
        </w:tc>
      </w:tr>
      <w:tr w:rsidR="00346B58" w:rsidTr="00BC331F">
        <w:trPr>
          <w:trHeight w:val="427"/>
        </w:trPr>
        <w:tc>
          <w:tcPr>
            <w:tcW w:w="1565" w:type="dxa"/>
            <w:vAlign w:val="center"/>
          </w:tcPr>
          <w:p w:rsidR="00346B58" w:rsidRPr="007B4C4F" w:rsidRDefault="00346B58" w:rsidP="00BC331F">
            <w:pPr>
              <w:jc w:val="center"/>
              <w:rPr>
                <w:rFonts w:ascii="宋体" w:eastAsia="宋体" w:hAnsi="宋体" w:cs="宋体"/>
                <w:b/>
                <w:color w:val="000000"/>
                <w:szCs w:val="18"/>
              </w:rPr>
            </w:pPr>
            <w:r w:rsidRPr="007B4C4F">
              <w:rPr>
                <w:rFonts w:ascii="宋体" w:eastAsia="宋体" w:hAnsi="宋体" w:hint="eastAsia"/>
                <w:b/>
                <w:color w:val="000000"/>
                <w:szCs w:val="18"/>
              </w:rPr>
              <w:t>业绩基准</w:t>
            </w:r>
          </w:p>
        </w:tc>
        <w:tc>
          <w:tcPr>
            <w:tcW w:w="4672" w:type="dxa"/>
            <w:vAlign w:val="center"/>
          </w:tcPr>
          <w:p w:rsidR="00346B58" w:rsidRPr="00935202" w:rsidRDefault="00346B58" w:rsidP="00BC331F">
            <w:pPr>
              <w:jc w:val="center"/>
              <w:rPr>
                <w:rFonts w:ascii="楷体_GB2312" w:hAnsi="宋体" w:cs="宋体"/>
                <w:color w:val="000000"/>
                <w:szCs w:val="18"/>
              </w:rPr>
            </w:pPr>
            <w:r w:rsidRPr="00935202">
              <w:rPr>
                <w:rFonts w:ascii="楷体_GB2312" w:hAnsi="宋体" w:hint="eastAsia"/>
                <w:color w:val="000000"/>
                <w:szCs w:val="18"/>
              </w:rPr>
              <w:t>债券型开放式基金收益指数</w:t>
            </w:r>
          </w:p>
        </w:tc>
        <w:tc>
          <w:tcPr>
            <w:tcW w:w="4534" w:type="dxa"/>
            <w:vAlign w:val="center"/>
          </w:tcPr>
          <w:p w:rsidR="00346B58" w:rsidRPr="00935202" w:rsidRDefault="00346B58" w:rsidP="00BC331F">
            <w:pPr>
              <w:jc w:val="center"/>
              <w:rPr>
                <w:rFonts w:ascii="楷体_GB2312" w:hAnsi="宋体" w:cs="宋体"/>
                <w:color w:val="000000"/>
                <w:szCs w:val="18"/>
              </w:rPr>
            </w:pPr>
            <w:r w:rsidRPr="00935202">
              <w:rPr>
                <w:rFonts w:ascii="楷体_GB2312" w:hAnsi="宋体" w:hint="eastAsia"/>
                <w:color w:val="000000"/>
                <w:szCs w:val="18"/>
              </w:rPr>
              <w:t>二年期定期存款税后利率</w:t>
            </w:r>
          </w:p>
        </w:tc>
      </w:tr>
    </w:tbl>
    <w:p w:rsidR="00346B58" w:rsidRPr="00AF2B72" w:rsidRDefault="00346B58" w:rsidP="00346B58">
      <w:pPr>
        <w:pStyle w:val="a0"/>
        <w:ind w:left="0"/>
        <w:jc w:val="left"/>
        <w:rPr>
          <w:sz w:val="15"/>
          <w:szCs w:val="15"/>
        </w:rPr>
      </w:pPr>
      <w:r w:rsidRPr="00AF2B72">
        <w:rPr>
          <w:rFonts w:hint="eastAsia"/>
          <w:sz w:val="15"/>
          <w:szCs w:val="15"/>
        </w:rPr>
        <w:t>来源：国金证券研究所</w:t>
      </w:r>
    </w:p>
    <w:p w:rsidR="0005161F" w:rsidRDefault="00BC331F" w:rsidP="00776898">
      <w:pPr>
        <w:pStyle w:val="a0"/>
        <w:pageBreakBefore/>
        <w:ind w:left="0"/>
      </w:pPr>
      <w:r>
        <w:rPr>
          <w:noProof/>
        </w:rPr>
        <w:lastRenderedPageBreak/>
        <w:pict>
          <v:shape id="Text Box 353" o:spid="_x0000_s1026" type="#_x0000_t202" style="position:absolute;left:0;text-align:left;margin-left:-7.05pt;margin-top:77.1pt;width:545.95pt;height:337.8pt;z-index:251654656;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3Mp+AIAAIUGAAAOAAAAZHJzL2Uyb0RvYy54bWysVW1vmzAQ/j5p/8HydwokBgIqnRISpknd&#10;i9TuBzhggjWwme2WdNP++86mSdN0H6Z1+YBs3/n8PHfPXS7f7fsO3TOluRQ5Di8CjJioZM3FLsdf&#10;b0tvgZE2VNS0k4Ll+IFp/O7q7ZvLccjYTLayq5lCEETobBxy3BozZL6vq5b1VF/IgQkwNlL11MBW&#10;7fxa0RGi950/C4LYH6WqByUrpjWcricjvnLxm4ZV5nPTaGZQl2PAZtxXue/Wfv2rS5rtFB1aXj3C&#10;oP+AoqdcwKPHUGtqKLpT/EWonldKatmYi0r2vmwaXjHHAdiEwRmbm5YOzHGB5OjhmCb9/8JWn+6/&#10;KMRrqF2IkaA91OiW7Q1ayT2aR3OboHHQGfjdDOBp9mAAZ0dWD9ey+qaRkEVLxY4tlZJjy2gNAEN7&#10;0z+5OsXRNsh2/ChreIjeGekC7RvV2+xBPhBEh0I9HItjwVRwGKfzeRRHGFVgI7MUiu/K59PscH1Q&#10;2rxnskd2kWMF1Xfh6f21NhYOzQ4u9jUhS951TgGdeHYAjtMJcxKabtMMoMDSelpQrrw/0yDdLDYL&#10;4pFZvPFIsF57y7IgXlyGSbSer4tiHf6yKEKStbyumbCPHqQWkr8r5aPoJ5EcxaZlx2sbzkLSarct&#10;OoXuKUi9dD9XArA8ufnPYbiUAJczSuGMBKtZ6pXxIvFISSIvTYKFF4TpKo0DkpJ1+ZzSNRfs9ZTQ&#10;mOM0mkWTtp5An3EL3O8lN5r13MAw6Xif48XRiWZWkRtRu0IbyrtpfZIKC//PqViWUZCQ+cJLkmju&#10;kfkm8FaLsvCWRRjHyWZVrDZn1d04xejXZ8PV5ER+J3gf33iCDHo9aNO1nO2yqd/Mfrt37Z0cOnkr&#10;6wfoQSWhQ6DRYHbDopXqB0YjzMEc6+93VDGMug8C+jgNCbGD021IlMxgo04t21MLFRWEyrHBaFoW&#10;Zhq2d4PiuxZemiaHkEvo/Ya7rrRDYkIFjOwGZp3j9jiX7TA93Tuvp3+Pq98AAAD//wMAUEsDBBQA&#10;BgAIAAAAIQDtxXl54AAAAAwBAAAPAAAAZHJzL2Rvd25yZXYueG1sTI/LTsMwEEX3SPyDNUjsWjtR&#10;StMQp0IgtiDKQ2LnxtMkIh5HsduEv2e6osvRPbpzbrmdXS9OOIbOk4ZkqUAg1d521Gj4eH9e5CBC&#10;NGRN7wk1/GKAbXV9VZrC+one8LSLjeASCoXR0MY4FFKGukVnwtIPSJwd/OhM5HNspB3NxOWul6lS&#10;d9KZjvhDawZ8bLH+2R2dhs+Xw/dXpl6bJ7caJj8rSW4jtb69mR/uQUSc4z8MZ31Wh4qd9v5INohe&#10;wyLJEkY5WGUpiDOh1mtes9eQp5scZFXKyxHVHwAAAP//AwBQSwECLQAUAAYACAAAACEAtoM4kv4A&#10;AADhAQAAEwAAAAAAAAAAAAAAAAAAAAAAW0NvbnRlbnRfVHlwZXNdLnhtbFBLAQItABQABgAIAAAA&#10;IQA4/SH/1gAAAJQBAAALAAAAAAAAAAAAAAAAAC8BAABfcmVscy8ucmVsc1BLAQItABQABgAIAAAA&#10;IQDeh3Mp+AIAAIUGAAAOAAAAAAAAAAAAAAAAAC4CAABkcnMvZTJvRG9jLnhtbFBLAQItABQABgAI&#10;AAAAIQDtxXl54AAAAAwBAAAPAAAAAAAAAAAAAAAAAFIFAABkcnMvZG93bnJldi54bWxQSwUGAAAA&#10;AAQABADzAAAAXwYAAAAA&#10;" filled="f" stroked="f">
            <v:textbox>
              <w:txbxContent>
                <w:p w:rsidR="00BC331F" w:rsidRDefault="00BC331F" w:rsidP="000E6AE0">
                  <w:pPr>
                    <w:pStyle w:val="a0"/>
                    <w:spacing w:after="40" w:line="200" w:lineRule="atLeast"/>
                    <w:ind w:left="0" w:rightChars="-27" w:right="-49" w:firstLineChars="22" w:firstLine="46"/>
                    <w:rPr>
                      <w:b/>
                      <w:bCs/>
                      <w:color w:val="auto"/>
                      <w:szCs w:val="15"/>
                    </w:rPr>
                  </w:pPr>
                  <w:r w:rsidRPr="009A3954">
                    <w:rPr>
                      <w:rFonts w:hint="eastAsia"/>
                      <w:b/>
                      <w:bCs/>
                      <w:color w:val="auto"/>
                      <w:szCs w:val="15"/>
                    </w:rPr>
                    <w:t>特别声明：</w:t>
                  </w:r>
                  <w:r w:rsidRPr="009A3954">
                    <w:rPr>
                      <w:b/>
                      <w:bCs/>
                      <w:color w:val="auto"/>
                      <w:szCs w:val="15"/>
                    </w:rPr>
                    <w:t xml:space="preserve"> </w:t>
                  </w:r>
                </w:p>
                <w:p w:rsidR="00BC331F" w:rsidRPr="00EE31AB" w:rsidRDefault="00BC331F" w:rsidP="00EE31AB">
                  <w:pPr>
                    <w:pStyle w:val="a0"/>
                    <w:spacing w:after="0" w:line="240" w:lineRule="auto"/>
                    <w:ind w:left="0" w:firstLine="420"/>
                    <w:jc w:val="left"/>
                    <w:rPr>
                      <w:b/>
                      <w:bCs/>
                      <w:color w:val="auto"/>
                      <w:szCs w:val="15"/>
                    </w:rPr>
                  </w:pPr>
                  <w:r w:rsidRPr="0038328E">
                    <w:rPr>
                      <w:rFonts w:ascii="楷体_GB2312" w:hAnsi="Tahoma" w:cs="Tahoma" w:hint="eastAsia"/>
                      <w:szCs w:val="21"/>
                    </w:rPr>
                    <w:t>国金证券股份有限公司经中国证券监督管理委员会批准，已具备证券投资咨询业务资格。</w:t>
                  </w:r>
                </w:p>
                <w:p w:rsidR="00BC331F" w:rsidRDefault="00BC331F" w:rsidP="00DF32E3">
                  <w:pPr>
                    <w:ind w:firstLine="420"/>
                    <w:jc w:val="left"/>
                    <w:rPr>
                      <w:rFonts w:ascii="Tahoma" w:eastAsia="宋体" w:hAnsi="Tahoma" w:cs="Tahoma"/>
                      <w:color w:val="000000"/>
                      <w:sz w:val="20"/>
                    </w:rPr>
                  </w:pPr>
                  <w:r>
                    <w:rPr>
                      <w:rFonts w:ascii="楷体_GB2312" w:hAnsi="Tahoma" w:cs="Tahoma" w:hint="eastAsia"/>
                      <w:color w:val="000000"/>
                      <w:sz w:val="21"/>
                      <w:szCs w:val="21"/>
                    </w:rPr>
                    <w:t>本报告版权归</w:t>
                  </w:r>
                  <w:r>
                    <w:rPr>
                      <w:rFonts w:ascii="楷体_GB2312" w:hAnsi="Tahoma" w:cs="Tahoma"/>
                      <w:color w:val="000000"/>
                      <w:sz w:val="21"/>
                      <w:szCs w:val="21"/>
                    </w:rPr>
                    <w:t>“</w:t>
                  </w:r>
                  <w:r>
                    <w:rPr>
                      <w:rFonts w:ascii="楷体_GB2312" w:hAnsi="Tahoma" w:cs="Tahoma" w:hint="eastAsia"/>
                      <w:color w:val="000000"/>
                      <w:sz w:val="21"/>
                      <w:szCs w:val="21"/>
                    </w:rPr>
                    <w:t>国金证券股份有限公司</w:t>
                  </w:r>
                  <w:r>
                    <w:rPr>
                      <w:rFonts w:ascii="楷体_GB2312" w:hAnsi="Tahoma" w:cs="Tahoma"/>
                      <w:color w:val="000000"/>
                      <w:sz w:val="21"/>
                      <w:szCs w:val="21"/>
                    </w:rPr>
                    <w:t>”</w:t>
                  </w:r>
                  <w:r>
                    <w:rPr>
                      <w:rFonts w:ascii="楷体_GB2312" w:hAnsi="Tahoma" w:cs="Tahoma" w:hint="eastAsia"/>
                      <w:color w:val="000000"/>
                      <w:sz w:val="21"/>
                      <w:szCs w:val="21"/>
                    </w:rPr>
                    <w:t>（以下简称</w:t>
                  </w:r>
                  <w:r>
                    <w:rPr>
                      <w:rFonts w:ascii="楷体_GB2312" w:hAnsi="Tahoma" w:cs="Tahoma"/>
                      <w:color w:val="000000"/>
                      <w:sz w:val="21"/>
                      <w:szCs w:val="21"/>
                    </w:rPr>
                    <w:t>“</w:t>
                  </w:r>
                  <w:r>
                    <w:rPr>
                      <w:rFonts w:ascii="楷体_GB2312" w:hAnsi="Tahoma" w:cs="Tahoma" w:hint="eastAsia"/>
                      <w:color w:val="000000"/>
                      <w:sz w:val="21"/>
                      <w:szCs w:val="21"/>
                    </w:rPr>
                    <w:t>国金证券</w:t>
                  </w:r>
                  <w:r>
                    <w:rPr>
                      <w:rFonts w:ascii="楷体_GB2312" w:hAnsi="Tahoma" w:cs="Tahoma"/>
                      <w:color w:val="000000"/>
                      <w:sz w:val="21"/>
                      <w:szCs w:val="21"/>
                    </w:rPr>
                    <w:t>”</w:t>
                  </w:r>
                  <w:r>
                    <w:rPr>
                      <w:rFonts w:ascii="楷体_GB2312" w:hAnsi="Tahoma" w:cs="Tahoma" w:hint="eastAsia"/>
                      <w:color w:val="000000"/>
                      <w:sz w:val="21"/>
                      <w:szCs w:val="21"/>
                    </w:rPr>
                    <w:t>）所有，未经事先书面授权，本报告的任何部分均不得以任何方式制作任何形式的拷贝，或再次分发给任何其他人，或以任何侵犯本公司版权的其他方式使用。经过书面授权的引用、刊发，需注明出处为</w:t>
                  </w:r>
                  <w:r>
                    <w:rPr>
                      <w:rFonts w:ascii="楷体_GB2312" w:hAnsi="Tahoma" w:cs="Tahoma"/>
                      <w:color w:val="000000"/>
                      <w:sz w:val="21"/>
                      <w:szCs w:val="21"/>
                    </w:rPr>
                    <w:t>“</w:t>
                  </w:r>
                  <w:r>
                    <w:rPr>
                      <w:rFonts w:ascii="楷体_GB2312" w:hAnsi="Tahoma" w:cs="Tahoma" w:hint="eastAsia"/>
                      <w:color w:val="000000"/>
                      <w:sz w:val="21"/>
                      <w:szCs w:val="21"/>
                    </w:rPr>
                    <w:t>国金证券股份有限公司</w:t>
                  </w:r>
                  <w:r>
                    <w:rPr>
                      <w:rFonts w:ascii="楷体_GB2312" w:hAnsi="Tahoma" w:cs="Tahoma"/>
                      <w:color w:val="000000"/>
                      <w:sz w:val="21"/>
                      <w:szCs w:val="21"/>
                    </w:rPr>
                    <w:t>”</w:t>
                  </w:r>
                  <w:r>
                    <w:rPr>
                      <w:rFonts w:ascii="楷体_GB2312" w:hAnsi="Tahoma" w:cs="Tahoma" w:hint="eastAsia"/>
                      <w:color w:val="000000"/>
                      <w:sz w:val="21"/>
                      <w:szCs w:val="21"/>
                    </w:rPr>
                    <w:t>，且不得对本报告进行任何有悖原意的删节和修改。</w:t>
                  </w:r>
                </w:p>
                <w:p w:rsidR="00BC331F" w:rsidRDefault="00BC331F" w:rsidP="00DF32E3">
                  <w:pPr>
                    <w:ind w:firstLine="420"/>
                    <w:jc w:val="left"/>
                    <w:rPr>
                      <w:rFonts w:ascii="Tahoma" w:eastAsia="宋体" w:hAnsi="Tahoma" w:cs="Tahoma"/>
                      <w:color w:val="000000"/>
                      <w:sz w:val="20"/>
                    </w:rPr>
                  </w:pPr>
                  <w:r>
                    <w:rPr>
                      <w:rFonts w:ascii="楷体_GB2312" w:hAnsi="Tahoma" w:cs="Tahoma" w:hint="eastAsia"/>
                      <w:color w:val="000000"/>
                      <w:sz w:val="21"/>
                      <w:szCs w:val="21"/>
                    </w:rPr>
                    <w:t>本报告的产生基于国金证券及其研究人员认为可信的公开资料或实地调研资料，但国金证券及其研究人员对这些信息的准确性和完整性不作任何保证，对由于该等问题产生的一切责任，国金证券不</w:t>
                  </w:r>
                  <w:proofErr w:type="gramStart"/>
                  <w:r>
                    <w:rPr>
                      <w:rFonts w:ascii="楷体_GB2312" w:hAnsi="Tahoma" w:cs="Tahoma" w:hint="eastAsia"/>
                      <w:color w:val="000000"/>
                      <w:sz w:val="21"/>
                      <w:szCs w:val="21"/>
                    </w:rPr>
                    <w:t>作出</w:t>
                  </w:r>
                  <w:proofErr w:type="gramEnd"/>
                  <w:r>
                    <w:rPr>
                      <w:rFonts w:ascii="楷体_GB2312" w:hAnsi="Tahoma" w:cs="Tahoma" w:hint="eastAsia"/>
                      <w:color w:val="000000"/>
                      <w:sz w:val="21"/>
                      <w:szCs w:val="21"/>
                    </w:rPr>
                    <w:t>任何担保。且本报告中的资料、意见、预测均反映报告初次公开发布时的判断，在</w:t>
                  </w:r>
                  <w:proofErr w:type="gramStart"/>
                  <w:r>
                    <w:rPr>
                      <w:rFonts w:ascii="楷体_GB2312" w:hAnsi="Tahoma" w:cs="Tahoma" w:hint="eastAsia"/>
                      <w:color w:val="000000"/>
                      <w:sz w:val="21"/>
                      <w:szCs w:val="21"/>
                    </w:rPr>
                    <w:t>不作事</w:t>
                  </w:r>
                  <w:proofErr w:type="gramEnd"/>
                  <w:r>
                    <w:rPr>
                      <w:rFonts w:ascii="楷体_GB2312" w:hAnsi="Tahoma" w:cs="Tahoma" w:hint="eastAsia"/>
                      <w:color w:val="000000"/>
                      <w:sz w:val="21"/>
                      <w:szCs w:val="21"/>
                    </w:rPr>
                    <w:t>先通知的情况下，可能会随时调整。</w:t>
                  </w:r>
                </w:p>
                <w:p w:rsidR="00BC331F" w:rsidRDefault="00BC331F" w:rsidP="00DF32E3">
                  <w:pPr>
                    <w:ind w:firstLine="420"/>
                    <w:jc w:val="left"/>
                    <w:rPr>
                      <w:rFonts w:ascii="Tahoma" w:eastAsia="宋体" w:hAnsi="Tahoma" w:cs="Tahoma"/>
                      <w:color w:val="000000"/>
                      <w:sz w:val="20"/>
                    </w:rPr>
                  </w:pPr>
                  <w:r>
                    <w:rPr>
                      <w:rFonts w:ascii="楷体_GB2312" w:hAnsi="Tahoma" w:cs="Tahoma" w:hint="eastAsia"/>
                      <w:color w:val="000000"/>
                      <w:sz w:val="21"/>
                      <w:szCs w:val="21"/>
                    </w:rPr>
                    <w:t>客户应当考虑到国金证券存在可能影响本报告客观性的利益冲突，而不应视本报告为</w:t>
                  </w:r>
                  <w:proofErr w:type="gramStart"/>
                  <w:r>
                    <w:rPr>
                      <w:rFonts w:ascii="楷体_GB2312" w:hAnsi="Tahoma" w:cs="Tahoma" w:hint="eastAsia"/>
                      <w:color w:val="000000"/>
                      <w:sz w:val="21"/>
                      <w:szCs w:val="21"/>
                    </w:rPr>
                    <w:t>作出</w:t>
                  </w:r>
                  <w:proofErr w:type="gramEnd"/>
                  <w:r>
                    <w:rPr>
                      <w:rFonts w:ascii="楷体_GB2312" w:hAnsi="Tahoma" w:cs="Tahoma" w:hint="eastAsia"/>
                      <w:color w:val="000000"/>
                      <w:sz w:val="21"/>
                      <w:szCs w:val="21"/>
                    </w:rPr>
                    <w:t>投资决策的唯一因素。本报告亦</w:t>
                  </w:r>
                  <w:proofErr w:type="gramStart"/>
                  <w:r>
                    <w:rPr>
                      <w:rFonts w:ascii="楷体_GB2312" w:hAnsi="Tahoma" w:cs="Tahoma" w:hint="eastAsia"/>
                      <w:color w:val="000000"/>
                      <w:sz w:val="21"/>
                      <w:szCs w:val="21"/>
                    </w:rPr>
                    <w:t>非作为</w:t>
                  </w:r>
                  <w:proofErr w:type="gramEnd"/>
                  <w:r>
                    <w:rPr>
                      <w:rFonts w:ascii="楷体_GB2312" w:hAnsi="Tahoma" w:cs="Tahoma" w:hint="eastAsia"/>
                      <w:color w:val="000000"/>
                      <w:sz w:val="21"/>
                      <w:szCs w:val="21"/>
                    </w:rPr>
                    <w:t>或被视为出售或购买证券或其他投资标的邀请。</w:t>
                  </w:r>
                </w:p>
                <w:p w:rsidR="00BC331F" w:rsidRDefault="00BC331F" w:rsidP="00DF32E3">
                  <w:pPr>
                    <w:ind w:firstLine="420"/>
                    <w:jc w:val="left"/>
                    <w:rPr>
                      <w:rFonts w:ascii="Tahoma" w:eastAsia="宋体" w:hAnsi="Tahoma" w:cs="Tahoma"/>
                      <w:color w:val="000000"/>
                      <w:sz w:val="20"/>
                    </w:rPr>
                  </w:pPr>
                  <w:r>
                    <w:rPr>
                      <w:rFonts w:ascii="楷体_GB2312" w:hAnsi="Tahoma" w:cs="Tahoma" w:hint="eastAsia"/>
                      <w:color w:val="000000"/>
                      <w:sz w:val="21"/>
                      <w:szCs w:val="21"/>
                    </w:rPr>
                    <w:t>证券研究报告是用于服务机构投资者和投资顾问的专业产品，使用时必须经专业人士进行解读。国金证券建议客户应考虑本报告的任何意见或建议是否符合其特定状况，以及（若有必要）咨询独立投资顾问。报告本身、报告中的信息或所表达意见也不构成投资、法律、会计或税务的最终操作建议，国金证券不就报告中的内容对最终操作建议做出任何担保。</w:t>
                  </w:r>
                </w:p>
                <w:p w:rsidR="00BC331F" w:rsidRDefault="00BC331F" w:rsidP="00DF32E3">
                  <w:pPr>
                    <w:ind w:firstLine="420"/>
                    <w:jc w:val="left"/>
                    <w:rPr>
                      <w:rFonts w:ascii="Tahoma" w:eastAsia="宋体" w:hAnsi="Tahoma" w:cs="Tahoma"/>
                      <w:color w:val="000000"/>
                      <w:sz w:val="20"/>
                    </w:rPr>
                  </w:pPr>
                  <w:r>
                    <w:rPr>
                      <w:rFonts w:ascii="楷体_GB2312" w:hAnsi="Tahoma" w:cs="Tahoma" w:hint="eastAsia"/>
                      <w:color w:val="000000"/>
                      <w:sz w:val="21"/>
                      <w:szCs w:val="21"/>
                    </w:rPr>
                    <w:t>在法律允许的情况下，国金证券的关联机构可能会持有报告中涉及的公司所发行的证券并进行交易，并可能为这些公司正在提供或争取提供多种金融服务。</w:t>
                  </w:r>
                </w:p>
                <w:p w:rsidR="00BC331F" w:rsidRDefault="00BC331F" w:rsidP="00DF32E3">
                  <w:pPr>
                    <w:ind w:firstLine="420"/>
                    <w:jc w:val="left"/>
                    <w:rPr>
                      <w:rFonts w:ascii="楷体_GB2312" w:hAnsi="Tahoma" w:cs="Tahoma"/>
                      <w:color w:val="000000"/>
                      <w:sz w:val="21"/>
                      <w:szCs w:val="21"/>
                    </w:rPr>
                  </w:pPr>
                  <w:r>
                    <w:rPr>
                      <w:rFonts w:ascii="楷体_GB2312" w:hAnsi="Tahoma" w:cs="Tahoma" w:hint="eastAsia"/>
                      <w:color w:val="000000"/>
                      <w:sz w:val="21"/>
                      <w:szCs w:val="21"/>
                    </w:rPr>
                    <w:t>本报告反映编写分析员的不同设想、见解及分析方法，故本报告所载观点可能与其他类似研究报告的观点及市场实际情况不一致，且收件人亦不会因为收到本报告而成为国金证券的客户。</w:t>
                  </w:r>
                </w:p>
                <w:p w:rsidR="00BC331F" w:rsidRDefault="00BC331F" w:rsidP="000E6AE0">
                  <w:pPr>
                    <w:pStyle w:val="a0"/>
                    <w:spacing w:after="40" w:line="200" w:lineRule="atLeast"/>
                    <w:ind w:left="0" w:rightChars="-27" w:right="-49"/>
                    <w:rPr>
                      <w:b/>
                      <w:bCs/>
                      <w:color w:val="auto"/>
                      <w:szCs w:val="15"/>
                    </w:rPr>
                  </w:pPr>
                  <w:r>
                    <w:rPr>
                      <w:rFonts w:eastAsia="宋体"/>
                      <w:b/>
                      <w:bCs/>
                      <w:szCs w:val="18"/>
                    </w:rPr>
                    <w:t xml:space="preserve">         </w:t>
                  </w:r>
                  <w:r>
                    <w:rPr>
                      <w:rFonts w:ascii="楷体_GB2312" w:hAnsi="Tahoma" w:cs="Tahoma" w:hint="eastAsia"/>
                      <w:szCs w:val="21"/>
                    </w:rPr>
                    <w:t>本报告仅供国金证券股份有限公司的机构客户使用；非国金证券客户擅自使用国金证券研究报告进行投资，遭受任何损失，国金证券不承担相关法律责任。</w:t>
                  </w:r>
                </w:p>
                <w:p w:rsidR="00BC331F" w:rsidRDefault="00BC331F" w:rsidP="000E6AE0">
                  <w:pPr>
                    <w:pStyle w:val="a0"/>
                    <w:spacing w:after="60"/>
                    <w:ind w:left="0" w:rightChars="-27" w:right="-49"/>
                    <w:rPr>
                      <w:color w:val="auto"/>
                      <w:szCs w:val="15"/>
                    </w:rPr>
                  </w:pPr>
                </w:p>
                <w:p w:rsidR="00BC331F" w:rsidRDefault="00BC331F" w:rsidP="000E6AE0">
                  <w:pPr>
                    <w:pStyle w:val="a0"/>
                    <w:spacing w:after="60"/>
                    <w:ind w:left="0" w:rightChars="-27" w:right="-49"/>
                    <w:rPr>
                      <w:color w:val="auto"/>
                      <w:szCs w:val="15"/>
                    </w:rPr>
                  </w:pPr>
                </w:p>
                <w:p w:rsidR="00BC331F" w:rsidRPr="000336C0" w:rsidRDefault="00BC331F" w:rsidP="000E6AE0">
                  <w:pPr>
                    <w:pStyle w:val="a0"/>
                    <w:spacing w:after="60"/>
                    <w:ind w:left="0" w:rightChars="-27" w:right="-49"/>
                    <w:rPr>
                      <w:color w:val="auto"/>
                      <w:szCs w:val="15"/>
                    </w:rPr>
                  </w:pPr>
                </w:p>
              </w:txbxContent>
            </v:textbox>
            <w10:wrap type="square" anchory="page"/>
          </v:shape>
        </w:pict>
      </w:r>
    </w:p>
    <w:p w:rsidR="00ED77B9" w:rsidRDefault="00ED77B9" w:rsidP="00ED77B9">
      <w:pPr>
        <w:spacing w:line="14" w:lineRule="exact"/>
      </w:pPr>
    </w:p>
    <w:p w:rsidR="00762F0E" w:rsidRPr="00ED77B9" w:rsidRDefault="00762F0E" w:rsidP="00ED77B9">
      <w:pPr>
        <w:spacing w:line="14" w:lineRule="exact"/>
      </w:pPr>
    </w:p>
    <w:p w:rsidR="00E1684A" w:rsidRDefault="00E1684A" w:rsidP="00E1684A">
      <w:pPr>
        <w:spacing w:line="14" w:lineRule="exact"/>
      </w:pPr>
    </w:p>
    <w:sdt>
      <w:sdtPr>
        <w:alias w:val="末页联系地址"/>
        <w:tag w:val="BDCONTENTCONTROL_2602561a-fc2b-4adc-befd-22fa63ba88c6"/>
        <w:id w:val="-1419249774"/>
        <w:placeholder>
          <w:docPart w:val="54AF2181C0C147DEA030CF0D673747D7"/>
        </w:placeholder>
      </w:sdtPr>
      <w:sdtContent>
        <w:p w:rsidR="004C64E0" w:rsidRDefault="004C64E0" w:rsidP="004C64E0">
          <w:pPr>
            <w:spacing w:line="14" w:lineRule="exact"/>
          </w:pPr>
        </w:p>
        <w:tbl>
          <w:tblPr>
            <w:tblW w:w="0" w:type="auto"/>
            <w:tblLayout w:type="fixed"/>
            <w:tblLook w:val="0000" w:firstRow="0" w:lastRow="0" w:firstColumn="0" w:lastColumn="0" w:noHBand="0" w:noVBand="0"/>
          </w:tblPr>
          <w:tblGrid>
            <w:gridCol w:w="3625"/>
            <w:gridCol w:w="3625"/>
            <w:gridCol w:w="3625"/>
          </w:tblGrid>
          <w:tr w:rsidR="004C64E0">
            <w:tc>
              <w:tcPr>
                <w:tcW w:w="3625" w:type="dxa"/>
              </w:tcPr>
              <w:p w:rsidR="004C64E0" w:rsidRPr="004C64E0" w:rsidRDefault="00346B58" w:rsidP="004C64E0">
                <w:pPr>
                  <w:spacing w:after="120" w:line="240" w:lineRule="exact"/>
                  <w:rPr>
                    <w:b/>
                  </w:rPr>
                </w:pPr>
                <w:r>
                  <w:rPr>
                    <w:rFonts w:hint="eastAsia"/>
                    <w:b/>
                  </w:rPr>
                  <w:t>上海</w:t>
                </w:r>
              </w:p>
            </w:tc>
            <w:tc>
              <w:tcPr>
                <w:tcW w:w="3625" w:type="dxa"/>
              </w:tcPr>
              <w:p w:rsidR="004C64E0" w:rsidRPr="004C64E0" w:rsidRDefault="00346B58" w:rsidP="004C64E0">
                <w:pPr>
                  <w:spacing w:after="120" w:line="240" w:lineRule="exact"/>
                  <w:rPr>
                    <w:b/>
                  </w:rPr>
                </w:pPr>
                <w:r>
                  <w:rPr>
                    <w:rFonts w:hint="eastAsia"/>
                    <w:b/>
                  </w:rPr>
                  <w:t>北京</w:t>
                </w:r>
              </w:p>
            </w:tc>
            <w:tc>
              <w:tcPr>
                <w:tcW w:w="3625" w:type="dxa"/>
              </w:tcPr>
              <w:p w:rsidR="004C64E0" w:rsidRPr="004C64E0" w:rsidRDefault="00346B58" w:rsidP="004C64E0">
                <w:pPr>
                  <w:spacing w:after="120" w:line="240" w:lineRule="exact"/>
                  <w:rPr>
                    <w:b/>
                  </w:rPr>
                </w:pPr>
                <w:r>
                  <w:rPr>
                    <w:rFonts w:hint="eastAsia"/>
                    <w:b/>
                  </w:rPr>
                  <w:t>深圳</w:t>
                </w:r>
              </w:p>
            </w:tc>
          </w:tr>
          <w:tr w:rsidR="004C64E0">
            <w:tc>
              <w:tcPr>
                <w:tcW w:w="3625" w:type="dxa"/>
              </w:tcPr>
              <w:p w:rsidR="00346B58" w:rsidRDefault="00346B58" w:rsidP="000B01C0">
                <w:pPr>
                  <w:spacing w:after="120" w:line="240" w:lineRule="exact"/>
                </w:pPr>
                <w:r>
                  <w:rPr>
                    <w:rFonts w:hint="eastAsia"/>
                  </w:rPr>
                  <w:t>电话：</w:t>
                </w:r>
                <w:r>
                  <w:rPr>
                    <w:rFonts w:hint="eastAsia"/>
                  </w:rPr>
                  <w:t>021-60753903</w:t>
                </w:r>
              </w:p>
              <w:p w:rsidR="00346B58" w:rsidRDefault="00346B58" w:rsidP="000B01C0">
                <w:pPr>
                  <w:spacing w:after="120" w:line="240" w:lineRule="exact"/>
                </w:pPr>
                <w:r>
                  <w:rPr>
                    <w:rFonts w:hint="eastAsia"/>
                  </w:rPr>
                  <w:t>传真：</w:t>
                </w:r>
                <w:r>
                  <w:rPr>
                    <w:rFonts w:hint="eastAsia"/>
                  </w:rPr>
                  <w:t>021-61038200</w:t>
                </w:r>
              </w:p>
              <w:p w:rsidR="00346B58" w:rsidRDefault="00346B58" w:rsidP="000B01C0">
                <w:pPr>
                  <w:spacing w:after="120" w:line="240" w:lineRule="exact"/>
                </w:pPr>
                <w:r>
                  <w:rPr>
                    <w:rFonts w:hint="eastAsia"/>
                  </w:rPr>
                  <w:t>邮箱：</w:t>
                </w:r>
                <w:r>
                  <w:rPr>
                    <w:rFonts w:hint="eastAsia"/>
                  </w:rPr>
                  <w:t>researchsh@gjzq.com.cn</w:t>
                </w:r>
              </w:p>
              <w:p w:rsidR="00346B58" w:rsidRDefault="00346B58" w:rsidP="000B01C0">
                <w:pPr>
                  <w:spacing w:after="120" w:line="240" w:lineRule="exact"/>
                </w:pPr>
                <w:r>
                  <w:rPr>
                    <w:rFonts w:hint="eastAsia"/>
                  </w:rPr>
                  <w:t>邮编：</w:t>
                </w:r>
                <w:r>
                  <w:rPr>
                    <w:rFonts w:hint="eastAsia"/>
                  </w:rPr>
                  <w:t>201204</w:t>
                </w:r>
              </w:p>
              <w:p w:rsidR="00346B58" w:rsidRDefault="00346B58" w:rsidP="000B01C0">
                <w:pPr>
                  <w:spacing w:after="120" w:line="240" w:lineRule="exact"/>
                </w:pPr>
                <w:r>
                  <w:rPr>
                    <w:rFonts w:hint="eastAsia"/>
                  </w:rPr>
                  <w:t>地址：上海浦东新区芳</w:t>
                </w:r>
                <w:proofErr w:type="gramStart"/>
                <w:r>
                  <w:rPr>
                    <w:rFonts w:hint="eastAsia"/>
                  </w:rPr>
                  <w:t>甸</w:t>
                </w:r>
                <w:proofErr w:type="gramEnd"/>
                <w:r>
                  <w:rPr>
                    <w:rFonts w:hint="eastAsia"/>
                  </w:rPr>
                  <w:t>路</w:t>
                </w:r>
                <w:r>
                  <w:rPr>
                    <w:rFonts w:hint="eastAsia"/>
                  </w:rPr>
                  <w:t>1088</w:t>
                </w:r>
                <w:r>
                  <w:rPr>
                    <w:rFonts w:hint="eastAsia"/>
                  </w:rPr>
                  <w:t>号</w:t>
                </w:r>
              </w:p>
              <w:p w:rsidR="004C64E0" w:rsidRDefault="00346B58" w:rsidP="000B01C0">
                <w:pPr>
                  <w:spacing w:after="120" w:line="240" w:lineRule="exact"/>
                </w:pPr>
                <w:r>
                  <w:rPr>
                    <w:rFonts w:hint="eastAsia"/>
                  </w:rPr>
                  <w:t xml:space="preserve">           </w:t>
                </w:r>
                <w:r>
                  <w:rPr>
                    <w:rFonts w:hint="eastAsia"/>
                  </w:rPr>
                  <w:t>紫竹国际大厦</w:t>
                </w:r>
                <w:r>
                  <w:rPr>
                    <w:rFonts w:hint="eastAsia"/>
                  </w:rPr>
                  <w:t>7</w:t>
                </w:r>
                <w:r>
                  <w:rPr>
                    <w:rFonts w:hint="eastAsia"/>
                  </w:rPr>
                  <w:t>楼</w:t>
                </w:r>
              </w:p>
            </w:tc>
            <w:tc>
              <w:tcPr>
                <w:tcW w:w="3625" w:type="dxa"/>
              </w:tcPr>
              <w:p w:rsidR="00346B58" w:rsidRDefault="00346B58" w:rsidP="000B01C0">
                <w:pPr>
                  <w:spacing w:after="120" w:line="240" w:lineRule="exact"/>
                </w:pPr>
                <w:r>
                  <w:rPr>
                    <w:rFonts w:hint="eastAsia"/>
                  </w:rPr>
                  <w:t>电话：</w:t>
                </w:r>
                <w:r>
                  <w:rPr>
                    <w:rFonts w:hint="eastAsia"/>
                  </w:rPr>
                  <w:t>010-66216979</w:t>
                </w:r>
              </w:p>
              <w:p w:rsidR="00346B58" w:rsidRDefault="00346B58" w:rsidP="000B01C0">
                <w:pPr>
                  <w:spacing w:after="120" w:line="240" w:lineRule="exact"/>
                </w:pPr>
                <w:r>
                  <w:rPr>
                    <w:rFonts w:hint="eastAsia"/>
                  </w:rPr>
                  <w:t>传真：</w:t>
                </w:r>
                <w:r>
                  <w:rPr>
                    <w:rFonts w:hint="eastAsia"/>
                  </w:rPr>
                  <w:t>010-66216793</w:t>
                </w:r>
              </w:p>
              <w:p w:rsidR="00346B58" w:rsidRDefault="00346B58" w:rsidP="000B01C0">
                <w:pPr>
                  <w:spacing w:after="120" w:line="240" w:lineRule="exact"/>
                </w:pPr>
                <w:r>
                  <w:rPr>
                    <w:rFonts w:hint="eastAsia"/>
                  </w:rPr>
                  <w:t>邮箱：</w:t>
                </w:r>
                <w:r>
                  <w:rPr>
                    <w:rFonts w:hint="eastAsia"/>
                  </w:rPr>
                  <w:t>researchbj@gjzq.com.cn</w:t>
                </w:r>
              </w:p>
              <w:p w:rsidR="00346B58" w:rsidRDefault="00346B58" w:rsidP="000B01C0">
                <w:pPr>
                  <w:spacing w:after="120" w:line="240" w:lineRule="exact"/>
                </w:pPr>
                <w:r>
                  <w:rPr>
                    <w:rFonts w:hint="eastAsia"/>
                  </w:rPr>
                  <w:t>邮编：</w:t>
                </w:r>
                <w:r>
                  <w:rPr>
                    <w:rFonts w:hint="eastAsia"/>
                  </w:rPr>
                  <w:t>100053</w:t>
                </w:r>
              </w:p>
              <w:p w:rsidR="004C64E0" w:rsidRDefault="00346B58" w:rsidP="000B01C0">
                <w:pPr>
                  <w:spacing w:after="120" w:line="240" w:lineRule="exact"/>
                </w:pPr>
                <w:r>
                  <w:rPr>
                    <w:rFonts w:hint="eastAsia"/>
                  </w:rPr>
                  <w:t>地址：中国北京西城区长椿街</w:t>
                </w:r>
                <w:r>
                  <w:rPr>
                    <w:rFonts w:hint="eastAsia"/>
                  </w:rPr>
                  <w:t>3</w:t>
                </w:r>
                <w:r>
                  <w:rPr>
                    <w:rFonts w:hint="eastAsia"/>
                  </w:rPr>
                  <w:t>号</w:t>
                </w:r>
                <w:r>
                  <w:rPr>
                    <w:rFonts w:hint="eastAsia"/>
                  </w:rPr>
                  <w:t xml:space="preserve">4 </w:t>
                </w:r>
                <w:r>
                  <w:rPr>
                    <w:rFonts w:hint="eastAsia"/>
                  </w:rPr>
                  <w:t>层</w:t>
                </w:r>
              </w:p>
            </w:tc>
            <w:tc>
              <w:tcPr>
                <w:tcW w:w="3625" w:type="dxa"/>
              </w:tcPr>
              <w:p w:rsidR="00346B58" w:rsidRDefault="00346B58" w:rsidP="000B01C0">
                <w:pPr>
                  <w:spacing w:after="120" w:line="240" w:lineRule="exact"/>
                </w:pPr>
                <w:r>
                  <w:rPr>
                    <w:rFonts w:hint="eastAsia"/>
                  </w:rPr>
                  <w:t>电话：</w:t>
                </w:r>
                <w:r>
                  <w:rPr>
                    <w:rFonts w:hint="eastAsia"/>
                  </w:rPr>
                  <w:t>0755-83831378</w:t>
                </w:r>
              </w:p>
              <w:p w:rsidR="00346B58" w:rsidRDefault="00346B58" w:rsidP="000B01C0">
                <w:pPr>
                  <w:spacing w:after="120" w:line="240" w:lineRule="exact"/>
                </w:pPr>
                <w:r>
                  <w:rPr>
                    <w:rFonts w:hint="eastAsia"/>
                  </w:rPr>
                  <w:t>传真：</w:t>
                </w:r>
                <w:r>
                  <w:rPr>
                    <w:rFonts w:hint="eastAsia"/>
                  </w:rPr>
                  <w:t>0755-83830558</w:t>
                </w:r>
              </w:p>
              <w:p w:rsidR="00346B58" w:rsidRDefault="00346B58" w:rsidP="000B01C0">
                <w:pPr>
                  <w:spacing w:after="120" w:line="240" w:lineRule="exact"/>
                </w:pPr>
                <w:r>
                  <w:rPr>
                    <w:rFonts w:hint="eastAsia"/>
                  </w:rPr>
                  <w:t>邮箱：</w:t>
                </w:r>
                <w:r>
                  <w:rPr>
                    <w:rFonts w:hint="eastAsia"/>
                  </w:rPr>
                  <w:t>researchsz@gjzq.com.cn</w:t>
                </w:r>
              </w:p>
              <w:p w:rsidR="00346B58" w:rsidRDefault="00346B58" w:rsidP="000B01C0">
                <w:pPr>
                  <w:spacing w:after="120" w:line="240" w:lineRule="exact"/>
                </w:pPr>
                <w:r>
                  <w:rPr>
                    <w:rFonts w:hint="eastAsia"/>
                  </w:rPr>
                  <w:t>邮编：</w:t>
                </w:r>
                <w:r>
                  <w:rPr>
                    <w:rFonts w:hint="eastAsia"/>
                  </w:rPr>
                  <w:t>518000</w:t>
                </w:r>
              </w:p>
              <w:p w:rsidR="00346B58" w:rsidRDefault="00346B58" w:rsidP="000B01C0">
                <w:pPr>
                  <w:spacing w:after="120" w:line="240" w:lineRule="exact"/>
                </w:pPr>
                <w:r>
                  <w:rPr>
                    <w:rFonts w:hint="eastAsia"/>
                  </w:rPr>
                  <w:t>地址：中国深圳福田区深南大道</w:t>
                </w:r>
                <w:r>
                  <w:rPr>
                    <w:rFonts w:hint="eastAsia"/>
                  </w:rPr>
                  <w:t>4001</w:t>
                </w:r>
                <w:r>
                  <w:rPr>
                    <w:rFonts w:hint="eastAsia"/>
                  </w:rPr>
                  <w:t>号</w:t>
                </w:r>
              </w:p>
              <w:p w:rsidR="004C64E0" w:rsidRDefault="00346B58" w:rsidP="000B01C0">
                <w:pPr>
                  <w:spacing w:after="120" w:line="240" w:lineRule="exact"/>
                </w:pPr>
                <w:r>
                  <w:rPr>
                    <w:rFonts w:hint="eastAsia"/>
                  </w:rPr>
                  <w:t xml:space="preserve">           </w:t>
                </w:r>
                <w:r>
                  <w:rPr>
                    <w:rFonts w:hint="eastAsia"/>
                  </w:rPr>
                  <w:t>时代金融中心</w:t>
                </w:r>
                <w:r>
                  <w:rPr>
                    <w:rFonts w:hint="eastAsia"/>
                  </w:rPr>
                  <w:t>7BD</w:t>
                </w:r>
              </w:p>
            </w:tc>
          </w:tr>
        </w:tbl>
        <w:p w:rsidR="00E1684A" w:rsidRDefault="00BC331F" w:rsidP="00346B58">
          <w:pPr>
            <w:spacing w:line="14" w:lineRule="exact"/>
          </w:pPr>
        </w:p>
      </w:sdtContent>
    </w:sdt>
    <w:p w:rsidR="005E311D" w:rsidRPr="00ED77B9" w:rsidRDefault="005E311D" w:rsidP="00ED77B9"/>
    <w:sectPr w:rsidR="005E311D" w:rsidRPr="00ED77B9" w:rsidSect="00A87799">
      <w:headerReference w:type="default" r:id="rId16"/>
      <w:footerReference w:type="even" r:id="rId17"/>
      <w:footerReference w:type="default" r:id="rId18"/>
      <w:headerReference w:type="first" r:id="rId19"/>
      <w:footerReference w:type="first" r:id="rId20"/>
      <w:type w:val="continuous"/>
      <w:pgSz w:w="11907" w:h="16840" w:code="9"/>
      <w:pgMar w:top="1440" w:right="624" w:bottom="1440" w:left="624" w:header="851"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96B" w:rsidRDefault="001B396B">
      <w:r>
        <w:separator/>
      </w:r>
    </w:p>
  </w:endnote>
  <w:endnote w:type="continuationSeparator" w:id="0">
    <w:p w:rsidR="001B396B" w:rsidRDefault="001B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Courier New"/>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T">
    <w:altName w:val="Times New Roman"/>
    <w:panose1 w:val="00000000000000000000"/>
    <w:charset w:val="00"/>
    <w:family w:val="auto"/>
    <w:notTrueType/>
    <w:pitch w:val="variable"/>
    <w:sig w:usb0="00000003" w:usb1="00000000" w:usb2="00000000" w:usb3="00000000" w:csb0="00000001" w:csb1="00000000"/>
  </w:font>
  <w:font w:name="LucidaSan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31F" w:rsidRDefault="00BC331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C331F" w:rsidRDefault="00BC331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31F" w:rsidRPr="00A30364" w:rsidRDefault="00BC331F" w:rsidP="007F6DAF">
    <w:pPr>
      <w:pStyle w:val="a6"/>
      <w:pBdr>
        <w:bottom w:val="none" w:sz="0" w:space="0" w:color="auto"/>
      </w:pBdr>
      <w:rPr>
        <w:rFonts w:ascii="LucidaSans" w:hAnsi="LucidaSans"/>
        <w:b/>
      </w:rPr>
    </w:pPr>
    <w:r>
      <w:rPr>
        <w:noProof/>
      </w:rPr>
      <w:pict>
        <v:line id="Line 34" o:spid="_x0000_s2051" style="position:absolute;left:0;text-align:left;z-index:251659264;visibility:visible;mso-wrap-distance-top:-3e-5mm;mso-wrap-distance-bottom:-3e-5mm" from="-7.65pt,-.6pt" to="540.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9/1jgIAAGIFAAAOAAAAZHJzL2Uyb0RvYy54bWysVMGOmzAQvVfqP1i+s0BCEoKWrLJAetm2&#10;K+1WPTvYBKtgI9sJiar+e8dOoMn2UlULkuWxPc9v5s34/uHYNujAlOZSpDi8CzBiopSUi12Kv71u&#10;vBgjbYigpJGCpfjENH5Yffxw33cJm8haNpQpBCBCJ32X4tqYLvF9XdasJfpOdkzAZiVVSwyYaudT&#10;RXpAbxt/EgRzv5eKdkqWTGtYzc+beOXwq4qV5mtVaWZQk2LgZtyo3Li1o7+6J8lOka7m5YUG+Q8W&#10;LeECLh2hcmII2iv+F1TLSyW1rMxdKVtfVhUvmYsBogmDN9G81KRjLhZIju7GNOn3gy2/HJ4V4jTF&#10;EUaCtCDRExcMTSObmr7TCZzIxLOywZVH8dI9yfKHRkJmNRE75ii+njrwC62Hf+NiDd3BBdv+s6Rw&#10;huyNdHk6Vqq1kJABdHRynEY52NGgEhbny3kQL0C1ctjzSTI4dkqbT0y2yE5S3ABpB0wOT9pYIiQZ&#10;jth7hNzwpnFqNwL1KV7OJjPnoGXDqd20x7TabbNGoQOx9RKsg2LpooKd62NK7gV1YDUjtLjMDeHN&#10;eQ6XN8LiMVeCZ0ZgHQ1M3TqE6Mrj5zJYFnERR140mRdeFOS5t95kkTffhItZPs2zLA9/WaJhlNSc&#10;UiYs16FUw+jfSuHSNOciG4t1TIp/i+6yB2Rvma43s2ARTWNvsZhNvWhaBN5jvMm8dRbO54viMXss&#10;3jAtXPT6fciOqbSs5N4w9VLTHlFu5Z/OlpMQgwGtPVkE9sOINDt4k0qjMFLSfOemdtVq68xi3Ggd&#10;B/a/aD2inxMxaGitUYVLbH9SBZoP+romsHV/7qCtpKdnNTQHNLJzujw69qW4tmF+/TSufgMAAP//&#10;AwBQSwMEFAAGAAgAAAAhAEoNiUrbAAAACgEAAA8AAABkcnMvZG93bnJldi54bWxMj89OhDAQh+8m&#10;vkMzJt5228W4WZGyIUavJqIP0NKR4tIp0i6gT2+JB73Nny+/+aY4Lq5nE46h8yRhtxXAkBpvOmol&#10;vL0+bQ7AQlRkVO8JJXxhgGN5eVGo3PiZXnCqY8tSCIVcSbAxDjnnobHoVNj6ASnt3v3oVEzt2HIz&#10;qjmFu55nQuy5Ux2lC1YN+GCxOdVnJ2HQ42z9x+ez1tV3pk5VPT3uaymvr5bqHljEJf7BsOondSiT&#10;k/ZnMoH1Eja725uErkUGbAXEQdwB078TXhb8/wvlDwAAAP//AwBQSwECLQAUAAYACAAAACEAtoM4&#10;kv4AAADhAQAAEwAAAAAAAAAAAAAAAAAAAAAAW0NvbnRlbnRfVHlwZXNdLnhtbFBLAQItABQABgAI&#10;AAAAIQA4/SH/1gAAAJQBAAALAAAAAAAAAAAAAAAAAC8BAABfcmVscy8ucmVsc1BLAQItABQABgAI&#10;AAAAIQBAh9/1jgIAAGIFAAAOAAAAAAAAAAAAAAAAAC4CAABkcnMvZTJvRG9jLnhtbFBLAQItABQA&#10;BgAIAAAAIQBKDYlK2wAAAAoBAAAPAAAAAAAAAAAAAAAAAOgEAABkcnMvZG93bnJldi54bWxQSwUG&#10;AAAAAAQABADzAAAA8AUAAAAA&#10;" strokecolor="#00a0e9"/>
      </w:pict>
    </w:r>
    <w:r w:rsidRPr="00A30364">
      <w:rPr>
        <w:rFonts w:ascii="LucidaSans" w:hAnsi="LucidaSans"/>
        <w:b/>
        <w:szCs w:val="21"/>
      </w:rPr>
      <w:t xml:space="preserve">- </w:t>
    </w:r>
    <w:r w:rsidRPr="003C4E1B">
      <w:rPr>
        <w:b/>
        <w:szCs w:val="21"/>
      </w:rPr>
      <w:fldChar w:fldCharType="begin"/>
    </w:r>
    <w:r w:rsidRPr="003C4E1B">
      <w:rPr>
        <w:b/>
        <w:szCs w:val="21"/>
      </w:rPr>
      <w:instrText xml:space="preserve"> PAGE </w:instrText>
    </w:r>
    <w:r w:rsidRPr="003C4E1B">
      <w:rPr>
        <w:b/>
        <w:szCs w:val="21"/>
      </w:rPr>
      <w:fldChar w:fldCharType="separate"/>
    </w:r>
    <w:r w:rsidR="00C40FAB">
      <w:rPr>
        <w:b/>
        <w:noProof/>
        <w:szCs w:val="21"/>
      </w:rPr>
      <w:t>8</w:t>
    </w:r>
    <w:r w:rsidRPr="003C4E1B">
      <w:rPr>
        <w:b/>
        <w:szCs w:val="21"/>
      </w:rPr>
      <w:fldChar w:fldCharType="end"/>
    </w:r>
    <w:r w:rsidRPr="00A30364">
      <w:rPr>
        <w:rFonts w:ascii="LucidaSans" w:hAnsi="LucidaSans"/>
        <w:b/>
        <w:szCs w:val="21"/>
      </w:rPr>
      <w:t xml:space="preserve"> -</w:t>
    </w:r>
  </w:p>
  <w:p w:rsidR="00BC331F" w:rsidRDefault="00BC331F" w:rsidP="0007511E">
    <w:pPr>
      <w:pStyle w:val="a6"/>
      <w:pBdr>
        <w:bottom w:val="none" w:sz="0" w:space="0" w:color="auto"/>
      </w:pBdr>
      <w:jc w:val="left"/>
      <w:rPr>
        <w:rFonts w:ascii="LucidaSans" w:hAnsi="LucidaSans"/>
      </w:rPr>
    </w:pPr>
    <w:r>
      <w:rPr>
        <w:rFonts w:ascii="LucidaSans" w:hAnsi="LucidaSans" w:hint="eastAsia"/>
      </w:rPr>
      <w:t>敬请参阅最后一页特别声明</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31F" w:rsidRPr="00A30364" w:rsidRDefault="00BC331F" w:rsidP="00A30364">
    <w:pPr>
      <w:pStyle w:val="a4"/>
      <w:tabs>
        <w:tab w:val="center" w:pos="5103"/>
      </w:tabs>
      <w:jc w:val="center"/>
      <w:rPr>
        <w:rFonts w:cs="Arial"/>
        <w:b/>
      </w:rPr>
    </w:pPr>
    <w:r>
      <w:rPr>
        <w:noProof/>
      </w:rPr>
      <w:pict>
        <v:line id="Line 35" o:spid="_x0000_s2050" style="position:absolute;left:0;text-align:left;z-index:251660288;visibility:visible;mso-wrap-distance-top:-3e-5mm;mso-wrap-distance-bottom:-3e-5mm" from="-31.8pt,.5pt" to="570.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qyjQIAAGIFAAAOAAAAZHJzL2Uyb0RvYy54bWysVE2PmzAQvVfqf7B8Z4FAvtCSVRZIL9t2&#10;pd2qZwebYBVsZDshUdX/3rETaLK9VNWCZHlsz/ObeTO+fzi2DTowpbkUKQ7vAoyYKCXlYpfib68b&#10;b4GRNkRQ0kjBUnxiGj+sPn6477uETWQtG8oUAhChk75LcW1Ml/i+LmvWEn0nOyZgs5KqJQZMtfOp&#10;Ij2gt40/CYKZ30tFOyVLpjWs5udNvHL4VcVK87WqNDOoSTFwM25Ubtza0V/dk2SnSFfz8kKD/AeL&#10;lnABl45QOTEE7RX/C6rlpZJaVuaulK0vq4qXzMUA0YTBm2heatIxFwskR3djmvT7wZZfDs8KcZri&#10;CCNBWpDoiQuGoqlNTd/pBE5k4lnZ4MqjeOmeZPlDIyGzmogdcxRfTx34hdbDv3Gxhu7ggm3/WVI4&#10;Q/ZGujwdK9VaSMgAOjo5TqMc7GhQCYvzWTybzUG1ctjzSTI4dkqbT0y2yE5S3ABpB0wOT9pYIiQZ&#10;jth7hNzwpnFqNwL1KV5OJ1PnoGXDqd20x7TabbNGoQOx9RKsg2LpooKd62NK7gV1YDUjtLjMDeHN&#10;eQ6XN8LiMVeCZ0ZgHQ1M3TqE6Mrj5zJYFotiEXvxZFZ4cZDn3nqTxd5sE86neZRnWR7+skTDOKk5&#10;pUxYrkOphvG/lcKlac5FNhbrmBT/Ft1lD8jeMl1vpsE8jhbefD6NvDgqAu9xscm8dRaCTMVj9li8&#10;YVq46PX7kB1TaVnJvWHqpaY9otzKH02XkxCDAa09mQf2w4g0O3iTSqMwUtJ856Z21WrrzGLcaL0I&#10;7H/RekQ/J2LQ0FqjCpfY/qQKNB/0dU1g6/7cQVtJT89qaA5oZOd0eXTsS3Ftw/z6aVz9BgAA//8D&#10;AFBLAwQUAAYACAAAACEAMiXZsNkAAAAIAQAADwAAAGRycy9kb3ducmV2LnhtbEyPwU7DMBBE70j8&#10;g7VI3FqnBUUoxKkiBFckAh+wiZc4NLaD7SaBr2fLBY47bzQ7Ux5WO4qZQhy8U7DbZiDIdV4Prlfw&#10;9vq0uQMREzqNo3ek4IsiHKrLixIL7Rf3QnOTesEhLhaowKQ0FVLGzpDFuPUTOWbvPlhMfIZe6oAL&#10;h9tR7rMslxYHxx8MTvRgqDs2J6tgasNi/Mfnc9vW33s81s38mDdKXV+t9T2IRGv6M8O5PleHiju1&#10;/uR0FKOCTX6Ts5UBTzrz3W3GQvsryKqU/wdUPwAAAP//AwBQSwECLQAUAAYACAAAACEAtoM4kv4A&#10;AADhAQAAEwAAAAAAAAAAAAAAAAAAAAAAW0NvbnRlbnRfVHlwZXNdLnhtbFBLAQItABQABgAIAAAA&#10;IQA4/SH/1gAAAJQBAAALAAAAAAAAAAAAAAAAAC8BAABfcmVscy8ucmVsc1BLAQItABQABgAIAAAA&#10;IQC/AvqyjQIAAGIFAAAOAAAAAAAAAAAAAAAAAC4CAABkcnMvZTJvRG9jLnhtbFBLAQItABQABgAI&#10;AAAAIQAyJdmw2QAAAAgBAAAPAAAAAAAAAAAAAAAAAOcEAABkcnMvZG93bnJldi54bWxQSwUGAAAA&#10;AAQABADzAAAA7QUAAAAA&#10;" strokecolor="#00a0e9"/>
      </w:pict>
    </w:r>
    <w:r>
      <w:rPr>
        <w:noProof/>
      </w:rPr>
      <w:pict>
        <v:rect id="Rectangle 33" o:spid="_x0000_s2049" style="position:absolute;left:0;text-align:left;margin-left:-31.8pt;margin-top:24.65pt;width:596.1pt;height:19.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NeDwMAAHMGAAAOAAAAZHJzL2Uyb0RvYy54bWysVduO0zAQfUfiHyy/Z3Np0ly0KWq7DUJa&#10;YMWCeHYTp7FI7GC7my6If2fspDd4QYAiWR57fDzneGZy++rQteiJSsUEz7F/42FEeSkqxnc5/vSx&#10;cBKMlCa8Iq3gNMfPVOFXi5cvboc+o4FoRFtRiQCEq2zoc9xo3Weuq8qGdkTdiJ5y2KyF7IgGU+7c&#10;SpIB0LvWDTxv7g5CVr0UJVUKVu/GTbyw+HVNS/2+rhXVqM0xxKbtKO24NaO7uCXZTpK+YeUUBvmL&#10;KDrCOFx6grojmqC9ZL9BdayUQola35Sic0Vds5JaDsDG935h89iQnlouII7qTzKp/wdbvnt6kIhV&#10;OQ4w4qSDJ/oAohG+aymazYw+Q68ycHvsH6RhqPp7UX5RiIt1A250KaUYGkoqiMo3/u7VAWMoOIq2&#10;w1tRATzZa2GlOtSyM4AgAjrYF3k+vQg9aFTCYhzFXhjDw5WwF4RhGEf2CpIdT/dS6ddUdMhMciwh&#10;eItOnu6VNtGQ7OhioxctqwrWttaQu+26leiJQHZsluYbz7Z9Q8bVued5IytgPrpbTHWJ03KDxoXB&#10;Ha8cV6hNwDEOkgEnmBpPw84mx/fUD0JvFaROMU9iJyzCyEljL3E8P12lcy9Mw7vih4nJD7OGVRXl&#10;94zTY6L64Z8lwlQyY4rZVEVDjtMoiDAi7Q4Kt9TSMr+iNfEdhSgS803iX7l1TEMJt6zLcQJqeVNR&#10;mZTY8Ar0IJkmrB3n7jUTqyXIca3Ksoi8OJwlThxHMyecbTxnlRRrZ7n25/N4s1qvNv61KhurtPp3&#10;YWwgx2czhtgDu8emGlDFTILNojTwMRjQRIJ45HshIpJCf2a6saVr0tlgXAmZeOabhDyhj0KcL77Q&#10;aeJ2lgpS+phLttZMeY1lqg/bgy1mm7Km9Laieobig6hshUGnhkkj5DeMBuh6OVZf90RSjNo3HAo4&#10;9cPQtElrhFEcgCEvd7aXO4SXAJVjDWlkp2s9ttZ9L9mugZt8y5+LJRR9zWw9nqMCRsaAzma5TV3Y&#10;tM5L23qd/xWLnwAAAP//AwBQSwMEFAAGAAgAAAAhADEPE0/fAAAACgEAAA8AAABkcnMvZG93bnJl&#10;di54bWxMj01PwzAMhu9I/IfISNy2dN3UZaXphNCQduDC+DhnqdcWGqdqsq78e7wTHG0/et/HxXZy&#10;nRhxCK0nDYt5AgLJ+qqlWsP72/NMgQjRUGU6T6jhBwNsy9ubwuSVv9ArjodYCw6hkBsNTYx9LmWw&#10;DToT5r5H4tvJD85EHodaVoO5cLjrZJokmXSmJW5oTI9PDdrvw9lxSbLbjeke95PdfK3Wnyf1Ej+s&#10;1vd30+MDiIhT/IPhqs/qULLT0Z+pCqLTMMuWGaMaVpsliCuwSBVvjhrUWoEsC/n/hfIXAAD//wMA&#10;UEsBAi0AFAAGAAgAAAAhALaDOJL+AAAA4QEAABMAAAAAAAAAAAAAAAAAAAAAAFtDb250ZW50X1R5&#10;cGVzXS54bWxQSwECLQAUAAYACAAAACEAOP0h/9YAAACUAQAACwAAAAAAAAAAAAAAAAAvAQAAX3Jl&#10;bHMvLnJlbHNQSwECLQAUAAYACAAAACEA4ZYDXg8DAABzBgAADgAAAAAAAAAAAAAAAAAuAgAAZHJz&#10;L2Uyb0RvYy54bWxQSwECLQAUAAYACAAAACEAMQ8TT98AAAAKAQAADwAAAAAAAAAAAAAAAABpBQAA&#10;ZHJzL2Rvd25yZXYueG1sUEsFBgAAAAAEAAQA8wAAAHUGAAAAAA==&#10;" fillcolor="#eaeaea" stroked="f" strokecolor="#f8f8f8">
          <v:fill opacity="39321f"/>
          <v:textbox>
            <w:txbxContent>
              <w:p w:rsidR="00BC331F" w:rsidRPr="0003281B" w:rsidRDefault="00BC331F" w:rsidP="0003281B"/>
            </w:txbxContent>
          </v:textbox>
        </v:rect>
      </w:pict>
    </w:r>
    <w:r w:rsidRPr="00A30364">
      <w:rPr>
        <w:rFonts w:cs="Arial"/>
        <w:b/>
        <w:szCs w:val="21"/>
      </w:rPr>
      <w:t xml:space="preserve">- </w:t>
    </w:r>
    <w:r w:rsidRPr="00A30364">
      <w:rPr>
        <w:rFonts w:cs="Arial"/>
        <w:b/>
        <w:szCs w:val="21"/>
      </w:rPr>
      <w:fldChar w:fldCharType="begin"/>
    </w:r>
    <w:r w:rsidRPr="00A30364">
      <w:rPr>
        <w:rFonts w:cs="Arial"/>
        <w:b/>
        <w:szCs w:val="21"/>
      </w:rPr>
      <w:instrText xml:space="preserve"> PAGE </w:instrText>
    </w:r>
    <w:r w:rsidRPr="00A30364">
      <w:rPr>
        <w:rFonts w:cs="Arial"/>
        <w:b/>
        <w:szCs w:val="21"/>
      </w:rPr>
      <w:fldChar w:fldCharType="separate"/>
    </w:r>
    <w:r w:rsidR="00C40FAB">
      <w:rPr>
        <w:rFonts w:cs="Arial"/>
        <w:b/>
        <w:noProof/>
        <w:szCs w:val="21"/>
      </w:rPr>
      <w:t>1</w:t>
    </w:r>
    <w:r w:rsidRPr="00A30364">
      <w:rPr>
        <w:rFonts w:cs="Arial"/>
        <w:b/>
        <w:szCs w:val="21"/>
      </w:rPr>
      <w:fldChar w:fldCharType="end"/>
    </w:r>
    <w:r w:rsidRPr="00A30364">
      <w:rPr>
        <w:rFonts w:cs="Arial"/>
        <w:b/>
        <w:szCs w:val="21"/>
      </w:rPr>
      <w:t xml:space="preserve"> -</w:t>
    </w:r>
  </w:p>
  <w:p w:rsidR="00BC331F" w:rsidRDefault="00BC331F">
    <w:r>
      <w:rPr>
        <w:rFonts w:cs="Arial" w:hint="eastAsia"/>
        <w:szCs w:val="18"/>
      </w:rPr>
      <w:t>敬请参阅最后一页特别声明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96B" w:rsidRDefault="001B396B">
      <w:r>
        <w:separator/>
      </w:r>
    </w:p>
  </w:footnote>
  <w:footnote w:type="continuationSeparator" w:id="0">
    <w:p w:rsidR="001B396B" w:rsidRDefault="001B3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31F" w:rsidRDefault="00BC331F" w:rsidP="00F72878">
    <w:pPr>
      <w:jc w:val="right"/>
    </w:pPr>
    <w:sdt>
      <w:sdtPr>
        <w:alias w:val="报告类型"/>
        <w:tag w:val="BDCONTENTCONTROL_451e08ee-3959-4251-8d5f-f302d5f0f153"/>
        <w:id w:val="631523797"/>
        <w:placeholder>
          <w:docPart w:val="7C742B3AA04D4576A3F0524F728F90F7"/>
        </w:placeholder>
        <w:text/>
      </w:sdtPr>
      <w:sdtContent>
        <w:r>
          <w:rPr>
            <w:rFonts w:hint="eastAsia"/>
          </w:rPr>
          <w:t>基金投资策略报告</w:t>
        </w:r>
      </w:sdtContent>
    </w:sdt>
    <w:r>
      <w:rPr>
        <w:noProof/>
      </w:rPr>
      <w:pict>
        <v:shapetype id="_x0000_t202" coordsize="21600,21600" o:spt="202" path="m,l,21600r21600,l21600,xe">
          <v:stroke joinstyle="miter"/>
          <v:path gradientshapeok="t" o:connecttype="rect"/>
        </v:shapetype>
        <v:shape id="Text Box 18" o:spid="_x0000_s2053" type="#_x0000_t202" style="position:absolute;left:0;text-align:left;margin-left:-16.2pt;margin-top:31.05pt;width:101.45pt;height:29.7pt;z-index:251655168;visibility:visible;mso-wrap-style:non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FjB7gIAAHkGAAAOAAAAZHJzL2Uyb0RvYy54bWysVclu2zAQvRfoPxC8K5Js2loQJbBlqyiQ&#10;LkDSD6AlyiIqkQLJRE6L/nuHlLc4PRRNfRC4DGfem3kzvr7ddS16YkpzKTIcXgUYMVHKiotthr89&#10;FF6MkTZUVLSVgmX4mWl8e/P+3fXQp2wiG9lWTCFwInQ69BlujOlT39dlwzqqr2TPBFzWUnXUwFZt&#10;/UrRAbx3rT8Jgrk/SFX1SpZMazhdjZf4xvmva1aaL3WtmUFthgGbcV/lvhv79W+uabpVtG94uYdB&#10;/wFFR7mAoEdXK2ooelT8lauOl0pqWZurUna+rGteMscB2ITBBZv7hvbMcYHk6P6YJv3/3Jafn74q&#10;xKsMJxgJ2kGJHtjOoKXcoTC26Rl6nYLVfQ92ZgfnUGZHVfd3svyukZB5Q8WWLZSSQ8NoBfBC+9I/&#10;ezr60dbJZvgkK4hDH410jna16mzuIBsIvEOZno+lsVhKG3ISxyScYVTC3TSKwsTVzqfp4XWvtPnA&#10;ZIfsIsMKSu+806c7bSwamh5MbDAhC962rvyteHEAhuMJc/oZX9MUkMDSWlpMrrY/kyBZx+uYeGQy&#10;X3skWK28RZETb16E0Ww1XeX5KvxlUYQkbXhVMWGDHnQWkr+r417xo0KOStOy5ZV1ZyFptd3krUJP&#10;FHReuJ+rANyczPyXMFxKgMsFpXBCguUk8Yp5HHmkIDMviYLYC8JkmcwDkpBV8ZLSHRfs7ZTQABKc&#10;TWajtE6gL7gF7veaG007bmCStLzLcHw0oqkV5FpUrtCG8nZcn6XCwv9zKhbFLIjINPaiaDb1yHQd&#10;eMu4yL1FHs7n0XqZL9cX1V07xei3Z8PV5Ex+Z3j3MU6QQa8HbbqOs002tpvZbXZA3LbhRlbP0HtK&#10;QmtAg8HEhkUj1Q+MBph+GRYwnjFqPwro3iQkxA5LtyGzaAIbdX6zOb+hogRHGTYYjcvcjAP2sVd8&#10;20Ccw7xYQMcX3DXjCRMQsRuYb47SfhbbAXq+d1anf4yb3wAAAP//AwBQSwMEFAAGAAgAAAAhAEnS&#10;0oHeAAAACgEAAA8AAABkcnMvZG93bnJldi54bWxMj0FOwzAQRfdI3MEaJHatHdO0JcSpUIE1UHoA&#10;Nx7ikHgcxW4bOD3uCnYzmqc/75ebyfXshGNoPSnI5gIYUu1NS42C/cfLbA0sRE1G955QwTcG2FTX&#10;V6UujD/TO552sWEphEKhFdgYh4LzUFt0Osz9gJRun350OqZ1bLgZ9TmFu55LIZbc6ZbSB6sH3Fqs&#10;u93RKVgL99p19/ItuMVPltvtk38evpS6vZkeH4BFnOIfDBf9pA5Vcjr4I5nAegWzO7lIqIKlzIBd&#10;gJXIgR3SILMceFXy/xWqXwAAAP//AwBQSwECLQAUAAYACAAAACEAtoM4kv4AAADhAQAAEwAAAAAA&#10;AAAAAAAAAAAAAAAAW0NvbnRlbnRfVHlwZXNdLnhtbFBLAQItABQABgAIAAAAIQA4/SH/1gAAAJQB&#10;AAALAAAAAAAAAAAAAAAAAC8BAABfcmVscy8ucmVsc1BLAQItABQABgAIAAAAIQD9CFjB7gIAAHkG&#10;AAAOAAAAAAAAAAAAAAAAAC4CAABkcnMvZTJvRG9jLnhtbFBLAQItABQABgAIAAAAIQBJ0tKB3gAA&#10;AAoBAAAPAAAAAAAAAAAAAAAAAEgFAABkcnMvZG93bnJldi54bWxQSwUGAAAAAAQABADzAAAAUwYA&#10;AAAA&#10;" filled="f" stroked="f">
          <v:textbox style="mso-fit-shape-to-text:t">
            <w:txbxContent>
              <w:p w:rsidR="00BC331F" w:rsidRPr="00E17DD1" w:rsidRDefault="00BC331F" w:rsidP="005721EB">
                <w:r>
                  <w:rPr>
                    <w:noProof/>
                  </w:rPr>
                  <w:drawing>
                    <wp:inline distT="0" distB="0" distL="0" distR="0">
                      <wp:extent cx="1095375" cy="276225"/>
                      <wp:effectExtent l="0" t="0" r="9525" b="9525"/>
                      <wp:docPr id="8" name="图片 2" descr="未命名的-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未命名的-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276225"/>
                              </a:xfrm>
                              <a:prstGeom prst="rect">
                                <a:avLst/>
                              </a:prstGeom>
                              <a:noFill/>
                              <a:ln>
                                <a:noFill/>
                              </a:ln>
                            </pic:spPr>
                          </pic:pic>
                        </a:graphicData>
                      </a:graphic>
                    </wp:inline>
                  </w:drawing>
                </w:r>
              </w:p>
            </w:txbxContent>
          </v:textbox>
          <w10:wrap anchory="page"/>
        </v:shape>
      </w:pict>
    </w:r>
    <w:r>
      <w:rPr>
        <w:noProof/>
      </w:rPr>
      <w:pict>
        <v:line id="Line 27" o:spid="_x0000_s2052" style="position:absolute;left:0;text-align:left;z-index:251656192;visibility:visible;mso-wrap-distance-top:-3e-5mm;mso-wrap-distance-bottom:-3e-5mm;mso-position-horizontal:center;mso-position-horizontal-relative:text;mso-position-vertical-relative:text" from="0,13.8pt" to="548.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RXYjgIAAGIFAAAOAAAAZHJzL2Uyb0RvYy54bWysVMGOmzAQvVfqP1i+s0BCgKAlqywhvWzb&#10;lXarnh1sglWwke2ERFX/vWMnocn2UlULkuWxPc9v5s34/uHQtWjPlOZS5Di8CzBiopKUi22Ov72u&#10;vRQjbYigpJWC5fjINH5YfPxwP/QZm8hGtpQpBCBCZ0Of48aYPvN9XTWsI/pO9kzAZi1VRwyYautT&#10;RQZA71p/EgSxP0hFeyUrpjWsrk6beOHw65pV5mtda2ZQm2PgZtyo3Lixo7+4J9lWkb7h1ZkG+Q8W&#10;HeECLh2hVsQQtFP8L6iOV0pqWZu7Sna+rGteMRcDRBMGb6J5aUjPXCyQHN2PadLvB1t92T8rxGmO&#10;Y4wE6UCiJy4YmiQ2NUOvMzhRiGdlg6sO4qV/ktUPjYQsGiK2zFF8PfbgF1oP/8bFGrqHCzbDZ0nh&#10;DNkZ6fJ0qFVnISED6ODkOI5ysINBFSzG8zhIE1Ctuuz5JLs49kqbT0x2yE5y3AJpB0z2T9pYIiS7&#10;HLH3CLnmbevUbgUacjyfTWbOQcuWU7tpj2m13RStQnti6yVYBuXcRQU718eU3AnqwBpGaHmeG8Lb&#10;0xwub4XFY64ET4zAOhiYunUI0ZXHz3kwL9MyjbxoEpdeFKxW3nJdRF68DpPZaroqilX4yxINo6zh&#10;lDJhuV5KNYz+rRTOTXMqsrFYx6T4t+gue0D2lulyPQuSaJp6STKbetG0DLzHdF14yyKM46R8LB7L&#10;N0xLF71+H7JjKi0ruTNMvTR0QJRb+aez+STEYEBrT5LAfhiRdgtvUmUURkqa79w0rlptnVmMG63T&#10;wP5nrUf0UyIuGlprVOEc259UgeYXfV0T2Lo/ddBG0uOzujQHNLJzOj869qW4tmF+/TQufgMAAP//&#10;AwBQSwMEFAAGAAgAAAAhAOdilbfYAAAABwEAAA8AAABkcnMvZG93bnJldi54bWxMj0FPhDAQhe8m&#10;/odmTLy5RQ6oSNkQo1cT0R8wpSPFpVOkXUB/vd140OO89/LeN9V+c6NYaA6DZwXXuwwEcefNwL2C&#10;t9enq1sQISIbHD2Tgi8KsK/PzyosjV/5hZY29iKVcChRgY1xKqUMnSWHYecn4uS9+9lhTOfcSzPj&#10;msrdKPMsK6TDgdOCxYkeLHWH9ugUTHperf/4fNa6+c7x0LTLY9EqdXmxNfcgIm3xLwwn/IQOdWLS&#10;/sgmiFFBeiQqyG8KECc3uytyEPpXkXUl//PXPwAAAP//AwBQSwECLQAUAAYACAAAACEAtoM4kv4A&#10;AADhAQAAEwAAAAAAAAAAAAAAAAAAAAAAW0NvbnRlbnRfVHlwZXNdLnhtbFBLAQItABQABgAIAAAA&#10;IQA4/SH/1gAAAJQBAAALAAAAAAAAAAAAAAAAAC8BAABfcmVscy8ucmVsc1BLAQItABQABgAIAAAA&#10;IQC5CRXYjgIAAGIFAAAOAAAAAAAAAAAAAAAAAC4CAABkcnMvZTJvRG9jLnhtbFBLAQItABQABgAI&#10;AAAAIQDnYpW32AAAAAcBAAAPAAAAAAAAAAAAAAAAAOgEAABkcnMvZG93bnJldi54bWxQSwUGAAAA&#10;AAQABADzAAAA7QUAAAAA&#10;" strokecolor="#00a0e9"/>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31F" w:rsidRDefault="00BC331F" w:rsidP="007F6DA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7B7A"/>
    <w:multiLevelType w:val="multilevel"/>
    <w:tmpl w:val="3CDE5F16"/>
    <w:numStyleLink w:val="GJStylesContentMark"/>
  </w:abstractNum>
  <w:abstractNum w:abstractNumId="1">
    <w:nsid w:val="022C102E"/>
    <w:multiLevelType w:val="multilevel"/>
    <w:tmpl w:val="3CDE5F16"/>
    <w:numStyleLink w:val="GJStylesContentMark"/>
  </w:abstractNum>
  <w:abstractNum w:abstractNumId="2">
    <w:nsid w:val="04001E96"/>
    <w:multiLevelType w:val="multilevel"/>
    <w:tmpl w:val="1556E7D6"/>
    <w:numStyleLink w:val="GJStylesSummaryContentMark"/>
  </w:abstractNum>
  <w:abstractNum w:abstractNumId="3">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cs="Times New Roman" w:hint="default"/>
        <w:color w:val="FF0000"/>
        <w:sz w:val="20"/>
        <w:szCs w:val="20"/>
      </w:rPr>
    </w:lvl>
  </w:abstractNum>
  <w:abstractNum w:abstractNumId="4">
    <w:nsid w:val="08333B74"/>
    <w:multiLevelType w:val="multilevel"/>
    <w:tmpl w:val="3CDE5F16"/>
    <w:numStyleLink w:val="GJStylesContentMark"/>
  </w:abstractNum>
  <w:abstractNum w:abstractNumId="5">
    <w:nsid w:val="08AF5ED3"/>
    <w:multiLevelType w:val="hybridMultilevel"/>
    <w:tmpl w:val="1FD23C90"/>
    <w:lvl w:ilvl="0" w:tplc="064266E0">
      <w:start w:val="1"/>
      <w:numFmt w:val="bullet"/>
      <w:lvlText w:val=""/>
      <w:lvlJc w:val="left"/>
      <w:pPr>
        <w:ind w:left="1241" w:hanging="420"/>
      </w:pPr>
      <w:rPr>
        <w:rFonts w:ascii="Wingdings 2" w:hAnsi="Wingdings 2" w:hint="default"/>
        <w:b w:val="0"/>
        <w:i w:val="0"/>
        <w:color w:val="auto"/>
        <w:sz w:val="18"/>
      </w:rPr>
    </w:lvl>
    <w:lvl w:ilvl="1" w:tplc="04090003" w:tentative="1">
      <w:start w:val="1"/>
      <w:numFmt w:val="bullet"/>
      <w:lvlText w:val=""/>
      <w:lvlJc w:val="left"/>
      <w:pPr>
        <w:ind w:left="1661" w:hanging="420"/>
      </w:pPr>
      <w:rPr>
        <w:rFonts w:ascii="Wingdings" w:hAnsi="Wingdings" w:hint="default"/>
      </w:rPr>
    </w:lvl>
    <w:lvl w:ilvl="2" w:tplc="04090005" w:tentative="1">
      <w:start w:val="1"/>
      <w:numFmt w:val="bullet"/>
      <w:lvlText w:val=""/>
      <w:lvlJc w:val="left"/>
      <w:pPr>
        <w:ind w:left="2081" w:hanging="420"/>
      </w:pPr>
      <w:rPr>
        <w:rFonts w:ascii="Wingdings" w:hAnsi="Wingdings" w:hint="default"/>
      </w:rPr>
    </w:lvl>
    <w:lvl w:ilvl="3" w:tplc="04090001" w:tentative="1">
      <w:start w:val="1"/>
      <w:numFmt w:val="bullet"/>
      <w:lvlText w:val=""/>
      <w:lvlJc w:val="left"/>
      <w:pPr>
        <w:ind w:left="2501" w:hanging="420"/>
      </w:pPr>
      <w:rPr>
        <w:rFonts w:ascii="Wingdings" w:hAnsi="Wingdings" w:hint="default"/>
      </w:rPr>
    </w:lvl>
    <w:lvl w:ilvl="4" w:tplc="04090003" w:tentative="1">
      <w:start w:val="1"/>
      <w:numFmt w:val="bullet"/>
      <w:lvlText w:val=""/>
      <w:lvlJc w:val="left"/>
      <w:pPr>
        <w:ind w:left="2921" w:hanging="420"/>
      </w:pPr>
      <w:rPr>
        <w:rFonts w:ascii="Wingdings" w:hAnsi="Wingdings" w:hint="default"/>
      </w:rPr>
    </w:lvl>
    <w:lvl w:ilvl="5" w:tplc="04090005" w:tentative="1">
      <w:start w:val="1"/>
      <w:numFmt w:val="bullet"/>
      <w:lvlText w:val=""/>
      <w:lvlJc w:val="left"/>
      <w:pPr>
        <w:ind w:left="3341" w:hanging="420"/>
      </w:pPr>
      <w:rPr>
        <w:rFonts w:ascii="Wingdings" w:hAnsi="Wingdings" w:hint="default"/>
      </w:rPr>
    </w:lvl>
    <w:lvl w:ilvl="6" w:tplc="04090001" w:tentative="1">
      <w:start w:val="1"/>
      <w:numFmt w:val="bullet"/>
      <w:lvlText w:val=""/>
      <w:lvlJc w:val="left"/>
      <w:pPr>
        <w:ind w:left="3761" w:hanging="420"/>
      </w:pPr>
      <w:rPr>
        <w:rFonts w:ascii="Wingdings" w:hAnsi="Wingdings" w:hint="default"/>
      </w:rPr>
    </w:lvl>
    <w:lvl w:ilvl="7" w:tplc="04090003" w:tentative="1">
      <w:start w:val="1"/>
      <w:numFmt w:val="bullet"/>
      <w:lvlText w:val=""/>
      <w:lvlJc w:val="left"/>
      <w:pPr>
        <w:ind w:left="4181" w:hanging="420"/>
      </w:pPr>
      <w:rPr>
        <w:rFonts w:ascii="Wingdings" w:hAnsi="Wingdings" w:hint="default"/>
      </w:rPr>
    </w:lvl>
    <w:lvl w:ilvl="8" w:tplc="04090005" w:tentative="1">
      <w:start w:val="1"/>
      <w:numFmt w:val="bullet"/>
      <w:lvlText w:val=""/>
      <w:lvlJc w:val="left"/>
      <w:pPr>
        <w:ind w:left="4601" w:hanging="420"/>
      </w:pPr>
      <w:rPr>
        <w:rFonts w:ascii="Wingdings" w:hAnsi="Wingdings" w:hint="default"/>
      </w:rPr>
    </w:lvl>
  </w:abstractNum>
  <w:abstractNum w:abstractNumId="6">
    <w:nsid w:val="093F6D8F"/>
    <w:multiLevelType w:val="hybridMultilevel"/>
    <w:tmpl w:val="B5F612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A2434BC"/>
    <w:multiLevelType w:val="multilevel"/>
    <w:tmpl w:val="3CDE5F16"/>
    <w:numStyleLink w:val="GJStylesContentMark"/>
  </w:abstractNum>
  <w:abstractNum w:abstractNumId="8">
    <w:nsid w:val="161F4DCD"/>
    <w:multiLevelType w:val="multilevel"/>
    <w:tmpl w:val="1556E7D6"/>
    <w:numStyleLink w:val="GJStylesSummaryContentMark"/>
  </w:abstractNum>
  <w:abstractNum w:abstractNumId="9">
    <w:nsid w:val="16A5693A"/>
    <w:multiLevelType w:val="multilevel"/>
    <w:tmpl w:val="3CDE5F16"/>
    <w:numStyleLink w:val="GJStylesContentMark"/>
  </w:abstractNum>
  <w:abstractNum w:abstractNumId="10">
    <w:nsid w:val="209D5689"/>
    <w:multiLevelType w:val="hybridMultilevel"/>
    <w:tmpl w:val="1D1ABF00"/>
    <w:lvl w:ilvl="0" w:tplc="AC7CA5DC">
      <w:start w:val="1"/>
      <w:numFmt w:val="bullet"/>
      <w:lvlText w:val=""/>
      <w:lvlJc w:val="left"/>
      <w:pPr>
        <w:ind w:left="420" w:hanging="420"/>
      </w:pPr>
      <w:rPr>
        <w:rFonts w:ascii="Wingdings" w:eastAsia="楷体_GB2312" w:hAnsi="Wingdings" w:hint="default"/>
        <w:b w:val="0"/>
        <w:i w:val="0"/>
        <w:color w:val="auto"/>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1E90DA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nsid w:val="226D6F70"/>
    <w:multiLevelType w:val="hybridMultilevel"/>
    <w:tmpl w:val="C9E4C4A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133399E"/>
    <w:multiLevelType w:val="multilevel"/>
    <w:tmpl w:val="1556E7D6"/>
    <w:styleLink w:val="GJStylesSummaryContentMark"/>
    <w:lvl w:ilvl="0">
      <w:start w:val="1"/>
      <w:numFmt w:val="bullet"/>
      <w:pStyle w:val="GJStylesSummaryContent"/>
      <w:lvlText w:val=""/>
      <w:lvlJc w:val="left"/>
      <w:pPr>
        <w:ind w:left="840" w:hanging="420"/>
      </w:pPr>
      <w:rPr>
        <w:rFonts w:ascii="Wingdings" w:hAnsi="Wingdings" w:hint="default"/>
        <w:b w:val="0"/>
        <w:i w:val="0"/>
        <w:color w:val="auto"/>
        <w:sz w:val="18"/>
      </w:rPr>
    </w:lvl>
    <w:lvl w:ilvl="1">
      <w:start w:val="1"/>
      <w:numFmt w:val="bullet"/>
      <w:pStyle w:val="GJStylesSummarySubContent"/>
      <w:lvlText w:val=""/>
      <w:lvlJc w:val="left"/>
      <w:pPr>
        <w:ind w:left="1260" w:hanging="420"/>
      </w:pPr>
      <w:rPr>
        <w:rFonts w:ascii="Wingdings 2" w:hAnsi="Wingdings 2" w:hint="default"/>
        <w:sz w:val="15"/>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nsid w:val="33877569"/>
    <w:multiLevelType w:val="hybridMultilevel"/>
    <w:tmpl w:val="2FA8D094"/>
    <w:lvl w:ilvl="0" w:tplc="064266E0">
      <w:start w:val="1"/>
      <w:numFmt w:val="bullet"/>
      <w:lvlText w:val=""/>
      <w:lvlJc w:val="left"/>
      <w:pPr>
        <w:ind w:left="840" w:hanging="420"/>
      </w:pPr>
      <w:rPr>
        <w:rFonts w:ascii="Wingdings 2" w:hAnsi="Wingdings 2" w:hint="default"/>
        <w:b w:val="0"/>
        <w:i w:val="0"/>
        <w:color w:val="auto"/>
        <w:sz w:val="18"/>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36004F02"/>
    <w:multiLevelType w:val="multilevel"/>
    <w:tmpl w:val="3CDE5F16"/>
    <w:numStyleLink w:val="GJStylesContentMark"/>
  </w:abstractNum>
  <w:abstractNum w:abstractNumId="16">
    <w:nsid w:val="41A645CE"/>
    <w:multiLevelType w:val="multilevel"/>
    <w:tmpl w:val="3CDE5F16"/>
    <w:numStyleLink w:val="GJStylesContentMark"/>
  </w:abstractNum>
  <w:abstractNum w:abstractNumId="17">
    <w:nsid w:val="44D96BA6"/>
    <w:multiLevelType w:val="multilevel"/>
    <w:tmpl w:val="1556E7D6"/>
    <w:numStyleLink w:val="GJStylesSummaryContentMark"/>
  </w:abstractNum>
  <w:abstractNum w:abstractNumId="18">
    <w:nsid w:val="44E1352C"/>
    <w:multiLevelType w:val="multilevel"/>
    <w:tmpl w:val="3CDE5F16"/>
    <w:numStyleLink w:val="GJStylesContentMark"/>
  </w:abstractNum>
  <w:abstractNum w:abstractNumId="19">
    <w:nsid w:val="47567D89"/>
    <w:multiLevelType w:val="multilevel"/>
    <w:tmpl w:val="7CBE05E2"/>
    <w:styleLink w:val="GJStylesContentMarkWide"/>
    <w:lvl w:ilvl="0">
      <w:start w:val="1"/>
      <w:numFmt w:val="bullet"/>
      <w:lvlText w:val=""/>
      <w:lvlJc w:val="left"/>
      <w:pPr>
        <w:ind w:left="850" w:hanging="425"/>
      </w:pPr>
      <w:rPr>
        <w:rFonts w:ascii="Wingdings 2" w:hAnsi="Wingdings 2" w:hint="default"/>
        <w:color w:val="auto"/>
      </w:rPr>
    </w:lvl>
    <w:lvl w:ilvl="1">
      <w:start w:val="1"/>
      <w:numFmt w:val="bullet"/>
      <w:lvlText w:val=""/>
      <w:lvlJc w:val="left"/>
      <w:pPr>
        <w:ind w:left="1417" w:hanging="567"/>
      </w:pPr>
      <w:rPr>
        <w:rFonts w:ascii="Wingdings 2" w:hAnsi="Wingdings 2" w:hint="default"/>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0">
    <w:nsid w:val="492C6DD3"/>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tentative="1">
      <w:start w:val="1"/>
      <w:numFmt w:val="bullet"/>
      <w:lvlText w:val=""/>
      <w:lvlJc w:val="left"/>
      <w:pPr>
        <w:tabs>
          <w:tab w:val="num" w:pos="4242"/>
        </w:tabs>
        <w:ind w:left="4242" w:hanging="420"/>
      </w:pPr>
      <w:rPr>
        <w:rFonts w:ascii="Wingdings" w:hAnsi="Wingdings" w:hint="default"/>
      </w:rPr>
    </w:lvl>
    <w:lvl w:ilvl="2" w:tplc="04090005" w:tentative="1">
      <w:start w:val="1"/>
      <w:numFmt w:val="bullet"/>
      <w:lvlText w:val=""/>
      <w:lvlJc w:val="left"/>
      <w:pPr>
        <w:tabs>
          <w:tab w:val="num" w:pos="4662"/>
        </w:tabs>
        <w:ind w:left="4662" w:hanging="420"/>
      </w:pPr>
      <w:rPr>
        <w:rFonts w:ascii="Wingdings" w:hAnsi="Wingdings" w:hint="default"/>
      </w:rPr>
    </w:lvl>
    <w:lvl w:ilvl="3" w:tplc="04090001" w:tentative="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楷体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1">
    <w:nsid w:val="4E0270AD"/>
    <w:multiLevelType w:val="multilevel"/>
    <w:tmpl w:val="3CDE5F16"/>
    <w:styleLink w:val="GJStylesContentMark"/>
    <w:lvl w:ilvl="0">
      <w:start w:val="1"/>
      <w:numFmt w:val="bullet"/>
      <w:pStyle w:val="GJStylesContentThirdTitle"/>
      <w:lvlText w:val=""/>
      <w:lvlJc w:val="left"/>
      <w:pPr>
        <w:tabs>
          <w:tab w:val="num" w:pos="3430"/>
        </w:tabs>
        <w:ind w:left="3799" w:hanging="369"/>
      </w:pPr>
      <w:rPr>
        <w:rFonts w:ascii="Wingdings 2" w:hAnsi="Wingdings 2" w:hint="default"/>
        <w:color w:val="auto"/>
      </w:rPr>
    </w:lvl>
    <w:lvl w:ilvl="1">
      <w:start w:val="1"/>
      <w:numFmt w:val="bullet"/>
      <w:pStyle w:val="GJStylesContentFourTitle"/>
      <w:lvlText w:val=""/>
      <w:lvlJc w:val="left"/>
      <w:pPr>
        <w:ind w:left="4190" w:hanging="419"/>
      </w:pPr>
      <w:rPr>
        <w:rFonts w:ascii="Wingdings 2" w:hAnsi="Wingdings 2"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4E7C3CC1"/>
    <w:multiLevelType w:val="hybridMultilevel"/>
    <w:tmpl w:val="60FAACEA"/>
    <w:lvl w:ilvl="0" w:tplc="A1E68908">
      <w:start w:val="1"/>
      <w:numFmt w:val="bullet"/>
      <w:lvlText w:val=""/>
      <w:lvlJc w:val="left"/>
      <w:pPr>
        <w:tabs>
          <w:tab w:val="num" w:pos="4329"/>
        </w:tabs>
        <w:ind w:left="3969" w:firstLine="0"/>
      </w:pPr>
      <w:rPr>
        <w:rFonts w:hint="default"/>
        <w:b w:val="0"/>
        <w:i w:val="0"/>
        <w:color w:val="000565"/>
        <w:sz w:val="18"/>
      </w:rPr>
    </w:lvl>
    <w:lvl w:ilvl="1" w:tplc="04090003" w:tentative="1">
      <w:start w:val="1"/>
      <w:numFmt w:val="bullet"/>
      <w:lvlText w:val=""/>
      <w:lvlJc w:val="left"/>
      <w:pPr>
        <w:tabs>
          <w:tab w:val="num" w:pos="4242"/>
        </w:tabs>
        <w:ind w:left="4242" w:hanging="420"/>
      </w:pPr>
      <w:rPr>
        <w:rFonts w:ascii="Wingdings" w:hAnsi="Wingdings" w:hint="default"/>
      </w:rPr>
    </w:lvl>
    <w:lvl w:ilvl="2" w:tplc="04090005" w:tentative="1">
      <w:start w:val="1"/>
      <w:numFmt w:val="bullet"/>
      <w:lvlText w:val=""/>
      <w:lvlJc w:val="left"/>
      <w:pPr>
        <w:tabs>
          <w:tab w:val="num" w:pos="4662"/>
        </w:tabs>
        <w:ind w:left="4662" w:hanging="420"/>
      </w:pPr>
      <w:rPr>
        <w:rFonts w:ascii="Wingdings" w:hAnsi="Wingdings" w:hint="default"/>
      </w:rPr>
    </w:lvl>
    <w:lvl w:ilvl="3" w:tplc="04090001" w:tentative="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064266E0">
      <w:start w:val="1"/>
      <w:numFmt w:val="bullet"/>
      <w:lvlText w:val=""/>
      <w:lvlJc w:val="left"/>
      <w:pPr>
        <w:tabs>
          <w:tab w:val="num" w:pos="4191"/>
        </w:tabs>
        <w:ind w:left="4191" w:hanging="420"/>
      </w:pPr>
      <w:rPr>
        <w:rFonts w:ascii="Wingdings 2" w:hAnsi="Wingdings 2" w:hint="default"/>
        <w:b w:val="0"/>
        <w:i w:val="0"/>
        <w:color w:val="auto"/>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3">
    <w:nsid w:val="515021FA"/>
    <w:multiLevelType w:val="multilevel"/>
    <w:tmpl w:val="1556E7D6"/>
    <w:numStyleLink w:val="GJStylesSummaryContentMark"/>
  </w:abstractNum>
  <w:abstractNum w:abstractNumId="24">
    <w:nsid w:val="5ADD1880"/>
    <w:multiLevelType w:val="hybridMultilevel"/>
    <w:tmpl w:val="3358225E"/>
    <w:lvl w:ilvl="0" w:tplc="AC7CA5DC">
      <w:start w:val="1"/>
      <w:numFmt w:val="bullet"/>
      <w:lvlText w:val=""/>
      <w:lvlJc w:val="left"/>
      <w:pPr>
        <w:ind w:left="420" w:hanging="420"/>
      </w:pPr>
      <w:rPr>
        <w:rFonts w:ascii="Wingdings" w:eastAsia="楷体_GB2312" w:hAnsi="Wingdings" w:hint="default"/>
        <w:b w:val="0"/>
        <w:i w:val="0"/>
        <w:color w:val="auto"/>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5DD2D9F"/>
    <w:multiLevelType w:val="multilevel"/>
    <w:tmpl w:val="3CDE5F16"/>
    <w:numStyleLink w:val="GJStylesContentMark"/>
  </w:abstractNum>
  <w:abstractNum w:abstractNumId="26">
    <w:nsid w:val="66145FDE"/>
    <w:multiLevelType w:val="singleLevel"/>
    <w:tmpl w:val="918C41C0"/>
    <w:lvl w:ilvl="0">
      <w:start w:val="1"/>
      <w:numFmt w:val="bullet"/>
      <w:pStyle w:val="BulletCoverpage"/>
      <w:lvlText w:val=""/>
      <w:lvlJc w:val="left"/>
      <w:pPr>
        <w:tabs>
          <w:tab w:val="num" w:pos="0"/>
        </w:tabs>
        <w:ind w:left="227" w:hanging="227"/>
      </w:pPr>
      <w:rPr>
        <w:rFonts w:ascii="Monotype Sorts" w:hAnsi="Monotype Sorts" w:cs="Times New Roman" w:hint="default"/>
        <w:color w:val="FF0000"/>
        <w:sz w:val="16"/>
        <w:szCs w:val="16"/>
      </w:rPr>
    </w:lvl>
  </w:abstractNum>
  <w:abstractNum w:abstractNumId="27">
    <w:nsid w:val="686369BF"/>
    <w:multiLevelType w:val="multilevel"/>
    <w:tmpl w:val="1556E7D6"/>
    <w:numStyleLink w:val="GJStylesSummaryContentMark"/>
  </w:abstractNum>
  <w:abstractNum w:abstractNumId="28">
    <w:nsid w:val="6BF1418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nsid w:val="72754749"/>
    <w:multiLevelType w:val="multilevel"/>
    <w:tmpl w:val="1556E7D6"/>
    <w:numStyleLink w:val="GJStylesSummaryContentMark"/>
  </w:abstractNum>
  <w:abstractNum w:abstractNumId="30">
    <w:nsid w:val="73777A50"/>
    <w:multiLevelType w:val="multilevel"/>
    <w:tmpl w:val="3CDE5F16"/>
    <w:numStyleLink w:val="GJStylesContentMark"/>
  </w:abstractNum>
  <w:abstractNum w:abstractNumId="31">
    <w:nsid w:val="743E305A"/>
    <w:multiLevelType w:val="hybridMultilevel"/>
    <w:tmpl w:val="6196488C"/>
    <w:lvl w:ilvl="0" w:tplc="AC7CA5DC">
      <w:start w:val="1"/>
      <w:numFmt w:val="bullet"/>
      <w:lvlText w:val=""/>
      <w:lvlJc w:val="left"/>
      <w:pPr>
        <w:ind w:left="420" w:hanging="420"/>
      </w:pPr>
      <w:rPr>
        <w:rFonts w:ascii="Wingdings" w:eastAsia="楷体_GB2312" w:hAnsi="Wingdings" w:hint="default"/>
        <w:b w:val="0"/>
        <w:i w:val="0"/>
        <w:color w:val="auto"/>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C284D5A"/>
    <w:multiLevelType w:val="multilevel"/>
    <w:tmpl w:val="3CDE5F16"/>
    <w:numStyleLink w:val="GJStylesContentMark"/>
  </w:abstractNum>
  <w:abstractNum w:abstractNumId="33">
    <w:nsid w:val="7C8139AA"/>
    <w:multiLevelType w:val="multilevel"/>
    <w:tmpl w:val="3CDE5F16"/>
    <w:numStyleLink w:val="GJStylesContentMark"/>
  </w:abstractNum>
  <w:num w:numId="1">
    <w:abstractNumId w:val="26"/>
  </w:num>
  <w:num w:numId="2">
    <w:abstractNumId w:val="3"/>
  </w:num>
  <w:num w:numId="3">
    <w:abstractNumId w:val="20"/>
  </w:num>
  <w:num w:numId="4">
    <w:abstractNumId w:val="22"/>
  </w:num>
  <w:num w:numId="5">
    <w:abstractNumId w:val="10"/>
  </w:num>
  <w:num w:numId="6">
    <w:abstractNumId w:val="13"/>
  </w:num>
  <w:num w:numId="7">
    <w:abstractNumId w:val="21"/>
  </w:num>
  <w:num w:numId="8">
    <w:abstractNumId w:val="27"/>
  </w:num>
  <w:num w:numId="9">
    <w:abstractNumId w:val="15"/>
  </w:num>
  <w:num w:numId="10">
    <w:abstractNumId w:val="19"/>
  </w:num>
  <w:num w:numId="11">
    <w:abstractNumId w:val="28"/>
  </w:num>
  <w:num w:numId="12">
    <w:abstractNumId w:val="2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
  </w:num>
  <w:num w:numId="16">
    <w:abstractNumId w:val="8"/>
  </w:num>
  <w:num w:numId="17">
    <w:abstractNumId w:val="23"/>
  </w:num>
  <w:num w:numId="18">
    <w:abstractNumId w:val="17"/>
  </w:num>
  <w:num w:numId="19">
    <w:abstractNumId w:val="29"/>
  </w:num>
  <w:num w:numId="20">
    <w:abstractNumId w:val="11"/>
  </w:num>
  <w:num w:numId="21">
    <w:abstractNumId w:val="16"/>
  </w:num>
  <w:num w:numId="22">
    <w:abstractNumId w:val="0"/>
  </w:num>
  <w:num w:numId="23">
    <w:abstractNumId w:val="18"/>
  </w:num>
  <w:num w:numId="24">
    <w:abstractNumId w:val="9"/>
  </w:num>
  <w:num w:numId="25">
    <w:abstractNumId w:val="1"/>
  </w:num>
  <w:num w:numId="26">
    <w:abstractNumId w:val="7"/>
  </w:num>
  <w:num w:numId="27">
    <w:abstractNumId w:val="25"/>
  </w:num>
  <w:num w:numId="28">
    <w:abstractNumId w:val="4"/>
  </w:num>
  <w:num w:numId="29">
    <w:abstractNumId w:val="30"/>
  </w:num>
  <w:num w:numId="30">
    <w:abstractNumId w:val="32"/>
  </w:num>
  <w:num w:numId="31">
    <w:abstractNumId w:val="33"/>
  </w:num>
  <w:num w:numId="32">
    <w:abstractNumId w:val="31"/>
  </w:num>
  <w:num w:numId="33">
    <w:abstractNumId w:val="6"/>
  </w:num>
  <w:num w:numId="34">
    <w:abstractNumId w:val="14"/>
  </w:num>
  <w:num w:numId="3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6"/>
  <w:drawingGridVerticalSpacing w:val="6"/>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4" style="mso-position-horizontal-relative:page;mso-position-vertical-relative:page" fill="f" fillcolor="blue" strokecolor="blue">
      <v:fill color="blue" on="f"/>
      <v:stroke color="blue"/>
      <o:colormru v:ext="edit" colors="#d7e4f0,#7494c3,#003765"/>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53DF0"/>
    <w:rsid w:val="000004CC"/>
    <w:rsid w:val="00002BE4"/>
    <w:rsid w:val="00003774"/>
    <w:rsid w:val="00004320"/>
    <w:rsid w:val="0000572E"/>
    <w:rsid w:val="000106FC"/>
    <w:rsid w:val="00013EB2"/>
    <w:rsid w:val="0001492B"/>
    <w:rsid w:val="00014B77"/>
    <w:rsid w:val="00014F51"/>
    <w:rsid w:val="0002045A"/>
    <w:rsid w:val="000219EC"/>
    <w:rsid w:val="00021A32"/>
    <w:rsid w:val="000221E8"/>
    <w:rsid w:val="0002347C"/>
    <w:rsid w:val="00023D3A"/>
    <w:rsid w:val="00025049"/>
    <w:rsid w:val="00026458"/>
    <w:rsid w:val="00030007"/>
    <w:rsid w:val="00031106"/>
    <w:rsid w:val="000319DC"/>
    <w:rsid w:val="00032255"/>
    <w:rsid w:val="0003281B"/>
    <w:rsid w:val="00032EE6"/>
    <w:rsid w:val="00033099"/>
    <w:rsid w:val="000336C0"/>
    <w:rsid w:val="000343B3"/>
    <w:rsid w:val="00034B6F"/>
    <w:rsid w:val="000368BD"/>
    <w:rsid w:val="000374D7"/>
    <w:rsid w:val="000424AC"/>
    <w:rsid w:val="00043630"/>
    <w:rsid w:val="00044C1E"/>
    <w:rsid w:val="00045BB2"/>
    <w:rsid w:val="000464EF"/>
    <w:rsid w:val="00051253"/>
    <w:rsid w:val="0005161F"/>
    <w:rsid w:val="00051AFD"/>
    <w:rsid w:val="000528A0"/>
    <w:rsid w:val="000528AB"/>
    <w:rsid w:val="00054005"/>
    <w:rsid w:val="000576EE"/>
    <w:rsid w:val="0006128E"/>
    <w:rsid w:val="000622E5"/>
    <w:rsid w:val="0006435D"/>
    <w:rsid w:val="00070B6F"/>
    <w:rsid w:val="00070EA5"/>
    <w:rsid w:val="00070F25"/>
    <w:rsid w:val="00071EB8"/>
    <w:rsid w:val="000748FA"/>
    <w:rsid w:val="00074B53"/>
    <w:rsid w:val="0007511E"/>
    <w:rsid w:val="00080902"/>
    <w:rsid w:val="00080AF3"/>
    <w:rsid w:val="000810F3"/>
    <w:rsid w:val="00082E94"/>
    <w:rsid w:val="0008444C"/>
    <w:rsid w:val="00090567"/>
    <w:rsid w:val="00090CDA"/>
    <w:rsid w:val="00091670"/>
    <w:rsid w:val="00091CB7"/>
    <w:rsid w:val="000939AA"/>
    <w:rsid w:val="000943F5"/>
    <w:rsid w:val="00094710"/>
    <w:rsid w:val="00096DCC"/>
    <w:rsid w:val="00096FFB"/>
    <w:rsid w:val="000A2612"/>
    <w:rsid w:val="000A44D7"/>
    <w:rsid w:val="000A6D82"/>
    <w:rsid w:val="000A7AA6"/>
    <w:rsid w:val="000A7D02"/>
    <w:rsid w:val="000B001B"/>
    <w:rsid w:val="000B01C0"/>
    <w:rsid w:val="000B07ED"/>
    <w:rsid w:val="000B0E6B"/>
    <w:rsid w:val="000B265D"/>
    <w:rsid w:val="000B50B1"/>
    <w:rsid w:val="000B539C"/>
    <w:rsid w:val="000B5C96"/>
    <w:rsid w:val="000B78AA"/>
    <w:rsid w:val="000C065B"/>
    <w:rsid w:val="000C0A3A"/>
    <w:rsid w:val="000C2404"/>
    <w:rsid w:val="000C2EDE"/>
    <w:rsid w:val="000C484B"/>
    <w:rsid w:val="000C7D66"/>
    <w:rsid w:val="000C7EB1"/>
    <w:rsid w:val="000D1948"/>
    <w:rsid w:val="000D3153"/>
    <w:rsid w:val="000D5698"/>
    <w:rsid w:val="000D688F"/>
    <w:rsid w:val="000E12FC"/>
    <w:rsid w:val="000E2FF4"/>
    <w:rsid w:val="000E40C9"/>
    <w:rsid w:val="000E6203"/>
    <w:rsid w:val="000E6AE0"/>
    <w:rsid w:val="000F2643"/>
    <w:rsid w:val="000F4AB0"/>
    <w:rsid w:val="000F5142"/>
    <w:rsid w:val="000F61F9"/>
    <w:rsid w:val="000F72BA"/>
    <w:rsid w:val="000F738D"/>
    <w:rsid w:val="001025A9"/>
    <w:rsid w:val="00102FCE"/>
    <w:rsid w:val="001064A9"/>
    <w:rsid w:val="0010686C"/>
    <w:rsid w:val="00106ADD"/>
    <w:rsid w:val="00106FF6"/>
    <w:rsid w:val="001119C0"/>
    <w:rsid w:val="00113F7E"/>
    <w:rsid w:val="0011478F"/>
    <w:rsid w:val="001151C1"/>
    <w:rsid w:val="00122401"/>
    <w:rsid w:val="00122D86"/>
    <w:rsid w:val="00123AF2"/>
    <w:rsid w:val="00127D52"/>
    <w:rsid w:val="00130A54"/>
    <w:rsid w:val="00131E05"/>
    <w:rsid w:val="00132E65"/>
    <w:rsid w:val="00132E70"/>
    <w:rsid w:val="00133402"/>
    <w:rsid w:val="0013548E"/>
    <w:rsid w:val="0013641C"/>
    <w:rsid w:val="001377EB"/>
    <w:rsid w:val="00141C49"/>
    <w:rsid w:val="00141C88"/>
    <w:rsid w:val="0014285A"/>
    <w:rsid w:val="0014388E"/>
    <w:rsid w:val="00146968"/>
    <w:rsid w:val="00147350"/>
    <w:rsid w:val="00150313"/>
    <w:rsid w:val="001503CD"/>
    <w:rsid w:val="00150417"/>
    <w:rsid w:val="0015120D"/>
    <w:rsid w:val="0015265C"/>
    <w:rsid w:val="0015543F"/>
    <w:rsid w:val="0015629E"/>
    <w:rsid w:val="001602B1"/>
    <w:rsid w:val="0016153B"/>
    <w:rsid w:val="0016156D"/>
    <w:rsid w:val="00161CE1"/>
    <w:rsid w:val="00164EE1"/>
    <w:rsid w:val="00165EA0"/>
    <w:rsid w:val="00167E1A"/>
    <w:rsid w:val="00170C24"/>
    <w:rsid w:val="00176A15"/>
    <w:rsid w:val="00180167"/>
    <w:rsid w:val="00180272"/>
    <w:rsid w:val="00180733"/>
    <w:rsid w:val="001809E2"/>
    <w:rsid w:val="00181A5B"/>
    <w:rsid w:val="001820D1"/>
    <w:rsid w:val="001829B0"/>
    <w:rsid w:val="001837D4"/>
    <w:rsid w:val="00183D27"/>
    <w:rsid w:val="001865C6"/>
    <w:rsid w:val="001865FF"/>
    <w:rsid w:val="00186750"/>
    <w:rsid w:val="00194D9A"/>
    <w:rsid w:val="00194F5F"/>
    <w:rsid w:val="001953A5"/>
    <w:rsid w:val="001A0044"/>
    <w:rsid w:val="001A07F2"/>
    <w:rsid w:val="001A091B"/>
    <w:rsid w:val="001A1E48"/>
    <w:rsid w:val="001A247C"/>
    <w:rsid w:val="001A24EA"/>
    <w:rsid w:val="001A2AD4"/>
    <w:rsid w:val="001A2C79"/>
    <w:rsid w:val="001A3994"/>
    <w:rsid w:val="001A4819"/>
    <w:rsid w:val="001A67A0"/>
    <w:rsid w:val="001A6CF8"/>
    <w:rsid w:val="001B07C4"/>
    <w:rsid w:val="001B1467"/>
    <w:rsid w:val="001B2725"/>
    <w:rsid w:val="001B396B"/>
    <w:rsid w:val="001B4033"/>
    <w:rsid w:val="001B4237"/>
    <w:rsid w:val="001B47B2"/>
    <w:rsid w:val="001B5CE8"/>
    <w:rsid w:val="001B6452"/>
    <w:rsid w:val="001C118C"/>
    <w:rsid w:val="001C1C32"/>
    <w:rsid w:val="001C40DD"/>
    <w:rsid w:val="001C4CE3"/>
    <w:rsid w:val="001C52BA"/>
    <w:rsid w:val="001C5AA3"/>
    <w:rsid w:val="001C5C2B"/>
    <w:rsid w:val="001C7914"/>
    <w:rsid w:val="001D0A95"/>
    <w:rsid w:val="001D0F58"/>
    <w:rsid w:val="001D24A0"/>
    <w:rsid w:val="001D3958"/>
    <w:rsid w:val="001D3DC3"/>
    <w:rsid w:val="001D4A05"/>
    <w:rsid w:val="001D7559"/>
    <w:rsid w:val="001E1FDB"/>
    <w:rsid w:val="001E24A0"/>
    <w:rsid w:val="001E5CB0"/>
    <w:rsid w:val="001E6529"/>
    <w:rsid w:val="001E72F3"/>
    <w:rsid w:val="001E7B3E"/>
    <w:rsid w:val="001F0514"/>
    <w:rsid w:val="001F1AE5"/>
    <w:rsid w:val="001F1EDA"/>
    <w:rsid w:val="001F2D26"/>
    <w:rsid w:val="001F4836"/>
    <w:rsid w:val="001F5094"/>
    <w:rsid w:val="001F79C4"/>
    <w:rsid w:val="00200D33"/>
    <w:rsid w:val="0020190A"/>
    <w:rsid w:val="00203AB8"/>
    <w:rsid w:val="0020511C"/>
    <w:rsid w:val="00205425"/>
    <w:rsid w:val="00205844"/>
    <w:rsid w:val="00206A8D"/>
    <w:rsid w:val="002071A0"/>
    <w:rsid w:val="002078CF"/>
    <w:rsid w:val="00212F4D"/>
    <w:rsid w:val="00213251"/>
    <w:rsid w:val="00213D4E"/>
    <w:rsid w:val="002170D3"/>
    <w:rsid w:val="00220363"/>
    <w:rsid w:val="00220D09"/>
    <w:rsid w:val="0022215E"/>
    <w:rsid w:val="00224810"/>
    <w:rsid w:val="0022768D"/>
    <w:rsid w:val="00230996"/>
    <w:rsid w:val="0023347E"/>
    <w:rsid w:val="00233B04"/>
    <w:rsid w:val="002347F7"/>
    <w:rsid w:val="00234C04"/>
    <w:rsid w:val="0024043A"/>
    <w:rsid w:val="002412D0"/>
    <w:rsid w:val="002416F4"/>
    <w:rsid w:val="00243205"/>
    <w:rsid w:val="0024447F"/>
    <w:rsid w:val="0024569B"/>
    <w:rsid w:val="002463F9"/>
    <w:rsid w:val="0025246E"/>
    <w:rsid w:val="00255EE8"/>
    <w:rsid w:val="00257C5B"/>
    <w:rsid w:val="00261B2D"/>
    <w:rsid w:val="00261E81"/>
    <w:rsid w:val="00262373"/>
    <w:rsid w:val="00263585"/>
    <w:rsid w:val="00264D37"/>
    <w:rsid w:val="002711AC"/>
    <w:rsid w:val="00273AF6"/>
    <w:rsid w:val="00275A0E"/>
    <w:rsid w:val="0027674A"/>
    <w:rsid w:val="00276AED"/>
    <w:rsid w:val="002807D9"/>
    <w:rsid w:val="002838A3"/>
    <w:rsid w:val="00284A26"/>
    <w:rsid w:val="0029022C"/>
    <w:rsid w:val="00292EB6"/>
    <w:rsid w:val="002978EA"/>
    <w:rsid w:val="002A1CCE"/>
    <w:rsid w:val="002A1D2C"/>
    <w:rsid w:val="002A24F5"/>
    <w:rsid w:val="002A5003"/>
    <w:rsid w:val="002A673A"/>
    <w:rsid w:val="002A6F88"/>
    <w:rsid w:val="002A771D"/>
    <w:rsid w:val="002B45D1"/>
    <w:rsid w:val="002B487A"/>
    <w:rsid w:val="002B4981"/>
    <w:rsid w:val="002B5082"/>
    <w:rsid w:val="002C0205"/>
    <w:rsid w:val="002C0377"/>
    <w:rsid w:val="002C07DE"/>
    <w:rsid w:val="002C0968"/>
    <w:rsid w:val="002C456B"/>
    <w:rsid w:val="002C4E0E"/>
    <w:rsid w:val="002C4E8C"/>
    <w:rsid w:val="002C5AE2"/>
    <w:rsid w:val="002C6A7A"/>
    <w:rsid w:val="002D08AF"/>
    <w:rsid w:val="002D14E8"/>
    <w:rsid w:val="002D2654"/>
    <w:rsid w:val="002D3454"/>
    <w:rsid w:val="002D3741"/>
    <w:rsid w:val="002D4069"/>
    <w:rsid w:val="002E0D03"/>
    <w:rsid w:val="002E1B35"/>
    <w:rsid w:val="002E3E22"/>
    <w:rsid w:val="002E4642"/>
    <w:rsid w:val="002E5D74"/>
    <w:rsid w:val="002E61EA"/>
    <w:rsid w:val="002E6511"/>
    <w:rsid w:val="002E75AF"/>
    <w:rsid w:val="002E7EC3"/>
    <w:rsid w:val="002F25DE"/>
    <w:rsid w:val="002F355F"/>
    <w:rsid w:val="002F593A"/>
    <w:rsid w:val="002F5AE7"/>
    <w:rsid w:val="002F5BF7"/>
    <w:rsid w:val="002F6E11"/>
    <w:rsid w:val="00302B7E"/>
    <w:rsid w:val="003071B6"/>
    <w:rsid w:val="00307994"/>
    <w:rsid w:val="003127AF"/>
    <w:rsid w:val="00313166"/>
    <w:rsid w:val="003136D8"/>
    <w:rsid w:val="0031538A"/>
    <w:rsid w:val="00317099"/>
    <w:rsid w:val="003170B2"/>
    <w:rsid w:val="00317266"/>
    <w:rsid w:val="00320A7A"/>
    <w:rsid w:val="003224F1"/>
    <w:rsid w:val="00323DF0"/>
    <w:rsid w:val="003257B9"/>
    <w:rsid w:val="003277D6"/>
    <w:rsid w:val="003326E4"/>
    <w:rsid w:val="00340097"/>
    <w:rsid w:val="00340945"/>
    <w:rsid w:val="00341662"/>
    <w:rsid w:val="00341675"/>
    <w:rsid w:val="00342B1B"/>
    <w:rsid w:val="00344C85"/>
    <w:rsid w:val="003453BD"/>
    <w:rsid w:val="00346273"/>
    <w:rsid w:val="00346B58"/>
    <w:rsid w:val="00347FF1"/>
    <w:rsid w:val="00351D32"/>
    <w:rsid w:val="0035208F"/>
    <w:rsid w:val="003551E8"/>
    <w:rsid w:val="00355A8C"/>
    <w:rsid w:val="003565F8"/>
    <w:rsid w:val="0035779A"/>
    <w:rsid w:val="0036471C"/>
    <w:rsid w:val="00366D76"/>
    <w:rsid w:val="00370570"/>
    <w:rsid w:val="003708AB"/>
    <w:rsid w:val="00373BE5"/>
    <w:rsid w:val="00374401"/>
    <w:rsid w:val="00375560"/>
    <w:rsid w:val="003770F6"/>
    <w:rsid w:val="00377B46"/>
    <w:rsid w:val="00377B96"/>
    <w:rsid w:val="00380602"/>
    <w:rsid w:val="00380A4C"/>
    <w:rsid w:val="0038171D"/>
    <w:rsid w:val="003823A5"/>
    <w:rsid w:val="003825A9"/>
    <w:rsid w:val="00383ECB"/>
    <w:rsid w:val="00385FE5"/>
    <w:rsid w:val="00390CEC"/>
    <w:rsid w:val="00391640"/>
    <w:rsid w:val="00392C2D"/>
    <w:rsid w:val="00392D30"/>
    <w:rsid w:val="003940E0"/>
    <w:rsid w:val="003A2F11"/>
    <w:rsid w:val="003A439D"/>
    <w:rsid w:val="003A54F6"/>
    <w:rsid w:val="003A604C"/>
    <w:rsid w:val="003A7A25"/>
    <w:rsid w:val="003B0DF7"/>
    <w:rsid w:val="003B1653"/>
    <w:rsid w:val="003B181C"/>
    <w:rsid w:val="003B4003"/>
    <w:rsid w:val="003B4093"/>
    <w:rsid w:val="003B66EA"/>
    <w:rsid w:val="003C07FD"/>
    <w:rsid w:val="003C100F"/>
    <w:rsid w:val="003C3975"/>
    <w:rsid w:val="003C3B56"/>
    <w:rsid w:val="003C4E1B"/>
    <w:rsid w:val="003C56FF"/>
    <w:rsid w:val="003D04AA"/>
    <w:rsid w:val="003D2CEC"/>
    <w:rsid w:val="003D34BE"/>
    <w:rsid w:val="003D637B"/>
    <w:rsid w:val="003D6C0B"/>
    <w:rsid w:val="003D7790"/>
    <w:rsid w:val="003E0662"/>
    <w:rsid w:val="003E19C5"/>
    <w:rsid w:val="003E588D"/>
    <w:rsid w:val="003E7A24"/>
    <w:rsid w:val="003F1DFD"/>
    <w:rsid w:val="003F4374"/>
    <w:rsid w:val="003F44DF"/>
    <w:rsid w:val="003F5FAF"/>
    <w:rsid w:val="003F5FC8"/>
    <w:rsid w:val="003F69AD"/>
    <w:rsid w:val="003F70C5"/>
    <w:rsid w:val="00400104"/>
    <w:rsid w:val="004008F6"/>
    <w:rsid w:val="00404001"/>
    <w:rsid w:val="00405E6E"/>
    <w:rsid w:val="00406323"/>
    <w:rsid w:val="00411188"/>
    <w:rsid w:val="00411272"/>
    <w:rsid w:val="0041633D"/>
    <w:rsid w:val="004173B9"/>
    <w:rsid w:val="0041785A"/>
    <w:rsid w:val="004201B5"/>
    <w:rsid w:val="004220C6"/>
    <w:rsid w:val="00422B94"/>
    <w:rsid w:val="0042700B"/>
    <w:rsid w:val="004305C0"/>
    <w:rsid w:val="00431896"/>
    <w:rsid w:val="00432354"/>
    <w:rsid w:val="0043239D"/>
    <w:rsid w:val="00436046"/>
    <w:rsid w:val="004406DF"/>
    <w:rsid w:val="00440764"/>
    <w:rsid w:val="00441C53"/>
    <w:rsid w:val="004426FD"/>
    <w:rsid w:val="00442D78"/>
    <w:rsid w:val="00446939"/>
    <w:rsid w:val="00451748"/>
    <w:rsid w:val="00456C2B"/>
    <w:rsid w:val="00460D1B"/>
    <w:rsid w:val="00461F8F"/>
    <w:rsid w:val="00462605"/>
    <w:rsid w:val="0046331E"/>
    <w:rsid w:val="004652B5"/>
    <w:rsid w:val="00465D01"/>
    <w:rsid w:val="00466EE2"/>
    <w:rsid w:val="00467264"/>
    <w:rsid w:val="00470E0A"/>
    <w:rsid w:val="004720B7"/>
    <w:rsid w:val="004733CD"/>
    <w:rsid w:val="0047552D"/>
    <w:rsid w:val="00475F78"/>
    <w:rsid w:val="004763E7"/>
    <w:rsid w:val="00476412"/>
    <w:rsid w:val="00480AD3"/>
    <w:rsid w:val="0048332D"/>
    <w:rsid w:val="00484816"/>
    <w:rsid w:val="00487051"/>
    <w:rsid w:val="00487AA2"/>
    <w:rsid w:val="00490982"/>
    <w:rsid w:val="0049143A"/>
    <w:rsid w:val="00491683"/>
    <w:rsid w:val="00496669"/>
    <w:rsid w:val="00497028"/>
    <w:rsid w:val="004A0D0B"/>
    <w:rsid w:val="004A4FC7"/>
    <w:rsid w:val="004B14CE"/>
    <w:rsid w:val="004B15F5"/>
    <w:rsid w:val="004B4DD6"/>
    <w:rsid w:val="004B5B71"/>
    <w:rsid w:val="004B5D30"/>
    <w:rsid w:val="004B6C64"/>
    <w:rsid w:val="004B6D3C"/>
    <w:rsid w:val="004C1881"/>
    <w:rsid w:val="004C3757"/>
    <w:rsid w:val="004C4283"/>
    <w:rsid w:val="004C64E0"/>
    <w:rsid w:val="004D0440"/>
    <w:rsid w:val="004D1494"/>
    <w:rsid w:val="004D28D0"/>
    <w:rsid w:val="004D3BFA"/>
    <w:rsid w:val="004D5C9F"/>
    <w:rsid w:val="004D76AE"/>
    <w:rsid w:val="004D7D64"/>
    <w:rsid w:val="004D7FB3"/>
    <w:rsid w:val="004E0A1B"/>
    <w:rsid w:val="004E1C83"/>
    <w:rsid w:val="004E2B78"/>
    <w:rsid w:val="004E2C0D"/>
    <w:rsid w:val="004E2E08"/>
    <w:rsid w:val="004E2F6D"/>
    <w:rsid w:val="004E30B3"/>
    <w:rsid w:val="004E3213"/>
    <w:rsid w:val="004E4D0F"/>
    <w:rsid w:val="004E55B6"/>
    <w:rsid w:val="004E61F8"/>
    <w:rsid w:val="004E627E"/>
    <w:rsid w:val="004E6829"/>
    <w:rsid w:val="004E76D0"/>
    <w:rsid w:val="004F03CC"/>
    <w:rsid w:val="004F0AB3"/>
    <w:rsid w:val="004F2784"/>
    <w:rsid w:val="004F3338"/>
    <w:rsid w:val="004F3AE7"/>
    <w:rsid w:val="004F57FE"/>
    <w:rsid w:val="004F5D04"/>
    <w:rsid w:val="004F7C74"/>
    <w:rsid w:val="00501C4D"/>
    <w:rsid w:val="00505788"/>
    <w:rsid w:val="00507170"/>
    <w:rsid w:val="00510D65"/>
    <w:rsid w:val="00511E6C"/>
    <w:rsid w:val="005157E6"/>
    <w:rsid w:val="00515D58"/>
    <w:rsid w:val="005214D7"/>
    <w:rsid w:val="005217AE"/>
    <w:rsid w:val="00523011"/>
    <w:rsid w:val="005231B8"/>
    <w:rsid w:val="0052506B"/>
    <w:rsid w:val="005264A1"/>
    <w:rsid w:val="0052755F"/>
    <w:rsid w:val="00527CB3"/>
    <w:rsid w:val="00535B28"/>
    <w:rsid w:val="005363E6"/>
    <w:rsid w:val="00536940"/>
    <w:rsid w:val="00537116"/>
    <w:rsid w:val="005379A0"/>
    <w:rsid w:val="0054081F"/>
    <w:rsid w:val="0054218B"/>
    <w:rsid w:val="00544037"/>
    <w:rsid w:val="005519C0"/>
    <w:rsid w:val="005526E7"/>
    <w:rsid w:val="00552C2F"/>
    <w:rsid w:val="00554DE2"/>
    <w:rsid w:val="005552A5"/>
    <w:rsid w:val="005553CC"/>
    <w:rsid w:val="00555C07"/>
    <w:rsid w:val="005577B5"/>
    <w:rsid w:val="0056136E"/>
    <w:rsid w:val="00561E96"/>
    <w:rsid w:val="005631D5"/>
    <w:rsid w:val="00563BB7"/>
    <w:rsid w:val="0056434B"/>
    <w:rsid w:val="005657EA"/>
    <w:rsid w:val="00567DC4"/>
    <w:rsid w:val="00570976"/>
    <w:rsid w:val="00570D00"/>
    <w:rsid w:val="005721EB"/>
    <w:rsid w:val="00572FFB"/>
    <w:rsid w:val="00573AE0"/>
    <w:rsid w:val="00580667"/>
    <w:rsid w:val="00580A28"/>
    <w:rsid w:val="00581E5D"/>
    <w:rsid w:val="00581FA9"/>
    <w:rsid w:val="0058200E"/>
    <w:rsid w:val="005820FB"/>
    <w:rsid w:val="005843E0"/>
    <w:rsid w:val="005854BE"/>
    <w:rsid w:val="00585557"/>
    <w:rsid w:val="00587714"/>
    <w:rsid w:val="00587C3D"/>
    <w:rsid w:val="00590348"/>
    <w:rsid w:val="0059131D"/>
    <w:rsid w:val="00592AA9"/>
    <w:rsid w:val="005930C5"/>
    <w:rsid w:val="00594E62"/>
    <w:rsid w:val="00594EEE"/>
    <w:rsid w:val="005973E6"/>
    <w:rsid w:val="005A26BC"/>
    <w:rsid w:val="005A4369"/>
    <w:rsid w:val="005A4767"/>
    <w:rsid w:val="005A603C"/>
    <w:rsid w:val="005A66A2"/>
    <w:rsid w:val="005A6A6A"/>
    <w:rsid w:val="005B069B"/>
    <w:rsid w:val="005B247E"/>
    <w:rsid w:val="005B30C9"/>
    <w:rsid w:val="005C0169"/>
    <w:rsid w:val="005C2514"/>
    <w:rsid w:val="005C3784"/>
    <w:rsid w:val="005C466C"/>
    <w:rsid w:val="005C4C98"/>
    <w:rsid w:val="005C6B60"/>
    <w:rsid w:val="005C75E8"/>
    <w:rsid w:val="005C7721"/>
    <w:rsid w:val="005D0C99"/>
    <w:rsid w:val="005D19EF"/>
    <w:rsid w:val="005D3C8E"/>
    <w:rsid w:val="005D402F"/>
    <w:rsid w:val="005D7926"/>
    <w:rsid w:val="005D7B38"/>
    <w:rsid w:val="005E0923"/>
    <w:rsid w:val="005E0E69"/>
    <w:rsid w:val="005E2988"/>
    <w:rsid w:val="005E2B56"/>
    <w:rsid w:val="005E311D"/>
    <w:rsid w:val="005E36A8"/>
    <w:rsid w:val="005E3EAC"/>
    <w:rsid w:val="005E477F"/>
    <w:rsid w:val="005E4C41"/>
    <w:rsid w:val="005E54E0"/>
    <w:rsid w:val="005E6F7A"/>
    <w:rsid w:val="005E7F08"/>
    <w:rsid w:val="005F0D29"/>
    <w:rsid w:val="005F30C9"/>
    <w:rsid w:val="005F59CA"/>
    <w:rsid w:val="005F77FF"/>
    <w:rsid w:val="0060216C"/>
    <w:rsid w:val="00602631"/>
    <w:rsid w:val="006034B8"/>
    <w:rsid w:val="006041F6"/>
    <w:rsid w:val="00607327"/>
    <w:rsid w:val="00607BAA"/>
    <w:rsid w:val="00612794"/>
    <w:rsid w:val="006127F6"/>
    <w:rsid w:val="00612DD1"/>
    <w:rsid w:val="00612F8D"/>
    <w:rsid w:val="006140D2"/>
    <w:rsid w:val="00615281"/>
    <w:rsid w:val="00615CB2"/>
    <w:rsid w:val="00616BEA"/>
    <w:rsid w:val="00621D58"/>
    <w:rsid w:val="0062368A"/>
    <w:rsid w:val="0062489C"/>
    <w:rsid w:val="00624E42"/>
    <w:rsid w:val="00626256"/>
    <w:rsid w:val="00626F55"/>
    <w:rsid w:val="0062762D"/>
    <w:rsid w:val="00631C3D"/>
    <w:rsid w:val="00631EAF"/>
    <w:rsid w:val="00632EA0"/>
    <w:rsid w:val="00637FAA"/>
    <w:rsid w:val="0064126A"/>
    <w:rsid w:val="006449BF"/>
    <w:rsid w:val="00645394"/>
    <w:rsid w:val="006458BA"/>
    <w:rsid w:val="0064599D"/>
    <w:rsid w:val="0064780A"/>
    <w:rsid w:val="00647BD2"/>
    <w:rsid w:val="00651244"/>
    <w:rsid w:val="00652C9C"/>
    <w:rsid w:val="00655332"/>
    <w:rsid w:val="006555FA"/>
    <w:rsid w:val="006574A0"/>
    <w:rsid w:val="0065788C"/>
    <w:rsid w:val="006632A4"/>
    <w:rsid w:val="006674BF"/>
    <w:rsid w:val="006679ED"/>
    <w:rsid w:val="006700B1"/>
    <w:rsid w:val="006705A4"/>
    <w:rsid w:val="006705BA"/>
    <w:rsid w:val="006734B1"/>
    <w:rsid w:val="006762EA"/>
    <w:rsid w:val="0068056C"/>
    <w:rsid w:val="00681B2E"/>
    <w:rsid w:val="00682AD3"/>
    <w:rsid w:val="00682C2A"/>
    <w:rsid w:val="006841B6"/>
    <w:rsid w:val="0068469E"/>
    <w:rsid w:val="00686AC0"/>
    <w:rsid w:val="00686C0A"/>
    <w:rsid w:val="00687D39"/>
    <w:rsid w:val="00690713"/>
    <w:rsid w:val="00692C07"/>
    <w:rsid w:val="00695547"/>
    <w:rsid w:val="00695970"/>
    <w:rsid w:val="00697F39"/>
    <w:rsid w:val="006A19A5"/>
    <w:rsid w:val="006A214A"/>
    <w:rsid w:val="006A4CF3"/>
    <w:rsid w:val="006A5A9C"/>
    <w:rsid w:val="006A6902"/>
    <w:rsid w:val="006B0416"/>
    <w:rsid w:val="006B0553"/>
    <w:rsid w:val="006B146F"/>
    <w:rsid w:val="006B1684"/>
    <w:rsid w:val="006B2CDC"/>
    <w:rsid w:val="006B65A4"/>
    <w:rsid w:val="006B74A8"/>
    <w:rsid w:val="006B75C5"/>
    <w:rsid w:val="006C248C"/>
    <w:rsid w:val="006C2895"/>
    <w:rsid w:val="006C5074"/>
    <w:rsid w:val="006C6C4E"/>
    <w:rsid w:val="006C7622"/>
    <w:rsid w:val="006C7EB4"/>
    <w:rsid w:val="006D0435"/>
    <w:rsid w:val="006D08C1"/>
    <w:rsid w:val="006D1E53"/>
    <w:rsid w:val="006D493F"/>
    <w:rsid w:val="006D4BFD"/>
    <w:rsid w:val="006D5CDF"/>
    <w:rsid w:val="006D770C"/>
    <w:rsid w:val="006E1B4B"/>
    <w:rsid w:val="006E208A"/>
    <w:rsid w:val="006E3D11"/>
    <w:rsid w:val="006E40C7"/>
    <w:rsid w:val="006E4121"/>
    <w:rsid w:val="006E4A68"/>
    <w:rsid w:val="006E516D"/>
    <w:rsid w:val="006E551C"/>
    <w:rsid w:val="006E7425"/>
    <w:rsid w:val="006F074B"/>
    <w:rsid w:val="006F5B97"/>
    <w:rsid w:val="006F659C"/>
    <w:rsid w:val="006F74CD"/>
    <w:rsid w:val="007007AC"/>
    <w:rsid w:val="0070117D"/>
    <w:rsid w:val="00701FE8"/>
    <w:rsid w:val="00702391"/>
    <w:rsid w:val="00702BA4"/>
    <w:rsid w:val="0070455D"/>
    <w:rsid w:val="00704CDB"/>
    <w:rsid w:val="00705D4B"/>
    <w:rsid w:val="00711211"/>
    <w:rsid w:val="00713304"/>
    <w:rsid w:val="00715A81"/>
    <w:rsid w:val="0071687A"/>
    <w:rsid w:val="007172E8"/>
    <w:rsid w:val="007217A1"/>
    <w:rsid w:val="00722B64"/>
    <w:rsid w:val="00722D30"/>
    <w:rsid w:val="00725738"/>
    <w:rsid w:val="00730B1B"/>
    <w:rsid w:val="007331A2"/>
    <w:rsid w:val="007348B4"/>
    <w:rsid w:val="00734EDE"/>
    <w:rsid w:val="0073585A"/>
    <w:rsid w:val="00737F27"/>
    <w:rsid w:val="00744C7E"/>
    <w:rsid w:val="00744E53"/>
    <w:rsid w:val="007474B2"/>
    <w:rsid w:val="007476DC"/>
    <w:rsid w:val="0075038E"/>
    <w:rsid w:val="007545AC"/>
    <w:rsid w:val="0075491B"/>
    <w:rsid w:val="007601FD"/>
    <w:rsid w:val="00760542"/>
    <w:rsid w:val="007605C0"/>
    <w:rsid w:val="00760E29"/>
    <w:rsid w:val="00762C2C"/>
    <w:rsid w:val="00762F0E"/>
    <w:rsid w:val="00763539"/>
    <w:rsid w:val="00763F69"/>
    <w:rsid w:val="0076629A"/>
    <w:rsid w:val="00767BD1"/>
    <w:rsid w:val="00773239"/>
    <w:rsid w:val="00776739"/>
    <w:rsid w:val="00776898"/>
    <w:rsid w:val="00777222"/>
    <w:rsid w:val="007774CA"/>
    <w:rsid w:val="00777AD0"/>
    <w:rsid w:val="007823D1"/>
    <w:rsid w:val="00782C5F"/>
    <w:rsid w:val="007830D0"/>
    <w:rsid w:val="00784D23"/>
    <w:rsid w:val="00785EA8"/>
    <w:rsid w:val="00786160"/>
    <w:rsid w:val="007867E9"/>
    <w:rsid w:val="00791DC7"/>
    <w:rsid w:val="00792DB7"/>
    <w:rsid w:val="00795251"/>
    <w:rsid w:val="0079581C"/>
    <w:rsid w:val="007966C4"/>
    <w:rsid w:val="0079679B"/>
    <w:rsid w:val="007A0F8B"/>
    <w:rsid w:val="007A6317"/>
    <w:rsid w:val="007B2943"/>
    <w:rsid w:val="007B33CC"/>
    <w:rsid w:val="007B4897"/>
    <w:rsid w:val="007B4F41"/>
    <w:rsid w:val="007B7701"/>
    <w:rsid w:val="007C03B5"/>
    <w:rsid w:val="007C43D9"/>
    <w:rsid w:val="007D0FE7"/>
    <w:rsid w:val="007D2023"/>
    <w:rsid w:val="007D3C1D"/>
    <w:rsid w:val="007D4315"/>
    <w:rsid w:val="007D44C5"/>
    <w:rsid w:val="007D6D43"/>
    <w:rsid w:val="007E0E76"/>
    <w:rsid w:val="007E1530"/>
    <w:rsid w:val="007E2D2F"/>
    <w:rsid w:val="007E6A11"/>
    <w:rsid w:val="007E7584"/>
    <w:rsid w:val="007E7B9C"/>
    <w:rsid w:val="007F139B"/>
    <w:rsid w:val="007F3E0D"/>
    <w:rsid w:val="007F47E6"/>
    <w:rsid w:val="007F55E1"/>
    <w:rsid w:val="007F6DAF"/>
    <w:rsid w:val="00801AEC"/>
    <w:rsid w:val="00802801"/>
    <w:rsid w:val="00803125"/>
    <w:rsid w:val="0080465B"/>
    <w:rsid w:val="008075AB"/>
    <w:rsid w:val="00810034"/>
    <w:rsid w:val="00810AF3"/>
    <w:rsid w:val="00811195"/>
    <w:rsid w:val="008115BF"/>
    <w:rsid w:val="00811FDF"/>
    <w:rsid w:val="0081271C"/>
    <w:rsid w:val="00813E5F"/>
    <w:rsid w:val="008149F5"/>
    <w:rsid w:val="008161DE"/>
    <w:rsid w:val="008166BC"/>
    <w:rsid w:val="0082027C"/>
    <w:rsid w:val="008215C5"/>
    <w:rsid w:val="00821BFC"/>
    <w:rsid w:val="00822A22"/>
    <w:rsid w:val="00823BFC"/>
    <w:rsid w:val="008255F7"/>
    <w:rsid w:val="00825E50"/>
    <w:rsid w:val="008277E9"/>
    <w:rsid w:val="00827E69"/>
    <w:rsid w:val="00830A03"/>
    <w:rsid w:val="008328BD"/>
    <w:rsid w:val="00832F33"/>
    <w:rsid w:val="00832FAF"/>
    <w:rsid w:val="008333EC"/>
    <w:rsid w:val="0083429C"/>
    <w:rsid w:val="0083469E"/>
    <w:rsid w:val="00835678"/>
    <w:rsid w:val="00835EBF"/>
    <w:rsid w:val="00844CA4"/>
    <w:rsid w:val="00845E8A"/>
    <w:rsid w:val="00847743"/>
    <w:rsid w:val="00851088"/>
    <w:rsid w:val="00851E51"/>
    <w:rsid w:val="0085663E"/>
    <w:rsid w:val="00856F5F"/>
    <w:rsid w:val="008571C1"/>
    <w:rsid w:val="00860476"/>
    <w:rsid w:val="008613D5"/>
    <w:rsid w:val="00861D1B"/>
    <w:rsid w:val="00862063"/>
    <w:rsid w:val="008658D1"/>
    <w:rsid w:val="008659CB"/>
    <w:rsid w:val="00865BF6"/>
    <w:rsid w:val="00870BE1"/>
    <w:rsid w:val="00874885"/>
    <w:rsid w:val="008759B9"/>
    <w:rsid w:val="00875D81"/>
    <w:rsid w:val="00876236"/>
    <w:rsid w:val="00876C71"/>
    <w:rsid w:val="00880158"/>
    <w:rsid w:val="0088240B"/>
    <w:rsid w:val="008833C2"/>
    <w:rsid w:val="0088353F"/>
    <w:rsid w:val="0088660A"/>
    <w:rsid w:val="00887569"/>
    <w:rsid w:val="00890060"/>
    <w:rsid w:val="00890FB0"/>
    <w:rsid w:val="00892B55"/>
    <w:rsid w:val="0089353A"/>
    <w:rsid w:val="0089479E"/>
    <w:rsid w:val="00896133"/>
    <w:rsid w:val="008965B6"/>
    <w:rsid w:val="008A1050"/>
    <w:rsid w:val="008A166D"/>
    <w:rsid w:val="008A177A"/>
    <w:rsid w:val="008A5083"/>
    <w:rsid w:val="008A5660"/>
    <w:rsid w:val="008A56B1"/>
    <w:rsid w:val="008A6B4E"/>
    <w:rsid w:val="008B55D2"/>
    <w:rsid w:val="008B589E"/>
    <w:rsid w:val="008B630C"/>
    <w:rsid w:val="008C0F60"/>
    <w:rsid w:val="008C2784"/>
    <w:rsid w:val="008C372B"/>
    <w:rsid w:val="008C3894"/>
    <w:rsid w:val="008D1275"/>
    <w:rsid w:val="008D3BFE"/>
    <w:rsid w:val="008D4BDD"/>
    <w:rsid w:val="008D618B"/>
    <w:rsid w:val="008E0B17"/>
    <w:rsid w:val="008E32FA"/>
    <w:rsid w:val="008E3508"/>
    <w:rsid w:val="008E48A4"/>
    <w:rsid w:val="008E4CDF"/>
    <w:rsid w:val="008E7493"/>
    <w:rsid w:val="008F0756"/>
    <w:rsid w:val="008F0A0A"/>
    <w:rsid w:val="008F10B3"/>
    <w:rsid w:val="008F1154"/>
    <w:rsid w:val="008F3450"/>
    <w:rsid w:val="008F44DD"/>
    <w:rsid w:val="008F4E49"/>
    <w:rsid w:val="008F6C62"/>
    <w:rsid w:val="00900A1A"/>
    <w:rsid w:val="00901D05"/>
    <w:rsid w:val="00903607"/>
    <w:rsid w:val="0090542D"/>
    <w:rsid w:val="009079C7"/>
    <w:rsid w:val="009109E1"/>
    <w:rsid w:val="00910D05"/>
    <w:rsid w:val="0091261A"/>
    <w:rsid w:val="009159A5"/>
    <w:rsid w:val="00920642"/>
    <w:rsid w:val="0092107F"/>
    <w:rsid w:val="00921FFD"/>
    <w:rsid w:val="0092214A"/>
    <w:rsid w:val="00923FB1"/>
    <w:rsid w:val="0092522B"/>
    <w:rsid w:val="00926B68"/>
    <w:rsid w:val="00927E78"/>
    <w:rsid w:val="00930158"/>
    <w:rsid w:val="0093075E"/>
    <w:rsid w:val="009308D9"/>
    <w:rsid w:val="00932738"/>
    <w:rsid w:val="009335AD"/>
    <w:rsid w:val="00933643"/>
    <w:rsid w:val="0093436C"/>
    <w:rsid w:val="00934E9C"/>
    <w:rsid w:val="0093541A"/>
    <w:rsid w:val="00935AB0"/>
    <w:rsid w:val="0093710B"/>
    <w:rsid w:val="009373DF"/>
    <w:rsid w:val="0093755B"/>
    <w:rsid w:val="00937948"/>
    <w:rsid w:val="00940623"/>
    <w:rsid w:val="0094185B"/>
    <w:rsid w:val="00941934"/>
    <w:rsid w:val="00943DDB"/>
    <w:rsid w:val="009461CC"/>
    <w:rsid w:val="00950BC2"/>
    <w:rsid w:val="0095104E"/>
    <w:rsid w:val="00951F8A"/>
    <w:rsid w:val="00954446"/>
    <w:rsid w:val="0095477E"/>
    <w:rsid w:val="0095520B"/>
    <w:rsid w:val="009556ED"/>
    <w:rsid w:val="009562F7"/>
    <w:rsid w:val="009603EE"/>
    <w:rsid w:val="0096171F"/>
    <w:rsid w:val="00962919"/>
    <w:rsid w:val="00962978"/>
    <w:rsid w:val="00962AD2"/>
    <w:rsid w:val="00962B43"/>
    <w:rsid w:val="00971B71"/>
    <w:rsid w:val="00974941"/>
    <w:rsid w:val="0097507B"/>
    <w:rsid w:val="00975BA1"/>
    <w:rsid w:val="00980398"/>
    <w:rsid w:val="009815A4"/>
    <w:rsid w:val="00981CA7"/>
    <w:rsid w:val="00984591"/>
    <w:rsid w:val="00985093"/>
    <w:rsid w:val="00987F76"/>
    <w:rsid w:val="00991C46"/>
    <w:rsid w:val="009926D7"/>
    <w:rsid w:val="009945DC"/>
    <w:rsid w:val="009A00B8"/>
    <w:rsid w:val="009A2024"/>
    <w:rsid w:val="009A2B1D"/>
    <w:rsid w:val="009A3954"/>
    <w:rsid w:val="009A3A41"/>
    <w:rsid w:val="009A6C6F"/>
    <w:rsid w:val="009A7C65"/>
    <w:rsid w:val="009B162F"/>
    <w:rsid w:val="009B2174"/>
    <w:rsid w:val="009B362F"/>
    <w:rsid w:val="009B7C68"/>
    <w:rsid w:val="009C0521"/>
    <w:rsid w:val="009C0970"/>
    <w:rsid w:val="009C3A92"/>
    <w:rsid w:val="009C4027"/>
    <w:rsid w:val="009C42C6"/>
    <w:rsid w:val="009C4D15"/>
    <w:rsid w:val="009C4FAD"/>
    <w:rsid w:val="009C503B"/>
    <w:rsid w:val="009C52CC"/>
    <w:rsid w:val="009C5559"/>
    <w:rsid w:val="009C58A2"/>
    <w:rsid w:val="009C6555"/>
    <w:rsid w:val="009C778D"/>
    <w:rsid w:val="009D02B5"/>
    <w:rsid w:val="009D12EF"/>
    <w:rsid w:val="009D38CF"/>
    <w:rsid w:val="009D3FCD"/>
    <w:rsid w:val="009E270D"/>
    <w:rsid w:val="009E2E84"/>
    <w:rsid w:val="009E4C78"/>
    <w:rsid w:val="009E5884"/>
    <w:rsid w:val="009E659D"/>
    <w:rsid w:val="009F0616"/>
    <w:rsid w:val="009F337F"/>
    <w:rsid w:val="009F417D"/>
    <w:rsid w:val="009F543B"/>
    <w:rsid w:val="009F6FB0"/>
    <w:rsid w:val="009F756D"/>
    <w:rsid w:val="009F7DBC"/>
    <w:rsid w:val="009F7DD3"/>
    <w:rsid w:val="00A00AFC"/>
    <w:rsid w:val="00A00CF8"/>
    <w:rsid w:val="00A019AE"/>
    <w:rsid w:val="00A033D7"/>
    <w:rsid w:val="00A05AC0"/>
    <w:rsid w:val="00A07BC8"/>
    <w:rsid w:val="00A07EB0"/>
    <w:rsid w:val="00A102CE"/>
    <w:rsid w:val="00A12CFE"/>
    <w:rsid w:val="00A13F8E"/>
    <w:rsid w:val="00A145D2"/>
    <w:rsid w:val="00A23EA1"/>
    <w:rsid w:val="00A25AC1"/>
    <w:rsid w:val="00A30364"/>
    <w:rsid w:val="00A30984"/>
    <w:rsid w:val="00A31566"/>
    <w:rsid w:val="00A315DF"/>
    <w:rsid w:val="00A32549"/>
    <w:rsid w:val="00A35FB1"/>
    <w:rsid w:val="00A36146"/>
    <w:rsid w:val="00A36869"/>
    <w:rsid w:val="00A369C7"/>
    <w:rsid w:val="00A37C50"/>
    <w:rsid w:val="00A44748"/>
    <w:rsid w:val="00A44BEA"/>
    <w:rsid w:val="00A47C08"/>
    <w:rsid w:val="00A47CAC"/>
    <w:rsid w:val="00A508B5"/>
    <w:rsid w:val="00A50B9B"/>
    <w:rsid w:val="00A51718"/>
    <w:rsid w:val="00A57A7B"/>
    <w:rsid w:val="00A57BE7"/>
    <w:rsid w:val="00A57D4D"/>
    <w:rsid w:val="00A61BB7"/>
    <w:rsid w:val="00A61F07"/>
    <w:rsid w:val="00A6208B"/>
    <w:rsid w:val="00A6332F"/>
    <w:rsid w:val="00A64CA3"/>
    <w:rsid w:val="00A64F1A"/>
    <w:rsid w:val="00A664B7"/>
    <w:rsid w:val="00A67D93"/>
    <w:rsid w:val="00A70D1D"/>
    <w:rsid w:val="00A75115"/>
    <w:rsid w:val="00A7551A"/>
    <w:rsid w:val="00A75A43"/>
    <w:rsid w:val="00A75A5C"/>
    <w:rsid w:val="00A77640"/>
    <w:rsid w:val="00A80AFF"/>
    <w:rsid w:val="00A83296"/>
    <w:rsid w:val="00A85D34"/>
    <w:rsid w:val="00A85E1D"/>
    <w:rsid w:val="00A87799"/>
    <w:rsid w:val="00A913FD"/>
    <w:rsid w:val="00A91F69"/>
    <w:rsid w:val="00A92F07"/>
    <w:rsid w:val="00A942A6"/>
    <w:rsid w:val="00A95D35"/>
    <w:rsid w:val="00A970AA"/>
    <w:rsid w:val="00AA1FCB"/>
    <w:rsid w:val="00AA352E"/>
    <w:rsid w:val="00AA433A"/>
    <w:rsid w:val="00AA72B1"/>
    <w:rsid w:val="00AB17B5"/>
    <w:rsid w:val="00AB4DAC"/>
    <w:rsid w:val="00AB5CBD"/>
    <w:rsid w:val="00AB7354"/>
    <w:rsid w:val="00AC0181"/>
    <w:rsid w:val="00AC2283"/>
    <w:rsid w:val="00AC6120"/>
    <w:rsid w:val="00AC6FE7"/>
    <w:rsid w:val="00AC71D8"/>
    <w:rsid w:val="00AD0301"/>
    <w:rsid w:val="00AD22F8"/>
    <w:rsid w:val="00AD2696"/>
    <w:rsid w:val="00AD297C"/>
    <w:rsid w:val="00AD29BB"/>
    <w:rsid w:val="00AD2A71"/>
    <w:rsid w:val="00AD35F6"/>
    <w:rsid w:val="00AD5558"/>
    <w:rsid w:val="00AD55F6"/>
    <w:rsid w:val="00AD5990"/>
    <w:rsid w:val="00AD6381"/>
    <w:rsid w:val="00AD6D9A"/>
    <w:rsid w:val="00AE0BE5"/>
    <w:rsid w:val="00AE3A9E"/>
    <w:rsid w:val="00AE3F64"/>
    <w:rsid w:val="00AE49ED"/>
    <w:rsid w:val="00AE6908"/>
    <w:rsid w:val="00AE7573"/>
    <w:rsid w:val="00AF07C5"/>
    <w:rsid w:val="00AF0E8B"/>
    <w:rsid w:val="00AF0F46"/>
    <w:rsid w:val="00AF1034"/>
    <w:rsid w:val="00AF1478"/>
    <w:rsid w:val="00AF1A71"/>
    <w:rsid w:val="00AF3E5C"/>
    <w:rsid w:val="00AF5906"/>
    <w:rsid w:val="00AF6158"/>
    <w:rsid w:val="00AF63BA"/>
    <w:rsid w:val="00AF6816"/>
    <w:rsid w:val="00AF7797"/>
    <w:rsid w:val="00AF7B22"/>
    <w:rsid w:val="00B000AE"/>
    <w:rsid w:val="00B008AE"/>
    <w:rsid w:val="00B00D1C"/>
    <w:rsid w:val="00B00F87"/>
    <w:rsid w:val="00B01432"/>
    <w:rsid w:val="00B04095"/>
    <w:rsid w:val="00B0623D"/>
    <w:rsid w:val="00B10465"/>
    <w:rsid w:val="00B11D6E"/>
    <w:rsid w:val="00B122E6"/>
    <w:rsid w:val="00B1325D"/>
    <w:rsid w:val="00B144F9"/>
    <w:rsid w:val="00B162F1"/>
    <w:rsid w:val="00B17211"/>
    <w:rsid w:val="00B20A98"/>
    <w:rsid w:val="00B215DE"/>
    <w:rsid w:val="00B2248E"/>
    <w:rsid w:val="00B2302F"/>
    <w:rsid w:val="00B24D51"/>
    <w:rsid w:val="00B27EA0"/>
    <w:rsid w:val="00B309C5"/>
    <w:rsid w:val="00B30C90"/>
    <w:rsid w:val="00B31600"/>
    <w:rsid w:val="00B31E57"/>
    <w:rsid w:val="00B32585"/>
    <w:rsid w:val="00B32C58"/>
    <w:rsid w:val="00B33F67"/>
    <w:rsid w:val="00B35028"/>
    <w:rsid w:val="00B378BB"/>
    <w:rsid w:val="00B41264"/>
    <w:rsid w:val="00B4179A"/>
    <w:rsid w:val="00B41954"/>
    <w:rsid w:val="00B41C50"/>
    <w:rsid w:val="00B430E2"/>
    <w:rsid w:val="00B4402C"/>
    <w:rsid w:val="00B448AC"/>
    <w:rsid w:val="00B470F3"/>
    <w:rsid w:val="00B502CC"/>
    <w:rsid w:val="00B50BA6"/>
    <w:rsid w:val="00B519F1"/>
    <w:rsid w:val="00B536C2"/>
    <w:rsid w:val="00B553D5"/>
    <w:rsid w:val="00B55B90"/>
    <w:rsid w:val="00B55C36"/>
    <w:rsid w:val="00B562FD"/>
    <w:rsid w:val="00B56F70"/>
    <w:rsid w:val="00B57793"/>
    <w:rsid w:val="00B60C5A"/>
    <w:rsid w:val="00B6136C"/>
    <w:rsid w:val="00B62EAA"/>
    <w:rsid w:val="00B632AD"/>
    <w:rsid w:val="00B66B66"/>
    <w:rsid w:val="00B66E74"/>
    <w:rsid w:val="00B711CA"/>
    <w:rsid w:val="00B76C95"/>
    <w:rsid w:val="00B77545"/>
    <w:rsid w:val="00B777C6"/>
    <w:rsid w:val="00B80444"/>
    <w:rsid w:val="00B809FF"/>
    <w:rsid w:val="00B80CE3"/>
    <w:rsid w:val="00B84184"/>
    <w:rsid w:val="00B869D0"/>
    <w:rsid w:val="00B87E5D"/>
    <w:rsid w:val="00B92C98"/>
    <w:rsid w:val="00B938A5"/>
    <w:rsid w:val="00B94A44"/>
    <w:rsid w:val="00B94F90"/>
    <w:rsid w:val="00B960C7"/>
    <w:rsid w:val="00BA154C"/>
    <w:rsid w:val="00BA5C0B"/>
    <w:rsid w:val="00BA6B17"/>
    <w:rsid w:val="00BA7362"/>
    <w:rsid w:val="00BB0995"/>
    <w:rsid w:val="00BB143E"/>
    <w:rsid w:val="00BB20E6"/>
    <w:rsid w:val="00BB2FC8"/>
    <w:rsid w:val="00BB5C0B"/>
    <w:rsid w:val="00BB782F"/>
    <w:rsid w:val="00BC331F"/>
    <w:rsid w:val="00BC40C3"/>
    <w:rsid w:val="00BC4CAC"/>
    <w:rsid w:val="00BC5610"/>
    <w:rsid w:val="00BC7273"/>
    <w:rsid w:val="00BC7E24"/>
    <w:rsid w:val="00BD07BC"/>
    <w:rsid w:val="00BD1541"/>
    <w:rsid w:val="00BD428E"/>
    <w:rsid w:val="00BD4485"/>
    <w:rsid w:val="00BD4986"/>
    <w:rsid w:val="00BD6D8E"/>
    <w:rsid w:val="00BD743F"/>
    <w:rsid w:val="00BE6A9C"/>
    <w:rsid w:val="00BE7640"/>
    <w:rsid w:val="00BF2810"/>
    <w:rsid w:val="00BF4D5B"/>
    <w:rsid w:val="00BF7897"/>
    <w:rsid w:val="00C01E70"/>
    <w:rsid w:val="00C058D3"/>
    <w:rsid w:val="00C06C0A"/>
    <w:rsid w:val="00C0737C"/>
    <w:rsid w:val="00C079F8"/>
    <w:rsid w:val="00C10763"/>
    <w:rsid w:val="00C11CC4"/>
    <w:rsid w:val="00C120BB"/>
    <w:rsid w:val="00C127B3"/>
    <w:rsid w:val="00C130D1"/>
    <w:rsid w:val="00C13461"/>
    <w:rsid w:val="00C1451E"/>
    <w:rsid w:val="00C150F4"/>
    <w:rsid w:val="00C15488"/>
    <w:rsid w:val="00C15B98"/>
    <w:rsid w:val="00C1688F"/>
    <w:rsid w:val="00C16C65"/>
    <w:rsid w:val="00C16CDF"/>
    <w:rsid w:val="00C176E8"/>
    <w:rsid w:val="00C20B7C"/>
    <w:rsid w:val="00C215E1"/>
    <w:rsid w:val="00C217C1"/>
    <w:rsid w:val="00C22DC8"/>
    <w:rsid w:val="00C23F0E"/>
    <w:rsid w:val="00C26336"/>
    <w:rsid w:val="00C27FE3"/>
    <w:rsid w:val="00C306A7"/>
    <w:rsid w:val="00C32FCC"/>
    <w:rsid w:val="00C364C7"/>
    <w:rsid w:val="00C370A2"/>
    <w:rsid w:val="00C40FAB"/>
    <w:rsid w:val="00C417E2"/>
    <w:rsid w:val="00C41A11"/>
    <w:rsid w:val="00C4401F"/>
    <w:rsid w:val="00C454E3"/>
    <w:rsid w:val="00C45835"/>
    <w:rsid w:val="00C5382F"/>
    <w:rsid w:val="00C53DF0"/>
    <w:rsid w:val="00C55C5C"/>
    <w:rsid w:val="00C56991"/>
    <w:rsid w:val="00C61578"/>
    <w:rsid w:val="00C61ADA"/>
    <w:rsid w:val="00C63440"/>
    <w:rsid w:val="00C63D0E"/>
    <w:rsid w:val="00C6515F"/>
    <w:rsid w:val="00C65BB3"/>
    <w:rsid w:val="00C666EF"/>
    <w:rsid w:val="00C67DEC"/>
    <w:rsid w:val="00C70382"/>
    <w:rsid w:val="00C7043F"/>
    <w:rsid w:val="00C70ACB"/>
    <w:rsid w:val="00C71EC4"/>
    <w:rsid w:val="00C7305C"/>
    <w:rsid w:val="00C73873"/>
    <w:rsid w:val="00C7580B"/>
    <w:rsid w:val="00C802FD"/>
    <w:rsid w:val="00C80C32"/>
    <w:rsid w:val="00C81367"/>
    <w:rsid w:val="00C816B6"/>
    <w:rsid w:val="00C8340F"/>
    <w:rsid w:val="00C863B4"/>
    <w:rsid w:val="00C878FE"/>
    <w:rsid w:val="00C879E5"/>
    <w:rsid w:val="00C905C3"/>
    <w:rsid w:val="00C905CA"/>
    <w:rsid w:val="00C91119"/>
    <w:rsid w:val="00C92873"/>
    <w:rsid w:val="00CA0051"/>
    <w:rsid w:val="00CA12CC"/>
    <w:rsid w:val="00CA2D5D"/>
    <w:rsid w:val="00CA3395"/>
    <w:rsid w:val="00CA5E46"/>
    <w:rsid w:val="00CA6998"/>
    <w:rsid w:val="00CA6D1B"/>
    <w:rsid w:val="00CA6DA2"/>
    <w:rsid w:val="00CB3A22"/>
    <w:rsid w:val="00CB6B37"/>
    <w:rsid w:val="00CB7ED2"/>
    <w:rsid w:val="00CC01ED"/>
    <w:rsid w:val="00CC0A1A"/>
    <w:rsid w:val="00CC15A1"/>
    <w:rsid w:val="00CC2931"/>
    <w:rsid w:val="00CC2999"/>
    <w:rsid w:val="00CC3C0D"/>
    <w:rsid w:val="00CC4A26"/>
    <w:rsid w:val="00CC567B"/>
    <w:rsid w:val="00CC5AFC"/>
    <w:rsid w:val="00CC68CA"/>
    <w:rsid w:val="00CD01DC"/>
    <w:rsid w:val="00CD06F0"/>
    <w:rsid w:val="00CD0A23"/>
    <w:rsid w:val="00CD3691"/>
    <w:rsid w:val="00CD4747"/>
    <w:rsid w:val="00CD493B"/>
    <w:rsid w:val="00CD49A0"/>
    <w:rsid w:val="00CD77E6"/>
    <w:rsid w:val="00CD78A9"/>
    <w:rsid w:val="00CE0530"/>
    <w:rsid w:val="00CE298E"/>
    <w:rsid w:val="00CE367B"/>
    <w:rsid w:val="00CE4EE7"/>
    <w:rsid w:val="00CE6DE4"/>
    <w:rsid w:val="00CE78EA"/>
    <w:rsid w:val="00CF03A8"/>
    <w:rsid w:val="00CF0796"/>
    <w:rsid w:val="00CF2E18"/>
    <w:rsid w:val="00CF4016"/>
    <w:rsid w:val="00D01486"/>
    <w:rsid w:val="00D0229A"/>
    <w:rsid w:val="00D025A7"/>
    <w:rsid w:val="00D03E8D"/>
    <w:rsid w:val="00D03F79"/>
    <w:rsid w:val="00D04196"/>
    <w:rsid w:val="00D05580"/>
    <w:rsid w:val="00D06BE7"/>
    <w:rsid w:val="00D06D42"/>
    <w:rsid w:val="00D1027F"/>
    <w:rsid w:val="00D114FC"/>
    <w:rsid w:val="00D1466A"/>
    <w:rsid w:val="00D15665"/>
    <w:rsid w:val="00D16BA6"/>
    <w:rsid w:val="00D204A6"/>
    <w:rsid w:val="00D2211C"/>
    <w:rsid w:val="00D241B9"/>
    <w:rsid w:val="00D25E30"/>
    <w:rsid w:val="00D27C3A"/>
    <w:rsid w:val="00D27D2B"/>
    <w:rsid w:val="00D27F21"/>
    <w:rsid w:val="00D3249E"/>
    <w:rsid w:val="00D326C6"/>
    <w:rsid w:val="00D35E73"/>
    <w:rsid w:val="00D363F5"/>
    <w:rsid w:val="00D4047F"/>
    <w:rsid w:val="00D40EE0"/>
    <w:rsid w:val="00D41C33"/>
    <w:rsid w:val="00D432F3"/>
    <w:rsid w:val="00D43EEE"/>
    <w:rsid w:val="00D51476"/>
    <w:rsid w:val="00D547D3"/>
    <w:rsid w:val="00D54847"/>
    <w:rsid w:val="00D54A89"/>
    <w:rsid w:val="00D6002D"/>
    <w:rsid w:val="00D60A0A"/>
    <w:rsid w:val="00D61BF6"/>
    <w:rsid w:val="00D62C60"/>
    <w:rsid w:val="00D6489F"/>
    <w:rsid w:val="00D6603A"/>
    <w:rsid w:val="00D67069"/>
    <w:rsid w:val="00D7090A"/>
    <w:rsid w:val="00D713D9"/>
    <w:rsid w:val="00D72499"/>
    <w:rsid w:val="00D7479F"/>
    <w:rsid w:val="00D75E4D"/>
    <w:rsid w:val="00D770A5"/>
    <w:rsid w:val="00D77A48"/>
    <w:rsid w:val="00D8039A"/>
    <w:rsid w:val="00D8043F"/>
    <w:rsid w:val="00D826BC"/>
    <w:rsid w:val="00D85A2A"/>
    <w:rsid w:val="00D8633B"/>
    <w:rsid w:val="00D8702B"/>
    <w:rsid w:val="00D906D1"/>
    <w:rsid w:val="00D91695"/>
    <w:rsid w:val="00D94163"/>
    <w:rsid w:val="00D94734"/>
    <w:rsid w:val="00D95CC6"/>
    <w:rsid w:val="00DA0D60"/>
    <w:rsid w:val="00DA3445"/>
    <w:rsid w:val="00DA754B"/>
    <w:rsid w:val="00DB00E5"/>
    <w:rsid w:val="00DB104A"/>
    <w:rsid w:val="00DB197D"/>
    <w:rsid w:val="00DB31B5"/>
    <w:rsid w:val="00DB3E55"/>
    <w:rsid w:val="00DB3FDF"/>
    <w:rsid w:val="00DB6127"/>
    <w:rsid w:val="00DB6C03"/>
    <w:rsid w:val="00DC0877"/>
    <w:rsid w:val="00DC152E"/>
    <w:rsid w:val="00DC171E"/>
    <w:rsid w:val="00DC351C"/>
    <w:rsid w:val="00DC40A0"/>
    <w:rsid w:val="00DC44B1"/>
    <w:rsid w:val="00DC7302"/>
    <w:rsid w:val="00DC78A4"/>
    <w:rsid w:val="00DD4128"/>
    <w:rsid w:val="00DD454D"/>
    <w:rsid w:val="00DD73D8"/>
    <w:rsid w:val="00DE27B1"/>
    <w:rsid w:val="00DE3439"/>
    <w:rsid w:val="00DE37A4"/>
    <w:rsid w:val="00DE3B39"/>
    <w:rsid w:val="00DE4246"/>
    <w:rsid w:val="00DE4D09"/>
    <w:rsid w:val="00DE77DD"/>
    <w:rsid w:val="00DF08C2"/>
    <w:rsid w:val="00DF1D5B"/>
    <w:rsid w:val="00DF1D70"/>
    <w:rsid w:val="00DF215E"/>
    <w:rsid w:val="00DF32E3"/>
    <w:rsid w:val="00DF3F7F"/>
    <w:rsid w:val="00DF4B51"/>
    <w:rsid w:val="00DF4DEA"/>
    <w:rsid w:val="00DF5D66"/>
    <w:rsid w:val="00DF63DF"/>
    <w:rsid w:val="00DF673B"/>
    <w:rsid w:val="00DF6879"/>
    <w:rsid w:val="00DF7336"/>
    <w:rsid w:val="00DF7782"/>
    <w:rsid w:val="00E00A3D"/>
    <w:rsid w:val="00E00C1F"/>
    <w:rsid w:val="00E03080"/>
    <w:rsid w:val="00E0328A"/>
    <w:rsid w:val="00E0445C"/>
    <w:rsid w:val="00E04B45"/>
    <w:rsid w:val="00E06242"/>
    <w:rsid w:val="00E06BA9"/>
    <w:rsid w:val="00E07986"/>
    <w:rsid w:val="00E152CF"/>
    <w:rsid w:val="00E1684A"/>
    <w:rsid w:val="00E17DD1"/>
    <w:rsid w:val="00E2030E"/>
    <w:rsid w:val="00E22F31"/>
    <w:rsid w:val="00E24594"/>
    <w:rsid w:val="00E258A9"/>
    <w:rsid w:val="00E25A4C"/>
    <w:rsid w:val="00E2714E"/>
    <w:rsid w:val="00E27FAA"/>
    <w:rsid w:val="00E30954"/>
    <w:rsid w:val="00E31FC8"/>
    <w:rsid w:val="00E40992"/>
    <w:rsid w:val="00E437F1"/>
    <w:rsid w:val="00E44E9A"/>
    <w:rsid w:val="00E452D1"/>
    <w:rsid w:val="00E52A4D"/>
    <w:rsid w:val="00E52ACB"/>
    <w:rsid w:val="00E53D30"/>
    <w:rsid w:val="00E5487C"/>
    <w:rsid w:val="00E54B00"/>
    <w:rsid w:val="00E56CBE"/>
    <w:rsid w:val="00E56D1E"/>
    <w:rsid w:val="00E573A3"/>
    <w:rsid w:val="00E57F29"/>
    <w:rsid w:val="00E606C1"/>
    <w:rsid w:val="00E65253"/>
    <w:rsid w:val="00E6739E"/>
    <w:rsid w:val="00E71818"/>
    <w:rsid w:val="00E72E1E"/>
    <w:rsid w:val="00E73EF7"/>
    <w:rsid w:val="00E742E7"/>
    <w:rsid w:val="00E76E54"/>
    <w:rsid w:val="00E822A2"/>
    <w:rsid w:val="00E83728"/>
    <w:rsid w:val="00E83CEE"/>
    <w:rsid w:val="00E8464C"/>
    <w:rsid w:val="00E84E98"/>
    <w:rsid w:val="00E866E8"/>
    <w:rsid w:val="00E917FA"/>
    <w:rsid w:val="00E930A4"/>
    <w:rsid w:val="00E94C5B"/>
    <w:rsid w:val="00E965AE"/>
    <w:rsid w:val="00E9690E"/>
    <w:rsid w:val="00E96A51"/>
    <w:rsid w:val="00E96B67"/>
    <w:rsid w:val="00EA035A"/>
    <w:rsid w:val="00EA05A4"/>
    <w:rsid w:val="00EA0E2C"/>
    <w:rsid w:val="00EA1C5C"/>
    <w:rsid w:val="00EA26A4"/>
    <w:rsid w:val="00EA29A7"/>
    <w:rsid w:val="00EA4061"/>
    <w:rsid w:val="00EA47DD"/>
    <w:rsid w:val="00EA5C44"/>
    <w:rsid w:val="00EB010E"/>
    <w:rsid w:val="00EB0D39"/>
    <w:rsid w:val="00EB1297"/>
    <w:rsid w:val="00EB3014"/>
    <w:rsid w:val="00EB347E"/>
    <w:rsid w:val="00EB4811"/>
    <w:rsid w:val="00EB50EF"/>
    <w:rsid w:val="00EB510E"/>
    <w:rsid w:val="00EB58BA"/>
    <w:rsid w:val="00EB6B04"/>
    <w:rsid w:val="00EB7E79"/>
    <w:rsid w:val="00EC13C9"/>
    <w:rsid w:val="00EC39AA"/>
    <w:rsid w:val="00EC4C27"/>
    <w:rsid w:val="00EC7E3D"/>
    <w:rsid w:val="00ED04DF"/>
    <w:rsid w:val="00ED1E8B"/>
    <w:rsid w:val="00ED2883"/>
    <w:rsid w:val="00ED3B60"/>
    <w:rsid w:val="00ED3DFF"/>
    <w:rsid w:val="00ED5E78"/>
    <w:rsid w:val="00ED77B9"/>
    <w:rsid w:val="00EE0794"/>
    <w:rsid w:val="00EE177C"/>
    <w:rsid w:val="00EE31AB"/>
    <w:rsid w:val="00EE3E9A"/>
    <w:rsid w:val="00EE5794"/>
    <w:rsid w:val="00EE57AC"/>
    <w:rsid w:val="00EF0008"/>
    <w:rsid w:val="00EF0F62"/>
    <w:rsid w:val="00EF14CF"/>
    <w:rsid w:val="00EF1EE3"/>
    <w:rsid w:val="00EF2286"/>
    <w:rsid w:val="00EF2325"/>
    <w:rsid w:val="00EF2532"/>
    <w:rsid w:val="00EF3436"/>
    <w:rsid w:val="00EF459C"/>
    <w:rsid w:val="00EF701A"/>
    <w:rsid w:val="00EF773D"/>
    <w:rsid w:val="00EF7A94"/>
    <w:rsid w:val="00F01B4B"/>
    <w:rsid w:val="00F01C75"/>
    <w:rsid w:val="00F02606"/>
    <w:rsid w:val="00F02920"/>
    <w:rsid w:val="00F02CD6"/>
    <w:rsid w:val="00F030FF"/>
    <w:rsid w:val="00F036B0"/>
    <w:rsid w:val="00F05934"/>
    <w:rsid w:val="00F075F5"/>
    <w:rsid w:val="00F07F3C"/>
    <w:rsid w:val="00F17075"/>
    <w:rsid w:val="00F200D4"/>
    <w:rsid w:val="00F23BE3"/>
    <w:rsid w:val="00F30157"/>
    <w:rsid w:val="00F32B4B"/>
    <w:rsid w:val="00F36359"/>
    <w:rsid w:val="00F402B7"/>
    <w:rsid w:val="00F410B3"/>
    <w:rsid w:val="00F439D9"/>
    <w:rsid w:val="00F44303"/>
    <w:rsid w:val="00F44DA7"/>
    <w:rsid w:val="00F4529A"/>
    <w:rsid w:val="00F50E94"/>
    <w:rsid w:val="00F53E5B"/>
    <w:rsid w:val="00F53EC1"/>
    <w:rsid w:val="00F62A61"/>
    <w:rsid w:val="00F633BF"/>
    <w:rsid w:val="00F64C9D"/>
    <w:rsid w:val="00F66AF3"/>
    <w:rsid w:val="00F700AA"/>
    <w:rsid w:val="00F707F6"/>
    <w:rsid w:val="00F70B30"/>
    <w:rsid w:val="00F70D3B"/>
    <w:rsid w:val="00F72878"/>
    <w:rsid w:val="00F72FA2"/>
    <w:rsid w:val="00F73F87"/>
    <w:rsid w:val="00F7444E"/>
    <w:rsid w:val="00F74FDF"/>
    <w:rsid w:val="00F7767D"/>
    <w:rsid w:val="00F80C1B"/>
    <w:rsid w:val="00F80F6E"/>
    <w:rsid w:val="00F81232"/>
    <w:rsid w:val="00F82C30"/>
    <w:rsid w:val="00F82E4D"/>
    <w:rsid w:val="00F832F8"/>
    <w:rsid w:val="00F84E6C"/>
    <w:rsid w:val="00F86AD7"/>
    <w:rsid w:val="00F876B7"/>
    <w:rsid w:val="00F9044A"/>
    <w:rsid w:val="00F9054F"/>
    <w:rsid w:val="00F96DC7"/>
    <w:rsid w:val="00F97A03"/>
    <w:rsid w:val="00FA0F5D"/>
    <w:rsid w:val="00FA1F69"/>
    <w:rsid w:val="00FA2F76"/>
    <w:rsid w:val="00FA534D"/>
    <w:rsid w:val="00FA7E3B"/>
    <w:rsid w:val="00FB0642"/>
    <w:rsid w:val="00FB12F7"/>
    <w:rsid w:val="00FB1B14"/>
    <w:rsid w:val="00FB25E7"/>
    <w:rsid w:val="00FB2B46"/>
    <w:rsid w:val="00FB47B0"/>
    <w:rsid w:val="00FB532C"/>
    <w:rsid w:val="00FB6A2C"/>
    <w:rsid w:val="00FC0459"/>
    <w:rsid w:val="00FC1D99"/>
    <w:rsid w:val="00FC4436"/>
    <w:rsid w:val="00FC4938"/>
    <w:rsid w:val="00FC5174"/>
    <w:rsid w:val="00FC5BFD"/>
    <w:rsid w:val="00FC6C81"/>
    <w:rsid w:val="00FC6E86"/>
    <w:rsid w:val="00FC6FDE"/>
    <w:rsid w:val="00FC7516"/>
    <w:rsid w:val="00FD041A"/>
    <w:rsid w:val="00FD15A2"/>
    <w:rsid w:val="00FD15EA"/>
    <w:rsid w:val="00FD2FD7"/>
    <w:rsid w:val="00FD739A"/>
    <w:rsid w:val="00FD75EA"/>
    <w:rsid w:val="00FD76A4"/>
    <w:rsid w:val="00FE08B9"/>
    <w:rsid w:val="00FE3C9D"/>
    <w:rsid w:val="00FE42FE"/>
    <w:rsid w:val="00FE4387"/>
    <w:rsid w:val="00FE4B43"/>
    <w:rsid w:val="00FE77C4"/>
    <w:rsid w:val="00FE7E07"/>
    <w:rsid w:val="00FF095C"/>
    <w:rsid w:val="00FF0983"/>
    <w:rsid w:val="00FF2B4F"/>
    <w:rsid w:val="00FF2B89"/>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style="mso-position-horizontal-relative:page;mso-position-vertical-relative:page" fill="f" fillcolor="blue" strokecolor="blue">
      <v:fill color="blue" on="f"/>
      <v:stroke color="blue"/>
      <o:colormru v:ext="edit" colors="#d7e4f0,#7494c3,#00376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DF0"/>
    <w:pPr>
      <w:widowControl w:val="0"/>
      <w:jc w:val="both"/>
    </w:pPr>
    <w:rPr>
      <w:rFonts w:ascii="Arial" w:eastAsia="楷体_GB2312" w:hAnsi="Arial"/>
      <w:kern w:val="2"/>
      <w:sz w:val="18"/>
      <w:szCs w:val="22"/>
    </w:rPr>
  </w:style>
  <w:style w:type="paragraph" w:styleId="1">
    <w:name w:val="heading 1"/>
    <w:basedOn w:val="a"/>
    <w:next w:val="a"/>
    <w:qFormat/>
    <w:rsid w:val="00BB0995"/>
    <w:pPr>
      <w:keepNext/>
      <w:outlineLvl w:val="0"/>
    </w:pPr>
    <w:rPr>
      <w:b/>
      <w:bCs/>
    </w:rPr>
  </w:style>
  <w:style w:type="paragraph" w:styleId="2">
    <w:name w:val="heading 2"/>
    <w:basedOn w:val="a"/>
    <w:next w:val="a"/>
    <w:qFormat/>
    <w:rsid w:val="00BB0995"/>
    <w:pPr>
      <w:keepNext/>
      <w:spacing w:after="120"/>
      <w:ind w:left="2552"/>
      <w:outlineLvl w:val="1"/>
    </w:pPr>
    <w:rPr>
      <w:b/>
      <w:bCs/>
      <w:sz w:val="24"/>
      <w:szCs w:val="24"/>
    </w:rPr>
  </w:style>
  <w:style w:type="paragraph" w:styleId="3">
    <w:name w:val="heading 3"/>
    <w:basedOn w:val="a"/>
    <w:next w:val="a0"/>
    <w:qFormat/>
    <w:rsid w:val="00BB0995"/>
    <w:pPr>
      <w:spacing w:before="120" w:after="120"/>
      <w:ind w:left="2552"/>
      <w:outlineLvl w:val="2"/>
    </w:pPr>
    <w:rPr>
      <w:b/>
      <w:bCs/>
      <w:color w:val="0000FF"/>
    </w:rPr>
  </w:style>
  <w:style w:type="paragraph" w:styleId="4">
    <w:name w:val="heading 4"/>
    <w:basedOn w:val="a"/>
    <w:next w:val="a0"/>
    <w:qFormat/>
    <w:rsid w:val="00BB0995"/>
    <w:pPr>
      <w:keepNext/>
      <w:spacing w:before="120"/>
      <w:ind w:left="2552"/>
      <w:outlineLvl w:val="3"/>
    </w:pPr>
    <w:rPr>
      <w:b/>
      <w:bCs/>
      <w:szCs w:val="18"/>
    </w:rPr>
  </w:style>
  <w:style w:type="paragraph" w:styleId="5">
    <w:name w:val="heading 5"/>
    <w:basedOn w:val="a"/>
    <w:next w:val="a"/>
    <w:qFormat/>
    <w:rsid w:val="00BB0995"/>
    <w:pPr>
      <w:keepNext/>
      <w:framePr w:hSpace="180" w:wrap="auto" w:vAnchor="text" w:hAnchor="page" w:x="1182" w:y="2599"/>
      <w:spacing w:before="40" w:after="200"/>
      <w:outlineLvl w:val="4"/>
    </w:pPr>
    <w:rPr>
      <w:i/>
      <w:iCs/>
      <w:sz w:val="16"/>
      <w:szCs w:val="16"/>
    </w:rPr>
  </w:style>
  <w:style w:type="paragraph" w:styleId="6">
    <w:name w:val="heading 6"/>
    <w:basedOn w:val="a"/>
    <w:next w:val="a"/>
    <w:qFormat/>
    <w:rsid w:val="00BB0995"/>
    <w:pPr>
      <w:keepNext/>
      <w:ind w:left="112"/>
      <w:outlineLvl w:val="5"/>
    </w:pPr>
    <w:rPr>
      <w:b/>
      <w:bCs/>
      <w:color w:val="000000"/>
      <w:sz w:val="16"/>
      <w:szCs w:val="16"/>
      <w:lang w:val="en-AU"/>
    </w:rPr>
  </w:style>
  <w:style w:type="paragraph" w:styleId="7">
    <w:name w:val="heading 7"/>
    <w:basedOn w:val="a"/>
    <w:next w:val="a"/>
    <w:qFormat/>
    <w:rsid w:val="00BB0995"/>
    <w:pPr>
      <w:keepNext/>
      <w:outlineLvl w:val="6"/>
    </w:pPr>
    <w:rPr>
      <w:b/>
      <w:bCs/>
      <w:color w:val="000000"/>
      <w:sz w:val="15"/>
      <w:szCs w:val="15"/>
      <w:lang w:val="en-AU"/>
    </w:rPr>
  </w:style>
  <w:style w:type="paragraph" w:styleId="8">
    <w:name w:val="heading 8"/>
    <w:basedOn w:val="a"/>
    <w:next w:val="a"/>
    <w:qFormat/>
    <w:rsid w:val="00BB0995"/>
    <w:pPr>
      <w:keepNext/>
      <w:spacing w:before="80" w:after="40"/>
      <w:ind w:left="86"/>
      <w:jc w:val="left"/>
      <w:outlineLvl w:val="7"/>
    </w:pPr>
    <w:rPr>
      <w:b/>
      <w:bCs/>
      <w:color w:val="000000"/>
      <w:sz w:val="16"/>
      <w:szCs w:val="16"/>
      <w:lang w:val="en-AU"/>
    </w:rPr>
  </w:style>
  <w:style w:type="paragraph" w:styleId="9">
    <w:name w:val="heading 9"/>
    <w:basedOn w:val="a"/>
    <w:next w:val="a"/>
    <w:qFormat/>
    <w:rsid w:val="00BB0995"/>
    <w:pPr>
      <w:keepNext/>
      <w:outlineLvl w:val="8"/>
    </w:pPr>
    <w:rPr>
      <w:rFonts w:ascii="Lucida Sans" w:hAnsi="Lucida Sans"/>
      <w:b/>
      <w:bCs/>
      <w:color w:val="000000"/>
      <w:sz w:val="14"/>
      <w:szCs w:val="1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rsid w:val="00BB0995"/>
    <w:pPr>
      <w:spacing w:after="120" w:line="240" w:lineRule="exact"/>
      <w:ind w:left="3402"/>
    </w:pPr>
    <w:rPr>
      <w:color w:val="000000"/>
      <w:sz w:val="21"/>
    </w:rPr>
  </w:style>
  <w:style w:type="paragraph" w:customStyle="1" w:styleId="Contact">
    <w:name w:val="Contact"/>
    <w:basedOn w:val="a"/>
    <w:rsid w:val="00BB0995"/>
    <w:pPr>
      <w:framePr w:w="2285" w:h="289" w:hSpace="210" w:wrap="auto" w:vAnchor="page" w:hAnchor="page" w:x="901" w:y="3571" w:anchorLock="1"/>
    </w:pPr>
    <w:rPr>
      <w:color w:val="000000"/>
      <w:sz w:val="16"/>
      <w:szCs w:val="16"/>
    </w:rPr>
  </w:style>
  <w:style w:type="paragraph" w:styleId="a4">
    <w:name w:val="footer"/>
    <w:basedOn w:val="a"/>
    <w:link w:val="Char0"/>
    <w:uiPriority w:val="99"/>
    <w:unhideWhenUsed/>
    <w:rsid w:val="00C53DF0"/>
    <w:pPr>
      <w:tabs>
        <w:tab w:val="center" w:pos="4153"/>
        <w:tab w:val="right" w:pos="8306"/>
      </w:tabs>
      <w:snapToGrid w:val="0"/>
      <w:jc w:val="left"/>
    </w:pPr>
    <w:rPr>
      <w:szCs w:val="18"/>
    </w:rPr>
  </w:style>
  <w:style w:type="paragraph" w:customStyle="1" w:styleId="FootnoteNoline">
    <w:name w:val="FootnoteNoline"/>
    <w:basedOn w:val="a"/>
    <w:next w:val="a0"/>
    <w:rsid w:val="00D85A2A"/>
    <w:pPr>
      <w:tabs>
        <w:tab w:val="right" w:pos="10065"/>
      </w:tabs>
      <w:spacing w:before="40" w:after="160"/>
      <w:ind w:left="3402"/>
    </w:pPr>
    <w:rPr>
      <w:rFonts w:cs="Arial"/>
      <w:color w:val="000000"/>
      <w:sz w:val="15"/>
      <w:szCs w:val="14"/>
    </w:rPr>
  </w:style>
  <w:style w:type="paragraph" w:customStyle="1" w:styleId="Table">
    <w:name w:val="Table"/>
    <w:basedOn w:val="a"/>
    <w:rsid w:val="00BB0995"/>
    <w:pPr>
      <w:spacing w:before="20" w:after="20"/>
      <w:jc w:val="right"/>
    </w:pPr>
    <w:rPr>
      <w:rFonts w:cs="Arial"/>
      <w:color w:val="000000"/>
      <w:szCs w:val="16"/>
    </w:rPr>
  </w:style>
  <w:style w:type="paragraph" w:customStyle="1" w:styleId="Headline">
    <w:name w:val="Headline"/>
    <w:next w:val="a"/>
    <w:rsid w:val="00BB0995"/>
    <w:pPr>
      <w:spacing w:line="1200" w:lineRule="exact"/>
      <w:ind w:left="-56"/>
      <w:jc w:val="both"/>
    </w:pPr>
    <w:rPr>
      <w:rFonts w:ascii="LucidaT" w:hAnsi="LucidaT"/>
      <w:color w:val="000000"/>
      <w:position w:val="6"/>
      <w:sz w:val="120"/>
      <w:szCs w:val="120"/>
      <w:lang w:val="en-GB"/>
    </w:rPr>
  </w:style>
  <w:style w:type="paragraph" w:customStyle="1" w:styleId="Disclaimer">
    <w:name w:val="Disclaimer"/>
    <w:basedOn w:val="a"/>
    <w:rsid w:val="00BB0995"/>
    <w:pPr>
      <w:pBdr>
        <w:top w:val="single" w:sz="6" w:space="3" w:color="FF0000"/>
      </w:pBdr>
      <w:spacing w:before="60"/>
    </w:pPr>
    <w:rPr>
      <w:sz w:val="12"/>
      <w:szCs w:val="12"/>
    </w:rPr>
  </w:style>
  <w:style w:type="paragraph" w:customStyle="1" w:styleId="Disclaimer1">
    <w:name w:val="Disclaimer1"/>
    <w:basedOn w:val="Disclaimer"/>
    <w:rsid w:val="00BB0995"/>
    <w:pPr>
      <w:pBdr>
        <w:top w:val="single" w:sz="6" w:space="2" w:color="auto"/>
        <w:bottom w:val="single" w:sz="6" w:space="2" w:color="auto"/>
      </w:pBdr>
      <w:ind w:right="-1"/>
    </w:pPr>
  </w:style>
  <w:style w:type="paragraph" w:customStyle="1" w:styleId="StoryTitle">
    <w:name w:val="StoryTitle"/>
    <w:basedOn w:val="a"/>
    <w:rsid w:val="00BB0995"/>
    <w:pPr>
      <w:spacing w:before="120" w:after="120"/>
      <w:ind w:left="2552"/>
    </w:pPr>
    <w:rPr>
      <w:b/>
      <w:bCs/>
      <w:color w:val="FF0000"/>
      <w:sz w:val="32"/>
      <w:szCs w:val="32"/>
    </w:rPr>
  </w:style>
  <w:style w:type="character" w:styleId="a5">
    <w:name w:val="page number"/>
    <w:basedOn w:val="a1"/>
    <w:rsid w:val="00BB0995"/>
  </w:style>
  <w:style w:type="paragraph" w:customStyle="1" w:styleId="AnalystWk">
    <w:name w:val="AnalystWk"/>
    <w:basedOn w:val="a"/>
    <w:rsid w:val="00BB0995"/>
    <w:pPr>
      <w:framePr w:w="2285" w:h="289" w:hSpace="210" w:wrap="auto" w:vAnchor="page" w:hAnchor="page" w:x="901" w:y="3571" w:anchorLock="1"/>
      <w:spacing w:before="120"/>
      <w:ind w:right="-108"/>
      <w:jc w:val="left"/>
    </w:pPr>
    <w:rPr>
      <w:b/>
      <w:bCs/>
      <w:color w:val="0000FF"/>
      <w:szCs w:val="18"/>
    </w:rPr>
  </w:style>
  <w:style w:type="paragraph" w:customStyle="1" w:styleId="Coverage">
    <w:name w:val="Coverage"/>
    <w:basedOn w:val="a"/>
    <w:rsid w:val="00BB0995"/>
    <w:pPr>
      <w:framePr w:w="2285" w:h="289" w:hSpace="210" w:wrap="auto" w:vAnchor="page" w:hAnchor="page" w:x="901" w:y="3571" w:anchorLock="1"/>
      <w:tabs>
        <w:tab w:val="center" w:pos="4320"/>
        <w:tab w:val="right" w:pos="8640"/>
      </w:tabs>
    </w:pPr>
    <w:rPr>
      <w:b/>
      <w:bCs/>
      <w:color w:val="FF0000"/>
      <w:sz w:val="16"/>
      <w:szCs w:val="16"/>
    </w:rPr>
  </w:style>
  <w:style w:type="paragraph" w:customStyle="1" w:styleId="Location">
    <w:name w:val="Location"/>
    <w:basedOn w:val="a"/>
    <w:rsid w:val="00BB0995"/>
    <w:pPr>
      <w:framePr w:w="2285" w:h="289" w:hSpace="210" w:wrap="auto" w:vAnchor="page" w:hAnchor="page" w:x="901" w:y="3571" w:anchorLock="1"/>
      <w:tabs>
        <w:tab w:val="center" w:pos="4320"/>
        <w:tab w:val="right" w:pos="8640"/>
      </w:tabs>
      <w:ind w:right="-108"/>
      <w:jc w:val="left"/>
    </w:pPr>
    <w:rPr>
      <w:color w:val="000000"/>
      <w:szCs w:val="18"/>
    </w:rPr>
  </w:style>
  <w:style w:type="paragraph" w:styleId="a6">
    <w:name w:val="header"/>
    <w:basedOn w:val="a"/>
    <w:link w:val="Char1"/>
    <w:uiPriority w:val="99"/>
    <w:unhideWhenUsed/>
    <w:rsid w:val="00C53DF0"/>
    <w:pPr>
      <w:pBdr>
        <w:bottom w:val="single" w:sz="6" w:space="1" w:color="auto"/>
      </w:pBdr>
      <w:tabs>
        <w:tab w:val="center" w:pos="4153"/>
        <w:tab w:val="right" w:pos="8306"/>
      </w:tabs>
      <w:snapToGrid w:val="0"/>
      <w:jc w:val="center"/>
    </w:pPr>
    <w:rPr>
      <w:szCs w:val="18"/>
    </w:rPr>
  </w:style>
  <w:style w:type="paragraph" w:customStyle="1" w:styleId="RecomPara">
    <w:name w:val="RecomPara"/>
    <w:basedOn w:val="a"/>
    <w:rsid w:val="00BB0995"/>
    <w:pPr>
      <w:shd w:val="pct5" w:color="000000" w:fill="FFFFFF"/>
      <w:spacing w:before="240" w:after="200"/>
    </w:pPr>
    <w:rPr>
      <w:color w:val="000000"/>
    </w:rPr>
  </w:style>
  <w:style w:type="paragraph" w:customStyle="1" w:styleId="RecomLine">
    <w:name w:val="RecomLine"/>
    <w:rsid w:val="00BB0995"/>
    <w:pPr>
      <w:spacing w:before="120"/>
    </w:pPr>
    <w:rPr>
      <w:rFonts w:ascii="LucidaSans" w:hAnsi="LucidaSans"/>
      <w:b/>
      <w:bCs/>
      <w:color w:val="000000"/>
      <w:lang w:val="en-GB"/>
    </w:rPr>
  </w:style>
  <w:style w:type="paragraph" w:customStyle="1" w:styleId="Marginnotes">
    <w:name w:val="Margin notes"/>
    <w:basedOn w:val="a"/>
    <w:rsid w:val="00BB0995"/>
    <w:pPr>
      <w:framePr w:w="2285" w:h="289" w:hSpace="215" w:wrap="auto" w:vAnchor="text" w:hAnchor="page" w:x="886" w:y="29" w:anchorLock="1"/>
      <w:shd w:val="solid" w:color="FFFFFF" w:fill="FFFFFF"/>
      <w:jc w:val="left"/>
    </w:pPr>
    <w:rPr>
      <w:b/>
      <w:bCs/>
      <w:color w:val="FF0000"/>
      <w:sz w:val="16"/>
      <w:szCs w:val="16"/>
    </w:rPr>
  </w:style>
  <w:style w:type="paragraph" w:customStyle="1" w:styleId="Logo">
    <w:name w:val="Logo"/>
    <w:basedOn w:val="a"/>
    <w:rsid w:val="00BB0995"/>
    <w:pPr>
      <w:jc w:val="left"/>
    </w:pPr>
    <w:rPr>
      <w:sz w:val="16"/>
      <w:szCs w:val="16"/>
    </w:rPr>
  </w:style>
  <w:style w:type="paragraph" w:customStyle="1" w:styleId="Dateline">
    <w:name w:val="Dateline"/>
    <w:basedOn w:val="a"/>
    <w:rsid w:val="00BB0995"/>
    <w:pPr>
      <w:tabs>
        <w:tab w:val="right" w:pos="7535"/>
        <w:tab w:val="right" w:pos="10206"/>
      </w:tabs>
      <w:spacing w:before="240"/>
      <w:jc w:val="left"/>
    </w:pPr>
    <w:rPr>
      <w:b/>
      <w:bCs/>
      <w:sz w:val="16"/>
      <w:szCs w:val="16"/>
    </w:rPr>
  </w:style>
  <w:style w:type="paragraph" w:customStyle="1" w:styleId="AnalystHJ">
    <w:name w:val="AnalystHJ"/>
    <w:basedOn w:val="a6"/>
    <w:rsid w:val="00BB0995"/>
    <w:pPr>
      <w:tabs>
        <w:tab w:val="center" w:pos="4320"/>
        <w:tab w:val="right" w:pos="8640"/>
      </w:tabs>
      <w:ind w:left="-80" w:right="-108"/>
      <w:jc w:val="left"/>
    </w:pPr>
    <w:rPr>
      <w:sz w:val="16"/>
      <w:szCs w:val="16"/>
    </w:rPr>
  </w:style>
  <w:style w:type="paragraph" w:customStyle="1" w:styleId="SourceLarge">
    <w:name w:val="SourceLarge"/>
    <w:rsid w:val="00BB0995"/>
    <w:pPr>
      <w:tabs>
        <w:tab w:val="left" w:pos="5216"/>
        <w:tab w:val="right" w:pos="9866"/>
      </w:tabs>
      <w:suppressAutoHyphens/>
      <w:spacing w:line="160" w:lineRule="atLeast"/>
    </w:pPr>
    <w:rPr>
      <w:rFonts w:ascii="LucidaSans" w:hAnsi="LucidaSans"/>
      <w:sz w:val="12"/>
      <w:szCs w:val="12"/>
      <w:lang w:val="en-GB"/>
    </w:rPr>
  </w:style>
  <w:style w:type="paragraph" w:customStyle="1" w:styleId="SourceSmall">
    <w:name w:val="SourceSmall"/>
    <w:rsid w:val="00BB0995"/>
    <w:pPr>
      <w:tabs>
        <w:tab w:val="left" w:pos="6521"/>
        <w:tab w:val="right" w:pos="9866"/>
      </w:tabs>
      <w:suppressAutoHyphens/>
      <w:spacing w:line="160" w:lineRule="atLeast"/>
      <w:ind w:left="2608"/>
    </w:pPr>
    <w:rPr>
      <w:rFonts w:ascii="LucidaSans" w:hAnsi="LucidaSans"/>
      <w:sz w:val="12"/>
      <w:szCs w:val="12"/>
      <w:lang w:val="en-GB"/>
    </w:rPr>
  </w:style>
  <w:style w:type="paragraph" w:customStyle="1" w:styleId="SubTitleLargeTable">
    <w:name w:val="SubTitleLargeTable"/>
    <w:rsid w:val="00D85A2A"/>
    <w:pPr>
      <w:keepNext/>
      <w:pBdr>
        <w:top w:val="single" w:sz="6" w:space="1" w:color="666699"/>
      </w:pBdr>
      <w:suppressAutoHyphens/>
      <w:spacing w:after="40" w:line="240" w:lineRule="atLeast"/>
    </w:pPr>
    <w:rPr>
      <w:rFonts w:ascii="Arial" w:eastAsia="楷体_GB2312" w:hAnsi="Arial" w:cs="Arial"/>
      <w:b/>
      <w:bCs/>
      <w:i/>
      <w:iCs/>
      <w:color w:val="000000"/>
      <w:sz w:val="21"/>
      <w:szCs w:val="21"/>
      <w:lang w:val="en-GB"/>
    </w:rPr>
  </w:style>
  <w:style w:type="paragraph" w:customStyle="1" w:styleId="SubTitleSmallTable">
    <w:name w:val="SubTitleSmallTable"/>
    <w:rsid w:val="00BB0995"/>
    <w:pPr>
      <w:tabs>
        <w:tab w:val="left" w:pos="993"/>
      </w:tabs>
      <w:suppressAutoHyphens/>
      <w:spacing w:after="40"/>
      <w:ind w:left="2608"/>
    </w:pPr>
    <w:rPr>
      <w:rFonts w:ascii="LucidaSans" w:hAnsi="LucidaSans"/>
      <w:b/>
      <w:bCs/>
      <w:noProof/>
    </w:rPr>
  </w:style>
  <w:style w:type="paragraph" w:customStyle="1" w:styleId="TitleLargeTable">
    <w:name w:val="TitleLargeTable"/>
    <w:next w:val="SubTitleLargeTable"/>
    <w:rsid w:val="00BB0995"/>
    <w:pPr>
      <w:keepNext/>
      <w:suppressAutoHyphens/>
      <w:spacing w:after="40" w:line="200" w:lineRule="atLeast"/>
    </w:pPr>
    <w:rPr>
      <w:rFonts w:ascii="Arial" w:eastAsia="楷体_GB2312" w:hAnsi="Arial" w:cs="Arial"/>
      <w:sz w:val="18"/>
      <w:szCs w:val="16"/>
      <w:lang w:val="en-GB"/>
    </w:rPr>
  </w:style>
  <w:style w:type="paragraph" w:customStyle="1" w:styleId="TitleSmallTable">
    <w:name w:val="TitleSmallTable"/>
    <w:next w:val="SubTitleSmallTable"/>
    <w:rsid w:val="00BB0995"/>
    <w:pPr>
      <w:keepNext/>
      <w:suppressAutoHyphens/>
      <w:spacing w:after="40" w:line="200" w:lineRule="atLeast"/>
      <w:ind w:left="2608"/>
    </w:pPr>
    <w:rPr>
      <w:rFonts w:ascii="LucidaSans" w:hAnsi="LucidaSans"/>
      <w:sz w:val="16"/>
      <w:szCs w:val="16"/>
      <w:lang w:val="en-GB"/>
    </w:rPr>
  </w:style>
  <w:style w:type="paragraph" w:customStyle="1" w:styleId="TableFirst">
    <w:name w:val="TableFirst"/>
    <w:basedOn w:val="Table"/>
    <w:rsid w:val="00BB0995"/>
    <w:pPr>
      <w:spacing w:before="60" w:after="0"/>
    </w:pPr>
    <w:rPr>
      <w:color w:val="auto"/>
      <w:lang w:val="en-AU"/>
    </w:rPr>
  </w:style>
  <w:style w:type="paragraph" w:customStyle="1" w:styleId="Descriptor">
    <w:name w:val="Descriptor"/>
    <w:basedOn w:val="a"/>
    <w:rsid w:val="00BB0995"/>
    <w:pPr>
      <w:spacing w:before="60"/>
      <w:jc w:val="left"/>
    </w:pPr>
    <w:rPr>
      <w:b/>
      <w:bCs/>
      <w:color w:val="000000"/>
    </w:rPr>
  </w:style>
  <w:style w:type="paragraph" w:customStyle="1" w:styleId="BulletCoverpage">
    <w:name w:val="Bullet Cover page"/>
    <w:basedOn w:val="a"/>
    <w:rsid w:val="00BB0995"/>
    <w:pPr>
      <w:numPr>
        <w:numId w:val="1"/>
      </w:numPr>
      <w:suppressAutoHyphens/>
      <w:spacing w:after="200" w:line="240" w:lineRule="atLeast"/>
    </w:pPr>
  </w:style>
  <w:style w:type="paragraph" w:customStyle="1" w:styleId="BulletedHeading">
    <w:name w:val="Bulleted Heading"/>
    <w:basedOn w:val="a"/>
    <w:next w:val="a"/>
    <w:rsid w:val="00BB0995"/>
    <w:pPr>
      <w:suppressAutoHyphens/>
      <w:spacing w:after="60" w:line="240" w:lineRule="atLeast"/>
      <w:ind w:left="2609" w:hanging="352"/>
    </w:pPr>
    <w:rPr>
      <w:rFonts w:ascii="LucidaT" w:hAnsi="LucidaT"/>
      <w:szCs w:val="18"/>
    </w:rPr>
  </w:style>
  <w:style w:type="paragraph" w:customStyle="1" w:styleId="SideComments">
    <w:name w:val="SideComments"/>
    <w:rsid w:val="00C53DF0"/>
    <w:pPr>
      <w:spacing w:line="200" w:lineRule="atLeast"/>
      <w:ind w:firstLineChars="200" w:firstLine="200"/>
      <w:jc w:val="both"/>
    </w:pPr>
    <w:rPr>
      <w:rFonts w:ascii="Arial" w:eastAsia="楷体_GB2312" w:hAnsi="Arial"/>
      <w:b/>
      <w:color w:val="000000"/>
      <w:kern w:val="2"/>
      <w:sz w:val="21"/>
      <w:szCs w:val="22"/>
    </w:rPr>
  </w:style>
  <w:style w:type="paragraph" w:customStyle="1" w:styleId="TableFirst-p1">
    <w:name w:val="TableFirst-p1"/>
    <w:rsid w:val="00BB0995"/>
    <w:pPr>
      <w:tabs>
        <w:tab w:val="right" w:pos="1871"/>
        <w:tab w:val="right" w:pos="3107"/>
        <w:tab w:val="right" w:pos="4258"/>
        <w:tab w:val="right" w:pos="5329"/>
        <w:tab w:val="right" w:pos="6406"/>
        <w:tab w:val="right" w:pos="7483"/>
      </w:tabs>
      <w:spacing w:before="40"/>
      <w:jc w:val="both"/>
    </w:pPr>
    <w:rPr>
      <w:rFonts w:ascii="LucidaSans" w:hAnsi="LucidaSans"/>
      <w:sz w:val="16"/>
      <w:szCs w:val="16"/>
      <w:lang w:val="en-GB" w:eastAsia="en-US"/>
    </w:rPr>
  </w:style>
  <w:style w:type="paragraph" w:customStyle="1" w:styleId="TableTitleFirst-p1">
    <w:name w:val="TableTitleFirst-p1"/>
    <w:rsid w:val="00BB0995"/>
    <w:pPr>
      <w:pBdr>
        <w:top w:val="single" w:sz="6" w:space="0" w:color="auto"/>
        <w:between w:val="single" w:sz="6" w:space="5" w:color="auto"/>
      </w:pBdr>
      <w:tabs>
        <w:tab w:val="right" w:pos="1871"/>
        <w:tab w:val="right" w:pos="4252"/>
        <w:tab w:val="right" w:pos="5329"/>
        <w:tab w:val="right" w:pos="6406"/>
        <w:tab w:val="right" w:pos="7483"/>
      </w:tabs>
      <w:spacing w:before="57"/>
      <w:jc w:val="both"/>
    </w:pPr>
    <w:rPr>
      <w:rFonts w:ascii="LucidaSans" w:hAnsi="LucidaSans"/>
      <w:b/>
      <w:bCs/>
      <w:sz w:val="16"/>
      <w:szCs w:val="16"/>
      <w:lang w:val="en-AU" w:eastAsia="en-US"/>
    </w:rPr>
  </w:style>
  <w:style w:type="paragraph" w:customStyle="1" w:styleId="TableTitle">
    <w:name w:val="TableTitle"/>
    <w:rsid w:val="00BB0995"/>
    <w:pPr>
      <w:keepNext/>
      <w:pBdr>
        <w:top w:val="single" w:sz="8" w:space="2" w:color="FF0000"/>
        <w:bottom w:val="single" w:sz="6" w:space="1" w:color="808080"/>
        <w:between w:val="single" w:sz="2" w:space="2" w:color="auto"/>
      </w:pBdr>
      <w:tabs>
        <w:tab w:val="right" w:pos="1928"/>
        <w:tab w:val="right" w:pos="3118"/>
        <w:tab w:val="right" w:pos="3969"/>
        <w:tab w:val="right" w:pos="4932"/>
        <w:tab w:val="right" w:pos="5777"/>
        <w:tab w:val="right" w:pos="6690"/>
        <w:tab w:val="right" w:pos="7483"/>
        <w:tab w:val="right" w:pos="8504"/>
        <w:tab w:val="right" w:pos="9354"/>
        <w:tab w:val="right" w:pos="10205"/>
      </w:tabs>
      <w:spacing w:before="20" w:after="20"/>
      <w:jc w:val="both"/>
    </w:pPr>
    <w:rPr>
      <w:rFonts w:ascii="LucidaSans" w:hAnsi="LucidaSans"/>
      <w:b/>
      <w:bCs/>
      <w:sz w:val="18"/>
      <w:szCs w:val="18"/>
      <w:lang w:val="en-GB" w:eastAsia="en-US"/>
    </w:rPr>
  </w:style>
  <w:style w:type="paragraph" w:customStyle="1" w:styleId="Analyst">
    <w:name w:val="Analyst"/>
    <w:rsid w:val="00BB0995"/>
    <w:pPr>
      <w:spacing w:before="1" w:after="1"/>
      <w:ind w:left="1" w:right="1" w:firstLine="1"/>
      <w:jc w:val="right"/>
    </w:pPr>
    <w:rPr>
      <w:rFonts w:ascii="LucidaSans" w:hAnsi="LucidaSans"/>
      <w:b/>
      <w:bCs/>
      <w:color w:val="000000"/>
      <w:sz w:val="18"/>
      <w:szCs w:val="18"/>
      <w:lang w:val="en-GB"/>
    </w:rPr>
  </w:style>
  <w:style w:type="paragraph" w:customStyle="1" w:styleId="CoverBullet">
    <w:name w:val="Cover Bullet"/>
    <w:rsid w:val="00BB0995"/>
    <w:pPr>
      <w:numPr>
        <w:numId w:val="2"/>
      </w:numPr>
      <w:spacing w:before="120" w:after="120"/>
      <w:ind w:left="357" w:hanging="357"/>
    </w:pPr>
    <w:rPr>
      <w:rFonts w:ascii="LucidaSans" w:hAnsi="LucidaSans"/>
      <w:b/>
      <w:bCs/>
      <w:lang w:val="en-GB"/>
    </w:rPr>
  </w:style>
  <w:style w:type="paragraph" w:customStyle="1" w:styleId="Target">
    <w:name w:val="Target"/>
    <w:basedOn w:val="Call"/>
    <w:rsid w:val="00BB0995"/>
    <w:pPr>
      <w:pBdr>
        <w:top w:val="none" w:sz="0" w:space="0" w:color="auto"/>
        <w:bottom w:val="dashDotStroked" w:sz="24" w:space="1" w:color="FF0000"/>
      </w:pBdr>
    </w:pPr>
  </w:style>
  <w:style w:type="paragraph" w:customStyle="1" w:styleId="Call">
    <w:name w:val="Call"/>
    <w:basedOn w:val="a"/>
    <w:next w:val="RecomPara"/>
    <w:rsid w:val="00BB0995"/>
    <w:pPr>
      <w:pBdr>
        <w:top w:val="dashDotStroked" w:sz="24" w:space="4" w:color="FF0000"/>
      </w:pBdr>
      <w:shd w:val="pct5" w:color="000000" w:fill="FFFFFF"/>
      <w:tabs>
        <w:tab w:val="left" w:pos="2558"/>
      </w:tabs>
    </w:pPr>
    <w:rPr>
      <w:b/>
      <w:bCs/>
      <w:color w:val="0000FF"/>
    </w:rPr>
  </w:style>
  <w:style w:type="paragraph" w:customStyle="1" w:styleId="TableLast">
    <w:name w:val="TableLast"/>
    <w:basedOn w:val="Table"/>
    <w:rsid w:val="00BB0995"/>
    <w:pPr>
      <w:spacing w:before="0" w:after="60"/>
      <w:jc w:val="both"/>
    </w:pPr>
    <w:rPr>
      <w:color w:val="auto"/>
      <w:lang w:val="en-AU" w:eastAsia="en-US"/>
    </w:rPr>
  </w:style>
  <w:style w:type="paragraph" w:customStyle="1" w:styleId="Contents">
    <w:name w:val="Contents"/>
    <w:basedOn w:val="AnalystWk"/>
    <w:rsid w:val="00BB0995"/>
    <w:pPr>
      <w:framePr w:wrap="auto"/>
      <w:tabs>
        <w:tab w:val="right" w:pos="2127"/>
      </w:tabs>
      <w:spacing w:before="240"/>
      <w:ind w:left="142" w:hanging="142"/>
    </w:pPr>
    <w:rPr>
      <w:sz w:val="16"/>
      <w:szCs w:val="16"/>
    </w:rPr>
  </w:style>
  <w:style w:type="paragraph" w:styleId="a7">
    <w:name w:val="Body Text Indent"/>
    <w:basedOn w:val="a"/>
    <w:rsid w:val="00BB0995"/>
    <w:pPr>
      <w:tabs>
        <w:tab w:val="left" w:pos="284"/>
        <w:tab w:val="left" w:pos="2520"/>
      </w:tabs>
    </w:pPr>
    <w:rPr>
      <w:i/>
      <w:iCs/>
    </w:rPr>
  </w:style>
  <w:style w:type="paragraph" w:styleId="20">
    <w:name w:val="Body Text Indent 2"/>
    <w:basedOn w:val="a"/>
    <w:rsid w:val="00BB0995"/>
    <w:pPr>
      <w:ind w:left="2520"/>
    </w:pPr>
    <w:rPr>
      <w:b/>
      <w:bCs/>
      <w:i/>
      <w:iCs/>
    </w:rPr>
  </w:style>
  <w:style w:type="paragraph" w:customStyle="1" w:styleId="bo">
    <w:name w:val="bo"/>
    <w:basedOn w:val="1"/>
    <w:rsid w:val="00BB0995"/>
    <w:pPr>
      <w:tabs>
        <w:tab w:val="left" w:pos="284"/>
      </w:tabs>
    </w:pPr>
    <w:rPr>
      <w:i/>
      <w:iCs/>
    </w:rPr>
  </w:style>
  <w:style w:type="paragraph" w:customStyle="1" w:styleId="ChartComments">
    <w:name w:val="ChartComments"/>
    <w:basedOn w:val="a"/>
    <w:rsid w:val="00BB0995"/>
    <w:pPr>
      <w:shd w:val="solid" w:color="FFFFFF" w:fill="FFFFFF"/>
      <w:suppressAutoHyphens/>
      <w:spacing w:after="80" w:line="200" w:lineRule="atLeast"/>
      <w:ind w:right="284"/>
      <w:jc w:val="right"/>
    </w:pPr>
    <w:rPr>
      <w:b/>
      <w:bCs/>
      <w:color w:val="000000"/>
      <w:sz w:val="16"/>
      <w:szCs w:val="16"/>
    </w:rPr>
  </w:style>
  <w:style w:type="paragraph" w:customStyle="1" w:styleId="Celldata">
    <w:name w:val="Cell data"/>
    <w:basedOn w:val="a"/>
    <w:rsid w:val="00BB0995"/>
    <w:pPr>
      <w:spacing w:after="20" w:line="180" w:lineRule="atLeast"/>
      <w:ind w:left="28" w:right="57"/>
      <w:jc w:val="left"/>
    </w:pPr>
    <w:rPr>
      <w:sz w:val="14"/>
      <w:szCs w:val="14"/>
    </w:rPr>
  </w:style>
  <w:style w:type="paragraph" w:customStyle="1" w:styleId="SectionTitle">
    <w:name w:val="SectionTitle"/>
    <w:basedOn w:val="StoryTitle"/>
    <w:rsid w:val="00BB0995"/>
    <w:pPr>
      <w:spacing w:before="240"/>
    </w:pPr>
  </w:style>
  <w:style w:type="paragraph" w:customStyle="1" w:styleId="TableTitleFirst">
    <w:name w:val="TableTitleFirst"/>
    <w:basedOn w:val="a"/>
    <w:rsid w:val="00BB0995"/>
    <w:pPr>
      <w:spacing w:before="60" w:after="20"/>
    </w:pPr>
    <w:rPr>
      <w:b/>
      <w:bCs/>
      <w:color w:val="000000"/>
      <w:sz w:val="16"/>
      <w:szCs w:val="16"/>
      <w:lang w:eastAsia="en-US"/>
    </w:rPr>
  </w:style>
  <w:style w:type="paragraph" w:customStyle="1" w:styleId="TableTitleLast">
    <w:name w:val="TableTitleLast"/>
    <w:basedOn w:val="Table"/>
    <w:rsid w:val="00BB0995"/>
    <w:pPr>
      <w:spacing w:after="60"/>
      <w:jc w:val="both"/>
    </w:pPr>
    <w:rPr>
      <w:b/>
      <w:bCs/>
      <w:color w:val="auto"/>
      <w:lang w:eastAsia="en-US"/>
    </w:rPr>
  </w:style>
  <w:style w:type="paragraph" w:customStyle="1" w:styleId="CompanyHead">
    <w:name w:val="CompanyHead"/>
    <w:basedOn w:val="a0"/>
    <w:rsid w:val="00BB0995"/>
    <w:pPr>
      <w:tabs>
        <w:tab w:val="right" w:pos="2410"/>
        <w:tab w:val="left" w:pos="2552"/>
        <w:tab w:val="right" w:pos="10205"/>
      </w:tabs>
      <w:ind w:left="0"/>
    </w:pPr>
    <w:rPr>
      <w:b/>
      <w:bCs/>
      <w:color w:val="FF0000"/>
    </w:rPr>
  </w:style>
  <w:style w:type="paragraph" w:styleId="30">
    <w:name w:val="Body Text 3"/>
    <w:basedOn w:val="a"/>
    <w:rsid w:val="00BB0995"/>
    <w:rPr>
      <w:szCs w:val="18"/>
    </w:rPr>
  </w:style>
  <w:style w:type="paragraph" w:customStyle="1" w:styleId="body">
    <w:name w:val="body"/>
    <w:basedOn w:val="a"/>
    <w:rsid w:val="00BB0995"/>
    <w:rPr>
      <w:noProof/>
    </w:rPr>
  </w:style>
  <w:style w:type="paragraph" w:customStyle="1" w:styleId="font5">
    <w:name w:val="font5"/>
    <w:basedOn w:val="a"/>
    <w:rsid w:val="00BB0995"/>
    <w:pPr>
      <w:spacing w:before="100" w:beforeAutospacing="1" w:after="100" w:afterAutospacing="1"/>
      <w:jc w:val="left"/>
    </w:pPr>
    <w:rPr>
      <w:rFonts w:ascii="宋体" w:hAnsi="宋体"/>
      <w:szCs w:val="18"/>
    </w:rPr>
  </w:style>
  <w:style w:type="paragraph" w:customStyle="1" w:styleId="font6">
    <w:name w:val="font6"/>
    <w:basedOn w:val="a"/>
    <w:rsid w:val="00BB0995"/>
    <w:pPr>
      <w:spacing w:before="100" w:beforeAutospacing="1" w:after="100" w:afterAutospacing="1"/>
      <w:jc w:val="left"/>
    </w:pPr>
    <w:rPr>
      <w:rFonts w:ascii="宋体" w:hAnsi="宋体"/>
    </w:rPr>
  </w:style>
  <w:style w:type="paragraph" w:customStyle="1" w:styleId="font7">
    <w:name w:val="font7"/>
    <w:basedOn w:val="a"/>
    <w:rsid w:val="00BB0995"/>
    <w:pPr>
      <w:spacing w:before="100" w:beforeAutospacing="1" w:after="100" w:afterAutospacing="1"/>
      <w:jc w:val="left"/>
    </w:pPr>
    <w:rPr>
      <w:rFonts w:ascii="宋体" w:hAnsi="宋体"/>
      <w:b/>
      <w:bCs/>
    </w:rPr>
  </w:style>
  <w:style w:type="paragraph" w:customStyle="1" w:styleId="xl24">
    <w:name w:val="xl24"/>
    <w:basedOn w:val="a"/>
    <w:rsid w:val="00BB0995"/>
    <w:pPr>
      <w:spacing w:before="100" w:beforeAutospacing="1" w:after="100" w:afterAutospacing="1"/>
      <w:jc w:val="left"/>
    </w:pPr>
    <w:rPr>
      <w:rFonts w:ascii="宋体" w:hAnsi="宋体"/>
      <w:sz w:val="24"/>
      <w:szCs w:val="24"/>
    </w:rPr>
  </w:style>
  <w:style w:type="paragraph" w:customStyle="1" w:styleId="xl25">
    <w:name w:val="xl25"/>
    <w:basedOn w:val="a"/>
    <w:rsid w:val="00BB0995"/>
    <w:pPr>
      <w:spacing w:before="100" w:beforeAutospacing="1" w:after="100" w:afterAutospacing="1"/>
      <w:jc w:val="left"/>
    </w:pPr>
    <w:rPr>
      <w:rFonts w:ascii="宋体" w:hAnsi="宋体"/>
      <w:b/>
      <w:bCs/>
      <w:sz w:val="24"/>
      <w:szCs w:val="24"/>
    </w:rPr>
  </w:style>
  <w:style w:type="paragraph" w:customStyle="1" w:styleId="xl27">
    <w:name w:val="xl27"/>
    <w:basedOn w:val="a"/>
    <w:rsid w:val="00BB0995"/>
    <w:pPr>
      <w:pBdr>
        <w:bottom w:val="single" w:sz="4" w:space="0" w:color="auto"/>
      </w:pBdr>
      <w:spacing w:before="100" w:beforeAutospacing="1" w:after="100" w:afterAutospacing="1"/>
      <w:jc w:val="left"/>
    </w:pPr>
    <w:rPr>
      <w:rFonts w:ascii="宋体" w:hAnsi="宋体"/>
      <w:sz w:val="24"/>
      <w:szCs w:val="24"/>
    </w:rPr>
  </w:style>
  <w:style w:type="paragraph" w:customStyle="1" w:styleId="xl28">
    <w:name w:val="xl28"/>
    <w:basedOn w:val="a"/>
    <w:rsid w:val="00BB0995"/>
    <w:pPr>
      <w:pBdr>
        <w:bottom w:val="single" w:sz="4" w:space="0" w:color="auto"/>
      </w:pBdr>
      <w:spacing w:before="100" w:beforeAutospacing="1" w:after="100" w:afterAutospacing="1"/>
      <w:jc w:val="left"/>
    </w:pPr>
    <w:rPr>
      <w:rFonts w:ascii="宋体" w:hAnsi="宋体"/>
      <w:sz w:val="24"/>
      <w:szCs w:val="24"/>
    </w:rPr>
  </w:style>
  <w:style w:type="paragraph" w:customStyle="1" w:styleId="xl30">
    <w:name w:val="xl30"/>
    <w:basedOn w:val="a"/>
    <w:rsid w:val="00BB0995"/>
    <w:pPr>
      <w:spacing w:before="100" w:beforeAutospacing="1" w:after="100" w:afterAutospacing="1"/>
      <w:jc w:val="right"/>
    </w:pPr>
    <w:rPr>
      <w:rFonts w:ascii="Arial Unicode MS" w:eastAsia="Arial Unicode MS" w:hAnsi="Arial Unicode MS"/>
      <w:sz w:val="24"/>
      <w:szCs w:val="24"/>
    </w:rPr>
  </w:style>
  <w:style w:type="character" w:styleId="a8">
    <w:name w:val="footnote reference"/>
    <w:semiHidden/>
    <w:rsid w:val="00BB0995"/>
    <w:rPr>
      <w:vertAlign w:val="superscript"/>
    </w:rPr>
  </w:style>
  <w:style w:type="paragraph" w:styleId="a9">
    <w:name w:val="footnote text"/>
    <w:basedOn w:val="a"/>
    <w:semiHidden/>
    <w:rsid w:val="00BB0995"/>
    <w:pPr>
      <w:snapToGrid w:val="0"/>
      <w:jc w:val="left"/>
    </w:pPr>
    <w:rPr>
      <w:szCs w:val="18"/>
    </w:rPr>
  </w:style>
  <w:style w:type="paragraph" w:styleId="31">
    <w:name w:val="Body Text Indent 3"/>
    <w:basedOn w:val="a"/>
    <w:rsid w:val="00BB0995"/>
    <w:pPr>
      <w:spacing w:line="288" w:lineRule="auto"/>
      <w:ind w:firstLineChars="197" w:firstLine="295"/>
    </w:pPr>
    <w:rPr>
      <w:rFonts w:ascii="宋体" w:hAnsi="宋体"/>
      <w:color w:val="0000FF"/>
      <w:sz w:val="15"/>
      <w:szCs w:val="15"/>
    </w:rPr>
  </w:style>
  <w:style w:type="character" w:styleId="aa">
    <w:name w:val="Hyperlink"/>
    <w:uiPriority w:val="99"/>
    <w:rsid w:val="00BB0995"/>
    <w:rPr>
      <w:color w:val="0000FF"/>
      <w:u w:val="single"/>
    </w:rPr>
  </w:style>
  <w:style w:type="paragraph" w:styleId="ab">
    <w:name w:val="Date"/>
    <w:basedOn w:val="a"/>
    <w:next w:val="a"/>
    <w:rsid w:val="00BB0995"/>
    <w:pPr>
      <w:ind w:leftChars="2500" w:left="100"/>
    </w:pPr>
    <w:rPr>
      <w:rFonts w:ascii="宋体" w:hAnsi="宋体"/>
      <w:szCs w:val="18"/>
    </w:rPr>
  </w:style>
  <w:style w:type="paragraph" w:styleId="ac">
    <w:name w:val="table of figures"/>
    <w:basedOn w:val="a"/>
    <w:next w:val="a"/>
    <w:uiPriority w:val="99"/>
    <w:rsid w:val="00BB0995"/>
    <w:pPr>
      <w:widowControl/>
      <w:spacing w:line="312" w:lineRule="auto"/>
      <w:ind w:left="3402"/>
    </w:pPr>
    <w:rPr>
      <w:color w:val="000000"/>
      <w:sz w:val="21"/>
    </w:rPr>
  </w:style>
  <w:style w:type="character" w:styleId="ad">
    <w:name w:val="FollowedHyperlink"/>
    <w:rsid w:val="00BB0995"/>
    <w:rPr>
      <w:color w:val="800080"/>
      <w:u w:val="single"/>
    </w:rPr>
  </w:style>
  <w:style w:type="paragraph" w:customStyle="1" w:styleId="21">
    <w:name w:val="模板标题2"/>
    <w:basedOn w:val="a0"/>
    <w:next w:val="a0"/>
    <w:rsid w:val="00BB0995"/>
    <w:pPr>
      <w:outlineLvl w:val="1"/>
    </w:pPr>
    <w:rPr>
      <w:b/>
      <w:bCs/>
      <w:color w:val="01659D"/>
    </w:rPr>
  </w:style>
  <w:style w:type="paragraph" w:customStyle="1" w:styleId="10">
    <w:name w:val="样式1"/>
    <w:basedOn w:val="a0"/>
    <w:next w:val="21"/>
    <w:rsid w:val="00BB0995"/>
    <w:rPr>
      <w:sz w:val="24"/>
    </w:rPr>
  </w:style>
  <w:style w:type="paragraph" w:customStyle="1" w:styleId="11">
    <w:name w:val="模板标题1"/>
    <w:basedOn w:val="21"/>
    <w:next w:val="a0"/>
    <w:rsid w:val="00BB0995"/>
    <w:pPr>
      <w:spacing w:after="240" w:line="300" w:lineRule="exact"/>
      <w:outlineLvl w:val="0"/>
    </w:pPr>
    <w:rPr>
      <w:sz w:val="24"/>
    </w:rPr>
  </w:style>
  <w:style w:type="paragraph" w:customStyle="1" w:styleId="ae">
    <w:name w:val="模板目录标题"/>
    <w:basedOn w:val="a0"/>
    <w:next w:val="12"/>
    <w:rsid w:val="00BB0995"/>
    <w:pPr>
      <w:tabs>
        <w:tab w:val="right" w:leader="dot" w:pos="10649"/>
      </w:tabs>
      <w:spacing w:line="480" w:lineRule="exact"/>
    </w:pPr>
    <w:rPr>
      <w:b/>
      <w:sz w:val="28"/>
    </w:rPr>
  </w:style>
  <w:style w:type="paragraph" w:styleId="12">
    <w:name w:val="toc 1"/>
    <w:basedOn w:val="GJStylesMuluContent1"/>
    <w:next w:val="a"/>
    <w:autoRedefine/>
    <w:uiPriority w:val="39"/>
    <w:rsid w:val="00BB0995"/>
  </w:style>
  <w:style w:type="paragraph" w:styleId="22">
    <w:name w:val="toc 2"/>
    <w:basedOn w:val="GJStylesMuluContent2"/>
    <w:next w:val="a"/>
    <w:autoRedefine/>
    <w:uiPriority w:val="39"/>
    <w:rsid w:val="00730B1B"/>
  </w:style>
  <w:style w:type="paragraph" w:customStyle="1" w:styleId="13">
    <w:name w:val="模板标题1(段前分页)"/>
    <w:basedOn w:val="11"/>
    <w:next w:val="21"/>
    <w:rsid w:val="00BB0995"/>
    <w:pPr>
      <w:pageBreakBefore/>
    </w:pPr>
    <w:rPr>
      <w:bCs w:val="0"/>
    </w:rPr>
  </w:style>
  <w:style w:type="paragraph" w:styleId="32">
    <w:name w:val="toc 3"/>
    <w:basedOn w:val="a"/>
    <w:next w:val="a"/>
    <w:autoRedefine/>
    <w:semiHidden/>
    <w:rsid w:val="00BB0995"/>
    <w:pPr>
      <w:ind w:leftChars="400" w:left="840"/>
    </w:pPr>
  </w:style>
  <w:style w:type="paragraph" w:styleId="40">
    <w:name w:val="toc 4"/>
    <w:basedOn w:val="a"/>
    <w:next w:val="a"/>
    <w:autoRedefine/>
    <w:semiHidden/>
    <w:rsid w:val="00BB0995"/>
    <w:pPr>
      <w:ind w:leftChars="600" w:left="1260"/>
    </w:pPr>
  </w:style>
  <w:style w:type="paragraph" w:styleId="50">
    <w:name w:val="toc 5"/>
    <w:basedOn w:val="a"/>
    <w:next w:val="a"/>
    <w:autoRedefine/>
    <w:semiHidden/>
    <w:rsid w:val="00BB0995"/>
    <w:pPr>
      <w:ind w:leftChars="800" w:left="1680"/>
    </w:pPr>
  </w:style>
  <w:style w:type="paragraph" w:styleId="60">
    <w:name w:val="toc 6"/>
    <w:basedOn w:val="a"/>
    <w:next w:val="a"/>
    <w:autoRedefine/>
    <w:semiHidden/>
    <w:rsid w:val="00BB0995"/>
    <w:pPr>
      <w:ind w:leftChars="1000" w:left="2100"/>
    </w:pPr>
  </w:style>
  <w:style w:type="paragraph" w:styleId="70">
    <w:name w:val="toc 7"/>
    <w:basedOn w:val="a"/>
    <w:next w:val="a"/>
    <w:autoRedefine/>
    <w:semiHidden/>
    <w:rsid w:val="00BB0995"/>
    <w:pPr>
      <w:ind w:leftChars="1200" w:left="2520"/>
    </w:pPr>
  </w:style>
  <w:style w:type="paragraph" w:styleId="80">
    <w:name w:val="toc 8"/>
    <w:basedOn w:val="a"/>
    <w:next w:val="a"/>
    <w:autoRedefine/>
    <w:semiHidden/>
    <w:rsid w:val="00BB0995"/>
    <w:pPr>
      <w:ind w:leftChars="1400" w:left="2940"/>
    </w:pPr>
  </w:style>
  <w:style w:type="paragraph" w:styleId="90">
    <w:name w:val="toc 9"/>
    <w:basedOn w:val="a"/>
    <w:next w:val="a"/>
    <w:autoRedefine/>
    <w:semiHidden/>
    <w:rsid w:val="00BB0995"/>
    <w:pPr>
      <w:ind w:leftChars="1600" w:left="3360"/>
    </w:pPr>
  </w:style>
  <w:style w:type="table" w:styleId="af">
    <w:name w:val="Table Grid"/>
    <w:basedOn w:val="a2"/>
    <w:uiPriority w:val="59"/>
    <w:rsid w:val="00C53DF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模板标题111"/>
    <w:basedOn w:val="11"/>
    <w:next w:val="SubTitleLargeTable"/>
    <w:rsid w:val="00AF1034"/>
    <w:pPr>
      <w:keepNext/>
    </w:pPr>
  </w:style>
  <w:style w:type="paragraph" w:customStyle="1" w:styleId="14">
    <w:name w:val="模板标题1（段前分页）"/>
    <w:basedOn w:val="11"/>
    <w:next w:val="21"/>
    <w:rsid w:val="00E54B00"/>
    <w:pPr>
      <w:pageBreakBefore/>
    </w:pPr>
  </w:style>
  <w:style w:type="paragraph" w:styleId="af0">
    <w:name w:val="Balloon Text"/>
    <w:basedOn w:val="a"/>
    <w:link w:val="Char2"/>
    <w:rsid w:val="00A61F07"/>
    <w:rPr>
      <w:szCs w:val="18"/>
    </w:rPr>
  </w:style>
  <w:style w:type="character" w:customStyle="1" w:styleId="Char2">
    <w:name w:val="批注框文本 Char"/>
    <w:link w:val="af0"/>
    <w:rsid w:val="00A61F07"/>
    <w:rPr>
      <w:rFonts w:ascii="Arial" w:eastAsia="楷体_GB2312" w:hAnsi="Arial"/>
      <w:sz w:val="18"/>
      <w:szCs w:val="18"/>
      <w:lang w:val="en-GB"/>
    </w:rPr>
  </w:style>
  <w:style w:type="character" w:customStyle="1" w:styleId="Char">
    <w:name w:val="正文文本 Char"/>
    <w:link w:val="a0"/>
    <w:rsid w:val="005A66A2"/>
    <w:rPr>
      <w:rFonts w:ascii="Arial" w:eastAsia="楷体_GB2312" w:hAnsi="Arial" w:cs="Arial"/>
      <w:color w:val="000000"/>
      <w:sz w:val="21"/>
      <w:lang w:val="en-GB"/>
    </w:rPr>
  </w:style>
  <w:style w:type="paragraph" w:styleId="af1">
    <w:name w:val="Document Map"/>
    <w:basedOn w:val="a"/>
    <w:link w:val="Char3"/>
    <w:rsid w:val="0003281B"/>
    <w:rPr>
      <w:rFonts w:ascii="宋体" w:eastAsia="宋体"/>
      <w:szCs w:val="18"/>
    </w:rPr>
  </w:style>
  <w:style w:type="character" w:customStyle="1" w:styleId="Char3">
    <w:name w:val="文档结构图 Char"/>
    <w:link w:val="af1"/>
    <w:rsid w:val="0003281B"/>
    <w:rPr>
      <w:rFonts w:ascii="宋体" w:hAnsi="Arial"/>
      <w:sz w:val="18"/>
      <w:szCs w:val="18"/>
      <w:lang w:val="en-GB"/>
    </w:rPr>
  </w:style>
  <w:style w:type="character" w:customStyle="1" w:styleId="Char1">
    <w:name w:val="页眉 Char"/>
    <w:link w:val="a6"/>
    <w:uiPriority w:val="99"/>
    <w:rsid w:val="00C53DF0"/>
    <w:rPr>
      <w:rFonts w:ascii="Arial" w:eastAsia="楷体_GB2312" w:hAnsi="Arial"/>
      <w:kern w:val="2"/>
      <w:sz w:val="18"/>
      <w:szCs w:val="18"/>
    </w:rPr>
  </w:style>
  <w:style w:type="character" w:customStyle="1" w:styleId="Char0">
    <w:name w:val="页脚 Char"/>
    <w:link w:val="a4"/>
    <w:uiPriority w:val="99"/>
    <w:rsid w:val="00C53DF0"/>
    <w:rPr>
      <w:rFonts w:ascii="Arial" w:eastAsia="楷体_GB2312" w:hAnsi="Arial"/>
      <w:kern w:val="2"/>
      <w:sz w:val="18"/>
      <w:szCs w:val="18"/>
    </w:rPr>
  </w:style>
  <w:style w:type="paragraph" w:customStyle="1" w:styleId="GJStylesSummaryTitle">
    <w:name w:val="GJ_Styles_Summary_Title"/>
    <w:qFormat/>
    <w:rsid w:val="00C53DF0"/>
    <w:pPr>
      <w:spacing w:afterLines="50"/>
      <w:jc w:val="both"/>
    </w:pPr>
    <w:rPr>
      <w:rFonts w:ascii="Arial" w:eastAsia="楷体_GB2312" w:hAnsi="Arial"/>
      <w:b/>
      <w:color w:val="000000"/>
      <w:kern w:val="2"/>
      <w:sz w:val="24"/>
      <w:szCs w:val="22"/>
    </w:rPr>
  </w:style>
  <w:style w:type="paragraph" w:customStyle="1" w:styleId="GJStylesSummaryContent">
    <w:name w:val="GJ_Styles_Summary_Content"/>
    <w:qFormat/>
    <w:rsid w:val="00C53DF0"/>
    <w:pPr>
      <w:numPr>
        <w:numId w:val="13"/>
      </w:numPr>
      <w:spacing w:afterLines="50" w:line="240" w:lineRule="exact"/>
      <w:jc w:val="both"/>
    </w:pPr>
    <w:rPr>
      <w:rFonts w:ascii="Arial" w:eastAsia="楷体_GB2312" w:hAnsi="Arial"/>
      <w:color w:val="000000"/>
      <w:kern w:val="2"/>
      <w:sz w:val="21"/>
      <w:szCs w:val="22"/>
    </w:rPr>
  </w:style>
  <w:style w:type="paragraph" w:customStyle="1" w:styleId="GJStylesSummarySubContent">
    <w:name w:val="GJ_Styles_Summary_SubContent"/>
    <w:qFormat/>
    <w:rsid w:val="00C53DF0"/>
    <w:pPr>
      <w:numPr>
        <w:ilvl w:val="1"/>
        <w:numId w:val="13"/>
      </w:numPr>
      <w:spacing w:after="156"/>
      <w:jc w:val="both"/>
    </w:pPr>
    <w:rPr>
      <w:rFonts w:ascii="Arial" w:eastAsia="楷体_GB2312" w:hAnsi="Arial"/>
      <w:color w:val="000000"/>
      <w:kern w:val="2"/>
      <w:sz w:val="21"/>
      <w:szCs w:val="22"/>
    </w:rPr>
  </w:style>
  <w:style w:type="paragraph" w:customStyle="1" w:styleId="GJStylesSummaryContentNoMark">
    <w:name w:val="GJ_Styles_Summary_Content_NoMark"/>
    <w:qFormat/>
    <w:rsid w:val="00C53DF0"/>
    <w:pPr>
      <w:spacing w:afterLines="50" w:line="240" w:lineRule="exact"/>
      <w:jc w:val="both"/>
    </w:pPr>
    <w:rPr>
      <w:rFonts w:ascii="Arial" w:eastAsia="楷体_GB2312" w:hAnsi="Arial"/>
      <w:color w:val="000000"/>
      <w:kern w:val="2"/>
      <w:sz w:val="21"/>
      <w:szCs w:val="22"/>
    </w:rPr>
  </w:style>
  <w:style w:type="numbering" w:customStyle="1" w:styleId="GJStylesSummaryContentMark">
    <w:name w:val="GJ_Styles_Summary_Content_Mark"/>
    <w:uiPriority w:val="99"/>
    <w:rsid w:val="00C53DF0"/>
    <w:pPr>
      <w:numPr>
        <w:numId w:val="6"/>
      </w:numPr>
    </w:pPr>
  </w:style>
  <w:style w:type="paragraph" w:customStyle="1" w:styleId="GJStylesContentFirTitle">
    <w:name w:val="GJ_Styles_Content_FirTitle"/>
    <w:qFormat/>
    <w:rsid w:val="00C53DF0"/>
    <w:pPr>
      <w:spacing w:after="240" w:line="300" w:lineRule="exact"/>
      <w:ind w:left="3402"/>
      <w:jc w:val="both"/>
      <w:outlineLvl w:val="0"/>
    </w:pPr>
    <w:rPr>
      <w:rFonts w:ascii="Arial" w:eastAsia="楷体_GB2312" w:hAnsi="Arial"/>
      <w:b/>
      <w:kern w:val="2"/>
      <w:sz w:val="24"/>
      <w:szCs w:val="22"/>
    </w:rPr>
  </w:style>
  <w:style w:type="paragraph" w:customStyle="1" w:styleId="GJStylesContentSecTitle">
    <w:name w:val="GJ_Styles_Content_SecTitle"/>
    <w:qFormat/>
    <w:rsid w:val="00C53DF0"/>
    <w:pPr>
      <w:spacing w:after="120" w:line="240" w:lineRule="exact"/>
      <w:ind w:left="3402"/>
      <w:jc w:val="both"/>
      <w:outlineLvl w:val="1"/>
    </w:pPr>
    <w:rPr>
      <w:rFonts w:ascii="Arial" w:eastAsia="楷体_GB2312" w:hAnsi="Arial"/>
      <w:b/>
      <w:kern w:val="2"/>
      <w:sz w:val="21"/>
      <w:szCs w:val="22"/>
    </w:rPr>
  </w:style>
  <w:style w:type="paragraph" w:customStyle="1" w:styleId="GJStylesContentThirdTitle">
    <w:name w:val="GJ_Styles_Content_ThirdTitle"/>
    <w:qFormat/>
    <w:rsid w:val="00C53DF0"/>
    <w:pPr>
      <w:numPr>
        <w:numId w:val="7"/>
      </w:numPr>
      <w:spacing w:after="120" w:line="240" w:lineRule="exact"/>
      <w:jc w:val="both"/>
    </w:pPr>
    <w:rPr>
      <w:rFonts w:ascii="Arial" w:eastAsia="楷体_GB2312" w:hAnsi="Arial"/>
      <w:kern w:val="2"/>
      <w:sz w:val="21"/>
      <w:szCs w:val="22"/>
    </w:rPr>
  </w:style>
  <w:style w:type="paragraph" w:customStyle="1" w:styleId="GJStylesContentFourTitle">
    <w:name w:val="GJ_Styles_Content_FourTitle"/>
    <w:qFormat/>
    <w:rsid w:val="00C53DF0"/>
    <w:pPr>
      <w:numPr>
        <w:ilvl w:val="1"/>
        <w:numId w:val="7"/>
      </w:numPr>
      <w:spacing w:after="120" w:line="240" w:lineRule="exact"/>
      <w:jc w:val="both"/>
    </w:pPr>
    <w:rPr>
      <w:rFonts w:ascii="Arial" w:eastAsia="楷体_GB2312" w:hAnsi="Arial"/>
      <w:kern w:val="2"/>
      <w:sz w:val="21"/>
      <w:szCs w:val="22"/>
    </w:rPr>
  </w:style>
  <w:style w:type="paragraph" w:customStyle="1" w:styleId="GJStylesContentContent">
    <w:name w:val="GJ_Styles_Content_Content"/>
    <w:qFormat/>
    <w:rsid w:val="00C53DF0"/>
    <w:pPr>
      <w:spacing w:after="120" w:line="240" w:lineRule="exact"/>
      <w:ind w:left="3402" w:firstLineChars="200" w:firstLine="200"/>
      <w:jc w:val="both"/>
    </w:pPr>
    <w:rPr>
      <w:rFonts w:ascii="Arial" w:eastAsia="楷体_GB2312" w:hAnsi="Arial"/>
      <w:kern w:val="2"/>
      <w:sz w:val="21"/>
      <w:szCs w:val="22"/>
    </w:rPr>
  </w:style>
  <w:style w:type="paragraph" w:customStyle="1" w:styleId="GJStylesGraphTitle">
    <w:name w:val="GJ_Styles_Graph_Title"/>
    <w:qFormat/>
    <w:rsid w:val="00C53DF0"/>
    <w:pPr>
      <w:keepNext/>
      <w:suppressAutoHyphens/>
      <w:spacing w:after="40" w:line="240" w:lineRule="atLeast"/>
      <w:jc w:val="both"/>
    </w:pPr>
    <w:rPr>
      <w:rFonts w:ascii="Arial" w:eastAsia="楷体_GB2312" w:hAnsi="Arial"/>
      <w:b/>
      <w:i/>
      <w:color w:val="000000"/>
      <w:kern w:val="2"/>
      <w:sz w:val="21"/>
      <w:szCs w:val="22"/>
    </w:rPr>
  </w:style>
  <w:style w:type="paragraph" w:customStyle="1" w:styleId="GJStylesGraphSource">
    <w:name w:val="GJ_Styles_Graph_Source"/>
    <w:qFormat/>
    <w:rsid w:val="00C53DF0"/>
    <w:pPr>
      <w:spacing w:before="40" w:after="160"/>
      <w:jc w:val="both"/>
    </w:pPr>
    <w:rPr>
      <w:rFonts w:ascii="Arial" w:eastAsia="楷体_GB2312" w:hAnsi="Arial"/>
      <w:color w:val="000000"/>
      <w:kern w:val="2"/>
      <w:sz w:val="15"/>
      <w:szCs w:val="22"/>
    </w:rPr>
  </w:style>
  <w:style w:type="numbering" w:customStyle="1" w:styleId="GJStylesContentMark">
    <w:name w:val="GJ_Styles_Content_Mark"/>
    <w:uiPriority w:val="99"/>
    <w:rsid w:val="00C53DF0"/>
    <w:pPr>
      <w:numPr>
        <w:numId w:val="7"/>
      </w:numPr>
    </w:pPr>
  </w:style>
  <w:style w:type="paragraph" w:customStyle="1" w:styleId="GJStylesContentFirTitleWide">
    <w:name w:val="GJ_Styles_Content_FirTitle_Wide"/>
    <w:qFormat/>
    <w:rsid w:val="00C53DF0"/>
    <w:pPr>
      <w:spacing w:after="240" w:line="300" w:lineRule="exact"/>
      <w:jc w:val="both"/>
      <w:outlineLvl w:val="0"/>
    </w:pPr>
    <w:rPr>
      <w:rFonts w:ascii="Arial" w:eastAsia="楷体_GB2312" w:hAnsi="Arial"/>
      <w:b/>
      <w:kern w:val="2"/>
      <w:sz w:val="24"/>
      <w:szCs w:val="22"/>
    </w:rPr>
  </w:style>
  <w:style w:type="paragraph" w:customStyle="1" w:styleId="GJStylesContentSecTitleWide">
    <w:name w:val="GJ_Styles_Content_SecTitle_Wide"/>
    <w:qFormat/>
    <w:rsid w:val="00C53DF0"/>
    <w:pPr>
      <w:spacing w:after="120" w:line="240" w:lineRule="exact"/>
      <w:jc w:val="both"/>
      <w:outlineLvl w:val="1"/>
    </w:pPr>
    <w:rPr>
      <w:rFonts w:ascii="Arial" w:eastAsia="楷体_GB2312" w:hAnsi="Arial"/>
      <w:b/>
      <w:kern w:val="2"/>
      <w:sz w:val="21"/>
      <w:szCs w:val="22"/>
    </w:rPr>
  </w:style>
  <w:style w:type="paragraph" w:customStyle="1" w:styleId="GJStylesContentThirdTitleWide">
    <w:name w:val="GJ_Styles_Content_ThirdTitle_Wide"/>
    <w:qFormat/>
    <w:rsid w:val="00C53DF0"/>
    <w:pPr>
      <w:tabs>
        <w:tab w:val="num" w:pos="3430"/>
      </w:tabs>
      <w:spacing w:after="120" w:line="240" w:lineRule="exact"/>
      <w:ind w:left="3799" w:hanging="369"/>
      <w:jc w:val="both"/>
    </w:pPr>
    <w:rPr>
      <w:rFonts w:ascii="Arial" w:eastAsia="楷体_GB2312" w:hAnsi="Arial"/>
      <w:kern w:val="2"/>
      <w:sz w:val="21"/>
      <w:szCs w:val="22"/>
    </w:rPr>
  </w:style>
  <w:style w:type="paragraph" w:customStyle="1" w:styleId="GJStylesContentFourTitleWide">
    <w:name w:val="GJ_Styles_Content_FourTitle_Wide"/>
    <w:qFormat/>
    <w:rsid w:val="00C53DF0"/>
    <w:pPr>
      <w:spacing w:after="120" w:line="240" w:lineRule="exact"/>
      <w:ind w:left="4190" w:hanging="419"/>
      <w:jc w:val="both"/>
    </w:pPr>
    <w:rPr>
      <w:rFonts w:ascii="Arial" w:eastAsia="楷体_GB2312" w:hAnsi="Arial"/>
      <w:kern w:val="2"/>
      <w:sz w:val="21"/>
      <w:szCs w:val="22"/>
    </w:rPr>
  </w:style>
  <w:style w:type="paragraph" w:customStyle="1" w:styleId="GJStylesContentContentWide">
    <w:name w:val="GJ_Styles_Content_Content_Wide"/>
    <w:qFormat/>
    <w:rsid w:val="00C53DF0"/>
    <w:pPr>
      <w:spacing w:after="120" w:line="240" w:lineRule="exact"/>
      <w:ind w:firstLineChars="200" w:firstLine="200"/>
      <w:jc w:val="both"/>
    </w:pPr>
    <w:rPr>
      <w:rFonts w:ascii="Arial" w:eastAsia="楷体_GB2312" w:hAnsi="Arial"/>
      <w:kern w:val="2"/>
      <w:sz w:val="21"/>
      <w:szCs w:val="22"/>
    </w:rPr>
  </w:style>
  <w:style w:type="paragraph" w:customStyle="1" w:styleId="GJReportFirPageRelaReports">
    <w:name w:val="GJ_Report_FirPage_RelaReports"/>
    <w:qFormat/>
    <w:rsid w:val="00C53DF0"/>
    <w:pPr>
      <w:jc w:val="both"/>
    </w:pPr>
    <w:rPr>
      <w:rFonts w:ascii="Arial" w:eastAsia="楷体_GB2312" w:hAnsi="Arial"/>
      <w:kern w:val="2"/>
      <w:sz w:val="18"/>
      <w:szCs w:val="22"/>
    </w:rPr>
  </w:style>
  <w:style w:type="paragraph" w:customStyle="1" w:styleId="GJReportFirPageAuthorName">
    <w:name w:val="GJ_Report_FirPage_Author_Name"/>
    <w:qFormat/>
    <w:rsid w:val="00C53DF0"/>
    <w:pPr>
      <w:jc w:val="both"/>
    </w:pPr>
    <w:rPr>
      <w:rFonts w:ascii="Arial" w:eastAsia="楷体_GB2312" w:hAnsi="Arial"/>
      <w:b/>
      <w:kern w:val="2"/>
      <w:sz w:val="21"/>
      <w:szCs w:val="22"/>
    </w:rPr>
  </w:style>
  <w:style w:type="paragraph" w:customStyle="1" w:styleId="GJReportFirPageAuthorEmail">
    <w:name w:val="GJ_Report_FirPage_Author_Email"/>
    <w:qFormat/>
    <w:rsid w:val="00C53DF0"/>
    <w:pPr>
      <w:jc w:val="both"/>
    </w:pPr>
    <w:rPr>
      <w:rFonts w:ascii="Arial" w:eastAsia="楷体_GB2312" w:hAnsi="Arial"/>
      <w:b/>
      <w:kern w:val="2"/>
      <w:sz w:val="13"/>
      <w:szCs w:val="22"/>
    </w:rPr>
  </w:style>
  <w:style w:type="paragraph" w:customStyle="1" w:styleId="GJStylesTableTitleSuo">
    <w:name w:val="GJ_Styles_Table_Title_Suo"/>
    <w:qFormat/>
    <w:rsid w:val="00C53DF0"/>
    <w:pPr>
      <w:keepNext/>
      <w:pBdr>
        <w:top w:val="single" w:sz="4" w:space="1" w:color="00A0E9"/>
      </w:pBdr>
      <w:suppressAutoHyphens/>
      <w:spacing w:after="40" w:line="240" w:lineRule="atLeast"/>
      <w:ind w:left="3402"/>
      <w:jc w:val="both"/>
    </w:pPr>
    <w:rPr>
      <w:rFonts w:ascii="Arial" w:eastAsia="楷体_GB2312" w:hAnsi="Arial"/>
      <w:b/>
      <w:i/>
      <w:color w:val="000000"/>
      <w:kern w:val="2"/>
      <w:sz w:val="21"/>
      <w:szCs w:val="22"/>
    </w:rPr>
  </w:style>
  <w:style w:type="paragraph" w:customStyle="1" w:styleId="GJStylesTableSourceSuo">
    <w:name w:val="GJ_Styles_Table_Source_Suo"/>
    <w:qFormat/>
    <w:rsid w:val="00C53DF0"/>
    <w:pPr>
      <w:spacing w:before="40" w:after="160"/>
      <w:ind w:left="3402"/>
      <w:jc w:val="both"/>
    </w:pPr>
    <w:rPr>
      <w:rFonts w:ascii="Arial" w:eastAsia="楷体_GB2312" w:hAnsi="Arial"/>
      <w:color w:val="000000"/>
      <w:kern w:val="2"/>
      <w:sz w:val="15"/>
      <w:szCs w:val="22"/>
    </w:rPr>
  </w:style>
  <w:style w:type="numbering" w:customStyle="1" w:styleId="GJStylesContentMarkWide">
    <w:name w:val="GJ_Styles_Content_Mark_Wide"/>
    <w:uiPriority w:val="99"/>
    <w:rsid w:val="00C53DF0"/>
    <w:pPr>
      <w:numPr>
        <w:numId w:val="10"/>
      </w:numPr>
    </w:pPr>
  </w:style>
  <w:style w:type="table" w:customStyle="1" w:styleId="GJStylesChartInsertSingleCol">
    <w:name w:val="GJ_Styles_Chart_InsertSingleCol"/>
    <w:basedOn w:val="a2"/>
    <w:uiPriority w:val="99"/>
    <w:qFormat/>
    <w:rsid w:val="00C53DF0"/>
    <w:rPr>
      <w:rFonts w:ascii="Calibri" w:hAnsi="Calibri"/>
    </w:rPr>
    <w:tblPr>
      <w:tblInd w:w="0" w:type="dxa"/>
      <w:tblBorders>
        <w:top w:val="single" w:sz="4" w:space="0" w:color="00A0E9"/>
        <w:insideH w:val="single" w:sz="4" w:space="0" w:color="00A0E9"/>
      </w:tblBorders>
      <w:tblCellMar>
        <w:top w:w="0" w:type="dxa"/>
        <w:left w:w="108" w:type="dxa"/>
        <w:bottom w:w="0" w:type="dxa"/>
        <w:right w:w="108" w:type="dxa"/>
      </w:tblCellMar>
    </w:tblPr>
    <w:tcPr>
      <w:tcMar>
        <w:left w:w="0" w:type="dxa"/>
        <w:right w:w="0" w:type="dxa"/>
      </w:tcMar>
    </w:tcPr>
    <w:tblStylePr w:type="firstRow">
      <w:pPr>
        <w:wordWrap/>
        <w:jc w:val="left"/>
      </w:pPr>
    </w:tblStylePr>
    <w:tblStylePr w:type="lastRow">
      <w:pPr>
        <w:wordWrap/>
        <w:jc w:val="left"/>
      </w:pPr>
    </w:tblStylePr>
  </w:style>
  <w:style w:type="table" w:customStyle="1" w:styleId="GJStylesChartInsertDoubleCol">
    <w:name w:val="GJ_Styles_Chart_InsertDoubleCol"/>
    <w:basedOn w:val="a2"/>
    <w:uiPriority w:val="99"/>
    <w:qFormat/>
    <w:rsid w:val="00C53DF0"/>
    <w:rPr>
      <w:rFonts w:ascii="Calibri" w:hAnsi="Calibri"/>
    </w:rPr>
    <w:tblPr>
      <w:tblInd w:w="0" w:type="dxa"/>
      <w:tblCellMar>
        <w:top w:w="0" w:type="dxa"/>
        <w:left w:w="108" w:type="dxa"/>
        <w:bottom w:w="0" w:type="dxa"/>
        <w:right w:w="108" w:type="dxa"/>
      </w:tblCellMar>
    </w:tblPr>
    <w:tcPr>
      <w:tcMar>
        <w:left w:w="0" w:type="dxa"/>
        <w:right w:w="0" w:type="dxa"/>
      </w:tcMar>
    </w:tcPr>
    <w:tblStylePr w:type="firstCol">
      <w:tblPr/>
      <w:tcPr>
        <w:tcBorders>
          <w:top w:val="single" w:sz="4" w:space="0" w:color="00A0E9"/>
          <w:insideH w:val="single" w:sz="4" w:space="0" w:color="00A0E9"/>
        </w:tcBorders>
      </w:tcPr>
    </w:tblStylePr>
    <w:tblStylePr w:type="lastCol">
      <w:tblPr/>
      <w:tcPr>
        <w:tcBorders>
          <w:top w:val="single" w:sz="4" w:space="0" w:color="00A0E9"/>
          <w:insideH w:val="single" w:sz="4" w:space="0" w:color="00A0E9"/>
        </w:tcBorders>
      </w:tcPr>
    </w:tblStylePr>
  </w:style>
  <w:style w:type="paragraph" w:customStyle="1" w:styleId="GJStylesTableTitle">
    <w:name w:val="GJ_Styles_Table_Title"/>
    <w:qFormat/>
    <w:rsid w:val="00C53DF0"/>
    <w:pPr>
      <w:keepNext/>
      <w:pBdr>
        <w:top w:val="single" w:sz="4" w:space="1" w:color="00A0E9"/>
      </w:pBdr>
      <w:suppressAutoHyphens/>
      <w:spacing w:after="40" w:line="240" w:lineRule="atLeast"/>
      <w:jc w:val="both"/>
    </w:pPr>
    <w:rPr>
      <w:rFonts w:ascii="Arial" w:eastAsia="楷体_GB2312" w:hAnsi="Arial"/>
      <w:b/>
      <w:i/>
      <w:color w:val="000000"/>
      <w:kern w:val="2"/>
      <w:sz w:val="21"/>
      <w:szCs w:val="22"/>
    </w:rPr>
  </w:style>
  <w:style w:type="table" w:customStyle="1" w:styleId="GJStylesTableDefalutStyle">
    <w:name w:val="GJ_Styles_Table_DefalutStyle"/>
    <w:basedOn w:val="a2"/>
    <w:uiPriority w:val="99"/>
    <w:qFormat/>
    <w:rsid w:val="00C53DF0"/>
    <w:rPr>
      <w:rFonts w:ascii="Arial" w:eastAsia="楷体_GB2312" w:hAnsi="Arial"/>
      <w:color w:val="000000"/>
      <w:sz w:val="18"/>
    </w:rPr>
    <w:tblPr>
      <w:tblInd w:w="0" w:type="dxa"/>
      <w:tblBorders>
        <w:top w:val="single" w:sz="4" w:space="0" w:color="00A0E9"/>
        <w:bottom w:val="single" w:sz="4" w:space="0" w:color="00A0E9"/>
      </w:tblBorders>
      <w:tblCellMar>
        <w:top w:w="0" w:type="dxa"/>
        <w:left w:w="108" w:type="dxa"/>
        <w:bottom w:w="0" w:type="dxa"/>
        <w:right w:w="108" w:type="dxa"/>
      </w:tblCellMar>
    </w:tblPr>
    <w:tblStylePr w:type="firstRow">
      <w:pPr>
        <w:wordWrap/>
        <w:jc w:val="center"/>
      </w:pPr>
      <w:rPr>
        <w:b/>
      </w:rPr>
      <w:tblPr/>
      <w:tcPr>
        <w:tcBorders>
          <w:bottom w:val="single" w:sz="4" w:space="0" w:color="BFBFBF"/>
        </w:tcBorders>
      </w:tcPr>
    </w:tblStylePr>
  </w:style>
  <w:style w:type="paragraph" w:customStyle="1" w:styleId="GJStylesTableTitleRed">
    <w:name w:val="GJ_Styles_Table_Title_Red"/>
    <w:qFormat/>
    <w:rsid w:val="00C53DF0"/>
    <w:pPr>
      <w:keepNext/>
      <w:pBdr>
        <w:top w:val="single" w:sz="4" w:space="1" w:color="C00000"/>
      </w:pBdr>
      <w:suppressAutoHyphens/>
      <w:spacing w:after="40" w:line="240" w:lineRule="atLeast"/>
      <w:jc w:val="both"/>
    </w:pPr>
    <w:rPr>
      <w:rFonts w:ascii="Arial" w:eastAsia="楷体_GB2312" w:hAnsi="Arial"/>
      <w:b/>
      <w:i/>
      <w:color w:val="000000"/>
      <w:kern w:val="2"/>
      <w:sz w:val="21"/>
      <w:szCs w:val="22"/>
    </w:rPr>
  </w:style>
  <w:style w:type="paragraph" w:customStyle="1" w:styleId="GJStylesTableTitleSuoRed">
    <w:name w:val="GJ_Styles_Table_Title_Suo_Red"/>
    <w:qFormat/>
    <w:rsid w:val="00C53DF0"/>
    <w:pPr>
      <w:keepNext/>
      <w:pBdr>
        <w:top w:val="single" w:sz="4" w:space="1" w:color="C00000"/>
      </w:pBdr>
      <w:suppressAutoHyphens/>
      <w:spacing w:after="40" w:line="240" w:lineRule="atLeast"/>
      <w:ind w:left="3402"/>
      <w:jc w:val="both"/>
    </w:pPr>
    <w:rPr>
      <w:rFonts w:ascii="Arial" w:eastAsia="楷体_GB2312" w:hAnsi="Arial"/>
      <w:b/>
      <w:i/>
      <w:color w:val="000000"/>
      <w:kern w:val="2"/>
      <w:sz w:val="21"/>
      <w:szCs w:val="22"/>
    </w:rPr>
  </w:style>
  <w:style w:type="table" w:customStyle="1" w:styleId="GJStylesTableDefalutStyleRed">
    <w:name w:val="GJ_Styles_Table_DefalutStyle_Red"/>
    <w:basedOn w:val="a2"/>
    <w:uiPriority w:val="99"/>
    <w:qFormat/>
    <w:rsid w:val="00C53DF0"/>
    <w:rPr>
      <w:rFonts w:ascii="Arial" w:eastAsia="楷体_GB2312" w:hAnsi="Arial"/>
      <w:sz w:val="18"/>
    </w:rPr>
    <w:tblPr>
      <w:tblInd w:w="0" w:type="dxa"/>
      <w:tblBorders>
        <w:top w:val="single" w:sz="4" w:space="0" w:color="C00000"/>
        <w:bottom w:val="single" w:sz="4" w:space="0" w:color="C00000"/>
      </w:tblBorders>
      <w:tblCellMar>
        <w:top w:w="0" w:type="dxa"/>
        <w:left w:w="108" w:type="dxa"/>
        <w:bottom w:w="0" w:type="dxa"/>
        <w:right w:w="108" w:type="dxa"/>
      </w:tblCellMar>
    </w:tblPr>
    <w:tblStylePr w:type="firstRow">
      <w:rPr>
        <w:b/>
      </w:rPr>
      <w:tblPr/>
      <w:tcPr>
        <w:tcBorders>
          <w:bottom w:val="single" w:sz="4" w:space="0" w:color="BFBFBF"/>
        </w:tcBorders>
      </w:tcPr>
    </w:tblStylePr>
  </w:style>
  <w:style w:type="table" w:customStyle="1" w:styleId="GJStylesChartInsertSingleColRed">
    <w:name w:val="GJ_Styles_Chart_InsertSingleCol_Red"/>
    <w:basedOn w:val="a2"/>
    <w:uiPriority w:val="99"/>
    <w:qFormat/>
    <w:rsid w:val="00C53DF0"/>
    <w:rPr>
      <w:rFonts w:ascii="Calibri" w:hAnsi="Calibri"/>
    </w:rPr>
    <w:tblPr>
      <w:tblInd w:w="0" w:type="dxa"/>
      <w:tblBorders>
        <w:top w:val="single" w:sz="4" w:space="0" w:color="C00000"/>
        <w:insideH w:val="single" w:sz="4" w:space="0" w:color="C00000"/>
      </w:tblBorders>
      <w:tblCellMar>
        <w:top w:w="0" w:type="dxa"/>
        <w:left w:w="108" w:type="dxa"/>
        <w:bottom w:w="0" w:type="dxa"/>
        <w:right w:w="108" w:type="dxa"/>
      </w:tblCellMar>
    </w:tblPr>
  </w:style>
  <w:style w:type="table" w:customStyle="1" w:styleId="GJStylesChartInsertDoubleColRed">
    <w:name w:val="GJ_Styles_Chart_InsertDoubleCol_Red"/>
    <w:basedOn w:val="a2"/>
    <w:uiPriority w:val="99"/>
    <w:qFormat/>
    <w:rsid w:val="00C53DF0"/>
    <w:rPr>
      <w:rFonts w:ascii="Calibri" w:hAnsi="Calibri"/>
    </w:rPr>
    <w:tblPr>
      <w:tblInd w:w="0" w:type="dxa"/>
      <w:tblCellMar>
        <w:top w:w="0" w:type="dxa"/>
        <w:left w:w="108" w:type="dxa"/>
        <w:bottom w:w="0" w:type="dxa"/>
        <w:right w:w="108" w:type="dxa"/>
      </w:tblCellMar>
    </w:tblPr>
    <w:tblStylePr w:type="firstCol">
      <w:tblPr/>
      <w:tcPr>
        <w:tcBorders>
          <w:top w:val="single" w:sz="4" w:space="0" w:color="C00000"/>
          <w:insideH w:val="single" w:sz="4" w:space="0" w:color="C00000"/>
        </w:tcBorders>
      </w:tcPr>
    </w:tblStylePr>
    <w:tblStylePr w:type="lastCol">
      <w:tblPr/>
      <w:tcPr>
        <w:tcBorders>
          <w:top w:val="single" w:sz="4" w:space="0" w:color="C00000"/>
          <w:insideH w:val="single" w:sz="4" w:space="0" w:color="C00000"/>
        </w:tcBorders>
      </w:tcPr>
    </w:tblStylePr>
  </w:style>
  <w:style w:type="paragraph" w:customStyle="1" w:styleId="GJStylesMuluTitle">
    <w:name w:val="GJ_Styles_Mulu_Title"/>
    <w:rsid w:val="00C53DF0"/>
    <w:pPr>
      <w:spacing w:after="120" w:line="480" w:lineRule="exact"/>
      <w:ind w:left="3402"/>
      <w:jc w:val="both"/>
    </w:pPr>
    <w:rPr>
      <w:rFonts w:ascii="Arial" w:eastAsia="楷体_GB2312" w:hAnsi="Arial"/>
      <w:b/>
      <w:color w:val="000000"/>
      <w:kern w:val="2"/>
      <w:sz w:val="28"/>
      <w:szCs w:val="22"/>
    </w:rPr>
  </w:style>
  <w:style w:type="paragraph" w:customStyle="1" w:styleId="GJStylesMuluContent1">
    <w:name w:val="GJ_Styles_Mulu_Content1"/>
    <w:rsid w:val="00C53DF0"/>
    <w:pPr>
      <w:spacing w:line="312" w:lineRule="auto"/>
      <w:ind w:left="3402"/>
      <w:jc w:val="both"/>
    </w:pPr>
    <w:rPr>
      <w:rFonts w:ascii="Arial" w:eastAsia="楷体_GB2312" w:hAnsi="Arial"/>
      <w:color w:val="000000"/>
      <w:kern w:val="2"/>
      <w:sz w:val="21"/>
      <w:szCs w:val="22"/>
    </w:rPr>
  </w:style>
  <w:style w:type="paragraph" w:customStyle="1" w:styleId="GJStylesMuluContent2">
    <w:name w:val="GJ_Styles_Mulu_Content2"/>
    <w:rsid w:val="00C53DF0"/>
    <w:pPr>
      <w:spacing w:line="312" w:lineRule="auto"/>
      <w:ind w:leftChars="2000" w:left="2000"/>
      <w:jc w:val="both"/>
    </w:pPr>
    <w:rPr>
      <w:rFonts w:ascii="Arial" w:eastAsia="楷体_GB2312" w:hAnsi="Arial"/>
      <w:color w:val="000000"/>
      <w:kern w:val="2"/>
      <w:sz w:val="21"/>
      <w:szCs w:val="22"/>
    </w:rPr>
  </w:style>
  <w:style w:type="character" w:styleId="af2">
    <w:name w:val="Placeholder Text"/>
    <w:basedOn w:val="a1"/>
    <w:uiPriority w:val="99"/>
    <w:semiHidden/>
    <w:rsid w:val="00DC78A4"/>
    <w:rPr>
      <w:color w:val="808080"/>
    </w:rPr>
  </w:style>
  <w:style w:type="table" w:customStyle="1" w:styleId="GJStylesTableRatStyle">
    <w:name w:val="GJ_Styles_Table_RatStyle"/>
    <w:basedOn w:val="a2"/>
    <w:uiPriority w:val="99"/>
    <w:qFormat/>
    <w:rsid w:val="00C53DF0"/>
    <w:pPr>
      <w:jc w:val="center"/>
    </w:pPr>
    <w:rPr>
      <w:rFonts w:ascii="Arial" w:eastAsia="楷体_GB2312" w:hAnsi="Arial"/>
      <w:color w:val="000000"/>
      <w:sz w:val="18"/>
    </w:rPr>
    <w:tblPr>
      <w:tblInd w:w="0" w:type="dxa"/>
      <w:tblBorders>
        <w:top w:val="single" w:sz="4" w:space="0" w:color="C0C0C0"/>
        <w:bottom w:val="single" w:sz="4" w:space="0" w:color="C0C0C0"/>
        <w:insideH w:val="single" w:sz="4" w:space="0" w:color="C0C0C0"/>
      </w:tblBorders>
      <w:tblCellMar>
        <w:top w:w="0" w:type="dxa"/>
        <w:left w:w="0" w:type="dxa"/>
        <w:bottom w:w="0" w:type="dxa"/>
        <w:right w:w="28" w:type="dxa"/>
      </w:tblCellMar>
    </w:tblPr>
    <w:tcPr>
      <w:vAlign w:val="center"/>
    </w:tcPr>
    <w:tblStylePr w:type="firstRow">
      <w:pPr>
        <w:wordWrap/>
        <w:jc w:val="center"/>
        <w:outlineLvl w:val="9"/>
      </w:pPr>
      <w:rPr>
        <w:rFonts w:ascii="Arial" w:eastAsia="楷体_GB2312" w:hAnsi="Arial"/>
        <w:b/>
        <w:i w:val="0"/>
        <w:color w:val="000000"/>
        <w:sz w:val="18"/>
      </w:rPr>
      <w:tblPr/>
      <w:tcPr>
        <w:tcBorders>
          <w:top w:val="single" w:sz="4" w:space="0" w:color="BFBFBF"/>
          <w:left w:val="nil"/>
          <w:bottom w:val="single" w:sz="4" w:space="0" w:color="BFBFBF"/>
          <w:right w:val="nil"/>
          <w:insideH w:val="nil"/>
          <w:insideV w:val="nil"/>
          <w:tl2br w:val="nil"/>
          <w:tr2bl w:val="nil"/>
        </w:tcBorders>
      </w:tcPr>
    </w:tblStylePr>
  </w:style>
  <w:style w:type="table" w:customStyle="1" w:styleId="GJStylesTableRatStyle2">
    <w:name w:val="GJ_Styles_Table_RatStyle_2"/>
    <w:basedOn w:val="a2"/>
    <w:uiPriority w:val="99"/>
    <w:qFormat/>
    <w:rsid w:val="00C53DF0"/>
    <w:pPr>
      <w:jc w:val="center"/>
    </w:pPr>
    <w:rPr>
      <w:rFonts w:ascii="Arial" w:eastAsia="楷体_GB2312" w:hAnsi="Arial"/>
      <w:color w:val="000000"/>
      <w:sz w:val="18"/>
    </w:rPr>
    <w:tblPr>
      <w:tblInd w:w="0" w:type="dxa"/>
      <w:tblBorders>
        <w:top w:val="single" w:sz="4" w:space="0" w:color="00A0E9"/>
        <w:bottom w:val="single" w:sz="4" w:space="0" w:color="00A0E9"/>
      </w:tblBorders>
      <w:tblCellMar>
        <w:top w:w="0" w:type="dxa"/>
        <w:left w:w="0" w:type="dxa"/>
        <w:bottom w:w="0" w:type="dxa"/>
        <w:right w:w="28" w:type="dxa"/>
      </w:tblCellMar>
    </w:tblPr>
    <w:tcPr>
      <w:shd w:val="clear" w:color="auto" w:fill="FFFFFF"/>
      <w:vAlign w:val="center"/>
    </w:tcPr>
    <w:tblStylePr w:type="firstRow">
      <w:rPr>
        <w:rFonts w:ascii="楷体_GB2312" w:eastAsia="楷体_GB2312"/>
        <w:b/>
        <w:i w:val="0"/>
        <w:color w:val="000000"/>
        <w:sz w:val="18"/>
      </w:rPr>
      <w:tblPr/>
      <w:tcPr>
        <w:tcBorders>
          <w:top w:val="single" w:sz="4" w:space="0" w:color="00A0E9"/>
          <w:left w:val="nil"/>
          <w:bottom w:val="nil"/>
          <w:right w:val="nil"/>
          <w:insideH w:val="nil"/>
          <w:insideV w:val="nil"/>
          <w:tl2br w:val="nil"/>
          <w:tr2bl w:val="nil"/>
        </w:tcBorders>
        <w:shd w:val="clear" w:color="auto" w:fill="FFFFFF"/>
      </w:tcPr>
    </w:tblStylePr>
  </w:style>
  <w:style w:type="table" w:customStyle="1" w:styleId="GJStylesTableRatStyle3">
    <w:name w:val="GJ_Styles_Table_RatStyle_3"/>
    <w:basedOn w:val="a2"/>
    <w:uiPriority w:val="99"/>
    <w:qFormat/>
    <w:rsid w:val="00C53DF0"/>
    <w:pPr>
      <w:jc w:val="center"/>
    </w:pPr>
    <w:rPr>
      <w:rFonts w:ascii="Arial" w:eastAsia="楷体_GB2312" w:hAnsi="Arial"/>
      <w:sz w:val="18"/>
    </w:rPr>
    <w:tblPr>
      <w:tblInd w:w="0" w:type="dxa"/>
      <w:tblBorders>
        <w:insideH w:val="single" w:sz="6" w:space="0" w:color="C0C0C0"/>
      </w:tblBorders>
      <w:tblCellMar>
        <w:top w:w="0" w:type="dxa"/>
        <w:left w:w="0" w:type="dxa"/>
        <w:bottom w:w="0" w:type="dxa"/>
        <w:right w:w="0" w:type="dxa"/>
      </w:tblCellMar>
    </w:tblPr>
  </w:style>
  <w:style w:type="table" w:customStyle="1" w:styleId="GJStylesTableRatStyle4">
    <w:name w:val="GJ_Styles_Table_RatStyle_4"/>
    <w:basedOn w:val="a2"/>
    <w:uiPriority w:val="99"/>
    <w:qFormat/>
    <w:rsid w:val="00C53DF0"/>
    <w:rPr>
      <w:rFonts w:ascii="Arial" w:eastAsia="楷体_GB2312" w:hAnsi="Arial"/>
      <w:sz w:val="21"/>
    </w:rPr>
    <w:tblPr>
      <w:tblInd w:w="0" w:type="dxa"/>
      <w:tblCellMar>
        <w:top w:w="0" w:type="dxa"/>
        <w:left w:w="0" w:type="dxa"/>
        <w:bottom w:w="0" w:type="dxa"/>
        <w:right w:w="0" w:type="dxa"/>
      </w:tblCellMar>
    </w:tblPr>
    <w:tblStylePr w:type="firstRow">
      <w:rPr>
        <w:rFonts w:ascii="Arial" w:eastAsia="楷体_GB2312" w:hAnsi="Arial"/>
        <w:b/>
        <w:i w:val="0"/>
        <w:sz w:val="21"/>
      </w:rPr>
    </w:tblStylePr>
  </w:style>
  <w:style w:type="table" w:customStyle="1" w:styleId="GJStylesTableRatStyle5">
    <w:name w:val="GJ_Styles_Table_RatStyle_5"/>
    <w:basedOn w:val="a2"/>
    <w:uiPriority w:val="99"/>
    <w:qFormat/>
    <w:rsid w:val="00C53DF0"/>
    <w:pPr>
      <w:spacing w:after="120" w:line="240" w:lineRule="exact"/>
      <w:jc w:val="both"/>
    </w:pPr>
    <w:rPr>
      <w:rFonts w:ascii="Calibri" w:hAnsi="Calibri"/>
    </w:rPr>
    <w:tblPr>
      <w:tblInd w:w="0" w:type="dxa"/>
      <w:tblCellMar>
        <w:top w:w="0" w:type="dxa"/>
        <w:left w:w="108" w:type="dxa"/>
        <w:bottom w:w="0" w:type="dxa"/>
        <w:right w:w="108" w:type="dxa"/>
      </w:tblCellMar>
    </w:tblPr>
  </w:style>
  <w:style w:type="table" w:customStyle="1" w:styleId="GJStylesTableRatStyle6">
    <w:name w:val="GJ_Styles_Table_RatStyle_6"/>
    <w:basedOn w:val="a2"/>
    <w:uiPriority w:val="99"/>
    <w:qFormat/>
    <w:rsid w:val="00C53DF0"/>
    <w:pPr>
      <w:jc w:val="right"/>
    </w:pPr>
    <w:rPr>
      <w:rFonts w:ascii="Arial" w:eastAsia="楷体_GB2312" w:hAnsi="Arial"/>
      <w:sz w:val="18"/>
    </w:rPr>
    <w:tblPr>
      <w:tblInd w:w="0" w:type="dxa"/>
      <w:tblCellMar>
        <w:top w:w="0" w:type="dxa"/>
        <w:left w:w="0" w:type="dxa"/>
        <w:bottom w:w="0" w:type="dxa"/>
        <w:right w:w="0" w:type="dxa"/>
      </w:tblCellMar>
    </w:tblPr>
    <w:tblStylePr w:type="firstCol">
      <w:pPr>
        <w:jc w:val="center"/>
      </w:pPr>
      <w:rPr>
        <w:rFonts w:ascii="Arial" w:eastAsia="楷体_GB2312" w:hAnsi="Arial"/>
        <w:b w:val="0"/>
        <w:i w:val="0"/>
        <w:sz w:val="18"/>
      </w:rPr>
      <w:tblPr/>
      <w:tcPr>
        <w:tcBorders>
          <w:top w:val="nil"/>
          <w:left w:val="nil"/>
          <w:bottom w:val="nil"/>
          <w:right w:val="nil"/>
          <w:insideH w:val="nil"/>
          <w:insideV w:val="nil"/>
          <w:tl2br w:val="nil"/>
          <w:tr2bl w:val="nil"/>
        </w:tcBorders>
        <w:vAlign w:val="center"/>
      </w:tcPr>
    </w:tblStylePr>
  </w:style>
  <w:style w:type="table" w:customStyle="1" w:styleId="GJStylesTableRatStyle7">
    <w:name w:val="GJ_Styles_Table_RatStyle_7"/>
    <w:basedOn w:val="a2"/>
    <w:uiPriority w:val="99"/>
    <w:qFormat/>
    <w:rsid w:val="00C53DF0"/>
    <w:pPr>
      <w:jc w:val="both"/>
    </w:pPr>
    <w:rPr>
      <w:rFonts w:ascii="Calibri" w:eastAsia="楷体_GB2312" w:hAnsi="Calibri"/>
      <w:b/>
      <w:sz w:val="13"/>
    </w:rPr>
    <w:tblPr>
      <w:tblInd w:w="-34" w:type="dxa"/>
      <w:tblCellMar>
        <w:top w:w="0" w:type="dxa"/>
        <w:left w:w="0" w:type="dxa"/>
        <w:bottom w:w="0" w:type="dxa"/>
        <w:right w:w="0" w:type="dxa"/>
      </w:tblCellMar>
    </w:tblPr>
    <w:tblStylePr w:type="firstRow">
      <w:pPr>
        <w:jc w:val="both"/>
      </w:pPr>
      <w:rPr>
        <w:rFonts w:ascii="Arial" w:eastAsia="Monotype Sorts" w:hAnsi="Arial"/>
        <w:b/>
        <w:i w:val="0"/>
        <w:sz w:val="21"/>
      </w:rPr>
    </w:tblStylePr>
    <w:tblStylePr w:type="lastRow">
      <w:pPr>
        <w:jc w:val="both"/>
      </w:pPr>
      <w:rPr>
        <w:rFonts w:ascii="Arial" w:eastAsia="Monotype Sorts" w:hAnsi="Arial"/>
        <w:b/>
        <w:i w:val="0"/>
        <w:sz w:val="13"/>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0">
    <w:name w:val="GJStylesSummaryContentMark"/>
    <w:pPr>
      <w:numPr>
        <w:numId w:val="6"/>
      </w:numPr>
    </w:pPr>
  </w:style>
  <w:style w:type="numbering" w:customStyle="1" w:styleId="Contact">
    <w:name w:val="GJStylesContentMarkWide"/>
    <w:pPr>
      <w:numPr>
        <w:numId w:val="10"/>
      </w:numPr>
    </w:pPr>
  </w:style>
  <w:style w:type="numbering" w:customStyle="1" w:styleId="a4">
    <w:name w:val="GJStylesContentMark"/>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7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BigData\&#22269;&#37329;Word&#25554;&#20214;\config\Word\RptTemplate\&#19987;&#39064;&#25253;&#21578;&#19975;&#33021;&#2925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7912DAFCB32445FAD460B5A59941714"/>
        <w:category>
          <w:name w:val="常规"/>
          <w:gallery w:val="placeholder"/>
        </w:category>
        <w:types>
          <w:type w:val="bbPlcHdr"/>
        </w:types>
        <w:behaviors>
          <w:behavior w:val="content"/>
        </w:behaviors>
        <w:guid w:val="{76FE4D56-F1BF-42F5-87F8-EFF0C2BF4A74}"/>
      </w:docPartPr>
      <w:docPartBody>
        <w:p w:rsidR="00E96CCF" w:rsidRDefault="00746DCC">
          <w:pPr>
            <w:pStyle w:val="E7912DAFCB32445FAD460B5A59941714"/>
          </w:pPr>
          <w:r w:rsidRPr="001C4667">
            <w:rPr>
              <w:rStyle w:val="a3"/>
              <w:rFonts w:hint="eastAsia"/>
            </w:rPr>
            <w:t>单击此处输入文字。</w:t>
          </w:r>
        </w:p>
      </w:docPartBody>
    </w:docPart>
    <w:docPart>
      <w:docPartPr>
        <w:name w:val="54AF2181C0C147DEA030CF0D673747D7"/>
        <w:category>
          <w:name w:val="常规"/>
          <w:gallery w:val="placeholder"/>
        </w:category>
        <w:types>
          <w:type w:val="bbPlcHdr"/>
        </w:types>
        <w:behaviors>
          <w:behavior w:val="content"/>
        </w:behaviors>
        <w:guid w:val="{51FB11AA-CA66-4589-9385-D55F77B38D7D}"/>
      </w:docPartPr>
      <w:docPartBody>
        <w:p w:rsidR="00E96CCF" w:rsidRDefault="00746DCC">
          <w:pPr>
            <w:pStyle w:val="54AF2181C0C147DEA030CF0D673747D7"/>
          </w:pPr>
          <w:r w:rsidRPr="004F02EC">
            <w:rPr>
              <w:rStyle w:val="a3"/>
              <w:rFonts w:hint="eastAsia"/>
            </w:rPr>
            <w:t>单击此处输入文字。</w:t>
          </w:r>
        </w:p>
      </w:docPartBody>
    </w:docPart>
    <w:docPart>
      <w:docPartPr>
        <w:name w:val="7C742B3AA04D4576A3F0524F728F90F7"/>
        <w:category>
          <w:name w:val="常规"/>
          <w:gallery w:val="placeholder"/>
        </w:category>
        <w:types>
          <w:type w:val="bbPlcHdr"/>
        </w:types>
        <w:behaviors>
          <w:behavior w:val="content"/>
        </w:behaviors>
        <w:guid w:val="{A4F14096-B996-408F-912D-2478033CA15E}"/>
      </w:docPartPr>
      <w:docPartBody>
        <w:p w:rsidR="00E96CCF" w:rsidRDefault="0018224F">
          <w:r w:rsidRPr="000021B1">
            <w:rPr>
              <w:rStyle w:val="a3"/>
              <w:rFonts w:hint="eastAsia"/>
            </w:rPr>
            <w:t>报告类型</w:t>
          </w:r>
        </w:p>
      </w:docPartBody>
    </w:docPart>
    <w:docPart>
      <w:docPartPr>
        <w:name w:val="80490560CA5345CA91D41A90ABE9FDB6"/>
        <w:category>
          <w:name w:val="常规"/>
          <w:gallery w:val="placeholder"/>
        </w:category>
        <w:types>
          <w:type w:val="bbPlcHdr"/>
        </w:types>
        <w:behaviors>
          <w:behavior w:val="content"/>
        </w:behaviors>
        <w:guid w:val="{7C77915A-F901-438E-9C2C-E04CD9DF4539}"/>
      </w:docPartPr>
      <w:docPartBody>
        <w:p w:rsidR="00E96CCF" w:rsidRDefault="0018224F">
          <w:r w:rsidRPr="000021B1">
            <w:rPr>
              <w:rStyle w:val="a3"/>
              <w:rFonts w:hint="eastAsia"/>
            </w:rPr>
            <w:t>报告日期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Courier New"/>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T">
    <w:altName w:val="Times New Roman"/>
    <w:panose1 w:val="00000000000000000000"/>
    <w:charset w:val="00"/>
    <w:family w:val="auto"/>
    <w:notTrueType/>
    <w:pitch w:val="variable"/>
    <w:sig w:usb0="00000003" w:usb1="00000000" w:usb2="00000000" w:usb3="00000000" w:csb0="00000001" w:csb1="00000000"/>
  </w:font>
  <w:font w:name="LucidaSan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224F"/>
    <w:rsid w:val="0018224F"/>
    <w:rsid w:val="0032212C"/>
    <w:rsid w:val="005077E2"/>
    <w:rsid w:val="0069200D"/>
    <w:rsid w:val="00746DCC"/>
    <w:rsid w:val="00E96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0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8224F"/>
    <w:rPr>
      <w:color w:val="808080"/>
    </w:rPr>
  </w:style>
  <w:style w:type="paragraph" w:customStyle="1" w:styleId="E7912DAFCB32445FAD460B5A59941714">
    <w:name w:val="E7912DAFCB32445FAD460B5A59941714"/>
    <w:rsid w:val="0069200D"/>
    <w:pPr>
      <w:widowControl w:val="0"/>
      <w:jc w:val="both"/>
    </w:pPr>
  </w:style>
  <w:style w:type="paragraph" w:customStyle="1" w:styleId="54AF2181C0C147DEA030CF0D673747D7">
    <w:name w:val="54AF2181C0C147DEA030CF0D673747D7"/>
    <w:rsid w:val="0069200D"/>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89BB4-CAE3-47A5-B006-AC970687D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专题报告万能版.dotx</Template>
  <TotalTime>43</TotalTime>
  <Pages>8</Pages>
  <Words>1265</Words>
  <Characters>7215</Characters>
  <Application>Microsoft Office Word</Application>
  <DocSecurity>0</DocSecurity>
  <Lines>60</Lines>
  <Paragraphs>16</Paragraphs>
  <ScaleCrop>false</ScaleCrop>
  <Company/>
  <LinksUpToDate>false</LinksUpToDate>
  <CharactersWithSpaces>8464</CharactersWithSpaces>
  <SharedDoc>false</SharedDoc>
  <HLinks>
    <vt:vector size="60" baseType="variant">
      <vt:variant>
        <vt:i4>1179710</vt:i4>
      </vt:variant>
      <vt:variant>
        <vt:i4>59</vt:i4>
      </vt:variant>
      <vt:variant>
        <vt:i4>0</vt:i4>
      </vt:variant>
      <vt:variant>
        <vt:i4>5</vt:i4>
      </vt:variant>
      <vt:variant>
        <vt:lpwstr/>
      </vt:variant>
      <vt:variant>
        <vt:lpwstr>_Toc240795531</vt:lpwstr>
      </vt:variant>
      <vt:variant>
        <vt:i4>2031673</vt:i4>
      </vt:variant>
      <vt:variant>
        <vt:i4>50</vt:i4>
      </vt:variant>
      <vt:variant>
        <vt:i4>0</vt:i4>
      </vt:variant>
      <vt:variant>
        <vt:i4>5</vt:i4>
      </vt:variant>
      <vt:variant>
        <vt:lpwstr/>
      </vt:variant>
      <vt:variant>
        <vt:lpwstr>_Toc239840639</vt:lpwstr>
      </vt:variant>
      <vt:variant>
        <vt:i4>2031673</vt:i4>
      </vt:variant>
      <vt:variant>
        <vt:i4>44</vt:i4>
      </vt:variant>
      <vt:variant>
        <vt:i4>0</vt:i4>
      </vt:variant>
      <vt:variant>
        <vt:i4>5</vt:i4>
      </vt:variant>
      <vt:variant>
        <vt:lpwstr/>
      </vt:variant>
      <vt:variant>
        <vt:lpwstr>_Toc239840638</vt:lpwstr>
      </vt:variant>
      <vt:variant>
        <vt:i4>2031673</vt:i4>
      </vt:variant>
      <vt:variant>
        <vt:i4>38</vt:i4>
      </vt:variant>
      <vt:variant>
        <vt:i4>0</vt:i4>
      </vt:variant>
      <vt:variant>
        <vt:i4>5</vt:i4>
      </vt:variant>
      <vt:variant>
        <vt:lpwstr/>
      </vt:variant>
      <vt:variant>
        <vt:lpwstr>_Toc239840637</vt:lpwstr>
      </vt:variant>
      <vt:variant>
        <vt:i4>2031673</vt:i4>
      </vt:variant>
      <vt:variant>
        <vt:i4>32</vt:i4>
      </vt:variant>
      <vt:variant>
        <vt:i4>0</vt:i4>
      </vt:variant>
      <vt:variant>
        <vt:i4>5</vt:i4>
      </vt:variant>
      <vt:variant>
        <vt:lpwstr/>
      </vt:variant>
      <vt:variant>
        <vt:lpwstr>_Toc239840636</vt:lpwstr>
      </vt:variant>
      <vt:variant>
        <vt:i4>2031673</vt:i4>
      </vt:variant>
      <vt:variant>
        <vt:i4>26</vt:i4>
      </vt:variant>
      <vt:variant>
        <vt:i4>0</vt:i4>
      </vt:variant>
      <vt:variant>
        <vt:i4>5</vt:i4>
      </vt:variant>
      <vt:variant>
        <vt:lpwstr/>
      </vt:variant>
      <vt:variant>
        <vt:lpwstr>_Toc239840635</vt:lpwstr>
      </vt:variant>
      <vt:variant>
        <vt:i4>2031673</vt:i4>
      </vt:variant>
      <vt:variant>
        <vt:i4>20</vt:i4>
      </vt:variant>
      <vt:variant>
        <vt:i4>0</vt:i4>
      </vt:variant>
      <vt:variant>
        <vt:i4>5</vt:i4>
      </vt:variant>
      <vt:variant>
        <vt:lpwstr/>
      </vt:variant>
      <vt:variant>
        <vt:lpwstr>_Toc239840634</vt:lpwstr>
      </vt:variant>
      <vt:variant>
        <vt:i4>2031673</vt:i4>
      </vt:variant>
      <vt:variant>
        <vt:i4>14</vt:i4>
      </vt:variant>
      <vt:variant>
        <vt:i4>0</vt:i4>
      </vt:variant>
      <vt:variant>
        <vt:i4>5</vt:i4>
      </vt:variant>
      <vt:variant>
        <vt:lpwstr/>
      </vt:variant>
      <vt:variant>
        <vt:lpwstr>_Toc239840633</vt:lpwstr>
      </vt:variant>
      <vt:variant>
        <vt:i4>2031673</vt:i4>
      </vt:variant>
      <vt:variant>
        <vt:i4>8</vt:i4>
      </vt:variant>
      <vt:variant>
        <vt:i4>0</vt:i4>
      </vt:variant>
      <vt:variant>
        <vt:i4>5</vt:i4>
      </vt:variant>
      <vt:variant>
        <vt:lpwstr/>
      </vt:variant>
      <vt:variant>
        <vt:lpwstr>_Toc239840632</vt:lpwstr>
      </vt:variant>
      <vt:variant>
        <vt:i4>2031673</vt:i4>
      </vt:variant>
      <vt:variant>
        <vt:i4>2</vt:i4>
      </vt:variant>
      <vt:variant>
        <vt:i4>0</vt:i4>
      </vt:variant>
      <vt:variant>
        <vt:i4>5</vt:i4>
      </vt:variant>
      <vt:variant>
        <vt:lpwstr/>
      </vt:variant>
      <vt:variant>
        <vt:lpwstr>_Toc239840631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公司研究</dc:title>
  <dc:subject>公司研究</dc:subject>
  <dc:creator>gjzq</dc:creator>
  <cp:keywords>模板</cp:keywords>
  <cp:lastModifiedBy>翁倩岚</cp:lastModifiedBy>
  <cp:revision>7</cp:revision>
  <cp:lastPrinted>2014-10-10T02:53:00Z</cp:lastPrinted>
  <dcterms:created xsi:type="dcterms:W3CDTF">2015-09-01T06:15:00Z</dcterms:created>
  <dcterms:modified xsi:type="dcterms:W3CDTF">2015-09-02T02:17:00Z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DCONTENTCONTROL_7592d0e5-15bb-4c61-826b-158ffdefbf84">
    <vt:lpwstr>GetData?Formula=PVBBUigiUmVwb3J0RGF0ZSIp&amp;FunctionName=PAR&amp;ContentType=TEXT&amp;Caption=报告日期&amp;DatasourceType=PAR&amp;StyleId=&amp;Other=yyyy年MM月dd日&amp;IsOnlyRefresh=False</vt:lpwstr>
  </property>
  <property fmtid="{D5CDD505-2E9C-101B-9397-08002B2CF9AE}" pid="3" name="BDCONTENTCONTROL_5c179c93-3177-4ab7-ae62-1dc3677fa3d8">
    <vt:lpwstr>GetData?Formula=PVBBUigiUmVwb3J0RGF0ZSIp&amp;FunctionName=PAR&amp;ContentType=TEXT&amp;Caption=报告日期&amp;DatasourceType=PAR&amp;StyleId=&amp;Other=yyyy年MM月dd日&amp;IsOnlyRefresh=False</vt:lpwstr>
  </property>
  <property fmtid="{D5CDD505-2E9C-101B-9397-08002B2CF9AE}" pid="4" name="BDCONTENTCONTROL_041a4771-0be9-4b94-b712-4a498ce28cf4">
    <vt:lpwstr>GetData?Formula=PVBBUigiQ29tUmFuayIp&amp;FunctionName=PAR&amp;ContentType=TEXT&amp;Caption=投资评级&amp;DatasourceType=PAR&amp;StyleId=&amp;Other=&amp;IsOnlyRefresh=False</vt:lpwstr>
  </property>
  <property fmtid="{D5CDD505-2E9C-101B-9397-08002B2CF9AE}" pid="5" name="BDCONTENTCONTROL_1bc0465d-2dae-4eb8-b81d-d7fb89f80052">
    <vt:lpwstr>GetData?Formula=PVBBUigiUmFua0FqdXN0Iik=&amp;FunctionName=PAR&amp;ContentType=TEXT&amp;Caption=评级变动&amp;DatasourceType=PAR&amp;StyleId=&amp;Other=&amp;IsOnlyRefresh=False</vt:lpwstr>
  </property>
  <property fmtid="{D5CDD505-2E9C-101B-9397-08002B2CF9AE}" pid="6" name="BDCONTENTCONTROL_2602561a-fc2b-4adc-befd-22fa63ba88c6">
    <vt:lpwstr>GetData?Formula=PURJWSgiUG9zdFNlcnZpY2UuYXNweD9TZXJ2aWNlPVN1YmplY3REYXRhU2VydmljZS5HZXRzJkZ1bmN0aW9uPUdldHNTZXJ2aWNlJkZMQUc9MSZPQkpfVldfSUQ9MTMwMDAwMDEiKQ==&amp;FunctionName=DIY&amp;ContentType=TABLE&amp;Caption=末页联系地址&amp;DatasourceType=DIYTable&amp;StyleId=0&amp;Other=13000001</vt:lpwstr>
  </property>
  <property fmtid="{D5CDD505-2E9C-101B-9397-08002B2CF9AE}" pid="7" name="BDCONTENTCONTROL_2602561a-fc2b-4adc-befd-22fa63ba88c6#2">
    <vt:lpwstr>&amp;IsOnlyRefresh=True&amp;StartRow=1&amp;RemainRows=2</vt:lpwstr>
  </property>
  <property fmtid="{D5CDD505-2E9C-101B-9397-08002B2CF9AE}" pid="8" name="BDCONTENTCONTROL_3add0a4e-8415-463a-afb4-ccd2e0c28ff9">
    <vt:lpwstr>GetData?Formula=PURJWSgiUG9zdFNlcnZpY2UuYXNweD9TZXJ2aWNlPVN1YmplY3REYXRhU2VydmljZS5HZXRzJkZ1bmN0aW9uPUdldHNTZXJ2aWNlJkZMQUc9MSZPQkpfVldfSUQ9MTMwMDAwMDUmQkRfQ09ERT0nNjAwMDI4JyZSZXBvcnREYXRlPScyMDA3JTJGNyUyRjExJTIwMCUzQTAwJTNBMDAnJm9yZGVyPSU3QiUyMkElMjIlM0E</vt:lpwstr>
  </property>
  <property fmtid="{D5CDD505-2E9C-101B-9397-08002B2CF9AE}" pid="9" name="BDCONTENTCONTROL_3add0a4e-8415-463a-afb4-ccd2e0c28ff9#2">
    <vt:lpwstr>wJTdEIik=&amp;FunctionName=DIY&amp;ContentType=TABLE&amp;Caption=报告评级比率分析&amp;DatasourceType=DIYTable&amp;StyleId=0&amp;Other=13000005&amp;IsOnlyRefresh=False</vt:lpwstr>
  </property>
  <property fmtid="{D5CDD505-2E9C-101B-9397-08002B2CF9AE}" pid="10" name="BDCONTENTCONTROL_a8d4360b-f486-4c10-adb5-ce3260e60d2a">
    <vt:lpwstr>GetData?Formula=PURJWSgiUG9zdFNlcnZpY2UuYXNweD9TZXJ2aWNlPVN1YmplY3REYXRhU2VydmljZS5HZXRzJkZ1bmN0aW9uPUdldHNTZXJ2aWNlJkZMQUc9MSZPQkpfVldfSUQ9MTMwMDAwMDUmQkRfQ09ERT0nNjAwMDI4JyZSZXBvcnREYXRlPScyMDE0LTktMjYnJm9yZGVyPSU3QiUyMkElMjIlM0EwJTdEIik=&amp;FunctionName=D</vt:lpwstr>
  </property>
  <property fmtid="{D5CDD505-2E9C-101B-9397-08002B2CF9AE}" pid="11" name="BDCONTENTCONTROL_a8d4360b-f486-4c10-adb5-ce3260e60d2a#2">
    <vt:lpwstr>IY&amp;ContentType=TABLE&amp;Caption=报告评级比率分析&amp;DatasourceType=DIYTable&amp;StyleId=0&amp;Other=13000005&amp;IsOnlyRefresh=False</vt:lpwstr>
  </property>
  <property fmtid="{D5CDD505-2E9C-101B-9397-08002B2CF9AE}" pid="12" name="BDCONTENTCONTROL_836ae175-361a-4de8-98eb-6e727a235a8c">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3" name="BDCONTENTCONTROL_836ae175-361a-4de8-98eb-6e727a235a8c#2">
    <vt:lpwstr>IY&amp;ContentType=TABLE&amp;Caption=报告评级比率分析&amp;DatasourceType=DIYTable&amp;StyleId=0&amp;Other=13000005&amp;IsOnlyRefresh=False</vt:lpwstr>
  </property>
  <property fmtid="{D5CDD505-2E9C-101B-9397-08002B2CF9AE}" pid="14" name="BDCONTENTCONTROL_fa65df0e-cad1-46fd-8d9a-66943b5311b5">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5" name="BDCONTENTCONTROL_fa65df0e-cad1-46fd-8d9a-66943b5311b5#2">
    <vt:lpwstr>IY&amp;ContentType=TABLE&amp;Caption=报告评级比率分析&amp;DatasourceType=DIYTable&amp;StyleId=0&amp;Other=13000005&amp;IsOnlyRefresh=False</vt:lpwstr>
  </property>
  <property fmtid="{D5CDD505-2E9C-101B-9397-08002B2CF9AE}" pid="16" name="BDCONTENTCONTROL_9b7c2d7f-a274-48a5-ade1-684fed3c8341">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7" name="BDCONTENTCONTROL_9b7c2d7f-a274-48a5-ade1-684fed3c8341#2">
    <vt:lpwstr>IY&amp;ContentType=TABLE&amp;Caption=报告评级比率分析&amp;DatasourceType=DIYTable&amp;StyleId=0&amp;Other=13000005&amp;IsOnlyRefresh=False</vt:lpwstr>
  </property>
  <property fmtid="{D5CDD505-2E9C-101B-9397-08002B2CF9AE}" pid="18" name="BDCONTENTCONTROL_6c067a8c-6d03-438e-9514-ba2fec9aa546#2">
    <vt:lpwstr>iKQ==&amp;FunctionName=DIY&amp;ContentType=TABLE&amp;Caption=报告评级比率分析&amp;DatasourceType=DIYTable&amp;StyleId=0&amp;Other=13000005&amp;IsOnlyRefresh=True&amp;StartRow=1&amp;RemainRows=6</vt:lpwstr>
  </property>
  <property fmtid="{D5CDD505-2E9C-101B-9397-08002B2CF9AE}" pid="19" name="RankAjust_Value">
    <vt:lpwstr>1</vt:lpwstr>
  </property>
  <property fmtid="{D5CDD505-2E9C-101B-9397-08002B2CF9AE}" pid="20" name="RankAjust_DisplayName">
    <vt:lpwstr>首次评级</vt:lpwstr>
  </property>
  <property fmtid="{D5CDD505-2E9C-101B-9397-08002B2CF9AE}" pid="21" name="BDCONTENTCONTROL_90a28eaf-840e-4104-995f-66ef522ba654">
    <vt:lpwstr>GetData?Formula=PVBBUigiQWltUHJpY2VIaWdoIik=&amp;FunctionName=PAR&amp;ContentType=TEXT&amp;Caption=目标价上限&amp;DatasourceType=PAR&amp;StyleId=&amp;Other=&amp;IsOnlyRefresh=False&amp;IsDataSubmission=</vt:lpwstr>
  </property>
  <property fmtid="{D5CDD505-2E9C-101B-9397-08002B2CF9AE}" pid="22" name="BDCONTENTCONTROL_33fd6f44-455f-4b93-8c76-ff7ef6f5596b">
    <vt:lpwstr>GetData?Formula=PURJWSgiUG9zdFNlcnZpY2UuYXNweD9TZXJ2aWNlPVN1YmplY3REYXRhU2VydmljZS5HZXRzJkZ1bmN0aW9uPUdldHNTZXJ2aWNlJkZMQUc9MSZPQkpfVldfSUQ9MTMwMDAwMDgmQkRfQ09ERT0nNjAwNTA1JyZSZXBvcnREYXRlPScyMDE0LTEwLTIxJyIp&amp;FunctionName=DIY&amp;ContentType=TABLE&amp;Caption=历史推</vt:lpwstr>
  </property>
  <property fmtid="{D5CDD505-2E9C-101B-9397-08002B2CF9AE}" pid="23" name="BDCONTENTCONTROL_33fd6f44-455f-4b93-8c76-ff7ef6f5596b#2">
    <vt:lpwstr>荐和股价走势图&amp;DatasourceType=DIYChart&amp;StyleId=45&amp;Other={"ID":45,"IsTile":false,"Title":null,"Height":2.0,"Width":3.0,"TemplateName":null,"StyleName":null,"IsExpand":false,"IsCustom":false,"IsMainMinValue":false,"IsSecMinValue":false,"IsDataLabel":false,"IsRefre</vt:lpwstr>
  </property>
  <property fmtid="{D5CDD505-2E9C-101B-9397-08002B2CF9AE}" pid="24" name="BDCONTENTCONTROL_33fd6f44-455f-4b93-8c76-ff7ef6f5596b#3">
    <vt:lpwstr>shTemplate":false,"CustomKey":null,"ObjViewID":"13000008"}&amp;IsOnlyRefresh=False&amp;IsDataSubmission=&amp;ContentColor=</vt:lpwstr>
  </property>
  <property fmtid="{D5CDD505-2E9C-101B-9397-08002B2CF9AE}" pid="25" name="BDCONTENTCONTROL_ce083c24-69a8-4a3c-be7d-5984dfcd714f">
    <vt:lpwstr>GetData?Formula=PURJWSgiUG9zdFNlcnZpY2UuYXNweD9TZXJ2aWNlPVN1YmplY3REYXRhU2VydmljZS5HZXRzJkZ1bmN0aW9uPUdldHNTZXJ2aWNlJkZMQUc9MSZPQkpfVldfSUQ9MTMwMDAwMDgmQkRfQ09ERT0nNjAwNTA1JyZSZXBvcnREYXRlPScyMDE0LTEwLTIxJyIp&amp;FunctionName=DIY&amp;ContentType=TABLE&amp;Caption=历史推</vt:lpwstr>
  </property>
  <property fmtid="{D5CDD505-2E9C-101B-9397-08002B2CF9AE}" pid="26" name="BDCONTENTCONTROL_ce083c24-69a8-4a3c-be7d-5984dfcd714f#2">
    <vt:lpwstr>荐和股价走势图&amp;DatasourceType=DIYChart&amp;StyleId=45&amp;Other={"ID":45,"IsTile":false,"Title":null,"Height":2.3,"Width":3.0,"TemplateName":null,"StyleName":null,"IsExpand":false,"IsCustom":false,"IsMainMinValue":false,"IsSecMinValue":false,"IsDataLabel":false,"IsRefre</vt:lpwstr>
  </property>
  <property fmtid="{D5CDD505-2E9C-101B-9397-08002B2CF9AE}" pid="27" name="BDCONTENTCONTROL_ce083c24-69a8-4a3c-be7d-5984dfcd714f#3">
    <vt:lpwstr>shTemplate":false,"CustomKey":null,"ObjViewID":"13000008"}&amp;IsOnlyRefresh=False&amp;IsDataSubmission=&amp;ContentColor=</vt:lpwstr>
  </property>
  <property fmtid="{D5CDD505-2E9C-101B-9397-08002B2CF9AE}" pid="28" name="BDCONTENTCONTROL_0694d7ec-429e-443a-8333-6c91828fed93">
    <vt:lpwstr>GetData?Formula=PURJWSgiUG9zdFNlcnZpY2UuYXNweD9TZXJ2aWNlPVN1YmplY3REYXRhU2VydmljZS5HZXRzJkZ1bmN0aW9uPUdldHNTZXJ2aWNlJkZMQUc9MSZPQkpfVldfSUQ9MTMwMDAwMjcmVGl0bGU9JyR7QkRDT05URU5UQ09OVFJPTF9BVVRPX1NBVkVfVGl0bGV9JyZSZXBvcnREYXRlPScke1JlcG9ydERhdGVfVmFsdWV9JyI</vt:lpwstr>
  </property>
  <property fmtid="{D5CDD505-2E9C-101B-9397-08002B2CF9AE}" pid="29" name="BDCONTENTCONTROL_0694d7ec-429e-443a-8333-6c91828fed93#2">
    <vt:lpwstr>p&amp;FunctionName=DIY&amp;ContentType=TABLE&amp;Caption=专题相关报告万能版&amp;DatasourceType=DIYTable&amp;StyleId=0&amp;Other=13000027&amp;IsOnlyRefresh=True&amp;StartRow=0&amp;RemainRows=5&amp;IsDataSubmission=&amp;ContentColor=&amp;HiddenCondition=&amp;Filter=</vt:lpwstr>
  </property>
  <property fmtid="{D5CDD505-2E9C-101B-9397-08002B2CF9AE}" pid="30" name="BDCONTENTCONTROL_84bd61de-94b7-4c7c-8f81-60dfebe1887e">
    <vt:lpwstr>GetData?Formula=PVBBUigiUmVwb3J0VHlwZTEiKQ==&amp;FunctionName=PAR&amp;ContentType=TEXT&amp;Caption=报告类型&amp;DatasourceType=PAR&amp;StyleId=&amp;Other=&amp;IsOnlyRefresh=False&amp;IsDataSubmission=&amp;ContentColor=&amp;HiddenCondition=&amp;Filter=</vt:lpwstr>
  </property>
  <property fmtid="{D5CDD505-2E9C-101B-9397-08002B2CF9AE}" pid="31" name="BDCONTENTCONTROL_AUTO_SAVE_Title&#10;_DisplayName">
    <vt:lpwstr>XX专题分析报告</vt:lpwstr>
  </property>
  <property fmtid="{D5CDD505-2E9C-101B-9397-08002B2CF9AE}" pid="32" name="BDCONTENTCONTROL_3df14c52-472a-44c1-9e63-51d70c06bfcd">
    <vt:lpwstr>GetData?Formula=PURJWSgiUG9zdFNlcnZpY2UuYXNweD9TZXJ2aWNlPVN1YmplY3REYXRhU2VydmljZS5HZXRzJkZ1bmN0aW9uPUdldHNTZXJ2aWNlJkZMQUc9MSZPQkpfVldfSUQ9MTMwMDAwMDQmVVNFUklEPScke1N0YWZmSURfVmFsdWV9JyIp&amp;FunctionName=DIY&amp;ContentType=TABLE&amp;Caption=作者展示&amp;DatasourceType=DIY</vt:lpwstr>
  </property>
  <property fmtid="{D5CDD505-2E9C-101B-9397-08002B2CF9AE}" pid="33" name="BDCONTENTCONTROL_3df14c52-472a-44c1-9e63-51d70c06bfcd#2">
    <vt:lpwstr>Table&amp;StyleId=44&amp;Other=13000004&amp;IsOnlyRefresh=True&amp;StartRow=1&amp;RemainRows=1&amp;IsDataSubmission=&amp;ContentColor=&amp;HiddenCondition=&amp;Filter=</vt:lpwstr>
  </property>
  <property fmtid="{D5CDD505-2E9C-101B-9397-08002B2CF9AE}" pid="34" name="BDCONTENTCONTROL_451e08ee-3959-4251-8d5f-f302d5f0f153">
    <vt:lpwstr>GetData?Formula=PVBBUigiUmVwb3J0VHlwZTEiKQ==&amp;FunctionName=PAR&amp;ContentType=TEXT&amp;Caption=报告类型&amp;DatasourceType=PAR&amp;StyleId=&amp;Other=&amp;IsOnlyRefresh=False&amp;IsDataSubmission=&amp;ContentColor=&amp;HiddenCondition=&amp;Filter=</vt:lpwstr>
  </property>
  <property fmtid="{D5CDD505-2E9C-101B-9397-08002B2CF9AE}" pid="35" name="BDCONTENTCONTROL_AUTO_SAVE_Title_DisplayName">
    <vt:lpwstr>XX专题分析报告</vt:lpwstr>
  </property>
  <property fmtid="{D5CDD505-2E9C-101B-9397-08002B2CF9AE}" pid="36" name="ReportType1_Value">
    <vt:lpwstr>ff80808147862c3b01478666abf202d0</vt:lpwstr>
  </property>
  <property fmtid="{D5CDD505-2E9C-101B-9397-08002B2CF9AE}" pid="37" name="ReportType1_DisplayName">
    <vt:lpwstr>基金投资策略报告</vt:lpwstr>
  </property>
  <property fmtid="{D5CDD505-2E9C-101B-9397-08002B2CF9AE}" pid="38" name="ReportDate_Value">
    <vt:lpwstr>2015-09-01</vt:lpwstr>
  </property>
  <property fmtid="{D5CDD505-2E9C-101B-9397-08002B2CF9AE}" pid="39" name="ReportDate_DisplayName">
    <vt:lpwstr>2015年09月01日</vt:lpwstr>
  </property>
  <property fmtid="{D5CDD505-2E9C-101B-9397-08002B2CF9AE}" pid="40" name="StaffID_Value">
    <vt:lpwstr>ff8080814e6798ae014eafe3699c2bf5;</vt:lpwstr>
  </property>
  <property fmtid="{D5CDD505-2E9C-101B-9397-08002B2CF9AE}" pid="41" name="StaffID_DisplayName">
    <vt:lpwstr>马赛楠-融资产品组;</vt:lpwstr>
  </property>
  <property fmtid="{D5CDD505-2E9C-101B-9397-08002B2CF9AE}" pid="42" name="docSaved">
    <vt:lpwstr>true</vt:lpwstr>
  </property>
  <property fmtid="{D5CDD505-2E9C-101B-9397-08002B2CF9AE}" pid="43" name="TemplateID">
    <vt:lpwstr> </vt:lpwstr>
  </property>
  <property fmtid="{D5CDD505-2E9C-101B-9397-08002B2CF9AE}" pid="44" name="BDCONTENTCONTROL_AUTO_SAVE_SubTitle">
    <vt:lpwstr>稳健配置抵御短期风险，灵活轮动期待长期债牛</vt:lpwstr>
  </property>
  <property fmtid="{D5CDD505-2E9C-101B-9397-08002B2CF9AE}" pid="45" name="BDCONTENTCONTROL_AUTO_SAVE_Summary">
    <vt:lpwstr>基本结论_x000d_稳健配置抵御短期风险，灵活轮动期待长期债牛——开放型债券基金投资建议_x000d_7月公开数据表明，当月国内经济增速继续回落，物价扣除猪肉单一因素影响基本处于通缩。8月财新PMI指数初值荣枯线下大幅回落0.7至47.1，创09年3月以来新低，表明经济将继续疲态。国金宏观组认为8月中采PMI指数大概率将大幅下调，三季度或将处于工业波动式下滑与GDP台阶式下滑的双重叠加期。_x000d_8月11日央行突然调整外汇中间价机制，人民币汇率贬值，累计贬值压力得到释放，但市场仍存贬值预期。为对冲人民币贬值和资本外流带来的资金面压力</vt:lpwstr>
  </property>
  <property fmtid="{D5CDD505-2E9C-101B-9397-08002B2CF9AE}" pid="46" name="BDCONTENTCONTROL_AUTO_SAVE_Summary#2">
    <vt:lpwstr>，央行持续加大货币工具应用的频率和规模，并超预期双降以增加流动性、降低资金成本。从结果看，多种货币政策工具的运用有利于稳定信心，但对经济基本面和资金面的改善都仍需谨慎看待。_x000d_长期来看，国内经济增长疲软、公开市场手段及双降政策超预期、股市资金流出、避险情绪升温、美联储加息有可能后延等因素均利好债市，长期债牛可期。但短期来看，货币政策频出缓解了市场担忧但对资金面的缓解程度待评估，资金持续外流加剧，美联储9月加息预期减小但具体时点预测仍有争议，地方政府替换债扩容影响供给面预期，因此短期债市投资仍需谨慎_x000d_完全型债</vt:lpwstr>
  </property>
  <property fmtid="{D5CDD505-2E9C-101B-9397-08002B2CF9AE}" pid="47" name="BDCONTENTCONTROL_AUTO_SAVE_Summary#3">
    <vt:lpwstr>基可作为短期稳健配置更好的选择，新股申购型债基和普通型债基也仍可分享长期债市转牛带来的收益，但考虑短期权益类市场的波动须细心挑选、谨慎配置。建议首选历史业绩稳健，下行风险控制有效，能够通过灵活把握大类资产轮动节奏在牛熊市中均获得较好收益的债券基金。此外，我们倾向于“低权益配置比例（包括可转债）+短久期+中低债券仓位”的策略选择，希望以此规避权益市场动荡风险和短期债市波动带来的资本利得损失，同时保持充足流动性以便在长期及时转向把握债市牛市行情。_x000d_活期存款替代工具，超短期流动性选择——货币市场基金投资建议_x000d_现</vt:lpwstr>
  </property>
  <property fmtid="{D5CDD505-2E9C-101B-9397-08002B2CF9AE}" pid="48" name="BDCONTENTCONTROL_AUTO_SAVE_Summary#4">
    <vt:lpwstr>期货币市场基金益率远低于银行理财，但在短期股市债市均未见趋势性机会、投资者风险偏好下移的时间段内，可作为活期存款的升级替代品种加以配置。我们推荐选择历史业绩居前且稳定性较好，基金规模较大具有较强协议存款议价能力并能抵御赎回冲击的品种。在此基础上，建议关注互联网宝类货币基金产品以实现快速取现并降低手续费。_x000d_固定收益基金相对收益组合_x000d__x0007__x000d__x0007_固定收益绝对收益组合_x000d__x0007__x000d__x0007_基金名称_x000d__x0007_基金类型_x000d__x0007_权重_x000d__x0007__x000d__x0007_基金名称_x000d__x0007_基金类型_x000d__x0007_权重_x000d__x0007__x000d__x0007_南方金利★_x000d__x0007_债券-完全债券型_x000d__x0007_25%_x000d__x0007__x000d__x0007_富国产业债_x000d__x0007_债券-完全</vt:lpwstr>
  </property>
  <property fmtid="{D5CDD505-2E9C-101B-9397-08002B2CF9AE}" pid="49" name="BDCONTENTCONTROL_AUTO_SAVE_Summary#5">
    <vt:lpwstr>债券型_x000d__x0007_50%_x000d__x0007__x000d__x0007_富国强回报_x000d__x0007_债券-完全债券型_x000d__x0007_25%_x000d__x0007__x000d__x0007_建信收益★_x000d__x0007_债券-普通债券型_x000d__x0007_50%_x000d__x0007__x000d__x0007_建信增利_x000d__x0007_债券-新股申购型_x000d__x0007_25%_x000d__x0007__x000d__x0007__x000d__x0007__x000d__x0007__x000d__x0007__x000d__x0007_工银添颐★_x000d__x0007_债券-普通债券型_x000d__x0007_25%_x000d__x0007__x000d__x0007__x000d__x0007__x000d__x0007__x000d__x0007__x000d__x0007__x000d_</vt:lpwstr>
  </property>
</Properties>
</file>