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4F1BC7"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34" type="#_x0000_t202" style="position:absolute;left:0;text-align:left;margin-left:456.65pt;margin-top:41.1pt;width:117.3pt;height:23.2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3901A1" w:rsidRPr="00EE31AB" w:rsidRDefault="003901A1"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33" type="#_x0000_t202" style="position:absolute;left:0;text-align:left;margin-left:15.3pt;margin-top:49.15pt;width:409.2pt;height:2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3901A1" w:rsidRPr="00AE6908" w:rsidRDefault="003901A1">
                  <w:pPr>
                    <w:rPr>
                      <w:rFonts w:ascii="楷体_GB2312"/>
                      <w:b/>
                      <w:sz w:val="30"/>
                      <w:szCs w:val="30"/>
                    </w:rPr>
                  </w:pPr>
                  <w:bookmarkStart w:id="0" w:name="title"/>
                  <w:r>
                    <w:rPr>
                      <w:rFonts w:ascii="楷体_GB2312" w:hint="eastAsia"/>
                      <w:b/>
                      <w:sz w:val="30"/>
                      <w:szCs w:val="30"/>
                    </w:rPr>
                    <w:t>2015年</w:t>
                  </w:r>
                  <w:r w:rsidR="004D281A">
                    <w:rPr>
                      <w:rFonts w:ascii="楷体_GB2312" w:hint="eastAsia"/>
                      <w:b/>
                      <w:sz w:val="30"/>
                      <w:szCs w:val="30"/>
                    </w:rPr>
                    <w:t>9</w:t>
                  </w:r>
                  <w:r>
                    <w:rPr>
                      <w:rFonts w:ascii="楷体_GB2312" w:hint="eastAsia"/>
                      <w:b/>
                      <w:sz w:val="30"/>
                      <w:szCs w:val="30"/>
                    </w:rPr>
                    <w:t>月权益类基金投资策略报告</w:t>
                  </w:r>
                  <w:bookmarkEnd w:id="0"/>
                </w:p>
              </w:txbxContent>
            </v:textbox>
            <w10:wrap anchorx="page" anchory="page"/>
          </v:shape>
        </w:pict>
      </w:r>
      <w:r>
        <w:rPr>
          <w:noProof/>
        </w:rPr>
        <w:pict>
          <v:shape id="Text Box 335" o:spid="_x0000_s1032" type="#_x0000_t202" style="position:absolute;left:0;text-align:left;margin-left:15.3pt;margin-top:15.6pt;width:370.25pt;height:21.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1" w:name="reportDate"/>
                <w:p w:rsidR="003901A1" w:rsidRDefault="004F1BC7" w:rsidP="00832F33">
                  <w:pPr>
                    <w:jc w:val="left"/>
                  </w:pPr>
                  <w:sdt>
                    <w:sdtPr>
                      <w:rPr>
                        <w:rFonts w:eastAsia="黑体" w:cs="Arial" w:hint="eastAsia"/>
                        <w:b/>
                        <w:sz w:val="21"/>
                        <w:szCs w:val="21"/>
                      </w:rPr>
                      <w:alias w:val="报告日期"/>
                      <w:tag w:val="BDCONTENTCONTROL_5c179c93-3177-4ab7-ae62-1dc3677fa3d8"/>
                      <w:id w:val="3936421"/>
                      <w:placeholder>
                        <w:docPart w:val="C04613EFD5634F2784E943E5F02C0E4B"/>
                      </w:placeholder>
                      <w:text/>
                    </w:sdtPr>
                    <w:sdtEndPr/>
                    <w:sdtContent>
                      <w:r w:rsidR="00755501">
                        <w:rPr>
                          <w:rFonts w:eastAsia="黑体" w:cs="Arial" w:hint="eastAsia"/>
                          <w:b/>
                          <w:sz w:val="21"/>
                          <w:szCs w:val="21"/>
                        </w:rPr>
                        <w:t>2015</w:t>
                      </w:r>
                      <w:r w:rsidR="00755501">
                        <w:rPr>
                          <w:rFonts w:eastAsia="黑体" w:cs="Arial" w:hint="eastAsia"/>
                          <w:b/>
                          <w:sz w:val="21"/>
                          <w:szCs w:val="21"/>
                        </w:rPr>
                        <w:t>年</w:t>
                      </w:r>
                      <w:r w:rsidR="00755501">
                        <w:rPr>
                          <w:rFonts w:eastAsia="黑体" w:cs="Arial" w:hint="eastAsia"/>
                          <w:b/>
                          <w:sz w:val="21"/>
                          <w:szCs w:val="21"/>
                        </w:rPr>
                        <w:t>09</w:t>
                      </w:r>
                      <w:r w:rsidR="00755501">
                        <w:rPr>
                          <w:rFonts w:eastAsia="黑体" w:cs="Arial" w:hint="eastAsia"/>
                          <w:b/>
                          <w:sz w:val="21"/>
                          <w:szCs w:val="21"/>
                        </w:rPr>
                        <w:t>月</w:t>
                      </w:r>
                      <w:r w:rsidR="00755501">
                        <w:rPr>
                          <w:rFonts w:eastAsia="黑体" w:cs="Arial" w:hint="eastAsia"/>
                          <w:b/>
                          <w:sz w:val="21"/>
                          <w:szCs w:val="21"/>
                        </w:rPr>
                        <w:t>01</w:t>
                      </w:r>
                      <w:r w:rsidR="00755501">
                        <w:rPr>
                          <w:rFonts w:eastAsia="黑体" w:cs="Arial" w:hint="eastAsia"/>
                          <w:b/>
                          <w:sz w:val="21"/>
                          <w:szCs w:val="21"/>
                        </w:rPr>
                        <w:t>日</w:t>
                      </w:r>
                    </w:sdtContent>
                  </w:sdt>
                  <w:bookmarkEnd w:id="1"/>
                </w:p>
              </w:txbxContent>
            </v:textbox>
            <w10:wrap anchorx="page" anchory="page"/>
          </v:shape>
        </w:pict>
      </w:r>
      <w:r>
        <w:rPr>
          <w:noProof/>
        </w:rPr>
        <w:pict>
          <v:rect id="Rectangle 406" o:spid="_x0000_s1031" style="position:absolute;left:0;text-align:left;margin-left:416.25pt;margin-top:-30.75pt;width:124.5pt;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3901A1" w:rsidRPr="00EC07DB" w:rsidRDefault="003901A1" w:rsidP="00865BF6">
                  <w:pPr>
                    <w:jc w:val="right"/>
                    <w:rPr>
                      <w:sz w:val="15"/>
                      <w:szCs w:val="15"/>
                    </w:rPr>
                  </w:pPr>
                </w:p>
              </w:txbxContent>
            </v:textbox>
            <w10:anchorlock/>
          </v:rect>
        </w:pict>
      </w:r>
      <w:r>
        <w:rPr>
          <w:noProof/>
        </w:rPr>
        <w:pict>
          <v:shape id="Text Box 405" o:spid="_x0000_s1030" type="#_x0000_t202" style="position:absolute;left:0;text-align:left;margin-left:414.3pt;margin-top:15.6pt;width:128.45pt;height:34.3pt;z-index:251665920;visibility:visible;mso-wrap-style:non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3901A1" w:rsidRPr="00E17DD1" w:rsidRDefault="003901A1"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29" style="position:absolute;left:0;text-align:left;margin-left:299.1pt;margin-top:12.75pt;width:86.55pt;height:25.65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3901A1" w:rsidRPr="00FE4B43" w:rsidRDefault="003901A1" w:rsidP="006449BF">
                  <w:pPr>
                    <w:rPr>
                      <w:b/>
                      <w:sz w:val="24"/>
                      <w:szCs w:val="24"/>
                    </w:rPr>
                  </w:pPr>
                  <w:bookmarkStart w:id="2" w:name="lastInvestSuggestion"/>
                  <w:r>
                    <w:rPr>
                      <w:rFonts w:hint="eastAsia"/>
                      <w:b/>
                      <w:sz w:val="24"/>
                      <w:szCs w:val="24"/>
                    </w:rPr>
                    <w:t>买入</w:t>
                  </w:r>
                  <w:bookmarkEnd w:id="2"/>
                </w:p>
              </w:txbxContent>
            </v:textbox>
          </v:rect>
        </w:pict>
      </w:r>
    </w:p>
    <w:p w:rsidR="0090542D" w:rsidRDefault="004F1BC7">
      <w:pPr>
        <w:jc w:val="right"/>
        <w:rPr>
          <w:rFonts w:eastAsia="黑体" w:cs="Arial"/>
          <w:sz w:val="30"/>
          <w:szCs w:val="52"/>
        </w:rPr>
      </w:pPr>
      <w:r>
        <w:rPr>
          <w:noProof/>
        </w:rPr>
        <w:pict>
          <v:shape id="Text Box 338" o:spid="_x0000_s1028" type="#_x0000_t202" style="position:absolute;left:0;text-align:left;margin-left:341.25pt;margin-top:98.35pt;width:228.75pt;height:22.1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3901A1" w:rsidRDefault="004F1BC7" w:rsidP="00F30157">
                  <w:pPr>
                    <w:jc w:val="right"/>
                  </w:pPr>
                  <w:sdt>
                    <w:sdtPr>
                      <w:rPr>
                        <w:rFonts w:hint="eastAsia"/>
                        <w:b/>
                        <w:sz w:val="24"/>
                        <w:szCs w:val="24"/>
                      </w:rPr>
                      <w:alias w:val="报告类型"/>
                      <w:tag w:val="BDCONTENTCONTROL_84bd61de-94b7-4c7c-8f81-60dfebe1887e"/>
                      <w:id w:val="1634203798"/>
                      <w:placeholder>
                        <w:docPart w:val="9580CA8E375D48B39F11AB334B7AD673"/>
                      </w:placeholder>
                      <w:text/>
                    </w:sdtPr>
                    <w:sdtEndPr/>
                    <w:sdtContent>
                      <w:r w:rsidR="00755501">
                        <w:rPr>
                          <w:rFonts w:hint="eastAsia"/>
                          <w:b/>
                          <w:sz w:val="24"/>
                          <w:szCs w:val="24"/>
                        </w:rPr>
                        <w:t>基金投资策略报告</w:t>
                      </w:r>
                    </w:sdtContent>
                  </w:sdt>
                </w:p>
              </w:txbxContent>
            </v:textbox>
            <w10:wrap anchorx="page" anchory="page"/>
          </v:shape>
        </w:pict>
      </w:r>
    </w:p>
    <w:p w:rsidR="0090542D" w:rsidRDefault="004F1BC7">
      <w:pPr>
        <w:jc w:val="right"/>
        <w:rPr>
          <w:rFonts w:eastAsia="黑体" w:cs="Arial"/>
          <w:sz w:val="30"/>
          <w:szCs w:val="52"/>
        </w:rPr>
      </w:pPr>
      <w:r>
        <w:rPr>
          <w:noProof/>
        </w:rPr>
        <w:pict>
          <v:line id="Line 335" o:spid="_x0000_s1027" style="position:absolute;left:0;text-align:left;z-index:251653632;visibility:visible;mso-wrap-distance-top:-3e-5mm;mso-wrap-distance-bottom:-3e-5mm"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F90D6D">
        <w:trPr>
          <w:trHeight w:val="12531"/>
        </w:trPr>
        <w:tc>
          <w:tcPr>
            <w:tcW w:w="3459" w:type="dxa"/>
            <w:tcMar>
              <w:top w:w="28" w:type="dxa"/>
              <w:left w:w="0" w:type="dxa"/>
              <w:right w:w="108" w:type="dxa"/>
            </w:tcMar>
          </w:tcPr>
          <w:p w:rsidR="00351D32" w:rsidRDefault="00351D32" w:rsidP="00351D32">
            <w:pPr>
              <w:spacing w:line="14" w:lineRule="exact"/>
            </w:pPr>
          </w:p>
          <w:p w:rsidR="000E6AE0" w:rsidRDefault="000E6AE0"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Pr="00F224E2"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E93CA264701430E92960E75BB2BDC3B"/>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4F1BC7"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BE343C0A3357424294F39F680051F9AF"/>
                    </w:placeholder>
                  </w:sdtPr>
                  <w:sdtEndPr/>
                  <w:sdtContent>
                    <w:p w:rsidR="00B632AD" w:rsidRPr="00B632AD" w:rsidRDefault="00B632AD" w:rsidP="00B632AD">
                      <w:pPr>
                        <w:spacing w:line="14" w:lineRule="exact"/>
                      </w:pPr>
                    </w:p>
                    <w:tbl>
                      <w:tblPr>
                        <w:tblW w:w="3458" w:type="dxa"/>
                        <w:tblLayout w:type="fixed"/>
                        <w:tblCellMar>
                          <w:left w:w="0" w:type="dxa"/>
                          <w:right w:w="0" w:type="dxa"/>
                        </w:tblCellMar>
                        <w:tblLook w:val="0000" w:firstRow="0" w:lastRow="0" w:firstColumn="0" w:lastColumn="0" w:noHBand="0" w:noVBand="0"/>
                      </w:tblPr>
                      <w:tblGrid>
                        <w:gridCol w:w="850"/>
                        <w:gridCol w:w="2608"/>
                      </w:tblGrid>
                      <w:tr w:rsidR="00FE5CF4" w:rsidTr="00FE5CF4">
                        <w:trPr>
                          <w:trHeight w:val="567"/>
                        </w:trPr>
                        <w:tc>
                          <w:tcPr>
                            <w:tcW w:w="1229" w:type="pct"/>
                            <w:tcMar>
                              <w:left w:w="0" w:type="dxa"/>
                              <w:right w:w="28" w:type="dxa"/>
                            </w:tcMar>
                          </w:tcPr>
                          <w:p w:rsidR="00FE5CF4" w:rsidRPr="007A4B1B" w:rsidRDefault="00755501" w:rsidP="00DB75E4">
                            <w:pPr>
                              <w:pStyle w:val="GJReportFirPageAuthorName"/>
                            </w:pPr>
                            <w:r>
                              <w:rPr>
                                <w:rFonts w:hint="eastAsia"/>
                              </w:rPr>
                              <w:t>王聃聃</w:t>
                            </w:r>
                          </w:p>
                        </w:tc>
                        <w:tc>
                          <w:tcPr>
                            <w:tcW w:w="3771" w:type="pct"/>
                            <w:tcMar>
                              <w:left w:w="0" w:type="dxa"/>
                              <w:right w:w="28" w:type="dxa"/>
                            </w:tcMar>
                          </w:tcPr>
                          <w:p w:rsidR="00752D51" w:rsidRPr="007A4B1B" w:rsidRDefault="00752D51" w:rsidP="00752D51">
                            <w:pPr>
                              <w:pStyle w:val="GJReportFirPageAuthorEmail"/>
                              <w:spacing w:beforeLines="30" w:before="72"/>
                            </w:pPr>
                          </w:p>
                          <w:p w:rsidR="00FE5CF4" w:rsidRPr="007A4B1B" w:rsidRDefault="00FE5CF4" w:rsidP="00755501">
                            <w:pPr>
                              <w:pStyle w:val="GJReportFirPageAuthorEmail"/>
                            </w:pPr>
                          </w:p>
                        </w:tc>
                      </w:tr>
                    </w:tbl>
                    <w:p w:rsidR="00B632AD" w:rsidRPr="006E3D11" w:rsidRDefault="004F1BC7" w:rsidP="00755501">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vAlign w:val="center"/>
          </w:tcPr>
          <w:sdt>
            <w:sdtPr>
              <w:rPr>
                <w:rFonts w:ascii="楷体_GB2312" w:hint="eastAsia"/>
                <w:b/>
                <w:bCs/>
                <w:sz w:val="36"/>
                <w:szCs w:val="36"/>
              </w:rPr>
              <w:alias w:val="副标题"/>
              <w:tag w:val="BDCONTENTCONTROL_AUTO_SAVE_SubTitle"/>
              <w:id w:val="-642272724"/>
              <w:lock w:val="sdtLocked"/>
              <w:placeholder>
                <w:docPart w:val="BE343C0A3357424294F39F680051F9AF"/>
              </w:placeholder>
            </w:sdtPr>
            <w:sdtEndPr/>
            <w:sdtContent>
              <w:p w:rsidR="00962AD2" w:rsidRDefault="00755501" w:rsidP="00AA352E">
                <w:pPr>
                  <w:ind w:rightChars="13" w:right="23"/>
                  <w:jc w:val="center"/>
                  <w:rPr>
                    <w:rFonts w:ascii="楷体_GB2312"/>
                    <w:b/>
                    <w:bCs/>
                    <w:sz w:val="36"/>
                    <w:szCs w:val="36"/>
                  </w:rPr>
                </w:pPr>
                <w:r w:rsidRPr="00755501">
                  <w:rPr>
                    <w:rFonts w:ascii="楷体_GB2312" w:hint="eastAsia"/>
                    <w:b/>
                    <w:bCs/>
                    <w:sz w:val="36"/>
                    <w:szCs w:val="36"/>
                  </w:rPr>
                  <w:t>控制</w:t>
                </w:r>
                <w:proofErr w:type="gramStart"/>
                <w:r w:rsidRPr="00755501">
                  <w:rPr>
                    <w:rFonts w:ascii="楷体_GB2312" w:hint="eastAsia"/>
                    <w:b/>
                    <w:bCs/>
                    <w:sz w:val="36"/>
                    <w:szCs w:val="36"/>
                  </w:rPr>
                  <w:t>仓位</w:t>
                </w:r>
                <w:proofErr w:type="gramEnd"/>
                <w:r w:rsidRPr="00755501">
                  <w:rPr>
                    <w:rFonts w:ascii="楷体_GB2312" w:hint="eastAsia"/>
                    <w:b/>
                    <w:bCs/>
                    <w:sz w:val="36"/>
                    <w:szCs w:val="36"/>
                  </w:rPr>
                  <w:t>等待转机，增配灵活提升弹性</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BE343C0A3357424294F39F680051F9AF"/>
              </w:placeholder>
            </w:sdtPr>
            <w:sdtEndPr>
              <w:rPr>
                <w:rFonts w:cs="Times New Roman"/>
                <w:b w:val="0"/>
                <w:sz w:val="21"/>
                <w:szCs w:val="21"/>
              </w:rPr>
            </w:sdtEndPr>
            <w:sdtContent>
              <w:p w:rsidR="00EE1CC3" w:rsidRPr="00B00136" w:rsidRDefault="00EE1CC3" w:rsidP="00EE1CC3">
                <w:pPr>
                  <w:pStyle w:val="a0"/>
                  <w:spacing w:line="240" w:lineRule="auto"/>
                  <w:ind w:left="0" w:rightChars="12" w:right="22"/>
                  <w:jc w:val="left"/>
                  <w:rPr>
                    <w:b/>
                    <w:bCs/>
                    <w:color w:val="auto"/>
                    <w:sz w:val="24"/>
                  </w:rPr>
                </w:pPr>
                <w:r w:rsidRPr="00B00136">
                  <w:rPr>
                    <w:rFonts w:hint="eastAsia"/>
                    <w:b/>
                    <w:bCs/>
                    <w:color w:val="auto"/>
                    <w:sz w:val="24"/>
                  </w:rPr>
                  <w:t>投资策略</w:t>
                </w:r>
              </w:p>
              <w:p w:rsidR="00EE1CC3" w:rsidRPr="00B00136" w:rsidRDefault="003901A1" w:rsidP="00EE1CC3">
                <w:pPr>
                  <w:pStyle w:val="a0"/>
                  <w:numPr>
                    <w:ilvl w:val="0"/>
                    <w:numId w:val="33"/>
                  </w:numPr>
                  <w:spacing w:line="240" w:lineRule="auto"/>
                  <w:ind w:rightChars="12" w:right="22"/>
                  <w:rPr>
                    <w:rFonts w:ascii="楷体_GB2312"/>
                    <w:color w:val="auto"/>
                  </w:rPr>
                </w:pPr>
                <w:r w:rsidRPr="003901A1">
                  <w:rPr>
                    <w:rFonts w:ascii="楷体_GB2312" w:hint="eastAsia"/>
                    <w:color w:val="auto"/>
                  </w:rPr>
                  <w:t>短期央行再度祭出降息、</w:t>
                </w:r>
                <w:proofErr w:type="gramStart"/>
                <w:r w:rsidRPr="003901A1">
                  <w:rPr>
                    <w:rFonts w:ascii="楷体_GB2312" w:hint="eastAsia"/>
                    <w:color w:val="auto"/>
                  </w:rPr>
                  <w:t>降准的</w:t>
                </w:r>
                <w:proofErr w:type="gramEnd"/>
                <w:r w:rsidRPr="003901A1">
                  <w:rPr>
                    <w:rFonts w:ascii="楷体_GB2312" w:hint="eastAsia"/>
                    <w:color w:val="auto"/>
                  </w:rPr>
                  <w:t>组合拳，中金所也发布股指期货交易的系列措施，都在一定程度</w:t>
                </w:r>
                <w:bookmarkStart w:id="3" w:name="_GoBack"/>
                <w:bookmarkEnd w:id="3"/>
                <w:r w:rsidRPr="003901A1">
                  <w:rPr>
                    <w:rFonts w:ascii="楷体_GB2312" w:hint="eastAsia"/>
                    <w:color w:val="auto"/>
                  </w:rPr>
                  <w:t>上安抚了市场信心，尤其是经过短期的快速下跌，反弹动能不断累积，但仅靠政策尚不足以改变市场颓势，反弹高度并不乐观。尤其在当前宏观经济环境严峻、改革预期较为悲观、宏观流动性存疑以及去杠杆背景下，市场需要更多的时间来重塑信心。因此，投资者还需要继续适度控制</w:t>
                </w:r>
                <w:proofErr w:type="gramStart"/>
                <w:r w:rsidRPr="003901A1">
                  <w:rPr>
                    <w:rFonts w:ascii="楷体_GB2312" w:hint="eastAsia"/>
                    <w:color w:val="auto"/>
                  </w:rPr>
                  <w:t>仓位</w:t>
                </w:r>
                <w:proofErr w:type="gramEnd"/>
                <w:r w:rsidRPr="003901A1">
                  <w:rPr>
                    <w:rFonts w:ascii="楷体_GB2312" w:hint="eastAsia"/>
                    <w:color w:val="auto"/>
                  </w:rPr>
                  <w:t>，以相对平衡或者防守的配置应对，此外，短期市场投资主线缺乏、创业板高估值风险犹存，可侧重蓝</w:t>
                </w:r>
                <w:proofErr w:type="gramStart"/>
                <w:r w:rsidRPr="003901A1">
                  <w:rPr>
                    <w:rFonts w:ascii="楷体_GB2312" w:hint="eastAsia"/>
                    <w:color w:val="auto"/>
                  </w:rPr>
                  <w:t>筹板块</w:t>
                </w:r>
                <w:proofErr w:type="gramEnd"/>
                <w:r w:rsidRPr="003901A1">
                  <w:rPr>
                    <w:rFonts w:ascii="楷体_GB2312" w:hint="eastAsia"/>
                    <w:color w:val="auto"/>
                  </w:rPr>
                  <w:t>以及具有业绩边际，估值相对较低的白马型个股。</w:t>
                </w:r>
              </w:p>
              <w:p w:rsidR="00EE1CC3" w:rsidRPr="00B00136" w:rsidRDefault="003901A1" w:rsidP="00EE1CC3">
                <w:pPr>
                  <w:pStyle w:val="a0"/>
                  <w:widowControl/>
                  <w:numPr>
                    <w:ilvl w:val="0"/>
                    <w:numId w:val="33"/>
                  </w:numPr>
                  <w:spacing w:line="240" w:lineRule="auto"/>
                  <w:ind w:rightChars="12" w:right="22"/>
                  <w:jc w:val="left"/>
                </w:pPr>
                <w:r w:rsidRPr="003901A1">
                  <w:rPr>
                    <w:rFonts w:ascii="楷体_GB2312" w:hint="eastAsia"/>
                    <w:color w:val="auto"/>
                  </w:rPr>
                  <w:t>考虑投资者信心恢复尚需时日，震荡格局仍将主导，基金投资继续采取稳健的策略、控制权益类品种的</w:t>
                </w:r>
                <w:proofErr w:type="gramStart"/>
                <w:r w:rsidRPr="003901A1">
                  <w:rPr>
                    <w:rFonts w:ascii="楷体_GB2312" w:hint="eastAsia"/>
                    <w:color w:val="auto"/>
                  </w:rPr>
                  <w:t>仓位</w:t>
                </w:r>
                <w:proofErr w:type="gramEnd"/>
                <w:r w:rsidRPr="003901A1">
                  <w:rPr>
                    <w:rFonts w:ascii="楷体_GB2312" w:hint="eastAsia"/>
                    <w:color w:val="auto"/>
                  </w:rPr>
                  <w:t>。在具体的品种上，首先</w:t>
                </w:r>
                <w:r w:rsidR="00755501">
                  <w:rPr>
                    <w:rFonts w:hint="eastAsia"/>
                    <w:color w:val="auto"/>
                  </w:rPr>
                  <w:t>股票</w:t>
                </w:r>
                <w:proofErr w:type="gramStart"/>
                <w:r w:rsidR="00755501">
                  <w:rPr>
                    <w:rFonts w:hint="eastAsia"/>
                    <w:color w:val="auto"/>
                  </w:rPr>
                  <w:t>仓位</w:t>
                </w:r>
                <w:proofErr w:type="gramEnd"/>
                <w:r w:rsidR="00755501">
                  <w:rPr>
                    <w:rFonts w:hint="eastAsia"/>
                    <w:color w:val="auto"/>
                  </w:rPr>
                  <w:t>相对中性、风险收益配比较好尤其是擅长在震荡市场环境中投资操作的产品，可作为短期配置的重点，以应对市场波动、等待市场趋势明朗</w:t>
                </w:r>
                <w:r w:rsidRPr="003901A1">
                  <w:rPr>
                    <w:rFonts w:ascii="楷体_GB2312" w:hint="eastAsia"/>
                    <w:color w:val="auto"/>
                  </w:rPr>
                  <w:t>；其次，经过此轮大跌，不少灵活型基金已经把股票</w:t>
                </w:r>
                <w:proofErr w:type="gramStart"/>
                <w:r w:rsidRPr="003901A1">
                  <w:rPr>
                    <w:rFonts w:ascii="楷体_GB2312" w:hint="eastAsia"/>
                    <w:color w:val="auto"/>
                  </w:rPr>
                  <w:t>仓位</w:t>
                </w:r>
                <w:proofErr w:type="gramEnd"/>
                <w:r w:rsidRPr="003901A1">
                  <w:rPr>
                    <w:rFonts w:ascii="楷体_GB2312" w:hint="eastAsia"/>
                    <w:color w:val="auto"/>
                  </w:rPr>
                  <w:t>降低到较低水平，可甄选其中市场节奏把握能力较强的品种，一方面可抵御短期市场波动、平滑组合风险，另一方面随着市场</w:t>
                </w:r>
                <w:proofErr w:type="gramStart"/>
                <w:r w:rsidRPr="003901A1">
                  <w:rPr>
                    <w:rFonts w:ascii="楷体_GB2312" w:hint="eastAsia"/>
                    <w:color w:val="auto"/>
                  </w:rPr>
                  <w:t>底逐步</w:t>
                </w:r>
                <w:proofErr w:type="gramEnd"/>
                <w:r w:rsidRPr="003901A1">
                  <w:rPr>
                    <w:rFonts w:ascii="楷体_GB2312" w:hint="eastAsia"/>
                    <w:color w:val="auto"/>
                  </w:rPr>
                  <w:t>探明，此类基金在低位建仓以及灵活出击方面具备较强优势；最后，在风格上可侧重具备估值优势、安全边际较强的周期蓝</w:t>
                </w:r>
                <w:proofErr w:type="gramStart"/>
                <w:r w:rsidRPr="003901A1">
                  <w:rPr>
                    <w:rFonts w:ascii="楷体_GB2312" w:hint="eastAsia"/>
                    <w:color w:val="auto"/>
                  </w:rPr>
                  <w:t>筹风格</w:t>
                </w:r>
                <w:proofErr w:type="gramEnd"/>
                <w:r w:rsidRPr="003901A1">
                  <w:rPr>
                    <w:rFonts w:ascii="楷体_GB2312" w:hint="eastAsia"/>
                    <w:color w:val="auto"/>
                  </w:rPr>
                  <w:t>以及消费蓝</w:t>
                </w:r>
                <w:proofErr w:type="gramStart"/>
                <w:r w:rsidRPr="003901A1">
                  <w:rPr>
                    <w:rFonts w:ascii="楷体_GB2312" w:hint="eastAsia"/>
                    <w:color w:val="auto"/>
                  </w:rPr>
                  <w:t>筹风格</w:t>
                </w:r>
                <w:proofErr w:type="gramEnd"/>
                <w:r w:rsidRPr="003901A1">
                  <w:rPr>
                    <w:rFonts w:ascii="楷体_GB2312" w:hint="eastAsia"/>
                    <w:color w:val="auto"/>
                  </w:rPr>
                  <w:t>基金</w:t>
                </w:r>
                <w:r w:rsidR="00755501">
                  <w:rPr>
                    <w:rFonts w:ascii="楷体_GB2312" w:hint="eastAsia"/>
                    <w:color w:val="auto"/>
                  </w:rPr>
                  <w:t>，而成长股虽然也经历了较大幅度的下跌且具备更好的弹性，但当前估值吸引力仍然不足，因此对于成长风格较明显的品种还需要保持谨慎。</w:t>
                </w:r>
              </w:p>
              <w:p w:rsidR="00EE1CC3" w:rsidRPr="00B00136" w:rsidRDefault="00EE1CC3" w:rsidP="00EE1CC3">
                <w:pPr>
                  <w:pStyle w:val="a0"/>
                  <w:widowControl/>
                  <w:numPr>
                    <w:ilvl w:val="0"/>
                    <w:numId w:val="33"/>
                  </w:numPr>
                  <w:spacing w:line="240" w:lineRule="auto"/>
                  <w:ind w:rightChars="12" w:right="22"/>
                  <w:jc w:val="left"/>
                </w:pPr>
                <w:r w:rsidRPr="00B00136">
                  <w:rPr>
                    <w:rFonts w:hint="eastAsia"/>
                    <w:color w:val="auto"/>
                  </w:rPr>
                  <w:t>对于</w:t>
                </w:r>
                <w:r w:rsidRPr="00B00136">
                  <w:rPr>
                    <w:rFonts w:hint="eastAsia"/>
                    <w:color w:val="auto"/>
                  </w:rPr>
                  <w:t>2015</w:t>
                </w:r>
                <w:r w:rsidRPr="00B00136">
                  <w:rPr>
                    <w:rFonts w:hint="eastAsia"/>
                    <w:color w:val="auto"/>
                  </w:rPr>
                  <w:t>年</w:t>
                </w:r>
                <w:r w:rsidRPr="00B00136">
                  <w:rPr>
                    <w:rFonts w:hint="eastAsia"/>
                    <w:color w:val="auto"/>
                  </w:rPr>
                  <w:t>0</w:t>
                </w:r>
                <w:r w:rsidR="00971AE1">
                  <w:rPr>
                    <w:rFonts w:hint="eastAsia"/>
                    <w:color w:val="auto"/>
                  </w:rPr>
                  <w:t>9</w:t>
                </w:r>
                <w:r w:rsidRPr="00B00136">
                  <w:rPr>
                    <w:rFonts w:hint="eastAsia"/>
                    <w:color w:val="auto"/>
                  </w:rPr>
                  <w:t>月的基金组合：</w:t>
                </w:r>
              </w:p>
              <w:p w:rsidR="00EE1CC3" w:rsidRPr="004A4CDA" w:rsidRDefault="00971AE1" w:rsidP="009722C9">
                <w:pPr>
                  <w:pStyle w:val="a0"/>
                  <w:widowControl/>
                  <w:numPr>
                    <w:ilvl w:val="0"/>
                    <w:numId w:val="34"/>
                  </w:numPr>
                  <w:spacing w:line="240" w:lineRule="auto"/>
                  <w:ind w:rightChars="12" w:right="22"/>
                  <w:jc w:val="left"/>
                  <w:rPr>
                    <w:color w:val="auto"/>
                  </w:rPr>
                </w:pPr>
                <w:r w:rsidRPr="00971AE1">
                  <w:rPr>
                    <w:rFonts w:hint="eastAsia"/>
                    <w:color w:val="auto"/>
                  </w:rPr>
                  <w:t>本月进攻性组合调入南方精选、华商红利优选和广发消费品，权益类资产的比例仍维持相对低水平。其中，华商红利优选的风险收益配比较好，震荡市场环境中具备优势；广发消费品基金侧重消费板块投资，风格较为稳健；</w:t>
                </w:r>
                <w:proofErr w:type="gramStart"/>
                <w:r w:rsidRPr="00971AE1">
                  <w:rPr>
                    <w:rFonts w:hint="eastAsia"/>
                    <w:color w:val="auto"/>
                  </w:rPr>
                  <w:t>浦银新兴</w:t>
                </w:r>
                <w:proofErr w:type="gramEnd"/>
                <w:r w:rsidRPr="00971AE1">
                  <w:rPr>
                    <w:rFonts w:hint="eastAsia"/>
                    <w:color w:val="auto"/>
                  </w:rPr>
                  <w:t>目前的股票</w:t>
                </w:r>
                <w:proofErr w:type="gramStart"/>
                <w:r w:rsidRPr="00971AE1">
                  <w:rPr>
                    <w:rFonts w:hint="eastAsia"/>
                    <w:color w:val="auto"/>
                  </w:rPr>
                  <w:t>仓位</w:t>
                </w:r>
                <w:proofErr w:type="gramEnd"/>
                <w:r w:rsidRPr="00971AE1">
                  <w:rPr>
                    <w:rFonts w:hint="eastAsia"/>
                    <w:color w:val="auto"/>
                  </w:rPr>
                  <w:t>相对较低，</w:t>
                </w:r>
                <w:proofErr w:type="gramStart"/>
                <w:r w:rsidRPr="00971AE1">
                  <w:rPr>
                    <w:rFonts w:hint="eastAsia"/>
                    <w:color w:val="auto"/>
                  </w:rPr>
                  <w:t>且基金</w:t>
                </w:r>
                <w:proofErr w:type="gramEnd"/>
                <w:r w:rsidRPr="00971AE1">
                  <w:rPr>
                    <w:rFonts w:hint="eastAsia"/>
                    <w:color w:val="auto"/>
                  </w:rPr>
                  <w:t>经理的中长期选</w:t>
                </w:r>
                <w:proofErr w:type="gramStart"/>
                <w:r w:rsidRPr="00971AE1">
                  <w:rPr>
                    <w:rFonts w:hint="eastAsia"/>
                    <w:color w:val="auto"/>
                  </w:rPr>
                  <w:t>股能力</w:t>
                </w:r>
                <w:proofErr w:type="gramEnd"/>
                <w:r w:rsidRPr="00971AE1">
                  <w:rPr>
                    <w:rFonts w:hint="eastAsia"/>
                    <w:color w:val="auto"/>
                  </w:rPr>
                  <w:t>突出；南方精选侧重大中盘蓝筹股投资</w:t>
                </w:r>
                <w:r>
                  <w:rPr>
                    <w:rFonts w:hint="eastAsia"/>
                    <w:color w:val="auto"/>
                  </w:rPr>
                  <w:t>，蓝</w:t>
                </w:r>
                <w:proofErr w:type="gramStart"/>
                <w:r>
                  <w:rPr>
                    <w:rFonts w:hint="eastAsia"/>
                    <w:color w:val="auto"/>
                  </w:rPr>
                  <w:t>筹风格</w:t>
                </w:r>
                <w:proofErr w:type="gramEnd"/>
                <w:r>
                  <w:rPr>
                    <w:rFonts w:hint="eastAsia"/>
                    <w:color w:val="auto"/>
                  </w:rPr>
                  <w:t>显著；国泰金</w:t>
                </w:r>
                <w:proofErr w:type="gramStart"/>
                <w:r>
                  <w:rPr>
                    <w:rFonts w:hint="eastAsia"/>
                    <w:color w:val="auto"/>
                  </w:rPr>
                  <w:t>泰目前</w:t>
                </w:r>
                <w:proofErr w:type="gramEnd"/>
                <w:r>
                  <w:rPr>
                    <w:rFonts w:hint="eastAsia"/>
                    <w:color w:val="auto"/>
                  </w:rPr>
                  <w:t>的股票</w:t>
                </w:r>
                <w:proofErr w:type="gramStart"/>
                <w:r>
                  <w:rPr>
                    <w:rFonts w:hint="eastAsia"/>
                    <w:color w:val="auto"/>
                  </w:rPr>
                  <w:t>仓位</w:t>
                </w:r>
                <w:proofErr w:type="gramEnd"/>
                <w:r>
                  <w:rPr>
                    <w:rFonts w:hint="eastAsia"/>
                    <w:color w:val="auto"/>
                  </w:rPr>
                  <w:t>非常低，基金投资风格稳健</w:t>
                </w:r>
                <w:r w:rsidR="00EE1CC3" w:rsidRPr="00B00136">
                  <w:rPr>
                    <w:rFonts w:hint="eastAsia"/>
                    <w:color w:val="auto"/>
                  </w:rPr>
                  <w:t>；</w:t>
                </w:r>
              </w:p>
              <w:p w:rsidR="00EE1CC3" w:rsidRPr="00B00136" w:rsidRDefault="00971AE1" w:rsidP="004A4CDA">
                <w:pPr>
                  <w:pStyle w:val="a0"/>
                  <w:widowControl/>
                  <w:numPr>
                    <w:ilvl w:val="0"/>
                    <w:numId w:val="34"/>
                  </w:numPr>
                  <w:spacing w:line="240" w:lineRule="auto"/>
                  <w:ind w:rightChars="12" w:right="22"/>
                  <w:jc w:val="left"/>
                  <w:rPr>
                    <w:color w:val="auto"/>
                  </w:rPr>
                </w:pPr>
                <w:r w:rsidRPr="00971AE1">
                  <w:rPr>
                    <w:rFonts w:hint="eastAsia"/>
                    <w:color w:val="auto"/>
                  </w:rPr>
                  <w:t>防御型组合本月调入招商安泰股票和兴全趋势，维持相对低的组合风险。组合</w:t>
                </w:r>
                <w:proofErr w:type="gramStart"/>
                <w:r w:rsidRPr="00971AE1">
                  <w:rPr>
                    <w:rFonts w:hint="eastAsia"/>
                    <w:color w:val="auto"/>
                  </w:rPr>
                  <w:t>内兴全趋势</w:t>
                </w:r>
                <w:proofErr w:type="gramEnd"/>
                <w:r w:rsidRPr="00971AE1">
                  <w:rPr>
                    <w:rFonts w:hint="eastAsia"/>
                    <w:color w:val="auto"/>
                  </w:rPr>
                  <w:t>和招商安泰股票均是股票</w:t>
                </w:r>
                <w:proofErr w:type="gramStart"/>
                <w:r w:rsidRPr="00971AE1">
                  <w:rPr>
                    <w:rFonts w:hint="eastAsia"/>
                    <w:color w:val="auto"/>
                  </w:rPr>
                  <w:t>仓位</w:t>
                </w:r>
                <w:proofErr w:type="gramEnd"/>
                <w:r w:rsidRPr="00971AE1">
                  <w:rPr>
                    <w:rFonts w:hint="eastAsia"/>
                    <w:color w:val="auto"/>
                  </w:rPr>
                  <w:t>适中的品种，属于风险收益水平相对较低的权益类品种，前者侧重消费等确定性成长类个股的投资，后者组合配置均衡且注重灵活；广</w:t>
                </w:r>
                <w:proofErr w:type="gramStart"/>
                <w:r w:rsidRPr="00971AE1">
                  <w:rPr>
                    <w:rFonts w:hint="eastAsia"/>
                    <w:color w:val="auto"/>
                  </w:rPr>
                  <w:t>发成长</w:t>
                </w:r>
                <w:proofErr w:type="gramEnd"/>
                <w:r w:rsidRPr="00971AE1">
                  <w:rPr>
                    <w:rFonts w:hint="eastAsia"/>
                    <w:color w:val="auto"/>
                  </w:rPr>
                  <w:t>优选短期侧重绝对收益目标，风格较为保守；此外，两只债券型基金占据</w:t>
                </w:r>
                <w:r w:rsidRPr="00971AE1">
                  <w:rPr>
                    <w:rFonts w:hint="eastAsia"/>
                    <w:color w:val="auto"/>
                  </w:rPr>
                  <w:t>40%</w:t>
                </w:r>
                <w:r w:rsidRPr="00971AE1">
                  <w:rPr>
                    <w:rFonts w:hint="eastAsia"/>
                    <w:color w:val="auto"/>
                  </w:rPr>
                  <w:t>的比例作为防御部分的配置</w:t>
                </w:r>
                <w:r w:rsidR="00EE1CC3" w:rsidRPr="00B00136">
                  <w:rPr>
                    <w:rFonts w:hint="eastAsia"/>
                    <w:color w:val="auto"/>
                  </w:rPr>
                  <w:t>；</w:t>
                </w:r>
              </w:p>
              <w:p w:rsidR="00BC7E24" w:rsidRPr="005A4767" w:rsidRDefault="00971AE1" w:rsidP="000D3417">
                <w:pPr>
                  <w:pStyle w:val="a0"/>
                  <w:widowControl/>
                  <w:numPr>
                    <w:ilvl w:val="0"/>
                    <w:numId w:val="34"/>
                  </w:numPr>
                  <w:ind w:rightChars="95" w:right="171"/>
                </w:pPr>
                <w:r w:rsidRPr="00971AE1">
                  <w:rPr>
                    <w:rFonts w:hint="eastAsia"/>
                  </w:rPr>
                  <w:t>作为灵活配置型组合，短期从控制风险的角度，继续维持较低的高风险资产的比例，组合内权益类产品比例为</w:t>
                </w:r>
                <w:r w:rsidRPr="00971AE1">
                  <w:rPr>
                    <w:rFonts w:hint="eastAsia"/>
                  </w:rPr>
                  <w:t>20%</w:t>
                </w:r>
                <w:r w:rsidRPr="00971AE1">
                  <w:rPr>
                    <w:rFonts w:hint="eastAsia"/>
                  </w:rPr>
                  <w:t>，重点关注投资风格稳健的中欧新蓝筹。两只债券型基金均为风格偏稳健的品种。另外配置</w:t>
                </w:r>
                <w:r w:rsidRPr="00971AE1">
                  <w:rPr>
                    <w:rFonts w:hint="eastAsia"/>
                  </w:rPr>
                  <w:t>30%</w:t>
                </w:r>
                <w:r w:rsidRPr="00971AE1">
                  <w:rPr>
                    <w:rFonts w:hint="eastAsia"/>
                  </w:rPr>
                  <w:t>的南方绝对收益，基金采用市场中性策略，运用股指期货等工具对系统性风险进行对冲，比较适合震荡市场环境中持有</w:t>
                </w:r>
                <w:r w:rsidR="004A4CDA">
                  <w:rPr>
                    <w:rFonts w:hint="eastAsia"/>
                  </w:rPr>
                  <w:t>。</w:t>
                </w:r>
              </w:p>
            </w:sdtContent>
          </w:sdt>
        </w:tc>
      </w:tr>
    </w:tbl>
    <w:p w:rsidR="00EE1CC3" w:rsidRPr="00B00136" w:rsidRDefault="00880CF1" w:rsidP="00EE1CC3">
      <w:pPr>
        <w:pStyle w:val="14"/>
        <w:ind w:leftChars="1890"/>
        <w:rPr>
          <w:color w:val="auto"/>
        </w:rPr>
      </w:pPr>
      <w:r w:rsidRPr="00B00136">
        <w:rPr>
          <w:rFonts w:hint="eastAsia"/>
          <w:bCs w:val="0"/>
          <w:color w:val="auto"/>
        </w:rPr>
        <w:lastRenderedPageBreak/>
        <w:t>2015</w:t>
      </w:r>
      <w:r w:rsidRPr="00B00136">
        <w:rPr>
          <w:rFonts w:hint="eastAsia"/>
          <w:bCs w:val="0"/>
          <w:color w:val="auto"/>
        </w:rPr>
        <w:t>年</w:t>
      </w:r>
      <w:r w:rsidRPr="00B00136">
        <w:rPr>
          <w:rFonts w:hint="eastAsia"/>
          <w:bCs w:val="0"/>
          <w:color w:val="auto"/>
        </w:rPr>
        <w:t>0</w:t>
      </w:r>
      <w:r w:rsidR="00FD7EBB">
        <w:rPr>
          <w:rFonts w:hint="eastAsia"/>
          <w:bCs w:val="0"/>
          <w:color w:val="auto"/>
        </w:rPr>
        <w:t>9</w:t>
      </w:r>
      <w:r w:rsidRPr="00B00136">
        <w:rPr>
          <w:rFonts w:hint="eastAsia"/>
          <w:bCs w:val="0"/>
          <w:color w:val="auto"/>
        </w:rPr>
        <w:t>月组合推荐（“</w:t>
      </w:r>
      <w:r w:rsidRPr="00B00136">
        <w:rPr>
          <w:rFonts w:hint="eastAsia"/>
          <w:color w:val="auto"/>
        </w:rPr>
        <w:t>★”</w:t>
      </w:r>
      <w:r w:rsidRPr="00B00136">
        <w:rPr>
          <w:rFonts w:hint="eastAsia"/>
          <w:bCs w:val="0"/>
          <w:color w:val="auto"/>
        </w:rPr>
        <w:t>为重点推荐的组合和产品）</w:t>
      </w: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190"/>
        <w:gridCol w:w="1645"/>
        <w:gridCol w:w="737"/>
        <w:gridCol w:w="227"/>
        <w:gridCol w:w="1190"/>
        <w:gridCol w:w="1674"/>
        <w:gridCol w:w="708"/>
      </w:tblGrid>
      <w:tr w:rsidR="00EE1CC3" w:rsidRPr="000C2B2D" w:rsidTr="00735BBD">
        <w:trPr>
          <w:cantSplit/>
          <w:trHeight w:val="340"/>
        </w:trPr>
        <w:tc>
          <w:tcPr>
            <w:tcW w:w="3572" w:type="dxa"/>
            <w:gridSpan w:val="3"/>
            <w:tcBorders>
              <w:top w:val="single" w:sz="4" w:space="0" w:color="00B0F0"/>
            </w:tcBorders>
            <w:shd w:val="clear" w:color="auto" w:fill="auto"/>
            <w:vAlign w:val="center"/>
          </w:tcPr>
          <w:p w:rsidR="00EE1CC3" w:rsidRPr="000F1DC9" w:rsidRDefault="00EE1CC3" w:rsidP="00735BBD">
            <w:pPr>
              <w:pStyle w:val="SubTitleLargeTable"/>
              <w:pBdr>
                <w:top w:val="none" w:sz="0" w:space="0" w:color="auto"/>
              </w:pBdr>
              <w:rPr>
                <w:rFonts w:ascii="楷体_GB2312"/>
                <w:b w:val="0"/>
                <w:lang w:val="en-US"/>
              </w:rPr>
            </w:pPr>
            <w:bookmarkStart w:id="4" w:name="_Toc97695484"/>
            <w:bookmarkStart w:id="5" w:name="_Toc97962176"/>
            <w:bookmarkStart w:id="6" w:name="_Toc97962701"/>
            <w:bookmarkStart w:id="7" w:name="_Toc97962927"/>
            <w:bookmarkStart w:id="8" w:name="_Toc97963271"/>
            <w:bookmarkStart w:id="9" w:name="_Toc97979428"/>
            <w:bookmarkStart w:id="10" w:name="_Toc97981654"/>
            <w:bookmarkStart w:id="11" w:name="_Toc97986072"/>
            <w:bookmarkStart w:id="12" w:name="_Toc239840635"/>
            <w:r>
              <w:rPr>
                <w:rFonts w:hint="eastAsia"/>
                <w:lang w:val="en-US"/>
              </w:rPr>
              <w:t>进攻型组合</w:t>
            </w:r>
          </w:p>
        </w:tc>
        <w:tc>
          <w:tcPr>
            <w:tcW w:w="227" w:type="dxa"/>
            <w:tcBorders>
              <w:top w:val="single" w:sz="4" w:space="0" w:color="00B0F0"/>
            </w:tcBorders>
            <w:shd w:val="clear" w:color="auto" w:fill="auto"/>
            <w:vAlign w:val="center"/>
          </w:tcPr>
          <w:p w:rsidR="00EE1CC3" w:rsidRPr="001309A1" w:rsidRDefault="00EE1CC3" w:rsidP="00735BBD">
            <w:pPr>
              <w:pStyle w:val="SubTitleLargeTable"/>
              <w:pBdr>
                <w:top w:val="none" w:sz="0" w:space="0" w:color="auto"/>
              </w:pBdr>
              <w:rPr>
                <w:lang w:val="en-US"/>
              </w:rPr>
            </w:pPr>
          </w:p>
        </w:tc>
        <w:tc>
          <w:tcPr>
            <w:tcW w:w="3572" w:type="dxa"/>
            <w:gridSpan w:val="3"/>
            <w:tcBorders>
              <w:top w:val="single" w:sz="4" w:space="0" w:color="00B0F0"/>
            </w:tcBorders>
            <w:shd w:val="clear" w:color="auto" w:fill="auto"/>
            <w:vAlign w:val="center"/>
          </w:tcPr>
          <w:p w:rsidR="00EE1CC3" w:rsidRPr="001309A1" w:rsidRDefault="00EE1CC3" w:rsidP="00735BBD">
            <w:pPr>
              <w:pStyle w:val="SubTitleLargeTable"/>
              <w:pBdr>
                <w:top w:val="none" w:sz="0" w:space="0" w:color="auto"/>
              </w:pBdr>
              <w:rPr>
                <w:lang w:val="en-US"/>
              </w:rPr>
            </w:pPr>
            <w:r>
              <w:rPr>
                <w:rFonts w:hint="eastAsia"/>
                <w:lang w:val="en-US"/>
              </w:rPr>
              <w:t>防御型组合</w:t>
            </w:r>
            <w:r w:rsidR="001E148A" w:rsidRPr="003B46D0">
              <w:rPr>
                <w:rFonts w:hint="eastAsia"/>
              </w:rPr>
              <w:t>★</w:t>
            </w:r>
          </w:p>
        </w:tc>
      </w:tr>
      <w:tr w:rsidR="00EE1CC3" w:rsidRPr="000C2B2D" w:rsidTr="00735BBD">
        <w:trPr>
          <w:cantSplit/>
          <w:trHeight w:val="340"/>
        </w:trPr>
        <w:tc>
          <w:tcPr>
            <w:tcW w:w="1190"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基金名称</w:t>
            </w:r>
          </w:p>
        </w:tc>
        <w:tc>
          <w:tcPr>
            <w:tcW w:w="1645"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基金类型</w:t>
            </w:r>
          </w:p>
        </w:tc>
        <w:tc>
          <w:tcPr>
            <w:tcW w:w="737"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权重</w:t>
            </w:r>
          </w:p>
        </w:tc>
        <w:tc>
          <w:tcPr>
            <w:tcW w:w="227" w:type="dxa"/>
            <w:vMerge w:val="restart"/>
            <w:tcBorders>
              <w:top w:val="single" w:sz="4" w:space="0" w:color="00B0F0"/>
            </w:tcBorders>
            <w:shd w:val="clear" w:color="auto" w:fill="auto"/>
            <w:vAlign w:val="center"/>
          </w:tcPr>
          <w:p w:rsidR="00EE1CC3" w:rsidRPr="000F1DC9" w:rsidRDefault="00EE1CC3" w:rsidP="00735BBD">
            <w:pPr>
              <w:jc w:val="center"/>
              <w:rPr>
                <w:rFonts w:ascii="楷体_GB2312"/>
                <w:b/>
              </w:rPr>
            </w:pPr>
          </w:p>
        </w:tc>
        <w:tc>
          <w:tcPr>
            <w:tcW w:w="1190"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基金名称</w:t>
            </w:r>
          </w:p>
        </w:tc>
        <w:tc>
          <w:tcPr>
            <w:tcW w:w="1674"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基金类型</w:t>
            </w:r>
          </w:p>
        </w:tc>
        <w:tc>
          <w:tcPr>
            <w:tcW w:w="708" w:type="dxa"/>
            <w:tcBorders>
              <w:top w:val="single" w:sz="4" w:space="0" w:color="00B0F0"/>
            </w:tcBorders>
            <w:shd w:val="clear" w:color="auto" w:fill="auto"/>
            <w:vAlign w:val="center"/>
          </w:tcPr>
          <w:p w:rsidR="00EE1CC3" w:rsidRPr="000F1DC9" w:rsidRDefault="00EE1CC3" w:rsidP="00735BBD">
            <w:pPr>
              <w:jc w:val="center"/>
              <w:rPr>
                <w:rFonts w:ascii="楷体_GB2312"/>
                <w:b/>
              </w:rPr>
            </w:pPr>
            <w:r w:rsidRPr="000F1DC9">
              <w:rPr>
                <w:rFonts w:ascii="楷体_GB2312" w:hint="eastAsia"/>
                <w:b/>
              </w:rPr>
              <w:t>权重</w:t>
            </w:r>
          </w:p>
        </w:tc>
      </w:tr>
      <w:tr w:rsidR="00971AE1" w:rsidRPr="00A86F8F" w:rsidTr="00735BBD">
        <w:trPr>
          <w:cantSplit/>
          <w:trHeight w:val="340"/>
        </w:trPr>
        <w:tc>
          <w:tcPr>
            <w:tcW w:w="1190"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南方精选</w:t>
            </w:r>
          </w:p>
        </w:tc>
        <w:tc>
          <w:tcPr>
            <w:tcW w:w="1645"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股票型</w:t>
            </w:r>
          </w:p>
        </w:tc>
        <w:tc>
          <w:tcPr>
            <w:tcW w:w="737" w:type="dxa"/>
            <w:shd w:val="clear" w:color="auto" w:fill="auto"/>
            <w:vAlign w:val="center"/>
          </w:tcPr>
          <w:p w:rsidR="00971AE1" w:rsidRPr="00505E91" w:rsidRDefault="00971AE1" w:rsidP="00971AE1">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971AE1" w:rsidRPr="00505E91" w:rsidRDefault="00971AE1" w:rsidP="00971AE1">
            <w:pPr>
              <w:jc w:val="center"/>
              <w:rPr>
                <w:rFonts w:ascii="楷体_GB2312"/>
                <w:szCs w:val="18"/>
              </w:rPr>
            </w:pPr>
          </w:p>
        </w:tc>
        <w:tc>
          <w:tcPr>
            <w:tcW w:w="1190"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招商安泰股票</w:t>
            </w:r>
          </w:p>
        </w:tc>
        <w:tc>
          <w:tcPr>
            <w:tcW w:w="1674"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股票型</w:t>
            </w:r>
          </w:p>
        </w:tc>
        <w:tc>
          <w:tcPr>
            <w:tcW w:w="708" w:type="dxa"/>
            <w:shd w:val="clear" w:color="auto" w:fill="auto"/>
            <w:vAlign w:val="center"/>
          </w:tcPr>
          <w:p w:rsidR="00971AE1" w:rsidRPr="00505E91" w:rsidRDefault="00971AE1" w:rsidP="00971AE1">
            <w:pPr>
              <w:jc w:val="center"/>
              <w:rPr>
                <w:rFonts w:ascii="楷体_GB2312" w:hAnsi="宋体"/>
                <w:bCs/>
                <w:szCs w:val="18"/>
              </w:rPr>
            </w:pPr>
            <w:r w:rsidRPr="00505E91">
              <w:rPr>
                <w:rFonts w:ascii="楷体_GB2312" w:hAnsi="宋体" w:hint="eastAsia"/>
                <w:bCs/>
                <w:szCs w:val="18"/>
              </w:rPr>
              <w:t>2</w:t>
            </w:r>
            <w:r>
              <w:rPr>
                <w:rFonts w:ascii="楷体_GB2312" w:hAnsi="宋体" w:hint="eastAsia"/>
                <w:bCs/>
                <w:szCs w:val="18"/>
              </w:rPr>
              <w:t>0</w:t>
            </w:r>
            <w:r w:rsidRPr="00505E91">
              <w:rPr>
                <w:rFonts w:ascii="楷体_GB2312" w:hAnsi="宋体" w:hint="eastAsia"/>
                <w:bCs/>
                <w:szCs w:val="18"/>
              </w:rPr>
              <w:t>%</w:t>
            </w:r>
          </w:p>
        </w:tc>
      </w:tr>
      <w:tr w:rsidR="00971AE1" w:rsidRPr="00A86F8F" w:rsidTr="00735BBD">
        <w:trPr>
          <w:cantSplit/>
          <w:trHeight w:val="340"/>
        </w:trPr>
        <w:tc>
          <w:tcPr>
            <w:tcW w:w="1190"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国泰金</w:t>
            </w:r>
            <w:proofErr w:type="gramStart"/>
            <w:r w:rsidRPr="00971AE1">
              <w:rPr>
                <w:rFonts w:ascii="楷体_GB2312" w:hAnsi="楷体" w:hint="eastAsia"/>
                <w:szCs w:val="18"/>
              </w:rPr>
              <w:t>泰平衡</w:t>
            </w:r>
            <w:proofErr w:type="gramEnd"/>
          </w:p>
        </w:tc>
        <w:tc>
          <w:tcPr>
            <w:tcW w:w="1645"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混合-保守配置型</w:t>
            </w:r>
          </w:p>
        </w:tc>
        <w:tc>
          <w:tcPr>
            <w:tcW w:w="737" w:type="dxa"/>
            <w:shd w:val="clear" w:color="auto" w:fill="auto"/>
            <w:vAlign w:val="center"/>
          </w:tcPr>
          <w:p w:rsidR="00971AE1" w:rsidRPr="00505E91" w:rsidRDefault="00971AE1" w:rsidP="00971AE1">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971AE1" w:rsidRPr="00505E91" w:rsidRDefault="00971AE1" w:rsidP="00971AE1">
            <w:pPr>
              <w:jc w:val="center"/>
              <w:rPr>
                <w:rFonts w:ascii="楷体_GB2312"/>
                <w:szCs w:val="18"/>
              </w:rPr>
            </w:pPr>
          </w:p>
        </w:tc>
        <w:tc>
          <w:tcPr>
            <w:tcW w:w="1190"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广</w:t>
            </w:r>
            <w:proofErr w:type="gramStart"/>
            <w:r w:rsidRPr="00971AE1">
              <w:rPr>
                <w:rFonts w:ascii="楷体_GB2312" w:hAnsi="宋体" w:hint="eastAsia"/>
                <w:szCs w:val="18"/>
              </w:rPr>
              <w:t>发成长</w:t>
            </w:r>
            <w:proofErr w:type="gramEnd"/>
            <w:r w:rsidRPr="00971AE1">
              <w:rPr>
                <w:rFonts w:ascii="楷体_GB2312" w:hAnsi="宋体" w:hint="eastAsia"/>
                <w:szCs w:val="18"/>
              </w:rPr>
              <w:t>优选</w:t>
            </w:r>
          </w:p>
        </w:tc>
        <w:tc>
          <w:tcPr>
            <w:tcW w:w="1674"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混合-灵活配置型</w:t>
            </w:r>
          </w:p>
        </w:tc>
        <w:tc>
          <w:tcPr>
            <w:tcW w:w="708" w:type="dxa"/>
            <w:shd w:val="clear" w:color="auto" w:fill="auto"/>
            <w:vAlign w:val="center"/>
          </w:tcPr>
          <w:p w:rsidR="00971AE1" w:rsidRPr="00505E91" w:rsidRDefault="00971AE1" w:rsidP="00971AE1">
            <w:pPr>
              <w:jc w:val="center"/>
              <w:rPr>
                <w:rFonts w:ascii="楷体_GB2312" w:hAnsi="宋体"/>
                <w:bCs/>
                <w:szCs w:val="18"/>
              </w:rPr>
            </w:pPr>
            <w:r w:rsidRPr="00505E91">
              <w:rPr>
                <w:rFonts w:ascii="楷体_GB2312" w:hAnsi="宋体" w:hint="eastAsia"/>
                <w:bCs/>
                <w:szCs w:val="18"/>
              </w:rPr>
              <w:t>2</w:t>
            </w:r>
            <w:r>
              <w:rPr>
                <w:rFonts w:ascii="楷体_GB2312" w:hAnsi="宋体" w:hint="eastAsia"/>
                <w:bCs/>
                <w:szCs w:val="18"/>
              </w:rPr>
              <w:t>0%</w:t>
            </w:r>
          </w:p>
        </w:tc>
      </w:tr>
      <w:tr w:rsidR="00971AE1" w:rsidRPr="00A86F8F" w:rsidTr="00735BBD">
        <w:trPr>
          <w:cantSplit/>
          <w:trHeight w:val="340"/>
        </w:trPr>
        <w:tc>
          <w:tcPr>
            <w:tcW w:w="1190"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华商红利优选</w:t>
            </w:r>
          </w:p>
        </w:tc>
        <w:tc>
          <w:tcPr>
            <w:tcW w:w="1645"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混合-灵活配置型</w:t>
            </w:r>
          </w:p>
        </w:tc>
        <w:tc>
          <w:tcPr>
            <w:tcW w:w="737" w:type="dxa"/>
            <w:shd w:val="clear" w:color="auto" w:fill="auto"/>
            <w:vAlign w:val="center"/>
          </w:tcPr>
          <w:p w:rsidR="00971AE1" w:rsidRPr="00505E91" w:rsidRDefault="00971AE1" w:rsidP="00971AE1">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971AE1" w:rsidRPr="00505E91" w:rsidRDefault="00971AE1" w:rsidP="00971AE1">
            <w:pPr>
              <w:jc w:val="center"/>
              <w:rPr>
                <w:rFonts w:ascii="楷体_GB2312"/>
                <w:szCs w:val="18"/>
              </w:rPr>
            </w:pPr>
          </w:p>
        </w:tc>
        <w:tc>
          <w:tcPr>
            <w:tcW w:w="1190"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兴</w:t>
            </w:r>
            <w:proofErr w:type="gramStart"/>
            <w:r w:rsidRPr="00971AE1">
              <w:rPr>
                <w:rFonts w:ascii="楷体_GB2312" w:hAnsi="宋体" w:hint="eastAsia"/>
                <w:szCs w:val="18"/>
              </w:rPr>
              <w:t>全趋势</w:t>
            </w:r>
            <w:proofErr w:type="gramEnd"/>
          </w:p>
        </w:tc>
        <w:tc>
          <w:tcPr>
            <w:tcW w:w="1674"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混合-灵活配置型</w:t>
            </w:r>
          </w:p>
        </w:tc>
        <w:tc>
          <w:tcPr>
            <w:tcW w:w="708" w:type="dxa"/>
            <w:shd w:val="clear" w:color="auto" w:fill="auto"/>
            <w:vAlign w:val="center"/>
          </w:tcPr>
          <w:p w:rsidR="00971AE1" w:rsidRPr="00505E91" w:rsidRDefault="00971AE1" w:rsidP="00971AE1">
            <w:pPr>
              <w:jc w:val="center"/>
              <w:rPr>
                <w:rFonts w:ascii="楷体_GB2312" w:hAnsi="宋体"/>
                <w:bCs/>
                <w:szCs w:val="18"/>
              </w:rPr>
            </w:pPr>
            <w:r>
              <w:rPr>
                <w:rFonts w:ascii="楷体_GB2312" w:hAnsi="宋体" w:hint="eastAsia"/>
                <w:bCs/>
                <w:szCs w:val="18"/>
              </w:rPr>
              <w:t>20</w:t>
            </w:r>
            <w:r w:rsidRPr="00505E91">
              <w:rPr>
                <w:rFonts w:ascii="楷体_GB2312" w:hAnsi="宋体" w:hint="eastAsia"/>
                <w:bCs/>
                <w:szCs w:val="18"/>
              </w:rPr>
              <w:t>%</w:t>
            </w:r>
          </w:p>
        </w:tc>
      </w:tr>
      <w:tr w:rsidR="00971AE1" w:rsidRPr="00A86F8F" w:rsidTr="00735BBD">
        <w:trPr>
          <w:cantSplit/>
          <w:trHeight w:val="340"/>
        </w:trPr>
        <w:tc>
          <w:tcPr>
            <w:tcW w:w="1190" w:type="dxa"/>
            <w:shd w:val="clear" w:color="auto" w:fill="auto"/>
            <w:vAlign w:val="center"/>
          </w:tcPr>
          <w:p w:rsidR="00971AE1" w:rsidRPr="00971AE1" w:rsidRDefault="00971AE1" w:rsidP="00971AE1">
            <w:pPr>
              <w:jc w:val="center"/>
              <w:rPr>
                <w:rFonts w:ascii="楷体_GB2312" w:hAnsi="楷体"/>
                <w:szCs w:val="18"/>
              </w:rPr>
            </w:pPr>
            <w:proofErr w:type="gramStart"/>
            <w:r w:rsidRPr="00971AE1">
              <w:rPr>
                <w:rFonts w:ascii="楷体_GB2312" w:hAnsi="楷体" w:hint="eastAsia"/>
                <w:szCs w:val="18"/>
              </w:rPr>
              <w:t>浦银新兴</w:t>
            </w:r>
            <w:proofErr w:type="gramEnd"/>
          </w:p>
        </w:tc>
        <w:tc>
          <w:tcPr>
            <w:tcW w:w="1645"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混合-灵活配置型</w:t>
            </w:r>
          </w:p>
        </w:tc>
        <w:tc>
          <w:tcPr>
            <w:tcW w:w="737" w:type="dxa"/>
            <w:shd w:val="clear" w:color="auto" w:fill="auto"/>
            <w:vAlign w:val="center"/>
          </w:tcPr>
          <w:p w:rsidR="00971AE1" w:rsidRPr="00505E91" w:rsidRDefault="00971AE1" w:rsidP="00971AE1">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971AE1" w:rsidRPr="00505E91" w:rsidRDefault="00971AE1" w:rsidP="00971AE1">
            <w:pPr>
              <w:jc w:val="center"/>
              <w:rPr>
                <w:rFonts w:ascii="楷体_GB2312"/>
                <w:szCs w:val="18"/>
              </w:rPr>
            </w:pPr>
          </w:p>
        </w:tc>
        <w:tc>
          <w:tcPr>
            <w:tcW w:w="1190"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招商收益</w:t>
            </w:r>
          </w:p>
        </w:tc>
        <w:tc>
          <w:tcPr>
            <w:tcW w:w="1674"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债券</w:t>
            </w:r>
            <w:r w:rsidRPr="00971AE1">
              <w:rPr>
                <w:rFonts w:ascii="楷体_GB2312" w:hAnsi="楷体" w:hint="eastAsia"/>
                <w:szCs w:val="18"/>
              </w:rPr>
              <w:t>-</w:t>
            </w:r>
            <w:r w:rsidRPr="00971AE1">
              <w:rPr>
                <w:rFonts w:ascii="楷体_GB2312" w:hAnsi="宋体" w:hint="eastAsia"/>
                <w:szCs w:val="18"/>
              </w:rPr>
              <w:t>新股申购型</w:t>
            </w:r>
          </w:p>
        </w:tc>
        <w:tc>
          <w:tcPr>
            <w:tcW w:w="708" w:type="dxa"/>
            <w:shd w:val="clear" w:color="auto" w:fill="auto"/>
            <w:vAlign w:val="center"/>
          </w:tcPr>
          <w:p w:rsidR="00971AE1" w:rsidRPr="00505E91" w:rsidRDefault="00971AE1" w:rsidP="00971AE1">
            <w:pPr>
              <w:jc w:val="center"/>
              <w:rPr>
                <w:rFonts w:ascii="楷体_GB2312" w:hAnsi="宋体"/>
                <w:bCs/>
                <w:szCs w:val="18"/>
              </w:rPr>
            </w:pPr>
            <w:r>
              <w:rPr>
                <w:rFonts w:ascii="楷体_GB2312" w:hAnsi="宋体" w:hint="eastAsia"/>
                <w:bCs/>
                <w:szCs w:val="18"/>
              </w:rPr>
              <w:t>20</w:t>
            </w:r>
            <w:r w:rsidRPr="00505E91">
              <w:rPr>
                <w:rFonts w:ascii="楷体_GB2312" w:hAnsi="宋体" w:hint="eastAsia"/>
                <w:bCs/>
                <w:szCs w:val="18"/>
              </w:rPr>
              <w:t>%</w:t>
            </w:r>
          </w:p>
        </w:tc>
      </w:tr>
      <w:tr w:rsidR="00971AE1" w:rsidRPr="00A86F8F" w:rsidTr="00735BBD">
        <w:trPr>
          <w:cantSplit/>
          <w:trHeight w:val="340"/>
        </w:trPr>
        <w:tc>
          <w:tcPr>
            <w:tcW w:w="1190"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★广发消费品</w:t>
            </w:r>
          </w:p>
        </w:tc>
        <w:tc>
          <w:tcPr>
            <w:tcW w:w="1645" w:type="dxa"/>
            <w:shd w:val="clear" w:color="auto" w:fill="auto"/>
            <w:vAlign w:val="center"/>
          </w:tcPr>
          <w:p w:rsidR="00971AE1" w:rsidRPr="00971AE1" w:rsidRDefault="00971AE1" w:rsidP="00971AE1">
            <w:pPr>
              <w:jc w:val="center"/>
              <w:rPr>
                <w:rFonts w:ascii="楷体_GB2312" w:hAnsi="楷体"/>
                <w:szCs w:val="18"/>
              </w:rPr>
            </w:pPr>
            <w:r w:rsidRPr="00971AE1">
              <w:rPr>
                <w:rFonts w:ascii="楷体_GB2312" w:hAnsi="楷体" w:hint="eastAsia"/>
                <w:szCs w:val="18"/>
              </w:rPr>
              <w:t>股票型</w:t>
            </w:r>
          </w:p>
        </w:tc>
        <w:tc>
          <w:tcPr>
            <w:tcW w:w="737" w:type="dxa"/>
            <w:shd w:val="clear" w:color="auto" w:fill="auto"/>
            <w:vAlign w:val="center"/>
          </w:tcPr>
          <w:p w:rsidR="00971AE1" w:rsidRPr="00505E91" w:rsidRDefault="00971AE1" w:rsidP="00971AE1">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971AE1" w:rsidRPr="00505E91" w:rsidRDefault="00971AE1" w:rsidP="00971AE1">
            <w:pPr>
              <w:jc w:val="center"/>
              <w:rPr>
                <w:rFonts w:ascii="楷体_GB2312"/>
                <w:szCs w:val="18"/>
              </w:rPr>
            </w:pPr>
          </w:p>
        </w:tc>
        <w:tc>
          <w:tcPr>
            <w:tcW w:w="1190"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南方多利</w:t>
            </w:r>
          </w:p>
        </w:tc>
        <w:tc>
          <w:tcPr>
            <w:tcW w:w="1674" w:type="dxa"/>
            <w:shd w:val="clear" w:color="auto" w:fill="auto"/>
            <w:vAlign w:val="center"/>
          </w:tcPr>
          <w:p w:rsidR="00971AE1" w:rsidRPr="00971AE1" w:rsidRDefault="00971AE1" w:rsidP="00971AE1">
            <w:pPr>
              <w:jc w:val="center"/>
              <w:rPr>
                <w:rFonts w:ascii="楷体_GB2312" w:hAnsi="宋体"/>
                <w:szCs w:val="18"/>
              </w:rPr>
            </w:pPr>
            <w:r w:rsidRPr="00971AE1">
              <w:rPr>
                <w:rFonts w:ascii="楷体_GB2312" w:hAnsi="宋体" w:hint="eastAsia"/>
                <w:szCs w:val="18"/>
              </w:rPr>
              <w:t>债券</w:t>
            </w:r>
            <w:r w:rsidRPr="00971AE1">
              <w:rPr>
                <w:rFonts w:ascii="楷体_GB2312" w:hAnsi="楷体" w:hint="eastAsia"/>
                <w:szCs w:val="18"/>
              </w:rPr>
              <w:t>-</w:t>
            </w:r>
            <w:r w:rsidRPr="00971AE1">
              <w:rPr>
                <w:rFonts w:ascii="楷体_GB2312" w:hAnsi="宋体" w:hint="eastAsia"/>
                <w:szCs w:val="18"/>
              </w:rPr>
              <w:t>新股申购型</w:t>
            </w:r>
          </w:p>
        </w:tc>
        <w:tc>
          <w:tcPr>
            <w:tcW w:w="708" w:type="dxa"/>
            <w:shd w:val="clear" w:color="auto" w:fill="auto"/>
            <w:vAlign w:val="center"/>
          </w:tcPr>
          <w:p w:rsidR="00971AE1" w:rsidRPr="00505E91" w:rsidRDefault="00971AE1" w:rsidP="00971AE1">
            <w:pPr>
              <w:jc w:val="center"/>
              <w:rPr>
                <w:rFonts w:ascii="楷体_GB2312" w:hAnsi="宋体"/>
                <w:bCs/>
                <w:szCs w:val="18"/>
              </w:rPr>
            </w:pPr>
            <w:r>
              <w:rPr>
                <w:rFonts w:ascii="楷体_GB2312" w:hAnsi="宋体" w:hint="eastAsia"/>
                <w:bCs/>
                <w:szCs w:val="18"/>
              </w:rPr>
              <w:t>20</w:t>
            </w:r>
            <w:r w:rsidRPr="00505E91">
              <w:rPr>
                <w:rFonts w:ascii="楷体_GB2312" w:hAnsi="宋体" w:hint="eastAsia"/>
                <w:bCs/>
                <w:szCs w:val="18"/>
              </w:rPr>
              <w:t>%</w:t>
            </w:r>
          </w:p>
        </w:tc>
      </w:tr>
    </w:tbl>
    <w:p w:rsidR="00EE1CC3" w:rsidRPr="00A86F8F" w:rsidRDefault="00EE1CC3" w:rsidP="00EE1CC3">
      <w:pPr>
        <w:pStyle w:val="FootnoteNoline"/>
        <w:spacing w:before="0" w:after="0"/>
        <w:rPr>
          <w:color w:val="auto"/>
          <w:sz w:val="10"/>
          <w:szCs w:val="10"/>
        </w:rPr>
      </w:pP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276"/>
        <w:gridCol w:w="1559"/>
        <w:gridCol w:w="737"/>
        <w:gridCol w:w="227"/>
        <w:gridCol w:w="1190"/>
        <w:gridCol w:w="1674"/>
        <w:gridCol w:w="708"/>
      </w:tblGrid>
      <w:tr w:rsidR="00EE1CC3" w:rsidRPr="00A86F8F" w:rsidTr="00735BBD">
        <w:trPr>
          <w:cantSplit/>
          <w:trHeight w:val="200"/>
        </w:trPr>
        <w:tc>
          <w:tcPr>
            <w:tcW w:w="3572" w:type="dxa"/>
            <w:gridSpan w:val="3"/>
            <w:shd w:val="clear" w:color="auto" w:fill="auto"/>
          </w:tcPr>
          <w:p w:rsidR="00EE1CC3" w:rsidRPr="00A86F8F" w:rsidRDefault="00EE1CC3" w:rsidP="00735BBD">
            <w:pPr>
              <w:pStyle w:val="SubTitleLargeTable"/>
              <w:rPr>
                <w:color w:val="auto"/>
                <w:lang w:val="en-US"/>
              </w:rPr>
            </w:pPr>
            <w:r w:rsidRPr="00A86F8F">
              <w:rPr>
                <w:rFonts w:hint="eastAsia"/>
                <w:color w:val="auto"/>
                <w:lang w:val="en-US"/>
              </w:rPr>
              <w:t>灵活配置组合</w:t>
            </w:r>
          </w:p>
        </w:tc>
        <w:tc>
          <w:tcPr>
            <w:tcW w:w="227" w:type="dxa"/>
            <w:shd w:val="clear" w:color="auto" w:fill="auto"/>
          </w:tcPr>
          <w:p w:rsidR="00EE1CC3" w:rsidRPr="00816267" w:rsidRDefault="00EE1CC3" w:rsidP="00735BBD">
            <w:pPr>
              <w:pStyle w:val="a0"/>
              <w:spacing w:after="0" w:line="10" w:lineRule="atLeast"/>
              <w:ind w:left="0"/>
              <w:jc w:val="center"/>
              <w:rPr>
                <w:rFonts w:cs="Arial"/>
                <w:color w:val="auto"/>
              </w:rPr>
            </w:pPr>
          </w:p>
        </w:tc>
        <w:tc>
          <w:tcPr>
            <w:tcW w:w="3572" w:type="dxa"/>
            <w:gridSpan w:val="3"/>
            <w:shd w:val="clear" w:color="auto" w:fill="auto"/>
          </w:tcPr>
          <w:p w:rsidR="00EE1CC3" w:rsidRPr="00A86F8F" w:rsidRDefault="00EE1CC3" w:rsidP="00735BBD">
            <w:pPr>
              <w:pStyle w:val="SubTitleLargeTable"/>
              <w:rPr>
                <w:color w:val="auto"/>
                <w:lang w:val="en-US"/>
              </w:rPr>
            </w:pPr>
          </w:p>
        </w:tc>
      </w:tr>
      <w:tr w:rsidR="00EE1CC3" w:rsidRPr="00A86F8F" w:rsidTr="00116EEB">
        <w:trPr>
          <w:cantSplit/>
          <w:trHeight w:val="340"/>
        </w:trPr>
        <w:tc>
          <w:tcPr>
            <w:tcW w:w="1276" w:type="dxa"/>
            <w:tcBorders>
              <w:bottom w:val="single" w:sz="4" w:space="0" w:color="00B0F0"/>
            </w:tcBorders>
            <w:shd w:val="clear" w:color="auto" w:fill="auto"/>
            <w:vAlign w:val="center"/>
          </w:tcPr>
          <w:p w:rsidR="00EE1CC3" w:rsidRPr="00113ECA" w:rsidRDefault="00EE1CC3" w:rsidP="00735BBD">
            <w:pPr>
              <w:jc w:val="center"/>
              <w:rPr>
                <w:rFonts w:ascii="楷体_GB2312"/>
                <w:b/>
              </w:rPr>
            </w:pPr>
            <w:r w:rsidRPr="00113ECA">
              <w:rPr>
                <w:rFonts w:ascii="楷体_GB2312" w:hint="eastAsia"/>
                <w:b/>
              </w:rPr>
              <w:t>基金名称</w:t>
            </w:r>
          </w:p>
        </w:tc>
        <w:tc>
          <w:tcPr>
            <w:tcW w:w="1559" w:type="dxa"/>
            <w:tcBorders>
              <w:bottom w:val="single" w:sz="4" w:space="0" w:color="00B0F0"/>
            </w:tcBorders>
            <w:shd w:val="clear" w:color="auto" w:fill="auto"/>
            <w:vAlign w:val="center"/>
          </w:tcPr>
          <w:p w:rsidR="00EE1CC3" w:rsidRPr="00113ECA" w:rsidRDefault="00EE1CC3" w:rsidP="00735BBD">
            <w:pPr>
              <w:jc w:val="center"/>
              <w:rPr>
                <w:rFonts w:ascii="楷体_GB2312"/>
                <w:b/>
              </w:rPr>
            </w:pPr>
            <w:r w:rsidRPr="00113ECA">
              <w:rPr>
                <w:rFonts w:ascii="楷体_GB2312" w:hint="eastAsia"/>
                <w:b/>
              </w:rPr>
              <w:t>基金类型</w:t>
            </w:r>
          </w:p>
        </w:tc>
        <w:tc>
          <w:tcPr>
            <w:tcW w:w="737" w:type="dxa"/>
            <w:tcBorders>
              <w:bottom w:val="single" w:sz="4" w:space="0" w:color="00B0F0"/>
            </w:tcBorders>
            <w:shd w:val="clear" w:color="auto" w:fill="auto"/>
            <w:vAlign w:val="center"/>
          </w:tcPr>
          <w:p w:rsidR="00EE1CC3" w:rsidRPr="00113ECA" w:rsidRDefault="00EE1CC3" w:rsidP="00735BBD">
            <w:pPr>
              <w:jc w:val="center"/>
              <w:rPr>
                <w:rFonts w:ascii="楷体_GB2312"/>
                <w:b/>
              </w:rPr>
            </w:pPr>
            <w:r w:rsidRPr="00113ECA">
              <w:rPr>
                <w:rFonts w:ascii="楷体_GB2312" w:hint="eastAsia"/>
                <w:b/>
              </w:rPr>
              <w:t>权重</w:t>
            </w:r>
          </w:p>
        </w:tc>
        <w:tc>
          <w:tcPr>
            <w:tcW w:w="227" w:type="dxa"/>
            <w:vMerge w:val="restart"/>
            <w:tcBorders>
              <w:bottom w:val="single" w:sz="4" w:space="0" w:color="00B0F0"/>
            </w:tcBorders>
            <w:shd w:val="clear" w:color="auto" w:fill="auto"/>
            <w:vAlign w:val="center"/>
          </w:tcPr>
          <w:p w:rsidR="00EE1CC3" w:rsidRPr="00113ECA" w:rsidRDefault="00EE1CC3" w:rsidP="00735BBD">
            <w:pPr>
              <w:jc w:val="center"/>
              <w:rPr>
                <w:rFonts w:ascii="楷体_GB2312"/>
              </w:rPr>
            </w:pPr>
          </w:p>
        </w:tc>
        <w:tc>
          <w:tcPr>
            <w:tcW w:w="1190" w:type="dxa"/>
            <w:tcBorders>
              <w:bottom w:val="single" w:sz="4" w:space="0" w:color="00B0F0"/>
            </w:tcBorders>
            <w:shd w:val="clear" w:color="auto" w:fill="auto"/>
            <w:vAlign w:val="center"/>
          </w:tcPr>
          <w:p w:rsidR="00EE1CC3" w:rsidRPr="00113ECA" w:rsidRDefault="00EE1CC3" w:rsidP="00735BBD">
            <w:pPr>
              <w:jc w:val="center"/>
              <w:rPr>
                <w:rFonts w:ascii="楷体_GB2312"/>
                <w:b/>
              </w:rPr>
            </w:pPr>
          </w:p>
        </w:tc>
        <w:tc>
          <w:tcPr>
            <w:tcW w:w="1674" w:type="dxa"/>
            <w:tcBorders>
              <w:bottom w:val="single" w:sz="4" w:space="0" w:color="00B0F0"/>
            </w:tcBorders>
            <w:shd w:val="clear" w:color="auto" w:fill="auto"/>
            <w:vAlign w:val="center"/>
          </w:tcPr>
          <w:p w:rsidR="00EE1CC3" w:rsidRPr="00113ECA" w:rsidRDefault="00EE1CC3" w:rsidP="00735BBD">
            <w:pPr>
              <w:jc w:val="center"/>
              <w:rPr>
                <w:rFonts w:ascii="楷体_GB2312"/>
                <w:b/>
              </w:rPr>
            </w:pPr>
          </w:p>
        </w:tc>
        <w:tc>
          <w:tcPr>
            <w:tcW w:w="708" w:type="dxa"/>
            <w:tcBorders>
              <w:bottom w:val="single" w:sz="4" w:space="0" w:color="00B0F0"/>
            </w:tcBorders>
            <w:shd w:val="clear" w:color="auto" w:fill="auto"/>
            <w:vAlign w:val="center"/>
          </w:tcPr>
          <w:p w:rsidR="00EE1CC3" w:rsidRPr="00113ECA" w:rsidRDefault="00EE1CC3" w:rsidP="00735BBD">
            <w:pPr>
              <w:jc w:val="center"/>
              <w:rPr>
                <w:rFonts w:ascii="楷体_GB2312"/>
                <w:b/>
              </w:rPr>
            </w:pPr>
          </w:p>
        </w:tc>
      </w:tr>
      <w:tr w:rsidR="00971AE1" w:rsidRPr="00734C71" w:rsidTr="00116EEB">
        <w:trPr>
          <w:cantSplit/>
          <w:trHeight w:val="340"/>
        </w:trPr>
        <w:tc>
          <w:tcPr>
            <w:tcW w:w="1276" w:type="dxa"/>
            <w:shd w:val="clear" w:color="auto" w:fill="auto"/>
            <w:vAlign w:val="center"/>
          </w:tcPr>
          <w:p w:rsidR="00971AE1" w:rsidRPr="00971AE1" w:rsidRDefault="00971AE1" w:rsidP="00971AE1">
            <w:pPr>
              <w:jc w:val="center"/>
            </w:pPr>
            <w:r w:rsidRPr="00971AE1">
              <w:rPr>
                <w:rFonts w:hint="eastAsia"/>
              </w:rPr>
              <w:t>★中欧新蓝筹</w:t>
            </w:r>
          </w:p>
        </w:tc>
        <w:tc>
          <w:tcPr>
            <w:tcW w:w="1559" w:type="dxa"/>
            <w:shd w:val="clear" w:color="auto" w:fill="auto"/>
            <w:vAlign w:val="center"/>
          </w:tcPr>
          <w:p w:rsidR="00971AE1" w:rsidRPr="00971AE1" w:rsidRDefault="00971AE1" w:rsidP="00971AE1">
            <w:pPr>
              <w:jc w:val="center"/>
            </w:pPr>
            <w:r w:rsidRPr="00971AE1">
              <w:rPr>
                <w:rFonts w:hint="eastAsia"/>
              </w:rPr>
              <w:t>股票型</w:t>
            </w:r>
          </w:p>
        </w:tc>
        <w:tc>
          <w:tcPr>
            <w:tcW w:w="737" w:type="dxa"/>
            <w:shd w:val="clear" w:color="auto" w:fill="auto"/>
            <w:vAlign w:val="center"/>
          </w:tcPr>
          <w:p w:rsidR="00971AE1" w:rsidRPr="005C22FD" w:rsidRDefault="00971AE1" w:rsidP="00971AE1">
            <w:pPr>
              <w:jc w:val="center"/>
              <w:rPr>
                <w:rFonts w:ascii="楷体_GB2312" w:hAnsi="宋体"/>
                <w:szCs w:val="18"/>
              </w:rPr>
            </w:pPr>
            <w:r>
              <w:rPr>
                <w:rFonts w:ascii="楷体_GB2312" w:hAnsi="宋体" w:hint="eastAsia"/>
                <w:szCs w:val="18"/>
              </w:rPr>
              <w:t>20</w:t>
            </w:r>
            <w:r w:rsidRPr="005C22FD">
              <w:rPr>
                <w:rFonts w:ascii="楷体_GB2312" w:hAnsi="宋体" w:hint="eastAsia"/>
                <w:szCs w:val="18"/>
              </w:rPr>
              <w:t>%</w:t>
            </w:r>
          </w:p>
        </w:tc>
        <w:tc>
          <w:tcPr>
            <w:tcW w:w="227" w:type="dxa"/>
            <w:vMerge/>
            <w:shd w:val="clear" w:color="auto" w:fill="auto"/>
            <w:vAlign w:val="center"/>
          </w:tcPr>
          <w:p w:rsidR="00971AE1" w:rsidRPr="005C22FD" w:rsidRDefault="00971AE1" w:rsidP="00971AE1">
            <w:pPr>
              <w:jc w:val="center"/>
              <w:rPr>
                <w:rFonts w:ascii="楷体_GB2312" w:hAnsi="宋体"/>
                <w:szCs w:val="18"/>
              </w:rPr>
            </w:pPr>
          </w:p>
        </w:tc>
        <w:tc>
          <w:tcPr>
            <w:tcW w:w="1190" w:type="dxa"/>
            <w:shd w:val="clear" w:color="auto" w:fill="auto"/>
            <w:vAlign w:val="center"/>
          </w:tcPr>
          <w:p w:rsidR="00971AE1" w:rsidRPr="005C22FD" w:rsidRDefault="00971AE1" w:rsidP="00971AE1">
            <w:pPr>
              <w:jc w:val="center"/>
              <w:rPr>
                <w:rFonts w:ascii="楷体_GB2312" w:hAnsi="宋体"/>
                <w:szCs w:val="18"/>
              </w:rPr>
            </w:pPr>
          </w:p>
        </w:tc>
        <w:tc>
          <w:tcPr>
            <w:tcW w:w="1674" w:type="dxa"/>
            <w:shd w:val="clear" w:color="auto" w:fill="auto"/>
            <w:vAlign w:val="center"/>
          </w:tcPr>
          <w:p w:rsidR="00971AE1" w:rsidRPr="005C22FD" w:rsidRDefault="00971AE1" w:rsidP="00971AE1">
            <w:pPr>
              <w:jc w:val="center"/>
              <w:rPr>
                <w:rFonts w:ascii="楷体_GB2312" w:hAnsi="宋体"/>
                <w:szCs w:val="18"/>
              </w:rPr>
            </w:pPr>
          </w:p>
        </w:tc>
        <w:tc>
          <w:tcPr>
            <w:tcW w:w="708" w:type="dxa"/>
            <w:shd w:val="clear" w:color="auto" w:fill="auto"/>
            <w:vAlign w:val="center"/>
          </w:tcPr>
          <w:p w:rsidR="00971AE1" w:rsidRPr="005C22FD" w:rsidRDefault="00971AE1" w:rsidP="00971AE1">
            <w:pPr>
              <w:jc w:val="center"/>
              <w:rPr>
                <w:rFonts w:ascii="楷体_GB2312" w:hAnsi="宋体"/>
                <w:szCs w:val="18"/>
              </w:rPr>
            </w:pPr>
          </w:p>
        </w:tc>
      </w:tr>
      <w:tr w:rsidR="00971AE1" w:rsidRPr="009722C9" w:rsidTr="00116EEB">
        <w:trPr>
          <w:cantSplit/>
          <w:trHeight w:val="340"/>
        </w:trPr>
        <w:tc>
          <w:tcPr>
            <w:tcW w:w="1276" w:type="dxa"/>
            <w:shd w:val="clear" w:color="auto" w:fill="auto"/>
            <w:vAlign w:val="center"/>
          </w:tcPr>
          <w:p w:rsidR="00971AE1" w:rsidRPr="00971AE1" w:rsidRDefault="00971AE1" w:rsidP="00971AE1">
            <w:pPr>
              <w:jc w:val="center"/>
            </w:pPr>
            <w:r w:rsidRPr="00971AE1">
              <w:rPr>
                <w:rFonts w:hint="eastAsia"/>
              </w:rPr>
              <w:t>银华信用四季红</w:t>
            </w:r>
          </w:p>
        </w:tc>
        <w:tc>
          <w:tcPr>
            <w:tcW w:w="1559" w:type="dxa"/>
            <w:shd w:val="clear" w:color="auto" w:fill="auto"/>
            <w:vAlign w:val="center"/>
          </w:tcPr>
          <w:p w:rsidR="00971AE1" w:rsidRPr="00971AE1" w:rsidRDefault="00971AE1" w:rsidP="00971AE1">
            <w:pPr>
              <w:jc w:val="center"/>
            </w:pPr>
            <w:r w:rsidRPr="00971AE1">
              <w:rPr>
                <w:rFonts w:hint="eastAsia"/>
              </w:rPr>
              <w:t>债券－完全债券型</w:t>
            </w:r>
          </w:p>
        </w:tc>
        <w:tc>
          <w:tcPr>
            <w:tcW w:w="737" w:type="dxa"/>
            <w:shd w:val="clear" w:color="auto" w:fill="auto"/>
            <w:vAlign w:val="center"/>
          </w:tcPr>
          <w:p w:rsidR="00971AE1" w:rsidRPr="009722C9" w:rsidRDefault="00971AE1" w:rsidP="00971AE1">
            <w:pPr>
              <w:jc w:val="center"/>
              <w:rPr>
                <w:rFonts w:ascii="楷体_GB2312" w:hAnsi="楷体"/>
                <w:szCs w:val="18"/>
              </w:rPr>
            </w:pPr>
            <w:r w:rsidRPr="009722C9">
              <w:rPr>
                <w:rFonts w:ascii="楷体_GB2312" w:hAnsi="楷体" w:hint="eastAsia"/>
                <w:szCs w:val="18"/>
              </w:rPr>
              <w:t>25%</w:t>
            </w:r>
          </w:p>
        </w:tc>
        <w:tc>
          <w:tcPr>
            <w:tcW w:w="227" w:type="dxa"/>
            <w:vMerge/>
            <w:shd w:val="clear" w:color="auto" w:fill="auto"/>
            <w:vAlign w:val="center"/>
          </w:tcPr>
          <w:p w:rsidR="00971AE1" w:rsidRPr="009722C9" w:rsidRDefault="00971AE1" w:rsidP="00971AE1">
            <w:pPr>
              <w:jc w:val="center"/>
              <w:rPr>
                <w:rFonts w:ascii="楷体_GB2312" w:hAnsi="楷体"/>
                <w:szCs w:val="18"/>
              </w:rPr>
            </w:pPr>
          </w:p>
        </w:tc>
        <w:tc>
          <w:tcPr>
            <w:tcW w:w="1190" w:type="dxa"/>
            <w:shd w:val="clear" w:color="auto" w:fill="auto"/>
            <w:vAlign w:val="center"/>
          </w:tcPr>
          <w:p w:rsidR="00971AE1" w:rsidRPr="009722C9" w:rsidRDefault="00971AE1" w:rsidP="00971AE1">
            <w:pPr>
              <w:jc w:val="center"/>
              <w:rPr>
                <w:rFonts w:ascii="楷体_GB2312" w:hAnsi="楷体"/>
                <w:szCs w:val="18"/>
              </w:rPr>
            </w:pPr>
          </w:p>
        </w:tc>
        <w:tc>
          <w:tcPr>
            <w:tcW w:w="1674" w:type="dxa"/>
            <w:shd w:val="clear" w:color="auto" w:fill="auto"/>
            <w:vAlign w:val="center"/>
          </w:tcPr>
          <w:p w:rsidR="00971AE1" w:rsidRPr="009722C9" w:rsidRDefault="00971AE1" w:rsidP="00971AE1">
            <w:pPr>
              <w:jc w:val="center"/>
              <w:rPr>
                <w:rFonts w:ascii="楷体_GB2312" w:hAnsi="楷体"/>
                <w:szCs w:val="18"/>
              </w:rPr>
            </w:pPr>
          </w:p>
        </w:tc>
        <w:tc>
          <w:tcPr>
            <w:tcW w:w="708" w:type="dxa"/>
            <w:shd w:val="clear" w:color="auto" w:fill="auto"/>
            <w:vAlign w:val="center"/>
          </w:tcPr>
          <w:p w:rsidR="00971AE1" w:rsidRPr="009722C9" w:rsidRDefault="00971AE1" w:rsidP="00971AE1">
            <w:pPr>
              <w:jc w:val="center"/>
              <w:rPr>
                <w:rFonts w:ascii="楷体_GB2312" w:hAnsi="楷体"/>
                <w:szCs w:val="18"/>
              </w:rPr>
            </w:pPr>
          </w:p>
        </w:tc>
      </w:tr>
      <w:tr w:rsidR="00971AE1" w:rsidRPr="009722C9" w:rsidTr="00116EEB">
        <w:trPr>
          <w:cantSplit/>
          <w:trHeight w:val="340"/>
        </w:trPr>
        <w:tc>
          <w:tcPr>
            <w:tcW w:w="1276" w:type="dxa"/>
            <w:shd w:val="clear" w:color="auto" w:fill="auto"/>
            <w:vAlign w:val="center"/>
          </w:tcPr>
          <w:p w:rsidR="00971AE1" w:rsidRPr="00971AE1" w:rsidRDefault="00971AE1" w:rsidP="00971AE1">
            <w:pPr>
              <w:jc w:val="center"/>
            </w:pPr>
            <w:r w:rsidRPr="00971AE1">
              <w:rPr>
                <w:rFonts w:hint="eastAsia"/>
              </w:rPr>
              <w:t>易方达稳健收益</w:t>
            </w:r>
          </w:p>
        </w:tc>
        <w:tc>
          <w:tcPr>
            <w:tcW w:w="1559" w:type="dxa"/>
            <w:shd w:val="clear" w:color="auto" w:fill="auto"/>
            <w:vAlign w:val="center"/>
          </w:tcPr>
          <w:p w:rsidR="00971AE1" w:rsidRPr="00971AE1" w:rsidRDefault="00971AE1" w:rsidP="00971AE1">
            <w:pPr>
              <w:jc w:val="center"/>
            </w:pPr>
            <w:r w:rsidRPr="00971AE1">
              <w:rPr>
                <w:rFonts w:hint="eastAsia"/>
              </w:rPr>
              <w:t>债券－普通债券型</w:t>
            </w:r>
          </w:p>
        </w:tc>
        <w:tc>
          <w:tcPr>
            <w:tcW w:w="737" w:type="dxa"/>
            <w:shd w:val="clear" w:color="auto" w:fill="auto"/>
            <w:vAlign w:val="center"/>
          </w:tcPr>
          <w:p w:rsidR="00971AE1" w:rsidRPr="009722C9" w:rsidRDefault="00971AE1" w:rsidP="00971AE1">
            <w:pPr>
              <w:jc w:val="center"/>
              <w:rPr>
                <w:rFonts w:ascii="楷体_GB2312" w:hAnsi="楷体"/>
                <w:szCs w:val="18"/>
              </w:rPr>
            </w:pPr>
            <w:r w:rsidRPr="009722C9">
              <w:rPr>
                <w:rFonts w:ascii="楷体_GB2312" w:hAnsi="楷体" w:hint="eastAsia"/>
                <w:szCs w:val="18"/>
              </w:rPr>
              <w:t>25%</w:t>
            </w:r>
          </w:p>
        </w:tc>
        <w:tc>
          <w:tcPr>
            <w:tcW w:w="227" w:type="dxa"/>
            <w:vMerge/>
            <w:shd w:val="clear" w:color="auto" w:fill="auto"/>
            <w:vAlign w:val="center"/>
          </w:tcPr>
          <w:p w:rsidR="00971AE1" w:rsidRPr="009722C9" w:rsidRDefault="00971AE1" w:rsidP="00971AE1">
            <w:pPr>
              <w:jc w:val="center"/>
              <w:rPr>
                <w:rFonts w:ascii="楷体_GB2312" w:hAnsi="楷体"/>
                <w:szCs w:val="18"/>
              </w:rPr>
            </w:pPr>
          </w:p>
        </w:tc>
        <w:tc>
          <w:tcPr>
            <w:tcW w:w="1190" w:type="dxa"/>
            <w:shd w:val="clear" w:color="auto" w:fill="auto"/>
            <w:vAlign w:val="center"/>
          </w:tcPr>
          <w:p w:rsidR="00971AE1" w:rsidRPr="009722C9" w:rsidRDefault="00971AE1" w:rsidP="00971AE1">
            <w:pPr>
              <w:jc w:val="center"/>
              <w:rPr>
                <w:rFonts w:ascii="楷体_GB2312" w:hAnsi="楷体"/>
                <w:szCs w:val="18"/>
              </w:rPr>
            </w:pPr>
          </w:p>
        </w:tc>
        <w:tc>
          <w:tcPr>
            <w:tcW w:w="1674" w:type="dxa"/>
            <w:shd w:val="clear" w:color="auto" w:fill="auto"/>
            <w:vAlign w:val="center"/>
          </w:tcPr>
          <w:p w:rsidR="00971AE1" w:rsidRPr="009722C9" w:rsidRDefault="00971AE1" w:rsidP="00971AE1">
            <w:pPr>
              <w:jc w:val="center"/>
              <w:rPr>
                <w:rFonts w:ascii="楷体_GB2312" w:hAnsi="楷体"/>
                <w:szCs w:val="18"/>
              </w:rPr>
            </w:pPr>
          </w:p>
        </w:tc>
        <w:tc>
          <w:tcPr>
            <w:tcW w:w="708" w:type="dxa"/>
            <w:shd w:val="clear" w:color="auto" w:fill="auto"/>
            <w:vAlign w:val="center"/>
          </w:tcPr>
          <w:p w:rsidR="00971AE1" w:rsidRPr="009722C9" w:rsidRDefault="00971AE1" w:rsidP="00971AE1">
            <w:pPr>
              <w:jc w:val="center"/>
              <w:rPr>
                <w:rFonts w:ascii="楷体_GB2312" w:hAnsi="楷体"/>
                <w:szCs w:val="18"/>
              </w:rPr>
            </w:pPr>
          </w:p>
        </w:tc>
      </w:tr>
      <w:tr w:rsidR="00971AE1" w:rsidRPr="00734C71" w:rsidTr="00116EEB">
        <w:trPr>
          <w:cantSplit/>
          <w:trHeight w:val="340"/>
        </w:trPr>
        <w:tc>
          <w:tcPr>
            <w:tcW w:w="1276" w:type="dxa"/>
            <w:shd w:val="clear" w:color="auto" w:fill="auto"/>
            <w:vAlign w:val="center"/>
          </w:tcPr>
          <w:p w:rsidR="00971AE1" w:rsidRPr="00971AE1" w:rsidRDefault="00971AE1" w:rsidP="00971AE1">
            <w:pPr>
              <w:jc w:val="center"/>
            </w:pPr>
            <w:r w:rsidRPr="00971AE1">
              <w:rPr>
                <w:rFonts w:hint="eastAsia"/>
              </w:rPr>
              <w:t>南方绝对收益</w:t>
            </w:r>
          </w:p>
        </w:tc>
        <w:tc>
          <w:tcPr>
            <w:tcW w:w="1559" w:type="dxa"/>
            <w:shd w:val="clear" w:color="auto" w:fill="auto"/>
            <w:vAlign w:val="center"/>
          </w:tcPr>
          <w:p w:rsidR="00971AE1" w:rsidRPr="00971AE1" w:rsidRDefault="00971AE1" w:rsidP="00971AE1">
            <w:pPr>
              <w:jc w:val="center"/>
            </w:pPr>
            <w:r w:rsidRPr="00971AE1">
              <w:rPr>
                <w:rFonts w:hint="eastAsia"/>
              </w:rPr>
              <w:t>股票型</w:t>
            </w:r>
          </w:p>
        </w:tc>
        <w:tc>
          <w:tcPr>
            <w:tcW w:w="737" w:type="dxa"/>
            <w:shd w:val="clear" w:color="auto" w:fill="auto"/>
            <w:vAlign w:val="center"/>
          </w:tcPr>
          <w:p w:rsidR="00971AE1" w:rsidRDefault="00971AE1" w:rsidP="00971AE1">
            <w:pPr>
              <w:jc w:val="center"/>
            </w:pPr>
            <w:r>
              <w:rPr>
                <w:rFonts w:ascii="楷体_GB2312" w:hAnsi="宋体" w:hint="eastAsia"/>
                <w:bCs/>
                <w:szCs w:val="18"/>
              </w:rPr>
              <w:t>30</w:t>
            </w:r>
            <w:r w:rsidRPr="0021406B">
              <w:rPr>
                <w:rFonts w:ascii="楷体_GB2312" w:hAnsi="宋体" w:hint="eastAsia"/>
                <w:bCs/>
                <w:szCs w:val="18"/>
              </w:rPr>
              <w:t>%</w:t>
            </w:r>
          </w:p>
        </w:tc>
        <w:tc>
          <w:tcPr>
            <w:tcW w:w="227" w:type="dxa"/>
            <w:vMerge/>
            <w:shd w:val="clear" w:color="auto" w:fill="auto"/>
            <w:vAlign w:val="center"/>
          </w:tcPr>
          <w:p w:rsidR="00971AE1" w:rsidRPr="00734C71" w:rsidRDefault="00971AE1" w:rsidP="00971AE1">
            <w:pPr>
              <w:jc w:val="center"/>
              <w:rPr>
                <w:rFonts w:ascii="楷体_GB2312" w:hAnsi="宋体"/>
                <w:bCs/>
                <w:szCs w:val="18"/>
              </w:rPr>
            </w:pPr>
          </w:p>
        </w:tc>
        <w:tc>
          <w:tcPr>
            <w:tcW w:w="1190" w:type="dxa"/>
            <w:shd w:val="clear" w:color="auto" w:fill="auto"/>
            <w:vAlign w:val="center"/>
          </w:tcPr>
          <w:p w:rsidR="00971AE1" w:rsidRPr="00734C71" w:rsidRDefault="00971AE1" w:rsidP="00971AE1">
            <w:pPr>
              <w:jc w:val="center"/>
              <w:rPr>
                <w:rFonts w:ascii="楷体_GB2312" w:hAnsi="宋体"/>
                <w:bCs/>
                <w:szCs w:val="18"/>
              </w:rPr>
            </w:pPr>
          </w:p>
        </w:tc>
        <w:tc>
          <w:tcPr>
            <w:tcW w:w="1674" w:type="dxa"/>
            <w:shd w:val="clear" w:color="auto" w:fill="auto"/>
            <w:vAlign w:val="center"/>
          </w:tcPr>
          <w:p w:rsidR="00971AE1" w:rsidRPr="00734C71" w:rsidRDefault="00971AE1" w:rsidP="00971AE1">
            <w:pPr>
              <w:jc w:val="center"/>
              <w:rPr>
                <w:rFonts w:ascii="楷体_GB2312" w:hAnsi="宋体"/>
                <w:bCs/>
                <w:szCs w:val="18"/>
              </w:rPr>
            </w:pPr>
          </w:p>
        </w:tc>
        <w:tc>
          <w:tcPr>
            <w:tcW w:w="708" w:type="dxa"/>
            <w:shd w:val="clear" w:color="auto" w:fill="auto"/>
            <w:vAlign w:val="center"/>
          </w:tcPr>
          <w:p w:rsidR="00971AE1" w:rsidRPr="00734C71" w:rsidRDefault="00971AE1" w:rsidP="00971AE1">
            <w:pPr>
              <w:jc w:val="center"/>
              <w:rPr>
                <w:rFonts w:ascii="楷体_GB2312" w:hAnsi="宋体"/>
                <w:bCs/>
                <w:szCs w:val="18"/>
              </w:rPr>
            </w:pPr>
          </w:p>
        </w:tc>
      </w:tr>
    </w:tbl>
    <w:p w:rsidR="00EE1CC3" w:rsidRPr="00A86F8F" w:rsidRDefault="00EE1CC3" w:rsidP="00EE1CC3">
      <w:pPr>
        <w:pStyle w:val="FootnoteNoline"/>
        <w:spacing w:before="0" w:after="0"/>
        <w:rPr>
          <w:color w:val="auto"/>
          <w:sz w:val="10"/>
          <w:szCs w:val="10"/>
        </w:rPr>
      </w:pPr>
    </w:p>
    <w:p w:rsidR="00EE1CC3" w:rsidRPr="00AF25D2" w:rsidRDefault="00EE1CC3" w:rsidP="00EE1CC3">
      <w:pPr>
        <w:pStyle w:val="FootnoteNoline"/>
        <w:rPr>
          <w:color w:val="auto"/>
        </w:rPr>
      </w:pPr>
      <w:r>
        <w:rPr>
          <w:rFonts w:hint="eastAsia"/>
        </w:rPr>
        <w:t>来源：国金证券研究所</w:t>
      </w:r>
      <w:r>
        <w:rPr>
          <w:rFonts w:hint="eastAsia"/>
        </w:rPr>
        <w:t xml:space="preserve"> </w:t>
      </w:r>
    </w:p>
    <w:p w:rsidR="00EE1CC3" w:rsidRPr="00B00136" w:rsidRDefault="00EE1CC3" w:rsidP="00EE1CC3">
      <w:pPr>
        <w:pStyle w:val="21"/>
        <w:rPr>
          <w:color w:val="auto"/>
        </w:rPr>
      </w:pPr>
    </w:p>
    <w:p w:rsidR="00EE1CC3" w:rsidRPr="00183075" w:rsidRDefault="00EE1CC3" w:rsidP="00EE1CC3">
      <w:pPr>
        <w:pStyle w:val="13"/>
        <w:rPr>
          <w:color w:val="auto"/>
        </w:rPr>
      </w:pPr>
      <w:r w:rsidRPr="00183075">
        <w:rPr>
          <w:rFonts w:hint="eastAsia"/>
          <w:color w:val="auto"/>
        </w:rPr>
        <w:lastRenderedPageBreak/>
        <w:t>一、权益类开放式基金投资建议</w:t>
      </w:r>
    </w:p>
    <w:p w:rsidR="00EE1CC3" w:rsidRPr="00F34FC7" w:rsidRDefault="00EE1CC3" w:rsidP="00A139B9">
      <w:pPr>
        <w:pStyle w:val="21"/>
        <w:tabs>
          <w:tab w:val="left" w:pos="4536"/>
        </w:tabs>
        <w:rPr>
          <w:color w:val="00B0F0"/>
        </w:rPr>
      </w:pPr>
      <w:r w:rsidRPr="005F58EB">
        <w:rPr>
          <w:rFonts w:hint="eastAsia"/>
          <w:color w:val="00B0F0"/>
        </w:rPr>
        <w:t>基金投</w:t>
      </w:r>
      <w:r w:rsidRPr="00F34FC7">
        <w:rPr>
          <w:rFonts w:hint="eastAsia"/>
          <w:color w:val="00B0F0"/>
        </w:rPr>
        <w:t>资：</w:t>
      </w:r>
      <w:r w:rsidR="00050A4A" w:rsidRPr="00050A4A">
        <w:rPr>
          <w:rFonts w:hint="eastAsia"/>
          <w:color w:val="00B0F0"/>
        </w:rPr>
        <w:t>控制</w:t>
      </w:r>
      <w:proofErr w:type="gramStart"/>
      <w:r w:rsidR="00050A4A" w:rsidRPr="00050A4A">
        <w:rPr>
          <w:rFonts w:hint="eastAsia"/>
          <w:color w:val="00B0F0"/>
        </w:rPr>
        <w:t>仓位</w:t>
      </w:r>
      <w:proofErr w:type="gramEnd"/>
      <w:r w:rsidR="00050A4A" w:rsidRPr="00050A4A">
        <w:rPr>
          <w:rFonts w:hint="eastAsia"/>
          <w:color w:val="00B0F0"/>
        </w:rPr>
        <w:t>等待转机，增配灵活提升弹性</w:t>
      </w:r>
      <w:r w:rsidRPr="00F34FC7">
        <w:rPr>
          <w:rFonts w:hint="eastAsia"/>
          <w:color w:val="00B0F0"/>
        </w:rPr>
        <w:t>——</w:t>
      </w:r>
      <w:r w:rsidRPr="00F34FC7">
        <w:rPr>
          <w:rFonts w:hint="eastAsia"/>
          <w:color w:val="00B0F0"/>
        </w:rPr>
        <w:t>A</w:t>
      </w:r>
      <w:r w:rsidRPr="00F34FC7">
        <w:rPr>
          <w:rFonts w:hint="eastAsia"/>
          <w:color w:val="00B0F0"/>
        </w:rPr>
        <w:t>股权益类开放式基金投资建议</w:t>
      </w:r>
    </w:p>
    <w:p w:rsidR="00EE1CC3" w:rsidRPr="00A139B9" w:rsidRDefault="00566AC1" w:rsidP="00EE1CC3">
      <w:pPr>
        <w:pStyle w:val="a0"/>
        <w:spacing w:line="240" w:lineRule="auto"/>
        <w:rPr>
          <w:rFonts w:ascii="楷体_GB2312"/>
          <w:b/>
          <w:color w:val="00B0F0"/>
        </w:rPr>
      </w:pPr>
      <w:r w:rsidRPr="004B1144">
        <w:rPr>
          <w:rFonts w:ascii="楷体_GB2312" w:hint="eastAsia"/>
          <w:b/>
          <w:color w:val="00B0F0"/>
        </w:rPr>
        <w:t>国内经济</w:t>
      </w:r>
      <w:r w:rsidRPr="00A139B9">
        <w:rPr>
          <w:rFonts w:ascii="楷体_GB2312" w:hint="eastAsia"/>
          <w:b/>
          <w:color w:val="00B0F0"/>
        </w:rPr>
        <w:t>：</w:t>
      </w:r>
      <w:r w:rsidR="00F3342C">
        <w:rPr>
          <w:rFonts w:ascii="楷体_GB2312" w:hint="eastAsia"/>
          <w:b/>
          <w:color w:val="00B0F0"/>
        </w:rPr>
        <w:t>供需收缩明显，宏观形势严峻</w:t>
      </w:r>
    </w:p>
    <w:p w:rsidR="00880CF1" w:rsidRPr="00B81361" w:rsidRDefault="00D85530" w:rsidP="00880CF1">
      <w:pPr>
        <w:pStyle w:val="a0"/>
        <w:numPr>
          <w:ilvl w:val="4"/>
          <w:numId w:val="3"/>
        </w:numPr>
        <w:spacing w:line="240" w:lineRule="auto"/>
        <w:rPr>
          <w:rFonts w:ascii="楷体_GB2312"/>
          <w:color w:val="auto"/>
        </w:rPr>
      </w:pPr>
      <w:r>
        <w:rPr>
          <w:rFonts w:ascii="楷体_GB2312" w:hint="eastAsia"/>
          <w:color w:val="auto"/>
        </w:rPr>
        <w:t>7月份供需收缩明显</w:t>
      </w:r>
      <w:r w:rsidR="00FE5D57" w:rsidRPr="00FE5D57">
        <w:rPr>
          <w:rFonts w:ascii="楷体_GB2312"/>
          <w:color w:val="auto"/>
        </w:rPr>
        <w:t>，</w:t>
      </w:r>
      <w:r w:rsidR="00FE5D57">
        <w:rPr>
          <w:rFonts w:ascii="楷体_GB2312" w:hint="eastAsia"/>
          <w:color w:val="auto"/>
        </w:rPr>
        <w:t>其中</w:t>
      </w:r>
      <w:r w:rsidRPr="00D85530">
        <w:rPr>
          <w:rFonts w:ascii="楷体_GB2312"/>
          <w:color w:val="auto"/>
        </w:rPr>
        <w:t>投资需求继续下滑， 1-7月份，固定资产投资同比名义增长11.2%，增速比上半年回落0.2个百分点，环比增长0.75%</w:t>
      </w:r>
      <w:r>
        <w:rPr>
          <w:rFonts w:ascii="楷体_GB2312" w:hint="eastAsia"/>
          <w:color w:val="auto"/>
        </w:rPr>
        <w:t>，</w:t>
      </w:r>
      <w:r w:rsidRPr="00D85530">
        <w:rPr>
          <w:rFonts w:ascii="楷体_GB2312"/>
          <w:color w:val="auto"/>
        </w:rPr>
        <w:t>单月投资</w:t>
      </w:r>
      <w:r>
        <w:rPr>
          <w:rFonts w:ascii="楷体_GB2312" w:hint="eastAsia"/>
          <w:color w:val="auto"/>
        </w:rPr>
        <w:t>下滑</w:t>
      </w:r>
      <w:r w:rsidRPr="00D85530">
        <w:rPr>
          <w:rFonts w:ascii="楷体_GB2312"/>
          <w:color w:val="auto"/>
        </w:rPr>
        <w:t>至9.9%，其中基建、制造业、房地产投资季节性下滑甚于历史同期，对同比造成一定拖累</w:t>
      </w:r>
      <w:r>
        <w:rPr>
          <w:rFonts w:ascii="楷体_GB2312" w:hint="eastAsia"/>
          <w:color w:val="auto"/>
        </w:rPr>
        <w:t>，</w:t>
      </w:r>
      <w:r w:rsidRPr="00D85530">
        <w:rPr>
          <w:rFonts w:ascii="楷体_GB2312"/>
          <w:color w:val="auto"/>
        </w:rPr>
        <w:t>整体新开工计划投资仍然保持低位</w:t>
      </w:r>
      <w:r>
        <w:rPr>
          <w:rFonts w:ascii="楷体_GB2312" w:hint="eastAsia"/>
          <w:color w:val="auto"/>
        </w:rPr>
        <w:t>，未表现出明显改善计划，同时地产销售进入淡季、去化有所减缓；</w:t>
      </w:r>
      <w:r w:rsidRPr="00D85530">
        <w:rPr>
          <w:rFonts w:ascii="楷体_GB2312" w:hint="eastAsia"/>
          <w:color w:val="auto"/>
        </w:rPr>
        <w:t>供需收缩格局下7月工业出现小断崖，同比回落至6.0%，</w:t>
      </w:r>
      <w:proofErr w:type="gramStart"/>
      <w:r w:rsidRPr="00D85530">
        <w:rPr>
          <w:rFonts w:ascii="楷体_GB2312" w:hint="eastAsia"/>
          <w:color w:val="auto"/>
        </w:rPr>
        <w:t>季调环</w:t>
      </w:r>
      <w:proofErr w:type="gramEnd"/>
      <w:r w:rsidRPr="00D85530">
        <w:rPr>
          <w:rFonts w:ascii="楷体_GB2312" w:hint="eastAsia"/>
          <w:color w:val="auto"/>
        </w:rPr>
        <w:t>比回落至0.32%，与今年3</w:t>
      </w:r>
      <w:r>
        <w:rPr>
          <w:rFonts w:ascii="楷体_GB2312" w:hint="eastAsia"/>
          <w:color w:val="auto"/>
        </w:rPr>
        <w:t>月工业断崖时环比水平相当；</w:t>
      </w:r>
      <w:r w:rsidRPr="00D85530">
        <w:rPr>
          <w:rFonts w:ascii="楷体_GB2312" w:hint="eastAsia"/>
          <w:color w:val="auto"/>
        </w:rPr>
        <w:t>7月消费增速下滑0.1至10.5%，扣除价格因素实际增长下降0.2至10.4%，可能受到股票市场波动造成的财富缩水、成品油价连续下调影响</w:t>
      </w:r>
      <w:r>
        <w:rPr>
          <w:rFonts w:ascii="楷体_GB2312" w:hint="eastAsia"/>
          <w:color w:val="auto"/>
        </w:rPr>
        <w:t>；</w:t>
      </w:r>
      <w:r w:rsidRPr="00D85530">
        <w:rPr>
          <w:rFonts w:ascii="楷体_GB2312"/>
          <w:color w:val="auto"/>
        </w:rPr>
        <w:t>经历了6月短暂回升后，7月出口再度巨幅下滑</w:t>
      </w:r>
      <w:r w:rsidRPr="00D85530">
        <w:rPr>
          <w:rFonts w:ascii="楷体_GB2312" w:hint="eastAsia"/>
          <w:color w:val="auto"/>
        </w:rPr>
        <w:t>，</w:t>
      </w:r>
      <w:r>
        <w:rPr>
          <w:rFonts w:ascii="楷体_GB2312" w:hint="eastAsia"/>
          <w:color w:val="auto"/>
        </w:rPr>
        <w:t>考虑去年高基数效应</w:t>
      </w:r>
      <w:r w:rsidRPr="00D85530">
        <w:rPr>
          <w:rFonts w:ascii="楷体_GB2312"/>
          <w:color w:val="auto"/>
        </w:rPr>
        <w:t>，中国出口水平</w:t>
      </w:r>
      <w:r>
        <w:rPr>
          <w:rFonts w:ascii="楷体_GB2312" w:hint="eastAsia"/>
          <w:color w:val="auto"/>
        </w:rPr>
        <w:t>仍</w:t>
      </w:r>
      <w:r w:rsidRPr="00D85530">
        <w:rPr>
          <w:rFonts w:ascii="楷体_GB2312"/>
          <w:color w:val="auto"/>
        </w:rPr>
        <w:t>在低水平</w:t>
      </w:r>
      <w:r w:rsidRPr="00D85530">
        <w:rPr>
          <w:rFonts w:ascii="楷体_GB2312" w:hint="eastAsia"/>
          <w:color w:val="auto"/>
        </w:rPr>
        <w:t>持续下滑，</w:t>
      </w:r>
      <w:r>
        <w:rPr>
          <w:rFonts w:ascii="楷体_GB2312" w:hint="eastAsia"/>
          <w:color w:val="auto"/>
        </w:rPr>
        <w:t>同时7</w:t>
      </w:r>
      <w:r w:rsidRPr="00D85530">
        <w:rPr>
          <w:rFonts w:ascii="楷体_GB2312"/>
          <w:color w:val="auto"/>
        </w:rPr>
        <w:t>月进口下滑体现投资需求、汽车消费意意愿低迷的影响</w:t>
      </w:r>
      <w:r w:rsidRPr="00D85530">
        <w:rPr>
          <w:rFonts w:ascii="楷体_GB2312" w:hint="eastAsia"/>
          <w:color w:val="auto"/>
        </w:rPr>
        <w:t>，</w:t>
      </w:r>
      <w:r w:rsidRPr="00D85530">
        <w:rPr>
          <w:rFonts w:ascii="楷体_GB2312"/>
          <w:color w:val="auto"/>
        </w:rPr>
        <w:t>与</w:t>
      </w:r>
      <w:proofErr w:type="gramStart"/>
      <w:r w:rsidRPr="00D85530">
        <w:rPr>
          <w:rFonts w:ascii="楷体_GB2312"/>
          <w:color w:val="auto"/>
        </w:rPr>
        <w:t>国内宏</w:t>
      </w:r>
      <w:proofErr w:type="gramEnd"/>
      <w:r w:rsidRPr="00D85530">
        <w:rPr>
          <w:rFonts w:ascii="楷体_GB2312"/>
          <w:color w:val="auto"/>
        </w:rPr>
        <w:t>微观经济形势一致</w:t>
      </w:r>
      <w:r>
        <w:rPr>
          <w:rFonts w:ascii="楷体_GB2312" w:hint="eastAsia"/>
          <w:color w:val="auto"/>
        </w:rPr>
        <w:t>，下半年外贸增长形势依然严峻。</w:t>
      </w:r>
    </w:p>
    <w:p w:rsidR="00880CF1" w:rsidRPr="00B81361" w:rsidRDefault="00704D20" w:rsidP="00880CF1">
      <w:pPr>
        <w:pStyle w:val="a0"/>
        <w:numPr>
          <w:ilvl w:val="4"/>
          <w:numId w:val="3"/>
        </w:numPr>
        <w:spacing w:line="240" w:lineRule="auto"/>
        <w:rPr>
          <w:rFonts w:ascii="楷体_GB2312"/>
          <w:color w:val="auto"/>
        </w:rPr>
      </w:pPr>
      <w:r>
        <w:rPr>
          <w:rFonts w:ascii="楷体_GB2312" w:hint="eastAsia"/>
          <w:color w:val="auto"/>
        </w:rPr>
        <w:t>7</w:t>
      </w:r>
      <w:r w:rsidR="00E64467">
        <w:rPr>
          <w:rFonts w:ascii="楷体_GB2312" w:hint="eastAsia"/>
          <w:color w:val="auto"/>
        </w:rPr>
        <w:t>月</w:t>
      </w:r>
      <w:r w:rsidR="007D343C">
        <w:rPr>
          <w:rFonts w:ascii="楷体_GB2312" w:hint="eastAsia"/>
          <w:color w:val="auto"/>
        </w:rPr>
        <w:t>金融</w:t>
      </w:r>
      <w:proofErr w:type="gramStart"/>
      <w:r w:rsidR="007D343C">
        <w:rPr>
          <w:rFonts w:ascii="楷体_GB2312" w:hint="eastAsia"/>
          <w:color w:val="auto"/>
        </w:rPr>
        <w:t>数据数据</w:t>
      </w:r>
      <w:proofErr w:type="gramEnd"/>
      <w:r w:rsidR="00B756F8">
        <w:rPr>
          <w:rFonts w:ascii="楷体_GB2312" w:hint="eastAsia"/>
          <w:color w:val="auto"/>
        </w:rPr>
        <w:t>仍然</w:t>
      </w:r>
      <w:r w:rsidR="000B47DB">
        <w:rPr>
          <w:rFonts w:ascii="楷体_GB2312" w:hint="eastAsia"/>
          <w:color w:val="auto"/>
        </w:rPr>
        <w:t>较弱</w:t>
      </w:r>
      <w:r w:rsidR="00B756F8">
        <w:rPr>
          <w:rFonts w:ascii="楷体_GB2312" w:hint="eastAsia"/>
          <w:color w:val="auto"/>
        </w:rPr>
        <w:t>，</w:t>
      </w:r>
      <w:r w:rsidR="000B47DB" w:rsidRPr="000B47DB">
        <w:rPr>
          <w:rFonts w:ascii="楷体_GB2312" w:hint="eastAsia"/>
          <w:color w:val="auto"/>
        </w:rPr>
        <w:t>金融数据虚高部分主要来自于救市导致的非银行业金融机构贷款增量增长</w:t>
      </w:r>
      <w:r w:rsidR="000B47DB">
        <w:rPr>
          <w:rFonts w:ascii="楷体_GB2312" w:hint="eastAsia"/>
          <w:color w:val="auto"/>
        </w:rPr>
        <w:t>，</w:t>
      </w:r>
      <w:r w:rsidR="00B756F8">
        <w:rPr>
          <w:rFonts w:ascii="楷体_GB2312" w:hint="eastAsia"/>
          <w:color w:val="auto"/>
        </w:rPr>
        <w:t>尚没有观察到额外的回升</w:t>
      </w:r>
      <w:r w:rsidR="007D343C">
        <w:rPr>
          <w:rFonts w:ascii="楷体_GB2312" w:hint="eastAsia"/>
          <w:color w:val="auto"/>
        </w:rPr>
        <w:t>。</w:t>
      </w:r>
      <w:r w:rsidR="00B756F8" w:rsidRPr="00B756F8">
        <w:rPr>
          <w:rFonts w:ascii="楷体_GB2312" w:hint="eastAsia"/>
          <w:color w:val="auto"/>
        </w:rPr>
        <w:t>7月M2同比</w:t>
      </w:r>
      <w:r w:rsidR="00B756F8">
        <w:rPr>
          <w:rFonts w:ascii="楷体_GB2312" w:hint="eastAsia"/>
          <w:color w:val="auto"/>
        </w:rPr>
        <w:t>增长</w:t>
      </w:r>
      <w:r w:rsidR="00B756F8" w:rsidRPr="00B756F8">
        <w:rPr>
          <w:rFonts w:ascii="楷体_GB2312" w:hint="eastAsia"/>
          <w:color w:val="auto"/>
        </w:rPr>
        <w:t>13.3%，社</w:t>
      </w:r>
      <w:proofErr w:type="gramStart"/>
      <w:r w:rsidR="00B756F8" w:rsidRPr="00B756F8">
        <w:rPr>
          <w:rFonts w:ascii="楷体_GB2312" w:hint="eastAsia"/>
          <w:color w:val="auto"/>
        </w:rPr>
        <w:t>融融资</w:t>
      </w:r>
      <w:proofErr w:type="gramEnd"/>
      <w:r w:rsidR="00B756F8" w:rsidRPr="00B756F8">
        <w:rPr>
          <w:rFonts w:ascii="楷体_GB2312" w:hint="eastAsia"/>
          <w:color w:val="auto"/>
        </w:rPr>
        <w:t>总额7188亿，新增人民币贷款1.48</w:t>
      </w:r>
      <w:proofErr w:type="gramStart"/>
      <w:r w:rsidR="00B756F8" w:rsidRPr="00B756F8">
        <w:rPr>
          <w:rFonts w:ascii="楷体_GB2312" w:hint="eastAsia"/>
          <w:color w:val="auto"/>
        </w:rPr>
        <w:t>万亿</w:t>
      </w:r>
      <w:proofErr w:type="gramEnd"/>
      <w:r w:rsidR="007D343C" w:rsidRPr="007D343C">
        <w:rPr>
          <w:rFonts w:ascii="楷体_GB2312" w:hint="eastAsia"/>
          <w:color w:val="auto"/>
        </w:rPr>
        <w:t>。</w:t>
      </w:r>
      <w:r w:rsidR="00B756F8">
        <w:rPr>
          <w:rFonts w:ascii="楷体_GB2312" w:hint="eastAsia"/>
          <w:color w:val="auto"/>
        </w:rPr>
        <w:t>其中</w:t>
      </w:r>
      <w:r w:rsidR="00B756F8" w:rsidRPr="00B756F8">
        <w:rPr>
          <w:rFonts w:ascii="楷体_GB2312" w:hint="eastAsia"/>
          <w:color w:val="auto"/>
        </w:rPr>
        <w:t>信贷数据中，贷款收缩比较剧烈</w:t>
      </w:r>
      <w:r w:rsidR="000B47DB">
        <w:rPr>
          <w:rFonts w:ascii="楷体_GB2312" w:hint="eastAsia"/>
          <w:color w:val="auto"/>
        </w:rPr>
        <w:t>，</w:t>
      </w:r>
      <w:r w:rsidR="00B756F8" w:rsidRPr="00B756F8">
        <w:rPr>
          <w:rFonts w:ascii="楷体_GB2312" w:hint="eastAsia"/>
          <w:color w:val="auto"/>
        </w:rPr>
        <w:t>居民中长期贷款下降和7、8月地产销售进入淡季、高位有所下滑吻合</w:t>
      </w:r>
      <w:r w:rsidR="00DF4713">
        <w:rPr>
          <w:rFonts w:ascii="楷体_GB2312" w:hint="eastAsia"/>
          <w:color w:val="auto"/>
        </w:rPr>
        <w:t>，</w:t>
      </w:r>
      <w:r w:rsidR="00B756F8" w:rsidRPr="00B756F8">
        <w:rPr>
          <w:rFonts w:ascii="楷体_GB2312" w:hint="eastAsia"/>
          <w:color w:val="auto"/>
        </w:rPr>
        <w:t>而短期消费贷款下降得更多和股市调整密切相关</w:t>
      </w:r>
      <w:r w:rsidR="00DF4713">
        <w:rPr>
          <w:rFonts w:ascii="楷体_GB2312" w:hint="eastAsia"/>
          <w:color w:val="auto"/>
        </w:rPr>
        <w:t>，</w:t>
      </w:r>
      <w:r w:rsidR="00B756F8" w:rsidRPr="00B756F8">
        <w:rPr>
          <w:rFonts w:ascii="楷体_GB2312" w:hint="eastAsia"/>
          <w:color w:val="auto"/>
        </w:rPr>
        <w:t>对公部分，短期、中长期贷款环比均下降</w:t>
      </w:r>
      <w:r w:rsidR="004C78AF">
        <w:rPr>
          <w:rFonts w:ascii="楷体_GB2312" w:hint="eastAsia"/>
          <w:color w:val="auto"/>
        </w:rPr>
        <w:t>，</w:t>
      </w:r>
      <w:r w:rsidR="00B756F8" w:rsidRPr="00B756F8">
        <w:rPr>
          <w:rFonts w:ascii="楷体_GB2312" w:hint="eastAsia"/>
          <w:color w:val="auto"/>
        </w:rPr>
        <w:t>创2013年以来新低，总体上反映了融资需求的真实面貌</w:t>
      </w:r>
      <w:r w:rsidR="004C78AF">
        <w:rPr>
          <w:rFonts w:ascii="楷体_GB2312" w:hint="eastAsia"/>
          <w:color w:val="auto"/>
        </w:rPr>
        <w:t>。</w:t>
      </w:r>
      <w:r w:rsidR="004C78AF" w:rsidRPr="004C78AF">
        <w:rPr>
          <w:rFonts w:ascii="楷体_GB2312" w:hint="eastAsia"/>
          <w:color w:val="auto"/>
        </w:rPr>
        <w:t>7月M2大幅回升，环比增长2</w:t>
      </w:r>
      <w:proofErr w:type="gramStart"/>
      <w:r w:rsidR="004C78AF" w:rsidRPr="004C78AF">
        <w:rPr>
          <w:rFonts w:ascii="楷体_GB2312" w:hint="eastAsia"/>
          <w:color w:val="auto"/>
        </w:rPr>
        <w:t>万亿</w:t>
      </w:r>
      <w:proofErr w:type="gramEnd"/>
      <w:r w:rsidR="004C78AF" w:rsidRPr="004C78AF">
        <w:rPr>
          <w:rFonts w:ascii="楷体_GB2312" w:hint="eastAsia"/>
          <w:color w:val="auto"/>
        </w:rPr>
        <w:t>，非银同业贷款（主要是救市）的影响较大，再加上翘尾的技术性因素贡献</w:t>
      </w:r>
      <w:r w:rsidR="004C78AF">
        <w:rPr>
          <w:rFonts w:ascii="楷体_GB2312" w:hint="eastAsia"/>
          <w:color w:val="auto"/>
        </w:rPr>
        <w:t>。</w:t>
      </w:r>
    </w:p>
    <w:p w:rsidR="009C4E6D" w:rsidRDefault="009C4E6D" w:rsidP="00FA5443">
      <w:pPr>
        <w:pStyle w:val="a0"/>
        <w:numPr>
          <w:ilvl w:val="4"/>
          <w:numId w:val="3"/>
        </w:numPr>
        <w:spacing w:line="240" w:lineRule="auto"/>
        <w:rPr>
          <w:rFonts w:ascii="楷体_GB2312"/>
          <w:color w:val="auto"/>
        </w:rPr>
      </w:pPr>
      <w:r>
        <w:rPr>
          <w:rFonts w:ascii="楷体_GB2312" w:hint="eastAsia"/>
          <w:color w:val="auto"/>
        </w:rPr>
        <w:t>随着国内宏观经济形势日趋严峻，8月25日</w:t>
      </w:r>
      <w:r w:rsidR="00BA4699" w:rsidRPr="00BA4699">
        <w:rPr>
          <w:rFonts w:ascii="楷体_GB2312" w:hint="eastAsia"/>
          <w:color w:val="auto"/>
        </w:rPr>
        <w:t>央行再度祭出</w:t>
      </w:r>
      <w:r>
        <w:rPr>
          <w:rFonts w:ascii="楷体_GB2312" w:hint="eastAsia"/>
          <w:color w:val="auto"/>
        </w:rPr>
        <w:t>降息、</w:t>
      </w:r>
      <w:proofErr w:type="gramStart"/>
      <w:r>
        <w:rPr>
          <w:rFonts w:ascii="楷体_GB2312" w:hint="eastAsia"/>
          <w:color w:val="auto"/>
        </w:rPr>
        <w:t>降准的</w:t>
      </w:r>
      <w:proofErr w:type="gramEnd"/>
      <w:r w:rsidR="00BA4699" w:rsidRPr="00BA4699">
        <w:rPr>
          <w:rFonts w:ascii="楷体_GB2312" w:hint="eastAsia"/>
          <w:color w:val="auto"/>
        </w:rPr>
        <w:t>组合拳</w:t>
      </w:r>
      <w:r>
        <w:rPr>
          <w:rFonts w:ascii="楷体_GB2312" w:hint="eastAsia"/>
          <w:color w:val="auto"/>
        </w:rPr>
        <w:t>，一方面</w:t>
      </w:r>
      <w:r w:rsidR="00BA4699" w:rsidRPr="00BA4699">
        <w:rPr>
          <w:rFonts w:ascii="楷体_GB2312" w:hint="eastAsia"/>
          <w:color w:val="auto"/>
        </w:rPr>
        <w:t>反映了当下经济趋于坠落的势态，</w:t>
      </w:r>
      <w:r>
        <w:rPr>
          <w:rFonts w:ascii="楷体_GB2312" w:hint="eastAsia"/>
          <w:color w:val="auto"/>
        </w:rPr>
        <w:t>另一方面短期汇率贬值预期</w:t>
      </w:r>
      <w:r w:rsidRPr="00BA4699">
        <w:rPr>
          <w:rFonts w:ascii="楷体_GB2312" w:hint="eastAsia"/>
          <w:color w:val="auto"/>
        </w:rPr>
        <w:t>引发资本外逃，</w:t>
      </w:r>
      <w:r>
        <w:rPr>
          <w:rFonts w:ascii="楷体_GB2312" w:hint="eastAsia"/>
          <w:color w:val="auto"/>
        </w:rPr>
        <w:t>也迫使央行叠加</w:t>
      </w:r>
      <w:r w:rsidRPr="00BA4699">
        <w:rPr>
          <w:rFonts w:ascii="楷体_GB2312" w:hint="eastAsia"/>
          <w:color w:val="auto"/>
        </w:rPr>
        <w:t>超预期的降息，出拳力度加重</w:t>
      </w:r>
      <w:r>
        <w:rPr>
          <w:rFonts w:ascii="楷体_GB2312" w:hint="eastAsia"/>
          <w:color w:val="auto"/>
        </w:rPr>
        <w:t>。但国金宏观小组认为，</w:t>
      </w:r>
      <w:r w:rsidRPr="00BA4699">
        <w:rPr>
          <w:rFonts w:ascii="楷体_GB2312" w:hint="eastAsia"/>
          <w:color w:val="auto"/>
        </w:rPr>
        <w:t>在经济增长缺乏弹性、内生性出清压力加剧、金融市场反身性有待体现背景下，资金</w:t>
      </w:r>
      <w:proofErr w:type="gramStart"/>
      <w:r w:rsidRPr="00BA4699">
        <w:rPr>
          <w:rFonts w:ascii="楷体_GB2312" w:hint="eastAsia"/>
          <w:color w:val="auto"/>
        </w:rPr>
        <w:t>流出仍</w:t>
      </w:r>
      <w:proofErr w:type="gramEnd"/>
      <w:r w:rsidRPr="00BA4699">
        <w:rPr>
          <w:rFonts w:ascii="楷体_GB2312" w:hint="eastAsia"/>
          <w:color w:val="auto"/>
        </w:rPr>
        <w:t>将持续。</w:t>
      </w:r>
      <w:r w:rsidR="004733F5" w:rsidRPr="00BA4699">
        <w:rPr>
          <w:rFonts w:ascii="楷体_GB2312" w:hint="eastAsia"/>
          <w:color w:val="auto"/>
        </w:rPr>
        <w:t>未来政策空间较为朦胧，</w:t>
      </w:r>
      <w:r w:rsidR="004733F5">
        <w:rPr>
          <w:rFonts w:ascii="楷体_GB2312" w:hint="eastAsia"/>
          <w:color w:val="auto"/>
        </w:rPr>
        <w:t>尤其是考虑过去一年扩张的</w:t>
      </w:r>
      <w:r w:rsidR="004733F5" w:rsidRPr="00FA5443">
        <w:rPr>
          <w:rFonts w:ascii="楷体_GB2312" w:hint="eastAsia"/>
          <w:color w:val="auto"/>
        </w:rPr>
        <w:t>货币政策</w:t>
      </w:r>
      <w:r w:rsidR="004733F5">
        <w:rPr>
          <w:rFonts w:ascii="楷体_GB2312" w:hint="eastAsia"/>
          <w:color w:val="auto"/>
        </w:rPr>
        <w:t>效果一般，且存在一定的副作用，反映在货币政策传导机制不畅，</w:t>
      </w:r>
      <w:r w:rsidR="004733F5" w:rsidRPr="001240F6">
        <w:rPr>
          <w:rFonts w:ascii="楷体_GB2312" w:hint="eastAsia"/>
          <w:color w:val="auto"/>
        </w:rPr>
        <w:t>实体经济融资</w:t>
      </w:r>
      <w:r w:rsidR="004733F5">
        <w:rPr>
          <w:rFonts w:ascii="楷体_GB2312" w:hint="eastAsia"/>
          <w:color w:val="auto"/>
        </w:rPr>
        <w:t>需求</w:t>
      </w:r>
      <w:r w:rsidR="004733F5" w:rsidRPr="001240F6">
        <w:rPr>
          <w:rFonts w:ascii="楷体_GB2312" w:hint="eastAsia"/>
          <w:color w:val="auto"/>
        </w:rPr>
        <w:t>显著疲弱</w:t>
      </w:r>
      <w:r w:rsidR="004733F5">
        <w:rPr>
          <w:rFonts w:ascii="楷体_GB2312" w:hint="eastAsia"/>
          <w:color w:val="auto"/>
        </w:rPr>
        <w:t>，</w:t>
      </w:r>
      <w:r w:rsidR="004733F5" w:rsidRPr="001240F6">
        <w:rPr>
          <w:rFonts w:ascii="楷体_GB2312" w:hint="eastAsia"/>
          <w:color w:val="auto"/>
        </w:rPr>
        <w:t>流动性</w:t>
      </w:r>
      <w:r w:rsidR="004733F5">
        <w:rPr>
          <w:rFonts w:ascii="楷体_GB2312" w:hint="eastAsia"/>
          <w:color w:val="auto"/>
        </w:rPr>
        <w:t>大量</w:t>
      </w:r>
      <w:r w:rsidR="004733F5" w:rsidRPr="001240F6">
        <w:rPr>
          <w:rFonts w:ascii="楷体_GB2312" w:hint="eastAsia"/>
          <w:color w:val="auto"/>
        </w:rPr>
        <w:t>堆积在金融市场</w:t>
      </w:r>
      <w:r w:rsidR="004733F5">
        <w:rPr>
          <w:rFonts w:ascii="楷体_GB2312" w:hint="eastAsia"/>
          <w:color w:val="auto"/>
        </w:rPr>
        <w:t>，</w:t>
      </w:r>
      <w:r w:rsidR="004733F5" w:rsidRPr="00BA4699">
        <w:rPr>
          <w:rFonts w:ascii="楷体_GB2312" w:hint="eastAsia"/>
          <w:color w:val="auto"/>
        </w:rPr>
        <w:t>而财政政策出牌目前低于预期</w:t>
      </w:r>
      <w:r w:rsidR="004733F5">
        <w:rPr>
          <w:rFonts w:ascii="楷体_GB2312" w:hint="eastAsia"/>
          <w:color w:val="auto"/>
        </w:rPr>
        <w:t>，</w:t>
      </w:r>
      <w:r w:rsidR="004733F5" w:rsidRPr="00BA4699">
        <w:rPr>
          <w:rFonts w:ascii="楷体_GB2312" w:hint="eastAsia"/>
          <w:color w:val="auto"/>
        </w:rPr>
        <w:t>整体看可能托而不举、保持</w:t>
      </w:r>
      <w:r w:rsidR="004733F5">
        <w:rPr>
          <w:rFonts w:ascii="楷体_GB2312" w:hint="eastAsia"/>
          <w:color w:val="auto"/>
        </w:rPr>
        <w:t>定力。因此，</w:t>
      </w:r>
      <w:r w:rsidR="004733F5" w:rsidRPr="00BA4699">
        <w:rPr>
          <w:rFonts w:ascii="楷体_GB2312" w:hint="eastAsia"/>
          <w:color w:val="auto"/>
        </w:rPr>
        <w:t>目前从8月供需情况看，经济仍在下坠，政策性需求仍无迹象。</w:t>
      </w:r>
      <w:r w:rsidR="004733F5">
        <w:rPr>
          <w:rFonts w:ascii="楷体_GB2312" w:hint="eastAsia"/>
          <w:color w:val="auto"/>
        </w:rPr>
        <w:t>国金宏观小组认为未来</w:t>
      </w:r>
      <w:r w:rsidR="004733F5" w:rsidRPr="00BA4699">
        <w:rPr>
          <w:rFonts w:ascii="楷体_GB2312" w:hint="eastAsia"/>
          <w:color w:val="auto"/>
        </w:rPr>
        <w:t>GDP与工业</w:t>
      </w:r>
      <w:r w:rsidR="004733F5">
        <w:rPr>
          <w:rFonts w:ascii="楷体_GB2312" w:hint="eastAsia"/>
          <w:color w:val="auto"/>
        </w:rPr>
        <w:t>将</w:t>
      </w:r>
      <w:r w:rsidR="004733F5" w:rsidRPr="00BA4699">
        <w:rPr>
          <w:rFonts w:ascii="楷体_GB2312" w:hint="eastAsia"/>
          <w:color w:val="auto"/>
        </w:rPr>
        <w:t>台阶式下滑、波动式下降</w:t>
      </w:r>
      <w:r w:rsidR="004A2DAE">
        <w:rPr>
          <w:rStyle w:val="a8"/>
          <w:rFonts w:ascii="楷体_GB2312"/>
          <w:color w:val="auto"/>
        </w:rPr>
        <w:footnoteReference w:id="1"/>
      </w:r>
      <w:r w:rsidR="004733F5">
        <w:rPr>
          <w:rFonts w:ascii="楷体_GB2312" w:hint="eastAsia"/>
          <w:color w:val="auto"/>
        </w:rPr>
        <w:t>。</w:t>
      </w:r>
    </w:p>
    <w:p w:rsidR="00EE1CC3" w:rsidRPr="000878E0" w:rsidRDefault="00EE1CC3" w:rsidP="00EE1CC3">
      <w:pPr>
        <w:pStyle w:val="a0"/>
        <w:spacing w:line="240" w:lineRule="auto"/>
        <w:rPr>
          <w:rFonts w:ascii="楷体_GB2312"/>
          <w:b/>
          <w:color w:val="00B0F0"/>
        </w:rPr>
      </w:pPr>
      <w:r w:rsidRPr="000878E0">
        <w:rPr>
          <w:rFonts w:ascii="楷体_GB2312" w:hint="eastAsia"/>
          <w:b/>
          <w:color w:val="00B0F0"/>
        </w:rPr>
        <w:t>A</w:t>
      </w:r>
      <w:r w:rsidR="000520F8">
        <w:rPr>
          <w:rFonts w:ascii="楷体_GB2312" w:hint="eastAsia"/>
          <w:b/>
          <w:color w:val="00B0F0"/>
        </w:rPr>
        <w:t>股市场：</w:t>
      </w:r>
      <w:r w:rsidR="00BF0DAC">
        <w:rPr>
          <w:rFonts w:ascii="楷体_GB2312" w:hint="eastAsia"/>
          <w:b/>
          <w:color w:val="00B0F0"/>
        </w:rPr>
        <w:t>市场信心重塑仍需时间</w:t>
      </w:r>
    </w:p>
    <w:p w:rsidR="00E57CA2" w:rsidRDefault="00E57CA2" w:rsidP="00E57CA2">
      <w:pPr>
        <w:pStyle w:val="a0"/>
        <w:numPr>
          <w:ilvl w:val="4"/>
          <w:numId w:val="3"/>
        </w:numPr>
        <w:spacing w:line="240" w:lineRule="auto"/>
        <w:rPr>
          <w:rFonts w:ascii="楷体_GB2312"/>
          <w:color w:val="auto"/>
        </w:rPr>
      </w:pPr>
      <w:r>
        <w:rPr>
          <w:rFonts w:ascii="楷体_GB2312" w:hint="eastAsia"/>
          <w:color w:val="auto"/>
        </w:rPr>
        <w:t>8月份市场继续震荡下行，尤其是18日以来的七</w:t>
      </w:r>
      <w:r w:rsidR="00295697" w:rsidRPr="00295697">
        <w:rPr>
          <w:rFonts w:ascii="楷体_GB2312" w:hint="eastAsia"/>
          <w:color w:val="auto"/>
        </w:rPr>
        <w:t>个交易日跌幅逾1000点，前期</w:t>
      </w:r>
      <w:r>
        <w:rPr>
          <w:rFonts w:ascii="楷体_GB2312" w:hint="eastAsia"/>
          <w:color w:val="auto"/>
        </w:rPr>
        <w:t>涨幅较大的国企改革、军工等</w:t>
      </w:r>
      <w:r w:rsidR="00295697" w:rsidRPr="00295697">
        <w:rPr>
          <w:rFonts w:ascii="楷体_GB2312" w:hint="eastAsia"/>
          <w:color w:val="auto"/>
        </w:rPr>
        <w:t>板块</w:t>
      </w:r>
      <w:r>
        <w:rPr>
          <w:rFonts w:ascii="楷体_GB2312" w:hint="eastAsia"/>
          <w:color w:val="auto"/>
        </w:rPr>
        <w:t>快速回落</w:t>
      </w:r>
      <w:r w:rsidR="00295697" w:rsidRPr="00295697">
        <w:rPr>
          <w:rFonts w:ascii="楷体_GB2312" w:hint="eastAsia"/>
          <w:color w:val="auto"/>
        </w:rPr>
        <w:t>，</w:t>
      </w:r>
      <w:r w:rsidRPr="00E57CA2">
        <w:rPr>
          <w:rFonts w:ascii="楷体_GB2312" w:hint="eastAsia"/>
          <w:color w:val="auto"/>
        </w:rPr>
        <w:t>市场</w:t>
      </w:r>
      <w:proofErr w:type="gramStart"/>
      <w:r w:rsidRPr="00E57CA2">
        <w:rPr>
          <w:rFonts w:ascii="楷体_GB2312" w:hint="eastAsia"/>
          <w:color w:val="auto"/>
        </w:rPr>
        <w:t>怀疑证金</w:t>
      </w:r>
      <w:proofErr w:type="gramEnd"/>
      <w:r w:rsidRPr="00E57CA2">
        <w:rPr>
          <w:rFonts w:ascii="楷体_GB2312" w:hint="eastAsia"/>
          <w:color w:val="auto"/>
        </w:rPr>
        <w:t>公司开始退出救市</w:t>
      </w:r>
      <w:r>
        <w:rPr>
          <w:rFonts w:ascii="楷体_GB2312" w:hint="eastAsia"/>
          <w:color w:val="auto"/>
        </w:rPr>
        <w:t>，更是</w:t>
      </w:r>
      <w:r w:rsidRPr="00295697">
        <w:rPr>
          <w:rFonts w:ascii="楷体_GB2312" w:hint="eastAsia"/>
          <w:color w:val="auto"/>
        </w:rPr>
        <w:t>给市场人气带来较大打击</w:t>
      </w:r>
      <w:r>
        <w:rPr>
          <w:rFonts w:ascii="楷体_GB2312" w:hint="eastAsia"/>
          <w:color w:val="auto"/>
        </w:rPr>
        <w:t>，与此同时</w:t>
      </w:r>
      <w:r w:rsidRPr="00295697">
        <w:rPr>
          <w:rFonts w:ascii="楷体_GB2312" w:hint="eastAsia"/>
          <w:color w:val="auto"/>
        </w:rPr>
        <w:t>海外市场股市动荡与</w:t>
      </w:r>
      <w:r>
        <w:rPr>
          <w:rFonts w:ascii="楷体_GB2312" w:hint="eastAsia"/>
          <w:color w:val="auto"/>
        </w:rPr>
        <w:t>A</w:t>
      </w:r>
      <w:r w:rsidRPr="00295697">
        <w:rPr>
          <w:rFonts w:ascii="楷体_GB2312" w:hint="eastAsia"/>
          <w:color w:val="auto"/>
        </w:rPr>
        <w:t>股形成共振</w:t>
      </w:r>
      <w:r>
        <w:rPr>
          <w:rFonts w:ascii="楷体_GB2312" w:hint="eastAsia"/>
          <w:color w:val="auto"/>
        </w:rPr>
        <w:t>，</w:t>
      </w:r>
      <w:r>
        <w:rPr>
          <w:rFonts w:cs="Arial"/>
        </w:rPr>
        <w:t>恐慌和避险</w:t>
      </w:r>
      <w:r>
        <w:rPr>
          <w:rFonts w:cs="Arial" w:hint="eastAsia"/>
        </w:rPr>
        <w:t>成为</w:t>
      </w:r>
      <w:r>
        <w:rPr>
          <w:rFonts w:cs="Arial"/>
        </w:rPr>
        <w:t>市场调整的主要原因。</w:t>
      </w:r>
      <w:r>
        <w:rPr>
          <w:rFonts w:cs="Arial" w:hint="eastAsia"/>
        </w:rPr>
        <w:t>尽管</w:t>
      </w:r>
      <w:r w:rsidRPr="00E57CA2">
        <w:rPr>
          <w:rFonts w:cs="Arial" w:hint="eastAsia"/>
        </w:rPr>
        <w:t>国务院印发《基本养老保险基金投资管理办法》</w:t>
      </w:r>
      <w:r>
        <w:rPr>
          <w:rFonts w:cs="Arial" w:hint="eastAsia"/>
        </w:rPr>
        <w:t>宣布养老金入市</w:t>
      </w:r>
      <w:r>
        <w:rPr>
          <w:rFonts w:ascii="楷体_GB2312" w:hint="eastAsia"/>
          <w:color w:val="auto"/>
        </w:rPr>
        <w:t>，但市场风险偏好仍然没能有效提升。从行业表现来看，银行、食品饮料、交运等行业下跌幅度较小，国防军工、非银金融、计算机下跌幅度较大。</w:t>
      </w:r>
    </w:p>
    <w:p w:rsidR="0035432A" w:rsidRDefault="00E57CA2" w:rsidP="00E57CA2">
      <w:pPr>
        <w:pStyle w:val="a0"/>
        <w:numPr>
          <w:ilvl w:val="4"/>
          <w:numId w:val="3"/>
        </w:numPr>
        <w:spacing w:line="240" w:lineRule="auto"/>
        <w:rPr>
          <w:rFonts w:ascii="楷体_GB2312"/>
          <w:color w:val="auto"/>
        </w:rPr>
      </w:pPr>
      <w:r>
        <w:rPr>
          <w:rFonts w:ascii="楷体_GB2312" w:hint="eastAsia"/>
          <w:color w:val="auto"/>
        </w:rPr>
        <w:t>就</w:t>
      </w:r>
      <w:r w:rsidRPr="00152A3D">
        <w:rPr>
          <w:rFonts w:ascii="楷体_GB2312" w:hint="eastAsia"/>
          <w:color w:val="auto"/>
        </w:rPr>
        <w:t>短</w:t>
      </w:r>
      <w:r w:rsidRPr="009601EB">
        <w:rPr>
          <w:rFonts w:ascii="楷体_GB2312" w:hint="eastAsia"/>
          <w:color w:val="auto"/>
        </w:rPr>
        <w:t>期</w:t>
      </w:r>
      <w:r>
        <w:rPr>
          <w:rFonts w:ascii="楷体_GB2312" w:hint="eastAsia"/>
          <w:color w:val="auto"/>
        </w:rPr>
        <w:t>来看</w:t>
      </w:r>
      <w:r w:rsidR="00295697" w:rsidRPr="00295697">
        <w:rPr>
          <w:rFonts w:ascii="楷体_GB2312" w:hint="eastAsia"/>
          <w:color w:val="auto"/>
        </w:rPr>
        <w:t>，</w:t>
      </w:r>
      <w:r w:rsidR="00B02FA0">
        <w:rPr>
          <w:rFonts w:ascii="楷体_GB2312" w:hint="eastAsia"/>
          <w:color w:val="auto"/>
        </w:rPr>
        <w:t>央行</w:t>
      </w:r>
      <w:r w:rsidR="00B02FA0" w:rsidRPr="00BA4699">
        <w:rPr>
          <w:rFonts w:ascii="楷体_GB2312" w:hint="eastAsia"/>
          <w:color w:val="auto"/>
        </w:rPr>
        <w:t>再度祭出</w:t>
      </w:r>
      <w:r w:rsidR="00B02FA0">
        <w:rPr>
          <w:rFonts w:ascii="楷体_GB2312" w:hint="eastAsia"/>
          <w:color w:val="auto"/>
        </w:rPr>
        <w:t>降息、</w:t>
      </w:r>
      <w:proofErr w:type="gramStart"/>
      <w:r w:rsidR="00B02FA0">
        <w:rPr>
          <w:rFonts w:ascii="楷体_GB2312" w:hint="eastAsia"/>
          <w:color w:val="auto"/>
        </w:rPr>
        <w:t>降准的</w:t>
      </w:r>
      <w:proofErr w:type="gramEnd"/>
      <w:r w:rsidR="00B02FA0" w:rsidRPr="00BA4699">
        <w:rPr>
          <w:rFonts w:ascii="楷体_GB2312" w:hint="eastAsia"/>
          <w:color w:val="auto"/>
        </w:rPr>
        <w:t>组合拳</w:t>
      </w:r>
      <w:r w:rsidR="00B02FA0">
        <w:rPr>
          <w:rFonts w:ascii="楷体_GB2312" w:hint="eastAsia"/>
          <w:color w:val="auto"/>
        </w:rPr>
        <w:t>，</w:t>
      </w:r>
      <w:r w:rsidR="00B02FA0" w:rsidRPr="00B02FA0">
        <w:rPr>
          <w:rFonts w:ascii="楷体_GB2312" w:hint="eastAsia"/>
          <w:color w:val="auto"/>
        </w:rPr>
        <w:t>中金所也发布股指期货交易的系列措施，</w:t>
      </w:r>
      <w:r w:rsidR="00B02FA0">
        <w:rPr>
          <w:rFonts w:ascii="楷体_GB2312" w:hint="eastAsia"/>
          <w:color w:val="auto"/>
        </w:rPr>
        <w:t>都</w:t>
      </w:r>
      <w:r w:rsidR="00B02FA0" w:rsidRPr="00B02FA0">
        <w:rPr>
          <w:rFonts w:ascii="楷体_GB2312" w:hint="eastAsia"/>
          <w:color w:val="auto"/>
        </w:rPr>
        <w:t>在一定程度上安抚</w:t>
      </w:r>
      <w:r w:rsidR="00B02FA0">
        <w:rPr>
          <w:rFonts w:ascii="楷体_GB2312" w:hint="eastAsia"/>
          <w:color w:val="auto"/>
        </w:rPr>
        <w:t>了</w:t>
      </w:r>
      <w:r w:rsidR="00B02FA0" w:rsidRPr="00B02FA0">
        <w:rPr>
          <w:rFonts w:ascii="楷体_GB2312" w:hint="eastAsia"/>
          <w:color w:val="auto"/>
        </w:rPr>
        <w:t>市场信心，</w:t>
      </w:r>
      <w:r w:rsidR="00B02FA0">
        <w:rPr>
          <w:rFonts w:ascii="楷体_GB2312" w:hint="eastAsia"/>
          <w:color w:val="auto"/>
        </w:rPr>
        <w:t>尤其是经过短期的快速下跌，反弹动能不断累积，</w:t>
      </w:r>
      <w:r w:rsidR="0035432A">
        <w:rPr>
          <w:rFonts w:ascii="楷体_GB2312" w:hint="eastAsia"/>
          <w:color w:val="auto"/>
        </w:rPr>
        <w:t>但</w:t>
      </w:r>
      <w:r w:rsidR="00B02FA0">
        <w:rPr>
          <w:rFonts w:cs="Arial" w:hint="eastAsia"/>
        </w:rPr>
        <w:t>仅靠政策</w:t>
      </w:r>
      <w:r w:rsidR="00B02FA0" w:rsidRPr="00B02FA0">
        <w:rPr>
          <w:rFonts w:ascii="楷体_GB2312" w:hint="eastAsia"/>
          <w:color w:val="auto"/>
        </w:rPr>
        <w:t>尚不足以改变</w:t>
      </w:r>
      <w:r w:rsidR="00B02FA0">
        <w:rPr>
          <w:rFonts w:ascii="楷体_GB2312" w:hint="eastAsia"/>
          <w:color w:val="auto"/>
        </w:rPr>
        <w:t>市场</w:t>
      </w:r>
      <w:r w:rsidR="00B02FA0" w:rsidRPr="00B02FA0">
        <w:rPr>
          <w:rFonts w:ascii="楷体_GB2312" w:hint="eastAsia"/>
          <w:color w:val="auto"/>
        </w:rPr>
        <w:t>颓势</w:t>
      </w:r>
      <w:r w:rsidR="0035432A">
        <w:rPr>
          <w:rFonts w:ascii="楷体_GB2312" w:hint="eastAsia"/>
          <w:color w:val="auto"/>
        </w:rPr>
        <w:t>，</w:t>
      </w:r>
      <w:r w:rsidR="0035432A">
        <w:rPr>
          <w:rFonts w:cs="Arial" w:hint="eastAsia"/>
        </w:rPr>
        <w:t>反弹高</w:t>
      </w:r>
      <w:r w:rsidR="0035432A">
        <w:rPr>
          <w:rFonts w:cs="Arial" w:hint="eastAsia"/>
        </w:rPr>
        <w:lastRenderedPageBreak/>
        <w:t>度并不乐观</w:t>
      </w:r>
      <w:r w:rsidR="00B02FA0" w:rsidRPr="00B02FA0">
        <w:rPr>
          <w:rFonts w:ascii="楷体_GB2312" w:hint="eastAsia"/>
          <w:color w:val="auto"/>
        </w:rPr>
        <w:t>。</w:t>
      </w:r>
      <w:r w:rsidR="0035432A">
        <w:rPr>
          <w:rFonts w:ascii="楷体_GB2312" w:hint="eastAsia"/>
          <w:color w:val="auto"/>
        </w:rPr>
        <w:t>尤其在当前宏观经济环境严峻、改革预期较为悲观、宏观流动性存疑以及去杠杆背景下，市场需要更多的时间来重塑信心。因此，投资者还需要继续</w:t>
      </w:r>
      <w:r w:rsidR="0035432A" w:rsidRPr="005E604F">
        <w:rPr>
          <w:rFonts w:ascii="楷体_GB2312" w:hint="eastAsia"/>
          <w:color w:val="auto"/>
        </w:rPr>
        <w:t>适度控制</w:t>
      </w:r>
      <w:proofErr w:type="gramStart"/>
      <w:r w:rsidR="0035432A" w:rsidRPr="005E604F">
        <w:rPr>
          <w:rFonts w:ascii="楷体_GB2312" w:hint="eastAsia"/>
          <w:color w:val="auto"/>
        </w:rPr>
        <w:t>仓位</w:t>
      </w:r>
      <w:proofErr w:type="gramEnd"/>
      <w:r w:rsidR="0035432A" w:rsidRPr="005E604F">
        <w:rPr>
          <w:rFonts w:ascii="楷体_GB2312" w:hint="eastAsia"/>
          <w:color w:val="auto"/>
        </w:rPr>
        <w:t>，</w:t>
      </w:r>
      <w:r w:rsidR="0035432A">
        <w:rPr>
          <w:rFonts w:ascii="楷体_GB2312" w:hint="eastAsia"/>
          <w:color w:val="auto"/>
        </w:rPr>
        <w:t>以相对平衡或者防守的配置应对，此外，短期市场投资主线缺乏、创业板高估值风险犹存，可侧重蓝</w:t>
      </w:r>
      <w:proofErr w:type="gramStart"/>
      <w:r w:rsidR="0035432A">
        <w:rPr>
          <w:rFonts w:ascii="楷体_GB2312" w:hint="eastAsia"/>
          <w:color w:val="auto"/>
        </w:rPr>
        <w:t>筹板块</w:t>
      </w:r>
      <w:proofErr w:type="gramEnd"/>
      <w:r w:rsidR="0035432A">
        <w:rPr>
          <w:rFonts w:ascii="楷体_GB2312" w:hint="eastAsia"/>
          <w:color w:val="auto"/>
        </w:rPr>
        <w:t>以及</w:t>
      </w:r>
      <w:r w:rsidR="0035432A" w:rsidRPr="0035432A">
        <w:rPr>
          <w:rFonts w:ascii="楷体_GB2312" w:hint="eastAsia"/>
          <w:color w:val="auto"/>
        </w:rPr>
        <w:t>具有业绩边际，估值相对较低的白马型个股</w:t>
      </w:r>
      <w:r w:rsidR="0035432A">
        <w:rPr>
          <w:rFonts w:ascii="楷体_GB2312" w:hint="eastAsia"/>
          <w:color w:val="auto"/>
        </w:rPr>
        <w:t>。</w:t>
      </w:r>
    </w:p>
    <w:p w:rsidR="00EE1CC3" w:rsidRPr="00A97069" w:rsidRDefault="00F34FC7" w:rsidP="00EE1CC3">
      <w:pPr>
        <w:pStyle w:val="a0"/>
        <w:spacing w:line="240" w:lineRule="auto"/>
        <w:rPr>
          <w:rFonts w:ascii="楷体_GB2312"/>
          <w:b/>
          <w:color w:val="00B0F0"/>
        </w:rPr>
      </w:pPr>
      <w:r>
        <w:rPr>
          <w:rFonts w:ascii="楷体_GB2312" w:hint="eastAsia"/>
          <w:b/>
          <w:color w:val="00B0F0"/>
        </w:rPr>
        <w:t>基金投资：</w:t>
      </w:r>
      <w:r w:rsidR="00050A4A">
        <w:rPr>
          <w:rFonts w:ascii="楷体_GB2312" w:hint="eastAsia"/>
          <w:b/>
          <w:color w:val="00B0F0"/>
        </w:rPr>
        <w:t>控制</w:t>
      </w:r>
      <w:proofErr w:type="gramStart"/>
      <w:r w:rsidR="00050A4A">
        <w:rPr>
          <w:rFonts w:ascii="楷体_GB2312" w:hint="eastAsia"/>
          <w:b/>
          <w:color w:val="00B0F0"/>
        </w:rPr>
        <w:t>仓位</w:t>
      </w:r>
      <w:proofErr w:type="gramEnd"/>
      <w:r w:rsidR="00050A4A">
        <w:rPr>
          <w:rFonts w:ascii="楷体_GB2312" w:hint="eastAsia"/>
          <w:b/>
          <w:color w:val="00B0F0"/>
        </w:rPr>
        <w:t>等待转机，增配灵活提升弹性</w:t>
      </w:r>
    </w:p>
    <w:p w:rsidR="00314043" w:rsidRPr="00564F30" w:rsidRDefault="004075B9" w:rsidP="00564F30">
      <w:pPr>
        <w:pStyle w:val="a0"/>
        <w:numPr>
          <w:ilvl w:val="4"/>
          <w:numId w:val="3"/>
        </w:numPr>
        <w:spacing w:line="240" w:lineRule="auto"/>
        <w:rPr>
          <w:rFonts w:ascii="楷体_GB2312"/>
          <w:color w:val="auto"/>
        </w:rPr>
      </w:pPr>
      <w:r w:rsidRPr="00151E31">
        <w:rPr>
          <w:rFonts w:ascii="楷体_GB2312" w:hint="eastAsia"/>
        </w:rPr>
        <w:t>基于上述对宏观经济及A股市场的分析，</w:t>
      </w:r>
      <w:r w:rsidR="00551AEB">
        <w:rPr>
          <w:rFonts w:ascii="楷体_GB2312" w:hint="eastAsia"/>
        </w:rPr>
        <w:t>考虑</w:t>
      </w:r>
      <w:r w:rsidR="00BB0230">
        <w:rPr>
          <w:rFonts w:ascii="楷体_GB2312" w:hint="eastAsia"/>
        </w:rPr>
        <w:t>投资者信心恢复尚需时日</w:t>
      </w:r>
      <w:r w:rsidR="00551AEB">
        <w:rPr>
          <w:rFonts w:ascii="楷体_GB2312" w:hint="eastAsia"/>
        </w:rPr>
        <w:t>，</w:t>
      </w:r>
      <w:r w:rsidR="00BB0230">
        <w:rPr>
          <w:rFonts w:ascii="楷体_GB2312" w:hint="eastAsia"/>
        </w:rPr>
        <w:t>震荡格局仍将</w:t>
      </w:r>
      <w:r w:rsidR="00564F30">
        <w:rPr>
          <w:rFonts w:ascii="楷体_GB2312" w:hint="eastAsia"/>
        </w:rPr>
        <w:t>主导</w:t>
      </w:r>
      <w:r w:rsidR="00481A37">
        <w:rPr>
          <w:rFonts w:ascii="楷体_GB2312" w:hint="eastAsia"/>
        </w:rPr>
        <w:t>，基金投资</w:t>
      </w:r>
      <w:r w:rsidR="00564F30">
        <w:rPr>
          <w:rFonts w:ascii="楷体_GB2312" w:hint="eastAsia"/>
        </w:rPr>
        <w:t>继续采取</w:t>
      </w:r>
      <w:r w:rsidR="00481A37">
        <w:rPr>
          <w:rFonts w:ascii="楷体_GB2312" w:hint="eastAsia"/>
        </w:rPr>
        <w:t>稳健的策略</w:t>
      </w:r>
      <w:r w:rsidR="00564F30">
        <w:rPr>
          <w:rFonts w:ascii="楷体_GB2312" w:hint="eastAsia"/>
        </w:rPr>
        <w:t>、控制权益类品种的</w:t>
      </w:r>
      <w:proofErr w:type="gramStart"/>
      <w:r w:rsidR="00564F30">
        <w:rPr>
          <w:rFonts w:ascii="楷体_GB2312" w:hint="eastAsia"/>
        </w:rPr>
        <w:t>仓位</w:t>
      </w:r>
      <w:proofErr w:type="gramEnd"/>
      <w:r w:rsidR="00564F30">
        <w:rPr>
          <w:rFonts w:ascii="楷体_GB2312" w:hint="eastAsia"/>
        </w:rPr>
        <w:t>。在具体的品种上，首先侧重关注股票</w:t>
      </w:r>
      <w:proofErr w:type="gramStart"/>
      <w:r w:rsidR="00564F30">
        <w:rPr>
          <w:rFonts w:ascii="楷体_GB2312" w:hint="eastAsia"/>
        </w:rPr>
        <w:t>仓位</w:t>
      </w:r>
      <w:proofErr w:type="gramEnd"/>
      <w:r w:rsidR="00564F30">
        <w:rPr>
          <w:rFonts w:ascii="楷体_GB2312" w:hint="eastAsia"/>
        </w:rPr>
        <w:t>适中、擅长把握结构性行情、选</w:t>
      </w:r>
      <w:proofErr w:type="gramStart"/>
      <w:r w:rsidR="00564F30">
        <w:rPr>
          <w:rFonts w:ascii="楷体_GB2312" w:hint="eastAsia"/>
        </w:rPr>
        <w:t>股能力</w:t>
      </w:r>
      <w:proofErr w:type="gramEnd"/>
      <w:r w:rsidR="00564F30">
        <w:rPr>
          <w:rFonts w:ascii="楷体_GB2312" w:hint="eastAsia"/>
        </w:rPr>
        <w:t>突出的基金；其次，经过此轮大跌，不少灵活型基金已经把股票</w:t>
      </w:r>
      <w:proofErr w:type="gramStart"/>
      <w:r w:rsidR="00564F30">
        <w:rPr>
          <w:rFonts w:ascii="楷体_GB2312" w:hint="eastAsia"/>
        </w:rPr>
        <w:t>仓位</w:t>
      </w:r>
      <w:proofErr w:type="gramEnd"/>
      <w:r w:rsidR="00564F30">
        <w:rPr>
          <w:rFonts w:ascii="楷体_GB2312" w:hint="eastAsia"/>
        </w:rPr>
        <w:t>降低到较低水平，可甄选其中市场节奏把握能力较强的品种，一方面可抵御短期市场波动、平滑组合风险，另一方面随着市场</w:t>
      </w:r>
      <w:proofErr w:type="gramStart"/>
      <w:r w:rsidR="00564F30">
        <w:rPr>
          <w:rFonts w:ascii="楷体_GB2312" w:hint="eastAsia"/>
        </w:rPr>
        <w:t>底逐步</w:t>
      </w:r>
      <w:proofErr w:type="gramEnd"/>
      <w:r w:rsidR="00564F30">
        <w:rPr>
          <w:rFonts w:ascii="楷体_GB2312" w:hint="eastAsia"/>
        </w:rPr>
        <w:t>探明，此类基金在低位建仓以及灵活出击方面具备较强优势；最后，在风格上可</w:t>
      </w:r>
      <w:r w:rsidR="00564F30" w:rsidRPr="00CB0693">
        <w:rPr>
          <w:rFonts w:ascii="楷体_GB2312" w:hint="eastAsia"/>
        </w:rPr>
        <w:t>侧重</w:t>
      </w:r>
      <w:r w:rsidR="00564F30">
        <w:rPr>
          <w:rFonts w:ascii="楷体_GB2312" w:hint="eastAsia"/>
        </w:rPr>
        <w:t>具备估值优势、安全边际较强的</w:t>
      </w:r>
      <w:r w:rsidR="00564F30" w:rsidRPr="00CB0693">
        <w:rPr>
          <w:rFonts w:ascii="楷体_GB2312" w:hint="eastAsia"/>
        </w:rPr>
        <w:t>周期蓝</w:t>
      </w:r>
      <w:proofErr w:type="gramStart"/>
      <w:r w:rsidR="00564F30" w:rsidRPr="00CB0693">
        <w:rPr>
          <w:rFonts w:ascii="楷体_GB2312" w:hint="eastAsia"/>
        </w:rPr>
        <w:t>筹风格</w:t>
      </w:r>
      <w:proofErr w:type="gramEnd"/>
      <w:r w:rsidR="00564F30" w:rsidRPr="00CB0693">
        <w:rPr>
          <w:rFonts w:ascii="楷体_GB2312" w:hint="eastAsia"/>
        </w:rPr>
        <w:t>以及消费蓝</w:t>
      </w:r>
      <w:proofErr w:type="gramStart"/>
      <w:r w:rsidR="00564F30" w:rsidRPr="00CB0693">
        <w:rPr>
          <w:rFonts w:ascii="楷体_GB2312" w:hint="eastAsia"/>
        </w:rPr>
        <w:t>筹风格</w:t>
      </w:r>
      <w:proofErr w:type="gramEnd"/>
      <w:r w:rsidR="00564F30" w:rsidRPr="00CB0693">
        <w:rPr>
          <w:rFonts w:ascii="楷体_GB2312" w:hint="eastAsia"/>
        </w:rPr>
        <w:t>基金</w:t>
      </w:r>
      <w:r w:rsidR="00564F30">
        <w:rPr>
          <w:rFonts w:ascii="楷体_GB2312" w:hint="eastAsia"/>
        </w:rPr>
        <w:t>。</w:t>
      </w:r>
      <w:r w:rsidR="00274073" w:rsidRPr="00564F30">
        <w:rPr>
          <w:rFonts w:ascii="楷体_GB2312" w:hint="eastAsia"/>
          <w:color w:val="auto"/>
        </w:rPr>
        <w:t>具体来看：</w:t>
      </w:r>
    </w:p>
    <w:p w:rsidR="007E7F34" w:rsidRPr="007E7F34" w:rsidRDefault="006403B4" w:rsidP="006403B4">
      <w:pPr>
        <w:pStyle w:val="a0"/>
        <w:numPr>
          <w:ilvl w:val="5"/>
          <w:numId w:val="36"/>
        </w:numPr>
        <w:spacing w:line="240" w:lineRule="auto"/>
        <w:ind w:left="4140" w:hanging="369"/>
        <w:rPr>
          <w:rFonts w:ascii="楷体_GB2312"/>
          <w:color w:val="auto"/>
        </w:rPr>
      </w:pPr>
      <w:r>
        <w:rPr>
          <w:rFonts w:ascii="楷体_GB2312" w:hint="eastAsia"/>
          <w:color w:val="auto"/>
        </w:rPr>
        <w:t>首先，</w:t>
      </w:r>
      <w:r w:rsidR="00231051">
        <w:rPr>
          <w:rFonts w:hint="eastAsia"/>
          <w:color w:val="auto"/>
        </w:rPr>
        <w:t>市场还需要更多时间来重塑信心，尤其是短期市场包含了较多</w:t>
      </w:r>
      <w:proofErr w:type="gramStart"/>
      <w:r w:rsidR="00231051">
        <w:rPr>
          <w:rFonts w:hint="eastAsia"/>
          <w:color w:val="auto"/>
        </w:rPr>
        <w:t>国家队维稳的</w:t>
      </w:r>
      <w:proofErr w:type="gramEnd"/>
      <w:r w:rsidR="00231051">
        <w:rPr>
          <w:rFonts w:hint="eastAsia"/>
          <w:color w:val="auto"/>
        </w:rPr>
        <w:t>因素</w:t>
      </w:r>
      <w:r w:rsidR="00680960" w:rsidRPr="00160866">
        <w:rPr>
          <w:rFonts w:hint="eastAsia"/>
          <w:color w:val="auto"/>
        </w:rPr>
        <w:t>，</w:t>
      </w:r>
      <w:r w:rsidR="00231051">
        <w:rPr>
          <w:rFonts w:hint="eastAsia"/>
          <w:color w:val="auto"/>
        </w:rPr>
        <w:t>市场自发向上的力量还需要积蓄，反弹高度以及市场底部的确认仍充满不确定性</w:t>
      </w:r>
      <w:r w:rsidR="007E7F34">
        <w:rPr>
          <w:rFonts w:hint="eastAsia"/>
          <w:color w:val="auto"/>
        </w:rPr>
        <w:t>。</w:t>
      </w:r>
      <w:r w:rsidR="00231051">
        <w:rPr>
          <w:rFonts w:hint="eastAsia"/>
          <w:color w:val="auto"/>
        </w:rPr>
        <w:t>因此基金投资在</w:t>
      </w:r>
      <w:r w:rsidR="00680960" w:rsidRPr="00160866">
        <w:rPr>
          <w:rFonts w:hint="eastAsia"/>
          <w:color w:val="auto"/>
        </w:rPr>
        <w:t>短期仍以控制风险为前提，采用相对稳健的策略，</w:t>
      </w:r>
      <w:r w:rsidR="007E7F34">
        <w:rPr>
          <w:rFonts w:hint="eastAsia"/>
          <w:color w:val="auto"/>
        </w:rPr>
        <w:t>具体产品的选择上，那些股票</w:t>
      </w:r>
      <w:proofErr w:type="gramStart"/>
      <w:r w:rsidR="007E7F34">
        <w:rPr>
          <w:rFonts w:hint="eastAsia"/>
          <w:color w:val="auto"/>
        </w:rPr>
        <w:t>仓位</w:t>
      </w:r>
      <w:proofErr w:type="gramEnd"/>
      <w:r w:rsidR="007E7F34">
        <w:rPr>
          <w:rFonts w:hint="eastAsia"/>
          <w:color w:val="auto"/>
        </w:rPr>
        <w:t>相对中性、风险收益配比较好尤其是擅长在震荡市场环境中投资操作的产品，可作为短期配置的重点，以应对市场波动</w:t>
      </w:r>
      <w:r w:rsidR="00632052">
        <w:rPr>
          <w:rFonts w:hint="eastAsia"/>
          <w:color w:val="auto"/>
        </w:rPr>
        <w:t>、等待市场趋势明朗。</w:t>
      </w:r>
    </w:p>
    <w:p w:rsidR="00680960" w:rsidRPr="00E0002B" w:rsidRDefault="00680960" w:rsidP="006403B4">
      <w:pPr>
        <w:pStyle w:val="a0"/>
        <w:numPr>
          <w:ilvl w:val="5"/>
          <w:numId w:val="36"/>
        </w:numPr>
        <w:spacing w:line="240" w:lineRule="auto"/>
        <w:ind w:left="4140" w:hanging="369"/>
        <w:rPr>
          <w:rFonts w:ascii="楷体_GB2312"/>
          <w:color w:val="auto"/>
        </w:rPr>
      </w:pPr>
      <w:r w:rsidRPr="00E0002B">
        <w:rPr>
          <w:rFonts w:hint="eastAsia"/>
          <w:color w:val="auto"/>
        </w:rPr>
        <w:t>在这类产品的选择上，我们主要从</w:t>
      </w:r>
      <w:r w:rsidR="00632052" w:rsidRPr="00E0002B">
        <w:rPr>
          <w:rFonts w:hint="eastAsia"/>
          <w:color w:val="auto"/>
        </w:rPr>
        <w:t>股票</w:t>
      </w:r>
      <w:proofErr w:type="gramStart"/>
      <w:r w:rsidR="00632052" w:rsidRPr="00E0002B">
        <w:rPr>
          <w:rFonts w:hint="eastAsia"/>
          <w:color w:val="auto"/>
        </w:rPr>
        <w:t>仓位</w:t>
      </w:r>
      <w:proofErr w:type="gramEnd"/>
      <w:r w:rsidR="00632052" w:rsidRPr="00E0002B">
        <w:rPr>
          <w:rFonts w:hint="eastAsia"/>
          <w:color w:val="auto"/>
        </w:rPr>
        <w:t>的稳定性、</w:t>
      </w:r>
      <w:r w:rsidRPr="00E0002B">
        <w:rPr>
          <w:rFonts w:hint="eastAsia"/>
          <w:color w:val="auto"/>
        </w:rPr>
        <w:t>风险收益</w:t>
      </w:r>
      <w:r w:rsidR="00632052" w:rsidRPr="00E0002B">
        <w:rPr>
          <w:rFonts w:hint="eastAsia"/>
          <w:color w:val="auto"/>
        </w:rPr>
        <w:t>、选</w:t>
      </w:r>
      <w:proofErr w:type="gramStart"/>
      <w:r w:rsidR="00632052" w:rsidRPr="00E0002B">
        <w:rPr>
          <w:rFonts w:hint="eastAsia"/>
          <w:color w:val="auto"/>
        </w:rPr>
        <w:t>股能力</w:t>
      </w:r>
      <w:proofErr w:type="gramEnd"/>
      <w:r w:rsidRPr="00E0002B">
        <w:rPr>
          <w:rFonts w:hint="eastAsia"/>
          <w:color w:val="auto"/>
        </w:rPr>
        <w:t>等指标进行筛选。从下图表的结果来看，包括</w:t>
      </w:r>
      <w:r w:rsidR="00E0002B" w:rsidRPr="00E0002B">
        <w:rPr>
          <w:rFonts w:hint="eastAsia"/>
          <w:color w:val="auto"/>
        </w:rPr>
        <w:t>华商红利优选、兴全趋势、长盛同德、嘉实泰和、招商安泰股票、大成价值增长、建信优选成长、国联安小盘、国投新兴产业、银华领先策略、中欧新蓝筹、鹏华新兴产业、</w:t>
      </w:r>
      <w:proofErr w:type="gramStart"/>
      <w:r w:rsidR="00E0002B" w:rsidRPr="00E0002B">
        <w:rPr>
          <w:rFonts w:hint="eastAsia"/>
          <w:color w:val="auto"/>
        </w:rPr>
        <w:t>浦银生活</w:t>
      </w:r>
      <w:proofErr w:type="gramEnd"/>
      <w:r w:rsidR="00E0002B" w:rsidRPr="00E0002B">
        <w:rPr>
          <w:rFonts w:hint="eastAsia"/>
          <w:color w:val="auto"/>
        </w:rPr>
        <w:t>、富国天源、</w:t>
      </w:r>
      <w:proofErr w:type="gramStart"/>
      <w:r w:rsidR="00E0002B" w:rsidRPr="00E0002B">
        <w:rPr>
          <w:rFonts w:hint="eastAsia"/>
          <w:color w:val="auto"/>
        </w:rPr>
        <w:t>汇添富蓝</w:t>
      </w:r>
      <w:proofErr w:type="gramEnd"/>
      <w:r w:rsidR="00E0002B" w:rsidRPr="00E0002B">
        <w:rPr>
          <w:rFonts w:hint="eastAsia"/>
          <w:color w:val="auto"/>
        </w:rPr>
        <w:t>筹、华夏回报</w:t>
      </w:r>
      <w:r w:rsidRPr="00E0002B">
        <w:rPr>
          <w:rFonts w:hint="eastAsia"/>
          <w:color w:val="auto"/>
        </w:rPr>
        <w:t>等基金可关注。</w:t>
      </w:r>
    </w:p>
    <w:tbl>
      <w:tblPr>
        <w:tblStyle w:val="GJStylesChartInsertSingleCol"/>
        <w:tblW w:w="7370" w:type="dxa"/>
        <w:tblInd w:w="3402" w:type="dxa"/>
        <w:tblLook w:val="0600" w:firstRow="0" w:lastRow="0" w:firstColumn="0" w:lastColumn="0" w:noHBand="1" w:noVBand="1"/>
      </w:tblPr>
      <w:tblGrid>
        <w:gridCol w:w="7370"/>
      </w:tblGrid>
      <w:tr w:rsidR="001120FD" w:rsidTr="001120FD">
        <w:tc>
          <w:tcPr>
            <w:tcW w:w="7370" w:type="dxa"/>
          </w:tcPr>
          <w:p w:rsidR="001120FD" w:rsidRPr="001120FD" w:rsidRDefault="001120FD" w:rsidP="00825ADC">
            <w:pPr>
              <w:pStyle w:val="GJStylesGraphTitle"/>
            </w:pPr>
            <w:r>
              <w:rPr>
                <w:rFonts w:hint="eastAsia"/>
              </w:rPr>
              <w:t>图表</w:t>
            </w:r>
            <w:r w:rsidR="004F1BC7">
              <w:fldChar w:fldCharType="begin"/>
            </w:r>
            <w:r w:rsidR="004F1BC7">
              <w:instrText xml:space="preserve"> SEQ </w:instrText>
            </w:r>
            <w:r w:rsidR="004F1BC7">
              <w:instrText>图表</w:instrText>
            </w:r>
            <w:r w:rsidR="004F1BC7">
              <w:instrText xml:space="preserve"> \* ARABIC  \* MERGEFORMAT </w:instrText>
            </w:r>
            <w:r w:rsidR="004F1BC7">
              <w:fldChar w:fldCharType="separate"/>
            </w:r>
            <w:r w:rsidR="00B806F0">
              <w:rPr>
                <w:noProof/>
              </w:rPr>
              <w:t>1</w:t>
            </w:r>
            <w:r w:rsidR="004F1BC7">
              <w:rPr>
                <w:noProof/>
              </w:rPr>
              <w:fldChar w:fldCharType="end"/>
            </w:r>
            <w:r>
              <w:rPr>
                <w:rFonts w:hint="eastAsia"/>
              </w:rPr>
              <w:t>：</w:t>
            </w:r>
            <w:r w:rsidR="00825ADC">
              <w:rPr>
                <w:rFonts w:hint="eastAsia"/>
              </w:rPr>
              <w:t>股票</w:t>
            </w:r>
            <w:proofErr w:type="gramStart"/>
            <w:r w:rsidR="00825ADC">
              <w:rPr>
                <w:rFonts w:hint="eastAsia"/>
              </w:rPr>
              <w:t>仓位</w:t>
            </w:r>
            <w:proofErr w:type="gramEnd"/>
            <w:r w:rsidR="00825ADC">
              <w:rPr>
                <w:rFonts w:hint="eastAsia"/>
              </w:rPr>
              <w:t>相对中性，历史风险收益较好</w:t>
            </w:r>
            <w:proofErr w:type="gramStart"/>
            <w:r w:rsidR="00825ADC">
              <w:rPr>
                <w:rFonts w:hint="eastAsia"/>
              </w:rPr>
              <w:t>且选股能力</w:t>
            </w:r>
            <w:proofErr w:type="gramEnd"/>
            <w:r w:rsidR="00825ADC">
              <w:rPr>
                <w:rFonts w:hint="eastAsia"/>
              </w:rPr>
              <w:t>较强的产品</w:t>
            </w:r>
          </w:p>
        </w:tc>
      </w:tr>
      <w:tr w:rsidR="001120FD" w:rsidTr="001120FD">
        <w:trPr>
          <w:trHeight w:val="3509"/>
        </w:trPr>
        <w:tc>
          <w:tcPr>
            <w:tcW w:w="7370" w:type="dxa"/>
          </w:tcPr>
          <w:p w:rsidR="001120FD" w:rsidRPr="001120FD" w:rsidRDefault="00825ADC" w:rsidP="00825ADC">
            <w:pPr>
              <w:jc w:val="center"/>
            </w:pPr>
            <w:r>
              <w:rPr>
                <w:rFonts w:hint="eastAsia"/>
                <w:noProof/>
              </w:rPr>
              <w:drawing>
                <wp:inline distT="0" distB="0" distL="0" distR="0">
                  <wp:extent cx="3998302" cy="2482850"/>
                  <wp:effectExtent l="19050" t="0" r="2198"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998302" cy="2482850"/>
                          </a:xfrm>
                          <a:prstGeom prst="rect">
                            <a:avLst/>
                          </a:prstGeom>
                          <a:noFill/>
                          <a:ln w="9525">
                            <a:noFill/>
                            <a:miter lim="800000"/>
                            <a:headEnd/>
                            <a:tailEnd/>
                          </a:ln>
                        </pic:spPr>
                      </pic:pic>
                    </a:graphicData>
                  </a:graphic>
                </wp:inline>
              </w:drawing>
            </w:r>
          </w:p>
        </w:tc>
      </w:tr>
      <w:tr w:rsidR="001120FD" w:rsidTr="001120FD">
        <w:tc>
          <w:tcPr>
            <w:tcW w:w="7370" w:type="dxa"/>
          </w:tcPr>
          <w:p w:rsidR="001120FD" w:rsidRDefault="001120FD" w:rsidP="001120FD">
            <w:pPr>
              <w:pStyle w:val="GJStylesGraphSource"/>
            </w:pPr>
            <w:r>
              <w:rPr>
                <w:rFonts w:hint="eastAsia"/>
              </w:rPr>
              <w:t>来源：国金证券研究所</w:t>
            </w:r>
          </w:p>
        </w:tc>
      </w:tr>
    </w:tbl>
    <w:p w:rsidR="00EC5E42" w:rsidRPr="009D0F06" w:rsidRDefault="00954B18" w:rsidP="00EC5E42">
      <w:pPr>
        <w:pStyle w:val="a0"/>
        <w:numPr>
          <w:ilvl w:val="5"/>
          <w:numId w:val="36"/>
        </w:numPr>
        <w:spacing w:line="240" w:lineRule="auto"/>
        <w:ind w:left="4140" w:hanging="369"/>
        <w:rPr>
          <w:rFonts w:ascii="楷体_GB2312"/>
          <w:color w:val="auto"/>
        </w:rPr>
      </w:pPr>
      <w:r>
        <w:rPr>
          <w:rFonts w:ascii="楷体_GB2312" w:hint="eastAsia"/>
        </w:rPr>
        <w:t>其次，</w:t>
      </w:r>
      <w:r w:rsidR="009D0F06" w:rsidRPr="009D0F06">
        <w:rPr>
          <w:rFonts w:ascii="楷体_GB2312"/>
          <w:color w:val="auto"/>
        </w:rPr>
        <w:t>在经历</w:t>
      </w:r>
      <w:r w:rsidR="009D0F06">
        <w:rPr>
          <w:rFonts w:ascii="楷体_GB2312" w:hint="eastAsia"/>
          <w:color w:val="auto"/>
        </w:rPr>
        <w:t>8月份的</w:t>
      </w:r>
      <w:r w:rsidR="009D0F06" w:rsidRPr="009D0F06">
        <w:rPr>
          <w:rFonts w:ascii="楷体_GB2312"/>
          <w:color w:val="auto"/>
        </w:rPr>
        <w:t>二次暴跌后，</w:t>
      </w:r>
      <w:r w:rsidR="009D0F06">
        <w:rPr>
          <w:rFonts w:ascii="楷体_GB2312" w:hint="eastAsia"/>
          <w:color w:val="auto"/>
        </w:rPr>
        <w:t>投资者风险偏好进一步下降</w:t>
      </w:r>
      <w:r w:rsidRPr="009D0F06">
        <w:rPr>
          <w:rFonts w:ascii="楷体_GB2312" w:hint="eastAsia"/>
          <w:color w:val="auto"/>
        </w:rPr>
        <w:t>，不少灵活型基金已经把股票</w:t>
      </w:r>
      <w:proofErr w:type="gramStart"/>
      <w:r w:rsidRPr="009D0F06">
        <w:rPr>
          <w:rFonts w:ascii="楷体_GB2312" w:hint="eastAsia"/>
          <w:color w:val="auto"/>
        </w:rPr>
        <w:t>仓位</w:t>
      </w:r>
      <w:proofErr w:type="gramEnd"/>
      <w:r w:rsidRPr="009D0F06">
        <w:rPr>
          <w:rFonts w:ascii="楷体_GB2312" w:hint="eastAsia"/>
          <w:color w:val="auto"/>
        </w:rPr>
        <w:t>降低到</w:t>
      </w:r>
      <w:r w:rsidR="000D33D2">
        <w:rPr>
          <w:rFonts w:ascii="楷体_GB2312" w:hint="eastAsia"/>
          <w:color w:val="auto"/>
        </w:rPr>
        <w:t>较低</w:t>
      </w:r>
      <w:r w:rsidRPr="009D0F06">
        <w:rPr>
          <w:rFonts w:ascii="楷体_GB2312" w:hint="eastAsia"/>
          <w:color w:val="auto"/>
        </w:rPr>
        <w:t>水平，</w:t>
      </w:r>
      <w:r w:rsidR="000D33D2">
        <w:rPr>
          <w:rFonts w:ascii="楷体_GB2312" w:hint="eastAsia"/>
          <w:color w:val="auto"/>
        </w:rPr>
        <w:t>尽管市场底部尚未探明，但考虑</w:t>
      </w:r>
      <w:r w:rsidR="000D33D2" w:rsidRPr="000D33D2">
        <w:rPr>
          <w:rFonts w:ascii="楷体_GB2312" w:hint="eastAsia"/>
          <w:color w:val="auto"/>
        </w:rPr>
        <w:t>市场</w:t>
      </w:r>
      <w:r w:rsidR="000D33D2">
        <w:rPr>
          <w:rFonts w:ascii="楷体_GB2312" w:hint="eastAsia"/>
          <w:color w:val="auto"/>
        </w:rPr>
        <w:t>大幅下跌后</w:t>
      </w:r>
      <w:r w:rsidR="000D33D2" w:rsidRPr="000D33D2">
        <w:rPr>
          <w:rFonts w:ascii="楷体_GB2312" w:hint="eastAsia"/>
          <w:color w:val="auto"/>
        </w:rPr>
        <w:t>部分基本面良好的公司已经</w:t>
      </w:r>
      <w:r w:rsidR="000D33D2">
        <w:rPr>
          <w:rFonts w:ascii="楷体_GB2312" w:hint="eastAsia"/>
          <w:color w:val="auto"/>
        </w:rPr>
        <w:t>逐步</w:t>
      </w:r>
      <w:r w:rsidR="000D33D2" w:rsidRPr="000D33D2">
        <w:rPr>
          <w:rFonts w:ascii="楷体_GB2312" w:hint="eastAsia"/>
          <w:color w:val="auto"/>
        </w:rPr>
        <w:t>具备左侧</w:t>
      </w:r>
      <w:r w:rsidR="000D33D2">
        <w:rPr>
          <w:rFonts w:ascii="楷体_GB2312" w:hint="eastAsia"/>
          <w:color w:val="auto"/>
        </w:rPr>
        <w:t>布局的投资机会，</w:t>
      </w:r>
      <w:r w:rsidRPr="009D0F06">
        <w:rPr>
          <w:rFonts w:ascii="楷体_GB2312" w:hint="eastAsia"/>
          <w:color w:val="auto"/>
        </w:rPr>
        <w:t>可甄选</w:t>
      </w:r>
      <w:r w:rsidR="000D33D2">
        <w:rPr>
          <w:rFonts w:ascii="楷体_GB2312" w:hint="eastAsia"/>
          <w:color w:val="auto"/>
        </w:rPr>
        <w:t>当前股票</w:t>
      </w:r>
      <w:proofErr w:type="gramStart"/>
      <w:r w:rsidR="000D33D2">
        <w:rPr>
          <w:rFonts w:ascii="楷体_GB2312" w:hint="eastAsia"/>
          <w:color w:val="auto"/>
        </w:rPr>
        <w:t>仓位</w:t>
      </w:r>
      <w:proofErr w:type="gramEnd"/>
      <w:r w:rsidR="000D33D2">
        <w:rPr>
          <w:rFonts w:ascii="楷体_GB2312" w:hint="eastAsia"/>
          <w:color w:val="auto"/>
        </w:rPr>
        <w:t>较低、</w:t>
      </w:r>
      <w:r w:rsidR="00382B7B">
        <w:rPr>
          <w:rFonts w:ascii="楷体_GB2312" w:hint="eastAsia"/>
          <w:color w:val="auto"/>
        </w:rPr>
        <w:t>市场节奏把握能力较强的品种增强基金组合的弹性，</w:t>
      </w:r>
      <w:r w:rsidRPr="009D0F06">
        <w:rPr>
          <w:rFonts w:ascii="楷体_GB2312" w:hint="eastAsia"/>
          <w:color w:val="auto"/>
        </w:rPr>
        <w:t>一方面可抵御短期市场波动、平滑组合风险，另一</w:t>
      </w:r>
      <w:r w:rsidRPr="009D0F06">
        <w:rPr>
          <w:rFonts w:ascii="楷体_GB2312" w:hint="eastAsia"/>
          <w:color w:val="auto"/>
        </w:rPr>
        <w:lastRenderedPageBreak/>
        <w:t>方面随着市场</w:t>
      </w:r>
      <w:proofErr w:type="gramStart"/>
      <w:r w:rsidRPr="009D0F06">
        <w:rPr>
          <w:rFonts w:ascii="楷体_GB2312" w:hint="eastAsia"/>
          <w:color w:val="auto"/>
        </w:rPr>
        <w:t>底逐步</w:t>
      </w:r>
      <w:proofErr w:type="gramEnd"/>
      <w:r w:rsidRPr="009D0F06">
        <w:rPr>
          <w:rFonts w:ascii="楷体_GB2312" w:hint="eastAsia"/>
          <w:color w:val="auto"/>
        </w:rPr>
        <w:t>探明，此类基金在低位建仓以及灵活出击方面具备较强优势。</w:t>
      </w:r>
    </w:p>
    <w:p w:rsidR="004B406B" w:rsidRPr="004B406B" w:rsidRDefault="006A04D0" w:rsidP="004B406B">
      <w:pPr>
        <w:pStyle w:val="a0"/>
        <w:numPr>
          <w:ilvl w:val="5"/>
          <w:numId w:val="36"/>
        </w:numPr>
        <w:spacing w:line="240" w:lineRule="auto"/>
        <w:ind w:left="4140" w:hanging="369"/>
        <w:rPr>
          <w:color w:val="auto"/>
        </w:rPr>
      </w:pPr>
      <w:r>
        <w:rPr>
          <w:rFonts w:hint="eastAsia"/>
          <w:color w:val="auto"/>
        </w:rPr>
        <w:t>在这类产品的选择上，我们主要</w:t>
      </w:r>
      <w:r w:rsidR="00021CEA">
        <w:rPr>
          <w:rFonts w:hint="eastAsia"/>
          <w:color w:val="auto"/>
        </w:rPr>
        <w:t>结合</w:t>
      </w:r>
      <w:r>
        <w:rPr>
          <w:rFonts w:hint="eastAsia"/>
          <w:color w:val="auto"/>
        </w:rPr>
        <w:t>股票</w:t>
      </w:r>
      <w:proofErr w:type="gramStart"/>
      <w:r>
        <w:rPr>
          <w:rFonts w:hint="eastAsia"/>
          <w:color w:val="auto"/>
        </w:rPr>
        <w:t>仓位</w:t>
      </w:r>
      <w:proofErr w:type="gramEnd"/>
      <w:r>
        <w:rPr>
          <w:rFonts w:hint="eastAsia"/>
          <w:color w:val="auto"/>
        </w:rPr>
        <w:t>的</w:t>
      </w:r>
      <w:r w:rsidR="00021CEA">
        <w:rPr>
          <w:rFonts w:hint="eastAsia"/>
          <w:color w:val="auto"/>
        </w:rPr>
        <w:t>测算结果、历史的灵活操作能力</w:t>
      </w:r>
      <w:r>
        <w:rPr>
          <w:rFonts w:hint="eastAsia"/>
          <w:color w:val="auto"/>
        </w:rPr>
        <w:t>、</w:t>
      </w:r>
      <w:r w:rsidR="00021CEA">
        <w:rPr>
          <w:rFonts w:hint="eastAsia"/>
          <w:color w:val="auto"/>
        </w:rPr>
        <w:t>以及投资效果</w:t>
      </w:r>
      <w:r>
        <w:rPr>
          <w:rFonts w:hint="eastAsia"/>
          <w:color w:val="auto"/>
        </w:rPr>
        <w:t>等指标进行筛选</w:t>
      </w:r>
      <w:r w:rsidR="004B406B">
        <w:rPr>
          <w:rFonts w:hint="eastAsia"/>
          <w:color w:val="auto"/>
        </w:rPr>
        <w:t>，下图表中的测算</w:t>
      </w:r>
      <w:proofErr w:type="gramStart"/>
      <w:r w:rsidR="004B406B">
        <w:rPr>
          <w:rFonts w:hint="eastAsia"/>
          <w:color w:val="auto"/>
        </w:rPr>
        <w:t>贝塔值采用</w:t>
      </w:r>
      <w:proofErr w:type="gramEnd"/>
      <w:r w:rsidR="004B406B" w:rsidRPr="004B406B">
        <w:rPr>
          <w:rFonts w:hint="eastAsia"/>
          <w:color w:val="auto"/>
        </w:rPr>
        <w:t>7</w:t>
      </w:r>
      <w:r w:rsidR="004B406B" w:rsidRPr="004B406B">
        <w:rPr>
          <w:rFonts w:hint="eastAsia"/>
          <w:color w:val="auto"/>
        </w:rPr>
        <w:t>月份以来的数据进行计算，选</w:t>
      </w:r>
      <w:proofErr w:type="gramStart"/>
      <w:r w:rsidR="004B406B" w:rsidRPr="004B406B">
        <w:rPr>
          <w:rFonts w:hint="eastAsia"/>
          <w:color w:val="auto"/>
        </w:rPr>
        <w:t>股能力</w:t>
      </w:r>
      <w:proofErr w:type="gramEnd"/>
      <w:r w:rsidR="004B406B" w:rsidRPr="004B406B">
        <w:rPr>
          <w:rFonts w:hint="eastAsia"/>
          <w:color w:val="auto"/>
        </w:rPr>
        <w:t>以最近一年为时间统计周期包括国</w:t>
      </w:r>
      <w:proofErr w:type="gramStart"/>
      <w:r w:rsidR="004B406B" w:rsidRPr="004B406B">
        <w:rPr>
          <w:rFonts w:hint="eastAsia"/>
          <w:color w:val="auto"/>
        </w:rPr>
        <w:t>投美丽</w:t>
      </w:r>
      <w:proofErr w:type="gramEnd"/>
      <w:r w:rsidR="004B406B" w:rsidRPr="004B406B">
        <w:rPr>
          <w:rFonts w:hint="eastAsia"/>
          <w:color w:val="auto"/>
        </w:rPr>
        <w:t>中国、益民服务领先、农银区间收益、金鹰成分优选、兴全趋势、国泰聚信价值、嘉实泰和、富国低碳环保、西部新动向、</w:t>
      </w:r>
      <w:proofErr w:type="gramStart"/>
      <w:r w:rsidR="004B406B" w:rsidRPr="004B406B">
        <w:rPr>
          <w:rFonts w:ascii="楷体_GB2312" w:hint="eastAsia"/>
          <w:color w:val="auto"/>
        </w:rPr>
        <w:t>浦银战略</w:t>
      </w:r>
      <w:proofErr w:type="gramEnd"/>
      <w:r w:rsidR="004B406B" w:rsidRPr="004B406B">
        <w:rPr>
          <w:rFonts w:ascii="楷体_GB2312" w:hint="eastAsia"/>
          <w:color w:val="auto"/>
        </w:rPr>
        <w:t>新兴、广</w:t>
      </w:r>
      <w:proofErr w:type="gramStart"/>
      <w:r w:rsidR="004B406B" w:rsidRPr="004B406B">
        <w:rPr>
          <w:rFonts w:ascii="楷体_GB2312" w:hint="eastAsia"/>
          <w:color w:val="auto"/>
        </w:rPr>
        <w:t>发成长</w:t>
      </w:r>
      <w:proofErr w:type="gramEnd"/>
      <w:r w:rsidR="004B406B" w:rsidRPr="004B406B">
        <w:rPr>
          <w:rFonts w:ascii="楷体_GB2312" w:hint="eastAsia"/>
          <w:color w:val="auto"/>
        </w:rPr>
        <w:t>优选</w:t>
      </w:r>
      <w:r w:rsidR="004B406B" w:rsidRPr="004B406B">
        <w:rPr>
          <w:rFonts w:hint="eastAsia"/>
          <w:color w:val="auto"/>
        </w:rPr>
        <w:t>、兴全有机增长</w:t>
      </w:r>
      <w:r w:rsidR="004B406B" w:rsidRPr="004B406B">
        <w:rPr>
          <w:rFonts w:ascii="楷体_GB2312" w:hint="eastAsia"/>
          <w:color w:val="auto"/>
        </w:rPr>
        <w:t>等基金，都取得了不错的投资效果，对于这些灵活操作效果较好的产品可进行关注。</w:t>
      </w:r>
    </w:p>
    <w:tbl>
      <w:tblPr>
        <w:tblStyle w:val="GJStylesChartInsertSingleCol"/>
        <w:tblW w:w="7370" w:type="dxa"/>
        <w:tblInd w:w="3402" w:type="dxa"/>
        <w:tblLook w:val="0600" w:firstRow="0" w:lastRow="0" w:firstColumn="0" w:lastColumn="0" w:noHBand="1" w:noVBand="1"/>
      </w:tblPr>
      <w:tblGrid>
        <w:gridCol w:w="7370"/>
      </w:tblGrid>
      <w:tr w:rsidR="00DE17A5" w:rsidTr="00DE17A5">
        <w:tc>
          <w:tcPr>
            <w:tcW w:w="7370" w:type="dxa"/>
          </w:tcPr>
          <w:p w:rsidR="00DE17A5" w:rsidRPr="00DE17A5" w:rsidRDefault="00DE17A5" w:rsidP="004B406B">
            <w:pPr>
              <w:pStyle w:val="GJStylesGraphTitle"/>
            </w:pPr>
            <w:r>
              <w:rPr>
                <w:rFonts w:hint="eastAsia"/>
              </w:rPr>
              <w:t>图表</w:t>
            </w:r>
            <w:r w:rsidR="004F1BC7">
              <w:fldChar w:fldCharType="begin"/>
            </w:r>
            <w:r w:rsidR="004F1BC7">
              <w:instrText xml:space="preserve"> SEQ </w:instrText>
            </w:r>
            <w:r w:rsidR="004F1BC7">
              <w:instrText>图表</w:instrText>
            </w:r>
            <w:r w:rsidR="004F1BC7">
              <w:instrText xml:space="preserve"> \* A</w:instrText>
            </w:r>
            <w:r w:rsidR="004F1BC7">
              <w:instrText xml:space="preserve">RABIC  \* MERGEFORMAT </w:instrText>
            </w:r>
            <w:r w:rsidR="004F1BC7">
              <w:fldChar w:fldCharType="separate"/>
            </w:r>
            <w:r w:rsidR="00B806F0">
              <w:rPr>
                <w:noProof/>
              </w:rPr>
              <w:t>2</w:t>
            </w:r>
            <w:r w:rsidR="004F1BC7">
              <w:rPr>
                <w:noProof/>
              </w:rPr>
              <w:fldChar w:fldCharType="end"/>
            </w:r>
            <w:r>
              <w:rPr>
                <w:rFonts w:hint="eastAsia"/>
              </w:rPr>
              <w:t>：</w:t>
            </w:r>
            <w:r w:rsidR="004B406B">
              <w:rPr>
                <w:rFonts w:hint="eastAsia"/>
              </w:rPr>
              <w:t>当前股票</w:t>
            </w:r>
            <w:proofErr w:type="gramStart"/>
            <w:r w:rsidR="004B406B">
              <w:rPr>
                <w:rFonts w:hint="eastAsia"/>
              </w:rPr>
              <w:t>仓位</w:t>
            </w:r>
            <w:proofErr w:type="gramEnd"/>
            <w:r w:rsidR="004B406B">
              <w:rPr>
                <w:rFonts w:hint="eastAsia"/>
              </w:rPr>
              <w:t>较低、历史操作相对灵活</w:t>
            </w:r>
            <w:proofErr w:type="gramStart"/>
            <w:r w:rsidR="004B406B">
              <w:rPr>
                <w:rFonts w:hint="eastAsia"/>
              </w:rPr>
              <w:t>且选股能力</w:t>
            </w:r>
            <w:proofErr w:type="gramEnd"/>
            <w:r w:rsidR="004B406B">
              <w:rPr>
                <w:rFonts w:hint="eastAsia"/>
              </w:rPr>
              <w:t>较强的品种</w:t>
            </w:r>
          </w:p>
        </w:tc>
      </w:tr>
      <w:tr w:rsidR="00DE17A5" w:rsidTr="009A768F">
        <w:trPr>
          <w:trHeight w:val="2859"/>
        </w:trPr>
        <w:tc>
          <w:tcPr>
            <w:tcW w:w="7370" w:type="dxa"/>
          </w:tcPr>
          <w:p w:rsidR="00DE17A5" w:rsidRPr="00DE17A5" w:rsidRDefault="00C23523" w:rsidP="00EC6E6F">
            <w:pPr>
              <w:jc w:val="center"/>
            </w:pPr>
            <w:r>
              <w:rPr>
                <w:noProof/>
              </w:rPr>
              <w:drawing>
                <wp:inline distT="0" distB="0" distL="0" distR="0">
                  <wp:extent cx="3276600" cy="1966641"/>
                  <wp:effectExtent l="1905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277734" cy="1967322"/>
                          </a:xfrm>
                          <a:prstGeom prst="rect">
                            <a:avLst/>
                          </a:prstGeom>
                          <a:noFill/>
                          <a:ln w="9525">
                            <a:noFill/>
                            <a:miter lim="800000"/>
                            <a:headEnd/>
                            <a:tailEnd/>
                          </a:ln>
                        </pic:spPr>
                      </pic:pic>
                    </a:graphicData>
                  </a:graphic>
                </wp:inline>
              </w:drawing>
            </w:r>
          </w:p>
        </w:tc>
      </w:tr>
      <w:tr w:rsidR="00DE17A5" w:rsidTr="00DE17A5">
        <w:tc>
          <w:tcPr>
            <w:tcW w:w="7370" w:type="dxa"/>
          </w:tcPr>
          <w:p w:rsidR="00DE17A5" w:rsidRDefault="00DE17A5" w:rsidP="00DE17A5">
            <w:pPr>
              <w:pStyle w:val="GJStylesGraphSource"/>
            </w:pPr>
            <w:r>
              <w:rPr>
                <w:rFonts w:hint="eastAsia"/>
              </w:rPr>
              <w:t>来源：国金证券研究所</w:t>
            </w:r>
          </w:p>
        </w:tc>
      </w:tr>
    </w:tbl>
    <w:p w:rsidR="001B73D7" w:rsidRDefault="002F22C7" w:rsidP="00853C75">
      <w:pPr>
        <w:pStyle w:val="a0"/>
        <w:numPr>
          <w:ilvl w:val="5"/>
          <w:numId w:val="36"/>
        </w:numPr>
        <w:spacing w:line="240" w:lineRule="auto"/>
        <w:ind w:left="4140" w:hanging="369"/>
        <w:rPr>
          <w:rFonts w:ascii="楷体_GB2312"/>
          <w:color w:val="auto"/>
        </w:rPr>
      </w:pPr>
      <w:r>
        <w:rPr>
          <w:rFonts w:ascii="楷体_GB2312" w:hint="eastAsia"/>
          <w:color w:val="auto"/>
        </w:rPr>
        <w:t>最后</w:t>
      </w:r>
      <w:r w:rsidR="00EF25C2">
        <w:rPr>
          <w:rFonts w:ascii="楷体_GB2312" w:hint="eastAsia"/>
          <w:color w:val="auto"/>
        </w:rPr>
        <w:t>，</w:t>
      </w:r>
      <w:r w:rsidR="00401CA9" w:rsidRPr="00B601C0">
        <w:rPr>
          <w:rFonts w:ascii="楷体_GB2312" w:hint="eastAsia"/>
          <w:color w:val="auto"/>
        </w:rPr>
        <w:t>短期在风格搭配上，</w:t>
      </w:r>
      <w:r w:rsidR="00401CA9">
        <w:rPr>
          <w:rFonts w:ascii="楷体_GB2312" w:hint="eastAsia"/>
          <w:color w:val="auto"/>
        </w:rPr>
        <w:t>考虑近期市场风险的快速释放以及风险教育的深入，投资者也将逐步趋于理性，</w:t>
      </w:r>
      <w:r w:rsidR="00401CA9" w:rsidRPr="00976396">
        <w:rPr>
          <w:rFonts w:ascii="楷体_GB2312" w:hint="eastAsia"/>
          <w:color w:val="auto"/>
        </w:rPr>
        <w:t>市场</w:t>
      </w:r>
      <w:r w:rsidR="00401CA9">
        <w:rPr>
          <w:rFonts w:ascii="楷体_GB2312" w:hint="eastAsia"/>
          <w:color w:val="auto"/>
        </w:rPr>
        <w:t>或将</w:t>
      </w:r>
      <w:r w:rsidR="00401CA9" w:rsidRPr="00976396">
        <w:rPr>
          <w:rFonts w:ascii="楷体_GB2312" w:hint="eastAsia"/>
          <w:color w:val="auto"/>
        </w:rPr>
        <w:t>逐步</w:t>
      </w:r>
      <w:r w:rsidR="00401CA9">
        <w:rPr>
          <w:rFonts w:ascii="楷体_GB2312" w:hint="eastAsia"/>
          <w:color w:val="auto"/>
        </w:rPr>
        <w:t>回归业绩增长以及合理估值水平的匹配，</w:t>
      </w:r>
      <w:r w:rsidR="001B73D7">
        <w:rPr>
          <w:rFonts w:ascii="楷体_GB2312" w:hint="eastAsia"/>
          <w:color w:val="auto"/>
        </w:rPr>
        <w:t>尤其是今年滞涨的蓝</w:t>
      </w:r>
      <w:proofErr w:type="gramStart"/>
      <w:r w:rsidR="001B73D7">
        <w:rPr>
          <w:rFonts w:ascii="楷体_GB2312" w:hint="eastAsia"/>
          <w:color w:val="auto"/>
        </w:rPr>
        <w:t>筹风格</w:t>
      </w:r>
      <w:proofErr w:type="gramEnd"/>
      <w:r w:rsidR="001B73D7">
        <w:rPr>
          <w:rFonts w:ascii="楷体_GB2312" w:hint="eastAsia"/>
          <w:color w:val="auto"/>
        </w:rPr>
        <w:t>品种经过此轮下跌开始具备投资价值，投资者可适当侧重</w:t>
      </w:r>
      <w:r w:rsidR="001B73D7" w:rsidRPr="00B601C0">
        <w:rPr>
          <w:rFonts w:ascii="楷体_GB2312" w:hint="eastAsia"/>
          <w:color w:val="auto"/>
        </w:rPr>
        <w:t>周期蓝筹风格</w:t>
      </w:r>
      <w:r w:rsidR="001B73D7">
        <w:rPr>
          <w:rFonts w:ascii="楷体_GB2312" w:hint="eastAsia"/>
          <w:color w:val="auto"/>
        </w:rPr>
        <w:t>、</w:t>
      </w:r>
      <w:r w:rsidR="001B73D7" w:rsidRPr="00B601C0">
        <w:rPr>
          <w:rFonts w:ascii="楷体_GB2312" w:hint="eastAsia"/>
          <w:color w:val="auto"/>
        </w:rPr>
        <w:t>消费蓝</w:t>
      </w:r>
      <w:proofErr w:type="gramStart"/>
      <w:r w:rsidR="001B73D7" w:rsidRPr="00B601C0">
        <w:rPr>
          <w:rFonts w:ascii="楷体_GB2312" w:hint="eastAsia"/>
          <w:color w:val="auto"/>
        </w:rPr>
        <w:t>筹风格</w:t>
      </w:r>
      <w:proofErr w:type="gramEnd"/>
      <w:r w:rsidR="001B73D7" w:rsidRPr="00B601C0">
        <w:rPr>
          <w:rFonts w:ascii="楷体_GB2312" w:hint="eastAsia"/>
          <w:color w:val="auto"/>
        </w:rPr>
        <w:t>基金</w:t>
      </w:r>
      <w:r w:rsidR="001B73D7">
        <w:rPr>
          <w:rFonts w:ascii="楷体_GB2312" w:hint="eastAsia"/>
          <w:color w:val="auto"/>
        </w:rPr>
        <w:t>或者</w:t>
      </w:r>
      <w:r w:rsidR="001B73D7" w:rsidRPr="00976396">
        <w:rPr>
          <w:rFonts w:ascii="楷体_GB2312" w:hint="eastAsia"/>
          <w:color w:val="auto"/>
        </w:rPr>
        <w:t>立足中长期投资的价值型基金</w:t>
      </w:r>
      <w:r w:rsidR="001B73D7">
        <w:rPr>
          <w:rFonts w:ascii="楷体_GB2312" w:hint="eastAsia"/>
          <w:color w:val="auto"/>
        </w:rPr>
        <w:t>。而成长股虽然也经历了较大幅度的下跌且具备更好的弹性，但当前估值吸引力仍然不足，因此对于成长风格较明显的品种还需要</w:t>
      </w:r>
      <w:r w:rsidR="00755501">
        <w:rPr>
          <w:rFonts w:ascii="楷体_GB2312" w:hint="eastAsia"/>
          <w:color w:val="auto"/>
        </w:rPr>
        <w:t>保持</w:t>
      </w:r>
      <w:r w:rsidR="001B73D7">
        <w:rPr>
          <w:rFonts w:ascii="楷体_GB2312" w:hint="eastAsia"/>
          <w:color w:val="auto"/>
        </w:rPr>
        <w:t>谨慎。</w:t>
      </w:r>
    </w:p>
    <w:p w:rsidR="00632052" w:rsidRPr="00B806F0" w:rsidRDefault="00632052" w:rsidP="00632052">
      <w:pPr>
        <w:pStyle w:val="a0"/>
        <w:numPr>
          <w:ilvl w:val="5"/>
          <w:numId w:val="36"/>
        </w:numPr>
        <w:spacing w:line="240" w:lineRule="auto"/>
        <w:ind w:left="4140" w:hanging="369"/>
        <w:rPr>
          <w:rFonts w:ascii="楷体_GB2312"/>
          <w:color w:val="auto"/>
        </w:rPr>
      </w:pPr>
      <w:r w:rsidRPr="00B806F0">
        <w:rPr>
          <w:rFonts w:ascii="楷体_GB2312" w:hint="eastAsia"/>
          <w:color w:val="auto"/>
        </w:rPr>
        <w:t>对于此类基金的筛选，我们主要从</w:t>
      </w:r>
      <w:r w:rsidR="001B73D7" w:rsidRPr="00B806F0">
        <w:rPr>
          <w:rFonts w:ascii="楷体_GB2312" w:hint="eastAsia"/>
          <w:color w:val="auto"/>
        </w:rPr>
        <w:t>历史</w:t>
      </w:r>
      <w:r w:rsidRPr="00B806F0">
        <w:rPr>
          <w:rFonts w:ascii="楷体_GB2312" w:hint="eastAsia"/>
          <w:color w:val="auto"/>
        </w:rPr>
        <w:t>持仓结构</w:t>
      </w:r>
      <w:r w:rsidR="001B73D7" w:rsidRPr="00B806F0">
        <w:rPr>
          <w:rFonts w:ascii="楷体_GB2312" w:hint="eastAsia"/>
          <w:color w:val="auto"/>
        </w:rPr>
        <w:t>、近期对于基金行业配置的测算</w:t>
      </w:r>
      <w:r w:rsidRPr="00B806F0">
        <w:rPr>
          <w:rFonts w:ascii="楷体_GB2312" w:hint="eastAsia"/>
          <w:color w:val="auto"/>
        </w:rPr>
        <w:t>以及基金历史的投资管理能力比较，周期蓝筹风格、消费蓝</w:t>
      </w:r>
      <w:proofErr w:type="gramStart"/>
      <w:r w:rsidRPr="00B806F0">
        <w:rPr>
          <w:rFonts w:ascii="楷体_GB2312" w:hint="eastAsia"/>
          <w:color w:val="auto"/>
        </w:rPr>
        <w:t>筹风格</w:t>
      </w:r>
      <w:proofErr w:type="gramEnd"/>
      <w:r w:rsidRPr="00B806F0">
        <w:rPr>
          <w:rFonts w:ascii="楷体_GB2312" w:hint="eastAsia"/>
          <w:color w:val="auto"/>
        </w:rPr>
        <w:t>基金投资者可重点关注景顺能源基建、南方成份精选、华泰量化、长信金利、新华优选分红、工</w:t>
      </w:r>
      <w:proofErr w:type="gramStart"/>
      <w:r w:rsidRPr="00B806F0">
        <w:rPr>
          <w:rFonts w:ascii="楷体_GB2312" w:hint="eastAsia"/>
          <w:color w:val="auto"/>
        </w:rPr>
        <w:t>银金融</w:t>
      </w:r>
      <w:proofErr w:type="gramEnd"/>
      <w:r w:rsidRPr="00B806F0">
        <w:rPr>
          <w:rFonts w:ascii="楷体_GB2312" w:hint="eastAsia"/>
          <w:color w:val="auto"/>
        </w:rPr>
        <w:t>地产以及</w:t>
      </w:r>
      <w:r w:rsidR="00B806F0" w:rsidRPr="00B806F0">
        <w:rPr>
          <w:rFonts w:ascii="楷体_GB2312" w:hint="eastAsia"/>
          <w:color w:val="auto"/>
        </w:rPr>
        <w:t>南方医药保健</w:t>
      </w:r>
      <w:r w:rsidRPr="00B806F0">
        <w:rPr>
          <w:rFonts w:ascii="楷体_GB2312" w:hint="eastAsia"/>
          <w:color w:val="auto"/>
        </w:rPr>
        <w:t>、</w:t>
      </w:r>
      <w:r w:rsidR="00B806F0" w:rsidRPr="00B806F0">
        <w:rPr>
          <w:rFonts w:ascii="楷体_GB2312" w:hint="eastAsia"/>
          <w:color w:val="auto"/>
        </w:rPr>
        <w:t>中银动态策略</w:t>
      </w:r>
      <w:r w:rsidRPr="00B806F0">
        <w:rPr>
          <w:rFonts w:ascii="楷体_GB2312" w:hint="eastAsia"/>
          <w:color w:val="auto"/>
        </w:rPr>
        <w:t>、易方达</w:t>
      </w:r>
      <w:r w:rsidR="00B806F0" w:rsidRPr="00B806F0">
        <w:rPr>
          <w:rFonts w:ascii="楷体_GB2312" w:hint="eastAsia"/>
          <w:color w:val="auto"/>
        </w:rPr>
        <w:t>中小盘</w:t>
      </w:r>
      <w:r w:rsidRPr="00B806F0">
        <w:rPr>
          <w:rFonts w:ascii="楷体_GB2312" w:hint="eastAsia"/>
          <w:color w:val="auto"/>
        </w:rPr>
        <w:t>、工</w:t>
      </w:r>
      <w:proofErr w:type="gramStart"/>
      <w:r w:rsidRPr="00B806F0">
        <w:rPr>
          <w:rFonts w:ascii="楷体_GB2312" w:hint="eastAsia"/>
          <w:color w:val="auto"/>
        </w:rPr>
        <w:t>银消费</w:t>
      </w:r>
      <w:proofErr w:type="gramEnd"/>
      <w:r w:rsidRPr="00B806F0">
        <w:rPr>
          <w:rFonts w:ascii="楷体_GB2312" w:hint="eastAsia"/>
          <w:color w:val="auto"/>
        </w:rPr>
        <w:t>服务</w:t>
      </w:r>
      <w:r w:rsidR="00B806F0" w:rsidRPr="00B806F0">
        <w:rPr>
          <w:rFonts w:ascii="楷体_GB2312" w:hint="eastAsia"/>
          <w:color w:val="auto"/>
        </w:rPr>
        <w:t>、广发消费品、兴全社会</w:t>
      </w:r>
      <w:r w:rsidRPr="00B806F0">
        <w:rPr>
          <w:rFonts w:ascii="楷体_GB2312" w:hint="eastAsia"/>
          <w:color w:val="auto"/>
        </w:rPr>
        <w:t>等基金。</w:t>
      </w:r>
    </w:p>
    <w:tbl>
      <w:tblPr>
        <w:tblW w:w="10771" w:type="dxa"/>
        <w:tblLayout w:type="fixed"/>
        <w:tblLook w:val="07E0" w:firstRow="1" w:lastRow="1" w:firstColumn="1" w:lastColumn="1" w:noHBand="1" w:noVBand="1"/>
      </w:tblPr>
      <w:tblGrid>
        <w:gridCol w:w="5273"/>
        <w:gridCol w:w="226"/>
        <w:gridCol w:w="5272"/>
      </w:tblGrid>
      <w:tr w:rsidR="00401CA9" w:rsidRPr="001C5C76" w:rsidTr="003901A1">
        <w:tc>
          <w:tcPr>
            <w:tcW w:w="5273" w:type="dxa"/>
            <w:tcBorders>
              <w:top w:val="single" w:sz="4" w:space="0" w:color="00A0E9"/>
              <w:bottom w:val="single" w:sz="4" w:space="0" w:color="00A0E9"/>
            </w:tcBorders>
            <w:tcMar>
              <w:left w:w="0" w:type="dxa"/>
              <w:right w:w="0" w:type="dxa"/>
            </w:tcMar>
          </w:tcPr>
          <w:p w:rsidR="00401CA9" w:rsidRPr="001B71C3" w:rsidRDefault="00401CA9" w:rsidP="003901A1">
            <w:pPr>
              <w:pStyle w:val="GJStylesGraphTitle"/>
            </w:pPr>
            <w:r>
              <w:rPr>
                <w:rFonts w:hint="eastAsia"/>
              </w:rPr>
              <w:t>图表</w:t>
            </w:r>
            <w:r w:rsidR="004F1BC7">
              <w:fldChar w:fldCharType="begin"/>
            </w:r>
            <w:r w:rsidR="004F1BC7">
              <w:instrText xml:space="preserve"> SEQ </w:instrText>
            </w:r>
            <w:r w:rsidR="004F1BC7">
              <w:instrText>图表</w:instrText>
            </w:r>
            <w:r w:rsidR="004F1BC7">
              <w:instrText xml:space="preserve"> \* ARABIC  \* MERGEFORMAT </w:instrText>
            </w:r>
            <w:r w:rsidR="004F1BC7">
              <w:fldChar w:fldCharType="separate"/>
            </w:r>
            <w:r w:rsidR="00B806F0">
              <w:rPr>
                <w:noProof/>
              </w:rPr>
              <w:t>3</w:t>
            </w:r>
            <w:r w:rsidR="004F1BC7">
              <w:rPr>
                <w:noProof/>
              </w:rPr>
              <w:fldChar w:fldCharType="end"/>
            </w:r>
            <w:r>
              <w:rPr>
                <w:rFonts w:hint="eastAsia"/>
              </w:rPr>
              <w:t>：</w:t>
            </w:r>
            <w:r w:rsidRPr="001C5C76">
              <w:rPr>
                <w:rFonts w:hint="eastAsia"/>
                <w:color w:val="auto"/>
              </w:rPr>
              <w:t>部分周期蓝</w:t>
            </w:r>
            <w:proofErr w:type="gramStart"/>
            <w:r w:rsidRPr="001C5C76">
              <w:rPr>
                <w:rFonts w:hint="eastAsia"/>
                <w:color w:val="auto"/>
              </w:rPr>
              <w:t>筹风格</w:t>
            </w:r>
            <w:proofErr w:type="gramEnd"/>
            <w:r w:rsidRPr="001C5C76">
              <w:rPr>
                <w:rFonts w:hint="eastAsia"/>
                <w:color w:val="auto"/>
              </w:rPr>
              <w:t>基金</w:t>
            </w:r>
          </w:p>
        </w:tc>
        <w:tc>
          <w:tcPr>
            <w:tcW w:w="226" w:type="dxa"/>
            <w:tcMar>
              <w:left w:w="0" w:type="dxa"/>
              <w:right w:w="0" w:type="dxa"/>
            </w:tcMar>
          </w:tcPr>
          <w:p w:rsidR="00401CA9" w:rsidRPr="001C5C76" w:rsidRDefault="00401CA9" w:rsidP="003901A1">
            <w:pPr>
              <w:pStyle w:val="GJStylesGraphTitle"/>
              <w:rPr>
                <w:color w:val="auto"/>
              </w:rPr>
            </w:pPr>
          </w:p>
        </w:tc>
        <w:tc>
          <w:tcPr>
            <w:tcW w:w="5272" w:type="dxa"/>
            <w:tcBorders>
              <w:top w:val="single" w:sz="4" w:space="0" w:color="00A0E9"/>
              <w:bottom w:val="single" w:sz="4" w:space="0" w:color="00A0E9"/>
            </w:tcBorders>
            <w:tcMar>
              <w:left w:w="0" w:type="dxa"/>
              <w:right w:w="0" w:type="dxa"/>
            </w:tcMar>
          </w:tcPr>
          <w:p w:rsidR="00401CA9" w:rsidRPr="001C5C76" w:rsidRDefault="00401CA9" w:rsidP="003901A1">
            <w:pPr>
              <w:pStyle w:val="GJStylesGraphTitle"/>
              <w:rPr>
                <w:color w:val="auto"/>
              </w:rPr>
            </w:pPr>
            <w:r w:rsidRPr="001C5C76">
              <w:rPr>
                <w:rFonts w:hint="eastAsia"/>
                <w:color w:val="auto"/>
              </w:rPr>
              <w:t>图表</w:t>
            </w:r>
            <w:r w:rsidR="004F1BC7">
              <w:fldChar w:fldCharType="begin"/>
            </w:r>
            <w:r w:rsidR="004F1BC7">
              <w:instrText xml:space="preserve"> SEQ </w:instrText>
            </w:r>
            <w:r w:rsidR="004F1BC7">
              <w:instrText>图表</w:instrText>
            </w:r>
            <w:r w:rsidR="004F1BC7">
              <w:instrText xml:space="preserve"> \* ARABIC  \* MERGEFORMAT </w:instrText>
            </w:r>
            <w:r w:rsidR="004F1BC7">
              <w:fldChar w:fldCharType="separate"/>
            </w:r>
            <w:r w:rsidR="00B806F0" w:rsidRPr="00B806F0">
              <w:rPr>
                <w:noProof/>
                <w:color w:val="auto"/>
              </w:rPr>
              <w:t>4</w:t>
            </w:r>
            <w:r w:rsidR="004F1BC7">
              <w:rPr>
                <w:noProof/>
                <w:color w:val="auto"/>
              </w:rPr>
              <w:fldChar w:fldCharType="end"/>
            </w:r>
            <w:r w:rsidRPr="001C5C76">
              <w:rPr>
                <w:rFonts w:hint="eastAsia"/>
                <w:color w:val="auto"/>
              </w:rPr>
              <w:t>：部分</w:t>
            </w:r>
            <w:r>
              <w:rPr>
                <w:rFonts w:hint="eastAsia"/>
                <w:color w:val="auto"/>
              </w:rPr>
              <w:t>消费</w:t>
            </w:r>
            <w:r w:rsidRPr="001C5C76">
              <w:rPr>
                <w:rFonts w:hint="eastAsia"/>
                <w:color w:val="auto"/>
              </w:rPr>
              <w:t>蓝</w:t>
            </w:r>
            <w:proofErr w:type="gramStart"/>
            <w:r w:rsidRPr="001C5C76">
              <w:rPr>
                <w:rFonts w:hint="eastAsia"/>
                <w:color w:val="auto"/>
              </w:rPr>
              <w:t>筹风格</w:t>
            </w:r>
            <w:proofErr w:type="gramEnd"/>
            <w:r w:rsidRPr="001C5C76">
              <w:rPr>
                <w:rFonts w:hint="eastAsia"/>
                <w:color w:val="auto"/>
              </w:rPr>
              <w:t>基金</w:t>
            </w:r>
          </w:p>
        </w:tc>
      </w:tr>
      <w:tr w:rsidR="00401CA9" w:rsidTr="003901A1">
        <w:trPr>
          <w:trHeight w:val="3016"/>
        </w:trPr>
        <w:tc>
          <w:tcPr>
            <w:tcW w:w="5273" w:type="dxa"/>
            <w:tcBorders>
              <w:bottom w:val="single" w:sz="4" w:space="0" w:color="00A0E9"/>
            </w:tcBorders>
            <w:tcMar>
              <w:left w:w="0" w:type="dxa"/>
              <w:right w:w="0" w:type="dxa"/>
            </w:tcMar>
          </w:tcPr>
          <w:p w:rsidR="00401CA9" w:rsidRPr="001B71C3" w:rsidRDefault="00A63BD6" w:rsidP="003901A1">
            <w:r>
              <w:rPr>
                <w:noProof/>
              </w:rPr>
              <w:drawing>
                <wp:inline distT="0" distB="0" distL="0" distR="0">
                  <wp:extent cx="3289300" cy="1972332"/>
                  <wp:effectExtent l="19050" t="0" r="635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289300" cy="1972332"/>
                          </a:xfrm>
                          <a:prstGeom prst="rect">
                            <a:avLst/>
                          </a:prstGeom>
                          <a:noFill/>
                          <a:ln w="9525">
                            <a:noFill/>
                            <a:miter lim="800000"/>
                            <a:headEnd/>
                            <a:tailEnd/>
                          </a:ln>
                        </pic:spPr>
                      </pic:pic>
                    </a:graphicData>
                  </a:graphic>
                </wp:inline>
              </w:drawing>
            </w:r>
          </w:p>
        </w:tc>
        <w:tc>
          <w:tcPr>
            <w:tcW w:w="226" w:type="dxa"/>
            <w:tcMar>
              <w:left w:w="0" w:type="dxa"/>
              <w:right w:w="0" w:type="dxa"/>
            </w:tcMar>
          </w:tcPr>
          <w:p w:rsidR="00401CA9" w:rsidRPr="001C5C76" w:rsidRDefault="00401CA9" w:rsidP="003901A1">
            <w:pPr>
              <w:pStyle w:val="a0"/>
              <w:spacing w:line="240" w:lineRule="auto"/>
              <w:ind w:left="0"/>
              <w:rPr>
                <w:color w:val="auto"/>
              </w:rPr>
            </w:pPr>
          </w:p>
        </w:tc>
        <w:tc>
          <w:tcPr>
            <w:tcW w:w="5272" w:type="dxa"/>
            <w:tcBorders>
              <w:bottom w:val="single" w:sz="4" w:space="0" w:color="00A0E9"/>
            </w:tcBorders>
            <w:tcMar>
              <w:left w:w="0" w:type="dxa"/>
              <w:right w:w="0" w:type="dxa"/>
            </w:tcMar>
            <w:vAlign w:val="center"/>
          </w:tcPr>
          <w:p w:rsidR="00401CA9" w:rsidRPr="001B71C3" w:rsidRDefault="00B806F0" w:rsidP="00A63BD6">
            <w:pPr>
              <w:jc w:val="center"/>
            </w:pPr>
            <w:r>
              <w:rPr>
                <w:noProof/>
              </w:rPr>
              <w:drawing>
                <wp:inline distT="0" distB="0" distL="0" distR="0">
                  <wp:extent cx="3295650" cy="1976139"/>
                  <wp:effectExtent l="1905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295650" cy="1976139"/>
                          </a:xfrm>
                          <a:prstGeom prst="rect">
                            <a:avLst/>
                          </a:prstGeom>
                          <a:noFill/>
                          <a:ln w="9525">
                            <a:noFill/>
                            <a:miter lim="800000"/>
                            <a:headEnd/>
                            <a:tailEnd/>
                          </a:ln>
                        </pic:spPr>
                      </pic:pic>
                    </a:graphicData>
                  </a:graphic>
                </wp:inline>
              </w:drawing>
            </w:r>
          </w:p>
        </w:tc>
      </w:tr>
      <w:tr w:rsidR="00401CA9" w:rsidTr="003901A1">
        <w:tc>
          <w:tcPr>
            <w:tcW w:w="5273" w:type="dxa"/>
            <w:tcMar>
              <w:left w:w="0" w:type="dxa"/>
              <w:right w:w="0" w:type="dxa"/>
            </w:tcMar>
          </w:tcPr>
          <w:p w:rsidR="00401CA9" w:rsidRDefault="00401CA9" w:rsidP="003901A1">
            <w:pPr>
              <w:pStyle w:val="GJStylesGraphSource"/>
            </w:pPr>
            <w:r>
              <w:rPr>
                <w:rFonts w:hint="eastAsia"/>
              </w:rPr>
              <w:t>来源：国金证券研究所</w:t>
            </w:r>
          </w:p>
        </w:tc>
        <w:tc>
          <w:tcPr>
            <w:tcW w:w="226" w:type="dxa"/>
            <w:tcMar>
              <w:left w:w="0" w:type="dxa"/>
              <w:right w:w="0" w:type="dxa"/>
            </w:tcMar>
          </w:tcPr>
          <w:p w:rsidR="00401CA9" w:rsidRDefault="00401CA9" w:rsidP="003901A1">
            <w:pPr>
              <w:pStyle w:val="GJStylesGraphSource"/>
            </w:pPr>
          </w:p>
        </w:tc>
        <w:tc>
          <w:tcPr>
            <w:tcW w:w="5272" w:type="dxa"/>
            <w:tcMar>
              <w:left w:w="0" w:type="dxa"/>
              <w:right w:w="0" w:type="dxa"/>
            </w:tcMar>
          </w:tcPr>
          <w:p w:rsidR="00401CA9" w:rsidRDefault="00401CA9" w:rsidP="003901A1">
            <w:pPr>
              <w:pStyle w:val="GJStylesGraphSource"/>
            </w:pPr>
            <w:r>
              <w:rPr>
                <w:rFonts w:hint="eastAsia"/>
              </w:rPr>
              <w:t>来源：国金证券研究所</w:t>
            </w:r>
          </w:p>
        </w:tc>
      </w:tr>
    </w:tbl>
    <w:p w:rsidR="00EE1CC3" w:rsidRPr="00183075" w:rsidRDefault="00EE1CC3" w:rsidP="00EE1CC3">
      <w:pPr>
        <w:pStyle w:val="13"/>
        <w:rPr>
          <w:color w:val="auto"/>
        </w:rPr>
      </w:pPr>
      <w:r>
        <w:rPr>
          <w:rFonts w:hint="eastAsia"/>
          <w:color w:val="auto"/>
        </w:rPr>
        <w:lastRenderedPageBreak/>
        <w:t>第三部分</w:t>
      </w:r>
      <w:r w:rsidRPr="00183075">
        <w:rPr>
          <w:rFonts w:hint="eastAsia"/>
          <w:color w:val="auto"/>
        </w:rPr>
        <w:t>、</w:t>
      </w:r>
      <w:r w:rsidRPr="001509EC">
        <w:rPr>
          <w:rFonts w:hint="eastAsia"/>
          <w:color w:val="auto"/>
        </w:rPr>
        <w:t>基金池及</w:t>
      </w:r>
      <w:r w:rsidRPr="001509EC">
        <w:rPr>
          <w:rFonts w:hint="eastAsia"/>
          <w:color w:val="auto"/>
        </w:rPr>
        <w:t>201</w:t>
      </w:r>
      <w:r>
        <w:rPr>
          <w:rFonts w:hint="eastAsia"/>
          <w:color w:val="auto"/>
        </w:rPr>
        <w:t>5</w:t>
      </w:r>
      <w:r w:rsidRPr="001509EC">
        <w:rPr>
          <w:rFonts w:hint="eastAsia"/>
          <w:color w:val="auto"/>
        </w:rPr>
        <w:t>年</w:t>
      </w:r>
      <w:r w:rsidR="00B806F0">
        <w:rPr>
          <w:rFonts w:hint="eastAsia"/>
          <w:color w:val="auto"/>
        </w:rPr>
        <w:t>9</w:t>
      </w:r>
      <w:r w:rsidRPr="001509EC">
        <w:rPr>
          <w:rFonts w:hint="eastAsia"/>
          <w:color w:val="auto"/>
        </w:rPr>
        <w:t>月份基金组合推荐</w:t>
      </w:r>
    </w:p>
    <w:p w:rsidR="00EE1CC3" w:rsidRPr="00C237AD" w:rsidRDefault="00EE1CC3" w:rsidP="00EE1CC3">
      <w:pPr>
        <w:pStyle w:val="a0"/>
        <w:numPr>
          <w:ilvl w:val="4"/>
          <w:numId w:val="3"/>
        </w:numPr>
        <w:spacing w:after="240"/>
        <w:rPr>
          <w:color w:val="auto"/>
        </w:rPr>
      </w:pPr>
      <w:r w:rsidRPr="00C237AD">
        <w:rPr>
          <w:rFonts w:hint="eastAsia"/>
          <w:color w:val="auto"/>
        </w:rPr>
        <w:t>依据前面各部分对相关市场以及各类产品投资操作策略分析，下阶段重点关注基金池</w:t>
      </w:r>
      <w:r>
        <w:rPr>
          <w:rFonts w:hint="eastAsia"/>
          <w:color w:val="auto"/>
        </w:rPr>
        <w:t>如下：</w:t>
      </w:r>
    </w:p>
    <w:tbl>
      <w:tblPr>
        <w:tblW w:w="10772" w:type="dxa"/>
        <w:jc w:val="center"/>
        <w:tblBorders>
          <w:top w:val="single" w:sz="6" w:space="0" w:color="00B0F0"/>
          <w:bottom w:val="single" w:sz="6" w:space="0" w:color="00B0F0"/>
          <w:insideH w:val="single" w:sz="6" w:space="0" w:color="00B0F0"/>
        </w:tblBorders>
        <w:tblLayout w:type="fixed"/>
        <w:tblCellMar>
          <w:left w:w="0" w:type="dxa"/>
          <w:right w:w="0" w:type="dxa"/>
        </w:tblCellMar>
        <w:tblLook w:val="0000" w:firstRow="0" w:lastRow="0" w:firstColumn="0" w:lastColumn="0" w:noHBand="0" w:noVBand="0"/>
      </w:tblPr>
      <w:tblGrid>
        <w:gridCol w:w="2042"/>
        <w:gridCol w:w="8730"/>
      </w:tblGrid>
      <w:tr w:rsidR="00EE1CC3" w:rsidTr="00735BBD">
        <w:trPr>
          <w:cantSplit/>
          <w:trHeight w:val="200"/>
          <w:tblHeader/>
          <w:jc w:val="center"/>
        </w:trPr>
        <w:tc>
          <w:tcPr>
            <w:tcW w:w="10772" w:type="dxa"/>
            <w:gridSpan w:val="2"/>
            <w:tcBorders>
              <w:bottom w:val="single" w:sz="6" w:space="0" w:color="00B0F0"/>
            </w:tcBorders>
            <w:shd w:val="clear" w:color="auto" w:fill="auto"/>
          </w:tcPr>
          <w:p w:rsidR="00EE1CC3" w:rsidRDefault="00EE1CC3" w:rsidP="00735BBD">
            <w:pPr>
              <w:pStyle w:val="SubTitleLargeTable"/>
            </w:pPr>
            <w:r>
              <w:rPr>
                <w:rFonts w:hint="eastAsia"/>
              </w:rPr>
              <w:t>图表</w:t>
            </w:r>
            <w:r w:rsidR="00411ADD">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411ADD">
              <w:fldChar w:fldCharType="separate"/>
            </w:r>
            <w:r w:rsidR="00B806F0">
              <w:rPr>
                <w:noProof/>
              </w:rPr>
              <w:t>5</w:t>
            </w:r>
            <w:r w:rsidR="00411ADD">
              <w:fldChar w:fldCharType="end"/>
            </w:r>
            <w:r>
              <w:rPr>
                <w:rFonts w:hint="eastAsia"/>
              </w:rPr>
              <w:t>：基金池推荐（按字母顺序排列）</w:t>
            </w:r>
          </w:p>
        </w:tc>
      </w:tr>
      <w:tr w:rsidR="00EE1CC3" w:rsidTr="00735BBD">
        <w:trPr>
          <w:cantSplit/>
          <w:trHeight w:val="340"/>
          <w:jc w:val="center"/>
        </w:trPr>
        <w:tc>
          <w:tcPr>
            <w:tcW w:w="2042" w:type="dxa"/>
            <w:tcBorders>
              <w:bottom w:val="single" w:sz="6" w:space="0" w:color="D9D9D9"/>
              <w:right w:val="single" w:sz="6" w:space="0" w:color="D9D9D9"/>
            </w:tcBorders>
            <w:shd w:val="clear" w:color="auto" w:fill="auto"/>
            <w:vAlign w:val="center"/>
          </w:tcPr>
          <w:p w:rsidR="00EE1CC3" w:rsidRPr="00F84181" w:rsidRDefault="00EE1CC3" w:rsidP="00735BBD">
            <w:pPr>
              <w:jc w:val="center"/>
              <w:rPr>
                <w:rFonts w:ascii="宋体" w:eastAsia="宋体" w:hAnsi="宋体" w:cs="宋体"/>
                <w:b/>
                <w:bCs/>
                <w:szCs w:val="18"/>
              </w:rPr>
            </w:pPr>
            <w:r w:rsidRPr="00F84181">
              <w:rPr>
                <w:rFonts w:ascii="宋体" w:eastAsia="宋体" w:hAnsi="宋体" w:hint="eastAsia"/>
                <w:b/>
                <w:bCs/>
                <w:szCs w:val="18"/>
              </w:rPr>
              <w:t>股票型基金</w:t>
            </w:r>
          </w:p>
        </w:tc>
        <w:tc>
          <w:tcPr>
            <w:tcW w:w="8730" w:type="dxa"/>
            <w:tcBorders>
              <w:left w:val="single" w:sz="6" w:space="0" w:color="D9D9D9"/>
              <w:bottom w:val="single" w:sz="6" w:space="0" w:color="D9D9D9"/>
            </w:tcBorders>
            <w:shd w:val="clear" w:color="auto" w:fill="auto"/>
            <w:vAlign w:val="center"/>
          </w:tcPr>
          <w:p w:rsidR="00EE1CC3" w:rsidRPr="00220F11" w:rsidRDefault="00EE1CC3" w:rsidP="00735BBD">
            <w:pPr>
              <w:jc w:val="center"/>
              <w:rPr>
                <w:rFonts w:ascii="宋体" w:eastAsia="宋体" w:hAnsi="宋体" w:cs="宋体"/>
                <w:b/>
                <w:color w:val="000000"/>
                <w:szCs w:val="18"/>
              </w:rPr>
            </w:pPr>
            <w:r w:rsidRPr="00220F11">
              <w:rPr>
                <w:rFonts w:ascii="宋体" w:eastAsia="宋体" w:hAnsi="宋体" w:cs="宋体" w:hint="eastAsia"/>
                <w:b/>
                <w:color w:val="000000"/>
                <w:szCs w:val="18"/>
              </w:rPr>
              <w:t>推荐理由</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宝盈策略</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基金经理具备较强的投资管理能力，无论是择时还是选股指标都在同业中表现突出</w:t>
            </w:r>
            <w:r w:rsidRPr="009A36BC">
              <w:rPr>
                <w:rFonts w:ascii="宋体" w:eastAsia="宋体" w:hAnsi="宋体" w:hint="eastAsia"/>
                <w:szCs w:val="18"/>
              </w:rPr>
              <w:t>。</w:t>
            </w:r>
            <w:r>
              <w:rPr>
                <w:rFonts w:ascii="宋体" w:eastAsia="宋体" w:hAnsi="宋体" w:hint="eastAsia"/>
                <w:szCs w:val="18"/>
              </w:rPr>
              <w:t>基金侧重成长风格投资，同时在国企改革、军工等主题投资领域上关注较多。</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455ED2" w:rsidRDefault="00CB70A6" w:rsidP="00FE5D57">
            <w:pPr>
              <w:jc w:val="center"/>
              <w:rPr>
                <w:rFonts w:ascii="宋体" w:eastAsia="宋体" w:hAnsi="宋体"/>
                <w:b/>
                <w:szCs w:val="18"/>
              </w:rPr>
            </w:pPr>
            <w:r>
              <w:rPr>
                <w:rFonts w:ascii="宋体" w:eastAsia="宋体" w:hAnsi="宋体" w:hint="eastAsia"/>
                <w:b/>
                <w:szCs w:val="18"/>
              </w:rPr>
              <w:t>大</w:t>
            </w:r>
            <w:proofErr w:type="gramStart"/>
            <w:r>
              <w:rPr>
                <w:rFonts w:ascii="宋体" w:eastAsia="宋体" w:hAnsi="宋体" w:hint="eastAsia"/>
                <w:b/>
                <w:szCs w:val="18"/>
              </w:rPr>
              <w:t>摩主题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主题投资基金，无论在2014年还是2015年以来均对主题投资有较好的把握，且具有较高的灵活性。</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工</w:t>
            </w:r>
            <w:proofErr w:type="gramStart"/>
            <w:r>
              <w:rPr>
                <w:rFonts w:ascii="宋体" w:eastAsia="宋体" w:hAnsi="宋体" w:hint="eastAsia"/>
                <w:b/>
                <w:szCs w:val="18"/>
              </w:rPr>
              <w:t>银金融</w:t>
            </w:r>
            <w:proofErr w:type="gramEnd"/>
            <w:r>
              <w:rPr>
                <w:rFonts w:ascii="宋体" w:eastAsia="宋体" w:hAnsi="宋体" w:hint="eastAsia"/>
                <w:b/>
                <w:szCs w:val="18"/>
              </w:rPr>
              <w:t>地产</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Default="00CB70A6" w:rsidP="00FE5D57">
            <w:pPr>
              <w:jc w:val="left"/>
              <w:rPr>
                <w:rFonts w:ascii="宋体" w:eastAsia="宋体" w:hAnsi="宋体"/>
                <w:szCs w:val="18"/>
              </w:rPr>
            </w:pPr>
            <w:r>
              <w:rPr>
                <w:rFonts w:ascii="宋体" w:eastAsia="宋体" w:hAnsi="宋体" w:hint="eastAsia"/>
                <w:szCs w:val="18"/>
              </w:rPr>
              <w:t>重点投资于金融地产行业，且从投资风格来看在选股上具有较高的灵活度，在2014年对市场投资机会有突出的把握，在相关行业投资机会较为明显的市场环境中，可重点关注。</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广发行业领先</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Default="00CB70A6" w:rsidP="00FE5D57">
            <w:pPr>
              <w:jc w:val="left"/>
              <w:rPr>
                <w:rFonts w:ascii="宋体" w:eastAsia="宋体" w:hAnsi="宋体"/>
                <w:szCs w:val="18"/>
              </w:rPr>
            </w:pPr>
            <w:r>
              <w:rPr>
                <w:rFonts w:ascii="宋体" w:eastAsia="宋体" w:hAnsi="宋体" w:hint="eastAsia"/>
                <w:szCs w:val="18"/>
              </w:rPr>
              <w:t>行业配置均衡，注重自下而上的选择，具备突出的选股能力，管理业绩具有较好的持续性。</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广发消费品</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bCs/>
                <w:szCs w:val="18"/>
              </w:rPr>
              <w:t>侧重消费蓝</w:t>
            </w:r>
            <w:proofErr w:type="gramStart"/>
            <w:r>
              <w:rPr>
                <w:rFonts w:ascii="宋体" w:eastAsia="宋体" w:hAnsi="宋体" w:hint="eastAsia"/>
                <w:bCs/>
                <w:szCs w:val="18"/>
              </w:rPr>
              <w:t>筹板块</w:t>
            </w:r>
            <w:proofErr w:type="gramEnd"/>
            <w:r>
              <w:rPr>
                <w:rFonts w:ascii="宋体" w:eastAsia="宋体" w:hAnsi="宋体" w:hint="eastAsia"/>
                <w:bCs/>
                <w:szCs w:val="18"/>
              </w:rPr>
              <w:t>投资，风格较为稳健，在今年消费类板块滞涨、具备估值优势的背景下适当关注。</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455ED2" w:rsidRDefault="00CB70A6" w:rsidP="00FE5D57">
            <w:pPr>
              <w:jc w:val="center"/>
              <w:rPr>
                <w:rFonts w:ascii="宋体" w:eastAsia="宋体" w:hAnsi="宋体"/>
                <w:b/>
                <w:szCs w:val="18"/>
              </w:rPr>
            </w:pPr>
            <w:r>
              <w:rPr>
                <w:rFonts w:ascii="宋体" w:eastAsia="宋体" w:hAnsi="宋体" w:hint="eastAsia"/>
                <w:b/>
                <w:szCs w:val="18"/>
              </w:rPr>
              <w:t>华安逆向策略</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1C05C8">
              <w:rPr>
                <w:rFonts w:ascii="宋体" w:eastAsia="宋体" w:hAnsi="宋体" w:hint="eastAsia"/>
                <w:szCs w:val="18"/>
              </w:rPr>
              <w:t>重点投资于价值被低估的股票</w:t>
            </w:r>
            <w:r>
              <w:rPr>
                <w:rFonts w:ascii="宋体" w:eastAsia="宋体" w:hAnsi="宋体" w:hint="eastAsia"/>
                <w:szCs w:val="18"/>
              </w:rPr>
              <w:t>，价值特征显著，投资风格稳健且具备一定的灵活性，在震荡市场环境中具备一定的优势。</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华商主题</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E6457A">
              <w:rPr>
                <w:rFonts w:ascii="宋体" w:eastAsia="宋体" w:hAnsi="宋体" w:hint="eastAsia"/>
                <w:szCs w:val="18"/>
              </w:rPr>
              <w:t>关注经济结构转型过程中新兴产业的投资方向，坚持自下而上的投资策略，股票</w:t>
            </w:r>
            <w:proofErr w:type="gramStart"/>
            <w:r w:rsidRPr="00E6457A">
              <w:rPr>
                <w:rFonts w:ascii="宋体" w:eastAsia="宋体" w:hAnsi="宋体" w:hint="eastAsia"/>
                <w:szCs w:val="18"/>
              </w:rPr>
              <w:t>仓位</w:t>
            </w:r>
            <w:proofErr w:type="gramEnd"/>
            <w:r w:rsidRPr="00E6457A">
              <w:rPr>
                <w:rFonts w:ascii="宋体" w:eastAsia="宋体" w:hAnsi="宋体" w:hint="eastAsia"/>
                <w:szCs w:val="18"/>
              </w:rPr>
              <w:t>保持基本稳定且</w:t>
            </w:r>
            <w:proofErr w:type="gramStart"/>
            <w:r w:rsidRPr="00E6457A">
              <w:rPr>
                <w:rFonts w:ascii="宋体" w:eastAsia="宋体" w:hAnsi="宋体" w:hint="eastAsia"/>
                <w:szCs w:val="18"/>
              </w:rPr>
              <w:t>仓位</w:t>
            </w:r>
            <w:proofErr w:type="gramEnd"/>
            <w:r w:rsidRPr="00E6457A">
              <w:rPr>
                <w:rFonts w:ascii="宋体" w:eastAsia="宋体" w:hAnsi="宋体" w:hint="eastAsia"/>
                <w:szCs w:val="18"/>
              </w:rPr>
              <w:t>较高，选</w:t>
            </w:r>
            <w:proofErr w:type="gramStart"/>
            <w:r w:rsidRPr="00E6457A">
              <w:rPr>
                <w:rFonts w:ascii="宋体" w:eastAsia="宋体" w:hAnsi="宋体" w:hint="eastAsia"/>
                <w:szCs w:val="18"/>
              </w:rPr>
              <w:t>股能力</w:t>
            </w:r>
            <w:proofErr w:type="gramEnd"/>
            <w:r w:rsidRPr="00E6457A">
              <w:rPr>
                <w:rFonts w:ascii="宋体" w:eastAsia="宋体" w:hAnsi="宋体" w:hint="eastAsia"/>
                <w:szCs w:val="18"/>
              </w:rPr>
              <w:t>突出，且高持股集中度。重仓股相对稳定，中长期持有的特征明显，近年来实现了</w:t>
            </w:r>
            <w:r>
              <w:rPr>
                <w:rFonts w:ascii="宋体" w:eastAsia="宋体" w:hAnsi="宋体" w:hint="eastAsia"/>
                <w:szCs w:val="18"/>
              </w:rPr>
              <w:t>较好</w:t>
            </w:r>
            <w:r w:rsidRPr="00E6457A">
              <w:rPr>
                <w:rFonts w:ascii="宋体" w:eastAsia="宋体" w:hAnsi="宋体" w:hint="eastAsia"/>
                <w:szCs w:val="18"/>
              </w:rPr>
              <w:t>的业绩持续性。</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华泰量化增强</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5E20B7">
              <w:rPr>
                <w:rFonts w:ascii="宋体" w:eastAsia="宋体" w:hAnsi="宋体" w:hint="eastAsia"/>
                <w:szCs w:val="18"/>
              </w:rPr>
              <w:t>基金成立以来的运作体现了其量化模型的科学有效性，在展现出良好选</w:t>
            </w:r>
            <w:proofErr w:type="gramStart"/>
            <w:r w:rsidRPr="005E20B7">
              <w:rPr>
                <w:rFonts w:ascii="宋体" w:eastAsia="宋体" w:hAnsi="宋体" w:hint="eastAsia"/>
                <w:szCs w:val="18"/>
              </w:rPr>
              <w:t>股能力</w:t>
            </w:r>
            <w:proofErr w:type="gramEnd"/>
            <w:r w:rsidRPr="005E20B7">
              <w:rPr>
                <w:rFonts w:ascii="宋体" w:eastAsia="宋体" w:hAnsi="宋体" w:hint="eastAsia"/>
                <w:szCs w:val="18"/>
              </w:rPr>
              <w:t>的同时，也较好控制了投资风险。基金的持股平均期限相对长，整体体现了其</w:t>
            </w:r>
            <w:proofErr w:type="gramStart"/>
            <w:r w:rsidRPr="005E20B7">
              <w:rPr>
                <w:rFonts w:ascii="宋体" w:eastAsia="宋体" w:hAnsi="宋体" w:hint="eastAsia"/>
                <w:szCs w:val="18"/>
              </w:rPr>
              <w:t>“</w:t>
            </w:r>
            <w:proofErr w:type="gramEnd"/>
            <w:r w:rsidRPr="005E20B7">
              <w:rPr>
                <w:rFonts w:ascii="宋体" w:eastAsia="宋体" w:hAnsi="宋体" w:hint="eastAsia"/>
                <w:szCs w:val="18"/>
              </w:rPr>
              <w:t>基于基本面信息的“中长”持有期的选股模型</w:t>
            </w:r>
            <w:proofErr w:type="gramStart"/>
            <w:r w:rsidRPr="005E20B7">
              <w:rPr>
                <w:rFonts w:ascii="宋体" w:eastAsia="宋体" w:hAnsi="宋体" w:hint="eastAsia"/>
                <w:szCs w:val="18"/>
              </w:rPr>
              <w:t>”</w:t>
            </w:r>
            <w:proofErr w:type="gramEnd"/>
            <w:r w:rsidRPr="005E20B7">
              <w:rPr>
                <w:rFonts w:ascii="宋体" w:eastAsia="宋体" w:hAnsi="宋体" w:hint="eastAsia"/>
                <w:szCs w:val="18"/>
              </w:rPr>
              <w:t>的投资思路。</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嘉实领先成长</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E6457A">
              <w:rPr>
                <w:rFonts w:ascii="宋体" w:eastAsia="宋体" w:hAnsi="宋体" w:hint="eastAsia"/>
                <w:szCs w:val="18"/>
              </w:rPr>
              <w:t>基金组合配置较为稳定，主要着眼于长期投资前景，重点对消费、医药、服务等行业板块进行核心配置</w:t>
            </w:r>
            <w:r>
              <w:rPr>
                <w:rFonts w:ascii="宋体" w:eastAsia="宋体" w:hAnsi="宋体" w:hint="eastAsia"/>
                <w:szCs w:val="18"/>
              </w:rPr>
              <w:t>。中长期管理业绩更为突出，具备良好的选股能力。</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t>嘉</w:t>
            </w:r>
            <w:proofErr w:type="gramStart"/>
            <w:r w:rsidRPr="009A36BC">
              <w:rPr>
                <w:rFonts w:ascii="宋体" w:eastAsia="宋体" w:hAnsi="宋体" w:hint="eastAsia"/>
                <w:b/>
                <w:szCs w:val="18"/>
              </w:rPr>
              <w:t>实</w:t>
            </w:r>
            <w:r>
              <w:rPr>
                <w:rFonts w:ascii="宋体" w:eastAsia="宋体" w:hAnsi="宋体" w:hint="eastAsia"/>
                <w:b/>
                <w:szCs w:val="18"/>
              </w:rPr>
              <w:t>研究</w:t>
            </w:r>
            <w:proofErr w:type="gramEnd"/>
            <w:r w:rsidRPr="009A36BC">
              <w:rPr>
                <w:rFonts w:ascii="宋体" w:eastAsia="宋体" w:hAnsi="宋体" w:hint="eastAsia"/>
                <w:b/>
                <w:szCs w:val="18"/>
              </w:rPr>
              <w:t>精选</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成立以来显示出长期稳定且优异的业绩特征，建立在良好选</w:t>
            </w:r>
            <w:proofErr w:type="gramStart"/>
            <w:r w:rsidRPr="009A36BC">
              <w:rPr>
                <w:rFonts w:ascii="宋体" w:eastAsia="宋体" w:hAnsi="宋体" w:hint="eastAsia"/>
                <w:szCs w:val="18"/>
              </w:rPr>
              <w:t>股能力</w:t>
            </w:r>
            <w:proofErr w:type="gramEnd"/>
            <w:r w:rsidRPr="009A36BC">
              <w:rPr>
                <w:rFonts w:ascii="宋体" w:eastAsia="宋体" w:hAnsi="宋体" w:hint="eastAsia"/>
                <w:szCs w:val="18"/>
              </w:rPr>
              <w:t>基础上的适度集中投资和策略灵活调整，是嘉</w:t>
            </w:r>
            <w:proofErr w:type="gramStart"/>
            <w:r w:rsidRPr="009A36BC">
              <w:rPr>
                <w:rFonts w:ascii="宋体" w:eastAsia="宋体" w:hAnsi="宋体" w:hint="eastAsia"/>
                <w:szCs w:val="18"/>
              </w:rPr>
              <w:t>实研究</w:t>
            </w:r>
            <w:proofErr w:type="gramEnd"/>
            <w:r w:rsidRPr="009A36BC">
              <w:rPr>
                <w:rFonts w:ascii="宋体" w:eastAsia="宋体" w:hAnsi="宋体" w:hint="eastAsia"/>
                <w:szCs w:val="18"/>
              </w:rPr>
              <w:t>精选基金获得超额收益的主要来源，基金在风格上侧重成长，对成长股有不错的把握能力。</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南方精选</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由于投资范围为沪深300样本股，因此低估值蓝</w:t>
            </w:r>
            <w:proofErr w:type="gramStart"/>
            <w:r>
              <w:rPr>
                <w:rFonts w:ascii="宋体" w:eastAsia="宋体" w:hAnsi="宋体" w:hint="eastAsia"/>
                <w:szCs w:val="18"/>
              </w:rPr>
              <w:t>筹风格</w:t>
            </w:r>
            <w:proofErr w:type="gramEnd"/>
            <w:r>
              <w:rPr>
                <w:rFonts w:ascii="宋体" w:eastAsia="宋体" w:hAnsi="宋体" w:hint="eastAsia"/>
                <w:szCs w:val="18"/>
              </w:rPr>
              <w:t>显著，金融、地产配置比例较高，且长期投资风格保持稳定，在价值风格主导的行情中有较强的配置价值。</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Default="00CB70A6" w:rsidP="00FE5D57">
            <w:pPr>
              <w:jc w:val="center"/>
              <w:rPr>
                <w:rFonts w:ascii="宋体" w:eastAsia="宋体" w:hAnsi="宋体"/>
                <w:b/>
                <w:szCs w:val="18"/>
              </w:rPr>
            </w:pPr>
            <w:r>
              <w:rPr>
                <w:rFonts w:ascii="宋体" w:eastAsia="宋体" w:hAnsi="宋体" w:hint="eastAsia"/>
                <w:b/>
                <w:szCs w:val="18"/>
              </w:rPr>
              <w:t>南方绝对收益</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Default="00CB70A6" w:rsidP="00FE5D57">
            <w:pPr>
              <w:jc w:val="left"/>
              <w:rPr>
                <w:rFonts w:ascii="宋体" w:eastAsia="宋体" w:hAnsi="宋体"/>
                <w:szCs w:val="18"/>
              </w:rPr>
            </w:pPr>
            <w:r>
              <w:rPr>
                <w:rFonts w:ascii="宋体" w:eastAsia="宋体" w:hAnsi="宋体" w:hint="eastAsia"/>
                <w:bCs/>
                <w:szCs w:val="18"/>
              </w:rPr>
              <w:t>基金采用市场中性策略，运用股指期货等工具对系统性风险进行对冲，比较适合震荡市场环境中持有。</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鹏</w:t>
            </w:r>
            <w:proofErr w:type="gramStart"/>
            <w:r>
              <w:rPr>
                <w:rFonts w:ascii="宋体" w:eastAsia="宋体" w:hAnsi="宋体" w:hint="eastAsia"/>
                <w:b/>
                <w:szCs w:val="18"/>
              </w:rPr>
              <w:t>华价值</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价值投资特点显著，长期集中</w:t>
            </w:r>
            <w:proofErr w:type="gramStart"/>
            <w:r>
              <w:rPr>
                <w:rFonts w:ascii="宋体" w:eastAsia="宋体" w:hAnsi="宋体" w:hint="eastAsia"/>
                <w:szCs w:val="18"/>
              </w:rPr>
              <w:t>持有低</w:t>
            </w:r>
            <w:proofErr w:type="gramEnd"/>
            <w:r>
              <w:rPr>
                <w:rFonts w:ascii="宋体" w:eastAsia="宋体" w:hAnsi="宋体" w:hint="eastAsia"/>
                <w:szCs w:val="18"/>
              </w:rPr>
              <w:t>估值股票，对家电、银行等行业内股票有较高的偏好。</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proofErr w:type="gramStart"/>
            <w:r w:rsidRPr="00330DCC">
              <w:rPr>
                <w:rFonts w:ascii="宋体" w:eastAsia="宋体" w:hAnsi="宋体" w:hint="eastAsia"/>
                <w:b/>
                <w:szCs w:val="18"/>
              </w:rPr>
              <w:t>浦银新兴</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侧重成长股投资，中长期选</w:t>
            </w:r>
            <w:proofErr w:type="gramStart"/>
            <w:r>
              <w:rPr>
                <w:rFonts w:ascii="宋体" w:eastAsia="宋体" w:hAnsi="宋体" w:hint="eastAsia"/>
                <w:szCs w:val="18"/>
              </w:rPr>
              <w:t>股能力</w:t>
            </w:r>
            <w:proofErr w:type="gramEnd"/>
            <w:r>
              <w:rPr>
                <w:rFonts w:ascii="宋体" w:eastAsia="宋体" w:hAnsi="宋体" w:hint="eastAsia"/>
                <w:szCs w:val="18"/>
              </w:rPr>
              <w:t>突出，在近年成长主导的行情中有突出的管理业绩，</w:t>
            </w:r>
            <w:proofErr w:type="gramStart"/>
            <w:r>
              <w:rPr>
                <w:rFonts w:ascii="宋体" w:eastAsia="宋体" w:hAnsi="宋体" w:hint="eastAsia"/>
                <w:szCs w:val="18"/>
              </w:rPr>
              <w:t>且基金</w:t>
            </w:r>
            <w:proofErr w:type="gramEnd"/>
            <w:r>
              <w:rPr>
                <w:rFonts w:ascii="宋体" w:eastAsia="宋体" w:hAnsi="宋体" w:hint="eastAsia"/>
                <w:szCs w:val="18"/>
              </w:rPr>
              <w:t>经理操作较为灵活，在今年市场大幅波动的行情中也较好的把握了市场节奏。</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proofErr w:type="gramStart"/>
            <w:r w:rsidRPr="009A36BC">
              <w:rPr>
                <w:rFonts w:ascii="宋体" w:eastAsia="宋体" w:hAnsi="宋体" w:hint="eastAsia"/>
                <w:b/>
                <w:szCs w:val="18"/>
              </w:rPr>
              <w:t>添富价值</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重点挖掘低估值板块以及“以时间换空间”的价值投资方法，获取中长期业绩的稳定性，基金经理陈晓翔善于价值选股，并在市场的顺势而为或逆向投资方面把握一定的“度”，以在市场上下波动阶段增强投资收益。在“蓝筹回归”的市场趋势下，具备一定的优势。</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proofErr w:type="gramStart"/>
            <w:r>
              <w:rPr>
                <w:rFonts w:ascii="宋体" w:eastAsia="宋体" w:hAnsi="宋体" w:hint="eastAsia"/>
                <w:b/>
                <w:szCs w:val="18"/>
              </w:rPr>
              <w:t>添富逆向</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proofErr w:type="gramStart"/>
            <w:r w:rsidRPr="006C6448">
              <w:rPr>
                <w:rFonts w:ascii="宋体" w:eastAsia="宋体" w:hAnsi="宋体" w:hint="eastAsia"/>
                <w:szCs w:val="18"/>
              </w:rPr>
              <w:t>汇添富</w:t>
            </w:r>
            <w:proofErr w:type="gramEnd"/>
            <w:r w:rsidRPr="006C6448">
              <w:rPr>
                <w:rFonts w:ascii="宋体" w:eastAsia="宋体" w:hAnsi="宋体" w:hint="eastAsia"/>
                <w:szCs w:val="18"/>
              </w:rPr>
              <w:t>逆向投资基金自成立以来，中长期业绩优秀。逆向投资思维+灵活配置较好的契合了目前多变的市场投资环境，管理者较强的投资能力也起到决定性的作用。基金持股偏离主流，较少参与市场热点，优质蓝筹+低估值成长的风格较为明显。</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Default="00CB70A6" w:rsidP="00FE5D57">
            <w:pPr>
              <w:jc w:val="center"/>
              <w:rPr>
                <w:rFonts w:ascii="宋体" w:eastAsia="宋体" w:hAnsi="宋体"/>
                <w:b/>
                <w:szCs w:val="18"/>
              </w:rPr>
            </w:pPr>
            <w:r w:rsidRPr="00330DCC">
              <w:rPr>
                <w:rFonts w:ascii="宋体" w:eastAsia="宋体" w:hAnsi="宋体" w:hint="eastAsia"/>
                <w:b/>
                <w:szCs w:val="18"/>
              </w:rPr>
              <w:t>新华优选消费</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Default="00CB70A6" w:rsidP="00F001F8">
            <w:pPr>
              <w:jc w:val="left"/>
              <w:rPr>
                <w:rFonts w:ascii="宋体" w:eastAsia="宋体" w:hAnsi="宋体"/>
                <w:szCs w:val="18"/>
              </w:rPr>
            </w:pPr>
            <w:r>
              <w:rPr>
                <w:rFonts w:ascii="宋体" w:eastAsia="宋体" w:hAnsi="宋体" w:hint="eastAsia"/>
                <w:szCs w:val="18"/>
              </w:rPr>
              <w:t>基金经理具备较强的风险控制能力和意识，所管理基金风险收益配比突出，在取得较好业绩的同时也在一定程度控制了组合的波动。</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t>兴全</w:t>
            </w:r>
            <w:r>
              <w:rPr>
                <w:rFonts w:ascii="宋体" w:eastAsia="宋体" w:hAnsi="宋体" w:hint="eastAsia"/>
                <w:b/>
                <w:szCs w:val="18"/>
              </w:rPr>
              <w:t>绿色</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秉承公司风险控制和选股优势，</w:t>
            </w:r>
            <w:r>
              <w:rPr>
                <w:rFonts w:ascii="宋体" w:eastAsia="宋体" w:hAnsi="宋体" w:hint="eastAsia"/>
                <w:szCs w:val="18"/>
              </w:rPr>
              <w:t>在核心配置稳定增长的消费行业的同时，也注重成长股的投资，整体来看</w:t>
            </w:r>
            <w:r w:rsidRPr="009A36BC">
              <w:rPr>
                <w:rFonts w:ascii="宋体" w:eastAsia="宋体" w:hAnsi="宋体" w:hint="eastAsia"/>
                <w:szCs w:val="18"/>
              </w:rPr>
              <w:t>兼顾业绩确定性</w:t>
            </w:r>
            <w:r>
              <w:rPr>
                <w:rFonts w:ascii="宋体" w:eastAsia="宋体" w:hAnsi="宋体" w:hint="eastAsia"/>
                <w:szCs w:val="18"/>
              </w:rPr>
              <w:t>和成长性</w:t>
            </w:r>
            <w:r w:rsidRPr="009A36BC">
              <w:rPr>
                <w:rFonts w:ascii="宋体" w:eastAsia="宋体" w:hAnsi="宋体" w:hint="eastAsia"/>
                <w:szCs w:val="18"/>
              </w:rPr>
              <w:t>，</w:t>
            </w:r>
            <w:r>
              <w:rPr>
                <w:rFonts w:ascii="宋体" w:eastAsia="宋体" w:hAnsi="宋体" w:hint="eastAsia"/>
                <w:szCs w:val="18"/>
              </w:rPr>
              <w:t>风格较为稳健，风险收益配比优势突出</w:t>
            </w:r>
            <w:r w:rsidRPr="009A36BC">
              <w:rPr>
                <w:rFonts w:ascii="宋体" w:eastAsia="宋体" w:hAnsi="宋体" w:hint="eastAsia"/>
                <w:szCs w:val="18"/>
              </w:rPr>
              <w:t>。</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银河行业</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坚持自下而上的投资策略，股票</w:t>
            </w:r>
            <w:proofErr w:type="gramStart"/>
            <w:r>
              <w:rPr>
                <w:rFonts w:ascii="宋体" w:eastAsia="宋体" w:hAnsi="宋体" w:hint="eastAsia"/>
                <w:szCs w:val="18"/>
              </w:rPr>
              <w:t>仓位</w:t>
            </w:r>
            <w:proofErr w:type="gramEnd"/>
            <w:r>
              <w:rPr>
                <w:rFonts w:ascii="宋体" w:eastAsia="宋体" w:hAnsi="宋体" w:hint="eastAsia"/>
                <w:szCs w:val="18"/>
              </w:rPr>
              <w:t>保持基本稳定，投资风格侧重成长且较为积极，对创业</w:t>
            </w:r>
            <w:proofErr w:type="gramStart"/>
            <w:r>
              <w:rPr>
                <w:rFonts w:ascii="宋体" w:eastAsia="宋体" w:hAnsi="宋体" w:hint="eastAsia"/>
                <w:szCs w:val="18"/>
              </w:rPr>
              <w:t>板股票</w:t>
            </w:r>
            <w:proofErr w:type="gramEnd"/>
            <w:r>
              <w:rPr>
                <w:rFonts w:ascii="宋体" w:eastAsia="宋体" w:hAnsi="宋体" w:hint="eastAsia"/>
                <w:szCs w:val="18"/>
              </w:rPr>
              <w:t>投资比例较高，并取得了突出的投资效果，具备高风险、高收益的特征。</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招商安泰股票</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bCs/>
                <w:szCs w:val="18"/>
              </w:rPr>
              <w:t>招商安泰</w:t>
            </w:r>
            <w:proofErr w:type="gramStart"/>
            <w:r>
              <w:rPr>
                <w:rFonts w:ascii="宋体" w:eastAsia="宋体" w:hAnsi="宋体" w:hint="eastAsia"/>
                <w:bCs/>
                <w:szCs w:val="18"/>
              </w:rPr>
              <w:t>股票股票仓位</w:t>
            </w:r>
            <w:proofErr w:type="gramEnd"/>
            <w:r>
              <w:rPr>
                <w:rFonts w:ascii="宋体" w:eastAsia="宋体" w:hAnsi="宋体" w:hint="eastAsia"/>
                <w:bCs/>
                <w:szCs w:val="18"/>
              </w:rPr>
              <w:t>适中，是一只风险收益水平相对较低的权益类品种，组合配置均衡且注重灵活。</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Default="00CB70A6" w:rsidP="00FE5D57">
            <w:pPr>
              <w:jc w:val="center"/>
              <w:rPr>
                <w:rFonts w:ascii="宋体" w:eastAsia="宋体" w:hAnsi="宋体"/>
                <w:b/>
                <w:szCs w:val="18"/>
              </w:rPr>
            </w:pPr>
            <w:r>
              <w:rPr>
                <w:rFonts w:ascii="宋体" w:eastAsia="宋体" w:hAnsi="宋体" w:hint="eastAsia"/>
                <w:b/>
                <w:szCs w:val="18"/>
              </w:rPr>
              <w:t>中</w:t>
            </w:r>
            <w:proofErr w:type="gramStart"/>
            <w:r>
              <w:rPr>
                <w:rFonts w:ascii="宋体" w:eastAsia="宋体" w:hAnsi="宋体" w:hint="eastAsia"/>
                <w:b/>
                <w:szCs w:val="18"/>
              </w:rPr>
              <w:t>银主题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1C05C8" w:rsidRDefault="00CB70A6" w:rsidP="00FE5D57">
            <w:pPr>
              <w:jc w:val="left"/>
              <w:rPr>
                <w:rFonts w:ascii="宋体" w:eastAsia="宋体" w:hAnsi="宋体"/>
                <w:szCs w:val="18"/>
              </w:rPr>
            </w:pPr>
            <w:r>
              <w:rPr>
                <w:rFonts w:ascii="宋体" w:eastAsia="宋体" w:hAnsi="宋体" w:hint="eastAsia"/>
                <w:szCs w:val="18"/>
              </w:rPr>
              <w:t>主题投资策略基金，具有较高的操作灵活性，无论是资产配置的调整还是个股的调整都相对灵活，</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中</w:t>
            </w:r>
            <w:proofErr w:type="gramStart"/>
            <w:r>
              <w:rPr>
                <w:rFonts w:ascii="宋体" w:eastAsia="宋体" w:hAnsi="宋体" w:hint="eastAsia"/>
                <w:b/>
                <w:szCs w:val="18"/>
              </w:rPr>
              <w:t>邮主题</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中小</w:t>
            </w:r>
            <w:proofErr w:type="gramStart"/>
            <w:r>
              <w:rPr>
                <w:rFonts w:ascii="宋体" w:eastAsia="宋体" w:hAnsi="宋体" w:hint="eastAsia"/>
                <w:szCs w:val="18"/>
              </w:rPr>
              <w:t>盘成长</w:t>
            </w:r>
            <w:proofErr w:type="gramEnd"/>
            <w:r>
              <w:rPr>
                <w:rFonts w:ascii="宋体" w:eastAsia="宋体" w:hAnsi="宋体" w:hint="eastAsia"/>
                <w:szCs w:val="18"/>
              </w:rPr>
              <w:t>风格显著，对于新经济、新兴产业主题有突出的把握能力，且表现在历史业绩上超额收益显著。注重自下而上选股，股票</w:t>
            </w:r>
            <w:proofErr w:type="gramStart"/>
            <w:r>
              <w:rPr>
                <w:rFonts w:ascii="宋体" w:eastAsia="宋体" w:hAnsi="宋体" w:hint="eastAsia"/>
                <w:szCs w:val="18"/>
              </w:rPr>
              <w:t>仓位</w:t>
            </w:r>
            <w:proofErr w:type="gramEnd"/>
            <w:r>
              <w:rPr>
                <w:rFonts w:ascii="宋体" w:eastAsia="宋体" w:hAnsi="宋体" w:hint="eastAsia"/>
                <w:szCs w:val="18"/>
              </w:rPr>
              <w:t>相对稳定。</w:t>
            </w:r>
          </w:p>
        </w:tc>
      </w:tr>
      <w:tr w:rsidR="00880CF1" w:rsidTr="00735BBD">
        <w:trPr>
          <w:cantSplit/>
          <w:trHeight w:val="340"/>
          <w:jc w:val="center"/>
        </w:trPr>
        <w:tc>
          <w:tcPr>
            <w:tcW w:w="2042" w:type="dxa"/>
            <w:tcBorders>
              <w:top w:val="single" w:sz="6" w:space="0" w:color="00B0F0"/>
              <w:bottom w:val="single" w:sz="6" w:space="0" w:color="D9D9D9"/>
              <w:right w:val="single" w:sz="6" w:space="0" w:color="D9D9D9"/>
            </w:tcBorders>
            <w:shd w:val="clear" w:color="auto" w:fill="auto"/>
            <w:vAlign w:val="center"/>
          </w:tcPr>
          <w:p w:rsidR="00880CF1" w:rsidRPr="009A36BC" w:rsidRDefault="00880CF1" w:rsidP="00FE5D57">
            <w:pPr>
              <w:jc w:val="center"/>
              <w:rPr>
                <w:rFonts w:ascii="宋体" w:eastAsia="宋体" w:hAnsi="宋体"/>
                <w:b/>
                <w:szCs w:val="18"/>
              </w:rPr>
            </w:pPr>
          </w:p>
        </w:tc>
        <w:tc>
          <w:tcPr>
            <w:tcW w:w="8730" w:type="dxa"/>
            <w:tcBorders>
              <w:top w:val="single" w:sz="6" w:space="0" w:color="00B0F0"/>
              <w:left w:val="single" w:sz="6" w:space="0" w:color="D9D9D9"/>
              <w:bottom w:val="single" w:sz="6" w:space="0" w:color="D9D9D9"/>
            </w:tcBorders>
            <w:shd w:val="clear" w:color="auto" w:fill="auto"/>
            <w:vAlign w:val="center"/>
          </w:tcPr>
          <w:p w:rsidR="00880CF1" w:rsidRPr="009A36BC" w:rsidRDefault="00880CF1" w:rsidP="00FE5D57">
            <w:pPr>
              <w:jc w:val="left"/>
              <w:rPr>
                <w:rFonts w:ascii="宋体" w:eastAsia="宋体" w:hAnsi="宋体"/>
                <w:szCs w:val="18"/>
              </w:rPr>
            </w:pPr>
          </w:p>
        </w:tc>
      </w:tr>
      <w:tr w:rsidR="00880CF1"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880CF1" w:rsidRPr="009A36BC" w:rsidRDefault="00880CF1" w:rsidP="00FE5D57">
            <w:pPr>
              <w:jc w:val="center"/>
              <w:rPr>
                <w:rFonts w:ascii="宋体" w:eastAsia="宋体" w:hAnsi="宋体"/>
                <w:b/>
                <w:szCs w:val="18"/>
              </w:rPr>
            </w:pPr>
            <w:r w:rsidRPr="009A36BC">
              <w:rPr>
                <w:rFonts w:ascii="宋体" w:eastAsia="宋体" w:hAnsi="宋体" w:hint="eastAsia"/>
                <w:b/>
                <w:szCs w:val="18"/>
              </w:rPr>
              <w:t>混合型基金</w:t>
            </w:r>
          </w:p>
        </w:tc>
        <w:tc>
          <w:tcPr>
            <w:tcW w:w="8730" w:type="dxa"/>
            <w:tcBorders>
              <w:top w:val="single" w:sz="6" w:space="0" w:color="D9D9D9"/>
              <w:left w:val="single" w:sz="6" w:space="0" w:color="D9D9D9"/>
              <w:bottom w:val="single" w:sz="6" w:space="0" w:color="D9D9D9"/>
            </w:tcBorders>
            <w:shd w:val="clear" w:color="auto" w:fill="auto"/>
            <w:vAlign w:val="center"/>
          </w:tcPr>
          <w:p w:rsidR="00880CF1" w:rsidRPr="009A36BC" w:rsidRDefault="00880CF1" w:rsidP="00FE5D57">
            <w:pPr>
              <w:jc w:val="center"/>
              <w:rPr>
                <w:rFonts w:ascii="宋体" w:eastAsia="宋体" w:hAnsi="宋体"/>
                <w:b/>
                <w:szCs w:val="18"/>
              </w:rPr>
            </w:pPr>
            <w:r w:rsidRPr="009A36BC">
              <w:rPr>
                <w:rFonts w:ascii="宋体" w:eastAsia="宋体" w:hAnsi="宋体" w:hint="eastAsia"/>
                <w:b/>
                <w:szCs w:val="18"/>
              </w:rPr>
              <w:t>推荐理由</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宝</w:t>
            </w:r>
            <w:proofErr w:type="gramStart"/>
            <w:r>
              <w:rPr>
                <w:rFonts w:ascii="宋体" w:eastAsia="宋体" w:hAnsi="宋体" w:hint="eastAsia"/>
                <w:b/>
                <w:szCs w:val="18"/>
              </w:rPr>
              <w:t>盈核心</w:t>
            </w:r>
            <w:proofErr w:type="gramEnd"/>
            <w:r>
              <w:rPr>
                <w:rFonts w:ascii="宋体" w:eastAsia="宋体" w:hAnsi="宋体" w:hint="eastAsia"/>
                <w:b/>
                <w:szCs w:val="18"/>
              </w:rPr>
              <w:t>优势</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基金经理对市场节奏有较好的把握，无论是大类资产配置还是自下而上的选股都有突出的优势，尤其擅长成长类股票的投资。</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lastRenderedPageBreak/>
              <w:t>富国天成</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适中，风险控制能力较强，侧重稳健成长类风格股票和低估值</w:t>
            </w:r>
            <w:r>
              <w:rPr>
                <w:rFonts w:ascii="宋体" w:eastAsia="宋体" w:hAnsi="宋体" w:hint="eastAsia"/>
                <w:szCs w:val="18"/>
              </w:rPr>
              <w:t>蓝筹股</w:t>
            </w:r>
            <w:r w:rsidRPr="009A36BC">
              <w:rPr>
                <w:rFonts w:ascii="宋体" w:eastAsia="宋体" w:hAnsi="宋体" w:hint="eastAsia"/>
                <w:szCs w:val="18"/>
              </w:rPr>
              <w:t>。</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光大配置</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配置较为均衡，股票</w:t>
            </w:r>
            <w:proofErr w:type="gramStart"/>
            <w:r>
              <w:rPr>
                <w:rFonts w:ascii="宋体" w:eastAsia="宋体" w:hAnsi="宋体" w:hint="eastAsia"/>
                <w:szCs w:val="18"/>
              </w:rPr>
              <w:t>仓位</w:t>
            </w:r>
            <w:proofErr w:type="gramEnd"/>
            <w:r>
              <w:rPr>
                <w:rFonts w:ascii="宋体" w:eastAsia="宋体" w:hAnsi="宋体" w:hint="eastAsia"/>
                <w:szCs w:val="18"/>
              </w:rPr>
              <w:t>中等水平，注重自下而上的选择</w:t>
            </w:r>
            <w:proofErr w:type="gramStart"/>
            <w:r>
              <w:rPr>
                <w:rFonts w:ascii="宋体" w:eastAsia="宋体" w:hAnsi="宋体" w:hint="eastAsia"/>
                <w:szCs w:val="18"/>
              </w:rPr>
              <w:t>且选股能力</w:t>
            </w:r>
            <w:proofErr w:type="gramEnd"/>
            <w:r>
              <w:rPr>
                <w:rFonts w:ascii="宋体" w:eastAsia="宋体" w:hAnsi="宋体" w:hint="eastAsia"/>
                <w:szCs w:val="18"/>
              </w:rPr>
              <w:t>良好，从历史业绩来看，具有较好的风险收益配比</w:t>
            </w:r>
            <w:r w:rsidRPr="009A36BC">
              <w:rPr>
                <w:rFonts w:ascii="宋体" w:eastAsia="宋体" w:hAnsi="宋体" w:hint="eastAsia"/>
                <w:szCs w:val="18"/>
              </w:rPr>
              <w:t>。</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广</w:t>
            </w:r>
            <w:proofErr w:type="gramStart"/>
            <w:r>
              <w:rPr>
                <w:rFonts w:ascii="宋体" w:eastAsia="宋体" w:hAnsi="宋体" w:hint="eastAsia"/>
                <w:b/>
                <w:szCs w:val="18"/>
              </w:rPr>
              <w:t>发成长</w:t>
            </w:r>
            <w:proofErr w:type="gramEnd"/>
            <w:r>
              <w:rPr>
                <w:rFonts w:ascii="宋体" w:eastAsia="宋体" w:hAnsi="宋体" w:hint="eastAsia"/>
                <w:b/>
                <w:szCs w:val="18"/>
              </w:rPr>
              <w:t>优选</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灵活配置型基金，股票</w:t>
            </w:r>
            <w:proofErr w:type="gramStart"/>
            <w:r>
              <w:rPr>
                <w:rFonts w:ascii="宋体" w:eastAsia="宋体" w:hAnsi="宋体" w:hint="eastAsia"/>
                <w:szCs w:val="18"/>
              </w:rPr>
              <w:t>仓位</w:t>
            </w:r>
            <w:proofErr w:type="gramEnd"/>
            <w:r>
              <w:rPr>
                <w:rFonts w:ascii="宋体" w:eastAsia="宋体" w:hAnsi="宋体" w:hint="eastAsia"/>
                <w:szCs w:val="18"/>
              </w:rPr>
              <w:t>0~95%范围内波动，近期在市场大跌过程中已经将股票</w:t>
            </w:r>
            <w:proofErr w:type="gramStart"/>
            <w:r>
              <w:rPr>
                <w:rFonts w:ascii="宋体" w:eastAsia="宋体" w:hAnsi="宋体" w:hint="eastAsia"/>
                <w:szCs w:val="18"/>
              </w:rPr>
              <w:t>仓位</w:t>
            </w:r>
            <w:proofErr w:type="gramEnd"/>
            <w:r>
              <w:rPr>
                <w:rFonts w:ascii="宋体" w:eastAsia="宋体" w:hAnsi="宋体" w:hint="eastAsia"/>
                <w:szCs w:val="18"/>
              </w:rPr>
              <w:t>降低到极低水平，以绝对收益为目标，可作为短期平滑组合风险的品种。</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7D60E4">
              <w:rPr>
                <w:rFonts w:ascii="宋体" w:eastAsia="宋体" w:hAnsi="宋体" w:hint="eastAsia"/>
                <w:b/>
                <w:szCs w:val="18"/>
              </w:rPr>
              <w:t>国泰金</w:t>
            </w:r>
            <w:proofErr w:type="gramStart"/>
            <w:r w:rsidRPr="007D60E4">
              <w:rPr>
                <w:rFonts w:ascii="宋体" w:eastAsia="宋体" w:hAnsi="宋体" w:hint="eastAsia"/>
                <w:b/>
                <w:szCs w:val="18"/>
              </w:rPr>
              <w:t>泰平衡</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保守配置型基金，基金以追求相对稳定的回报为目标，股票投资上限为50%，结合转型前和转型后的表现，基金经理均呈现良好的投资管理能力。</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华商红利优选</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混合型基金中风格相对稳健的品种，保持相对中性的股票</w:t>
            </w:r>
            <w:proofErr w:type="gramStart"/>
            <w:r>
              <w:rPr>
                <w:rFonts w:ascii="宋体" w:eastAsia="宋体" w:hAnsi="宋体" w:hint="eastAsia"/>
                <w:szCs w:val="18"/>
              </w:rPr>
              <w:t>仓位</w:t>
            </w:r>
            <w:proofErr w:type="gramEnd"/>
            <w:r>
              <w:rPr>
                <w:rFonts w:ascii="宋体" w:eastAsia="宋体" w:hAnsi="宋体" w:hint="eastAsia"/>
                <w:szCs w:val="18"/>
              </w:rPr>
              <w:t>，侧重红利股投资，管理业绩稳健且处于同业中上等水平，中长期来看风险收益配比效果突出。</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t>华商领先</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属于混合型基金中操作风格积极的品种，一方面其股票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明显高于同业平均水平，另一方面基金持股集中度较高，具备较强的进攻性。良好的选</w:t>
            </w:r>
            <w:proofErr w:type="gramStart"/>
            <w:r w:rsidRPr="009A36BC">
              <w:rPr>
                <w:rFonts w:ascii="宋体" w:eastAsia="宋体" w:hAnsi="宋体" w:hint="eastAsia"/>
                <w:szCs w:val="18"/>
              </w:rPr>
              <w:t>股能力</w:t>
            </w:r>
            <w:proofErr w:type="gramEnd"/>
            <w:r w:rsidRPr="009A36BC">
              <w:rPr>
                <w:rFonts w:ascii="宋体" w:eastAsia="宋体" w:hAnsi="宋体" w:hint="eastAsia"/>
                <w:szCs w:val="18"/>
              </w:rPr>
              <w:t>是基金获得超额收益的主要来源，尤其擅长对成长股的投资。目前在配置</w:t>
            </w:r>
            <w:proofErr w:type="gramStart"/>
            <w:r w:rsidRPr="009A36BC">
              <w:rPr>
                <w:rFonts w:ascii="宋体" w:eastAsia="宋体" w:hAnsi="宋体" w:hint="eastAsia"/>
                <w:szCs w:val="18"/>
              </w:rPr>
              <w:t>上基金兼顾低</w:t>
            </w:r>
            <w:proofErr w:type="gramEnd"/>
            <w:r w:rsidRPr="009A36BC">
              <w:rPr>
                <w:rFonts w:ascii="宋体" w:eastAsia="宋体" w:hAnsi="宋体" w:hint="eastAsia"/>
                <w:szCs w:val="18"/>
              </w:rPr>
              <w:t>估值和成长性，相对均衡。</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t>华夏回报</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投资风格稳健，风险控制能力突出，在震荡市场环境中更能展现其投资管理能力，行业配置相对均衡、持股集中度较低。</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045604">
              <w:rPr>
                <w:rFonts w:ascii="宋体" w:eastAsia="宋体" w:hAnsi="宋体" w:hint="eastAsia"/>
                <w:b/>
                <w:szCs w:val="18"/>
              </w:rPr>
              <w:t>嘉</w:t>
            </w:r>
            <w:proofErr w:type="gramStart"/>
            <w:r w:rsidRPr="00045604">
              <w:rPr>
                <w:rFonts w:ascii="宋体" w:eastAsia="宋体" w:hAnsi="宋体" w:hint="eastAsia"/>
                <w:b/>
                <w:szCs w:val="18"/>
              </w:rPr>
              <w:t>实成长</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001F8">
            <w:pPr>
              <w:jc w:val="left"/>
              <w:rPr>
                <w:rFonts w:ascii="宋体" w:eastAsia="宋体" w:hAnsi="宋体"/>
                <w:szCs w:val="18"/>
              </w:rPr>
            </w:pPr>
            <w:r w:rsidRPr="0001760F">
              <w:rPr>
                <w:rFonts w:ascii="宋体" w:eastAsia="宋体" w:hAnsi="宋体" w:hint="eastAsia"/>
                <w:szCs w:val="18"/>
              </w:rPr>
              <w:t>基金经理历史业绩优秀</w:t>
            </w:r>
            <w:r>
              <w:rPr>
                <w:rFonts w:ascii="宋体" w:eastAsia="宋体" w:hAnsi="宋体" w:hint="eastAsia"/>
                <w:szCs w:val="18"/>
              </w:rPr>
              <w:t>，侧重确定性成长类股票投资，同时嘉</w:t>
            </w:r>
            <w:proofErr w:type="gramStart"/>
            <w:r>
              <w:rPr>
                <w:rFonts w:ascii="宋体" w:eastAsia="宋体" w:hAnsi="宋体" w:hint="eastAsia"/>
                <w:szCs w:val="18"/>
              </w:rPr>
              <w:t>实成长</w:t>
            </w:r>
            <w:proofErr w:type="gramEnd"/>
            <w:r>
              <w:rPr>
                <w:rFonts w:ascii="宋体" w:eastAsia="宋体" w:hAnsi="宋体" w:hint="eastAsia"/>
                <w:szCs w:val="18"/>
              </w:rPr>
              <w:t>是一只</w:t>
            </w:r>
            <w:r>
              <w:rPr>
                <w:rFonts w:ascii="宋体" w:eastAsia="宋体" w:hAnsi="宋体" w:hint="eastAsia"/>
                <w:bCs/>
                <w:szCs w:val="18"/>
              </w:rPr>
              <w:t>股票</w:t>
            </w:r>
            <w:proofErr w:type="gramStart"/>
            <w:r>
              <w:rPr>
                <w:rFonts w:ascii="宋体" w:eastAsia="宋体" w:hAnsi="宋体" w:hint="eastAsia"/>
                <w:bCs/>
                <w:szCs w:val="18"/>
              </w:rPr>
              <w:t>仓位</w:t>
            </w:r>
            <w:proofErr w:type="gramEnd"/>
            <w:r>
              <w:rPr>
                <w:rFonts w:ascii="宋体" w:eastAsia="宋体" w:hAnsi="宋体" w:hint="eastAsia"/>
                <w:bCs/>
                <w:szCs w:val="18"/>
              </w:rPr>
              <w:t>适中的品种，风险收益水平适中，适合震荡市场中持有。</w:t>
            </w:r>
          </w:p>
        </w:tc>
      </w:tr>
      <w:tr w:rsidR="00CB70A6" w:rsidRPr="0028462A"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proofErr w:type="gramStart"/>
            <w:r>
              <w:rPr>
                <w:rFonts w:ascii="宋体" w:eastAsia="宋体" w:hAnsi="宋体" w:hint="eastAsia"/>
                <w:b/>
                <w:szCs w:val="18"/>
              </w:rPr>
              <w:t>诺安配置</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具有较高的灵活性，无论是择时还是选股均有明显的体现，</w:t>
            </w:r>
            <w:proofErr w:type="gramStart"/>
            <w:r>
              <w:rPr>
                <w:rFonts w:ascii="宋体" w:eastAsia="宋体" w:hAnsi="宋体" w:hint="eastAsia"/>
                <w:szCs w:val="18"/>
              </w:rPr>
              <w:t>且较好</w:t>
            </w:r>
            <w:proofErr w:type="gramEnd"/>
            <w:r>
              <w:rPr>
                <w:rFonts w:ascii="宋体" w:eastAsia="宋体" w:hAnsi="宋体" w:hint="eastAsia"/>
                <w:szCs w:val="18"/>
              </w:rPr>
              <w:t>的把握市场热点及主题投资机会，历史业绩良好。</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proofErr w:type="gramStart"/>
            <w:r w:rsidRPr="009A36BC">
              <w:rPr>
                <w:rFonts w:ascii="宋体" w:eastAsia="宋体" w:hAnsi="宋体" w:hint="eastAsia"/>
                <w:b/>
                <w:szCs w:val="18"/>
              </w:rPr>
              <w:t>添富优势</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股票</w:t>
            </w:r>
            <w:proofErr w:type="gramStart"/>
            <w:r w:rsidRPr="009A36BC">
              <w:rPr>
                <w:rFonts w:ascii="宋体" w:eastAsia="宋体" w:hAnsi="宋体" w:hint="eastAsia"/>
                <w:szCs w:val="18"/>
              </w:rPr>
              <w:t>仓位</w:t>
            </w:r>
            <w:proofErr w:type="gramEnd"/>
            <w:r w:rsidRPr="009A36BC">
              <w:rPr>
                <w:rFonts w:ascii="宋体" w:eastAsia="宋体" w:hAnsi="宋体" w:hint="eastAsia"/>
                <w:szCs w:val="18"/>
              </w:rPr>
              <w:t>保持较高水平运作，对成长和价值的配置相对均衡。</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t>兴</w:t>
            </w:r>
            <w:proofErr w:type="gramStart"/>
            <w:r w:rsidRPr="009A36BC">
              <w:rPr>
                <w:rFonts w:ascii="宋体" w:eastAsia="宋体" w:hAnsi="宋体" w:hint="eastAsia"/>
                <w:b/>
                <w:szCs w:val="18"/>
              </w:rPr>
              <w:t>全趋势</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操作上秉承公司整体顺势而为的特点，根据市场环境适当微调。蓝</w:t>
            </w:r>
            <w:proofErr w:type="gramStart"/>
            <w:r w:rsidRPr="009A36BC">
              <w:rPr>
                <w:rFonts w:ascii="宋体" w:eastAsia="宋体" w:hAnsi="宋体" w:hint="eastAsia"/>
                <w:szCs w:val="18"/>
              </w:rPr>
              <w:t>筹风格</w:t>
            </w:r>
            <w:proofErr w:type="gramEnd"/>
            <w:r w:rsidRPr="009A36BC">
              <w:rPr>
                <w:rFonts w:ascii="宋体" w:eastAsia="宋体" w:hAnsi="宋体" w:hint="eastAsia"/>
                <w:szCs w:val="18"/>
              </w:rPr>
              <w:t>比较明显，近年来随着实体经济增长逐渐放缓、周期行业的估值水平不断下移，基金组合结构也进行了一定调整，整体来看组合更加稳健。</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易方达平稳增长</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保守配置型基金，</w:t>
            </w:r>
            <w:r w:rsidRPr="00D32F2D">
              <w:rPr>
                <w:rFonts w:ascii="宋体" w:eastAsia="宋体" w:hAnsi="宋体" w:hint="eastAsia"/>
                <w:szCs w:val="18"/>
              </w:rPr>
              <w:t>股票资产</w:t>
            </w:r>
            <w:r>
              <w:rPr>
                <w:rFonts w:ascii="宋体" w:eastAsia="宋体" w:hAnsi="宋体" w:hint="eastAsia"/>
                <w:szCs w:val="18"/>
              </w:rPr>
              <w:t>占到基金组合的</w:t>
            </w:r>
            <w:r w:rsidRPr="00D32F2D">
              <w:rPr>
                <w:rFonts w:ascii="宋体" w:eastAsia="宋体" w:hAnsi="宋体" w:hint="eastAsia"/>
                <w:szCs w:val="18"/>
              </w:rPr>
              <w:t>30%－65%</w:t>
            </w:r>
            <w:r>
              <w:rPr>
                <w:rFonts w:ascii="宋体" w:eastAsia="宋体" w:hAnsi="宋体" w:hint="eastAsia"/>
                <w:szCs w:val="18"/>
              </w:rPr>
              <w:t>，历史业绩来看，具有良好的风险控制能力，呈现出较好的风险收益配比，比较适合震荡市场环境中投资。</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t>银河稳健</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配置均衡，攻守兼备，良好的风险控制使得基金业绩具有较好的持续性，擅长结构行情的把握。</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银华和谐主题</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组合配置相对均衡和分散，注重自下而上的选择，同时保持相对中性的股票</w:t>
            </w:r>
            <w:proofErr w:type="gramStart"/>
            <w:r>
              <w:rPr>
                <w:rFonts w:ascii="宋体" w:eastAsia="宋体" w:hAnsi="宋体" w:hint="eastAsia"/>
                <w:szCs w:val="18"/>
              </w:rPr>
              <w:t>仓位</w:t>
            </w:r>
            <w:proofErr w:type="gramEnd"/>
            <w:r>
              <w:rPr>
                <w:rFonts w:ascii="宋体" w:eastAsia="宋体" w:hAnsi="宋体" w:hint="eastAsia"/>
                <w:szCs w:val="18"/>
              </w:rPr>
              <w:t>，具有较好的风险收益配比。</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长盛创新先锋</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基金经理侧重成长风格投资，在TMT板块有突出的把握能力，且注重组合估值的合理控制，具有较好的风险收益配比。</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proofErr w:type="gramStart"/>
            <w:r>
              <w:rPr>
                <w:rFonts w:ascii="宋体" w:eastAsia="宋体" w:hAnsi="宋体" w:hint="eastAsia"/>
                <w:b/>
                <w:szCs w:val="18"/>
              </w:rPr>
              <w:t>中欧瑾源</w:t>
            </w:r>
            <w:proofErr w:type="gramEnd"/>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bCs/>
                <w:szCs w:val="18"/>
              </w:rPr>
              <w:t>以打新策略为主的绝对收益目标产品，基于二季度的打新情况测算，8%左右的</w:t>
            </w:r>
            <w:proofErr w:type="gramStart"/>
            <w:r>
              <w:rPr>
                <w:rFonts w:ascii="宋体" w:eastAsia="宋体" w:hAnsi="宋体" w:hint="eastAsia"/>
                <w:bCs/>
                <w:szCs w:val="18"/>
              </w:rPr>
              <w:t>年化收益</w:t>
            </w:r>
            <w:proofErr w:type="gramEnd"/>
            <w:r>
              <w:rPr>
                <w:rFonts w:ascii="宋体" w:eastAsia="宋体" w:hAnsi="宋体" w:hint="eastAsia"/>
                <w:bCs/>
                <w:szCs w:val="18"/>
              </w:rPr>
              <w:t>水平比较适合保守投资者投资参与。</w:t>
            </w:r>
          </w:p>
        </w:tc>
      </w:tr>
      <w:tr w:rsidR="00CB70A6" w:rsidTr="00735BBD">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Pr>
                <w:rFonts w:ascii="宋体" w:eastAsia="宋体" w:hAnsi="宋体" w:hint="eastAsia"/>
                <w:b/>
                <w:szCs w:val="18"/>
              </w:rPr>
              <w:t>中欧新蓝筹</w:t>
            </w:r>
          </w:p>
        </w:tc>
        <w:tc>
          <w:tcPr>
            <w:tcW w:w="8730" w:type="dxa"/>
            <w:tcBorders>
              <w:top w:val="single" w:sz="6" w:space="0" w:color="D9D9D9"/>
              <w:left w:val="single" w:sz="6" w:space="0" w:color="D9D9D9"/>
              <w:bottom w:val="single" w:sz="6" w:space="0" w:color="D9D9D9"/>
            </w:tcBorders>
            <w:shd w:val="clear" w:color="auto" w:fill="auto"/>
            <w:vAlign w:val="center"/>
          </w:tcPr>
          <w:p w:rsidR="00CB70A6" w:rsidRPr="009A36BC" w:rsidRDefault="00CB70A6" w:rsidP="00FE5D57">
            <w:pPr>
              <w:jc w:val="left"/>
              <w:rPr>
                <w:rFonts w:ascii="宋体" w:eastAsia="宋体" w:hAnsi="宋体"/>
                <w:szCs w:val="18"/>
              </w:rPr>
            </w:pPr>
            <w:r>
              <w:rPr>
                <w:rFonts w:ascii="宋体" w:eastAsia="宋体" w:hAnsi="宋体" w:hint="eastAsia"/>
                <w:szCs w:val="18"/>
              </w:rPr>
              <w:t>基金经理风格稳健、注重控制风险，偏好新兴产业投资，在细分产业中寻找估值合理的成长性个股。</w:t>
            </w:r>
          </w:p>
        </w:tc>
      </w:tr>
      <w:tr w:rsidR="00CB70A6" w:rsidTr="00735BBD">
        <w:trPr>
          <w:cantSplit/>
          <w:trHeight w:val="340"/>
          <w:jc w:val="center"/>
        </w:trPr>
        <w:tc>
          <w:tcPr>
            <w:tcW w:w="2042" w:type="dxa"/>
            <w:tcBorders>
              <w:top w:val="single" w:sz="6" w:space="0" w:color="D9D9D9"/>
              <w:bottom w:val="single" w:sz="6" w:space="0" w:color="00B0F0"/>
              <w:right w:val="single" w:sz="6" w:space="0" w:color="D9D9D9"/>
            </w:tcBorders>
            <w:shd w:val="clear" w:color="auto" w:fill="auto"/>
            <w:vAlign w:val="center"/>
          </w:tcPr>
          <w:p w:rsidR="00CB70A6" w:rsidRPr="009A36BC" w:rsidRDefault="00CB70A6" w:rsidP="00FE5D57">
            <w:pPr>
              <w:jc w:val="center"/>
              <w:rPr>
                <w:rFonts w:ascii="宋体" w:eastAsia="宋体" w:hAnsi="宋体"/>
                <w:b/>
                <w:szCs w:val="18"/>
              </w:rPr>
            </w:pPr>
            <w:r w:rsidRPr="009A36BC">
              <w:rPr>
                <w:rFonts w:ascii="宋体" w:eastAsia="宋体" w:hAnsi="宋体" w:hint="eastAsia"/>
                <w:b/>
                <w:szCs w:val="18"/>
              </w:rPr>
              <w:t>中</w:t>
            </w:r>
            <w:proofErr w:type="gramStart"/>
            <w:r w:rsidRPr="009A36BC">
              <w:rPr>
                <w:rFonts w:ascii="宋体" w:eastAsia="宋体" w:hAnsi="宋体" w:hint="eastAsia"/>
                <w:b/>
                <w:szCs w:val="18"/>
              </w:rPr>
              <w:t>银收益</w:t>
            </w:r>
            <w:proofErr w:type="gramEnd"/>
          </w:p>
        </w:tc>
        <w:tc>
          <w:tcPr>
            <w:tcW w:w="8730" w:type="dxa"/>
            <w:tcBorders>
              <w:top w:val="single" w:sz="6" w:space="0" w:color="D9D9D9"/>
              <w:left w:val="single" w:sz="6" w:space="0" w:color="D9D9D9"/>
              <w:bottom w:val="single" w:sz="6" w:space="0" w:color="00B0F0"/>
            </w:tcBorders>
            <w:shd w:val="clear" w:color="auto" w:fill="auto"/>
            <w:vAlign w:val="center"/>
          </w:tcPr>
          <w:p w:rsidR="00CB70A6" w:rsidRPr="009A36BC" w:rsidRDefault="00CB70A6" w:rsidP="00FE5D57">
            <w:pPr>
              <w:jc w:val="left"/>
              <w:rPr>
                <w:rFonts w:ascii="宋体" w:eastAsia="宋体" w:hAnsi="宋体"/>
                <w:szCs w:val="18"/>
              </w:rPr>
            </w:pPr>
            <w:r w:rsidRPr="009A36BC">
              <w:rPr>
                <w:rFonts w:ascii="宋体" w:eastAsia="宋体" w:hAnsi="宋体" w:hint="eastAsia"/>
                <w:szCs w:val="18"/>
              </w:rPr>
              <w:t>操作灵活，同时秉承中</w:t>
            </w:r>
            <w:proofErr w:type="gramStart"/>
            <w:r w:rsidRPr="009A36BC">
              <w:rPr>
                <w:rFonts w:ascii="宋体" w:eastAsia="宋体" w:hAnsi="宋体" w:hint="eastAsia"/>
                <w:szCs w:val="18"/>
              </w:rPr>
              <w:t>银基金</w:t>
            </w:r>
            <w:proofErr w:type="gramEnd"/>
            <w:r w:rsidRPr="009A36BC">
              <w:rPr>
                <w:rFonts w:ascii="宋体" w:eastAsia="宋体" w:hAnsi="宋体" w:hint="eastAsia"/>
                <w:szCs w:val="18"/>
              </w:rPr>
              <w:t>公司稳健、注重风险控制的特征。在投资上，该基金重视在目前震荡市中采取“攻守平衡”的板块配置，兼顾食品饮料、园林装饰等业绩较为确定的消费行业和成长性个股，以及周期类风格的搭配；在大类资产配置上，基金保持稳健。</w:t>
            </w:r>
          </w:p>
        </w:tc>
      </w:tr>
    </w:tbl>
    <w:p w:rsidR="00EE1CC3" w:rsidRDefault="00EE1CC3" w:rsidP="00EE1CC3">
      <w:pPr>
        <w:pStyle w:val="FootnoteNoline"/>
        <w:ind w:left="0"/>
      </w:pPr>
      <w:r>
        <w:rPr>
          <w:rFonts w:hint="eastAsia"/>
        </w:rPr>
        <w:t>来源：国金证券研究所</w:t>
      </w:r>
      <w:r>
        <w:rPr>
          <w:rFonts w:hint="eastAsia"/>
        </w:rPr>
        <w:t xml:space="preserve"> </w:t>
      </w:r>
    </w:p>
    <w:p w:rsidR="00EE1CC3" w:rsidRDefault="00EE1CC3" w:rsidP="00752D51">
      <w:pPr>
        <w:pStyle w:val="a0"/>
        <w:numPr>
          <w:ilvl w:val="4"/>
          <w:numId w:val="3"/>
        </w:numPr>
        <w:spacing w:beforeLines="200" w:before="480" w:after="240"/>
        <w:rPr>
          <w:color w:val="auto"/>
        </w:rPr>
      </w:pPr>
      <w:r w:rsidRPr="00192B85">
        <w:rPr>
          <w:rFonts w:hint="eastAsia"/>
          <w:color w:val="auto"/>
        </w:rPr>
        <w:t>依据前面各部分</w:t>
      </w:r>
      <w:r>
        <w:rPr>
          <w:rFonts w:hint="eastAsia"/>
          <w:color w:val="auto"/>
        </w:rPr>
        <w:t>对相关市场以及各类产品投资操作策略分析，建立</w:t>
      </w:r>
      <w:r w:rsidRPr="00192B85">
        <w:rPr>
          <w:rFonts w:hint="eastAsia"/>
          <w:color w:val="auto"/>
        </w:rPr>
        <w:t>国金</w:t>
      </w:r>
      <w:r>
        <w:rPr>
          <w:rFonts w:hint="eastAsia"/>
          <w:color w:val="auto"/>
        </w:rPr>
        <w:t>20150</w:t>
      </w:r>
      <w:r w:rsidR="00921B29">
        <w:rPr>
          <w:rFonts w:hint="eastAsia"/>
          <w:color w:val="auto"/>
        </w:rPr>
        <w:t>9</w:t>
      </w:r>
      <w:r w:rsidRPr="00192B85">
        <w:rPr>
          <w:rFonts w:hint="eastAsia"/>
          <w:color w:val="auto"/>
        </w:rPr>
        <w:t>期基金组合</w:t>
      </w:r>
      <w:r>
        <w:rPr>
          <w:rFonts w:hint="eastAsia"/>
          <w:color w:val="auto"/>
        </w:rPr>
        <w:t>如下，对于短期重点推荐的组合加</w:t>
      </w:r>
      <w:r w:rsidRPr="003B46D0">
        <w:rPr>
          <w:rFonts w:hint="eastAsia"/>
          <w:color w:val="auto"/>
        </w:rPr>
        <w:t>★</w:t>
      </w:r>
      <w:r>
        <w:rPr>
          <w:rFonts w:hint="eastAsia"/>
          <w:color w:val="auto"/>
        </w:rPr>
        <w:t>，同时</w:t>
      </w:r>
      <w:r w:rsidRPr="003B46D0">
        <w:rPr>
          <w:rFonts w:hint="eastAsia"/>
          <w:color w:val="auto"/>
        </w:rPr>
        <w:t>为了方便投资者在配置之外选择重点的品种，我们</w:t>
      </w:r>
      <w:r>
        <w:rPr>
          <w:rFonts w:hint="eastAsia"/>
          <w:color w:val="auto"/>
        </w:rPr>
        <w:t>在表中加</w:t>
      </w:r>
      <w:r w:rsidRPr="003B46D0">
        <w:rPr>
          <w:rFonts w:hint="eastAsia"/>
          <w:color w:val="auto"/>
        </w:rPr>
        <w:t>★</w:t>
      </w:r>
      <w:r>
        <w:rPr>
          <w:rFonts w:hint="eastAsia"/>
          <w:color w:val="auto"/>
        </w:rPr>
        <w:t>的基金</w:t>
      </w:r>
      <w:r w:rsidRPr="003B46D0">
        <w:rPr>
          <w:rFonts w:hint="eastAsia"/>
          <w:color w:val="auto"/>
        </w:rPr>
        <w:t>表示为</w:t>
      </w:r>
      <w:r>
        <w:rPr>
          <w:rFonts w:hint="eastAsia"/>
          <w:color w:val="auto"/>
        </w:rPr>
        <w:t>相对</w:t>
      </w:r>
      <w:r w:rsidRPr="003B46D0">
        <w:rPr>
          <w:rFonts w:hint="eastAsia"/>
          <w:color w:val="auto"/>
        </w:rPr>
        <w:t>看好的</w:t>
      </w:r>
      <w:r>
        <w:rPr>
          <w:rFonts w:hint="eastAsia"/>
          <w:color w:val="auto"/>
        </w:rPr>
        <w:t>品种。</w:t>
      </w: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134"/>
        <w:gridCol w:w="993"/>
        <w:gridCol w:w="1036"/>
        <w:gridCol w:w="1054"/>
        <w:gridCol w:w="1055"/>
        <w:gridCol w:w="227"/>
        <w:gridCol w:w="1164"/>
        <w:gridCol w:w="992"/>
        <w:gridCol w:w="1007"/>
        <w:gridCol w:w="1054"/>
        <w:gridCol w:w="1056"/>
      </w:tblGrid>
      <w:tr w:rsidR="00EE1CC3" w:rsidTr="00735BBD">
        <w:trPr>
          <w:cantSplit/>
          <w:trHeight w:val="200"/>
        </w:trPr>
        <w:tc>
          <w:tcPr>
            <w:tcW w:w="5272" w:type="dxa"/>
            <w:gridSpan w:val="5"/>
            <w:tcBorders>
              <w:top w:val="single" w:sz="4" w:space="0" w:color="00A0E9"/>
              <w:bottom w:val="single" w:sz="4" w:space="0" w:color="00A0E9"/>
            </w:tcBorders>
            <w:shd w:val="clear" w:color="auto" w:fill="auto"/>
          </w:tcPr>
          <w:p w:rsidR="00EE1CC3" w:rsidRDefault="00EE1CC3" w:rsidP="00FD7EBB">
            <w:pPr>
              <w:pStyle w:val="SubTitleLargeTable"/>
            </w:pPr>
            <w:r>
              <w:rPr>
                <w:rFonts w:hint="eastAsia"/>
              </w:rPr>
              <w:t>图表</w:t>
            </w:r>
            <w:r w:rsidR="00411ADD">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411ADD">
              <w:fldChar w:fldCharType="separate"/>
            </w:r>
            <w:r w:rsidR="00B806F0">
              <w:rPr>
                <w:noProof/>
              </w:rPr>
              <w:t>6</w:t>
            </w:r>
            <w:r w:rsidR="00411ADD">
              <w:fldChar w:fldCharType="end"/>
            </w:r>
            <w:r>
              <w:rPr>
                <w:rFonts w:hint="eastAsia"/>
              </w:rPr>
              <w:t>：</w:t>
            </w:r>
            <w:r>
              <w:rPr>
                <w:rFonts w:hint="eastAsia"/>
              </w:rPr>
              <w:t>150</w:t>
            </w:r>
            <w:r w:rsidR="00FD7EBB">
              <w:rPr>
                <w:rFonts w:hint="eastAsia"/>
              </w:rPr>
              <w:t>9</w:t>
            </w:r>
            <w:r>
              <w:rPr>
                <w:rFonts w:hint="eastAsia"/>
              </w:rPr>
              <w:t>期进攻型组合</w:t>
            </w:r>
          </w:p>
        </w:tc>
        <w:tc>
          <w:tcPr>
            <w:tcW w:w="227" w:type="dxa"/>
          </w:tcPr>
          <w:p w:rsidR="00EE1CC3" w:rsidRPr="00816267" w:rsidRDefault="00EE1CC3" w:rsidP="00735BBD">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EE1CC3" w:rsidRDefault="00EE1CC3" w:rsidP="00045604">
            <w:pPr>
              <w:pStyle w:val="SubTitleLargeTable"/>
            </w:pPr>
            <w:r>
              <w:rPr>
                <w:rFonts w:hint="eastAsia"/>
              </w:rPr>
              <w:t>图表</w:t>
            </w:r>
            <w:r w:rsidR="00411ADD">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411ADD">
              <w:fldChar w:fldCharType="separate"/>
            </w:r>
            <w:r w:rsidR="00B806F0">
              <w:rPr>
                <w:noProof/>
              </w:rPr>
              <w:t>7</w:t>
            </w:r>
            <w:r w:rsidR="00411ADD">
              <w:fldChar w:fldCharType="end"/>
            </w:r>
            <w:r>
              <w:rPr>
                <w:rFonts w:hint="eastAsia"/>
              </w:rPr>
              <w:t>：</w:t>
            </w:r>
            <w:r>
              <w:rPr>
                <w:rFonts w:hint="eastAsia"/>
              </w:rPr>
              <w:t>150</w:t>
            </w:r>
            <w:r w:rsidR="00FD7EBB">
              <w:rPr>
                <w:rFonts w:hint="eastAsia"/>
              </w:rPr>
              <w:t>9</w:t>
            </w:r>
            <w:r>
              <w:rPr>
                <w:rFonts w:hint="eastAsia"/>
              </w:rPr>
              <w:t>期防御型组合</w:t>
            </w:r>
            <w:r w:rsidR="00AB7114" w:rsidRPr="003B46D0">
              <w:rPr>
                <w:rFonts w:hint="eastAsia"/>
              </w:rPr>
              <w:t>★</w:t>
            </w:r>
          </w:p>
        </w:tc>
      </w:tr>
      <w:tr w:rsidR="00EE1CC3"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基金名称</w:t>
            </w:r>
          </w:p>
        </w:tc>
        <w:tc>
          <w:tcPr>
            <w:tcW w:w="993"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36"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EE1CC3" w:rsidRPr="001961D3" w:rsidRDefault="00EE1CC3" w:rsidP="00735BBD">
            <w:pPr>
              <w:jc w:val="center"/>
            </w:pPr>
          </w:p>
        </w:tc>
        <w:tc>
          <w:tcPr>
            <w:tcW w:w="116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基金名称</w:t>
            </w:r>
          </w:p>
        </w:tc>
        <w:tc>
          <w:tcPr>
            <w:tcW w:w="992"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07"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基金公司</w:t>
            </w:r>
          </w:p>
        </w:tc>
        <w:tc>
          <w:tcPr>
            <w:tcW w:w="1056"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投资权重</w:t>
            </w:r>
          </w:p>
        </w:tc>
      </w:tr>
      <w:tr w:rsidR="005575BE"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5575BE" w:rsidRPr="00330DCC" w:rsidRDefault="00FD7EBB">
            <w:pPr>
              <w:jc w:val="center"/>
              <w:rPr>
                <w:rFonts w:ascii="宋体" w:eastAsia="宋体" w:hAnsi="宋体"/>
                <w:b/>
                <w:szCs w:val="18"/>
              </w:rPr>
            </w:pPr>
            <w:r>
              <w:rPr>
                <w:rFonts w:ascii="宋体" w:eastAsia="宋体" w:hAnsi="宋体" w:hint="eastAsia"/>
                <w:b/>
                <w:szCs w:val="18"/>
              </w:rPr>
              <w:t>南方精选</w:t>
            </w:r>
          </w:p>
        </w:tc>
        <w:tc>
          <w:tcPr>
            <w:tcW w:w="993" w:type="dxa"/>
            <w:tcBorders>
              <w:top w:val="single" w:sz="4" w:space="0" w:color="00A0E9"/>
              <w:bottom w:val="single" w:sz="4" w:space="0" w:color="00A0E9"/>
            </w:tcBorders>
            <w:shd w:val="clear" w:color="auto" w:fill="auto"/>
            <w:vAlign w:val="center"/>
          </w:tcPr>
          <w:p w:rsidR="005575BE" w:rsidRPr="00330DCC" w:rsidRDefault="005575BE">
            <w:pPr>
              <w:jc w:val="center"/>
              <w:rPr>
                <w:rFonts w:ascii="宋体" w:eastAsia="宋体" w:hAnsi="宋体"/>
                <w:szCs w:val="18"/>
              </w:rPr>
            </w:pPr>
            <w:r w:rsidRPr="00330DCC">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5575BE" w:rsidRDefault="00883F9E" w:rsidP="00880CF1">
            <w:pPr>
              <w:jc w:val="center"/>
              <w:rPr>
                <w:rFonts w:ascii="宋体" w:eastAsia="宋体" w:hAnsi="宋体"/>
                <w:szCs w:val="18"/>
              </w:rPr>
            </w:pPr>
            <w:proofErr w:type="gramStart"/>
            <w:r>
              <w:rPr>
                <w:rFonts w:ascii="宋体" w:eastAsia="宋体" w:hAnsi="宋体" w:hint="eastAsia"/>
                <w:szCs w:val="18"/>
              </w:rPr>
              <w:t>陈键</w:t>
            </w:r>
            <w:proofErr w:type="gramEnd"/>
          </w:p>
        </w:tc>
        <w:tc>
          <w:tcPr>
            <w:tcW w:w="1054" w:type="dxa"/>
            <w:tcBorders>
              <w:top w:val="single" w:sz="4" w:space="0" w:color="00A0E9"/>
              <w:bottom w:val="single" w:sz="4" w:space="0" w:color="00A0E9"/>
            </w:tcBorders>
            <w:shd w:val="clear" w:color="auto" w:fill="auto"/>
            <w:vAlign w:val="center"/>
          </w:tcPr>
          <w:p w:rsidR="005575BE" w:rsidRDefault="00FD7EBB" w:rsidP="00880CF1">
            <w:pPr>
              <w:jc w:val="center"/>
              <w:rPr>
                <w:rFonts w:ascii="宋体" w:eastAsia="宋体" w:hAnsi="宋体"/>
                <w:szCs w:val="18"/>
              </w:rPr>
            </w:pPr>
            <w:r>
              <w:rPr>
                <w:rFonts w:ascii="宋体" w:eastAsia="宋体" w:hAnsi="宋体" w:hint="eastAsia"/>
                <w:szCs w:val="18"/>
              </w:rPr>
              <w:t>南方</w:t>
            </w:r>
          </w:p>
        </w:tc>
        <w:tc>
          <w:tcPr>
            <w:tcW w:w="1055"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5575BE" w:rsidRPr="00ED22EB" w:rsidRDefault="005575BE" w:rsidP="00880CF1">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5575BE" w:rsidRPr="006E06FA" w:rsidRDefault="005575BE" w:rsidP="00880CF1">
            <w:pPr>
              <w:jc w:val="center"/>
              <w:rPr>
                <w:rFonts w:ascii="宋体" w:eastAsia="宋体" w:hAnsi="宋体"/>
                <w:b/>
                <w:szCs w:val="18"/>
              </w:rPr>
            </w:pPr>
            <w:r w:rsidRPr="003B170A">
              <w:rPr>
                <w:rFonts w:ascii="宋体" w:eastAsia="宋体" w:hAnsi="宋体" w:hint="eastAsia"/>
                <w:b/>
                <w:szCs w:val="18"/>
              </w:rPr>
              <w:t>招商安泰股票</w:t>
            </w:r>
          </w:p>
        </w:tc>
        <w:tc>
          <w:tcPr>
            <w:tcW w:w="992" w:type="dxa"/>
            <w:tcBorders>
              <w:top w:val="single" w:sz="4" w:space="0" w:color="00A0E9"/>
              <w:bottom w:val="single" w:sz="4" w:space="0" w:color="00A0E9"/>
            </w:tcBorders>
            <w:shd w:val="clear" w:color="auto" w:fill="auto"/>
            <w:vAlign w:val="center"/>
          </w:tcPr>
          <w:p w:rsidR="005575BE" w:rsidRPr="00C23493" w:rsidRDefault="005575BE" w:rsidP="00880CF1">
            <w:pPr>
              <w:jc w:val="center"/>
              <w:rPr>
                <w:rFonts w:ascii="宋体" w:eastAsia="宋体" w:hAnsi="宋体"/>
                <w:szCs w:val="18"/>
              </w:rPr>
            </w:pPr>
            <w:r w:rsidRPr="003B170A">
              <w:rPr>
                <w:rFonts w:ascii="宋体" w:eastAsia="宋体" w:hAnsi="宋体" w:hint="eastAsia"/>
                <w:szCs w:val="18"/>
              </w:rPr>
              <w:t>股票型</w:t>
            </w:r>
          </w:p>
        </w:tc>
        <w:tc>
          <w:tcPr>
            <w:tcW w:w="1007"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sidRPr="00074811">
              <w:rPr>
                <w:rFonts w:ascii="宋体" w:eastAsia="宋体" w:hAnsi="宋体" w:hint="eastAsia"/>
                <w:szCs w:val="18"/>
              </w:rPr>
              <w:t>王景</w:t>
            </w:r>
          </w:p>
        </w:tc>
        <w:tc>
          <w:tcPr>
            <w:tcW w:w="1054"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sidRPr="003B170A">
              <w:rPr>
                <w:rFonts w:ascii="宋体" w:eastAsia="宋体" w:hAnsi="宋体" w:hint="eastAsia"/>
                <w:szCs w:val="18"/>
              </w:rPr>
              <w:t>招商</w:t>
            </w:r>
          </w:p>
        </w:tc>
        <w:tc>
          <w:tcPr>
            <w:tcW w:w="1056" w:type="dxa"/>
            <w:tcBorders>
              <w:top w:val="single" w:sz="4" w:space="0" w:color="00A0E9"/>
              <w:bottom w:val="single" w:sz="4" w:space="0" w:color="00A0E9"/>
            </w:tcBorders>
            <w:shd w:val="clear" w:color="auto" w:fill="auto"/>
            <w:vAlign w:val="center"/>
          </w:tcPr>
          <w:p w:rsidR="005575BE" w:rsidRPr="001E1B5D" w:rsidRDefault="005575BE" w:rsidP="00880CF1">
            <w:pPr>
              <w:jc w:val="center"/>
              <w:rPr>
                <w:rFonts w:ascii="宋体" w:eastAsia="宋体" w:hAnsi="宋体"/>
                <w:szCs w:val="18"/>
              </w:rPr>
            </w:pPr>
            <w:r>
              <w:rPr>
                <w:rFonts w:ascii="宋体" w:eastAsia="宋体" w:hAnsi="宋体" w:hint="eastAsia"/>
                <w:szCs w:val="18"/>
              </w:rPr>
              <w:t>20%</w:t>
            </w:r>
          </w:p>
        </w:tc>
      </w:tr>
      <w:tr w:rsidR="00880CF1"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880CF1" w:rsidRPr="00CE2F1A" w:rsidRDefault="00880CF1" w:rsidP="00880CF1">
            <w:pPr>
              <w:jc w:val="center"/>
              <w:rPr>
                <w:rFonts w:ascii="宋体" w:eastAsia="宋体" w:hAnsi="宋体"/>
                <w:b/>
                <w:szCs w:val="18"/>
              </w:rPr>
            </w:pPr>
            <w:r w:rsidRPr="003B170A">
              <w:rPr>
                <w:rFonts w:ascii="宋体" w:eastAsia="宋体" w:hAnsi="宋体" w:hint="eastAsia"/>
                <w:b/>
                <w:szCs w:val="18"/>
              </w:rPr>
              <w:t>国泰金</w:t>
            </w:r>
            <w:proofErr w:type="gramStart"/>
            <w:r w:rsidRPr="003B170A">
              <w:rPr>
                <w:rFonts w:ascii="宋体" w:eastAsia="宋体" w:hAnsi="宋体" w:hint="eastAsia"/>
                <w:b/>
                <w:szCs w:val="18"/>
              </w:rPr>
              <w:t>泰平衡</w:t>
            </w:r>
            <w:proofErr w:type="gramEnd"/>
          </w:p>
        </w:tc>
        <w:tc>
          <w:tcPr>
            <w:tcW w:w="993" w:type="dxa"/>
            <w:tcBorders>
              <w:top w:val="single" w:sz="4" w:space="0" w:color="00A0E9"/>
              <w:bottom w:val="single" w:sz="4" w:space="0" w:color="00A0E9"/>
            </w:tcBorders>
            <w:shd w:val="clear" w:color="auto" w:fill="auto"/>
            <w:vAlign w:val="center"/>
          </w:tcPr>
          <w:p w:rsidR="00880CF1" w:rsidRPr="00484352" w:rsidRDefault="00880CF1" w:rsidP="00880CF1">
            <w:pPr>
              <w:jc w:val="center"/>
              <w:rPr>
                <w:rFonts w:ascii="宋体" w:eastAsia="宋体" w:hAnsi="宋体"/>
                <w:szCs w:val="18"/>
              </w:rPr>
            </w:pPr>
            <w:r w:rsidRPr="003B170A">
              <w:rPr>
                <w:rFonts w:ascii="宋体" w:eastAsia="宋体" w:hAnsi="宋体" w:hint="eastAsia"/>
                <w:szCs w:val="18"/>
              </w:rPr>
              <w:t>混合-保守配置型</w:t>
            </w:r>
          </w:p>
        </w:tc>
        <w:tc>
          <w:tcPr>
            <w:tcW w:w="1036" w:type="dxa"/>
            <w:tcBorders>
              <w:top w:val="single" w:sz="4" w:space="0" w:color="00A0E9"/>
              <w:bottom w:val="single" w:sz="4" w:space="0" w:color="00A0E9"/>
            </w:tcBorders>
            <w:shd w:val="clear" w:color="auto" w:fill="auto"/>
            <w:vAlign w:val="center"/>
          </w:tcPr>
          <w:p w:rsidR="00880CF1" w:rsidRPr="006E0CA2" w:rsidRDefault="00880CF1" w:rsidP="00880CF1">
            <w:pPr>
              <w:jc w:val="center"/>
              <w:rPr>
                <w:rFonts w:ascii="宋体" w:eastAsia="宋体" w:hAnsi="宋体"/>
                <w:szCs w:val="18"/>
              </w:rPr>
            </w:pPr>
            <w:r>
              <w:rPr>
                <w:rFonts w:ascii="宋体" w:eastAsia="宋体" w:hAnsi="宋体" w:hint="eastAsia"/>
                <w:szCs w:val="18"/>
              </w:rPr>
              <w:t>程洲</w:t>
            </w:r>
            <w:r w:rsidR="00330DCC">
              <w:rPr>
                <w:rFonts w:ascii="宋体" w:eastAsia="宋体" w:hAnsi="宋体" w:hint="eastAsia"/>
                <w:szCs w:val="18"/>
              </w:rPr>
              <w:t>、樊利安</w:t>
            </w:r>
          </w:p>
        </w:tc>
        <w:tc>
          <w:tcPr>
            <w:tcW w:w="1054" w:type="dxa"/>
            <w:tcBorders>
              <w:top w:val="single" w:sz="4" w:space="0" w:color="00A0E9"/>
              <w:bottom w:val="single" w:sz="4" w:space="0" w:color="00A0E9"/>
            </w:tcBorders>
            <w:shd w:val="clear" w:color="auto" w:fill="auto"/>
            <w:vAlign w:val="center"/>
          </w:tcPr>
          <w:p w:rsidR="00880CF1" w:rsidRPr="008372A8" w:rsidRDefault="00880CF1" w:rsidP="00880CF1">
            <w:pPr>
              <w:jc w:val="center"/>
              <w:rPr>
                <w:rFonts w:ascii="宋体" w:eastAsia="宋体" w:hAnsi="宋体"/>
                <w:szCs w:val="18"/>
              </w:rPr>
            </w:pPr>
            <w:r>
              <w:rPr>
                <w:rFonts w:ascii="宋体" w:eastAsia="宋体" w:hAnsi="宋体" w:hint="eastAsia"/>
                <w:szCs w:val="18"/>
              </w:rPr>
              <w:t>国泰</w:t>
            </w:r>
          </w:p>
        </w:tc>
        <w:tc>
          <w:tcPr>
            <w:tcW w:w="1055" w:type="dxa"/>
            <w:tcBorders>
              <w:top w:val="single" w:sz="4" w:space="0" w:color="00A0E9"/>
              <w:bottom w:val="single" w:sz="4" w:space="0" w:color="00A0E9"/>
            </w:tcBorders>
            <w:shd w:val="clear" w:color="auto" w:fill="auto"/>
            <w:vAlign w:val="center"/>
          </w:tcPr>
          <w:p w:rsidR="00880CF1" w:rsidRPr="008372A8" w:rsidRDefault="00880CF1" w:rsidP="00880CF1">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880CF1" w:rsidRPr="00ED22EB" w:rsidRDefault="00880CF1" w:rsidP="00880CF1">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880CF1" w:rsidRPr="00CE2F1A" w:rsidRDefault="00ED65FA" w:rsidP="00880CF1">
            <w:pPr>
              <w:jc w:val="center"/>
              <w:rPr>
                <w:rFonts w:ascii="宋体" w:eastAsia="宋体" w:hAnsi="宋体"/>
                <w:b/>
                <w:szCs w:val="18"/>
              </w:rPr>
            </w:pPr>
            <w:r>
              <w:rPr>
                <w:rFonts w:ascii="宋体" w:eastAsia="宋体" w:hAnsi="宋体" w:hint="eastAsia"/>
                <w:b/>
                <w:szCs w:val="18"/>
              </w:rPr>
              <w:t>广</w:t>
            </w:r>
            <w:proofErr w:type="gramStart"/>
            <w:r>
              <w:rPr>
                <w:rFonts w:ascii="宋体" w:eastAsia="宋体" w:hAnsi="宋体" w:hint="eastAsia"/>
                <w:b/>
                <w:szCs w:val="18"/>
              </w:rPr>
              <w:t>发成长</w:t>
            </w:r>
            <w:proofErr w:type="gramEnd"/>
            <w:r>
              <w:rPr>
                <w:rFonts w:ascii="宋体" w:eastAsia="宋体" w:hAnsi="宋体" w:hint="eastAsia"/>
                <w:b/>
                <w:szCs w:val="18"/>
              </w:rPr>
              <w:t>优选</w:t>
            </w:r>
          </w:p>
        </w:tc>
        <w:tc>
          <w:tcPr>
            <w:tcW w:w="992" w:type="dxa"/>
            <w:tcBorders>
              <w:top w:val="single" w:sz="4" w:space="0" w:color="00A0E9"/>
              <w:bottom w:val="single" w:sz="4" w:space="0" w:color="00A0E9"/>
            </w:tcBorders>
            <w:shd w:val="clear" w:color="auto" w:fill="auto"/>
            <w:vAlign w:val="center"/>
          </w:tcPr>
          <w:p w:rsidR="00880CF1" w:rsidRPr="00CE2F1A" w:rsidRDefault="00880CF1" w:rsidP="00880CF1">
            <w:pPr>
              <w:jc w:val="center"/>
              <w:rPr>
                <w:rFonts w:ascii="宋体" w:eastAsia="宋体" w:hAnsi="宋体"/>
                <w:szCs w:val="18"/>
              </w:rPr>
            </w:pPr>
            <w:r w:rsidRPr="003B170A">
              <w:rPr>
                <w:rFonts w:ascii="宋体" w:eastAsia="宋体" w:hAnsi="宋体" w:hint="eastAsia"/>
                <w:szCs w:val="18"/>
              </w:rPr>
              <w:t>混合-灵活配置型</w:t>
            </w:r>
          </w:p>
        </w:tc>
        <w:tc>
          <w:tcPr>
            <w:tcW w:w="1007" w:type="dxa"/>
            <w:tcBorders>
              <w:top w:val="single" w:sz="4" w:space="0" w:color="00A0E9"/>
              <w:bottom w:val="single" w:sz="4" w:space="0" w:color="00A0E9"/>
            </w:tcBorders>
            <w:shd w:val="clear" w:color="auto" w:fill="auto"/>
            <w:vAlign w:val="center"/>
          </w:tcPr>
          <w:p w:rsidR="00880CF1" w:rsidRPr="006E0CA2" w:rsidRDefault="00883F9E" w:rsidP="00880CF1">
            <w:pPr>
              <w:jc w:val="center"/>
              <w:rPr>
                <w:rFonts w:ascii="宋体" w:eastAsia="宋体" w:hAnsi="宋体"/>
                <w:szCs w:val="18"/>
              </w:rPr>
            </w:pPr>
            <w:r>
              <w:rPr>
                <w:rFonts w:ascii="宋体" w:eastAsia="宋体" w:hAnsi="宋体" w:hint="eastAsia"/>
                <w:szCs w:val="18"/>
              </w:rPr>
              <w:t>代宇、王小松</w:t>
            </w:r>
          </w:p>
        </w:tc>
        <w:tc>
          <w:tcPr>
            <w:tcW w:w="1054" w:type="dxa"/>
            <w:tcBorders>
              <w:top w:val="single" w:sz="4" w:space="0" w:color="00A0E9"/>
              <w:bottom w:val="single" w:sz="4" w:space="0" w:color="00A0E9"/>
            </w:tcBorders>
            <w:shd w:val="clear" w:color="auto" w:fill="auto"/>
            <w:vAlign w:val="center"/>
          </w:tcPr>
          <w:p w:rsidR="00880CF1" w:rsidRDefault="00883F9E" w:rsidP="00880CF1">
            <w:pPr>
              <w:jc w:val="center"/>
              <w:rPr>
                <w:rFonts w:ascii="宋体" w:eastAsia="宋体" w:hAnsi="宋体"/>
                <w:szCs w:val="18"/>
              </w:rPr>
            </w:pPr>
            <w:r>
              <w:rPr>
                <w:rFonts w:ascii="宋体" w:eastAsia="宋体" w:hAnsi="宋体" w:hint="eastAsia"/>
                <w:szCs w:val="18"/>
              </w:rPr>
              <w:t>广发</w:t>
            </w:r>
          </w:p>
        </w:tc>
        <w:tc>
          <w:tcPr>
            <w:tcW w:w="1056" w:type="dxa"/>
            <w:tcBorders>
              <w:top w:val="single" w:sz="4" w:space="0" w:color="00A0E9"/>
              <w:bottom w:val="single" w:sz="4" w:space="0" w:color="00A0E9"/>
            </w:tcBorders>
            <w:shd w:val="clear" w:color="auto" w:fill="auto"/>
            <w:vAlign w:val="center"/>
          </w:tcPr>
          <w:p w:rsidR="00880CF1" w:rsidRDefault="00880CF1" w:rsidP="00880CF1">
            <w:pPr>
              <w:jc w:val="center"/>
              <w:rPr>
                <w:rFonts w:ascii="宋体" w:eastAsia="宋体" w:hAnsi="宋体"/>
                <w:szCs w:val="18"/>
              </w:rPr>
            </w:pPr>
            <w:r>
              <w:rPr>
                <w:rFonts w:ascii="宋体" w:eastAsia="宋体" w:hAnsi="宋体" w:hint="eastAsia"/>
                <w:szCs w:val="18"/>
              </w:rPr>
              <w:t>20%</w:t>
            </w:r>
          </w:p>
        </w:tc>
      </w:tr>
      <w:tr w:rsidR="005575BE"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5575BE" w:rsidRPr="00CE2F1A" w:rsidRDefault="00FD7EBB" w:rsidP="00880CF1">
            <w:pPr>
              <w:jc w:val="center"/>
              <w:rPr>
                <w:rFonts w:ascii="宋体" w:eastAsia="宋体" w:hAnsi="宋体"/>
                <w:b/>
                <w:szCs w:val="18"/>
              </w:rPr>
            </w:pPr>
            <w:r>
              <w:rPr>
                <w:rFonts w:ascii="宋体" w:eastAsia="宋体" w:hAnsi="宋体" w:hint="eastAsia"/>
                <w:b/>
                <w:szCs w:val="18"/>
              </w:rPr>
              <w:t>华商红利优选</w:t>
            </w:r>
          </w:p>
        </w:tc>
        <w:tc>
          <w:tcPr>
            <w:tcW w:w="993" w:type="dxa"/>
            <w:tcBorders>
              <w:top w:val="single" w:sz="4" w:space="0" w:color="00A0E9"/>
              <w:bottom w:val="single" w:sz="4" w:space="0" w:color="00A0E9"/>
            </w:tcBorders>
            <w:shd w:val="clear" w:color="auto" w:fill="auto"/>
            <w:vAlign w:val="center"/>
          </w:tcPr>
          <w:p w:rsidR="005575BE" w:rsidRPr="00CE2F1A" w:rsidRDefault="00FD7EBB" w:rsidP="00880CF1">
            <w:pPr>
              <w:jc w:val="center"/>
              <w:rPr>
                <w:rFonts w:ascii="宋体" w:eastAsia="宋体" w:hAnsi="宋体"/>
                <w:szCs w:val="18"/>
              </w:rPr>
            </w:pPr>
            <w:r w:rsidRPr="00330DCC">
              <w:rPr>
                <w:rFonts w:ascii="宋体" w:eastAsia="宋体" w:hAnsi="宋体" w:hint="eastAsia"/>
                <w:szCs w:val="18"/>
              </w:rPr>
              <w:t>混合-灵活配置型</w:t>
            </w:r>
          </w:p>
        </w:tc>
        <w:tc>
          <w:tcPr>
            <w:tcW w:w="1036" w:type="dxa"/>
            <w:tcBorders>
              <w:top w:val="single" w:sz="4" w:space="0" w:color="00A0E9"/>
              <w:bottom w:val="single" w:sz="4" w:space="0" w:color="00A0E9"/>
            </w:tcBorders>
            <w:shd w:val="clear" w:color="auto" w:fill="auto"/>
            <w:vAlign w:val="center"/>
          </w:tcPr>
          <w:p w:rsidR="005575BE" w:rsidRPr="006E0CA2" w:rsidRDefault="00883F9E" w:rsidP="00880CF1">
            <w:pPr>
              <w:jc w:val="center"/>
              <w:rPr>
                <w:rFonts w:ascii="宋体" w:eastAsia="宋体" w:hAnsi="宋体"/>
                <w:szCs w:val="18"/>
              </w:rPr>
            </w:pPr>
            <w:r>
              <w:rPr>
                <w:rFonts w:ascii="宋体" w:eastAsia="宋体" w:hAnsi="宋体" w:hint="eastAsia"/>
                <w:szCs w:val="18"/>
              </w:rPr>
              <w:t>吴鹏飞</w:t>
            </w:r>
          </w:p>
        </w:tc>
        <w:tc>
          <w:tcPr>
            <w:tcW w:w="1054" w:type="dxa"/>
            <w:tcBorders>
              <w:top w:val="single" w:sz="4" w:space="0" w:color="00A0E9"/>
              <w:bottom w:val="single" w:sz="4" w:space="0" w:color="00A0E9"/>
            </w:tcBorders>
            <w:shd w:val="clear" w:color="auto" w:fill="auto"/>
            <w:vAlign w:val="center"/>
          </w:tcPr>
          <w:p w:rsidR="005575BE" w:rsidRPr="008372A8" w:rsidRDefault="00FD7EBB" w:rsidP="00880CF1">
            <w:pPr>
              <w:jc w:val="center"/>
              <w:rPr>
                <w:rFonts w:ascii="宋体" w:eastAsia="宋体" w:hAnsi="宋体"/>
                <w:szCs w:val="18"/>
              </w:rPr>
            </w:pPr>
            <w:r>
              <w:rPr>
                <w:rFonts w:ascii="宋体" w:eastAsia="宋体" w:hAnsi="宋体" w:hint="eastAsia"/>
                <w:szCs w:val="18"/>
              </w:rPr>
              <w:t>华商</w:t>
            </w:r>
          </w:p>
        </w:tc>
        <w:tc>
          <w:tcPr>
            <w:tcW w:w="1055"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5575BE" w:rsidRPr="00ED22EB" w:rsidRDefault="005575BE" w:rsidP="00880CF1">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5575BE" w:rsidRPr="00045604" w:rsidRDefault="00ED65FA">
            <w:pPr>
              <w:jc w:val="center"/>
              <w:rPr>
                <w:rFonts w:ascii="宋体" w:eastAsia="宋体" w:hAnsi="宋体"/>
                <w:b/>
                <w:szCs w:val="18"/>
              </w:rPr>
            </w:pPr>
            <w:r w:rsidRPr="00ED65FA">
              <w:rPr>
                <w:rFonts w:ascii="宋体" w:eastAsia="宋体" w:hAnsi="宋体" w:hint="eastAsia"/>
                <w:b/>
                <w:szCs w:val="18"/>
              </w:rPr>
              <w:t>兴</w:t>
            </w:r>
            <w:proofErr w:type="gramStart"/>
            <w:r w:rsidRPr="00ED65FA">
              <w:rPr>
                <w:rFonts w:ascii="宋体" w:eastAsia="宋体" w:hAnsi="宋体" w:hint="eastAsia"/>
                <w:b/>
                <w:szCs w:val="18"/>
              </w:rPr>
              <w:t>全趋势</w:t>
            </w:r>
            <w:proofErr w:type="gramEnd"/>
          </w:p>
        </w:tc>
        <w:tc>
          <w:tcPr>
            <w:tcW w:w="992" w:type="dxa"/>
            <w:tcBorders>
              <w:top w:val="single" w:sz="4" w:space="0" w:color="00A0E9"/>
              <w:bottom w:val="single" w:sz="4" w:space="0" w:color="00A0E9"/>
            </w:tcBorders>
            <w:shd w:val="clear" w:color="auto" w:fill="auto"/>
            <w:vAlign w:val="center"/>
          </w:tcPr>
          <w:p w:rsidR="005575BE" w:rsidRPr="00045604" w:rsidRDefault="00ED65FA">
            <w:pPr>
              <w:jc w:val="center"/>
              <w:rPr>
                <w:rFonts w:ascii="宋体" w:eastAsia="宋体" w:hAnsi="宋体"/>
                <w:szCs w:val="18"/>
              </w:rPr>
            </w:pPr>
            <w:r w:rsidRPr="003B170A">
              <w:rPr>
                <w:rFonts w:ascii="宋体" w:eastAsia="宋体" w:hAnsi="宋体" w:hint="eastAsia"/>
                <w:szCs w:val="18"/>
              </w:rPr>
              <w:t>混合-灵活配置型</w:t>
            </w:r>
          </w:p>
        </w:tc>
        <w:tc>
          <w:tcPr>
            <w:tcW w:w="1007" w:type="dxa"/>
            <w:tcBorders>
              <w:top w:val="single" w:sz="4" w:space="0" w:color="00A0E9"/>
              <w:bottom w:val="single" w:sz="4" w:space="0" w:color="00A0E9"/>
            </w:tcBorders>
            <w:shd w:val="clear" w:color="auto" w:fill="auto"/>
            <w:vAlign w:val="center"/>
          </w:tcPr>
          <w:p w:rsidR="005575BE" w:rsidRPr="006E0CA2" w:rsidRDefault="00883F9E" w:rsidP="00880CF1">
            <w:pPr>
              <w:jc w:val="center"/>
              <w:rPr>
                <w:rFonts w:ascii="宋体" w:eastAsia="宋体" w:hAnsi="宋体"/>
                <w:szCs w:val="18"/>
              </w:rPr>
            </w:pPr>
            <w:r>
              <w:rPr>
                <w:rFonts w:ascii="宋体" w:eastAsia="宋体" w:hAnsi="宋体" w:hint="eastAsia"/>
                <w:szCs w:val="18"/>
              </w:rPr>
              <w:t>董承非、侯梧</w:t>
            </w:r>
          </w:p>
        </w:tc>
        <w:tc>
          <w:tcPr>
            <w:tcW w:w="1054" w:type="dxa"/>
            <w:tcBorders>
              <w:top w:val="single" w:sz="4" w:space="0" w:color="00A0E9"/>
              <w:bottom w:val="single" w:sz="4" w:space="0" w:color="00A0E9"/>
            </w:tcBorders>
            <w:shd w:val="clear" w:color="auto" w:fill="auto"/>
            <w:vAlign w:val="center"/>
          </w:tcPr>
          <w:p w:rsidR="005575BE" w:rsidRPr="008372A8" w:rsidRDefault="00883F9E" w:rsidP="00880CF1">
            <w:pPr>
              <w:jc w:val="center"/>
              <w:rPr>
                <w:rFonts w:ascii="宋体" w:eastAsia="宋体" w:hAnsi="宋体"/>
                <w:szCs w:val="18"/>
              </w:rPr>
            </w:pPr>
            <w:r>
              <w:rPr>
                <w:rFonts w:ascii="宋体" w:eastAsia="宋体" w:hAnsi="宋体" w:hint="eastAsia"/>
                <w:szCs w:val="18"/>
              </w:rPr>
              <w:t>兴业全球</w:t>
            </w:r>
          </w:p>
        </w:tc>
        <w:tc>
          <w:tcPr>
            <w:tcW w:w="1056" w:type="dxa"/>
            <w:tcBorders>
              <w:top w:val="single" w:sz="4" w:space="0" w:color="00A0E9"/>
              <w:bottom w:val="single" w:sz="4" w:space="0" w:color="00A0E9"/>
            </w:tcBorders>
            <w:shd w:val="clear" w:color="auto" w:fill="auto"/>
            <w:vAlign w:val="center"/>
          </w:tcPr>
          <w:p w:rsidR="005575BE" w:rsidRDefault="005575BE" w:rsidP="00880CF1">
            <w:pPr>
              <w:jc w:val="center"/>
              <w:rPr>
                <w:rFonts w:ascii="宋体" w:eastAsia="宋体" w:hAnsi="宋体"/>
                <w:szCs w:val="18"/>
              </w:rPr>
            </w:pPr>
            <w:r>
              <w:rPr>
                <w:rFonts w:ascii="宋体" w:eastAsia="宋体" w:hAnsi="宋体" w:hint="eastAsia"/>
                <w:szCs w:val="18"/>
              </w:rPr>
              <w:t>20%</w:t>
            </w:r>
          </w:p>
        </w:tc>
      </w:tr>
      <w:tr w:rsidR="005575BE"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5575BE" w:rsidRPr="00330DCC" w:rsidRDefault="005575BE">
            <w:pPr>
              <w:jc w:val="center"/>
              <w:rPr>
                <w:rFonts w:ascii="宋体" w:eastAsia="宋体" w:hAnsi="宋体"/>
                <w:b/>
                <w:szCs w:val="18"/>
              </w:rPr>
            </w:pPr>
            <w:proofErr w:type="gramStart"/>
            <w:r w:rsidRPr="00330DCC">
              <w:rPr>
                <w:rFonts w:ascii="宋体" w:eastAsia="宋体" w:hAnsi="宋体" w:hint="eastAsia"/>
                <w:b/>
                <w:szCs w:val="18"/>
              </w:rPr>
              <w:t>浦银新兴</w:t>
            </w:r>
            <w:proofErr w:type="gramEnd"/>
          </w:p>
        </w:tc>
        <w:tc>
          <w:tcPr>
            <w:tcW w:w="993" w:type="dxa"/>
            <w:tcBorders>
              <w:top w:val="single" w:sz="4" w:space="0" w:color="00A0E9"/>
              <w:bottom w:val="single" w:sz="4" w:space="0" w:color="00A0E9"/>
            </w:tcBorders>
            <w:shd w:val="clear" w:color="auto" w:fill="auto"/>
            <w:vAlign w:val="center"/>
          </w:tcPr>
          <w:p w:rsidR="005575BE" w:rsidRPr="00330DCC" w:rsidRDefault="005575BE">
            <w:pPr>
              <w:jc w:val="center"/>
              <w:rPr>
                <w:rFonts w:ascii="宋体" w:eastAsia="宋体" w:hAnsi="宋体"/>
                <w:szCs w:val="18"/>
              </w:rPr>
            </w:pPr>
            <w:r w:rsidRPr="00330DCC">
              <w:rPr>
                <w:rFonts w:ascii="宋体" w:eastAsia="宋体" w:hAnsi="宋体" w:hint="eastAsia"/>
                <w:szCs w:val="18"/>
              </w:rPr>
              <w:t>混合-灵活配置型</w:t>
            </w:r>
          </w:p>
        </w:tc>
        <w:tc>
          <w:tcPr>
            <w:tcW w:w="1036" w:type="dxa"/>
            <w:tcBorders>
              <w:top w:val="single" w:sz="4" w:space="0" w:color="00A0E9"/>
              <w:bottom w:val="single" w:sz="4" w:space="0" w:color="00A0E9"/>
            </w:tcBorders>
            <w:shd w:val="clear" w:color="auto" w:fill="auto"/>
            <w:vAlign w:val="center"/>
          </w:tcPr>
          <w:p w:rsidR="005575BE" w:rsidRPr="006E0CA2" w:rsidRDefault="00330DCC" w:rsidP="00880CF1">
            <w:pPr>
              <w:jc w:val="center"/>
              <w:rPr>
                <w:rFonts w:ascii="宋体" w:eastAsia="宋体" w:hAnsi="宋体"/>
                <w:szCs w:val="18"/>
              </w:rPr>
            </w:pPr>
            <w:r>
              <w:rPr>
                <w:rFonts w:ascii="宋体" w:eastAsia="宋体" w:hAnsi="宋体" w:hint="eastAsia"/>
                <w:szCs w:val="18"/>
              </w:rPr>
              <w:t>吴勇</w:t>
            </w:r>
          </w:p>
        </w:tc>
        <w:tc>
          <w:tcPr>
            <w:tcW w:w="1054" w:type="dxa"/>
            <w:tcBorders>
              <w:top w:val="single" w:sz="4" w:space="0" w:color="00A0E9"/>
              <w:bottom w:val="single" w:sz="4" w:space="0" w:color="00A0E9"/>
            </w:tcBorders>
            <w:shd w:val="clear" w:color="auto" w:fill="auto"/>
            <w:vAlign w:val="center"/>
          </w:tcPr>
          <w:p w:rsidR="005575BE" w:rsidRPr="008372A8" w:rsidRDefault="00330DCC" w:rsidP="00880CF1">
            <w:pPr>
              <w:jc w:val="center"/>
              <w:rPr>
                <w:rFonts w:ascii="宋体" w:eastAsia="宋体" w:hAnsi="宋体"/>
                <w:szCs w:val="18"/>
              </w:rPr>
            </w:pPr>
            <w:proofErr w:type="gramStart"/>
            <w:r>
              <w:rPr>
                <w:rFonts w:ascii="宋体" w:eastAsia="宋体" w:hAnsi="宋体" w:hint="eastAsia"/>
                <w:szCs w:val="18"/>
              </w:rPr>
              <w:t>浦银安</w:t>
            </w:r>
            <w:proofErr w:type="gramEnd"/>
            <w:r>
              <w:rPr>
                <w:rFonts w:ascii="宋体" w:eastAsia="宋体" w:hAnsi="宋体" w:hint="eastAsia"/>
                <w:szCs w:val="18"/>
              </w:rPr>
              <w:t>盛</w:t>
            </w:r>
          </w:p>
        </w:tc>
        <w:tc>
          <w:tcPr>
            <w:tcW w:w="1055"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5575BE" w:rsidRPr="00ED22EB" w:rsidRDefault="005575BE" w:rsidP="00880CF1">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5575BE" w:rsidRPr="00C23493" w:rsidRDefault="005575BE" w:rsidP="00880CF1">
            <w:pPr>
              <w:jc w:val="center"/>
              <w:rPr>
                <w:rFonts w:ascii="宋体" w:eastAsia="宋体" w:hAnsi="宋体"/>
                <w:b/>
                <w:szCs w:val="18"/>
              </w:rPr>
            </w:pPr>
            <w:r w:rsidRPr="00C23493">
              <w:rPr>
                <w:rFonts w:ascii="宋体" w:eastAsia="宋体" w:hAnsi="宋体" w:hint="eastAsia"/>
                <w:b/>
                <w:szCs w:val="18"/>
              </w:rPr>
              <w:t>招商收益</w:t>
            </w:r>
          </w:p>
        </w:tc>
        <w:tc>
          <w:tcPr>
            <w:tcW w:w="992" w:type="dxa"/>
            <w:tcBorders>
              <w:top w:val="single" w:sz="4" w:space="0" w:color="00A0E9"/>
              <w:bottom w:val="single" w:sz="4" w:space="0" w:color="00A0E9"/>
            </w:tcBorders>
            <w:shd w:val="clear" w:color="auto" w:fill="auto"/>
            <w:vAlign w:val="center"/>
          </w:tcPr>
          <w:p w:rsidR="005575BE" w:rsidRPr="00C23493" w:rsidRDefault="005575BE" w:rsidP="00880CF1">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Pr>
                <w:rFonts w:ascii="宋体" w:eastAsia="宋体" w:hAnsi="宋体" w:hint="eastAsia"/>
                <w:szCs w:val="18"/>
              </w:rPr>
              <w:t>马龙</w:t>
            </w:r>
          </w:p>
        </w:tc>
        <w:tc>
          <w:tcPr>
            <w:tcW w:w="1054"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Pr>
                <w:rFonts w:ascii="宋体" w:eastAsia="宋体" w:hAnsi="宋体" w:hint="eastAsia"/>
                <w:szCs w:val="18"/>
              </w:rPr>
              <w:t>招商</w:t>
            </w:r>
          </w:p>
        </w:tc>
        <w:tc>
          <w:tcPr>
            <w:tcW w:w="1056" w:type="dxa"/>
            <w:tcBorders>
              <w:top w:val="single" w:sz="4" w:space="0" w:color="00A0E9"/>
              <w:bottom w:val="single" w:sz="4" w:space="0" w:color="00A0E9"/>
            </w:tcBorders>
            <w:shd w:val="clear" w:color="auto" w:fill="auto"/>
            <w:vAlign w:val="center"/>
          </w:tcPr>
          <w:p w:rsidR="005575BE" w:rsidRPr="008372A8" w:rsidRDefault="005575BE" w:rsidP="00880CF1">
            <w:pPr>
              <w:jc w:val="center"/>
              <w:rPr>
                <w:rFonts w:ascii="宋体" w:eastAsia="宋体" w:hAnsi="宋体"/>
                <w:szCs w:val="18"/>
              </w:rPr>
            </w:pPr>
            <w:r>
              <w:rPr>
                <w:rFonts w:ascii="宋体" w:eastAsia="宋体" w:hAnsi="宋体" w:hint="eastAsia"/>
                <w:szCs w:val="18"/>
              </w:rPr>
              <w:t>20</w:t>
            </w:r>
            <w:r w:rsidRPr="008372A8">
              <w:rPr>
                <w:rFonts w:ascii="宋体" w:eastAsia="宋体" w:hAnsi="宋体" w:hint="eastAsia"/>
                <w:szCs w:val="18"/>
              </w:rPr>
              <w:t>%</w:t>
            </w:r>
          </w:p>
        </w:tc>
      </w:tr>
      <w:tr w:rsidR="00880CF1" w:rsidRPr="001961D3" w:rsidTr="00735BBD">
        <w:trPr>
          <w:cantSplit/>
          <w:trHeight w:val="340"/>
        </w:trPr>
        <w:tc>
          <w:tcPr>
            <w:tcW w:w="1134" w:type="dxa"/>
            <w:tcBorders>
              <w:top w:val="single" w:sz="4" w:space="0" w:color="00A0E9"/>
              <w:bottom w:val="single" w:sz="4" w:space="0" w:color="00A0E9"/>
            </w:tcBorders>
            <w:shd w:val="clear" w:color="auto" w:fill="auto"/>
            <w:vAlign w:val="center"/>
          </w:tcPr>
          <w:p w:rsidR="00880CF1" w:rsidRPr="00CE2F1A" w:rsidRDefault="00954615" w:rsidP="00FD7EBB">
            <w:pPr>
              <w:jc w:val="center"/>
              <w:rPr>
                <w:rFonts w:ascii="宋体" w:eastAsia="宋体" w:hAnsi="宋体"/>
                <w:b/>
                <w:szCs w:val="18"/>
              </w:rPr>
            </w:pPr>
            <w:r w:rsidRPr="003B46D0">
              <w:rPr>
                <w:rFonts w:hint="eastAsia"/>
              </w:rPr>
              <w:t>★</w:t>
            </w:r>
            <w:r w:rsidR="00880CF1">
              <w:rPr>
                <w:rFonts w:ascii="宋体" w:eastAsia="宋体" w:hAnsi="宋体" w:hint="eastAsia"/>
                <w:b/>
                <w:szCs w:val="18"/>
              </w:rPr>
              <w:t>广发</w:t>
            </w:r>
            <w:r w:rsidR="00FD7EBB">
              <w:rPr>
                <w:rFonts w:ascii="宋体" w:eastAsia="宋体" w:hAnsi="宋体" w:hint="eastAsia"/>
                <w:b/>
                <w:szCs w:val="18"/>
              </w:rPr>
              <w:t>消费品</w:t>
            </w:r>
          </w:p>
        </w:tc>
        <w:tc>
          <w:tcPr>
            <w:tcW w:w="993" w:type="dxa"/>
            <w:tcBorders>
              <w:top w:val="single" w:sz="4" w:space="0" w:color="00A0E9"/>
              <w:bottom w:val="single" w:sz="4" w:space="0" w:color="00A0E9"/>
            </w:tcBorders>
            <w:shd w:val="clear" w:color="auto" w:fill="auto"/>
            <w:vAlign w:val="center"/>
          </w:tcPr>
          <w:p w:rsidR="00880CF1" w:rsidRPr="00CE2F1A" w:rsidRDefault="00880CF1" w:rsidP="00880CF1">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880CF1" w:rsidRPr="006E0CA2" w:rsidRDefault="00883F9E" w:rsidP="00880CF1">
            <w:pPr>
              <w:jc w:val="center"/>
              <w:rPr>
                <w:rFonts w:ascii="宋体" w:eastAsia="宋体" w:hAnsi="宋体"/>
                <w:szCs w:val="18"/>
              </w:rPr>
            </w:pPr>
            <w:r>
              <w:rPr>
                <w:rFonts w:ascii="宋体" w:eastAsia="宋体" w:hAnsi="宋体" w:hint="eastAsia"/>
                <w:szCs w:val="18"/>
              </w:rPr>
              <w:t>程琨</w:t>
            </w:r>
          </w:p>
        </w:tc>
        <w:tc>
          <w:tcPr>
            <w:tcW w:w="1054" w:type="dxa"/>
            <w:tcBorders>
              <w:top w:val="single" w:sz="4" w:space="0" w:color="00A0E9"/>
              <w:bottom w:val="single" w:sz="4" w:space="0" w:color="00A0E9"/>
            </w:tcBorders>
            <w:shd w:val="clear" w:color="auto" w:fill="auto"/>
            <w:vAlign w:val="center"/>
          </w:tcPr>
          <w:p w:rsidR="00880CF1" w:rsidRDefault="00880CF1" w:rsidP="00880CF1">
            <w:pPr>
              <w:jc w:val="center"/>
              <w:rPr>
                <w:rFonts w:ascii="宋体" w:eastAsia="宋体" w:hAnsi="宋体"/>
                <w:szCs w:val="18"/>
              </w:rPr>
            </w:pPr>
            <w:r>
              <w:rPr>
                <w:rFonts w:ascii="宋体" w:eastAsia="宋体" w:hAnsi="宋体" w:hint="eastAsia"/>
                <w:szCs w:val="18"/>
              </w:rPr>
              <w:t>广发</w:t>
            </w:r>
          </w:p>
        </w:tc>
        <w:tc>
          <w:tcPr>
            <w:tcW w:w="1055" w:type="dxa"/>
            <w:tcBorders>
              <w:top w:val="single" w:sz="4" w:space="0" w:color="00A0E9"/>
              <w:bottom w:val="single" w:sz="4" w:space="0" w:color="00A0E9"/>
            </w:tcBorders>
            <w:shd w:val="clear" w:color="auto" w:fill="auto"/>
            <w:vAlign w:val="center"/>
          </w:tcPr>
          <w:p w:rsidR="00880CF1" w:rsidRDefault="00880CF1" w:rsidP="00880CF1">
            <w:pPr>
              <w:jc w:val="center"/>
              <w:rPr>
                <w:rFonts w:ascii="宋体" w:eastAsia="宋体" w:hAnsi="宋体"/>
                <w:szCs w:val="18"/>
              </w:rPr>
            </w:pPr>
            <w:r>
              <w:rPr>
                <w:rFonts w:ascii="宋体" w:eastAsia="宋体" w:hAnsi="宋体" w:hint="eastAsia"/>
                <w:szCs w:val="18"/>
              </w:rPr>
              <w:t>20%</w:t>
            </w:r>
          </w:p>
        </w:tc>
        <w:tc>
          <w:tcPr>
            <w:tcW w:w="227" w:type="dxa"/>
            <w:vMerge/>
            <w:vAlign w:val="center"/>
          </w:tcPr>
          <w:p w:rsidR="00880CF1" w:rsidRPr="00ED22EB" w:rsidRDefault="00880CF1" w:rsidP="00880CF1">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880CF1" w:rsidRPr="00A579E1" w:rsidRDefault="00880CF1" w:rsidP="00880CF1">
            <w:pPr>
              <w:jc w:val="center"/>
              <w:rPr>
                <w:rFonts w:ascii="宋体" w:eastAsia="宋体" w:hAnsi="宋体"/>
                <w:b/>
                <w:szCs w:val="18"/>
              </w:rPr>
            </w:pPr>
            <w:r>
              <w:rPr>
                <w:rFonts w:ascii="宋体" w:eastAsia="宋体" w:hAnsi="宋体" w:hint="eastAsia"/>
                <w:b/>
                <w:szCs w:val="18"/>
              </w:rPr>
              <w:t>南方多利</w:t>
            </w:r>
          </w:p>
        </w:tc>
        <w:tc>
          <w:tcPr>
            <w:tcW w:w="992" w:type="dxa"/>
            <w:tcBorders>
              <w:top w:val="single" w:sz="4" w:space="0" w:color="00A0E9"/>
              <w:bottom w:val="single" w:sz="4" w:space="0" w:color="00A0E9"/>
            </w:tcBorders>
            <w:shd w:val="clear" w:color="auto" w:fill="auto"/>
            <w:vAlign w:val="center"/>
          </w:tcPr>
          <w:p w:rsidR="00880CF1" w:rsidRPr="00C23493" w:rsidRDefault="00880CF1" w:rsidP="00880CF1">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880CF1" w:rsidRPr="00B803C4" w:rsidRDefault="00880CF1" w:rsidP="00880CF1">
            <w:pPr>
              <w:jc w:val="center"/>
              <w:rPr>
                <w:rFonts w:ascii="宋体" w:eastAsia="宋体" w:hAnsi="宋体"/>
                <w:bCs/>
                <w:szCs w:val="18"/>
              </w:rPr>
            </w:pPr>
            <w:r>
              <w:rPr>
                <w:rFonts w:ascii="宋体" w:eastAsia="宋体" w:hAnsi="宋体" w:hint="eastAsia"/>
                <w:bCs/>
                <w:szCs w:val="18"/>
              </w:rPr>
              <w:t>李璇</w:t>
            </w:r>
          </w:p>
        </w:tc>
        <w:tc>
          <w:tcPr>
            <w:tcW w:w="1054" w:type="dxa"/>
            <w:tcBorders>
              <w:top w:val="single" w:sz="4" w:space="0" w:color="00A0E9"/>
              <w:bottom w:val="single" w:sz="4" w:space="0" w:color="00A0E9"/>
            </w:tcBorders>
            <w:shd w:val="clear" w:color="auto" w:fill="auto"/>
            <w:vAlign w:val="center"/>
          </w:tcPr>
          <w:p w:rsidR="00880CF1" w:rsidRPr="007B282B" w:rsidRDefault="00880CF1" w:rsidP="00880CF1">
            <w:pPr>
              <w:jc w:val="center"/>
              <w:rPr>
                <w:rFonts w:ascii="宋体" w:eastAsia="宋体" w:hAnsi="宋体"/>
                <w:bCs/>
                <w:szCs w:val="18"/>
              </w:rPr>
            </w:pPr>
            <w:r>
              <w:rPr>
                <w:rFonts w:ascii="宋体" w:eastAsia="宋体" w:hAnsi="宋体" w:hint="eastAsia"/>
                <w:bCs/>
                <w:szCs w:val="18"/>
              </w:rPr>
              <w:t>南方</w:t>
            </w:r>
          </w:p>
        </w:tc>
        <w:tc>
          <w:tcPr>
            <w:tcW w:w="1056" w:type="dxa"/>
            <w:tcBorders>
              <w:top w:val="single" w:sz="4" w:space="0" w:color="00A0E9"/>
              <w:bottom w:val="single" w:sz="4" w:space="0" w:color="00A0E9"/>
            </w:tcBorders>
            <w:shd w:val="clear" w:color="auto" w:fill="auto"/>
            <w:vAlign w:val="center"/>
          </w:tcPr>
          <w:p w:rsidR="00880CF1" w:rsidRPr="007B282B" w:rsidRDefault="00880CF1" w:rsidP="00880CF1">
            <w:pPr>
              <w:jc w:val="center"/>
              <w:rPr>
                <w:rFonts w:ascii="宋体" w:eastAsia="宋体" w:hAnsi="宋体"/>
              </w:rPr>
            </w:pPr>
            <w:r>
              <w:rPr>
                <w:rFonts w:ascii="宋体" w:eastAsia="宋体" w:hAnsi="宋体" w:hint="eastAsia"/>
              </w:rPr>
              <w:t>20%</w:t>
            </w:r>
          </w:p>
        </w:tc>
      </w:tr>
      <w:tr w:rsidR="00880CF1" w:rsidRPr="001961D3" w:rsidTr="00735BBD">
        <w:trPr>
          <w:cantSplit/>
          <w:trHeight w:val="690"/>
        </w:trPr>
        <w:tc>
          <w:tcPr>
            <w:tcW w:w="5272" w:type="dxa"/>
            <w:gridSpan w:val="5"/>
            <w:tcBorders>
              <w:top w:val="single" w:sz="4" w:space="0" w:color="00A0E9"/>
              <w:bottom w:val="single" w:sz="4" w:space="0" w:color="00A0E9"/>
            </w:tcBorders>
            <w:shd w:val="clear" w:color="auto" w:fill="auto"/>
            <w:vAlign w:val="center"/>
          </w:tcPr>
          <w:p w:rsidR="00880CF1" w:rsidRPr="00DB0AFF" w:rsidRDefault="00880CF1" w:rsidP="00363DCE">
            <w:pPr>
              <w:jc w:val="left"/>
              <w:rPr>
                <w:rFonts w:ascii="宋体" w:eastAsia="宋体" w:hAnsi="宋体"/>
                <w:bCs/>
                <w:szCs w:val="18"/>
              </w:rPr>
            </w:pPr>
            <w:r w:rsidRPr="00187785">
              <w:rPr>
                <w:rFonts w:ascii="宋体" w:eastAsia="宋体" w:hAnsi="宋体" w:hint="eastAsia"/>
                <w:b/>
                <w:bCs/>
                <w:szCs w:val="18"/>
              </w:rPr>
              <w:lastRenderedPageBreak/>
              <w:t>组合说明：</w:t>
            </w:r>
            <w:r>
              <w:rPr>
                <w:rFonts w:ascii="宋体" w:eastAsia="宋体" w:hAnsi="宋体" w:hint="eastAsia"/>
                <w:bCs/>
                <w:szCs w:val="18"/>
              </w:rPr>
              <w:t>本月进攻性</w:t>
            </w:r>
            <w:r w:rsidRPr="00EF7A42">
              <w:rPr>
                <w:rFonts w:ascii="宋体" w:eastAsia="宋体" w:hAnsi="宋体" w:hint="eastAsia"/>
                <w:bCs/>
                <w:szCs w:val="18"/>
              </w:rPr>
              <w:t>组合</w:t>
            </w:r>
            <w:r>
              <w:rPr>
                <w:rFonts w:ascii="宋体" w:eastAsia="宋体" w:hAnsi="宋体" w:hint="eastAsia"/>
                <w:bCs/>
                <w:szCs w:val="18"/>
              </w:rPr>
              <w:t>调入</w:t>
            </w:r>
            <w:r w:rsidR="00363DCE">
              <w:rPr>
                <w:rFonts w:ascii="宋体" w:eastAsia="宋体" w:hAnsi="宋体" w:hint="eastAsia"/>
                <w:bCs/>
                <w:szCs w:val="18"/>
              </w:rPr>
              <w:t>南方精选、华商红利优选和广发消费品</w:t>
            </w:r>
            <w:r w:rsidR="00980CF4">
              <w:rPr>
                <w:rFonts w:ascii="宋体" w:eastAsia="宋体" w:hAnsi="宋体" w:hint="eastAsia"/>
                <w:bCs/>
                <w:szCs w:val="18"/>
              </w:rPr>
              <w:t>，</w:t>
            </w:r>
            <w:r>
              <w:rPr>
                <w:rFonts w:ascii="宋体" w:eastAsia="宋体" w:hAnsi="宋体" w:hint="eastAsia"/>
                <w:bCs/>
                <w:szCs w:val="18"/>
              </w:rPr>
              <w:t>权益类资产的比例</w:t>
            </w:r>
            <w:r w:rsidR="00363DCE">
              <w:rPr>
                <w:rFonts w:ascii="宋体" w:eastAsia="宋体" w:hAnsi="宋体" w:hint="eastAsia"/>
                <w:bCs/>
                <w:szCs w:val="18"/>
              </w:rPr>
              <w:t>仍</w:t>
            </w:r>
            <w:r w:rsidR="00980CF4">
              <w:rPr>
                <w:rFonts w:ascii="宋体" w:eastAsia="宋体" w:hAnsi="宋体" w:hint="eastAsia"/>
                <w:bCs/>
                <w:szCs w:val="18"/>
              </w:rPr>
              <w:t>维持相对</w:t>
            </w:r>
            <w:r>
              <w:rPr>
                <w:rFonts w:ascii="宋体" w:eastAsia="宋体" w:hAnsi="宋体" w:hint="eastAsia"/>
                <w:bCs/>
                <w:szCs w:val="18"/>
              </w:rPr>
              <w:t>低</w:t>
            </w:r>
            <w:r w:rsidR="00980CF4">
              <w:rPr>
                <w:rFonts w:ascii="宋体" w:eastAsia="宋体" w:hAnsi="宋体" w:hint="eastAsia"/>
                <w:bCs/>
                <w:szCs w:val="18"/>
              </w:rPr>
              <w:t>水平</w:t>
            </w:r>
            <w:r>
              <w:rPr>
                <w:rFonts w:ascii="宋体" w:eastAsia="宋体" w:hAnsi="宋体" w:hint="eastAsia"/>
                <w:bCs/>
                <w:szCs w:val="18"/>
              </w:rPr>
              <w:t>。其中，</w:t>
            </w:r>
            <w:r w:rsidR="00363DCE">
              <w:rPr>
                <w:rFonts w:ascii="宋体" w:eastAsia="宋体" w:hAnsi="宋体" w:hint="eastAsia"/>
                <w:bCs/>
                <w:szCs w:val="18"/>
              </w:rPr>
              <w:t>华商红利优选</w:t>
            </w:r>
            <w:r w:rsidR="00980CF4">
              <w:rPr>
                <w:rFonts w:ascii="宋体" w:eastAsia="宋体" w:hAnsi="宋体" w:hint="eastAsia"/>
                <w:bCs/>
                <w:szCs w:val="18"/>
              </w:rPr>
              <w:t>的</w:t>
            </w:r>
            <w:r>
              <w:rPr>
                <w:rFonts w:ascii="宋体" w:eastAsia="宋体" w:hAnsi="宋体" w:hint="eastAsia"/>
                <w:bCs/>
                <w:szCs w:val="18"/>
              </w:rPr>
              <w:t>风险收益配比较好，</w:t>
            </w:r>
            <w:r w:rsidR="00363DCE">
              <w:rPr>
                <w:rFonts w:ascii="宋体" w:eastAsia="宋体" w:hAnsi="宋体" w:hint="eastAsia"/>
                <w:bCs/>
                <w:szCs w:val="18"/>
              </w:rPr>
              <w:t>震荡市场环境中具备优势</w:t>
            </w:r>
            <w:r>
              <w:rPr>
                <w:rFonts w:ascii="宋体" w:eastAsia="宋体" w:hAnsi="宋体" w:hint="eastAsia"/>
                <w:bCs/>
                <w:szCs w:val="18"/>
              </w:rPr>
              <w:t>；广发</w:t>
            </w:r>
            <w:r w:rsidR="00363DCE">
              <w:rPr>
                <w:rFonts w:ascii="宋体" w:eastAsia="宋体" w:hAnsi="宋体" w:hint="eastAsia"/>
                <w:bCs/>
                <w:szCs w:val="18"/>
              </w:rPr>
              <w:t>消费品</w:t>
            </w:r>
            <w:r>
              <w:rPr>
                <w:rFonts w:ascii="宋体" w:eastAsia="宋体" w:hAnsi="宋体" w:hint="eastAsia"/>
                <w:bCs/>
                <w:szCs w:val="18"/>
              </w:rPr>
              <w:t>基金</w:t>
            </w:r>
            <w:r w:rsidR="00363DCE">
              <w:rPr>
                <w:rFonts w:ascii="宋体" w:eastAsia="宋体" w:hAnsi="宋体" w:hint="eastAsia"/>
                <w:bCs/>
                <w:szCs w:val="18"/>
              </w:rPr>
              <w:t>侧重消费板块投资，风格较为稳健</w:t>
            </w:r>
            <w:r>
              <w:rPr>
                <w:rFonts w:ascii="宋体" w:eastAsia="宋体" w:hAnsi="宋体" w:hint="eastAsia"/>
                <w:bCs/>
                <w:szCs w:val="18"/>
              </w:rPr>
              <w:t>；</w:t>
            </w:r>
            <w:proofErr w:type="gramStart"/>
            <w:r w:rsidR="00980CF4">
              <w:rPr>
                <w:rFonts w:ascii="宋体" w:eastAsia="宋体" w:hAnsi="宋体" w:hint="eastAsia"/>
                <w:bCs/>
                <w:szCs w:val="18"/>
              </w:rPr>
              <w:t>浦银新兴</w:t>
            </w:r>
            <w:proofErr w:type="gramEnd"/>
            <w:r w:rsidR="00980CF4">
              <w:rPr>
                <w:rFonts w:ascii="宋体" w:eastAsia="宋体" w:hAnsi="宋体" w:hint="eastAsia"/>
                <w:bCs/>
                <w:szCs w:val="18"/>
              </w:rPr>
              <w:t>目前的股票</w:t>
            </w:r>
            <w:proofErr w:type="gramStart"/>
            <w:r w:rsidR="00980CF4">
              <w:rPr>
                <w:rFonts w:ascii="宋体" w:eastAsia="宋体" w:hAnsi="宋体" w:hint="eastAsia"/>
                <w:bCs/>
                <w:szCs w:val="18"/>
              </w:rPr>
              <w:t>仓位</w:t>
            </w:r>
            <w:proofErr w:type="gramEnd"/>
            <w:r w:rsidR="00363DCE">
              <w:rPr>
                <w:rFonts w:ascii="宋体" w:eastAsia="宋体" w:hAnsi="宋体" w:hint="eastAsia"/>
                <w:bCs/>
                <w:szCs w:val="18"/>
              </w:rPr>
              <w:t>相对</w:t>
            </w:r>
            <w:r w:rsidR="00980CF4">
              <w:rPr>
                <w:rFonts w:ascii="宋体" w:eastAsia="宋体" w:hAnsi="宋体" w:hint="eastAsia"/>
                <w:bCs/>
                <w:szCs w:val="18"/>
              </w:rPr>
              <w:t>较低，</w:t>
            </w:r>
            <w:proofErr w:type="gramStart"/>
            <w:r w:rsidR="00980CF4">
              <w:rPr>
                <w:rFonts w:ascii="宋体" w:eastAsia="宋体" w:hAnsi="宋体" w:hint="eastAsia"/>
                <w:bCs/>
                <w:szCs w:val="18"/>
              </w:rPr>
              <w:t>且基金</w:t>
            </w:r>
            <w:proofErr w:type="gramEnd"/>
            <w:r w:rsidR="00980CF4">
              <w:rPr>
                <w:rFonts w:ascii="宋体" w:eastAsia="宋体" w:hAnsi="宋体" w:hint="eastAsia"/>
                <w:bCs/>
                <w:szCs w:val="18"/>
              </w:rPr>
              <w:t>经理的中长期选</w:t>
            </w:r>
            <w:proofErr w:type="gramStart"/>
            <w:r w:rsidR="00980CF4">
              <w:rPr>
                <w:rFonts w:ascii="宋体" w:eastAsia="宋体" w:hAnsi="宋体" w:hint="eastAsia"/>
                <w:bCs/>
                <w:szCs w:val="18"/>
              </w:rPr>
              <w:t>股能力</w:t>
            </w:r>
            <w:proofErr w:type="gramEnd"/>
            <w:r w:rsidR="00980CF4">
              <w:rPr>
                <w:rFonts w:ascii="宋体" w:eastAsia="宋体" w:hAnsi="宋体" w:hint="eastAsia"/>
                <w:bCs/>
                <w:szCs w:val="18"/>
              </w:rPr>
              <w:t>突出</w:t>
            </w:r>
            <w:r>
              <w:rPr>
                <w:rFonts w:ascii="宋体" w:eastAsia="宋体" w:hAnsi="宋体" w:hint="eastAsia"/>
                <w:bCs/>
                <w:szCs w:val="18"/>
              </w:rPr>
              <w:t>；</w:t>
            </w:r>
            <w:r w:rsidR="00363DCE">
              <w:rPr>
                <w:rFonts w:ascii="宋体" w:eastAsia="宋体" w:hAnsi="宋体" w:hint="eastAsia"/>
                <w:bCs/>
                <w:szCs w:val="18"/>
              </w:rPr>
              <w:t>南方精选侧重大中盘蓝筹股投资，蓝</w:t>
            </w:r>
            <w:proofErr w:type="gramStart"/>
            <w:r w:rsidR="00363DCE">
              <w:rPr>
                <w:rFonts w:ascii="宋体" w:eastAsia="宋体" w:hAnsi="宋体" w:hint="eastAsia"/>
                <w:bCs/>
                <w:szCs w:val="18"/>
              </w:rPr>
              <w:t>筹风格</w:t>
            </w:r>
            <w:proofErr w:type="gramEnd"/>
            <w:r w:rsidR="00363DCE">
              <w:rPr>
                <w:rFonts w:ascii="宋体" w:eastAsia="宋体" w:hAnsi="宋体" w:hint="eastAsia"/>
                <w:bCs/>
                <w:szCs w:val="18"/>
              </w:rPr>
              <w:t>显著</w:t>
            </w:r>
            <w:r>
              <w:rPr>
                <w:rFonts w:ascii="宋体" w:eastAsia="宋体" w:hAnsi="宋体" w:hint="eastAsia"/>
                <w:bCs/>
                <w:szCs w:val="18"/>
              </w:rPr>
              <w:t>；国泰金</w:t>
            </w:r>
            <w:proofErr w:type="gramStart"/>
            <w:r>
              <w:rPr>
                <w:rFonts w:ascii="宋体" w:eastAsia="宋体" w:hAnsi="宋体" w:hint="eastAsia"/>
                <w:bCs/>
                <w:szCs w:val="18"/>
              </w:rPr>
              <w:t>泰目前</w:t>
            </w:r>
            <w:proofErr w:type="gramEnd"/>
            <w:r>
              <w:rPr>
                <w:rFonts w:ascii="宋体" w:eastAsia="宋体" w:hAnsi="宋体" w:hint="eastAsia"/>
                <w:bCs/>
                <w:szCs w:val="18"/>
              </w:rPr>
              <w:t>的股票</w:t>
            </w:r>
            <w:proofErr w:type="gramStart"/>
            <w:r>
              <w:rPr>
                <w:rFonts w:ascii="宋体" w:eastAsia="宋体" w:hAnsi="宋体" w:hint="eastAsia"/>
                <w:bCs/>
                <w:szCs w:val="18"/>
              </w:rPr>
              <w:t>仓位</w:t>
            </w:r>
            <w:proofErr w:type="gramEnd"/>
            <w:r w:rsidR="00980CF4">
              <w:rPr>
                <w:rFonts w:ascii="宋体" w:eastAsia="宋体" w:hAnsi="宋体" w:hint="eastAsia"/>
                <w:bCs/>
                <w:szCs w:val="18"/>
              </w:rPr>
              <w:t>非常低，基金投资风格稳健</w:t>
            </w:r>
            <w:r>
              <w:rPr>
                <w:rFonts w:ascii="宋体" w:eastAsia="宋体" w:hAnsi="宋体" w:hint="eastAsia"/>
                <w:bCs/>
                <w:szCs w:val="18"/>
              </w:rPr>
              <w:t>。</w:t>
            </w:r>
          </w:p>
        </w:tc>
        <w:tc>
          <w:tcPr>
            <w:tcW w:w="227" w:type="dxa"/>
          </w:tcPr>
          <w:p w:rsidR="00880CF1" w:rsidRPr="004334C6" w:rsidRDefault="00880CF1" w:rsidP="00880CF1">
            <w:pPr>
              <w:jc w:val="center"/>
            </w:pPr>
          </w:p>
        </w:tc>
        <w:tc>
          <w:tcPr>
            <w:tcW w:w="5273" w:type="dxa"/>
            <w:gridSpan w:val="5"/>
            <w:tcBorders>
              <w:top w:val="single" w:sz="4" w:space="0" w:color="00A0E9"/>
              <w:bottom w:val="single" w:sz="4" w:space="0" w:color="00A0E9"/>
            </w:tcBorders>
            <w:shd w:val="clear" w:color="auto" w:fill="auto"/>
            <w:vAlign w:val="center"/>
          </w:tcPr>
          <w:p w:rsidR="00880CF1" w:rsidRPr="001F4758" w:rsidRDefault="00880CF1" w:rsidP="00971AE1">
            <w:pPr>
              <w:jc w:val="left"/>
              <w:rPr>
                <w:rFonts w:ascii="宋体" w:eastAsia="宋体" w:hAnsi="宋体" w:cs="宋体"/>
                <w:b/>
                <w:bCs/>
                <w:szCs w:val="18"/>
              </w:rPr>
            </w:pPr>
            <w:r w:rsidRPr="001F4758">
              <w:rPr>
                <w:rFonts w:ascii="宋体" w:eastAsia="宋体" w:hAnsi="宋体" w:hint="eastAsia"/>
                <w:b/>
                <w:bCs/>
                <w:szCs w:val="18"/>
              </w:rPr>
              <w:t>组合说明：</w:t>
            </w:r>
            <w:r w:rsidRPr="001F4758">
              <w:rPr>
                <w:rFonts w:ascii="宋体" w:eastAsia="宋体" w:hAnsi="宋体" w:hint="eastAsia"/>
                <w:bCs/>
                <w:szCs w:val="18"/>
              </w:rPr>
              <w:t>防御型组合本月</w:t>
            </w:r>
            <w:r>
              <w:rPr>
                <w:rFonts w:ascii="宋体" w:eastAsia="宋体" w:hAnsi="宋体" w:hint="eastAsia"/>
                <w:bCs/>
                <w:szCs w:val="18"/>
              </w:rPr>
              <w:t>调入</w:t>
            </w:r>
            <w:r w:rsidR="00971AE1">
              <w:rPr>
                <w:rFonts w:ascii="宋体" w:eastAsia="宋体" w:hAnsi="宋体" w:hint="eastAsia"/>
                <w:bCs/>
                <w:szCs w:val="18"/>
              </w:rPr>
              <w:t>招商安泰股票和兴全趋势</w:t>
            </w:r>
            <w:r>
              <w:rPr>
                <w:rFonts w:ascii="宋体" w:eastAsia="宋体" w:hAnsi="宋体" w:hint="eastAsia"/>
                <w:bCs/>
                <w:szCs w:val="18"/>
              </w:rPr>
              <w:t>，</w:t>
            </w:r>
            <w:r w:rsidR="00980CF4">
              <w:rPr>
                <w:rFonts w:ascii="宋体" w:eastAsia="宋体" w:hAnsi="宋体" w:hint="eastAsia"/>
                <w:bCs/>
                <w:szCs w:val="18"/>
              </w:rPr>
              <w:t>维持相对低的</w:t>
            </w:r>
            <w:r>
              <w:rPr>
                <w:rFonts w:ascii="宋体" w:eastAsia="宋体" w:hAnsi="宋体" w:hint="eastAsia"/>
                <w:bCs/>
                <w:szCs w:val="18"/>
              </w:rPr>
              <w:t>组合风险</w:t>
            </w:r>
            <w:r w:rsidRPr="001F4758">
              <w:rPr>
                <w:rFonts w:ascii="宋体" w:eastAsia="宋体" w:hAnsi="宋体" w:hint="eastAsia"/>
                <w:bCs/>
                <w:szCs w:val="18"/>
              </w:rPr>
              <w:t>。组合</w:t>
            </w:r>
            <w:proofErr w:type="gramStart"/>
            <w:r w:rsidRPr="001F4758">
              <w:rPr>
                <w:rFonts w:ascii="宋体" w:eastAsia="宋体" w:hAnsi="宋体" w:hint="eastAsia"/>
                <w:bCs/>
                <w:szCs w:val="18"/>
              </w:rPr>
              <w:t>内</w:t>
            </w:r>
            <w:r w:rsidR="00971AE1">
              <w:rPr>
                <w:rFonts w:ascii="宋体" w:eastAsia="宋体" w:hAnsi="宋体" w:hint="eastAsia"/>
                <w:bCs/>
                <w:szCs w:val="18"/>
              </w:rPr>
              <w:t>兴全趋势</w:t>
            </w:r>
            <w:proofErr w:type="gramEnd"/>
            <w:r w:rsidR="00980CF4">
              <w:rPr>
                <w:rFonts w:ascii="宋体" w:eastAsia="宋体" w:hAnsi="宋体" w:hint="eastAsia"/>
                <w:bCs/>
                <w:szCs w:val="18"/>
              </w:rPr>
              <w:t>和</w:t>
            </w:r>
            <w:r>
              <w:rPr>
                <w:rFonts w:ascii="宋体" w:eastAsia="宋体" w:hAnsi="宋体" w:hint="eastAsia"/>
                <w:bCs/>
                <w:szCs w:val="18"/>
              </w:rPr>
              <w:t>招商安泰股票</w:t>
            </w:r>
            <w:r w:rsidR="00980CF4">
              <w:rPr>
                <w:rFonts w:ascii="宋体" w:eastAsia="宋体" w:hAnsi="宋体" w:hint="eastAsia"/>
                <w:bCs/>
                <w:szCs w:val="18"/>
              </w:rPr>
              <w:t>均是</w:t>
            </w:r>
            <w:r>
              <w:rPr>
                <w:rFonts w:ascii="宋体" w:eastAsia="宋体" w:hAnsi="宋体" w:hint="eastAsia"/>
                <w:bCs/>
                <w:szCs w:val="18"/>
              </w:rPr>
              <w:t>股票</w:t>
            </w:r>
            <w:proofErr w:type="gramStart"/>
            <w:r>
              <w:rPr>
                <w:rFonts w:ascii="宋体" w:eastAsia="宋体" w:hAnsi="宋体" w:hint="eastAsia"/>
                <w:bCs/>
                <w:szCs w:val="18"/>
              </w:rPr>
              <w:t>仓位</w:t>
            </w:r>
            <w:proofErr w:type="gramEnd"/>
            <w:r>
              <w:rPr>
                <w:rFonts w:ascii="宋体" w:eastAsia="宋体" w:hAnsi="宋体" w:hint="eastAsia"/>
                <w:bCs/>
                <w:szCs w:val="18"/>
              </w:rPr>
              <w:t>适中</w:t>
            </w:r>
            <w:r w:rsidR="00980CF4">
              <w:rPr>
                <w:rFonts w:ascii="宋体" w:eastAsia="宋体" w:hAnsi="宋体" w:hint="eastAsia"/>
                <w:bCs/>
                <w:szCs w:val="18"/>
              </w:rPr>
              <w:t>的品种，属于</w:t>
            </w:r>
            <w:r>
              <w:rPr>
                <w:rFonts w:ascii="宋体" w:eastAsia="宋体" w:hAnsi="宋体" w:hint="eastAsia"/>
                <w:bCs/>
                <w:szCs w:val="18"/>
              </w:rPr>
              <w:t>风险收益水平相对较低的权益类品种，</w:t>
            </w:r>
            <w:r w:rsidR="00980CF4">
              <w:rPr>
                <w:rFonts w:ascii="宋体" w:eastAsia="宋体" w:hAnsi="宋体" w:hint="eastAsia"/>
                <w:bCs/>
                <w:szCs w:val="18"/>
              </w:rPr>
              <w:t>前者侧重</w:t>
            </w:r>
            <w:r w:rsidR="00971AE1">
              <w:rPr>
                <w:rFonts w:ascii="宋体" w:eastAsia="宋体" w:hAnsi="宋体" w:hint="eastAsia"/>
                <w:bCs/>
                <w:szCs w:val="18"/>
              </w:rPr>
              <w:t>消费等</w:t>
            </w:r>
            <w:r w:rsidR="00980CF4">
              <w:rPr>
                <w:rFonts w:ascii="宋体" w:eastAsia="宋体" w:hAnsi="宋体" w:hint="eastAsia"/>
                <w:bCs/>
                <w:szCs w:val="18"/>
              </w:rPr>
              <w:t>确定性成长类个股的投资，后者</w:t>
            </w:r>
            <w:r>
              <w:rPr>
                <w:rFonts w:ascii="宋体" w:eastAsia="宋体" w:hAnsi="宋体" w:hint="eastAsia"/>
                <w:bCs/>
                <w:szCs w:val="18"/>
              </w:rPr>
              <w:t>组合配置均衡且注重灵活；</w:t>
            </w:r>
            <w:r w:rsidR="00971AE1">
              <w:rPr>
                <w:rFonts w:ascii="宋体" w:eastAsia="宋体" w:hAnsi="宋体" w:hint="eastAsia"/>
                <w:bCs/>
                <w:szCs w:val="18"/>
              </w:rPr>
              <w:t>广</w:t>
            </w:r>
            <w:proofErr w:type="gramStart"/>
            <w:r w:rsidR="00971AE1">
              <w:rPr>
                <w:rFonts w:ascii="宋体" w:eastAsia="宋体" w:hAnsi="宋体" w:hint="eastAsia"/>
                <w:bCs/>
                <w:szCs w:val="18"/>
              </w:rPr>
              <w:t>发成长</w:t>
            </w:r>
            <w:proofErr w:type="gramEnd"/>
            <w:r w:rsidR="00971AE1">
              <w:rPr>
                <w:rFonts w:ascii="宋体" w:eastAsia="宋体" w:hAnsi="宋体" w:hint="eastAsia"/>
                <w:bCs/>
                <w:szCs w:val="18"/>
              </w:rPr>
              <w:t>优选短期侧重</w:t>
            </w:r>
            <w:r>
              <w:rPr>
                <w:rFonts w:ascii="宋体" w:eastAsia="宋体" w:hAnsi="宋体" w:hint="eastAsia"/>
                <w:bCs/>
                <w:szCs w:val="18"/>
              </w:rPr>
              <w:t>绝对收益目标</w:t>
            </w:r>
            <w:r w:rsidR="00980CF4">
              <w:rPr>
                <w:rFonts w:ascii="宋体" w:eastAsia="宋体" w:hAnsi="宋体" w:hint="eastAsia"/>
                <w:bCs/>
                <w:szCs w:val="18"/>
              </w:rPr>
              <w:t>，风格较为保守</w:t>
            </w:r>
            <w:r>
              <w:rPr>
                <w:rFonts w:ascii="宋体" w:eastAsia="宋体" w:hAnsi="宋体" w:hint="eastAsia"/>
                <w:bCs/>
                <w:szCs w:val="18"/>
              </w:rPr>
              <w:t>；</w:t>
            </w:r>
            <w:r w:rsidRPr="001F4758">
              <w:rPr>
                <w:rFonts w:ascii="宋体" w:eastAsia="宋体" w:hAnsi="宋体" w:hint="eastAsia"/>
                <w:bCs/>
                <w:szCs w:val="18"/>
              </w:rPr>
              <w:t>此外，两只债券型基金占据</w:t>
            </w:r>
            <w:r>
              <w:rPr>
                <w:rFonts w:ascii="宋体" w:eastAsia="宋体" w:hAnsi="宋体" w:hint="eastAsia"/>
                <w:bCs/>
                <w:szCs w:val="18"/>
              </w:rPr>
              <w:t>40</w:t>
            </w:r>
            <w:r w:rsidRPr="001F4758">
              <w:rPr>
                <w:rFonts w:ascii="宋体" w:eastAsia="宋体" w:hAnsi="宋体" w:hint="eastAsia"/>
                <w:bCs/>
                <w:szCs w:val="18"/>
              </w:rPr>
              <w:t>%的比例作为防御部分的配置。</w:t>
            </w:r>
          </w:p>
        </w:tc>
      </w:tr>
      <w:tr w:rsidR="00EE1CC3" w:rsidRPr="00A067AA" w:rsidTr="00735BBD">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vAlign w:val="center"/>
          </w:tcPr>
          <w:p w:rsidR="00EE1CC3" w:rsidRPr="00A067AA" w:rsidRDefault="00EE1CC3" w:rsidP="00735BBD">
            <w:pPr>
              <w:pStyle w:val="FootnoteNoline"/>
              <w:ind w:left="0"/>
            </w:pPr>
            <w:r>
              <w:rPr>
                <w:rFonts w:hint="eastAsia"/>
              </w:rPr>
              <w:t>来源：国金证券研究所</w:t>
            </w:r>
          </w:p>
        </w:tc>
      </w:tr>
    </w:tbl>
    <w:p w:rsidR="00EE1CC3" w:rsidRPr="00A067AA" w:rsidRDefault="00EE1CC3" w:rsidP="00EE1CC3">
      <w:pPr>
        <w:pStyle w:val="a0"/>
        <w:ind w:left="0"/>
      </w:pP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054"/>
        <w:gridCol w:w="1054"/>
        <w:gridCol w:w="1055"/>
        <w:gridCol w:w="1054"/>
        <w:gridCol w:w="1055"/>
        <w:gridCol w:w="227"/>
        <w:gridCol w:w="1054"/>
        <w:gridCol w:w="1054"/>
        <w:gridCol w:w="1055"/>
        <w:gridCol w:w="1054"/>
        <w:gridCol w:w="1056"/>
      </w:tblGrid>
      <w:tr w:rsidR="00EE1CC3" w:rsidTr="00735BBD">
        <w:trPr>
          <w:cantSplit/>
          <w:trHeight w:val="200"/>
        </w:trPr>
        <w:tc>
          <w:tcPr>
            <w:tcW w:w="5272" w:type="dxa"/>
            <w:gridSpan w:val="5"/>
            <w:tcBorders>
              <w:top w:val="single" w:sz="4" w:space="0" w:color="00A0E9"/>
              <w:bottom w:val="single" w:sz="4" w:space="0" w:color="00A0E9"/>
            </w:tcBorders>
            <w:shd w:val="clear" w:color="auto" w:fill="auto"/>
          </w:tcPr>
          <w:p w:rsidR="00EE1CC3" w:rsidRDefault="00EE1CC3" w:rsidP="00045604">
            <w:pPr>
              <w:pStyle w:val="SubTitleLargeTable"/>
            </w:pPr>
            <w:r>
              <w:rPr>
                <w:rFonts w:hint="eastAsia"/>
              </w:rPr>
              <w:t>图表</w:t>
            </w:r>
            <w:r w:rsidR="00411ADD">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411ADD">
              <w:fldChar w:fldCharType="separate"/>
            </w:r>
            <w:r w:rsidR="00B806F0">
              <w:rPr>
                <w:noProof/>
              </w:rPr>
              <w:t>8</w:t>
            </w:r>
            <w:r w:rsidR="00411ADD">
              <w:fldChar w:fldCharType="end"/>
            </w:r>
            <w:r>
              <w:rPr>
                <w:rFonts w:hint="eastAsia"/>
              </w:rPr>
              <w:t>：</w:t>
            </w:r>
            <w:r>
              <w:rPr>
                <w:rFonts w:hint="eastAsia"/>
              </w:rPr>
              <w:t>150</w:t>
            </w:r>
            <w:r w:rsidR="00FD7EBB">
              <w:rPr>
                <w:rFonts w:hint="eastAsia"/>
              </w:rPr>
              <w:t>9</w:t>
            </w:r>
            <w:r>
              <w:rPr>
                <w:rFonts w:hint="eastAsia"/>
              </w:rPr>
              <w:t>期灵活配置组合</w:t>
            </w:r>
          </w:p>
        </w:tc>
        <w:tc>
          <w:tcPr>
            <w:tcW w:w="227" w:type="dxa"/>
          </w:tcPr>
          <w:p w:rsidR="00EE1CC3" w:rsidRPr="00816267" w:rsidRDefault="00EE1CC3" w:rsidP="00735BBD">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EE1CC3" w:rsidRDefault="00EE1CC3" w:rsidP="00735BBD">
            <w:pPr>
              <w:pStyle w:val="SubTitleLargeTable"/>
            </w:pPr>
          </w:p>
        </w:tc>
      </w:tr>
      <w:tr w:rsidR="00EE1CC3" w:rsidRPr="004922F9" w:rsidTr="00735BBD">
        <w:trPr>
          <w:cantSplit/>
          <w:trHeight w:val="340"/>
        </w:trPr>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基金名称</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EE1CC3" w:rsidRPr="001961D3" w:rsidRDefault="00EE1CC3" w:rsidP="00735BBD">
            <w:pPr>
              <w:jc w:val="cente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5"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c>
          <w:tcPr>
            <w:tcW w:w="1056" w:type="dxa"/>
            <w:tcBorders>
              <w:top w:val="single" w:sz="4" w:space="0" w:color="00A0E9"/>
              <w:bottom w:val="single" w:sz="4" w:space="0" w:color="00A0E9"/>
            </w:tcBorders>
            <w:shd w:val="clear" w:color="auto" w:fill="auto"/>
            <w:vAlign w:val="center"/>
          </w:tcPr>
          <w:p w:rsidR="00EE1CC3" w:rsidRPr="004922F9" w:rsidRDefault="00EE1CC3" w:rsidP="00735BBD">
            <w:pPr>
              <w:jc w:val="center"/>
              <w:rPr>
                <w:rFonts w:ascii="宋体" w:eastAsia="宋体" w:hAnsi="宋体"/>
                <w:b/>
                <w:szCs w:val="18"/>
              </w:rPr>
            </w:pPr>
          </w:p>
        </w:tc>
      </w:tr>
      <w:tr w:rsidR="00880CF1" w:rsidRPr="00E20E5A" w:rsidTr="00971AE1">
        <w:trPr>
          <w:cantSplit/>
          <w:trHeight w:val="340"/>
        </w:trPr>
        <w:tc>
          <w:tcPr>
            <w:tcW w:w="1054" w:type="dxa"/>
            <w:tcBorders>
              <w:top w:val="single" w:sz="4" w:space="0" w:color="00A0E9"/>
              <w:bottom w:val="single" w:sz="4" w:space="0" w:color="00A0E9"/>
            </w:tcBorders>
            <w:shd w:val="clear" w:color="auto" w:fill="auto"/>
            <w:vAlign w:val="center"/>
          </w:tcPr>
          <w:p w:rsidR="00880CF1" w:rsidRPr="003B170A" w:rsidRDefault="00954615" w:rsidP="00880CF1">
            <w:pPr>
              <w:jc w:val="center"/>
              <w:rPr>
                <w:rFonts w:ascii="宋体" w:eastAsia="宋体" w:hAnsi="宋体" w:cs="宋体"/>
                <w:b/>
                <w:szCs w:val="18"/>
              </w:rPr>
            </w:pPr>
            <w:bookmarkStart w:id="13" w:name="_Hlk273533316"/>
            <w:r w:rsidRPr="003B46D0">
              <w:rPr>
                <w:rFonts w:hint="eastAsia"/>
              </w:rPr>
              <w:t>★</w:t>
            </w:r>
            <w:r w:rsidR="00880CF1" w:rsidRPr="003B170A">
              <w:rPr>
                <w:rFonts w:ascii="宋体" w:eastAsia="宋体" w:hAnsi="宋体" w:cs="宋体" w:hint="eastAsia"/>
                <w:b/>
                <w:szCs w:val="18"/>
              </w:rPr>
              <w:t>中欧新蓝筹</w:t>
            </w:r>
          </w:p>
        </w:tc>
        <w:tc>
          <w:tcPr>
            <w:tcW w:w="1054" w:type="dxa"/>
            <w:tcBorders>
              <w:top w:val="single" w:sz="4" w:space="0" w:color="00A0E9"/>
              <w:bottom w:val="single" w:sz="4" w:space="0" w:color="00A0E9"/>
            </w:tcBorders>
            <w:shd w:val="clear" w:color="auto" w:fill="auto"/>
            <w:vAlign w:val="center"/>
          </w:tcPr>
          <w:p w:rsidR="00880CF1" w:rsidRPr="003B170A" w:rsidRDefault="00880CF1" w:rsidP="00880CF1">
            <w:pPr>
              <w:jc w:val="center"/>
              <w:rPr>
                <w:rFonts w:ascii="宋体" w:eastAsia="宋体" w:hAnsi="宋体" w:cs="宋体"/>
                <w:szCs w:val="18"/>
              </w:rPr>
            </w:pPr>
            <w:r w:rsidRPr="003B170A">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880CF1" w:rsidRPr="00074811" w:rsidRDefault="00880CF1" w:rsidP="00880CF1">
            <w:pPr>
              <w:jc w:val="center"/>
              <w:rPr>
                <w:rFonts w:ascii="宋体" w:eastAsia="宋体" w:hAnsi="宋体" w:cs="宋体"/>
                <w:szCs w:val="18"/>
              </w:rPr>
            </w:pPr>
            <w:proofErr w:type="gramStart"/>
            <w:r w:rsidRPr="00074811">
              <w:rPr>
                <w:rFonts w:ascii="宋体" w:eastAsia="宋体" w:hAnsi="宋体" w:cs="宋体" w:hint="eastAsia"/>
                <w:szCs w:val="18"/>
              </w:rPr>
              <w:t>周蔚文</w:t>
            </w:r>
            <w:proofErr w:type="gramEnd"/>
            <w:r w:rsidRPr="00074811">
              <w:rPr>
                <w:rFonts w:ascii="宋体" w:eastAsia="宋体" w:hAnsi="宋体" w:cs="宋体" w:hint="eastAsia"/>
                <w:szCs w:val="18"/>
              </w:rPr>
              <w:t>、林英睿</w:t>
            </w:r>
          </w:p>
        </w:tc>
        <w:tc>
          <w:tcPr>
            <w:tcW w:w="1054" w:type="dxa"/>
            <w:tcBorders>
              <w:top w:val="single" w:sz="4" w:space="0" w:color="00A0E9"/>
              <w:bottom w:val="single" w:sz="4" w:space="0" w:color="00A0E9"/>
            </w:tcBorders>
            <w:shd w:val="clear" w:color="auto" w:fill="auto"/>
            <w:vAlign w:val="center"/>
          </w:tcPr>
          <w:p w:rsidR="00880CF1" w:rsidRPr="00074811" w:rsidRDefault="00880CF1" w:rsidP="00880CF1">
            <w:pPr>
              <w:jc w:val="center"/>
              <w:rPr>
                <w:rFonts w:ascii="宋体" w:eastAsia="宋体" w:hAnsi="宋体" w:cs="宋体"/>
                <w:szCs w:val="18"/>
              </w:rPr>
            </w:pPr>
            <w:r w:rsidRPr="00074811">
              <w:rPr>
                <w:rFonts w:ascii="宋体" w:eastAsia="宋体" w:hAnsi="宋体" w:cs="宋体" w:hint="eastAsia"/>
                <w:szCs w:val="18"/>
              </w:rPr>
              <w:t>中欧</w:t>
            </w:r>
          </w:p>
        </w:tc>
        <w:tc>
          <w:tcPr>
            <w:tcW w:w="1055" w:type="dxa"/>
            <w:tcBorders>
              <w:top w:val="single" w:sz="4" w:space="0" w:color="00A0E9"/>
              <w:bottom w:val="single" w:sz="4" w:space="0" w:color="00A0E9"/>
            </w:tcBorders>
            <w:shd w:val="clear" w:color="auto" w:fill="auto"/>
            <w:vAlign w:val="center"/>
          </w:tcPr>
          <w:p w:rsidR="00880CF1" w:rsidRPr="00074811" w:rsidRDefault="00880CF1" w:rsidP="00880CF1">
            <w:pPr>
              <w:jc w:val="center"/>
              <w:rPr>
                <w:rFonts w:ascii="宋体" w:eastAsia="宋体" w:hAnsi="宋体" w:cs="宋体"/>
                <w:szCs w:val="18"/>
              </w:rPr>
            </w:pPr>
            <w:r w:rsidRPr="00074811">
              <w:rPr>
                <w:rFonts w:ascii="宋体" w:eastAsia="宋体" w:hAnsi="宋体" w:cs="宋体" w:hint="eastAsia"/>
                <w:szCs w:val="18"/>
              </w:rPr>
              <w:t>20%</w:t>
            </w:r>
          </w:p>
        </w:tc>
        <w:tc>
          <w:tcPr>
            <w:tcW w:w="227" w:type="dxa"/>
            <w:vMerge/>
            <w:vAlign w:val="center"/>
          </w:tcPr>
          <w:p w:rsidR="00880CF1" w:rsidRPr="00ED22EB" w:rsidRDefault="00880CF1" w:rsidP="00880CF1">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880CF1" w:rsidRPr="00BE585F" w:rsidRDefault="00880CF1" w:rsidP="00880CF1">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880CF1" w:rsidRPr="00BE585F" w:rsidRDefault="00880CF1" w:rsidP="00880CF1">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r>
      <w:bookmarkEnd w:id="13"/>
      <w:tr w:rsidR="00880CF1" w:rsidRPr="00E20E5A" w:rsidTr="00971AE1">
        <w:trPr>
          <w:cantSplit/>
          <w:trHeight w:val="340"/>
        </w:trPr>
        <w:tc>
          <w:tcPr>
            <w:tcW w:w="1054" w:type="dxa"/>
            <w:tcBorders>
              <w:top w:val="single" w:sz="4" w:space="0" w:color="00A0E9"/>
              <w:bottom w:val="single" w:sz="4" w:space="0" w:color="00A0E9"/>
            </w:tcBorders>
            <w:shd w:val="clear" w:color="auto" w:fill="auto"/>
            <w:vAlign w:val="center"/>
          </w:tcPr>
          <w:p w:rsidR="00880CF1" w:rsidRPr="004A48B9" w:rsidRDefault="00ED65FA" w:rsidP="00880CF1">
            <w:pPr>
              <w:jc w:val="center"/>
              <w:rPr>
                <w:rFonts w:ascii="宋体" w:eastAsia="宋体" w:hAnsi="宋体" w:cs="宋体"/>
                <w:b/>
                <w:szCs w:val="18"/>
              </w:rPr>
            </w:pPr>
            <w:r>
              <w:rPr>
                <w:rFonts w:ascii="宋体" w:eastAsia="宋体" w:hAnsi="宋体" w:cs="宋体" w:hint="eastAsia"/>
                <w:b/>
                <w:szCs w:val="18"/>
              </w:rPr>
              <w:t>银华信用四季红</w:t>
            </w:r>
          </w:p>
        </w:tc>
        <w:tc>
          <w:tcPr>
            <w:tcW w:w="1054" w:type="dxa"/>
            <w:tcBorders>
              <w:top w:val="single" w:sz="4" w:space="0" w:color="00A0E9"/>
              <w:bottom w:val="single" w:sz="4" w:space="0" w:color="00A0E9"/>
            </w:tcBorders>
            <w:shd w:val="clear" w:color="auto" w:fill="auto"/>
            <w:vAlign w:val="center"/>
          </w:tcPr>
          <w:p w:rsidR="00880CF1" w:rsidRPr="003B170A" w:rsidRDefault="00880CF1" w:rsidP="00ED65FA">
            <w:pPr>
              <w:jc w:val="center"/>
              <w:rPr>
                <w:rFonts w:ascii="宋体" w:eastAsia="宋体" w:hAnsi="宋体"/>
                <w:szCs w:val="18"/>
              </w:rPr>
            </w:pPr>
            <w:r w:rsidRPr="003B170A">
              <w:rPr>
                <w:rFonts w:ascii="宋体" w:eastAsia="宋体" w:hAnsi="宋体" w:hint="eastAsia"/>
                <w:szCs w:val="18"/>
              </w:rPr>
              <w:t>债券－</w:t>
            </w:r>
            <w:r w:rsidR="00ED65FA">
              <w:rPr>
                <w:rFonts w:ascii="宋体" w:eastAsia="宋体" w:hAnsi="宋体" w:hint="eastAsia"/>
                <w:szCs w:val="18"/>
              </w:rPr>
              <w:t>完全</w:t>
            </w:r>
            <w:r w:rsidRPr="003B170A">
              <w:rPr>
                <w:rFonts w:ascii="宋体" w:eastAsia="宋体" w:hAnsi="宋体" w:hint="eastAsia"/>
                <w:szCs w:val="18"/>
              </w:rPr>
              <w:t>债券型</w:t>
            </w:r>
          </w:p>
        </w:tc>
        <w:tc>
          <w:tcPr>
            <w:tcW w:w="1055" w:type="dxa"/>
            <w:tcBorders>
              <w:top w:val="single" w:sz="4" w:space="0" w:color="00A0E9"/>
              <w:bottom w:val="single" w:sz="4" w:space="0" w:color="00A0E9"/>
            </w:tcBorders>
            <w:shd w:val="clear" w:color="auto" w:fill="auto"/>
            <w:vAlign w:val="center"/>
          </w:tcPr>
          <w:p w:rsidR="00880CF1" w:rsidRPr="00B803C4" w:rsidRDefault="00883F9E" w:rsidP="005575BE">
            <w:pPr>
              <w:jc w:val="center"/>
              <w:rPr>
                <w:rFonts w:ascii="宋体" w:eastAsia="宋体" w:hAnsi="宋体"/>
                <w:bCs/>
                <w:szCs w:val="18"/>
              </w:rPr>
            </w:pPr>
            <w:r>
              <w:rPr>
                <w:rFonts w:ascii="宋体" w:eastAsia="宋体" w:hAnsi="宋体" w:hint="eastAsia"/>
                <w:bCs/>
                <w:szCs w:val="18"/>
              </w:rPr>
              <w:t>邹维娜</w:t>
            </w:r>
          </w:p>
        </w:tc>
        <w:tc>
          <w:tcPr>
            <w:tcW w:w="1054" w:type="dxa"/>
            <w:tcBorders>
              <w:top w:val="single" w:sz="4" w:space="0" w:color="00A0E9"/>
              <w:bottom w:val="single" w:sz="4" w:space="0" w:color="00A0E9"/>
            </w:tcBorders>
            <w:shd w:val="clear" w:color="auto" w:fill="auto"/>
            <w:vAlign w:val="center"/>
          </w:tcPr>
          <w:p w:rsidR="00880CF1" w:rsidRPr="007B282B" w:rsidRDefault="00883F9E" w:rsidP="00880CF1">
            <w:pPr>
              <w:jc w:val="center"/>
              <w:rPr>
                <w:rFonts w:ascii="宋体" w:eastAsia="宋体" w:hAnsi="宋体"/>
                <w:bCs/>
                <w:szCs w:val="18"/>
              </w:rPr>
            </w:pPr>
            <w:r>
              <w:rPr>
                <w:rFonts w:ascii="宋体" w:eastAsia="宋体" w:hAnsi="宋体" w:hint="eastAsia"/>
                <w:bCs/>
                <w:szCs w:val="18"/>
              </w:rPr>
              <w:t>银华</w:t>
            </w:r>
          </w:p>
        </w:tc>
        <w:tc>
          <w:tcPr>
            <w:tcW w:w="1055" w:type="dxa"/>
            <w:tcBorders>
              <w:top w:val="single" w:sz="4" w:space="0" w:color="00A0E9"/>
              <w:bottom w:val="single" w:sz="4" w:space="0" w:color="00A0E9"/>
            </w:tcBorders>
            <w:shd w:val="clear" w:color="auto" w:fill="auto"/>
            <w:vAlign w:val="center"/>
          </w:tcPr>
          <w:p w:rsidR="00880CF1" w:rsidRPr="006E0CA2" w:rsidRDefault="00880CF1" w:rsidP="00880CF1">
            <w:pPr>
              <w:jc w:val="center"/>
              <w:rPr>
                <w:rFonts w:ascii="宋体" w:eastAsia="宋体" w:hAnsi="宋体"/>
                <w:szCs w:val="18"/>
              </w:rPr>
            </w:pPr>
            <w:r>
              <w:rPr>
                <w:rFonts w:ascii="宋体" w:eastAsia="宋体" w:hAnsi="宋体" w:hint="eastAsia"/>
                <w:szCs w:val="18"/>
              </w:rPr>
              <w:t>25</w:t>
            </w:r>
            <w:r w:rsidRPr="006E0CA2">
              <w:rPr>
                <w:rFonts w:ascii="宋体" w:eastAsia="宋体" w:hAnsi="宋体" w:hint="eastAsia"/>
                <w:szCs w:val="18"/>
              </w:rPr>
              <w:t>%</w:t>
            </w:r>
          </w:p>
        </w:tc>
        <w:tc>
          <w:tcPr>
            <w:tcW w:w="227" w:type="dxa"/>
            <w:vMerge/>
            <w:vAlign w:val="center"/>
          </w:tcPr>
          <w:p w:rsidR="00880CF1" w:rsidRPr="00ED22EB" w:rsidRDefault="00880CF1" w:rsidP="00880CF1">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880CF1" w:rsidRPr="00BE585F" w:rsidRDefault="00880CF1" w:rsidP="00880CF1">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880CF1" w:rsidRPr="00BE585F" w:rsidRDefault="00880CF1" w:rsidP="00880CF1">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r>
      <w:tr w:rsidR="005575BE" w:rsidRPr="007C2681" w:rsidTr="00971AE1">
        <w:trPr>
          <w:cantSplit/>
          <w:trHeight w:val="465"/>
        </w:trPr>
        <w:tc>
          <w:tcPr>
            <w:tcW w:w="1054" w:type="dxa"/>
            <w:tcBorders>
              <w:top w:val="single" w:sz="4" w:space="0" w:color="00A0E9"/>
              <w:bottom w:val="single" w:sz="4" w:space="0" w:color="00A0E9"/>
            </w:tcBorders>
            <w:shd w:val="clear" w:color="auto" w:fill="auto"/>
            <w:vAlign w:val="center"/>
          </w:tcPr>
          <w:p w:rsidR="005575BE" w:rsidRPr="005575BE" w:rsidRDefault="005575BE">
            <w:pPr>
              <w:jc w:val="center"/>
              <w:rPr>
                <w:rFonts w:ascii="宋体" w:eastAsia="宋体" w:hAnsi="宋体" w:cs="宋体"/>
                <w:b/>
                <w:szCs w:val="18"/>
              </w:rPr>
            </w:pPr>
            <w:r w:rsidRPr="005575BE">
              <w:rPr>
                <w:rFonts w:ascii="宋体" w:eastAsia="宋体" w:hAnsi="宋体" w:cs="宋体" w:hint="eastAsia"/>
                <w:b/>
                <w:szCs w:val="18"/>
              </w:rPr>
              <w:t>易方达稳健收益</w:t>
            </w:r>
          </w:p>
        </w:tc>
        <w:tc>
          <w:tcPr>
            <w:tcW w:w="1054" w:type="dxa"/>
            <w:tcBorders>
              <w:top w:val="single" w:sz="4" w:space="0" w:color="00A0E9"/>
              <w:bottom w:val="single" w:sz="4" w:space="0" w:color="00A0E9"/>
            </w:tcBorders>
            <w:shd w:val="clear" w:color="auto" w:fill="auto"/>
            <w:vAlign w:val="center"/>
          </w:tcPr>
          <w:p w:rsidR="005575BE" w:rsidRPr="005575BE" w:rsidRDefault="005575BE">
            <w:pPr>
              <w:jc w:val="center"/>
              <w:rPr>
                <w:rFonts w:ascii="宋体" w:eastAsia="宋体" w:hAnsi="宋体" w:cs="宋体"/>
                <w:szCs w:val="18"/>
              </w:rPr>
            </w:pPr>
            <w:r w:rsidRPr="005575BE">
              <w:rPr>
                <w:rFonts w:ascii="宋体" w:eastAsia="宋体" w:hAnsi="宋体" w:cs="宋体" w:hint="eastAsia"/>
                <w:szCs w:val="18"/>
              </w:rPr>
              <w:t>债券－普通债券型</w:t>
            </w:r>
          </w:p>
        </w:tc>
        <w:tc>
          <w:tcPr>
            <w:tcW w:w="1055" w:type="dxa"/>
            <w:tcBorders>
              <w:top w:val="single" w:sz="4" w:space="0" w:color="00A0E9"/>
              <w:bottom w:val="single" w:sz="4" w:space="0" w:color="00A0E9"/>
            </w:tcBorders>
            <w:shd w:val="clear" w:color="auto" w:fill="auto"/>
            <w:vAlign w:val="center"/>
          </w:tcPr>
          <w:p w:rsidR="005575BE" w:rsidRPr="006E0CA2" w:rsidRDefault="005575BE" w:rsidP="00880CF1">
            <w:pPr>
              <w:jc w:val="center"/>
              <w:rPr>
                <w:rFonts w:ascii="宋体" w:eastAsia="宋体" w:hAnsi="宋体"/>
                <w:szCs w:val="18"/>
              </w:rPr>
            </w:pPr>
            <w:r>
              <w:rPr>
                <w:rFonts w:ascii="宋体" w:eastAsia="宋体" w:hAnsi="宋体" w:hint="eastAsia"/>
                <w:szCs w:val="18"/>
              </w:rPr>
              <w:t>胡剑</w:t>
            </w:r>
          </w:p>
        </w:tc>
        <w:tc>
          <w:tcPr>
            <w:tcW w:w="1054" w:type="dxa"/>
            <w:tcBorders>
              <w:top w:val="single" w:sz="4" w:space="0" w:color="00A0E9"/>
              <w:bottom w:val="single" w:sz="4" w:space="0" w:color="00A0E9"/>
            </w:tcBorders>
            <w:shd w:val="clear" w:color="auto" w:fill="auto"/>
            <w:vAlign w:val="center"/>
          </w:tcPr>
          <w:p w:rsidR="005575BE" w:rsidRPr="006E0CA2" w:rsidRDefault="005575BE" w:rsidP="00880CF1">
            <w:pPr>
              <w:jc w:val="center"/>
              <w:rPr>
                <w:rFonts w:ascii="宋体" w:eastAsia="宋体" w:hAnsi="宋体"/>
                <w:szCs w:val="18"/>
              </w:rPr>
            </w:pPr>
            <w:r>
              <w:rPr>
                <w:rFonts w:ascii="宋体" w:eastAsia="宋体" w:hAnsi="宋体" w:hint="eastAsia"/>
                <w:szCs w:val="18"/>
              </w:rPr>
              <w:t>易方达</w:t>
            </w:r>
          </w:p>
        </w:tc>
        <w:tc>
          <w:tcPr>
            <w:tcW w:w="1055" w:type="dxa"/>
            <w:tcBorders>
              <w:top w:val="single" w:sz="4" w:space="0" w:color="00A0E9"/>
              <w:bottom w:val="single" w:sz="4" w:space="0" w:color="00A0E9"/>
            </w:tcBorders>
            <w:shd w:val="clear" w:color="auto" w:fill="auto"/>
            <w:vAlign w:val="center"/>
          </w:tcPr>
          <w:p w:rsidR="005575BE" w:rsidRPr="006E0CA2" w:rsidRDefault="005575BE" w:rsidP="00880CF1">
            <w:pPr>
              <w:jc w:val="center"/>
              <w:rPr>
                <w:rFonts w:ascii="宋体" w:eastAsia="宋体" w:hAnsi="宋体"/>
                <w:szCs w:val="18"/>
              </w:rPr>
            </w:pPr>
            <w:r>
              <w:rPr>
                <w:rFonts w:ascii="宋体" w:eastAsia="宋体" w:hAnsi="宋体" w:hint="eastAsia"/>
                <w:szCs w:val="18"/>
              </w:rPr>
              <w:t>25%</w:t>
            </w:r>
          </w:p>
        </w:tc>
        <w:tc>
          <w:tcPr>
            <w:tcW w:w="227" w:type="dxa"/>
            <w:vMerge/>
            <w:vAlign w:val="center"/>
          </w:tcPr>
          <w:p w:rsidR="005575BE" w:rsidRPr="00ED22EB" w:rsidRDefault="005575BE" w:rsidP="00880CF1">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5575BE" w:rsidRPr="00BE585F" w:rsidRDefault="005575BE" w:rsidP="00880CF1">
            <w:pPr>
              <w:jc w:val="center"/>
              <w:rPr>
                <w:rFonts w:ascii="宋体" w:eastAsia="宋体" w:hAnsi="宋体" w:cs="宋体"/>
                <w:b/>
                <w:szCs w:val="18"/>
              </w:rPr>
            </w:pPr>
          </w:p>
        </w:tc>
        <w:tc>
          <w:tcPr>
            <w:tcW w:w="1054" w:type="dxa"/>
            <w:tcBorders>
              <w:top w:val="single" w:sz="4" w:space="0" w:color="00A0E9"/>
              <w:bottom w:val="single" w:sz="4" w:space="0" w:color="00A0E9"/>
            </w:tcBorders>
            <w:shd w:val="clear" w:color="auto" w:fill="auto"/>
            <w:vAlign w:val="center"/>
          </w:tcPr>
          <w:p w:rsidR="005575BE" w:rsidRPr="00BE585F" w:rsidRDefault="005575BE" w:rsidP="00880CF1">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5575BE" w:rsidRPr="001619E7" w:rsidRDefault="005575BE" w:rsidP="00880CF1">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5575BE" w:rsidRPr="001619E7" w:rsidRDefault="005575BE" w:rsidP="00880CF1">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5575BE" w:rsidRPr="001619E7" w:rsidRDefault="005575BE" w:rsidP="00880CF1">
            <w:pPr>
              <w:jc w:val="center"/>
              <w:rPr>
                <w:rFonts w:ascii="宋体" w:eastAsia="宋体" w:hAnsi="宋体" w:cs="宋体"/>
                <w:szCs w:val="18"/>
              </w:rPr>
            </w:pPr>
          </w:p>
        </w:tc>
      </w:tr>
      <w:tr w:rsidR="00880CF1" w:rsidRPr="007C2681" w:rsidTr="00971AE1">
        <w:trPr>
          <w:cantSplit/>
          <w:trHeight w:val="340"/>
        </w:trPr>
        <w:tc>
          <w:tcPr>
            <w:tcW w:w="1054" w:type="dxa"/>
            <w:tcBorders>
              <w:top w:val="single" w:sz="4" w:space="0" w:color="00A0E9"/>
              <w:bottom w:val="single" w:sz="4" w:space="0" w:color="00A0E9"/>
            </w:tcBorders>
            <w:shd w:val="clear" w:color="auto" w:fill="auto"/>
            <w:vAlign w:val="center"/>
          </w:tcPr>
          <w:p w:rsidR="00880CF1" w:rsidRPr="003B170A" w:rsidRDefault="00880CF1" w:rsidP="00880CF1">
            <w:pPr>
              <w:jc w:val="center"/>
              <w:rPr>
                <w:rFonts w:ascii="宋体" w:eastAsia="宋体" w:hAnsi="宋体" w:cs="宋体"/>
                <w:b/>
                <w:szCs w:val="18"/>
              </w:rPr>
            </w:pPr>
            <w:r w:rsidRPr="003B170A">
              <w:rPr>
                <w:rFonts w:ascii="宋体" w:eastAsia="宋体" w:hAnsi="宋体" w:cs="宋体" w:hint="eastAsia"/>
                <w:b/>
                <w:szCs w:val="18"/>
              </w:rPr>
              <w:t>南方绝对收益</w:t>
            </w:r>
          </w:p>
        </w:tc>
        <w:tc>
          <w:tcPr>
            <w:tcW w:w="1054" w:type="dxa"/>
            <w:tcBorders>
              <w:top w:val="single" w:sz="4" w:space="0" w:color="00A0E9"/>
              <w:bottom w:val="single" w:sz="4" w:space="0" w:color="00A0E9"/>
            </w:tcBorders>
            <w:shd w:val="clear" w:color="auto" w:fill="auto"/>
            <w:vAlign w:val="center"/>
          </w:tcPr>
          <w:p w:rsidR="00880CF1" w:rsidRPr="003B170A" w:rsidRDefault="00880CF1" w:rsidP="00880CF1">
            <w:pPr>
              <w:jc w:val="center"/>
              <w:rPr>
                <w:rFonts w:ascii="宋体" w:eastAsia="宋体" w:hAnsi="宋体" w:cs="宋体"/>
                <w:szCs w:val="18"/>
              </w:rPr>
            </w:pPr>
            <w:r w:rsidRPr="003B170A">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880CF1" w:rsidRDefault="00880CF1" w:rsidP="00880CF1">
            <w:pPr>
              <w:jc w:val="center"/>
              <w:rPr>
                <w:rFonts w:ascii="宋体" w:eastAsia="宋体" w:hAnsi="宋体"/>
                <w:szCs w:val="18"/>
              </w:rPr>
            </w:pPr>
            <w:r>
              <w:rPr>
                <w:rFonts w:ascii="宋体" w:eastAsia="宋体" w:hAnsi="宋体" w:hint="eastAsia"/>
                <w:szCs w:val="18"/>
              </w:rPr>
              <w:t>朱卫华</w:t>
            </w:r>
          </w:p>
        </w:tc>
        <w:tc>
          <w:tcPr>
            <w:tcW w:w="1054" w:type="dxa"/>
            <w:tcBorders>
              <w:top w:val="single" w:sz="4" w:space="0" w:color="00A0E9"/>
              <w:bottom w:val="single" w:sz="4" w:space="0" w:color="00A0E9"/>
            </w:tcBorders>
            <w:shd w:val="clear" w:color="auto" w:fill="auto"/>
            <w:vAlign w:val="center"/>
          </w:tcPr>
          <w:p w:rsidR="00880CF1" w:rsidRDefault="00880CF1" w:rsidP="00880CF1">
            <w:pPr>
              <w:jc w:val="center"/>
              <w:rPr>
                <w:rFonts w:ascii="宋体" w:eastAsia="宋体" w:hAnsi="宋体"/>
                <w:szCs w:val="18"/>
              </w:rPr>
            </w:pPr>
            <w:r>
              <w:rPr>
                <w:rFonts w:ascii="宋体" w:eastAsia="宋体" w:hAnsi="宋体" w:hint="eastAsia"/>
                <w:szCs w:val="18"/>
              </w:rPr>
              <w:t>南方</w:t>
            </w:r>
          </w:p>
        </w:tc>
        <w:tc>
          <w:tcPr>
            <w:tcW w:w="1055" w:type="dxa"/>
            <w:tcBorders>
              <w:top w:val="single" w:sz="4" w:space="0" w:color="00A0E9"/>
              <w:bottom w:val="single" w:sz="4" w:space="0" w:color="00A0E9"/>
            </w:tcBorders>
            <w:shd w:val="clear" w:color="auto" w:fill="auto"/>
            <w:vAlign w:val="center"/>
          </w:tcPr>
          <w:p w:rsidR="00880CF1" w:rsidRPr="006E0CA2" w:rsidRDefault="00880CF1" w:rsidP="00880CF1">
            <w:pPr>
              <w:jc w:val="center"/>
              <w:rPr>
                <w:rFonts w:ascii="宋体" w:eastAsia="宋体" w:hAnsi="宋体"/>
                <w:szCs w:val="18"/>
              </w:rPr>
            </w:pPr>
            <w:r>
              <w:rPr>
                <w:rFonts w:ascii="宋体" w:eastAsia="宋体" w:hAnsi="宋体" w:hint="eastAsia"/>
                <w:szCs w:val="18"/>
              </w:rPr>
              <w:t>30</w:t>
            </w:r>
            <w:r w:rsidRPr="006E0CA2">
              <w:rPr>
                <w:rFonts w:ascii="宋体" w:eastAsia="宋体" w:hAnsi="宋体" w:hint="eastAsia"/>
                <w:szCs w:val="18"/>
              </w:rPr>
              <w:t>%</w:t>
            </w:r>
          </w:p>
        </w:tc>
        <w:tc>
          <w:tcPr>
            <w:tcW w:w="227" w:type="dxa"/>
            <w:vMerge/>
            <w:vAlign w:val="center"/>
          </w:tcPr>
          <w:p w:rsidR="00880CF1" w:rsidRPr="00ED22EB" w:rsidRDefault="00880CF1" w:rsidP="00880CF1">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880CF1" w:rsidRPr="00BE585F" w:rsidRDefault="00880CF1" w:rsidP="00880CF1">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880CF1" w:rsidRPr="00BE585F" w:rsidRDefault="00880CF1" w:rsidP="00880CF1">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880CF1" w:rsidRPr="001619E7" w:rsidRDefault="00880CF1" w:rsidP="00880CF1">
            <w:pPr>
              <w:jc w:val="center"/>
              <w:rPr>
                <w:rFonts w:ascii="宋体" w:eastAsia="宋体" w:hAnsi="宋体" w:cs="宋体"/>
                <w:szCs w:val="18"/>
              </w:rPr>
            </w:pPr>
          </w:p>
        </w:tc>
      </w:tr>
      <w:tr w:rsidR="00880CF1" w:rsidRPr="00E20E5A" w:rsidTr="00735BBD">
        <w:trPr>
          <w:cantSplit/>
          <w:trHeight w:val="643"/>
        </w:trPr>
        <w:tc>
          <w:tcPr>
            <w:tcW w:w="5272" w:type="dxa"/>
            <w:gridSpan w:val="5"/>
            <w:tcBorders>
              <w:top w:val="single" w:sz="4" w:space="0" w:color="00A0E9"/>
              <w:bottom w:val="single" w:sz="4" w:space="0" w:color="00A0E9"/>
            </w:tcBorders>
            <w:shd w:val="clear" w:color="auto" w:fill="auto"/>
            <w:vAlign w:val="center"/>
          </w:tcPr>
          <w:p w:rsidR="00880CF1" w:rsidRPr="00187785" w:rsidRDefault="00880CF1" w:rsidP="00971AE1">
            <w:pPr>
              <w:jc w:val="left"/>
              <w:rPr>
                <w:rFonts w:ascii="宋体" w:eastAsia="宋体" w:hAnsi="宋体"/>
                <w:b/>
                <w:bCs/>
                <w:szCs w:val="18"/>
              </w:rPr>
            </w:pPr>
            <w:bookmarkStart w:id="14" w:name="_Hlk278459784"/>
            <w:r w:rsidRPr="00187785">
              <w:rPr>
                <w:rFonts w:ascii="宋体" w:eastAsia="宋体" w:hAnsi="宋体" w:hint="eastAsia"/>
                <w:b/>
                <w:bCs/>
                <w:szCs w:val="18"/>
              </w:rPr>
              <w:t>组合说明：</w:t>
            </w:r>
            <w:r w:rsidRPr="0046414C">
              <w:rPr>
                <w:rFonts w:ascii="宋体" w:eastAsia="宋体" w:hAnsi="宋体" w:hint="eastAsia"/>
                <w:bCs/>
                <w:szCs w:val="18"/>
              </w:rPr>
              <w:t>作为灵活配置型组合，</w:t>
            </w:r>
            <w:r>
              <w:rPr>
                <w:rFonts w:ascii="宋体" w:eastAsia="宋体" w:hAnsi="宋体" w:hint="eastAsia"/>
                <w:bCs/>
                <w:szCs w:val="18"/>
              </w:rPr>
              <w:t>短期从控制风险的角度，</w:t>
            </w:r>
            <w:r w:rsidR="00045604">
              <w:rPr>
                <w:rFonts w:ascii="宋体" w:eastAsia="宋体" w:hAnsi="宋体" w:hint="eastAsia"/>
                <w:bCs/>
                <w:szCs w:val="18"/>
              </w:rPr>
              <w:t>继续维持较低的</w:t>
            </w:r>
            <w:r>
              <w:rPr>
                <w:rFonts w:ascii="宋体" w:eastAsia="宋体" w:hAnsi="宋体" w:hint="eastAsia"/>
                <w:bCs/>
                <w:szCs w:val="18"/>
              </w:rPr>
              <w:t>高风险资产的比例，组合内权益类产品比例为20%，重点关注投资风格稳健的中欧新蓝筹。</w:t>
            </w:r>
            <w:r w:rsidR="00045604">
              <w:rPr>
                <w:rFonts w:ascii="宋体" w:eastAsia="宋体" w:hAnsi="宋体" w:hint="eastAsia"/>
                <w:bCs/>
                <w:szCs w:val="18"/>
              </w:rPr>
              <w:t>两只债券型基金均为风格偏稳健的品种。</w:t>
            </w:r>
            <w:r>
              <w:rPr>
                <w:rFonts w:ascii="宋体" w:eastAsia="宋体" w:hAnsi="宋体" w:hint="eastAsia"/>
                <w:bCs/>
                <w:szCs w:val="18"/>
              </w:rPr>
              <w:t>另外配置30%的南方绝对收益，基金采用市场中性策略，运用股指期货等工具对系统性风险进行对冲，比较适合震荡市场环境中持有。</w:t>
            </w:r>
          </w:p>
        </w:tc>
        <w:tc>
          <w:tcPr>
            <w:tcW w:w="227" w:type="dxa"/>
          </w:tcPr>
          <w:p w:rsidR="00880CF1" w:rsidRPr="0043215A" w:rsidRDefault="00880CF1" w:rsidP="00880CF1">
            <w:pPr>
              <w:jc w:val="center"/>
              <w:rPr>
                <w:color w:val="FF0000"/>
              </w:rPr>
            </w:pPr>
          </w:p>
        </w:tc>
        <w:tc>
          <w:tcPr>
            <w:tcW w:w="5273" w:type="dxa"/>
            <w:gridSpan w:val="5"/>
            <w:tcBorders>
              <w:top w:val="single" w:sz="4" w:space="0" w:color="00A0E9"/>
              <w:bottom w:val="single" w:sz="4" w:space="0" w:color="00A0E9"/>
            </w:tcBorders>
            <w:shd w:val="clear" w:color="auto" w:fill="auto"/>
            <w:vAlign w:val="center"/>
          </w:tcPr>
          <w:p w:rsidR="00880CF1" w:rsidRPr="00187785" w:rsidRDefault="00880CF1" w:rsidP="00880CF1">
            <w:pPr>
              <w:jc w:val="left"/>
              <w:rPr>
                <w:rFonts w:ascii="宋体" w:eastAsia="宋体" w:hAnsi="宋体" w:cs="宋体"/>
                <w:b/>
                <w:bCs/>
                <w:color w:val="FF0000"/>
                <w:szCs w:val="18"/>
              </w:rPr>
            </w:pPr>
          </w:p>
        </w:tc>
      </w:tr>
      <w:bookmarkEnd w:id="14"/>
      <w:tr w:rsidR="00EE1CC3" w:rsidRPr="00A067AA" w:rsidTr="00735BBD">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tcPr>
          <w:p w:rsidR="00EE1CC3" w:rsidRPr="00A067AA" w:rsidRDefault="00EE1CC3" w:rsidP="00735BBD">
            <w:pPr>
              <w:pStyle w:val="FootnoteNoline"/>
              <w:ind w:left="0"/>
            </w:pPr>
            <w:r>
              <w:rPr>
                <w:rFonts w:hint="eastAsia"/>
              </w:rPr>
              <w:t>来源：国金证券研究所</w:t>
            </w:r>
          </w:p>
        </w:tc>
      </w:tr>
      <w:bookmarkEnd w:id="4"/>
      <w:bookmarkEnd w:id="5"/>
      <w:bookmarkEnd w:id="6"/>
      <w:bookmarkEnd w:id="7"/>
      <w:bookmarkEnd w:id="8"/>
      <w:bookmarkEnd w:id="9"/>
      <w:bookmarkEnd w:id="10"/>
      <w:bookmarkEnd w:id="11"/>
      <w:bookmarkEnd w:id="12"/>
    </w:tbl>
    <w:p w:rsidR="00EE1CC3" w:rsidRDefault="00EE1CC3" w:rsidP="00EE1CC3">
      <w:pPr>
        <w:pStyle w:val="a0"/>
        <w:widowControl/>
        <w:ind w:left="0"/>
        <w:rPr>
          <w:color w:val="auto"/>
        </w:rPr>
      </w:pPr>
    </w:p>
    <w:p w:rsidR="0005161F" w:rsidRDefault="004F1BC7" w:rsidP="00776898">
      <w:pPr>
        <w:pStyle w:val="a0"/>
        <w:pageBreakBefore/>
        <w:ind w:left="0"/>
      </w:pPr>
      <w:r>
        <w:rPr>
          <w:noProof/>
        </w:rPr>
        <w:lastRenderedPageBreak/>
        <w:pict>
          <v:shape id="Text Box 353" o:spid="_x0000_s1026" type="#_x0000_t202" style="position:absolute;left:0;text-align:left;margin-left:-7.05pt;margin-top:77.1pt;width:545.95pt;height:337.8pt;z-index:25165465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3901A1" w:rsidRDefault="003901A1"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3901A1" w:rsidRPr="00EE31AB" w:rsidRDefault="003901A1"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3901A1" w:rsidRDefault="003901A1"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3901A1" w:rsidRDefault="003901A1"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任何担保。且本报告中的资料、意见、预测均反映报告初次公开发布时的判断，在</w:t>
                  </w:r>
                  <w:proofErr w:type="gramStart"/>
                  <w:r>
                    <w:rPr>
                      <w:rFonts w:ascii="楷体_GB2312" w:hAnsi="Tahoma" w:cs="Tahoma" w:hint="eastAsia"/>
                      <w:color w:val="000000"/>
                      <w:sz w:val="21"/>
                      <w:szCs w:val="21"/>
                    </w:rPr>
                    <w:t>不作事</w:t>
                  </w:r>
                  <w:proofErr w:type="gramEnd"/>
                  <w:r>
                    <w:rPr>
                      <w:rFonts w:ascii="楷体_GB2312" w:hAnsi="Tahoma" w:cs="Tahoma" w:hint="eastAsia"/>
                      <w:color w:val="000000"/>
                      <w:sz w:val="21"/>
                      <w:szCs w:val="21"/>
                    </w:rPr>
                    <w:t>先通知的情况下，可能会随时调整。</w:t>
                  </w:r>
                </w:p>
                <w:p w:rsidR="003901A1" w:rsidRDefault="003901A1"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投资决策的唯一因素。本报告亦</w:t>
                  </w:r>
                  <w:proofErr w:type="gramStart"/>
                  <w:r>
                    <w:rPr>
                      <w:rFonts w:ascii="楷体_GB2312" w:hAnsi="Tahoma" w:cs="Tahoma" w:hint="eastAsia"/>
                      <w:color w:val="000000"/>
                      <w:sz w:val="21"/>
                      <w:szCs w:val="21"/>
                    </w:rPr>
                    <w:t>非作为</w:t>
                  </w:r>
                  <w:proofErr w:type="gramEnd"/>
                  <w:r>
                    <w:rPr>
                      <w:rFonts w:ascii="楷体_GB2312" w:hAnsi="Tahoma" w:cs="Tahoma" w:hint="eastAsia"/>
                      <w:color w:val="000000"/>
                      <w:sz w:val="21"/>
                      <w:szCs w:val="21"/>
                    </w:rPr>
                    <w:t>或被视为出售或购买证券或其他投资标的邀请。</w:t>
                  </w:r>
                </w:p>
                <w:p w:rsidR="003901A1" w:rsidRDefault="003901A1"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3901A1" w:rsidRDefault="003901A1"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3901A1" w:rsidRDefault="003901A1"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3901A1" w:rsidRDefault="003901A1"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3901A1" w:rsidRDefault="003901A1" w:rsidP="000E6AE0">
                  <w:pPr>
                    <w:pStyle w:val="a0"/>
                    <w:spacing w:after="60"/>
                    <w:ind w:left="0" w:rightChars="-27" w:right="-49"/>
                    <w:rPr>
                      <w:color w:val="auto"/>
                      <w:szCs w:val="15"/>
                    </w:rPr>
                  </w:pPr>
                </w:p>
                <w:p w:rsidR="003901A1" w:rsidRDefault="003901A1" w:rsidP="000E6AE0">
                  <w:pPr>
                    <w:pStyle w:val="a0"/>
                    <w:spacing w:after="60"/>
                    <w:ind w:left="0" w:rightChars="-27" w:right="-49"/>
                    <w:rPr>
                      <w:color w:val="auto"/>
                      <w:szCs w:val="15"/>
                    </w:rPr>
                  </w:pPr>
                </w:p>
                <w:p w:rsidR="003901A1" w:rsidRPr="000336C0" w:rsidRDefault="003901A1"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BE343C0A3357424294F39F680051F9AF"/>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755501" w:rsidP="004C64E0">
                <w:pPr>
                  <w:spacing w:after="120" w:line="240" w:lineRule="exact"/>
                  <w:rPr>
                    <w:b/>
                  </w:rPr>
                </w:pPr>
                <w:r>
                  <w:rPr>
                    <w:rFonts w:hint="eastAsia"/>
                    <w:b/>
                  </w:rPr>
                  <w:t>上海</w:t>
                </w:r>
              </w:p>
            </w:tc>
            <w:tc>
              <w:tcPr>
                <w:tcW w:w="3625" w:type="dxa"/>
              </w:tcPr>
              <w:p w:rsidR="004C64E0" w:rsidRPr="004C64E0" w:rsidRDefault="00755501" w:rsidP="004C64E0">
                <w:pPr>
                  <w:spacing w:after="120" w:line="240" w:lineRule="exact"/>
                  <w:rPr>
                    <w:b/>
                  </w:rPr>
                </w:pPr>
                <w:r>
                  <w:rPr>
                    <w:rFonts w:hint="eastAsia"/>
                    <w:b/>
                  </w:rPr>
                  <w:t>北京</w:t>
                </w:r>
              </w:p>
            </w:tc>
            <w:tc>
              <w:tcPr>
                <w:tcW w:w="3625" w:type="dxa"/>
              </w:tcPr>
              <w:p w:rsidR="004C64E0" w:rsidRPr="004C64E0" w:rsidRDefault="00755501" w:rsidP="004C64E0">
                <w:pPr>
                  <w:spacing w:after="120" w:line="240" w:lineRule="exact"/>
                  <w:rPr>
                    <w:b/>
                  </w:rPr>
                </w:pPr>
                <w:r>
                  <w:rPr>
                    <w:rFonts w:hint="eastAsia"/>
                    <w:b/>
                  </w:rPr>
                  <w:t>深圳</w:t>
                </w:r>
              </w:p>
            </w:tc>
          </w:tr>
          <w:tr w:rsidR="004C64E0">
            <w:tc>
              <w:tcPr>
                <w:tcW w:w="3625" w:type="dxa"/>
              </w:tcPr>
              <w:p w:rsidR="00755501" w:rsidRDefault="00755501" w:rsidP="000B01C0">
                <w:pPr>
                  <w:spacing w:after="120" w:line="240" w:lineRule="exact"/>
                </w:pPr>
                <w:r>
                  <w:rPr>
                    <w:rFonts w:hint="eastAsia"/>
                  </w:rPr>
                  <w:t>电话：</w:t>
                </w:r>
                <w:r>
                  <w:rPr>
                    <w:rFonts w:hint="eastAsia"/>
                  </w:rPr>
                  <w:t>021-60753903</w:t>
                </w:r>
              </w:p>
              <w:p w:rsidR="00755501" w:rsidRDefault="00755501" w:rsidP="000B01C0">
                <w:pPr>
                  <w:spacing w:after="120" w:line="240" w:lineRule="exact"/>
                </w:pPr>
                <w:r>
                  <w:rPr>
                    <w:rFonts w:hint="eastAsia"/>
                  </w:rPr>
                  <w:t>传真：</w:t>
                </w:r>
                <w:r>
                  <w:rPr>
                    <w:rFonts w:hint="eastAsia"/>
                  </w:rPr>
                  <w:t>021-61038200</w:t>
                </w:r>
              </w:p>
              <w:p w:rsidR="00755501" w:rsidRDefault="00755501" w:rsidP="000B01C0">
                <w:pPr>
                  <w:spacing w:after="120" w:line="240" w:lineRule="exact"/>
                </w:pPr>
                <w:r>
                  <w:rPr>
                    <w:rFonts w:hint="eastAsia"/>
                  </w:rPr>
                  <w:t>邮箱：</w:t>
                </w:r>
                <w:r>
                  <w:rPr>
                    <w:rFonts w:hint="eastAsia"/>
                  </w:rPr>
                  <w:t>researchsh@gjzq.com.cn</w:t>
                </w:r>
              </w:p>
              <w:p w:rsidR="00755501" w:rsidRDefault="00755501" w:rsidP="000B01C0">
                <w:pPr>
                  <w:spacing w:after="120" w:line="240" w:lineRule="exact"/>
                </w:pPr>
                <w:r>
                  <w:rPr>
                    <w:rFonts w:hint="eastAsia"/>
                  </w:rPr>
                  <w:t>邮编：</w:t>
                </w:r>
                <w:r>
                  <w:rPr>
                    <w:rFonts w:hint="eastAsia"/>
                  </w:rPr>
                  <w:t>201204</w:t>
                </w:r>
              </w:p>
              <w:p w:rsidR="00755501" w:rsidRDefault="00755501" w:rsidP="000B01C0">
                <w:pPr>
                  <w:spacing w:after="120" w:line="240" w:lineRule="exact"/>
                </w:pPr>
                <w:r>
                  <w:rPr>
                    <w:rFonts w:hint="eastAsia"/>
                  </w:rPr>
                  <w:t>地址：上海浦东新区芳</w:t>
                </w:r>
                <w:proofErr w:type="gramStart"/>
                <w:r>
                  <w:rPr>
                    <w:rFonts w:hint="eastAsia"/>
                  </w:rPr>
                  <w:t>甸</w:t>
                </w:r>
                <w:proofErr w:type="gramEnd"/>
                <w:r>
                  <w:rPr>
                    <w:rFonts w:hint="eastAsia"/>
                  </w:rPr>
                  <w:t>路</w:t>
                </w:r>
                <w:r>
                  <w:rPr>
                    <w:rFonts w:hint="eastAsia"/>
                  </w:rPr>
                  <w:t>1088</w:t>
                </w:r>
                <w:r>
                  <w:rPr>
                    <w:rFonts w:hint="eastAsia"/>
                  </w:rPr>
                  <w:t>号</w:t>
                </w:r>
              </w:p>
              <w:p w:rsidR="004C64E0" w:rsidRDefault="00755501"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755501" w:rsidRDefault="00755501" w:rsidP="000B01C0">
                <w:pPr>
                  <w:spacing w:after="120" w:line="240" w:lineRule="exact"/>
                </w:pPr>
                <w:r>
                  <w:rPr>
                    <w:rFonts w:hint="eastAsia"/>
                  </w:rPr>
                  <w:t>电话：</w:t>
                </w:r>
                <w:r>
                  <w:rPr>
                    <w:rFonts w:hint="eastAsia"/>
                  </w:rPr>
                  <w:t>010-66216979</w:t>
                </w:r>
              </w:p>
              <w:p w:rsidR="00755501" w:rsidRDefault="00755501" w:rsidP="000B01C0">
                <w:pPr>
                  <w:spacing w:after="120" w:line="240" w:lineRule="exact"/>
                </w:pPr>
                <w:r>
                  <w:rPr>
                    <w:rFonts w:hint="eastAsia"/>
                  </w:rPr>
                  <w:t>传真：</w:t>
                </w:r>
                <w:r>
                  <w:rPr>
                    <w:rFonts w:hint="eastAsia"/>
                  </w:rPr>
                  <w:t>010-66216793</w:t>
                </w:r>
              </w:p>
              <w:p w:rsidR="00755501" w:rsidRDefault="00755501" w:rsidP="000B01C0">
                <w:pPr>
                  <w:spacing w:after="120" w:line="240" w:lineRule="exact"/>
                </w:pPr>
                <w:r>
                  <w:rPr>
                    <w:rFonts w:hint="eastAsia"/>
                  </w:rPr>
                  <w:t>邮箱：</w:t>
                </w:r>
                <w:r>
                  <w:rPr>
                    <w:rFonts w:hint="eastAsia"/>
                  </w:rPr>
                  <w:t>researchbj@gjzq.com.cn</w:t>
                </w:r>
              </w:p>
              <w:p w:rsidR="00755501" w:rsidRDefault="00755501" w:rsidP="000B01C0">
                <w:pPr>
                  <w:spacing w:after="120" w:line="240" w:lineRule="exact"/>
                </w:pPr>
                <w:r>
                  <w:rPr>
                    <w:rFonts w:hint="eastAsia"/>
                  </w:rPr>
                  <w:t>邮编：</w:t>
                </w:r>
                <w:r>
                  <w:rPr>
                    <w:rFonts w:hint="eastAsia"/>
                  </w:rPr>
                  <w:t>100053</w:t>
                </w:r>
              </w:p>
              <w:p w:rsidR="004C64E0" w:rsidRDefault="00755501"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755501" w:rsidRDefault="00755501" w:rsidP="000B01C0">
                <w:pPr>
                  <w:spacing w:after="120" w:line="240" w:lineRule="exact"/>
                </w:pPr>
                <w:r>
                  <w:rPr>
                    <w:rFonts w:hint="eastAsia"/>
                  </w:rPr>
                  <w:t>电话：</w:t>
                </w:r>
                <w:r>
                  <w:rPr>
                    <w:rFonts w:hint="eastAsia"/>
                  </w:rPr>
                  <w:t>0755-83831378</w:t>
                </w:r>
              </w:p>
              <w:p w:rsidR="00755501" w:rsidRDefault="00755501" w:rsidP="000B01C0">
                <w:pPr>
                  <w:spacing w:after="120" w:line="240" w:lineRule="exact"/>
                </w:pPr>
                <w:r>
                  <w:rPr>
                    <w:rFonts w:hint="eastAsia"/>
                  </w:rPr>
                  <w:t>传真：</w:t>
                </w:r>
                <w:r>
                  <w:rPr>
                    <w:rFonts w:hint="eastAsia"/>
                  </w:rPr>
                  <w:t>0755-83830558</w:t>
                </w:r>
              </w:p>
              <w:p w:rsidR="00755501" w:rsidRDefault="00755501" w:rsidP="000B01C0">
                <w:pPr>
                  <w:spacing w:after="120" w:line="240" w:lineRule="exact"/>
                </w:pPr>
                <w:r>
                  <w:rPr>
                    <w:rFonts w:hint="eastAsia"/>
                  </w:rPr>
                  <w:t>邮箱：</w:t>
                </w:r>
                <w:r>
                  <w:rPr>
                    <w:rFonts w:hint="eastAsia"/>
                  </w:rPr>
                  <w:t>researchsz@gjzq.com.cn</w:t>
                </w:r>
              </w:p>
              <w:p w:rsidR="00755501" w:rsidRDefault="00755501" w:rsidP="000B01C0">
                <w:pPr>
                  <w:spacing w:after="120" w:line="240" w:lineRule="exact"/>
                </w:pPr>
                <w:r>
                  <w:rPr>
                    <w:rFonts w:hint="eastAsia"/>
                  </w:rPr>
                  <w:t>邮编：</w:t>
                </w:r>
                <w:r>
                  <w:rPr>
                    <w:rFonts w:hint="eastAsia"/>
                  </w:rPr>
                  <w:t>518000</w:t>
                </w:r>
              </w:p>
              <w:p w:rsidR="00755501" w:rsidRDefault="00755501"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755501"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4F1BC7" w:rsidP="00755501">
          <w:pPr>
            <w:spacing w:line="14" w:lineRule="exact"/>
          </w:pPr>
        </w:p>
      </w:sdtContent>
    </w:sdt>
    <w:p w:rsidR="005E311D" w:rsidRPr="00ED77B9" w:rsidRDefault="005E311D" w:rsidP="00ED77B9"/>
    <w:sectPr w:rsidR="005E311D" w:rsidRPr="00ED77B9" w:rsidSect="00A87799">
      <w:headerReference w:type="default" r:id="rId14"/>
      <w:footerReference w:type="even" r:id="rId15"/>
      <w:footerReference w:type="default" r:id="rId16"/>
      <w:headerReference w:type="first" r:id="rId17"/>
      <w:footerReference w:type="first" r:id="rId18"/>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C7" w:rsidRDefault="004F1BC7">
      <w:r>
        <w:separator/>
      </w:r>
    </w:p>
  </w:endnote>
  <w:endnote w:type="continuationSeparator" w:id="0">
    <w:p w:rsidR="004F1BC7" w:rsidRDefault="004F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A1" w:rsidRDefault="00411ADD">
    <w:pPr>
      <w:pStyle w:val="a4"/>
      <w:framePr w:wrap="around" w:vAnchor="text" w:hAnchor="margin" w:xAlign="right" w:y="1"/>
      <w:rPr>
        <w:rStyle w:val="a5"/>
      </w:rPr>
    </w:pPr>
    <w:r>
      <w:rPr>
        <w:rStyle w:val="a5"/>
      </w:rPr>
      <w:fldChar w:fldCharType="begin"/>
    </w:r>
    <w:r w:rsidR="003901A1">
      <w:rPr>
        <w:rStyle w:val="a5"/>
      </w:rPr>
      <w:instrText xml:space="preserve">PAGE  </w:instrText>
    </w:r>
    <w:r>
      <w:rPr>
        <w:rStyle w:val="a5"/>
      </w:rPr>
      <w:fldChar w:fldCharType="end"/>
    </w:r>
  </w:p>
  <w:p w:rsidR="003901A1" w:rsidRDefault="003901A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A1" w:rsidRPr="00A30364" w:rsidRDefault="004F1BC7" w:rsidP="007F6DAF">
    <w:pPr>
      <w:pStyle w:val="a6"/>
      <w:pBdr>
        <w:bottom w:val="none" w:sz="0" w:space="0" w:color="auto"/>
      </w:pBdr>
      <w:rPr>
        <w:rFonts w:ascii="LucidaSans" w:hAnsi="LucidaSans"/>
        <w:b/>
      </w:rPr>
    </w:pPr>
    <w:r>
      <w:rPr>
        <w:noProof/>
      </w:rPr>
      <w:pict>
        <v:line id="Line 34" o:spid="_x0000_s2051" style="position:absolute;left:0;text-align:left;z-index:251659264;visibility:visible;mso-wrap-distance-top:-3e-5mm;mso-wrap-distance-bottom:-3e-5mm"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3901A1" w:rsidRPr="00A30364">
      <w:rPr>
        <w:rFonts w:ascii="LucidaSans" w:hAnsi="LucidaSans"/>
        <w:b/>
        <w:szCs w:val="21"/>
      </w:rPr>
      <w:t xml:space="preserve">- </w:t>
    </w:r>
    <w:r w:rsidR="00411ADD" w:rsidRPr="003C4E1B">
      <w:rPr>
        <w:b/>
        <w:szCs w:val="21"/>
      </w:rPr>
      <w:fldChar w:fldCharType="begin"/>
    </w:r>
    <w:r w:rsidR="003901A1" w:rsidRPr="003C4E1B">
      <w:rPr>
        <w:b/>
        <w:szCs w:val="21"/>
      </w:rPr>
      <w:instrText xml:space="preserve"> PAGE </w:instrText>
    </w:r>
    <w:r w:rsidR="00411ADD" w:rsidRPr="003C4E1B">
      <w:rPr>
        <w:b/>
        <w:szCs w:val="21"/>
      </w:rPr>
      <w:fldChar w:fldCharType="separate"/>
    </w:r>
    <w:r w:rsidR="00752D51">
      <w:rPr>
        <w:b/>
        <w:noProof/>
        <w:szCs w:val="21"/>
      </w:rPr>
      <w:t>2</w:t>
    </w:r>
    <w:r w:rsidR="00411ADD" w:rsidRPr="003C4E1B">
      <w:rPr>
        <w:b/>
        <w:szCs w:val="21"/>
      </w:rPr>
      <w:fldChar w:fldCharType="end"/>
    </w:r>
    <w:r w:rsidR="003901A1" w:rsidRPr="00A30364">
      <w:rPr>
        <w:rFonts w:ascii="LucidaSans" w:hAnsi="LucidaSans"/>
        <w:b/>
        <w:szCs w:val="21"/>
      </w:rPr>
      <w:t xml:space="preserve"> -</w:t>
    </w:r>
  </w:p>
  <w:p w:rsidR="003901A1" w:rsidRDefault="003901A1"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A1" w:rsidRPr="00A30364" w:rsidRDefault="004F1BC7" w:rsidP="00A30364">
    <w:pPr>
      <w:pStyle w:val="a4"/>
      <w:tabs>
        <w:tab w:val="center" w:pos="5103"/>
      </w:tabs>
      <w:jc w:val="center"/>
      <w:rPr>
        <w:rFonts w:cs="Arial"/>
        <w:b/>
      </w:rPr>
    </w:pPr>
    <w:r>
      <w:rPr>
        <w:noProof/>
      </w:rPr>
      <w:pict>
        <v:line id="Line 35" o:spid="_x0000_s2050" style="position:absolute;left:0;text-align:left;z-index:251660288;visibility:visible;mso-wrap-distance-top:-3e-5mm;mso-wrap-distance-bottom:-3e-5mm"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49" style="position:absolute;left:0;text-align:left;margin-left:-31.8pt;margin-top:24.65pt;width:596.1pt;height:1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3901A1" w:rsidRPr="0003281B" w:rsidRDefault="003901A1" w:rsidP="0003281B"/>
            </w:txbxContent>
          </v:textbox>
        </v:rect>
      </w:pict>
    </w:r>
    <w:r w:rsidR="003901A1" w:rsidRPr="00A30364">
      <w:rPr>
        <w:rFonts w:cs="Arial"/>
        <w:b/>
        <w:szCs w:val="21"/>
      </w:rPr>
      <w:t xml:space="preserve">- </w:t>
    </w:r>
    <w:r w:rsidR="00411ADD" w:rsidRPr="00A30364">
      <w:rPr>
        <w:rFonts w:cs="Arial"/>
        <w:b/>
        <w:szCs w:val="21"/>
      </w:rPr>
      <w:fldChar w:fldCharType="begin"/>
    </w:r>
    <w:r w:rsidR="003901A1" w:rsidRPr="00A30364">
      <w:rPr>
        <w:rFonts w:cs="Arial"/>
        <w:b/>
        <w:szCs w:val="21"/>
      </w:rPr>
      <w:instrText xml:space="preserve"> PAGE </w:instrText>
    </w:r>
    <w:r w:rsidR="00411ADD" w:rsidRPr="00A30364">
      <w:rPr>
        <w:rFonts w:cs="Arial"/>
        <w:b/>
        <w:szCs w:val="21"/>
      </w:rPr>
      <w:fldChar w:fldCharType="separate"/>
    </w:r>
    <w:r w:rsidR="00752D51">
      <w:rPr>
        <w:rFonts w:cs="Arial"/>
        <w:b/>
        <w:noProof/>
        <w:szCs w:val="21"/>
      </w:rPr>
      <w:t>1</w:t>
    </w:r>
    <w:r w:rsidR="00411ADD" w:rsidRPr="00A30364">
      <w:rPr>
        <w:rFonts w:cs="Arial"/>
        <w:b/>
        <w:szCs w:val="21"/>
      </w:rPr>
      <w:fldChar w:fldCharType="end"/>
    </w:r>
    <w:r w:rsidR="003901A1" w:rsidRPr="00A30364">
      <w:rPr>
        <w:rFonts w:cs="Arial"/>
        <w:b/>
        <w:szCs w:val="21"/>
      </w:rPr>
      <w:t xml:space="preserve"> -</w:t>
    </w:r>
  </w:p>
  <w:p w:rsidR="003901A1" w:rsidRDefault="003901A1">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C7" w:rsidRDefault="004F1BC7">
      <w:r>
        <w:separator/>
      </w:r>
    </w:p>
  </w:footnote>
  <w:footnote w:type="continuationSeparator" w:id="0">
    <w:p w:rsidR="004F1BC7" w:rsidRDefault="004F1BC7">
      <w:r>
        <w:continuationSeparator/>
      </w:r>
    </w:p>
  </w:footnote>
  <w:footnote w:id="1">
    <w:p w:rsidR="003901A1" w:rsidRDefault="003901A1">
      <w:pPr>
        <w:pStyle w:val="a9"/>
      </w:pPr>
      <w:r>
        <w:rPr>
          <w:rStyle w:val="a8"/>
        </w:rPr>
        <w:footnoteRef/>
      </w:r>
      <w:r>
        <w:t xml:space="preserve"> </w:t>
      </w:r>
      <w:proofErr w:type="gramStart"/>
      <w:r>
        <w:rPr>
          <w:rFonts w:hint="eastAsia"/>
        </w:rPr>
        <w:t>具体见国金</w:t>
      </w:r>
      <w:proofErr w:type="gramEnd"/>
      <w:r>
        <w:rPr>
          <w:rFonts w:hint="eastAsia"/>
        </w:rPr>
        <w:t>宏观小组相关报告《短期</w:t>
      </w:r>
      <w:r>
        <w:rPr>
          <w:rFonts w:hint="eastAsia"/>
        </w:rPr>
        <w:t xml:space="preserve"> </w:t>
      </w:r>
      <w:r>
        <w:rPr>
          <w:rFonts w:hint="eastAsia"/>
        </w:rPr>
        <w:t>提振信心，中期还看内功》、《</w:t>
      </w:r>
      <w:r w:rsidRPr="004A2DAE">
        <w:rPr>
          <w:rFonts w:hint="eastAsia"/>
        </w:rPr>
        <w:t>7</w:t>
      </w:r>
      <w:r w:rsidRPr="004A2DAE">
        <w:rPr>
          <w:rFonts w:hint="eastAsia"/>
        </w:rPr>
        <w:t>月经济、财政数据点评</w:t>
      </w:r>
      <w:r>
        <w:rPr>
          <w:rFonts w:hint="eastAsia"/>
        </w:rPr>
        <w:t>》、《</w:t>
      </w:r>
      <w:r w:rsidRPr="004A2DAE">
        <w:rPr>
          <w:rFonts w:hint="eastAsia"/>
        </w:rPr>
        <w:t>7</w:t>
      </w:r>
      <w:r w:rsidRPr="004A2DAE">
        <w:rPr>
          <w:rFonts w:hint="eastAsia"/>
        </w:rPr>
        <w:t>月金融数据评论</w:t>
      </w:r>
      <w:r>
        <w:rPr>
          <w:rFonts w:hint="eastAsia"/>
        </w:rPr>
        <w:t>》等报告。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A1" w:rsidRDefault="004F1BC7" w:rsidP="00F72878">
    <w:pPr>
      <w:jc w:val="right"/>
    </w:pPr>
    <w:sdt>
      <w:sdtPr>
        <w:alias w:val="报告类型"/>
        <w:tag w:val="BDCONTENTCONTROL_451e08ee-3959-4251-8d5f-f302d5f0f153"/>
        <w:id w:val="631523797"/>
        <w:placeholder>
          <w:docPart w:val="F865064DFFE04239A696D53AE4154D61"/>
        </w:placeholder>
        <w:text/>
      </w:sdtPr>
      <w:sdtEndPr/>
      <w:sdtContent>
        <w:r w:rsidR="00755501">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3" type="#_x0000_t202" style="position:absolute;left:0;text-align:left;margin-left:-16.2pt;margin-top:31.05pt;width:101.45pt;height:29.7pt;z-index:251655168;visibility:visible;mso-wrap-style:non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3901A1" w:rsidRPr="00E17DD1" w:rsidRDefault="003901A1" w:rsidP="005721EB">
                <w:r>
                  <w:rPr>
                    <w:noProof/>
                  </w:rPr>
                  <w:drawing>
                    <wp:inline distT="0" distB="0" distL="0" distR="0">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2" style="position:absolute;left:0;text-align:left;z-index:251656192;visibility:visible;mso-wrap-distance-top:-3e-5mm;mso-wrap-distance-bottom:-3e-5mm;mso-position-horizontal:center;mso-position-horizontal-relative:text;mso-position-vertical-relative:text"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1A1" w:rsidRDefault="003901A1"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04F02"/>
    <w:multiLevelType w:val="multilevel"/>
    <w:tmpl w:val="3CDE5F16"/>
    <w:numStyleLink w:val="GJStylesContentMark"/>
  </w:abstractNum>
  <w:abstractNum w:abstractNumId="16">
    <w:nsid w:val="41A645CE"/>
    <w:multiLevelType w:val="multilevel"/>
    <w:tmpl w:val="3CDE5F16"/>
    <w:numStyleLink w:val="GJStylesContentMark"/>
  </w:abstractNum>
  <w:abstractNum w:abstractNumId="17">
    <w:nsid w:val="44D96BA6"/>
    <w:multiLevelType w:val="multilevel"/>
    <w:tmpl w:val="1556E7D6"/>
    <w:numStyleLink w:val="GJStylesSummaryContentMark"/>
  </w:abstractNum>
  <w:abstractNum w:abstractNumId="18">
    <w:nsid w:val="44E1352C"/>
    <w:multiLevelType w:val="multilevel"/>
    <w:tmpl w:val="3CDE5F16"/>
    <w:numStyleLink w:val="GJStylesContentMark"/>
  </w:abstractNum>
  <w:abstractNum w:abstractNumId="19">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515021FA"/>
    <w:multiLevelType w:val="multilevel"/>
    <w:tmpl w:val="1556E7D6"/>
    <w:numStyleLink w:val="GJStylesSummaryContentMark"/>
  </w:abstractNum>
  <w:abstractNum w:abstractNumId="24">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6">
    <w:nsid w:val="65DD2D9F"/>
    <w:multiLevelType w:val="multilevel"/>
    <w:tmpl w:val="3CDE5F16"/>
    <w:numStyleLink w:val="GJStylesContentMark"/>
  </w:abstractNum>
  <w:abstractNum w:abstractNumId="27">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8">
    <w:nsid w:val="686369BF"/>
    <w:multiLevelType w:val="multilevel"/>
    <w:tmpl w:val="1556E7D6"/>
    <w:numStyleLink w:val="GJStylesSummaryContentMark"/>
  </w:abstractNum>
  <w:abstractNum w:abstractNumId="29">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72754749"/>
    <w:multiLevelType w:val="multilevel"/>
    <w:tmpl w:val="1556E7D6"/>
    <w:numStyleLink w:val="GJStylesSummaryContentMark"/>
  </w:abstractNum>
  <w:abstractNum w:abstractNumId="31">
    <w:nsid w:val="73777A50"/>
    <w:multiLevelType w:val="multilevel"/>
    <w:tmpl w:val="3CDE5F16"/>
    <w:numStyleLink w:val="GJStylesContentMark"/>
  </w:abstractNum>
  <w:abstractNum w:abstractNumId="32">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284D5A"/>
    <w:multiLevelType w:val="multilevel"/>
    <w:tmpl w:val="3CDE5F16"/>
    <w:numStyleLink w:val="GJStylesContentMark"/>
  </w:abstractNum>
  <w:abstractNum w:abstractNumId="34">
    <w:nsid w:val="7C8139AA"/>
    <w:multiLevelType w:val="multilevel"/>
    <w:tmpl w:val="3CDE5F16"/>
    <w:numStyleLink w:val="GJStylesContentMark"/>
  </w:abstractNum>
  <w:num w:numId="1">
    <w:abstractNumId w:val="27"/>
  </w:num>
  <w:num w:numId="2">
    <w:abstractNumId w:val="3"/>
  </w:num>
  <w:num w:numId="3">
    <w:abstractNumId w:val="20"/>
  </w:num>
  <w:num w:numId="4">
    <w:abstractNumId w:val="22"/>
  </w:num>
  <w:num w:numId="5">
    <w:abstractNumId w:val="10"/>
  </w:num>
  <w:num w:numId="6">
    <w:abstractNumId w:val="13"/>
  </w:num>
  <w:num w:numId="7">
    <w:abstractNumId w:val="21"/>
  </w:num>
  <w:num w:numId="8">
    <w:abstractNumId w:val="28"/>
  </w:num>
  <w:num w:numId="9">
    <w:abstractNumId w:val="15"/>
  </w:num>
  <w:num w:numId="10">
    <w:abstractNumId w:val="19"/>
  </w:num>
  <w:num w:numId="11">
    <w:abstractNumId w:val="29"/>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3"/>
  </w:num>
  <w:num w:numId="18">
    <w:abstractNumId w:val="17"/>
  </w:num>
  <w:num w:numId="19">
    <w:abstractNumId w:val="30"/>
  </w:num>
  <w:num w:numId="20">
    <w:abstractNumId w:val="11"/>
  </w:num>
  <w:num w:numId="21">
    <w:abstractNumId w:val="16"/>
  </w:num>
  <w:num w:numId="22">
    <w:abstractNumId w:val="0"/>
  </w:num>
  <w:num w:numId="23">
    <w:abstractNumId w:val="18"/>
  </w:num>
  <w:num w:numId="24">
    <w:abstractNumId w:val="9"/>
  </w:num>
  <w:num w:numId="25">
    <w:abstractNumId w:val="1"/>
  </w:num>
  <w:num w:numId="26">
    <w:abstractNumId w:val="7"/>
  </w:num>
  <w:num w:numId="27">
    <w:abstractNumId w:val="26"/>
  </w:num>
  <w:num w:numId="28">
    <w:abstractNumId w:val="4"/>
  </w:num>
  <w:num w:numId="29">
    <w:abstractNumId w:val="31"/>
  </w:num>
  <w:num w:numId="30">
    <w:abstractNumId w:val="33"/>
  </w:num>
  <w:num w:numId="31">
    <w:abstractNumId w:val="34"/>
  </w:num>
  <w:num w:numId="32">
    <w:abstractNumId w:val="32"/>
  </w:num>
  <w:num w:numId="33">
    <w:abstractNumId w:val="6"/>
  </w:num>
  <w:num w:numId="34">
    <w:abstractNumId w:val="14"/>
  </w:num>
  <w:num w:numId="35">
    <w:abstractNumId w:val="12"/>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E1CC3"/>
    <w:rsid w:val="000004CC"/>
    <w:rsid w:val="00000C57"/>
    <w:rsid w:val="00002BE4"/>
    <w:rsid w:val="00003774"/>
    <w:rsid w:val="00004320"/>
    <w:rsid w:val="00004EBA"/>
    <w:rsid w:val="00005676"/>
    <w:rsid w:val="0000572E"/>
    <w:rsid w:val="000106FC"/>
    <w:rsid w:val="00011DC8"/>
    <w:rsid w:val="00012047"/>
    <w:rsid w:val="00013EB2"/>
    <w:rsid w:val="0001492B"/>
    <w:rsid w:val="000149F7"/>
    <w:rsid w:val="00014B77"/>
    <w:rsid w:val="00014F51"/>
    <w:rsid w:val="00016C91"/>
    <w:rsid w:val="0001708F"/>
    <w:rsid w:val="0002045A"/>
    <w:rsid w:val="000219EC"/>
    <w:rsid w:val="00021A32"/>
    <w:rsid w:val="00021CEA"/>
    <w:rsid w:val="000221E8"/>
    <w:rsid w:val="000227CF"/>
    <w:rsid w:val="0002347C"/>
    <w:rsid w:val="00023D3A"/>
    <w:rsid w:val="00025049"/>
    <w:rsid w:val="00026458"/>
    <w:rsid w:val="0002666B"/>
    <w:rsid w:val="00030007"/>
    <w:rsid w:val="00031106"/>
    <w:rsid w:val="000319DC"/>
    <w:rsid w:val="00032255"/>
    <w:rsid w:val="0003281B"/>
    <w:rsid w:val="00032EE6"/>
    <w:rsid w:val="00033099"/>
    <w:rsid w:val="000336C0"/>
    <w:rsid w:val="00034017"/>
    <w:rsid w:val="000343B3"/>
    <w:rsid w:val="0003448B"/>
    <w:rsid w:val="00034A37"/>
    <w:rsid w:val="00034B6F"/>
    <w:rsid w:val="000368BD"/>
    <w:rsid w:val="000374D7"/>
    <w:rsid w:val="000424AC"/>
    <w:rsid w:val="00043630"/>
    <w:rsid w:val="00044649"/>
    <w:rsid w:val="00044C1E"/>
    <w:rsid w:val="00044D0E"/>
    <w:rsid w:val="00045604"/>
    <w:rsid w:val="00045BB2"/>
    <w:rsid w:val="000463A6"/>
    <w:rsid w:val="000464EF"/>
    <w:rsid w:val="00050A4A"/>
    <w:rsid w:val="00051253"/>
    <w:rsid w:val="0005134F"/>
    <w:rsid w:val="0005161F"/>
    <w:rsid w:val="00051AFD"/>
    <w:rsid w:val="000520F8"/>
    <w:rsid w:val="000528A0"/>
    <w:rsid w:val="000528AB"/>
    <w:rsid w:val="00054005"/>
    <w:rsid w:val="000576EE"/>
    <w:rsid w:val="0005788C"/>
    <w:rsid w:val="0006128E"/>
    <w:rsid w:val="000622E5"/>
    <w:rsid w:val="00063A3F"/>
    <w:rsid w:val="0006435D"/>
    <w:rsid w:val="00070B6F"/>
    <w:rsid w:val="00070EA5"/>
    <w:rsid w:val="00070F25"/>
    <w:rsid w:val="00071EB8"/>
    <w:rsid w:val="000748FA"/>
    <w:rsid w:val="00074B53"/>
    <w:rsid w:val="0007511E"/>
    <w:rsid w:val="000751E1"/>
    <w:rsid w:val="00080902"/>
    <w:rsid w:val="00080AF3"/>
    <w:rsid w:val="000810F3"/>
    <w:rsid w:val="00082C91"/>
    <w:rsid w:val="00082E94"/>
    <w:rsid w:val="0008444C"/>
    <w:rsid w:val="000873F1"/>
    <w:rsid w:val="00090567"/>
    <w:rsid w:val="00090CDA"/>
    <w:rsid w:val="00091670"/>
    <w:rsid w:val="00091CB7"/>
    <w:rsid w:val="000939AA"/>
    <w:rsid w:val="000943F5"/>
    <w:rsid w:val="00094710"/>
    <w:rsid w:val="000961E1"/>
    <w:rsid w:val="00096DCC"/>
    <w:rsid w:val="00096FFB"/>
    <w:rsid w:val="000A2612"/>
    <w:rsid w:val="000A43ED"/>
    <w:rsid w:val="000A44D7"/>
    <w:rsid w:val="000A6D82"/>
    <w:rsid w:val="000A76EF"/>
    <w:rsid w:val="000A7AA6"/>
    <w:rsid w:val="000A7D02"/>
    <w:rsid w:val="000B001B"/>
    <w:rsid w:val="000B01C0"/>
    <w:rsid w:val="000B076E"/>
    <w:rsid w:val="000B07ED"/>
    <w:rsid w:val="000B0E6B"/>
    <w:rsid w:val="000B265D"/>
    <w:rsid w:val="000B2D7D"/>
    <w:rsid w:val="000B47DB"/>
    <w:rsid w:val="000B50B1"/>
    <w:rsid w:val="000B539C"/>
    <w:rsid w:val="000B5C96"/>
    <w:rsid w:val="000B78AA"/>
    <w:rsid w:val="000C065B"/>
    <w:rsid w:val="000C0A3A"/>
    <w:rsid w:val="000C0DA5"/>
    <w:rsid w:val="000C177B"/>
    <w:rsid w:val="000C2404"/>
    <w:rsid w:val="000C2513"/>
    <w:rsid w:val="000C2EDE"/>
    <w:rsid w:val="000C4699"/>
    <w:rsid w:val="000C484B"/>
    <w:rsid w:val="000C7D66"/>
    <w:rsid w:val="000C7EB1"/>
    <w:rsid w:val="000D1948"/>
    <w:rsid w:val="000D3153"/>
    <w:rsid w:val="000D33D2"/>
    <w:rsid w:val="000D3417"/>
    <w:rsid w:val="000D5698"/>
    <w:rsid w:val="000D688F"/>
    <w:rsid w:val="000E0E02"/>
    <w:rsid w:val="000E12FC"/>
    <w:rsid w:val="000E2FF4"/>
    <w:rsid w:val="000E40C9"/>
    <w:rsid w:val="000E6203"/>
    <w:rsid w:val="000E6AE0"/>
    <w:rsid w:val="000F01AE"/>
    <w:rsid w:val="000F0DF5"/>
    <w:rsid w:val="000F2451"/>
    <w:rsid w:val="000F2643"/>
    <w:rsid w:val="000F4AB0"/>
    <w:rsid w:val="000F5142"/>
    <w:rsid w:val="000F61F9"/>
    <w:rsid w:val="000F72BA"/>
    <w:rsid w:val="000F738D"/>
    <w:rsid w:val="00100477"/>
    <w:rsid w:val="00101F8F"/>
    <w:rsid w:val="001025A9"/>
    <w:rsid w:val="00102FCE"/>
    <w:rsid w:val="001064A9"/>
    <w:rsid w:val="00106821"/>
    <w:rsid w:val="0010686C"/>
    <w:rsid w:val="00106ADD"/>
    <w:rsid w:val="00106FF6"/>
    <w:rsid w:val="001119C0"/>
    <w:rsid w:val="001120FD"/>
    <w:rsid w:val="00113F7E"/>
    <w:rsid w:val="0011478F"/>
    <w:rsid w:val="001151C1"/>
    <w:rsid w:val="001157E3"/>
    <w:rsid w:val="00116159"/>
    <w:rsid w:val="001167F6"/>
    <w:rsid w:val="00116EEB"/>
    <w:rsid w:val="00116FC8"/>
    <w:rsid w:val="00117A99"/>
    <w:rsid w:val="00121983"/>
    <w:rsid w:val="00122401"/>
    <w:rsid w:val="00122D86"/>
    <w:rsid w:val="001236FE"/>
    <w:rsid w:val="00123AF2"/>
    <w:rsid w:val="00123B4C"/>
    <w:rsid w:val="00126D81"/>
    <w:rsid w:val="0012748C"/>
    <w:rsid w:val="00127D52"/>
    <w:rsid w:val="0013080A"/>
    <w:rsid w:val="00130A54"/>
    <w:rsid w:val="00131E05"/>
    <w:rsid w:val="00132A68"/>
    <w:rsid w:val="00132E65"/>
    <w:rsid w:val="00132E70"/>
    <w:rsid w:val="00133402"/>
    <w:rsid w:val="00134C05"/>
    <w:rsid w:val="0013548E"/>
    <w:rsid w:val="00135645"/>
    <w:rsid w:val="0013641C"/>
    <w:rsid w:val="001377EB"/>
    <w:rsid w:val="001406FF"/>
    <w:rsid w:val="0014134B"/>
    <w:rsid w:val="00141C49"/>
    <w:rsid w:val="00141C88"/>
    <w:rsid w:val="0014285A"/>
    <w:rsid w:val="0014388E"/>
    <w:rsid w:val="00143C2D"/>
    <w:rsid w:val="00146968"/>
    <w:rsid w:val="00147350"/>
    <w:rsid w:val="00147D85"/>
    <w:rsid w:val="00150299"/>
    <w:rsid w:val="00150313"/>
    <w:rsid w:val="00150353"/>
    <w:rsid w:val="001503CD"/>
    <w:rsid w:val="00150417"/>
    <w:rsid w:val="0015120D"/>
    <w:rsid w:val="001522ED"/>
    <w:rsid w:val="0015265C"/>
    <w:rsid w:val="00152A3D"/>
    <w:rsid w:val="00152E7D"/>
    <w:rsid w:val="0015543F"/>
    <w:rsid w:val="0015629E"/>
    <w:rsid w:val="00156497"/>
    <w:rsid w:val="001602B1"/>
    <w:rsid w:val="0016153B"/>
    <w:rsid w:val="0016156D"/>
    <w:rsid w:val="00161A50"/>
    <w:rsid w:val="00161CE1"/>
    <w:rsid w:val="00162B98"/>
    <w:rsid w:val="0016394F"/>
    <w:rsid w:val="00164EE1"/>
    <w:rsid w:val="00165EA0"/>
    <w:rsid w:val="00167E1A"/>
    <w:rsid w:val="00170C24"/>
    <w:rsid w:val="00172839"/>
    <w:rsid w:val="001748BC"/>
    <w:rsid w:val="00176A15"/>
    <w:rsid w:val="00180167"/>
    <w:rsid w:val="00180272"/>
    <w:rsid w:val="00180733"/>
    <w:rsid w:val="001809E2"/>
    <w:rsid w:val="00181776"/>
    <w:rsid w:val="00181A5B"/>
    <w:rsid w:val="001820D1"/>
    <w:rsid w:val="001829B0"/>
    <w:rsid w:val="001837D4"/>
    <w:rsid w:val="00183D27"/>
    <w:rsid w:val="00185504"/>
    <w:rsid w:val="001865C6"/>
    <w:rsid w:val="001865FF"/>
    <w:rsid w:val="00186750"/>
    <w:rsid w:val="001876A8"/>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7B2"/>
    <w:rsid w:val="001B5CE8"/>
    <w:rsid w:val="001B6452"/>
    <w:rsid w:val="001B72E9"/>
    <w:rsid w:val="001B73D7"/>
    <w:rsid w:val="001B7A60"/>
    <w:rsid w:val="001C118C"/>
    <w:rsid w:val="001C1C32"/>
    <w:rsid w:val="001C28A5"/>
    <w:rsid w:val="001C29C4"/>
    <w:rsid w:val="001C33EB"/>
    <w:rsid w:val="001C370A"/>
    <w:rsid w:val="001C3E78"/>
    <w:rsid w:val="001C40DD"/>
    <w:rsid w:val="001C4CE3"/>
    <w:rsid w:val="001C523C"/>
    <w:rsid w:val="001C52BA"/>
    <w:rsid w:val="001C5AA3"/>
    <w:rsid w:val="001C5C2B"/>
    <w:rsid w:val="001C7914"/>
    <w:rsid w:val="001C7C49"/>
    <w:rsid w:val="001D0A95"/>
    <w:rsid w:val="001D0F58"/>
    <w:rsid w:val="001D24A0"/>
    <w:rsid w:val="001D283E"/>
    <w:rsid w:val="001D2DC8"/>
    <w:rsid w:val="001D3958"/>
    <w:rsid w:val="001D3DC3"/>
    <w:rsid w:val="001D4A05"/>
    <w:rsid w:val="001D5FBF"/>
    <w:rsid w:val="001D7559"/>
    <w:rsid w:val="001E00A9"/>
    <w:rsid w:val="001E1103"/>
    <w:rsid w:val="001E13B9"/>
    <w:rsid w:val="001E148A"/>
    <w:rsid w:val="001E1FDB"/>
    <w:rsid w:val="001E24A0"/>
    <w:rsid w:val="001E2668"/>
    <w:rsid w:val="001E5CB0"/>
    <w:rsid w:val="001E6529"/>
    <w:rsid w:val="001E72F3"/>
    <w:rsid w:val="001E7B3E"/>
    <w:rsid w:val="001F0514"/>
    <w:rsid w:val="001F09CE"/>
    <w:rsid w:val="001F1AE5"/>
    <w:rsid w:val="001F1EDA"/>
    <w:rsid w:val="001F2D26"/>
    <w:rsid w:val="001F37D3"/>
    <w:rsid w:val="001F3B73"/>
    <w:rsid w:val="001F4836"/>
    <w:rsid w:val="001F4FE5"/>
    <w:rsid w:val="001F5094"/>
    <w:rsid w:val="001F79C4"/>
    <w:rsid w:val="002009BA"/>
    <w:rsid w:val="00200D33"/>
    <w:rsid w:val="00200E39"/>
    <w:rsid w:val="0020190A"/>
    <w:rsid w:val="00202E43"/>
    <w:rsid w:val="00203AB8"/>
    <w:rsid w:val="0020511C"/>
    <w:rsid w:val="00205425"/>
    <w:rsid w:val="00205844"/>
    <w:rsid w:val="00205E05"/>
    <w:rsid w:val="00206545"/>
    <w:rsid w:val="00206A8D"/>
    <w:rsid w:val="002071A0"/>
    <w:rsid w:val="002078CF"/>
    <w:rsid w:val="0021169E"/>
    <w:rsid w:val="00212F4D"/>
    <w:rsid w:val="00213251"/>
    <w:rsid w:val="00213D4E"/>
    <w:rsid w:val="002170D3"/>
    <w:rsid w:val="0021747E"/>
    <w:rsid w:val="00220363"/>
    <w:rsid w:val="00220D09"/>
    <w:rsid w:val="0022215E"/>
    <w:rsid w:val="0022453A"/>
    <w:rsid w:val="00224810"/>
    <w:rsid w:val="0022768D"/>
    <w:rsid w:val="00230996"/>
    <w:rsid w:val="00231051"/>
    <w:rsid w:val="0023347E"/>
    <w:rsid w:val="00233B04"/>
    <w:rsid w:val="002347F7"/>
    <w:rsid w:val="00234C04"/>
    <w:rsid w:val="002356FE"/>
    <w:rsid w:val="0024043A"/>
    <w:rsid w:val="002412D0"/>
    <w:rsid w:val="002416F4"/>
    <w:rsid w:val="00243205"/>
    <w:rsid w:val="002436CB"/>
    <w:rsid w:val="0024447F"/>
    <w:rsid w:val="00244FE8"/>
    <w:rsid w:val="0024569B"/>
    <w:rsid w:val="002463F9"/>
    <w:rsid w:val="002501AA"/>
    <w:rsid w:val="0025246E"/>
    <w:rsid w:val="00253506"/>
    <w:rsid w:val="00255EE8"/>
    <w:rsid w:val="00256C54"/>
    <w:rsid w:val="0025701C"/>
    <w:rsid w:val="0025705E"/>
    <w:rsid w:val="00257C5B"/>
    <w:rsid w:val="00260EF2"/>
    <w:rsid w:val="002613C1"/>
    <w:rsid w:val="00261447"/>
    <w:rsid w:val="00261B2D"/>
    <w:rsid w:val="00261E81"/>
    <w:rsid w:val="00262373"/>
    <w:rsid w:val="002627D5"/>
    <w:rsid w:val="00262C87"/>
    <w:rsid w:val="00263585"/>
    <w:rsid w:val="00264055"/>
    <w:rsid w:val="002647A0"/>
    <w:rsid w:val="00264D37"/>
    <w:rsid w:val="002711AC"/>
    <w:rsid w:val="002724E5"/>
    <w:rsid w:val="00273AF6"/>
    <w:rsid w:val="0027404C"/>
    <w:rsid w:val="00274073"/>
    <w:rsid w:val="00275A0E"/>
    <w:rsid w:val="0027674A"/>
    <w:rsid w:val="00276AED"/>
    <w:rsid w:val="00280012"/>
    <w:rsid w:val="00280145"/>
    <w:rsid w:val="002807D9"/>
    <w:rsid w:val="002824FD"/>
    <w:rsid w:val="00282C90"/>
    <w:rsid w:val="002838A3"/>
    <w:rsid w:val="00284A26"/>
    <w:rsid w:val="00286953"/>
    <w:rsid w:val="0029022C"/>
    <w:rsid w:val="00290B64"/>
    <w:rsid w:val="00292EB6"/>
    <w:rsid w:val="00295697"/>
    <w:rsid w:val="0029580F"/>
    <w:rsid w:val="00295AB4"/>
    <w:rsid w:val="002978EA"/>
    <w:rsid w:val="00297C96"/>
    <w:rsid w:val="002A1CCE"/>
    <w:rsid w:val="002A1D2C"/>
    <w:rsid w:val="002A24F5"/>
    <w:rsid w:val="002A5003"/>
    <w:rsid w:val="002A616B"/>
    <w:rsid w:val="002A673A"/>
    <w:rsid w:val="002A6F88"/>
    <w:rsid w:val="002A771D"/>
    <w:rsid w:val="002B2A97"/>
    <w:rsid w:val="002B45D1"/>
    <w:rsid w:val="002B487A"/>
    <w:rsid w:val="002B4981"/>
    <w:rsid w:val="002C0205"/>
    <w:rsid w:val="002C0377"/>
    <w:rsid w:val="002C07DE"/>
    <w:rsid w:val="002C0968"/>
    <w:rsid w:val="002C1623"/>
    <w:rsid w:val="002C2C46"/>
    <w:rsid w:val="002C456B"/>
    <w:rsid w:val="002C4E0E"/>
    <w:rsid w:val="002C4E8C"/>
    <w:rsid w:val="002C5291"/>
    <w:rsid w:val="002C5AE2"/>
    <w:rsid w:val="002C6A7A"/>
    <w:rsid w:val="002D08AF"/>
    <w:rsid w:val="002D12B5"/>
    <w:rsid w:val="002D14E8"/>
    <w:rsid w:val="002D2654"/>
    <w:rsid w:val="002D3454"/>
    <w:rsid w:val="002D3741"/>
    <w:rsid w:val="002D4069"/>
    <w:rsid w:val="002E0711"/>
    <w:rsid w:val="002E0BBA"/>
    <w:rsid w:val="002E0D03"/>
    <w:rsid w:val="002E1B35"/>
    <w:rsid w:val="002E3E22"/>
    <w:rsid w:val="002E4121"/>
    <w:rsid w:val="002E4642"/>
    <w:rsid w:val="002E4959"/>
    <w:rsid w:val="002E5D74"/>
    <w:rsid w:val="002E61EA"/>
    <w:rsid w:val="002E6511"/>
    <w:rsid w:val="002E75AF"/>
    <w:rsid w:val="002E7EC3"/>
    <w:rsid w:val="002F0CD4"/>
    <w:rsid w:val="002F1768"/>
    <w:rsid w:val="002F22C7"/>
    <w:rsid w:val="002F25DE"/>
    <w:rsid w:val="002F2BA7"/>
    <w:rsid w:val="002F355F"/>
    <w:rsid w:val="002F3A38"/>
    <w:rsid w:val="002F593A"/>
    <w:rsid w:val="002F5AE7"/>
    <w:rsid w:val="002F5BC7"/>
    <w:rsid w:val="002F5BF7"/>
    <w:rsid w:val="002F6E11"/>
    <w:rsid w:val="00302B7E"/>
    <w:rsid w:val="00302D3D"/>
    <w:rsid w:val="003060B9"/>
    <w:rsid w:val="00306161"/>
    <w:rsid w:val="00306EBB"/>
    <w:rsid w:val="003071B6"/>
    <w:rsid w:val="00307994"/>
    <w:rsid w:val="003120F7"/>
    <w:rsid w:val="003127AF"/>
    <w:rsid w:val="00313166"/>
    <w:rsid w:val="003136D8"/>
    <w:rsid w:val="00314043"/>
    <w:rsid w:val="0031452D"/>
    <w:rsid w:val="00314DE5"/>
    <w:rsid w:val="0031538A"/>
    <w:rsid w:val="00317099"/>
    <w:rsid w:val="003170B2"/>
    <w:rsid w:val="00317266"/>
    <w:rsid w:val="00320A7A"/>
    <w:rsid w:val="00321826"/>
    <w:rsid w:val="00321881"/>
    <w:rsid w:val="00321C5D"/>
    <w:rsid w:val="003224F1"/>
    <w:rsid w:val="00322B0C"/>
    <w:rsid w:val="00323DF0"/>
    <w:rsid w:val="003257B9"/>
    <w:rsid w:val="003277D6"/>
    <w:rsid w:val="00327A3C"/>
    <w:rsid w:val="00327CFE"/>
    <w:rsid w:val="00330330"/>
    <w:rsid w:val="00330DCC"/>
    <w:rsid w:val="00331C73"/>
    <w:rsid w:val="003326E4"/>
    <w:rsid w:val="003370A9"/>
    <w:rsid w:val="00340097"/>
    <w:rsid w:val="00340945"/>
    <w:rsid w:val="00341662"/>
    <w:rsid w:val="00341675"/>
    <w:rsid w:val="00342B1B"/>
    <w:rsid w:val="00343A04"/>
    <w:rsid w:val="00344C85"/>
    <w:rsid w:val="003453BD"/>
    <w:rsid w:val="00345839"/>
    <w:rsid w:val="00346273"/>
    <w:rsid w:val="00346BB1"/>
    <w:rsid w:val="00347FF1"/>
    <w:rsid w:val="00351D32"/>
    <w:rsid w:val="0035208F"/>
    <w:rsid w:val="0035432A"/>
    <w:rsid w:val="003551E8"/>
    <w:rsid w:val="00355A8C"/>
    <w:rsid w:val="003565F8"/>
    <w:rsid w:val="00357333"/>
    <w:rsid w:val="0035779A"/>
    <w:rsid w:val="00357BD6"/>
    <w:rsid w:val="00363DCE"/>
    <w:rsid w:val="0036471C"/>
    <w:rsid w:val="00366D76"/>
    <w:rsid w:val="00370570"/>
    <w:rsid w:val="003708AB"/>
    <w:rsid w:val="00373BE5"/>
    <w:rsid w:val="00374401"/>
    <w:rsid w:val="00374566"/>
    <w:rsid w:val="00375560"/>
    <w:rsid w:val="00376061"/>
    <w:rsid w:val="003770F6"/>
    <w:rsid w:val="00377B46"/>
    <w:rsid w:val="00377B96"/>
    <w:rsid w:val="00380602"/>
    <w:rsid w:val="00380632"/>
    <w:rsid w:val="00380A4C"/>
    <w:rsid w:val="0038171D"/>
    <w:rsid w:val="003823A5"/>
    <w:rsid w:val="003825A9"/>
    <w:rsid w:val="00382B7B"/>
    <w:rsid w:val="00383ECB"/>
    <w:rsid w:val="00385ADD"/>
    <w:rsid w:val="00385FE5"/>
    <w:rsid w:val="00386F8D"/>
    <w:rsid w:val="0038724A"/>
    <w:rsid w:val="00387CD4"/>
    <w:rsid w:val="003901A1"/>
    <w:rsid w:val="00390CEC"/>
    <w:rsid w:val="00391640"/>
    <w:rsid w:val="00392C2D"/>
    <w:rsid w:val="00392D30"/>
    <w:rsid w:val="003940E0"/>
    <w:rsid w:val="003A0A8C"/>
    <w:rsid w:val="003A2F11"/>
    <w:rsid w:val="003A41B1"/>
    <w:rsid w:val="003A439D"/>
    <w:rsid w:val="003A54F6"/>
    <w:rsid w:val="003A5C63"/>
    <w:rsid w:val="003A604C"/>
    <w:rsid w:val="003A7A25"/>
    <w:rsid w:val="003B0DF7"/>
    <w:rsid w:val="003B1653"/>
    <w:rsid w:val="003B181C"/>
    <w:rsid w:val="003B4003"/>
    <w:rsid w:val="003B4093"/>
    <w:rsid w:val="003B66EA"/>
    <w:rsid w:val="003B6A5A"/>
    <w:rsid w:val="003C07FD"/>
    <w:rsid w:val="003C100F"/>
    <w:rsid w:val="003C2FB6"/>
    <w:rsid w:val="003C3975"/>
    <w:rsid w:val="003C3B56"/>
    <w:rsid w:val="003C4E1B"/>
    <w:rsid w:val="003C543C"/>
    <w:rsid w:val="003C56FF"/>
    <w:rsid w:val="003C5B13"/>
    <w:rsid w:val="003D04AA"/>
    <w:rsid w:val="003D06A2"/>
    <w:rsid w:val="003D131A"/>
    <w:rsid w:val="003D2CEC"/>
    <w:rsid w:val="003D34BE"/>
    <w:rsid w:val="003D42C0"/>
    <w:rsid w:val="003D637B"/>
    <w:rsid w:val="003D6C0B"/>
    <w:rsid w:val="003D7790"/>
    <w:rsid w:val="003D7E40"/>
    <w:rsid w:val="003E0662"/>
    <w:rsid w:val="003E19C5"/>
    <w:rsid w:val="003E34D9"/>
    <w:rsid w:val="003E4EE3"/>
    <w:rsid w:val="003E588D"/>
    <w:rsid w:val="003E7A24"/>
    <w:rsid w:val="003F1DFD"/>
    <w:rsid w:val="003F4374"/>
    <w:rsid w:val="003F44DF"/>
    <w:rsid w:val="003F5FAF"/>
    <w:rsid w:val="003F5FC8"/>
    <w:rsid w:val="003F69AD"/>
    <w:rsid w:val="003F70C5"/>
    <w:rsid w:val="00400104"/>
    <w:rsid w:val="004002C8"/>
    <w:rsid w:val="004006DF"/>
    <w:rsid w:val="004008F6"/>
    <w:rsid w:val="00401913"/>
    <w:rsid w:val="00401B4A"/>
    <w:rsid w:val="00401CA9"/>
    <w:rsid w:val="00404001"/>
    <w:rsid w:val="00405A95"/>
    <w:rsid w:val="00405CB0"/>
    <w:rsid w:val="00405E6E"/>
    <w:rsid w:val="00406323"/>
    <w:rsid w:val="00406E9B"/>
    <w:rsid w:val="0040718A"/>
    <w:rsid w:val="00407572"/>
    <w:rsid w:val="004075B9"/>
    <w:rsid w:val="00411188"/>
    <w:rsid w:val="00411272"/>
    <w:rsid w:val="00411ADD"/>
    <w:rsid w:val="00415100"/>
    <w:rsid w:val="0041633D"/>
    <w:rsid w:val="00416A73"/>
    <w:rsid w:val="004173B9"/>
    <w:rsid w:val="0041785A"/>
    <w:rsid w:val="004201B5"/>
    <w:rsid w:val="00420B19"/>
    <w:rsid w:val="004220C6"/>
    <w:rsid w:val="00422B94"/>
    <w:rsid w:val="004255AB"/>
    <w:rsid w:val="00425E65"/>
    <w:rsid w:val="0042700B"/>
    <w:rsid w:val="004305C0"/>
    <w:rsid w:val="00431896"/>
    <w:rsid w:val="00432354"/>
    <w:rsid w:val="0043239D"/>
    <w:rsid w:val="00433109"/>
    <w:rsid w:val="00436046"/>
    <w:rsid w:val="004406DF"/>
    <w:rsid w:val="00440764"/>
    <w:rsid w:val="00441C53"/>
    <w:rsid w:val="00441FFE"/>
    <w:rsid w:val="004426FD"/>
    <w:rsid w:val="00442D78"/>
    <w:rsid w:val="00446939"/>
    <w:rsid w:val="00451748"/>
    <w:rsid w:val="004517DE"/>
    <w:rsid w:val="004556C6"/>
    <w:rsid w:val="00460D1B"/>
    <w:rsid w:val="00461143"/>
    <w:rsid w:val="0046153D"/>
    <w:rsid w:val="00461632"/>
    <w:rsid w:val="00461CBE"/>
    <w:rsid w:val="00461E68"/>
    <w:rsid w:val="00461F8F"/>
    <w:rsid w:val="00462605"/>
    <w:rsid w:val="0046331E"/>
    <w:rsid w:val="004652B5"/>
    <w:rsid w:val="00465D01"/>
    <w:rsid w:val="00466EE2"/>
    <w:rsid w:val="00467264"/>
    <w:rsid w:val="00470E0A"/>
    <w:rsid w:val="004720B7"/>
    <w:rsid w:val="004733CD"/>
    <w:rsid w:val="004733F5"/>
    <w:rsid w:val="00473D8F"/>
    <w:rsid w:val="0047552D"/>
    <w:rsid w:val="00475F78"/>
    <w:rsid w:val="004763E7"/>
    <w:rsid w:val="00476412"/>
    <w:rsid w:val="004771EF"/>
    <w:rsid w:val="00480AD3"/>
    <w:rsid w:val="00480F30"/>
    <w:rsid w:val="00481737"/>
    <w:rsid w:val="00481A37"/>
    <w:rsid w:val="0048332D"/>
    <w:rsid w:val="00484352"/>
    <w:rsid w:val="00484816"/>
    <w:rsid w:val="00487051"/>
    <w:rsid w:val="00487AA2"/>
    <w:rsid w:val="00490982"/>
    <w:rsid w:val="0049143A"/>
    <w:rsid w:val="00491683"/>
    <w:rsid w:val="004925CD"/>
    <w:rsid w:val="00496669"/>
    <w:rsid w:val="00497028"/>
    <w:rsid w:val="004A0D0B"/>
    <w:rsid w:val="004A258A"/>
    <w:rsid w:val="004A2DAE"/>
    <w:rsid w:val="004A3574"/>
    <w:rsid w:val="004A4CDA"/>
    <w:rsid w:val="004A4E48"/>
    <w:rsid w:val="004A4FC7"/>
    <w:rsid w:val="004B1144"/>
    <w:rsid w:val="004B14CE"/>
    <w:rsid w:val="004B15F5"/>
    <w:rsid w:val="004B1C12"/>
    <w:rsid w:val="004B2E6F"/>
    <w:rsid w:val="004B406B"/>
    <w:rsid w:val="004B4777"/>
    <w:rsid w:val="004B4DD6"/>
    <w:rsid w:val="004B5B71"/>
    <w:rsid w:val="004B5D30"/>
    <w:rsid w:val="004B6C64"/>
    <w:rsid w:val="004B6D3C"/>
    <w:rsid w:val="004B7161"/>
    <w:rsid w:val="004C1421"/>
    <w:rsid w:val="004C1881"/>
    <w:rsid w:val="004C1C21"/>
    <w:rsid w:val="004C3757"/>
    <w:rsid w:val="004C4283"/>
    <w:rsid w:val="004C527F"/>
    <w:rsid w:val="004C6151"/>
    <w:rsid w:val="004C64E0"/>
    <w:rsid w:val="004C6CED"/>
    <w:rsid w:val="004C7751"/>
    <w:rsid w:val="004C78AF"/>
    <w:rsid w:val="004D0440"/>
    <w:rsid w:val="004D0FC2"/>
    <w:rsid w:val="004D1494"/>
    <w:rsid w:val="004D281A"/>
    <w:rsid w:val="004D28D0"/>
    <w:rsid w:val="004D3BFA"/>
    <w:rsid w:val="004D49B8"/>
    <w:rsid w:val="004D5C9F"/>
    <w:rsid w:val="004D76AE"/>
    <w:rsid w:val="004D7D64"/>
    <w:rsid w:val="004D7FB3"/>
    <w:rsid w:val="004E0A1B"/>
    <w:rsid w:val="004E1C83"/>
    <w:rsid w:val="004E2B78"/>
    <w:rsid w:val="004E2C0D"/>
    <w:rsid w:val="004E2E08"/>
    <w:rsid w:val="004E2F6D"/>
    <w:rsid w:val="004E30B3"/>
    <w:rsid w:val="004E3213"/>
    <w:rsid w:val="004E4B97"/>
    <w:rsid w:val="004E4D0F"/>
    <w:rsid w:val="004E55B6"/>
    <w:rsid w:val="004E58C0"/>
    <w:rsid w:val="004E61F8"/>
    <w:rsid w:val="004E627E"/>
    <w:rsid w:val="004E6829"/>
    <w:rsid w:val="004E76D0"/>
    <w:rsid w:val="004F0345"/>
    <w:rsid w:val="004F03CC"/>
    <w:rsid w:val="004F0AB3"/>
    <w:rsid w:val="004F1BC7"/>
    <w:rsid w:val="004F2784"/>
    <w:rsid w:val="004F2EE8"/>
    <w:rsid w:val="004F3338"/>
    <w:rsid w:val="004F3AE7"/>
    <w:rsid w:val="004F57FE"/>
    <w:rsid w:val="004F5961"/>
    <w:rsid w:val="004F59EB"/>
    <w:rsid w:val="004F5D04"/>
    <w:rsid w:val="004F6054"/>
    <w:rsid w:val="004F7222"/>
    <w:rsid w:val="004F7C74"/>
    <w:rsid w:val="00501C4D"/>
    <w:rsid w:val="00502252"/>
    <w:rsid w:val="005026F7"/>
    <w:rsid w:val="00505788"/>
    <w:rsid w:val="00507170"/>
    <w:rsid w:val="00510642"/>
    <w:rsid w:val="00510D65"/>
    <w:rsid w:val="00511E6C"/>
    <w:rsid w:val="00513B47"/>
    <w:rsid w:val="0051471C"/>
    <w:rsid w:val="005157E6"/>
    <w:rsid w:val="00515D58"/>
    <w:rsid w:val="005214D7"/>
    <w:rsid w:val="005217AE"/>
    <w:rsid w:val="00521F32"/>
    <w:rsid w:val="00523011"/>
    <w:rsid w:val="005231B8"/>
    <w:rsid w:val="0052331C"/>
    <w:rsid w:val="00524B59"/>
    <w:rsid w:val="0052506B"/>
    <w:rsid w:val="00525615"/>
    <w:rsid w:val="005264A1"/>
    <w:rsid w:val="0052755F"/>
    <w:rsid w:val="00527CB3"/>
    <w:rsid w:val="00532858"/>
    <w:rsid w:val="00535B28"/>
    <w:rsid w:val="005360E0"/>
    <w:rsid w:val="005363E6"/>
    <w:rsid w:val="00536940"/>
    <w:rsid w:val="00537116"/>
    <w:rsid w:val="005379A0"/>
    <w:rsid w:val="0054081F"/>
    <w:rsid w:val="00540835"/>
    <w:rsid w:val="00541ADD"/>
    <w:rsid w:val="0054218B"/>
    <w:rsid w:val="00544036"/>
    <w:rsid w:val="00544037"/>
    <w:rsid w:val="005519C0"/>
    <w:rsid w:val="00551AEB"/>
    <w:rsid w:val="005526E7"/>
    <w:rsid w:val="00552C2F"/>
    <w:rsid w:val="005548B3"/>
    <w:rsid w:val="00554DE2"/>
    <w:rsid w:val="005552A5"/>
    <w:rsid w:val="005553CC"/>
    <w:rsid w:val="00555C07"/>
    <w:rsid w:val="00555CEF"/>
    <w:rsid w:val="00555D3A"/>
    <w:rsid w:val="00556ADA"/>
    <w:rsid w:val="005575BE"/>
    <w:rsid w:val="005577B5"/>
    <w:rsid w:val="0056058B"/>
    <w:rsid w:val="00560FBE"/>
    <w:rsid w:val="0056136E"/>
    <w:rsid w:val="00561E96"/>
    <w:rsid w:val="005631D5"/>
    <w:rsid w:val="00563BB7"/>
    <w:rsid w:val="0056434B"/>
    <w:rsid w:val="00564F30"/>
    <w:rsid w:val="005657EA"/>
    <w:rsid w:val="00566AC1"/>
    <w:rsid w:val="00567DC4"/>
    <w:rsid w:val="00570976"/>
    <w:rsid w:val="00570D00"/>
    <w:rsid w:val="005721EB"/>
    <w:rsid w:val="00572FFB"/>
    <w:rsid w:val="00573AE0"/>
    <w:rsid w:val="005764BF"/>
    <w:rsid w:val="0057735E"/>
    <w:rsid w:val="00580667"/>
    <w:rsid w:val="00580A28"/>
    <w:rsid w:val="00581E5D"/>
    <w:rsid w:val="00581FA9"/>
    <w:rsid w:val="0058200E"/>
    <w:rsid w:val="005820FB"/>
    <w:rsid w:val="00583EDD"/>
    <w:rsid w:val="005843E0"/>
    <w:rsid w:val="005854BE"/>
    <w:rsid w:val="00585557"/>
    <w:rsid w:val="00587714"/>
    <w:rsid w:val="00587879"/>
    <w:rsid w:val="00587C3D"/>
    <w:rsid w:val="00590348"/>
    <w:rsid w:val="005903BD"/>
    <w:rsid w:val="0059131D"/>
    <w:rsid w:val="00592AA9"/>
    <w:rsid w:val="005930C5"/>
    <w:rsid w:val="005940B7"/>
    <w:rsid w:val="00594E62"/>
    <w:rsid w:val="00594EEE"/>
    <w:rsid w:val="005973E6"/>
    <w:rsid w:val="00597BE8"/>
    <w:rsid w:val="005A0B09"/>
    <w:rsid w:val="005A21C4"/>
    <w:rsid w:val="005A26BC"/>
    <w:rsid w:val="005A4369"/>
    <w:rsid w:val="005A4618"/>
    <w:rsid w:val="005A4767"/>
    <w:rsid w:val="005A603C"/>
    <w:rsid w:val="005A66A2"/>
    <w:rsid w:val="005A6A6A"/>
    <w:rsid w:val="005B069B"/>
    <w:rsid w:val="005B078D"/>
    <w:rsid w:val="005B0EC8"/>
    <w:rsid w:val="005B1EAB"/>
    <w:rsid w:val="005B247E"/>
    <w:rsid w:val="005B30C9"/>
    <w:rsid w:val="005B3E2E"/>
    <w:rsid w:val="005B4673"/>
    <w:rsid w:val="005C0169"/>
    <w:rsid w:val="005C2514"/>
    <w:rsid w:val="005C3784"/>
    <w:rsid w:val="005C436B"/>
    <w:rsid w:val="005C466C"/>
    <w:rsid w:val="005C4C98"/>
    <w:rsid w:val="005C6537"/>
    <w:rsid w:val="005C6B60"/>
    <w:rsid w:val="005C75E8"/>
    <w:rsid w:val="005C7721"/>
    <w:rsid w:val="005C7E8B"/>
    <w:rsid w:val="005D0C99"/>
    <w:rsid w:val="005D19EF"/>
    <w:rsid w:val="005D2110"/>
    <w:rsid w:val="005D3A27"/>
    <w:rsid w:val="005D3C8E"/>
    <w:rsid w:val="005D402F"/>
    <w:rsid w:val="005D7926"/>
    <w:rsid w:val="005D79A9"/>
    <w:rsid w:val="005D7B38"/>
    <w:rsid w:val="005E0923"/>
    <w:rsid w:val="005E0E69"/>
    <w:rsid w:val="005E2988"/>
    <w:rsid w:val="005E2B56"/>
    <w:rsid w:val="005E311D"/>
    <w:rsid w:val="005E36A8"/>
    <w:rsid w:val="005E396B"/>
    <w:rsid w:val="005E3EAC"/>
    <w:rsid w:val="005E477F"/>
    <w:rsid w:val="005E4C41"/>
    <w:rsid w:val="005E54E0"/>
    <w:rsid w:val="005E604F"/>
    <w:rsid w:val="005E6F7A"/>
    <w:rsid w:val="005E780C"/>
    <w:rsid w:val="005E7F08"/>
    <w:rsid w:val="005F0D29"/>
    <w:rsid w:val="005F30C9"/>
    <w:rsid w:val="005F3C81"/>
    <w:rsid w:val="005F59CA"/>
    <w:rsid w:val="005F5C41"/>
    <w:rsid w:val="005F77FF"/>
    <w:rsid w:val="006007CA"/>
    <w:rsid w:val="0060202E"/>
    <w:rsid w:val="0060216C"/>
    <w:rsid w:val="00602631"/>
    <w:rsid w:val="006034B8"/>
    <w:rsid w:val="006041F6"/>
    <w:rsid w:val="00605349"/>
    <w:rsid w:val="00607327"/>
    <w:rsid w:val="006077A8"/>
    <w:rsid w:val="00607BAA"/>
    <w:rsid w:val="006114D3"/>
    <w:rsid w:val="00612794"/>
    <w:rsid w:val="006127F6"/>
    <w:rsid w:val="00612DD1"/>
    <w:rsid w:val="00612F8D"/>
    <w:rsid w:val="006140D2"/>
    <w:rsid w:val="00614CED"/>
    <w:rsid w:val="00615281"/>
    <w:rsid w:val="0061568E"/>
    <w:rsid w:val="00615CB2"/>
    <w:rsid w:val="00616BEA"/>
    <w:rsid w:val="00620E39"/>
    <w:rsid w:val="00621D58"/>
    <w:rsid w:val="0062368A"/>
    <w:rsid w:val="0062398E"/>
    <w:rsid w:val="00624240"/>
    <w:rsid w:val="0062489C"/>
    <w:rsid w:val="00624E42"/>
    <w:rsid w:val="00626256"/>
    <w:rsid w:val="00626F55"/>
    <w:rsid w:val="0062762D"/>
    <w:rsid w:val="00627CDA"/>
    <w:rsid w:val="00630996"/>
    <w:rsid w:val="00631C3D"/>
    <w:rsid w:val="00631EAF"/>
    <w:rsid w:val="00632052"/>
    <w:rsid w:val="00632EA0"/>
    <w:rsid w:val="006337BA"/>
    <w:rsid w:val="0063531D"/>
    <w:rsid w:val="006359E4"/>
    <w:rsid w:val="00637FAA"/>
    <w:rsid w:val="006403B4"/>
    <w:rsid w:val="00640523"/>
    <w:rsid w:val="0064126A"/>
    <w:rsid w:val="00643A3A"/>
    <w:rsid w:val="006449BF"/>
    <w:rsid w:val="00645394"/>
    <w:rsid w:val="006458BA"/>
    <w:rsid w:val="0064599D"/>
    <w:rsid w:val="0064780A"/>
    <w:rsid w:val="00647BD2"/>
    <w:rsid w:val="0065063E"/>
    <w:rsid w:val="00651244"/>
    <w:rsid w:val="00651E3B"/>
    <w:rsid w:val="006529B1"/>
    <w:rsid w:val="00652C9C"/>
    <w:rsid w:val="00655332"/>
    <w:rsid w:val="006555FA"/>
    <w:rsid w:val="006563B2"/>
    <w:rsid w:val="006574A0"/>
    <w:rsid w:val="0065788C"/>
    <w:rsid w:val="00661804"/>
    <w:rsid w:val="00662518"/>
    <w:rsid w:val="006632A4"/>
    <w:rsid w:val="006645A3"/>
    <w:rsid w:val="0066522F"/>
    <w:rsid w:val="00665430"/>
    <w:rsid w:val="006674BF"/>
    <w:rsid w:val="006679ED"/>
    <w:rsid w:val="00667F60"/>
    <w:rsid w:val="006700B1"/>
    <w:rsid w:val="006705A4"/>
    <w:rsid w:val="006705BA"/>
    <w:rsid w:val="0067155D"/>
    <w:rsid w:val="0067169B"/>
    <w:rsid w:val="00673075"/>
    <w:rsid w:val="006734B1"/>
    <w:rsid w:val="0067431C"/>
    <w:rsid w:val="0067511D"/>
    <w:rsid w:val="006762EA"/>
    <w:rsid w:val="00680465"/>
    <w:rsid w:val="0068056C"/>
    <w:rsid w:val="00680960"/>
    <w:rsid w:val="006819C9"/>
    <w:rsid w:val="00681B2E"/>
    <w:rsid w:val="00682AD3"/>
    <w:rsid w:val="00682C2A"/>
    <w:rsid w:val="006841B6"/>
    <w:rsid w:val="0068469E"/>
    <w:rsid w:val="0068636E"/>
    <w:rsid w:val="00686947"/>
    <w:rsid w:val="00686AC0"/>
    <w:rsid w:val="00686C0A"/>
    <w:rsid w:val="00687D39"/>
    <w:rsid w:val="00690713"/>
    <w:rsid w:val="00692C07"/>
    <w:rsid w:val="00695547"/>
    <w:rsid w:val="00695798"/>
    <w:rsid w:val="00695970"/>
    <w:rsid w:val="00696258"/>
    <w:rsid w:val="00697F39"/>
    <w:rsid w:val="006A0092"/>
    <w:rsid w:val="006A04D0"/>
    <w:rsid w:val="006A19A5"/>
    <w:rsid w:val="006A214A"/>
    <w:rsid w:val="006A4685"/>
    <w:rsid w:val="006A4CF3"/>
    <w:rsid w:val="006A5A9C"/>
    <w:rsid w:val="006A6902"/>
    <w:rsid w:val="006B0416"/>
    <w:rsid w:val="006B0553"/>
    <w:rsid w:val="006B0739"/>
    <w:rsid w:val="006B146F"/>
    <w:rsid w:val="006B1684"/>
    <w:rsid w:val="006B2CC3"/>
    <w:rsid w:val="006B2CDC"/>
    <w:rsid w:val="006B4876"/>
    <w:rsid w:val="006B4BCD"/>
    <w:rsid w:val="006B4EBB"/>
    <w:rsid w:val="006B65A4"/>
    <w:rsid w:val="006B74A8"/>
    <w:rsid w:val="006B75C5"/>
    <w:rsid w:val="006B7A09"/>
    <w:rsid w:val="006B7AA6"/>
    <w:rsid w:val="006B7C0D"/>
    <w:rsid w:val="006C1058"/>
    <w:rsid w:val="006C248C"/>
    <w:rsid w:val="006C2895"/>
    <w:rsid w:val="006C45CD"/>
    <w:rsid w:val="006C5074"/>
    <w:rsid w:val="006C595E"/>
    <w:rsid w:val="006C6C4E"/>
    <w:rsid w:val="006C6CEE"/>
    <w:rsid w:val="006C6F62"/>
    <w:rsid w:val="006C7622"/>
    <w:rsid w:val="006C7EB4"/>
    <w:rsid w:val="006D0435"/>
    <w:rsid w:val="006D08C1"/>
    <w:rsid w:val="006D1E01"/>
    <w:rsid w:val="006D1E53"/>
    <w:rsid w:val="006D493F"/>
    <w:rsid w:val="006D4BFD"/>
    <w:rsid w:val="006D5CDF"/>
    <w:rsid w:val="006D6E2D"/>
    <w:rsid w:val="006D770C"/>
    <w:rsid w:val="006E06E4"/>
    <w:rsid w:val="006E1B4B"/>
    <w:rsid w:val="006E1B50"/>
    <w:rsid w:val="006E208A"/>
    <w:rsid w:val="006E3D11"/>
    <w:rsid w:val="006E40C7"/>
    <w:rsid w:val="006E4121"/>
    <w:rsid w:val="006E4A68"/>
    <w:rsid w:val="006E516D"/>
    <w:rsid w:val="006E551C"/>
    <w:rsid w:val="006E7425"/>
    <w:rsid w:val="006E7F40"/>
    <w:rsid w:val="006F074B"/>
    <w:rsid w:val="006F1F92"/>
    <w:rsid w:val="006F4213"/>
    <w:rsid w:val="006F529A"/>
    <w:rsid w:val="006F5B97"/>
    <w:rsid w:val="006F659C"/>
    <w:rsid w:val="006F74CD"/>
    <w:rsid w:val="007007AC"/>
    <w:rsid w:val="0070117D"/>
    <w:rsid w:val="00701FE8"/>
    <w:rsid w:val="0070234F"/>
    <w:rsid w:val="00702391"/>
    <w:rsid w:val="00702BA4"/>
    <w:rsid w:val="007038DB"/>
    <w:rsid w:val="00703A6B"/>
    <w:rsid w:val="0070455D"/>
    <w:rsid w:val="00704BB9"/>
    <w:rsid w:val="00704CDB"/>
    <w:rsid w:val="00704D20"/>
    <w:rsid w:val="00705D4B"/>
    <w:rsid w:val="0070732B"/>
    <w:rsid w:val="007111E5"/>
    <w:rsid w:val="00711211"/>
    <w:rsid w:val="00713304"/>
    <w:rsid w:val="00715A81"/>
    <w:rsid w:val="0071687A"/>
    <w:rsid w:val="007170F5"/>
    <w:rsid w:val="007172E8"/>
    <w:rsid w:val="00717608"/>
    <w:rsid w:val="00720C87"/>
    <w:rsid w:val="00720E9E"/>
    <w:rsid w:val="007217A1"/>
    <w:rsid w:val="00721F3C"/>
    <w:rsid w:val="00722B64"/>
    <w:rsid w:val="00722D30"/>
    <w:rsid w:val="0072371C"/>
    <w:rsid w:val="00725738"/>
    <w:rsid w:val="00730B1B"/>
    <w:rsid w:val="00731846"/>
    <w:rsid w:val="007331A2"/>
    <w:rsid w:val="00734225"/>
    <w:rsid w:val="007348B4"/>
    <w:rsid w:val="00734EDE"/>
    <w:rsid w:val="0073585A"/>
    <w:rsid w:val="00735AE3"/>
    <w:rsid w:val="00735BBD"/>
    <w:rsid w:val="00737F27"/>
    <w:rsid w:val="007415B4"/>
    <w:rsid w:val="00744C7E"/>
    <w:rsid w:val="00744E53"/>
    <w:rsid w:val="007474B2"/>
    <w:rsid w:val="007476DC"/>
    <w:rsid w:val="0075038E"/>
    <w:rsid w:val="00752294"/>
    <w:rsid w:val="00752D51"/>
    <w:rsid w:val="00753B4A"/>
    <w:rsid w:val="007545AC"/>
    <w:rsid w:val="0075491B"/>
    <w:rsid w:val="00755501"/>
    <w:rsid w:val="007601FD"/>
    <w:rsid w:val="00760542"/>
    <w:rsid w:val="007605C0"/>
    <w:rsid w:val="00760E29"/>
    <w:rsid w:val="00762C2C"/>
    <w:rsid w:val="00762F0E"/>
    <w:rsid w:val="00763539"/>
    <w:rsid w:val="00763F69"/>
    <w:rsid w:val="0076629A"/>
    <w:rsid w:val="00767BD1"/>
    <w:rsid w:val="007708B7"/>
    <w:rsid w:val="007708F1"/>
    <w:rsid w:val="00773239"/>
    <w:rsid w:val="00773BC7"/>
    <w:rsid w:val="00773E46"/>
    <w:rsid w:val="00776739"/>
    <w:rsid w:val="00776898"/>
    <w:rsid w:val="00777222"/>
    <w:rsid w:val="007774CA"/>
    <w:rsid w:val="00777AD0"/>
    <w:rsid w:val="007800FE"/>
    <w:rsid w:val="007823D1"/>
    <w:rsid w:val="00782C5F"/>
    <w:rsid w:val="00782EB2"/>
    <w:rsid w:val="007830D0"/>
    <w:rsid w:val="00784D23"/>
    <w:rsid w:val="00785EA8"/>
    <w:rsid w:val="00786160"/>
    <w:rsid w:val="007867E9"/>
    <w:rsid w:val="00791DC7"/>
    <w:rsid w:val="00792DB7"/>
    <w:rsid w:val="00793762"/>
    <w:rsid w:val="00795251"/>
    <w:rsid w:val="0079581C"/>
    <w:rsid w:val="007966C4"/>
    <w:rsid w:val="0079679B"/>
    <w:rsid w:val="007A0F8B"/>
    <w:rsid w:val="007A37A3"/>
    <w:rsid w:val="007A6317"/>
    <w:rsid w:val="007A7B1A"/>
    <w:rsid w:val="007A7C43"/>
    <w:rsid w:val="007B274A"/>
    <w:rsid w:val="007B2943"/>
    <w:rsid w:val="007B33CC"/>
    <w:rsid w:val="007B4897"/>
    <w:rsid w:val="007B4F41"/>
    <w:rsid w:val="007B7701"/>
    <w:rsid w:val="007C03B5"/>
    <w:rsid w:val="007C1386"/>
    <w:rsid w:val="007C2C85"/>
    <w:rsid w:val="007C2E99"/>
    <w:rsid w:val="007C43D9"/>
    <w:rsid w:val="007C4692"/>
    <w:rsid w:val="007D0FE7"/>
    <w:rsid w:val="007D2023"/>
    <w:rsid w:val="007D343C"/>
    <w:rsid w:val="007D3A06"/>
    <w:rsid w:val="007D3C1D"/>
    <w:rsid w:val="007D4315"/>
    <w:rsid w:val="007D44C5"/>
    <w:rsid w:val="007D4A15"/>
    <w:rsid w:val="007D5949"/>
    <w:rsid w:val="007D5B8F"/>
    <w:rsid w:val="007D6D43"/>
    <w:rsid w:val="007E0E76"/>
    <w:rsid w:val="007E1139"/>
    <w:rsid w:val="007E1530"/>
    <w:rsid w:val="007E2D2F"/>
    <w:rsid w:val="007E4828"/>
    <w:rsid w:val="007E6A11"/>
    <w:rsid w:val="007E7584"/>
    <w:rsid w:val="007E7B9C"/>
    <w:rsid w:val="007E7F34"/>
    <w:rsid w:val="007F139B"/>
    <w:rsid w:val="007F3E0D"/>
    <w:rsid w:val="007F47E6"/>
    <w:rsid w:val="007F55E1"/>
    <w:rsid w:val="007F6DAF"/>
    <w:rsid w:val="007F7A9A"/>
    <w:rsid w:val="00801AEC"/>
    <w:rsid w:val="00802801"/>
    <w:rsid w:val="00803125"/>
    <w:rsid w:val="0080465B"/>
    <w:rsid w:val="00804FFC"/>
    <w:rsid w:val="008075AB"/>
    <w:rsid w:val="00810034"/>
    <w:rsid w:val="00810607"/>
    <w:rsid w:val="00810AF3"/>
    <w:rsid w:val="00811195"/>
    <w:rsid w:val="008115BF"/>
    <w:rsid w:val="00811648"/>
    <w:rsid w:val="00811FDF"/>
    <w:rsid w:val="0081271C"/>
    <w:rsid w:val="00812D33"/>
    <w:rsid w:val="00813E5F"/>
    <w:rsid w:val="008149F5"/>
    <w:rsid w:val="008161DE"/>
    <w:rsid w:val="008166BC"/>
    <w:rsid w:val="00816BBA"/>
    <w:rsid w:val="0082027C"/>
    <w:rsid w:val="00820A4E"/>
    <w:rsid w:val="008215C5"/>
    <w:rsid w:val="00821BFC"/>
    <w:rsid w:val="00822A22"/>
    <w:rsid w:val="00823BFC"/>
    <w:rsid w:val="00824364"/>
    <w:rsid w:val="008255F7"/>
    <w:rsid w:val="00825ADC"/>
    <w:rsid w:val="00825E50"/>
    <w:rsid w:val="008277E9"/>
    <w:rsid w:val="0083049D"/>
    <w:rsid w:val="00830610"/>
    <w:rsid w:val="00830A03"/>
    <w:rsid w:val="00832649"/>
    <w:rsid w:val="008328BD"/>
    <w:rsid w:val="008329EB"/>
    <w:rsid w:val="00832F33"/>
    <w:rsid w:val="00832FAF"/>
    <w:rsid w:val="008333EC"/>
    <w:rsid w:val="0083429C"/>
    <w:rsid w:val="0083469E"/>
    <w:rsid w:val="00835678"/>
    <w:rsid w:val="00835B4C"/>
    <w:rsid w:val="00835EBF"/>
    <w:rsid w:val="00844CA4"/>
    <w:rsid w:val="0084574F"/>
    <w:rsid w:val="00845E8A"/>
    <w:rsid w:val="00847743"/>
    <w:rsid w:val="00850A39"/>
    <w:rsid w:val="00851088"/>
    <w:rsid w:val="00851E51"/>
    <w:rsid w:val="00853C75"/>
    <w:rsid w:val="0085663E"/>
    <w:rsid w:val="00856F5F"/>
    <w:rsid w:val="008571C1"/>
    <w:rsid w:val="00860476"/>
    <w:rsid w:val="008613D5"/>
    <w:rsid w:val="00861D1B"/>
    <w:rsid w:val="00862063"/>
    <w:rsid w:val="00862F01"/>
    <w:rsid w:val="008652FC"/>
    <w:rsid w:val="008658D1"/>
    <w:rsid w:val="008659CB"/>
    <w:rsid w:val="00865BF6"/>
    <w:rsid w:val="00870BE1"/>
    <w:rsid w:val="008715AF"/>
    <w:rsid w:val="00872123"/>
    <w:rsid w:val="00874885"/>
    <w:rsid w:val="00875819"/>
    <w:rsid w:val="0087585B"/>
    <w:rsid w:val="008759B9"/>
    <w:rsid w:val="00875D81"/>
    <w:rsid w:val="00876236"/>
    <w:rsid w:val="008765A0"/>
    <w:rsid w:val="00876C71"/>
    <w:rsid w:val="00880158"/>
    <w:rsid w:val="00880CF1"/>
    <w:rsid w:val="0088240B"/>
    <w:rsid w:val="008833C2"/>
    <w:rsid w:val="0088353F"/>
    <w:rsid w:val="008838CC"/>
    <w:rsid w:val="00883F9E"/>
    <w:rsid w:val="00884A07"/>
    <w:rsid w:val="0088660A"/>
    <w:rsid w:val="00887569"/>
    <w:rsid w:val="00890060"/>
    <w:rsid w:val="00890FB0"/>
    <w:rsid w:val="00892B55"/>
    <w:rsid w:val="0089353A"/>
    <w:rsid w:val="0089479E"/>
    <w:rsid w:val="0089514D"/>
    <w:rsid w:val="00896133"/>
    <w:rsid w:val="008965B6"/>
    <w:rsid w:val="00896FED"/>
    <w:rsid w:val="008A1050"/>
    <w:rsid w:val="008A1111"/>
    <w:rsid w:val="008A160B"/>
    <w:rsid w:val="008A166D"/>
    <w:rsid w:val="008A177A"/>
    <w:rsid w:val="008A37CC"/>
    <w:rsid w:val="008A5083"/>
    <w:rsid w:val="008A5660"/>
    <w:rsid w:val="008A56B1"/>
    <w:rsid w:val="008A6B4E"/>
    <w:rsid w:val="008B3510"/>
    <w:rsid w:val="008B55D2"/>
    <w:rsid w:val="008B589E"/>
    <w:rsid w:val="008B630C"/>
    <w:rsid w:val="008C0F60"/>
    <w:rsid w:val="008C2784"/>
    <w:rsid w:val="008C372B"/>
    <w:rsid w:val="008C3894"/>
    <w:rsid w:val="008C40C4"/>
    <w:rsid w:val="008C62EB"/>
    <w:rsid w:val="008D1223"/>
    <w:rsid w:val="008D1275"/>
    <w:rsid w:val="008D3BFE"/>
    <w:rsid w:val="008D4A12"/>
    <w:rsid w:val="008D4BDD"/>
    <w:rsid w:val="008D52D3"/>
    <w:rsid w:val="008D618B"/>
    <w:rsid w:val="008E0B17"/>
    <w:rsid w:val="008E32FA"/>
    <w:rsid w:val="008E3508"/>
    <w:rsid w:val="008E48A4"/>
    <w:rsid w:val="008E4CDF"/>
    <w:rsid w:val="008E7493"/>
    <w:rsid w:val="008E77F0"/>
    <w:rsid w:val="008F0756"/>
    <w:rsid w:val="008F0A0A"/>
    <w:rsid w:val="008F10B3"/>
    <w:rsid w:val="008F1154"/>
    <w:rsid w:val="008F2EB1"/>
    <w:rsid w:val="008F3450"/>
    <w:rsid w:val="008F44DD"/>
    <w:rsid w:val="008F4E49"/>
    <w:rsid w:val="008F6C62"/>
    <w:rsid w:val="00900A1A"/>
    <w:rsid w:val="00901D05"/>
    <w:rsid w:val="00903607"/>
    <w:rsid w:val="0090542D"/>
    <w:rsid w:val="00906C1C"/>
    <w:rsid w:val="009079C7"/>
    <w:rsid w:val="00910176"/>
    <w:rsid w:val="00910601"/>
    <w:rsid w:val="009109E1"/>
    <w:rsid w:val="00910CB4"/>
    <w:rsid w:val="00910D05"/>
    <w:rsid w:val="0091261A"/>
    <w:rsid w:val="00914521"/>
    <w:rsid w:val="009159A5"/>
    <w:rsid w:val="0091642B"/>
    <w:rsid w:val="00920642"/>
    <w:rsid w:val="0092107F"/>
    <w:rsid w:val="00921B29"/>
    <w:rsid w:val="00921FFD"/>
    <w:rsid w:val="0092214A"/>
    <w:rsid w:val="009228A3"/>
    <w:rsid w:val="00923F82"/>
    <w:rsid w:val="00923FB1"/>
    <w:rsid w:val="0092522B"/>
    <w:rsid w:val="00925F78"/>
    <w:rsid w:val="00926B68"/>
    <w:rsid w:val="00927E78"/>
    <w:rsid w:val="00930158"/>
    <w:rsid w:val="009306B9"/>
    <w:rsid w:val="0093075E"/>
    <w:rsid w:val="009308D9"/>
    <w:rsid w:val="00932081"/>
    <w:rsid w:val="00932738"/>
    <w:rsid w:val="009335AD"/>
    <w:rsid w:val="00933643"/>
    <w:rsid w:val="0093436C"/>
    <w:rsid w:val="00934E0E"/>
    <w:rsid w:val="00934E9C"/>
    <w:rsid w:val="0093541A"/>
    <w:rsid w:val="00935AB0"/>
    <w:rsid w:val="0093710B"/>
    <w:rsid w:val="00937378"/>
    <w:rsid w:val="009373DF"/>
    <w:rsid w:val="0093755B"/>
    <w:rsid w:val="00937948"/>
    <w:rsid w:val="00940623"/>
    <w:rsid w:val="0094185B"/>
    <w:rsid w:val="00941934"/>
    <w:rsid w:val="00943DDB"/>
    <w:rsid w:val="00945F58"/>
    <w:rsid w:val="009461CC"/>
    <w:rsid w:val="00946F46"/>
    <w:rsid w:val="00947640"/>
    <w:rsid w:val="00950261"/>
    <w:rsid w:val="0095085D"/>
    <w:rsid w:val="00950BC2"/>
    <w:rsid w:val="0095104E"/>
    <w:rsid w:val="00951F8A"/>
    <w:rsid w:val="00954446"/>
    <w:rsid w:val="00954615"/>
    <w:rsid w:val="0095477E"/>
    <w:rsid w:val="00954B18"/>
    <w:rsid w:val="00954F09"/>
    <w:rsid w:val="0095520B"/>
    <w:rsid w:val="009556ED"/>
    <w:rsid w:val="009562F7"/>
    <w:rsid w:val="009601EB"/>
    <w:rsid w:val="009603EE"/>
    <w:rsid w:val="0096171F"/>
    <w:rsid w:val="00962919"/>
    <w:rsid w:val="00962978"/>
    <w:rsid w:val="00962AD2"/>
    <w:rsid w:val="00962B43"/>
    <w:rsid w:val="009632E7"/>
    <w:rsid w:val="00971AE1"/>
    <w:rsid w:val="00971B71"/>
    <w:rsid w:val="00972163"/>
    <w:rsid w:val="009722C9"/>
    <w:rsid w:val="0097436F"/>
    <w:rsid w:val="00974941"/>
    <w:rsid w:val="00974E6F"/>
    <w:rsid w:val="0097507B"/>
    <w:rsid w:val="00975BA1"/>
    <w:rsid w:val="00975C22"/>
    <w:rsid w:val="00976396"/>
    <w:rsid w:val="00977A53"/>
    <w:rsid w:val="00980398"/>
    <w:rsid w:val="00980CF4"/>
    <w:rsid w:val="009815A4"/>
    <w:rsid w:val="00981CA7"/>
    <w:rsid w:val="00981DD7"/>
    <w:rsid w:val="00983D6B"/>
    <w:rsid w:val="00983F3F"/>
    <w:rsid w:val="00984591"/>
    <w:rsid w:val="00985093"/>
    <w:rsid w:val="00987F76"/>
    <w:rsid w:val="00990FE6"/>
    <w:rsid w:val="00991C46"/>
    <w:rsid w:val="009926D7"/>
    <w:rsid w:val="009945DC"/>
    <w:rsid w:val="00997F48"/>
    <w:rsid w:val="009A00B8"/>
    <w:rsid w:val="009A2024"/>
    <w:rsid w:val="009A2B1D"/>
    <w:rsid w:val="009A3954"/>
    <w:rsid w:val="009A3A41"/>
    <w:rsid w:val="009A6C6F"/>
    <w:rsid w:val="009A71DD"/>
    <w:rsid w:val="009A768F"/>
    <w:rsid w:val="009A7C65"/>
    <w:rsid w:val="009B162F"/>
    <w:rsid w:val="009B2174"/>
    <w:rsid w:val="009B362F"/>
    <w:rsid w:val="009B378F"/>
    <w:rsid w:val="009B6C98"/>
    <w:rsid w:val="009B7C68"/>
    <w:rsid w:val="009C0521"/>
    <w:rsid w:val="009C0970"/>
    <w:rsid w:val="009C327C"/>
    <w:rsid w:val="009C3A92"/>
    <w:rsid w:val="009C4027"/>
    <w:rsid w:val="009C42C6"/>
    <w:rsid w:val="009C4D15"/>
    <w:rsid w:val="009C4E6D"/>
    <w:rsid w:val="009C4FAD"/>
    <w:rsid w:val="009C503B"/>
    <w:rsid w:val="009C52CC"/>
    <w:rsid w:val="009C5559"/>
    <w:rsid w:val="009C58A2"/>
    <w:rsid w:val="009C642B"/>
    <w:rsid w:val="009C6555"/>
    <w:rsid w:val="009C778D"/>
    <w:rsid w:val="009C77EF"/>
    <w:rsid w:val="009D02B5"/>
    <w:rsid w:val="009D0F06"/>
    <w:rsid w:val="009D12EF"/>
    <w:rsid w:val="009D23E4"/>
    <w:rsid w:val="009D38CF"/>
    <w:rsid w:val="009D3FCD"/>
    <w:rsid w:val="009D4561"/>
    <w:rsid w:val="009E270D"/>
    <w:rsid w:val="009E2E84"/>
    <w:rsid w:val="009E4C78"/>
    <w:rsid w:val="009E5875"/>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45E5"/>
    <w:rsid w:val="00A05AC0"/>
    <w:rsid w:val="00A07BC8"/>
    <w:rsid w:val="00A07EB0"/>
    <w:rsid w:val="00A102CE"/>
    <w:rsid w:val="00A12CFE"/>
    <w:rsid w:val="00A139B9"/>
    <w:rsid w:val="00A13F8E"/>
    <w:rsid w:val="00A145D2"/>
    <w:rsid w:val="00A22EC6"/>
    <w:rsid w:val="00A23EA1"/>
    <w:rsid w:val="00A25AC1"/>
    <w:rsid w:val="00A30364"/>
    <w:rsid w:val="00A30984"/>
    <w:rsid w:val="00A31566"/>
    <w:rsid w:val="00A315DF"/>
    <w:rsid w:val="00A32549"/>
    <w:rsid w:val="00A35FB1"/>
    <w:rsid w:val="00A36146"/>
    <w:rsid w:val="00A36869"/>
    <w:rsid w:val="00A369C7"/>
    <w:rsid w:val="00A37C50"/>
    <w:rsid w:val="00A417FC"/>
    <w:rsid w:val="00A418A4"/>
    <w:rsid w:val="00A44748"/>
    <w:rsid w:val="00A44BEA"/>
    <w:rsid w:val="00A4573A"/>
    <w:rsid w:val="00A47C08"/>
    <w:rsid w:val="00A47CAC"/>
    <w:rsid w:val="00A508B5"/>
    <w:rsid w:val="00A50B9B"/>
    <w:rsid w:val="00A51718"/>
    <w:rsid w:val="00A54A4D"/>
    <w:rsid w:val="00A55699"/>
    <w:rsid w:val="00A57A7B"/>
    <w:rsid w:val="00A57BE7"/>
    <w:rsid w:val="00A57D4D"/>
    <w:rsid w:val="00A6046A"/>
    <w:rsid w:val="00A61BB7"/>
    <w:rsid w:val="00A61F07"/>
    <w:rsid w:val="00A6208B"/>
    <w:rsid w:val="00A6332F"/>
    <w:rsid w:val="00A63BD6"/>
    <w:rsid w:val="00A64CA3"/>
    <w:rsid w:val="00A64F1A"/>
    <w:rsid w:val="00A6594A"/>
    <w:rsid w:val="00A6600F"/>
    <w:rsid w:val="00A664B7"/>
    <w:rsid w:val="00A668CC"/>
    <w:rsid w:val="00A67D93"/>
    <w:rsid w:val="00A70D1D"/>
    <w:rsid w:val="00A73916"/>
    <w:rsid w:val="00A75115"/>
    <w:rsid w:val="00A7551A"/>
    <w:rsid w:val="00A75A43"/>
    <w:rsid w:val="00A75A5C"/>
    <w:rsid w:val="00A77640"/>
    <w:rsid w:val="00A80AFF"/>
    <w:rsid w:val="00A80BD7"/>
    <w:rsid w:val="00A83296"/>
    <w:rsid w:val="00A8579A"/>
    <w:rsid w:val="00A85D34"/>
    <w:rsid w:val="00A85E1D"/>
    <w:rsid w:val="00A86C31"/>
    <w:rsid w:val="00A87799"/>
    <w:rsid w:val="00A913FD"/>
    <w:rsid w:val="00A91F69"/>
    <w:rsid w:val="00A92F07"/>
    <w:rsid w:val="00A942A6"/>
    <w:rsid w:val="00A95D35"/>
    <w:rsid w:val="00A970AA"/>
    <w:rsid w:val="00AA1FCB"/>
    <w:rsid w:val="00AA352E"/>
    <w:rsid w:val="00AA433A"/>
    <w:rsid w:val="00AA5BCE"/>
    <w:rsid w:val="00AA72B1"/>
    <w:rsid w:val="00AB147E"/>
    <w:rsid w:val="00AB17B5"/>
    <w:rsid w:val="00AB3235"/>
    <w:rsid w:val="00AB4DAC"/>
    <w:rsid w:val="00AB5CBD"/>
    <w:rsid w:val="00AB7114"/>
    <w:rsid w:val="00AB7354"/>
    <w:rsid w:val="00AB7805"/>
    <w:rsid w:val="00AB7F07"/>
    <w:rsid w:val="00AC0181"/>
    <w:rsid w:val="00AC1A09"/>
    <w:rsid w:val="00AC2283"/>
    <w:rsid w:val="00AC6120"/>
    <w:rsid w:val="00AC6FE7"/>
    <w:rsid w:val="00AC71D8"/>
    <w:rsid w:val="00AD0301"/>
    <w:rsid w:val="00AD157D"/>
    <w:rsid w:val="00AD1C9C"/>
    <w:rsid w:val="00AD22F8"/>
    <w:rsid w:val="00AD2696"/>
    <w:rsid w:val="00AD297C"/>
    <w:rsid w:val="00AD29BB"/>
    <w:rsid w:val="00AD2A71"/>
    <w:rsid w:val="00AD35F6"/>
    <w:rsid w:val="00AD5558"/>
    <w:rsid w:val="00AD55F6"/>
    <w:rsid w:val="00AD5990"/>
    <w:rsid w:val="00AD6381"/>
    <w:rsid w:val="00AD67B1"/>
    <w:rsid w:val="00AD6D9A"/>
    <w:rsid w:val="00AE0BE5"/>
    <w:rsid w:val="00AE35DF"/>
    <w:rsid w:val="00AE3A9E"/>
    <w:rsid w:val="00AE3F64"/>
    <w:rsid w:val="00AE49ED"/>
    <w:rsid w:val="00AE5464"/>
    <w:rsid w:val="00AE6908"/>
    <w:rsid w:val="00AE7573"/>
    <w:rsid w:val="00AF07C5"/>
    <w:rsid w:val="00AF0E8B"/>
    <w:rsid w:val="00AF0F46"/>
    <w:rsid w:val="00AF1034"/>
    <w:rsid w:val="00AF105C"/>
    <w:rsid w:val="00AF1478"/>
    <w:rsid w:val="00AF1791"/>
    <w:rsid w:val="00AF1A71"/>
    <w:rsid w:val="00AF3E5C"/>
    <w:rsid w:val="00AF5188"/>
    <w:rsid w:val="00AF5906"/>
    <w:rsid w:val="00AF6158"/>
    <w:rsid w:val="00AF63BA"/>
    <w:rsid w:val="00AF6816"/>
    <w:rsid w:val="00AF6F56"/>
    <w:rsid w:val="00AF7797"/>
    <w:rsid w:val="00AF7B22"/>
    <w:rsid w:val="00B000AE"/>
    <w:rsid w:val="00B008AE"/>
    <w:rsid w:val="00B00D1C"/>
    <w:rsid w:val="00B00F87"/>
    <w:rsid w:val="00B01432"/>
    <w:rsid w:val="00B02FA0"/>
    <w:rsid w:val="00B04095"/>
    <w:rsid w:val="00B04311"/>
    <w:rsid w:val="00B0623D"/>
    <w:rsid w:val="00B0659A"/>
    <w:rsid w:val="00B10465"/>
    <w:rsid w:val="00B11D6E"/>
    <w:rsid w:val="00B122E6"/>
    <w:rsid w:val="00B12529"/>
    <w:rsid w:val="00B1325D"/>
    <w:rsid w:val="00B1372D"/>
    <w:rsid w:val="00B144F9"/>
    <w:rsid w:val="00B162F1"/>
    <w:rsid w:val="00B16778"/>
    <w:rsid w:val="00B17211"/>
    <w:rsid w:val="00B20A70"/>
    <w:rsid w:val="00B20A98"/>
    <w:rsid w:val="00B215DE"/>
    <w:rsid w:val="00B2248E"/>
    <w:rsid w:val="00B22C15"/>
    <w:rsid w:val="00B2302F"/>
    <w:rsid w:val="00B2395C"/>
    <w:rsid w:val="00B24D51"/>
    <w:rsid w:val="00B27EA0"/>
    <w:rsid w:val="00B309C5"/>
    <w:rsid w:val="00B30C90"/>
    <w:rsid w:val="00B31600"/>
    <w:rsid w:val="00B31E57"/>
    <w:rsid w:val="00B32585"/>
    <w:rsid w:val="00B32C58"/>
    <w:rsid w:val="00B33A75"/>
    <w:rsid w:val="00B33F67"/>
    <w:rsid w:val="00B378BB"/>
    <w:rsid w:val="00B41264"/>
    <w:rsid w:val="00B4179A"/>
    <w:rsid w:val="00B41954"/>
    <w:rsid w:val="00B41C50"/>
    <w:rsid w:val="00B430E2"/>
    <w:rsid w:val="00B4402C"/>
    <w:rsid w:val="00B448AC"/>
    <w:rsid w:val="00B45E65"/>
    <w:rsid w:val="00B470F3"/>
    <w:rsid w:val="00B502CC"/>
    <w:rsid w:val="00B50BA6"/>
    <w:rsid w:val="00B519F1"/>
    <w:rsid w:val="00B53037"/>
    <w:rsid w:val="00B53486"/>
    <w:rsid w:val="00B536C2"/>
    <w:rsid w:val="00B553D5"/>
    <w:rsid w:val="00B55B90"/>
    <w:rsid w:val="00B55C36"/>
    <w:rsid w:val="00B562FD"/>
    <w:rsid w:val="00B56F70"/>
    <w:rsid w:val="00B5731F"/>
    <w:rsid w:val="00B57793"/>
    <w:rsid w:val="00B601C0"/>
    <w:rsid w:val="00B603E9"/>
    <w:rsid w:val="00B60C5A"/>
    <w:rsid w:val="00B611DF"/>
    <w:rsid w:val="00B6136C"/>
    <w:rsid w:val="00B62EAA"/>
    <w:rsid w:val="00B632AD"/>
    <w:rsid w:val="00B660C2"/>
    <w:rsid w:val="00B668D4"/>
    <w:rsid w:val="00B66B66"/>
    <w:rsid w:val="00B66E74"/>
    <w:rsid w:val="00B67297"/>
    <w:rsid w:val="00B711CA"/>
    <w:rsid w:val="00B731C7"/>
    <w:rsid w:val="00B756F8"/>
    <w:rsid w:val="00B76C95"/>
    <w:rsid w:val="00B77545"/>
    <w:rsid w:val="00B777C6"/>
    <w:rsid w:val="00B80444"/>
    <w:rsid w:val="00B806F0"/>
    <w:rsid w:val="00B809FF"/>
    <w:rsid w:val="00B80CE3"/>
    <w:rsid w:val="00B83977"/>
    <w:rsid w:val="00B84184"/>
    <w:rsid w:val="00B869D0"/>
    <w:rsid w:val="00B87E5D"/>
    <w:rsid w:val="00B92C98"/>
    <w:rsid w:val="00B938A5"/>
    <w:rsid w:val="00B94A44"/>
    <w:rsid w:val="00B94F90"/>
    <w:rsid w:val="00B95AF1"/>
    <w:rsid w:val="00B960C7"/>
    <w:rsid w:val="00BA154C"/>
    <w:rsid w:val="00BA2790"/>
    <w:rsid w:val="00BA2B0C"/>
    <w:rsid w:val="00BA386C"/>
    <w:rsid w:val="00BA4699"/>
    <w:rsid w:val="00BA5C0B"/>
    <w:rsid w:val="00BA6B17"/>
    <w:rsid w:val="00BA6ED5"/>
    <w:rsid w:val="00BA7362"/>
    <w:rsid w:val="00BA7382"/>
    <w:rsid w:val="00BB0230"/>
    <w:rsid w:val="00BB0995"/>
    <w:rsid w:val="00BB11AE"/>
    <w:rsid w:val="00BB143E"/>
    <w:rsid w:val="00BB2011"/>
    <w:rsid w:val="00BB20E6"/>
    <w:rsid w:val="00BB2FC8"/>
    <w:rsid w:val="00BB5C0B"/>
    <w:rsid w:val="00BB782F"/>
    <w:rsid w:val="00BC40C3"/>
    <w:rsid w:val="00BC4CAC"/>
    <w:rsid w:val="00BC51A1"/>
    <w:rsid w:val="00BC5483"/>
    <w:rsid w:val="00BC5610"/>
    <w:rsid w:val="00BC7273"/>
    <w:rsid w:val="00BC741F"/>
    <w:rsid w:val="00BC7E24"/>
    <w:rsid w:val="00BD07BC"/>
    <w:rsid w:val="00BD1130"/>
    <w:rsid w:val="00BD1541"/>
    <w:rsid w:val="00BD245D"/>
    <w:rsid w:val="00BD428E"/>
    <w:rsid w:val="00BD4485"/>
    <w:rsid w:val="00BD4986"/>
    <w:rsid w:val="00BD6D8E"/>
    <w:rsid w:val="00BD743F"/>
    <w:rsid w:val="00BE028A"/>
    <w:rsid w:val="00BE30F3"/>
    <w:rsid w:val="00BE46FA"/>
    <w:rsid w:val="00BE67B3"/>
    <w:rsid w:val="00BE6A9C"/>
    <w:rsid w:val="00BE7640"/>
    <w:rsid w:val="00BF020A"/>
    <w:rsid w:val="00BF0DAC"/>
    <w:rsid w:val="00BF2058"/>
    <w:rsid w:val="00BF21C5"/>
    <w:rsid w:val="00BF22C8"/>
    <w:rsid w:val="00BF2810"/>
    <w:rsid w:val="00BF3956"/>
    <w:rsid w:val="00BF4D5B"/>
    <w:rsid w:val="00BF5C81"/>
    <w:rsid w:val="00BF6671"/>
    <w:rsid w:val="00BF6780"/>
    <w:rsid w:val="00BF7897"/>
    <w:rsid w:val="00BF7F88"/>
    <w:rsid w:val="00C012E9"/>
    <w:rsid w:val="00C01E70"/>
    <w:rsid w:val="00C030E5"/>
    <w:rsid w:val="00C0573D"/>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279"/>
    <w:rsid w:val="00C22DC8"/>
    <w:rsid w:val="00C23317"/>
    <w:rsid w:val="00C23523"/>
    <w:rsid w:val="00C23F0E"/>
    <w:rsid w:val="00C2461F"/>
    <w:rsid w:val="00C26016"/>
    <w:rsid w:val="00C26336"/>
    <w:rsid w:val="00C27FE3"/>
    <w:rsid w:val="00C306A7"/>
    <w:rsid w:val="00C31D4A"/>
    <w:rsid w:val="00C32FCC"/>
    <w:rsid w:val="00C364C7"/>
    <w:rsid w:val="00C370A2"/>
    <w:rsid w:val="00C41542"/>
    <w:rsid w:val="00C417E2"/>
    <w:rsid w:val="00C41A11"/>
    <w:rsid w:val="00C4401F"/>
    <w:rsid w:val="00C447D5"/>
    <w:rsid w:val="00C454E3"/>
    <w:rsid w:val="00C45835"/>
    <w:rsid w:val="00C5157A"/>
    <w:rsid w:val="00C5277C"/>
    <w:rsid w:val="00C52A28"/>
    <w:rsid w:val="00C5382F"/>
    <w:rsid w:val="00C55C5C"/>
    <w:rsid w:val="00C56991"/>
    <w:rsid w:val="00C56C74"/>
    <w:rsid w:val="00C61578"/>
    <w:rsid w:val="00C61870"/>
    <w:rsid w:val="00C61ADA"/>
    <w:rsid w:val="00C63440"/>
    <w:rsid w:val="00C63D0E"/>
    <w:rsid w:val="00C6515F"/>
    <w:rsid w:val="00C65BB3"/>
    <w:rsid w:val="00C666EF"/>
    <w:rsid w:val="00C67DEC"/>
    <w:rsid w:val="00C7029D"/>
    <w:rsid w:val="00C70382"/>
    <w:rsid w:val="00C7043F"/>
    <w:rsid w:val="00C70ACB"/>
    <w:rsid w:val="00C71800"/>
    <w:rsid w:val="00C71EC4"/>
    <w:rsid w:val="00C7305C"/>
    <w:rsid w:val="00C7334F"/>
    <w:rsid w:val="00C73873"/>
    <w:rsid w:val="00C7580B"/>
    <w:rsid w:val="00C802FD"/>
    <w:rsid w:val="00C80900"/>
    <w:rsid w:val="00C80C32"/>
    <w:rsid w:val="00C81367"/>
    <w:rsid w:val="00C816B6"/>
    <w:rsid w:val="00C82041"/>
    <w:rsid w:val="00C8340F"/>
    <w:rsid w:val="00C86235"/>
    <w:rsid w:val="00C862C5"/>
    <w:rsid w:val="00C863B4"/>
    <w:rsid w:val="00C878FE"/>
    <w:rsid w:val="00C879E5"/>
    <w:rsid w:val="00C905C3"/>
    <w:rsid w:val="00C905CA"/>
    <w:rsid w:val="00C91119"/>
    <w:rsid w:val="00C92873"/>
    <w:rsid w:val="00C939B8"/>
    <w:rsid w:val="00CA0051"/>
    <w:rsid w:val="00CA12CC"/>
    <w:rsid w:val="00CA2D5D"/>
    <w:rsid w:val="00CA3395"/>
    <w:rsid w:val="00CA5E46"/>
    <w:rsid w:val="00CA6998"/>
    <w:rsid w:val="00CA6D1B"/>
    <w:rsid w:val="00CA6DA2"/>
    <w:rsid w:val="00CB0746"/>
    <w:rsid w:val="00CB3A22"/>
    <w:rsid w:val="00CB6B37"/>
    <w:rsid w:val="00CB70A6"/>
    <w:rsid w:val="00CB7ED2"/>
    <w:rsid w:val="00CC01ED"/>
    <w:rsid w:val="00CC0A1A"/>
    <w:rsid w:val="00CC15A1"/>
    <w:rsid w:val="00CC2931"/>
    <w:rsid w:val="00CC2999"/>
    <w:rsid w:val="00CC3C0D"/>
    <w:rsid w:val="00CC4A26"/>
    <w:rsid w:val="00CC5003"/>
    <w:rsid w:val="00CC544B"/>
    <w:rsid w:val="00CC567B"/>
    <w:rsid w:val="00CC5AFC"/>
    <w:rsid w:val="00CC68CA"/>
    <w:rsid w:val="00CC770B"/>
    <w:rsid w:val="00CD01DC"/>
    <w:rsid w:val="00CD06F0"/>
    <w:rsid w:val="00CD0845"/>
    <w:rsid w:val="00CD0A23"/>
    <w:rsid w:val="00CD16EC"/>
    <w:rsid w:val="00CD29A4"/>
    <w:rsid w:val="00CD3691"/>
    <w:rsid w:val="00CD43FC"/>
    <w:rsid w:val="00CD4747"/>
    <w:rsid w:val="00CD493B"/>
    <w:rsid w:val="00CD49A0"/>
    <w:rsid w:val="00CD77E6"/>
    <w:rsid w:val="00CD78A9"/>
    <w:rsid w:val="00CE0530"/>
    <w:rsid w:val="00CE0EC7"/>
    <w:rsid w:val="00CE298E"/>
    <w:rsid w:val="00CE367B"/>
    <w:rsid w:val="00CE4EE7"/>
    <w:rsid w:val="00CE58A6"/>
    <w:rsid w:val="00CE6AA4"/>
    <w:rsid w:val="00CE6DE4"/>
    <w:rsid w:val="00CE78EA"/>
    <w:rsid w:val="00CF03A8"/>
    <w:rsid w:val="00CF0796"/>
    <w:rsid w:val="00CF2E18"/>
    <w:rsid w:val="00CF4016"/>
    <w:rsid w:val="00CF4B4E"/>
    <w:rsid w:val="00CF6BF2"/>
    <w:rsid w:val="00CF70C7"/>
    <w:rsid w:val="00D01486"/>
    <w:rsid w:val="00D0229A"/>
    <w:rsid w:val="00D025A7"/>
    <w:rsid w:val="00D02D7E"/>
    <w:rsid w:val="00D03E8D"/>
    <w:rsid w:val="00D03F79"/>
    <w:rsid w:val="00D04196"/>
    <w:rsid w:val="00D04677"/>
    <w:rsid w:val="00D05580"/>
    <w:rsid w:val="00D06BE7"/>
    <w:rsid w:val="00D06C07"/>
    <w:rsid w:val="00D06D42"/>
    <w:rsid w:val="00D078AD"/>
    <w:rsid w:val="00D1027F"/>
    <w:rsid w:val="00D114FC"/>
    <w:rsid w:val="00D1466A"/>
    <w:rsid w:val="00D15665"/>
    <w:rsid w:val="00D16BA6"/>
    <w:rsid w:val="00D16E53"/>
    <w:rsid w:val="00D204A6"/>
    <w:rsid w:val="00D21BB6"/>
    <w:rsid w:val="00D2211C"/>
    <w:rsid w:val="00D23D19"/>
    <w:rsid w:val="00D241B9"/>
    <w:rsid w:val="00D25E30"/>
    <w:rsid w:val="00D27C3A"/>
    <w:rsid w:val="00D27D2B"/>
    <w:rsid w:val="00D27F21"/>
    <w:rsid w:val="00D3249E"/>
    <w:rsid w:val="00D326C6"/>
    <w:rsid w:val="00D35E73"/>
    <w:rsid w:val="00D363F5"/>
    <w:rsid w:val="00D4047F"/>
    <w:rsid w:val="00D40EE0"/>
    <w:rsid w:val="00D41C33"/>
    <w:rsid w:val="00D432F3"/>
    <w:rsid w:val="00D43EEE"/>
    <w:rsid w:val="00D445CC"/>
    <w:rsid w:val="00D44D4A"/>
    <w:rsid w:val="00D51476"/>
    <w:rsid w:val="00D52609"/>
    <w:rsid w:val="00D547D3"/>
    <w:rsid w:val="00D54847"/>
    <w:rsid w:val="00D54A89"/>
    <w:rsid w:val="00D6002D"/>
    <w:rsid w:val="00D60A0A"/>
    <w:rsid w:val="00D61BF6"/>
    <w:rsid w:val="00D627DF"/>
    <w:rsid w:val="00D62C60"/>
    <w:rsid w:val="00D6489F"/>
    <w:rsid w:val="00D6603A"/>
    <w:rsid w:val="00D67069"/>
    <w:rsid w:val="00D6709A"/>
    <w:rsid w:val="00D6757D"/>
    <w:rsid w:val="00D70277"/>
    <w:rsid w:val="00D7090A"/>
    <w:rsid w:val="00D70F9D"/>
    <w:rsid w:val="00D713D9"/>
    <w:rsid w:val="00D72499"/>
    <w:rsid w:val="00D7479F"/>
    <w:rsid w:val="00D75E4D"/>
    <w:rsid w:val="00D770A5"/>
    <w:rsid w:val="00D77A48"/>
    <w:rsid w:val="00D8039A"/>
    <w:rsid w:val="00D8043F"/>
    <w:rsid w:val="00D813E3"/>
    <w:rsid w:val="00D82060"/>
    <w:rsid w:val="00D826BC"/>
    <w:rsid w:val="00D85530"/>
    <w:rsid w:val="00D85A2A"/>
    <w:rsid w:val="00D8633B"/>
    <w:rsid w:val="00D8702B"/>
    <w:rsid w:val="00D906D1"/>
    <w:rsid w:val="00D91695"/>
    <w:rsid w:val="00D94163"/>
    <w:rsid w:val="00D94734"/>
    <w:rsid w:val="00D95CC6"/>
    <w:rsid w:val="00D97CB0"/>
    <w:rsid w:val="00DA0D60"/>
    <w:rsid w:val="00DA3445"/>
    <w:rsid w:val="00DA754B"/>
    <w:rsid w:val="00DB00E5"/>
    <w:rsid w:val="00DB104A"/>
    <w:rsid w:val="00DB1679"/>
    <w:rsid w:val="00DB197D"/>
    <w:rsid w:val="00DB24C4"/>
    <w:rsid w:val="00DB27EA"/>
    <w:rsid w:val="00DB31B5"/>
    <w:rsid w:val="00DB3E55"/>
    <w:rsid w:val="00DB3FDF"/>
    <w:rsid w:val="00DB4527"/>
    <w:rsid w:val="00DB5260"/>
    <w:rsid w:val="00DB6127"/>
    <w:rsid w:val="00DB6C03"/>
    <w:rsid w:val="00DB75E4"/>
    <w:rsid w:val="00DC0877"/>
    <w:rsid w:val="00DC152E"/>
    <w:rsid w:val="00DC171E"/>
    <w:rsid w:val="00DC1A58"/>
    <w:rsid w:val="00DC2444"/>
    <w:rsid w:val="00DC295D"/>
    <w:rsid w:val="00DC351C"/>
    <w:rsid w:val="00DC40A0"/>
    <w:rsid w:val="00DC44B1"/>
    <w:rsid w:val="00DC46CB"/>
    <w:rsid w:val="00DC4E56"/>
    <w:rsid w:val="00DC5D13"/>
    <w:rsid w:val="00DC5DF3"/>
    <w:rsid w:val="00DC7302"/>
    <w:rsid w:val="00DC78A4"/>
    <w:rsid w:val="00DD1445"/>
    <w:rsid w:val="00DD4128"/>
    <w:rsid w:val="00DD454D"/>
    <w:rsid w:val="00DD6B09"/>
    <w:rsid w:val="00DD73D8"/>
    <w:rsid w:val="00DD7FB7"/>
    <w:rsid w:val="00DE17A5"/>
    <w:rsid w:val="00DE251E"/>
    <w:rsid w:val="00DE27B1"/>
    <w:rsid w:val="00DE3439"/>
    <w:rsid w:val="00DE37A4"/>
    <w:rsid w:val="00DE3A5B"/>
    <w:rsid w:val="00DE3B39"/>
    <w:rsid w:val="00DE4246"/>
    <w:rsid w:val="00DE4D09"/>
    <w:rsid w:val="00DE77DD"/>
    <w:rsid w:val="00DE7B1D"/>
    <w:rsid w:val="00DE7C4B"/>
    <w:rsid w:val="00DE7D0D"/>
    <w:rsid w:val="00DF08C2"/>
    <w:rsid w:val="00DF1D5B"/>
    <w:rsid w:val="00DF1D70"/>
    <w:rsid w:val="00DF215E"/>
    <w:rsid w:val="00DF32E3"/>
    <w:rsid w:val="00DF3F7F"/>
    <w:rsid w:val="00DF4713"/>
    <w:rsid w:val="00DF4B51"/>
    <w:rsid w:val="00DF4DEA"/>
    <w:rsid w:val="00DF5D66"/>
    <w:rsid w:val="00DF63DF"/>
    <w:rsid w:val="00DF673B"/>
    <w:rsid w:val="00DF6879"/>
    <w:rsid w:val="00DF7336"/>
    <w:rsid w:val="00DF7782"/>
    <w:rsid w:val="00E0002B"/>
    <w:rsid w:val="00E00A3D"/>
    <w:rsid w:val="00E00C1F"/>
    <w:rsid w:val="00E01D5D"/>
    <w:rsid w:val="00E03080"/>
    <w:rsid w:val="00E0328A"/>
    <w:rsid w:val="00E039B6"/>
    <w:rsid w:val="00E0445C"/>
    <w:rsid w:val="00E04B45"/>
    <w:rsid w:val="00E06242"/>
    <w:rsid w:val="00E06BA9"/>
    <w:rsid w:val="00E07986"/>
    <w:rsid w:val="00E11E5E"/>
    <w:rsid w:val="00E12585"/>
    <w:rsid w:val="00E126FD"/>
    <w:rsid w:val="00E152CF"/>
    <w:rsid w:val="00E1684A"/>
    <w:rsid w:val="00E17DD1"/>
    <w:rsid w:val="00E2030E"/>
    <w:rsid w:val="00E22F31"/>
    <w:rsid w:val="00E244BA"/>
    <w:rsid w:val="00E24594"/>
    <w:rsid w:val="00E258A9"/>
    <w:rsid w:val="00E25A4C"/>
    <w:rsid w:val="00E2714E"/>
    <w:rsid w:val="00E2770A"/>
    <w:rsid w:val="00E27FAA"/>
    <w:rsid w:val="00E30954"/>
    <w:rsid w:val="00E31FC8"/>
    <w:rsid w:val="00E3277F"/>
    <w:rsid w:val="00E3355F"/>
    <w:rsid w:val="00E34074"/>
    <w:rsid w:val="00E40992"/>
    <w:rsid w:val="00E41561"/>
    <w:rsid w:val="00E42A60"/>
    <w:rsid w:val="00E437F1"/>
    <w:rsid w:val="00E44E9A"/>
    <w:rsid w:val="00E452D1"/>
    <w:rsid w:val="00E472C0"/>
    <w:rsid w:val="00E52A4D"/>
    <w:rsid w:val="00E52ACB"/>
    <w:rsid w:val="00E53D30"/>
    <w:rsid w:val="00E5487C"/>
    <w:rsid w:val="00E54B00"/>
    <w:rsid w:val="00E56CBE"/>
    <w:rsid w:val="00E56D1E"/>
    <w:rsid w:val="00E570C6"/>
    <w:rsid w:val="00E573A3"/>
    <w:rsid w:val="00E57CA2"/>
    <w:rsid w:val="00E57F29"/>
    <w:rsid w:val="00E606C1"/>
    <w:rsid w:val="00E64467"/>
    <w:rsid w:val="00E64A7B"/>
    <w:rsid w:val="00E65253"/>
    <w:rsid w:val="00E653EC"/>
    <w:rsid w:val="00E65FFE"/>
    <w:rsid w:val="00E6739E"/>
    <w:rsid w:val="00E71818"/>
    <w:rsid w:val="00E72E1E"/>
    <w:rsid w:val="00E73EF7"/>
    <w:rsid w:val="00E742E7"/>
    <w:rsid w:val="00E76CAF"/>
    <w:rsid w:val="00E76E54"/>
    <w:rsid w:val="00E822A2"/>
    <w:rsid w:val="00E82AB0"/>
    <w:rsid w:val="00E82E03"/>
    <w:rsid w:val="00E83728"/>
    <w:rsid w:val="00E83CEE"/>
    <w:rsid w:val="00E8464C"/>
    <w:rsid w:val="00E84E98"/>
    <w:rsid w:val="00E85161"/>
    <w:rsid w:val="00E866E8"/>
    <w:rsid w:val="00E912B2"/>
    <w:rsid w:val="00E914E9"/>
    <w:rsid w:val="00E917FA"/>
    <w:rsid w:val="00E91CF0"/>
    <w:rsid w:val="00E91ECC"/>
    <w:rsid w:val="00E92041"/>
    <w:rsid w:val="00E930A4"/>
    <w:rsid w:val="00E93401"/>
    <w:rsid w:val="00E9382A"/>
    <w:rsid w:val="00E94102"/>
    <w:rsid w:val="00E94776"/>
    <w:rsid w:val="00E94C5B"/>
    <w:rsid w:val="00E965AE"/>
    <w:rsid w:val="00E9690E"/>
    <w:rsid w:val="00E96A51"/>
    <w:rsid w:val="00E96B67"/>
    <w:rsid w:val="00EA035A"/>
    <w:rsid w:val="00EA05A4"/>
    <w:rsid w:val="00EA0E2C"/>
    <w:rsid w:val="00EA1C5C"/>
    <w:rsid w:val="00EA26A4"/>
    <w:rsid w:val="00EA29A7"/>
    <w:rsid w:val="00EA47DD"/>
    <w:rsid w:val="00EA5C44"/>
    <w:rsid w:val="00EA6F22"/>
    <w:rsid w:val="00EB010E"/>
    <w:rsid w:val="00EB0D39"/>
    <w:rsid w:val="00EB1297"/>
    <w:rsid w:val="00EB3014"/>
    <w:rsid w:val="00EB347E"/>
    <w:rsid w:val="00EB4811"/>
    <w:rsid w:val="00EB4BF2"/>
    <w:rsid w:val="00EB4D35"/>
    <w:rsid w:val="00EB50EF"/>
    <w:rsid w:val="00EB510E"/>
    <w:rsid w:val="00EB58BA"/>
    <w:rsid w:val="00EB61DA"/>
    <w:rsid w:val="00EB6B04"/>
    <w:rsid w:val="00EB7E79"/>
    <w:rsid w:val="00EC13C9"/>
    <w:rsid w:val="00EC39AA"/>
    <w:rsid w:val="00EC4C27"/>
    <w:rsid w:val="00EC5C24"/>
    <w:rsid w:val="00EC5E42"/>
    <w:rsid w:val="00EC6E6F"/>
    <w:rsid w:val="00EC7644"/>
    <w:rsid w:val="00EC7E3D"/>
    <w:rsid w:val="00ED04DF"/>
    <w:rsid w:val="00ED1E8B"/>
    <w:rsid w:val="00ED2883"/>
    <w:rsid w:val="00ED3B60"/>
    <w:rsid w:val="00ED3DFF"/>
    <w:rsid w:val="00ED52FE"/>
    <w:rsid w:val="00ED5E78"/>
    <w:rsid w:val="00ED6077"/>
    <w:rsid w:val="00ED65FA"/>
    <w:rsid w:val="00ED77B9"/>
    <w:rsid w:val="00EE0794"/>
    <w:rsid w:val="00EE177C"/>
    <w:rsid w:val="00EE1CC3"/>
    <w:rsid w:val="00EE24D8"/>
    <w:rsid w:val="00EE31AB"/>
    <w:rsid w:val="00EE3E9A"/>
    <w:rsid w:val="00EE4527"/>
    <w:rsid w:val="00EE4F95"/>
    <w:rsid w:val="00EE5794"/>
    <w:rsid w:val="00EE57AC"/>
    <w:rsid w:val="00EE5CE4"/>
    <w:rsid w:val="00EF0008"/>
    <w:rsid w:val="00EF0F62"/>
    <w:rsid w:val="00EF14CF"/>
    <w:rsid w:val="00EF1EE3"/>
    <w:rsid w:val="00EF2286"/>
    <w:rsid w:val="00EF2325"/>
    <w:rsid w:val="00EF2532"/>
    <w:rsid w:val="00EF25C2"/>
    <w:rsid w:val="00EF3436"/>
    <w:rsid w:val="00EF459C"/>
    <w:rsid w:val="00EF5F16"/>
    <w:rsid w:val="00EF701A"/>
    <w:rsid w:val="00EF74F1"/>
    <w:rsid w:val="00EF773D"/>
    <w:rsid w:val="00EF7A94"/>
    <w:rsid w:val="00F001F8"/>
    <w:rsid w:val="00F00E3D"/>
    <w:rsid w:val="00F019CE"/>
    <w:rsid w:val="00F01B4B"/>
    <w:rsid w:val="00F01C75"/>
    <w:rsid w:val="00F02606"/>
    <w:rsid w:val="00F02920"/>
    <w:rsid w:val="00F02CD6"/>
    <w:rsid w:val="00F02DB9"/>
    <w:rsid w:val="00F030FF"/>
    <w:rsid w:val="00F036B0"/>
    <w:rsid w:val="00F05934"/>
    <w:rsid w:val="00F075F5"/>
    <w:rsid w:val="00F07F3C"/>
    <w:rsid w:val="00F13D5D"/>
    <w:rsid w:val="00F17075"/>
    <w:rsid w:val="00F200D4"/>
    <w:rsid w:val="00F21A04"/>
    <w:rsid w:val="00F23BE3"/>
    <w:rsid w:val="00F30157"/>
    <w:rsid w:val="00F32B4B"/>
    <w:rsid w:val="00F3342C"/>
    <w:rsid w:val="00F34FC7"/>
    <w:rsid w:val="00F3533A"/>
    <w:rsid w:val="00F35481"/>
    <w:rsid w:val="00F36359"/>
    <w:rsid w:val="00F37C19"/>
    <w:rsid w:val="00F402B7"/>
    <w:rsid w:val="00F410B3"/>
    <w:rsid w:val="00F42F5A"/>
    <w:rsid w:val="00F43046"/>
    <w:rsid w:val="00F439D9"/>
    <w:rsid w:val="00F44303"/>
    <w:rsid w:val="00F44DA7"/>
    <w:rsid w:val="00F45041"/>
    <w:rsid w:val="00F4529A"/>
    <w:rsid w:val="00F47641"/>
    <w:rsid w:val="00F50D5A"/>
    <w:rsid w:val="00F50E94"/>
    <w:rsid w:val="00F51EB7"/>
    <w:rsid w:val="00F523EA"/>
    <w:rsid w:val="00F52C89"/>
    <w:rsid w:val="00F53E5B"/>
    <w:rsid w:val="00F53EC1"/>
    <w:rsid w:val="00F60E4B"/>
    <w:rsid w:val="00F62A61"/>
    <w:rsid w:val="00F62EA4"/>
    <w:rsid w:val="00F633BF"/>
    <w:rsid w:val="00F64BA1"/>
    <w:rsid w:val="00F64C9D"/>
    <w:rsid w:val="00F66153"/>
    <w:rsid w:val="00F66AF3"/>
    <w:rsid w:val="00F66FC8"/>
    <w:rsid w:val="00F700AA"/>
    <w:rsid w:val="00F70306"/>
    <w:rsid w:val="00F707F6"/>
    <w:rsid w:val="00F70B30"/>
    <w:rsid w:val="00F70D3B"/>
    <w:rsid w:val="00F715BC"/>
    <w:rsid w:val="00F71C31"/>
    <w:rsid w:val="00F72878"/>
    <w:rsid w:val="00F72FA2"/>
    <w:rsid w:val="00F73F87"/>
    <w:rsid w:val="00F7444E"/>
    <w:rsid w:val="00F74FDF"/>
    <w:rsid w:val="00F75381"/>
    <w:rsid w:val="00F759B6"/>
    <w:rsid w:val="00F7767D"/>
    <w:rsid w:val="00F77DA8"/>
    <w:rsid w:val="00F8028A"/>
    <w:rsid w:val="00F80C1B"/>
    <w:rsid w:val="00F80F6E"/>
    <w:rsid w:val="00F81232"/>
    <w:rsid w:val="00F82C30"/>
    <w:rsid w:val="00F82E4D"/>
    <w:rsid w:val="00F832F8"/>
    <w:rsid w:val="00F84E6C"/>
    <w:rsid w:val="00F867C1"/>
    <w:rsid w:val="00F86AD7"/>
    <w:rsid w:val="00F876B7"/>
    <w:rsid w:val="00F87D10"/>
    <w:rsid w:val="00F9044A"/>
    <w:rsid w:val="00F9054F"/>
    <w:rsid w:val="00F90D6D"/>
    <w:rsid w:val="00F95B30"/>
    <w:rsid w:val="00F96DC7"/>
    <w:rsid w:val="00F971D4"/>
    <w:rsid w:val="00F97A03"/>
    <w:rsid w:val="00FA0F5D"/>
    <w:rsid w:val="00FA1F69"/>
    <w:rsid w:val="00FA2F76"/>
    <w:rsid w:val="00FA534D"/>
    <w:rsid w:val="00FA5443"/>
    <w:rsid w:val="00FA7E3B"/>
    <w:rsid w:val="00FB0642"/>
    <w:rsid w:val="00FB12F7"/>
    <w:rsid w:val="00FB1B14"/>
    <w:rsid w:val="00FB25E7"/>
    <w:rsid w:val="00FB2B46"/>
    <w:rsid w:val="00FB47B0"/>
    <w:rsid w:val="00FB532C"/>
    <w:rsid w:val="00FB6A2C"/>
    <w:rsid w:val="00FC0459"/>
    <w:rsid w:val="00FC1D99"/>
    <w:rsid w:val="00FC4436"/>
    <w:rsid w:val="00FC4938"/>
    <w:rsid w:val="00FC4C02"/>
    <w:rsid w:val="00FC5174"/>
    <w:rsid w:val="00FC5AAF"/>
    <w:rsid w:val="00FC5BFD"/>
    <w:rsid w:val="00FC6C81"/>
    <w:rsid w:val="00FC6E86"/>
    <w:rsid w:val="00FC6FDE"/>
    <w:rsid w:val="00FC7516"/>
    <w:rsid w:val="00FD041A"/>
    <w:rsid w:val="00FD15EA"/>
    <w:rsid w:val="00FD2803"/>
    <w:rsid w:val="00FD2FD7"/>
    <w:rsid w:val="00FD43EE"/>
    <w:rsid w:val="00FD4DEB"/>
    <w:rsid w:val="00FD6C57"/>
    <w:rsid w:val="00FD6E95"/>
    <w:rsid w:val="00FD739A"/>
    <w:rsid w:val="00FD75EA"/>
    <w:rsid w:val="00FD76A4"/>
    <w:rsid w:val="00FD7EBB"/>
    <w:rsid w:val="00FE3C9D"/>
    <w:rsid w:val="00FE42FE"/>
    <w:rsid w:val="00FE4387"/>
    <w:rsid w:val="00FE4B43"/>
    <w:rsid w:val="00FE5CF4"/>
    <w:rsid w:val="00FE5D57"/>
    <w:rsid w:val="00FE6590"/>
    <w:rsid w:val="00FE77C4"/>
    <w:rsid w:val="00FE7E07"/>
    <w:rsid w:val="00FF095C"/>
    <w:rsid w:val="00FF0983"/>
    <w:rsid w:val="00FF1505"/>
    <w:rsid w:val="00FF27D5"/>
    <w:rsid w:val="00FF2B4F"/>
    <w:rsid w:val="00FF2B89"/>
    <w:rsid w:val="00FF46BD"/>
    <w:rsid w:val="00FF5724"/>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501"/>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755501"/>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755501"/>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755501"/>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75550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755501"/>
    <w:rPr>
      <w:rFonts w:ascii="Arial" w:eastAsia="楷体_GB2312" w:hAnsi="Arial"/>
      <w:kern w:val="2"/>
      <w:sz w:val="18"/>
      <w:szCs w:val="18"/>
    </w:rPr>
  </w:style>
  <w:style w:type="character" w:customStyle="1" w:styleId="Char0">
    <w:name w:val="页脚 Char"/>
    <w:link w:val="a4"/>
    <w:uiPriority w:val="99"/>
    <w:rsid w:val="00755501"/>
    <w:rPr>
      <w:rFonts w:ascii="Arial" w:eastAsia="楷体_GB2312" w:hAnsi="Arial"/>
      <w:kern w:val="2"/>
      <w:sz w:val="18"/>
      <w:szCs w:val="18"/>
    </w:rPr>
  </w:style>
  <w:style w:type="paragraph" w:customStyle="1" w:styleId="GJStylesSummaryTitle">
    <w:name w:val="GJ_Styles_Summary_Title"/>
    <w:qFormat/>
    <w:rsid w:val="00755501"/>
    <w:pPr>
      <w:spacing w:afterLines="50"/>
      <w:jc w:val="both"/>
    </w:pPr>
    <w:rPr>
      <w:rFonts w:ascii="Arial" w:eastAsia="楷体_GB2312" w:hAnsi="Arial"/>
      <w:b/>
      <w:color w:val="000000"/>
      <w:kern w:val="2"/>
      <w:sz w:val="24"/>
      <w:szCs w:val="22"/>
    </w:rPr>
  </w:style>
  <w:style w:type="paragraph" w:customStyle="1" w:styleId="GJStylesSummaryContent">
    <w:name w:val="GJ_Styles_Summary_Content"/>
    <w:qFormat/>
    <w:rsid w:val="00755501"/>
    <w:pPr>
      <w:numPr>
        <w:numId w:val="13"/>
      </w:numPr>
      <w:spacing w:afterLines="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755501"/>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755501"/>
    <w:pPr>
      <w:spacing w:afterLines="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755501"/>
    <w:pPr>
      <w:numPr>
        <w:numId w:val="6"/>
      </w:numPr>
    </w:pPr>
  </w:style>
  <w:style w:type="paragraph" w:customStyle="1" w:styleId="GJStylesContentFirTitle">
    <w:name w:val="GJ_Styles_Content_FirTitle"/>
    <w:qFormat/>
    <w:rsid w:val="00755501"/>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755501"/>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755501"/>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755501"/>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755501"/>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755501"/>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755501"/>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755501"/>
    <w:pPr>
      <w:numPr>
        <w:numId w:val="7"/>
      </w:numPr>
    </w:pPr>
  </w:style>
  <w:style w:type="paragraph" w:customStyle="1" w:styleId="GJStylesContentFirTitleWide">
    <w:name w:val="GJ_Styles_Content_FirTitle_Wide"/>
    <w:qFormat/>
    <w:rsid w:val="00755501"/>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755501"/>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755501"/>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755501"/>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755501"/>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755501"/>
    <w:pPr>
      <w:jc w:val="both"/>
    </w:pPr>
    <w:rPr>
      <w:rFonts w:ascii="Arial" w:eastAsia="楷体_GB2312" w:hAnsi="Arial"/>
      <w:kern w:val="2"/>
      <w:sz w:val="18"/>
      <w:szCs w:val="22"/>
    </w:rPr>
  </w:style>
  <w:style w:type="paragraph" w:customStyle="1" w:styleId="GJReportFirPageAuthorName">
    <w:name w:val="GJ_Report_FirPage_Author_Name"/>
    <w:qFormat/>
    <w:rsid w:val="00755501"/>
    <w:pPr>
      <w:jc w:val="both"/>
    </w:pPr>
    <w:rPr>
      <w:rFonts w:ascii="Arial" w:eastAsia="楷体_GB2312" w:hAnsi="Arial"/>
      <w:b/>
      <w:kern w:val="2"/>
      <w:sz w:val="21"/>
      <w:szCs w:val="22"/>
    </w:rPr>
  </w:style>
  <w:style w:type="paragraph" w:customStyle="1" w:styleId="GJReportFirPageAuthorEmail">
    <w:name w:val="GJ_Report_FirPage_Author_Email"/>
    <w:qFormat/>
    <w:rsid w:val="00755501"/>
    <w:pPr>
      <w:jc w:val="both"/>
    </w:pPr>
    <w:rPr>
      <w:rFonts w:ascii="Arial" w:eastAsia="楷体_GB2312" w:hAnsi="Arial"/>
      <w:b/>
      <w:kern w:val="2"/>
      <w:sz w:val="13"/>
      <w:szCs w:val="22"/>
    </w:rPr>
  </w:style>
  <w:style w:type="paragraph" w:customStyle="1" w:styleId="GJStylesTableTitleSuo">
    <w:name w:val="GJ_Styles_Table_Title_Suo"/>
    <w:qFormat/>
    <w:rsid w:val="00755501"/>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755501"/>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755501"/>
    <w:pPr>
      <w:numPr>
        <w:numId w:val="10"/>
      </w:numPr>
    </w:pPr>
  </w:style>
  <w:style w:type="table" w:customStyle="1" w:styleId="GJStylesChartInsertSingleCol">
    <w:name w:val="GJ_Styles_Chart_InsertSingleCol"/>
    <w:basedOn w:val="a2"/>
    <w:uiPriority w:val="99"/>
    <w:qFormat/>
    <w:rsid w:val="00755501"/>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755501"/>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755501"/>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755501"/>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755501"/>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755501"/>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755501"/>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755501"/>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755501"/>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755501"/>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755501"/>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755501"/>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755501"/>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755501"/>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755501"/>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755501"/>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755501"/>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755501"/>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755501"/>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 w:type="paragraph" w:customStyle="1" w:styleId="Default">
    <w:name w:val="Default"/>
    <w:rsid w:val="00FE5D57"/>
    <w:pPr>
      <w:widowControl w:val="0"/>
      <w:autoSpaceDE w:val="0"/>
      <w:autoSpaceDN w:val="0"/>
      <w:adjustRightInd w:val="0"/>
    </w:pPr>
    <w:rPr>
      <w:rFonts w:ascii="Arial" w:hAnsi="Arial" w:cs="Arial"/>
      <w:color w:val="000000"/>
      <w:sz w:val="24"/>
      <w:szCs w:val="24"/>
    </w:rPr>
  </w:style>
  <w:style w:type="paragraph" w:styleId="af3">
    <w:name w:val="List Paragraph"/>
    <w:basedOn w:val="a"/>
    <w:uiPriority w:val="34"/>
    <w:qFormat/>
    <w:rsid w:val="00FE5D5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93CA264701430E92960E75BB2BDC3B"/>
        <w:category>
          <w:name w:val="常规"/>
          <w:gallery w:val="placeholder"/>
        </w:category>
        <w:types>
          <w:type w:val="bbPlcHdr"/>
        </w:types>
        <w:behaviors>
          <w:behavior w:val="content"/>
        </w:behaviors>
        <w:guid w:val="{0AFBA20E-A21C-4964-9406-685454F8006B}"/>
      </w:docPartPr>
      <w:docPartBody>
        <w:p w:rsidR="00B47F0F" w:rsidRDefault="00F7165C">
          <w:pPr>
            <w:pStyle w:val="EE93CA264701430E92960E75BB2BDC3B"/>
          </w:pPr>
          <w:r w:rsidRPr="001C4667">
            <w:rPr>
              <w:rStyle w:val="a3"/>
              <w:rFonts w:hint="eastAsia"/>
            </w:rPr>
            <w:t>单击此处输入文字。</w:t>
          </w:r>
        </w:p>
      </w:docPartBody>
    </w:docPart>
    <w:docPart>
      <w:docPartPr>
        <w:name w:val="BE343C0A3357424294F39F680051F9AF"/>
        <w:category>
          <w:name w:val="常规"/>
          <w:gallery w:val="placeholder"/>
        </w:category>
        <w:types>
          <w:type w:val="bbPlcHdr"/>
        </w:types>
        <w:behaviors>
          <w:behavior w:val="content"/>
        </w:behaviors>
        <w:guid w:val="{B5983D82-EEAE-4B0E-9A46-C4D1F34C7A6C}"/>
      </w:docPartPr>
      <w:docPartBody>
        <w:p w:rsidR="00B47F0F" w:rsidRDefault="00F7165C">
          <w:pPr>
            <w:pStyle w:val="BE343C0A3357424294F39F680051F9AF"/>
          </w:pPr>
          <w:r w:rsidRPr="004F02EC">
            <w:rPr>
              <w:rStyle w:val="a3"/>
              <w:rFonts w:hint="eastAsia"/>
            </w:rPr>
            <w:t>单击此处输入文字。</w:t>
          </w:r>
        </w:p>
      </w:docPartBody>
    </w:docPart>
    <w:docPart>
      <w:docPartPr>
        <w:name w:val="F865064DFFE04239A696D53AE4154D61"/>
        <w:category>
          <w:name w:val="常规"/>
          <w:gallery w:val="placeholder"/>
        </w:category>
        <w:types>
          <w:type w:val="bbPlcHdr"/>
        </w:types>
        <w:behaviors>
          <w:behavior w:val="content"/>
        </w:behaviors>
        <w:guid w:val="{A71BC27A-9D4E-45BF-9569-420402253D29}"/>
      </w:docPartPr>
      <w:docPartBody>
        <w:p w:rsidR="00F66275" w:rsidRDefault="00731549">
          <w:r w:rsidRPr="00F7757D">
            <w:rPr>
              <w:rStyle w:val="a3"/>
              <w:rFonts w:hint="eastAsia"/>
            </w:rPr>
            <w:t>报告类型</w:t>
          </w:r>
        </w:p>
      </w:docPartBody>
    </w:docPart>
    <w:docPart>
      <w:docPartPr>
        <w:name w:val="C04613EFD5634F2784E943E5F02C0E4B"/>
        <w:category>
          <w:name w:val="常规"/>
          <w:gallery w:val="placeholder"/>
        </w:category>
        <w:types>
          <w:type w:val="bbPlcHdr"/>
        </w:types>
        <w:behaviors>
          <w:behavior w:val="content"/>
        </w:behaviors>
        <w:guid w:val="{B6A5C72B-47E8-4457-AB8B-00F0581AC7E3}"/>
      </w:docPartPr>
      <w:docPartBody>
        <w:p w:rsidR="00F66275" w:rsidRDefault="00731549">
          <w:r w:rsidRPr="00F7757D">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1BE2"/>
    <w:rsid w:val="00070B0D"/>
    <w:rsid w:val="000A3BEB"/>
    <w:rsid w:val="000F55AD"/>
    <w:rsid w:val="00123066"/>
    <w:rsid w:val="001E3621"/>
    <w:rsid w:val="001F56F2"/>
    <w:rsid w:val="00234BAA"/>
    <w:rsid w:val="002445F2"/>
    <w:rsid w:val="00300D5B"/>
    <w:rsid w:val="003504E3"/>
    <w:rsid w:val="00400C3F"/>
    <w:rsid w:val="0042460E"/>
    <w:rsid w:val="0051748B"/>
    <w:rsid w:val="00526C50"/>
    <w:rsid w:val="005744EC"/>
    <w:rsid w:val="005B200B"/>
    <w:rsid w:val="00614CC3"/>
    <w:rsid w:val="00634571"/>
    <w:rsid w:val="006751B9"/>
    <w:rsid w:val="006871E5"/>
    <w:rsid w:val="00731549"/>
    <w:rsid w:val="00794BC7"/>
    <w:rsid w:val="007A6E7B"/>
    <w:rsid w:val="008B31C0"/>
    <w:rsid w:val="009152D3"/>
    <w:rsid w:val="00916AF7"/>
    <w:rsid w:val="00917607"/>
    <w:rsid w:val="009535CF"/>
    <w:rsid w:val="009906A7"/>
    <w:rsid w:val="009B44A7"/>
    <w:rsid w:val="009C39B0"/>
    <w:rsid w:val="00A546E0"/>
    <w:rsid w:val="00A90CA8"/>
    <w:rsid w:val="00A9619F"/>
    <w:rsid w:val="00B40151"/>
    <w:rsid w:val="00B47F0F"/>
    <w:rsid w:val="00B8260F"/>
    <w:rsid w:val="00BA1BE2"/>
    <w:rsid w:val="00BA748F"/>
    <w:rsid w:val="00C666D9"/>
    <w:rsid w:val="00CA3873"/>
    <w:rsid w:val="00CF289E"/>
    <w:rsid w:val="00CF4D53"/>
    <w:rsid w:val="00D836B4"/>
    <w:rsid w:val="00D91520"/>
    <w:rsid w:val="00D93C43"/>
    <w:rsid w:val="00DA4BBE"/>
    <w:rsid w:val="00DC40EC"/>
    <w:rsid w:val="00E74AF3"/>
    <w:rsid w:val="00E80716"/>
    <w:rsid w:val="00E86CEE"/>
    <w:rsid w:val="00F07AD8"/>
    <w:rsid w:val="00F66275"/>
    <w:rsid w:val="00F67415"/>
    <w:rsid w:val="00F7165C"/>
    <w:rsid w:val="00FA6868"/>
    <w:rsid w:val="00FE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1549"/>
    <w:rPr>
      <w:color w:val="808080"/>
    </w:rPr>
  </w:style>
  <w:style w:type="paragraph" w:customStyle="1" w:styleId="EE93CA264701430E92960E75BB2BDC3B">
    <w:name w:val="EE93CA264701430E92960E75BB2BDC3B"/>
    <w:rsid w:val="00B47F0F"/>
    <w:pPr>
      <w:widowControl w:val="0"/>
      <w:jc w:val="both"/>
    </w:pPr>
  </w:style>
  <w:style w:type="paragraph" w:customStyle="1" w:styleId="BE343C0A3357424294F39F680051F9AF">
    <w:name w:val="BE343C0A3357424294F39F680051F9AF"/>
    <w:rsid w:val="00B47F0F"/>
    <w:pPr>
      <w:widowControl w:val="0"/>
      <w:jc w:val="both"/>
    </w:pPr>
  </w:style>
  <w:style w:type="paragraph" w:customStyle="1" w:styleId="A8FCE2F95BC3413FA53FA3C82B6C3AAB">
    <w:name w:val="A8FCE2F95BC3413FA53FA3C82B6C3AAB"/>
    <w:rsid w:val="00B47F0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6D30-4F90-40F4-BE18-743BCF9B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9634</TotalTime>
  <Pages>9</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王聃聃</dc:creator>
  <cp:keywords>模板</cp:keywords>
  <cp:lastModifiedBy>翁倩岚</cp:lastModifiedBy>
  <cp:revision>590</cp:revision>
  <cp:lastPrinted>2014-10-10T02:53:00Z</cp:lastPrinted>
  <dcterms:created xsi:type="dcterms:W3CDTF">2015-03-02T02:11:00Z</dcterms:created>
  <dcterms:modified xsi:type="dcterms:W3CDTF">2015-09-02T01:23:00Z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docSaved">
    <vt:lpwstr>true</vt:lpwstr>
  </property>
  <property fmtid="{D5CDD505-2E9C-101B-9397-08002B2CF9AE}" pid="37" name="ReportType1_Value">
    <vt:lpwstr>ff80808147862c3b01478666abf202d0</vt:lpwstr>
  </property>
  <property fmtid="{D5CDD505-2E9C-101B-9397-08002B2CF9AE}" pid="38" name="ReportType1_DisplayName">
    <vt:lpwstr>基金投资策略报告</vt:lpwstr>
  </property>
  <property fmtid="{D5CDD505-2E9C-101B-9397-08002B2CF9AE}" pid="39" name="ReportDate_Value">
    <vt:lpwstr>2015-09-01</vt:lpwstr>
  </property>
  <property fmtid="{D5CDD505-2E9C-101B-9397-08002B2CF9AE}" pid="40" name="ReportDate_DisplayName">
    <vt:lpwstr>2015年09月01日</vt:lpwstr>
  </property>
  <property fmtid="{D5CDD505-2E9C-101B-9397-08002B2CF9AE}" pid="41" name="StaffID_Value">
    <vt:lpwstr>FF00C761D2347BA0E0430100007FAB3A;</vt:lpwstr>
  </property>
  <property fmtid="{D5CDD505-2E9C-101B-9397-08002B2CF9AE}" pid="42" name="StaffID_DisplayName">
    <vt:lpwstr>王聃聃-公募产品组;</vt:lpwstr>
  </property>
  <property fmtid="{D5CDD505-2E9C-101B-9397-08002B2CF9AE}" pid="43" name="TemplateID">
    <vt:lpwstr> </vt:lpwstr>
  </property>
  <property fmtid="{D5CDD505-2E9C-101B-9397-08002B2CF9AE}" pid="44" name="BDCONTENTCONTROL_AUTO_SAVE_SubTitle">
    <vt:lpwstr>控制仓位等待转机，增配灵活提升弹性</vt:lpwstr>
  </property>
  <property fmtid="{D5CDD505-2E9C-101B-9397-08002B2CF9AE}" pid="45" name="BDCONTENTCONTROL_AUTO_SAVE_Summary">
    <vt:lpwstr>投资策略_x000d_短期央行再度祭出降息、降准的组合拳，中金所也发布股指期货交易的系列措施，都在一定程度上安抚了市场信心，尤其是经过短期的快速下跌，反弹动能不断累积，但仅靠政策尚不足以改变市场颓势，反弹高度并不乐观。尤其在当前宏观经济环境严峻、改革预期较为悲观、宏观流动性存疑以及去杠杆背景下，市场需要更多的时间来重塑信心。因此，投资者还需要继续适度控制仓位，以相对平衡或者防守的配置应对，此外，短期市场投资主线缺乏、创业板高估值风险犹存，可侧重蓝筹板块以及具有业绩边际，估值相对较低的白马型个股。_x000d_考虑投资者信心恢复尚</vt:lpwstr>
  </property>
  <property fmtid="{D5CDD505-2E9C-101B-9397-08002B2CF9AE}" pid="46" name="BDCONTENTCONTROL_AUTO_SAVE_Summary#2">
    <vt:lpwstr>需时日，震荡格局仍将主导，基金投资继续采取稳健的策略、控制权益类品种的仓位。在具体的品种上，首先股票仓位相对中性、风险收益配比较好尤其是擅长在震荡市场环境中投资操作的产品，可作为短期配置的重点，以应对市场波动、等待市场趋势明朗；其次，经过此轮大跌，不少灵活型基金已经把股票仓位降低到较低水平，可甄选其中市场节奏把握能力较强的品种，一方面可抵御短期市场波动、平滑组合风险，另一方面随着市场底逐步探明，此类基金在低位建仓以及灵活出击方面具备较强优势；最后，在风格上可侧重具备估值优势、安全边际较强的周期蓝筹风格以及</vt:lpwstr>
  </property>
  <property fmtid="{D5CDD505-2E9C-101B-9397-08002B2CF9AE}" pid="47" name="BDCONTENTCONTROL_AUTO_SAVE_Summary#3">
    <vt:lpwstr>消费蓝筹风格基金，而成长股虽然也经历了较大幅度的下跌且具备更好的弹性，但当前估值吸引力仍然不足，因此对于成长风格较明显的品种还需要保持谨慎。_x000d_对于2015年09月的基金组合：_x000d_本月进攻性组合调入南方精选、华商红利优选和广发消费品，权益类资产的比例仍维持相对低水平。其中，华商红利优选的风险收益配比较好，震荡市场环境中具备优势；广发消费品基金侧重消费板块投资，风格较为稳健；浦银新兴目前的股票仓位相对较低，且基金经理的中长期选股能力突出；南方精选侧重大中盘蓝筹股投资，蓝筹风格显著；国泰金泰目前的股票仓位非常低，</vt:lpwstr>
  </property>
  <property fmtid="{D5CDD505-2E9C-101B-9397-08002B2CF9AE}" pid="48" name="BDCONTENTCONTROL_AUTO_SAVE_Summary#4">
    <vt:lpwstr>基金投资风格稳健；_x000d_防御型组合本月调入招商安泰股票和兴全趋势，维持相对低的组合风险。组合内兴全趋势和招商安泰股票均是股票仓位适中的品种，属于风险收益水平相对较低的权益类品种，前者侧重消费等确定性成长类个股的投资，后者组合配置均衡且注重灵活；广发成长优选短期侧重绝对收益目标，风格较为保守；此外，两只债券型基金占据40%的比例作为防御部分的配置；_x000d_作为灵活配置型组合，短期从控制风险的角度，继续维持较低的高风险资产的比例，组合内权益类产品比例为20%，重点关注投资风格稳健的中欧新蓝筹。两只债券型基金均为风格偏稳</vt:lpwstr>
  </property>
  <property fmtid="{D5CDD505-2E9C-101B-9397-08002B2CF9AE}" pid="49" name="BDCONTENTCONTROL_AUTO_SAVE_Summary#5">
    <vt:lpwstr>健的品种。另外配置30%的南方绝对收益，基金采用市场中性策略，运用股指期货等工具对系统性风险进行对冲，比较适合震荡市场环境中持有。</vt:lpwstr>
  </property>
</Properties>
</file>