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4113" w:type="dxa"/>
        <w:shd w:val="clear" w:color="auto" w:fill="E0E0E0"/>
        <w:tblLayout w:type="fixed"/>
        <w:tblLook w:val="01E0"/>
      </w:tblPr>
      <w:tblGrid>
        <w:gridCol w:w="534"/>
        <w:gridCol w:w="519"/>
        <w:gridCol w:w="1035"/>
        <w:gridCol w:w="1800"/>
        <w:gridCol w:w="225"/>
      </w:tblGrid>
      <w:tr w:rsidR="009A18F4" w:rsidRPr="00F57D27" w:rsidTr="00DE017A">
        <w:trPr>
          <w:gridAfter w:val="1"/>
          <w:wAfter w:w="225" w:type="dxa"/>
          <w:trHeight w:val="284"/>
        </w:trPr>
        <w:tc>
          <w:tcPr>
            <w:tcW w:w="534" w:type="dxa"/>
          </w:tcPr>
          <w:p w:rsidR="009A18F4" w:rsidRPr="00F57D27" w:rsidRDefault="009A18F4" w:rsidP="00DE017A">
            <w:pPr>
              <w:rPr>
                <w:rFonts w:eastAsia="楷体_GB2312"/>
                <w:b/>
                <w:color w:val="003366"/>
                <w:sz w:val="24"/>
              </w:rPr>
            </w:pPr>
          </w:p>
        </w:tc>
        <w:tc>
          <w:tcPr>
            <w:tcW w:w="1554" w:type="dxa"/>
            <w:gridSpan w:val="2"/>
          </w:tcPr>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tc>
        <w:tc>
          <w:tcPr>
            <w:tcW w:w="1800" w:type="dxa"/>
            <w:vAlign w:val="center"/>
          </w:tcPr>
          <w:p w:rsidR="009A18F4" w:rsidRPr="00F57D27" w:rsidRDefault="006F3275" w:rsidP="00DE017A">
            <w:pPr>
              <w:rPr>
                <w:rFonts w:eastAsia="楷体_GB2312"/>
                <w:b/>
                <w:color w:val="003366"/>
                <w:sz w:val="24"/>
              </w:rPr>
            </w:pPr>
            <w:r w:rsidRPr="006F3275">
              <w:rPr>
                <w:rFonts w:ascii="黑体" w:eastAsia="黑体" w:hAnsi="宋体"/>
                <w:b/>
                <w:noProof/>
                <w:color w:val="003366"/>
                <w:sz w:val="24"/>
              </w:rPr>
              <w:pict>
                <v:shapetype id="_x0000_t202" coordsize="21600,21600" o:spt="202" path="m,l,21600r21600,l21600,xe">
                  <v:stroke joinstyle="miter"/>
                  <v:path gradientshapeok="t" o:connecttype="rect"/>
                </v:shapetype>
                <v:shape id="_x0000_s1027" type="#_x0000_t202" style="position:absolute;left:0;text-align:left;margin-left:66.6pt;margin-top:-.05pt;width:428.4pt;height:31.2pt;z-index:251661312;mso-position-horizontal-relative:text;mso-position-vertical-relative:text" fillcolor="#f00000" stroked="f">
                  <v:textbox style="mso-next-textbox:#_x0000_s1027">
                    <w:txbxContent>
                      <w:p w:rsidR="00251B81" w:rsidRPr="00FC770C" w:rsidRDefault="00251B81" w:rsidP="009A18F4">
                        <w:pPr>
                          <w:ind w:firstLine="281"/>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 基金策略</w:t>
                        </w:r>
                      </w:p>
                    </w:txbxContent>
                  </v:textbox>
                </v:shape>
              </w:pict>
            </w:r>
          </w:p>
        </w:tc>
      </w:tr>
      <w:tr w:rsidR="009A18F4" w:rsidRPr="00F57D27" w:rsidTr="00DE017A">
        <w:trPr>
          <w:gridAfter w:val="1"/>
          <w:wAfter w:w="225" w:type="dxa"/>
          <w:trHeight w:val="284"/>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3"/>
            <w:shd w:val="clear" w:color="auto" w:fill="CDD7FA"/>
            <w:vAlign w:val="center"/>
          </w:tcPr>
          <w:p w:rsidR="009A18F4" w:rsidRPr="00F57D27" w:rsidRDefault="009A18F4" w:rsidP="00DE017A">
            <w:pPr>
              <w:rPr>
                <w:rFonts w:eastAsia="楷体_GB2312"/>
                <w:b/>
                <w:color w:val="003366"/>
                <w:sz w:val="24"/>
              </w:rPr>
            </w:pPr>
          </w:p>
        </w:tc>
      </w:tr>
      <w:tr w:rsidR="009A18F4" w:rsidRPr="00F57D27" w:rsidTr="00DE017A">
        <w:trPr>
          <w:gridAfter w:val="1"/>
          <w:wAfter w:w="225" w:type="dxa"/>
          <w:trHeight w:val="284"/>
        </w:trPr>
        <w:tc>
          <w:tcPr>
            <w:tcW w:w="534" w:type="dxa"/>
            <w:shd w:val="clear" w:color="auto" w:fill="CDD7FA"/>
          </w:tcPr>
          <w:p w:rsidR="009A18F4" w:rsidRPr="00F57D27" w:rsidRDefault="009A18F4" w:rsidP="00DE017A">
            <w:pPr>
              <w:rPr>
                <w:rFonts w:eastAsia="楷体_GB2312"/>
                <w:b/>
                <w:color w:val="003366"/>
                <w:sz w:val="24"/>
              </w:rPr>
            </w:pPr>
            <w:r>
              <w:rPr>
                <w:rFonts w:eastAsia="楷体_GB2312" w:hint="eastAsia"/>
                <w:noProof/>
                <w:sz w:val="24"/>
              </w:rPr>
              <w:drawing>
                <wp:anchor distT="0" distB="0" distL="114300" distR="114300" simplePos="0" relativeHeight="251662336" behindDoc="0" locked="0" layoutInCell="1" allowOverlap="1">
                  <wp:simplePos x="0" y="0"/>
                  <wp:positionH relativeFrom="column">
                    <wp:posOffset>226695</wp:posOffset>
                  </wp:positionH>
                  <wp:positionV relativeFrom="paragraph">
                    <wp:posOffset>-3810</wp:posOffset>
                  </wp:positionV>
                  <wp:extent cx="1714500" cy="814705"/>
                  <wp:effectExtent l="0" t="0" r="0" b="0"/>
                  <wp:wrapNone/>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7" cstate="print">
                            <a:clrChange>
                              <a:clrFrom>
                                <a:srgbClr val="D2D2FF"/>
                              </a:clrFrom>
                              <a:clrTo>
                                <a:srgbClr val="D2D2FF">
                                  <a:alpha val="0"/>
                                </a:srgbClr>
                              </a:clrTo>
                            </a:clrChange>
                          </a:blip>
                          <a:srcRect/>
                          <a:stretch>
                            <a:fillRect/>
                          </a:stretch>
                        </pic:blipFill>
                        <pic:spPr bwMode="auto">
                          <a:xfrm>
                            <a:off x="0" y="0"/>
                            <a:ext cx="1714500" cy="814705"/>
                          </a:xfrm>
                          <a:prstGeom prst="rect">
                            <a:avLst/>
                          </a:prstGeom>
                          <a:noFill/>
                          <a:ln w="9525">
                            <a:noFill/>
                            <a:miter lim="800000"/>
                            <a:headEnd/>
                            <a:tailEnd/>
                          </a:ln>
                        </pic:spPr>
                      </pic:pic>
                    </a:graphicData>
                  </a:graphic>
                </wp:anchor>
              </w:drawing>
            </w:r>
          </w:p>
        </w:tc>
        <w:tc>
          <w:tcPr>
            <w:tcW w:w="3354" w:type="dxa"/>
            <w:gridSpan w:val="3"/>
            <w:shd w:val="clear" w:color="auto" w:fill="CDD7FA"/>
          </w:tcPr>
          <w:p w:rsidR="009A18F4" w:rsidRPr="00F57D27" w:rsidRDefault="009A18F4" w:rsidP="00DE017A">
            <w:pPr>
              <w:rPr>
                <w:rFonts w:eastAsia="楷体_GB2312"/>
                <w:b/>
                <w:color w:val="003366"/>
                <w:sz w:val="24"/>
              </w:rPr>
            </w:pPr>
          </w:p>
        </w:tc>
      </w:tr>
      <w:tr w:rsidR="009A18F4" w:rsidRPr="00F57D27" w:rsidTr="00DE017A">
        <w:trPr>
          <w:gridAfter w:val="1"/>
          <w:wAfter w:w="225" w:type="dxa"/>
          <w:trHeight w:val="940"/>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3"/>
            <w:shd w:val="clear" w:color="auto" w:fill="CDD7FA"/>
          </w:tcPr>
          <w:p w:rsidR="009A18F4" w:rsidRPr="00F57D27" w:rsidRDefault="009A18F4" w:rsidP="00DE017A">
            <w:pPr>
              <w:spacing w:line="360" w:lineRule="auto"/>
              <w:rPr>
                <w:rFonts w:eastAsia="楷体_GB2312"/>
                <w:noProof/>
                <w:sz w:val="24"/>
              </w:rPr>
            </w:pPr>
          </w:p>
        </w:tc>
      </w:tr>
      <w:tr w:rsidR="009A18F4" w:rsidRPr="00F57D27" w:rsidTr="00DE017A">
        <w:trPr>
          <w:gridAfter w:val="1"/>
          <w:wAfter w:w="225" w:type="dxa"/>
          <w:trHeight w:hRule="exact" w:val="284"/>
        </w:trPr>
        <w:tc>
          <w:tcPr>
            <w:tcW w:w="534" w:type="dxa"/>
            <w:shd w:val="clear" w:color="auto" w:fill="CDD7FA"/>
          </w:tcPr>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tc>
        <w:tc>
          <w:tcPr>
            <w:tcW w:w="519" w:type="dxa"/>
            <w:shd w:val="clear" w:color="auto" w:fill="CDD7FA"/>
          </w:tcPr>
          <w:p w:rsidR="009A18F4" w:rsidRPr="00F57D27" w:rsidRDefault="009A18F4" w:rsidP="00DE017A">
            <w:pPr>
              <w:jc w:val="left"/>
              <w:rPr>
                <w:rFonts w:eastAsia="楷体_GB2312"/>
                <w:b/>
                <w:color w:val="003366"/>
                <w:sz w:val="24"/>
              </w:rPr>
            </w:pPr>
          </w:p>
        </w:tc>
        <w:tc>
          <w:tcPr>
            <w:tcW w:w="2835" w:type="dxa"/>
            <w:gridSpan w:val="2"/>
            <w:shd w:val="clear" w:color="auto" w:fill="CDD7FA"/>
          </w:tcPr>
          <w:p w:rsidR="009A18F4" w:rsidRPr="00F57D27" w:rsidRDefault="009A18F4" w:rsidP="00DE017A">
            <w:pPr>
              <w:rPr>
                <w:rFonts w:eastAsia="楷体_GB2312"/>
                <w:b/>
                <w:color w:val="003366"/>
                <w:sz w:val="24"/>
              </w:rPr>
            </w:pPr>
          </w:p>
        </w:tc>
      </w:tr>
      <w:tr w:rsidR="009A18F4" w:rsidRPr="00F57D27" w:rsidTr="00DE017A">
        <w:trPr>
          <w:gridAfter w:val="1"/>
          <w:wAfter w:w="225" w:type="dxa"/>
          <w:trHeight w:hRule="exact" w:val="284"/>
        </w:trPr>
        <w:tc>
          <w:tcPr>
            <w:tcW w:w="534" w:type="dxa"/>
            <w:shd w:val="clear" w:color="auto" w:fill="CDD7FA"/>
          </w:tcPr>
          <w:p w:rsidR="009A18F4" w:rsidRPr="00F57D27" w:rsidRDefault="009A18F4" w:rsidP="00DE017A">
            <w:pPr>
              <w:rPr>
                <w:rFonts w:eastAsia="楷体_GB2312"/>
                <w:b/>
                <w:color w:val="003366"/>
                <w:sz w:val="24"/>
              </w:rPr>
            </w:pPr>
          </w:p>
        </w:tc>
        <w:tc>
          <w:tcPr>
            <w:tcW w:w="519" w:type="dxa"/>
            <w:shd w:val="clear" w:color="auto" w:fill="CDD7FA"/>
          </w:tcPr>
          <w:p w:rsidR="009A18F4" w:rsidRPr="00F57D27" w:rsidRDefault="009A18F4" w:rsidP="00DE017A">
            <w:pPr>
              <w:jc w:val="left"/>
              <w:rPr>
                <w:rFonts w:eastAsia="楷体_GB2312"/>
                <w:b/>
                <w:color w:val="003366"/>
                <w:sz w:val="24"/>
              </w:rPr>
            </w:pPr>
          </w:p>
        </w:tc>
        <w:tc>
          <w:tcPr>
            <w:tcW w:w="2835" w:type="dxa"/>
            <w:gridSpan w:val="2"/>
            <w:shd w:val="clear" w:color="auto" w:fill="CDD7FA"/>
          </w:tcPr>
          <w:p w:rsidR="009A18F4" w:rsidRPr="00F57D27" w:rsidRDefault="009A18F4" w:rsidP="00DE017A">
            <w:pPr>
              <w:rPr>
                <w:rFonts w:eastAsia="楷体_GB2312"/>
                <w:b/>
                <w:color w:val="003366"/>
                <w:sz w:val="24"/>
              </w:rPr>
            </w:pPr>
          </w:p>
        </w:tc>
      </w:tr>
      <w:tr w:rsidR="009A18F4" w:rsidRPr="00F57D27" w:rsidTr="00DE017A">
        <w:trPr>
          <w:gridAfter w:val="1"/>
          <w:wAfter w:w="225" w:type="dxa"/>
          <w:trHeight w:hRule="exact" w:val="284"/>
        </w:trPr>
        <w:tc>
          <w:tcPr>
            <w:tcW w:w="534" w:type="dxa"/>
            <w:shd w:val="clear" w:color="auto" w:fill="CDD7FA"/>
          </w:tcPr>
          <w:p w:rsidR="009A18F4" w:rsidRPr="00F57D27" w:rsidRDefault="009A18F4" w:rsidP="00DE017A">
            <w:pPr>
              <w:rPr>
                <w:rFonts w:eastAsia="楷体_GB2312"/>
                <w:b/>
                <w:color w:val="003366"/>
                <w:sz w:val="24"/>
              </w:rPr>
            </w:pPr>
          </w:p>
        </w:tc>
        <w:tc>
          <w:tcPr>
            <w:tcW w:w="519" w:type="dxa"/>
            <w:shd w:val="clear" w:color="auto" w:fill="CDD7FA"/>
          </w:tcPr>
          <w:p w:rsidR="009A18F4" w:rsidRPr="00F57D27" w:rsidRDefault="009A18F4" w:rsidP="00DE017A">
            <w:pPr>
              <w:jc w:val="left"/>
              <w:rPr>
                <w:rFonts w:eastAsia="楷体_GB2312"/>
                <w:b/>
                <w:color w:val="003366"/>
                <w:sz w:val="24"/>
              </w:rPr>
            </w:pPr>
          </w:p>
        </w:tc>
        <w:tc>
          <w:tcPr>
            <w:tcW w:w="2835" w:type="dxa"/>
            <w:gridSpan w:val="2"/>
            <w:shd w:val="clear" w:color="auto" w:fill="CDD7FA"/>
          </w:tcPr>
          <w:p w:rsidR="009A18F4" w:rsidRPr="00F57D27" w:rsidRDefault="009A18F4" w:rsidP="00DE017A">
            <w:pPr>
              <w:rPr>
                <w:rFonts w:eastAsia="楷体_GB2312"/>
                <w:b/>
                <w:color w:val="003366"/>
                <w:sz w:val="24"/>
              </w:rPr>
            </w:pPr>
          </w:p>
        </w:tc>
      </w:tr>
      <w:tr w:rsidR="009A18F4" w:rsidRPr="00F57D27" w:rsidTr="00DE017A">
        <w:trPr>
          <w:gridAfter w:val="1"/>
          <w:wAfter w:w="225" w:type="dxa"/>
          <w:trHeight w:hRule="exact" w:val="80"/>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3"/>
            <w:shd w:val="clear" w:color="auto" w:fill="CDD7FA"/>
          </w:tcPr>
          <w:p w:rsidR="009A18F4" w:rsidRPr="00F57D27" w:rsidRDefault="009A18F4" w:rsidP="00DE017A">
            <w:pPr>
              <w:jc w:val="left"/>
              <w:rPr>
                <w:rFonts w:eastAsia="楷体_GB2312"/>
                <w:b/>
                <w:color w:val="003366"/>
                <w:sz w:val="24"/>
              </w:rPr>
            </w:pPr>
          </w:p>
        </w:tc>
      </w:tr>
      <w:tr w:rsidR="009A18F4" w:rsidRPr="00F57D27" w:rsidTr="00DE017A">
        <w:trPr>
          <w:trHeight w:hRule="exact" w:val="284"/>
        </w:trPr>
        <w:tc>
          <w:tcPr>
            <w:tcW w:w="534" w:type="dxa"/>
          </w:tcPr>
          <w:p w:rsidR="009A18F4" w:rsidRPr="00F57D27" w:rsidRDefault="009A18F4" w:rsidP="00DE017A">
            <w:pPr>
              <w:rPr>
                <w:rFonts w:eastAsia="楷体_GB2312"/>
                <w:b/>
                <w:color w:val="003366"/>
                <w:sz w:val="24"/>
              </w:rPr>
            </w:pPr>
          </w:p>
        </w:tc>
        <w:tc>
          <w:tcPr>
            <w:tcW w:w="519" w:type="dxa"/>
          </w:tcPr>
          <w:p w:rsidR="009A18F4" w:rsidRPr="00F57D27" w:rsidRDefault="009A18F4" w:rsidP="00DE017A">
            <w:pPr>
              <w:jc w:val="left"/>
              <w:rPr>
                <w:rFonts w:eastAsia="楷体_GB2312"/>
                <w:b/>
                <w:color w:val="003366"/>
                <w:sz w:val="24"/>
              </w:rPr>
            </w:pPr>
          </w:p>
        </w:tc>
        <w:tc>
          <w:tcPr>
            <w:tcW w:w="3060" w:type="dxa"/>
            <w:gridSpan w:val="3"/>
          </w:tcPr>
          <w:p w:rsidR="009A18F4" w:rsidRPr="00F57D27" w:rsidRDefault="009A18F4" w:rsidP="00DE017A">
            <w:pPr>
              <w:rPr>
                <w:rFonts w:eastAsia="楷体_GB2312"/>
                <w:b/>
                <w:color w:val="003366"/>
                <w:sz w:val="24"/>
              </w:rPr>
            </w:pPr>
          </w:p>
        </w:tc>
      </w:tr>
      <w:tr w:rsidR="009A18F4" w:rsidRPr="00F57D27" w:rsidTr="00DE017A">
        <w:trPr>
          <w:gridAfter w:val="1"/>
          <w:wAfter w:w="225" w:type="dxa"/>
          <w:trHeight w:hRule="exact" w:val="284"/>
        </w:trPr>
        <w:tc>
          <w:tcPr>
            <w:tcW w:w="534" w:type="dxa"/>
          </w:tcPr>
          <w:p w:rsidR="009A18F4" w:rsidRPr="00F57D27" w:rsidRDefault="009A18F4" w:rsidP="00DE017A">
            <w:pPr>
              <w:rPr>
                <w:rFonts w:eastAsia="楷体_GB2312"/>
                <w:b/>
                <w:color w:val="003366"/>
                <w:sz w:val="24"/>
              </w:rPr>
            </w:pPr>
          </w:p>
        </w:tc>
        <w:tc>
          <w:tcPr>
            <w:tcW w:w="3354" w:type="dxa"/>
            <w:gridSpan w:val="3"/>
          </w:tcPr>
          <w:p w:rsidR="009A18F4" w:rsidRPr="00F57D27" w:rsidRDefault="009A18F4" w:rsidP="00DE017A">
            <w:pPr>
              <w:jc w:val="center"/>
              <w:rPr>
                <w:rFonts w:eastAsia="黑体"/>
                <w:color w:val="003366"/>
                <w:sz w:val="24"/>
              </w:rPr>
            </w:pPr>
          </w:p>
        </w:tc>
      </w:tr>
      <w:tr w:rsidR="009A18F4" w:rsidRPr="00F57D27" w:rsidTr="00DE017A">
        <w:trPr>
          <w:gridAfter w:val="1"/>
          <w:wAfter w:w="225" w:type="dxa"/>
          <w:trHeight w:val="457"/>
        </w:trPr>
        <w:tc>
          <w:tcPr>
            <w:tcW w:w="534" w:type="dxa"/>
          </w:tcPr>
          <w:p w:rsidR="009A18F4" w:rsidRPr="00D82E82" w:rsidRDefault="009A18F4" w:rsidP="00DE017A">
            <w:pPr>
              <w:rPr>
                <w:rFonts w:eastAsia="楷体_GB2312"/>
                <w:b/>
                <w:color w:val="003366"/>
              </w:rPr>
            </w:pPr>
          </w:p>
        </w:tc>
        <w:tc>
          <w:tcPr>
            <w:tcW w:w="3354" w:type="dxa"/>
            <w:gridSpan w:val="3"/>
          </w:tcPr>
          <w:p w:rsidR="009A18F4" w:rsidRPr="002D6491" w:rsidRDefault="009A18F4" w:rsidP="00BF7C1A">
            <w:pPr>
              <w:spacing w:line="360" w:lineRule="auto"/>
              <w:ind w:left="-288" w:firstLineChars="150" w:firstLine="271"/>
              <w:jc w:val="left"/>
              <w:rPr>
                <w:rFonts w:eastAsia="楷体_GB2312"/>
                <w:b/>
                <w:color w:val="003366"/>
                <w:szCs w:val="21"/>
              </w:rPr>
            </w:pPr>
            <w:r w:rsidRPr="002D6491">
              <w:rPr>
                <w:rFonts w:eastAsia="楷体_GB2312" w:hint="eastAsia"/>
                <w:b/>
                <w:color w:val="003366"/>
                <w:sz w:val="18"/>
                <w:szCs w:val="18"/>
              </w:rPr>
              <w:t>2015</w:t>
            </w:r>
            <w:r w:rsidRPr="002D6491">
              <w:rPr>
                <w:rFonts w:eastAsia="楷体_GB2312" w:hint="eastAsia"/>
                <w:b/>
                <w:color w:val="003366"/>
                <w:sz w:val="18"/>
                <w:szCs w:val="18"/>
              </w:rPr>
              <w:t>年</w:t>
            </w:r>
            <w:r w:rsidR="00BF7C1A">
              <w:rPr>
                <w:rFonts w:eastAsia="楷体_GB2312" w:hint="eastAsia"/>
                <w:b/>
                <w:color w:val="003366"/>
                <w:sz w:val="18"/>
                <w:szCs w:val="18"/>
              </w:rPr>
              <w:t>7</w:t>
            </w:r>
            <w:r w:rsidRPr="002D6491">
              <w:rPr>
                <w:rFonts w:eastAsia="楷体_GB2312" w:hint="eastAsia"/>
                <w:b/>
                <w:color w:val="003366"/>
                <w:sz w:val="18"/>
                <w:szCs w:val="18"/>
              </w:rPr>
              <w:t>月基金业绩统计分布</w:t>
            </w:r>
          </w:p>
        </w:tc>
      </w:tr>
      <w:tr w:rsidR="009A18F4" w:rsidRPr="00F57D27" w:rsidTr="00BF7C1A">
        <w:trPr>
          <w:gridAfter w:val="1"/>
          <w:wAfter w:w="225" w:type="dxa"/>
          <w:trHeight w:val="284"/>
        </w:trPr>
        <w:tc>
          <w:tcPr>
            <w:tcW w:w="534" w:type="dxa"/>
          </w:tcPr>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tc>
        <w:tc>
          <w:tcPr>
            <w:tcW w:w="3354" w:type="dxa"/>
            <w:gridSpan w:val="3"/>
            <w:vAlign w:val="center"/>
          </w:tcPr>
          <w:p w:rsidR="009A18F4" w:rsidRPr="00CD7632" w:rsidRDefault="00BF7C1A" w:rsidP="00DE017A">
            <w:pPr>
              <w:ind w:leftChars="-51" w:rightChars="34" w:right="71" w:hangingChars="51" w:hanging="107"/>
              <w:rPr>
                <w:noProof/>
              </w:rPr>
            </w:pPr>
            <w:r>
              <w:rPr>
                <w:noProof/>
              </w:rPr>
              <w:drawing>
                <wp:inline distT="0" distB="0" distL="0" distR="0">
                  <wp:extent cx="1990725" cy="1466850"/>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990725" cy="1466850"/>
                          </a:xfrm>
                          <a:prstGeom prst="rect">
                            <a:avLst/>
                          </a:prstGeom>
                          <a:noFill/>
                          <a:ln w="9525">
                            <a:noFill/>
                            <a:miter lim="800000"/>
                            <a:headEnd/>
                            <a:tailEnd/>
                          </a:ln>
                        </pic:spPr>
                      </pic:pic>
                    </a:graphicData>
                  </a:graphic>
                </wp:inline>
              </w:drawing>
            </w:r>
          </w:p>
        </w:tc>
      </w:tr>
      <w:tr w:rsidR="009A18F4" w:rsidRPr="00F57D27" w:rsidTr="00DE017A">
        <w:trPr>
          <w:gridAfter w:val="1"/>
          <w:wAfter w:w="225" w:type="dxa"/>
          <w:trHeight w:val="284"/>
        </w:trPr>
        <w:tc>
          <w:tcPr>
            <w:tcW w:w="534" w:type="dxa"/>
          </w:tcPr>
          <w:p w:rsidR="009A18F4" w:rsidRPr="00F57D27" w:rsidRDefault="009A18F4" w:rsidP="00DE017A">
            <w:pPr>
              <w:rPr>
                <w:rFonts w:eastAsia="楷体_GB2312"/>
                <w:b/>
                <w:color w:val="003366"/>
                <w:sz w:val="24"/>
              </w:rPr>
            </w:pPr>
          </w:p>
        </w:tc>
        <w:tc>
          <w:tcPr>
            <w:tcW w:w="3354" w:type="dxa"/>
            <w:gridSpan w:val="3"/>
          </w:tcPr>
          <w:p w:rsidR="009A18F4" w:rsidRPr="00CD7632" w:rsidRDefault="009A18F4" w:rsidP="00DE017A">
            <w:pPr>
              <w:rPr>
                <w:rFonts w:eastAsia="楷体_GB2312"/>
                <w:color w:val="003366"/>
                <w:sz w:val="18"/>
                <w:szCs w:val="18"/>
              </w:rPr>
            </w:pPr>
            <w:r w:rsidRPr="00CD7632">
              <w:rPr>
                <w:rFonts w:eastAsia="楷体_GB2312" w:hint="eastAsia"/>
                <w:color w:val="003366"/>
                <w:sz w:val="18"/>
                <w:szCs w:val="18"/>
              </w:rPr>
              <w:t>注：不包括结构化份额</w:t>
            </w:r>
          </w:p>
          <w:p w:rsidR="009A18F4" w:rsidRPr="00CD7632" w:rsidRDefault="009A18F4" w:rsidP="00DE017A">
            <w:pPr>
              <w:rPr>
                <w:rFonts w:eastAsia="楷体_GB2312"/>
                <w:b/>
                <w:color w:val="003366"/>
              </w:rPr>
            </w:pPr>
          </w:p>
          <w:p w:rsidR="009A18F4" w:rsidRPr="00CD7632" w:rsidRDefault="009A18F4" w:rsidP="00DE017A">
            <w:pPr>
              <w:rPr>
                <w:rFonts w:eastAsia="楷体_GB2312"/>
                <w:b/>
                <w:color w:val="003366"/>
              </w:rPr>
            </w:pPr>
            <w:r w:rsidRPr="00CD7632">
              <w:rPr>
                <w:rFonts w:eastAsia="楷体_GB2312" w:hint="eastAsia"/>
                <w:b/>
                <w:color w:val="003366"/>
              </w:rPr>
              <w:t>上海证券基金评价研究中心</w:t>
            </w:r>
          </w:p>
          <w:p w:rsidR="009A18F4" w:rsidRPr="00CD7632" w:rsidRDefault="009A18F4" w:rsidP="00DE017A">
            <w:pPr>
              <w:rPr>
                <w:rFonts w:eastAsia="楷体_GB2312"/>
                <w:b/>
                <w:color w:val="003366"/>
              </w:rPr>
            </w:pPr>
            <w:r w:rsidRPr="00CD7632">
              <w:rPr>
                <w:rFonts w:eastAsia="楷体_GB2312" w:hint="eastAsia"/>
                <w:b/>
                <w:color w:val="003366"/>
              </w:rPr>
              <w:t>刘亦千</w:t>
            </w:r>
          </w:p>
          <w:p w:rsidR="009A18F4" w:rsidRPr="00CD7632" w:rsidRDefault="009A18F4" w:rsidP="00DE017A">
            <w:pPr>
              <w:rPr>
                <w:rFonts w:eastAsia="楷体_GB2312"/>
                <w:color w:val="003366"/>
              </w:rPr>
            </w:pPr>
            <w:r w:rsidRPr="00CD7632">
              <w:rPr>
                <w:rFonts w:eastAsia="楷体_GB2312" w:hint="eastAsia"/>
                <w:color w:val="003366"/>
              </w:rPr>
              <w:t>执业证书编号：</w:t>
            </w:r>
            <w:r w:rsidRPr="00CD7632">
              <w:rPr>
                <w:rFonts w:eastAsia="楷体_GB2312"/>
                <w:b/>
                <w:color w:val="003366"/>
                <w:sz w:val="24"/>
              </w:rPr>
              <w:t>S0870511040001</w:t>
            </w:r>
          </w:p>
        </w:tc>
      </w:tr>
      <w:tr w:rsidR="009A18F4" w:rsidRPr="00F57D27" w:rsidTr="00DE017A">
        <w:trPr>
          <w:gridAfter w:val="1"/>
          <w:wAfter w:w="225" w:type="dxa"/>
          <w:trHeight w:val="284"/>
        </w:trPr>
        <w:tc>
          <w:tcPr>
            <w:tcW w:w="534" w:type="dxa"/>
          </w:tcPr>
          <w:p w:rsidR="009A18F4" w:rsidRPr="00F57D27" w:rsidRDefault="009A18F4" w:rsidP="00DE017A">
            <w:pPr>
              <w:rPr>
                <w:rFonts w:eastAsia="楷体_GB2312"/>
                <w:b/>
                <w:color w:val="003366"/>
                <w:sz w:val="24"/>
              </w:rPr>
            </w:pPr>
          </w:p>
        </w:tc>
        <w:tc>
          <w:tcPr>
            <w:tcW w:w="3354" w:type="dxa"/>
            <w:gridSpan w:val="3"/>
          </w:tcPr>
          <w:p w:rsidR="009A18F4" w:rsidRPr="00D82E82" w:rsidRDefault="009A18F4" w:rsidP="00DE017A">
            <w:pPr>
              <w:rPr>
                <w:rFonts w:eastAsia="楷体_GB2312"/>
                <w:b/>
                <w:color w:val="003366"/>
              </w:rPr>
            </w:pPr>
            <w:r w:rsidRPr="00F95DC4">
              <w:rPr>
                <w:rFonts w:eastAsia="楷体_GB2312"/>
                <w:b/>
                <w:color w:val="003366"/>
                <w:sz w:val="24"/>
              </w:rPr>
              <w:t>021-</w:t>
            </w:r>
            <w:r w:rsidRPr="00F95DC4">
              <w:rPr>
                <w:rFonts w:eastAsia="楷体_GB2312" w:hint="eastAsia"/>
                <w:b/>
                <w:color w:val="003366"/>
                <w:sz w:val="24"/>
              </w:rPr>
              <w:t>53519888</w:t>
            </w:r>
            <w:r w:rsidRPr="00F95DC4">
              <w:rPr>
                <w:rFonts w:hint="eastAsia"/>
              </w:rPr>
              <w:t>-</w:t>
            </w:r>
            <w:r w:rsidRPr="00F95DC4">
              <w:rPr>
                <w:rFonts w:eastAsia="楷体_GB2312" w:hint="eastAsia"/>
                <w:b/>
                <w:color w:val="003366"/>
                <w:sz w:val="24"/>
              </w:rPr>
              <w:t>1988</w:t>
            </w:r>
          </w:p>
        </w:tc>
      </w:tr>
      <w:tr w:rsidR="009A18F4" w:rsidRPr="00F57D27" w:rsidTr="00DE017A">
        <w:trPr>
          <w:gridAfter w:val="1"/>
          <w:wAfter w:w="225" w:type="dxa"/>
          <w:trHeight w:val="284"/>
        </w:trPr>
        <w:tc>
          <w:tcPr>
            <w:tcW w:w="534" w:type="dxa"/>
          </w:tcPr>
          <w:p w:rsidR="009A18F4" w:rsidRPr="00F57D27" w:rsidRDefault="009A18F4" w:rsidP="00DE017A">
            <w:pPr>
              <w:rPr>
                <w:rFonts w:eastAsia="楷体_GB2312"/>
                <w:b/>
                <w:color w:val="003366"/>
                <w:sz w:val="24"/>
              </w:rPr>
            </w:pPr>
          </w:p>
        </w:tc>
        <w:tc>
          <w:tcPr>
            <w:tcW w:w="3354" w:type="dxa"/>
            <w:gridSpan w:val="3"/>
          </w:tcPr>
          <w:p w:rsidR="009A18F4" w:rsidRDefault="009A18F4" w:rsidP="00DE017A">
            <w:r w:rsidRPr="00FC770C">
              <w:rPr>
                <w:rFonts w:eastAsia="楷体_GB2312" w:hint="eastAsia"/>
                <w:b/>
                <w:bCs/>
                <w:color w:val="003365"/>
                <w:kern w:val="0"/>
                <w:sz w:val="24"/>
              </w:rPr>
              <w:t>Liuyiqian</w:t>
            </w:r>
            <w:r w:rsidRPr="00FC770C">
              <w:rPr>
                <w:rFonts w:eastAsia="楷体_GB2312"/>
                <w:b/>
                <w:bCs/>
                <w:color w:val="003365"/>
                <w:kern w:val="0"/>
                <w:sz w:val="24"/>
              </w:rPr>
              <w:t>@</w:t>
            </w:r>
            <w:r>
              <w:rPr>
                <w:rFonts w:eastAsia="楷体_GB2312" w:hint="eastAsia"/>
                <w:b/>
                <w:bCs/>
                <w:color w:val="003365"/>
                <w:kern w:val="0"/>
                <w:sz w:val="24"/>
              </w:rPr>
              <w:t>shzq</w:t>
            </w:r>
            <w:r w:rsidRPr="00FC770C">
              <w:rPr>
                <w:rFonts w:eastAsia="楷体_GB2312"/>
                <w:b/>
                <w:bCs/>
                <w:color w:val="003365"/>
                <w:kern w:val="0"/>
                <w:sz w:val="24"/>
              </w:rPr>
              <w:t>.com</w:t>
            </w:r>
          </w:p>
          <w:p w:rsidR="009A18F4" w:rsidRPr="00F57D27" w:rsidRDefault="009A18F4" w:rsidP="00DE017A">
            <w:pPr>
              <w:rPr>
                <w:rFonts w:eastAsia="楷体_GB2312"/>
                <w:b/>
                <w:color w:val="003366"/>
                <w:sz w:val="24"/>
              </w:rPr>
            </w:pPr>
          </w:p>
        </w:tc>
      </w:tr>
      <w:tr w:rsidR="009A18F4" w:rsidRPr="00F57D27" w:rsidTr="00DE017A">
        <w:trPr>
          <w:gridAfter w:val="1"/>
          <w:wAfter w:w="225" w:type="dxa"/>
          <w:trHeight w:val="284"/>
        </w:trPr>
        <w:tc>
          <w:tcPr>
            <w:tcW w:w="534" w:type="dxa"/>
          </w:tcPr>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tc>
        <w:tc>
          <w:tcPr>
            <w:tcW w:w="3354" w:type="dxa"/>
            <w:gridSpan w:val="3"/>
          </w:tcPr>
          <w:p w:rsidR="009A18F4" w:rsidRPr="0077785C" w:rsidRDefault="009A18F4" w:rsidP="00DE017A">
            <w:pPr>
              <w:rPr>
                <w:rFonts w:eastAsia="楷体_GB2312"/>
                <w:color w:val="003366"/>
                <w:sz w:val="24"/>
              </w:rPr>
            </w:pPr>
          </w:p>
        </w:tc>
      </w:tr>
      <w:tr w:rsidR="009A18F4" w:rsidRPr="00F57D27" w:rsidTr="00DE017A">
        <w:trPr>
          <w:gridAfter w:val="1"/>
          <w:wAfter w:w="225" w:type="dxa"/>
          <w:trHeight w:val="284"/>
        </w:trPr>
        <w:tc>
          <w:tcPr>
            <w:tcW w:w="534" w:type="dxa"/>
          </w:tcPr>
          <w:p w:rsidR="009A18F4" w:rsidRPr="00F57D27" w:rsidRDefault="009A18F4" w:rsidP="00DE017A">
            <w:pPr>
              <w:rPr>
                <w:rFonts w:eastAsia="楷体_GB2312"/>
                <w:b/>
                <w:color w:val="003366"/>
                <w:sz w:val="24"/>
              </w:rPr>
            </w:pPr>
          </w:p>
        </w:tc>
        <w:tc>
          <w:tcPr>
            <w:tcW w:w="3354" w:type="dxa"/>
            <w:gridSpan w:val="3"/>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9A18F4" w:rsidRPr="00F57D27" w:rsidTr="00DE017A">
              <w:trPr>
                <w:trHeight w:hRule="exact" w:val="284"/>
              </w:trPr>
              <w:tc>
                <w:tcPr>
                  <w:tcW w:w="3888" w:type="dxa"/>
                  <w:gridSpan w:val="2"/>
                </w:tcPr>
                <w:p w:rsidR="009A18F4" w:rsidRPr="00B21A03" w:rsidRDefault="009A18F4" w:rsidP="00DE017A">
                  <w:pPr>
                    <w:pStyle w:val="a8"/>
                    <w:rPr>
                      <w:rFonts w:hAnsi="宋体" w:cs="宋体"/>
                    </w:rPr>
                  </w:pPr>
                  <w:r w:rsidRPr="00F57D27">
                    <w:rPr>
                      <w:rFonts w:eastAsia="黑体" w:hint="eastAsia"/>
                      <w:b/>
                      <w:color w:val="003366"/>
                      <w:sz w:val="24"/>
                    </w:rPr>
                    <w:t>报告</w:t>
                  </w:r>
                  <w:r w:rsidRPr="00F57D27">
                    <w:rPr>
                      <w:rFonts w:eastAsia="黑体"/>
                      <w:b/>
                      <w:color w:val="003366"/>
                      <w:sz w:val="24"/>
                    </w:rPr>
                    <w:t>日期</w:t>
                  </w:r>
                  <w:r w:rsidRPr="00F57D27">
                    <w:rPr>
                      <w:rFonts w:eastAsia="黑体" w:hint="eastAsia"/>
                      <w:b/>
                      <w:color w:val="003366"/>
                      <w:sz w:val="24"/>
                    </w:rPr>
                    <w:t>：</w:t>
                  </w:r>
                  <w:r w:rsidRPr="00B21A03">
                    <w:rPr>
                      <w:rFonts w:hAnsi="宋体" w:cs="宋体"/>
                    </w:rPr>
                    <w:t>201</w:t>
                  </w:r>
                  <w:r>
                    <w:rPr>
                      <w:rFonts w:hAnsi="宋体" w:cs="宋体" w:hint="eastAsia"/>
                    </w:rPr>
                    <w:t>5</w:t>
                  </w:r>
                  <w:r w:rsidRPr="00B21A03">
                    <w:rPr>
                      <w:rFonts w:hAnsi="宋体" w:cs="宋体"/>
                    </w:rPr>
                    <w:t>年</w:t>
                  </w:r>
                  <w:r w:rsidR="0075204E">
                    <w:rPr>
                      <w:rFonts w:hAnsi="宋体" w:cs="宋体" w:hint="eastAsia"/>
                    </w:rPr>
                    <w:t>7</w:t>
                  </w:r>
                  <w:r w:rsidRPr="00B21A03">
                    <w:rPr>
                      <w:rFonts w:hAnsi="宋体" w:cs="宋体"/>
                    </w:rPr>
                    <w:t>月</w:t>
                  </w:r>
                  <w:r w:rsidR="00AD4F0E">
                    <w:rPr>
                      <w:rFonts w:hAnsi="宋体" w:cs="宋体" w:hint="eastAsia"/>
                    </w:rPr>
                    <w:t>30</w:t>
                  </w:r>
                  <w:r w:rsidRPr="00B21A03">
                    <w:rPr>
                      <w:rFonts w:hAnsi="宋体" w:cs="宋体"/>
                    </w:rPr>
                    <w:t>日</w:t>
                  </w:r>
                </w:p>
                <w:p w:rsidR="009A18F4" w:rsidRPr="00F57D27" w:rsidRDefault="009A18F4" w:rsidP="00DE017A">
                  <w:pPr>
                    <w:jc w:val="left"/>
                    <w:rPr>
                      <w:rFonts w:eastAsia="楷体_GB2312"/>
                      <w:color w:val="003366"/>
                      <w:sz w:val="24"/>
                    </w:rPr>
                  </w:pPr>
                </w:p>
              </w:tc>
            </w:tr>
            <w:tr w:rsidR="009A18F4" w:rsidRPr="00F57D27" w:rsidTr="00DE017A">
              <w:trPr>
                <w:gridAfter w:val="1"/>
                <w:wAfter w:w="468" w:type="dxa"/>
                <w:trHeight w:hRule="exact" w:val="284"/>
              </w:trPr>
              <w:tc>
                <w:tcPr>
                  <w:tcW w:w="3420" w:type="dxa"/>
                </w:tcPr>
                <w:p w:rsidR="009A18F4" w:rsidRPr="00F57D27" w:rsidRDefault="009A18F4" w:rsidP="00DE017A">
                  <w:pPr>
                    <w:rPr>
                      <w:rFonts w:eastAsia="楷体_GB2312"/>
                      <w:sz w:val="24"/>
                    </w:rPr>
                  </w:pPr>
                </w:p>
              </w:tc>
            </w:tr>
            <w:tr w:rsidR="009A18F4" w:rsidRPr="00F57D27" w:rsidTr="00DE017A">
              <w:trPr>
                <w:gridAfter w:val="1"/>
                <w:wAfter w:w="468" w:type="dxa"/>
                <w:trHeight w:hRule="exact" w:val="284"/>
              </w:trPr>
              <w:tc>
                <w:tcPr>
                  <w:tcW w:w="3420" w:type="dxa"/>
                </w:tcPr>
                <w:p w:rsidR="009A18F4" w:rsidRPr="00F57D27" w:rsidRDefault="009A18F4" w:rsidP="00DE017A">
                  <w:pPr>
                    <w:rPr>
                      <w:rFonts w:ascii="黑体" w:eastAsia="黑体"/>
                      <w:b/>
                      <w:color w:val="003366"/>
                      <w:sz w:val="24"/>
                    </w:rPr>
                  </w:pPr>
                  <w:r w:rsidRPr="00F57D27">
                    <w:rPr>
                      <w:rFonts w:eastAsia="黑体" w:hint="eastAsia"/>
                      <w:b/>
                      <w:color w:val="003366"/>
                      <w:sz w:val="24"/>
                    </w:rPr>
                    <w:t>报告编号：</w:t>
                  </w:r>
                </w:p>
              </w:tc>
            </w:tr>
            <w:tr w:rsidR="009A18F4" w:rsidRPr="00F57D27" w:rsidTr="00DE017A">
              <w:trPr>
                <w:gridAfter w:val="1"/>
                <w:wAfter w:w="468" w:type="dxa"/>
                <w:trHeight w:hRule="exact" w:val="284"/>
              </w:trPr>
              <w:tc>
                <w:tcPr>
                  <w:tcW w:w="3420" w:type="dxa"/>
                </w:tcPr>
                <w:p w:rsidR="009A18F4" w:rsidRPr="00F57D27" w:rsidRDefault="009A18F4" w:rsidP="00DE017A">
                  <w:pPr>
                    <w:rPr>
                      <w:rFonts w:eastAsia="楷体_GB2312"/>
                      <w:b/>
                      <w:color w:val="003366"/>
                      <w:sz w:val="24"/>
                    </w:rPr>
                  </w:pPr>
                </w:p>
              </w:tc>
            </w:tr>
            <w:tr w:rsidR="009A18F4" w:rsidRPr="00F57D27" w:rsidTr="00DE017A">
              <w:trPr>
                <w:gridAfter w:val="1"/>
                <w:wAfter w:w="468" w:type="dxa"/>
                <w:trHeight w:hRule="exact" w:val="284"/>
              </w:trPr>
              <w:tc>
                <w:tcPr>
                  <w:tcW w:w="3420" w:type="dxa"/>
                </w:tcPr>
                <w:p w:rsidR="009A18F4" w:rsidRPr="00F57D27" w:rsidRDefault="009A18F4" w:rsidP="00DE017A">
                  <w:pPr>
                    <w:rPr>
                      <w:rFonts w:ascii="黑体" w:eastAsia="黑体"/>
                      <w:b/>
                      <w:color w:val="003366"/>
                      <w:sz w:val="24"/>
                    </w:rPr>
                  </w:pPr>
                  <w:r w:rsidRPr="00F57D27">
                    <w:rPr>
                      <w:rFonts w:eastAsia="黑体" w:hint="eastAsia"/>
                      <w:b/>
                      <w:color w:val="003366"/>
                      <w:sz w:val="24"/>
                    </w:rPr>
                    <w:t>相关报告：</w:t>
                  </w:r>
                </w:p>
              </w:tc>
            </w:tr>
            <w:tr w:rsidR="009A18F4" w:rsidRPr="00F57D27" w:rsidTr="00DE017A">
              <w:trPr>
                <w:gridAfter w:val="1"/>
                <w:wAfter w:w="468" w:type="dxa"/>
                <w:trHeight w:hRule="exact" w:val="2396"/>
              </w:trPr>
              <w:tc>
                <w:tcPr>
                  <w:tcW w:w="3420" w:type="dxa"/>
                </w:tcPr>
                <w:p w:rsidR="00836FDA" w:rsidRDefault="00836FDA" w:rsidP="00DE017A">
                  <w:pPr>
                    <w:rPr>
                      <w:rFonts w:eastAsia="楷体_GB2312"/>
                      <w:sz w:val="18"/>
                      <w:szCs w:val="18"/>
                    </w:rPr>
                  </w:pPr>
                  <w:r w:rsidRPr="00D775C1">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Pr>
                      <w:rFonts w:eastAsia="楷体_GB2312" w:hint="eastAsia"/>
                      <w:sz w:val="18"/>
                      <w:szCs w:val="18"/>
                    </w:rPr>
                    <w:t>7</w:t>
                  </w:r>
                  <w:r w:rsidRPr="00607E19">
                    <w:rPr>
                      <w:rFonts w:eastAsia="楷体_GB2312" w:hint="eastAsia"/>
                      <w:sz w:val="18"/>
                      <w:szCs w:val="18"/>
                    </w:rPr>
                    <w:t>月基金投资策略：</w:t>
                  </w:r>
                  <w:r w:rsidRPr="00836FDA">
                    <w:rPr>
                      <w:rFonts w:eastAsia="楷体_GB2312" w:hint="eastAsia"/>
                      <w:sz w:val="18"/>
                      <w:szCs w:val="18"/>
                    </w:rPr>
                    <w:t>踩踏加码震荡，配置均衡谨慎</w:t>
                  </w:r>
                </w:p>
                <w:p w:rsidR="009A18F4" w:rsidRPr="00401025" w:rsidRDefault="009A18F4" w:rsidP="00DE017A">
                  <w:pPr>
                    <w:rPr>
                      <w:rFonts w:eastAsia="楷体_GB2312"/>
                      <w:sz w:val="18"/>
                      <w:szCs w:val="18"/>
                    </w:rPr>
                  </w:pPr>
                  <w:r w:rsidRPr="00D775C1">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sidR="00572523">
                    <w:rPr>
                      <w:rFonts w:eastAsia="楷体_GB2312" w:hint="eastAsia"/>
                      <w:sz w:val="18"/>
                      <w:szCs w:val="18"/>
                    </w:rPr>
                    <w:t>6</w:t>
                  </w:r>
                  <w:r w:rsidRPr="00607E19">
                    <w:rPr>
                      <w:rFonts w:eastAsia="楷体_GB2312" w:hint="eastAsia"/>
                      <w:sz w:val="18"/>
                      <w:szCs w:val="18"/>
                    </w:rPr>
                    <w:t>月基金投资策略：</w:t>
                  </w:r>
                  <w:r w:rsidR="00572523" w:rsidRPr="00572523">
                    <w:rPr>
                      <w:rFonts w:eastAsia="楷体_GB2312" w:hint="eastAsia"/>
                      <w:sz w:val="18"/>
                      <w:szCs w:val="18"/>
                    </w:rPr>
                    <w:t>短期趋于疯狂，继续顺政策观投资配置基金</w:t>
                  </w:r>
                </w:p>
                <w:p w:rsidR="009A18F4" w:rsidRPr="00E524A0" w:rsidRDefault="00FB4E9A" w:rsidP="00DE017A">
                  <w:pPr>
                    <w:rPr>
                      <w:rFonts w:eastAsia="楷体_GB2312"/>
                      <w:sz w:val="18"/>
                      <w:szCs w:val="18"/>
                    </w:rPr>
                  </w:pPr>
                  <w:r>
                    <w:rPr>
                      <w:rFonts w:eastAsia="楷体_GB2312" w:hint="eastAsia"/>
                      <w:sz w:val="18"/>
                      <w:szCs w:val="18"/>
                    </w:rPr>
                    <w:t>2</w:t>
                  </w:r>
                  <w:r w:rsidR="00572523" w:rsidRPr="00607E19">
                    <w:rPr>
                      <w:rFonts w:eastAsia="楷体_GB2312" w:hint="eastAsia"/>
                      <w:sz w:val="18"/>
                      <w:szCs w:val="18"/>
                    </w:rPr>
                    <w:t>015</w:t>
                  </w:r>
                  <w:r w:rsidR="00572523" w:rsidRPr="00607E19">
                    <w:rPr>
                      <w:rFonts w:eastAsia="楷体_GB2312" w:hint="eastAsia"/>
                      <w:sz w:val="18"/>
                      <w:szCs w:val="18"/>
                    </w:rPr>
                    <w:t>年</w:t>
                  </w:r>
                  <w:r w:rsidR="00572523">
                    <w:rPr>
                      <w:rFonts w:eastAsia="楷体_GB2312" w:hint="eastAsia"/>
                      <w:sz w:val="18"/>
                      <w:szCs w:val="18"/>
                    </w:rPr>
                    <w:t>5</w:t>
                  </w:r>
                  <w:r w:rsidR="00572523" w:rsidRPr="00607E19">
                    <w:rPr>
                      <w:rFonts w:eastAsia="楷体_GB2312" w:hint="eastAsia"/>
                      <w:sz w:val="18"/>
                      <w:szCs w:val="18"/>
                    </w:rPr>
                    <w:t>月基金投资策略：</w:t>
                  </w:r>
                  <w:r w:rsidR="00572523" w:rsidRPr="00401025">
                    <w:rPr>
                      <w:rFonts w:eastAsia="楷体_GB2312" w:hint="eastAsia"/>
                      <w:sz w:val="18"/>
                      <w:szCs w:val="18"/>
                    </w:rPr>
                    <w:t>四大风险或破坏向上趋势，基金配置长期顺政策短期观投资</w:t>
                  </w:r>
                  <w:r w:rsidR="009A18F4">
                    <w:rPr>
                      <w:rFonts w:eastAsia="楷体_GB2312" w:hint="eastAsia"/>
                      <w:sz w:val="18"/>
                      <w:szCs w:val="18"/>
                    </w:rPr>
                    <w:t>。</w:t>
                  </w:r>
                </w:p>
                <w:p w:rsidR="009A18F4" w:rsidRPr="00060998" w:rsidRDefault="009A18F4" w:rsidP="00DE017A">
                  <w:pPr>
                    <w:rPr>
                      <w:rFonts w:eastAsia="楷体_GB2312"/>
                      <w:sz w:val="18"/>
                      <w:szCs w:val="18"/>
                    </w:rPr>
                  </w:pPr>
                </w:p>
                <w:p w:rsidR="009A18F4" w:rsidRPr="00E44B3F" w:rsidRDefault="009A18F4" w:rsidP="00DE017A">
                  <w:pPr>
                    <w:rPr>
                      <w:rFonts w:eastAsia="楷体_GB2312"/>
                      <w:sz w:val="18"/>
                      <w:szCs w:val="18"/>
                    </w:rPr>
                  </w:pPr>
                </w:p>
                <w:p w:rsidR="009A18F4" w:rsidRPr="00734602" w:rsidRDefault="009A18F4" w:rsidP="00DE017A">
                  <w:pPr>
                    <w:rPr>
                      <w:rFonts w:eastAsia="黑体"/>
                      <w:b/>
                      <w:color w:val="003366"/>
                      <w:sz w:val="24"/>
                    </w:rPr>
                  </w:pPr>
                </w:p>
              </w:tc>
            </w:tr>
          </w:tbl>
          <w:p w:rsidR="009A18F4" w:rsidRPr="00F57D27" w:rsidRDefault="009A18F4" w:rsidP="00DE017A">
            <w:pPr>
              <w:rPr>
                <w:rFonts w:eastAsia="楷体_GB2312"/>
                <w:b/>
                <w:color w:val="003366"/>
                <w:sz w:val="28"/>
                <w:szCs w:val="28"/>
              </w:rPr>
            </w:pPr>
          </w:p>
        </w:tc>
      </w:tr>
    </w:tbl>
    <w:p w:rsidR="009A18F4" w:rsidRPr="00A054FE" w:rsidRDefault="006F3275" w:rsidP="009A18F4">
      <w:pPr>
        <w:numPr>
          <w:ilvl w:val="0"/>
          <w:numId w:val="2"/>
        </w:numPr>
        <w:spacing w:line="360" w:lineRule="auto"/>
        <w:rPr>
          <w:rFonts w:ascii="黑体" w:eastAsia="黑体" w:hAnsi="宋体"/>
          <w:b/>
          <w:color w:val="003366"/>
          <w:sz w:val="24"/>
        </w:rPr>
      </w:pPr>
      <w:r>
        <w:rPr>
          <w:rFonts w:ascii="黑体" w:eastAsia="黑体" w:hAnsi="宋体"/>
          <w:b/>
          <w:noProof/>
          <w:color w:val="003366"/>
          <w:sz w:val="24"/>
        </w:rPr>
        <w:pict>
          <v:shape id="_x0000_s1026" type="#_x0000_t202" style="position:absolute;left:0;text-align:left;margin-left:-54pt;margin-top:-171.6pt;width:422.85pt;height:153.1pt;z-index:251660288;mso-position-horizontal-relative:text;mso-position-vertical-relative:text" fillcolor="#00326e" stroked="f">
            <v:textbox style="mso-next-textbox:#_x0000_s1026">
              <w:txbxContent>
                <w:p w:rsidR="00251B81" w:rsidRPr="00C2401C" w:rsidRDefault="00251B81" w:rsidP="009A18F4">
                  <w:pPr>
                    <w:rPr>
                      <w:rFonts w:ascii="宋体-18030" w:eastAsia="宋体-18030" w:hAnsi="宋体-18030" w:cs="宋体-18030"/>
                      <w:szCs w:val="21"/>
                    </w:rPr>
                  </w:pPr>
                </w:p>
                <w:p w:rsidR="00251B81" w:rsidRPr="00C2401C" w:rsidRDefault="00251B81" w:rsidP="009A18F4">
                  <w:pPr>
                    <w:jc w:val="right"/>
                    <w:rPr>
                      <w:rFonts w:ascii="宋体-18030" w:eastAsia="宋体-18030" w:hAnsi="宋体-18030" w:cs="宋体-18030"/>
                      <w:b/>
                      <w:szCs w:val="21"/>
                    </w:rPr>
                  </w:pPr>
                </w:p>
                <w:p w:rsidR="00251B81" w:rsidRPr="00C2401C" w:rsidRDefault="00251B81" w:rsidP="009A18F4">
                  <w:pPr>
                    <w:rPr>
                      <w:rFonts w:ascii="宋体-18030" w:eastAsia="宋体-18030" w:hAnsi="宋体-18030" w:cs="宋体-18030"/>
                      <w:szCs w:val="21"/>
                    </w:rPr>
                  </w:pPr>
                </w:p>
                <w:p w:rsidR="00251B81" w:rsidRPr="00C2401C" w:rsidRDefault="00251B81" w:rsidP="009A18F4">
                  <w:pPr>
                    <w:rPr>
                      <w:rFonts w:ascii="宋体-18030" w:eastAsia="宋体-18030" w:hAnsi="宋体-18030" w:cs="宋体-18030"/>
                      <w:szCs w:val="21"/>
                    </w:rPr>
                  </w:pPr>
                </w:p>
                <w:p w:rsidR="00251B81" w:rsidRDefault="0070349D" w:rsidP="0075204E">
                  <w:pPr>
                    <w:spacing w:beforeLines="150" w:afterLines="100"/>
                    <w:ind w:right="147"/>
                    <w:jc w:val="right"/>
                    <w:rPr>
                      <w:rFonts w:ascii="黑体" w:eastAsia="黑体" w:hAnsi="宋体" w:cs="宋体-18030"/>
                      <w:b/>
                      <w:color w:val="FFFFFF"/>
                      <w:sz w:val="30"/>
                      <w:szCs w:val="30"/>
                    </w:rPr>
                  </w:pPr>
                  <w:r>
                    <w:rPr>
                      <w:rFonts w:ascii="黑体" w:eastAsia="黑体" w:hAnsi="宋体" w:cs="宋体-18030" w:hint="eastAsia"/>
                      <w:b/>
                      <w:color w:val="FFFFFF"/>
                      <w:sz w:val="30"/>
                      <w:szCs w:val="30"/>
                    </w:rPr>
                    <w:t>底部探明</w:t>
                  </w:r>
                  <w:r w:rsidR="00251B81" w:rsidRPr="00C656AF">
                    <w:rPr>
                      <w:rFonts w:ascii="黑体" w:eastAsia="黑体" w:hAnsi="宋体" w:cs="宋体-18030" w:hint="eastAsia"/>
                      <w:b/>
                      <w:color w:val="FFFFFF"/>
                      <w:sz w:val="30"/>
                      <w:szCs w:val="30"/>
                    </w:rPr>
                    <w:t>，</w:t>
                  </w:r>
                  <w:r w:rsidR="004C5156" w:rsidRPr="004C5156">
                    <w:rPr>
                      <w:rFonts w:ascii="黑体" w:eastAsia="黑体" w:hAnsi="宋体" w:cs="宋体-18030" w:hint="eastAsia"/>
                      <w:b/>
                      <w:color w:val="FFFFFF"/>
                      <w:sz w:val="30"/>
                      <w:szCs w:val="30"/>
                    </w:rPr>
                    <w:t>转向偏乐观，侧重国企改革主题</w:t>
                  </w:r>
                  <w:r w:rsidR="004C5156">
                    <w:rPr>
                      <w:rFonts w:ascii="黑体" w:eastAsia="黑体" w:hAnsi="宋体" w:cs="宋体-18030" w:hint="eastAsia"/>
                      <w:b/>
                      <w:color w:val="FFFFFF"/>
                      <w:sz w:val="30"/>
                      <w:szCs w:val="30"/>
                    </w:rPr>
                    <w:t>基金</w:t>
                  </w:r>
                </w:p>
                <w:p w:rsidR="00251B81" w:rsidRPr="004E3270" w:rsidRDefault="00251B81" w:rsidP="009A18F4">
                  <w:pPr>
                    <w:wordWrap w:val="0"/>
                    <w:jc w:val="right"/>
                    <w:rPr>
                      <w:rFonts w:ascii="楷体_GB2312" w:eastAsia="楷体_GB2312"/>
                      <w:b/>
                      <w:szCs w:val="21"/>
                    </w:rPr>
                  </w:pPr>
                  <w:r>
                    <w:rPr>
                      <w:rFonts w:ascii="楷体_GB2312" w:eastAsia="楷体_GB2312" w:hint="eastAsia"/>
                      <w:b/>
                      <w:szCs w:val="21"/>
                    </w:rPr>
                    <w:t>--</w:t>
                  </w:r>
                  <w:r w:rsidRPr="004E62DA">
                    <w:rPr>
                      <w:rFonts w:hint="eastAsia"/>
                    </w:rPr>
                    <w:t xml:space="preserve"> </w:t>
                  </w:r>
                  <w:r>
                    <w:rPr>
                      <w:rFonts w:ascii="楷体_GB2312" w:eastAsia="楷体_GB2312" w:hint="eastAsia"/>
                      <w:b/>
                      <w:szCs w:val="21"/>
                    </w:rPr>
                    <w:t>2015</w:t>
                  </w:r>
                  <w:r w:rsidRPr="004E62DA">
                    <w:rPr>
                      <w:rFonts w:ascii="楷体_GB2312" w:eastAsia="楷体_GB2312" w:hint="eastAsia"/>
                      <w:b/>
                      <w:szCs w:val="21"/>
                    </w:rPr>
                    <w:t>年</w:t>
                  </w:r>
                  <w:r w:rsidR="004C5156">
                    <w:rPr>
                      <w:rFonts w:ascii="楷体_GB2312" w:eastAsia="楷体_GB2312" w:hint="eastAsia"/>
                      <w:b/>
                      <w:szCs w:val="21"/>
                    </w:rPr>
                    <w:t>8</w:t>
                  </w:r>
                  <w:r>
                    <w:rPr>
                      <w:rFonts w:ascii="楷体_GB2312" w:eastAsia="楷体_GB2312" w:hint="eastAsia"/>
                      <w:b/>
                      <w:szCs w:val="21"/>
                    </w:rPr>
                    <w:t>月基</w:t>
                  </w:r>
                  <w:r w:rsidRPr="004E62DA">
                    <w:rPr>
                      <w:rFonts w:ascii="楷体_GB2312" w:eastAsia="楷体_GB2312" w:hint="eastAsia"/>
                      <w:b/>
                      <w:szCs w:val="21"/>
                    </w:rPr>
                    <w:t>金投资策略</w:t>
                  </w:r>
                  <w:r>
                    <w:rPr>
                      <w:rFonts w:ascii="楷体_GB2312" w:eastAsia="楷体_GB2312" w:hint="eastAsia"/>
                      <w:b/>
                      <w:szCs w:val="21"/>
                    </w:rPr>
                    <w:t xml:space="preserve">   </w:t>
                  </w:r>
                </w:p>
                <w:p w:rsidR="00251B81" w:rsidRPr="00AF7DC8" w:rsidRDefault="00251B81" w:rsidP="009A18F4">
                  <w:pPr>
                    <w:spacing w:line="360" w:lineRule="auto"/>
                    <w:jc w:val="center"/>
                    <w:rPr>
                      <w:rFonts w:ascii="黑体" w:eastAsia="黑体" w:hAnsi="宋体" w:cs="宋体-18030"/>
                      <w:b/>
                      <w:color w:val="FFFFFF"/>
                      <w:sz w:val="30"/>
                      <w:szCs w:val="30"/>
                    </w:rPr>
                  </w:pPr>
                </w:p>
              </w:txbxContent>
            </v:textbox>
          </v:shape>
        </w:pict>
      </w:r>
      <w:r w:rsidR="009A18F4" w:rsidRPr="00A054FE">
        <w:rPr>
          <w:rFonts w:ascii="黑体" w:eastAsia="黑体" w:hAnsi="宋体" w:hint="eastAsia"/>
          <w:b/>
          <w:color w:val="003366"/>
          <w:sz w:val="24"/>
        </w:rPr>
        <w:t>主要观点：</w:t>
      </w:r>
    </w:p>
    <w:p w:rsidR="009A18F4" w:rsidRDefault="00D447C3" w:rsidP="0075204E">
      <w:pPr>
        <w:numPr>
          <w:ilvl w:val="0"/>
          <w:numId w:val="2"/>
        </w:numPr>
        <w:spacing w:beforeLines="50" w:afterLines="50"/>
        <w:rPr>
          <w:rFonts w:ascii="黑体" w:eastAsia="黑体" w:hAnsi="宋体-18030" w:cs="宋体-18030"/>
          <w:b/>
          <w:bCs/>
          <w:color w:val="003366"/>
          <w:kern w:val="44"/>
          <w:szCs w:val="21"/>
        </w:rPr>
      </w:pPr>
      <w:r>
        <w:rPr>
          <w:rFonts w:ascii="黑体" w:eastAsia="黑体" w:hAnsi="宋体-18030" w:cs="宋体-18030" w:hint="eastAsia"/>
          <w:b/>
          <w:bCs/>
          <w:color w:val="003366"/>
          <w:kern w:val="44"/>
          <w:szCs w:val="21"/>
        </w:rPr>
        <w:t>底部探明</w:t>
      </w:r>
      <w:r w:rsidR="004C5156">
        <w:rPr>
          <w:rFonts w:ascii="黑体" w:eastAsia="黑体" w:hAnsi="宋体-18030" w:cs="宋体-18030" w:hint="eastAsia"/>
          <w:b/>
          <w:bCs/>
          <w:color w:val="003366"/>
          <w:kern w:val="44"/>
          <w:szCs w:val="21"/>
        </w:rPr>
        <w:t>，</w:t>
      </w:r>
      <w:r w:rsidR="00B0557D" w:rsidRPr="00B0557D">
        <w:rPr>
          <w:rFonts w:ascii="黑体" w:eastAsia="黑体" w:hAnsi="宋体-18030" w:cs="宋体-18030" w:hint="eastAsia"/>
          <w:b/>
          <w:bCs/>
          <w:color w:val="003366"/>
          <w:kern w:val="44"/>
          <w:szCs w:val="21"/>
        </w:rPr>
        <w:t>震荡</w:t>
      </w:r>
      <w:r>
        <w:rPr>
          <w:rFonts w:ascii="黑体" w:eastAsia="黑体" w:hAnsi="宋体-18030" w:cs="宋体-18030" w:hint="eastAsia"/>
          <w:b/>
          <w:bCs/>
          <w:color w:val="003366"/>
          <w:kern w:val="44"/>
          <w:szCs w:val="21"/>
        </w:rPr>
        <w:t>有望衰减</w:t>
      </w:r>
    </w:p>
    <w:p w:rsidR="009A18F4" w:rsidRDefault="00D447C3" w:rsidP="009A18F4">
      <w:pPr>
        <w:ind w:firstLine="420"/>
        <w:rPr>
          <w:rFonts w:ascii="楷体_GB2312" w:eastAsia="楷体_GB2312" w:hAnsi="宋体" w:cs="宋体"/>
          <w:kern w:val="0"/>
          <w:szCs w:val="21"/>
        </w:rPr>
      </w:pPr>
      <w:r>
        <w:rPr>
          <w:rFonts w:ascii="楷体_GB2312" w:eastAsia="楷体_GB2312" w:hAnsi="宋体" w:cs="宋体" w:hint="eastAsia"/>
          <w:kern w:val="0"/>
          <w:szCs w:val="21"/>
        </w:rPr>
        <w:t>欧元区因希腊债务危机引发的紧张情绪短期得以缓解</w:t>
      </w:r>
      <w:r w:rsidR="009A18F4">
        <w:rPr>
          <w:rFonts w:ascii="楷体_GB2312" w:eastAsia="楷体_GB2312" w:hAnsi="宋体" w:cs="宋体" w:hint="eastAsia"/>
          <w:kern w:val="0"/>
          <w:szCs w:val="21"/>
        </w:rPr>
        <w:t>，</w:t>
      </w:r>
      <w:r>
        <w:rPr>
          <w:rFonts w:ascii="楷体_GB2312" w:eastAsia="楷体_GB2312" w:hAnsi="宋体" w:cs="宋体" w:hint="eastAsia"/>
          <w:kern w:val="0"/>
          <w:szCs w:val="21"/>
        </w:rPr>
        <w:t>大西洋对岸的</w:t>
      </w:r>
      <w:r w:rsidR="009A18F4">
        <w:rPr>
          <w:rFonts w:ascii="楷体_GB2312" w:eastAsia="楷体_GB2312" w:hAnsi="宋体" w:cs="宋体" w:hint="eastAsia"/>
          <w:kern w:val="0"/>
          <w:szCs w:val="21"/>
        </w:rPr>
        <w:t>美国经济回稳强化</w:t>
      </w:r>
      <w:r w:rsidR="006C73F9">
        <w:rPr>
          <w:rFonts w:ascii="楷体_GB2312" w:eastAsia="楷体_GB2312" w:hAnsi="宋体" w:cs="宋体" w:hint="eastAsia"/>
          <w:kern w:val="0"/>
          <w:szCs w:val="21"/>
        </w:rPr>
        <w:t>其</w:t>
      </w:r>
      <w:r w:rsidR="009A18F4">
        <w:rPr>
          <w:rFonts w:ascii="楷体_GB2312" w:eastAsia="楷体_GB2312" w:hAnsi="宋体" w:cs="宋体" w:hint="eastAsia"/>
          <w:kern w:val="0"/>
          <w:szCs w:val="21"/>
        </w:rPr>
        <w:t>加息</w:t>
      </w:r>
      <w:r w:rsidR="009A18F4" w:rsidRPr="009B1698">
        <w:rPr>
          <w:rFonts w:ascii="楷体_GB2312" w:eastAsia="楷体_GB2312" w:hAnsi="宋体" w:cs="宋体" w:hint="eastAsia"/>
          <w:kern w:val="0"/>
          <w:szCs w:val="21"/>
        </w:rPr>
        <w:t>预期，</w:t>
      </w:r>
      <w:r>
        <w:rPr>
          <w:rFonts w:ascii="楷体_GB2312" w:eastAsia="楷体_GB2312" w:hAnsi="宋体" w:cs="宋体" w:hint="eastAsia"/>
          <w:kern w:val="0"/>
          <w:szCs w:val="21"/>
        </w:rPr>
        <w:t>美元指数再拾升势</w:t>
      </w:r>
      <w:r w:rsidR="009A18F4">
        <w:rPr>
          <w:rFonts w:ascii="楷体_GB2312" w:eastAsia="楷体_GB2312" w:hAnsi="宋体" w:cs="宋体" w:hint="eastAsia"/>
          <w:kern w:val="0"/>
          <w:szCs w:val="21"/>
        </w:rPr>
        <w:t>。</w:t>
      </w:r>
    </w:p>
    <w:p w:rsidR="00D447C3" w:rsidRDefault="00D447C3" w:rsidP="009A18F4">
      <w:pPr>
        <w:ind w:firstLine="420"/>
        <w:rPr>
          <w:rFonts w:ascii="楷体_GB2312" w:eastAsia="楷体_GB2312" w:hAnsi="宋体" w:cs="宋体"/>
          <w:kern w:val="0"/>
          <w:szCs w:val="21"/>
        </w:rPr>
      </w:pPr>
      <w:r w:rsidRPr="00BB1EF4">
        <w:rPr>
          <w:rFonts w:ascii="楷体_GB2312" w:eastAsia="楷体_GB2312" w:hAnsi="宋体" w:cs="宋体" w:hint="eastAsia"/>
          <w:kern w:val="0"/>
          <w:szCs w:val="21"/>
        </w:rPr>
        <w:t>中国</w:t>
      </w:r>
      <w:r>
        <w:rPr>
          <w:rFonts w:ascii="楷体_GB2312" w:eastAsia="楷体_GB2312" w:hAnsi="宋体" w:cs="宋体" w:hint="eastAsia"/>
          <w:kern w:val="0"/>
          <w:szCs w:val="21"/>
        </w:rPr>
        <w:t>经济增长仍然脆弱</w:t>
      </w:r>
      <w:r w:rsidR="009A18F4">
        <w:rPr>
          <w:rFonts w:ascii="楷体_GB2312" w:eastAsia="楷体_GB2312" w:hAnsi="宋体" w:cs="宋体" w:hint="eastAsia"/>
          <w:kern w:val="0"/>
          <w:szCs w:val="21"/>
        </w:rPr>
        <w:t>，</w:t>
      </w:r>
      <w:r>
        <w:rPr>
          <w:rFonts w:ascii="楷体_GB2312" w:eastAsia="楷体_GB2312" w:hAnsi="宋体" w:cs="宋体" w:hint="eastAsia"/>
          <w:kern w:val="0"/>
          <w:szCs w:val="21"/>
        </w:rPr>
        <w:t>股市短期流动性急缺引发的踩踏现象已经过去，</w:t>
      </w:r>
      <w:r w:rsidR="00245287">
        <w:rPr>
          <w:rFonts w:ascii="楷体_GB2312" w:eastAsia="楷体_GB2312" w:hAnsi="宋体" w:cs="宋体" w:hint="eastAsia"/>
          <w:kern w:val="0"/>
          <w:szCs w:val="21"/>
        </w:rPr>
        <w:t>在国家政策的强力扶持下和国家资金的强力平稳下，股市向下的底部已经探明，尽管市场情绪仍然较为敏感，受投资者对风险偏好的重新审视和政策托底的交互式影响</w:t>
      </w:r>
      <w:r w:rsidR="006C73F9">
        <w:rPr>
          <w:rFonts w:ascii="楷体_GB2312" w:eastAsia="楷体_GB2312" w:hAnsi="宋体" w:cs="宋体" w:hint="eastAsia"/>
          <w:kern w:val="0"/>
          <w:szCs w:val="21"/>
        </w:rPr>
        <w:t>，短期市场将维持震荡</w:t>
      </w:r>
      <w:r w:rsidR="00245287">
        <w:rPr>
          <w:rFonts w:ascii="楷体_GB2312" w:eastAsia="楷体_GB2312" w:hAnsi="宋体" w:cs="宋体" w:hint="eastAsia"/>
          <w:kern w:val="0"/>
          <w:szCs w:val="21"/>
        </w:rPr>
        <w:t>，股指存在反复，趋势性机会欠缺，但结构性机会和个股投资机会仍将不断涌现。</w:t>
      </w:r>
    </w:p>
    <w:p w:rsidR="009A18F4" w:rsidRPr="00661347" w:rsidRDefault="00245287" w:rsidP="009A18F4">
      <w:pPr>
        <w:ind w:firstLine="420"/>
        <w:rPr>
          <w:rFonts w:ascii="楷体_GB2312" w:eastAsia="楷体_GB2312" w:hAnsi="宋体" w:cs="宋体"/>
          <w:kern w:val="0"/>
          <w:szCs w:val="21"/>
        </w:rPr>
      </w:pPr>
      <w:r>
        <w:rPr>
          <w:rFonts w:ascii="楷体_GB2312" w:eastAsia="楷体_GB2312" w:hAnsi="宋体" w:cs="宋体" w:hint="eastAsia"/>
          <w:kern w:val="0"/>
          <w:szCs w:val="21"/>
        </w:rPr>
        <w:t>长期来看，随着时间对恐慌的消化，市场震荡幅度必然随着信心修复而衰减，经过一段时间的筑底，由利率下行、</w:t>
      </w:r>
      <w:r w:rsidR="003526AD">
        <w:rPr>
          <w:rFonts w:ascii="楷体_GB2312" w:eastAsia="楷体_GB2312" w:hAnsi="宋体" w:cs="宋体" w:hint="eastAsia"/>
          <w:kern w:val="0"/>
          <w:szCs w:val="21"/>
        </w:rPr>
        <w:t>资产配置转移和经济转型支撑的股市仍将继续向上。</w:t>
      </w:r>
    </w:p>
    <w:p w:rsidR="009A18F4" w:rsidRDefault="001A5521" w:rsidP="0075204E">
      <w:pPr>
        <w:numPr>
          <w:ilvl w:val="0"/>
          <w:numId w:val="2"/>
        </w:numPr>
        <w:spacing w:beforeLines="50" w:afterLines="50"/>
        <w:rPr>
          <w:rFonts w:ascii="黑体" w:eastAsia="黑体" w:hAnsi="宋体-18030" w:cs="宋体-18030"/>
          <w:b/>
          <w:bCs/>
          <w:color w:val="003366"/>
          <w:kern w:val="44"/>
          <w:szCs w:val="21"/>
        </w:rPr>
      </w:pPr>
      <w:r>
        <w:rPr>
          <w:rFonts w:ascii="黑体" w:eastAsia="黑体" w:hAnsi="宋体-18030" w:cs="宋体-18030" w:hint="eastAsia"/>
          <w:b/>
          <w:bCs/>
          <w:color w:val="003366"/>
          <w:kern w:val="44"/>
          <w:szCs w:val="21"/>
        </w:rPr>
        <w:t>转向偏乐观，</w:t>
      </w:r>
      <w:r w:rsidR="004C5156">
        <w:rPr>
          <w:rFonts w:ascii="黑体" w:eastAsia="黑体" w:hAnsi="宋体-18030" w:cs="宋体-18030" w:hint="eastAsia"/>
          <w:b/>
          <w:bCs/>
          <w:color w:val="003366"/>
          <w:kern w:val="44"/>
          <w:szCs w:val="21"/>
        </w:rPr>
        <w:t>侧重关注国企改革主题</w:t>
      </w:r>
      <w:r w:rsidR="00F240D1">
        <w:rPr>
          <w:rFonts w:ascii="黑体" w:eastAsia="黑体" w:hAnsi="宋体-18030" w:cs="宋体-18030" w:hint="eastAsia"/>
          <w:b/>
          <w:bCs/>
          <w:color w:val="003366"/>
          <w:kern w:val="44"/>
          <w:szCs w:val="21"/>
        </w:rPr>
        <w:t>基金</w:t>
      </w:r>
    </w:p>
    <w:p w:rsidR="009A18F4" w:rsidRDefault="00061718" w:rsidP="009A18F4">
      <w:pPr>
        <w:ind w:firstLine="420"/>
        <w:rPr>
          <w:rFonts w:ascii="楷体_GB2312" w:eastAsia="楷体_GB2312" w:hAnsi="宋体" w:cs="宋体"/>
          <w:kern w:val="0"/>
          <w:szCs w:val="21"/>
        </w:rPr>
      </w:pPr>
      <w:r w:rsidRPr="00CE2E5B">
        <w:rPr>
          <w:rFonts w:ascii="楷体_GB2312" w:eastAsia="楷体_GB2312" w:hAnsi="宋体" w:cs="宋体" w:hint="eastAsia"/>
          <w:kern w:val="0"/>
          <w:szCs w:val="21"/>
        </w:rPr>
        <w:t>建议短期内投资者</w:t>
      </w:r>
      <w:r>
        <w:rPr>
          <w:rFonts w:ascii="楷体_GB2312" w:eastAsia="楷体_GB2312" w:hAnsi="宋体" w:cs="宋体" w:hint="eastAsia"/>
          <w:kern w:val="0"/>
          <w:szCs w:val="21"/>
        </w:rPr>
        <w:t>转向偏乐观，长期投资者和</w:t>
      </w:r>
      <w:r w:rsidRPr="00CE2E5B">
        <w:rPr>
          <w:rFonts w:ascii="楷体_GB2312" w:eastAsia="楷体_GB2312" w:hAnsi="宋体" w:cs="宋体" w:hint="eastAsia"/>
          <w:kern w:val="0"/>
          <w:szCs w:val="21"/>
        </w:rPr>
        <w:t>高风险投资者</w:t>
      </w:r>
      <w:r>
        <w:rPr>
          <w:rFonts w:ascii="楷体_GB2312" w:eastAsia="楷体_GB2312" w:hAnsi="宋体" w:cs="宋体" w:hint="eastAsia"/>
          <w:kern w:val="0"/>
          <w:szCs w:val="21"/>
        </w:rPr>
        <w:t>扭转前期股灾式思维，逢低适当增加权益型型基金配置比例，中低风险投资者维持相对中性的配置结构，并保持组合灵活性，等待市场企稳</w:t>
      </w:r>
      <w:r w:rsidR="009A18F4">
        <w:rPr>
          <w:rFonts w:ascii="楷体_GB2312" w:eastAsia="楷体_GB2312" w:hAnsi="宋体" w:cs="宋体" w:hint="eastAsia"/>
          <w:color w:val="000000"/>
          <w:kern w:val="0"/>
          <w:szCs w:val="21"/>
        </w:rPr>
        <w:t>。</w:t>
      </w:r>
    </w:p>
    <w:p w:rsidR="004D5FC7" w:rsidRPr="004D5FC7" w:rsidRDefault="009A18F4" w:rsidP="009A18F4">
      <w:pPr>
        <w:ind w:firstLine="420"/>
        <w:rPr>
          <w:rFonts w:ascii="楷体_GB2312" w:eastAsia="楷体_GB2312" w:hAnsi="宋体" w:cs="宋体"/>
          <w:kern w:val="0"/>
          <w:szCs w:val="21"/>
        </w:rPr>
      </w:pPr>
      <w:r w:rsidRPr="004D5FC7">
        <w:rPr>
          <w:rFonts w:ascii="楷体_GB2312" w:eastAsia="楷体_GB2312" w:hAnsi="宋体" w:cs="宋体" w:hint="eastAsia"/>
          <w:kern w:val="0"/>
          <w:szCs w:val="21"/>
        </w:rPr>
        <w:t>权益类基金方面，</w:t>
      </w:r>
      <w:r w:rsidR="00061718" w:rsidRPr="004D5FC7">
        <w:rPr>
          <w:rFonts w:ascii="楷体_GB2312" w:eastAsia="楷体_GB2312" w:hAnsi="宋体" w:cs="宋体" w:hint="eastAsia"/>
          <w:kern w:val="0"/>
          <w:szCs w:val="21"/>
        </w:rPr>
        <w:t>建议投资者重点关注选股能力突出，波段操作能力强的混合型基金；主题方面，建议</w:t>
      </w:r>
      <w:r w:rsidR="004D5FC7" w:rsidRPr="004D5FC7">
        <w:rPr>
          <w:rFonts w:ascii="楷体_GB2312" w:eastAsia="楷体_GB2312" w:hAnsi="宋体" w:cs="宋体" w:hint="eastAsia"/>
          <w:kern w:val="0"/>
          <w:szCs w:val="21"/>
        </w:rPr>
        <w:t>侧重配置国企改革主题基金，重点关注</w:t>
      </w:r>
      <w:r w:rsidR="002E6972">
        <w:rPr>
          <w:rFonts w:ascii="楷体_GB2312" w:eastAsia="楷体_GB2312" w:hAnsi="宋体" w:cs="宋体" w:hint="eastAsia"/>
          <w:kern w:val="0"/>
          <w:szCs w:val="21"/>
        </w:rPr>
        <w:t>重仓受益固定投资加</w:t>
      </w:r>
      <w:r w:rsidR="004D5FC7" w:rsidRPr="004D5FC7">
        <w:rPr>
          <w:rFonts w:ascii="楷体_GB2312" w:eastAsia="楷体_GB2312" w:hAnsi="宋体" w:cs="宋体" w:hint="eastAsia"/>
          <w:kern w:val="0"/>
          <w:szCs w:val="21"/>
        </w:rPr>
        <w:t>速的顺周期蓝筹板块的的绩优基金；适当配置具备真正选股能力的中小盘成长风格基金。</w:t>
      </w:r>
    </w:p>
    <w:p w:rsidR="009A18F4" w:rsidRPr="00946743" w:rsidRDefault="009A18F4" w:rsidP="009A18F4">
      <w:pPr>
        <w:ind w:firstLine="420"/>
        <w:rPr>
          <w:rFonts w:ascii="楷体_GB2312" w:eastAsia="楷体_GB2312" w:hAnsi="宋体" w:cs="宋体"/>
          <w:kern w:val="0"/>
          <w:szCs w:val="21"/>
        </w:rPr>
      </w:pPr>
      <w:r w:rsidRPr="00946743">
        <w:rPr>
          <w:rFonts w:ascii="楷体_GB2312" w:eastAsia="楷体_GB2312" w:hAnsi="宋体" w:cs="宋体" w:hint="eastAsia"/>
          <w:kern w:val="0"/>
          <w:szCs w:val="21"/>
        </w:rPr>
        <w:t>固定收益率基金方面，</w:t>
      </w:r>
      <w:r w:rsidR="00865ADC">
        <w:rPr>
          <w:rFonts w:ascii="楷体_GB2312" w:eastAsia="楷体_GB2312" w:hAnsi="宋体" w:cs="宋体" w:hint="eastAsia"/>
          <w:kern w:val="0"/>
          <w:szCs w:val="21"/>
        </w:rPr>
        <w:t>建议低风险投资者继续加码</w:t>
      </w:r>
      <w:r w:rsidR="00865ADC" w:rsidRPr="00FB4068">
        <w:rPr>
          <w:rFonts w:ascii="楷体_GB2312" w:eastAsia="楷体_GB2312" w:hAnsi="宋体" w:cs="宋体" w:hint="eastAsia"/>
          <w:kern w:val="0"/>
          <w:szCs w:val="21"/>
        </w:rPr>
        <w:t>债券型基金</w:t>
      </w:r>
      <w:r w:rsidR="00471EDE">
        <w:rPr>
          <w:rFonts w:ascii="楷体_GB2312" w:eastAsia="楷体_GB2312" w:hAnsi="宋体" w:cs="宋体" w:hint="eastAsia"/>
          <w:kern w:val="0"/>
          <w:szCs w:val="21"/>
        </w:rPr>
        <w:t>，</w:t>
      </w:r>
      <w:r w:rsidR="00865ADC" w:rsidRPr="00FB4068">
        <w:rPr>
          <w:rFonts w:ascii="楷体_GB2312" w:eastAsia="楷体_GB2312" w:hAnsi="宋体" w:cs="宋体" w:hint="eastAsia"/>
          <w:kern w:val="0"/>
          <w:szCs w:val="21"/>
        </w:rPr>
        <w:t>在配置品种上，侧重配置重仓期限偏向中长期、债券评级偏向低评级的债券型基金</w:t>
      </w:r>
      <w:r w:rsidR="00865ADC">
        <w:rPr>
          <w:rFonts w:ascii="楷体_GB2312" w:eastAsia="楷体_GB2312" w:hAnsi="宋体" w:cs="宋体" w:hint="eastAsia"/>
          <w:kern w:val="0"/>
          <w:szCs w:val="21"/>
        </w:rPr>
        <w:t>，但需回避配置股票</w:t>
      </w:r>
      <w:r w:rsidR="00471EDE">
        <w:rPr>
          <w:rFonts w:ascii="楷体_GB2312" w:eastAsia="楷体_GB2312" w:hAnsi="宋体" w:cs="宋体" w:hint="eastAsia"/>
          <w:kern w:val="0"/>
          <w:szCs w:val="21"/>
        </w:rPr>
        <w:t>和可转债</w:t>
      </w:r>
      <w:r w:rsidR="00865ADC">
        <w:rPr>
          <w:rFonts w:ascii="楷体_GB2312" w:eastAsia="楷体_GB2312" w:hAnsi="宋体" w:cs="宋体" w:hint="eastAsia"/>
          <w:kern w:val="0"/>
          <w:szCs w:val="21"/>
        </w:rPr>
        <w:t>资产的债券型基金</w:t>
      </w:r>
      <w:r w:rsidRPr="00946743">
        <w:rPr>
          <w:rFonts w:ascii="楷体_GB2312" w:eastAsia="楷体_GB2312" w:hAnsi="宋体" w:cs="宋体" w:hint="eastAsia"/>
          <w:kern w:val="0"/>
          <w:szCs w:val="21"/>
        </w:rPr>
        <w:t>。</w:t>
      </w:r>
    </w:p>
    <w:p w:rsidR="009A18F4" w:rsidRPr="007F5B42" w:rsidRDefault="009A18F4" w:rsidP="009A18F4">
      <w:pPr>
        <w:ind w:firstLine="420"/>
        <w:rPr>
          <w:rFonts w:ascii="楷体_GB2312" w:eastAsia="楷体_GB2312" w:hAnsi="宋体" w:cs="宋体"/>
          <w:kern w:val="0"/>
          <w:szCs w:val="21"/>
        </w:rPr>
      </w:pPr>
      <w:r w:rsidRPr="008A55AF">
        <w:rPr>
          <w:rFonts w:ascii="楷体_GB2312" w:eastAsia="楷体_GB2312" w:hAnsi="宋体" w:cs="宋体" w:hint="eastAsia"/>
          <w:kern w:val="0"/>
          <w:szCs w:val="21"/>
        </w:rPr>
        <w:t>QDII方面，</w:t>
      </w:r>
      <w:r w:rsidR="00865ADC">
        <w:rPr>
          <w:rFonts w:ascii="楷体_GB2312" w:eastAsia="楷体_GB2312" w:hAnsi="宋体" w:cs="宋体" w:hint="eastAsia"/>
          <w:kern w:val="0"/>
          <w:szCs w:val="21"/>
        </w:rPr>
        <w:t>建议投资者高配美国股票QDII、低配新兴市场股票QDII、港股QDII，短期内还可高配欧洲、日本股票QDII。短期内回避直接受累美元升值的贵重金属QDII，低配受累美元升值和全球需求不振的大宗商品QDII，</w:t>
      </w:r>
      <w:r w:rsidR="00865ADC" w:rsidRPr="00E06921">
        <w:rPr>
          <w:rFonts w:ascii="楷体_GB2312" w:eastAsia="楷体_GB2312" w:hAnsi="宋体" w:cs="宋体" w:hint="eastAsia"/>
          <w:kern w:val="0"/>
          <w:szCs w:val="21"/>
        </w:rPr>
        <w:t>长期投资者和高风险投资者可以从逆向投资的角度出发逐步布局</w:t>
      </w:r>
      <w:r w:rsidR="00865ADC">
        <w:rPr>
          <w:rFonts w:ascii="楷体_GB2312" w:eastAsia="楷体_GB2312" w:hAnsi="宋体" w:cs="宋体" w:hint="eastAsia"/>
          <w:kern w:val="0"/>
          <w:szCs w:val="21"/>
        </w:rPr>
        <w:t>原油</w:t>
      </w:r>
      <w:r w:rsidR="00865ADC" w:rsidRPr="00E06921">
        <w:rPr>
          <w:rFonts w:ascii="楷体_GB2312" w:eastAsia="楷体_GB2312" w:hAnsi="宋体" w:cs="宋体" w:hint="eastAsia"/>
          <w:kern w:val="0"/>
          <w:szCs w:val="21"/>
        </w:rPr>
        <w:t>QDII</w:t>
      </w:r>
      <w:r w:rsidRPr="008A55AF">
        <w:rPr>
          <w:rFonts w:ascii="楷体_GB2312" w:eastAsia="楷体_GB2312" w:hAnsi="宋体" w:cs="宋体" w:hint="eastAsia"/>
          <w:kern w:val="0"/>
          <w:szCs w:val="21"/>
        </w:rPr>
        <w:t>。</w:t>
      </w:r>
    </w:p>
    <w:p w:rsidR="009A18F4" w:rsidRPr="00C1375D" w:rsidRDefault="009A18F4" w:rsidP="0075204E">
      <w:pPr>
        <w:numPr>
          <w:ilvl w:val="0"/>
          <w:numId w:val="2"/>
        </w:numPr>
        <w:spacing w:beforeLines="50" w:afterLines="50"/>
        <w:rPr>
          <w:rFonts w:ascii="楷体_GB2312" w:eastAsia="楷体_GB2312" w:hAnsi="宋体" w:cs="宋体"/>
          <w:kern w:val="0"/>
          <w:szCs w:val="21"/>
        </w:rPr>
      </w:pPr>
      <w:r w:rsidRPr="00C1375D">
        <w:rPr>
          <w:rFonts w:ascii="黑体" w:eastAsia="黑体" w:hAnsi="宋体-18030" w:cs="宋体-18030" w:hint="eastAsia"/>
          <w:b/>
          <w:bCs/>
          <w:color w:val="003366"/>
          <w:kern w:val="44"/>
          <w:szCs w:val="21"/>
        </w:rPr>
        <w:t>本期组合推荐如下</w:t>
      </w:r>
    </w:p>
    <w:tbl>
      <w:tblPr>
        <w:tblW w:w="5000" w:type="pct"/>
        <w:jc w:val="center"/>
        <w:tblLook w:val="0000"/>
      </w:tblPr>
      <w:tblGrid>
        <w:gridCol w:w="1828"/>
        <w:gridCol w:w="578"/>
        <w:gridCol w:w="222"/>
        <w:gridCol w:w="1433"/>
        <w:gridCol w:w="578"/>
        <w:gridCol w:w="222"/>
        <w:gridCol w:w="1296"/>
        <w:gridCol w:w="578"/>
      </w:tblGrid>
      <w:tr w:rsidR="009A18F4" w:rsidRPr="005B5148" w:rsidTr="00DE017A">
        <w:trPr>
          <w:trHeight w:val="285"/>
          <w:jc w:val="center"/>
        </w:trPr>
        <w:tc>
          <w:tcPr>
            <w:tcW w:w="1919" w:type="pct"/>
            <w:gridSpan w:val="2"/>
            <w:tcBorders>
              <w:top w:val="single" w:sz="4" w:space="0" w:color="auto"/>
              <w:left w:val="single" w:sz="4" w:space="0" w:color="auto"/>
              <w:right w:val="single" w:sz="4" w:space="0" w:color="000000"/>
            </w:tcBorders>
            <w:shd w:val="clear" w:color="auto" w:fill="0000FF"/>
            <w:noWrap/>
            <w:vAlign w:val="bottom"/>
          </w:tcPr>
          <w:p w:rsidR="009A18F4" w:rsidRPr="00604445" w:rsidRDefault="009A18F4" w:rsidP="00DE017A">
            <w:pPr>
              <w:widowControl/>
              <w:jc w:val="center"/>
              <w:rPr>
                <w:rFonts w:ascii="宋体" w:hAnsi="宋体" w:cs="宋体"/>
                <w:b/>
                <w:color w:val="FFFFFF"/>
                <w:kern w:val="0"/>
                <w:sz w:val="18"/>
                <w:szCs w:val="18"/>
              </w:rPr>
            </w:pPr>
            <w:r>
              <w:rPr>
                <w:rFonts w:ascii="楷体_GB2312" w:eastAsia="楷体_GB2312" w:hAnsi="宋体" w:cs="宋体"/>
                <w:kern w:val="0"/>
                <w:szCs w:val="21"/>
              </w:rPr>
              <w:t xml:space="preserve"> </w:t>
            </w:r>
            <w:r w:rsidRPr="00604445">
              <w:rPr>
                <w:rFonts w:ascii="宋体" w:hAnsi="宋体" w:cs="宋体" w:hint="eastAsia"/>
                <w:b/>
                <w:color w:val="FFFFFF"/>
                <w:kern w:val="0"/>
                <w:sz w:val="18"/>
                <w:szCs w:val="18"/>
              </w:rPr>
              <w:t>积极型组合</w:t>
            </w:r>
          </w:p>
        </w:tc>
        <w:tc>
          <w:tcPr>
            <w:tcW w:w="16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9A18F4" w:rsidRPr="005B5148" w:rsidRDefault="009A18F4" w:rsidP="00DE017A">
            <w:pPr>
              <w:widowControl/>
              <w:jc w:val="center"/>
              <w:rPr>
                <w:rFonts w:ascii="宋体" w:hAnsi="宋体" w:cs="宋体"/>
                <w:kern w:val="0"/>
                <w:sz w:val="18"/>
                <w:szCs w:val="18"/>
              </w:rPr>
            </w:pPr>
          </w:p>
        </w:tc>
        <w:tc>
          <w:tcPr>
            <w:tcW w:w="1625" w:type="pct"/>
            <w:gridSpan w:val="2"/>
            <w:tcBorders>
              <w:top w:val="single" w:sz="4" w:space="0" w:color="auto"/>
              <w:left w:val="single" w:sz="4" w:space="0" w:color="auto"/>
              <w:right w:val="single" w:sz="4" w:space="0" w:color="000000"/>
            </w:tcBorders>
            <w:shd w:val="clear" w:color="auto" w:fill="0000FF"/>
            <w:noWrap/>
            <w:vAlign w:val="bottom"/>
          </w:tcPr>
          <w:p w:rsidR="009A18F4" w:rsidRPr="00604445" w:rsidRDefault="009A18F4" w:rsidP="00DE017A">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平衡型组合</w:t>
            </w:r>
          </w:p>
        </w:tc>
        <w:tc>
          <w:tcPr>
            <w:tcW w:w="165"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9A18F4" w:rsidRPr="005B5148" w:rsidRDefault="009A18F4" w:rsidP="00DE017A">
            <w:pPr>
              <w:widowControl/>
              <w:jc w:val="center"/>
              <w:rPr>
                <w:rFonts w:ascii="宋体" w:hAnsi="宋体" w:cs="宋体"/>
                <w:kern w:val="0"/>
                <w:sz w:val="18"/>
                <w:szCs w:val="18"/>
              </w:rPr>
            </w:pPr>
          </w:p>
        </w:tc>
        <w:tc>
          <w:tcPr>
            <w:tcW w:w="1126" w:type="pct"/>
            <w:gridSpan w:val="2"/>
            <w:tcBorders>
              <w:top w:val="single" w:sz="4" w:space="0" w:color="auto"/>
              <w:left w:val="single" w:sz="4" w:space="0" w:color="auto"/>
              <w:right w:val="single" w:sz="4" w:space="0" w:color="000000"/>
            </w:tcBorders>
            <w:shd w:val="clear" w:color="auto" w:fill="0000FF"/>
            <w:noWrap/>
            <w:vAlign w:val="bottom"/>
          </w:tcPr>
          <w:p w:rsidR="009A18F4" w:rsidRPr="00604445" w:rsidRDefault="009A18F4" w:rsidP="00DE017A">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稳定型组合</w:t>
            </w:r>
          </w:p>
        </w:tc>
      </w:tr>
      <w:tr w:rsidR="009A18F4" w:rsidRPr="005B5148" w:rsidTr="00DE017A">
        <w:trPr>
          <w:trHeight w:val="285"/>
          <w:jc w:val="center"/>
        </w:trPr>
        <w:tc>
          <w:tcPr>
            <w:tcW w:w="1490" w:type="pct"/>
            <w:tcBorders>
              <w:top w:val="nil"/>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top w:val="nil"/>
              <w:left w:val="single" w:sz="8" w:space="0" w:color="auto"/>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9A18F4" w:rsidRPr="005B5148" w:rsidRDefault="009A18F4" w:rsidP="00DE017A">
            <w:pPr>
              <w:widowControl/>
              <w:jc w:val="left"/>
              <w:rPr>
                <w:rFonts w:ascii="宋体" w:hAnsi="宋体" w:cs="宋体"/>
                <w:kern w:val="0"/>
                <w:sz w:val="18"/>
                <w:szCs w:val="18"/>
              </w:rPr>
            </w:pPr>
          </w:p>
        </w:tc>
        <w:tc>
          <w:tcPr>
            <w:tcW w:w="1196" w:type="pct"/>
            <w:tcBorders>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9A18F4" w:rsidRPr="005B5148" w:rsidRDefault="009A18F4" w:rsidP="00DE017A">
            <w:pPr>
              <w:widowControl/>
              <w:jc w:val="left"/>
              <w:rPr>
                <w:rFonts w:ascii="宋体" w:hAnsi="宋体" w:cs="宋体"/>
                <w:kern w:val="0"/>
                <w:sz w:val="18"/>
                <w:szCs w:val="18"/>
              </w:rPr>
            </w:pPr>
          </w:p>
        </w:tc>
        <w:tc>
          <w:tcPr>
            <w:tcW w:w="697" w:type="pct"/>
            <w:tcBorders>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r>
      <w:tr w:rsidR="00224620" w:rsidRPr="005B5148" w:rsidTr="00DE017A">
        <w:trPr>
          <w:trHeight w:val="285"/>
          <w:jc w:val="center"/>
        </w:trPr>
        <w:tc>
          <w:tcPr>
            <w:tcW w:w="1490" w:type="pct"/>
            <w:tcBorders>
              <w:top w:val="single" w:sz="8" w:space="0" w:color="auto"/>
              <w:left w:val="single" w:sz="4" w:space="0" w:color="auto"/>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sidRPr="0083054E">
              <w:rPr>
                <w:sz w:val="18"/>
                <w:szCs w:val="18"/>
              </w:rPr>
              <w:t>信诚精萃成长</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7F5B42">
              <w:rPr>
                <w:rFonts w:ascii="Arial" w:hAnsi="Arial" w:cs="Arial" w:hint="eastAsia"/>
                <w:sz w:val="16"/>
                <w:szCs w:val="16"/>
              </w:rPr>
              <w:t>30%</w:t>
            </w:r>
          </w:p>
        </w:tc>
        <w:tc>
          <w:tcPr>
            <w:tcW w:w="165" w:type="pct"/>
            <w:vMerge/>
            <w:tcBorders>
              <w:top w:val="single" w:sz="8"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1196"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sidRPr="0083054E">
              <w:rPr>
                <w:sz w:val="18"/>
                <w:szCs w:val="18"/>
              </w:rPr>
              <w:t>信诚精萃成长</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Pr>
                <w:rFonts w:hint="eastAsia"/>
                <w:sz w:val="18"/>
                <w:szCs w:val="18"/>
              </w:rPr>
              <w:t>20%</w:t>
            </w:r>
          </w:p>
        </w:tc>
        <w:tc>
          <w:tcPr>
            <w:tcW w:w="165" w:type="pct"/>
            <w:vMerge/>
            <w:tcBorders>
              <w:top w:val="single" w:sz="8"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697"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sidRPr="00460204">
              <w:rPr>
                <w:rFonts w:hint="eastAsia"/>
                <w:sz w:val="18"/>
                <w:szCs w:val="18"/>
              </w:rPr>
              <w:t>长城积极增利</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Pr>
                <w:rFonts w:hint="eastAsia"/>
                <w:sz w:val="18"/>
                <w:szCs w:val="18"/>
              </w:rPr>
              <w:t>30%</w:t>
            </w:r>
          </w:p>
        </w:tc>
      </w:tr>
      <w:tr w:rsidR="00224620" w:rsidRPr="005B5148" w:rsidTr="00DE017A">
        <w:trPr>
          <w:trHeight w:val="285"/>
          <w:jc w:val="center"/>
        </w:trPr>
        <w:tc>
          <w:tcPr>
            <w:tcW w:w="1490" w:type="pct"/>
            <w:tcBorders>
              <w:top w:val="nil"/>
              <w:left w:val="single" w:sz="4" w:space="0" w:color="auto"/>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Pr>
                <w:rFonts w:hint="eastAsia"/>
                <w:sz w:val="18"/>
                <w:szCs w:val="18"/>
              </w:rPr>
              <w:t>添富价值</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7F5B42">
              <w:rPr>
                <w:rFonts w:ascii="Arial" w:hAnsi="Arial" w:cs="Arial" w:hint="eastAsia"/>
                <w:sz w:val="16"/>
                <w:szCs w:val="16"/>
              </w:rPr>
              <w:t>40%</w:t>
            </w:r>
          </w:p>
        </w:tc>
        <w:tc>
          <w:tcPr>
            <w:tcW w:w="165" w:type="pct"/>
            <w:vMerge/>
            <w:tcBorders>
              <w:top w:val="single" w:sz="4"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1196"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Pr>
                <w:rFonts w:hint="eastAsia"/>
                <w:sz w:val="18"/>
                <w:szCs w:val="18"/>
              </w:rPr>
              <w:t>添富价值</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Pr>
                <w:rFonts w:hint="eastAsia"/>
                <w:sz w:val="18"/>
                <w:szCs w:val="18"/>
              </w:rPr>
              <w:t>30%</w:t>
            </w:r>
          </w:p>
        </w:tc>
        <w:tc>
          <w:tcPr>
            <w:tcW w:w="165" w:type="pct"/>
            <w:vMerge/>
            <w:tcBorders>
              <w:top w:val="single" w:sz="4"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697"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Pr>
                <w:rFonts w:hint="eastAsia"/>
                <w:sz w:val="18"/>
                <w:szCs w:val="18"/>
              </w:rPr>
              <w:t>华夏现金</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Pr>
                <w:rFonts w:hint="eastAsia"/>
                <w:sz w:val="18"/>
                <w:szCs w:val="18"/>
              </w:rPr>
              <w:t>35%</w:t>
            </w:r>
          </w:p>
        </w:tc>
      </w:tr>
      <w:tr w:rsidR="00224620" w:rsidRPr="005B5148" w:rsidTr="00DE017A">
        <w:trPr>
          <w:trHeight w:val="285"/>
          <w:jc w:val="center"/>
        </w:trPr>
        <w:tc>
          <w:tcPr>
            <w:tcW w:w="1490" w:type="pct"/>
            <w:tcBorders>
              <w:top w:val="nil"/>
              <w:left w:val="single" w:sz="4" w:space="0" w:color="auto"/>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sidRPr="00460204">
              <w:rPr>
                <w:rFonts w:hint="eastAsia"/>
                <w:sz w:val="18"/>
                <w:szCs w:val="18"/>
              </w:rPr>
              <w:t>景顺核心竞争力</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7F5B42">
              <w:rPr>
                <w:rFonts w:ascii="Arial" w:hAnsi="Arial" w:cs="Arial" w:hint="eastAsia"/>
                <w:sz w:val="16"/>
                <w:szCs w:val="16"/>
              </w:rPr>
              <w:t>30%</w:t>
            </w:r>
          </w:p>
        </w:tc>
        <w:tc>
          <w:tcPr>
            <w:tcW w:w="165" w:type="pct"/>
            <w:vMerge/>
            <w:tcBorders>
              <w:top w:val="single" w:sz="4"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1196"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sidRPr="00460204">
              <w:rPr>
                <w:rFonts w:hint="eastAsia"/>
                <w:sz w:val="18"/>
                <w:szCs w:val="18"/>
              </w:rPr>
              <w:t>长城积极增利</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Pr>
                <w:rFonts w:hint="eastAsia"/>
                <w:sz w:val="18"/>
                <w:szCs w:val="18"/>
              </w:rPr>
              <w:t>50%</w:t>
            </w:r>
          </w:p>
        </w:tc>
        <w:tc>
          <w:tcPr>
            <w:tcW w:w="165" w:type="pct"/>
            <w:vMerge/>
            <w:tcBorders>
              <w:top w:val="single" w:sz="4"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697"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Pr>
                <w:rFonts w:hint="eastAsia"/>
                <w:sz w:val="18"/>
                <w:szCs w:val="18"/>
              </w:rPr>
              <w:t>广发货币</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Pr>
                <w:rFonts w:hint="eastAsia"/>
                <w:sz w:val="18"/>
                <w:szCs w:val="18"/>
              </w:rPr>
              <w:t>35%</w:t>
            </w:r>
          </w:p>
        </w:tc>
      </w:tr>
    </w:tbl>
    <w:p w:rsidR="009A18F4" w:rsidRPr="000B4882" w:rsidRDefault="009A18F4" w:rsidP="009A18F4">
      <w:pPr>
        <w:ind w:firstLine="420"/>
        <w:rPr>
          <w:rFonts w:ascii="楷体_GB2312" w:eastAsia="楷体_GB2312"/>
          <w:noProof/>
          <w:color w:val="000000"/>
        </w:rPr>
        <w:sectPr w:rsidR="009A18F4" w:rsidRPr="000B4882" w:rsidSect="00DE017A">
          <w:headerReference w:type="default" r:id="rId9"/>
          <w:footerReference w:type="even" r:id="rId10"/>
          <w:footerReference w:type="default" r:id="rId11"/>
          <w:pgSz w:w="11906" w:h="16838"/>
          <w:pgMar w:top="3402" w:right="851" w:bottom="1418" w:left="4536" w:header="851" w:footer="992" w:gutter="0"/>
          <w:cols w:space="425"/>
          <w:docGrid w:type="lines" w:linePitch="312"/>
        </w:sectPr>
      </w:pPr>
    </w:p>
    <w:p w:rsidR="009A18F4" w:rsidRPr="007C1C3D" w:rsidRDefault="009A18F4" w:rsidP="0075204E">
      <w:pPr>
        <w:spacing w:beforeLines="100" w:afterLines="50"/>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一、</w:t>
      </w:r>
      <w:r w:rsidRPr="007C1C3D">
        <w:rPr>
          <w:rFonts w:ascii="黑体" w:eastAsia="黑体" w:hAnsi="宋体-18030" w:cs="宋体-18030" w:hint="eastAsia"/>
          <w:b/>
          <w:bCs/>
          <w:color w:val="000000"/>
          <w:kern w:val="44"/>
          <w:sz w:val="28"/>
          <w:szCs w:val="28"/>
        </w:rPr>
        <w:t xml:space="preserve">基金投资策略 </w:t>
      </w:r>
    </w:p>
    <w:p w:rsidR="009A18F4" w:rsidRPr="00C17FBC" w:rsidRDefault="009A18F4" w:rsidP="0075204E">
      <w:pPr>
        <w:spacing w:beforeLines="100" w:afterLines="50"/>
        <w:ind w:leftChars="1350" w:left="2835" w:firstLineChars="196" w:firstLine="472"/>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（一）基础市场分析：</w:t>
      </w:r>
      <w:r w:rsidR="00850A16">
        <w:rPr>
          <w:rFonts w:ascii="黑体" w:eastAsia="黑体" w:hAnsi="宋体-18030" w:cs="宋体-18030" w:hint="eastAsia"/>
          <w:b/>
          <w:bCs/>
          <w:color w:val="003366"/>
          <w:kern w:val="44"/>
          <w:sz w:val="24"/>
        </w:rPr>
        <w:t>底部已经探明，</w:t>
      </w:r>
      <w:r w:rsidR="00E31CEA">
        <w:rPr>
          <w:rFonts w:ascii="黑体" w:eastAsia="黑体" w:hAnsi="宋体-18030" w:cs="宋体-18030" w:hint="eastAsia"/>
          <w:b/>
          <w:bCs/>
          <w:color w:val="003366"/>
          <w:kern w:val="44"/>
          <w:sz w:val="24"/>
        </w:rPr>
        <w:t>振幅有望衰减</w:t>
      </w:r>
    </w:p>
    <w:p w:rsidR="009A18F4" w:rsidRPr="009B1698" w:rsidRDefault="00BF1C5F" w:rsidP="00AA07FC">
      <w:pPr>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7月希腊债务</w:t>
      </w:r>
      <w:r w:rsidR="002E06C6">
        <w:rPr>
          <w:rFonts w:ascii="楷体_GB2312" w:eastAsia="楷体_GB2312" w:hAnsi="宋体" w:cs="宋体" w:hint="eastAsia"/>
          <w:kern w:val="0"/>
          <w:szCs w:val="21"/>
        </w:rPr>
        <w:t>问题持续</w:t>
      </w:r>
      <w:r w:rsidR="004F71A5">
        <w:rPr>
          <w:rFonts w:ascii="楷体_GB2312" w:eastAsia="楷体_GB2312" w:hAnsi="宋体" w:cs="宋体" w:hint="eastAsia"/>
          <w:kern w:val="0"/>
          <w:szCs w:val="21"/>
        </w:rPr>
        <w:t>威胁</w:t>
      </w:r>
      <w:r>
        <w:rPr>
          <w:rFonts w:ascii="楷体_GB2312" w:eastAsia="楷体_GB2312" w:hAnsi="宋体" w:cs="宋体" w:hint="eastAsia"/>
          <w:kern w:val="0"/>
          <w:szCs w:val="21"/>
        </w:rPr>
        <w:t>欧元区</w:t>
      </w:r>
      <w:r w:rsidR="004F71A5">
        <w:rPr>
          <w:rFonts w:ascii="楷体_GB2312" w:eastAsia="楷体_GB2312" w:hAnsi="宋体" w:cs="宋体" w:hint="eastAsia"/>
          <w:kern w:val="0"/>
          <w:szCs w:val="21"/>
        </w:rPr>
        <w:t>经济稳定</w:t>
      </w:r>
      <w:r>
        <w:rPr>
          <w:rFonts w:ascii="楷体_GB2312" w:eastAsia="楷体_GB2312" w:hAnsi="宋体" w:cs="宋体" w:hint="eastAsia"/>
          <w:kern w:val="0"/>
          <w:szCs w:val="21"/>
        </w:rPr>
        <w:t>，</w:t>
      </w:r>
      <w:r w:rsidR="004F71A5">
        <w:rPr>
          <w:rFonts w:ascii="楷体_GB2312" w:eastAsia="楷体_GB2312" w:hAnsi="宋体" w:cs="宋体" w:hint="eastAsia"/>
          <w:kern w:val="0"/>
          <w:szCs w:val="21"/>
        </w:rPr>
        <w:t>德国、法国等</w:t>
      </w:r>
      <w:r w:rsidR="00F836BB">
        <w:rPr>
          <w:rFonts w:ascii="楷体_GB2312" w:eastAsia="楷体_GB2312" w:hAnsi="宋体" w:cs="宋体" w:hint="eastAsia"/>
          <w:kern w:val="0"/>
          <w:szCs w:val="21"/>
        </w:rPr>
        <w:t>欧元区</w:t>
      </w:r>
      <w:r w:rsidR="004F71A5">
        <w:rPr>
          <w:rFonts w:ascii="楷体_GB2312" w:eastAsia="楷体_GB2312" w:hAnsi="宋体" w:cs="宋体" w:hint="eastAsia"/>
          <w:kern w:val="0"/>
          <w:szCs w:val="21"/>
        </w:rPr>
        <w:t>核心国家</w:t>
      </w:r>
      <w:r w:rsidR="005B7078">
        <w:rPr>
          <w:rFonts w:ascii="楷体_GB2312" w:eastAsia="楷体_GB2312" w:hAnsi="宋体" w:cs="宋体" w:hint="eastAsia"/>
          <w:kern w:val="0"/>
          <w:szCs w:val="21"/>
        </w:rPr>
        <w:t>受此影响其</w:t>
      </w:r>
      <w:r w:rsidR="004F71A5">
        <w:rPr>
          <w:rFonts w:ascii="楷体_GB2312" w:eastAsia="楷体_GB2312" w:hAnsi="宋体" w:cs="宋体" w:hint="eastAsia"/>
          <w:kern w:val="0"/>
          <w:szCs w:val="21"/>
        </w:rPr>
        <w:t>经济出现疲态，</w:t>
      </w:r>
      <w:r w:rsidR="001C2D94" w:rsidRPr="00051A90">
        <w:rPr>
          <w:rFonts w:ascii="楷体_GB2312" w:eastAsia="楷体_GB2312" w:hAnsi="宋体" w:cs="宋体" w:hint="eastAsia"/>
          <w:kern w:val="0"/>
          <w:szCs w:val="21"/>
        </w:rPr>
        <w:t>23日希腊议会通过</w:t>
      </w:r>
      <w:r w:rsidR="001C2D94">
        <w:rPr>
          <w:rFonts w:ascii="楷体_GB2312" w:eastAsia="楷体_GB2312" w:hAnsi="宋体" w:cs="宋体" w:hint="eastAsia"/>
          <w:kern w:val="0"/>
          <w:szCs w:val="21"/>
        </w:rPr>
        <w:t>的</w:t>
      </w:r>
      <w:r w:rsidR="001C2D94" w:rsidRPr="00051A90">
        <w:rPr>
          <w:rFonts w:ascii="楷体_GB2312" w:eastAsia="楷体_GB2312" w:hAnsi="宋体" w:cs="宋体" w:hint="eastAsia"/>
          <w:kern w:val="0"/>
          <w:szCs w:val="21"/>
        </w:rPr>
        <w:t>第二批改革计划</w:t>
      </w:r>
      <w:r w:rsidR="001C2D94">
        <w:rPr>
          <w:rFonts w:ascii="楷体_GB2312" w:eastAsia="楷体_GB2312" w:hAnsi="宋体" w:cs="宋体" w:hint="eastAsia"/>
          <w:kern w:val="0"/>
          <w:szCs w:val="21"/>
        </w:rPr>
        <w:t>暂缓市场对此的担忧，欧元区的紧张情绪短期得以缓解。</w:t>
      </w:r>
      <w:r w:rsidR="00AA6E5E">
        <w:rPr>
          <w:rFonts w:ascii="楷体_GB2312" w:eastAsia="楷体_GB2312" w:hAnsi="宋体" w:cs="宋体" w:hint="eastAsia"/>
          <w:kern w:val="0"/>
          <w:szCs w:val="21"/>
        </w:rPr>
        <w:t>与之比较，大西洋对岸</w:t>
      </w:r>
      <w:r w:rsidR="00BC2122">
        <w:rPr>
          <w:rFonts w:ascii="楷体_GB2312" w:eastAsia="楷体_GB2312" w:hAnsi="宋体" w:cs="宋体" w:hint="eastAsia"/>
          <w:kern w:val="0"/>
          <w:szCs w:val="21"/>
        </w:rPr>
        <w:t>的</w:t>
      </w:r>
      <w:r w:rsidR="009A18F4" w:rsidRPr="009B1698">
        <w:rPr>
          <w:rFonts w:ascii="楷体_GB2312" w:eastAsia="楷体_GB2312" w:hAnsi="宋体" w:cs="宋体" w:hint="eastAsia"/>
          <w:kern w:val="0"/>
          <w:szCs w:val="21"/>
        </w:rPr>
        <w:t>美国</w:t>
      </w:r>
      <w:r w:rsidR="00BC2122">
        <w:rPr>
          <w:rFonts w:ascii="楷体_GB2312" w:eastAsia="楷体_GB2312" w:hAnsi="宋体" w:cs="宋体" w:hint="eastAsia"/>
          <w:kern w:val="0"/>
          <w:szCs w:val="21"/>
        </w:rPr>
        <w:t>经济增长稳定，</w:t>
      </w:r>
      <w:r w:rsidR="00AA1131">
        <w:rPr>
          <w:rFonts w:ascii="楷体_GB2312" w:eastAsia="楷体_GB2312" w:hAnsi="宋体" w:cs="宋体" w:hint="eastAsia"/>
          <w:kern w:val="0"/>
          <w:szCs w:val="21"/>
        </w:rPr>
        <w:t>尤其是就业市场的显著改善支撑经济内生动力，</w:t>
      </w:r>
      <w:r w:rsidR="00CF01F4">
        <w:rPr>
          <w:rFonts w:ascii="楷体_GB2312" w:eastAsia="楷体_GB2312" w:hAnsi="宋体" w:cs="宋体" w:hint="eastAsia"/>
          <w:kern w:val="0"/>
          <w:szCs w:val="21"/>
        </w:rPr>
        <w:t>进一步强化了市场对</w:t>
      </w:r>
      <w:r w:rsidR="00487F7F">
        <w:rPr>
          <w:rFonts w:ascii="楷体_GB2312" w:eastAsia="楷体_GB2312" w:hAnsi="宋体" w:cs="宋体" w:hint="eastAsia"/>
          <w:kern w:val="0"/>
          <w:szCs w:val="21"/>
        </w:rPr>
        <w:t>美国</w:t>
      </w:r>
      <w:r w:rsidR="00CF01F4">
        <w:rPr>
          <w:rFonts w:ascii="楷体_GB2312" w:eastAsia="楷体_GB2312" w:hAnsi="宋体" w:cs="宋体" w:hint="eastAsia"/>
          <w:kern w:val="0"/>
          <w:szCs w:val="21"/>
        </w:rPr>
        <w:t>10年来首次</w:t>
      </w:r>
      <w:r w:rsidR="00487F7F">
        <w:rPr>
          <w:rFonts w:ascii="楷体_GB2312" w:eastAsia="楷体_GB2312" w:hAnsi="宋体" w:cs="宋体" w:hint="eastAsia"/>
          <w:kern w:val="0"/>
          <w:szCs w:val="21"/>
        </w:rPr>
        <w:t>加息</w:t>
      </w:r>
      <w:r w:rsidR="00CF01F4">
        <w:rPr>
          <w:rFonts w:ascii="楷体_GB2312" w:eastAsia="楷体_GB2312" w:hAnsi="宋体" w:cs="宋体" w:hint="eastAsia"/>
          <w:kern w:val="0"/>
          <w:szCs w:val="21"/>
        </w:rPr>
        <w:t>的</w:t>
      </w:r>
      <w:r w:rsidR="00487F7F">
        <w:rPr>
          <w:rFonts w:ascii="楷体_GB2312" w:eastAsia="楷体_GB2312" w:hAnsi="宋体" w:cs="宋体" w:hint="eastAsia"/>
          <w:kern w:val="0"/>
          <w:szCs w:val="21"/>
        </w:rPr>
        <w:t>预期，美元</w:t>
      </w:r>
      <w:r w:rsidR="002626D6">
        <w:rPr>
          <w:rFonts w:ascii="楷体_GB2312" w:eastAsia="楷体_GB2312" w:hAnsi="宋体" w:cs="宋体" w:hint="eastAsia"/>
          <w:kern w:val="0"/>
          <w:szCs w:val="21"/>
        </w:rPr>
        <w:t>指数再拾升势</w:t>
      </w:r>
      <w:r w:rsidR="009A18F4" w:rsidRPr="009B1698">
        <w:rPr>
          <w:rFonts w:ascii="楷体_GB2312" w:eastAsia="楷体_GB2312" w:hAnsi="宋体" w:cs="宋体" w:hint="eastAsia"/>
          <w:kern w:val="0"/>
          <w:szCs w:val="21"/>
        </w:rPr>
        <w:t>。</w:t>
      </w:r>
    </w:p>
    <w:p w:rsidR="002474B8" w:rsidRDefault="00236ADA" w:rsidP="002474B8">
      <w:pPr>
        <w:ind w:leftChars="1350" w:left="2835" w:firstLineChars="202" w:firstLine="424"/>
        <w:rPr>
          <w:rFonts w:ascii="楷体_GB2312" w:eastAsia="楷体_GB2312" w:hAnsi="宋体" w:cs="宋体"/>
          <w:kern w:val="0"/>
          <w:szCs w:val="21"/>
        </w:rPr>
      </w:pPr>
      <w:r w:rsidRPr="00BB1EF4">
        <w:rPr>
          <w:rFonts w:ascii="楷体_GB2312" w:eastAsia="楷体_GB2312" w:hAnsi="宋体" w:cs="宋体" w:hint="eastAsia"/>
          <w:kern w:val="0"/>
          <w:szCs w:val="21"/>
        </w:rPr>
        <w:t>中国</w:t>
      </w:r>
      <w:r>
        <w:rPr>
          <w:rFonts w:ascii="楷体_GB2312" w:eastAsia="楷体_GB2312" w:hAnsi="宋体" w:cs="宋体" w:hint="eastAsia"/>
          <w:kern w:val="0"/>
          <w:szCs w:val="21"/>
        </w:rPr>
        <w:t>受益股市强劲二季度经济增速维持平稳，但</w:t>
      </w:r>
      <w:r w:rsidR="00306269">
        <w:rPr>
          <w:rFonts w:ascii="楷体_GB2312" w:eastAsia="楷体_GB2312" w:hAnsi="宋体" w:cs="宋体" w:hint="eastAsia"/>
          <w:kern w:val="0"/>
          <w:szCs w:val="21"/>
        </w:rPr>
        <w:t>房地产投资低迷和制造业的低迷</w:t>
      </w:r>
      <w:r w:rsidR="002154A6">
        <w:rPr>
          <w:rFonts w:ascii="楷体_GB2312" w:eastAsia="楷体_GB2312" w:hAnsi="宋体" w:cs="宋体" w:hint="eastAsia"/>
          <w:kern w:val="0"/>
          <w:szCs w:val="21"/>
        </w:rPr>
        <w:t>表明经济增长脆弱，</w:t>
      </w:r>
      <w:r w:rsidR="002154A6" w:rsidRPr="0068466B">
        <w:rPr>
          <w:rFonts w:ascii="楷体_GB2312" w:eastAsia="楷体_GB2312" w:hAnsi="宋体" w:cs="宋体" w:hint="eastAsia"/>
          <w:kern w:val="0"/>
          <w:szCs w:val="21"/>
        </w:rPr>
        <w:t>规模以上工业利润</w:t>
      </w:r>
      <w:r w:rsidR="002154A6">
        <w:rPr>
          <w:rFonts w:ascii="楷体_GB2312" w:eastAsia="楷体_GB2312" w:hAnsi="宋体" w:cs="宋体" w:hint="eastAsia"/>
          <w:kern w:val="0"/>
          <w:szCs w:val="21"/>
        </w:rPr>
        <w:t>下行进一步加大</w:t>
      </w:r>
      <w:r w:rsidR="00D01B5F">
        <w:rPr>
          <w:rFonts w:ascii="楷体_GB2312" w:eastAsia="楷体_GB2312" w:hAnsi="宋体" w:cs="宋体" w:hint="eastAsia"/>
          <w:kern w:val="0"/>
          <w:szCs w:val="21"/>
        </w:rPr>
        <w:t>市场对实体经济的担忧。</w:t>
      </w:r>
      <w:r w:rsidR="00BB3F52">
        <w:rPr>
          <w:rFonts w:ascii="楷体_GB2312" w:eastAsia="楷体_GB2312" w:hAnsi="宋体" w:cs="宋体" w:hint="eastAsia"/>
          <w:kern w:val="0"/>
          <w:szCs w:val="21"/>
        </w:rPr>
        <w:t>我们维持今年以来的一贯观点，目前市场主要受政策引导而非经济支撑</w:t>
      </w:r>
      <w:r w:rsidR="005E16F4">
        <w:rPr>
          <w:rFonts w:ascii="楷体_GB2312" w:eastAsia="楷体_GB2312" w:hAnsi="宋体" w:cs="宋体" w:hint="eastAsia"/>
          <w:kern w:val="0"/>
          <w:szCs w:val="21"/>
        </w:rPr>
        <w:t>，经济疲软并不影响股市走强</w:t>
      </w:r>
      <w:r w:rsidR="002474B8">
        <w:rPr>
          <w:rFonts w:ascii="楷体_GB2312" w:eastAsia="楷体_GB2312" w:hAnsi="宋体" w:cs="宋体" w:hint="eastAsia"/>
          <w:kern w:val="0"/>
          <w:szCs w:val="21"/>
        </w:rPr>
        <w:t>。最近一个半月的市场调整主要来自于资金跟不上股市上涨的速度，导致短期流动性急缺引发踩踏。政策制定层针对股市急剧调整的相应举动彰显呵护股市的决心十足</w:t>
      </w:r>
      <w:r w:rsidR="00D01B5F">
        <w:rPr>
          <w:rFonts w:ascii="楷体_GB2312" w:eastAsia="楷体_GB2312" w:hAnsi="宋体" w:cs="宋体" w:hint="eastAsia"/>
          <w:kern w:val="0"/>
          <w:szCs w:val="21"/>
        </w:rPr>
        <w:t>，政府通过稳定股市来稳定经济的政策意图鲜明</w:t>
      </w:r>
      <w:r w:rsidR="002474B8">
        <w:rPr>
          <w:rFonts w:ascii="楷体_GB2312" w:eastAsia="楷体_GB2312" w:hAnsi="宋体" w:cs="宋体" w:hint="eastAsia"/>
          <w:kern w:val="0"/>
          <w:szCs w:val="21"/>
        </w:rPr>
        <w:t>。随着震荡对踩踏行为的消化，在国家政策的强力扶持</w:t>
      </w:r>
      <w:r w:rsidR="00FB5FCB">
        <w:rPr>
          <w:rFonts w:ascii="楷体_GB2312" w:eastAsia="楷体_GB2312" w:hAnsi="宋体" w:cs="宋体" w:hint="eastAsia"/>
          <w:kern w:val="0"/>
          <w:szCs w:val="21"/>
        </w:rPr>
        <w:t>下</w:t>
      </w:r>
      <w:r w:rsidR="002474B8">
        <w:rPr>
          <w:rFonts w:ascii="楷体_GB2312" w:eastAsia="楷体_GB2312" w:hAnsi="宋体" w:cs="宋体" w:hint="eastAsia"/>
          <w:kern w:val="0"/>
          <w:szCs w:val="21"/>
        </w:rPr>
        <w:t>和国家资金的强力平稳下</w:t>
      </w:r>
      <w:r w:rsidR="00FB5FCB">
        <w:rPr>
          <w:rFonts w:ascii="楷体_GB2312" w:eastAsia="楷体_GB2312" w:hAnsi="宋体" w:cs="宋体" w:hint="eastAsia"/>
          <w:kern w:val="0"/>
          <w:szCs w:val="21"/>
        </w:rPr>
        <w:t>，</w:t>
      </w:r>
      <w:r w:rsidR="002474B8">
        <w:rPr>
          <w:rFonts w:ascii="楷体_GB2312" w:eastAsia="楷体_GB2312" w:hAnsi="宋体" w:cs="宋体" w:hint="eastAsia"/>
          <w:kern w:val="0"/>
          <w:szCs w:val="21"/>
        </w:rPr>
        <w:t>股市向下的底部已经探明，预计受投资者对风险偏好的重新审视和政策托底的交互式影响</w:t>
      </w:r>
      <w:r w:rsidR="00FB5FCB">
        <w:rPr>
          <w:rFonts w:ascii="楷体_GB2312" w:eastAsia="楷体_GB2312" w:hAnsi="宋体" w:cs="宋体" w:hint="eastAsia"/>
          <w:kern w:val="0"/>
          <w:szCs w:val="21"/>
        </w:rPr>
        <w:t>，</w:t>
      </w:r>
      <w:r w:rsidR="002474B8">
        <w:rPr>
          <w:rFonts w:ascii="楷体_GB2312" w:eastAsia="楷体_GB2312" w:hAnsi="宋体" w:cs="宋体" w:hint="eastAsia"/>
          <w:kern w:val="0"/>
          <w:szCs w:val="21"/>
        </w:rPr>
        <w:t>短期市场将维持震荡，</w:t>
      </w:r>
      <w:r w:rsidR="006146DF">
        <w:rPr>
          <w:rFonts w:ascii="楷体_GB2312" w:eastAsia="楷体_GB2312" w:hAnsi="宋体" w:cs="宋体" w:hint="eastAsia"/>
          <w:kern w:val="0"/>
          <w:szCs w:val="21"/>
        </w:rPr>
        <w:t>股指</w:t>
      </w:r>
      <w:r w:rsidR="00251B81">
        <w:rPr>
          <w:rFonts w:ascii="楷体_GB2312" w:eastAsia="楷体_GB2312" w:hAnsi="宋体" w:cs="宋体" w:hint="eastAsia"/>
          <w:kern w:val="0"/>
          <w:szCs w:val="21"/>
        </w:rPr>
        <w:t>存在反复，</w:t>
      </w:r>
      <w:r w:rsidR="002474B8">
        <w:rPr>
          <w:rFonts w:ascii="楷体_GB2312" w:eastAsia="楷体_GB2312" w:hAnsi="宋体" w:cs="宋体" w:hint="eastAsia"/>
          <w:kern w:val="0"/>
          <w:szCs w:val="21"/>
        </w:rPr>
        <w:t>趋势性机会欠缺，但结构性机会和个股投资机会仍将不断涌现。</w:t>
      </w:r>
    </w:p>
    <w:p w:rsidR="009A18F4" w:rsidRDefault="001A4AB4" w:rsidP="001112E7">
      <w:pPr>
        <w:ind w:leftChars="1350" w:left="2835" w:firstLineChars="202" w:firstLine="424"/>
        <w:rPr>
          <w:rFonts w:ascii="黑体" w:eastAsia="黑体" w:hAnsi="宋体-18030" w:cs="宋体-18030"/>
          <w:b/>
          <w:bCs/>
          <w:color w:val="003366"/>
          <w:kern w:val="44"/>
          <w:sz w:val="24"/>
        </w:rPr>
      </w:pPr>
      <w:r>
        <w:rPr>
          <w:rFonts w:ascii="楷体_GB2312" w:eastAsia="楷体_GB2312" w:hAnsi="宋体" w:cs="宋体" w:hint="eastAsia"/>
          <w:kern w:val="0"/>
          <w:szCs w:val="21"/>
        </w:rPr>
        <w:t>长期来看，</w:t>
      </w:r>
      <w:r w:rsidR="00684DDD">
        <w:rPr>
          <w:rFonts w:ascii="楷体_GB2312" w:eastAsia="楷体_GB2312" w:hAnsi="宋体" w:cs="宋体" w:hint="eastAsia"/>
          <w:kern w:val="0"/>
          <w:szCs w:val="21"/>
        </w:rPr>
        <w:t>市场震荡幅度</w:t>
      </w:r>
      <w:r>
        <w:rPr>
          <w:rFonts w:ascii="楷体_GB2312" w:eastAsia="楷体_GB2312" w:hAnsi="宋体" w:cs="宋体" w:hint="eastAsia"/>
          <w:kern w:val="0"/>
          <w:szCs w:val="21"/>
        </w:rPr>
        <w:t>必然</w:t>
      </w:r>
      <w:r w:rsidR="00E31CEA">
        <w:rPr>
          <w:rFonts w:ascii="楷体_GB2312" w:eastAsia="楷体_GB2312" w:hAnsi="宋体" w:cs="宋体" w:hint="eastAsia"/>
          <w:kern w:val="0"/>
          <w:szCs w:val="21"/>
        </w:rPr>
        <w:t>随着信心修复而衰减，</w:t>
      </w:r>
      <w:r>
        <w:rPr>
          <w:rFonts w:ascii="楷体_GB2312" w:eastAsia="楷体_GB2312" w:hAnsi="宋体" w:cs="宋体" w:hint="eastAsia"/>
          <w:kern w:val="0"/>
          <w:szCs w:val="21"/>
        </w:rPr>
        <w:t>经过一段时间的筑底，</w:t>
      </w:r>
      <w:r w:rsidR="001112E7">
        <w:rPr>
          <w:rFonts w:ascii="楷体_GB2312" w:eastAsia="楷体_GB2312" w:hAnsi="宋体" w:cs="宋体" w:hint="eastAsia"/>
          <w:kern w:val="0"/>
          <w:szCs w:val="21"/>
        </w:rPr>
        <w:t>由利率下行、</w:t>
      </w:r>
      <w:r w:rsidR="003526AD">
        <w:rPr>
          <w:rFonts w:ascii="楷体_GB2312" w:eastAsia="楷体_GB2312" w:hAnsi="宋体" w:cs="宋体" w:hint="eastAsia"/>
          <w:kern w:val="0"/>
          <w:szCs w:val="21"/>
        </w:rPr>
        <w:t>资产配置转移和经济转型支撑的股市仍将继续向上。</w:t>
      </w:r>
    </w:p>
    <w:p w:rsidR="009A18F4" w:rsidRPr="00C17FBC" w:rsidRDefault="009A18F4" w:rsidP="009A18F4">
      <w:pPr>
        <w:ind w:leftChars="1350" w:left="2835" w:firstLineChars="202" w:firstLine="487"/>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（二）基金投资策略：</w:t>
      </w:r>
      <w:r>
        <w:rPr>
          <w:rFonts w:ascii="黑体" w:eastAsia="黑体" w:hAnsi="宋体-18030" w:cs="宋体-18030" w:hint="eastAsia"/>
          <w:b/>
          <w:bCs/>
          <w:color w:val="003366"/>
          <w:kern w:val="44"/>
          <w:sz w:val="24"/>
        </w:rPr>
        <w:t>配置均衡谨慎、顺政策关注主板基金</w:t>
      </w:r>
    </w:p>
    <w:p w:rsidR="00F500E8" w:rsidRDefault="00F500E8" w:rsidP="0075204E">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由于底部已经探明，震荡有望衰减，</w:t>
      </w:r>
      <w:r w:rsidR="00F75E77">
        <w:rPr>
          <w:rFonts w:ascii="楷体_GB2312" w:eastAsia="楷体_GB2312" w:hAnsi="宋体" w:cs="宋体" w:hint="eastAsia"/>
          <w:kern w:val="0"/>
          <w:szCs w:val="21"/>
        </w:rPr>
        <w:t>我们</w:t>
      </w:r>
      <w:r w:rsidR="009A18F4" w:rsidRPr="00CE2E5B">
        <w:rPr>
          <w:rFonts w:ascii="楷体_GB2312" w:eastAsia="楷体_GB2312" w:hAnsi="宋体" w:cs="宋体" w:hint="eastAsia"/>
          <w:kern w:val="0"/>
          <w:szCs w:val="21"/>
        </w:rPr>
        <w:t>建议短期内投资者</w:t>
      </w:r>
      <w:r>
        <w:rPr>
          <w:rFonts w:ascii="楷体_GB2312" w:eastAsia="楷体_GB2312" w:hAnsi="宋体" w:cs="宋体" w:hint="eastAsia"/>
          <w:kern w:val="0"/>
          <w:szCs w:val="21"/>
        </w:rPr>
        <w:t>保持偏乐观的投资观点，</w:t>
      </w:r>
      <w:r w:rsidR="005726B7">
        <w:rPr>
          <w:rFonts w:ascii="楷体_GB2312" w:eastAsia="楷体_GB2312" w:hAnsi="宋体" w:cs="宋体" w:hint="eastAsia"/>
          <w:kern w:val="0"/>
          <w:szCs w:val="21"/>
        </w:rPr>
        <w:t>建议</w:t>
      </w:r>
      <w:r w:rsidR="001112E7">
        <w:rPr>
          <w:rFonts w:ascii="楷体_GB2312" w:eastAsia="楷体_GB2312" w:hAnsi="宋体" w:cs="宋体" w:hint="eastAsia"/>
          <w:kern w:val="0"/>
          <w:szCs w:val="21"/>
        </w:rPr>
        <w:t>长期投资者和</w:t>
      </w:r>
      <w:r w:rsidR="00977F80" w:rsidRPr="00CE2E5B">
        <w:rPr>
          <w:rFonts w:ascii="楷体_GB2312" w:eastAsia="楷体_GB2312" w:hAnsi="宋体" w:cs="宋体" w:hint="eastAsia"/>
          <w:kern w:val="0"/>
          <w:szCs w:val="21"/>
        </w:rPr>
        <w:t>高风险投资者</w:t>
      </w:r>
      <w:r w:rsidR="006146DF">
        <w:rPr>
          <w:rFonts w:ascii="楷体_GB2312" w:eastAsia="楷体_GB2312" w:hAnsi="宋体" w:cs="宋体" w:hint="eastAsia"/>
          <w:kern w:val="0"/>
          <w:szCs w:val="21"/>
        </w:rPr>
        <w:t>扭转</w:t>
      </w:r>
      <w:r w:rsidR="005726B7">
        <w:rPr>
          <w:rFonts w:ascii="楷体_GB2312" w:eastAsia="楷体_GB2312" w:hAnsi="宋体" w:cs="宋体" w:hint="eastAsia"/>
          <w:kern w:val="0"/>
          <w:szCs w:val="21"/>
        </w:rPr>
        <w:t>前期股灾式思维，</w:t>
      </w:r>
      <w:r w:rsidR="006146DF">
        <w:rPr>
          <w:rFonts w:ascii="楷体_GB2312" w:eastAsia="楷体_GB2312" w:hAnsi="宋体" w:cs="宋体" w:hint="eastAsia"/>
          <w:kern w:val="0"/>
          <w:szCs w:val="21"/>
        </w:rPr>
        <w:t>逢低适当</w:t>
      </w:r>
      <w:r w:rsidR="00977F80">
        <w:rPr>
          <w:rFonts w:ascii="楷体_GB2312" w:eastAsia="楷体_GB2312" w:hAnsi="宋体" w:cs="宋体" w:hint="eastAsia"/>
          <w:kern w:val="0"/>
          <w:szCs w:val="21"/>
        </w:rPr>
        <w:t>增加</w:t>
      </w:r>
      <w:r w:rsidR="006146DF">
        <w:rPr>
          <w:rFonts w:ascii="楷体_GB2312" w:eastAsia="楷体_GB2312" w:hAnsi="宋体" w:cs="宋体" w:hint="eastAsia"/>
          <w:kern w:val="0"/>
          <w:szCs w:val="21"/>
        </w:rPr>
        <w:t>权益型</w:t>
      </w:r>
      <w:r w:rsidR="00977F80">
        <w:rPr>
          <w:rFonts w:ascii="楷体_GB2312" w:eastAsia="楷体_GB2312" w:hAnsi="宋体" w:cs="宋体" w:hint="eastAsia"/>
          <w:kern w:val="0"/>
          <w:szCs w:val="21"/>
        </w:rPr>
        <w:t>型基金配置比例，中低风险投资者维持相对中性的配置结构，</w:t>
      </w:r>
      <w:r w:rsidR="0091562B">
        <w:rPr>
          <w:rFonts w:ascii="楷体_GB2312" w:eastAsia="楷体_GB2312" w:hAnsi="宋体" w:cs="宋体" w:hint="eastAsia"/>
          <w:kern w:val="0"/>
          <w:szCs w:val="21"/>
        </w:rPr>
        <w:t>并</w:t>
      </w:r>
      <w:r w:rsidR="00977F80">
        <w:rPr>
          <w:rFonts w:ascii="楷体_GB2312" w:eastAsia="楷体_GB2312" w:hAnsi="宋体" w:cs="宋体" w:hint="eastAsia"/>
          <w:kern w:val="0"/>
          <w:szCs w:val="21"/>
        </w:rPr>
        <w:t>保持组合灵活性，等待市场企稳。</w:t>
      </w:r>
    </w:p>
    <w:p w:rsidR="00807BE4" w:rsidRDefault="009A18F4" w:rsidP="0075204E">
      <w:pPr>
        <w:spacing w:beforeLines="50"/>
        <w:ind w:leftChars="1350" w:left="2835" w:firstLineChars="202" w:firstLine="426"/>
        <w:rPr>
          <w:rFonts w:ascii="楷体_GB2312" w:eastAsia="楷体_GB2312" w:hAnsi="宋体" w:cs="宋体"/>
          <w:kern w:val="0"/>
          <w:szCs w:val="21"/>
        </w:rPr>
      </w:pPr>
      <w:r w:rsidRPr="005B48C1">
        <w:rPr>
          <w:rFonts w:ascii="楷体_GB2312" w:eastAsia="楷体_GB2312" w:hAnsi="宋体" w:cs="宋体" w:hint="eastAsia"/>
          <w:b/>
          <w:kern w:val="0"/>
          <w:szCs w:val="21"/>
        </w:rPr>
        <w:t>权益基金方面，</w:t>
      </w:r>
      <w:r w:rsidR="00F224A8" w:rsidRPr="00F224A8">
        <w:rPr>
          <w:rFonts w:ascii="楷体_GB2312" w:eastAsia="楷体_GB2312" w:hAnsi="宋体" w:cs="宋体" w:hint="eastAsia"/>
          <w:kern w:val="0"/>
          <w:szCs w:val="21"/>
        </w:rPr>
        <w:t>在</w:t>
      </w:r>
      <w:r w:rsidR="00FE3094">
        <w:rPr>
          <w:rFonts w:ascii="楷体_GB2312" w:eastAsia="楷体_GB2312" w:hAnsi="宋体" w:cs="宋体" w:hint="eastAsia"/>
          <w:kern w:val="0"/>
          <w:szCs w:val="21"/>
        </w:rPr>
        <w:t>震荡市场环境中，</w:t>
      </w:r>
      <w:r w:rsidR="00F224A8">
        <w:rPr>
          <w:rFonts w:ascii="楷体_GB2312" w:eastAsia="楷体_GB2312" w:hAnsi="宋体" w:cs="宋体" w:hint="eastAsia"/>
          <w:kern w:val="0"/>
          <w:szCs w:val="21"/>
        </w:rPr>
        <w:t>善于</w:t>
      </w:r>
      <w:r w:rsidR="00887614">
        <w:rPr>
          <w:rFonts w:ascii="楷体_GB2312" w:eastAsia="楷体_GB2312" w:hAnsi="宋体" w:cs="宋体" w:hint="eastAsia"/>
          <w:kern w:val="0"/>
          <w:szCs w:val="21"/>
        </w:rPr>
        <w:t>挖掘优势个股和擅长波段操作的基金占据显著的优势，</w:t>
      </w:r>
      <w:r w:rsidR="00887614" w:rsidRPr="004E5695">
        <w:rPr>
          <w:rFonts w:ascii="楷体_GB2312" w:eastAsia="楷体_GB2312" w:hAnsi="宋体" w:cs="宋体" w:hint="eastAsia"/>
          <w:kern w:val="0"/>
          <w:szCs w:val="21"/>
        </w:rPr>
        <w:t>建议投资者重点关注选股能力突出，波段操作能力强的混合型基金。</w:t>
      </w:r>
      <w:r w:rsidR="003157FF">
        <w:rPr>
          <w:rFonts w:ascii="楷体_GB2312" w:eastAsia="楷体_GB2312" w:hAnsi="宋体" w:cs="宋体" w:hint="eastAsia"/>
          <w:kern w:val="0"/>
          <w:szCs w:val="21"/>
        </w:rPr>
        <w:t>在主题投资方面，</w:t>
      </w:r>
      <w:r w:rsidR="0027134C">
        <w:rPr>
          <w:rFonts w:ascii="楷体_GB2312" w:eastAsia="楷体_GB2312" w:hAnsi="宋体" w:cs="宋体" w:hint="eastAsia"/>
          <w:kern w:val="0"/>
          <w:szCs w:val="21"/>
        </w:rPr>
        <w:t>1</w:t>
      </w:r>
      <w:r>
        <w:rPr>
          <w:rFonts w:ascii="楷体_GB2312" w:eastAsia="楷体_GB2312" w:hAnsi="宋体" w:cs="宋体" w:hint="eastAsia"/>
          <w:kern w:val="0"/>
          <w:szCs w:val="21"/>
        </w:rPr>
        <w:t>，</w:t>
      </w:r>
      <w:r w:rsidR="00807BE4">
        <w:rPr>
          <w:rFonts w:ascii="楷体_GB2312" w:eastAsia="楷体_GB2312" w:hAnsi="宋体" w:cs="宋体" w:hint="eastAsia"/>
          <w:kern w:val="0"/>
          <w:szCs w:val="21"/>
        </w:rPr>
        <w:t>在未来较长一段</w:t>
      </w:r>
      <w:r w:rsidR="00415FDE">
        <w:rPr>
          <w:rFonts w:ascii="楷体_GB2312" w:eastAsia="楷体_GB2312" w:hAnsi="宋体" w:cs="宋体" w:hint="eastAsia"/>
          <w:kern w:val="0"/>
          <w:szCs w:val="21"/>
        </w:rPr>
        <w:t>时间国企改革将成为政府的主要工作之一，</w:t>
      </w:r>
      <w:r w:rsidR="0027134C">
        <w:rPr>
          <w:rFonts w:ascii="楷体_GB2312" w:eastAsia="楷体_GB2312" w:hAnsi="宋体" w:cs="宋体" w:hint="eastAsia"/>
          <w:kern w:val="0"/>
          <w:szCs w:val="21"/>
        </w:rPr>
        <w:t>预计下半年</w:t>
      </w:r>
      <w:r w:rsidR="00415FDE">
        <w:rPr>
          <w:rFonts w:ascii="楷体_GB2312" w:eastAsia="楷体_GB2312" w:hAnsi="宋体" w:cs="宋体" w:hint="eastAsia"/>
          <w:kern w:val="0"/>
          <w:szCs w:val="21"/>
        </w:rPr>
        <w:t>国企改革</w:t>
      </w:r>
      <w:r w:rsidR="0027134C">
        <w:rPr>
          <w:rFonts w:ascii="楷体_GB2312" w:eastAsia="楷体_GB2312" w:hAnsi="宋体" w:cs="宋体" w:hint="eastAsia"/>
          <w:kern w:val="0"/>
          <w:szCs w:val="21"/>
        </w:rPr>
        <w:t>有望提升，相应</w:t>
      </w:r>
      <w:r w:rsidR="00415FDE">
        <w:rPr>
          <w:rFonts w:ascii="楷体_GB2312" w:eastAsia="楷体_GB2312" w:hAnsi="宋体" w:cs="宋体" w:hint="eastAsia"/>
          <w:kern w:val="0"/>
          <w:szCs w:val="21"/>
        </w:rPr>
        <w:t>主题将是未来市场重点关注的投资主题，建议投资者</w:t>
      </w:r>
      <w:r w:rsidR="00BE0799">
        <w:rPr>
          <w:rFonts w:ascii="楷体_GB2312" w:eastAsia="楷体_GB2312" w:hAnsi="宋体" w:cs="宋体" w:hint="eastAsia"/>
          <w:kern w:val="0"/>
          <w:szCs w:val="21"/>
        </w:rPr>
        <w:t>侧重</w:t>
      </w:r>
      <w:r w:rsidR="005E4A8B">
        <w:rPr>
          <w:rFonts w:ascii="楷体_GB2312" w:eastAsia="楷体_GB2312" w:hAnsi="宋体" w:cs="宋体" w:hint="eastAsia"/>
          <w:kern w:val="0"/>
          <w:szCs w:val="21"/>
        </w:rPr>
        <w:t>配置</w:t>
      </w:r>
      <w:r w:rsidR="00415FDE">
        <w:rPr>
          <w:rFonts w:ascii="楷体_GB2312" w:eastAsia="楷体_GB2312" w:hAnsi="宋体" w:cs="宋体" w:hint="eastAsia"/>
          <w:kern w:val="0"/>
          <w:szCs w:val="21"/>
        </w:rPr>
        <w:t>国企改革主题基金</w:t>
      </w:r>
      <w:r w:rsidR="0027134C">
        <w:rPr>
          <w:rFonts w:ascii="楷体_GB2312" w:eastAsia="楷体_GB2312" w:hAnsi="宋体" w:cs="宋体" w:hint="eastAsia"/>
          <w:kern w:val="0"/>
          <w:szCs w:val="21"/>
        </w:rPr>
        <w:t>；2，继续重点关注政府投资加速对水电、基建、金属、交运设备</w:t>
      </w:r>
      <w:r w:rsidR="0027134C" w:rsidRPr="00422254">
        <w:rPr>
          <w:rFonts w:ascii="楷体_GB2312" w:eastAsia="楷体_GB2312" w:hAnsi="宋体" w:cs="宋体" w:hint="eastAsia"/>
          <w:kern w:val="0"/>
          <w:szCs w:val="21"/>
        </w:rPr>
        <w:t>、工程机械等</w:t>
      </w:r>
      <w:r w:rsidR="0027134C">
        <w:rPr>
          <w:rFonts w:ascii="楷体_GB2312" w:eastAsia="楷体_GB2312" w:hAnsi="宋体" w:cs="宋体" w:hint="eastAsia"/>
          <w:kern w:val="0"/>
          <w:szCs w:val="21"/>
        </w:rPr>
        <w:t>低估值低市净率的顺周期蓝筹板块的拉升，</w:t>
      </w:r>
      <w:r w:rsidR="00BE0799">
        <w:rPr>
          <w:rFonts w:ascii="楷体_GB2312" w:eastAsia="楷体_GB2312" w:hAnsi="宋体" w:cs="宋体" w:hint="eastAsia"/>
          <w:kern w:val="0"/>
          <w:szCs w:val="21"/>
        </w:rPr>
        <w:t>适当高配</w:t>
      </w:r>
      <w:r w:rsidR="0027134C">
        <w:rPr>
          <w:rFonts w:ascii="楷体_GB2312" w:eastAsia="楷体_GB2312" w:hAnsi="宋体" w:cs="宋体" w:hint="eastAsia"/>
          <w:kern w:val="0"/>
          <w:szCs w:val="21"/>
        </w:rPr>
        <w:t>重仓相应板块的</w:t>
      </w:r>
      <w:r w:rsidR="00BE0799">
        <w:rPr>
          <w:rFonts w:ascii="楷体_GB2312" w:eastAsia="楷体_GB2312" w:hAnsi="宋体" w:cs="宋体" w:hint="eastAsia"/>
          <w:kern w:val="0"/>
          <w:szCs w:val="21"/>
        </w:rPr>
        <w:t>绩优</w:t>
      </w:r>
      <w:r w:rsidR="0027134C">
        <w:rPr>
          <w:rFonts w:ascii="楷体_GB2312" w:eastAsia="楷体_GB2312" w:hAnsi="宋体" w:cs="宋体" w:hint="eastAsia"/>
          <w:kern w:val="0"/>
          <w:szCs w:val="21"/>
        </w:rPr>
        <w:t>基金。</w:t>
      </w:r>
      <w:r w:rsidR="005E4A8B">
        <w:rPr>
          <w:rFonts w:ascii="楷体_GB2312" w:eastAsia="楷体_GB2312" w:hAnsi="宋体" w:cs="宋体" w:hint="eastAsia"/>
          <w:kern w:val="0"/>
          <w:szCs w:val="21"/>
        </w:rPr>
        <w:t>前期的调整使得</w:t>
      </w:r>
      <w:r w:rsidR="0027134C">
        <w:rPr>
          <w:rFonts w:ascii="楷体_GB2312" w:eastAsia="楷体_GB2312" w:hAnsi="宋体" w:cs="宋体" w:hint="eastAsia"/>
          <w:kern w:val="0"/>
          <w:szCs w:val="21"/>
        </w:rPr>
        <w:t>部分</w:t>
      </w:r>
      <w:r w:rsidR="005E4A8B">
        <w:rPr>
          <w:rFonts w:ascii="楷体_GB2312" w:eastAsia="楷体_GB2312" w:hAnsi="宋体" w:cs="宋体" w:hint="eastAsia"/>
          <w:kern w:val="0"/>
          <w:szCs w:val="21"/>
        </w:rPr>
        <w:t>新兴</w:t>
      </w:r>
      <w:r w:rsidR="004E5695">
        <w:rPr>
          <w:rFonts w:ascii="楷体_GB2312" w:eastAsia="楷体_GB2312" w:hAnsi="宋体" w:cs="宋体" w:hint="eastAsia"/>
          <w:kern w:val="0"/>
          <w:szCs w:val="21"/>
        </w:rPr>
        <w:t>板块的</w:t>
      </w:r>
      <w:r w:rsidR="005E4A8B">
        <w:rPr>
          <w:rFonts w:ascii="楷体_GB2312" w:eastAsia="楷体_GB2312" w:hAnsi="宋体" w:cs="宋体" w:hint="eastAsia"/>
          <w:kern w:val="0"/>
          <w:szCs w:val="21"/>
        </w:rPr>
        <w:t>股票</w:t>
      </w:r>
      <w:r w:rsidR="0027134C">
        <w:rPr>
          <w:rFonts w:ascii="楷体_GB2312" w:eastAsia="楷体_GB2312" w:hAnsi="宋体" w:cs="宋体" w:hint="eastAsia"/>
          <w:kern w:val="0"/>
          <w:szCs w:val="21"/>
        </w:rPr>
        <w:t>跌出价值，建议</w:t>
      </w:r>
      <w:r w:rsidR="005E4A8B">
        <w:rPr>
          <w:rFonts w:ascii="楷体_GB2312" w:eastAsia="楷体_GB2312" w:hAnsi="宋体" w:cs="宋体" w:hint="eastAsia"/>
          <w:kern w:val="0"/>
          <w:szCs w:val="21"/>
        </w:rPr>
        <w:t>适当</w:t>
      </w:r>
      <w:r w:rsidR="0027134C">
        <w:rPr>
          <w:rFonts w:ascii="楷体_GB2312" w:eastAsia="楷体_GB2312" w:hAnsi="宋体" w:cs="宋体" w:hint="eastAsia"/>
          <w:kern w:val="0"/>
          <w:szCs w:val="21"/>
        </w:rPr>
        <w:t>配置具备</w:t>
      </w:r>
      <w:r w:rsidR="005E4A8B">
        <w:rPr>
          <w:rFonts w:ascii="楷体_GB2312" w:eastAsia="楷体_GB2312" w:hAnsi="宋体" w:cs="宋体" w:hint="eastAsia"/>
          <w:kern w:val="0"/>
          <w:szCs w:val="21"/>
        </w:rPr>
        <w:t>真正</w:t>
      </w:r>
      <w:r w:rsidR="0027134C">
        <w:rPr>
          <w:rFonts w:ascii="楷体_GB2312" w:eastAsia="楷体_GB2312" w:hAnsi="宋体" w:cs="宋体" w:hint="eastAsia"/>
          <w:kern w:val="0"/>
          <w:szCs w:val="21"/>
        </w:rPr>
        <w:t>选股能力的</w:t>
      </w:r>
      <w:r w:rsidR="005E4A8B">
        <w:rPr>
          <w:rFonts w:ascii="楷体_GB2312" w:eastAsia="楷体_GB2312" w:hAnsi="宋体" w:cs="宋体" w:hint="eastAsia"/>
          <w:kern w:val="0"/>
          <w:szCs w:val="21"/>
        </w:rPr>
        <w:t>中小盘成长风格基金。</w:t>
      </w:r>
    </w:p>
    <w:p w:rsidR="009A18F4" w:rsidRDefault="009A18F4" w:rsidP="0075204E">
      <w:pPr>
        <w:spacing w:beforeLines="50"/>
        <w:ind w:leftChars="1350" w:left="2835" w:firstLineChars="202" w:firstLine="426"/>
        <w:rPr>
          <w:rFonts w:ascii="楷体_GB2312" w:eastAsia="楷体_GB2312" w:hAnsi="宋体" w:cs="宋体"/>
          <w:kern w:val="0"/>
          <w:szCs w:val="21"/>
        </w:rPr>
      </w:pPr>
      <w:r w:rsidRPr="001273CD">
        <w:rPr>
          <w:rFonts w:ascii="楷体_GB2312" w:eastAsia="楷体_GB2312" w:hAnsi="宋体" w:cs="宋体" w:hint="eastAsia"/>
          <w:b/>
          <w:kern w:val="0"/>
          <w:szCs w:val="21"/>
        </w:rPr>
        <w:t>固定收益基金方面，</w:t>
      </w:r>
      <w:r w:rsidR="00251B81" w:rsidRPr="004E5695">
        <w:rPr>
          <w:rFonts w:ascii="楷体_GB2312" w:eastAsia="楷体_GB2312" w:hAnsi="宋体" w:cs="宋体" w:hint="eastAsia"/>
          <w:kern w:val="0"/>
          <w:szCs w:val="21"/>
        </w:rPr>
        <w:t>继续看好</w:t>
      </w:r>
      <w:r w:rsidRPr="004E5695">
        <w:rPr>
          <w:rFonts w:ascii="楷体_GB2312" w:eastAsia="楷体_GB2312" w:hAnsi="宋体" w:cs="宋体" w:hint="eastAsia"/>
          <w:kern w:val="0"/>
          <w:szCs w:val="21"/>
        </w:rPr>
        <w:t>债</w:t>
      </w:r>
      <w:r w:rsidRPr="00CB5940">
        <w:rPr>
          <w:rFonts w:ascii="楷体_GB2312" w:eastAsia="楷体_GB2312" w:hAnsi="宋体" w:cs="宋体" w:hint="eastAsia"/>
          <w:kern w:val="0"/>
          <w:szCs w:val="21"/>
        </w:rPr>
        <w:t>务置换大背景下</w:t>
      </w:r>
      <w:r w:rsidR="00251B81">
        <w:rPr>
          <w:rFonts w:ascii="楷体_GB2312" w:eastAsia="楷体_GB2312" w:hAnsi="宋体" w:cs="宋体" w:hint="eastAsia"/>
          <w:kern w:val="0"/>
          <w:szCs w:val="21"/>
        </w:rPr>
        <w:t>债券市场收益率中</w:t>
      </w:r>
      <w:r w:rsidR="00644703">
        <w:rPr>
          <w:rFonts w:ascii="楷体_GB2312" w:eastAsia="楷体_GB2312" w:hAnsi="宋体" w:cs="宋体" w:hint="eastAsia"/>
          <w:kern w:val="0"/>
          <w:szCs w:val="21"/>
        </w:rPr>
        <w:t>枢下行趋势，近期股市</w:t>
      </w:r>
      <w:r w:rsidR="00251B81">
        <w:rPr>
          <w:rFonts w:ascii="楷体_GB2312" w:eastAsia="楷体_GB2312" w:hAnsi="宋体" w:cs="宋体" w:hint="eastAsia"/>
          <w:kern w:val="0"/>
          <w:szCs w:val="21"/>
        </w:rPr>
        <w:t>调整所推动的避险情绪也</w:t>
      </w:r>
      <w:r w:rsidR="00644703">
        <w:rPr>
          <w:rFonts w:ascii="楷体_GB2312" w:eastAsia="楷体_GB2312" w:hAnsi="宋体" w:cs="宋体" w:hint="eastAsia"/>
          <w:kern w:val="0"/>
          <w:szCs w:val="21"/>
        </w:rPr>
        <w:t>将</w:t>
      </w:r>
      <w:r w:rsidR="00251B81">
        <w:rPr>
          <w:rFonts w:ascii="楷体_GB2312" w:eastAsia="楷体_GB2312" w:hAnsi="宋体" w:cs="宋体" w:hint="eastAsia"/>
          <w:kern w:val="0"/>
          <w:szCs w:val="21"/>
        </w:rPr>
        <w:t>有利于债市收益率</w:t>
      </w:r>
      <w:r w:rsidR="00FF442B">
        <w:rPr>
          <w:rFonts w:ascii="楷体_GB2312" w:eastAsia="楷体_GB2312" w:hAnsi="宋体" w:cs="宋体" w:hint="eastAsia"/>
          <w:kern w:val="0"/>
          <w:szCs w:val="21"/>
        </w:rPr>
        <w:t>走</w:t>
      </w:r>
      <w:r w:rsidR="00FF442B">
        <w:rPr>
          <w:rFonts w:ascii="楷体_GB2312" w:eastAsia="楷体_GB2312" w:hAnsi="宋体" w:cs="宋体" w:hint="eastAsia"/>
          <w:kern w:val="0"/>
          <w:szCs w:val="21"/>
        </w:rPr>
        <w:lastRenderedPageBreak/>
        <w:t>低，维持前期判断，继续看好</w:t>
      </w:r>
      <w:r>
        <w:rPr>
          <w:rFonts w:ascii="楷体_GB2312" w:eastAsia="楷体_GB2312" w:hAnsi="宋体" w:cs="宋体" w:hint="eastAsia"/>
          <w:kern w:val="0"/>
          <w:szCs w:val="21"/>
        </w:rPr>
        <w:t>长期券种</w:t>
      </w:r>
      <w:r w:rsidR="00FF442B">
        <w:rPr>
          <w:rFonts w:ascii="楷体_GB2312" w:eastAsia="楷体_GB2312" w:hAnsi="宋体" w:cs="宋体" w:hint="eastAsia"/>
          <w:kern w:val="0"/>
          <w:szCs w:val="21"/>
        </w:rPr>
        <w:t>相对优势</w:t>
      </w:r>
      <w:r>
        <w:rPr>
          <w:rFonts w:ascii="楷体_GB2312" w:eastAsia="楷体_GB2312" w:hAnsi="宋体" w:cs="宋体" w:hint="eastAsia"/>
          <w:kern w:val="0"/>
          <w:szCs w:val="21"/>
        </w:rPr>
        <w:t>，建议低风险投资者继续加码</w:t>
      </w:r>
      <w:r w:rsidRPr="00FB4068">
        <w:rPr>
          <w:rFonts w:ascii="楷体_GB2312" w:eastAsia="楷体_GB2312" w:hAnsi="宋体" w:cs="宋体" w:hint="eastAsia"/>
          <w:kern w:val="0"/>
          <w:szCs w:val="21"/>
        </w:rPr>
        <w:t>债券型基金。在配置品种上，侧重配置重仓期限偏向中长期、债券评级偏向低评级的债券型基金</w:t>
      </w:r>
      <w:r w:rsidR="00FF442B">
        <w:rPr>
          <w:rFonts w:ascii="楷体_GB2312" w:eastAsia="楷体_GB2312" w:hAnsi="宋体" w:cs="宋体" w:hint="eastAsia"/>
          <w:kern w:val="0"/>
          <w:szCs w:val="21"/>
        </w:rPr>
        <w:t>，但需回避配置</w:t>
      </w:r>
      <w:r w:rsidR="00812624">
        <w:rPr>
          <w:rFonts w:ascii="楷体_GB2312" w:eastAsia="楷体_GB2312" w:hAnsi="宋体" w:cs="宋体" w:hint="eastAsia"/>
          <w:kern w:val="0"/>
          <w:szCs w:val="21"/>
        </w:rPr>
        <w:t>股票</w:t>
      </w:r>
      <w:r w:rsidR="00644703">
        <w:rPr>
          <w:rFonts w:ascii="楷体_GB2312" w:eastAsia="楷体_GB2312" w:hAnsi="宋体" w:cs="宋体" w:hint="eastAsia"/>
          <w:kern w:val="0"/>
          <w:szCs w:val="21"/>
        </w:rPr>
        <w:t>和可转债</w:t>
      </w:r>
      <w:r w:rsidR="00812624">
        <w:rPr>
          <w:rFonts w:ascii="楷体_GB2312" w:eastAsia="楷体_GB2312" w:hAnsi="宋体" w:cs="宋体" w:hint="eastAsia"/>
          <w:kern w:val="0"/>
          <w:szCs w:val="21"/>
        </w:rPr>
        <w:t>资产的债券型基金</w:t>
      </w:r>
      <w:r w:rsidRPr="00FB4068">
        <w:rPr>
          <w:rFonts w:ascii="楷体_GB2312" w:eastAsia="楷体_GB2312" w:hAnsi="宋体" w:cs="宋体" w:hint="eastAsia"/>
          <w:kern w:val="0"/>
          <w:szCs w:val="21"/>
        </w:rPr>
        <w:t>。</w:t>
      </w:r>
    </w:p>
    <w:p w:rsidR="009512F8" w:rsidRPr="00173734" w:rsidRDefault="009A18F4" w:rsidP="0054141D">
      <w:pPr>
        <w:ind w:leftChars="1350" w:left="2835" w:firstLineChars="202" w:firstLine="426"/>
        <w:rPr>
          <w:rFonts w:ascii="楷体_GB2312" w:eastAsia="楷体_GB2312" w:hAnsi="宋体" w:cs="宋体"/>
          <w:kern w:val="0"/>
          <w:szCs w:val="21"/>
        </w:rPr>
      </w:pPr>
      <w:r w:rsidRPr="00037583">
        <w:rPr>
          <w:rFonts w:ascii="楷体_GB2312" w:eastAsia="楷体_GB2312" w:hAnsi="宋体" w:cs="宋体" w:hint="eastAsia"/>
          <w:b/>
          <w:kern w:val="0"/>
          <w:szCs w:val="21"/>
        </w:rPr>
        <w:t>QDII方面，</w:t>
      </w:r>
      <w:r w:rsidR="00812624">
        <w:rPr>
          <w:rFonts w:ascii="楷体_GB2312" w:eastAsia="楷体_GB2312" w:hAnsi="宋体" w:cs="宋体" w:hint="eastAsia"/>
          <w:kern w:val="0"/>
          <w:szCs w:val="21"/>
        </w:rPr>
        <w:t>随着希腊债务危机给欧元区带来的威胁暂缓，欧洲各国市场有望在货币宽松下继续走强，日本</w:t>
      </w:r>
      <w:r w:rsidR="000E3E14">
        <w:rPr>
          <w:rFonts w:ascii="楷体_GB2312" w:eastAsia="楷体_GB2312" w:hAnsi="宋体" w:cs="宋体" w:hint="eastAsia"/>
          <w:kern w:val="0"/>
          <w:szCs w:val="21"/>
        </w:rPr>
        <w:t>市场</w:t>
      </w:r>
      <w:r w:rsidR="00812624">
        <w:rPr>
          <w:rFonts w:ascii="楷体_GB2312" w:eastAsia="楷体_GB2312" w:hAnsi="宋体" w:cs="宋体" w:hint="eastAsia"/>
          <w:kern w:val="0"/>
          <w:szCs w:val="21"/>
        </w:rPr>
        <w:t>收益货币宽松和经济走好将维持乐观，</w:t>
      </w:r>
      <w:r w:rsidR="000E3E14">
        <w:rPr>
          <w:rFonts w:ascii="楷体_GB2312" w:eastAsia="楷体_GB2312" w:hAnsi="宋体" w:cs="宋体" w:hint="eastAsia"/>
          <w:kern w:val="0"/>
          <w:szCs w:val="21"/>
        </w:rPr>
        <w:t>美国有望迎来10年来的首次加息，美元走强将成为趋势，从而引发全球资产从新兴市场向美国市场流入。因此，建议投资者</w:t>
      </w:r>
      <w:r w:rsidR="00677C07">
        <w:rPr>
          <w:rFonts w:ascii="楷体_GB2312" w:eastAsia="楷体_GB2312" w:hAnsi="宋体" w:cs="宋体" w:hint="eastAsia"/>
          <w:kern w:val="0"/>
          <w:szCs w:val="21"/>
        </w:rPr>
        <w:t>高配</w:t>
      </w:r>
      <w:r w:rsidR="00EB64BD">
        <w:rPr>
          <w:rFonts w:ascii="楷体_GB2312" w:eastAsia="楷体_GB2312" w:hAnsi="宋体" w:cs="宋体" w:hint="eastAsia"/>
          <w:kern w:val="0"/>
          <w:szCs w:val="21"/>
        </w:rPr>
        <w:t>美国股票QDII、低配新兴市场</w:t>
      </w:r>
      <w:r w:rsidR="0054141D">
        <w:rPr>
          <w:rFonts w:ascii="楷体_GB2312" w:eastAsia="楷体_GB2312" w:hAnsi="宋体" w:cs="宋体" w:hint="eastAsia"/>
          <w:kern w:val="0"/>
          <w:szCs w:val="21"/>
        </w:rPr>
        <w:t>股票</w:t>
      </w:r>
      <w:r w:rsidR="00EB64BD">
        <w:rPr>
          <w:rFonts w:ascii="楷体_GB2312" w:eastAsia="楷体_GB2312" w:hAnsi="宋体" w:cs="宋体" w:hint="eastAsia"/>
          <w:kern w:val="0"/>
          <w:szCs w:val="21"/>
        </w:rPr>
        <w:t>QDII</w:t>
      </w:r>
      <w:r w:rsidR="0054141D">
        <w:rPr>
          <w:rFonts w:ascii="楷体_GB2312" w:eastAsia="楷体_GB2312" w:hAnsi="宋体" w:cs="宋体" w:hint="eastAsia"/>
          <w:kern w:val="0"/>
          <w:szCs w:val="21"/>
        </w:rPr>
        <w:t>、港股QDII</w:t>
      </w:r>
      <w:r w:rsidR="00EB64BD">
        <w:rPr>
          <w:rFonts w:ascii="楷体_GB2312" w:eastAsia="楷体_GB2312" w:hAnsi="宋体" w:cs="宋体" w:hint="eastAsia"/>
          <w:kern w:val="0"/>
          <w:szCs w:val="21"/>
        </w:rPr>
        <w:t>，短期内还可高配欧洲、日本</w:t>
      </w:r>
      <w:r w:rsidR="0054141D">
        <w:rPr>
          <w:rFonts w:ascii="楷体_GB2312" w:eastAsia="楷体_GB2312" w:hAnsi="宋体" w:cs="宋体" w:hint="eastAsia"/>
          <w:kern w:val="0"/>
          <w:szCs w:val="21"/>
        </w:rPr>
        <w:t>股票</w:t>
      </w:r>
      <w:r w:rsidR="00EB64BD">
        <w:rPr>
          <w:rFonts w:ascii="楷体_GB2312" w:eastAsia="楷体_GB2312" w:hAnsi="宋体" w:cs="宋体" w:hint="eastAsia"/>
          <w:kern w:val="0"/>
          <w:szCs w:val="21"/>
        </w:rPr>
        <w:t>QDII</w:t>
      </w:r>
      <w:r w:rsidR="0054141D">
        <w:rPr>
          <w:rFonts w:ascii="楷体_GB2312" w:eastAsia="楷体_GB2312" w:hAnsi="宋体" w:cs="宋体" w:hint="eastAsia"/>
          <w:kern w:val="0"/>
          <w:szCs w:val="21"/>
        </w:rPr>
        <w:t>。短期内</w:t>
      </w:r>
      <w:r w:rsidR="009512F8">
        <w:rPr>
          <w:rFonts w:ascii="楷体_GB2312" w:eastAsia="楷体_GB2312" w:hAnsi="宋体" w:cs="宋体" w:hint="eastAsia"/>
          <w:kern w:val="0"/>
          <w:szCs w:val="21"/>
        </w:rPr>
        <w:t>回避直接</w:t>
      </w:r>
      <w:r w:rsidR="00D16B57">
        <w:rPr>
          <w:rFonts w:ascii="楷体_GB2312" w:eastAsia="楷体_GB2312" w:hAnsi="宋体" w:cs="宋体" w:hint="eastAsia"/>
          <w:kern w:val="0"/>
          <w:szCs w:val="21"/>
        </w:rPr>
        <w:t>受累美元升值的贵重金属QDII，低配受累美元升值和全球需求不振的大宗商品QDII，</w:t>
      </w:r>
      <w:r w:rsidR="009512F8" w:rsidRPr="00E06921">
        <w:rPr>
          <w:rFonts w:ascii="楷体_GB2312" w:eastAsia="楷体_GB2312" w:hAnsi="宋体" w:cs="宋体" w:hint="eastAsia"/>
          <w:kern w:val="0"/>
          <w:szCs w:val="21"/>
        </w:rPr>
        <w:t>长期投资者和高风险投资者可以从逆向投资的角度出发逐步布局</w:t>
      </w:r>
      <w:r w:rsidR="0054141D">
        <w:rPr>
          <w:rFonts w:ascii="楷体_GB2312" w:eastAsia="楷体_GB2312" w:hAnsi="宋体" w:cs="宋体" w:hint="eastAsia"/>
          <w:kern w:val="0"/>
          <w:szCs w:val="21"/>
        </w:rPr>
        <w:t>原油</w:t>
      </w:r>
      <w:r w:rsidR="009512F8" w:rsidRPr="00E06921">
        <w:rPr>
          <w:rFonts w:ascii="楷体_GB2312" w:eastAsia="楷体_GB2312" w:hAnsi="宋体" w:cs="宋体" w:hint="eastAsia"/>
          <w:kern w:val="0"/>
          <w:szCs w:val="21"/>
        </w:rPr>
        <w:t>QDII。</w:t>
      </w:r>
    </w:p>
    <w:p w:rsidR="009A18F4" w:rsidRPr="005E4592" w:rsidRDefault="009A18F4" w:rsidP="0075204E">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（三）基金组合推荐</w:t>
      </w:r>
    </w:p>
    <w:p w:rsidR="009F0BFD" w:rsidRPr="00A23D76" w:rsidRDefault="009A18F4" w:rsidP="0075204E">
      <w:pPr>
        <w:spacing w:beforeLines="50"/>
        <w:ind w:leftChars="1350" w:left="2835" w:firstLineChars="202" w:firstLine="424"/>
        <w:rPr>
          <w:rFonts w:ascii="楷体_GB2312" w:eastAsia="楷体_GB2312" w:hAnsi="宋体" w:cs="宋体"/>
          <w:color w:val="000000"/>
          <w:kern w:val="0"/>
          <w:szCs w:val="21"/>
        </w:rPr>
      </w:pPr>
      <w:r w:rsidRPr="00281D04">
        <w:rPr>
          <w:rFonts w:ascii="楷体_GB2312" w:eastAsia="楷体_GB2312" w:hAnsi="宋体" w:cs="宋体" w:hint="eastAsia"/>
          <w:color w:val="000000"/>
          <w:kern w:val="0"/>
          <w:szCs w:val="21"/>
        </w:rPr>
        <w:t>具体到组合构建上，我们在</w:t>
      </w:r>
      <w:r>
        <w:rPr>
          <w:rFonts w:ascii="楷体_GB2312" w:eastAsia="楷体_GB2312" w:hAnsi="宋体" w:cs="宋体" w:hint="eastAsia"/>
          <w:color w:val="000000"/>
          <w:kern w:val="0"/>
          <w:szCs w:val="21"/>
        </w:rPr>
        <w:t>上述</w:t>
      </w:r>
      <w:r w:rsidRPr="00281D04">
        <w:rPr>
          <w:rFonts w:ascii="楷体_GB2312" w:eastAsia="楷体_GB2312" w:hAnsi="宋体" w:cs="宋体" w:hint="eastAsia"/>
          <w:color w:val="000000"/>
          <w:kern w:val="0"/>
          <w:szCs w:val="21"/>
        </w:rPr>
        <w:t>基金投资策略指引下，充分考虑投资品种流动性，并依据资产配置、行业结构、投资风格分散化原则，</w:t>
      </w:r>
      <w:r w:rsidR="00207EB7">
        <w:rPr>
          <w:rFonts w:ascii="楷体_GB2312" w:eastAsia="楷体_GB2312" w:hAnsi="宋体" w:cs="宋体" w:hint="eastAsia"/>
          <w:color w:val="000000"/>
          <w:kern w:val="0"/>
          <w:szCs w:val="21"/>
        </w:rPr>
        <w:t>以及基金的申购赎回开放状态，</w:t>
      </w:r>
      <w:r w:rsidRPr="00281D04">
        <w:rPr>
          <w:rFonts w:ascii="楷体_GB2312" w:eastAsia="楷体_GB2312" w:hAnsi="宋体" w:cs="宋体" w:hint="eastAsia"/>
          <w:color w:val="000000"/>
          <w:kern w:val="0"/>
          <w:szCs w:val="21"/>
        </w:rPr>
        <w:t>构建</w:t>
      </w:r>
      <w:r>
        <w:rPr>
          <w:rFonts w:ascii="楷体_GB2312" w:eastAsia="楷体_GB2312" w:hAnsi="宋体" w:cs="宋体" w:hint="eastAsia"/>
          <w:color w:val="000000"/>
          <w:kern w:val="0"/>
          <w:szCs w:val="21"/>
        </w:rPr>
        <w:t>三类</w:t>
      </w:r>
      <w:r w:rsidRPr="00281D04">
        <w:rPr>
          <w:rFonts w:ascii="楷体_GB2312" w:eastAsia="楷体_GB2312" w:hAnsi="宋体" w:cs="宋体" w:hint="eastAsia"/>
          <w:color w:val="000000"/>
          <w:kern w:val="0"/>
          <w:szCs w:val="21"/>
        </w:rPr>
        <w:t>投资组合以供投资参考，本期</w:t>
      </w:r>
      <w:r w:rsidRPr="001E1222">
        <w:rPr>
          <w:rFonts w:ascii="楷体_GB2312" w:eastAsia="楷体_GB2312" w:hAnsi="宋体" w:cs="宋体" w:hint="eastAsia"/>
          <w:color w:val="000000"/>
          <w:kern w:val="0"/>
          <w:szCs w:val="21"/>
        </w:rPr>
        <w:t>组合</w:t>
      </w:r>
      <w:r>
        <w:rPr>
          <w:rFonts w:ascii="楷体_GB2312" w:eastAsia="楷体_GB2312" w:hAnsi="宋体" w:cs="宋体" w:hint="eastAsia"/>
          <w:color w:val="000000"/>
          <w:kern w:val="0"/>
          <w:szCs w:val="21"/>
        </w:rPr>
        <w:t>有所调整，</w:t>
      </w:r>
      <w:r w:rsidR="009F0BFD">
        <w:rPr>
          <w:rFonts w:ascii="楷体_GB2312" w:eastAsia="楷体_GB2312" w:hAnsi="宋体" w:cs="宋体" w:hint="eastAsia"/>
          <w:color w:val="000000"/>
          <w:kern w:val="0"/>
          <w:szCs w:val="21"/>
        </w:rPr>
        <w:t>积极型组合中，</w:t>
      </w:r>
      <w:r w:rsidR="006B2815" w:rsidRPr="006B2815">
        <w:rPr>
          <w:rFonts w:ascii="楷体_GB2312" w:eastAsia="楷体_GB2312" w:hAnsi="宋体" w:cs="宋体" w:hint="eastAsia"/>
          <w:color w:val="000000"/>
          <w:kern w:val="0"/>
          <w:szCs w:val="21"/>
        </w:rPr>
        <w:t>新华钻石品质</w:t>
      </w:r>
      <w:r w:rsidR="006B2815">
        <w:rPr>
          <w:rFonts w:ascii="楷体_GB2312" w:eastAsia="楷体_GB2312" w:hAnsi="宋体" w:cs="宋体" w:hint="eastAsia"/>
          <w:color w:val="000000"/>
          <w:kern w:val="0"/>
          <w:szCs w:val="21"/>
        </w:rPr>
        <w:t>（因基金经理变更，风格难以延续）</w:t>
      </w:r>
      <w:r w:rsidR="009F0BFD">
        <w:rPr>
          <w:rFonts w:ascii="楷体_GB2312" w:eastAsia="楷体_GB2312" w:hAnsi="宋体" w:cs="宋体" w:hint="eastAsia"/>
          <w:color w:val="000000"/>
          <w:kern w:val="0"/>
          <w:szCs w:val="21"/>
        </w:rPr>
        <w:t>调整为景顺</w:t>
      </w:r>
      <w:r w:rsidR="009F0BFD" w:rsidRPr="009F0BFD">
        <w:rPr>
          <w:rFonts w:ascii="楷体_GB2312" w:eastAsia="楷体_GB2312" w:hAnsi="宋体" w:cs="宋体" w:hint="eastAsia"/>
          <w:color w:val="000000"/>
          <w:kern w:val="0"/>
          <w:szCs w:val="21"/>
        </w:rPr>
        <w:t>核心竞争力</w:t>
      </w:r>
      <w:r w:rsidR="002E093E">
        <w:rPr>
          <w:rFonts w:ascii="楷体_GB2312" w:eastAsia="楷体_GB2312" w:hAnsi="宋体" w:cs="宋体" w:hint="eastAsia"/>
          <w:color w:val="000000"/>
          <w:kern w:val="0"/>
          <w:szCs w:val="21"/>
        </w:rPr>
        <w:t>，平衡型组合</w:t>
      </w:r>
      <w:r w:rsidR="00A23D76">
        <w:rPr>
          <w:rFonts w:ascii="楷体_GB2312" w:eastAsia="楷体_GB2312" w:hAnsi="宋体" w:cs="宋体" w:hint="eastAsia"/>
          <w:color w:val="000000"/>
          <w:kern w:val="0"/>
          <w:szCs w:val="21"/>
        </w:rPr>
        <w:t>和稳定型组合</w:t>
      </w:r>
      <w:r w:rsidR="002E093E">
        <w:rPr>
          <w:rFonts w:ascii="楷体_GB2312" w:eastAsia="楷体_GB2312" w:hAnsi="宋体" w:cs="宋体" w:hint="eastAsia"/>
          <w:color w:val="000000"/>
          <w:kern w:val="0"/>
          <w:szCs w:val="21"/>
        </w:rPr>
        <w:t>中，</w:t>
      </w:r>
      <w:r w:rsidR="00A23D76" w:rsidRPr="00A23D76">
        <w:rPr>
          <w:rFonts w:ascii="楷体_GB2312" w:eastAsia="楷体_GB2312" w:hAnsi="宋体" w:cs="宋体" w:hint="eastAsia"/>
          <w:color w:val="000000"/>
          <w:kern w:val="0"/>
          <w:szCs w:val="21"/>
        </w:rPr>
        <w:t>宝盈收益</w:t>
      </w:r>
      <w:r w:rsidR="006B2815">
        <w:rPr>
          <w:rFonts w:ascii="楷体_GB2312" w:eastAsia="楷体_GB2312" w:hAnsi="宋体" w:cs="宋体" w:hint="eastAsia"/>
          <w:color w:val="000000"/>
          <w:kern w:val="0"/>
          <w:szCs w:val="21"/>
        </w:rPr>
        <w:t>（因持仓</w:t>
      </w:r>
      <w:r w:rsidR="007A038F">
        <w:rPr>
          <w:rFonts w:ascii="楷体_GB2312" w:eastAsia="楷体_GB2312" w:hAnsi="宋体" w:cs="宋体" w:hint="eastAsia"/>
          <w:color w:val="000000"/>
          <w:kern w:val="0"/>
          <w:szCs w:val="21"/>
        </w:rPr>
        <w:t>持股比例较高</w:t>
      </w:r>
      <w:r w:rsidR="006B2815">
        <w:rPr>
          <w:rFonts w:ascii="楷体_GB2312" w:eastAsia="楷体_GB2312" w:hAnsi="宋体" w:cs="宋体" w:hint="eastAsia"/>
          <w:color w:val="000000"/>
          <w:kern w:val="0"/>
          <w:szCs w:val="21"/>
        </w:rPr>
        <w:t>）</w:t>
      </w:r>
      <w:r w:rsidR="002E093E" w:rsidRPr="00A23D76">
        <w:rPr>
          <w:rFonts w:ascii="楷体_GB2312" w:eastAsia="楷体_GB2312" w:hAnsi="宋体" w:cs="宋体" w:hint="eastAsia"/>
          <w:color w:val="000000"/>
          <w:kern w:val="0"/>
          <w:szCs w:val="21"/>
        </w:rPr>
        <w:t>调整为</w:t>
      </w:r>
      <w:r w:rsidR="00A23D76" w:rsidRPr="00A23D76">
        <w:rPr>
          <w:rFonts w:ascii="楷体_GB2312" w:eastAsia="楷体_GB2312" w:hAnsi="宋体" w:cs="宋体" w:hint="eastAsia"/>
          <w:color w:val="000000"/>
          <w:kern w:val="0"/>
          <w:szCs w:val="21"/>
        </w:rPr>
        <w:t>长城积极增利。</w:t>
      </w:r>
    </w:p>
    <w:p w:rsidR="009A18F4" w:rsidRPr="00E921CB" w:rsidRDefault="009A18F4" w:rsidP="009A18F4">
      <w:pPr>
        <w:spacing w:line="360" w:lineRule="auto"/>
        <w:ind w:left="4017" w:hangingChars="2223" w:hanging="4017"/>
        <w:jc w:val="center"/>
        <w:rPr>
          <w:rFonts w:ascii="楷体_GB2312" w:eastAsia="楷体_GB2312"/>
          <w:b/>
          <w:noProof/>
          <w:color w:val="000000"/>
        </w:rPr>
      </w:pPr>
      <w:r w:rsidRPr="00E921CB">
        <w:rPr>
          <w:rFonts w:ascii="楷体_GB2312" w:eastAsia="楷体_GB2312" w:hint="eastAsia"/>
          <w:b/>
          <w:color w:val="000000"/>
          <w:sz w:val="18"/>
          <w:szCs w:val="18"/>
        </w:rPr>
        <w:t>表1上海证券基金评价研究中心基金组合</w:t>
      </w:r>
    </w:p>
    <w:tbl>
      <w:tblPr>
        <w:tblW w:w="5000" w:type="pct"/>
        <w:jc w:val="center"/>
        <w:tblLook w:val="0000"/>
      </w:tblPr>
      <w:tblGrid>
        <w:gridCol w:w="2527"/>
        <w:gridCol w:w="815"/>
        <w:gridCol w:w="620"/>
        <w:gridCol w:w="1792"/>
        <w:gridCol w:w="752"/>
        <w:gridCol w:w="569"/>
        <w:gridCol w:w="1776"/>
        <w:gridCol w:w="720"/>
      </w:tblGrid>
      <w:tr w:rsidR="009A18F4" w:rsidRPr="00E921CB" w:rsidTr="00DE017A">
        <w:trPr>
          <w:trHeight w:val="285"/>
          <w:jc w:val="center"/>
        </w:trPr>
        <w:tc>
          <w:tcPr>
            <w:tcW w:w="1746" w:type="pct"/>
            <w:gridSpan w:val="2"/>
            <w:tcBorders>
              <w:top w:val="single" w:sz="4" w:space="0" w:color="auto"/>
              <w:left w:val="single" w:sz="4" w:space="0" w:color="auto"/>
              <w:right w:val="single" w:sz="4" w:space="0" w:color="000000"/>
            </w:tcBorders>
            <w:shd w:val="clear" w:color="auto" w:fill="0000FF"/>
            <w:noWrap/>
            <w:vAlign w:val="bottom"/>
          </w:tcPr>
          <w:p w:rsidR="009A18F4" w:rsidRPr="00E921CB" w:rsidRDefault="009A18F4" w:rsidP="00DE017A">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积极型组合</w:t>
            </w:r>
          </w:p>
        </w:tc>
        <w:tc>
          <w:tcPr>
            <w:tcW w:w="324"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9A18F4" w:rsidRPr="00E921CB" w:rsidRDefault="009A18F4" w:rsidP="00DE017A">
            <w:pPr>
              <w:widowControl/>
              <w:jc w:val="center"/>
              <w:rPr>
                <w:rFonts w:ascii="宋体" w:hAnsi="宋体" w:cs="宋体"/>
                <w:kern w:val="0"/>
                <w:sz w:val="18"/>
                <w:szCs w:val="18"/>
              </w:rPr>
            </w:pPr>
          </w:p>
        </w:tc>
        <w:tc>
          <w:tcPr>
            <w:tcW w:w="1329" w:type="pct"/>
            <w:gridSpan w:val="2"/>
            <w:tcBorders>
              <w:top w:val="single" w:sz="4" w:space="0" w:color="auto"/>
              <w:left w:val="single" w:sz="4" w:space="0" w:color="auto"/>
              <w:right w:val="single" w:sz="4" w:space="0" w:color="000000"/>
            </w:tcBorders>
            <w:shd w:val="clear" w:color="auto" w:fill="0000FF"/>
            <w:noWrap/>
            <w:vAlign w:val="bottom"/>
          </w:tcPr>
          <w:p w:rsidR="009A18F4" w:rsidRPr="00E921CB" w:rsidRDefault="009A18F4" w:rsidP="00DE017A">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平衡型组合</w:t>
            </w:r>
          </w:p>
        </w:tc>
        <w:tc>
          <w:tcPr>
            <w:tcW w:w="297"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9A18F4" w:rsidRPr="00E921CB" w:rsidRDefault="009A18F4" w:rsidP="00DE017A">
            <w:pPr>
              <w:widowControl/>
              <w:jc w:val="center"/>
              <w:rPr>
                <w:rFonts w:ascii="宋体" w:hAnsi="宋体" w:cs="宋体"/>
                <w:kern w:val="0"/>
                <w:sz w:val="18"/>
                <w:szCs w:val="18"/>
              </w:rPr>
            </w:pPr>
          </w:p>
        </w:tc>
        <w:tc>
          <w:tcPr>
            <w:tcW w:w="1304" w:type="pct"/>
            <w:gridSpan w:val="2"/>
            <w:tcBorders>
              <w:top w:val="single" w:sz="4" w:space="0" w:color="auto"/>
              <w:left w:val="single" w:sz="4" w:space="0" w:color="auto"/>
              <w:right w:val="single" w:sz="4" w:space="0" w:color="000000"/>
            </w:tcBorders>
            <w:shd w:val="clear" w:color="auto" w:fill="0000FF"/>
            <w:noWrap/>
            <w:vAlign w:val="bottom"/>
          </w:tcPr>
          <w:p w:rsidR="009A18F4" w:rsidRPr="00E921CB" w:rsidRDefault="009A18F4" w:rsidP="00DE017A">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稳定型组合</w:t>
            </w:r>
          </w:p>
        </w:tc>
      </w:tr>
      <w:tr w:rsidR="009A18F4" w:rsidRPr="00E921CB" w:rsidTr="00DE017A">
        <w:trPr>
          <w:trHeight w:val="285"/>
          <w:jc w:val="center"/>
        </w:trPr>
        <w:tc>
          <w:tcPr>
            <w:tcW w:w="1320" w:type="pct"/>
            <w:tcBorders>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26" w:type="pct"/>
            <w:tcBorders>
              <w:left w:val="single" w:sz="8" w:space="0" w:color="auto"/>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324" w:type="pct"/>
            <w:vMerge/>
            <w:tcBorders>
              <w:top w:val="single" w:sz="4" w:space="0" w:color="auto"/>
              <w:left w:val="single" w:sz="8" w:space="0" w:color="auto"/>
              <w:bottom w:val="single" w:sz="4" w:space="0" w:color="000000"/>
            </w:tcBorders>
            <w:vAlign w:val="center"/>
          </w:tcPr>
          <w:p w:rsidR="009A18F4" w:rsidRPr="00E921CB" w:rsidRDefault="009A18F4" w:rsidP="00DE017A">
            <w:pPr>
              <w:widowControl/>
              <w:jc w:val="left"/>
              <w:rPr>
                <w:rFonts w:ascii="宋体" w:hAnsi="宋体" w:cs="宋体"/>
                <w:kern w:val="0"/>
                <w:sz w:val="18"/>
                <w:szCs w:val="18"/>
              </w:rPr>
            </w:pPr>
          </w:p>
        </w:tc>
        <w:tc>
          <w:tcPr>
            <w:tcW w:w="936" w:type="pct"/>
            <w:tcBorders>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93" w:type="pct"/>
            <w:tcBorders>
              <w:left w:val="single" w:sz="8" w:space="0" w:color="auto"/>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297" w:type="pct"/>
            <w:vMerge/>
            <w:tcBorders>
              <w:top w:val="single" w:sz="4" w:space="0" w:color="auto"/>
              <w:left w:val="single" w:sz="8" w:space="0" w:color="auto"/>
              <w:bottom w:val="single" w:sz="4" w:space="0" w:color="000000"/>
            </w:tcBorders>
            <w:vAlign w:val="center"/>
          </w:tcPr>
          <w:p w:rsidR="009A18F4" w:rsidRPr="00E921CB" w:rsidRDefault="009A18F4" w:rsidP="00DE017A">
            <w:pPr>
              <w:widowControl/>
              <w:jc w:val="left"/>
              <w:rPr>
                <w:rFonts w:ascii="宋体" w:hAnsi="宋体" w:cs="宋体"/>
                <w:kern w:val="0"/>
                <w:sz w:val="18"/>
                <w:szCs w:val="18"/>
              </w:rPr>
            </w:pPr>
          </w:p>
        </w:tc>
        <w:tc>
          <w:tcPr>
            <w:tcW w:w="928" w:type="pct"/>
            <w:tcBorders>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76" w:type="pct"/>
            <w:tcBorders>
              <w:left w:val="single" w:sz="8" w:space="0" w:color="auto"/>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r>
      <w:tr w:rsidR="003A6BA8" w:rsidRPr="00E921CB" w:rsidTr="00DE017A">
        <w:trPr>
          <w:trHeight w:val="285"/>
          <w:jc w:val="center"/>
        </w:trPr>
        <w:tc>
          <w:tcPr>
            <w:tcW w:w="1320" w:type="pct"/>
            <w:tcBorders>
              <w:top w:val="single" w:sz="8" w:space="0" w:color="auto"/>
              <w:left w:val="single" w:sz="4" w:space="0" w:color="auto"/>
              <w:bottom w:val="single" w:sz="4" w:space="0" w:color="auto"/>
              <w:right w:val="single" w:sz="4" w:space="0" w:color="auto"/>
            </w:tcBorders>
            <w:shd w:val="clear" w:color="auto" w:fill="auto"/>
            <w:noWrap/>
            <w:vAlign w:val="bottom"/>
          </w:tcPr>
          <w:p w:rsidR="003A6BA8" w:rsidRPr="007F4645" w:rsidRDefault="003A6BA8" w:rsidP="002B6917">
            <w:pPr>
              <w:jc w:val="center"/>
              <w:rPr>
                <w:sz w:val="18"/>
                <w:szCs w:val="18"/>
              </w:rPr>
            </w:pPr>
            <w:r w:rsidRPr="0083054E">
              <w:rPr>
                <w:sz w:val="18"/>
                <w:szCs w:val="18"/>
              </w:rPr>
              <w:t>信诚精萃成长</w:t>
            </w:r>
          </w:p>
        </w:tc>
        <w:tc>
          <w:tcPr>
            <w:tcW w:w="426" w:type="pct"/>
            <w:tcBorders>
              <w:top w:val="single" w:sz="8" w:space="0" w:color="auto"/>
              <w:left w:val="nil"/>
              <w:bottom w:val="single" w:sz="4" w:space="0" w:color="auto"/>
              <w:right w:val="single" w:sz="4" w:space="0" w:color="auto"/>
            </w:tcBorders>
            <w:shd w:val="clear" w:color="auto" w:fill="auto"/>
            <w:noWrap/>
            <w:vAlign w:val="bottom"/>
          </w:tcPr>
          <w:p w:rsidR="003A6BA8" w:rsidRPr="007F5B42" w:rsidRDefault="003A6BA8" w:rsidP="008809D4">
            <w:pPr>
              <w:widowControl/>
              <w:jc w:val="center"/>
              <w:rPr>
                <w:rFonts w:ascii="Arial" w:hAnsi="Arial" w:cs="Arial"/>
                <w:sz w:val="16"/>
                <w:szCs w:val="16"/>
              </w:rPr>
            </w:pPr>
            <w:r w:rsidRPr="007F5B42">
              <w:rPr>
                <w:rFonts w:ascii="Arial" w:hAnsi="Arial" w:cs="Arial" w:hint="eastAsia"/>
                <w:sz w:val="16"/>
                <w:szCs w:val="16"/>
              </w:rPr>
              <w:t>30%</w:t>
            </w:r>
          </w:p>
        </w:tc>
        <w:tc>
          <w:tcPr>
            <w:tcW w:w="324" w:type="pct"/>
            <w:vMerge/>
            <w:tcBorders>
              <w:top w:val="single" w:sz="8"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36" w:type="pct"/>
            <w:tcBorders>
              <w:top w:val="single" w:sz="8" w:space="0" w:color="auto"/>
              <w:left w:val="nil"/>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r w:rsidRPr="0083054E">
              <w:rPr>
                <w:sz w:val="18"/>
                <w:szCs w:val="18"/>
              </w:rPr>
              <w:t>信诚精萃成长</w:t>
            </w:r>
          </w:p>
        </w:tc>
        <w:tc>
          <w:tcPr>
            <w:tcW w:w="393" w:type="pct"/>
            <w:tcBorders>
              <w:top w:val="single" w:sz="8" w:space="0" w:color="auto"/>
              <w:left w:val="nil"/>
              <w:bottom w:val="single" w:sz="4" w:space="0" w:color="auto"/>
              <w:right w:val="single" w:sz="4" w:space="0" w:color="auto"/>
            </w:tcBorders>
            <w:shd w:val="clear" w:color="auto" w:fill="auto"/>
            <w:noWrap/>
            <w:vAlign w:val="bottom"/>
          </w:tcPr>
          <w:p w:rsidR="003A6BA8" w:rsidRPr="00E921CB" w:rsidRDefault="003A6BA8" w:rsidP="00DE017A">
            <w:pPr>
              <w:widowControl/>
              <w:jc w:val="center"/>
              <w:rPr>
                <w:rFonts w:ascii="宋体" w:hAnsi="宋体" w:cs="宋体"/>
                <w:kern w:val="0"/>
                <w:sz w:val="18"/>
                <w:szCs w:val="18"/>
              </w:rPr>
            </w:pPr>
            <w:r>
              <w:rPr>
                <w:rFonts w:hint="eastAsia"/>
                <w:sz w:val="18"/>
                <w:szCs w:val="18"/>
              </w:rPr>
              <w:t>20%</w:t>
            </w:r>
          </w:p>
        </w:tc>
        <w:tc>
          <w:tcPr>
            <w:tcW w:w="297" w:type="pct"/>
            <w:vMerge/>
            <w:tcBorders>
              <w:top w:val="single" w:sz="8"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28" w:type="pct"/>
            <w:tcBorders>
              <w:top w:val="single" w:sz="8" w:space="0" w:color="auto"/>
              <w:left w:val="nil"/>
              <w:bottom w:val="single" w:sz="4" w:space="0" w:color="auto"/>
              <w:right w:val="single" w:sz="4" w:space="0" w:color="auto"/>
            </w:tcBorders>
            <w:shd w:val="clear" w:color="auto" w:fill="auto"/>
            <w:noWrap/>
            <w:vAlign w:val="bottom"/>
          </w:tcPr>
          <w:p w:rsidR="003A6BA8" w:rsidRPr="00460204" w:rsidRDefault="003A6BA8" w:rsidP="00DE017A">
            <w:pPr>
              <w:jc w:val="center"/>
              <w:rPr>
                <w:sz w:val="18"/>
                <w:szCs w:val="18"/>
              </w:rPr>
            </w:pPr>
            <w:r w:rsidRPr="00460204">
              <w:rPr>
                <w:rFonts w:hint="eastAsia"/>
                <w:sz w:val="18"/>
                <w:szCs w:val="18"/>
              </w:rPr>
              <w:t>长城积极增利</w:t>
            </w:r>
          </w:p>
        </w:tc>
        <w:tc>
          <w:tcPr>
            <w:tcW w:w="376" w:type="pct"/>
            <w:tcBorders>
              <w:top w:val="single" w:sz="8" w:space="0" w:color="auto"/>
              <w:left w:val="nil"/>
              <w:bottom w:val="single" w:sz="4" w:space="0" w:color="auto"/>
              <w:right w:val="single" w:sz="4" w:space="0" w:color="auto"/>
            </w:tcBorders>
            <w:shd w:val="clear" w:color="auto" w:fill="auto"/>
            <w:noWrap/>
            <w:vAlign w:val="bottom"/>
          </w:tcPr>
          <w:p w:rsidR="003A6BA8" w:rsidRDefault="003A6BA8" w:rsidP="00DE017A">
            <w:pPr>
              <w:jc w:val="center"/>
              <w:rPr>
                <w:rFonts w:ascii="宋体" w:hAnsi="宋体" w:cs="宋体"/>
                <w:sz w:val="18"/>
                <w:szCs w:val="18"/>
              </w:rPr>
            </w:pPr>
            <w:r>
              <w:rPr>
                <w:rFonts w:hint="eastAsia"/>
                <w:sz w:val="18"/>
                <w:szCs w:val="18"/>
              </w:rPr>
              <w:t>30%</w:t>
            </w:r>
          </w:p>
        </w:tc>
      </w:tr>
      <w:tr w:rsidR="003A6BA8" w:rsidRPr="00E921CB" w:rsidTr="00DE017A">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r>
              <w:rPr>
                <w:rFonts w:hint="eastAsia"/>
                <w:sz w:val="18"/>
                <w:szCs w:val="18"/>
              </w:rPr>
              <w:t>添富价值</w:t>
            </w:r>
          </w:p>
        </w:tc>
        <w:tc>
          <w:tcPr>
            <w:tcW w:w="426" w:type="pct"/>
            <w:tcBorders>
              <w:top w:val="nil"/>
              <w:left w:val="nil"/>
              <w:bottom w:val="single" w:sz="4" w:space="0" w:color="auto"/>
              <w:right w:val="single" w:sz="4" w:space="0" w:color="auto"/>
            </w:tcBorders>
            <w:shd w:val="clear" w:color="auto" w:fill="auto"/>
            <w:noWrap/>
            <w:vAlign w:val="bottom"/>
          </w:tcPr>
          <w:p w:rsidR="003A6BA8" w:rsidRPr="007F5B42" w:rsidRDefault="003A6BA8" w:rsidP="008809D4">
            <w:pPr>
              <w:widowControl/>
              <w:jc w:val="center"/>
              <w:rPr>
                <w:rFonts w:ascii="Arial" w:hAnsi="Arial" w:cs="Arial"/>
                <w:sz w:val="16"/>
                <w:szCs w:val="16"/>
              </w:rPr>
            </w:pPr>
            <w:r w:rsidRPr="007F5B42">
              <w:rPr>
                <w:rFonts w:ascii="Arial" w:hAnsi="Arial" w:cs="Arial" w:hint="eastAsia"/>
                <w:sz w:val="16"/>
                <w:szCs w:val="16"/>
              </w:rPr>
              <w:t>40%</w:t>
            </w:r>
          </w:p>
        </w:tc>
        <w:tc>
          <w:tcPr>
            <w:tcW w:w="324" w:type="pct"/>
            <w:vMerge/>
            <w:tcBorders>
              <w:top w:val="single" w:sz="4"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r>
              <w:rPr>
                <w:rFonts w:hint="eastAsia"/>
                <w:sz w:val="18"/>
                <w:szCs w:val="18"/>
              </w:rPr>
              <w:t>添富价值</w:t>
            </w:r>
          </w:p>
        </w:tc>
        <w:tc>
          <w:tcPr>
            <w:tcW w:w="393" w:type="pct"/>
            <w:tcBorders>
              <w:top w:val="nil"/>
              <w:left w:val="nil"/>
              <w:bottom w:val="single" w:sz="4" w:space="0" w:color="auto"/>
              <w:right w:val="single" w:sz="4" w:space="0" w:color="auto"/>
            </w:tcBorders>
            <w:shd w:val="clear" w:color="auto" w:fill="auto"/>
            <w:noWrap/>
            <w:vAlign w:val="bottom"/>
          </w:tcPr>
          <w:p w:rsidR="003A6BA8" w:rsidRPr="00E921CB" w:rsidRDefault="003A6BA8" w:rsidP="00DE017A">
            <w:pPr>
              <w:widowControl/>
              <w:jc w:val="center"/>
              <w:rPr>
                <w:rFonts w:ascii="宋体" w:hAnsi="宋体" w:cs="宋体"/>
                <w:kern w:val="0"/>
                <w:sz w:val="18"/>
                <w:szCs w:val="18"/>
              </w:rPr>
            </w:pPr>
            <w:r>
              <w:rPr>
                <w:rFonts w:hint="eastAsia"/>
                <w:sz w:val="18"/>
                <w:szCs w:val="18"/>
              </w:rPr>
              <w:t>30%</w:t>
            </w:r>
          </w:p>
        </w:tc>
        <w:tc>
          <w:tcPr>
            <w:tcW w:w="297" w:type="pct"/>
            <w:vMerge/>
            <w:tcBorders>
              <w:top w:val="single" w:sz="4"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3A6BA8" w:rsidRPr="00460204" w:rsidRDefault="003A6BA8" w:rsidP="00DE017A">
            <w:pPr>
              <w:jc w:val="center"/>
              <w:rPr>
                <w:sz w:val="18"/>
                <w:szCs w:val="18"/>
              </w:rPr>
            </w:pPr>
            <w:r>
              <w:rPr>
                <w:rFonts w:hint="eastAsia"/>
                <w:sz w:val="18"/>
                <w:szCs w:val="18"/>
              </w:rPr>
              <w:t>华夏现金</w:t>
            </w:r>
          </w:p>
        </w:tc>
        <w:tc>
          <w:tcPr>
            <w:tcW w:w="376" w:type="pct"/>
            <w:tcBorders>
              <w:top w:val="nil"/>
              <w:left w:val="nil"/>
              <w:bottom w:val="single" w:sz="4" w:space="0" w:color="auto"/>
              <w:right w:val="single" w:sz="4" w:space="0" w:color="auto"/>
            </w:tcBorders>
            <w:shd w:val="clear" w:color="auto" w:fill="auto"/>
            <w:noWrap/>
            <w:vAlign w:val="bottom"/>
          </w:tcPr>
          <w:p w:rsidR="003A6BA8" w:rsidRDefault="003A6BA8" w:rsidP="00DE017A">
            <w:pPr>
              <w:jc w:val="center"/>
              <w:rPr>
                <w:rFonts w:ascii="宋体" w:hAnsi="宋体" w:cs="宋体"/>
                <w:sz w:val="18"/>
                <w:szCs w:val="18"/>
              </w:rPr>
            </w:pPr>
            <w:r>
              <w:rPr>
                <w:rFonts w:hint="eastAsia"/>
                <w:sz w:val="18"/>
                <w:szCs w:val="18"/>
              </w:rPr>
              <w:t>35%</w:t>
            </w:r>
          </w:p>
        </w:tc>
      </w:tr>
      <w:tr w:rsidR="003A6BA8" w:rsidRPr="005B5148" w:rsidTr="00DE017A">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r w:rsidRPr="00460204">
              <w:rPr>
                <w:rFonts w:hint="eastAsia"/>
                <w:sz w:val="18"/>
                <w:szCs w:val="18"/>
              </w:rPr>
              <w:t>景顺核心竞争力</w:t>
            </w:r>
          </w:p>
        </w:tc>
        <w:tc>
          <w:tcPr>
            <w:tcW w:w="426" w:type="pct"/>
            <w:tcBorders>
              <w:top w:val="nil"/>
              <w:left w:val="nil"/>
              <w:bottom w:val="single" w:sz="4" w:space="0" w:color="auto"/>
              <w:right w:val="single" w:sz="4" w:space="0" w:color="auto"/>
            </w:tcBorders>
            <w:shd w:val="clear" w:color="auto" w:fill="auto"/>
            <w:noWrap/>
            <w:vAlign w:val="bottom"/>
          </w:tcPr>
          <w:p w:rsidR="003A6BA8" w:rsidRPr="007F5B42" w:rsidRDefault="003A6BA8" w:rsidP="008809D4">
            <w:pPr>
              <w:widowControl/>
              <w:jc w:val="center"/>
              <w:rPr>
                <w:rFonts w:ascii="Arial" w:hAnsi="Arial" w:cs="Arial"/>
                <w:sz w:val="16"/>
                <w:szCs w:val="16"/>
              </w:rPr>
            </w:pPr>
            <w:r w:rsidRPr="007F5B42">
              <w:rPr>
                <w:rFonts w:ascii="Arial" w:hAnsi="Arial" w:cs="Arial" w:hint="eastAsia"/>
                <w:sz w:val="16"/>
                <w:szCs w:val="16"/>
              </w:rPr>
              <w:t>30%</w:t>
            </w:r>
          </w:p>
        </w:tc>
        <w:tc>
          <w:tcPr>
            <w:tcW w:w="324" w:type="pct"/>
            <w:vMerge/>
            <w:tcBorders>
              <w:top w:val="single" w:sz="4"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r w:rsidRPr="00460204">
              <w:rPr>
                <w:rFonts w:hint="eastAsia"/>
                <w:sz w:val="18"/>
                <w:szCs w:val="18"/>
              </w:rPr>
              <w:t>长城积极增利</w:t>
            </w:r>
          </w:p>
        </w:tc>
        <w:tc>
          <w:tcPr>
            <w:tcW w:w="393" w:type="pct"/>
            <w:tcBorders>
              <w:top w:val="nil"/>
              <w:left w:val="nil"/>
              <w:bottom w:val="single" w:sz="4" w:space="0" w:color="auto"/>
              <w:right w:val="single" w:sz="4" w:space="0" w:color="auto"/>
            </w:tcBorders>
            <w:shd w:val="clear" w:color="auto" w:fill="auto"/>
            <w:noWrap/>
            <w:vAlign w:val="bottom"/>
          </w:tcPr>
          <w:p w:rsidR="003A6BA8" w:rsidRPr="00460204" w:rsidRDefault="003A6BA8" w:rsidP="00DE017A">
            <w:pPr>
              <w:widowControl/>
              <w:jc w:val="center"/>
              <w:rPr>
                <w:sz w:val="18"/>
                <w:szCs w:val="18"/>
              </w:rPr>
            </w:pPr>
            <w:r>
              <w:rPr>
                <w:rFonts w:hint="eastAsia"/>
                <w:sz w:val="18"/>
                <w:szCs w:val="18"/>
              </w:rPr>
              <w:t>50%</w:t>
            </w:r>
          </w:p>
        </w:tc>
        <w:tc>
          <w:tcPr>
            <w:tcW w:w="297" w:type="pct"/>
            <w:vMerge/>
            <w:tcBorders>
              <w:top w:val="single" w:sz="4"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3A6BA8" w:rsidRPr="00460204" w:rsidRDefault="003A6BA8" w:rsidP="00DE017A">
            <w:pPr>
              <w:jc w:val="center"/>
              <w:rPr>
                <w:sz w:val="18"/>
                <w:szCs w:val="18"/>
              </w:rPr>
            </w:pPr>
            <w:r>
              <w:rPr>
                <w:rFonts w:hint="eastAsia"/>
                <w:sz w:val="18"/>
                <w:szCs w:val="18"/>
              </w:rPr>
              <w:t>广发货币</w:t>
            </w:r>
          </w:p>
        </w:tc>
        <w:tc>
          <w:tcPr>
            <w:tcW w:w="376" w:type="pct"/>
            <w:tcBorders>
              <w:top w:val="nil"/>
              <w:left w:val="nil"/>
              <w:bottom w:val="single" w:sz="4" w:space="0" w:color="auto"/>
              <w:right w:val="single" w:sz="4" w:space="0" w:color="auto"/>
            </w:tcBorders>
            <w:shd w:val="clear" w:color="auto" w:fill="auto"/>
            <w:noWrap/>
            <w:vAlign w:val="bottom"/>
          </w:tcPr>
          <w:p w:rsidR="003A6BA8" w:rsidRDefault="003A6BA8" w:rsidP="00DE017A">
            <w:pPr>
              <w:jc w:val="center"/>
              <w:rPr>
                <w:rFonts w:ascii="宋体" w:hAnsi="宋体" w:cs="宋体"/>
                <w:sz w:val="18"/>
                <w:szCs w:val="18"/>
              </w:rPr>
            </w:pPr>
            <w:r>
              <w:rPr>
                <w:rFonts w:hint="eastAsia"/>
                <w:sz w:val="18"/>
                <w:szCs w:val="18"/>
              </w:rPr>
              <w:t>35%</w:t>
            </w:r>
          </w:p>
        </w:tc>
      </w:tr>
    </w:tbl>
    <w:p w:rsidR="009A18F4" w:rsidRDefault="009A18F4" w:rsidP="009A18F4">
      <w:pPr>
        <w:rPr>
          <w:rFonts w:ascii="楷体_GB2312" w:eastAsia="楷体_GB2312"/>
          <w:noProof/>
          <w:color w:val="000000"/>
        </w:rPr>
      </w:pPr>
      <w:r w:rsidRPr="00156066">
        <w:rPr>
          <w:rFonts w:ascii="楷体_GB2312" w:eastAsia="楷体_GB2312" w:hint="eastAsia"/>
          <w:noProof/>
          <w:color w:val="000000"/>
        </w:rPr>
        <w:t>来源：上海证券基金评价研究中心</w:t>
      </w:r>
    </w:p>
    <w:p w:rsidR="009A18F4" w:rsidRPr="00144B03" w:rsidRDefault="009A18F4" w:rsidP="009A18F4">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表2推荐基金基本情况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1"/>
        <w:gridCol w:w="756"/>
        <w:gridCol w:w="936"/>
        <w:gridCol w:w="849"/>
        <w:gridCol w:w="1903"/>
        <w:gridCol w:w="1903"/>
      </w:tblGrid>
      <w:tr w:rsidR="009A18F4" w:rsidRPr="002072D1" w:rsidTr="00DE017A">
        <w:trPr>
          <w:trHeight w:val="397"/>
          <w:tblHeader/>
          <w:jc w:val="center"/>
        </w:trPr>
        <w:tc>
          <w:tcPr>
            <w:tcW w:w="0" w:type="auto"/>
            <w:shd w:val="clear" w:color="auto" w:fill="0000FF"/>
            <w:noWrap/>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bookmarkStart w:id="0" w:name="_Toc271023583"/>
            <w:r>
              <w:rPr>
                <w:rFonts w:ascii="楷体_GB2312" w:eastAsia="楷体_GB2312" w:hAnsi="宋体" w:cs="宋体" w:hint="eastAsia"/>
                <w:b/>
                <w:bCs/>
                <w:color w:val="FFFFFF"/>
                <w:kern w:val="0"/>
                <w:szCs w:val="21"/>
              </w:rPr>
              <w:t>基金名称</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代码</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类型</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管理人</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w:t>
            </w:r>
            <w:r w:rsidRPr="00604445">
              <w:rPr>
                <w:rFonts w:ascii="楷体_GB2312" w:eastAsia="楷体_GB2312" w:hAnsi="宋体" w:cs="宋体" w:hint="eastAsia"/>
                <w:b/>
                <w:bCs/>
                <w:color w:val="FFFFFF"/>
                <w:kern w:val="0"/>
                <w:szCs w:val="21"/>
              </w:rPr>
              <w:t>综合评级</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三年选证</w:t>
            </w:r>
            <w:r w:rsidRPr="00604445">
              <w:rPr>
                <w:rFonts w:ascii="楷体_GB2312" w:eastAsia="楷体_GB2312" w:hAnsi="宋体" w:cs="宋体" w:hint="eastAsia"/>
                <w:b/>
                <w:bCs/>
                <w:color w:val="FFFFFF"/>
                <w:kern w:val="0"/>
                <w:szCs w:val="21"/>
              </w:rPr>
              <w:t>评级</w:t>
            </w:r>
          </w:p>
        </w:tc>
      </w:tr>
      <w:tr w:rsidR="009A18F4" w:rsidRPr="002072D1" w:rsidTr="00DE017A">
        <w:trPr>
          <w:trHeight w:val="397"/>
          <w:jc w:val="center"/>
        </w:trPr>
        <w:tc>
          <w:tcPr>
            <w:tcW w:w="0" w:type="auto"/>
            <w:shd w:val="clear" w:color="auto" w:fill="auto"/>
            <w:vAlign w:val="center"/>
          </w:tcPr>
          <w:p w:rsidR="009A18F4" w:rsidRPr="00074847" w:rsidRDefault="009A18F4" w:rsidP="00DE017A">
            <w:pPr>
              <w:keepLines/>
              <w:adjustRightInd w:val="0"/>
              <w:snapToGrid w:val="0"/>
              <w:jc w:val="center"/>
              <w:rPr>
                <w:rFonts w:ascii="楷体_GB2312" w:eastAsia="楷体_GB2312" w:hAnsi="宋体" w:cs="宋体"/>
                <w:b/>
                <w:bCs/>
                <w:color w:val="0D0D0D"/>
                <w:kern w:val="0"/>
                <w:sz w:val="18"/>
                <w:szCs w:val="18"/>
              </w:rPr>
            </w:pPr>
            <w:r w:rsidRPr="0083054E">
              <w:rPr>
                <w:rFonts w:ascii="楷体_GB2312" w:eastAsia="楷体_GB2312" w:hAnsi="宋体" w:cs="宋体" w:hint="eastAsia"/>
                <w:b/>
                <w:bCs/>
                <w:color w:val="0D0D0D"/>
                <w:kern w:val="0"/>
                <w:sz w:val="18"/>
                <w:szCs w:val="18"/>
              </w:rPr>
              <w:t>信诚精萃成长</w:t>
            </w:r>
          </w:p>
        </w:tc>
        <w:tc>
          <w:tcPr>
            <w:tcW w:w="0" w:type="auto"/>
            <w:shd w:val="clear" w:color="auto" w:fill="auto"/>
            <w:vAlign w:val="center"/>
          </w:tcPr>
          <w:p w:rsidR="009A18F4" w:rsidRPr="00074847" w:rsidRDefault="009A18F4" w:rsidP="00DE017A">
            <w:pPr>
              <w:keepLines/>
              <w:adjustRightInd w:val="0"/>
              <w:snapToGrid w:val="0"/>
              <w:jc w:val="center"/>
              <w:rPr>
                <w:rFonts w:ascii="楷体_GB2312" w:eastAsia="楷体_GB2312" w:hAnsi="宋体" w:cs="宋体"/>
                <w:color w:val="0D0D0D"/>
                <w:kern w:val="0"/>
                <w:sz w:val="18"/>
                <w:szCs w:val="18"/>
              </w:rPr>
            </w:pPr>
            <w:r w:rsidRPr="0083054E">
              <w:rPr>
                <w:rFonts w:ascii="楷体_GB2312" w:eastAsia="楷体_GB2312" w:hAnsi="宋体" w:cs="宋体"/>
                <w:color w:val="0D0D0D"/>
                <w:kern w:val="0"/>
                <w:sz w:val="18"/>
                <w:szCs w:val="18"/>
              </w:rPr>
              <w:t>550002</w:t>
            </w:r>
          </w:p>
        </w:tc>
        <w:tc>
          <w:tcPr>
            <w:tcW w:w="0" w:type="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股票型</w:t>
            </w:r>
          </w:p>
        </w:tc>
        <w:tc>
          <w:tcPr>
            <w:tcW w:w="0" w:type="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r w:rsidRPr="0083054E">
              <w:rPr>
                <w:rFonts w:ascii="楷体_GB2312" w:eastAsia="楷体_GB2312" w:hAnsi="宋体" w:cs="宋体" w:hint="eastAsia"/>
                <w:color w:val="0D0D0D"/>
                <w:kern w:val="0"/>
                <w:sz w:val="18"/>
                <w:szCs w:val="18"/>
              </w:rPr>
              <w:t>信诚</w:t>
            </w:r>
          </w:p>
        </w:tc>
        <w:tc>
          <w:tcPr>
            <w:tcW w:w="0" w:type="auto"/>
            <w:shd w:val="clear" w:color="auto" w:fill="auto"/>
            <w:vAlign w:val="center"/>
          </w:tcPr>
          <w:p w:rsidR="009A18F4" w:rsidRPr="0083054E" w:rsidRDefault="009A18F4" w:rsidP="00DE017A">
            <w:pPr>
              <w:keepLines/>
              <w:adjustRightInd w:val="0"/>
              <w:snapToGrid w:val="0"/>
              <w:jc w:val="center"/>
              <w:rPr>
                <w:rFonts w:ascii="楷体_GB2312" w:eastAsia="楷体_GB2312" w:hAnsi="宋体" w:cs="宋体"/>
                <w:color w:val="FF0000"/>
                <w:kern w:val="0"/>
                <w:sz w:val="18"/>
                <w:szCs w:val="18"/>
              </w:rPr>
            </w:pPr>
            <w:r w:rsidRPr="00E34D68">
              <w:rPr>
                <w:rFonts w:ascii="楷体_GB2312" w:eastAsia="楷体_GB2312" w:hAnsi="宋体" w:cs="宋体" w:hint="eastAsia"/>
                <w:color w:val="FF0000"/>
                <w:kern w:val="0"/>
                <w:sz w:val="18"/>
                <w:szCs w:val="18"/>
              </w:rPr>
              <w:t>★★★</w:t>
            </w:r>
            <w:r w:rsidR="00207EB7" w:rsidRPr="00E34D68">
              <w:rPr>
                <w:rFonts w:ascii="楷体_GB2312" w:eastAsia="楷体_GB2312" w:hAnsi="宋体" w:cs="宋体" w:hint="eastAsia"/>
                <w:color w:val="FF0000"/>
                <w:kern w:val="0"/>
                <w:sz w:val="18"/>
                <w:szCs w:val="18"/>
              </w:rPr>
              <w:t>★★</w:t>
            </w:r>
          </w:p>
        </w:tc>
        <w:tc>
          <w:tcPr>
            <w:tcW w:w="0" w:type="auto"/>
            <w:shd w:val="clear" w:color="auto" w:fill="auto"/>
            <w:vAlign w:val="center"/>
          </w:tcPr>
          <w:p w:rsidR="009A18F4" w:rsidRPr="0083054E" w:rsidRDefault="009A18F4" w:rsidP="00DE017A">
            <w:pPr>
              <w:keepLines/>
              <w:adjustRightInd w:val="0"/>
              <w:snapToGrid w:val="0"/>
              <w:jc w:val="center"/>
              <w:rPr>
                <w:rFonts w:ascii="楷体_GB2312" w:eastAsia="楷体_GB2312" w:hAnsi="宋体" w:cs="宋体"/>
                <w:color w:val="FF0000"/>
                <w:kern w:val="0"/>
                <w:sz w:val="18"/>
                <w:szCs w:val="18"/>
              </w:rPr>
            </w:pPr>
            <w:r w:rsidRPr="00E34D68">
              <w:rPr>
                <w:rFonts w:ascii="楷体_GB2312" w:eastAsia="楷体_GB2312" w:hAnsi="宋体" w:cs="宋体" w:hint="eastAsia"/>
                <w:color w:val="FF0000"/>
                <w:kern w:val="0"/>
                <w:sz w:val="18"/>
                <w:szCs w:val="18"/>
              </w:rPr>
              <w:t>★★★</w:t>
            </w:r>
            <w:r w:rsidR="00207EB7" w:rsidRPr="00E34D68">
              <w:rPr>
                <w:rFonts w:ascii="楷体_GB2312" w:eastAsia="楷体_GB2312" w:hAnsi="宋体" w:cs="宋体" w:hint="eastAsia"/>
                <w:color w:val="FF0000"/>
                <w:kern w:val="0"/>
                <w:sz w:val="18"/>
                <w:szCs w:val="18"/>
              </w:rPr>
              <w:t>★</w:t>
            </w:r>
          </w:p>
        </w:tc>
      </w:tr>
      <w:tr w:rsidR="00207EB7" w:rsidRPr="002072D1" w:rsidTr="00DE017A">
        <w:trPr>
          <w:trHeight w:val="397"/>
          <w:jc w:val="center"/>
        </w:trPr>
        <w:tc>
          <w:tcPr>
            <w:tcW w:w="0" w:type="auto"/>
            <w:shd w:val="clear" w:color="auto" w:fill="auto"/>
            <w:vAlign w:val="center"/>
          </w:tcPr>
          <w:p w:rsidR="00207EB7" w:rsidRPr="0083054E" w:rsidRDefault="00D14DCB" w:rsidP="00DE017A">
            <w:pPr>
              <w:keepLines/>
              <w:adjustRightInd w:val="0"/>
              <w:snapToGrid w:val="0"/>
              <w:jc w:val="center"/>
              <w:rPr>
                <w:rFonts w:ascii="楷体_GB2312" w:eastAsia="楷体_GB2312" w:hAnsi="宋体" w:cs="宋体"/>
                <w:b/>
                <w:bCs/>
                <w:color w:val="0D0D0D"/>
                <w:kern w:val="0"/>
                <w:sz w:val="18"/>
                <w:szCs w:val="18"/>
              </w:rPr>
            </w:pPr>
            <w:r w:rsidRPr="00460204">
              <w:rPr>
                <w:rFonts w:ascii="楷体_GB2312" w:eastAsia="楷体_GB2312" w:hAnsi="宋体" w:cs="宋体" w:hint="eastAsia"/>
                <w:b/>
                <w:bCs/>
                <w:color w:val="0D0D0D"/>
                <w:kern w:val="0"/>
                <w:sz w:val="18"/>
                <w:szCs w:val="18"/>
              </w:rPr>
              <w:t>景顺核心竞争力</w:t>
            </w:r>
          </w:p>
        </w:tc>
        <w:tc>
          <w:tcPr>
            <w:tcW w:w="0" w:type="auto"/>
            <w:shd w:val="clear" w:color="auto" w:fill="auto"/>
            <w:vAlign w:val="center"/>
          </w:tcPr>
          <w:p w:rsidR="00207EB7" w:rsidRPr="0083054E" w:rsidRDefault="00460204" w:rsidP="00DE017A">
            <w:pPr>
              <w:keepLines/>
              <w:adjustRightInd w:val="0"/>
              <w:snapToGrid w:val="0"/>
              <w:jc w:val="center"/>
              <w:rPr>
                <w:rFonts w:ascii="楷体_GB2312" w:eastAsia="楷体_GB2312" w:hAnsi="宋体" w:cs="宋体"/>
                <w:color w:val="0D0D0D"/>
                <w:kern w:val="0"/>
                <w:sz w:val="18"/>
                <w:szCs w:val="18"/>
              </w:rPr>
            </w:pPr>
            <w:r w:rsidRPr="00460204">
              <w:rPr>
                <w:rFonts w:ascii="楷体_GB2312" w:eastAsia="楷体_GB2312" w:hAnsi="宋体" w:cs="宋体"/>
                <w:color w:val="0D0D0D"/>
                <w:kern w:val="0"/>
                <w:sz w:val="18"/>
                <w:szCs w:val="18"/>
              </w:rPr>
              <w:t>260116</w:t>
            </w:r>
          </w:p>
        </w:tc>
        <w:tc>
          <w:tcPr>
            <w:tcW w:w="0" w:type="auto"/>
            <w:vAlign w:val="center"/>
          </w:tcPr>
          <w:p w:rsidR="00207EB7" w:rsidRPr="00573CAD" w:rsidRDefault="00460204"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混合型</w:t>
            </w:r>
          </w:p>
        </w:tc>
        <w:tc>
          <w:tcPr>
            <w:tcW w:w="0" w:type="auto"/>
            <w:vAlign w:val="center"/>
          </w:tcPr>
          <w:p w:rsidR="00207EB7" w:rsidRPr="0083054E" w:rsidRDefault="00460204"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景顺</w:t>
            </w:r>
          </w:p>
        </w:tc>
        <w:tc>
          <w:tcPr>
            <w:tcW w:w="0" w:type="auto"/>
            <w:shd w:val="clear" w:color="auto" w:fill="auto"/>
            <w:vAlign w:val="center"/>
          </w:tcPr>
          <w:p w:rsidR="00207EB7" w:rsidRPr="00E34D68" w:rsidRDefault="00460204" w:rsidP="00DE017A">
            <w:pPr>
              <w:keepLines/>
              <w:adjustRightInd w:val="0"/>
              <w:snapToGrid w:val="0"/>
              <w:jc w:val="center"/>
              <w:rPr>
                <w:rFonts w:ascii="楷体_GB2312" w:eastAsia="楷体_GB2312" w:hAnsi="宋体" w:cs="宋体"/>
                <w:color w:val="FF0000"/>
                <w:kern w:val="0"/>
                <w:sz w:val="18"/>
                <w:szCs w:val="18"/>
              </w:rPr>
            </w:pPr>
            <w:r w:rsidRPr="00E34D68">
              <w:rPr>
                <w:rFonts w:ascii="楷体_GB2312" w:eastAsia="楷体_GB2312" w:hAnsi="宋体" w:cs="宋体" w:hint="eastAsia"/>
                <w:color w:val="FF0000"/>
                <w:kern w:val="0"/>
                <w:sz w:val="18"/>
                <w:szCs w:val="18"/>
              </w:rPr>
              <w:t>★★★★</w:t>
            </w:r>
          </w:p>
        </w:tc>
        <w:tc>
          <w:tcPr>
            <w:tcW w:w="0" w:type="auto"/>
            <w:shd w:val="clear" w:color="auto" w:fill="auto"/>
            <w:vAlign w:val="center"/>
          </w:tcPr>
          <w:p w:rsidR="00207EB7" w:rsidRPr="00E34D68" w:rsidRDefault="00460204" w:rsidP="00DE017A">
            <w:pPr>
              <w:keepLines/>
              <w:adjustRightInd w:val="0"/>
              <w:snapToGrid w:val="0"/>
              <w:jc w:val="center"/>
              <w:rPr>
                <w:rFonts w:ascii="楷体_GB2312" w:eastAsia="楷体_GB2312" w:hAnsi="宋体" w:cs="宋体"/>
                <w:color w:val="FF0000"/>
                <w:kern w:val="0"/>
                <w:sz w:val="18"/>
                <w:szCs w:val="18"/>
              </w:rPr>
            </w:pPr>
            <w:r w:rsidRPr="00E34D68">
              <w:rPr>
                <w:rFonts w:ascii="楷体_GB2312" w:eastAsia="楷体_GB2312" w:hAnsi="宋体" w:cs="宋体" w:hint="eastAsia"/>
                <w:color w:val="FF0000"/>
                <w:kern w:val="0"/>
                <w:sz w:val="18"/>
                <w:szCs w:val="18"/>
              </w:rPr>
              <w:t>★★★★</w:t>
            </w:r>
          </w:p>
        </w:tc>
      </w:tr>
      <w:tr w:rsidR="009A18F4" w:rsidRPr="002072D1" w:rsidTr="00DE017A">
        <w:trPr>
          <w:trHeight w:val="397"/>
          <w:jc w:val="center"/>
        </w:trPr>
        <w:tc>
          <w:tcPr>
            <w:tcW w:w="0" w:type="auto"/>
            <w:shd w:val="clear" w:color="auto" w:fill="auto"/>
            <w:vAlign w:val="center"/>
          </w:tcPr>
          <w:p w:rsidR="009A18F4" w:rsidRPr="001941AC" w:rsidRDefault="009A18F4" w:rsidP="00DE017A">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添富价值</w:t>
            </w:r>
          </w:p>
        </w:tc>
        <w:tc>
          <w:tcPr>
            <w:tcW w:w="0" w:type="auto"/>
            <w:shd w:val="clear" w:color="auto" w:fill="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color w:val="0D0D0D"/>
                <w:kern w:val="0"/>
                <w:sz w:val="18"/>
                <w:szCs w:val="18"/>
              </w:rPr>
              <w:t>519069</w:t>
            </w:r>
          </w:p>
        </w:tc>
        <w:tc>
          <w:tcPr>
            <w:tcW w:w="0" w:type="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股票型</w:t>
            </w:r>
          </w:p>
        </w:tc>
        <w:tc>
          <w:tcPr>
            <w:tcW w:w="0" w:type="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汇添富</w:t>
            </w:r>
          </w:p>
        </w:tc>
        <w:tc>
          <w:tcPr>
            <w:tcW w:w="0" w:type="auto"/>
            <w:shd w:val="clear" w:color="auto" w:fill="auto"/>
            <w:vAlign w:val="center"/>
          </w:tcPr>
          <w:p w:rsidR="009A18F4" w:rsidRPr="00A630FE" w:rsidRDefault="009A18F4" w:rsidP="00DE017A">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c>
          <w:tcPr>
            <w:tcW w:w="0" w:type="auto"/>
            <w:shd w:val="clear" w:color="auto" w:fill="auto"/>
            <w:vAlign w:val="center"/>
          </w:tcPr>
          <w:p w:rsidR="009A18F4" w:rsidRPr="00A630FE" w:rsidRDefault="009A18F4" w:rsidP="00DE017A">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r>
      <w:tr w:rsidR="00D14DCB" w:rsidRPr="002072D1" w:rsidTr="00EF01FF">
        <w:trPr>
          <w:trHeight w:val="397"/>
          <w:jc w:val="center"/>
        </w:trPr>
        <w:tc>
          <w:tcPr>
            <w:tcW w:w="0" w:type="auto"/>
            <w:shd w:val="clear" w:color="auto" w:fill="auto"/>
            <w:vAlign w:val="bottom"/>
          </w:tcPr>
          <w:p w:rsidR="00D14DCB" w:rsidRPr="00460204" w:rsidRDefault="00D14DCB" w:rsidP="008809D4">
            <w:pPr>
              <w:jc w:val="center"/>
              <w:rPr>
                <w:rFonts w:ascii="楷体_GB2312" w:eastAsia="楷体_GB2312" w:hAnsi="宋体" w:cs="宋体"/>
                <w:b/>
                <w:bCs/>
                <w:color w:val="0D0D0D"/>
                <w:kern w:val="0"/>
                <w:sz w:val="18"/>
                <w:szCs w:val="18"/>
              </w:rPr>
            </w:pPr>
            <w:r w:rsidRPr="00460204">
              <w:rPr>
                <w:rFonts w:ascii="楷体_GB2312" w:eastAsia="楷体_GB2312" w:hAnsi="宋体" w:cs="宋体" w:hint="eastAsia"/>
                <w:b/>
                <w:bCs/>
                <w:color w:val="0D0D0D"/>
                <w:kern w:val="0"/>
                <w:sz w:val="18"/>
                <w:szCs w:val="18"/>
              </w:rPr>
              <w:t>长城积极增利</w:t>
            </w:r>
          </w:p>
        </w:tc>
        <w:tc>
          <w:tcPr>
            <w:tcW w:w="0" w:type="auto"/>
            <w:shd w:val="clear" w:color="auto" w:fill="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D14DCB">
              <w:rPr>
                <w:rFonts w:ascii="楷体_GB2312" w:eastAsia="楷体_GB2312" w:hAnsi="宋体" w:cs="宋体"/>
                <w:color w:val="0D0D0D"/>
                <w:kern w:val="0"/>
                <w:sz w:val="18"/>
                <w:szCs w:val="18"/>
              </w:rPr>
              <w:t>200013</w:t>
            </w:r>
          </w:p>
        </w:tc>
        <w:tc>
          <w:tcPr>
            <w:tcW w:w="0" w:type="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债券型</w:t>
            </w:r>
          </w:p>
        </w:tc>
        <w:tc>
          <w:tcPr>
            <w:tcW w:w="0" w:type="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A23D76">
              <w:rPr>
                <w:rFonts w:ascii="楷体_GB2312" w:eastAsia="楷体_GB2312" w:hAnsi="宋体" w:cs="宋体" w:hint="eastAsia"/>
                <w:color w:val="000000"/>
                <w:kern w:val="0"/>
                <w:szCs w:val="21"/>
              </w:rPr>
              <w:t>长城</w:t>
            </w:r>
          </w:p>
        </w:tc>
        <w:tc>
          <w:tcPr>
            <w:tcW w:w="0" w:type="auto"/>
            <w:shd w:val="clear" w:color="auto" w:fill="auto"/>
            <w:vAlign w:val="center"/>
          </w:tcPr>
          <w:p w:rsidR="00D14DCB" w:rsidRPr="0033677C" w:rsidRDefault="00D14DCB" w:rsidP="00DE017A">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r>
              <w:rPr>
                <w:rFonts w:ascii="楷体_GB2312" w:eastAsia="楷体_GB2312" w:hAnsi="宋体" w:cs="宋体" w:hint="eastAsia"/>
                <w:color w:val="FF0000"/>
                <w:kern w:val="0"/>
                <w:sz w:val="18"/>
                <w:szCs w:val="18"/>
              </w:rPr>
              <w:t>★</w:t>
            </w:r>
          </w:p>
        </w:tc>
        <w:tc>
          <w:tcPr>
            <w:tcW w:w="0" w:type="auto"/>
            <w:shd w:val="clear" w:color="auto" w:fill="auto"/>
            <w:vAlign w:val="center"/>
          </w:tcPr>
          <w:p w:rsidR="00D14DCB" w:rsidRPr="0033677C" w:rsidRDefault="00D14DCB" w:rsidP="00DE017A">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r>
              <w:rPr>
                <w:rFonts w:ascii="楷体_GB2312" w:eastAsia="楷体_GB2312" w:hAnsi="宋体" w:cs="宋体" w:hint="eastAsia"/>
                <w:color w:val="FF0000"/>
                <w:kern w:val="0"/>
                <w:sz w:val="18"/>
                <w:szCs w:val="18"/>
              </w:rPr>
              <w:t>★★</w:t>
            </w:r>
          </w:p>
        </w:tc>
      </w:tr>
      <w:tr w:rsidR="00D14DCB" w:rsidRPr="003F3857" w:rsidTr="00DE017A">
        <w:trPr>
          <w:trHeight w:val="397"/>
          <w:jc w:val="center"/>
        </w:trPr>
        <w:tc>
          <w:tcPr>
            <w:tcW w:w="0" w:type="auto"/>
            <w:shd w:val="clear" w:color="auto" w:fill="auto"/>
            <w:vAlign w:val="center"/>
          </w:tcPr>
          <w:p w:rsidR="00D14DCB" w:rsidRPr="001941AC" w:rsidRDefault="00D14DCB" w:rsidP="00DE017A">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华夏现金</w:t>
            </w:r>
          </w:p>
        </w:tc>
        <w:tc>
          <w:tcPr>
            <w:tcW w:w="0" w:type="auto"/>
            <w:shd w:val="clear" w:color="auto" w:fill="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003003</w:t>
            </w:r>
          </w:p>
        </w:tc>
        <w:tc>
          <w:tcPr>
            <w:tcW w:w="0" w:type="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货币市场</w:t>
            </w:r>
          </w:p>
        </w:tc>
        <w:tc>
          <w:tcPr>
            <w:tcW w:w="0" w:type="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华夏</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D14DCB" w:rsidRPr="003F3857" w:rsidTr="00DE017A">
        <w:trPr>
          <w:trHeight w:val="397"/>
          <w:jc w:val="center"/>
        </w:trPr>
        <w:tc>
          <w:tcPr>
            <w:tcW w:w="0" w:type="auto"/>
            <w:shd w:val="clear" w:color="auto" w:fill="auto"/>
            <w:vAlign w:val="center"/>
          </w:tcPr>
          <w:p w:rsidR="00D14DCB" w:rsidRPr="001941AC" w:rsidRDefault="00D14DCB" w:rsidP="00DE017A">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广发货币B</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color w:val="0D0D0D"/>
                <w:kern w:val="0"/>
                <w:sz w:val="18"/>
                <w:szCs w:val="18"/>
              </w:rPr>
              <w:t>270014</w:t>
            </w:r>
          </w:p>
        </w:tc>
        <w:tc>
          <w:tcPr>
            <w:tcW w:w="0" w:type="auto"/>
            <w:vAlign w:val="center"/>
          </w:tcPr>
          <w:p w:rsidR="00D14DCB" w:rsidRPr="003F3857" w:rsidRDefault="00D14DCB" w:rsidP="00DE017A">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货币市场</w:t>
            </w:r>
          </w:p>
        </w:tc>
        <w:tc>
          <w:tcPr>
            <w:tcW w:w="0" w:type="auto"/>
            <w:vAlign w:val="center"/>
          </w:tcPr>
          <w:p w:rsidR="00D14DCB" w:rsidRPr="003F3857" w:rsidRDefault="00D14DCB" w:rsidP="00DE017A">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广发</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bl>
    <w:bookmarkEnd w:id="0"/>
    <w:p w:rsidR="009A18F4" w:rsidRDefault="009A18F4" w:rsidP="009A18F4">
      <w:pPr>
        <w:keepLines/>
        <w:adjustRightInd w:val="0"/>
        <w:snapToGrid w:val="0"/>
        <w:ind w:firstLineChars="300" w:firstLine="630"/>
        <w:rPr>
          <w:rFonts w:ascii="楷体_GB2312" w:eastAsia="楷体_GB2312"/>
          <w:noProof/>
        </w:rPr>
      </w:pPr>
      <w:r>
        <w:rPr>
          <w:rFonts w:ascii="楷体_GB2312" w:eastAsia="楷体_GB2312" w:hint="eastAsia"/>
          <w:noProof/>
        </w:rPr>
        <w:t>来源：</w:t>
      </w:r>
      <w:r w:rsidRPr="003D6908">
        <w:rPr>
          <w:rFonts w:ascii="楷体_GB2312" w:eastAsia="楷体_GB2312" w:hint="eastAsia"/>
          <w:noProof/>
        </w:rPr>
        <w:t>wind上海证券基金评价研究中心</w:t>
      </w:r>
      <w:r>
        <w:rPr>
          <w:rFonts w:ascii="楷体_GB2312" w:eastAsia="楷体_GB2312" w:hint="eastAsia"/>
          <w:noProof/>
        </w:rPr>
        <w:t>。</w:t>
      </w:r>
    </w:p>
    <w:p w:rsidR="009A18F4" w:rsidRPr="00EF6A3A" w:rsidRDefault="009A18F4" w:rsidP="0075204E">
      <w:pPr>
        <w:spacing w:beforeLines="10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组合定位：</w:t>
      </w:r>
    </w:p>
    <w:p w:rsidR="009A18F4" w:rsidRPr="00236C83" w:rsidRDefault="009A18F4" w:rsidP="009A18F4">
      <w:pPr>
        <w:ind w:leftChars="1350" w:left="2835" w:firstLineChars="202" w:firstLine="426"/>
        <w:rPr>
          <w:rFonts w:ascii="楷体_GB2312" w:eastAsia="楷体_GB2312"/>
          <w:color w:val="000000"/>
        </w:rPr>
      </w:pPr>
      <w:r w:rsidRPr="00067323">
        <w:rPr>
          <w:rFonts w:ascii="楷体_GB2312" w:eastAsia="楷体_GB2312" w:hint="eastAsia"/>
          <w:b/>
          <w:color w:val="000000"/>
        </w:rPr>
        <w:t>积极型组合</w:t>
      </w:r>
      <w:r>
        <w:rPr>
          <w:rFonts w:ascii="楷体_GB2312" w:eastAsia="楷体_GB2312" w:hint="eastAsia"/>
          <w:color w:val="000000"/>
        </w:rPr>
        <w:t>适合风险承受能力较高，缺乏充分时间、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，侧重维持长期充分投资，愿意在承担高风险的基础上追求高收益的</w:t>
      </w:r>
      <w:r w:rsidRPr="00236C83">
        <w:rPr>
          <w:rFonts w:ascii="楷体_GB2312" w:eastAsia="楷体_GB2312" w:hint="eastAsia"/>
          <w:color w:val="000000"/>
        </w:rPr>
        <w:lastRenderedPageBreak/>
        <w:t>投资者，建议</w:t>
      </w:r>
      <w:r>
        <w:rPr>
          <w:rFonts w:ascii="楷体_GB2312" w:eastAsia="楷体_GB2312" w:hint="eastAsia"/>
          <w:color w:val="000000"/>
        </w:rPr>
        <w:t>家庭负担或</w:t>
      </w:r>
      <w:r w:rsidRPr="00236C83">
        <w:rPr>
          <w:rFonts w:ascii="楷体_GB2312" w:eastAsia="楷体_GB2312" w:hint="eastAsia"/>
          <w:color w:val="000000"/>
        </w:rPr>
        <w:t>家庭负担不高的高风险偏好者参与。</w:t>
      </w:r>
    </w:p>
    <w:p w:rsidR="009A18F4" w:rsidRPr="00236C83" w:rsidRDefault="009A18F4" w:rsidP="009A18F4">
      <w:pPr>
        <w:ind w:leftChars="1350" w:left="2835" w:firstLineChars="202" w:firstLine="426"/>
        <w:rPr>
          <w:rFonts w:ascii="楷体_GB2312" w:eastAsia="楷体_GB2312"/>
          <w:color w:val="000000"/>
        </w:rPr>
      </w:pPr>
      <w:r w:rsidRPr="00067323">
        <w:rPr>
          <w:rFonts w:ascii="楷体_GB2312" w:eastAsia="楷体_GB2312" w:hint="eastAsia"/>
          <w:b/>
          <w:color w:val="000000"/>
        </w:rPr>
        <w:t>平衡</w:t>
      </w:r>
      <w:r>
        <w:rPr>
          <w:rFonts w:ascii="楷体_GB2312" w:eastAsia="楷体_GB2312" w:hint="eastAsia"/>
          <w:b/>
          <w:color w:val="000000"/>
        </w:rPr>
        <w:t>型</w:t>
      </w:r>
      <w:r w:rsidRPr="00067323">
        <w:rPr>
          <w:rFonts w:ascii="楷体_GB2312" w:eastAsia="楷体_GB2312" w:hint="eastAsia"/>
          <w:b/>
          <w:color w:val="000000"/>
        </w:rPr>
        <w:t>组合</w:t>
      </w:r>
      <w:r w:rsidRPr="00236C83">
        <w:rPr>
          <w:rFonts w:ascii="楷体_GB2312" w:eastAsia="楷体_GB2312" w:hint="eastAsia"/>
          <w:color w:val="000000"/>
        </w:rPr>
        <w:t>适合有一定风险承受能力，</w:t>
      </w:r>
      <w:r>
        <w:rPr>
          <w:rFonts w:ascii="楷体_GB2312" w:eastAsia="楷体_GB2312" w:hint="eastAsia"/>
          <w:color w:val="000000"/>
        </w:rPr>
        <w:t>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，侧重维持长期充分投资，愿意在承担较高风险的基础上追求相对稳健的投资者，建议</w:t>
      </w:r>
      <w:r>
        <w:rPr>
          <w:rFonts w:ascii="楷体_GB2312" w:eastAsia="楷体_GB2312" w:hint="eastAsia"/>
          <w:color w:val="000000"/>
        </w:rPr>
        <w:t>无</w:t>
      </w:r>
      <w:r w:rsidRPr="00236C83">
        <w:rPr>
          <w:rFonts w:ascii="楷体_GB2312" w:eastAsia="楷体_GB2312" w:hint="eastAsia"/>
          <w:color w:val="000000"/>
        </w:rPr>
        <w:t>家庭负担</w:t>
      </w:r>
      <w:r>
        <w:rPr>
          <w:rFonts w:ascii="楷体_GB2312" w:eastAsia="楷体_GB2312" w:hint="eastAsia"/>
          <w:color w:val="000000"/>
        </w:rPr>
        <w:t>不太高</w:t>
      </w:r>
      <w:r w:rsidRPr="00236C83">
        <w:rPr>
          <w:rFonts w:ascii="楷体_GB2312" w:eastAsia="楷体_GB2312" w:hint="eastAsia"/>
          <w:color w:val="000000"/>
        </w:rPr>
        <w:t>的中等风险偏好者参与。</w:t>
      </w:r>
    </w:p>
    <w:p w:rsidR="009A18F4" w:rsidRDefault="009A18F4" w:rsidP="009A18F4">
      <w:pPr>
        <w:ind w:leftChars="1350" w:left="2835" w:firstLineChars="202" w:firstLine="426"/>
        <w:rPr>
          <w:rFonts w:ascii="楷体_GB2312" w:eastAsia="楷体_GB2312"/>
          <w:color w:val="000000"/>
        </w:rPr>
      </w:pPr>
      <w:r w:rsidRPr="00067323">
        <w:rPr>
          <w:rFonts w:ascii="楷体_GB2312" w:eastAsia="楷体_GB2312" w:hint="eastAsia"/>
          <w:b/>
          <w:color w:val="000000"/>
        </w:rPr>
        <w:t>稳定型组合</w:t>
      </w:r>
      <w:r w:rsidRPr="00236C83">
        <w:rPr>
          <w:rFonts w:ascii="楷体_GB2312" w:eastAsia="楷体_GB2312" w:hint="eastAsia"/>
          <w:color w:val="000000"/>
        </w:rPr>
        <w:t>适合有风险承受能力较低，</w:t>
      </w:r>
      <w:r>
        <w:rPr>
          <w:rFonts w:ascii="楷体_GB2312" w:eastAsia="楷体_GB2312" w:hint="eastAsia"/>
          <w:color w:val="000000"/>
        </w:rPr>
        <w:t>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，侧重维持长期投资，期望在严格控制风险的基础上实现稳健增值</w:t>
      </w:r>
      <w:r>
        <w:rPr>
          <w:rFonts w:ascii="楷体_GB2312" w:eastAsia="楷体_GB2312" w:hint="eastAsia"/>
          <w:color w:val="000000"/>
        </w:rPr>
        <w:t>、并对资产流动性有较高要求</w:t>
      </w:r>
      <w:r w:rsidRPr="00236C83">
        <w:rPr>
          <w:rFonts w:ascii="楷体_GB2312" w:eastAsia="楷体_GB2312" w:hint="eastAsia"/>
          <w:color w:val="000000"/>
        </w:rPr>
        <w:t>的投资者，建议</w:t>
      </w:r>
      <w:r>
        <w:rPr>
          <w:rFonts w:ascii="楷体_GB2312" w:eastAsia="楷体_GB2312" w:hint="eastAsia"/>
          <w:color w:val="000000"/>
        </w:rPr>
        <w:t>难以承担较大幅度亏损</w:t>
      </w:r>
      <w:r w:rsidRPr="00236C83">
        <w:rPr>
          <w:rFonts w:ascii="楷体_GB2312" w:eastAsia="楷体_GB2312" w:hint="eastAsia"/>
          <w:color w:val="000000"/>
        </w:rPr>
        <w:t>的低等风险偏好者参与。</w:t>
      </w:r>
    </w:p>
    <w:p w:rsidR="009A18F4" w:rsidRPr="00EF6A3A" w:rsidRDefault="009A18F4" w:rsidP="0075204E">
      <w:pPr>
        <w:spacing w:beforeLines="10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基金点评：</w:t>
      </w:r>
    </w:p>
    <w:p w:rsidR="009A18F4" w:rsidRDefault="009A18F4" w:rsidP="0075204E">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添富价值：</w:t>
      </w:r>
      <w:r w:rsidRPr="000E2698">
        <w:rPr>
          <w:rFonts w:ascii="楷体_GB2312" w:eastAsia="楷体_GB2312" w:hAnsi="宋体" w:cs="宋体" w:hint="eastAsia"/>
          <w:color w:val="000000" w:themeColor="text1"/>
          <w:kern w:val="0"/>
          <w:szCs w:val="21"/>
        </w:rPr>
        <w:t>该基金保持充分投资，行业结构调整灵活，对市场结构性机会把握能力出色，选证能力和综合评级均获最高五星评级。基金经理稳定，投资风格和策略延续性强，历史管理绩效出色且稳定性强。</w:t>
      </w:r>
    </w:p>
    <w:p w:rsidR="00460204" w:rsidRPr="000E2698" w:rsidRDefault="00460204" w:rsidP="0075204E">
      <w:pPr>
        <w:spacing w:beforeLines="50"/>
        <w:ind w:leftChars="1350" w:left="2835" w:firstLineChars="202" w:firstLine="426"/>
        <w:rPr>
          <w:rFonts w:ascii="楷体_GB2312" w:eastAsia="楷体_GB2312" w:hAnsi="宋体" w:cs="宋体"/>
          <w:color w:val="000000" w:themeColor="text1"/>
          <w:kern w:val="0"/>
          <w:szCs w:val="21"/>
        </w:rPr>
      </w:pPr>
      <w:r w:rsidRPr="00B1089A">
        <w:rPr>
          <w:rFonts w:ascii="楷体_GB2312" w:eastAsia="楷体_GB2312" w:hAnsi="宋体" w:cs="宋体" w:hint="eastAsia"/>
          <w:b/>
          <w:color w:val="000000" w:themeColor="text1"/>
          <w:kern w:val="0"/>
          <w:szCs w:val="21"/>
        </w:rPr>
        <w:t>景顺核心竞争力：</w:t>
      </w:r>
      <w:r w:rsidRPr="004838BB">
        <w:rPr>
          <w:rFonts w:ascii="楷体_GB2312" w:eastAsia="楷体_GB2312" w:hAnsi="宋体" w:cs="宋体" w:hint="eastAsia"/>
          <w:color w:val="000000" w:themeColor="text1"/>
          <w:kern w:val="0"/>
          <w:szCs w:val="21"/>
        </w:rPr>
        <w:t>基金</w:t>
      </w:r>
      <w:r w:rsidR="00495AC4" w:rsidRPr="004838BB">
        <w:rPr>
          <w:rFonts w:ascii="楷体_GB2312" w:eastAsia="楷体_GB2312" w:hAnsi="宋体" w:cs="宋体" w:hint="eastAsia"/>
          <w:color w:val="000000" w:themeColor="text1"/>
          <w:kern w:val="0"/>
          <w:szCs w:val="21"/>
        </w:rPr>
        <w:t>选股能力出众，善于挖掘新兴板块优势个股，曾在2012年、2013年、2014年的震荡行情中取得出色业绩，</w:t>
      </w:r>
      <w:r w:rsidR="004838BB" w:rsidRPr="004838BB">
        <w:rPr>
          <w:rFonts w:ascii="楷体_GB2312" w:eastAsia="楷体_GB2312" w:hAnsi="宋体" w:cs="宋体" w:hint="eastAsia"/>
          <w:color w:val="000000" w:themeColor="text1"/>
          <w:kern w:val="0"/>
          <w:szCs w:val="21"/>
        </w:rPr>
        <w:t>基金经理稳定，有利于业绩的延续。</w:t>
      </w:r>
    </w:p>
    <w:p w:rsidR="00B1089A" w:rsidRPr="00955FE5" w:rsidRDefault="00B1089A" w:rsidP="0075204E">
      <w:pPr>
        <w:spacing w:beforeLines="50"/>
        <w:ind w:leftChars="1350" w:left="2835" w:firstLineChars="202" w:firstLine="426"/>
        <w:rPr>
          <w:rFonts w:ascii="楷体_GB2312" w:eastAsia="楷体_GB2312" w:hAnsi="宋体" w:cs="宋体"/>
          <w:color w:val="000000" w:themeColor="text1"/>
          <w:kern w:val="0"/>
          <w:szCs w:val="21"/>
          <w:highlight w:val="yellow"/>
        </w:rPr>
      </w:pPr>
      <w:r w:rsidRPr="0083054E">
        <w:rPr>
          <w:rFonts w:ascii="楷体_GB2312" w:eastAsia="楷体_GB2312" w:hAnsi="宋体" w:cs="宋体" w:hint="eastAsia"/>
          <w:b/>
          <w:color w:val="000000" w:themeColor="text1"/>
          <w:kern w:val="0"/>
          <w:szCs w:val="21"/>
        </w:rPr>
        <w:t>信诚</w:t>
      </w:r>
      <w:r w:rsidRPr="00115E71">
        <w:rPr>
          <w:rFonts w:ascii="楷体_GB2312" w:eastAsia="楷体_GB2312" w:hAnsi="宋体" w:cs="宋体" w:hint="eastAsia"/>
          <w:b/>
          <w:color w:val="000000" w:themeColor="text1"/>
          <w:kern w:val="0"/>
          <w:szCs w:val="21"/>
        </w:rPr>
        <w:t>精萃成长</w:t>
      </w:r>
      <w:r w:rsidRPr="00115E71">
        <w:rPr>
          <w:rFonts w:ascii="楷体_GB2312" w:eastAsia="楷体_GB2312" w:hAnsi="宋体" w:cs="宋体" w:hint="eastAsia"/>
          <w:color w:val="000000" w:themeColor="text1"/>
          <w:kern w:val="0"/>
          <w:szCs w:val="21"/>
        </w:rPr>
        <w:t>：</w:t>
      </w:r>
      <w:r w:rsidRPr="0083054E">
        <w:rPr>
          <w:rFonts w:ascii="楷体_GB2312" w:eastAsia="楷体_GB2312" w:hAnsi="宋体" w:cs="宋体" w:hint="eastAsia"/>
          <w:color w:val="000000" w:themeColor="text1"/>
          <w:kern w:val="0"/>
          <w:szCs w:val="21"/>
        </w:rPr>
        <w:t>信诚精萃成长</w:t>
      </w:r>
      <w:r w:rsidRPr="00A05B7E">
        <w:rPr>
          <w:rFonts w:ascii="楷体_GB2312" w:eastAsia="楷体_GB2312" w:hAnsi="宋体" w:cs="宋体" w:hint="eastAsia"/>
          <w:color w:val="000000" w:themeColor="text1"/>
          <w:kern w:val="0"/>
          <w:szCs w:val="21"/>
        </w:rPr>
        <w:t>投资风格侧重大盘，</w:t>
      </w:r>
      <w:r>
        <w:rPr>
          <w:rFonts w:ascii="楷体_GB2312" w:eastAsia="楷体_GB2312" w:hAnsi="宋体" w:cs="宋体" w:hint="eastAsia"/>
          <w:color w:val="000000" w:themeColor="text1"/>
          <w:kern w:val="0"/>
          <w:szCs w:val="21"/>
        </w:rPr>
        <w:t>投资较为积极，风险收益定位较高，</w:t>
      </w:r>
      <w:r w:rsidRPr="00A05B7E">
        <w:rPr>
          <w:rFonts w:ascii="楷体_GB2312" w:eastAsia="楷体_GB2312" w:hAnsi="宋体" w:cs="宋体" w:hint="eastAsia"/>
          <w:color w:val="000000" w:themeColor="text1"/>
          <w:kern w:val="0"/>
          <w:szCs w:val="21"/>
        </w:rPr>
        <w:t>产品优势在于择时能力出众。</w:t>
      </w:r>
      <w:r>
        <w:rPr>
          <w:rFonts w:ascii="楷体_GB2312" w:eastAsia="楷体_GB2312" w:hAnsi="宋体" w:cs="宋体" w:hint="eastAsia"/>
          <w:color w:val="000000" w:themeColor="text1"/>
          <w:kern w:val="0"/>
          <w:szCs w:val="21"/>
        </w:rPr>
        <w:t>近期</w:t>
      </w:r>
      <w:r w:rsidRPr="00A05B7E">
        <w:rPr>
          <w:rFonts w:ascii="楷体_GB2312" w:eastAsia="楷体_GB2312" w:hAnsi="宋体" w:cs="宋体" w:hint="eastAsia"/>
          <w:color w:val="000000" w:themeColor="text1"/>
          <w:kern w:val="0"/>
          <w:szCs w:val="21"/>
        </w:rPr>
        <w:t>基金配置</w:t>
      </w:r>
      <w:r w:rsidRPr="009F5078">
        <w:rPr>
          <w:rFonts w:ascii="楷体_GB2312" w:eastAsia="楷体_GB2312" w:hAnsi="宋体" w:cs="宋体" w:hint="eastAsia"/>
          <w:color w:val="000000" w:themeColor="text1"/>
          <w:kern w:val="0"/>
          <w:szCs w:val="21"/>
        </w:rPr>
        <w:t>航空、有色</w:t>
      </w:r>
      <w:r w:rsidRPr="00A05B7E">
        <w:rPr>
          <w:rFonts w:ascii="楷体_GB2312" w:eastAsia="楷体_GB2312" w:hAnsi="宋体" w:cs="宋体" w:hint="eastAsia"/>
          <w:color w:val="000000" w:themeColor="text1"/>
          <w:kern w:val="0"/>
          <w:szCs w:val="21"/>
        </w:rPr>
        <w:t>，</w:t>
      </w:r>
      <w:r>
        <w:rPr>
          <w:rFonts w:ascii="楷体_GB2312" w:eastAsia="楷体_GB2312" w:hAnsi="宋体" w:cs="宋体" w:hint="eastAsia"/>
          <w:color w:val="000000" w:themeColor="text1"/>
          <w:kern w:val="0"/>
          <w:szCs w:val="21"/>
        </w:rPr>
        <w:t>在一定程度上符合</w:t>
      </w:r>
      <w:r w:rsidRPr="00A05B7E">
        <w:rPr>
          <w:rFonts w:ascii="楷体_GB2312" w:eastAsia="楷体_GB2312" w:hAnsi="宋体" w:cs="宋体" w:hint="eastAsia"/>
          <w:color w:val="000000" w:themeColor="text1"/>
          <w:kern w:val="0"/>
          <w:szCs w:val="21"/>
        </w:rPr>
        <w:t>投资策略所的方向。</w:t>
      </w:r>
    </w:p>
    <w:p w:rsidR="009A18F4" w:rsidRPr="00A46E4C" w:rsidRDefault="00B1089A" w:rsidP="0075204E">
      <w:pPr>
        <w:spacing w:beforeLines="50"/>
        <w:ind w:leftChars="1350" w:left="2835" w:firstLineChars="202" w:firstLine="426"/>
        <w:rPr>
          <w:rFonts w:ascii="楷体_GB2312" w:eastAsia="楷体_GB2312" w:hAnsi="宋体" w:cs="宋体"/>
          <w:color w:val="000000" w:themeColor="text1"/>
          <w:kern w:val="0"/>
          <w:szCs w:val="21"/>
        </w:rPr>
      </w:pPr>
      <w:r w:rsidRPr="00B1089A">
        <w:rPr>
          <w:rFonts w:ascii="楷体_GB2312" w:eastAsia="楷体_GB2312" w:hAnsi="宋体" w:cs="宋体" w:hint="eastAsia"/>
          <w:b/>
          <w:color w:val="000000" w:themeColor="text1"/>
          <w:kern w:val="0"/>
          <w:szCs w:val="21"/>
        </w:rPr>
        <w:t>长城积极增利</w:t>
      </w:r>
      <w:r w:rsidR="009A18F4" w:rsidRPr="000E2698">
        <w:rPr>
          <w:rFonts w:ascii="楷体_GB2312" w:eastAsia="楷体_GB2312" w:hAnsi="宋体" w:cs="宋体" w:hint="eastAsia"/>
          <w:b/>
          <w:color w:val="000000" w:themeColor="text1"/>
          <w:kern w:val="0"/>
          <w:szCs w:val="21"/>
        </w:rPr>
        <w:t>：</w:t>
      </w:r>
      <w:r w:rsidR="009A18F4">
        <w:rPr>
          <w:rFonts w:ascii="楷体_GB2312" w:eastAsia="楷体_GB2312" w:hAnsi="宋体" w:cs="宋体" w:hint="eastAsia"/>
          <w:color w:val="000000" w:themeColor="text1"/>
          <w:kern w:val="0"/>
          <w:szCs w:val="21"/>
        </w:rPr>
        <w:t>该基金</w:t>
      </w:r>
      <w:r w:rsidR="00BB7764">
        <w:rPr>
          <w:rFonts w:ascii="楷体_GB2312" w:eastAsia="楷体_GB2312" w:hAnsi="宋体" w:cs="宋体" w:hint="eastAsia"/>
          <w:color w:val="000000" w:themeColor="text1"/>
          <w:kern w:val="0"/>
          <w:szCs w:val="21"/>
        </w:rPr>
        <w:t>谨慎</w:t>
      </w:r>
      <w:r>
        <w:rPr>
          <w:rFonts w:ascii="楷体_GB2312" w:eastAsia="楷体_GB2312" w:hAnsi="宋体" w:cs="宋体" w:hint="eastAsia"/>
          <w:color w:val="000000" w:themeColor="text1"/>
          <w:kern w:val="0"/>
          <w:szCs w:val="21"/>
        </w:rPr>
        <w:t>参与股票和</w:t>
      </w:r>
      <w:r w:rsidR="00BB7764">
        <w:rPr>
          <w:rFonts w:ascii="楷体_GB2312" w:eastAsia="楷体_GB2312" w:hAnsi="宋体" w:cs="宋体" w:hint="eastAsia"/>
          <w:color w:val="000000" w:themeColor="text1"/>
          <w:kern w:val="0"/>
          <w:szCs w:val="21"/>
        </w:rPr>
        <w:t>可转债投资</w:t>
      </w:r>
      <w:r w:rsidR="009A18F4">
        <w:rPr>
          <w:rFonts w:ascii="楷体_GB2312" w:eastAsia="楷体_GB2312" w:hAnsi="宋体" w:cs="宋体" w:hint="eastAsia"/>
          <w:color w:val="000000" w:themeColor="text1"/>
          <w:kern w:val="0"/>
          <w:szCs w:val="21"/>
        </w:rPr>
        <w:t>，</w:t>
      </w:r>
      <w:r w:rsidR="00BB7764">
        <w:rPr>
          <w:rFonts w:ascii="楷体_GB2312" w:eastAsia="楷体_GB2312" w:hAnsi="宋体" w:cs="宋体" w:hint="eastAsia"/>
          <w:color w:val="000000" w:themeColor="text1"/>
          <w:kern w:val="0"/>
          <w:szCs w:val="21"/>
        </w:rPr>
        <w:t>侧重配置企业债和金融债，投资风格延续性强</w:t>
      </w:r>
      <w:r>
        <w:rPr>
          <w:rFonts w:ascii="楷体_GB2312" w:eastAsia="楷体_GB2312" w:hAnsi="宋体" w:cs="宋体" w:hint="eastAsia"/>
          <w:color w:val="000000" w:themeColor="text1"/>
          <w:kern w:val="0"/>
          <w:szCs w:val="21"/>
        </w:rPr>
        <w:t>，来业绩持续稳定，在同业内排名靠前</w:t>
      </w:r>
      <w:r w:rsidR="009A18F4">
        <w:rPr>
          <w:rFonts w:ascii="楷体_GB2312" w:eastAsia="楷体_GB2312" w:hAnsi="宋体" w:cs="宋体" w:hint="eastAsia"/>
          <w:color w:val="000000" w:themeColor="text1"/>
          <w:kern w:val="0"/>
          <w:szCs w:val="21"/>
        </w:rPr>
        <w:t>，基金经理稳定，其良好获益能力有望得以延续。</w:t>
      </w:r>
    </w:p>
    <w:p w:rsidR="009A18F4" w:rsidRPr="000E2698" w:rsidRDefault="009A18F4" w:rsidP="0075204E">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华夏现金：</w:t>
      </w:r>
      <w:r w:rsidRPr="000E2698">
        <w:rPr>
          <w:rFonts w:ascii="楷体_GB2312" w:eastAsia="楷体_GB2312" w:hAnsi="宋体" w:cs="宋体" w:hint="eastAsia"/>
          <w:color w:val="000000" w:themeColor="text1"/>
          <w:kern w:val="0"/>
          <w:szCs w:val="21"/>
        </w:rPr>
        <w:t>基金设立于</w:t>
      </w:r>
      <w:r>
        <w:rPr>
          <w:rFonts w:ascii="楷体_GB2312" w:eastAsia="楷体_GB2312" w:hAnsi="宋体" w:cs="宋体" w:hint="eastAsia"/>
          <w:color w:val="000000" w:themeColor="text1"/>
          <w:kern w:val="0"/>
          <w:szCs w:val="21"/>
        </w:rPr>
        <w:t>20</w:t>
      </w:r>
      <w:r w:rsidRPr="000E2698">
        <w:rPr>
          <w:rFonts w:ascii="楷体_GB2312" w:eastAsia="楷体_GB2312" w:hAnsi="宋体" w:cs="宋体" w:hint="eastAsia"/>
          <w:color w:val="000000" w:themeColor="text1"/>
          <w:kern w:val="0"/>
          <w:szCs w:val="21"/>
        </w:rPr>
        <w:t>04年4月，</w:t>
      </w:r>
      <w:r w:rsidRPr="004474F8">
        <w:rPr>
          <w:rFonts w:ascii="楷体_GB2312" w:eastAsia="楷体_GB2312" w:hAnsi="宋体" w:cs="宋体" w:hint="eastAsia"/>
          <w:color w:val="000000" w:themeColor="text1"/>
          <w:kern w:val="0"/>
          <w:szCs w:val="21"/>
        </w:rPr>
        <w:t>截至201</w:t>
      </w:r>
      <w:r>
        <w:rPr>
          <w:rFonts w:ascii="楷体_GB2312" w:eastAsia="楷体_GB2312" w:hAnsi="宋体" w:cs="宋体" w:hint="eastAsia"/>
          <w:color w:val="000000" w:themeColor="text1"/>
          <w:kern w:val="0"/>
          <w:szCs w:val="21"/>
        </w:rPr>
        <w:t>5</w:t>
      </w:r>
      <w:r w:rsidRPr="004474F8">
        <w:rPr>
          <w:rFonts w:ascii="楷体_GB2312" w:eastAsia="楷体_GB2312" w:hAnsi="宋体" w:cs="宋体" w:hint="eastAsia"/>
          <w:color w:val="000000" w:themeColor="text1"/>
          <w:kern w:val="0"/>
          <w:szCs w:val="21"/>
        </w:rPr>
        <w:t>年</w:t>
      </w:r>
      <w:r>
        <w:rPr>
          <w:rFonts w:ascii="楷体_GB2312" w:eastAsia="楷体_GB2312" w:hAnsi="宋体" w:cs="宋体" w:hint="eastAsia"/>
          <w:color w:val="000000" w:themeColor="text1"/>
          <w:kern w:val="0"/>
          <w:szCs w:val="21"/>
        </w:rPr>
        <w:t>一季度</w:t>
      </w:r>
      <w:r w:rsidRPr="004474F8">
        <w:rPr>
          <w:rFonts w:ascii="楷体_GB2312" w:eastAsia="楷体_GB2312" w:hAnsi="宋体" w:cs="宋体" w:hint="eastAsia"/>
          <w:color w:val="000000" w:themeColor="text1"/>
          <w:kern w:val="0"/>
          <w:szCs w:val="21"/>
        </w:rPr>
        <w:t>季度末基金份额合计</w:t>
      </w:r>
      <w:r w:rsidRPr="00215361">
        <w:rPr>
          <w:rFonts w:ascii="楷体_GB2312" w:eastAsia="楷体_GB2312" w:hAnsi="宋体" w:cs="宋体"/>
          <w:color w:val="000000" w:themeColor="text1"/>
          <w:kern w:val="0"/>
          <w:szCs w:val="21"/>
        </w:rPr>
        <w:t>735</w:t>
      </w:r>
      <w:r w:rsidRPr="004474F8">
        <w:rPr>
          <w:rFonts w:ascii="楷体_GB2312" w:eastAsia="楷体_GB2312" w:hAnsi="宋体" w:cs="宋体" w:hint="eastAsia"/>
          <w:color w:val="000000" w:themeColor="text1"/>
          <w:kern w:val="0"/>
          <w:szCs w:val="21"/>
        </w:rPr>
        <w:t>亿份</w:t>
      </w:r>
      <w:r w:rsidRPr="000E2698">
        <w:rPr>
          <w:rFonts w:ascii="楷体_GB2312" w:eastAsia="楷体_GB2312" w:hAnsi="宋体" w:cs="宋体" w:hint="eastAsia"/>
          <w:color w:val="000000" w:themeColor="text1"/>
          <w:kern w:val="0"/>
          <w:szCs w:val="21"/>
        </w:rPr>
        <w:t>，属于市场中规模最大的货币市场基金之一，流动性较好，历史管理业绩优秀。基金经理曲波管理该基金超过</w:t>
      </w:r>
      <w:r>
        <w:rPr>
          <w:rFonts w:ascii="楷体_GB2312" w:eastAsia="楷体_GB2312" w:hAnsi="宋体" w:cs="宋体" w:hint="eastAsia"/>
          <w:color w:val="000000" w:themeColor="text1"/>
          <w:kern w:val="0"/>
          <w:szCs w:val="21"/>
        </w:rPr>
        <w:t>7</w:t>
      </w:r>
      <w:r w:rsidRPr="000E2698">
        <w:rPr>
          <w:rFonts w:ascii="楷体_GB2312" w:eastAsia="楷体_GB2312" w:hAnsi="宋体" w:cs="宋体" w:hint="eastAsia"/>
          <w:color w:val="000000" w:themeColor="text1"/>
          <w:kern w:val="0"/>
          <w:szCs w:val="21"/>
        </w:rPr>
        <w:t>年，经验丰富。</w:t>
      </w:r>
    </w:p>
    <w:p w:rsidR="009A18F4" w:rsidRPr="000E2698" w:rsidRDefault="009A18F4" w:rsidP="0075204E">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广发货币：</w:t>
      </w:r>
      <w:r w:rsidRPr="000E2698">
        <w:rPr>
          <w:rFonts w:ascii="楷体_GB2312" w:eastAsia="楷体_GB2312" w:hAnsi="宋体" w:cs="宋体" w:hint="eastAsia"/>
          <w:color w:val="000000" w:themeColor="text1"/>
          <w:kern w:val="0"/>
          <w:szCs w:val="21"/>
        </w:rPr>
        <w:t>基金设立于</w:t>
      </w:r>
      <w:r>
        <w:rPr>
          <w:rFonts w:ascii="楷体_GB2312" w:eastAsia="楷体_GB2312" w:hAnsi="宋体" w:cs="宋体" w:hint="eastAsia"/>
          <w:color w:val="000000" w:themeColor="text1"/>
          <w:kern w:val="0"/>
          <w:szCs w:val="21"/>
        </w:rPr>
        <w:t>20</w:t>
      </w:r>
      <w:r w:rsidRPr="000E2698">
        <w:rPr>
          <w:rFonts w:ascii="楷体_GB2312" w:eastAsia="楷体_GB2312" w:hAnsi="宋体" w:cs="宋体" w:hint="eastAsia"/>
          <w:color w:val="000000" w:themeColor="text1"/>
          <w:kern w:val="0"/>
          <w:szCs w:val="21"/>
        </w:rPr>
        <w:t>05年5月，</w:t>
      </w:r>
      <w:r w:rsidRPr="004474F8">
        <w:rPr>
          <w:rFonts w:ascii="楷体_GB2312" w:eastAsia="楷体_GB2312" w:hAnsi="宋体" w:cs="宋体" w:hint="eastAsia"/>
          <w:color w:val="000000" w:themeColor="text1"/>
          <w:kern w:val="0"/>
          <w:szCs w:val="21"/>
        </w:rPr>
        <w:t>截至201</w:t>
      </w:r>
      <w:r>
        <w:rPr>
          <w:rFonts w:ascii="楷体_GB2312" w:eastAsia="楷体_GB2312" w:hAnsi="宋体" w:cs="宋体" w:hint="eastAsia"/>
          <w:color w:val="000000" w:themeColor="text1"/>
          <w:kern w:val="0"/>
          <w:szCs w:val="21"/>
        </w:rPr>
        <w:t>5</w:t>
      </w:r>
      <w:r w:rsidRPr="004474F8">
        <w:rPr>
          <w:rFonts w:ascii="楷体_GB2312" w:eastAsia="楷体_GB2312" w:hAnsi="宋体" w:cs="宋体" w:hint="eastAsia"/>
          <w:color w:val="000000" w:themeColor="text1"/>
          <w:kern w:val="0"/>
          <w:szCs w:val="21"/>
        </w:rPr>
        <w:t>年</w:t>
      </w:r>
      <w:r>
        <w:rPr>
          <w:rFonts w:ascii="楷体_GB2312" w:eastAsia="楷体_GB2312" w:hAnsi="宋体" w:cs="宋体" w:hint="eastAsia"/>
          <w:color w:val="000000" w:themeColor="text1"/>
          <w:kern w:val="0"/>
          <w:szCs w:val="21"/>
        </w:rPr>
        <w:t>一季度</w:t>
      </w:r>
      <w:r w:rsidRPr="004474F8">
        <w:rPr>
          <w:rFonts w:ascii="楷体_GB2312" w:eastAsia="楷体_GB2312" w:hAnsi="宋体" w:cs="宋体" w:hint="eastAsia"/>
          <w:color w:val="000000" w:themeColor="text1"/>
          <w:kern w:val="0"/>
          <w:szCs w:val="21"/>
        </w:rPr>
        <w:t>季度末</w:t>
      </w:r>
      <w:r w:rsidRPr="000E2698">
        <w:rPr>
          <w:rFonts w:ascii="楷体_GB2312" w:eastAsia="楷体_GB2312" w:hAnsi="宋体" w:cs="宋体" w:hint="eastAsia"/>
          <w:color w:val="000000" w:themeColor="text1"/>
          <w:kern w:val="0"/>
          <w:szCs w:val="21"/>
        </w:rPr>
        <w:t>基金A、B份额合计</w:t>
      </w:r>
      <w:r>
        <w:rPr>
          <w:rFonts w:ascii="楷体_GB2312" w:eastAsia="楷体_GB2312" w:hAnsi="宋体" w:cs="宋体" w:hint="eastAsia"/>
          <w:color w:val="000000" w:themeColor="text1"/>
          <w:kern w:val="0"/>
          <w:szCs w:val="21"/>
        </w:rPr>
        <w:t>541</w:t>
      </w:r>
      <w:r w:rsidRPr="004474F8">
        <w:rPr>
          <w:rFonts w:ascii="楷体_GB2312" w:eastAsia="楷体_GB2312" w:hAnsi="宋体" w:cs="宋体" w:hint="eastAsia"/>
          <w:color w:val="000000" w:themeColor="text1"/>
          <w:kern w:val="0"/>
          <w:szCs w:val="21"/>
        </w:rPr>
        <w:t>亿份</w:t>
      </w:r>
      <w:r>
        <w:rPr>
          <w:rFonts w:ascii="楷体_GB2312" w:eastAsia="楷体_GB2312" w:hAnsi="宋体" w:cs="宋体" w:hint="eastAsia"/>
          <w:color w:val="000000" w:themeColor="text1"/>
          <w:kern w:val="0"/>
          <w:szCs w:val="21"/>
        </w:rPr>
        <w:t>，规模较为稳定，</w:t>
      </w:r>
      <w:r w:rsidRPr="000E2698">
        <w:rPr>
          <w:rFonts w:ascii="楷体_GB2312" w:eastAsia="楷体_GB2312" w:hAnsi="宋体" w:cs="宋体" w:hint="eastAsia"/>
          <w:color w:val="000000" w:themeColor="text1"/>
          <w:kern w:val="0"/>
          <w:szCs w:val="21"/>
        </w:rPr>
        <w:t>流动性较好</w:t>
      </w:r>
      <w:r>
        <w:rPr>
          <w:rFonts w:ascii="楷体_GB2312" w:eastAsia="楷体_GB2312" w:hAnsi="宋体" w:cs="宋体" w:hint="eastAsia"/>
          <w:color w:val="000000" w:themeColor="text1"/>
          <w:kern w:val="0"/>
          <w:szCs w:val="21"/>
        </w:rPr>
        <w:t>。基金</w:t>
      </w:r>
      <w:r w:rsidRPr="000E2698">
        <w:rPr>
          <w:rFonts w:ascii="楷体_GB2312" w:eastAsia="楷体_GB2312" w:hAnsi="宋体" w:cs="宋体" w:hint="eastAsia"/>
          <w:color w:val="000000" w:themeColor="text1"/>
          <w:kern w:val="0"/>
          <w:szCs w:val="21"/>
        </w:rPr>
        <w:t>历史管理业绩优秀，</w:t>
      </w:r>
      <w:r>
        <w:rPr>
          <w:rFonts w:ascii="楷体_GB2312" w:eastAsia="楷体_GB2312" w:hAnsi="宋体" w:cs="宋体" w:hint="eastAsia"/>
          <w:color w:val="000000" w:themeColor="text1"/>
          <w:kern w:val="0"/>
          <w:szCs w:val="21"/>
        </w:rPr>
        <w:t>2014年以来年度回报率基本保持在4.4%以上高位水平，持续超越同类平均水平</w:t>
      </w:r>
      <w:r w:rsidRPr="000E2698">
        <w:rPr>
          <w:rFonts w:ascii="楷体_GB2312" w:eastAsia="楷体_GB2312" w:hAnsi="宋体" w:cs="宋体" w:hint="eastAsia"/>
          <w:color w:val="000000" w:themeColor="text1"/>
          <w:kern w:val="0"/>
          <w:szCs w:val="21"/>
        </w:rPr>
        <w:t>。</w:t>
      </w:r>
    </w:p>
    <w:p w:rsidR="009A18F4" w:rsidRPr="00715274" w:rsidRDefault="009A18F4" w:rsidP="009A18F4">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二、</w:t>
      </w:r>
      <w:r w:rsidRPr="00715274">
        <w:rPr>
          <w:rFonts w:ascii="黑体" w:eastAsia="黑体" w:hAnsi="宋体-18030" w:cs="宋体-18030" w:hint="eastAsia"/>
          <w:b/>
          <w:bCs/>
          <w:color w:val="000000"/>
          <w:kern w:val="44"/>
          <w:sz w:val="28"/>
          <w:szCs w:val="28"/>
        </w:rPr>
        <w:t>市场回顾</w:t>
      </w:r>
    </w:p>
    <w:p w:rsidR="009A18F4" w:rsidRPr="005E4592" w:rsidRDefault="009A18F4" w:rsidP="0075204E">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（一）基础市场回顾：</w:t>
      </w:r>
      <w:r w:rsidR="00A85EF3">
        <w:rPr>
          <w:rFonts w:ascii="黑体" w:eastAsia="黑体" w:hAnsi="宋体-18030" w:cs="宋体-18030" w:hint="eastAsia"/>
          <w:b/>
          <w:bCs/>
          <w:color w:val="003366"/>
          <w:kern w:val="44"/>
          <w:sz w:val="24"/>
        </w:rPr>
        <w:t>市场普跌，震荡加剧</w:t>
      </w:r>
    </w:p>
    <w:p w:rsidR="009A18F4" w:rsidRDefault="009A18F4" w:rsidP="0075204E">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2015年</w:t>
      </w:r>
      <w:r w:rsidR="009568EE">
        <w:rPr>
          <w:rFonts w:ascii="楷体_GB2312" w:eastAsia="楷体_GB2312" w:hAnsi="宋体" w:cs="宋体" w:hint="eastAsia"/>
          <w:kern w:val="0"/>
          <w:szCs w:val="21"/>
        </w:rPr>
        <w:t>7</w:t>
      </w:r>
      <w:r w:rsidRPr="008326EB">
        <w:rPr>
          <w:rFonts w:ascii="楷体_GB2312" w:eastAsia="楷体_GB2312" w:hAnsi="宋体" w:cs="宋体" w:hint="eastAsia"/>
          <w:kern w:val="0"/>
          <w:szCs w:val="21"/>
        </w:rPr>
        <w:t>月</w:t>
      </w:r>
      <w:r w:rsidR="006911E1">
        <w:rPr>
          <w:rFonts w:ascii="楷体_GB2312" w:eastAsia="楷体_GB2312" w:hAnsi="宋体" w:cs="宋体" w:hint="eastAsia"/>
          <w:kern w:val="0"/>
          <w:szCs w:val="21"/>
        </w:rPr>
        <w:t>上旬</w:t>
      </w:r>
      <w:r w:rsidR="00A5173E">
        <w:rPr>
          <w:rFonts w:ascii="楷体_GB2312" w:eastAsia="楷体_GB2312" w:hAnsi="宋体" w:cs="宋体" w:hint="eastAsia"/>
          <w:kern w:val="0"/>
          <w:szCs w:val="21"/>
        </w:rPr>
        <w:t>市场在</w:t>
      </w:r>
      <w:r w:rsidR="006911E1">
        <w:rPr>
          <w:rFonts w:ascii="楷体_GB2312" w:eastAsia="楷体_GB2312" w:hAnsi="宋体" w:cs="宋体" w:hint="eastAsia"/>
          <w:kern w:val="0"/>
          <w:szCs w:val="21"/>
        </w:rPr>
        <w:t>极度</w:t>
      </w:r>
      <w:r w:rsidR="00A5173E">
        <w:rPr>
          <w:rFonts w:ascii="楷体_GB2312" w:eastAsia="楷体_GB2312" w:hAnsi="宋体" w:cs="宋体" w:hint="eastAsia"/>
          <w:kern w:val="0"/>
          <w:szCs w:val="21"/>
        </w:rPr>
        <w:t>悲观中加速下跌，</w:t>
      </w:r>
      <w:r w:rsidR="00BE3EAF">
        <w:rPr>
          <w:rFonts w:ascii="楷体_GB2312" w:eastAsia="楷体_GB2312" w:hAnsi="宋体" w:cs="宋体" w:hint="eastAsia"/>
          <w:kern w:val="0"/>
          <w:szCs w:val="21"/>
        </w:rPr>
        <w:t>在</w:t>
      </w:r>
      <w:r w:rsidR="00681AFE">
        <w:rPr>
          <w:rFonts w:ascii="楷体_GB2312" w:eastAsia="楷体_GB2312" w:hAnsi="宋体" w:cs="宋体" w:hint="eastAsia"/>
          <w:kern w:val="0"/>
          <w:szCs w:val="21"/>
        </w:rPr>
        <w:t>持续出台的救市</w:t>
      </w:r>
      <w:r w:rsidR="00A5173E">
        <w:rPr>
          <w:rFonts w:ascii="楷体_GB2312" w:eastAsia="楷体_GB2312" w:hAnsi="宋体" w:cs="宋体" w:hint="eastAsia"/>
          <w:kern w:val="0"/>
          <w:szCs w:val="21"/>
        </w:rPr>
        <w:t>政策强力支持</w:t>
      </w:r>
      <w:r w:rsidR="00681AFE">
        <w:rPr>
          <w:rFonts w:ascii="楷体_GB2312" w:eastAsia="楷体_GB2312" w:hAnsi="宋体" w:cs="宋体" w:hint="eastAsia"/>
          <w:kern w:val="0"/>
          <w:szCs w:val="21"/>
        </w:rPr>
        <w:t>以及</w:t>
      </w:r>
      <w:r w:rsidR="003F751E">
        <w:rPr>
          <w:rFonts w:ascii="楷体_GB2312" w:eastAsia="楷体_GB2312" w:hAnsi="宋体" w:cs="宋体" w:hint="eastAsia"/>
          <w:kern w:val="0"/>
          <w:szCs w:val="21"/>
        </w:rPr>
        <w:t>国家队</w:t>
      </w:r>
      <w:r w:rsidR="00681AFE">
        <w:rPr>
          <w:rFonts w:ascii="楷体_GB2312" w:eastAsia="楷体_GB2312" w:hAnsi="宋体" w:cs="宋体" w:hint="eastAsia"/>
          <w:kern w:val="0"/>
          <w:szCs w:val="21"/>
        </w:rPr>
        <w:t>直接</w:t>
      </w:r>
      <w:r w:rsidR="003F751E">
        <w:rPr>
          <w:rFonts w:ascii="楷体_GB2312" w:eastAsia="楷体_GB2312" w:hAnsi="宋体" w:cs="宋体" w:hint="eastAsia"/>
          <w:kern w:val="0"/>
          <w:szCs w:val="21"/>
        </w:rPr>
        <w:t>入场</w:t>
      </w:r>
      <w:r w:rsidR="00681AFE">
        <w:rPr>
          <w:rFonts w:ascii="楷体_GB2312" w:eastAsia="楷体_GB2312" w:hAnsi="宋体" w:cs="宋体" w:hint="eastAsia"/>
          <w:kern w:val="0"/>
          <w:szCs w:val="21"/>
        </w:rPr>
        <w:t>救市的拉动下</w:t>
      </w:r>
      <w:r w:rsidR="003F751E">
        <w:rPr>
          <w:rFonts w:ascii="楷体_GB2312" w:eastAsia="楷体_GB2312" w:hAnsi="宋体" w:cs="宋体" w:hint="eastAsia"/>
          <w:kern w:val="0"/>
          <w:szCs w:val="21"/>
        </w:rPr>
        <w:t>，股市在7月9日触底反弹，</w:t>
      </w:r>
      <w:r w:rsidR="00681AFE">
        <w:rPr>
          <w:rFonts w:ascii="楷体_GB2312" w:eastAsia="楷体_GB2312" w:hAnsi="宋体" w:cs="宋体" w:hint="eastAsia"/>
          <w:kern w:val="0"/>
          <w:szCs w:val="21"/>
        </w:rPr>
        <w:t>7月下旬</w:t>
      </w:r>
      <w:r w:rsidR="00032ECF">
        <w:rPr>
          <w:rFonts w:ascii="楷体_GB2312" w:eastAsia="楷体_GB2312" w:hAnsi="宋体" w:cs="宋体" w:hint="eastAsia"/>
          <w:kern w:val="0"/>
          <w:szCs w:val="21"/>
        </w:rPr>
        <w:t>股指短期反弹动力消退，市场再度进入振荡，</w:t>
      </w:r>
      <w:r w:rsidR="007C1CD2">
        <w:rPr>
          <w:rFonts w:ascii="楷体_GB2312" w:eastAsia="楷体_GB2312" w:hAnsi="宋体" w:cs="宋体" w:hint="eastAsia"/>
          <w:kern w:val="0"/>
          <w:szCs w:val="21"/>
        </w:rPr>
        <w:t>其中7月27日上证</w:t>
      </w:r>
      <w:r w:rsidR="00AC405F">
        <w:rPr>
          <w:rFonts w:ascii="楷体_GB2312" w:eastAsia="楷体_GB2312" w:hAnsi="宋体" w:cs="宋体" w:hint="eastAsia"/>
          <w:kern w:val="0"/>
          <w:szCs w:val="21"/>
        </w:rPr>
        <w:t>综指</w:t>
      </w:r>
      <w:r w:rsidR="007C1CD2">
        <w:rPr>
          <w:rFonts w:ascii="楷体_GB2312" w:eastAsia="楷体_GB2312" w:hAnsi="宋体" w:cs="宋体" w:hint="eastAsia"/>
          <w:kern w:val="0"/>
          <w:szCs w:val="21"/>
        </w:rPr>
        <w:t>甚至单日</w:t>
      </w:r>
      <w:r w:rsidR="00AC405F">
        <w:rPr>
          <w:rFonts w:ascii="楷体_GB2312" w:eastAsia="楷体_GB2312" w:hAnsi="宋体" w:cs="宋体" w:hint="eastAsia"/>
          <w:kern w:val="0"/>
          <w:szCs w:val="21"/>
        </w:rPr>
        <w:t>大跌</w:t>
      </w:r>
      <w:r w:rsidR="007C1CD2">
        <w:rPr>
          <w:rFonts w:ascii="楷体_GB2312" w:eastAsia="楷体_GB2312" w:hAnsi="宋体" w:cs="宋体" w:hint="eastAsia"/>
          <w:kern w:val="0"/>
          <w:szCs w:val="21"/>
        </w:rPr>
        <w:t>8.48%</w:t>
      </w:r>
      <w:r w:rsidR="00AC405F">
        <w:rPr>
          <w:rFonts w:ascii="楷体_GB2312" w:eastAsia="楷体_GB2312" w:hAnsi="宋体" w:cs="宋体" w:hint="eastAsia"/>
          <w:kern w:val="0"/>
          <w:szCs w:val="21"/>
        </w:rPr>
        <w:t>，创下8年单日最大跌幅，</w:t>
      </w:r>
      <w:r>
        <w:rPr>
          <w:rFonts w:ascii="楷体_GB2312" w:eastAsia="楷体_GB2312" w:hAnsi="宋体" w:cs="宋体" w:hint="eastAsia"/>
          <w:kern w:val="0"/>
          <w:szCs w:val="21"/>
        </w:rPr>
        <w:t>截至</w:t>
      </w:r>
      <w:r w:rsidR="009568EE">
        <w:rPr>
          <w:rFonts w:ascii="楷体_GB2312" w:eastAsia="楷体_GB2312" w:hAnsi="宋体" w:cs="宋体" w:hint="eastAsia"/>
          <w:kern w:val="0"/>
          <w:szCs w:val="21"/>
        </w:rPr>
        <w:t>7</w:t>
      </w:r>
      <w:r>
        <w:rPr>
          <w:rFonts w:ascii="楷体_GB2312" w:eastAsia="楷体_GB2312" w:hAnsi="宋体" w:cs="宋体" w:hint="eastAsia"/>
          <w:kern w:val="0"/>
          <w:szCs w:val="21"/>
        </w:rPr>
        <w:t>月</w:t>
      </w:r>
      <w:r w:rsidR="009568EE">
        <w:rPr>
          <w:rFonts w:ascii="楷体_GB2312" w:eastAsia="楷体_GB2312" w:hAnsi="宋体" w:cs="宋体" w:hint="eastAsia"/>
          <w:kern w:val="0"/>
          <w:szCs w:val="21"/>
        </w:rPr>
        <w:t>29</w:t>
      </w:r>
      <w:r>
        <w:rPr>
          <w:rFonts w:ascii="楷体_GB2312" w:eastAsia="楷体_GB2312" w:hAnsi="宋体" w:cs="宋体" w:hint="eastAsia"/>
          <w:kern w:val="0"/>
          <w:szCs w:val="21"/>
        </w:rPr>
        <w:t>日</w:t>
      </w:r>
      <w:r w:rsidR="00032ECF">
        <w:rPr>
          <w:rFonts w:ascii="楷体_GB2312" w:eastAsia="楷体_GB2312" w:hAnsi="宋体" w:cs="宋体" w:hint="eastAsia"/>
          <w:kern w:val="0"/>
          <w:szCs w:val="21"/>
        </w:rPr>
        <w:t>全月</w:t>
      </w:r>
      <w:r w:rsidRPr="008326EB">
        <w:rPr>
          <w:rFonts w:ascii="楷体_GB2312" w:eastAsia="楷体_GB2312" w:hAnsi="宋体" w:cs="宋体" w:hint="eastAsia"/>
          <w:kern w:val="0"/>
          <w:szCs w:val="21"/>
        </w:rPr>
        <w:t>上证指数</w:t>
      </w:r>
      <w:r>
        <w:rPr>
          <w:rFonts w:ascii="楷体_GB2312" w:eastAsia="楷体_GB2312" w:hAnsi="宋体" w:cs="宋体" w:hint="eastAsia"/>
          <w:kern w:val="0"/>
          <w:szCs w:val="21"/>
        </w:rPr>
        <w:t>下跌</w:t>
      </w:r>
      <w:r w:rsidR="00100321" w:rsidRPr="00100321">
        <w:rPr>
          <w:rFonts w:ascii="楷体_GB2312" w:eastAsia="楷体_GB2312" w:hAnsi="宋体" w:cs="宋体"/>
          <w:kern w:val="0"/>
          <w:szCs w:val="21"/>
        </w:rPr>
        <w:t>11.41</w:t>
      </w:r>
      <w:r>
        <w:rPr>
          <w:rFonts w:ascii="楷体_GB2312" w:eastAsia="楷体_GB2312" w:hAnsi="宋体" w:cs="宋体" w:hint="eastAsia"/>
          <w:kern w:val="0"/>
          <w:szCs w:val="21"/>
        </w:rPr>
        <w:t>%、深圳综指下跌</w:t>
      </w:r>
      <w:r w:rsidR="00100321" w:rsidRPr="00100321">
        <w:rPr>
          <w:rFonts w:ascii="楷体_GB2312" w:eastAsia="楷体_GB2312" w:hAnsi="宋体" w:cs="宋体"/>
          <w:kern w:val="0"/>
          <w:szCs w:val="21"/>
        </w:rPr>
        <w:t>10.77</w:t>
      </w:r>
      <w:r>
        <w:rPr>
          <w:rFonts w:ascii="楷体_GB2312" w:eastAsia="楷体_GB2312" w:hAnsi="宋体" w:cs="宋体" w:hint="eastAsia"/>
          <w:kern w:val="0"/>
          <w:szCs w:val="21"/>
        </w:rPr>
        <w:t>%，</w:t>
      </w:r>
      <w:r w:rsidR="00100321">
        <w:rPr>
          <w:rFonts w:ascii="楷体_GB2312" w:eastAsia="楷体_GB2312" w:hAnsi="宋体" w:cs="宋体" w:hint="eastAsia"/>
          <w:kern w:val="0"/>
          <w:szCs w:val="21"/>
        </w:rPr>
        <w:t>延续第二个月下跌</w:t>
      </w:r>
      <w:r>
        <w:rPr>
          <w:rFonts w:ascii="楷体_GB2312" w:eastAsia="楷体_GB2312" w:hAnsi="宋体" w:cs="宋体" w:hint="eastAsia"/>
          <w:kern w:val="0"/>
          <w:szCs w:val="21"/>
        </w:rPr>
        <w:t>。</w:t>
      </w:r>
    </w:p>
    <w:tbl>
      <w:tblPr>
        <w:tblW w:w="9781" w:type="dxa"/>
        <w:tblInd w:w="-34" w:type="dxa"/>
        <w:tblLayout w:type="fixed"/>
        <w:tblLook w:val="04A0"/>
      </w:tblPr>
      <w:tblGrid>
        <w:gridCol w:w="4820"/>
        <w:gridCol w:w="142"/>
        <w:gridCol w:w="4819"/>
      </w:tblGrid>
      <w:tr w:rsidR="009A18F4" w:rsidRPr="00051DF8" w:rsidTr="00DE017A">
        <w:tc>
          <w:tcPr>
            <w:tcW w:w="4962" w:type="dxa"/>
            <w:gridSpan w:val="2"/>
            <w:tcBorders>
              <w:bottom w:val="single" w:sz="4" w:space="0" w:color="FF0000"/>
            </w:tcBorders>
          </w:tcPr>
          <w:p w:rsidR="009A18F4" w:rsidRPr="00144B03" w:rsidRDefault="009A18F4" w:rsidP="00DE017A">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1</w:t>
            </w:r>
            <w:r w:rsidRPr="00144B03">
              <w:rPr>
                <w:rFonts w:ascii="楷体_GB2312" w:eastAsia="楷体_GB2312" w:hint="eastAsia"/>
                <w:b/>
                <w:color w:val="000000"/>
                <w:sz w:val="18"/>
                <w:szCs w:val="18"/>
              </w:rPr>
              <w:t>、本月沪深两市累计涨幅（%）</w:t>
            </w:r>
          </w:p>
        </w:tc>
        <w:tc>
          <w:tcPr>
            <w:tcW w:w="4819" w:type="dxa"/>
            <w:tcBorders>
              <w:bottom w:val="single" w:sz="4" w:space="0" w:color="FF0000"/>
            </w:tcBorders>
          </w:tcPr>
          <w:p w:rsidR="009A18F4" w:rsidRPr="00144B03" w:rsidRDefault="009A18F4" w:rsidP="00DE017A">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2</w:t>
            </w:r>
            <w:r w:rsidRPr="00144B03">
              <w:rPr>
                <w:rFonts w:ascii="楷体_GB2312" w:eastAsia="楷体_GB2312" w:hint="eastAsia"/>
                <w:b/>
                <w:color w:val="000000"/>
                <w:sz w:val="18"/>
                <w:szCs w:val="18"/>
              </w:rPr>
              <w:t>、最近12月沪深两市涨跌幅（%）</w:t>
            </w:r>
          </w:p>
        </w:tc>
      </w:tr>
      <w:tr w:rsidR="009A18F4" w:rsidRPr="00B22D95" w:rsidTr="00A5173E">
        <w:tc>
          <w:tcPr>
            <w:tcW w:w="4820" w:type="dxa"/>
            <w:tcBorders>
              <w:top w:val="single" w:sz="4" w:space="0" w:color="FF0000"/>
              <w:bottom w:val="single" w:sz="4" w:space="0" w:color="FF0000"/>
            </w:tcBorders>
          </w:tcPr>
          <w:p w:rsidR="009A18F4" w:rsidRPr="00B22D95" w:rsidRDefault="00032ECF" w:rsidP="00DE017A">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924175" cy="1905000"/>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924175" cy="1905000"/>
                          </a:xfrm>
                          <a:prstGeom prst="rect">
                            <a:avLst/>
                          </a:prstGeom>
                          <a:noFill/>
                          <a:ln w="9525">
                            <a:noFill/>
                            <a:miter lim="800000"/>
                            <a:headEnd/>
                            <a:tailEnd/>
                          </a:ln>
                        </pic:spPr>
                      </pic:pic>
                    </a:graphicData>
                  </a:graphic>
                </wp:inline>
              </w:drawing>
            </w:r>
          </w:p>
        </w:tc>
        <w:tc>
          <w:tcPr>
            <w:tcW w:w="4961" w:type="dxa"/>
            <w:gridSpan w:val="2"/>
            <w:tcBorders>
              <w:top w:val="single" w:sz="4" w:space="0" w:color="FF0000"/>
              <w:bottom w:val="single" w:sz="4" w:space="0" w:color="FF0000"/>
            </w:tcBorders>
          </w:tcPr>
          <w:p w:rsidR="009A18F4" w:rsidRPr="00B22D95" w:rsidRDefault="00A5173E" w:rsidP="00DE017A">
            <w:pPr>
              <w:spacing w:line="360" w:lineRule="auto"/>
              <w:ind w:left="1" w:firstLineChars="18" w:firstLine="32"/>
              <w:jc w:val="lef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009900" cy="18764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009900" cy="1876425"/>
                          </a:xfrm>
                          <a:prstGeom prst="rect">
                            <a:avLst/>
                          </a:prstGeom>
                          <a:noFill/>
                          <a:ln w="9525">
                            <a:noFill/>
                            <a:miter lim="800000"/>
                            <a:headEnd/>
                            <a:tailEnd/>
                          </a:ln>
                        </pic:spPr>
                      </pic:pic>
                    </a:graphicData>
                  </a:graphic>
                </wp:inline>
              </w:drawing>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来源：wind，上海证券基金评价研究中心</w:t>
      </w:r>
    </w:p>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注：数据截至2015年</w:t>
      </w:r>
      <w:r w:rsidR="00032ECF">
        <w:rPr>
          <w:rFonts w:ascii="楷体_GB2312" w:eastAsia="楷体_GB2312" w:hint="eastAsia"/>
          <w:noProof/>
          <w:color w:val="000000"/>
          <w:sz w:val="18"/>
          <w:szCs w:val="18"/>
        </w:rPr>
        <w:t>7</w:t>
      </w:r>
      <w:r w:rsidRPr="00690811">
        <w:rPr>
          <w:rFonts w:ascii="楷体_GB2312" w:eastAsia="楷体_GB2312" w:hint="eastAsia"/>
          <w:noProof/>
          <w:color w:val="000000"/>
          <w:sz w:val="18"/>
          <w:szCs w:val="18"/>
        </w:rPr>
        <w:t>月</w:t>
      </w:r>
      <w:r w:rsidR="00032ECF">
        <w:rPr>
          <w:rFonts w:ascii="楷体_GB2312" w:eastAsia="楷体_GB2312" w:hint="eastAsia"/>
          <w:noProof/>
          <w:color w:val="000000"/>
          <w:sz w:val="18"/>
          <w:szCs w:val="18"/>
        </w:rPr>
        <w:t>29</w:t>
      </w:r>
      <w:r w:rsidRPr="00690811">
        <w:rPr>
          <w:rFonts w:ascii="楷体_GB2312" w:eastAsia="楷体_GB2312" w:hint="eastAsia"/>
          <w:noProof/>
          <w:color w:val="000000"/>
          <w:sz w:val="18"/>
          <w:szCs w:val="18"/>
        </w:rPr>
        <w:t>日，以下同</w:t>
      </w:r>
    </w:p>
    <w:p w:rsidR="009A18F4" w:rsidRPr="00ED64C7" w:rsidRDefault="009A18F4" w:rsidP="0075204E">
      <w:pPr>
        <w:spacing w:beforeLines="50"/>
        <w:ind w:leftChars="1350" w:left="2835" w:firstLineChars="202" w:firstLine="424"/>
        <w:rPr>
          <w:rFonts w:ascii="楷体_GB2312" w:eastAsia="楷体_GB2312" w:hAnsi="宋体" w:cs="宋体"/>
          <w:kern w:val="0"/>
          <w:szCs w:val="21"/>
        </w:rPr>
      </w:pPr>
      <w:r w:rsidRPr="00A429C3">
        <w:rPr>
          <w:rFonts w:ascii="楷体_GB2312" w:eastAsia="楷体_GB2312" w:hAnsi="宋体" w:cs="宋体" w:hint="eastAsia"/>
          <w:kern w:val="0"/>
          <w:szCs w:val="21"/>
        </w:rPr>
        <w:t>市场</w:t>
      </w:r>
      <w:r>
        <w:rPr>
          <w:rFonts w:ascii="楷体_GB2312" w:eastAsia="楷体_GB2312" w:hAnsi="宋体" w:cs="宋体" w:hint="eastAsia"/>
          <w:kern w:val="0"/>
          <w:szCs w:val="21"/>
        </w:rPr>
        <w:t>整体</w:t>
      </w:r>
      <w:r w:rsidR="00032ECF">
        <w:rPr>
          <w:rFonts w:ascii="楷体_GB2312" w:eastAsia="楷体_GB2312" w:hAnsi="宋体" w:cs="宋体" w:hint="eastAsia"/>
          <w:kern w:val="0"/>
          <w:szCs w:val="21"/>
        </w:rPr>
        <w:t>延续</w:t>
      </w:r>
      <w:r>
        <w:rPr>
          <w:rFonts w:ascii="楷体_GB2312" w:eastAsia="楷体_GB2312" w:hAnsi="宋体" w:cs="宋体" w:hint="eastAsia"/>
          <w:kern w:val="0"/>
          <w:szCs w:val="21"/>
        </w:rPr>
        <w:t>普跌，高市盈率指数大</w:t>
      </w:r>
      <w:r w:rsidR="00013019">
        <w:rPr>
          <w:rFonts w:ascii="楷体_GB2312" w:eastAsia="楷体_GB2312" w:hAnsi="宋体" w:cs="宋体" w:hint="eastAsia"/>
          <w:kern w:val="0"/>
          <w:szCs w:val="21"/>
        </w:rPr>
        <w:t>跌</w:t>
      </w:r>
      <w:r w:rsidR="006D10E5">
        <w:rPr>
          <w:rFonts w:ascii="楷体_GB2312" w:eastAsia="楷体_GB2312" w:hAnsi="宋体" w:cs="宋体" w:hint="eastAsia"/>
          <w:kern w:val="0"/>
          <w:szCs w:val="21"/>
        </w:rPr>
        <w:t>14.31</w:t>
      </w:r>
      <w:r>
        <w:rPr>
          <w:rFonts w:ascii="楷体_GB2312" w:eastAsia="楷体_GB2312" w:hAnsi="宋体" w:cs="宋体" w:hint="eastAsia"/>
          <w:kern w:val="0"/>
          <w:szCs w:val="21"/>
        </w:rPr>
        <w:t>%，</w:t>
      </w:r>
      <w:r w:rsidR="006D10E5">
        <w:rPr>
          <w:rFonts w:ascii="楷体_GB2312" w:eastAsia="楷体_GB2312" w:hAnsi="宋体" w:cs="宋体" w:hint="eastAsia"/>
          <w:kern w:val="0"/>
          <w:szCs w:val="21"/>
        </w:rPr>
        <w:t>小</w:t>
      </w:r>
      <w:r>
        <w:rPr>
          <w:rFonts w:ascii="楷体_GB2312" w:eastAsia="楷体_GB2312" w:hAnsi="宋体" w:cs="宋体" w:hint="eastAsia"/>
          <w:kern w:val="0"/>
          <w:szCs w:val="21"/>
        </w:rPr>
        <w:t>盘指数大</w:t>
      </w:r>
      <w:r w:rsidR="00013019">
        <w:rPr>
          <w:rFonts w:ascii="楷体_GB2312" w:eastAsia="楷体_GB2312" w:hAnsi="宋体" w:cs="宋体" w:hint="eastAsia"/>
          <w:kern w:val="0"/>
          <w:szCs w:val="21"/>
        </w:rPr>
        <w:t>跌</w:t>
      </w:r>
      <w:r w:rsidR="006D10E5">
        <w:rPr>
          <w:rFonts w:ascii="楷体_GB2312" w:eastAsia="楷体_GB2312" w:hAnsi="宋体" w:cs="宋体" w:hint="eastAsia"/>
          <w:kern w:val="0"/>
          <w:szCs w:val="21"/>
        </w:rPr>
        <w:t>12</w:t>
      </w:r>
      <w:r>
        <w:rPr>
          <w:rFonts w:ascii="楷体_GB2312" w:eastAsia="楷体_GB2312" w:hAnsi="宋体" w:cs="宋体" w:hint="eastAsia"/>
          <w:kern w:val="0"/>
          <w:szCs w:val="21"/>
        </w:rPr>
        <w:t>.</w:t>
      </w:r>
      <w:r w:rsidR="006D10E5">
        <w:rPr>
          <w:rFonts w:ascii="楷体_GB2312" w:eastAsia="楷体_GB2312" w:hAnsi="宋体" w:cs="宋体" w:hint="eastAsia"/>
          <w:kern w:val="0"/>
          <w:szCs w:val="21"/>
        </w:rPr>
        <w:t>57</w:t>
      </w:r>
      <w:r w:rsidR="00013019">
        <w:rPr>
          <w:rFonts w:ascii="楷体_GB2312" w:eastAsia="楷体_GB2312" w:hAnsi="宋体" w:cs="宋体" w:hint="eastAsia"/>
          <w:kern w:val="0"/>
          <w:szCs w:val="21"/>
        </w:rPr>
        <w:t>%</w:t>
      </w:r>
      <w:r>
        <w:rPr>
          <w:rFonts w:ascii="楷体_GB2312" w:eastAsia="楷体_GB2312" w:hAnsi="宋体" w:cs="宋体" w:hint="eastAsia"/>
          <w:kern w:val="0"/>
          <w:szCs w:val="21"/>
        </w:rPr>
        <w:t>，分别领跌与估值风格指数和规模风格指数。分行业来看，截至2</w:t>
      </w:r>
      <w:r w:rsidR="006D10E5">
        <w:rPr>
          <w:rFonts w:ascii="楷体_GB2312" w:eastAsia="楷体_GB2312" w:hAnsi="宋体" w:cs="宋体" w:hint="eastAsia"/>
          <w:kern w:val="0"/>
          <w:szCs w:val="21"/>
        </w:rPr>
        <w:t>9</w:t>
      </w:r>
      <w:r>
        <w:rPr>
          <w:rFonts w:ascii="楷体_GB2312" w:eastAsia="楷体_GB2312" w:hAnsi="宋体" w:cs="宋体" w:hint="eastAsia"/>
          <w:kern w:val="0"/>
          <w:szCs w:val="21"/>
        </w:rPr>
        <w:t>日</w:t>
      </w:r>
      <w:r w:rsidR="00083B36">
        <w:rPr>
          <w:rFonts w:ascii="楷体_GB2312" w:eastAsia="楷体_GB2312" w:hAnsi="宋体" w:cs="宋体" w:hint="eastAsia"/>
          <w:kern w:val="0"/>
          <w:szCs w:val="21"/>
        </w:rPr>
        <w:t>除了</w:t>
      </w:r>
      <w:r w:rsidR="006D10E5" w:rsidRPr="006D10E5">
        <w:rPr>
          <w:rFonts w:ascii="楷体_GB2312" w:eastAsia="楷体_GB2312" w:hAnsi="宋体" w:cs="宋体" w:hint="eastAsia"/>
          <w:kern w:val="0"/>
          <w:szCs w:val="21"/>
        </w:rPr>
        <w:t>农林牧渔</w:t>
      </w:r>
      <w:r w:rsidR="006D10E5">
        <w:rPr>
          <w:rFonts w:ascii="楷体_GB2312" w:eastAsia="楷体_GB2312" w:hAnsi="宋体" w:cs="宋体" w:hint="eastAsia"/>
          <w:kern w:val="0"/>
          <w:szCs w:val="21"/>
        </w:rPr>
        <w:t>、</w:t>
      </w:r>
      <w:r w:rsidR="006D10E5" w:rsidRPr="006D10E5">
        <w:rPr>
          <w:rFonts w:ascii="楷体_GB2312" w:eastAsia="楷体_GB2312" w:hAnsi="宋体" w:cs="宋体" w:hint="eastAsia"/>
          <w:kern w:val="0"/>
          <w:szCs w:val="21"/>
        </w:rPr>
        <w:t>国防军工</w:t>
      </w:r>
      <w:r w:rsidR="006D10E5">
        <w:rPr>
          <w:rFonts w:ascii="楷体_GB2312" w:eastAsia="楷体_GB2312" w:hAnsi="宋体" w:cs="宋体" w:hint="eastAsia"/>
          <w:kern w:val="0"/>
          <w:szCs w:val="21"/>
        </w:rPr>
        <w:t>、</w:t>
      </w:r>
      <w:r w:rsidR="006D10E5" w:rsidRPr="006D10E5">
        <w:rPr>
          <w:rFonts w:ascii="楷体_GB2312" w:eastAsia="楷体_GB2312" w:hAnsi="宋体" w:cs="宋体" w:hint="eastAsia"/>
          <w:kern w:val="0"/>
          <w:szCs w:val="21"/>
        </w:rPr>
        <w:t>休闲服务</w:t>
      </w:r>
      <w:r w:rsidR="006D10E5">
        <w:rPr>
          <w:rFonts w:ascii="楷体_GB2312" w:eastAsia="楷体_GB2312" w:hAnsi="宋体" w:cs="宋体" w:hint="eastAsia"/>
          <w:kern w:val="0"/>
          <w:szCs w:val="21"/>
        </w:rPr>
        <w:t>、</w:t>
      </w:r>
      <w:r w:rsidR="006D10E5" w:rsidRPr="006D10E5">
        <w:rPr>
          <w:rFonts w:ascii="楷体_GB2312" w:eastAsia="楷体_GB2312" w:hAnsi="宋体" w:cs="宋体" w:hint="eastAsia"/>
          <w:kern w:val="0"/>
          <w:szCs w:val="21"/>
        </w:rPr>
        <w:t>通信</w:t>
      </w:r>
      <w:r w:rsidR="006D10E5">
        <w:rPr>
          <w:rFonts w:ascii="楷体_GB2312" w:eastAsia="楷体_GB2312" w:hAnsi="宋体" w:cs="宋体" w:hint="eastAsia"/>
          <w:kern w:val="0"/>
          <w:szCs w:val="21"/>
        </w:rPr>
        <w:t>、</w:t>
      </w:r>
      <w:r w:rsidR="006D10E5" w:rsidRPr="006D10E5">
        <w:rPr>
          <w:rFonts w:ascii="楷体_GB2312" w:eastAsia="楷体_GB2312" w:hAnsi="宋体" w:cs="宋体" w:hint="eastAsia"/>
          <w:kern w:val="0"/>
          <w:szCs w:val="21"/>
        </w:rPr>
        <w:t>医药生物</w:t>
      </w:r>
      <w:r w:rsidR="006D10E5">
        <w:rPr>
          <w:rFonts w:ascii="楷体_GB2312" w:eastAsia="楷体_GB2312" w:hAnsi="宋体" w:cs="宋体" w:hint="eastAsia"/>
          <w:kern w:val="0"/>
          <w:szCs w:val="21"/>
        </w:rPr>
        <w:t>、</w:t>
      </w:r>
      <w:r w:rsidR="006D10E5" w:rsidRPr="006D10E5">
        <w:rPr>
          <w:rFonts w:ascii="楷体_GB2312" w:eastAsia="楷体_GB2312" w:hAnsi="宋体" w:cs="宋体" w:hint="eastAsia"/>
          <w:kern w:val="0"/>
          <w:szCs w:val="21"/>
        </w:rPr>
        <w:t>传媒</w:t>
      </w:r>
      <w:r w:rsidR="006D10E5">
        <w:rPr>
          <w:rFonts w:ascii="楷体_GB2312" w:eastAsia="楷体_GB2312" w:hAnsi="宋体" w:cs="宋体" w:hint="eastAsia"/>
          <w:kern w:val="0"/>
          <w:szCs w:val="21"/>
        </w:rPr>
        <w:t>等</w:t>
      </w:r>
      <w:r w:rsidR="00945A99">
        <w:rPr>
          <w:rFonts w:ascii="楷体_GB2312" w:eastAsia="楷体_GB2312" w:hAnsi="宋体" w:cs="宋体" w:hint="eastAsia"/>
          <w:kern w:val="0"/>
          <w:szCs w:val="21"/>
        </w:rPr>
        <w:t>6个</w:t>
      </w:r>
      <w:r w:rsidR="006D10E5">
        <w:rPr>
          <w:rFonts w:ascii="楷体_GB2312" w:eastAsia="楷体_GB2312" w:hAnsi="宋体" w:cs="宋体" w:hint="eastAsia"/>
          <w:kern w:val="0"/>
          <w:szCs w:val="21"/>
        </w:rPr>
        <w:t>行业</w:t>
      </w:r>
      <w:r w:rsidR="00083B36">
        <w:rPr>
          <w:rFonts w:ascii="楷体_GB2312" w:eastAsia="楷体_GB2312" w:hAnsi="宋体" w:cs="宋体" w:hint="eastAsia"/>
          <w:kern w:val="0"/>
          <w:szCs w:val="21"/>
        </w:rPr>
        <w:t>外，其他行业跌幅均超过10%。强周期行业调整尤为惨重，</w:t>
      </w:r>
      <w:r w:rsidR="00083B36" w:rsidRPr="00083B36">
        <w:rPr>
          <w:rFonts w:ascii="楷体_GB2312" w:eastAsia="楷体_GB2312" w:hAnsi="宋体" w:cs="宋体" w:hint="eastAsia"/>
          <w:kern w:val="0"/>
          <w:szCs w:val="21"/>
        </w:rPr>
        <w:t>采掘</w:t>
      </w:r>
      <w:r w:rsidR="00083B36">
        <w:rPr>
          <w:rFonts w:ascii="楷体_GB2312" w:eastAsia="楷体_GB2312" w:hAnsi="宋体" w:cs="宋体" w:hint="eastAsia"/>
          <w:kern w:val="0"/>
          <w:szCs w:val="21"/>
        </w:rPr>
        <w:t>、</w:t>
      </w:r>
      <w:r w:rsidR="00083B36" w:rsidRPr="00083B36">
        <w:rPr>
          <w:rFonts w:ascii="楷体_GB2312" w:eastAsia="楷体_GB2312" w:hAnsi="宋体" w:cs="宋体" w:hint="eastAsia"/>
          <w:kern w:val="0"/>
          <w:szCs w:val="21"/>
        </w:rPr>
        <w:t>有色金属</w:t>
      </w:r>
      <w:r w:rsidR="00083B36">
        <w:rPr>
          <w:rFonts w:ascii="楷体_GB2312" w:eastAsia="楷体_GB2312" w:hAnsi="宋体" w:cs="宋体" w:hint="eastAsia"/>
          <w:kern w:val="0"/>
          <w:szCs w:val="21"/>
        </w:rPr>
        <w:t>、</w:t>
      </w:r>
      <w:r w:rsidR="00083B36" w:rsidRPr="00083B36">
        <w:rPr>
          <w:rFonts w:ascii="楷体_GB2312" w:eastAsia="楷体_GB2312" w:hAnsi="宋体" w:cs="宋体" w:hint="eastAsia"/>
          <w:kern w:val="0"/>
          <w:szCs w:val="21"/>
        </w:rPr>
        <w:t>综合</w:t>
      </w:r>
      <w:r w:rsidR="00083B36">
        <w:rPr>
          <w:rFonts w:ascii="楷体_GB2312" w:eastAsia="楷体_GB2312" w:hAnsi="宋体" w:cs="宋体" w:hint="eastAsia"/>
          <w:kern w:val="0"/>
          <w:szCs w:val="21"/>
        </w:rPr>
        <w:t>、</w:t>
      </w:r>
      <w:r w:rsidR="00083B36" w:rsidRPr="00083B36">
        <w:rPr>
          <w:rFonts w:ascii="楷体_GB2312" w:eastAsia="楷体_GB2312" w:hAnsi="宋体" w:cs="宋体" w:hint="eastAsia"/>
          <w:kern w:val="0"/>
          <w:szCs w:val="21"/>
        </w:rPr>
        <w:t>非银金融</w:t>
      </w:r>
      <w:r w:rsidR="00083B36">
        <w:rPr>
          <w:rFonts w:ascii="楷体_GB2312" w:eastAsia="楷体_GB2312" w:hAnsi="宋体" w:cs="宋体" w:hint="eastAsia"/>
          <w:kern w:val="0"/>
          <w:szCs w:val="21"/>
        </w:rPr>
        <w:t>等行业分别大跌</w:t>
      </w:r>
      <w:r w:rsidR="00083B36" w:rsidRPr="00083B36">
        <w:rPr>
          <w:rFonts w:ascii="楷体_GB2312" w:eastAsia="楷体_GB2312" w:hAnsi="宋体" w:cs="宋体"/>
          <w:kern w:val="0"/>
          <w:szCs w:val="21"/>
        </w:rPr>
        <w:t>19.42</w:t>
      </w:r>
      <w:r w:rsidR="00083B36">
        <w:rPr>
          <w:rFonts w:ascii="楷体_GB2312" w:eastAsia="楷体_GB2312" w:hAnsi="宋体" w:cs="宋体" w:hint="eastAsia"/>
          <w:kern w:val="0"/>
          <w:szCs w:val="21"/>
        </w:rPr>
        <w:t>%、</w:t>
      </w:r>
      <w:r w:rsidR="00083B36" w:rsidRPr="00083B36">
        <w:rPr>
          <w:rFonts w:ascii="楷体_GB2312" w:eastAsia="楷体_GB2312" w:hAnsi="宋体" w:cs="宋体"/>
          <w:kern w:val="0"/>
          <w:szCs w:val="21"/>
        </w:rPr>
        <w:t xml:space="preserve">18.29 </w:t>
      </w:r>
      <w:r w:rsidR="00083B36">
        <w:rPr>
          <w:rFonts w:ascii="楷体_GB2312" w:eastAsia="楷体_GB2312" w:hAnsi="宋体" w:cs="宋体" w:hint="eastAsia"/>
          <w:kern w:val="0"/>
          <w:szCs w:val="21"/>
        </w:rPr>
        <w:t>%、</w:t>
      </w:r>
      <w:r w:rsidR="00083B36" w:rsidRPr="00083B36">
        <w:rPr>
          <w:rFonts w:ascii="楷体_GB2312" w:eastAsia="楷体_GB2312" w:hAnsi="宋体" w:cs="宋体"/>
          <w:kern w:val="0"/>
          <w:szCs w:val="21"/>
        </w:rPr>
        <w:t>16.67</w:t>
      </w:r>
      <w:r w:rsidR="00083B36">
        <w:rPr>
          <w:rFonts w:ascii="楷体_GB2312" w:eastAsia="楷体_GB2312" w:hAnsi="宋体" w:cs="宋体" w:hint="eastAsia"/>
          <w:kern w:val="0"/>
          <w:szCs w:val="21"/>
        </w:rPr>
        <w:t>%、</w:t>
      </w:r>
      <w:r w:rsidR="00083B36" w:rsidRPr="00083B36">
        <w:rPr>
          <w:rFonts w:ascii="楷体_GB2312" w:eastAsia="楷体_GB2312" w:hAnsi="宋体" w:cs="宋体"/>
          <w:kern w:val="0"/>
          <w:szCs w:val="21"/>
        </w:rPr>
        <w:t>16.57</w:t>
      </w:r>
      <w:r w:rsidR="00083B36">
        <w:rPr>
          <w:rFonts w:ascii="楷体_GB2312" w:eastAsia="楷体_GB2312" w:hAnsi="宋体" w:cs="宋体" w:hint="eastAsia"/>
          <w:kern w:val="0"/>
          <w:szCs w:val="21"/>
        </w:rPr>
        <w:t>%</w:t>
      </w:r>
      <w:r>
        <w:rPr>
          <w:rFonts w:ascii="楷体_GB2312" w:eastAsia="楷体_GB2312" w:hAnsi="宋体" w:cs="宋体" w:hint="eastAsia"/>
          <w:kern w:val="0"/>
          <w:szCs w:val="21"/>
        </w:rPr>
        <w:t>。</w:t>
      </w:r>
    </w:p>
    <w:tbl>
      <w:tblPr>
        <w:tblW w:w="9356" w:type="dxa"/>
        <w:tblInd w:w="-34" w:type="dxa"/>
        <w:tblLayout w:type="fixed"/>
        <w:tblLook w:val="04A0"/>
      </w:tblPr>
      <w:tblGrid>
        <w:gridCol w:w="4678"/>
        <w:gridCol w:w="142"/>
        <w:gridCol w:w="4536"/>
      </w:tblGrid>
      <w:tr w:rsidR="009A18F4" w:rsidRPr="00A429C3" w:rsidTr="00DE017A">
        <w:tc>
          <w:tcPr>
            <w:tcW w:w="4820" w:type="dxa"/>
            <w:gridSpan w:val="2"/>
            <w:tcBorders>
              <w:bottom w:val="single" w:sz="4" w:space="0" w:color="FF0000"/>
            </w:tcBorders>
          </w:tcPr>
          <w:p w:rsidR="009A18F4" w:rsidRPr="00A429C3" w:rsidRDefault="009A18F4" w:rsidP="00DE017A">
            <w:pPr>
              <w:spacing w:line="360" w:lineRule="auto"/>
              <w:ind w:left="33" w:hangingChars="18" w:hanging="33"/>
              <w:jc w:val="left"/>
              <w:rPr>
                <w:rFonts w:ascii="楷体_GB2312" w:eastAsia="楷体_GB2312"/>
                <w:b/>
                <w:color w:val="000000"/>
                <w:sz w:val="18"/>
                <w:szCs w:val="18"/>
              </w:rPr>
            </w:pPr>
            <w:r w:rsidRPr="00A429C3">
              <w:rPr>
                <w:rFonts w:ascii="楷体_GB2312" w:eastAsia="楷体_GB2312" w:hint="eastAsia"/>
                <w:b/>
                <w:color w:val="000000"/>
                <w:sz w:val="18"/>
                <w:szCs w:val="18"/>
              </w:rPr>
              <w:t>图3、本月申万市场风格指数涨跌幅（%）</w:t>
            </w:r>
          </w:p>
        </w:tc>
        <w:tc>
          <w:tcPr>
            <w:tcW w:w="4536" w:type="dxa"/>
            <w:tcBorders>
              <w:bottom w:val="single" w:sz="4" w:space="0" w:color="FF0000"/>
            </w:tcBorders>
          </w:tcPr>
          <w:p w:rsidR="009A18F4" w:rsidRPr="00A429C3" w:rsidRDefault="009A18F4" w:rsidP="00DE017A">
            <w:pPr>
              <w:spacing w:line="360" w:lineRule="auto"/>
              <w:ind w:left="4017" w:hangingChars="2223" w:hanging="4017"/>
              <w:jc w:val="left"/>
              <w:rPr>
                <w:rFonts w:ascii="楷体_GB2312" w:eastAsia="楷体_GB2312"/>
                <w:b/>
                <w:color w:val="000000"/>
                <w:sz w:val="18"/>
                <w:szCs w:val="18"/>
              </w:rPr>
            </w:pPr>
            <w:r w:rsidRPr="00A429C3">
              <w:rPr>
                <w:rFonts w:ascii="楷体_GB2312" w:eastAsia="楷体_GB2312" w:hint="eastAsia"/>
                <w:b/>
                <w:color w:val="000000"/>
                <w:sz w:val="18"/>
                <w:szCs w:val="18"/>
              </w:rPr>
              <w:t>图4、本月申万行业指数涨跌幅（%）</w:t>
            </w:r>
          </w:p>
        </w:tc>
      </w:tr>
      <w:tr w:rsidR="009A18F4" w:rsidRPr="00A429C3" w:rsidTr="00032ECF">
        <w:tc>
          <w:tcPr>
            <w:tcW w:w="4678" w:type="dxa"/>
            <w:tcBorders>
              <w:top w:val="single" w:sz="4" w:space="0" w:color="FF0000"/>
              <w:bottom w:val="single" w:sz="4" w:space="0" w:color="FF0000"/>
            </w:tcBorders>
          </w:tcPr>
          <w:p w:rsidR="009A18F4" w:rsidRPr="00A429C3" w:rsidRDefault="00032ECF" w:rsidP="00DE017A">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8925" cy="1600200"/>
                  <wp:effectExtent l="19050" t="0" r="9525"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2828925" cy="160020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9A18F4" w:rsidRPr="00A429C3" w:rsidRDefault="00032ECF" w:rsidP="00DE017A">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8925" cy="1762125"/>
                  <wp:effectExtent l="19050" t="0" r="9525"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828925" cy="1762125"/>
                          </a:xfrm>
                          <a:prstGeom prst="rect">
                            <a:avLst/>
                          </a:prstGeom>
                          <a:noFill/>
                          <a:ln w="9525">
                            <a:noFill/>
                            <a:miter lim="800000"/>
                            <a:headEnd/>
                            <a:tailEnd/>
                          </a:ln>
                        </pic:spPr>
                      </pic:pic>
                    </a:graphicData>
                  </a:graphic>
                </wp:inline>
              </w:drawing>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来源：wind，上海证券基金评价研究中心</w:t>
      </w:r>
    </w:p>
    <w:p w:rsidR="00513479" w:rsidRPr="000F2EAA" w:rsidRDefault="00A85EF3" w:rsidP="0075204E">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避险情绪推动债券市场走好</w:t>
      </w:r>
      <w:r w:rsidR="009A18F4">
        <w:rPr>
          <w:rFonts w:ascii="楷体_GB2312" w:eastAsia="楷体_GB2312" w:hAnsi="宋体" w:cs="宋体" w:hint="eastAsia"/>
          <w:kern w:val="0"/>
          <w:szCs w:val="21"/>
        </w:rPr>
        <w:t>，债市收益率曲线平坦化下行，信用利差</w:t>
      </w:r>
      <w:r w:rsidR="00513479">
        <w:rPr>
          <w:rFonts w:ascii="楷体_GB2312" w:eastAsia="楷体_GB2312" w:hAnsi="宋体" w:cs="宋体" w:hint="eastAsia"/>
          <w:kern w:val="0"/>
          <w:szCs w:val="21"/>
        </w:rPr>
        <w:t>大幅</w:t>
      </w:r>
      <w:r w:rsidR="009A18F4">
        <w:rPr>
          <w:rFonts w:ascii="楷体_GB2312" w:eastAsia="楷体_GB2312" w:hAnsi="宋体" w:cs="宋体" w:hint="eastAsia"/>
          <w:kern w:val="0"/>
          <w:szCs w:val="21"/>
        </w:rPr>
        <w:t>收窄。从价格指数表现来看，中证全债单月上涨</w:t>
      </w:r>
      <w:r w:rsidR="00513479" w:rsidRPr="00513479">
        <w:rPr>
          <w:rFonts w:ascii="楷体_GB2312" w:eastAsia="楷体_GB2312" w:hAnsi="宋体" w:cs="宋体"/>
          <w:kern w:val="0"/>
          <w:szCs w:val="21"/>
        </w:rPr>
        <w:t>1.10</w:t>
      </w:r>
      <w:r w:rsidR="009A18F4">
        <w:rPr>
          <w:rFonts w:ascii="楷体_GB2312" w:eastAsia="楷体_GB2312" w:hAnsi="宋体" w:cs="宋体" w:hint="eastAsia"/>
          <w:kern w:val="0"/>
          <w:szCs w:val="21"/>
        </w:rPr>
        <w:t>%，</w:t>
      </w:r>
      <w:r w:rsidR="00513479" w:rsidRPr="00513479">
        <w:rPr>
          <w:rFonts w:ascii="楷体_GB2312" w:eastAsia="楷体_GB2312" w:hAnsi="宋体" w:cs="宋体" w:hint="eastAsia"/>
          <w:kern w:val="0"/>
          <w:szCs w:val="21"/>
        </w:rPr>
        <w:t>中证国债</w:t>
      </w:r>
      <w:r w:rsidR="00513479">
        <w:rPr>
          <w:rFonts w:ascii="楷体_GB2312" w:eastAsia="楷体_GB2312" w:hAnsi="宋体" w:cs="宋体" w:hint="eastAsia"/>
          <w:kern w:val="0"/>
          <w:szCs w:val="21"/>
        </w:rPr>
        <w:t>受益长期券种的强劲表现而大涨</w:t>
      </w:r>
      <w:r w:rsidR="00513479" w:rsidRPr="00513479">
        <w:rPr>
          <w:rFonts w:ascii="楷体_GB2312" w:eastAsia="楷体_GB2312" w:hAnsi="宋体" w:cs="宋体"/>
          <w:kern w:val="0"/>
          <w:szCs w:val="21"/>
        </w:rPr>
        <w:t>1.11</w:t>
      </w:r>
      <w:r w:rsidR="00513479">
        <w:rPr>
          <w:rFonts w:ascii="楷体_GB2312" w:eastAsia="楷体_GB2312" w:hAnsi="宋体" w:cs="宋体" w:hint="eastAsia"/>
          <w:kern w:val="0"/>
          <w:szCs w:val="21"/>
        </w:rPr>
        <w:t>%，</w:t>
      </w:r>
      <w:r w:rsidR="000F2EAA">
        <w:rPr>
          <w:rFonts w:ascii="楷体_GB2312" w:eastAsia="楷体_GB2312" w:hAnsi="宋体" w:cs="宋体" w:hint="eastAsia"/>
          <w:kern w:val="0"/>
          <w:szCs w:val="21"/>
        </w:rPr>
        <w:t>中证企业债、中证公司债分</w:t>
      </w:r>
      <w:r w:rsidR="000F2EAA">
        <w:rPr>
          <w:rFonts w:ascii="楷体_GB2312" w:eastAsia="楷体_GB2312" w:hAnsi="宋体" w:cs="宋体" w:hint="eastAsia"/>
          <w:kern w:val="0"/>
          <w:szCs w:val="21"/>
        </w:rPr>
        <w:lastRenderedPageBreak/>
        <w:t>别上涨</w:t>
      </w:r>
      <w:r w:rsidR="000F2EAA" w:rsidRPr="000F2EAA">
        <w:rPr>
          <w:rFonts w:ascii="楷体_GB2312" w:eastAsia="楷体_GB2312" w:hAnsi="宋体" w:cs="宋体"/>
          <w:kern w:val="0"/>
          <w:szCs w:val="21"/>
        </w:rPr>
        <w:t>1.32</w:t>
      </w:r>
      <w:r w:rsidR="000F2EAA">
        <w:rPr>
          <w:rFonts w:ascii="楷体_GB2312" w:eastAsia="楷体_GB2312" w:hAnsi="宋体" w:cs="宋体" w:hint="eastAsia"/>
          <w:kern w:val="0"/>
          <w:szCs w:val="21"/>
        </w:rPr>
        <w:t>%、</w:t>
      </w:r>
      <w:r w:rsidR="000F2EAA" w:rsidRPr="000F2EAA">
        <w:rPr>
          <w:rFonts w:ascii="楷体_GB2312" w:eastAsia="楷体_GB2312" w:hAnsi="宋体" w:cs="宋体"/>
          <w:kern w:val="0"/>
          <w:szCs w:val="21"/>
        </w:rPr>
        <w:t>0.89</w:t>
      </w:r>
      <w:r w:rsidR="000F2EAA">
        <w:rPr>
          <w:rFonts w:ascii="楷体_GB2312" w:eastAsia="楷体_GB2312" w:hAnsi="宋体" w:cs="宋体" w:hint="eastAsia"/>
          <w:kern w:val="0"/>
          <w:szCs w:val="21"/>
        </w:rPr>
        <w:t>%，中信可转债指数受正股调整继续大跌</w:t>
      </w:r>
      <w:r w:rsidR="000F2EAA" w:rsidRPr="000F2EAA">
        <w:rPr>
          <w:rFonts w:ascii="楷体_GB2312" w:eastAsia="楷体_GB2312" w:hAnsi="宋体" w:cs="宋体"/>
          <w:kern w:val="0"/>
          <w:szCs w:val="21"/>
        </w:rPr>
        <w:t>13.61</w:t>
      </w:r>
      <w:r w:rsidR="000F2EAA">
        <w:rPr>
          <w:rFonts w:ascii="楷体_GB2312" w:eastAsia="楷体_GB2312" w:hAnsi="宋体" w:cs="宋体" w:hint="eastAsia"/>
          <w:kern w:val="0"/>
          <w:szCs w:val="21"/>
        </w:rPr>
        <w:t>%，但跌幅明显</w:t>
      </w:r>
      <w:r w:rsidR="00FB039B">
        <w:rPr>
          <w:rFonts w:ascii="楷体_GB2312" w:eastAsia="楷体_GB2312" w:hAnsi="宋体" w:cs="宋体" w:hint="eastAsia"/>
          <w:kern w:val="0"/>
          <w:szCs w:val="21"/>
        </w:rPr>
        <w:t>收</w:t>
      </w:r>
      <w:r w:rsidR="000F2EAA">
        <w:rPr>
          <w:rFonts w:ascii="楷体_GB2312" w:eastAsia="楷体_GB2312" w:hAnsi="宋体" w:cs="宋体" w:hint="eastAsia"/>
          <w:kern w:val="0"/>
          <w:szCs w:val="21"/>
        </w:rPr>
        <w:t>窄。</w:t>
      </w:r>
    </w:p>
    <w:p w:rsidR="009A18F4" w:rsidRPr="00690CC4" w:rsidRDefault="009A18F4" w:rsidP="0075204E">
      <w:pPr>
        <w:spacing w:beforeLines="100" w:afterLines="50"/>
        <w:ind w:leftChars="1350" w:left="2835" w:firstLineChars="196" w:firstLine="472"/>
        <w:rPr>
          <w:rFonts w:ascii="黑体" w:eastAsia="黑体" w:hAnsi="宋体-18030" w:cs="宋体-18030"/>
          <w:b/>
          <w:bCs/>
          <w:color w:val="003366"/>
          <w:kern w:val="44"/>
          <w:sz w:val="24"/>
        </w:rPr>
      </w:pPr>
      <w:r w:rsidRPr="00690CC4">
        <w:rPr>
          <w:rFonts w:ascii="黑体" w:eastAsia="黑体" w:hAnsi="宋体-18030" w:cs="宋体-18030" w:hint="eastAsia"/>
          <w:b/>
          <w:bCs/>
          <w:color w:val="003366"/>
          <w:kern w:val="44"/>
          <w:sz w:val="24"/>
        </w:rPr>
        <w:t>（二）基金市场回顾：</w:t>
      </w:r>
      <w:r w:rsidR="00FB039B">
        <w:rPr>
          <w:rFonts w:ascii="黑体" w:eastAsia="黑体" w:hAnsi="宋体-18030" w:cs="宋体-18030" w:hint="eastAsia"/>
          <w:b/>
          <w:bCs/>
          <w:color w:val="003366"/>
          <w:kern w:val="44"/>
          <w:sz w:val="24"/>
        </w:rPr>
        <w:t>基金连续第二个月重挫，跌幅扩大</w:t>
      </w:r>
    </w:p>
    <w:p w:rsidR="009A18F4" w:rsidRDefault="009A18F4" w:rsidP="0075204E">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截至</w:t>
      </w:r>
      <w:r w:rsidRPr="00690CC4">
        <w:rPr>
          <w:rFonts w:ascii="楷体_GB2312" w:eastAsia="楷体_GB2312" w:hAnsi="宋体" w:cs="宋体" w:hint="eastAsia"/>
          <w:kern w:val="0"/>
          <w:szCs w:val="21"/>
        </w:rPr>
        <w:t>2015年</w:t>
      </w:r>
      <w:r w:rsidR="00F65AD2">
        <w:rPr>
          <w:rFonts w:ascii="楷体_GB2312" w:eastAsia="楷体_GB2312" w:hAnsi="宋体" w:cs="宋体" w:hint="eastAsia"/>
          <w:kern w:val="0"/>
          <w:szCs w:val="21"/>
        </w:rPr>
        <w:t>7</w:t>
      </w:r>
      <w:r w:rsidRPr="00690CC4">
        <w:rPr>
          <w:rFonts w:ascii="楷体_GB2312" w:eastAsia="楷体_GB2312" w:hAnsi="宋体" w:cs="宋体" w:hint="eastAsia"/>
          <w:kern w:val="0"/>
          <w:szCs w:val="21"/>
        </w:rPr>
        <w:t>月</w:t>
      </w:r>
      <w:r w:rsidR="00F65AD2">
        <w:rPr>
          <w:rFonts w:ascii="楷体_GB2312" w:eastAsia="楷体_GB2312" w:hAnsi="宋体" w:cs="宋体" w:hint="eastAsia"/>
          <w:kern w:val="0"/>
          <w:szCs w:val="21"/>
        </w:rPr>
        <w:t>29</w:t>
      </w:r>
      <w:r>
        <w:rPr>
          <w:rFonts w:ascii="楷体_GB2312" w:eastAsia="楷体_GB2312" w:hAnsi="宋体" w:cs="宋体" w:hint="eastAsia"/>
          <w:kern w:val="0"/>
          <w:szCs w:val="21"/>
        </w:rPr>
        <w:t>日</w:t>
      </w:r>
      <w:r w:rsidR="00BF7C1A">
        <w:rPr>
          <w:rFonts w:ascii="楷体_GB2312" w:eastAsia="楷体_GB2312" w:hAnsi="宋体" w:cs="宋体" w:hint="eastAsia"/>
          <w:kern w:val="0"/>
          <w:szCs w:val="21"/>
        </w:rPr>
        <w:t>，</w:t>
      </w:r>
      <w:r w:rsidRPr="00690CC4">
        <w:rPr>
          <w:rFonts w:ascii="楷体_GB2312" w:eastAsia="楷体_GB2312" w:hAnsi="宋体" w:cs="宋体" w:hint="eastAsia"/>
          <w:kern w:val="0"/>
          <w:szCs w:val="21"/>
        </w:rPr>
        <w:t>各类型基金</w:t>
      </w:r>
      <w:r>
        <w:rPr>
          <w:rFonts w:ascii="楷体_GB2312" w:eastAsia="楷体_GB2312" w:hAnsi="宋体" w:cs="宋体" w:hint="eastAsia"/>
          <w:kern w:val="0"/>
          <w:szCs w:val="21"/>
        </w:rPr>
        <w:t>除了货币市场基金外</w:t>
      </w:r>
      <w:r w:rsidRPr="00690CC4">
        <w:rPr>
          <w:rFonts w:ascii="楷体_GB2312" w:eastAsia="楷体_GB2312" w:hAnsi="宋体" w:cs="宋体" w:hint="eastAsia"/>
          <w:kern w:val="0"/>
          <w:szCs w:val="21"/>
        </w:rPr>
        <w:t>整体业绩</w:t>
      </w:r>
      <w:r w:rsidR="00DE017A">
        <w:rPr>
          <w:rFonts w:ascii="楷体_GB2312" w:eastAsia="楷体_GB2312" w:hAnsi="宋体" w:cs="宋体" w:hint="eastAsia"/>
          <w:kern w:val="0"/>
          <w:szCs w:val="21"/>
        </w:rPr>
        <w:t>继续</w:t>
      </w:r>
      <w:r>
        <w:rPr>
          <w:rFonts w:ascii="楷体_GB2312" w:eastAsia="楷体_GB2312" w:hAnsi="宋体" w:cs="宋体" w:hint="eastAsia"/>
          <w:kern w:val="0"/>
          <w:szCs w:val="21"/>
        </w:rPr>
        <w:t>大幅回落</w:t>
      </w:r>
      <w:r w:rsidRPr="00690CC4">
        <w:rPr>
          <w:rFonts w:ascii="楷体_GB2312" w:eastAsia="楷体_GB2312" w:hAnsi="宋体" w:cs="宋体" w:hint="eastAsia"/>
          <w:kern w:val="0"/>
          <w:szCs w:val="21"/>
        </w:rPr>
        <w:t>，</w:t>
      </w:r>
      <w:r>
        <w:rPr>
          <w:rFonts w:ascii="楷体_GB2312" w:eastAsia="楷体_GB2312" w:hAnsi="宋体" w:cs="宋体" w:hint="eastAsia"/>
          <w:kern w:val="0"/>
          <w:szCs w:val="21"/>
        </w:rPr>
        <w:t>其中</w:t>
      </w:r>
      <w:r w:rsidRPr="00690CC4">
        <w:rPr>
          <w:rFonts w:ascii="楷体_GB2312" w:eastAsia="楷体_GB2312" w:hAnsi="宋体" w:cs="宋体" w:hint="eastAsia"/>
          <w:kern w:val="0"/>
          <w:szCs w:val="21"/>
        </w:rPr>
        <w:t>股票型基金和</w:t>
      </w:r>
      <w:r>
        <w:rPr>
          <w:rFonts w:ascii="楷体_GB2312" w:eastAsia="楷体_GB2312" w:hAnsi="宋体" w:cs="宋体" w:hint="eastAsia"/>
          <w:kern w:val="0"/>
          <w:szCs w:val="21"/>
        </w:rPr>
        <w:t>股指型</w:t>
      </w:r>
      <w:r w:rsidRPr="00690CC4">
        <w:rPr>
          <w:rFonts w:ascii="楷体_GB2312" w:eastAsia="楷体_GB2312" w:hAnsi="宋体" w:cs="宋体" w:hint="eastAsia"/>
          <w:kern w:val="0"/>
          <w:szCs w:val="21"/>
        </w:rPr>
        <w:t>基金</w:t>
      </w:r>
      <w:r w:rsidR="00DE017A">
        <w:rPr>
          <w:rFonts w:ascii="楷体_GB2312" w:eastAsia="楷体_GB2312" w:hAnsi="宋体" w:cs="宋体" w:hint="eastAsia"/>
          <w:kern w:val="0"/>
          <w:szCs w:val="21"/>
        </w:rPr>
        <w:t>在</w:t>
      </w:r>
      <w:r>
        <w:rPr>
          <w:rFonts w:ascii="楷体_GB2312" w:eastAsia="楷体_GB2312" w:hAnsi="宋体" w:cs="宋体" w:hint="eastAsia"/>
          <w:kern w:val="0"/>
          <w:szCs w:val="21"/>
        </w:rPr>
        <w:t>结束</w:t>
      </w:r>
      <w:r w:rsidRPr="00690CC4">
        <w:rPr>
          <w:rFonts w:ascii="楷体_GB2312" w:eastAsia="楷体_GB2312" w:hAnsi="宋体" w:cs="宋体" w:hint="eastAsia"/>
          <w:kern w:val="0"/>
          <w:szCs w:val="21"/>
        </w:rPr>
        <w:t>连续1</w:t>
      </w:r>
      <w:r>
        <w:rPr>
          <w:rFonts w:ascii="楷体_GB2312" w:eastAsia="楷体_GB2312" w:hAnsi="宋体" w:cs="宋体" w:hint="eastAsia"/>
          <w:kern w:val="0"/>
          <w:szCs w:val="21"/>
        </w:rPr>
        <w:t>3</w:t>
      </w:r>
      <w:r w:rsidRPr="00690CC4">
        <w:rPr>
          <w:rFonts w:ascii="楷体_GB2312" w:eastAsia="楷体_GB2312" w:hAnsi="宋体" w:cs="宋体" w:hint="eastAsia"/>
          <w:kern w:val="0"/>
          <w:szCs w:val="21"/>
        </w:rPr>
        <w:t>个月</w:t>
      </w:r>
      <w:r>
        <w:rPr>
          <w:rFonts w:ascii="楷体_GB2312" w:eastAsia="楷体_GB2312" w:hAnsi="宋体" w:cs="宋体" w:hint="eastAsia"/>
          <w:kern w:val="0"/>
          <w:szCs w:val="21"/>
        </w:rPr>
        <w:t>的</w:t>
      </w:r>
      <w:r w:rsidRPr="00690CC4">
        <w:rPr>
          <w:rFonts w:ascii="楷体_GB2312" w:eastAsia="楷体_GB2312" w:hAnsi="宋体" w:cs="宋体" w:hint="eastAsia"/>
          <w:kern w:val="0"/>
          <w:szCs w:val="21"/>
        </w:rPr>
        <w:t>正</w:t>
      </w:r>
      <w:r>
        <w:rPr>
          <w:rFonts w:ascii="楷体_GB2312" w:eastAsia="楷体_GB2312" w:hAnsi="宋体" w:cs="宋体" w:hint="eastAsia"/>
          <w:kern w:val="0"/>
          <w:szCs w:val="21"/>
        </w:rPr>
        <w:t>收益</w:t>
      </w:r>
      <w:r w:rsidRPr="00690CC4">
        <w:rPr>
          <w:rFonts w:ascii="楷体_GB2312" w:eastAsia="楷体_GB2312" w:hAnsi="宋体" w:cs="宋体" w:hint="eastAsia"/>
          <w:kern w:val="0"/>
          <w:szCs w:val="21"/>
        </w:rPr>
        <w:t>，</w:t>
      </w:r>
      <w:r w:rsidR="00DE017A">
        <w:rPr>
          <w:rFonts w:ascii="楷体_GB2312" w:eastAsia="楷体_GB2312" w:hAnsi="宋体" w:cs="宋体" w:hint="eastAsia"/>
          <w:kern w:val="0"/>
          <w:szCs w:val="21"/>
        </w:rPr>
        <w:t>延续第二个月</w:t>
      </w:r>
      <w:r>
        <w:rPr>
          <w:rFonts w:ascii="楷体_GB2312" w:eastAsia="楷体_GB2312" w:hAnsi="宋体" w:cs="宋体" w:hint="eastAsia"/>
          <w:kern w:val="0"/>
          <w:szCs w:val="21"/>
        </w:rPr>
        <w:t>以</w:t>
      </w:r>
      <w:r w:rsidR="00DE017A">
        <w:rPr>
          <w:rFonts w:ascii="楷体_GB2312" w:eastAsia="楷体_GB2312" w:hAnsi="宋体" w:cs="宋体" w:hint="eastAsia"/>
          <w:kern w:val="0"/>
          <w:szCs w:val="21"/>
        </w:rPr>
        <w:t>11.57</w:t>
      </w:r>
      <w:r>
        <w:rPr>
          <w:rFonts w:ascii="楷体_GB2312" w:eastAsia="楷体_GB2312" w:hAnsi="宋体" w:cs="宋体" w:hint="eastAsia"/>
          <w:kern w:val="0"/>
          <w:szCs w:val="21"/>
        </w:rPr>
        <w:t>%、10.</w:t>
      </w:r>
      <w:r w:rsidR="00DE017A">
        <w:rPr>
          <w:rFonts w:ascii="楷体_GB2312" w:eastAsia="楷体_GB2312" w:hAnsi="宋体" w:cs="宋体" w:hint="eastAsia"/>
          <w:kern w:val="0"/>
          <w:szCs w:val="21"/>
        </w:rPr>
        <w:t>48</w:t>
      </w:r>
      <w:r>
        <w:rPr>
          <w:rFonts w:ascii="楷体_GB2312" w:eastAsia="楷体_GB2312" w:hAnsi="宋体" w:cs="宋体" w:hint="eastAsia"/>
          <w:kern w:val="0"/>
          <w:szCs w:val="21"/>
        </w:rPr>
        <w:t>%的平均跌幅领跌各类型基金，</w:t>
      </w:r>
      <w:r w:rsidR="00DE017A">
        <w:rPr>
          <w:rFonts w:ascii="楷体_GB2312" w:eastAsia="楷体_GB2312" w:hAnsi="宋体" w:cs="宋体" w:hint="eastAsia"/>
          <w:kern w:val="0"/>
          <w:szCs w:val="21"/>
        </w:rPr>
        <w:t>跌幅与</w:t>
      </w:r>
      <w:r>
        <w:rPr>
          <w:rFonts w:ascii="楷体_GB2312" w:eastAsia="楷体_GB2312" w:hAnsi="宋体" w:cs="宋体" w:hint="eastAsia"/>
          <w:kern w:val="0"/>
          <w:szCs w:val="21"/>
        </w:rPr>
        <w:t>沪深两市</w:t>
      </w:r>
      <w:r w:rsidR="00DE017A">
        <w:rPr>
          <w:rFonts w:ascii="楷体_GB2312" w:eastAsia="楷体_GB2312" w:hAnsi="宋体" w:cs="宋体" w:hint="eastAsia"/>
          <w:kern w:val="0"/>
          <w:szCs w:val="21"/>
        </w:rPr>
        <w:t>基本持平</w:t>
      </w:r>
      <w:r>
        <w:rPr>
          <w:rFonts w:ascii="楷体_GB2312" w:eastAsia="楷体_GB2312" w:hAnsi="宋体" w:cs="宋体" w:hint="eastAsia"/>
          <w:kern w:val="0"/>
          <w:szCs w:val="21"/>
        </w:rPr>
        <w:t>。混合型基金平均下跌</w:t>
      </w:r>
      <w:r w:rsidR="00DE017A">
        <w:rPr>
          <w:rFonts w:ascii="楷体_GB2312" w:eastAsia="楷体_GB2312" w:hAnsi="宋体" w:cs="宋体" w:hint="eastAsia"/>
          <w:kern w:val="0"/>
          <w:szCs w:val="21"/>
        </w:rPr>
        <w:t>4.93</w:t>
      </w:r>
      <w:r>
        <w:rPr>
          <w:rFonts w:ascii="楷体_GB2312" w:eastAsia="楷体_GB2312" w:hAnsi="宋体" w:cs="宋体" w:hint="eastAsia"/>
          <w:kern w:val="0"/>
          <w:szCs w:val="21"/>
        </w:rPr>
        <w:t>%，</w:t>
      </w:r>
      <w:r w:rsidR="00DE017A">
        <w:rPr>
          <w:rFonts w:ascii="楷体_GB2312" w:eastAsia="楷体_GB2312" w:hAnsi="宋体" w:cs="宋体" w:hint="eastAsia"/>
          <w:kern w:val="0"/>
          <w:szCs w:val="21"/>
        </w:rPr>
        <w:t>体现出灵活投资优势</w:t>
      </w:r>
      <w:r>
        <w:rPr>
          <w:rFonts w:ascii="楷体_GB2312" w:eastAsia="楷体_GB2312" w:hAnsi="宋体" w:cs="宋体" w:hint="eastAsia"/>
          <w:kern w:val="0"/>
          <w:szCs w:val="21"/>
        </w:rPr>
        <w:t>。债券型基金</w:t>
      </w:r>
      <w:r w:rsidR="00A00AC6">
        <w:rPr>
          <w:rFonts w:ascii="楷体_GB2312" w:eastAsia="楷体_GB2312" w:hAnsi="宋体" w:cs="宋体" w:hint="eastAsia"/>
          <w:kern w:val="0"/>
          <w:szCs w:val="21"/>
        </w:rPr>
        <w:t>受</w:t>
      </w:r>
      <w:r>
        <w:rPr>
          <w:rFonts w:ascii="楷体_GB2312" w:eastAsia="楷体_GB2312" w:hAnsi="宋体" w:cs="宋体" w:hint="eastAsia"/>
          <w:kern w:val="0"/>
          <w:szCs w:val="21"/>
        </w:rPr>
        <w:t>股票和可转债</w:t>
      </w:r>
      <w:r w:rsidR="00A00AC6">
        <w:rPr>
          <w:rFonts w:ascii="楷体_GB2312" w:eastAsia="楷体_GB2312" w:hAnsi="宋体" w:cs="宋体" w:hint="eastAsia"/>
          <w:kern w:val="0"/>
          <w:szCs w:val="21"/>
        </w:rPr>
        <w:t>下挫影响较大，尽管债市反弹，但债券型基金整体仍然小幅下挫0.18</w:t>
      </w:r>
      <w:r>
        <w:rPr>
          <w:rFonts w:ascii="楷体_GB2312" w:eastAsia="楷体_GB2312" w:hAnsi="宋体" w:cs="宋体" w:hint="eastAsia"/>
          <w:kern w:val="0"/>
          <w:szCs w:val="21"/>
        </w:rPr>
        <w:t>%，在此我们</w:t>
      </w:r>
      <w:r w:rsidR="00A00AC6">
        <w:rPr>
          <w:rFonts w:ascii="楷体_GB2312" w:eastAsia="楷体_GB2312" w:hAnsi="宋体" w:cs="宋体" w:hint="eastAsia"/>
          <w:kern w:val="0"/>
          <w:szCs w:val="21"/>
        </w:rPr>
        <w:t>再次</w:t>
      </w:r>
      <w:r w:rsidR="00312345">
        <w:rPr>
          <w:rFonts w:ascii="楷体_GB2312" w:eastAsia="楷体_GB2312" w:hAnsi="宋体" w:cs="宋体" w:hint="eastAsia"/>
          <w:kern w:val="0"/>
          <w:szCs w:val="21"/>
        </w:rPr>
        <w:t>政策</w:t>
      </w:r>
      <w:r>
        <w:rPr>
          <w:rFonts w:ascii="楷体_GB2312" w:eastAsia="楷体_GB2312" w:hAnsi="宋体" w:cs="宋体" w:hint="eastAsia"/>
          <w:kern w:val="0"/>
          <w:szCs w:val="21"/>
        </w:rPr>
        <w:t>呼吁将可转债基金调整分类为混合型基金，并约束债券型基金的可转债投资比例。</w:t>
      </w:r>
      <w:r w:rsidR="00EC29F0">
        <w:rPr>
          <w:rFonts w:ascii="楷体_GB2312" w:eastAsia="楷体_GB2312" w:hAnsi="宋体" w:cs="宋体" w:hint="eastAsia"/>
          <w:kern w:val="0"/>
          <w:szCs w:val="21"/>
        </w:rPr>
        <w:t>7月新兴市场的疲软显著拖累</w:t>
      </w:r>
      <w:r>
        <w:rPr>
          <w:rFonts w:ascii="楷体_GB2312" w:eastAsia="楷体_GB2312" w:hAnsi="宋体" w:cs="宋体" w:hint="eastAsia"/>
          <w:kern w:val="0"/>
          <w:szCs w:val="21"/>
        </w:rPr>
        <w:t>QDII</w:t>
      </w:r>
      <w:r w:rsidR="00EC29F0">
        <w:rPr>
          <w:rFonts w:ascii="楷体_GB2312" w:eastAsia="楷体_GB2312" w:hAnsi="宋体" w:cs="宋体" w:hint="eastAsia"/>
          <w:kern w:val="0"/>
          <w:szCs w:val="21"/>
        </w:rPr>
        <w:t>业绩，</w:t>
      </w:r>
      <w:r>
        <w:rPr>
          <w:rFonts w:ascii="楷体_GB2312" w:eastAsia="楷体_GB2312" w:hAnsi="宋体" w:cs="宋体" w:hint="eastAsia"/>
          <w:kern w:val="0"/>
          <w:szCs w:val="21"/>
        </w:rPr>
        <w:t>整体下挫</w:t>
      </w:r>
      <w:r w:rsidR="001A2517">
        <w:rPr>
          <w:rFonts w:ascii="楷体_GB2312" w:eastAsia="楷体_GB2312" w:hAnsi="宋体" w:cs="宋体" w:hint="eastAsia"/>
          <w:kern w:val="0"/>
          <w:szCs w:val="21"/>
        </w:rPr>
        <w:t>6.4</w:t>
      </w:r>
      <w:r w:rsidR="0016275E">
        <w:rPr>
          <w:rFonts w:ascii="楷体_GB2312" w:eastAsia="楷体_GB2312" w:hAnsi="宋体" w:cs="宋体" w:hint="eastAsia"/>
          <w:kern w:val="0"/>
          <w:szCs w:val="21"/>
        </w:rPr>
        <w:t>0</w:t>
      </w:r>
      <w:r>
        <w:rPr>
          <w:rFonts w:ascii="楷体_GB2312" w:eastAsia="楷体_GB2312" w:hAnsi="宋体" w:cs="宋体" w:hint="eastAsia"/>
          <w:kern w:val="0"/>
          <w:szCs w:val="21"/>
        </w:rPr>
        <w:t>%</w:t>
      </w:r>
      <w:r w:rsidR="004D093E">
        <w:rPr>
          <w:rFonts w:ascii="楷体_GB2312" w:eastAsia="楷体_GB2312" w:hAnsi="宋体" w:cs="宋体" w:hint="eastAsia"/>
          <w:kern w:val="0"/>
          <w:szCs w:val="21"/>
        </w:rPr>
        <w:t>，跌幅较上月明显扩大</w:t>
      </w:r>
      <w:r>
        <w:rPr>
          <w:rFonts w:ascii="楷体_GB2312" w:eastAsia="楷体_GB2312" w:hAnsi="宋体" w:cs="宋体" w:hint="eastAsia"/>
          <w:kern w:val="0"/>
          <w:szCs w:val="21"/>
        </w:rPr>
        <w:t>。</w:t>
      </w:r>
    </w:p>
    <w:tbl>
      <w:tblPr>
        <w:tblW w:w="6521" w:type="dxa"/>
        <w:tblInd w:w="2943" w:type="dxa"/>
        <w:tblLayout w:type="fixed"/>
        <w:tblLook w:val="04A0"/>
      </w:tblPr>
      <w:tblGrid>
        <w:gridCol w:w="6521"/>
      </w:tblGrid>
      <w:tr w:rsidR="009A18F4" w:rsidRPr="00F15A8A" w:rsidTr="00DE017A">
        <w:tc>
          <w:tcPr>
            <w:tcW w:w="6521" w:type="dxa"/>
            <w:tcBorders>
              <w:bottom w:val="single" w:sz="4" w:space="0" w:color="FF0000"/>
            </w:tcBorders>
          </w:tcPr>
          <w:p w:rsidR="009A18F4" w:rsidRPr="00F15A8A" w:rsidRDefault="009A18F4" w:rsidP="00DE017A">
            <w:pPr>
              <w:spacing w:line="360" w:lineRule="auto"/>
              <w:jc w:val="left"/>
              <w:rPr>
                <w:rFonts w:ascii="楷体_GB2312" w:eastAsia="楷体_GB2312"/>
                <w:b/>
                <w:color w:val="000000"/>
                <w:sz w:val="18"/>
                <w:szCs w:val="18"/>
              </w:rPr>
            </w:pPr>
            <w:r w:rsidRPr="00F15A8A">
              <w:rPr>
                <w:rFonts w:ascii="楷体_GB2312" w:eastAsia="楷体_GB2312" w:hint="eastAsia"/>
                <w:b/>
                <w:color w:val="000000"/>
                <w:sz w:val="18"/>
                <w:szCs w:val="18"/>
              </w:rPr>
              <w:t>图7、本月各类型基金</w:t>
            </w:r>
            <w:r>
              <w:rPr>
                <w:rFonts w:ascii="楷体_GB2312" w:eastAsia="楷体_GB2312" w:hint="eastAsia"/>
                <w:b/>
                <w:color w:val="000000"/>
                <w:sz w:val="18"/>
                <w:szCs w:val="18"/>
              </w:rPr>
              <w:t>简单</w:t>
            </w:r>
            <w:r w:rsidRPr="00F15A8A">
              <w:rPr>
                <w:rFonts w:ascii="楷体_GB2312" w:eastAsia="楷体_GB2312" w:hint="eastAsia"/>
                <w:b/>
                <w:color w:val="000000"/>
                <w:sz w:val="18"/>
                <w:szCs w:val="18"/>
              </w:rPr>
              <w:t>平均表现</w:t>
            </w:r>
          </w:p>
        </w:tc>
      </w:tr>
      <w:tr w:rsidR="009A18F4" w:rsidRPr="00F15A8A" w:rsidTr="0016275E">
        <w:trPr>
          <w:trHeight w:val="3184"/>
        </w:trPr>
        <w:tc>
          <w:tcPr>
            <w:tcW w:w="6521" w:type="dxa"/>
            <w:tcBorders>
              <w:top w:val="single" w:sz="4" w:space="0" w:color="FF0000"/>
              <w:bottom w:val="single" w:sz="4" w:space="0" w:color="FF0000"/>
            </w:tcBorders>
          </w:tcPr>
          <w:p w:rsidR="009A18F4" w:rsidRPr="00F15A8A" w:rsidRDefault="0016275E" w:rsidP="00DE017A">
            <w:pPr>
              <w:spacing w:line="360" w:lineRule="auto"/>
              <w:jc w:val="center"/>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800475" cy="2609850"/>
                  <wp:effectExtent l="19050" t="0" r="9525"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srcRect/>
                          <a:stretch>
                            <a:fillRect/>
                          </a:stretch>
                        </pic:blipFill>
                        <pic:spPr bwMode="auto">
                          <a:xfrm>
                            <a:off x="0" y="0"/>
                            <a:ext cx="3800475" cy="2609850"/>
                          </a:xfrm>
                          <a:prstGeom prst="rect">
                            <a:avLst/>
                          </a:prstGeom>
                          <a:noFill/>
                          <a:ln w="9525">
                            <a:noFill/>
                            <a:miter lim="800000"/>
                            <a:headEnd/>
                            <a:tailEnd/>
                          </a:ln>
                        </pic:spPr>
                      </pic:pic>
                    </a:graphicData>
                  </a:graphic>
                </wp:inline>
              </w:drawing>
            </w:r>
          </w:p>
        </w:tc>
      </w:tr>
      <w:tr w:rsidR="009A18F4" w:rsidRPr="005059AD" w:rsidTr="00DE017A">
        <w:tc>
          <w:tcPr>
            <w:tcW w:w="6521" w:type="dxa"/>
            <w:tcBorders>
              <w:top w:val="single" w:sz="4" w:space="0" w:color="FF0000"/>
            </w:tcBorders>
          </w:tcPr>
          <w:p w:rsidR="009A18F4" w:rsidRPr="00690811" w:rsidRDefault="009A18F4" w:rsidP="00DE017A">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 上海证券基金评价研究中心（截止2015年</w:t>
            </w:r>
            <w:r w:rsidR="004D093E">
              <w:rPr>
                <w:rFonts w:ascii="楷体_GB2312" w:eastAsia="楷体_GB2312" w:hint="eastAsia"/>
                <w:noProof/>
                <w:color w:val="000000"/>
                <w:sz w:val="18"/>
                <w:szCs w:val="18"/>
              </w:rPr>
              <w:t>7</w:t>
            </w:r>
            <w:r w:rsidRPr="00690811">
              <w:rPr>
                <w:rFonts w:ascii="楷体_GB2312" w:eastAsia="楷体_GB2312" w:hint="eastAsia"/>
                <w:noProof/>
                <w:color w:val="000000"/>
                <w:sz w:val="18"/>
                <w:szCs w:val="18"/>
              </w:rPr>
              <w:t>月</w:t>
            </w:r>
            <w:r w:rsidR="004D093E">
              <w:rPr>
                <w:rFonts w:ascii="楷体_GB2312" w:eastAsia="楷体_GB2312" w:hint="eastAsia"/>
                <w:noProof/>
                <w:color w:val="000000"/>
                <w:sz w:val="18"/>
                <w:szCs w:val="18"/>
              </w:rPr>
              <w:t>29</w:t>
            </w:r>
            <w:r w:rsidRPr="00690811">
              <w:rPr>
                <w:rFonts w:ascii="楷体_GB2312" w:eastAsia="楷体_GB2312" w:hint="eastAsia"/>
                <w:noProof/>
                <w:color w:val="000000"/>
                <w:sz w:val="18"/>
                <w:szCs w:val="18"/>
              </w:rPr>
              <w:t>日）</w:t>
            </w:r>
          </w:p>
          <w:p w:rsidR="009A18F4" w:rsidRPr="005059AD" w:rsidRDefault="009A18F4" w:rsidP="00DE017A">
            <w:pPr>
              <w:rPr>
                <w:rFonts w:ascii="楷体_GB2312" w:eastAsia="楷体_GB2312"/>
                <w:i/>
                <w:color w:val="000000"/>
                <w:sz w:val="18"/>
                <w:szCs w:val="18"/>
              </w:rPr>
            </w:pPr>
            <w:r w:rsidRPr="00690811">
              <w:rPr>
                <w:rFonts w:ascii="楷体_GB2312" w:eastAsia="楷体_GB2312" w:hint="eastAsia"/>
                <w:noProof/>
                <w:color w:val="000000"/>
                <w:sz w:val="18"/>
                <w:szCs w:val="18"/>
              </w:rPr>
              <w:t>注：QDII基金的业绩公布存在一定时滞，部分产品业绩有所偏差</w:t>
            </w:r>
          </w:p>
        </w:tc>
      </w:tr>
    </w:tbl>
    <w:p w:rsidR="009A18F4" w:rsidRPr="005E4592" w:rsidRDefault="009A18F4" w:rsidP="0075204E">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Pr>
          <w:rFonts w:ascii="黑体" w:eastAsia="黑体" w:hAnsi="宋体-18030" w:cs="宋体-18030" w:hint="eastAsia"/>
          <w:b/>
          <w:bCs/>
          <w:color w:val="003366"/>
          <w:kern w:val="44"/>
          <w:sz w:val="24"/>
        </w:rPr>
        <w:t>市场信息和数据解读</w:t>
      </w:r>
    </w:p>
    <w:p w:rsidR="00693C58" w:rsidRPr="00026A52" w:rsidRDefault="009A18F4" w:rsidP="0075204E">
      <w:pPr>
        <w:spacing w:beforeLines="50"/>
        <w:ind w:leftChars="1350" w:left="2835" w:firstLineChars="202" w:firstLine="424"/>
        <w:rPr>
          <w:rFonts w:ascii="楷体_GB2312" w:eastAsia="楷体_GB2312" w:hAnsi="宋体" w:cs="宋体"/>
          <w:kern w:val="0"/>
          <w:szCs w:val="21"/>
        </w:rPr>
      </w:pPr>
      <w:r w:rsidRPr="002A0EBD">
        <w:rPr>
          <w:rFonts w:ascii="楷体_GB2312" w:eastAsia="楷体_GB2312" w:hAnsi="宋体" w:cs="宋体" w:hint="eastAsia"/>
          <w:kern w:val="0"/>
          <w:szCs w:val="21"/>
        </w:rPr>
        <w:t>2015年</w:t>
      </w:r>
      <w:r w:rsidR="004D093E">
        <w:rPr>
          <w:rFonts w:ascii="楷体_GB2312" w:eastAsia="楷体_GB2312" w:hAnsi="宋体" w:cs="宋体" w:hint="eastAsia"/>
          <w:kern w:val="0"/>
          <w:szCs w:val="21"/>
        </w:rPr>
        <w:t>7</w:t>
      </w:r>
      <w:r w:rsidRPr="002A0EBD">
        <w:rPr>
          <w:rFonts w:ascii="楷体_GB2312" w:eastAsia="楷体_GB2312" w:hAnsi="宋体" w:cs="宋体" w:hint="eastAsia"/>
          <w:kern w:val="0"/>
          <w:szCs w:val="21"/>
        </w:rPr>
        <w:t>月</w:t>
      </w:r>
      <w:r w:rsidR="0094617F">
        <w:rPr>
          <w:rFonts w:ascii="楷体_GB2312" w:eastAsia="楷体_GB2312" w:hAnsi="宋体" w:cs="宋体" w:hint="eastAsia"/>
          <w:kern w:val="0"/>
          <w:szCs w:val="21"/>
        </w:rPr>
        <w:t>希腊债务为题成为欧元区关注的焦点，</w:t>
      </w:r>
      <w:r w:rsidR="00051A90" w:rsidRPr="00051A90">
        <w:rPr>
          <w:rFonts w:ascii="楷体_GB2312" w:eastAsia="楷体_GB2312" w:hAnsi="宋体" w:cs="宋体" w:hint="eastAsia"/>
          <w:kern w:val="0"/>
          <w:szCs w:val="21"/>
        </w:rPr>
        <w:t>23日希腊议会通过了第二批改革计划，为与债权人最终就第三轮受援计划达成一致铺平了道路</w:t>
      </w:r>
      <w:r w:rsidR="000C1475">
        <w:rPr>
          <w:rFonts w:ascii="楷体_GB2312" w:eastAsia="楷体_GB2312" w:hAnsi="宋体" w:cs="宋体" w:hint="eastAsia"/>
          <w:kern w:val="0"/>
          <w:szCs w:val="21"/>
        </w:rPr>
        <w:t>，</w:t>
      </w:r>
      <w:r w:rsidR="00FB0DD3">
        <w:rPr>
          <w:rFonts w:ascii="楷体_GB2312" w:eastAsia="楷体_GB2312" w:hAnsi="宋体" w:cs="宋体" w:hint="eastAsia"/>
          <w:kern w:val="0"/>
          <w:szCs w:val="21"/>
        </w:rPr>
        <w:t>危机暂时得以缓解</w:t>
      </w:r>
      <w:r w:rsidR="000C1475">
        <w:rPr>
          <w:rFonts w:ascii="楷体_GB2312" w:eastAsia="楷体_GB2312" w:hAnsi="宋体" w:cs="宋体" w:hint="eastAsia"/>
          <w:kern w:val="0"/>
          <w:szCs w:val="21"/>
        </w:rPr>
        <w:t>，但希腊疲软的经济仍</w:t>
      </w:r>
      <w:r w:rsidR="00D51F8E">
        <w:rPr>
          <w:rFonts w:ascii="楷体_GB2312" w:eastAsia="楷体_GB2312" w:hAnsi="宋体" w:cs="宋体" w:hint="eastAsia"/>
          <w:kern w:val="0"/>
          <w:szCs w:val="21"/>
        </w:rPr>
        <w:t>存的巨额债务仍将威胁希腊乃至欧元区的稳定，</w:t>
      </w:r>
      <w:r w:rsidR="00026A52">
        <w:rPr>
          <w:rFonts w:ascii="楷体_GB2312" w:eastAsia="楷体_GB2312" w:hAnsi="宋体" w:cs="宋体" w:hint="eastAsia"/>
          <w:kern w:val="0"/>
          <w:szCs w:val="21"/>
        </w:rPr>
        <w:t>在此疑虑下，核心国家德国和法国经济</w:t>
      </w:r>
      <w:r w:rsidR="00F836BB">
        <w:rPr>
          <w:rFonts w:ascii="楷体_GB2312" w:eastAsia="楷体_GB2312" w:hAnsi="宋体" w:cs="宋体" w:hint="eastAsia"/>
          <w:kern w:val="0"/>
          <w:szCs w:val="21"/>
        </w:rPr>
        <w:t>增长</w:t>
      </w:r>
      <w:r w:rsidR="00026A52">
        <w:rPr>
          <w:rFonts w:ascii="楷体_GB2312" w:eastAsia="楷体_GB2312" w:hAnsi="宋体" w:cs="宋体" w:hint="eastAsia"/>
          <w:kern w:val="0"/>
          <w:szCs w:val="21"/>
        </w:rPr>
        <w:t>均低于预期，</w:t>
      </w:r>
      <w:r w:rsidR="00F836BB">
        <w:rPr>
          <w:rFonts w:ascii="楷体_GB2312" w:eastAsia="楷体_GB2312" w:hAnsi="宋体" w:cs="宋体" w:hint="eastAsia"/>
          <w:kern w:val="0"/>
          <w:szCs w:val="21"/>
        </w:rPr>
        <w:t>削弱</w:t>
      </w:r>
      <w:r w:rsidR="00CB28B6">
        <w:rPr>
          <w:rFonts w:ascii="楷体_GB2312" w:eastAsia="楷体_GB2312" w:hAnsi="宋体" w:cs="宋体" w:hint="eastAsia"/>
          <w:kern w:val="0"/>
          <w:szCs w:val="21"/>
        </w:rPr>
        <w:t>整个欧元区经济复苏活力。数均显示，</w:t>
      </w:r>
      <w:r w:rsidR="00DF39D0" w:rsidRPr="00693C58">
        <w:rPr>
          <w:rFonts w:ascii="楷体_GB2312" w:eastAsia="楷体_GB2312" w:hAnsi="宋体" w:cs="宋体" w:hint="eastAsia"/>
          <w:kern w:val="0"/>
          <w:szCs w:val="21"/>
        </w:rPr>
        <w:t>7月Markit综合PMI初值为53.4，法国综合PMI初值为51.5，</w:t>
      </w:r>
      <w:hyperlink r:id="rId17" w:tgtFrame="_blank" w:history="1">
        <w:r w:rsidR="00CB28B6" w:rsidRPr="00693C58">
          <w:rPr>
            <w:rFonts w:ascii="楷体_GB2312" w:eastAsia="楷体_GB2312" w:hAnsi="宋体" w:cs="宋体" w:hint="eastAsia"/>
            <w:kern w:val="0"/>
            <w:szCs w:val="21"/>
          </w:rPr>
          <w:t>欧元区</w:t>
        </w:r>
      </w:hyperlink>
      <w:r w:rsidR="00CB28B6" w:rsidRPr="00693C58">
        <w:rPr>
          <w:rFonts w:ascii="楷体_GB2312" w:eastAsia="楷体_GB2312" w:hAnsi="宋体" w:cs="宋体" w:hint="eastAsia"/>
          <w:kern w:val="0"/>
          <w:szCs w:val="21"/>
        </w:rPr>
        <w:t>7月综合PMI初值为53.7，</w:t>
      </w:r>
      <w:r w:rsidR="00693C58" w:rsidRPr="00026A52">
        <w:rPr>
          <w:rFonts w:ascii="楷体_GB2312" w:eastAsia="楷体_GB2312" w:hAnsi="宋体" w:cs="宋体" w:hint="eastAsia"/>
          <w:kern w:val="0"/>
          <w:szCs w:val="21"/>
        </w:rPr>
        <w:t>尽管上述值均在50的枯荣线上方，但较上月和预期均有所下滑，表明欧元区经济开始失去一些动能。</w:t>
      </w:r>
    </w:p>
    <w:p w:rsidR="00540E6E" w:rsidRPr="007A638C" w:rsidRDefault="009A18F4" w:rsidP="0075204E">
      <w:pPr>
        <w:spacing w:beforeLines="50"/>
        <w:ind w:leftChars="1350" w:left="2835" w:firstLineChars="202" w:firstLine="424"/>
        <w:rPr>
          <w:rFonts w:ascii="楷体_GB2312" w:eastAsia="楷体_GB2312" w:hAnsi="宋体" w:cs="宋体"/>
          <w:kern w:val="0"/>
          <w:szCs w:val="21"/>
        </w:rPr>
      </w:pPr>
      <w:r w:rsidRPr="008E1CB8">
        <w:rPr>
          <w:rFonts w:ascii="楷体_GB2312" w:eastAsia="楷体_GB2312" w:hAnsi="宋体" w:cs="宋体" w:hint="eastAsia"/>
          <w:kern w:val="0"/>
          <w:szCs w:val="21"/>
        </w:rPr>
        <w:t>美国经济</w:t>
      </w:r>
      <w:r>
        <w:rPr>
          <w:rFonts w:ascii="楷体_GB2312" w:eastAsia="楷体_GB2312" w:hAnsi="宋体" w:cs="宋体" w:hint="eastAsia"/>
          <w:kern w:val="0"/>
          <w:szCs w:val="21"/>
        </w:rPr>
        <w:t>增长动力</w:t>
      </w:r>
      <w:r w:rsidR="0087625C">
        <w:rPr>
          <w:rFonts w:ascii="楷体_GB2312" w:eastAsia="楷体_GB2312" w:hAnsi="宋体" w:cs="宋体" w:hint="eastAsia"/>
          <w:kern w:val="0"/>
          <w:szCs w:val="21"/>
        </w:rPr>
        <w:t>在不断增强</w:t>
      </w:r>
      <w:r>
        <w:rPr>
          <w:rFonts w:ascii="楷体_GB2312" w:eastAsia="楷体_GB2312" w:hAnsi="宋体" w:cs="宋体" w:hint="eastAsia"/>
          <w:kern w:val="0"/>
          <w:szCs w:val="21"/>
        </w:rPr>
        <w:t>，</w:t>
      </w:r>
      <w:r w:rsidR="00480D27" w:rsidRPr="00480D27">
        <w:rPr>
          <w:rFonts w:ascii="楷体_GB2312" w:eastAsia="楷体_GB2312" w:hAnsi="宋体" w:cs="宋体" w:hint="eastAsia"/>
          <w:kern w:val="0"/>
          <w:szCs w:val="21"/>
        </w:rPr>
        <w:t>7月Markit制造业PMI初值53.8</w:t>
      </w:r>
      <w:r w:rsidR="00480D27">
        <w:rPr>
          <w:rFonts w:ascii="楷体_GB2312" w:eastAsia="楷体_GB2312" w:hAnsi="宋体" w:cs="宋体" w:hint="eastAsia"/>
          <w:kern w:val="0"/>
          <w:szCs w:val="21"/>
        </w:rPr>
        <w:t>,较6月上升0.2，并好于预期。</w:t>
      </w:r>
      <w:r w:rsidR="00051780">
        <w:rPr>
          <w:rFonts w:ascii="楷体_GB2312" w:eastAsia="楷体_GB2312" w:hAnsi="宋体" w:cs="宋体" w:hint="eastAsia"/>
          <w:kern w:val="0"/>
          <w:szCs w:val="21"/>
        </w:rPr>
        <w:t>美国</w:t>
      </w:r>
      <w:r w:rsidR="00540E6E">
        <w:rPr>
          <w:rFonts w:ascii="楷体_GB2312" w:eastAsia="楷体_GB2312" w:hAnsi="宋体" w:cs="宋体" w:hint="eastAsia"/>
          <w:kern w:val="0"/>
          <w:szCs w:val="21"/>
        </w:rPr>
        <w:t>就业和房地产市场</w:t>
      </w:r>
      <w:r w:rsidR="00051780">
        <w:rPr>
          <w:rFonts w:ascii="楷体_GB2312" w:eastAsia="楷体_GB2312" w:hAnsi="宋体" w:cs="宋体" w:hint="eastAsia"/>
          <w:kern w:val="0"/>
          <w:szCs w:val="21"/>
        </w:rPr>
        <w:t>持续强劲</w:t>
      </w:r>
      <w:r w:rsidR="00540E6E">
        <w:rPr>
          <w:rFonts w:ascii="楷体_GB2312" w:eastAsia="楷体_GB2312" w:hAnsi="宋体" w:cs="宋体" w:hint="eastAsia"/>
          <w:kern w:val="0"/>
          <w:szCs w:val="21"/>
        </w:rPr>
        <w:t>。</w:t>
      </w:r>
      <w:r w:rsidR="007A638C" w:rsidRPr="007A638C">
        <w:rPr>
          <w:rFonts w:ascii="楷体_GB2312" w:eastAsia="楷体_GB2312" w:hAnsi="宋体" w:cs="宋体" w:hint="eastAsia"/>
          <w:kern w:val="0"/>
          <w:szCs w:val="21"/>
        </w:rPr>
        <w:t>7月</w:t>
      </w:r>
      <w:r w:rsidR="007A638C" w:rsidRPr="007A638C">
        <w:rPr>
          <w:rFonts w:ascii="楷体_GB2312" w:eastAsia="楷体_GB2312" w:hAnsi="宋体" w:cs="宋体" w:hint="eastAsia"/>
          <w:kern w:val="0"/>
          <w:szCs w:val="21"/>
        </w:rPr>
        <w:lastRenderedPageBreak/>
        <w:t>22日全美地产经纪商协会(NAR)公布的数据显示，</w:t>
      </w:r>
      <w:hyperlink r:id="rId18" w:tgtFrame="_blank" w:history="1">
        <w:r w:rsidR="007A638C" w:rsidRPr="007A638C">
          <w:rPr>
            <w:rFonts w:ascii="楷体_GB2312" w:eastAsia="楷体_GB2312" w:hAnsi="宋体" w:cs="宋体" w:hint="eastAsia"/>
            <w:kern w:val="0"/>
            <w:szCs w:val="21"/>
          </w:rPr>
          <w:t>美国</w:t>
        </w:r>
      </w:hyperlink>
      <w:r w:rsidR="007A638C" w:rsidRPr="007A638C">
        <w:rPr>
          <w:rFonts w:ascii="楷体_GB2312" w:eastAsia="楷体_GB2312" w:hAnsi="宋体" w:cs="宋体" w:hint="eastAsia"/>
          <w:kern w:val="0"/>
          <w:szCs w:val="21"/>
        </w:rPr>
        <w:t xml:space="preserve"> 6月成屋销售增至549万户，年化月率增长3.2%，增幅创2007年2月以来最高水平。</w:t>
      </w:r>
      <w:r w:rsidR="0097354A" w:rsidRPr="007A638C">
        <w:rPr>
          <w:rFonts w:ascii="楷体_GB2312" w:eastAsia="楷体_GB2312" w:hAnsi="宋体" w:cs="宋体" w:hint="eastAsia"/>
          <w:kern w:val="0"/>
          <w:szCs w:val="21"/>
        </w:rPr>
        <w:t>月23日</w:t>
      </w:r>
      <w:hyperlink r:id="rId19" w:tgtFrame="_blank" w:history="1">
        <w:r w:rsidR="0097354A" w:rsidRPr="007A638C">
          <w:rPr>
            <w:rFonts w:ascii="楷体_GB2312" w:eastAsia="楷体_GB2312" w:hAnsi="宋体" w:cs="宋体" w:hint="eastAsia"/>
            <w:kern w:val="0"/>
            <w:szCs w:val="21"/>
          </w:rPr>
          <w:t>美国</w:t>
        </w:r>
      </w:hyperlink>
      <w:r w:rsidR="0097354A" w:rsidRPr="007A638C">
        <w:rPr>
          <w:rFonts w:ascii="楷体_GB2312" w:eastAsia="楷体_GB2312" w:hAnsi="宋体" w:cs="宋体" w:hint="eastAsia"/>
          <w:kern w:val="0"/>
          <w:szCs w:val="21"/>
        </w:rPr>
        <w:t>劳工部的数据显示，美国7月18日当周初请失业金人数为25.5万人，创1973年11月来最低水平。</w:t>
      </w:r>
      <w:r w:rsidR="0003446C">
        <w:rPr>
          <w:rFonts w:ascii="楷体_GB2312" w:eastAsia="楷体_GB2312" w:hAnsi="宋体" w:cs="宋体" w:hint="eastAsia"/>
          <w:kern w:val="0"/>
          <w:szCs w:val="21"/>
        </w:rPr>
        <w:t>良好的经济走势增强美国将在9月加息的预期。</w:t>
      </w:r>
    </w:p>
    <w:p w:rsidR="009A18F4" w:rsidRDefault="009A18F4" w:rsidP="0075204E">
      <w:pPr>
        <w:spacing w:beforeLines="50"/>
        <w:ind w:leftChars="1350" w:left="2835" w:firstLineChars="202" w:firstLine="424"/>
        <w:rPr>
          <w:rFonts w:ascii="楷体_GB2312" w:eastAsia="楷体_GB2312" w:hAnsi="宋体" w:cs="宋体"/>
          <w:kern w:val="0"/>
          <w:szCs w:val="21"/>
        </w:rPr>
      </w:pPr>
      <w:r w:rsidRPr="00BB1EF4">
        <w:rPr>
          <w:rFonts w:ascii="楷体_GB2312" w:eastAsia="楷体_GB2312" w:hAnsi="宋体" w:cs="宋体" w:hint="eastAsia"/>
          <w:kern w:val="0"/>
          <w:szCs w:val="21"/>
        </w:rPr>
        <w:t>中国</w:t>
      </w:r>
      <w:r w:rsidR="0068466B">
        <w:rPr>
          <w:rFonts w:ascii="楷体_GB2312" w:eastAsia="楷体_GB2312" w:hAnsi="宋体" w:cs="宋体" w:hint="eastAsia"/>
          <w:kern w:val="0"/>
          <w:szCs w:val="21"/>
        </w:rPr>
        <w:t>经济</w:t>
      </w:r>
      <w:r w:rsidR="004E4E3B">
        <w:rPr>
          <w:rFonts w:ascii="楷体_GB2312" w:eastAsia="楷体_GB2312" w:hAnsi="宋体" w:cs="宋体" w:hint="eastAsia"/>
          <w:kern w:val="0"/>
          <w:szCs w:val="21"/>
        </w:rPr>
        <w:t>增长维持疲软</w:t>
      </w:r>
      <w:r w:rsidR="0068466B">
        <w:rPr>
          <w:rFonts w:ascii="楷体_GB2312" w:eastAsia="楷体_GB2312" w:hAnsi="宋体" w:cs="宋体" w:hint="eastAsia"/>
          <w:kern w:val="0"/>
          <w:szCs w:val="21"/>
        </w:rPr>
        <w:t>，</w:t>
      </w:r>
      <w:r w:rsidR="004E4E3B">
        <w:rPr>
          <w:rFonts w:ascii="楷体_GB2312" w:eastAsia="楷体_GB2312" w:hAnsi="宋体" w:cs="宋体" w:hint="eastAsia"/>
          <w:kern w:val="0"/>
          <w:szCs w:val="21"/>
        </w:rPr>
        <w:t>但跌势趋缓，</w:t>
      </w:r>
      <w:r w:rsidR="0085406B">
        <w:rPr>
          <w:rFonts w:ascii="楷体_GB2312" w:eastAsia="楷体_GB2312" w:hAnsi="宋体" w:cs="宋体" w:hint="eastAsia"/>
          <w:kern w:val="0"/>
          <w:szCs w:val="21"/>
        </w:rPr>
        <w:t>根据国家统计局的数据，</w:t>
      </w:r>
      <w:r w:rsidR="00311012" w:rsidRPr="004E4E3B">
        <w:rPr>
          <w:rFonts w:ascii="楷体_GB2312" w:eastAsia="楷体_GB2312" w:hAnsi="宋体" w:cs="宋体" w:hint="eastAsia"/>
          <w:kern w:val="0"/>
          <w:szCs w:val="21"/>
        </w:rPr>
        <w:t xml:space="preserve"> 1-6月份全国固定资产投资237132亿元，同比名义增长11.4%</w:t>
      </w:r>
      <w:r w:rsidR="004E4E3B">
        <w:rPr>
          <w:rFonts w:ascii="楷体_GB2312" w:eastAsia="楷体_GB2312" w:hAnsi="宋体" w:cs="宋体" w:hint="eastAsia"/>
          <w:kern w:val="0"/>
          <w:szCs w:val="21"/>
        </w:rPr>
        <w:t>；</w:t>
      </w:r>
      <w:r w:rsidR="00311012" w:rsidRPr="004E4E3B">
        <w:rPr>
          <w:rFonts w:ascii="楷体_GB2312" w:eastAsia="楷体_GB2312" w:hAnsi="宋体" w:cs="宋体" w:hint="eastAsia"/>
          <w:kern w:val="0"/>
          <w:szCs w:val="21"/>
        </w:rPr>
        <w:t>6月份社会消费品零售总额24280亿元，同比名义增长10.6%</w:t>
      </w:r>
      <w:r w:rsidR="004E4E3B">
        <w:rPr>
          <w:rFonts w:ascii="楷体_GB2312" w:eastAsia="楷体_GB2312" w:hAnsi="宋体" w:cs="宋体" w:hint="eastAsia"/>
          <w:kern w:val="0"/>
          <w:szCs w:val="21"/>
        </w:rPr>
        <w:t>；</w:t>
      </w:r>
      <w:r w:rsidR="00311012">
        <w:rPr>
          <w:rFonts w:ascii="楷体_GB2312" w:eastAsia="楷体_GB2312" w:hAnsi="宋体" w:cs="宋体" w:hint="eastAsia"/>
          <w:kern w:val="0"/>
          <w:szCs w:val="21"/>
        </w:rPr>
        <w:t>1-6月</w:t>
      </w:r>
      <w:r w:rsidR="00311012" w:rsidRPr="0068466B">
        <w:rPr>
          <w:rFonts w:ascii="楷体_GB2312" w:eastAsia="楷体_GB2312" w:hAnsi="宋体" w:cs="宋体" w:hint="eastAsia"/>
          <w:kern w:val="0"/>
          <w:szCs w:val="21"/>
        </w:rPr>
        <w:t>上规模以上工业增加值同比增长6.3%，利润总额同比下降0.7%</w:t>
      </w:r>
      <w:r w:rsidR="004E4E3B">
        <w:rPr>
          <w:rFonts w:ascii="楷体_GB2312" w:eastAsia="楷体_GB2312" w:hAnsi="宋体" w:cs="宋体" w:hint="eastAsia"/>
          <w:kern w:val="0"/>
          <w:szCs w:val="21"/>
        </w:rPr>
        <w:t>；</w:t>
      </w:r>
      <w:r w:rsidR="0085406B" w:rsidRPr="004E4E3B">
        <w:rPr>
          <w:rFonts w:ascii="楷体_GB2312" w:eastAsia="楷体_GB2312" w:hAnsi="宋体" w:cs="宋体" w:hint="eastAsia"/>
          <w:kern w:val="0"/>
          <w:szCs w:val="21"/>
        </w:rPr>
        <w:t>二季度国内生产总值(</w:t>
      </w:r>
      <w:hyperlink r:id="rId20" w:tgtFrame="_blank" w:history="1">
        <w:r w:rsidR="0085406B" w:rsidRPr="004E4E3B">
          <w:rPr>
            <w:rFonts w:ascii="楷体_GB2312" w:eastAsia="楷体_GB2312" w:hAnsi="宋体" w:cs="宋体" w:hint="eastAsia"/>
            <w:kern w:val="0"/>
            <w:szCs w:val="21"/>
          </w:rPr>
          <w:t>GDP</w:t>
        </w:r>
      </w:hyperlink>
      <w:r w:rsidR="0085406B" w:rsidRPr="004E4E3B">
        <w:rPr>
          <w:rFonts w:ascii="楷体_GB2312" w:eastAsia="楷体_GB2312" w:hAnsi="宋体" w:cs="宋体" w:hint="eastAsia"/>
          <w:kern w:val="0"/>
          <w:szCs w:val="21"/>
        </w:rPr>
        <w:t>)同比增长7%，环比增长1.7%</w:t>
      </w:r>
      <w:r w:rsidR="00F27058" w:rsidRPr="004E4E3B">
        <w:rPr>
          <w:rFonts w:ascii="楷体_GB2312" w:eastAsia="楷体_GB2312" w:hAnsi="宋体" w:cs="宋体" w:hint="eastAsia"/>
          <w:kern w:val="0"/>
          <w:szCs w:val="21"/>
        </w:rPr>
        <w:t>。</w:t>
      </w:r>
      <w:r w:rsidR="004E4E3B" w:rsidRPr="004E4E3B">
        <w:rPr>
          <w:rFonts w:ascii="楷体_GB2312" w:eastAsia="楷体_GB2312" w:hAnsi="宋体" w:cs="宋体" w:hint="eastAsia"/>
          <w:kern w:val="0"/>
          <w:szCs w:val="21"/>
        </w:rPr>
        <w:t>6月全国居民消费价格总水平同比上涨1.4%</w:t>
      </w:r>
      <w:r w:rsidR="004E4E3B">
        <w:rPr>
          <w:rFonts w:ascii="楷体_GB2312" w:eastAsia="楷体_GB2312" w:hAnsi="宋体" w:cs="宋体" w:hint="eastAsia"/>
          <w:kern w:val="0"/>
          <w:szCs w:val="21"/>
        </w:rPr>
        <w:t>，</w:t>
      </w:r>
      <w:r w:rsidR="00292B84" w:rsidRPr="0068466B">
        <w:rPr>
          <w:rFonts w:ascii="楷体_GB2312" w:eastAsia="楷体_GB2312" w:hAnsi="宋体" w:cs="宋体" w:hint="eastAsia"/>
          <w:kern w:val="0"/>
          <w:szCs w:val="21"/>
        </w:rPr>
        <w:t>7月财新制造业PMI(原</w:t>
      </w:r>
      <w:hyperlink r:id="rId21" w:tgtFrame="_blank" w:history="1">
        <w:r w:rsidR="00292B84" w:rsidRPr="0068466B">
          <w:rPr>
            <w:rFonts w:ascii="楷体_GB2312" w:eastAsia="楷体_GB2312" w:hAnsi="宋体" w:cs="宋体" w:hint="eastAsia"/>
            <w:kern w:val="0"/>
            <w:szCs w:val="21"/>
          </w:rPr>
          <w:t>汇丰制造业PMI</w:t>
        </w:r>
      </w:hyperlink>
      <w:r w:rsidR="00292B84" w:rsidRPr="0068466B">
        <w:rPr>
          <w:rFonts w:ascii="楷体_GB2312" w:eastAsia="楷体_GB2312" w:hAnsi="宋体" w:cs="宋体" w:hint="eastAsia"/>
          <w:kern w:val="0"/>
          <w:szCs w:val="21"/>
        </w:rPr>
        <w:t>)预览值降至48.2，为5个月低点。</w:t>
      </w:r>
    </w:p>
    <w:p w:rsidR="009A18F4" w:rsidRPr="00816D44" w:rsidRDefault="009A18F4" w:rsidP="0075204E">
      <w:pPr>
        <w:spacing w:beforeLines="50"/>
        <w:ind w:leftChars="1350" w:left="2835" w:firstLineChars="202" w:firstLine="568"/>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t>三、组合业绩回顾</w:t>
      </w:r>
    </w:p>
    <w:p w:rsidR="009A18F4" w:rsidRPr="005A288F" w:rsidRDefault="009A18F4" w:rsidP="005A288F">
      <w:pPr>
        <w:ind w:leftChars="1350" w:left="2835" w:firstLine="420"/>
        <w:rPr>
          <w:rFonts w:ascii="楷体_GB2312" w:eastAsia="楷体_GB2312"/>
          <w:noProof/>
          <w:color w:val="000000" w:themeColor="text1"/>
        </w:rPr>
      </w:pPr>
      <w:r w:rsidRPr="00DA1BEC">
        <w:rPr>
          <w:rFonts w:ascii="楷体_GB2312" w:eastAsia="楷体_GB2312" w:hint="eastAsia"/>
          <w:noProof/>
          <w:color w:val="000000" w:themeColor="text1"/>
        </w:rPr>
        <w:t>自2011年2月以来，截至2015年</w:t>
      </w:r>
      <w:r w:rsidR="004E4E3B">
        <w:rPr>
          <w:rFonts w:ascii="楷体_GB2312" w:eastAsia="楷体_GB2312" w:hint="eastAsia"/>
          <w:noProof/>
          <w:color w:val="000000" w:themeColor="text1"/>
        </w:rPr>
        <w:t>7</w:t>
      </w:r>
      <w:r w:rsidRPr="00DA1BEC">
        <w:rPr>
          <w:rFonts w:ascii="楷体_GB2312" w:eastAsia="楷体_GB2312" w:hint="eastAsia"/>
          <w:noProof/>
          <w:color w:val="000000" w:themeColor="text1"/>
        </w:rPr>
        <w:t>月2</w:t>
      </w:r>
      <w:r w:rsidR="004E4E3B">
        <w:rPr>
          <w:rFonts w:ascii="楷体_GB2312" w:eastAsia="楷体_GB2312" w:hint="eastAsia"/>
          <w:noProof/>
          <w:color w:val="000000" w:themeColor="text1"/>
        </w:rPr>
        <w:t>9</w:t>
      </w:r>
      <w:r w:rsidRPr="00DA1BEC">
        <w:rPr>
          <w:rFonts w:ascii="楷体_GB2312" w:eastAsia="楷体_GB2312" w:hint="eastAsia"/>
          <w:noProof/>
          <w:color w:val="000000" w:themeColor="text1"/>
        </w:rPr>
        <w:t>日上证指数上涨</w:t>
      </w:r>
      <w:r w:rsidR="004E4E3B" w:rsidRPr="004E4E3B">
        <w:rPr>
          <w:rFonts w:ascii="楷体_GB2312" w:eastAsia="楷体_GB2312"/>
          <w:noProof/>
          <w:color w:val="000000" w:themeColor="text1"/>
        </w:rPr>
        <w:t>35.78</w:t>
      </w:r>
      <w:r>
        <w:rPr>
          <w:rFonts w:ascii="楷体_GB2312" w:eastAsia="楷体_GB2312" w:hint="eastAsia"/>
          <w:noProof/>
          <w:color w:val="000000" w:themeColor="text1"/>
        </w:rPr>
        <w:t>%、深圳综指上涨</w:t>
      </w:r>
      <w:r w:rsidR="004E4E3B" w:rsidRPr="004E4E3B">
        <w:rPr>
          <w:rFonts w:ascii="楷体_GB2312" w:eastAsia="楷体_GB2312"/>
          <w:noProof/>
          <w:color w:val="000000" w:themeColor="text1"/>
        </w:rPr>
        <w:t>83.59</w:t>
      </w:r>
      <w:r>
        <w:rPr>
          <w:rFonts w:ascii="楷体_GB2312" w:eastAsia="楷体_GB2312" w:hint="eastAsia"/>
          <w:noProof/>
          <w:color w:val="000000" w:themeColor="text1"/>
        </w:rPr>
        <w:t>%</w:t>
      </w:r>
      <w:r w:rsidRPr="00DA1BEC">
        <w:rPr>
          <w:rFonts w:ascii="楷体_GB2312" w:eastAsia="楷体_GB2312" w:hint="eastAsia"/>
          <w:noProof/>
          <w:color w:val="000000" w:themeColor="text1"/>
        </w:rPr>
        <w:t>。上海证券三个风险等级组合</w:t>
      </w:r>
      <w:r>
        <w:rPr>
          <w:rFonts w:ascii="楷体_GB2312" w:eastAsia="楷体_GB2312" w:hint="eastAsia"/>
          <w:noProof/>
          <w:color w:val="000000" w:themeColor="text1"/>
        </w:rPr>
        <w:t>全线超越业绩比较基准，实现良好收益。具体来看，</w:t>
      </w:r>
      <w:r w:rsidRPr="00DA1BEC">
        <w:rPr>
          <w:rFonts w:ascii="楷体_GB2312" w:eastAsia="楷体_GB2312" w:hint="eastAsia"/>
          <w:noProof/>
          <w:color w:val="000000" w:themeColor="text1"/>
        </w:rPr>
        <w:t>积极型、平衡型、稳健型累计分别上涨</w:t>
      </w:r>
      <w:r w:rsidR="004E4E3B" w:rsidRPr="004E4E3B">
        <w:rPr>
          <w:rFonts w:ascii="楷体_GB2312" w:eastAsia="楷体_GB2312"/>
          <w:b/>
          <w:noProof/>
          <w:color w:val="000000" w:themeColor="text1"/>
        </w:rPr>
        <w:t>141.24%</w:t>
      </w:r>
      <w:r w:rsidR="004E4E3B">
        <w:rPr>
          <w:rFonts w:ascii="楷体_GB2312" w:eastAsia="楷体_GB2312" w:hint="eastAsia"/>
          <w:b/>
          <w:noProof/>
          <w:color w:val="000000" w:themeColor="text1"/>
        </w:rPr>
        <w:t>、</w:t>
      </w:r>
      <w:r w:rsidR="004E4E3B" w:rsidRPr="004E4E3B">
        <w:rPr>
          <w:rFonts w:ascii="楷体_GB2312" w:eastAsia="楷体_GB2312"/>
          <w:b/>
          <w:noProof/>
          <w:color w:val="000000" w:themeColor="text1"/>
        </w:rPr>
        <w:t>9</w:t>
      </w:r>
      <w:r w:rsidR="005A288F">
        <w:rPr>
          <w:rFonts w:ascii="楷体_GB2312" w:eastAsia="楷体_GB2312" w:hint="eastAsia"/>
          <w:b/>
          <w:noProof/>
          <w:color w:val="000000" w:themeColor="text1"/>
        </w:rPr>
        <w:t>6.35</w:t>
      </w:r>
      <w:r w:rsidR="004E4E3B" w:rsidRPr="004E4E3B">
        <w:rPr>
          <w:rFonts w:ascii="楷体_GB2312" w:eastAsia="楷体_GB2312"/>
          <w:b/>
          <w:noProof/>
          <w:color w:val="000000" w:themeColor="text1"/>
        </w:rPr>
        <w:t>%</w:t>
      </w:r>
      <w:r w:rsidR="004E4E3B">
        <w:rPr>
          <w:rFonts w:ascii="楷体_GB2312" w:eastAsia="楷体_GB2312" w:hint="eastAsia"/>
          <w:b/>
          <w:noProof/>
          <w:color w:val="000000" w:themeColor="text1"/>
        </w:rPr>
        <w:t>、</w:t>
      </w:r>
      <w:r w:rsidR="004E4E3B" w:rsidRPr="004E4E3B">
        <w:rPr>
          <w:rFonts w:ascii="楷体_GB2312" w:eastAsia="楷体_GB2312"/>
          <w:b/>
          <w:noProof/>
          <w:color w:val="000000" w:themeColor="text1"/>
        </w:rPr>
        <w:t>26.04%</w:t>
      </w:r>
      <w:r w:rsidRPr="00A839BE">
        <w:rPr>
          <w:rFonts w:ascii="楷体_GB2312" w:eastAsia="楷体_GB2312"/>
          <w:b/>
          <w:noProof/>
          <w:color w:val="000000" w:themeColor="text1"/>
        </w:rPr>
        <w:t>%</w:t>
      </w:r>
      <w:r w:rsidRPr="00DA1BEC">
        <w:rPr>
          <w:rFonts w:ascii="楷体_GB2312" w:eastAsia="楷体_GB2312" w:hint="eastAsia"/>
          <w:noProof/>
          <w:color w:val="000000" w:themeColor="text1"/>
        </w:rPr>
        <w:t>，分别超越相应基准</w:t>
      </w:r>
      <w:r w:rsidR="005A288F">
        <w:rPr>
          <w:rFonts w:ascii="楷体_GB2312" w:eastAsia="楷体_GB2312"/>
          <w:b/>
          <w:noProof/>
          <w:color w:val="000000" w:themeColor="text1"/>
        </w:rPr>
        <w:t>141.24</w:t>
      </w:r>
      <w:r w:rsidR="005A288F">
        <w:rPr>
          <w:rFonts w:ascii="楷体_GB2312" w:eastAsia="楷体_GB2312" w:hint="eastAsia"/>
          <w:b/>
          <w:noProof/>
          <w:color w:val="000000" w:themeColor="text1"/>
        </w:rPr>
        <w:t>、</w:t>
      </w:r>
      <w:r w:rsidR="005A288F">
        <w:rPr>
          <w:rFonts w:ascii="楷体_GB2312" w:eastAsia="楷体_GB2312"/>
          <w:b/>
          <w:noProof/>
          <w:color w:val="000000" w:themeColor="text1"/>
        </w:rPr>
        <w:t>96.35</w:t>
      </w:r>
      <w:r w:rsidR="005A288F">
        <w:rPr>
          <w:rFonts w:ascii="楷体_GB2312" w:eastAsia="楷体_GB2312" w:hint="eastAsia"/>
          <w:b/>
          <w:noProof/>
          <w:color w:val="000000" w:themeColor="text1"/>
        </w:rPr>
        <w:t>、</w:t>
      </w:r>
      <w:r w:rsidR="005A288F" w:rsidRPr="005A288F">
        <w:rPr>
          <w:rFonts w:ascii="楷体_GB2312" w:eastAsia="楷体_GB2312"/>
          <w:b/>
          <w:noProof/>
          <w:color w:val="000000" w:themeColor="text1"/>
        </w:rPr>
        <w:t>26.04</w:t>
      </w:r>
      <w:r w:rsidRPr="00DA1BEC">
        <w:rPr>
          <w:rFonts w:ascii="楷体_GB2312" w:eastAsia="楷体_GB2312" w:hint="eastAsia"/>
          <w:noProof/>
          <w:color w:val="000000" w:themeColor="text1"/>
        </w:rPr>
        <w:t>个百分点。2015年</w:t>
      </w:r>
      <w:r w:rsidR="004E4E3B">
        <w:rPr>
          <w:rFonts w:ascii="楷体_GB2312" w:eastAsia="楷体_GB2312" w:hint="eastAsia"/>
          <w:noProof/>
          <w:color w:val="000000" w:themeColor="text1"/>
        </w:rPr>
        <w:t>7</w:t>
      </w:r>
      <w:r w:rsidRPr="00DA1BEC">
        <w:rPr>
          <w:rFonts w:ascii="楷体_GB2312" w:eastAsia="楷体_GB2312" w:hint="eastAsia"/>
          <w:noProof/>
          <w:color w:val="000000" w:themeColor="text1"/>
        </w:rPr>
        <w:t>月，</w:t>
      </w:r>
      <w:r>
        <w:rPr>
          <w:rFonts w:ascii="楷体_GB2312" w:eastAsia="楷体_GB2312" w:hint="eastAsia"/>
          <w:noProof/>
          <w:color w:val="000000" w:themeColor="text1"/>
        </w:rPr>
        <w:t>受累股指</w:t>
      </w:r>
      <w:r w:rsidR="004E4E3B">
        <w:rPr>
          <w:rFonts w:ascii="楷体_GB2312" w:eastAsia="楷体_GB2312" w:hint="eastAsia"/>
          <w:noProof/>
          <w:color w:val="000000" w:themeColor="text1"/>
        </w:rPr>
        <w:t>重挫</w:t>
      </w:r>
      <w:r>
        <w:rPr>
          <w:rFonts w:ascii="楷体_GB2312" w:eastAsia="楷体_GB2312" w:hint="eastAsia"/>
          <w:noProof/>
          <w:color w:val="000000" w:themeColor="text1"/>
        </w:rPr>
        <w:t>，</w:t>
      </w:r>
      <w:r w:rsidRPr="00DA1BEC">
        <w:rPr>
          <w:rFonts w:ascii="楷体_GB2312" w:eastAsia="楷体_GB2312" w:hint="eastAsia"/>
          <w:noProof/>
          <w:color w:val="000000" w:themeColor="text1"/>
        </w:rPr>
        <w:t>上海证券旗下基金组合全部</w:t>
      </w:r>
      <w:r>
        <w:rPr>
          <w:rFonts w:ascii="楷体_GB2312" w:eastAsia="楷体_GB2312" w:hint="eastAsia"/>
          <w:noProof/>
          <w:color w:val="000000" w:themeColor="text1"/>
        </w:rPr>
        <w:t>亏损</w:t>
      </w:r>
      <w:r w:rsidRPr="00DA1BEC">
        <w:rPr>
          <w:rFonts w:ascii="楷体_GB2312" w:eastAsia="楷体_GB2312" w:hint="eastAsia"/>
          <w:noProof/>
          <w:color w:val="000000" w:themeColor="text1"/>
        </w:rPr>
        <w:t>，</w:t>
      </w:r>
      <w:r>
        <w:rPr>
          <w:rFonts w:ascii="楷体_GB2312" w:eastAsia="楷体_GB2312" w:hint="eastAsia"/>
          <w:noProof/>
          <w:color w:val="000000" w:themeColor="text1"/>
        </w:rPr>
        <w:t>其中</w:t>
      </w:r>
      <w:r w:rsidRPr="00DA1BEC">
        <w:rPr>
          <w:rFonts w:ascii="楷体_GB2312" w:eastAsia="楷体_GB2312" w:hint="eastAsia"/>
          <w:noProof/>
          <w:color w:val="000000" w:themeColor="text1"/>
        </w:rPr>
        <w:t>积极型</w:t>
      </w:r>
      <w:r>
        <w:rPr>
          <w:rFonts w:ascii="楷体_GB2312" w:eastAsia="楷体_GB2312" w:hint="eastAsia"/>
          <w:noProof/>
          <w:color w:val="000000" w:themeColor="text1"/>
        </w:rPr>
        <w:t>、</w:t>
      </w:r>
      <w:r w:rsidRPr="00DA1BEC">
        <w:rPr>
          <w:rFonts w:ascii="楷体_GB2312" w:eastAsia="楷体_GB2312" w:hint="eastAsia"/>
          <w:noProof/>
          <w:color w:val="000000" w:themeColor="text1"/>
        </w:rPr>
        <w:t>平衡型组合</w:t>
      </w:r>
      <w:r>
        <w:rPr>
          <w:rFonts w:ascii="楷体_GB2312" w:eastAsia="楷体_GB2312" w:hint="eastAsia"/>
          <w:noProof/>
          <w:color w:val="000000" w:themeColor="text1"/>
        </w:rPr>
        <w:t>分别下跌</w:t>
      </w:r>
      <w:r w:rsidR="005A288F" w:rsidRPr="005A288F">
        <w:rPr>
          <w:rFonts w:ascii="楷体_GB2312" w:eastAsia="楷体_GB2312"/>
          <w:noProof/>
          <w:color w:val="000000" w:themeColor="text1"/>
        </w:rPr>
        <w:t>7.58%</w:t>
      </w:r>
      <w:r w:rsidR="005A288F">
        <w:rPr>
          <w:rFonts w:ascii="楷体_GB2312" w:eastAsia="楷体_GB2312" w:hint="eastAsia"/>
          <w:noProof/>
          <w:color w:val="000000" w:themeColor="text1"/>
        </w:rPr>
        <w:t>、</w:t>
      </w:r>
      <w:r w:rsidR="005A288F" w:rsidRPr="005A288F">
        <w:rPr>
          <w:rFonts w:ascii="楷体_GB2312" w:eastAsia="楷体_GB2312"/>
          <w:noProof/>
          <w:color w:val="000000" w:themeColor="text1"/>
        </w:rPr>
        <w:t>3.78%</w:t>
      </w:r>
      <w:r w:rsidRPr="001E12CF">
        <w:rPr>
          <w:rFonts w:ascii="楷体_GB2312" w:eastAsia="楷体_GB2312"/>
          <w:noProof/>
          <w:color w:val="000000" w:themeColor="text1"/>
        </w:rPr>
        <w:t>%</w:t>
      </w:r>
      <w:r>
        <w:rPr>
          <w:rFonts w:ascii="楷体_GB2312" w:eastAsia="楷体_GB2312" w:hint="eastAsia"/>
          <w:noProof/>
          <w:color w:val="000000" w:themeColor="text1"/>
        </w:rPr>
        <w:t>，但大幅超越业绩比较基准和市场整体表现，体现出良好的风险控制水平</w:t>
      </w:r>
      <w:r w:rsidRPr="00DA1BEC">
        <w:rPr>
          <w:rFonts w:ascii="楷体_GB2312" w:eastAsia="楷体_GB2312" w:hint="eastAsia"/>
          <w:noProof/>
          <w:color w:val="000000" w:themeColor="text1"/>
        </w:rPr>
        <w:t>。</w:t>
      </w:r>
    </w:p>
    <w:p w:rsidR="009A18F4" w:rsidRPr="00144B03" w:rsidRDefault="009A18F4" w:rsidP="009A18F4">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表3 组合业绩回顾</w:t>
      </w:r>
    </w:p>
    <w:tbl>
      <w:tblPr>
        <w:tblW w:w="5000" w:type="pct"/>
        <w:tblLook w:val="04A0"/>
      </w:tblPr>
      <w:tblGrid>
        <w:gridCol w:w="1366"/>
        <w:gridCol w:w="1366"/>
        <w:gridCol w:w="1367"/>
        <w:gridCol w:w="1369"/>
        <w:gridCol w:w="1367"/>
        <w:gridCol w:w="1367"/>
        <w:gridCol w:w="1369"/>
      </w:tblGrid>
      <w:tr w:rsidR="009A18F4" w:rsidRPr="00BD1E88" w:rsidTr="00DE017A">
        <w:trPr>
          <w:trHeight w:val="285"/>
        </w:trPr>
        <w:tc>
          <w:tcPr>
            <w:tcW w:w="714" w:type="pct"/>
            <w:vMerge w:val="restart"/>
            <w:tcBorders>
              <w:top w:val="single" w:sz="8" w:space="0" w:color="auto"/>
              <w:left w:val="single" w:sz="8" w:space="0" w:color="auto"/>
              <w:bottom w:val="single" w:sz="8" w:space="0" w:color="000000"/>
              <w:right w:val="single" w:sz="8" w:space="0" w:color="auto"/>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A18F4" w:rsidRPr="00BD1E88" w:rsidRDefault="009A18F4" w:rsidP="005A288F">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w:t>
            </w:r>
            <w:r>
              <w:rPr>
                <w:rFonts w:ascii="楷体_GB2312" w:eastAsia="楷体_GB2312" w:hAnsi="宋体" w:cs="宋体" w:hint="eastAsia"/>
                <w:b/>
                <w:bCs/>
                <w:color w:val="FFFFFF"/>
                <w:kern w:val="0"/>
                <w:szCs w:val="21"/>
              </w:rPr>
              <w:t>5</w:t>
            </w:r>
            <w:r w:rsidRPr="00BD1E88">
              <w:rPr>
                <w:rFonts w:ascii="楷体_GB2312" w:eastAsia="楷体_GB2312" w:hAnsi="宋体" w:cs="宋体" w:hint="eastAsia"/>
                <w:b/>
                <w:bCs/>
                <w:color w:val="FFFFFF"/>
                <w:kern w:val="0"/>
                <w:szCs w:val="21"/>
              </w:rPr>
              <w:t>年</w:t>
            </w:r>
            <w:r w:rsidR="005A288F">
              <w:rPr>
                <w:rFonts w:ascii="楷体_GB2312" w:eastAsia="楷体_GB2312" w:hAnsi="宋体" w:cs="宋体" w:hint="eastAsia"/>
                <w:b/>
                <w:bCs/>
                <w:color w:val="FFFFFF"/>
                <w:kern w:val="0"/>
                <w:szCs w:val="21"/>
              </w:rPr>
              <w:t>7</w:t>
            </w:r>
            <w:r w:rsidRPr="00BD1E88">
              <w:rPr>
                <w:rFonts w:ascii="楷体_GB2312" w:eastAsia="楷体_GB2312" w:hAnsi="宋体" w:cs="宋体" w:hint="eastAsia"/>
                <w:b/>
                <w:bCs/>
                <w:color w:val="FFFFFF"/>
                <w:kern w:val="0"/>
                <w:szCs w:val="21"/>
              </w:rPr>
              <w:t>月</w:t>
            </w:r>
          </w:p>
        </w:tc>
        <w:tc>
          <w:tcPr>
            <w:tcW w:w="2143" w:type="pct"/>
            <w:gridSpan w:val="3"/>
            <w:tcBorders>
              <w:top w:val="nil"/>
              <w:left w:val="nil"/>
              <w:bottom w:val="nil"/>
              <w:right w:val="nil"/>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组合设立以来</w:t>
            </w:r>
          </w:p>
        </w:tc>
      </w:tr>
      <w:tr w:rsidR="009A18F4" w:rsidRPr="00BD1E88" w:rsidTr="00DE017A">
        <w:trPr>
          <w:trHeight w:val="300"/>
        </w:trPr>
        <w:tc>
          <w:tcPr>
            <w:tcW w:w="714" w:type="pct"/>
            <w:vMerge/>
            <w:tcBorders>
              <w:top w:val="single" w:sz="8" w:space="0" w:color="auto"/>
              <w:left w:val="single" w:sz="8" w:space="0" w:color="auto"/>
              <w:bottom w:val="single" w:sz="8" w:space="0" w:color="000000"/>
              <w:right w:val="single" w:sz="8" w:space="0" w:color="auto"/>
            </w:tcBorders>
            <w:vAlign w:val="center"/>
            <w:hideMark/>
          </w:tcPr>
          <w:p w:rsidR="009A18F4" w:rsidRPr="00BD1E88" w:rsidRDefault="009A18F4" w:rsidP="00DE017A">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5A288F" w:rsidRPr="00BD1E88"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A288F" w:rsidRPr="00BD1E88" w:rsidRDefault="005A288F"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nil"/>
              <w:left w:val="nil"/>
              <w:bottom w:val="single" w:sz="8" w:space="0" w:color="auto"/>
              <w:right w:val="single" w:sz="8" w:space="0" w:color="auto"/>
            </w:tcBorders>
            <w:shd w:val="clear" w:color="auto" w:fill="auto"/>
            <w:noWrap/>
            <w:vAlign w:val="bottom"/>
            <w:hideMark/>
          </w:tcPr>
          <w:p w:rsidR="005A288F" w:rsidRPr="00BF1C5F" w:rsidRDefault="005A288F" w:rsidP="00BF1C5F">
            <w:pPr>
              <w:jc w:val="center"/>
              <w:rPr>
                <w:color w:val="FF0000"/>
              </w:rPr>
            </w:pPr>
            <w:r w:rsidRPr="00BF1C5F">
              <w:rPr>
                <w:rFonts w:hint="eastAsia"/>
                <w:color w:val="FF0000"/>
              </w:rPr>
              <w:t>-7.58%</w:t>
            </w:r>
          </w:p>
        </w:tc>
        <w:tc>
          <w:tcPr>
            <w:tcW w:w="714" w:type="pct"/>
            <w:tcBorders>
              <w:top w:val="nil"/>
              <w:left w:val="nil"/>
              <w:bottom w:val="single" w:sz="8" w:space="0" w:color="auto"/>
              <w:right w:val="single" w:sz="8" w:space="0" w:color="auto"/>
            </w:tcBorders>
            <w:shd w:val="clear" w:color="auto" w:fill="auto"/>
            <w:noWrap/>
            <w:vAlign w:val="center"/>
            <w:hideMark/>
          </w:tcPr>
          <w:p w:rsidR="005A288F" w:rsidRPr="00BF1C5F" w:rsidRDefault="005A288F" w:rsidP="00BF1C5F">
            <w:pPr>
              <w:jc w:val="center"/>
              <w:rPr>
                <w:color w:val="FF0000"/>
              </w:rPr>
            </w:pPr>
            <w:r w:rsidRPr="00BF1C5F">
              <w:rPr>
                <w:rFonts w:hint="eastAsia"/>
                <w:color w:val="FF0000"/>
              </w:rPr>
              <w:t>-11.49%</w:t>
            </w:r>
          </w:p>
        </w:tc>
        <w:tc>
          <w:tcPr>
            <w:tcW w:w="715" w:type="pct"/>
            <w:tcBorders>
              <w:top w:val="nil"/>
              <w:left w:val="nil"/>
              <w:bottom w:val="single" w:sz="8" w:space="0" w:color="auto"/>
              <w:right w:val="single" w:sz="8" w:space="0" w:color="auto"/>
            </w:tcBorders>
            <w:shd w:val="clear" w:color="auto" w:fill="auto"/>
            <w:noWrap/>
            <w:hideMark/>
          </w:tcPr>
          <w:p w:rsidR="005A288F" w:rsidRPr="00BF1C5F" w:rsidRDefault="005A288F" w:rsidP="00BF1C5F">
            <w:pPr>
              <w:jc w:val="center"/>
              <w:rPr>
                <w:b/>
                <w:color w:val="0D0D0D"/>
              </w:rPr>
            </w:pPr>
            <w:r w:rsidRPr="00BF1C5F">
              <w:rPr>
                <w:b/>
                <w:color w:val="0D0D0D"/>
              </w:rPr>
              <w:t>3.91%</w:t>
            </w:r>
          </w:p>
        </w:tc>
        <w:tc>
          <w:tcPr>
            <w:tcW w:w="714" w:type="pct"/>
            <w:tcBorders>
              <w:top w:val="nil"/>
              <w:left w:val="nil"/>
              <w:bottom w:val="single" w:sz="8" w:space="0" w:color="auto"/>
              <w:right w:val="single" w:sz="8" w:space="0" w:color="auto"/>
            </w:tcBorders>
            <w:shd w:val="clear" w:color="auto" w:fill="auto"/>
            <w:noWrap/>
            <w:vAlign w:val="bottom"/>
            <w:hideMark/>
          </w:tcPr>
          <w:p w:rsidR="005A288F" w:rsidRPr="00BF1C5F" w:rsidRDefault="005A288F" w:rsidP="00BF1C5F">
            <w:pPr>
              <w:jc w:val="center"/>
              <w:rPr>
                <w:color w:val="0D0D0D"/>
              </w:rPr>
            </w:pPr>
            <w:r>
              <w:rPr>
                <w:rFonts w:hint="eastAsia"/>
                <w:color w:val="0D0D0D"/>
              </w:rPr>
              <w:t>141.24%</w:t>
            </w:r>
          </w:p>
        </w:tc>
        <w:tc>
          <w:tcPr>
            <w:tcW w:w="714" w:type="pct"/>
            <w:tcBorders>
              <w:top w:val="nil"/>
              <w:left w:val="nil"/>
              <w:bottom w:val="single" w:sz="8" w:space="0" w:color="auto"/>
              <w:right w:val="single" w:sz="8" w:space="0" w:color="auto"/>
            </w:tcBorders>
            <w:shd w:val="clear" w:color="auto" w:fill="auto"/>
            <w:noWrap/>
            <w:vAlign w:val="bottom"/>
            <w:hideMark/>
          </w:tcPr>
          <w:p w:rsidR="005A288F" w:rsidRPr="00BF1C5F" w:rsidRDefault="005A288F" w:rsidP="00BF1C5F">
            <w:pPr>
              <w:jc w:val="center"/>
              <w:rPr>
                <w:color w:val="0D0D0D"/>
              </w:rPr>
            </w:pPr>
            <w:r>
              <w:rPr>
                <w:rFonts w:hint="eastAsia"/>
                <w:color w:val="0D0D0D"/>
              </w:rPr>
              <w:t>51.11%</w:t>
            </w:r>
          </w:p>
        </w:tc>
        <w:tc>
          <w:tcPr>
            <w:tcW w:w="715" w:type="pct"/>
            <w:tcBorders>
              <w:top w:val="nil"/>
              <w:left w:val="nil"/>
              <w:bottom w:val="single" w:sz="8" w:space="0" w:color="auto"/>
              <w:right w:val="single" w:sz="8" w:space="0" w:color="auto"/>
            </w:tcBorders>
            <w:shd w:val="clear" w:color="auto" w:fill="auto"/>
            <w:noWrap/>
            <w:hideMark/>
          </w:tcPr>
          <w:p w:rsidR="005A288F" w:rsidRPr="00BF1C5F" w:rsidRDefault="005A288F" w:rsidP="00BF1C5F">
            <w:pPr>
              <w:jc w:val="center"/>
              <w:rPr>
                <w:b/>
                <w:color w:val="0D0D0D"/>
              </w:rPr>
            </w:pPr>
            <w:r w:rsidRPr="00BF1C5F">
              <w:rPr>
                <w:b/>
                <w:color w:val="0D0D0D"/>
              </w:rPr>
              <w:t>90.13%</w:t>
            </w:r>
          </w:p>
        </w:tc>
      </w:tr>
      <w:tr w:rsidR="005A288F" w:rsidRPr="00BD1E88"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A288F" w:rsidRPr="00BD1E88" w:rsidRDefault="005A288F"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nil"/>
              <w:bottom w:val="single" w:sz="8" w:space="0" w:color="auto"/>
              <w:right w:val="single" w:sz="8" w:space="0" w:color="auto"/>
            </w:tcBorders>
            <w:shd w:val="clear" w:color="auto" w:fill="auto"/>
            <w:noWrap/>
            <w:vAlign w:val="bottom"/>
            <w:hideMark/>
          </w:tcPr>
          <w:p w:rsidR="005A288F" w:rsidRPr="00BF1C5F" w:rsidRDefault="005A288F" w:rsidP="00BF1C5F">
            <w:pPr>
              <w:jc w:val="center"/>
              <w:rPr>
                <w:color w:val="FF0000"/>
              </w:rPr>
            </w:pPr>
            <w:r w:rsidRPr="00BF1C5F">
              <w:rPr>
                <w:rFonts w:hint="eastAsia"/>
                <w:color w:val="FF0000"/>
              </w:rPr>
              <w:t>-3.78%</w:t>
            </w:r>
          </w:p>
        </w:tc>
        <w:tc>
          <w:tcPr>
            <w:tcW w:w="714" w:type="pct"/>
            <w:tcBorders>
              <w:top w:val="nil"/>
              <w:left w:val="nil"/>
              <w:bottom w:val="single" w:sz="8" w:space="0" w:color="auto"/>
              <w:right w:val="single" w:sz="8" w:space="0" w:color="auto"/>
            </w:tcBorders>
            <w:shd w:val="clear" w:color="auto" w:fill="auto"/>
            <w:noWrap/>
            <w:vAlign w:val="center"/>
            <w:hideMark/>
          </w:tcPr>
          <w:p w:rsidR="005A288F" w:rsidRPr="00BF1C5F" w:rsidRDefault="005A288F" w:rsidP="00BF1C5F">
            <w:pPr>
              <w:jc w:val="center"/>
              <w:rPr>
                <w:color w:val="FF0000"/>
              </w:rPr>
            </w:pPr>
            <w:r w:rsidRPr="00BF1C5F">
              <w:rPr>
                <w:rFonts w:hint="eastAsia"/>
                <w:color w:val="FF0000"/>
              </w:rPr>
              <w:t>-5.64%</w:t>
            </w:r>
          </w:p>
        </w:tc>
        <w:tc>
          <w:tcPr>
            <w:tcW w:w="715" w:type="pct"/>
            <w:tcBorders>
              <w:top w:val="nil"/>
              <w:left w:val="nil"/>
              <w:bottom w:val="single" w:sz="8" w:space="0" w:color="auto"/>
              <w:right w:val="single" w:sz="8" w:space="0" w:color="auto"/>
            </w:tcBorders>
            <w:shd w:val="clear" w:color="auto" w:fill="auto"/>
            <w:noWrap/>
            <w:hideMark/>
          </w:tcPr>
          <w:p w:rsidR="005A288F" w:rsidRPr="00BF1C5F" w:rsidRDefault="005A288F" w:rsidP="00BF1C5F">
            <w:pPr>
              <w:jc w:val="center"/>
              <w:rPr>
                <w:b/>
                <w:color w:val="0D0D0D"/>
              </w:rPr>
            </w:pPr>
            <w:r w:rsidRPr="00BF1C5F">
              <w:rPr>
                <w:b/>
                <w:color w:val="0D0D0D"/>
              </w:rPr>
              <w:t>1.86%</w:t>
            </w:r>
          </w:p>
        </w:tc>
        <w:tc>
          <w:tcPr>
            <w:tcW w:w="714" w:type="pct"/>
            <w:tcBorders>
              <w:top w:val="nil"/>
              <w:left w:val="nil"/>
              <w:bottom w:val="single" w:sz="8" w:space="0" w:color="auto"/>
              <w:right w:val="single" w:sz="8" w:space="0" w:color="auto"/>
            </w:tcBorders>
            <w:shd w:val="clear" w:color="auto" w:fill="auto"/>
            <w:noWrap/>
            <w:vAlign w:val="bottom"/>
            <w:hideMark/>
          </w:tcPr>
          <w:p w:rsidR="005A288F" w:rsidRPr="00BF1C5F" w:rsidRDefault="005A288F" w:rsidP="00BF1C5F">
            <w:pPr>
              <w:jc w:val="center"/>
              <w:rPr>
                <w:color w:val="0D0D0D"/>
              </w:rPr>
            </w:pPr>
            <w:r>
              <w:rPr>
                <w:rFonts w:hint="eastAsia"/>
                <w:color w:val="0D0D0D"/>
              </w:rPr>
              <w:t>96.35%</w:t>
            </w:r>
          </w:p>
        </w:tc>
        <w:tc>
          <w:tcPr>
            <w:tcW w:w="714" w:type="pct"/>
            <w:tcBorders>
              <w:top w:val="nil"/>
              <w:left w:val="nil"/>
              <w:bottom w:val="single" w:sz="8" w:space="0" w:color="auto"/>
              <w:right w:val="single" w:sz="8" w:space="0" w:color="auto"/>
            </w:tcBorders>
            <w:shd w:val="clear" w:color="auto" w:fill="auto"/>
            <w:noWrap/>
            <w:vAlign w:val="bottom"/>
            <w:hideMark/>
          </w:tcPr>
          <w:p w:rsidR="005A288F" w:rsidRPr="00BF1C5F" w:rsidRDefault="005A288F" w:rsidP="00BF1C5F">
            <w:pPr>
              <w:jc w:val="center"/>
              <w:rPr>
                <w:color w:val="0D0D0D"/>
              </w:rPr>
            </w:pPr>
            <w:r>
              <w:rPr>
                <w:rFonts w:hint="eastAsia"/>
                <w:color w:val="0D0D0D"/>
              </w:rPr>
              <w:t>46.44%</w:t>
            </w:r>
          </w:p>
        </w:tc>
        <w:tc>
          <w:tcPr>
            <w:tcW w:w="715" w:type="pct"/>
            <w:tcBorders>
              <w:top w:val="nil"/>
              <w:left w:val="nil"/>
              <w:bottom w:val="single" w:sz="8" w:space="0" w:color="auto"/>
              <w:right w:val="single" w:sz="8" w:space="0" w:color="auto"/>
            </w:tcBorders>
            <w:shd w:val="clear" w:color="auto" w:fill="auto"/>
            <w:noWrap/>
            <w:hideMark/>
          </w:tcPr>
          <w:p w:rsidR="005A288F" w:rsidRPr="00BF1C5F" w:rsidRDefault="005A288F" w:rsidP="00BF1C5F">
            <w:pPr>
              <w:jc w:val="center"/>
              <w:rPr>
                <w:b/>
                <w:color w:val="0D0D0D"/>
              </w:rPr>
            </w:pPr>
            <w:r w:rsidRPr="00BF1C5F">
              <w:rPr>
                <w:b/>
                <w:color w:val="0D0D0D"/>
              </w:rPr>
              <w:t>49.92%</w:t>
            </w:r>
          </w:p>
        </w:tc>
      </w:tr>
      <w:tr w:rsidR="005A288F" w:rsidRPr="00BD1E88" w:rsidTr="00251B81">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A288F" w:rsidRPr="00BD1E88" w:rsidRDefault="005A288F"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nil"/>
              <w:bottom w:val="single" w:sz="8" w:space="0" w:color="auto"/>
              <w:right w:val="single" w:sz="8" w:space="0" w:color="auto"/>
            </w:tcBorders>
            <w:shd w:val="clear" w:color="auto" w:fill="auto"/>
            <w:noWrap/>
            <w:vAlign w:val="center"/>
            <w:hideMark/>
          </w:tcPr>
          <w:p w:rsidR="005A288F" w:rsidRPr="00BF1C5F" w:rsidRDefault="005A288F" w:rsidP="00BF1C5F">
            <w:pPr>
              <w:jc w:val="center"/>
              <w:rPr>
                <w:color w:val="0D0D0D"/>
              </w:rPr>
            </w:pPr>
            <w:r w:rsidRPr="00BF1C5F">
              <w:rPr>
                <w:rFonts w:hint="eastAsia"/>
                <w:color w:val="0D0D0D"/>
              </w:rPr>
              <w:t>0.09%</w:t>
            </w:r>
          </w:p>
        </w:tc>
        <w:tc>
          <w:tcPr>
            <w:tcW w:w="714" w:type="pct"/>
            <w:tcBorders>
              <w:top w:val="nil"/>
              <w:left w:val="nil"/>
              <w:bottom w:val="single" w:sz="8" w:space="0" w:color="auto"/>
              <w:right w:val="single" w:sz="8" w:space="0" w:color="auto"/>
            </w:tcBorders>
            <w:shd w:val="clear" w:color="auto" w:fill="auto"/>
            <w:noWrap/>
            <w:vAlign w:val="center"/>
            <w:hideMark/>
          </w:tcPr>
          <w:p w:rsidR="005A288F" w:rsidRPr="00BF1C5F" w:rsidRDefault="005A288F" w:rsidP="00BF1C5F">
            <w:pPr>
              <w:jc w:val="center"/>
              <w:rPr>
                <w:color w:val="0D0D0D"/>
              </w:rPr>
            </w:pPr>
            <w:r w:rsidRPr="00BF1C5F">
              <w:rPr>
                <w:rFonts w:hint="eastAsia"/>
                <w:color w:val="0D0D0D"/>
              </w:rPr>
              <w:t>0.18%</w:t>
            </w:r>
          </w:p>
        </w:tc>
        <w:tc>
          <w:tcPr>
            <w:tcW w:w="715" w:type="pct"/>
            <w:tcBorders>
              <w:top w:val="nil"/>
              <w:left w:val="nil"/>
              <w:bottom w:val="single" w:sz="8" w:space="0" w:color="auto"/>
              <w:right w:val="single" w:sz="8" w:space="0" w:color="auto"/>
            </w:tcBorders>
            <w:shd w:val="clear" w:color="auto" w:fill="auto"/>
            <w:noWrap/>
            <w:hideMark/>
          </w:tcPr>
          <w:p w:rsidR="005A288F" w:rsidRPr="00BF1C5F" w:rsidRDefault="005A288F" w:rsidP="00BF1C5F">
            <w:pPr>
              <w:jc w:val="center"/>
              <w:rPr>
                <w:b/>
                <w:color w:val="FF0000"/>
              </w:rPr>
            </w:pPr>
            <w:r w:rsidRPr="00BF1C5F">
              <w:rPr>
                <w:b/>
                <w:color w:val="FF0000"/>
              </w:rPr>
              <w:t>-0.09%</w:t>
            </w:r>
          </w:p>
        </w:tc>
        <w:tc>
          <w:tcPr>
            <w:tcW w:w="714" w:type="pct"/>
            <w:tcBorders>
              <w:top w:val="nil"/>
              <w:left w:val="nil"/>
              <w:bottom w:val="single" w:sz="8" w:space="0" w:color="auto"/>
              <w:right w:val="single" w:sz="8" w:space="0" w:color="auto"/>
            </w:tcBorders>
            <w:shd w:val="clear" w:color="auto" w:fill="auto"/>
            <w:noWrap/>
            <w:vAlign w:val="bottom"/>
            <w:hideMark/>
          </w:tcPr>
          <w:p w:rsidR="005A288F" w:rsidRPr="00BF1C5F" w:rsidRDefault="005A288F" w:rsidP="00BF1C5F">
            <w:pPr>
              <w:jc w:val="center"/>
              <w:rPr>
                <w:color w:val="0D0D0D"/>
              </w:rPr>
            </w:pPr>
            <w:r>
              <w:rPr>
                <w:rFonts w:hint="eastAsia"/>
                <w:color w:val="0D0D0D"/>
              </w:rPr>
              <w:t>26.04%</w:t>
            </w:r>
          </w:p>
        </w:tc>
        <w:tc>
          <w:tcPr>
            <w:tcW w:w="714" w:type="pct"/>
            <w:tcBorders>
              <w:top w:val="nil"/>
              <w:left w:val="nil"/>
              <w:bottom w:val="single" w:sz="8" w:space="0" w:color="auto"/>
              <w:right w:val="single" w:sz="8" w:space="0" w:color="auto"/>
            </w:tcBorders>
            <w:shd w:val="clear" w:color="auto" w:fill="auto"/>
            <w:noWrap/>
            <w:vAlign w:val="bottom"/>
            <w:hideMark/>
          </w:tcPr>
          <w:p w:rsidR="005A288F" w:rsidRPr="00BF1C5F" w:rsidRDefault="005A288F" w:rsidP="00BF1C5F">
            <w:pPr>
              <w:jc w:val="center"/>
              <w:rPr>
                <w:color w:val="0D0D0D"/>
              </w:rPr>
            </w:pPr>
            <w:r>
              <w:rPr>
                <w:rFonts w:hint="eastAsia"/>
                <w:color w:val="0D0D0D"/>
              </w:rPr>
              <w:t>14.52%</w:t>
            </w:r>
          </w:p>
        </w:tc>
        <w:tc>
          <w:tcPr>
            <w:tcW w:w="715" w:type="pct"/>
            <w:tcBorders>
              <w:top w:val="nil"/>
              <w:left w:val="nil"/>
              <w:bottom w:val="single" w:sz="8" w:space="0" w:color="auto"/>
              <w:right w:val="single" w:sz="8" w:space="0" w:color="auto"/>
            </w:tcBorders>
            <w:shd w:val="clear" w:color="auto" w:fill="auto"/>
            <w:noWrap/>
            <w:hideMark/>
          </w:tcPr>
          <w:p w:rsidR="005A288F" w:rsidRPr="00BF1C5F" w:rsidRDefault="005A288F" w:rsidP="00BF1C5F">
            <w:pPr>
              <w:jc w:val="center"/>
              <w:rPr>
                <w:b/>
                <w:color w:val="0D0D0D"/>
              </w:rPr>
            </w:pPr>
            <w:r w:rsidRPr="00BF1C5F">
              <w:rPr>
                <w:b/>
                <w:color w:val="0D0D0D"/>
              </w:rPr>
              <w:t>11.52%</w:t>
            </w:r>
          </w:p>
        </w:tc>
      </w:tr>
      <w:tr w:rsidR="009A18F4" w:rsidRPr="00BD1E88" w:rsidTr="00DE017A">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2014年</w:t>
            </w:r>
            <w:r w:rsidRPr="00BD1E88">
              <w:rPr>
                <w:rFonts w:ascii="楷体_GB2312" w:eastAsia="楷体_GB2312" w:hAnsi="宋体" w:cs="宋体" w:hint="eastAsia"/>
                <w:b/>
                <w:bCs/>
                <w:color w:val="FFFFFF"/>
                <w:kern w:val="0"/>
                <w:szCs w:val="21"/>
              </w:rPr>
              <w:t>全年</w:t>
            </w:r>
          </w:p>
        </w:tc>
        <w:tc>
          <w:tcPr>
            <w:tcW w:w="2143" w:type="pct"/>
            <w:gridSpan w:val="3"/>
            <w:tcBorders>
              <w:top w:val="nil"/>
              <w:left w:val="nil"/>
              <w:bottom w:val="nil"/>
              <w:right w:val="nil"/>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2013年全年</w:t>
            </w:r>
          </w:p>
        </w:tc>
      </w:tr>
      <w:tr w:rsidR="009A18F4" w:rsidRPr="00BD1E88" w:rsidTr="00DE017A">
        <w:trPr>
          <w:trHeight w:val="300"/>
        </w:trPr>
        <w:tc>
          <w:tcPr>
            <w:tcW w:w="714" w:type="pct"/>
            <w:vMerge/>
            <w:tcBorders>
              <w:top w:val="nil"/>
              <w:left w:val="single" w:sz="8" w:space="0" w:color="auto"/>
              <w:bottom w:val="single" w:sz="8" w:space="0" w:color="000000"/>
              <w:right w:val="single" w:sz="8" w:space="0" w:color="auto"/>
            </w:tcBorders>
            <w:vAlign w:val="center"/>
            <w:hideMark/>
          </w:tcPr>
          <w:p w:rsidR="009A18F4" w:rsidRPr="00BD1E88" w:rsidRDefault="009A18F4" w:rsidP="00DE017A">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9A18F4" w:rsidRPr="00BD1E88"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8F4" w:rsidRDefault="009A18F4" w:rsidP="00DE017A">
            <w:pPr>
              <w:jc w:val="center"/>
              <w:rPr>
                <w:rFonts w:ascii="宋体" w:hAnsi="宋体" w:cs="宋体"/>
                <w:color w:val="0D0D0D"/>
                <w:sz w:val="24"/>
              </w:rPr>
            </w:pPr>
            <w:r>
              <w:rPr>
                <w:rFonts w:hint="eastAsia"/>
                <w:color w:val="0D0D0D"/>
              </w:rPr>
              <w:t>54.94%</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9A18F4" w:rsidRDefault="009A18F4" w:rsidP="00DE017A">
            <w:pPr>
              <w:jc w:val="center"/>
              <w:rPr>
                <w:rFonts w:ascii="宋体" w:hAnsi="宋体" w:cs="宋体"/>
                <w:color w:val="0D0D0D"/>
                <w:sz w:val="24"/>
              </w:rPr>
            </w:pPr>
            <w:r>
              <w:rPr>
                <w:rFonts w:hint="eastAsia"/>
                <w:color w:val="0D0D0D"/>
              </w:rPr>
              <w:t>21.76%</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3F21CF" w:rsidRDefault="009A18F4" w:rsidP="00DE017A">
            <w:pPr>
              <w:jc w:val="center"/>
              <w:rPr>
                <w:b/>
                <w:i/>
                <w:color w:val="0D0D0D"/>
              </w:rPr>
            </w:pPr>
            <w:r w:rsidRPr="003F21CF">
              <w:rPr>
                <w:rFonts w:hint="eastAsia"/>
                <w:b/>
                <w:i/>
                <w:color w:val="0D0D0D"/>
              </w:rPr>
              <w:t>28.08%</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5A3EE9" w:rsidRDefault="009A18F4" w:rsidP="00DE017A">
            <w:pPr>
              <w:jc w:val="center"/>
              <w:rPr>
                <w:i/>
                <w:color w:val="0D0D0D"/>
              </w:rPr>
            </w:pPr>
            <w:r w:rsidRPr="002D0839">
              <w:rPr>
                <w:rFonts w:hint="eastAsia"/>
                <w:i/>
                <w:color w:val="0D0D0D"/>
              </w:rPr>
              <w:t>30.22%</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2D0839" w:rsidRDefault="009A18F4" w:rsidP="00DE017A">
            <w:pPr>
              <w:jc w:val="center"/>
              <w:rPr>
                <w:rFonts w:ascii="宋体" w:hAnsi="宋体" w:cs="宋体"/>
                <w:i/>
                <w:color w:val="0D0D0D"/>
                <w:sz w:val="24"/>
              </w:rPr>
            </w:pPr>
            <w:r w:rsidRPr="002D0839">
              <w:rPr>
                <w:rFonts w:hint="eastAsia"/>
                <w:i/>
                <w:color w:val="0D0D0D"/>
              </w:rPr>
              <w:t>12.99%</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2D0839" w:rsidRDefault="009A18F4" w:rsidP="00DE017A">
            <w:pPr>
              <w:jc w:val="center"/>
              <w:rPr>
                <w:rFonts w:ascii="宋体" w:hAnsi="宋体" w:cs="宋体"/>
                <w:b/>
                <w:i/>
                <w:color w:val="0D0D0D"/>
                <w:sz w:val="24"/>
              </w:rPr>
            </w:pPr>
            <w:r w:rsidRPr="002D0839">
              <w:rPr>
                <w:rFonts w:hint="eastAsia"/>
                <w:b/>
                <w:i/>
                <w:color w:val="0D0D0D"/>
              </w:rPr>
              <w:t>15.93%</w:t>
            </w:r>
          </w:p>
        </w:tc>
      </w:tr>
      <w:tr w:rsidR="009A18F4" w:rsidRPr="00BD1E88"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A18F4" w:rsidRDefault="009A18F4" w:rsidP="00DE017A">
            <w:pPr>
              <w:jc w:val="center"/>
              <w:rPr>
                <w:rFonts w:ascii="宋体" w:hAnsi="宋体" w:cs="宋体"/>
                <w:color w:val="0D0D0D"/>
                <w:sz w:val="24"/>
              </w:rPr>
            </w:pPr>
            <w:r>
              <w:rPr>
                <w:rFonts w:hint="eastAsia"/>
                <w:color w:val="0D0D0D"/>
              </w:rPr>
              <w:t>30.92%</w:t>
            </w:r>
          </w:p>
        </w:tc>
        <w:tc>
          <w:tcPr>
            <w:tcW w:w="714" w:type="pct"/>
            <w:tcBorders>
              <w:top w:val="nil"/>
              <w:left w:val="nil"/>
              <w:bottom w:val="single" w:sz="4" w:space="0" w:color="auto"/>
              <w:right w:val="single" w:sz="4" w:space="0" w:color="auto"/>
            </w:tcBorders>
            <w:shd w:val="clear" w:color="auto" w:fill="auto"/>
            <w:noWrap/>
            <w:vAlign w:val="bottom"/>
            <w:hideMark/>
          </w:tcPr>
          <w:p w:rsidR="009A18F4" w:rsidRDefault="009A18F4" w:rsidP="00DE017A">
            <w:pPr>
              <w:jc w:val="center"/>
              <w:rPr>
                <w:rFonts w:ascii="宋体" w:hAnsi="宋体" w:cs="宋体"/>
                <w:color w:val="0D0D0D"/>
                <w:sz w:val="24"/>
              </w:rPr>
            </w:pPr>
            <w:r>
              <w:rPr>
                <w:rFonts w:hint="eastAsia"/>
                <w:color w:val="0D0D0D"/>
              </w:rPr>
              <w:t>20.21%</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3F21CF" w:rsidRDefault="009A18F4" w:rsidP="00DE017A">
            <w:pPr>
              <w:jc w:val="center"/>
              <w:rPr>
                <w:b/>
                <w:i/>
                <w:color w:val="0D0D0D"/>
              </w:rPr>
            </w:pPr>
            <w:r w:rsidRPr="003F21CF">
              <w:rPr>
                <w:rFonts w:hint="eastAsia"/>
                <w:b/>
                <w:i/>
                <w:color w:val="0D0D0D"/>
              </w:rPr>
              <w:t>9.02%</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5A3EE9" w:rsidRDefault="009A18F4" w:rsidP="00DE017A">
            <w:pPr>
              <w:jc w:val="center"/>
              <w:rPr>
                <w:i/>
                <w:color w:val="0D0D0D"/>
              </w:rPr>
            </w:pPr>
            <w:r w:rsidRPr="002D0839">
              <w:rPr>
                <w:rFonts w:hint="eastAsia"/>
                <w:i/>
                <w:color w:val="0D0D0D"/>
              </w:rPr>
              <w:t>9.98%</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2D0839" w:rsidRDefault="009A18F4" w:rsidP="00DE017A">
            <w:pPr>
              <w:jc w:val="center"/>
              <w:rPr>
                <w:rFonts w:ascii="宋体" w:hAnsi="宋体" w:cs="宋体"/>
                <w:i/>
                <w:color w:val="0D0D0D"/>
                <w:sz w:val="24"/>
              </w:rPr>
            </w:pPr>
            <w:r w:rsidRPr="002D0839">
              <w:rPr>
                <w:rFonts w:hint="eastAsia"/>
                <w:i/>
                <w:color w:val="0D0D0D"/>
              </w:rPr>
              <w:t>8.27%</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2D0839" w:rsidRDefault="009A18F4" w:rsidP="00DE017A">
            <w:pPr>
              <w:jc w:val="center"/>
              <w:rPr>
                <w:rFonts w:ascii="宋体" w:hAnsi="宋体" w:cs="宋体"/>
                <w:b/>
                <w:i/>
                <w:color w:val="0D0D0D"/>
                <w:sz w:val="24"/>
              </w:rPr>
            </w:pPr>
            <w:r w:rsidRPr="002D0839">
              <w:rPr>
                <w:rFonts w:hint="eastAsia"/>
                <w:b/>
                <w:i/>
                <w:color w:val="0D0D0D"/>
              </w:rPr>
              <w:t>1.49%</w:t>
            </w:r>
          </w:p>
        </w:tc>
      </w:tr>
      <w:tr w:rsidR="009A18F4" w:rsidRPr="00BD1E88"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A18F4" w:rsidRDefault="009A18F4" w:rsidP="00DE017A">
            <w:pPr>
              <w:jc w:val="center"/>
              <w:rPr>
                <w:rFonts w:ascii="宋体" w:hAnsi="宋体" w:cs="宋体"/>
                <w:color w:val="0D0D0D"/>
                <w:sz w:val="24"/>
              </w:rPr>
            </w:pPr>
            <w:r>
              <w:rPr>
                <w:rFonts w:hint="eastAsia"/>
                <w:color w:val="0D0D0D"/>
              </w:rPr>
              <w:t>8.23%</w:t>
            </w:r>
          </w:p>
        </w:tc>
        <w:tc>
          <w:tcPr>
            <w:tcW w:w="714" w:type="pct"/>
            <w:tcBorders>
              <w:top w:val="nil"/>
              <w:left w:val="nil"/>
              <w:bottom w:val="single" w:sz="4" w:space="0" w:color="auto"/>
              <w:right w:val="single" w:sz="4" w:space="0" w:color="auto"/>
            </w:tcBorders>
            <w:shd w:val="clear" w:color="auto" w:fill="auto"/>
            <w:noWrap/>
            <w:vAlign w:val="bottom"/>
            <w:hideMark/>
          </w:tcPr>
          <w:p w:rsidR="009A18F4" w:rsidRDefault="009A18F4" w:rsidP="00DE017A">
            <w:pPr>
              <w:jc w:val="center"/>
              <w:rPr>
                <w:rFonts w:ascii="宋体" w:hAnsi="宋体" w:cs="宋体"/>
                <w:color w:val="0D0D0D"/>
                <w:sz w:val="24"/>
              </w:rPr>
            </w:pPr>
            <w:r>
              <w:rPr>
                <w:rFonts w:hint="eastAsia"/>
                <w:color w:val="0D0D0D"/>
              </w:rPr>
              <w:t>3.05%</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3F21CF" w:rsidRDefault="009A18F4" w:rsidP="00DE017A">
            <w:pPr>
              <w:jc w:val="center"/>
              <w:rPr>
                <w:b/>
                <w:i/>
                <w:color w:val="0D0D0D"/>
              </w:rPr>
            </w:pPr>
            <w:r w:rsidRPr="003F21CF">
              <w:rPr>
                <w:rFonts w:hint="eastAsia"/>
                <w:b/>
                <w:i/>
                <w:color w:val="0D0D0D"/>
              </w:rPr>
              <w:t>5.04%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A18F4" w:rsidRPr="005A3EE9" w:rsidRDefault="009A18F4" w:rsidP="00DE017A">
            <w:pPr>
              <w:jc w:val="center"/>
              <w:rPr>
                <w:i/>
                <w:color w:val="0D0D0D"/>
              </w:rPr>
            </w:pPr>
            <w:r w:rsidRPr="002D0839">
              <w:rPr>
                <w:rFonts w:hint="eastAsia"/>
                <w:i/>
                <w:color w:val="0D0D0D"/>
              </w:rPr>
              <w:t>2.96%</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A18F4" w:rsidRPr="002D0839" w:rsidRDefault="009A18F4" w:rsidP="00DE017A">
            <w:pPr>
              <w:jc w:val="center"/>
              <w:rPr>
                <w:rFonts w:ascii="宋体" w:hAnsi="宋体" w:cs="宋体"/>
                <w:i/>
                <w:color w:val="0D0D0D"/>
                <w:sz w:val="24"/>
              </w:rPr>
            </w:pPr>
            <w:r w:rsidRPr="002D0839">
              <w:rPr>
                <w:rFonts w:hint="eastAsia"/>
                <w:i/>
                <w:color w:val="0D0D0D"/>
              </w:rPr>
              <w:t>3.08%</w:t>
            </w:r>
          </w:p>
        </w:tc>
        <w:tc>
          <w:tcPr>
            <w:tcW w:w="715" w:type="pct"/>
            <w:tcBorders>
              <w:top w:val="single" w:sz="8" w:space="0" w:color="auto"/>
              <w:left w:val="nil"/>
              <w:bottom w:val="single" w:sz="8" w:space="0" w:color="auto"/>
              <w:right w:val="single" w:sz="8" w:space="0" w:color="auto"/>
            </w:tcBorders>
            <w:shd w:val="clear" w:color="auto" w:fill="auto"/>
            <w:noWrap/>
            <w:vAlign w:val="bottom"/>
            <w:hideMark/>
          </w:tcPr>
          <w:p w:rsidR="009A18F4" w:rsidRPr="002D0839" w:rsidRDefault="009A18F4" w:rsidP="00DE017A">
            <w:pPr>
              <w:jc w:val="center"/>
              <w:rPr>
                <w:rFonts w:ascii="宋体" w:hAnsi="宋体" w:cs="宋体"/>
                <w:b/>
                <w:i/>
                <w:color w:val="0D0D0D"/>
                <w:sz w:val="24"/>
              </w:rPr>
            </w:pPr>
            <w:r w:rsidRPr="002D0839">
              <w:rPr>
                <w:rFonts w:hint="eastAsia"/>
                <w:b/>
                <w:i/>
                <w:color w:val="FF0000"/>
              </w:rPr>
              <w:t>-0.12%</w:t>
            </w:r>
          </w:p>
        </w:tc>
      </w:tr>
      <w:tr w:rsidR="009A18F4" w:rsidRPr="00BD1E88" w:rsidTr="00DE017A">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2012年全年</w:t>
            </w:r>
          </w:p>
        </w:tc>
        <w:tc>
          <w:tcPr>
            <w:tcW w:w="2143" w:type="pct"/>
            <w:gridSpan w:val="3"/>
            <w:tcBorders>
              <w:top w:val="nil"/>
              <w:left w:val="nil"/>
              <w:bottom w:val="nil"/>
              <w:right w:val="nil"/>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2011年2月至2011年1</w:t>
            </w:r>
            <w:r>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r>
      <w:tr w:rsidR="009A18F4" w:rsidRPr="00BD1E88" w:rsidTr="00DE017A">
        <w:trPr>
          <w:trHeight w:val="300"/>
        </w:trPr>
        <w:tc>
          <w:tcPr>
            <w:tcW w:w="714" w:type="pct"/>
            <w:vMerge/>
            <w:tcBorders>
              <w:top w:val="nil"/>
              <w:left w:val="single" w:sz="8" w:space="0" w:color="auto"/>
              <w:bottom w:val="single" w:sz="8" w:space="0" w:color="000000"/>
              <w:right w:val="single" w:sz="8" w:space="0" w:color="auto"/>
            </w:tcBorders>
            <w:vAlign w:val="center"/>
            <w:hideMark/>
          </w:tcPr>
          <w:p w:rsidR="009A18F4" w:rsidRPr="00BD1E88" w:rsidRDefault="009A18F4" w:rsidP="00DE017A">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9A18F4" w:rsidRPr="007E4F1C"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7.57%</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4.95%</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b/>
                <w:i/>
                <w:color w:val="0D0D0D"/>
                <w:szCs w:val="21"/>
              </w:rPr>
            </w:pPr>
            <w:r w:rsidRPr="007E4F1C">
              <w:rPr>
                <w:rFonts w:hint="eastAsia"/>
                <w:b/>
                <w:i/>
                <w:color w:val="0D0D0D"/>
                <w:szCs w:val="21"/>
              </w:rPr>
              <w:t>2.43%</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FF0000"/>
                <w:szCs w:val="21"/>
              </w:rPr>
              <w:t>-14.96%</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FF0000"/>
                <w:szCs w:val="21"/>
              </w:rPr>
              <w:t>-19.25%</w:t>
            </w:r>
          </w:p>
        </w:tc>
        <w:tc>
          <w:tcPr>
            <w:tcW w:w="715" w:type="pct"/>
            <w:tcBorders>
              <w:top w:val="nil"/>
              <w:left w:val="nil"/>
              <w:bottom w:val="single" w:sz="8" w:space="0" w:color="auto"/>
              <w:right w:val="single" w:sz="8" w:space="0" w:color="auto"/>
            </w:tcBorders>
            <w:shd w:val="clear" w:color="auto" w:fill="auto"/>
            <w:noWrap/>
            <w:hideMark/>
          </w:tcPr>
          <w:p w:rsidR="009A18F4" w:rsidRPr="007E4F1C" w:rsidRDefault="009A18F4" w:rsidP="00DE017A">
            <w:pPr>
              <w:jc w:val="center"/>
              <w:rPr>
                <w:b/>
                <w:i/>
                <w:color w:val="0D0D0D"/>
                <w:szCs w:val="21"/>
              </w:rPr>
            </w:pPr>
            <w:r w:rsidRPr="007E4F1C">
              <w:rPr>
                <w:b/>
                <w:i/>
                <w:color w:val="0D0D0D"/>
                <w:szCs w:val="21"/>
              </w:rPr>
              <w:t>4.29%</w:t>
            </w:r>
          </w:p>
        </w:tc>
      </w:tr>
      <w:tr w:rsidR="009A18F4" w:rsidRPr="007E4F1C"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11.89%</w:t>
            </w:r>
          </w:p>
        </w:tc>
        <w:tc>
          <w:tcPr>
            <w:tcW w:w="714" w:type="pct"/>
            <w:tcBorders>
              <w:top w:val="nil"/>
              <w:left w:val="nil"/>
              <w:bottom w:val="single" w:sz="4" w:space="0" w:color="auto"/>
              <w:right w:val="single" w:sz="4"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6.28%</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b/>
                <w:i/>
                <w:color w:val="0D0D0D"/>
                <w:szCs w:val="21"/>
              </w:rPr>
            </w:pPr>
            <w:r w:rsidRPr="007E4F1C">
              <w:rPr>
                <w:rFonts w:hint="eastAsia"/>
                <w:b/>
                <w:i/>
                <w:color w:val="0D0D0D"/>
                <w:szCs w:val="21"/>
              </w:rPr>
              <w:t>5.19%</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FF0000"/>
                <w:szCs w:val="21"/>
              </w:rPr>
              <w:t>-6.50%</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FF0000"/>
                <w:szCs w:val="21"/>
              </w:rPr>
              <w:t>-10.95%</w:t>
            </w:r>
          </w:p>
        </w:tc>
        <w:tc>
          <w:tcPr>
            <w:tcW w:w="715" w:type="pct"/>
            <w:tcBorders>
              <w:top w:val="nil"/>
              <w:left w:val="nil"/>
              <w:bottom w:val="single" w:sz="8" w:space="0" w:color="auto"/>
              <w:right w:val="single" w:sz="8" w:space="0" w:color="auto"/>
            </w:tcBorders>
            <w:shd w:val="clear" w:color="auto" w:fill="auto"/>
            <w:noWrap/>
            <w:hideMark/>
          </w:tcPr>
          <w:p w:rsidR="009A18F4" w:rsidRPr="007E4F1C" w:rsidRDefault="009A18F4" w:rsidP="00DE017A">
            <w:pPr>
              <w:jc w:val="center"/>
              <w:rPr>
                <w:b/>
                <w:i/>
                <w:color w:val="0D0D0D"/>
                <w:szCs w:val="21"/>
              </w:rPr>
            </w:pPr>
            <w:r w:rsidRPr="007E4F1C">
              <w:rPr>
                <w:b/>
                <w:i/>
                <w:color w:val="0D0D0D"/>
                <w:szCs w:val="21"/>
              </w:rPr>
              <w:t>4.45%</w:t>
            </w:r>
          </w:p>
        </w:tc>
      </w:tr>
      <w:tr w:rsidR="009A18F4" w:rsidRPr="007E4F1C"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4.70%</w:t>
            </w:r>
          </w:p>
        </w:tc>
        <w:tc>
          <w:tcPr>
            <w:tcW w:w="714" w:type="pct"/>
            <w:tcBorders>
              <w:top w:val="nil"/>
              <w:left w:val="nil"/>
              <w:bottom w:val="single" w:sz="4" w:space="0" w:color="auto"/>
              <w:right w:val="single" w:sz="4"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3.34%</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b/>
                <w:i/>
                <w:color w:val="0D0D0D"/>
                <w:szCs w:val="21"/>
              </w:rPr>
            </w:pPr>
            <w:r w:rsidRPr="007E4F1C">
              <w:rPr>
                <w:rFonts w:hint="eastAsia"/>
                <w:b/>
                <w:i/>
                <w:color w:val="0D0D0D"/>
                <w:szCs w:val="21"/>
              </w:rPr>
              <w:t>1.32%</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3.24%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3.18%</w:t>
            </w:r>
          </w:p>
        </w:tc>
        <w:tc>
          <w:tcPr>
            <w:tcW w:w="715" w:type="pct"/>
            <w:tcBorders>
              <w:top w:val="single" w:sz="8" w:space="0" w:color="auto"/>
              <w:left w:val="nil"/>
              <w:bottom w:val="single" w:sz="8" w:space="0" w:color="auto"/>
              <w:right w:val="single" w:sz="8" w:space="0" w:color="auto"/>
            </w:tcBorders>
            <w:shd w:val="clear" w:color="auto" w:fill="auto"/>
            <w:noWrap/>
            <w:hideMark/>
          </w:tcPr>
          <w:p w:rsidR="009A18F4" w:rsidRPr="007E4F1C" w:rsidRDefault="009A18F4" w:rsidP="00DE017A">
            <w:pPr>
              <w:jc w:val="center"/>
              <w:rPr>
                <w:b/>
                <w:i/>
                <w:color w:val="0D0D0D"/>
                <w:szCs w:val="21"/>
              </w:rPr>
            </w:pPr>
            <w:r w:rsidRPr="007E4F1C">
              <w:rPr>
                <w:b/>
                <w:i/>
                <w:color w:val="0D0D0D"/>
                <w:szCs w:val="21"/>
              </w:rPr>
              <w:t>0.06%</w:t>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注1：组合于2011年2月1日设立，数据截至2015年</w:t>
      </w:r>
      <w:r w:rsidR="00BF1C5F">
        <w:rPr>
          <w:rFonts w:ascii="楷体_GB2312" w:eastAsia="楷体_GB2312" w:hint="eastAsia"/>
          <w:noProof/>
          <w:color w:val="000000"/>
          <w:sz w:val="18"/>
          <w:szCs w:val="18"/>
        </w:rPr>
        <w:t>7</w:t>
      </w:r>
      <w:r w:rsidRPr="00690811">
        <w:rPr>
          <w:rFonts w:ascii="楷体_GB2312" w:eastAsia="楷体_GB2312" w:hint="eastAsia"/>
          <w:noProof/>
          <w:color w:val="000000"/>
          <w:sz w:val="18"/>
          <w:szCs w:val="18"/>
        </w:rPr>
        <w:t>月</w:t>
      </w:r>
      <w:r w:rsidR="00BF1C5F">
        <w:rPr>
          <w:rFonts w:ascii="楷体_GB2312" w:eastAsia="楷体_GB2312" w:hint="eastAsia"/>
          <w:noProof/>
          <w:color w:val="000000"/>
          <w:sz w:val="18"/>
          <w:szCs w:val="18"/>
        </w:rPr>
        <w:t>29</w:t>
      </w:r>
      <w:r w:rsidRPr="00690811">
        <w:rPr>
          <w:rFonts w:ascii="楷体_GB2312" w:eastAsia="楷体_GB2312" w:hint="eastAsia"/>
          <w:noProof/>
          <w:color w:val="000000"/>
          <w:sz w:val="18"/>
          <w:szCs w:val="18"/>
        </w:rPr>
        <w:t>日</w:t>
      </w:r>
    </w:p>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注2：历史组合及调整情况请联系上海证券</w:t>
      </w:r>
    </w:p>
    <w:p w:rsidR="009A18F4" w:rsidRPr="0039146B" w:rsidRDefault="009A18F4" w:rsidP="009A18F4">
      <w:pPr>
        <w:rPr>
          <w:rFonts w:ascii="楷体_GB2312" w:eastAsia="楷体_GB2312"/>
          <w:b/>
          <w:noProof/>
          <w:color w:val="000000"/>
          <w:sz w:val="18"/>
          <w:szCs w:val="18"/>
        </w:rPr>
      </w:pPr>
      <w:r w:rsidRPr="0039146B">
        <w:rPr>
          <w:rFonts w:ascii="楷体_GB2312" w:eastAsia="楷体_GB2312" w:hint="eastAsia"/>
          <w:b/>
          <w:noProof/>
          <w:color w:val="000000"/>
          <w:sz w:val="18"/>
          <w:szCs w:val="18"/>
        </w:rPr>
        <w:t>注3：2015年起，上海证券基金推荐组合中的积极型组合和平衡型业绩比较基准</w:t>
      </w:r>
      <w:r>
        <w:rPr>
          <w:rFonts w:ascii="楷体_GB2312" w:eastAsia="楷体_GB2312" w:hint="eastAsia"/>
          <w:b/>
          <w:noProof/>
          <w:color w:val="000000"/>
          <w:sz w:val="18"/>
          <w:szCs w:val="18"/>
        </w:rPr>
        <w:t>有所调整</w:t>
      </w:r>
    </w:p>
    <w:p w:rsidR="009A18F4" w:rsidRPr="00960590" w:rsidRDefault="009A18F4" w:rsidP="009A18F4">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826FC1">
        <w:rPr>
          <w:rFonts w:ascii="楷体_GB2312" w:eastAsia="楷体_GB2312" w:hint="eastAsia"/>
          <w:noProof/>
        </w:rPr>
        <w:t>中国股基指数</w:t>
      </w:r>
      <w:r>
        <w:rPr>
          <w:rFonts w:ascii="楷体_GB2312" w:eastAsia="楷体_GB2312" w:hint="eastAsia"/>
          <w:noProof/>
        </w:rPr>
        <w:t>60%+</w:t>
      </w:r>
      <w:r w:rsidRPr="00826FC1">
        <w:rPr>
          <w:rFonts w:ascii="楷体_GB2312" w:eastAsia="楷体_GB2312" w:hint="eastAsia"/>
          <w:noProof/>
        </w:rPr>
        <w:t>中国混基指数</w:t>
      </w:r>
      <w:r>
        <w:rPr>
          <w:rFonts w:ascii="楷体_GB2312" w:eastAsia="楷体_GB2312" w:hint="eastAsia"/>
          <w:noProof/>
        </w:rPr>
        <w:t>40%(原基准：</w:t>
      </w:r>
      <w:r w:rsidRPr="00960590">
        <w:rPr>
          <w:rFonts w:ascii="楷体_GB2312" w:eastAsia="楷体_GB2312" w:hint="eastAsia"/>
          <w:noProof/>
        </w:rPr>
        <w:t>主动投资偏股型基金</w:t>
      </w:r>
      <w:r>
        <w:rPr>
          <w:rFonts w:ascii="楷体_GB2312" w:eastAsia="楷体_GB2312" w:hint="eastAsia"/>
          <w:noProof/>
        </w:rPr>
        <w:t>简单平均收益率)；</w:t>
      </w:r>
    </w:p>
    <w:p w:rsidR="009A18F4" w:rsidRPr="00826FC1" w:rsidRDefault="009A18F4" w:rsidP="009A18F4">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826FC1">
        <w:rPr>
          <w:rFonts w:ascii="楷体_GB2312" w:eastAsia="楷体_GB2312" w:hint="eastAsia"/>
          <w:noProof/>
        </w:rPr>
        <w:t>中国股基指数</w:t>
      </w:r>
      <w:r>
        <w:rPr>
          <w:rFonts w:ascii="楷体_GB2312" w:eastAsia="楷体_GB2312" w:hint="eastAsia"/>
          <w:noProof/>
        </w:rPr>
        <w:t>30%+</w:t>
      </w:r>
      <w:r w:rsidRPr="00826FC1">
        <w:rPr>
          <w:rFonts w:ascii="楷体_GB2312" w:eastAsia="楷体_GB2312" w:hint="eastAsia"/>
          <w:noProof/>
        </w:rPr>
        <w:t>中国混基指数</w:t>
      </w:r>
      <w:r>
        <w:rPr>
          <w:rFonts w:ascii="楷体_GB2312" w:eastAsia="楷体_GB2312" w:hint="eastAsia"/>
          <w:noProof/>
        </w:rPr>
        <w:t>20%+</w:t>
      </w:r>
      <w:r w:rsidRPr="004D17B6">
        <w:rPr>
          <w:rFonts w:ascii="楷体_GB2312" w:eastAsia="楷体_GB2312" w:hint="eastAsia"/>
          <w:noProof/>
        </w:rPr>
        <w:t>中国债基指数</w:t>
      </w:r>
      <w:r>
        <w:rPr>
          <w:rFonts w:ascii="楷体_GB2312" w:eastAsia="楷体_GB2312" w:hint="eastAsia"/>
          <w:noProof/>
        </w:rPr>
        <w:t>50%（原基准：</w:t>
      </w:r>
      <w:r w:rsidRPr="00960590">
        <w:rPr>
          <w:rFonts w:ascii="楷体_GB2312" w:eastAsia="楷体_GB2312" w:hint="eastAsia"/>
          <w:noProof/>
        </w:rPr>
        <w:t>50%主动投资偏股型基</w:t>
      </w:r>
      <w:r w:rsidRPr="00960590">
        <w:rPr>
          <w:rFonts w:ascii="楷体_GB2312" w:eastAsia="楷体_GB2312" w:hint="eastAsia"/>
          <w:noProof/>
        </w:rPr>
        <w:lastRenderedPageBreak/>
        <w:t>金+50%债券型基金</w:t>
      </w:r>
      <w:r>
        <w:rPr>
          <w:rFonts w:ascii="楷体_GB2312" w:eastAsia="楷体_GB2312" w:hint="eastAsia"/>
          <w:noProof/>
        </w:rPr>
        <w:t>）；</w:t>
      </w:r>
    </w:p>
    <w:p w:rsidR="009A18F4" w:rsidRDefault="009A18F4" w:rsidP="009A18F4">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9A18F4" w:rsidRPr="00394675" w:rsidRDefault="009A18F4" w:rsidP="009A18F4">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9A18F4" w:rsidRPr="00394675" w:rsidRDefault="009A18F4" w:rsidP="0075204E">
      <w:pPr>
        <w:spacing w:beforeLines="50"/>
        <w:rPr>
          <w:rFonts w:eastAsia="楷体_GB2312"/>
          <w:sz w:val="18"/>
          <w:szCs w:val="18"/>
        </w:rPr>
      </w:pPr>
      <w:r w:rsidRPr="00394675">
        <w:rPr>
          <w:rFonts w:eastAsia="楷体_GB2312"/>
          <w:sz w:val="18"/>
          <w:szCs w:val="18"/>
        </w:rPr>
        <w:t>分析师</w:t>
      </w:r>
      <w:r>
        <w:rPr>
          <w:rFonts w:eastAsia="楷体_GB2312" w:hint="eastAsia"/>
          <w:sz w:val="18"/>
          <w:szCs w:val="18"/>
        </w:rPr>
        <w:t xml:space="preserve"> </w:t>
      </w:r>
      <w:r>
        <w:rPr>
          <w:rFonts w:eastAsia="楷体_GB2312" w:hint="eastAsia"/>
          <w:sz w:val="18"/>
          <w:szCs w:val="18"/>
        </w:rPr>
        <w:t>刘亦千</w:t>
      </w:r>
    </w:p>
    <w:p w:rsidR="009A18F4" w:rsidRPr="00653644" w:rsidRDefault="009A18F4" w:rsidP="009A18F4">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9A18F4" w:rsidRPr="00867DF5" w:rsidRDefault="009A18F4" w:rsidP="009A18F4">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9A18F4" w:rsidRDefault="009A18F4" w:rsidP="009A18F4">
      <w:pPr>
        <w:spacing w:line="400" w:lineRule="exact"/>
        <w:jc w:val="left"/>
        <w:rPr>
          <w:rFonts w:ascii="楷体_GB2312" w:eastAsia="楷体_GB2312" w:hAnsi="Arial" w:cs="Arial"/>
          <w:b/>
          <w:bCs/>
          <w:color w:val="003366"/>
          <w:szCs w:val="21"/>
        </w:rPr>
      </w:pPr>
    </w:p>
    <w:p w:rsidR="009A18F4" w:rsidRPr="008F1970" w:rsidRDefault="009A18F4" w:rsidP="009A18F4">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9A18F4" w:rsidRPr="00427DD5" w:rsidRDefault="009A18F4" w:rsidP="009A18F4">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9A18F4" w:rsidRPr="00427DD5" w:rsidRDefault="009A18F4" w:rsidP="009A18F4">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9A18F4" w:rsidRPr="00693B26" w:rsidRDefault="009A18F4" w:rsidP="009A18F4">
      <w:pPr>
        <w:spacing w:line="300" w:lineRule="exact"/>
        <w:rPr>
          <w:rFonts w:ascii="楷体_GB2312" w:eastAsia="楷体_GB2312"/>
          <w:sz w:val="18"/>
          <w:szCs w:val="18"/>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37247A" w:rsidRPr="009A18F4" w:rsidRDefault="0037247A"/>
    <w:sectPr w:rsidR="0037247A" w:rsidRPr="009A18F4" w:rsidSect="00DE017A">
      <w:headerReference w:type="default" r:id="rId22"/>
      <w:pgSz w:w="11906" w:h="16838"/>
      <w:pgMar w:top="1418" w:right="1133"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95E" w:rsidRDefault="0050495E" w:rsidP="00E24F52">
      <w:r>
        <w:separator/>
      </w:r>
    </w:p>
  </w:endnote>
  <w:endnote w:type="continuationSeparator" w:id="0">
    <w:p w:rsidR="0050495E" w:rsidRDefault="0050495E" w:rsidP="00E24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81" w:rsidRDefault="00251B81" w:rsidP="00DE017A">
    <w:pPr>
      <w:pStyle w:val="a5"/>
      <w:framePr w:wrap="around" w:vAnchor="text" w:hAnchor="margin" w:xAlign="right" w:y="1"/>
      <w:rPr>
        <w:rStyle w:val="a7"/>
      </w:rPr>
    </w:pPr>
    <w:r>
      <w:rPr>
        <w:rStyle w:val="a7"/>
        <w:noProof/>
      </w:rPr>
      <w:t>1</w:t>
    </w:r>
  </w:p>
  <w:p w:rsidR="00251B81" w:rsidRDefault="00251B81" w:rsidP="00DE017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81" w:rsidRDefault="006F3275" w:rsidP="00DE017A">
    <w:pPr>
      <w:pStyle w:val="a5"/>
      <w:ind w:right="360"/>
    </w:pPr>
    <w:r>
      <w:rPr>
        <w:noProof/>
      </w:rPr>
      <w:pict>
        <v:shapetype id="_x0000_t202" coordsize="21600,21600" o:spt="202" path="m,l,21600r21600,l21600,xe">
          <v:stroke joinstyle="miter"/>
          <v:path gradientshapeok="t" o:connecttype="rect"/>
        </v:shapetype>
        <v:shape id="_x0000_s2049" type="#_x0000_t202" style="position:absolute;margin-left:28.8pt;margin-top:772.9pt;width:513.45pt;height:18pt;z-index:251656704;mso-position-horizontal-relative:page;mso-position-vertical-relative:page" filled="f" stroked="f">
          <v:textbox style="mso-next-textbox:#_x0000_s2049" inset="0,0,0,0">
            <w:txbxContent>
              <w:p w:rsidR="00251B81" w:rsidRPr="00310D17" w:rsidRDefault="00251B81" w:rsidP="00DE017A">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请务必阅读尾页分析师承诺和免责条款</w:t>
                </w:r>
                <w:r>
                  <w:rPr>
                    <w:rFonts w:ascii="楷体_GB2312" w:eastAsia="楷体_GB2312" w:hint="eastAsia"/>
                    <w:b/>
                    <w:color w:val="003366"/>
                    <w:szCs w:val="21"/>
                  </w:rPr>
                  <w:t xml:space="preserve">                                                   </w:t>
                </w:r>
                <w:r w:rsidR="006F3275"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 </w:instrText>
                </w:r>
                <w:r w:rsidR="006F3275" w:rsidRPr="00310D17">
                  <w:rPr>
                    <w:rFonts w:ascii="楷体_GB2312" w:eastAsia="楷体_GB2312"/>
                    <w:color w:val="003366"/>
                    <w:szCs w:val="21"/>
                  </w:rPr>
                  <w:fldChar w:fldCharType="separate"/>
                </w:r>
                <w:r w:rsidR="0034440F" w:rsidRPr="0034440F">
                  <w:rPr>
                    <w:rFonts w:ascii="楷体_GB2312" w:eastAsia="楷体_GB2312"/>
                    <w:noProof/>
                    <w:color w:val="003366"/>
                    <w:szCs w:val="21"/>
                    <w:lang w:val="zh-CN"/>
                  </w:rPr>
                  <w:t>2</w:t>
                </w:r>
                <w:r w:rsidR="006F3275" w:rsidRPr="00310D17">
                  <w:rPr>
                    <w:rFonts w:ascii="楷体_GB2312" w:eastAsia="楷体_GB2312"/>
                    <w:color w:val="003366"/>
                    <w:szCs w:val="2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95E" w:rsidRDefault="0050495E" w:rsidP="00E24F52">
      <w:r>
        <w:separator/>
      </w:r>
    </w:p>
  </w:footnote>
  <w:footnote w:type="continuationSeparator" w:id="0">
    <w:p w:rsidR="0050495E" w:rsidRDefault="0050495E" w:rsidP="00E24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81" w:rsidRPr="0010121A" w:rsidRDefault="00251B81">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81" w:rsidRPr="00935FC9" w:rsidRDefault="006F3275" w:rsidP="00DE017A">
    <w:pPr>
      <w:pStyle w:val="a4"/>
      <w:jc w:val="left"/>
      <w:rPr>
        <w:rFonts w:ascii="楷体_GB2312" w:eastAsia="楷体_GB2312"/>
        <w:b/>
        <w:color w:val="333399"/>
        <w:sz w:val="24"/>
        <w:szCs w:val="24"/>
      </w:rPr>
    </w:pPr>
    <w:r w:rsidRPr="006F3275">
      <w:rPr>
        <w:rFonts w:ascii="楷体_GB2312" w:eastAsia="楷体_GB2312"/>
        <w:b/>
        <w:noProof/>
        <w:color w:val="003366"/>
        <w:sz w:val="21"/>
        <w:szCs w:val="21"/>
      </w:rPr>
      <w:pict>
        <v:line id="_x0000_s2051" style="position:absolute;z-index:251658752" from="70.1pt,20.55pt" to="459pt,20.55pt" strokecolor="#036" strokeweight="1.5pt"/>
      </w:pict>
    </w:r>
    <w:r w:rsidR="00251B81">
      <w:rPr>
        <w:rFonts w:ascii="楷体_GB2312" w:eastAsia="楷体_GB2312" w:hint="eastAsia"/>
        <w:b/>
        <w:noProof/>
        <w:color w:val="003366"/>
        <w:sz w:val="21"/>
        <w:szCs w:val="21"/>
      </w:rPr>
      <w:drawing>
        <wp:inline distT="0" distB="0" distL="0" distR="0">
          <wp:extent cx="905510" cy="241300"/>
          <wp:effectExtent l="19050" t="0" r="8890" b="0"/>
          <wp:docPr id="9"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mei"/>
                  <pic:cNvPicPr>
                    <a:picLocks noChangeAspect="1" noChangeArrowheads="1"/>
                  </pic:cNvPicPr>
                </pic:nvPicPr>
                <pic:blipFill>
                  <a:blip r:embed="rId1"/>
                  <a:srcRect/>
                  <a:stretch>
                    <a:fillRect/>
                  </a:stretch>
                </pic:blipFill>
                <pic:spPr bwMode="auto">
                  <a:xfrm>
                    <a:off x="0" y="0"/>
                    <a:ext cx="905510" cy="241300"/>
                  </a:xfrm>
                  <a:prstGeom prst="rect">
                    <a:avLst/>
                  </a:prstGeom>
                  <a:noFill/>
                  <a:ln w="9525">
                    <a:noFill/>
                    <a:miter lim="800000"/>
                    <a:headEnd/>
                    <a:tailEnd/>
                  </a:ln>
                </pic:spPr>
              </pic:pic>
            </a:graphicData>
          </a:graphic>
        </wp:inline>
      </w:drawing>
    </w:r>
    <w:r w:rsidRPr="006F3275">
      <w:rPr>
        <w:rFonts w:ascii="楷体_GB2312" w:eastAsia="楷体_GB2312"/>
        <w:b/>
        <w:noProof/>
        <w:color w:val="333399"/>
        <w:sz w:val="21"/>
        <w:szCs w:val="21"/>
      </w:rPr>
      <w:pict>
        <v:shapetype id="_x0000_t202" coordsize="21600,21600" o:spt="202" path="m,l,21600r21600,l21600,xe">
          <v:stroke joinstyle="miter"/>
          <v:path gradientshapeok="t" o:connecttype="rect"/>
        </v:shapetype>
        <v:shape id="_x0000_s2050" type="#_x0000_t202" style="position:absolute;margin-left:-189pt;margin-top:-2.85pt;width:89.25pt;height:30.1pt;z-index:251657728;mso-wrap-style:none;mso-position-horizontal-relative:text;mso-position-vertical-relative:text" stroked="f">
          <v:textbox style="mso-next-textbox:#_x0000_s2050;mso-fit-shape-to-text:t">
            <w:txbxContent>
              <w:p w:rsidR="00251B81" w:rsidRDefault="00251B81">
                <w:r>
                  <w:rPr>
                    <w:noProof/>
                  </w:rPr>
                  <w:drawing>
                    <wp:inline distT="0" distB="0" distL="0" distR="0">
                      <wp:extent cx="948690" cy="293370"/>
                      <wp:effectExtent l="1905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sidR="00251B81">
      <w:rPr>
        <w:rFonts w:ascii="楷体_GB2312" w:eastAsia="楷体_GB2312" w:hint="eastAsia"/>
        <w:b/>
        <w:color w:val="333399"/>
        <w:sz w:val="21"/>
        <w:szCs w:val="21"/>
      </w:rPr>
      <w:t xml:space="preserve"> </w:t>
    </w:r>
    <w:r w:rsidR="00251B81" w:rsidRPr="00935FC9">
      <w:rPr>
        <w:rFonts w:ascii="楷体_GB2312" w:eastAsia="楷体_GB2312" w:hint="eastAsia"/>
        <w:b/>
        <w:color w:val="333399"/>
        <w:sz w:val="24"/>
        <w:szCs w:val="24"/>
      </w:rPr>
      <w:t xml:space="preserve">   </w:t>
    </w:r>
    <w:r w:rsidR="00251B81">
      <w:rPr>
        <w:rFonts w:ascii="楷体_GB2312" w:eastAsia="楷体_GB2312" w:hint="eastAsia"/>
        <w:b/>
        <w:color w:val="333399"/>
        <w:sz w:val="24"/>
        <w:szCs w:val="24"/>
      </w:rPr>
      <w:t xml:space="preserve">         </w:t>
    </w:r>
    <w:r w:rsidR="00251B81"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6">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8F4"/>
    <w:rsid w:val="00013019"/>
    <w:rsid w:val="00026A52"/>
    <w:rsid w:val="00032ECF"/>
    <w:rsid w:val="0003446C"/>
    <w:rsid w:val="00051780"/>
    <w:rsid w:val="00051A90"/>
    <w:rsid w:val="00061718"/>
    <w:rsid w:val="00064ADC"/>
    <w:rsid w:val="00083B36"/>
    <w:rsid w:val="000C1475"/>
    <w:rsid w:val="000E3E14"/>
    <w:rsid w:val="000F2EAA"/>
    <w:rsid w:val="00100321"/>
    <w:rsid w:val="001112E7"/>
    <w:rsid w:val="00144F30"/>
    <w:rsid w:val="0016275E"/>
    <w:rsid w:val="001638F6"/>
    <w:rsid w:val="00163D42"/>
    <w:rsid w:val="0017209A"/>
    <w:rsid w:val="001A2517"/>
    <w:rsid w:val="001A4AB4"/>
    <w:rsid w:val="001A5521"/>
    <w:rsid w:val="001B44DF"/>
    <w:rsid w:val="001C2D94"/>
    <w:rsid w:val="00207EB7"/>
    <w:rsid w:val="0021526F"/>
    <w:rsid w:val="002154A6"/>
    <w:rsid w:val="00222CAD"/>
    <w:rsid w:val="00224620"/>
    <w:rsid w:val="00236ADA"/>
    <w:rsid w:val="002373ED"/>
    <w:rsid w:val="00245287"/>
    <w:rsid w:val="002474B8"/>
    <w:rsid w:val="00251B81"/>
    <w:rsid w:val="00253BBC"/>
    <w:rsid w:val="002626D6"/>
    <w:rsid w:val="0027134C"/>
    <w:rsid w:val="00292B84"/>
    <w:rsid w:val="002B178E"/>
    <w:rsid w:val="002B6917"/>
    <w:rsid w:val="002D35B0"/>
    <w:rsid w:val="002E06C6"/>
    <w:rsid w:val="002E093E"/>
    <w:rsid w:val="002E6972"/>
    <w:rsid w:val="00306269"/>
    <w:rsid w:val="00311012"/>
    <w:rsid w:val="00312345"/>
    <w:rsid w:val="0031261A"/>
    <w:rsid w:val="003157FF"/>
    <w:rsid w:val="0033389A"/>
    <w:rsid w:val="0034440F"/>
    <w:rsid w:val="003526AD"/>
    <w:rsid w:val="0036515A"/>
    <w:rsid w:val="0037247A"/>
    <w:rsid w:val="00374AF5"/>
    <w:rsid w:val="003A6BA8"/>
    <w:rsid w:val="003C5B36"/>
    <w:rsid w:val="003F751E"/>
    <w:rsid w:val="00415FDE"/>
    <w:rsid w:val="00460204"/>
    <w:rsid w:val="00471EDE"/>
    <w:rsid w:val="00480D27"/>
    <w:rsid w:val="004838BB"/>
    <w:rsid w:val="00487F7F"/>
    <w:rsid w:val="00495AC4"/>
    <w:rsid w:val="004C5156"/>
    <w:rsid w:val="004D093E"/>
    <w:rsid w:val="004D5FC7"/>
    <w:rsid w:val="004E4E3B"/>
    <w:rsid w:val="004E5695"/>
    <w:rsid w:val="004F71A5"/>
    <w:rsid w:val="004F78E4"/>
    <w:rsid w:val="005033C5"/>
    <w:rsid w:val="0050495E"/>
    <w:rsid w:val="00513479"/>
    <w:rsid w:val="00525209"/>
    <w:rsid w:val="00540E6E"/>
    <w:rsid w:val="0054141D"/>
    <w:rsid w:val="005613BF"/>
    <w:rsid w:val="00572523"/>
    <w:rsid w:val="005726B7"/>
    <w:rsid w:val="00597988"/>
    <w:rsid w:val="005A288F"/>
    <w:rsid w:val="005A62A2"/>
    <w:rsid w:val="005B7078"/>
    <w:rsid w:val="005E16F4"/>
    <w:rsid w:val="005E4A8B"/>
    <w:rsid w:val="00603864"/>
    <w:rsid w:val="006146DF"/>
    <w:rsid w:val="00644703"/>
    <w:rsid w:val="00661347"/>
    <w:rsid w:val="00677C07"/>
    <w:rsid w:val="00681AFE"/>
    <w:rsid w:val="0068466B"/>
    <w:rsid w:val="00684DDD"/>
    <w:rsid w:val="006911E1"/>
    <w:rsid w:val="00693C58"/>
    <w:rsid w:val="006B2815"/>
    <w:rsid w:val="006B462E"/>
    <w:rsid w:val="006C73F9"/>
    <w:rsid w:val="006D10E5"/>
    <w:rsid w:val="006F3275"/>
    <w:rsid w:val="0070349D"/>
    <w:rsid w:val="00717045"/>
    <w:rsid w:val="0075204E"/>
    <w:rsid w:val="00795A90"/>
    <w:rsid w:val="007A038F"/>
    <w:rsid w:val="007A638C"/>
    <w:rsid w:val="007B0849"/>
    <w:rsid w:val="007C1CD2"/>
    <w:rsid w:val="007F5B42"/>
    <w:rsid w:val="00807BE4"/>
    <w:rsid w:val="00812624"/>
    <w:rsid w:val="00836FDA"/>
    <w:rsid w:val="00850A16"/>
    <w:rsid w:val="0085406B"/>
    <w:rsid w:val="00865ADC"/>
    <w:rsid w:val="0087625C"/>
    <w:rsid w:val="00886440"/>
    <w:rsid w:val="00887614"/>
    <w:rsid w:val="00914F6A"/>
    <w:rsid w:val="0091562B"/>
    <w:rsid w:val="00945A99"/>
    <w:rsid w:val="0094617F"/>
    <w:rsid w:val="009512F8"/>
    <w:rsid w:val="009568EE"/>
    <w:rsid w:val="00967B51"/>
    <w:rsid w:val="0097354A"/>
    <w:rsid w:val="00977F80"/>
    <w:rsid w:val="009A18F4"/>
    <w:rsid w:val="009A4F16"/>
    <w:rsid w:val="009F0BFD"/>
    <w:rsid w:val="00A00AC6"/>
    <w:rsid w:val="00A11FB0"/>
    <w:rsid w:val="00A23D76"/>
    <w:rsid w:val="00A44FE5"/>
    <w:rsid w:val="00A5173E"/>
    <w:rsid w:val="00A85EF3"/>
    <w:rsid w:val="00AA07FC"/>
    <w:rsid w:val="00AA1131"/>
    <w:rsid w:val="00AA6E5E"/>
    <w:rsid w:val="00AB74DE"/>
    <w:rsid w:val="00AC405F"/>
    <w:rsid w:val="00AD4F0E"/>
    <w:rsid w:val="00B0557D"/>
    <w:rsid w:val="00B1089A"/>
    <w:rsid w:val="00B70738"/>
    <w:rsid w:val="00BB3F52"/>
    <w:rsid w:val="00BB7764"/>
    <w:rsid w:val="00BC2122"/>
    <w:rsid w:val="00BE0799"/>
    <w:rsid w:val="00BE3EAF"/>
    <w:rsid w:val="00BF1C5F"/>
    <w:rsid w:val="00BF7C1A"/>
    <w:rsid w:val="00C568B6"/>
    <w:rsid w:val="00CA3EB0"/>
    <w:rsid w:val="00CB0182"/>
    <w:rsid w:val="00CB28B6"/>
    <w:rsid w:val="00CF01F4"/>
    <w:rsid w:val="00D01B5F"/>
    <w:rsid w:val="00D14DCB"/>
    <w:rsid w:val="00D16B57"/>
    <w:rsid w:val="00D447C3"/>
    <w:rsid w:val="00D455BA"/>
    <w:rsid w:val="00D51F8E"/>
    <w:rsid w:val="00D73E12"/>
    <w:rsid w:val="00DE017A"/>
    <w:rsid w:val="00DF14FB"/>
    <w:rsid w:val="00DF39D0"/>
    <w:rsid w:val="00DF6567"/>
    <w:rsid w:val="00E05745"/>
    <w:rsid w:val="00E126F6"/>
    <w:rsid w:val="00E24F52"/>
    <w:rsid w:val="00E31CEA"/>
    <w:rsid w:val="00E61295"/>
    <w:rsid w:val="00E755D3"/>
    <w:rsid w:val="00EB64BD"/>
    <w:rsid w:val="00EC29F0"/>
    <w:rsid w:val="00F13448"/>
    <w:rsid w:val="00F224A8"/>
    <w:rsid w:val="00F233B6"/>
    <w:rsid w:val="00F240D1"/>
    <w:rsid w:val="00F27058"/>
    <w:rsid w:val="00F27295"/>
    <w:rsid w:val="00F500E8"/>
    <w:rsid w:val="00F65AD2"/>
    <w:rsid w:val="00F753FB"/>
    <w:rsid w:val="00F75E77"/>
    <w:rsid w:val="00F836BB"/>
    <w:rsid w:val="00FB039B"/>
    <w:rsid w:val="00FB0DD3"/>
    <w:rsid w:val="00FB4E9A"/>
    <w:rsid w:val="00FB5FCB"/>
    <w:rsid w:val="00FE3094"/>
    <w:rsid w:val="00FF44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18F4"/>
    <w:pPr>
      <w:widowControl w:val="0"/>
      <w:jc w:val="both"/>
    </w:pPr>
    <w:rPr>
      <w:rFonts w:ascii="Times New Roman" w:eastAsia="宋体" w:hAnsi="Times New Roman" w:cs="Times New Roman"/>
      <w:szCs w:val="24"/>
    </w:rPr>
  </w:style>
  <w:style w:type="paragraph" w:styleId="1">
    <w:name w:val="heading 1"/>
    <w:basedOn w:val="a0"/>
    <w:next w:val="a0"/>
    <w:link w:val="1Char"/>
    <w:qFormat/>
    <w:rsid w:val="009A18F4"/>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9A18F4"/>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semiHidden/>
    <w:unhideWhenUsed/>
    <w:qFormat/>
    <w:rsid w:val="009A18F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A18F4"/>
    <w:rPr>
      <w:rFonts w:ascii="Times New Roman" w:eastAsia="宋体" w:hAnsi="Times New Roman" w:cs="Times New Roman"/>
      <w:b/>
      <w:bCs/>
      <w:kern w:val="44"/>
      <w:sz w:val="44"/>
      <w:szCs w:val="44"/>
    </w:rPr>
  </w:style>
  <w:style w:type="character" w:customStyle="1" w:styleId="2Char">
    <w:name w:val="标题 2 Char"/>
    <w:basedOn w:val="a1"/>
    <w:link w:val="2"/>
    <w:rsid w:val="009A18F4"/>
    <w:rPr>
      <w:rFonts w:ascii="Arial" w:eastAsia="黑体" w:hAnsi="Arial" w:cs="Times New Roman"/>
      <w:b/>
      <w:bCs/>
      <w:sz w:val="32"/>
      <w:szCs w:val="32"/>
    </w:rPr>
  </w:style>
  <w:style w:type="character" w:customStyle="1" w:styleId="3Char">
    <w:name w:val="标题 3 Char"/>
    <w:basedOn w:val="a1"/>
    <w:link w:val="3"/>
    <w:semiHidden/>
    <w:rsid w:val="009A18F4"/>
    <w:rPr>
      <w:rFonts w:ascii="Times New Roman" w:eastAsia="宋体" w:hAnsi="Times New Roman" w:cs="Times New Roman"/>
      <w:b/>
      <w:bCs/>
      <w:sz w:val="32"/>
      <w:szCs w:val="32"/>
    </w:rPr>
  </w:style>
  <w:style w:type="paragraph" w:styleId="a4">
    <w:name w:val="header"/>
    <w:basedOn w:val="a0"/>
    <w:link w:val="Char"/>
    <w:uiPriority w:val="99"/>
    <w:rsid w:val="009A18F4"/>
    <w:pPr>
      <w:tabs>
        <w:tab w:val="center" w:pos="4153"/>
        <w:tab w:val="right" w:pos="8306"/>
      </w:tabs>
      <w:snapToGrid w:val="0"/>
      <w:jc w:val="center"/>
    </w:pPr>
    <w:rPr>
      <w:sz w:val="18"/>
      <w:szCs w:val="18"/>
    </w:rPr>
  </w:style>
  <w:style w:type="character" w:customStyle="1" w:styleId="Char">
    <w:name w:val="页眉 Char"/>
    <w:basedOn w:val="a1"/>
    <w:link w:val="a4"/>
    <w:uiPriority w:val="99"/>
    <w:rsid w:val="009A18F4"/>
    <w:rPr>
      <w:rFonts w:ascii="Times New Roman" w:eastAsia="宋体" w:hAnsi="Times New Roman" w:cs="Times New Roman"/>
      <w:sz w:val="18"/>
      <w:szCs w:val="18"/>
    </w:rPr>
  </w:style>
  <w:style w:type="paragraph" w:styleId="a5">
    <w:name w:val="footer"/>
    <w:basedOn w:val="a0"/>
    <w:link w:val="Char0"/>
    <w:uiPriority w:val="99"/>
    <w:rsid w:val="009A18F4"/>
    <w:pPr>
      <w:tabs>
        <w:tab w:val="center" w:pos="4153"/>
        <w:tab w:val="right" w:pos="8306"/>
      </w:tabs>
      <w:snapToGrid w:val="0"/>
      <w:jc w:val="left"/>
    </w:pPr>
    <w:rPr>
      <w:sz w:val="18"/>
      <w:szCs w:val="18"/>
    </w:rPr>
  </w:style>
  <w:style w:type="character" w:customStyle="1" w:styleId="Char0">
    <w:name w:val="页脚 Char"/>
    <w:basedOn w:val="a1"/>
    <w:link w:val="a5"/>
    <w:uiPriority w:val="99"/>
    <w:rsid w:val="009A18F4"/>
    <w:rPr>
      <w:rFonts w:ascii="Times New Roman" w:eastAsia="宋体" w:hAnsi="Times New Roman" w:cs="Times New Roman"/>
      <w:sz w:val="18"/>
      <w:szCs w:val="18"/>
    </w:rPr>
  </w:style>
  <w:style w:type="paragraph" w:customStyle="1" w:styleId="a6">
    <w:name w:val="内正文"/>
    <w:basedOn w:val="a0"/>
    <w:rsid w:val="009A18F4"/>
    <w:pPr>
      <w:spacing w:after="156" w:line="360" w:lineRule="exact"/>
      <w:ind w:left="2835"/>
    </w:pPr>
    <w:rPr>
      <w:rFonts w:ascii="宋体" w:hAnsi="宋体"/>
      <w:szCs w:val="21"/>
    </w:rPr>
  </w:style>
  <w:style w:type="character" w:styleId="a7">
    <w:name w:val="page number"/>
    <w:basedOn w:val="a1"/>
    <w:rsid w:val="009A18F4"/>
  </w:style>
  <w:style w:type="paragraph" w:styleId="a8">
    <w:name w:val="Plain Text"/>
    <w:basedOn w:val="a0"/>
    <w:link w:val="Char1"/>
    <w:uiPriority w:val="99"/>
    <w:unhideWhenUsed/>
    <w:rsid w:val="009A18F4"/>
    <w:rPr>
      <w:rFonts w:ascii="宋体" w:hAnsi="Courier New" w:cs="Courier New"/>
      <w:szCs w:val="21"/>
    </w:rPr>
  </w:style>
  <w:style w:type="character" w:customStyle="1" w:styleId="Char1">
    <w:name w:val="纯文本 Char"/>
    <w:basedOn w:val="a1"/>
    <w:link w:val="a8"/>
    <w:uiPriority w:val="99"/>
    <w:rsid w:val="009A18F4"/>
    <w:rPr>
      <w:rFonts w:ascii="宋体" w:eastAsia="宋体" w:hAnsi="Courier New" w:cs="Courier New"/>
      <w:szCs w:val="21"/>
    </w:rPr>
  </w:style>
  <w:style w:type="table" w:customStyle="1" w:styleId="10">
    <w:name w:val="浅色底纹1"/>
    <w:basedOn w:val="a2"/>
    <w:uiPriority w:val="60"/>
    <w:rsid w:val="009A18F4"/>
    <w:rPr>
      <w:rFonts w:ascii="Calibri" w:eastAsia="宋体" w:hAnsi="Calibri" w:cs="Times New Roman"/>
      <w:color w:val="000000"/>
      <w:kern w:val="0"/>
      <w:sz w:val="20"/>
      <w:szCs w:val="2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9">
    <w:name w:val="Balloon Text"/>
    <w:basedOn w:val="a0"/>
    <w:link w:val="Char2"/>
    <w:uiPriority w:val="99"/>
    <w:unhideWhenUsed/>
    <w:rsid w:val="009A18F4"/>
    <w:rPr>
      <w:rFonts w:ascii="Calibri" w:hAnsi="Calibri"/>
      <w:sz w:val="18"/>
      <w:szCs w:val="18"/>
    </w:rPr>
  </w:style>
  <w:style w:type="character" w:customStyle="1" w:styleId="Char2">
    <w:name w:val="批注框文本 Char"/>
    <w:basedOn w:val="a1"/>
    <w:link w:val="a9"/>
    <w:uiPriority w:val="99"/>
    <w:rsid w:val="009A18F4"/>
    <w:rPr>
      <w:rFonts w:ascii="Calibri" w:eastAsia="宋体" w:hAnsi="Calibri" w:cs="Times New Roman"/>
      <w:sz w:val="18"/>
      <w:szCs w:val="18"/>
    </w:rPr>
  </w:style>
  <w:style w:type="paragraph" w:customStyle="1" w:styleId="ParaChar">
    <w:name w:val="默认段落字体 Para Char"/>
    <w:basedOn w:val="a0"/>
    <w:autoRedefine/>
    <w:rsid w:val="009A18F4"/>
    <w:pPr>
      <w:numPr>
        <w:numId w:val="3"/>
      </w:numPr>
    </w:pPr>
    <w:rPr>
      <w:sz w:val="24"/>
    </w:rPr>
  </w:style>
  <w:style w:type="character" w:customStyle="1" w:styleId="apple-style-span">
    <w:name w:val="apple-style-span"/>
    <w:basedOn w:val="a1"/>
    <w:rsid w:val="009A18F4"/>
  </w:style>
  <w:style w:type="paragraph" w:styleId="aa">
    <w:name w:val="footnote text"/>
    <w:basedOn w:val="a0"/>
    <w:link w:val="Char3"/>
    <w:semiHidden/>
    <w:rsid w:val="009A18F4"/>
    <w:pPr>
      <w:snapToGrid w:val="0"/>
      <w:jc w:val="left"/>
    </w:pPr>
    <w:rPr>
      <w:sz w:val="18"/>
      <w:szCs w:val="18"/>
    </w:rPr>
  </w:style>
  <w:style w:type="character" w:customStyle="1" w:styleId="Char3">
    <w:name w:val="脚注文本 Char"/>
    <w:basedOn w:val="a1"/>
    <w:link w:val="aa"/>
    <w:semiHidden/>
    <w:rsid w:val="009A18F4"/>
    <w:rPr>
      <w:rFonts w:ascii="Times New Roman" w:eastAsia="宋体" w:hAnsi="Times New Roman" w:cs="Times New Roman"/>
      <w:sz w:val="18"/>
      <w:szCs w:val="18"/>
    </w:rPr>
  </w:style>
  <w:style w:type="character" w:styleId="ab">
    <w:name w:val="footnote reference"/>
    <w:basedOn w:val="a1"/>
    <w:semiHidden/>
    <w:rsid w:val="009A18F4"/>
    <w:rPr>
      <w:vertAlign w:val="superscript"/>
    </w:rPr>
  </w:style>
  <w:style w:type="paragraph" w:customStyle="1" w:styleId="a">
    <w:name w:val="封面正文"/>
    <w:basedOn w:val="a0"/>
    <w:rsid w:val="009A18F4"/>
    <w:pPr>
      <w:numPr>
        <w:numId w:val="5"/>
      </w:numPr>
      <w:spacing w:afterLines="50" w:line="300" w:lineRule="exact"/>
    </w:pPr>
    <w:rPr>
      <w:rFonts w:ascii="Arial" w:eastAsia="黑体" w:hAnsi="Arial"/>
      <w:b/>
      <w:sz w:val="18"/>
      <w:szCs w:val="21"/>
    </w:rPr>
  </w:style>
  <w:style w:type="character" w:styleId="ac">
    <w:name w:val="Hyperlink"/>
    <w:basedOn w:val="a1"/>
    <w:rsid w:val="009A18F4"/>
    <w:rPr>
      <w:color w:val="0000FF"/>
      <w:u w:val="single"/>
    </w:rPr>
  </w:style>
  <w:style w:type="paragraph" w:styleId="ad">
    <w:name w:val="Date"/>
    <w:basedOn w:val="a0"/>
    <w:next w:val="a0"/>
    <w:link w:val="Char4"/>
    <w:rsid w:val="009A18F4"/>
    <w:pPr>
      <w:ind w:leftChars="2500" w:left="100"/>
    </w:pPr>
  </w:style>
  <w:style w:type="character" w:customStyle="1" w:styleId="Char4">
    <w:name w:val="日期 Char"/>
    <w:basedOn w:val="a1"/>
    <w:link w:val="ad"/>
    <w:rsid w:val="009A18F4"/>
    <w:rPr>
      <w:rFonts w:ascii="Times New Roman" w:eastAsia="宋体" w:hAnsi="Times New Roman" w:cs="Times New Roman"/>
      <w:szCs w:val="24"/>
    </w:rPr>
  </w:style>
  <w:style w:type="character" w:customStyle="1" w:styleId="apple-converted-space">
    <w:name w:val="apple-converted-space"/>
    <w:basedOn w:val="a1"/>
    <w:rsid w:val="009A18F4"/>
  </w:style>
  <w:style w:type="character" w:styleId="ae">
    <w:name w:val="Strong"/>
    <w:basedOn w:val="a1"/>
    <w:uiPriority w:val="22"/>
    <w:qFormat/>
    <w:rsid w:val="009A18F4"/>
    <w:rPr>
      <w:b/>
      <w:bCs/>
    </w:rPr>
  </w:style>
  <w:style w:type="character" w:styleId="af">
    <w:name w:val="Emphasis"/>
    <w:basedOn w:val="a1"/>
    <w:uiPriority w:val="20"/>
    <w:qFormat/>
    <w:rsid w:val="009A18F4"/>
    <w:rPr>
      <w:i/>
      <w:iCs/>
    </w:rPr>
  </w:style>
  <w:style w:type="character" w:customStyle="1" w:styleId="fsheadcode1">
    <w:name w:val="fs_head_code1"/>
    <w:basedOn w:val="a1"/>
    <w:rsid w:val="009A18F4"/>
  </w:style>
  <w:style w:type="paragraph" w:styleId="af0">
    <w:name w:val="List Paragraph"/>
    <w:basedOn w:val="a0"/>
    <w:uiPriority w:val="34"/>
    <w:qFormat/>
    <w:rsid w:val="009A18F4"/>
    <w:pPr>
      <w:ind w:firstLineChars="200" w:firstLine="420"/>
    </w:pPr>
  </w:style>
  <w:style w:type="paragraph" w:styleId="af1">
    <w:name w:val="No Spacing"/>
    <w:link w:val="Char5"/>
    <w:uiPriority w:val="1"/>
    <w:qFormat/>
    <w:rsid w:val="009A18F4"/>
    <w:rPr>
      <w:kern w:val="0"/>
      <w:sz w:val="22"/>
    </w:rPr>
  </w:style>
  <w:style w:type="character" w:customStyle="1" w:styleId="Char5">
    <w:name w:val="无间隔 Char"/>
    <w:basedOn w:val="a1"/>
    <w:link w:val="af1"/>
    <w:uiPriority w:val="1"/>
    <w:rsid w:val="009A18F4"/>
    <w:rPr>
      <w:kern w:val="0"/>
      <w:sz w:val="22"/>
    </w:rPr>
  </w:style>
  <w:style w:type="paragraph" w:customStyle="1" w:styleId="Default">
    <w:name w:val="Default"/>
    <w:rsid w:val="009A18F4"/>
    <w:pPr>
      <w:widowControl w:val="0"/>
      <w:autoSpaceDE w:val="0"/>
      <w:autoSpaceDN w:val="0"/>
      <w:adjustRightInd w:val="0"/>
    </w:pPr>
    <w:rPr>
      <w:rFonts w:ascii="宋体" w:eastAsia="宋体" w:hAnsi="Times New Roman" w:cs="宋体"/>
      <w:color w:val="000000"/>
      <w:kern w:val="0"/>
      <w:sz w:val="24"/>
      <w:szCs w:val="24"/>
    </w:rPr>
  </w:style>
  <w:style w:type="character" w:styleId="af2">
    <w:name w:val="FollowedHyperlink"/>
    <w:basedOn w:val="a1"/>
    <w:rsid w:val="009A18F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4331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news.fx678.com/news/keywords/mg.shtml" TargetMode="External"/><Relationship Id="rId3" Type="http://schemas.openxmlformats.org/officeDocument/2006/relationships/settings" Target="settings.xml"/><Relationship Id="rId21" Type="http://schemas.openxmlformats.org/officeDocument/2006/relationships/hyperlink" Target="http://news.fx678.com/news/keywords/hfzzypmi.shtml" TargetMode="Externa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hyperlink" Target="http://news.fx678.com/news/keywords/oyq.shtml"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fx678.com/indexchart/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news.fx678.com/news/keywords/mg.s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2443</TotalTime>
  <Pages>9</Pages>
  <Words>1169</Words>
  <Characters>6667</Characters>
  <Application>Microsoft Office Word</Application>
  <DocSecurity>0</DocSecurity>
  <Lines>55</Lines>
  <Paragraphs>15</Paragraphs>
  <ScaleCrop>false</ScaleCrop>
  <Company>SHSC</Company>
  <LinksUpToDate>false</LinksUpToDate>
  <CharactersWithSpaces>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刘亦千:</dc:creator>
  <cp:keywords/>
  <dc:description/>
  <cp:lastModifiedBy>刘亦千:全体人员</cp:lastModifiedBy>
  <cp:revision>33</cp:revision>
  <cp:lastPrinted>2015-07-31T02:44:00Z</cp:lastPrinted>
  <dcterms:created xsi:type="dcterms:W3CDTF">2015-06-30T02:51:00Z</dcterms:created>
  <dcterms:modified xsi:type="dcterms:W3CDTF">2015-07-31T02:59:00Z</dcterms:modified>
</cp:coreProperties>
</file>