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 w:tblpY="-3400"/>
        <w:tblW w:w="0" w:type="auto"/>
        <w:shd w:val="clear" w:color="auto" w:fill="E0E0E0"/>
        <w:tblLayout w:type="fixed"/>
        <w:tblLook w:val="04A0"/>
      </w:tblPr>
      <w:tblGrid>
        <w:gridCol w:w="250"/>
        <w:gridCol w:w="540"/>
        <w:gridCol w:w="3240"/>
      </w:tblGrid>
      <w:tr w:rsidR="001B37D0" w:rsidTr="00AE2B92">
        <w:trPr>
          <w:trHeight w:val="284"/>
        </w:trPr>
        <w:tc>
          <w:tcPr>
            <w:tcW w:w="250" w:type="dxa"/>
            <w:shd w:val="clear" w:color="auto" w:fill="CDD7FA"/>
            <w:hideMark/>
          </w:tcPr>
          <w:p w:rsidR="001B37D0" w:rsidRDefault="001B37D0" w:rsidP="001B37D0">
            <w:pPr>
              <w:rPr>
                <w:rFonts w:eastAsia="楷体_GB2312"/>
                <w:b/>
                <w:color w:val="003366"/>
              </w:rPr>
            </w:pPr>
          </w:p>
        </w:tc>
        <w:tc>
          <w:tcPr>
            <w:tcW w:w="3780" w:type="dxa"/>
            <w:gridSpan w:val="2"/>
            <w:vMerge w:val="restart"/>
            <w:shd w:val="clear" w:color="auto" w:fill="CDD7FA"/>
            <w:vAlign w:val="center"/>
          </w:tcPr>
          <w:p w:rsidR="001B37D0" w:rsidRDefault="00FC4A6C" w:rsidP="001B37D0">
            <w:pPr>
              <w:rPr>
                <w:rFonts w:eastAsia="楷体_GB2312"/>
                <w:b/>
                <w:color w:val="003366"/>
              </w:rPr>
            </w:pPr>
            <w:r w:rsidRPr="00FC4A6C">
              <w:pict>
                <v:shapetype id="_x0000_t202" coordsize="21600,21600" o:spt="202" path="m,l,21600r21600,l21600,xe">
                  <v:stroke joinstyle="miter"/>
                  <v:path gradientshapeok="t" o:connecttype="rect"/>
                </v:shapetype>
                <v:shape id="Text Box 7" o:spid="_x0000_s1028" type="#_x0000_t202" style="position:absolute;left:0;text-align:left;margin-left:158.1pt;margin-top:24.7pt;width:426.45pt;height:34.95pt;z-index:251656192;mso-position-horizontal-relative:text;mso-position-vertical-relative:text" fillcolor="#f00000" stroked="f">
                  <v:textbox style="mso-next-textbox:#Text Box 7">
                    <w:txbxContent>
                      <w:p w:rsidR="00A95181" w:rsidRDefault="00A95181" w:rsidP="001B37D0">
                        <w:pPr>
                          <w:jc w:val="right"/>
                          <w:rPr>
                            <w:rFonts w:ascii="楷体_GB2312" w:eastAsia="楷体_GB2312" w:hAnsi="宋体-18030" w:cs="宋体-18030"/>
                            <w:b/>
                            <w:color w:val="FFFFFF"/>
                            <w:sz w:val="24"/>
                          </w:rPr>
                        </w:pPr>
                        <w:r>
                          <w:rPr>
                            <w:rFonts w:ascii="楷体_GB2312" w:eastAsia="楷体_GB2312" w:hAnsi="宋体-18030" w:cs="宋体-18030" w:hint="eastAsia"/>
                            <w:b/>
                            <w:color w:val="FFFFFF"/>
                            <w:sz w:val="28"/>
                            <w:szCs w:val="28"/>
                          </w:rPr>
                          <w:t xml:space="preserve">             证券投资基金研究报告/ 每周资讯</w:t>
                        </w:r>
                      </w:p>
                    </w:txbxContent>
                  </v:textbox>
                </v:shape>
              </w:pict>
            </w:r>
          </w:p>
        </w:tc>
      </w:tr>
      <w:tr w:rsidR="001B37D0" w:rsidTr="00AE2B92">
        <w:trPr>
          <w:trHeight w:val="284"/>
        </w:trPr>
        <w:tc>
          <w:tcPr>
            <w:tcW w:w="250" w:type="dxa"/>
            <w:shd w:val="clear" w:color="auto" w:fill="CDD7FA"/>
          </w:tcPr>
          <w:p w:rsidR="001B37D0" w:rsidRDefault="001B37D0" w:rsidP="001B37D0">
            <w:pPr>
              <w:rPr>
                <w:rFonts w:eastAsia="楷体_GB2312"/>
                <w:b/>
                <w:color w:val="003366"/>
              </w:rPr>
            </w:pPr>
          </w:p>
        </w:tc>
        <w:tc>
          <w:tcPr>
            <w:tcW w:w="3780" w:type="dxa"/>
            <w:gridSpan w:val="2"/>
            <w:vMerge/>
            <w:shd w:val="clear" w:color="auto" w:fill="E0E0E0"/>
            <w:vAlign w:val="center"/>
            <w:hideMark/>
          </w:tcPr>
          <w:p w:rsidR="001B37D0" w:rsidRDefault="001B37D0" w:rsidP="001B37D0">
            <w:pPr>
              <w:widowControl/>
              <w:jc w:val="left"/>
              <w:rPr>
                <w:rFonts w:eastAsia="楷体_GB2312"/>
                <w:b/>
                <w:color w:val="003366"/>
              </w:rPr>
            </w:pPr>
          </w:p>
        </w:tc>
      </w:tr>
      <w:tr w:rsidR="001B37D0" w:rsidTr="00AE2B92">
        <w:trPr>
          <w:trHeight w:val="940"/>
        </w:trPr>
        <w:tc>
          <w:tcPr>
            <w:tcW w:w="250" w:type="dxa"/>
            <w:shd w:val="clear" w:color="auto" w:fill="CDD7FA"/>
          </w:tcPr>
          <w:p w:rsidR="001B37D0" w:rsidRDefault="001B37D0" w:rsidP="001B37D0">
            <w:pPr>
              <w:rPr>
                <w:rFonts w:eastAsia="楷体_GB2312"/>
                <w:b/>
                <w:color w:val="003366"/>
              </w:rPr>
            </w:pPr>
          </w:p>
        </w:tc>
        <w:tc>
          <w:tcPr>
            <w:tcW w:w="3780" w:type="dxa"/>
            <w:gridSpan w:val="2"/>
            <w:shd w:val="clear" w:color="auto" w:fill="CDD7FA"/>
            <w:hideMark/>
          </w:tcPr>
          <w:p w:rsidR="001B37D0" w:rsidRDefault="00FC4A6C" w:rsidP="00AE2B92">
            <w:pPr>
              <w:spacing w:line="360" w:lineRule="auto"/>
              <w:ind w:leftChars="-51" w:left="-107"/>
              <w:rPr>
                <w:rFonts w:eastAsia="楷体_GB2312"/>
              </w:rPr>
            </w:pPr>
            <w:r w:rsidRPr="00FC4A6C">
              <w:pict>
                <v:shape id="_x0000_s1027" type="#_x0000_t202" style="position:absolute;left:0;text-align:left;margin-left:157.75pt;margin-top:29.85pt;width:425.75pt;height:63.25pt;z-index:251657216;mso-position-horizontal-relative:text;mso-position-vertical-relative:text" fillcolor="#032951" stroked="f">
                  <v:textbox style="mso-next-textbox:#_x0000_s1027">
                    <w:txbxContent>
                      <w:p w:rsidR="00A95181" w:rsidRPr="0051455E" w:rsidRDefault="00C76D8B" w:rsidP="00AA2A45">
                        <w:pPr>
                          <w:spacing w:beforeLines="20"/>
                          <w:ind w:right="420"/>
                          <w:jc w:val="center"/>
                          <w:rPr>
                            <w:rFonts w:ascii="黑体" w:eastAsia="黑体" w:hAnsi="宋体-18030" w:cs="宋体-18030"/>
                            <w:b/>
                            <w:color w:val="FFFFFF"/>
                            <w:sz w:val="28"/>
                            <w:szCs w:val="28"/>
                          </w:rPr>
                        </w:pPr>
                        <w:r>
                          <w:rPr>
                            <w:rFonts w:ascii="黑体" w:eastAsia="黑体" w:hAnsi="宋体-18030" w:cs="宋体-18030" w:hint="eastAsia"/>
                            <w:b/>
                            <w:color w:val="FFFFFF"/>
                            <w:sz w:val="28"/>
                            <w:szCs w:val="28"/>
                          </w:rPr>
                          <w:t>杠杆指数</w:t>
                        </w:r>
                        <w:r w:rsidR="00A95181" w:rsidRPr="0051455E">
                          <w:rPr>
                            <w:rFonts w:ascii="黑体" w:eastAsia="黑体" w:hAnsi="宋体-18030" w:cs="宋体-18030" w:hint="eastAsia"/>
                            <w:b/>
                            <w:color w:val="FFFFFF"/>
                            <w:sz w:val="28"/>
                            <w:szCs w:val="28"/>
                          </w:rPr>
                          <w:t>分级基金周报</w:t>
                        </w:r>
                      </w:p>
                      <w:p w:rsidR="00A95181" w:rsidRDefault="00A95181" w:rsidP="00AA2A45">
                        <w:pPr>
                          <w:spacing w:beforeLines="20"/>
                          <w:jc w:val="right"/>
                          <w:rPr>
                            <w:rFonts w:ascii="黑体" w:eastAsia="黑体"/>
                            <w:szCs w:val="21"/>
                          </w:rPr>
                        </w:pPr>
                        <w:r>
                          <w:rPr>
                            <w:rFonts w:ascii="黑体" w:eastAsia="黑体" w:hint="eastAsia"/>
                            <w:szCs w:val="21"/>
                          </w:rPr>
                          <w:t xml:space="preserve"> 2015年7月20日-2015年7月24日</w:t>
                        </w:r>
                      </w:p>
                    </w:txbxContent>
                  </v:textbox>
                </v:shape>
              </w:pict>
            </w:r>
            <w:r w:rsidR="00AE2B92">
              <w:rPr>
                <w:rFonts w:eastAsia="楷体_GB2312"/>
                <w:b/>
                <w:noProof/>
                <w:color w:val="003366"/>
              </w:rPr>
              <w:drawing>
                <wp:inline distT="0" distB="0" distL="0" distR="0">
                  <wp:extent cx="1857374" cy="895350"/>
                  <wp:effectExtent l="19050" t="0" r="0" b="0"/>
                  <wp:docPr id="9" name="图片 7"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1835522" cy="884816"/>
                          </a:xfrm>
                          <a:prstGeom prst="rect">
                            <a:avLst/>
                          </a:prstGeom>
                        </pic:spPr>
                      </pic:pic>
                    </a:graphicData>
                  </a:graphic>
                </wp:inline>
              </w:drawing>
            </w:r>
          </w:p>
        </w:tc>
      </w:tr>
      <w:tr w:rsidR="001B37D0" w:rsidTr="00AE2B92">
        <w:trPr>
          <w:trHeight w:hRule="exact" w:val="284"/>
        </w:trPr>
        <w:tc>
          <w:tcPr>
            <w:tcW w:w="250" w:type="dxa"/>
            <w:shd w:val="clear" w:color="auto" w:fill="CDD7FA"/>
          </w:tcPr>
          <w:p w:rsidR="001B37D0" w:rsidRDefault="001B37D0" w:rsidP="001B37D0">
            <w:pPr>
              <w:rPr>
                <w:rFonts w:eastAsia="楷体_GB2312"/>
                <w:b/>
                <w:color w:val="003366"/>
              </w:rPr>
            </w:pPr>
          </w:p>
        </w:tc>
        <w:tc>
          <w:tcPr>
            <w:tcW w:w="540" w:type="dxa"/>
            <w:shd w:val="clear" w:color="auto" w:fill="CDD7FA"/>
          </w:tcPr>
          <w:p w:rsidR="001B37D0" w:rsidRDefault="001B37D0" w:rsidP="001B37D0">
            <w:pPr>
              <w:jc w:val="left"/>
              <w:rPr>
                <w:rFonts w:eastAsia="楷体_GB2312"/>
                <w:b/>
                <w:color w:val="003366"/>
              </w:rPr>
            </w:pPr>
          </w:p>
        </w:tc>
        <w:tc>
          <w:tcPr>
            <w:tcW w:w="3240" w:type="dxa"/>
            <w:shd w:val="clear" w:color="auto" w:fill="CDD7FA"/>
          </w:tcPr>
          <w:p w:rsidR="001B37D0" w:rsidRDefault="001B37D0" w:rsidP="001B37D0">
            <w:pPr>
              <w:rPr>
                <w:rFonts w:eastAsia="楷体_GB2312"/>
                <w:b/>
                <w:color w:val="003366"/>
              </w:rPr>
            </w:pPr>
          </w:p>
        </w:tc>
      </w:tr>
      <w:tr w:rsidR="001B37D0" w:rsidTr="00AE2B92">
        <w:trPr>
          <w:trHeight w:hRule="exact" w:val="284"/>
        </w:trPr>
        <w:tc>
          <w:tcPr>
            <w:tcW w:w="250" w:type="dxa"/>
            <w:shd w:val="clear" w:color="auto" w:fill="auto"/>
          </w:tcPr>
          <w:p w:rsidR="001B37D0" w:rsidRDefault="001B37D0" w:rsidP="001B37D0">
            <w:pPr>
              <w:rPr>
                <w:rFonts w:eastAsia="楷体_GB2312"/>
                <w:b/>
                <w:color w:val="003366"/>
              </w:rPr>
            </w:pPr>
          </w:p>
        </w:tc>
        <w:tc>
          <w:tcPr>
            <w:tcW w:w="3780" w:type="dxa"/>
            <w:gridSpan w:val="2"/>
            <w:shd w:val="clear" w:color="auto" w:fill="auto"/>
          </w:tcPr>
          <w:p w:rsidR="001B37D0" w:rsidRDefault="001B37D0" w:rsidP="001B37D0">
            <w:pPr>
              <w:rPr>
                <w:rFonts w:eastAsia="楷体_GB2312"/>
                <w:color w:val="003366"/>
              </w:rPr>
            </w:pPr>
          </w:p>
        </w:tc>
      </w:tr>
      <w:tr w:rsidR="001B37D0" w:rsidTr="00AE2B92">
        <w:trPr>
          <w:trHeight w:val="457"/>
        </w:trPr>
        <w:tc>
          <w:tcPr>
            <w:tcW w:w="250" w:type="dxa"/>
            <w:shd w:val="clear" w:color="auto" w:fill="auto"/>
          </w:tcPr>
          <w:p w:rsidR="001B37D0" w:rsidRDefault="001B37D0" w:rsidP="001B37D0">
            <w:pPr>
              <w:rPr>
                <w:rFonts w:eastAsia="楷体_GB2312"/>
                <w:b/>
                <w:color w:val="003366"/>
              </w:rPr>
            </w:pPr>
          </w:p>
        </w:tc>
        <w:tc>
          <w:tcPr>
            <w:tcW w:w="3780" w:type="dxa"/>
            <w:gridSpan w:val="2"/>
            <w:shd w:val="clear" w:color="auto" w:fill="auto"/>
          </w:tcPr>
          <w:p w:rsidR="001B37D0" w:rsidRDefault="001B37D0" w:rsidP="001B37D0">
            <w:pPr>
              <w:spacing w:line="360" w:lineRule="auto"/>
              <w:jc w:val="center"/>
              <w:rPr>
                <w:rFonts w:eastAsia="楷体_GB2312"/>
                <w:color w:val="003366"/>
              </w:rPr>
            </w:pPr>
          </w:p>
        </w:tc>
      </w:tr>
      <w:tr w:rsidR="001B37D0" w:rsidTr="00AE2B92">
        <w:trPr>
          <w:trHeight w:val="284"/>
        </w:trPr>
        <w:tc>
          <w:tcPr>
            <w:tcW w:w="250" w:type="dxa"/>
            <w:shd w:val="clear" w:color="auto" w:fill="auto"/>
          </w:tcPr>
          <w:p w:rsidR="001B37D0" w:rsidRDefault="001B37D0" w:rsidP="001B37D0">
            <w:pPr>
              <w:rPr>
                <w:rFonts w:eastAsia="楷体_GB2312"/>
                <w:b/>
                <w:color w:val="003366"/>
              </w:rPr>
            </w:pPr>
          </w:p>
        </w:tc>
        <w:tc>
          <w:tcPr>
            <w:tcW w:w="3780" w:type="dxa"/>
            <w:gridSpan w:val="2"/>
            <w:shd w:val="clear" w:color="auto" w:fill="auto"/>
          </w:tcPr>
          <w:p w:rsidR="001B37D0" w:rsidRDefault="001B37D0" w:rsidP="001B37D0">
            <w:pPr>
              <w:rPr>
                <w:rFonts w:eastAsia="黑体"/>
                <w:color w:val="003366"/>
                <w:sz w:val="24"/>
              </w:rPr>
            </w:pPr>
          </w:p>
          <w:p w:rsidR="001B37D0" w:rsidRDefault="001B37D0" w:rsidP="001B37D0">
            <w:pPr>
              <w:rPr>
                <w:rFonts w:eastAsia="黑体"/>
                <w:color w:val="003366"/>
                <w:sz w:val="24"/>
              </w:rPr>
            </w:pPr>
          </w:p>
          <w:p w:rsidR="001B37D0" w:rsidRDefault="001B37D0" w:rsidP="001B37D0">
            <w:pPr>
              <w:rPr>
                <w:rFonts w:eastAsia="黑体"/>
                <w:color w:val="003366"/>
                <w:sz w:val="24"/>
              </w:rPr>
            </w:pPr>
          </w:p>
          <w:p w:rsidR="001B37D0" w:rsidRDefault="001B37D0" w:rsidP="001B37D0">
            <w:pPr>
              <w:rPr>
                <w:rFonts w:eastAsia="黑体"/>
                <w:color w:val="003366"/>
                <w:sz w:val="24"/>
              </w:rPr>
            </w:pPr>
          </w:p>
          <w:p w:rsidR="001B37D0" w:rsidRDefault="001B37D0" w:rsidP="001B37D0">
            <w:pPr>
              <w:rPr>
                <w:rFonts w:eastAsia="黑体"/>
                <w:color w:val="003366"/>
                <w:sz w:val="24"/>
              </w:rPr>
            </w:pPr>
          </w:p>
        </w:tc>
      </w:tr>
      <w:tr w:rsidR="001B37D0" w:rsidTr="00AE2B92">
        <w:trPr>
          <w:trHeight w:val="284"/>
        </w:trPr>
        <w:tc>
          <w:tcPr>
            <w:tcW w:w="250" w:type="dxa"/>
            <w:shd w:val="clear" w:color="auto" w:fill="auto"/>
          </w:tcPr>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p w:rsidR="001B37D0" w:rsidRDefault="001B37D0" w:rsidP="001B37D0">
            <w:pPr>
              <w:rPr>
                <w:rFonts w:eastAsia="楷体_GB2312"/>
                <w:b/>
                <w:color w:val="003366"/>
                <w:sz w:val="24"/>
              </w:rPr>
            </w:pPr>
          </w:p>
        </w:tc>
        <w:tc>
          <w:tcPr>
            <w:tcW w:w="3780" w:type="dxa"/>
            <w:gridSpan w:val="2"/>
            <w:shd w:val="clear" w:color="auto" w:fill="auto"/>
            <w:vAlign w:val="center"/>
          </w:tcPr>
          <w:p w:rsidR="001B37D0" w:rsidRDefault="001B37D0" w:rsidP="001B37D0">
            <w:pPr>
              <w:jc w:val="left"/>
              <w:rPr>
                <w:rFonts w:eastAsia="楷体_GB2312"/>
                <w:b/>
                <w:color w:val="003366"/>
                <w:szCs w:val="21"/>
              </w:rPr>
            </w:pPr>
          </w:p>
          <w:p w:rsidR="001B37D0" w:rsidRDefault="001B37D0" w:rsidP="001B37D0">
            <w:pPr>
              <w:jc w:val="left"/>
              <w:rPr>
                <w:rFonts w:eastAsia="楷体_GB2312"/>
                <w:b/>
                <w:color w:val="003366"/>
                <w:sz w:val="24"/>
              </w:rPr>
            </w:pPr>
          </w:p>
        </w:tc>
      </w:tr>
      <w:tr w:rsidR="001B37D0" w:rsidTr="00AE2B92">
        <w:trPr>
          <w:gridAfter w:val="2"/>
          <w:wAfter w:w="3780" w:type="dxa"/>
          <w:trHeight w:val="284"/>
        </w:trPr>
        <w:tc>
          <w:tcPr>
            <w:tcW w:w="250" w:type="dxa"/>
            <w:shd w:val="clear" w:color="auto" w:fill="auto"/>
          </w:tcPr>
          <w:p w:rsidR="001B37D0" w:rsidRDefault="001B37D0" w:rsidP="001B37D0">
            <w:pPr>
              <w:rPr>
                <w:rFonts w:eastAsia="楷体_GB2312"/>
                <w:color w:val="003365"/>
                <w:kern w:val="0"/>
                <w:sz w:val="24"/>
              </w:rPr>
            </w:pPr>
          </w:p>
        </w:tc>
      </w:tr>
      <w:tr w:rsidR="001B37D0" w:rsidTr="00AE2B92">
        <w:trPr>
          <w:trHeight w:val="284"/>
        </w:trPr>
        <w:tc>
          <w:tcPr>
            <w:tcW w:w="250" w:type="dxa"/>
            <w:shd w:val="clear" w:color="auto" w:fill="auto"/>
          </w:tcPr>
          <w:p w:rsidR="001B37D0" w:rsidRDefault="001B37D0" w:rsidP="001B37D0">
            <w:pPr>
              <w:rPr>
                <w:rFonts w:eastAsia="楷体_GB2312"/>
                <w:b/>
                <w:color w:val="003366"/>
              </w:rPr>
            </w:pPr>
          </w:p>
        </w:tc>
        <w:tc>
          <w:tcPr>
            <w:tcW w:w="3780" w:type="dxa"/>
            <w:gridSpan w:val="2"/>
            <w:shd w:val="clear" w:color="auto" w:fill="auto"/>
            <w:hideMark/>
          </w:tcPr>
          <w:p w:rsidR="001B37D0" w:rsidRDefault="001B37D0" w:rsidP="001B37D0">
            <w:pPr>
              <w:rPr>
                <w:rFonts w:eastAsia="楷体_GB2312"/>
                <w:b/>
                <w:color w:val="003366"/>
                <w:szCs w:val="21"/>
              </w:rPr>
            </w:pPr>
          </w:p>
        </w:tc>
      </w:tr>
    </w:tbl>
    <w:p w:rsidR="00AE2B92" w:rsidRDefault="00FC4A6C" w:rsidP="00AE2B92">
      <w:pPr>
        <w:spacing w:line="360" w:lineRule="auto"/>
        <w:rPr>
          <w:rFonts w:ascii="楷体_GB2312" w:eastAsia="楷体_GB2312" w:hAnsi="宋体"/>
          <w:b/>
          <w:color w:val="003366"/>
          <w:sz w:val="24"/>
        </w:rPr>
      </w:pPr>
      <w:r>
        <w:rPr>
          <w:rFonts w:ascii="楷体_GB2312" w:eastAsia="楷体_GB2312" w:hAnsi="宋体"/>
          <w:b/>
          <w:color w:val="003366"/>
          <w:sz w:val="24"/>
        </w:rPr>
        <w:pict>
          <v:rect id="_x0000_s1029" style="position:absolute;left:0;text-align:left;margin-left:-56.55pt;margin-top:-174.65pt;width:425.75pt;height:30.05pt;z-index:251659264;mso-position-horizontal-relative:text;mso-position-vertical-relative:text" fillcolor="#032951" stroked="f"/>
        </w:pict>
      </w:r>
      <w:r w:rsidR="00AE2B92" w:rsidRPr="00AE2B92">
        <w:rPr>
          <w:rFonts w:ascii="楷体_GB2312" w:eastAsia="楷体_GB2312" w:hAnsi="宋体" w:hint="eastAsia"/>
          <w:b/>
          <w:color w:val="003366"/>
          <w:sz w:val="24"/>
        </w:rPr>
        <w:t>摘要：</w:t>
      </w:r>
    </w:p>
    <w:p w:rsidR="00AE2B92" w:rsidRPr="00AE2B92" w:rsidRDefault="00AE2B92" w:rsidP="00AE2B92">
      <w:pPr>
        <w:spacing w:line="360" w:lineRule="auto"/>
        <w:rPr>
          <w:rFonts w:ascii="楷体_GB2312" w:eastAsia="楷体_GB2312" w:hAnsi="宋体"/>
          <w:b/>
          <w:color w:val="003366"/>
          <w:sz w:val="24"/>
        </w:rPr>
      </w:pPr>
    </w:p>
    <w:p w:rsidR="00AE2B92" w:rsidRPr="00AB4E11" w:rsidRDefault="00AE2B92" w:rsidP="00AE2B92">
      <w:pPr>
        <w:rPr>
          <w:rFonts w:ascii="楷体_GB2312" w:eastAsia="楷体_GB2312"/>
          <w:szCs w:val="21"/>
        </w:rPr>
      </w:pPr>
      <w:r w:rsidRPr="00AB4E11">
        <w:rPr>
          <w:rFonts w:ascii="楷体_GB2312" w:eastAsia="楷体_GB2312" w:hint="eastAsia"/>
          <w:szCs w:val="21"/>
        </w:rPr>
        <w:t>近期股市的六连阳暗示着A股已经回到的正常的走势当中来。而分级基金，经历了本月初的前所未有的</w:t>
      </w:r>
      <w:proofErr w:type="gramStart"/>
      <w:r w:rsidRPr="00AB4E11">
        <w:rPr>
          <w:rFonts w:ascii="楷体_GB2312" w:eastAsia="楷体_GB2312" w:hint="eastAsia"/>
          <w:szCs w:val="21"/>
        </w:rPr>
        <w:t>下折潮以后</w:t>
      </w:r>
      <w:proofErr w:type="gramEnd"/>
      <w:r w:rsidRPr="00AB4E11">
        <w:rPr>
          <w:rFonts w:ascii="楷体_GB2312" w:eastAsia="楷体_GB2312" w:hint="eastAsia"/>
          <w:szCs w:val="21"/>
        </w:rPr>
        <w:t>，</w:t>
      </w:r>
      <w:proofErr w:type="gramStart"/>
      <w:r w:rsidRPr="00AB4E11">
        <w:rPr>
          <w:rFonts w:ascii="楷体_GB2312" w:eastAsia="楷体_GB2312" w:hint="eastAsia"/>
          <w:szCs w:val="21"/>
        </w:rPr>
        <w:t>再次又</w:t>
      </w:r>
      <w:proofErr w:type="gramEnd"/>
      <w:r w:rsidRPr="00AB4E11">
        <w:rPr>
          <w:rFonts w:ascii="楷体_GB2312" w:eastAsia="楷体_GB2312" w:hint="eastAsia"/>
          <w:szCs w:val="21"/>
        </w:rPr>
        <w:t>成为了投资者中的热点。</w:t>
      </w:r>
      <w:proofErr w:type="gramStart"/>
      <w:r w:rsidRPr="00AB4E11">
        <w:rPr>
          <w:rFonts w:ascii="楷体_GB2312" w:eastAsia="楷体_GB2312" w:hint="eastAsia"/>
          <w:szCs w:val="21"/>
        </w:rPr>
        <w:t>下折潮过后</w:t>
      </w:r>
      <w:proofErr w:type="gramEnd"/>
      <w:r w:rsidRPr="00AB4E11">
        <w:rPr>
          <w:rFonts w:ascii="楷体_GB2312" w:eastAsia="楷体_GB2312" w:hint="eastAsia"/>
          <w:szCs w:val="21"/>
        </w:rPr>
        <w:t>，分级B因在恐慌时价格反应过度，形成一定的投资价值洼地，成为了投资者爆炒的对象。在本月下折后复牌交易的24只分级B，</w:t>
      </w:r>
      <w:r w:rsidR="005E36F1">
        <w:rPr>
          <w:rFonts w:ascii="楷体_GB2312" w:eastAsia="楷体_GB2312" w:hint="eastAsia"/>
          <w:szCs w:val="21"/>
        </w:rPr>
        <w:t>上周</w:t>
      </w:r>
      <w:r w:rsidRPr="00AB4E11">
        <w:rPr>
          <w:rFonts w:ascii="楷体_GB2312" w:eastAsia="楷体_GB2312" w:hint="eastAsia"/>
          <w:szCs w:val="21"/>
        </w:rPr>
        <w:t>平均涨幅达45.53%。分级B的价格暴涨也包含了对今后行情向好的预期，一旦上涨走势不再，分级B 价格的下行风险就很大。</w:t>
      </w:r>
    </w:p>
    <w:p w:rsidR="00AE2B92" w:rsidRPr="00AE2B92" w:rsidRDefault="00AE2B92" w:rsidP="00AE2B92">
      <w:pPr>
        <w:spacing w:line="360" w:lineRule="auto"/>
      </w:pPr>
    </w:p>
    <w:p w:rsidR="00AE2B92" w:rsidRDefault="00AE2B92" w:rsidP="00AE2B92">
      <w:pPr>
        <w:spacing w:line="360" w:lineRule="auto"/>
        <w:ind w:rightChars="-135" w:right="-283"/>
        <w:rPr>
          <w:rFonts w:ascii="楷体_GB2312" w:eastAsia="楷体_GB2312" w:hAnsi="宋体"/>
          <w:b/>
          <w:color w:val="003366"/>
          <w:sz w:val="24"/>
        </w:rPr>
      </w:pPr>
      <w:r w:rsidRPr="00AE2B92">
        <w:rPr>
          <w:rFonts w:ascii="楷体_GB2312" w:eastAsia="楷体_GB2312" w:hAnsi="宋体" w:hint="eastAsia"/>
          <w:b/>
          <w:color w:val="003366"/>
          <w:sz w:val="24"/>
        </w:rPr>
        <w:t>市场概况：</w:t>
      </w:r>
    </w:p>
    <w:p w:rsidR="00AE2B92" w:rsidRPr="00AE2B92" w:rsidRDefault="00AE2B92" w:rsidP="00AE2B92">
      <w:pPr>
        <w:spacing w:line="360" w:lineRule="auto"/>
        <w:ind w:rightChars="-135" w:right="-283"/>
        <w:rPr>
          <w:rFonts w:ascii="楷体_GB2312" w:eastAsia="楷体_GB2312" w:hAnsi="宋体"/>
          <w:b/>
          <w:color w:val="003366"/>
          <w:sz w:val="24"/>
        </w:rPr>
      </w:pPr>
    </w:p>
    <w:p w:rsidR="00AE2B92" w:rsidRDefault="00AE2B92" w:rsidP="00AE2B92">
      <w:r w:rsidRPr="00AB4E11">
        <w:rPr>
          <w:rFonts w:ascii="楷体_GB2312" w:eastAsia="楷体_GB2312" w:hint="eastAsia"/>
          <w:szCs w:val="21"/>
        </w:rPr>
        <w:t>上周受到大盘持续反弹影响，分级A下跌2.54%，分级B上涨16.3%；分级B中，</w:t>
      </w:r>
      <w:r w:rsidR="00835234">
        <w:rPr>
          <w:rFonts w:ascii="楷体_GB2312" w:eastAsia="楷体_GB2312" w:hint="eastAsia"/>
          <w:szCs w:val="21"/>
        </w:rPr>
        <w:t>跟踪</w:t>
      </w:r>
      <w:r w:rsidRPr="00AB4E11">
        <w:rPr>
          <w:rFonts w:ascii="楷体_GB2312" w:eastAsia="楷体_GB2312" w:hint="eastAsia"/>
          <w:szCs w:val="21"/>
        </w:rPr>
        <w:t>军工、国企改革</w:t>
      </w:r>
      <w:r w:rsidR="00835234">
        <w:rPr>
          <w:rFonts w:ascii="楷体_GB2312" w:eastAsia="楷体_GB2312" w:hint="eastAsia"/>
          <w:szCs w:val="21"/>
        </w:rPr>
        <w:t>和中小盘等指数</w:t>
      </w:r>
      <w:r w:rsidRPr="00AB4E11">
        <w:rPr>
          <w:rFonts w:ascii="楷体_GB2312" w:eastAsia="楷体_GB2312" w:hint="eastAsia"/>
          <w:szCs w:val="21"/>
        </w:rPr>
        <w:t>涨势高且成交量大。截止上周末分级基金A、B的成交量达1230.77亿手，较上周下降32%。上周新成立一支分级基金</w:t>
      </w:r>
      <w:r w:rsidRPr="00AB4E11">
        <w:rPr>
          <w:rFonts w:ascii="楷体_GB2312" w:eastAsia="楷体_GB2312"/>
          <w:szCs w:val="21"/>
        </w:rPr>
        <w:t>—</w:t>
      </w:r>
      <w:r w:rsidRPr="00AB4E11">
        <w:rPr>
          <w:rFonts w:ascii="楷体_GB2312" w:eastAsia="楷体_GB2312" w:hint="eastAsia"/>
          <w:szCs w:val="21"/>
        </w:rPr>
        <w:t>广发中证医疗。</w:t>
      </w:r>
    </w:p>
    <w:p w:rsidR="0051455E" w:rsidRPr="00C57C57" w:rsidRDefault="0051455E" w:rsidP="001B37D0">
      <w:pPr>
        <w:spacing w:line="360" w:lineRule="auto"/>
        <w:ind w:rightChars="-135" w:right="-283"/>
        <w:rPr>
          <w:rFonts w:ascii="楷体_GB2312" w:eastAsia="楷体_GB2312" w:hAnsi="宋体"/>
          <w:b/>
          <w:color w:val="003366"/>
          <w:sz w:val="24"/>
        </w:rPr>
      </w:pPr>
    </w:p>
    <w:p w:rsidR="00AE2B92" w:rsidRPr="00AB4E11" w:rsidRDefault="00AE2B92" w:rsidP="00AB4E11">
      <w:pPr>
        <w:spacing w:line="360" w:lineRule="auto"/>
        <w:ind w:rightChars="-135" w:right="-283"/>
        <w:rPr>
          <w:rFonts w:ascii="楷体_GB2312" w:eastAsia="楷体_GB2312" w:hAnsi="宋体"/>
          <w:b/>
          <w:color w:val="003366"/>
          <w:sz w:val="24"/>
        </w:rPr>
      </w:pPr>
      <w:r w:rsidRPr="00AB4E11">
        <w:rPr>
          <w:rFonts w:ascii="楷体_GB2312" w:eastAsia="楷体_GB2312" w:hAnsi="宋体" w:hint="eastAsia"/>
          <w:b/>
          <w:color w:val="003366"/>
          <w:sz w:val="24"/>
        </w:rPr>
        <w:t>投资策略：</w:t>
      </w:r>
    </w:p>
    <w:p w:rsidR="00AE2B92" w:rsidRPr="00AB4E11" w:rsidRDefault="00AE2B92" w:rsidP="00AE2B92">
      <w:pPr>
        <w:tabs>
          <w:tab w:val="left" w:pos="5205"/>
        </w:tabs>
        <w:rPr>
          <w:rFonts w:ascii="楷体_GB2312" w:eastAsia="楷体_GB2312"/>
          <w:szCs w:val="21"/>
        </w:rPr>
      </w:pPr>
      <w:r w:rsidRPr="00AB4E11">
        <w:rPr>
          <w:rFonts w:ascii="楷体_GB2312" w:eastAsia="楷体_GB2312" w:hint="eastAsia"/>
          <w:szCs w:val="21"/>
        </w:rPr>
        <w:t>特别关注近期折算完的分级B的溢价总体的回调风险，减持此类高溢价的分级B。</w:t>
      </w:r>
      <w:r w:rsidR="00AB4E11" w:rsidRPr="00AB4E11">
        <w:rPr>
          <w:rFonts w:ascii="楷体_GB2312" w:eastAsia="楷体_GB2312" w:hint="eastAsia"/>
          <w:szCs w:val="21"/>
        </w:rPr>
        <w:t>另一些</w:t>
      </w:r>
      <w:r w:rsidR="00AB4E11">
        <w:rPr>
          <w:rFonts w:ascii="楷体_GB2312" w:eastAsia="楷体_GB2312" w:hint="eastAsia"/>
          <w:szCs w:val="21"/>
        </w:rPr>
        <w:t>低净值且可能发生下折的分级B也要回避。</w:t>
      </w:r>
    </w:p>
    <w:p w:rsidR="001B37D0" w:rsidRPr="00AE2B92" w:rsidRDefault="001B37D0" w:rsidP="001B37D0">
      <w:pPr>
        <w:spacing w:line="360" w:lineRule="auto"/>
        <w:ind w:rightChars="-135" w:right="-283"/>
        <w:rPr>
          <w:rFonts w:ascii="楷体_GB2312" w:eastAsia="楷体_GB2312" w:hAnsi="宋体"/>
          <w:b/>
          <w:color w:val="003366"/>
          <w:sz w:val="24"/>
        </w:rPr>
      </w:pPr>
    </w:p>
    <w:p w:rsidR="001B37D0" w:rsidRPr="00E627F7" w:rsidRDefault="001B37D0" w:rsidP="001B37D0">
      <w:pPr>
        <w:spacing w:line="360" w:lineRule="auto"/>
        <w:ind w:rightChars="-135" w:right="-283"/>
        <w:rPr>
          <w:rFonts w:ascii="楷体_GB2312" w:eastAsia="楷体_GB2312" w:hAnsi="宋体"/>
          <w:b/>
          <w:color w:val="003366"/>
          <w:sz w:val="24"/>
        </w:rPr>
      </w:pPr>
    </w:p>
    <w:p w:rsidR="001B37D0" w:rsidRDefault="001B37D0" w:rsidP="001B37D0">
      <w:pPr>
        <w:spacing w:line="360" w:lineRule="auto"/>
        <w:rPr>
          <w:rFonts w:ascii="楷体_GB2312" w:eastAsia="楷体_GB2312" w:hAnsi="宋体"/>
          <w:b/>
          <w:color w:val="003366"/>
          <w:sz w:val="24"/>
        </w:rPr>
      </w:pPr>
    </w:p>
    <w:p w:rsidR="001B37D0" w:rsidRPr="00E82D91" w:rsidRDefault="001B37D0" w:rsidP="001B37D0">
      <w:pPr>
        <w:spacing w:line="360" w:lineRule="auto"/>
        <w:rPr>
          <w:rFonts w:ascii="楷体_GB2312" w:eastAsia="楷体_GB2312" w:hAnsi="宋体"/>
          <w:b/>
          <w:color w:val="003366"/>
          <w:sz w:val="24"/>
        </w:rPr>
      </w:pPr>
    </w:p>
    <w:p w:rsidR="001B37D0" w:rsidRDefault="001B37D0" w:rsidP="001B37D0">
      <w:pPr>
        <w:widowControl/>
        <w:spacing w:line="360" w:lineRule="auto"/>
        <w:jc w:val="left"/>
        <w:rPr>
          <w:rFonts w:ascii="楷体_GB2312" w:eastAsia="楷体_GB2312" w:hAnsi="宋体"/>
          <w:b/>
          <w:color w:val="003366"/>
          <w:kern w:val="0"/>
          <w:sz w:val="24"/>
          <w:highlight w:val="yellow"/>
        </w:rPr>
      </w:pPr>
    </w:p>
    <w:p w:rsidR="00AB4E11" w:rsidRDefault="00AB4E11" w:rsidP="001B37D0">
      <w:pPr>
        <w:widowControl/>
        <w:spacing w:line="360" w:lineRule="auto"/>
        <w:jc w:val="left"/>
        <w:rPr>
          <w:rFonts w:ascii="楷体_GB2312" w:eastAsia="楷体_GB2312" w:hAnsi="宋体"/>
          <w:b/>
          <w:color w:val="003366"/>
          <w:kern w:val="0"/>
          <w:sz w:val="24"/>
          <w:highlight w:val="yellow"/>
        </w:rPr>
      </w:pPr>
    </w:p>
    <w:p w:rsidR="00C05F34" w:rsidRDefault="00C05F34" w:rsidP="001B37D0">
      <w:pPr>
        <w:widowControl/>
        <w:spacing w:line="360" w:lineRule="auto"/>
        <w:jc w:val="left"/>
        <w:rPr>
          <w:rFonts w:ascii="楷体_GB2312" w:eastAsia="楷体_GB2312" w:hAnsi="宋体"/>
          <w:b/>
          <w:color w:val="003366"/>
          <w:kern w:val="0"/>
          <w:sz w:val="24"/>
          <w:highlight w:val="yellow"/>
        </w:rPr>
      </w:pPr>
    </w:p>
    <w:p w:rsidR="00AB4E11" w:rsidRDefault="00AB4E11" w:rsidP="001B37D0">
      <w:pPr>
        <w:widowControl/>
        <w:spacing w:line="360" w:lineRule="auto"/>
        <w:jc w:val="left"/>
        <w:rPr>
          <w:rFonts w:ascii="楷体_GB2312" w:eastAsia="楷体_GB2312" w:hAnsi="宋体"/>
          <w:b/>
          <w:color w:val="003366"/>
          <w:kern w:val="0"/>
          <w:sz w:val="24"/>
          <w:highlight w:val="yellow"/>
        </w:rPr>
      </w:pPr>
    </w:p>
    <w:p w:rsidR="00AB4E11" w:rsidRDefault="00AB4E11" w:rsidP="001B37D0">
      <w:pPr>
        <w:widowControl/>
        <w:spacing w:line="360" w:lineRule="auto"/>
        <w:jc w:val="left"/>
        <w:rPr>
          <w:rFonts w:ascii="楷体_GB2312" w:eastAsia="楷体_GB2312" w:hAnsi="宋体"/>
          <w:b/>
          <w:color w:val="003366"/>
          <w:kern w:val="0"/>
          <w:sz w:val="24"/>
          <w:highlight w:val="yellow"/>
        </w:rPr>
      </w:pPr>
    </w:p>
    <w:p w:rsidR="00AB4E11" w:rsidRDefault="00AB4E11" w:rsidP="001B37D0">
      <w:pPr>
        <w:widowControl/>
        <w:spacing w:line="360" w:lineRule="auto"/>
        <w:jc w:val="left"/>
        <w:rPr>
          <w:rFonts w:ascii="楷体_GB2312" w:eastAsia="楷体_GB2312" w:hAnsi="宋体"/>
          <w:b/>
          <w:color w:val="003366"/>
          <w:kern w:val="0"/>
          <w:sz w:val="24"/>
          <w:highlight w:val="yellow"/>
        </w:rPr>
      </w:pPr>
    </w:p>
    <w:p w:rsidR="00C05F34" w:rsidRDefault="0051455E" w:rsidP="0051455E">
      <w:pPr>
        <w:spacing w:line="360" w:lineRule="auto"/>
        <w:ind w:rightChars="-135" w:right="-283"/>
        <w:rPr>
          <w:rFonts w:ascii="楷体_GB2312" w:eastAsia="楷体_GB2312" w:hAnsi="宋体"/>
          <w:b/>
          <w:color w:val="003366"/>
          <w:sz w:val="24"/>
        </w:rPr>
      </w:pPr>
      <w:r>
        <w:rPr>
          <w:rFonts w:ascii="楷体_GB2312" w:eastAsia="楷体_GB2312" w:hAnsi="宋体" w:hint="eastAsia"/>
          <w:b/>
          <w:color w:val="003366"/>
          <w:sz w:val="24"/>
        </w:rPr>
        <w:t>目录：</w:t>
      </w:r>
    </w:p>
    <w:p w:rsidR="0051455E" w:rsidRPr="006C2F9F" w:rsidRDefault="00536128" w:rsidP="00835234">
      <w:pPr>
        <w:pStyle w:val="a6"/>
        <w:numPr>
          <w:ilvl w:val="0"/>
          <w:numId w:val="6"/>
        </w:numPr>
        <w:spacing w:line="360" w:lineRule="auto"/>
        <w:ind w:rightChars="-135" w:right="-283" w:firstLineChars="0"/>
        <w:outlineLvl w:val="0"/>
        <w:rPr>
          <w:rFonts w:ascii="楷体_GB2312" w:eastAsia="楷体_GB2312" w:hAnsi="宋体"/>
          <w:b/>
          <w:color w:val="003366"/>
          <w:szCs w:val="21"/>
        </w:rPr>
      </w:pPr>
      <w:r>
        <w:rPr>
          <w:rFonts w:ascii="楷体_GB2312" w:eastAsia="楷体_GB2312" w:hAnsi="宋体" w:hint="eastAsia"/>
          <w:b/>
          <w:color w:val="003366"/>
          <w:szCs w:val="21"/>
        </w:rPr>
        <w:t>市场指数表</w:t>
      </w:r>
      <w:r w:rsidR="008F66B5">
        <w:rPr>
          <w:rFonts w:ascii="楷体_GB2312" w:eastAsia="楷体_GB2312" w:hAnsi="宋体" w:hint="eastAsia"/>
          <w:b/>
          <w:color w:val="003366"/>
          <w:szCs w:val="21"/>
        </w:rPr>
        <w:t>·············································1</w:t>
      </w:r>
    </w:p>
    <w:p w:rsidR="0051455E" w:rsidRPr="006C2F9F" w:rsidRDefault="0051455E" w:rsidP="0051455E">
      <w:pPr>
        <w:pStyle w:val="a6"/>
        <w:numPr>
          <w:ilvl w:val="0"/>
          <w:numId w:val="6"/>
        </w:numPr>
        <w:spacing w:line="360" w:lineRule="auto"/>
        <w:ind w:rightChars="-135" w:right="-283" w:firstLineChars="0"/>
        <w:rPr>
          <w:rFonts w:ascii="楷体_GB2312" w:eastAsia="楷体_GB2312" w:hAnsi="宋体"/>
          <w:b/>
          <w:color w:val="003366"/>
          <w:szCs w:val="21"/>
        </w:rPr>
      </w:pPr>
      <w:r w:rsidRPr="006C2F9F">
        <w:rPr>
          <w:rFonts w:ascii="楷体_GB2312" w:eastAsia="楷体_GB2312" w:hAnsi="宋体" w:hint="eastAsia"/>
          <w:b/>
          <w:color w:val="003366"/>
          <w:szCs w:val="21"/>
        </w:rPr>
        <w:t>分级B强势上涨</w:t>
      </w:r>
      <w:r w:rsidR="008F66B5">
        <w:rPr>
          <w:rFonts w:ascii="楷体_GB2312" w:eastAsia="楷体_GB2312" w:hAnsi="宋体" w:hint="eastAsia"/>
          <w:b/>
          <w:color w:val="003366"/>
          <w:szCs w:val="21"/>
        </w:rPr>
        <w:t>·········································2</w:t>
      </w:r>
    </w:p>
    <w:p w:rsidR="0051455E" w:rsidRPr="006C2F9F" w:rsidRDefault="0051455E" w:rsidP="0051455E">
      <w:pPr>
        <w:pStyle w:val="a6"/>
        <w:numPr>
          <w:ilvl w:val="0"/>
          <w:numId w:val="6"/>
        </w:numPr>
        <w:spacing w:line="360" w:lineRule="auto"/>
        <w:ind w:rightChars="-135" w:right="-283" w:firstLineChars="0"/>
        <w:rPr>
          <w:rFonts w:ascii="楷体_GB2312" w:eastAsia="楷体_GB2312" w:hAnsi="宋体"/>
          <w:b/>
          <w:color w:val="003366"/>
          <w:szCs w:val="21"/>
        </w:rPr>
      </w:pPr>
      <w:r w:rsidRPr="006C2F9F">
        <w:rPr>
          <w:rFonts w:ascii="楷体_GB2312" w:eastAsia="楷体_GB2312" w:hAnsi="宋体" w:hint="eastAsia"/>
          <w:b/>
          <w:color w:val="003366"/>
          <w:szCs w:val="21"/>
        </w:rPr>
        <w:t>分级B风险下折预警</w:t>
      </w:r>
      <w:r w:rsidR="008F66B5">
        <w:rPr>
          <w:rFonts w:ascii="楷体_GB2312" w:eastAsia="楷体_GB2312" w:hAnsi="宋体" w:hint="eastAsia"/>
          <w:b/>
          <w:color w:val="003366"/>
          <w:szCs w:val="21"/>
        </w:rPr>
        <w:t>·····································3</w:t>
      </w:r>
    </w:p>
    <w:p w:rsidR="0051455E" w:rsidRPr="0051455E" w:rsidRDefault="0051455E" w:rsidP="0051455E">
      <w:pPr>
        <w:spacing w:line="360" w:lineRule="auto"/>
        <w:ind w:rightChars="-135" w:right="-283"/>
        <w:rPr>
          <w:rFonts w:ascii="楷体_GB2312" w:eastAsia="楷体_GB2312" w:hAnsi="宋体"/>
          <w:b/>
          <w:color w:val="003366"/>
          <w:sz w:val="24"/>
        </w:rPr>
      </w:pPr>
    </w:p>
    <w:p w:rsidR="00C05F34" w:rsidRPr="0051455E" w:rsidRDefault="00C05F34" w:rsidP="0051455E">
      <w:pPr>
        <w:spacing w:line="360" w:lineRule="auto"/>
        <w:ind w:rightChars="-135" w:right="-283"/>
        <w:rPr>
          <w:rFonts w:ascii="楷体_GB2312" w:eastAsia="楷体_GB2312" w:hAnsi="宋体"/>
          <w:b/>
          <w:color w:val="003366"/>
          <w:sz w:val="24"/>
        </w:rPr>
      </w:pPr>
    </w:p>
    <w:p w:rsidR="0051455E" w:rsidRDefault="0051455E" w:rsidP="001B37D0">
      <w:pPr>
        <w:widowControl/>
        <w:spacing w:line="360" w:lineRule="auto"/>
        <w:jc w:val="left"/>
        <w:rPr>
          <w:rFonts w:ascii="楷体_GB2312" w:eastAsia="楷体_GB2312" w:hAnsi="宋体"/>
          <w:b/>
          <w:color w:val="003366"/>
          <w:sz w:val="24"/>
        </w:rPr>
      </w:pPr>
      <w:r>
        <w:rPr>
          <w:rFonts w:ascii="楷体_GB2312" w:eastAsia="楷体_GB2312" w:hAnsi="宋体" w:hint="eastAsia"/>
          <w:b/>
          <w:color w:val="003366"/>
          <w:sz w:val="24"/>
        </w:rPr>
        <w:t>图表目录：</w:t>
      </w:r>
    </w:p>
    <w:p w:rsidR="00AB4E11" w:rsidRPr="006C2F9F" w:rsidRDefault="0051455E" w:rsidP="006C2F9F">
      <w:pPr>
        <w:spacing w:line="360" w:lineRule="auto"/>
        <w:ind w:rightChars="-135" w:right="-283"/>
        <w:rPr>
          <w:rFonts w:ascii="楷体_GB2312" w:eastAsia="楷体_GB2312" w:hAnsi="宋体"/>
          <w:b/>
          <w:color w:val="003366"/>
          <w:szCs w:val="21"/>
        </w:rPr>
      </w:pPr>
      <w:r w:rsidRPr="006C2F9F">
        <w:rPr>
          <w:rFonts w:ascii="楷体_GB2312" w:eastAsia="楷体_GB2312" w:hAnsi="宋体" w:hint="eastAsia"/>
          <w:b/>
          <w:color w:val="003366"/>
          <w:szCs w:val="21"/>
        </w:rPr>
        <w:t>图1.分级基金所跟踪的行业、主题指数表现</w:t>
      </w:r>
      <w:r w:rsidR="008F66B5">
        <w:rPr>
          <w:rFonts w:ascii="楷体_GB2312" w:eastAsia="楷体_GB2312" w:hAnsi="宋体" w:hint="eastAsia"/>
          <w:b/>
          <w:color w:val="003366"/>
          <w:szCs w:val="21"/>
        </w:rPr>
        <w:t>····················1</w:t>
      </w:r>
    </w:p>
    <w:p w:rsidR="0051455E" w:rsidRPr="006C2F9F" w:rsidRDefault="0051455E" w:rsidP="006C2F9F">
      <w:pPr>
        <w:spacing w:line="360" w:lineRule="auto"/>
        <w:ind w:rightChars="-135" w:right="-283"/>
        <w:rPr>
          <w:rFonts w:ascii="楷体_GB2312" w:eastAsia="楷体_GB2312" w:hAnsi="宋体"/>
          <w:b/>
          <w:color w:val="003366"/>
          <w:szCs w:val="21"/>
        </w:rPr>
      </w:pPr>
    </w:p>
    <w:p w:rsidR="0051455E" w:rsidRPr="006C2F9F" w:rsidRDefault="0051455E" w:rsidP="006C2F9F">
      <w:pPr>
        <w:spacing w:line="360" w:lineRule="auto"/>
        <w:ind w:rightChars="-135" w:right="-283"/>
        <w:rPr>
          <w:rFonts w:ascii="楷体_GB2312" w:eastAsia="楷体_GB2312" w:hAnsi="宋体"/>
          <w:b/>
          <w:color w:val="003366"/>
          <w:szCs w:val="21"/>
        </w:rPr>
      </w:pPr>
      <w:r w:rsidRPr="006C2F9F">
        <w:rPr>
          <w:rFonts w:ascii="楷体_GB2312" w:eastAsia="楷体_GB2312" w:hAnsi="宋体" w:hint="eastAsia"/>
          <w:b/>
          <w:color w:val="003366"/>
          <w:szCs w:val="21"/>
        </w:rPr>
        <w:t>表1. 表1：涨幅靠前B份额和溢价率靠前B份额</w:t>
      </w:r>
      <w:r w:rsidR="008F66B5">
        <w:rPr>
          <w:rFonts w:ascii="楷体_GB2312" w:eastAsia="楷体_GB2312" w:hAnsi="宋体" w:hint="eastAsia"/>
          <w:b/>
          <w:color w:val="003366"/>
          <w:szCs w:val="21"/>
        </w:rPr>
        <w:t>················2</w:t>
      </w:r>
    </w:p>
    <w:p w:rsidR="0051455E" w:rsidRPr="006C2F9F" w:rsidRDefault="0051455E" w:rsidP="006C2F9F">
      <w:pPr>
        <w:spacing w:line="360" w:lineRule="auto"/>
        <w:ind w:rightChars="-135" w:right="-283"/>
        <w:rPr>
          <w:rFonts w:ascii="楷体_GB2312" w:eastAsia="楷体_GB2312" w:hAnsi="宋体"/>
          <w:b/>
          <w:color w:val="003366"/>
          <w:szCs w:val="21"/>
        </w:rPr>
      </w:pPr>
      <w:r w:rsidRPr="006C2F9F">
        <w:rPr>
          <w:rFonts w:ascii="楷体_GB2312" w:eastAsia="楷体_GB2312" w:hAnsi="宋体" w:hint="eastAsia"/>
          <w:b/>
          <w:color w:val="003366"/>
          <w:szCs w:val="21"/>
        </w:rPr>
        <w:t>表2.上周临近折算的分级B基金</w:t>
      </w:r>
      <w:r w:rsidR="008F66B5">
        <w:rPr>
          <w:rFonts w:ascii="楷体_GB2312" w:eastAsia="楷体_GB2312" w:hAnsi="宋体" w:hint="eastAsia"/>
          <w:b/>
          <w:color w:val="003366"/>
          <w:szCs w:val="21"/>
        </w:rPr>
        <w:t>·······························3</w:t>
      </w:r>
    </w:p>
    <w:p w:rsidR="006C2F9F" w:rsidRPr="006C2F9F" w:rsidRDefault="0051455E" w:rsidP="006C2F9F">
      <w:pPr>
        <w:spacing w:line="360" w:lineRule="auto"/>
        <w:ind w:rightChars="-135" w:right="-283"/>
        <w:rPr>
          <w:rFonts w:ascii="楷体_GB2312" w:eastAsia="楷体_GB2312" w:hAnsi="宋体"/>
          <w:b/>
          <w:color w:val="003366"/>
          <w:szCs w:val="21"/>
        </w:rPr>
      </w:pPr>
      <w:r w:rsidRPr="006C2F9F">
        <w:rPr>
          <w:rFonts w:ascii="楷体_GB2312" w:eastAsia="楷体_GB2312" w:hAnsi="宋体" w:hint="eastAsia"/>
          <w:b/>
          <w:color w:val="003366"/>
          <w:szCs w:val="21"/>
        </w:rPr>
        <w:t>表3.</w:t>
      </w:r>
      <w:r w:rsidR="006C2F9F" w:rsidRPr="006C2F9F">
        <w:rPr>
          <w:rFonts w:ascii="楷体_GB2312" w:eastAsia="楷体_GB2312" w:hAnsi="宋体" w:hint="eastAsia"/>
          <w:b/>
          <w:color w:val="003366"/>
          <w:szCs w:val="21"/>
        </w:rPr>
        <w:t xml:space="preserve"> 表3：</w:t>
      </w:r>
      <w:proofErr w:type="gramStart"/>
      <w:r w:rsidR="006C2F9F" w:rsidRPr="006C2F9F">
        <w:rPr>
          <w:rFonts w:ascii="楷体_GB2312" w:eastAsia="楷体_GB2312" w:hAnsi="宋体" w:hint="eastAsia"/>
          <w:b/>
          <w:color w:val="003366"/>
          <w:szCs w:val="21"/>
        </w:rPr>
        <w:t>下折潮中</w:t>
      </w:r>
      <w:proofErr w:type="gramEnd"/>
      <w:r w:rsidR="006C2F9F" w:rsidRPr="006C2F9F">
        <w:rPr>
          <w:rFonts w:ascii="楷体_GB2312" w:eastAsia="楷体_GB2312" w:hAnsi="宋体" w:hint="eastAsia"/>
          <w:b/>
          <w:color w:val="003366"/>
          <w:szCs w:val="21"/>
        </w:rPr>
        <w:t>的22只行业、主题分级B亏损情况</w:t>
      </w:r>
      <w:r w:rsidR="008F66B5">
        <w:rPr>
          <w:rFonts w:ascii="楷体_GB2312" w:eastAsia="楷体_GB2312" w:hAnsi="宋体" w:hint="eastAsia"/>
          <w:b/>
          <w:color w:val="003366"/>
          <w:szCs w:val="21"/>
        </w:rPr>
        <w:t>··········4</w:t>
      </w:r>
    </w:p>
    <w:p w:rsidR="0051455E" w:rsidRDefault="0051455E"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7246A9" w:rsidRDefault="007246A9" w:rsidP="001B37D0">
      <w:pPr>
        <w:widowControl/>
        <w:spacing w:line="360" w:lineRule="auto"/>
        <w:jc w:val="left"/>
        <w:rPr>
          <w:rFonts w:ascii="楷体_GB2312" w:eastAsia="楷体_GB2312" w:hAnsi="宋体"/>
          <w:b/>
          <w:color w:val="003366"/>
          <w:kern w:val="0"/>
          <w:sz w:val="24"/>
          <w:highlight w:val="yellow"/>
        </w:rPr>
      </w:pPr>
    </w:p>
    <w:p w:rsidR="008F66B5" w:rsidRDefault="008F66B5" w:rsidP="001B37D0">
      <w:pPr>
        <w:widowControl/>
        <w:spacing w:line="360" w:lineRule="auto"/>
        <w:jc w:val="left"/>
        <w:rPr>
          <w:rFonts w:ascii="楷体_GB2312" w:eastAsia="楷体_GB2312" w:hAnsi="宋体"/>
          <w:b/>
          <w:color w:val="003366"/>
          <w:kern w:val="0"/>
          <w:sz w:val="24"/>
          <w:highlight w:val="yellow"/>
        </w:rPr>
        <w:sectPr w:rsidR="008F66B5">
          <w:headerReference w:type="default" r:id="rId9"/>
          <w:footerReference w:type="default" r:id="rId10"/>
          <w:pgSz w:w="11906" w:h="16838"/>
          <w:pgMar w:top="3402" w:right="1134" w:bottom="1418" w:left="4536" w:header="851" w:footer="992" w:gutter="0"/>
          <w:pgNumType w:start="1"/>
          <w:cols w:space="720"/>
          <w:docGrid w:type="lines" w:linePitch="312"/>
        </w:sectPr>
      </w:pPr>
    </w:p>
    <w:p w:rsidR="007246A9" w:rsidRPr="007246A9" w:rsidRDefault="007246A9" w:rsidP="007246A9">
      <w:pPr>
        <w:spacing w:line="360" w:lineRule="auto"/>
        <w:ind w:rightChars="-135" w:right="-283"/>
        <w:rPr>
          <w:rFonts w:ascii="楷体_GB2312" w:eastAsia="楷体_GB2312" w:hAnsi="宋体"/>
          <w:b/>
          <w:color w:val="003366"/>
          <w:sz w:val="28"/>
          <w:szCs w:val="28"/>
        </w:rPr>
      </w:pPr>
      <w:r w:rsidRPr="007246A9">
        <w:rPr>
          <w:rFonts w:ascii="楷体_GB2312" w:eastAsia="楷体_GB2312" w:hAnsi="宋体" w:hint="eastAsia"/>
          <w:b/>
          <w:color w:val="003366"/>
          <w:sz w:val="28"/>
          <w:szCs w:val="28"/>
        </w:rPr>
        <w:lastRenderedPageBreak/>
        <w:t>1.</w:t>
      </w:r>
      <w:r w:rsidR="00A24132">
        <w:rPr>
          <w:rFonts w:ascii="楷体_GB2312" w:eastAsia="楷体_GB2312" w:hAnsi="宋体" w:hint="eastAsia"/>
          <w:b/>
          <w:color w:val="003366"/>
          <w:sz w:val="28"/>
          <w:szCs w:val="28"/>
        </w:rPr>
        <w:t>跟踪</w:t>
      </w:r>
      <w:r w:rsidRPr="007246A9">
        <w:rPr>
          <w:rFonts w:ascii="楷体_GB2312" w:eastAsia="楷体_GB2312" w:hAnsi="宋体" w:hint="eastAsia"/>
          <w:b/>
          <w:color w:val="003366"/>
          <w:sz w:val="28"/>
          <w:szCs w:val="28"/>
        </w:rPr>
        <w:t>指数表现</w:t>
      </w:r>
    </w:p>
    <w:p w:rsidR="007246A9" w:rsidRPr="004E3C00" w:rsidRDefault="004E3C00" w:rsidP="00536128">
      <w:pPr>
        <w:ind w:firstLineChars="200" w:firstLine="420"/>
        <w:rPr>
          <w:rFonts w:ascii="楷体_GB2312" w:eastAsia="楷体_GB2312"/>
          <w:szCs w:val="21"/>
        </w:rPr>
      </w:pPr>
      <w:r>
        <w:rPr>
          <w:rFonts w:ascii="楷体_GB2312" w:eastAsia="楷体_GB2312" w:hint="eastAsia"/>
          <w:szCs w:val="21"/>
        </w:rPr>
        <w:t>上周分级基金</w:t>
      </w:r>
      <w:r w:rsidRPr="004E3C00">
        <w:rPr>
          <w:rFonts w:ascii="楷体_GB2312" w:eastAsia="楷体_GB2312" w:hint="eastAsia"/>
          <w:szCs w:val="21"/>
        </w:rPr>
        <w:t>被动</w:t>
      </w:r>
      <w:r>
        <w:rPr>
          <w:rFonts w:ascii="楷体_GB2312" w:eastAsia="楷体_GB2312" w:hint="eastAsia"/>
          <w:szCs w:val="21"/>
        </w:rPr>
        <w:t>跟踪的指数共有79只，其中62只上涨，17只下跌。</w:t>
      </w:r>
      <w:r w:rsidR="00A24132">
        <w:rPr>
          <w:rFonts w:ascii="楷体_GB2312" w:eastAsia="楷体_GB2312" w:hint="eastAsia"/>
          <w:szCs w:val="21"/>
        </w:rPr>
        <w:t>从行业来看，军工板块上周涨幅最大，中证军工指数上涨达16.77%；煤炭、医疗</w:t>
      </w:r>
      <w:r w:rsidR="00FB6BC7" w:rsidRPr="00FB6BC7">
        <w:rPr>
          <w:rFonts w:ascii="楷体_GB2312" w:eastAsia="楷体_GB2312" w:hint="eastAsia"/>
          <w:szCs w:val="21"/>
        </w:rPr>
        <w:t>行业指数</w:t>
      </w:r>
      <w:r w:rsidR="00A24132">
        <w:rPr>
          <w:rFonts w:ascii="楷体_GB2312" w:eastAsia="楷体_GB2312" w:hint="eastAsia"/>
          <w:szCs w:val="21"/>
        </w:rPr>
        <w:t>也有不错的表现，涨幅分别为6.24%和5.96%</w:t>
      </w:r>
      <w:r w:rsidR="0076259F">
        <w:rPr>
          <w:rFonts w:ascii="楷体_GB2312" w:eastAsia="楷体_GB2312" w:hint="eastAsia"/>
          <w:szCs w:val="21"/>
        </w:rPr>
        <w:t>，而银行、证券公司指数下跌3.7%和3.8%</w:t>
      </w:r>
      <w:r w:rsidR="00A24132">
        <w:rPr>
          <w:rFonts w:ascii="楷体_GB2312" w:eastAsia="楷体_GB2312" w:hint="eastAsia"/>
          <w:szCs w:val="21"/>
        </w:rPr>
        <w:t>。在主题指数中，并购、一带一路、国企改革指数领衔上涨，涨幅分别达8.75%、5.95%、5.82%。</w:t>
      </w:r>
      <w:r w:rsidR="0076259F">
        <w:rPr>
          <w:rFonts w:ascii="楷体_GB2312" w:eastAsia="楷体_GB2312" w:hint="eastAsia"/>
          <w:szCs w:val="21"/>
        </w:rPr>
        <w:t>在规模指数中，中证1000指数涨幅最高达9.52%，而上证50下跌2.3%</w:t>
      </w:r>
      <w:r w:rsidR="00536128">
        <w:rPr>
          <w:rFonts w:ascii="楷体_GB2312" w:eastAsia="楷体_GB2312" w:hint="eastAsia"/>
          <w:szCs w:val="21"/>
        </w:rPr>
        <w:t>,</w:t>
      </w:r>
      <w:r w:rsidR="00835234">
        <w:rPr>
          <w:rFonts w:ascii="楷体_GB2312" w:eastAsia="楷体_GB2312" w:hint="eastAsia"/>
          <w:szCs w:val="21"/>
        </w:rPr>
        <w:t>中小盘股票指数表现较强。</w:t>
      </w:r>
    </w:p>
    <w:p w:rsidR="00761173" w:rsidRDefault="00761173" w:rsidP="00835234">
      <w:pPr>
        <w:spacing w:line="360" w:lineRule="auto"/>
        <w:ind w:rightChars="-135" w:right="-283"/>
        <w:rPr>
          <w:rFonts w:ascii="楷体_GB2312" w:eastAsia="楷体_GB2312"/>
          <w:sz w:val="18"/>
          <w:szCs w:val="18"/>
        </w:rPr>
      </w:pPr>
    </w:p>
    <w:p w:rsidR="00835234" w:rsidRPr="00835234" w:rsidRDefault="00835234" w:rsidP="00835234">
      <w:pPr>
        <w:spacing w:line="360" w:lineRule="auto"/>
        <w:ind w:rightChars="-135" w:right="-283"/>
        <w:rPr>
          <w:rFonts w:ascii="楷体_GB2312" w:eastAsia="楷体_GB2312"/>
          <w:sz w:val="18"/>
          <w:szCs w:val="18"/>
        </w:rPr>
      </w:pPr>
      <w:r w:rsidRPr="00835234">
        <w:rPr>
          <w:rFonts w:ascii="楷体_GB2312" w:eastAsia="楷体_GB2312" w:hint="eastAsia"/>
          <w:sz w:val="18"/>
          <w:szCs w:val="18"/>
        </w:rPr>
        <w:t>图1.分级基金所跟踪的行业、主题指数表现</w:t>
      </w:r>
      <w:r w:rsidR="00FB6BC7">
        <w:rPr>
          <w:rFonts w:ascii="楷体_GB2312" w:eastAsia="楷体_GB2312" w:hint="eastAsia"/>
          <w:sz w:val="18"/>
          <w:szCs w:val="18"/>
        </w:rPr>
        <w:t>（%）</w:t>
      </w:r>
    </w:p>
    <w:p w:rsidR="00A24132" w:rsidRDefault="00A24132" w:rsidP="00B56153">
      <w:pPr>
        <w:widowControl/>
        <w:spacing w:line="360" w:lineRule="auto"/>
        <w:ind w:leftChars="-1552" w:left="-3259"/>
        <w:jc w:val="left"/>
        <w:rPr>
          <w:rFonts w:ascii="楷体_GB2312" w:eastAsia="楷体_GB2312" w:hAnsi="宋体"/>
          <w:b/>
          <w:color w:val="003366"/>
          <w:kern w:val="0"/>
          <w:sz w:val="24"/>
          <w:highlight w:val="yellow"/>
        </w:rPr>
      </w:pPr>
      <w:r w:rsidRPr="00A24132">
        <w:rPr>
          <w:rFonts w:ascii="楷体_GB2312" w:eastAsia="楷体_GB2312" w:hAnsi="宋体"/>
          <w:b/>
          <w:noProof/>
          <w:color w:val="003366"/>
          <w:kern w:val="0"/>
          <w:sz w:val="24"/>
        </w:rPr>
        <w:drawing>
          <wp:inline distT="0" distB="0" distL="0" distR="0">
            <wp:extent cx="6057900" cy="259080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2855" w:rsidRDefault="00422855" w:rsidP="0076259F">
      <w:pPr>
        <w:spacing w:line="360" w:lineRule="auto"/>
        <w:ind w:rightChars="-135" w:right="-283"/>
        <w:rPr>
          <w:rFonts w:ascii="楷体_GB2312" w:eastAsia="楷体_GB2312" w:hAnsi="宋体"/>
          <w:b/>
          <w:color w:val="003366"/>
          <w:sz w:val="28"/>
          <w:szCs w:val="28"/>
        </w:rPr>
      </w:pPr>
    </w:p>
    <w:p w:rsidR="0076259F" w:rsidRPr="0076259F" w:rsidRDefault="0076259F" w:rsidP="0076259F">
      <w:pPr>
        <w:spacing w:line="360" w:lineRule="auto"/>
        <w:ind w:rightChars="-135" w:right="-283"/>
        <w:rPr>
          <w:rFonts w:ascii="楷体_GB2312" w:eastAsia="楷体_GB2312" w:hAnsi="宋体"/>
          <w:b/>
          <w:color w:val="003366"/>
          <w:sz w:val="28"/>
          <w:szCs w:val="28"/>
        </w:rPr>
      </w:pPr>
      <w:r>
        <w:rPr>
          <w:rFonts w:ascii="楷体_GB2312" w:eastAsia="楷体_GB2312" w:hAnsi="宋体" w:hint="eastAsia"/>
          <w:b/>
          <w:color w:val="003366"/>
          <w:sz w:val="28"/>
          <w:szCs w:val="28"/>
        </w:rPr>
        <w:t>2.</w:t>
      </w:r>
      <w:r w:rsidRPr="0076259F">
        <w:rPr>
          <w:rFonts w:ascii="楷体_GB2312" w:eastAsia="楷体_GB2312" w:hAnsi="宋体" w:hint="eastAsia"/>
          <w:b/>
          <w:color w:val="003366"/>
          <w:sz w:val="28"/>
          <w:szCs w:val="28"/>
        </w:rPr>
        <w:t>分级B强势反弹</w:t>
      </w:r>
    </w:p>
    <w:p w:rsidR="0076259F" w:rsidRPr="0076259F" w:rsidRDefault="0076259F" w:rsidP="0076259F">
      <w:pPr>
        <w:rPr>
          <w:rFonts w:ascii="楷体_GB2312" w:eastAsia="楷体_GB2312"/>
          <w:szCs w:val="21"/>
        </w:rPr>
      </w:pPr>
      <w:r w:rsidRPr="0076259F">
        <w:rPr>
          <w:rFonts w:ascii="楷体_GB2312" w:eastAsia="楷体_GB2312" w:hint="eastAsia"/>
          <w:szCs w:val="21"/>
        </w:rPr>
        <w:t xml:space="preserve">分级B在上周涨幅较大，据统计，本周分级B </w:t>
      </w:r>
      <w:proofErr w:type="gramStart"/>
      <w:r w:rsidRPr="0076259F">
        <w:rPr>
          <w:rFonts w:ascii="楷体_GB2312" w:eastAsia="楷体_GB2312" w:hint="eastAsia"/>
          <w:szCs w:val="21"/>
        </w:rPr>
        <w:t>市价涨幅</w:t>
      </w:r>
      <w:proofErr w:type="gramEnd"/>
      <w:r w:rsidRPr="0076259F">
        <w:rPr>
          <w:rFonts w:ascii="楷体_GB2312" w:eastAsia="楷体_GB2312" w:hint="eastAsia"/>
          <w:szCs w:val="21"/>
        </w:rPr>
        <w:t>超过40%就有8只，分别为富国国企改革B（46.5%）、鹏华信息B（46.4%）、鹏华中证国防（46.4%）、申万菱信中小板B（45.9%）、交</w:t>
      </w:r>
      <w:proofErr w:type="gramStart"/>
      <w:r w:rsidRPr="0076259F">
        <w:rPr>
          <w:rFonts w:ascii="楷体_GB2312" w:eastAsia="楷体_GB2312" w:hint="eastAsia"/>
          <w:szCs w:val="21"/>
        </w:rPr>
        <w:t>银国证新能源</w:t>
      </w:r>
      <w:proofErr w:type="gramEnd"/>
      <w:r w:rsidRPr="0076259F">
        <w:rPr>
          <w:rFonts w:ascii="楷体_GB2312" w:eastAsia="楷体_GB2312" w:hint="eastAsia"/>
          <w:szCs w:val="21"/>
        </w:rPr>
        <w:t>B（43.6%）、富国中证军工B（43.3%）富国创业板B（41.8%）新华中证环保产业B（41.74%）。这些涨幅一部分归因于各分级B所跟踪的行业板块的回调，另一部分当属投资者对分级B的热情，这8只的平均溢价率达20%。</w:t>
      </w:r>
      <w:r w:rsidR="00574FB4" w:rsidRPr="00FB6BC7">
        <w:rPr>
          <w:rFonts w:ascii="楷体_GB2312" w:eastAsia="楷体_GB2312" w:hint="eastAsia"/>
          <w:szCs w:val="21"/>
        </w:rPr>
        <w:t>从</w:t>
      </w:r>
      <w:r w:rsidR="00FC4A6C" w:rsidRPr="00FC4A6C">
        <w:rPr>
          <w:rFonts w:ascii="楷体_GB2312" w:eastAsia="楷体_GB2312" w:hint="eastAsia"/>
          <w:szCs w:val="21"/>
        </w:rPr>
        <w:t>全市场</w:t>
      </w:r>
      <w:r w:rsidR="00574FB4" w:rsidRPr="00FB6BC7">
        <w:rPr>
          <w:rFonts w:ascii="楷体_GB2312" w:eastAsia="楷体_GB2312" w:hint="eastAsia"/>
          <w:szCs w:val="21"/>
        </w:rPr>
        <w:t>溢价率来看，截止</w:t>
      </w:r>
      <w:r w:rsidR="0076115C">
        <w:rPr>
          <w:rFonts w:ascii="楷体_GB2312" w:eastAsia="楷体_GB2312" w:hint="eastAsia"/>
          <w:szCs w:val="21"/>
        </w:rPr>
        <w:t>7月24日平均分级B</w:t>
      </w:r>
      <w:r w:rsidR="0076115C">
        <w:rPr>
          <w:rFonts w:ascii="楷体_GB2312" w:eastAsia="楷体_GB2312" w:hint="eastAsia"/>
          <w:szCs w:val="21"/>
        </w:rPr>
        <w:lastRenderedPageBreak/>
        <w:t>的溢价率为15.96%。</w:t>
      </w:r>
    </w:p>
    <w:p w:rsidR="0076259F" w:rsidRPr="003519FB" w:rsidRDefault="0076259F" w:rsidP="0076259F"/>
    <w:p w:rsidR="0076259F" w:rsidRPr="00536128" w:rsidRDefault="0076259F" w:rsidP="0076259F">
      <w:pPr>
        <w:jc w:val="center"/>
        <w:rPr>
          <w:rFonts w:ascii="楷体_GB2312" w:eastAsia="楷体_GB2312"/>
          <w:sz w:val="18"/>
          <w:szCs w:val="18"/>
        </w:rPr>
      </w:pPr>
      <w:r w:rsidRPr="00536128">
        <w:rPr>
          <w:rFonts w:ascii="楷体_GB2312" w:eastAsia="楷体_GB2312" w:hint="eastAsia"/>
          <w:sz w:val="18"/>
          <w:szCs w:val="18"/>
        </w:rPr>
        <w:t>表1：涨幅靠前B份额和溢价率靠前B份额</w:t>
      </w:r>
    </w:p>
    <w:tbl>
      <w:tblPr>
        <w:tblStyle w:val="a8"/>
        <w:tblW w:w="6308" w:type="dxa"/>
        <w:tblLook w:val="04A0"/>
      </w:tblPr>
      <w:tblGrid>
        <w:gridCol w:w="2109"/>
        <w:gridCol w:w="730"/>
        <w:gridCol w:w="2440"/>
        <w:gridCol w:w="1029"/>
      </w:tblGrid>
      <w:tr w:rsidR="0076259F" w:rsidRPr="00536128" w:rsidTr="00761173">
        <w:trPr>
          <w:trHeight w:val="330"/>
        </w:trPr>
        <w:tc>
          <w:tcPr>
            <w:tcW w:w="0" w:type="auto"/>
            <w:gridSpan w:val="2"/>
          </w:tcPr>
          <w:p w:rsidR="0076259F" w:rsidRPr="00D570D1" w:rsidRDefault="00FC4A6C" w:rsidP="00A95181">
            <w:pPr>
              <w:jc w:val="center"/>
              <w:rPr>
                <w:rFonts w:ascii="楷体_GB2312" w:eastAsia="楷体_GB2312"/>
                <w:b/>
                <w:sz w:val="18"/>
                <w:szCs w:val="18"/>
              </w:rPr>
            </w:pPr>
            <w:r w:rsidRPr="00FC4A6C">
              <w:rPr>
                <w:rFonts w:ascii="楷体_GB2312" w:eastAsia="楷体_GB2312" w:hint="eastAsia"/>
                <w:b/>
                <w:sz w:val="18"/>
                <w:szCs w:val="18"/>
              </w:rPr>
              <w:t>本周涨幅TOP</w:t>
            </w:r>
            <w:r w:rsidRPr="00FC4A6C">
              <w:rPr>
                <w:rFonts w:ascii="楷体_GB2312" w:eastAsia="楷体_GB2312"/>
                <w:b/>
                <w:sz w:val="18"/>
                <w:szCs w:val="18"/>
              </w:rPr>
              <w:t xml:space="preserve"> 5</w:t>
            </w:r>
          </w:p>
        </w:tc>
        <w:tc>
          <w:tcPr>
            <w:tcW w:w="0" w:type="auto"/>
            <w:gridSpan w:val="2"/>
          </w:tcPr>
          <w:p w:rsidR="0076259F" w:rsidRPr="00D570D1" w:rsidRDefault="00FC4A6C" w:rsidP="00A95181">
            <w:pPr>
              <w:jc w:val="center"/>
              <w:rPr>
                <w:rFonts w:ascii="楷体_GB2312" w:eastAsia="楷体_GB2312"/>
                <w:b/>
                <w:sz w:val="18"/>
                <w:szCs w:val="18"/>
              </w:rPr>
            </w:pPr>
            <w:r w:rsidRPr="00FC4A6C">
              <w:rPr>
                <w:rFonts w:ascii="楷体_GB2312" w:eastAsia="楷体_GB2312" w:hint="eastAsia"/>
                <w:b/>
                <w:sz w:val="18"/>
                <w:szCs w:val="18"/>
              </w:rPr>
              <w:t>溢价率TOP</w:t>
            </w:r>
            <w:r w:rsidRPr="00FC4A6C">
              <w:rPr>
                <w:rFonts w:ascii="楷体_GB2312" w:eastAsia="楷体_GB2312"/>
                <w:b/>
                <w:sz w:val="18"/>
                <w:szCs w:val="18"/>
              </w:rPr>
              <w:t xml:space="preserve"> </w:t>
            </w:r>
            <w:r w:rsidRPr="00FC4A6C">
              <w:rPr>
                <w:rFonts w:ascii="楷体_GB2312" w:eastAsia="楷体_GB2312" w:hint="eastAsia"/>
                <w:b/>
                <w:sz w:val="18"/>
                <w:szCs w:val="18"/>
              </w:rPr>
              <w:t>5（截止7月24日）</w:t>
            </w:r>
          </w:p>
        </w:tc>
      </w:tr>
      <w:tr w:rsidR="0076259F" w:rsidRPr="00536128" w:rsidTr="00761173">
        <w:trPr>
          <w:trHeight w:val="330"/>
        </w:trPr>
        <w:tc>
          <w:tcPr>
            <w:tcW w:w="2109" w:type="dxa"/>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分级B</w:t>
            </w:r>
          </w:p>
        </w:tc>
        <w:tc>
          <w:tcPr>
            <w:tcW w:w="730" w:type="dxa"/>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涨幅</w:t>
            </w:r>
          </w:p>
        </w:tc>
        <w:tc>
          <w:tcPr>
            <w:tcW w:w="0" w:type="auto"/>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分级B</w:t>
            </w:r>
          </w:p>
        </w:tc>
        <w:tc>
          <w:tcPr>
            <w:tcW w:w="0" w:type="auto"/>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溢价率</w:t>
            </w:r>
          </w:p>
        </w:tc>
      </w:tr>
      <w:tr w:rsidR="0076259F" w:rsidRPr="00536128" w:rsidTr="00761173">
        <w:trPr>
          <w:trHeight w:val="330"/>
        </w:trPr>
        <w:tc>
          <w:tcPr>
            <w:tcW w:w="2109" w:type="dxa"/>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富国国企改革B</w:t>
            </w:r>
          </w:p>
        </w:tc>
        <w:tc>
          <w:tcPr>
            <w:tcW w:w="730"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46.54</w:t>
            </w:r>
          </w:p>
        </w:tc>
        <w:tc>
          <w:tcPr>
            <w:tcW w:w="0" w:type="auto"/>
            <w:vAlign w:val="center"/>
          </w:tcPr>
          <w:p w:rsidR="0076259F" w:rsidRPr="00536128" w:rsidRDefault="0076259F" w:rsidP="00A95181">
            <w:pPr>
              <w:jc w:val="center"/>
              <w:rPr>
                <w:rFonts w:ascii="楷体_GB2312" w:eastAsia="楷体_GB2312"/>
                <w:sz w:val="18"/>
                <w:szCs w:val="18"/>
              </w:rPr>
            </w:pPr>
            <w:proofErr w:type="gramStart"/>
            <w:r w:rsidRPr="00536128">
              <w:rPr>
                <w:rFonts w:ascii="楷体_GB2312" w:eastAsia="楷体_GB2312" w:hint="eastAsia"/>
                <w:sz w:val="18"/>
                <w:szCs w:val="18"/>
              </w:rPr>
              <w:t>天弘同</w:t>
            </w:r>
            <w:proofErr w:type="gramEnd"/>
            <w:r w:rsidRPr="00536128">
              <w:rPr>
                <w:rFonts w:ascii="楷体_GB2312" w:eastAsia="楷体_GB2312" w:hint="eastAsia"/>
                <w:sz w:val="18"/>
                <w:szCs w:val="18"/>
              </w:rPr>
              <w:t>利分级B</w:t>
            </w:r>
          </w:p>
        </w:tc>
        <w:tc>
          <w:tcPr>
            <w:tcW w:w="0" w:type="auto"/>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85.98</w:t>
            </w:r>
          </w:p>
        </w:tc>
      </w:tr>
      <w:tr w:rsidR="0076259F" w:rsidRPr="00536128" w:rsidTr="00761173">
        <w:trPr>
          <w:trHeight w:val="330"/>
        </w:trPr>
        <w:tc>
          <w:tcPr>
            <w:tcW w:w="2109" w:type="dxa"/>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鹏华信息B</w:t>
            </w:r>
          </w:p>
        </w:tc>
        <w:tc>
          <w:tcPr>
            <w:tcW w:w="730"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46.42</w:t>
            </w:r>
          </w:p>
        </w:tc>
        <w:tc>
          <w:tcPr>
            <w:tcW w:w="0" w:type="auto"/>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申万菱信电子行业B</w:t>
            </w:r>
          </w:p>
        </w:tc>
        <w:tc>
          <w:tcPr>
            <w:tcW w:w="0" w:type="auto"/>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51.08</w:t>
            </w:r>
          </w:p>
        </w:tc>
      </w:tr>
      <w:tr w:rsidR="0076259F" w:rsidRPr="00536128" w:rsidTr="00761173">
        <w:trPr>
          <w:trHeight w:val="330"/>
        </w:trPr>
        <w:tc>
          <w:tcPr>
            <w:tcW w:w="2109" w:type="dxa"/>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鹏华中证国防B</w:t>
            </w:r>
          </w:p>
        </w:tc>
        <w:tc>
          <w:tcPr>
            <w:tcW w:w="730"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46.42</w:t>
            </w:r>
          </w:p>
        </w:tc>
        <w:tc>
          <w:tcPr>
            <w:tcW w:w="0" w:type="auto"/>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易方达国企改革B</w:t>
            </w:r>
          </w:p>
        </w:tc>
        <w:tc>
          <w:tcPr>
            <w:tcW w:w="0" w:type="auto"/>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45.75</w:t>
            </w:r>
          </w:p>
        </w:tc>
      </w:tr>
      <w:tr w:rsidR="0076259F" w:rsidRPr="00536128" w:rsidTr="00761173">
        <w:trPr>
          <w:trHeight w:val="314"/>
        </w:trPr>
        <w:tc>
          <w:tcPr>
            <w:tcW w:w="2109" w:type="dxa"/>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申万菱信中小板B</w:t>
            </w:r>
          </w:p>
        </w:tc>
        <w:tc>
          <w:tcPr>
            <w:tcW w:w="730"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45.99</w:t>
            </w:r>
          </w:p>
        </w:tc>
        <w:tc>
          <w:tcPr>
            <w:tcW w:w="0" w:type="auto"/>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鹏华中</w:t>
            </w:r>
            <w:proofErr w:type="gramStart"/>
            <w:r w:rsidRPr="00536128">
              <w:rPr>
                <w:rFonts w:ascii="楷体_GB2312" w:eastAsia="楷体_GB2312" w:hint="eastAsia"/>
                <w:sz w:val="18"/>
                <w:szCs w:val="18"/>
              </w:rPr>
              <w:t>证</w:t>
            </w:r>
            <w:proofErr w:type="gramEnd"/>
            <w:r w:rsidRPr="00536128">
              <w:rPr>
                <w:rFonts w:ascii="楷体_GB2312" w:eastAsia="楷体_GB2312" w:hint="eastAsia"/>
                <w:sz w:val="18"/>
                <w:szCs w:val="18"/>
              </w:rPr>
              <w:t>证券B</w:t>
            </w:r>
          </w:p>
        </w:tc>
        <w:tc>
          <w:tcPr>
            <w:tcW w:w="0" w:type="auto"/>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42.82</w:t>
            </w:r>
          </w:p>
        </w:tc>
      </w:tr>
      <w:tr w:rsidR="0076259F" w:rsidRPr="00536128" w:rsidTr="00761173">
        <w:trPr>
          <w:trHeight w:val="330"/>
        </w:trPr>
        <w:tc>
          <w:tcPr>
            <w:tcW w:w="2109" w:type="dxa"/>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交</w:t>
            </w:r>
            <w:proofErr w:type="gramStart"/>
            <w:r w:rsidRPr="00536128">
              <w:rPr>
                <w:rFonts w:ascii="楷体_GB2312" w:eastAsia="楷体_GB2312" w:hint="eastAsia"/>
                <w:sz w:val="18"/>
                <w:szCs w:val="18"/>
              </w:rPr>
              <w:t>银国证新能源</w:t>
            </w:r>
            <w:proofErr w:type="gramEnd"/>
            <w:r w:rsidRPr="00536128">
              <w:rPr>
                <w:rFonts w:ascii="楷体_GB2312" w:eastAsia="楷体_GB2312" w:hint="eastAsia"/>
                <w:sz w:val="18"/>
                <w:szCs w:val="18"/>
              </w:rPr>
              <w:t>B</w:t>
            </w:r>
          </w:p>
        </w:tc>
        <w:tc>
          <w:tcPr>
            <w:tcW w:w="730"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43.60</w:t>
            </w:r>
          </w:p>
        </w:tc>
        <w:tc>
          <w:tcPr>
            <w:tcW w:w="0" w:type="auto"/>
            <w:vAlign w:val="center"/>
          </w:tcPr>
          <w:p w:rsidR="0076259F" w:rsidRPr="00536128" w:rsidRDefault="0076259F" w:rsidP="00A95181">
            <w:pPr>
              <w:jc w:val="center"/>
              <w:rPr>
                <w:rFonts w:ascii="楷体_GB2312" w:eastAsia="楷体_GB2312"/>
                <w:sz w:val="18"/>
                <w:szCs w:val="18"/>
              </w:rPr>
            </w:pPr>
            <w:r w:rsidRPr="00536128">
              <w:rPr>
                <w:rFonts w:ascii="楷体_GB2312" w:eastAsia="楷体_GB2312" w:hint="eastAsia"/>
                <w:sz w:val="18"/>
                <w:szCs w:val="18"/>
              </w:rPr>
              <w:t>申万菱信深成指B</w:t>
            </w:r>
          </w:p>
        </w:tc>
        <w:tc>
          <w:tcPr>
            <w:tcW w:w="0" w:type="auto"/>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37.1</w:t>
            </w:r>
            <w:r w:rsidR="00536128" w:rsidRPr="00536128">
              <w:rPr>
                <w:rFonts w:asciiTheme="minorEastAsia" w:eastAsiaTheme="minorEastAsia" w:hAnsiTheme="minorEastAsia" w:hint="eastAsia"/>
                <w:sz w:val="18"/>
                <w:szCs w:val="18"/>
              </w:rPr>
              <w:t>7</w:t>
            </w:r>
          </w:p>
        </w:tc>
      </w:tr>
      <w:tr w:rsidR="00D570D1" w:rsidRPr="00536128" w:rsidTr="00761173">
        <w:trPr>
          <w:trHeight w:val="330"/>
        </w:trPr>
        <w:tc>
          <w:tcPr>
            <w:tcW w:w="2109" w:type="dxa"/>
            <w:vAlign w:val="center"/>
          </w:tcPr>
          <w:p w:rsidR="00D570D1" w:rsidRPr="00536128" w:rsidRDefault="00FB6BC7" w:rsidP="00A95181">
            <w:pPr>
              <w:jc w:val="center"/>
              <w:rPr>
                <w:rFonts w:ascii="楷体_GB2312" w:eastAsia="楷体_GB2312"/>
                <w:sz w:val="18"/>
                <w:szCs w:val="18"/>
              </w:rPr>
            </w:pPr>
            <w:r>
              <w:rPr>
                <w:rFonts w:ascii="楷体_GB2312" w:eastAsia="楷体_GB2312" w:hint="eastAsia"/>
                <w:sz w:val="18"/>
                <w:szCs w:val="18"/>
              </w:rPr>
              <w:t>全市场分级B</w:t>
            </w:r>
          </w:p>
        </w:tc>
        <w:tc>
          <w:tcPr>
            <w:tcW w:w="730" w:type="dxa"/>
            <w:vAlign w:val="center"/>
          </w:tcPr>
          <w:p w:rsidR="00D570D1" w:rsidRPr="00536128" w:rsidRDefault="00D570D1" w:rsidP="00A95181">
            <w:pPr>
              <w:jc w:val="center"/>
              <w:rPr>
                <w:rFonts w:asciiTheme="minorEastAsia" w:eastAsiaTheme="minorEastAsia" w:hAnsiTheme="minorEastAsia"/>
                <w:sz w:val="18"/>
                <w:szCs w:val="18"/>
              </w:rPr>
            </w:pPr>
          </w:p>
        </w:tc>
        <w:tc>
          <w:tcPr>
            <w:tcW w:w="0" w:type="auto"/>
            <w:vAlign w:val="center"/>
          </w:tcPr>
          <w:p w:rsidR="00D570D1" w:rsidRPr="00536128" w:rsidRDefault="00FB6BC7" w:rsidP="00A95181">
            <w:pPr>
              <w:jc w:val="center"/>
              <w:rPr>
                <w:rFonts w:ascii="楷体_GB2312" w:eastAsia="楷体_GB2312"/>
                <w:sz w:val="18"/>
                <w:szCs w:val="18"/>
              </w:rPr>
            </w:pPr>
            <w:r>
              <w:rPr>
                <w:rFonts w:ascii="楷体_GB2312" w:eastAsia="楷体_GB2312" w:hint="eastAsia"/>
                <w:sz w:val="18"/>
                <w:szCs w:val="18"/>
              </w:rPr>
              <w:t>全市场分级B</w:t>
            </w:r>
          </w:p>
        </w:tc>
        <w:tc>
          <w:tcPr>
            <w:tcW w:w="0" w:type="auto"/>
            <w:vAlign w:val="center"/>
          </w:tcPr>
          <w:p w:rsidR="00D570D1" w:rsidRPr="00536128" w:rsidRDefault="00FB6BC7" w:rsidP="00A9518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15.96</w:t>
            </w:r>
          </w:p>
        </w:tc>
      </w:tr>
    </w:tbl>
    <w:p w:rsidR="0076259F" w:rsidRDefault="0076259F" w:rsidP="0076259F"/>
    <w:p w:rsidR="0076259F" w:rsidRPr="0076259F" w:rsidRDefault="0076259F" w:rsidP="0076259F">
      <w:pPr>
        <w:spacing w:line="360" w:lineRule="auto"/>
        <w:ind w:rightChars="-135" w:right="-283"/>
        <w:rPr>
          <w:rFonts w:ascii="楷体_GB2312" w:eastAsia="楷体_GB2312" w:hAnsi="宋体"/>
          <w:b/>
          <w:color w:val="003366"/>
          <w:sz w:val="28"/>
          <w:szCs w:val="28"/>
        </w:rPr>
      </w:pPr>
      <w:r>
        <w:rPr>
          <w:rFonts w:ascii="楷体_GB2312" w:eastAsia="楷体_GB2312" w:hAnsi="宋体" w:hint="eastAsia"/>
          <w:b/>
          <w:color w:val="003366"/>
          <w:sz w:val="28"/>
          <w:szCs w:val="28"/>
        </w:rPr>
        <w:t>3.</w:t>
      </w:r>
      <w:r w:rsidRPr="0076259F">
        <w:rPr>
          <w:rFonts w:ascii="楷体_GB2312" w:eastAsia="楷体_GB2312" w:hAnsi="宋体" w:hint="eastAsia"/>
          <w:b/>
          <w:color w:val="003366"/>
          <w:sz w:val="28"/>
          <w:szCs w:val="28"/>
        </w:rPr>
        <w:t>分级B风险下折预警</w:t>
      </w:r>
    </w:p>
    <w:p w:rsidR="0076259F" w:rsidRPr="0076259F" w:rsidRDefault="0076259F" w:rsidP="0076259F">
      <w:pPr>
        <w:ind w:firstLineChars="200" w:firstLine="420"/>
        <w:rPr>
          <w:rFonts w:ascii="楷体_GB2312" w:eastAsia="楷体_GB2312"/>
          <w:szCs w:val="21"/>
        </w:rPr>
      </w:pPr>
      <w:r w:rsidRPr="0076259F">
        <w:rPr>
          <w:rFonts w:ascii="楷体_GB2312" w:eastAsia="楷体_GB2312" w:hint="eastAsia"/>
          <w:szCs w:val="21"/>
        </w:rPr>
        <w:t>近期市场经过大幅反弹之后，市场调整风险正在加大，</w:t>
      </w:r>
      <w:proofErr w:type="gramStart"/>
      <w:r w:rsidRPr="0076259F">
        <w:rPr>
          <w:rFonts w:ascii="楷体_GB2312" w:eastAsia="楷体_GB2312" w:hint="eastAsia"/>
          <w:szCs w:val="21"/>
        </w:rPr>
        <w:t>如行情</w:t>
      </w:r>
      <w:proofErr w:type="gramEnd"/>
      <w:r w:rsidRPr="0076259F">
        <w:rPr>
          <w:rFonts w:ascii="楷体_GB2312" w:eastAsia="楷体_GB2312" w:hint="eastAsia"/>
          <w:szCs w:val="21"/>
        </w:rPr>
        <w:t>走势转变，一部分净值快接近下折触发点的分级B可能面临着较大的下折风险。截止7月24日，共有14只分级B，</w:t>
      </w:r>
      <w:r w:rsidR="00A622E2">
        <w:rPr>
          <w:rFonts w:ascii="楷体_GB2312" w:eastAsia="楷体_GB2312" w:hint="eastAsia"/>
          <w:szCs w:val="21"/>
        </w:rPr>
        <w:t>其</w:t>
      </w:r>
      <w:r w:rsidRPr="0076259F">
        <w:rPr>
          <w:rFonts w:ascii="楷体_GB2312" w:eastAsia="楷体_GB2312" w:hint="eastAsia"/>
          <w:szCs w:val="21"/>
        </w:rPr>
        <w:t>母基金净值距离</w:t>
      </w:r>
      <w:r w:rsidR="00A622E2">
        <w:rPr>
          <w:rFonts w:ascii="楷体_GB2312" w:eastAsia="楷体_GB2312" w:hint="eastAsia"/>
          <w:szCs w:val="21"/>
        </w:rPr>
        <w:t>触及</w:t>
      </w:r>
      <w:proofErr w:type="gramStart"/>
      <w:r w:rsidRPr="0076259F">
        <w:rPr>
          <w:rFonts w:ascii="楷体_GB2312" w:eastAsia="楷体_GB2312" w:hint="eastAsia"/>
          <w:szCs w:val="21"/>
        </w:rPr>
        <w:t>下折阀值</w:t>
      </w:r>
      <w:proofErr w:type="gramEnd"/>
      <w:r w:rsidR="00507B75">
        <w:rPr>
          <w:rFonts w:ascii="楷体_GB2312" w:eastAsia="楷体_GB2312" w:hint="eastAsia"/>
          <w:szCs w:val="21"/>
        </w:rPr>
        <w:t>的下跌空间</w:t>
      </w:r>
      <w:r w:rsidRPr="0076259F">
        <w:rPr>
          <w:rFonts w:ascii="楷体_GB2312" w:eastAsia="楷体_GB2312" w:hint="eastAsia"/>
          <w:szCs w:val="21"/>
        </w:rPr>
        <w:t>小于20%，其中</w:t>
      </w:r>
      <w:proofErr w:type="gramStart"/>
      <w:r w:rsidRPr="0076259F">
        <w:rPr>
          <w:rFonts w:ascii="楷体_GB2312" w:eastAsia="楷体_GB2312" w:hint="eastAsia"/>
          <w:szCs w:val="21"/>
        </w:rPr>
        <w:t>中</w:t>
      </w:r>
      <w:proofErr w:type="gramEnd"/>
      <w:r w:rsidRPr="0076259F">
        <w:rPr>
          <w:rFonts w:ascii="楷体_GB2312" w:eastAsia="楷体_GB2312" w:hint="eastAsia"/>
          <w:szCs w:val="21"/>
        </w:rPr>
        <w:t>融一带B为7.07%，</w:t>
      </w:r>
      <w:proofErr w:type="gramStart"/>
      <w:r w:rsidRPr="0076259F">
        <w:rPr>
          <w:rFonts w:ascii="楷体_GB2312" w:eastAsia="楷体_GB2312" w:hint="eastAsia"/>
          <w:szCs w:val="21"/>
        </w:rPr>
        <w:t>长盛同瑞</w:t>
      </w:r>
      <w:proofErr w:type="gramEnd"/>
      <w:r w:rsidRPr="0076259F">
        <w:rPr>
          <w:rFonts w:ascii="楷体_GB2312" w:eastAsia="楷体_GB2312" w:hint="eastAsia"/>
          <w:szCs w:val="21"/>
        </w:rPr>
        <w:t>B为11.58%，申万菱信电子行业B为11.75%，鹏华中</w:t>
      </w:r>
      <w:proofErr w:type="gramStart"/>
      <w:r w:rsidRPr="0076259F">
        <w:rPr>
          <w:rFonts w:ascii="楷体_GB2312" w:eastAsia="楷体_GB2312" w:hint="eastAsia"/>
          <w:szCs w:val="21"/>
        </w:rPr>
        <w:t>证</w:t>
      </w:r>
      <w:proofErr w:type="gramEnd"/>
      <w:r w:rsidRPr="0076259F">
        <w:rPr>
          <w:rFonts w:ascii="楷体_GB2312" w:eastAsia="楷体_GB2312" w:hint="eastAsia"/>
          <w:szCs w:val="21"/>
        </w:rPr>
        <w:t>证券B为11.78%。溢价率也因股市回暖而持续高企，</w:t>
      </w:r>
      <w:r w:rsidR="00A622E2">
        <w:rPr>
          <w:rFonts w:ascii="楷体_GB2312" w:eastAsia="楷体_GB2312" w:hint="eastAsia"/>
          <w:szCs w:val="21"/>
        </w:rPr>
        <w:t>上述</w:t>
      </w:r>
      <w:r w:rsidRPr="0076259F">
        <w:rPr>
          <w:rFonts w:ascii="楷体_GB2312" w:eastAsia="楷体_GB2312" w:hint="eastAsia"/>
          <w:szCs w:val="21"/>
        </w:rPr>
        <w:t>14只分级B 的平均溢价率达25.26%，高于市场分级B平均的溢价率15.96%，其中申万菱信电子行业B的溢价率达51.08%。低净值分级B的普遍高溢价可以归因于下列两点：一、随着B份额净值的下跌，其杠杆率提升，</w:t>
      </w:r>
      <w:r w:rsidR="00952B22">
        <w:rPr>
          <w:rFonts w:ascii="楷体_GB2312" w:eastAsia="楷体_GB2312" w:hint="eastAsia"/>
          <w:szCs w:val="21"/>
        </w:rPr>
        <w:t>潜在上升空间大，</w:t>
      </w:r>
      <w:r w:rsidRPr="0076259F">
        <w:rPr>
          <w:rFonts w:ascii="楷体_GB2312" w:eastAsia="楷体_GB2312" w:hint="eastAsia"/>
          <w:szCs w:val="21"/>
        </w:rPr>
        <w:t>投资者寄希望于博取</w:t>
      </w:r>
      <w:r w:rsidR="00952B22">
        <w:rPr>
          <w:rFonts w:ascii="楷体_GB2312" w:eastAsia="楷体_GB2312" w:hint="eastAsia"/>
          <w:szCs w:val="21"/>
        </w:rPr>
        <w:t>高额</w:t>
      </w:r>
      <w:r w:rsidRPr="0076259F">
        <w:rPr>
          <w:rFonts w:ascii="楷体_GB2312" w:eastAsia="楷体_GB2312" w:hint="eastAsia"/>
          <w:szCs w:val="21"/>
        </w:rPr>
        <w:t>收益；二、B份额持有者，不甘净值下跌，选择继续持有，而不是卖出了结损失，这就是所谓的“损失厌恶</w:t>
      </w:r>
      <w:r w:rsidR="00952B22">
        <w:rPr>
          <w:rFonts w:ascii="楷体_GB2312" w:eastAsia="楷体_GB2312" w:hint="eastAsia"/>
          <w:szCs w:val="21"/>
        </w:rPr>
        <w:t>”</w:t>
      </w:r>
      <w:r w:rsidRPr="0076259F">
        <w:rPr>
          <w:rFonts w:ascii="楷体_GB2312" w:eastAsia="楷体_GB2312" w:hint="eastAsia"/>
          <w:szCs w:val="21"/>
        </w:rPr>
        <w:t>。实质上，投资者盲目追高一些高溢价低净值的分级B的行为类似于“火中取栗”，一旦行情不再，高杠杆率只能让分级B更快接近阀值，所以这种行为所带来的风险远远大于所能带来的收益。</w:t>
      </w:r>
    </w:p>
    <w:p w:rsidR="0076259F" w:rsidRDefault="0076259F" w:rsidP="0076259F">
      <w:pPr>
        <w:ind w:firstLineChars="200" w:firstLine="420"/>
        <w:rPr>
          <w:rFonts w:ascii="楷体_GB2312" w:eastAsia="楷体_GB2312"/>
          <w:szCs w:val="21"/>
        </w:rPr>
      </w:pPr>
      <w:r w:rsidRPr="0076259F">
        <w:rPr>
          <w:rFonts w:ascii="楷体_GB2312" w:eastAsia="楷体_GB2312" w:hint="eastAsia"/>
          <w:szCs w:val="21"/>
        </w:rPr>
        <w:t>分级B有着盘子小、波动性大的特征，流动性对于分级B至关重要，投资者应规避那些流动性较差的分级B品种。从流动性来看，我们选取上周平均流动性冲击为指标，上周分级B基金平均流动性冲击为15.56（百万），只有富国证券B、</w:t>
      </w:r>
      <w:proofErr w:type="gramStart"/>
      <w:r w:rsidRPr="0076259F">
        <w:rPr>
          <w:rFonts w:ascii="楷体_GB2312" w:eastAsia="楷体_GB2312" w:hint="eastAsia"/>
          <w:szCs w:val="21"/>
        </w:rPr>
        <w:t>中融一带</w:t>
      </w:r>
      <w:proofErr w:type="gramEnd"/>
      <w:r w:rsidRPr="0076259F">
        <w:rPr>
          <w:rFonts w:ascii="楷体_GB2312" w:eastAsia="楷体_GB2312" w:hint="eastAsia"/>
          <w:szCs w:val="21"/>
        </w:rPr>
        <w:t>一路B、申万菱信中小板B、易方达国企改革B保持着相对良好的流动性，而其他分级B流动型较差。</w:t>
      </w:r>
    </w:p>
    <w:p w:rsidR="0069102B" w:rsidRDefault="0069102B" w:rsidP="0076259F">
      <w:pPr>
        <w:ind w:firstLineChars="200" w:firstLine="420"/>
        <w:rPr>
          <w:rFonts w:ascii="楷体_GB2312" w:eastAsia="楷体_GB2312"/>
          <w:szCs w:val="21"/>
        </w:rPr>
      </w:pPr>
    </w:p>
    <w:p w:rsidR="0069102B" w:rsidRPr="0076259F" w:rsidRDefault="0069102B" w:rsidP="0076259F">
      <w:pPr>
        <w:ind w:firstLineChars="200" w:firstLine="420"/>
        <w:rPr>
          <w:rFonts w:ascii="楷体_GB2312" w:eastAsia="楷体_GB2312"/>
          <w:szCs w:val="21"/>
        </w:rPr>
      </w:pPr>
    </w:p>
    <w:p w:rsidR="0076259F" w:rsidRDefault="0076259F" w:rsidP="0076259F"/>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lastRenderedPageBreak/>
        <w:t>表2：上周临近折算的分级B基金</w:t>
      </w:r>
    </w:p>
    <w:tbl>
      <w:tblPr>
        <w:tblStyle w:val="a8"/>
        <w:tblW w:w="8472" w:type="dxa"/>
        <w:tblInd w:w="-1593" w:type="dxa"/>
        <w:tblLayout w:type="fixed"/>
        <w:tblLook w:val="04A0"/>
      </w:tblPr>
      <w:tblGrid>
        <w:gridCol w:w="2235"/>
        <w:gridCol w:w="850"/>
        <w:gridCol w:w="709"/>
        <w:gridCol w:w="850"/>
        <w:gridCol w:w="851"/>
        <w:gridCol w:w="1417"/>
        <w:gridCol w:w="1560"/>
      </w:tblGrid>
      <w:tr w:rsidR="0076259F" w:rsidRPr="0076259F" w:rsidTr="0076259F">
        <w:tc>
          <w:tcPr>
            <w:tcW w:w="2235" w:type="dxa"/>
            <w:vAlign w:val="bottom"/>
          </w:tcPr>
          <w:p w:rsidR="0076259F" w:rsidRPr="00B420B4" w:rsidRDefault="0076259F" w:rsidP="0076259F">
            <w:pPr>
              <w:ind w:leftChars="-742" w:left="-1558"/>
              <w:jc w:val="center"/>
              <w:rPr>
                <w:rFonts w:ascii="楷体_GB2312" w:eastAsia="楷体_GB2312"/>
                <w:b/>
                <w:sz w:val="18"/>
                <w:szCs w:val="18"/>
              </w:rPr>
            </w:pPr>
          </w:p>
        </w:tc>
        <w:tc>
          <w:tcPr>
            <w:tcW w:w="850" w:type="dxa"/>
            <w:vAlign w:val="bottom"/>
          </w:tcPr>
          <w:p w:rsidR="0076259F" w:rsidRPr="00B420B4" w:rsidRDefault="0076259F" w:rsidP="0076259F">
            <w:pPr>
              <w:jc w:val="center"/>
              <w:rPr>
                <w:rFonts w:ascii="楷体_GB2312" w:eastAsia="楷体_GB2312"/>
                <w:b/>
                <w:sz w:val="18"/>
                <w:szCs w:val="18"/>
              </w:rPr>
            </w:pPr>
            <w:r w:rsidRPr="00B420B4">
              <w:rPr>
                <w:rFonts w:ascii="楷体_GB2312" w:eastAsia="楷体_GB2312" w:hint="eastAsia"/>
                <w:b/>
                <w:sz w:val="18"/>
                <w:szCs w:val="18"/>
              </w:rPr>
              <w:t>下折触发点</w:t>
            </w:r>
          </w:p>
        </w:tc>
        <w:tc>
          <w:tcPr>
            <w:tcW w:w="709" w:type="dxa"/>
            <w:vAlign w:val="bottom"/>
          </w:tcPr>
          <w:p w:rsidR="0076259F" w:rsidRPr="00B420B4" w:rsidRDefault="0076259F" w:rsidP="0076259F">
            <w:pPr>
              <w:jc w:val="center"/>
              <w:rPr>
                <w:rFonts w:ascii="楷体_GB2312" w:eastAsia="楷体_GB2312"/>
                <w:b/>
                <w:sz w:val="18"/>
                <w:szCs w:val="18"/>
              </w:rPr>
            </w:pPr>
            <w:r w:rsidRPr="00B420B4">
              <w:rPr>
                <w:rFonts w:ascii="楷体_GB2312" w:eastAsia="楷体_GB2312" w:hint="eastAsia"/>
                <w:b/>
                <w:sz w:val="18"/>
                <w:szCs w:val="18"/>
              </w:rPr>
              <w:t>b当前净值</w:t>
            </w:r>
          </w:p>
        </w:tc>
        <w:tc>
          <w:tcPr>
            <w:tcW w:w="850" w:type="dxa"/>
            <w:vAlign w:val="bottom"/>
          </w:tcPr>
          <w:p w:rsidR="0076259F" w:rsidRPr="00B420B4" w:rsidRDefault="0076259F" w:rsidP="0076259F">
            <w:pPr>
              <w:jc w:val="center"/>
              <w:rPr>
                <w:rFonts w:ascii="楷体_GB2312" w:eastAsia="楷体_GB2312"/>
                <w:b/>
                <w:sz w:val="18"/>
                <w:szCs w:val="18"/>
              </w:rPr>
            </w:pPr>
            <w:r w:rsidRPr="00B420B4">
              <w:rPr>
                <w:rFonts w:ascii="楷体_GB2312" w:eastAsia="楷体_GB2312" w:hint="eastAsia"/>
                <w:b/>
                <w:sz w:val="18"/>
                <w:szCs w:val="18"/>
              </w:rPr>
              <w:t>溢价率（%）</w:t>
            </w:r>
          </w:p>
        </w:tc>
        <w:tc>
          <w:tcPr>
            <w:tcW w:w="851" w:type="dxa"/>
            <w:vAlign w:val="bottom"/>
          </w:tcPr>
          <w:p w:rsidR="0076259F" w:rsidRPr="00B420B4" w:rsidRDefault="0076259F" w:rsidP="0076259F">
            <w:pPr>
              <w:jc w:val="center"/>
              <w:rPr>
                <w:rFonts w:ascii="楷体_GB2312" w:eastAsia="楷体_GB2312"/>
                <w:b/>
                <w:sz w:val="18"/>
                <w:szCs w:val="18"/>
              </w:rPr>
            </w:pPr>
            <w:r w:rsidRPr="00B420B4">
              <w:rPr>
                <w:rFonts w:ascii="楷体_GB2312" w:eastAsia="楷体_GB2312" w:hint="eastAsia"/>
                <w:b/>
                <w:sz w:val="18"/>
                <w:szCs w:val="18"/>
              </w:rPr>
              <w:t>净值杠杆</w:t>
            </w:r>
          </w:p>
        </w:tc>
        <w:tc>
          <w:tcPr>
            <w:tcW w:w="1417" w:type="dxa"/>
            <w:vAlign w:val="bottom"/>
          </w:tcPr>
          <w:p w:rsidR="0076259F" w:rsidRPr="00B420B4" w:rsidRDefault="0076259F" w:rsidP="0076259F">
            <w:pPr>
              <w:jc w:val="center"/>
              <w:rPr>
                <w:rFonts w:ascii="楷体_GB2312" w:eastAsia="楷体_GB2312"/>
                <w:b/>
                <w:sz w:val="18"/>
                <w:szCs w:val="18"/>
              </w:rPr>
            </w:pPr>
            <w:r w:rsidRPr="00B420B4">
              <w:rPr>
                <w:rFonts w:ascii="楷体_GB2312" w:eastAsia="楷体_GB2312" w:hint="eastAsia"/>
                <w:b/>
                <w:sz w:val="18"/>
                <w:szCs w:val="18"/>
              </w:rPr>
              <w:t>下折触发距离（%）</w:t>
            </w:r>
          </w:p>
        </w:tc>
        <w:tc>
          <w:tcPr>
            <w:tcW w:w="1560" w:type="dxa"/>
            <w:vAlign w:val="bottom"/>
          </w:tcPr>
          <w:p w:rsidR="0076259F" w:rsidRPr="00B420B4" w:rsidRDefault="0076259F" w:rsidP="0076259F">
            <w:pPr>
              <w:jc w:val="center"/>
              <w:rPr>
                <w:rFonts w:ascii="楷体_GB2312" w:eastAsia="楷体_GB2312"/>
                <w:b/>
                <w:sz w:val="18"/>
                <w:szCs w:val="18"/>
              </w:rPr>
            </w:pPr>
            <w:r w:rsidRPr="00B420B4">
              <w:rPr>
                <w:rFonts w:ascii="楷体_GB2312" w:eastAsia="楷体_GB2312" w:hint="eastAsia"/>
                <w:b/>
                <w:sz w:val="18"/>
                <w:szCs w:val="18"/>
              </w:rPr>
              <w:t>流动性冲击（百万）</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proofErr w:type="gramStart"/>
            <w:r w:rsidRPr="0076259F">
              <w:rPr>
                <w:rFonts w:ascii="楷体_GB2312" w:eastAsia="楷体_GB2312" w:hint="eastAsia"/>
                <w:sz w:val="18"/>
                <w:szCs w:val="18"/>
              </w:rPr>
              <w:t>中融一带</w:t>
            </w:r>
            <w:proofErr w:type="gramEnd"/>
            <w:r w:rsidRPr="0076259F">
              <w:rPr>
                <w:rFonts w:ascii="楷体_GB2312" w:eastAsia="楷体_GB2312" w:hint="eastAsia"/>
                <w:sz w:val="18"/>
                <w:szCs w:val="18"/>
              </w:rPr>
              <w:t>一路B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0.345</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31.88</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3.94</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7.07</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28.01</w:t>
            </w:r>
          </w:p>
        </w:tc>
      </w:tr>
      <w:tr w:rsidR="0076259F" w:rsidRPr="0076259F" w:rsidTr="0076259F">
        <w:tc>
          <w:tcPr>
            <w:tcW w:w="2235" w:type="dxa"/>
            <w:vAlign w:val="bottom"/>
          </w:tcPr>
          <w:p w:rsidR="0076259F" w:rsidRPr="0076259F" w:rsidRDefault="0076259F" w:rsidP="0076259F">
            <w:pPr>
              <w:ind w:leftChars="-67" w:left="-141"/>
              <w:jc w:val="center"/>
              <w:rPr>
                <w:rFonts w:ascii="楷体_GB2312" w:eastAsia="楷体_GB2312"/>
                <w:sz w:val="18"/>
                <w:szCs w:val="18"/>
              </w:rPr>
            </w:pPr>
            <w:proofErr w:type="gramStart"/>
            <w:r w:rsidRPr="0076259F">
              <w:rPr>
                <w:rFonts w:ascii="楷体_GB2312" w:eastAsia="楷体_GB2312" w:hint="eastAsia"/>
                <w:sz w:val="18"/>
                <w:szCs w:val="18"/>
              </w:rPr>
              <w:t>长盛同瑞</w:t>
            </w:r>
            <w:proofErr w:type="gramEnd"/>
            <w:r w:rsidRPr="0076259F">
              <w:rPr>
                <w:rFonts w:ascii="楷体_GB2312" w:eastAsia="楷体_GB2312" w:hint="eastAsia"/>
                <w:sz w:val="18"/>
                <w:szCs w:val="18"/>
              </w:rPr>
              <w:t>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0.373</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32.44</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2.81</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11.58</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1.13</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申万菱信电子行业B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0.415</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51.08</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3.43</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11.75</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1.82</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鹏华中</w:t>
            </w:r>
            <w:proofErr w:type="gramStart"/>
            <w:r w:rsidRPr="0076259F">
              <w:rPr>
                <w:rFonts w:ascii="楷体_GB2312" w:eastAsia="楷体_GB2312" w:hint="eastAsia"/>
                <w:sz w:val="18"/>
                <w:szCs w:val="18"/>
              </w:rPr>
              <w:t>证</w:t>
            </w:r>
            <w:proofErr w:type="gramEnd"/>
            <w:r w:rsidRPr="0076259F">
              <w:rPr>
                <w:rFonts w:ascii="楷体_GB2312" w:eastAsia="楷体_GB2312" w:hint="eastAsia"/>
                <w:sz w:val="18"/>
                <w:szCs w:val="18"/>
              </w:rPr>
              <w:t>证券B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0.418</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42.82</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3.42</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11.78</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4.22</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华安</w:t>
            </w:r>
            <w:proofErr w:type="gramStart"/>
            <w:r w:rsidRPr="0076259F">
              <w:rPr>
                <w:rFonts w:ascii="楷体_GB2312" w:eastAsia="楷体_GB2312" w:hint="eastAsia"/>
                <w:sz w:val="18"/>
                <w:szCs w:val="18"/>
              </w:rPr>
              <w:t>中证全指</w:t>
            </w:r>
            <w:proofErr w:type="gramEnd"/>
            <w:r w:rsidRPr="0076259F">
              <w:rPr>
                <w:rFonts w:ascii="楷体_GB2312" w:eastAsia="楷体_GB2312" w:hint="eastAsia"/>
                <w:sz w:val="18"/>
                <w:szCs w:val="18"/>
              </w:rPr>
              <w:t>证券B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0.434</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25.60</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3.32</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12.58</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3.49</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proofErr w:type="gramStart"/>
            <w:r w:rsidRPr="0076259F">
              <w:rPr>
                <w:rFonts w:ascii="楷体_GB2312" w:eastAsia="楷体_GB2312" w:hint="eastAsia"/>
                <w:sz w:val="18"/>
                <w:szCs w:val="18"/>
              </w:rPr>
              <w:t>中融国证</w:t>
            </w:r>
            <w:proofErr w:type="gramEnd"/>
            <w:r w:rsidRPr="0076259F">
              <w:rPr>
                <w:rFonts w:ascii="楷体_GB2312" w:eastAsia="楷体_GB2312" w:hint="eastAsia"/>
                <w:sz w:val="18"/>
                <w:szCs w:val="18"/>
              </w:rPr>
              <w:t>钢铁B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0.503</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15.51</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3.00</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16.71</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1.06</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proofErr w:type="gramStart"/>
            <w:r w:rsidRPr="0076259F">
              <w:rPr>
                <w:rFonts w:ascii="楷体_GB2312" w:eastAsia="楷体_GB2312" w:hint="eastAsia"/>
                <w:sz w:val="18"/>
                <w:szCs w:val="18"/>
              </w:rPr>
              <w:t>西部利得中证</w:t>
            </w:r>
            <w:proofErr w:type="gramEnd"/>
            <w:r w:rsidRPr="0076259F">
              <w:rPr>
                <w:rFonts w:ascii="楷体_GB2312" w:eastAsia="楷体_GB2312" w:hint="eastAsia"/>
                <w:sz w:val="18"/>
                <w:szCs w:val="18"/>
              </w:rPr>
              <w:t>500B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0.514</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33.85</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2.98</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17.19</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1.83</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博时中证800证券保险B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0.525</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26.10</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2.92</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17.91</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2.96</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易方达国企改革B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0.528</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45.75</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2.90</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18.14</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18.52</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富国中证煤炭B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0.533</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-5.25</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2.89</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18.37</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6.06</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富国中</w:t>
            </w:r>
            <w:proofErr w:type="gramStart"/>
            <w:r w:rsidRPr="0076259F">
              <w:rPr>
                <w:rFonts w:ascii="楷体_GB2312" w:eastAsia="楷体_GB2312" w:hint="eastAsia"/>
                <w:sz w:val="18"/>
                <w:szCs w:val="18"/>
              </w:rPr>
              <w:t>证工业</w:t>
            </w:r>
            <w:proofErr w:type="gramEnd"/>
            <w:r w:rsidRPr="0076259F">
              <w:rPr>
                <w:rFonts w:ascii="楷体_GB2312" w:eastAsia="楷体_GB2312" w:hint="eastAsia"/>
                <w:sz w:val="18"/>
                <w:szCs w:val="18"/>
              </w:rPr>
              <w:t>4.0B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0.535</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30.28</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2.88</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18.50</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4.98</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富国证券B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0.555</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12.97</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2.84</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19.38</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41.28</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申万菱信中小板B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0.556</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11.29</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2.82</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19.52</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24.48</w:t>
            </w:r>
          </w:p>
        </w:tc>
      </w:tr>
      <w:tr w:rsidR="0076259F" w:rsidRPr="0076259F" w:rsidTr="0076259F">
        <w:tc>
          <w:tcPr>
            <w:tcW w:w="2235" w:type="dxa"/>
            <w:vAlign w:val="bottom"/>
          </w:tcPr>
          <w:p w:rsidR="0076259F" w:rsidRPr="0076259F" w:rsidRDefault="0076259F" w:rsidP="0076259F">
            <w:pPr>
              <w:jc w:val="center"/>
              <w:rPr>
                <w:rFonts w:ascii="楷体_GB2312" w:eastAsia="楷体_GB2312"/>
                <w:sz w:val="18"/>
                <w:szCs w:val="18"/>
              </w:rPr>
            </w:pPr>
            <w:r w:rsidRPr="0076259F">
              <w:rPr>
                <w:rFonts w:ascii="楷体_GB2312" w:eastAsia="楷体_GB2312" w:hint="eastAsia"/>
                <w:sz w:val="18"/>
                <w:szCs w:val="18"/>
              </w:rPr>
              <w:t>长盛同辉深证100等权B</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0.25</w:t>
            </w:r>
          </w:p>
        </w:tc>
        <w:tc>
          <w:tcPr>
            <w:tcW w:w="709"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0.558</w:t>
            </w:r>
          </w:p>
        </w:tc>
        <w:tc>
          <w:tcPr>
            <w:tcW w:w="85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-0.72</w:t>
            </w:r>
          </w:p>
        </w:tc>
        <w:tc>
          <w:tcPr>
            <w:tcW w:w="851"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2.81</w:t>
            </w:r>
          </w:p>
        </w:tc>
        <w:tc>
          <w:tcPr>
            <w:tcW w:w="1417"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19.62</w:t>
            </w:r>
          </w:p>
        </w:tc>
        <w:tc>
          <w:tcPr>
            <w:tcW w:w="1560" w:type="dxa"/>
            <w:vAlign w:val="bottom"/>
          </w:tcPr>
          <w:p w:rsidR="0076259F" w:rsidRPr="0076259F" w:rsidRDefault="0076259F" w:rsidP="0076259F">
            <w:pPr>
              <w:jc w:val="center"/>
              <w:rPr>
                <w:rFonts w:asciiTheme="majorEastAsia" w:eastAsiaTheme="majorEastAsia" w:hAnsiTheme="majorEastAsia"/>
                <w:sz w:val="18"/>
                <w:szCs w:val="18"/>
              </w:rPr>
            </w:pPr>
            <w:r w:rsidRPr="0076259F">
              <w:rPr>
                <w:rFonts w:asciiTheme="majorEastAsia" w:eastAsiaTheme="majorEastAsia" w:hAnsiTheme="majorEastAsia" w:hint="eastAsia"/>
                <w:sz w:val="18"/>
                <w:szCs w:val="18"/>
              </w:rPr>
              <w:t>1.37</w:t>
            </w:r>
          </w:p>
        </w:tc>
      </w:tr>
    </w:tbl>
    <w:p w:rsidR="0076259F" w:rsidRPr="0076259F" w:rsidRDefault="0076259F" w:rsidP="00B420B4">
      <w:pPr>
        <w:ind w:leftChars="-877" w:left="-1" w:hangingChars="1023" w:hanging="1841"/>
        <w:rPr>
          <w:rFonts w:ascii="楷体_GB2312" w:eastAsia="楷体_GB2312"/>
          <w:sz w:val="18"/>
          <w:szCs w:val="18"/>
        </w:rPr>
      </w:pPr>
      <w:r w:rsidRPr="0076259F">
        <w:rPr>
          <w:rFonts w:ascii="楷体_GB2312" w:eastAsia="楷体_GB2312" w:hint="eastAsia"/>
          <w:sz w:val="18"/>
          <w:szCs w:val="18"/>
        </w:rPr>
        <w:t>注：数据来自WIND终端（截止7月24日）</w:t>
      </w:r>
    </w:p>
    <w:p w:rsidR="00FC4A6C" w:rsidRDefault="0076259F" w:rsidP="00FC4A6C">
      <w:pPr>
        <w:ind w:leftChars="-877" w:left="-1842"/>
        <w:rPr>
          <w:rFonts w:ascii="楷体_GB2312" w:eastAsia="楷体_GB2312"/>
          <w:sz w:val="18"/>
          <w:szCs w:val="18"/>
        </w:rPr>
      </w:pPr>
      <w:r>
        <w:rPr>
          <w:rFonts w:ascii="楷体_GB2312" w:eastAsia="楷体_GB2312" w:hint="eastAsia"/>
          <w:sz w:val="18"/>
          <w:szCs w:val="18"/>
        </w:rPr>
        <w:t>(</w:t>
      </w:r>
      <w:r w:rsidRPr="0076259F">
        <w:rPr>
          <w:rFonts w:ascii="楷体_GB2312" w:eastAsia="楷体_GB2312" w:hint="eastAsia"/>
          <w:sz w:val="18"/>
          <w:szCs w:val="18"/>
        </w:rPr>
        <w:t>流动性冲击计算公式为平均成交额/平均振幅，代表</w:t>
      </w:r>
      <w:r w:rsidR="00C515CF">
        <w:rPr>
          <w:rFonts w:ascii="楷体_GB2312" w:eastAsia="楷体_GB2312" w:hint="eastAsia"/>
          <w:sz w:val="18"/>
          <w:szCs w:val="18"/>
        </w:rPr>
        <w:t>平均多大成交额即可造成1%的价格波动，考虑到涨跌停板位置的成交，这个指标较实际流动性冲击要高</w:t>
      </w:r>
      <w:r>
        <w:rPr>
          <w:rFonts w:ascii="楷体_GB2312" w:eastAsia="楷体_GB2312" w:hint="eastAsia"/>
          <w:sz w:val="18"/>
          <w:szCs w:val="18"/>
        </w:rPr>
        <w:t>)</w:t>
      </w:r>
    </w:p>
    <w:p w:rsidR="0076259F" w:rsidRPr="0057170D" w:rsidRDefault="0076259F" w:rsidP="0076259F">
      <w:pPr>
        <w:rPr>
          <w:color w:val="000000"/>
          <w:sz w:val="20"/>
          <w:szCs w:val="20"/>
        </w:rPr>
      </w:pPr>
    </w:p>
    <w:p w:rsidR="00EB2064" w:rsidRDefault="0076259F" w:rsidP="0076259F">
      <w:pPr>
        <w:ind w:firstLineChars="200" w:firstLine="420"/>
        <w:rPr>
          <w:rFonts w:ascii="楷体_GB2312" w:eastAsia="楷体_GB2312"/>
          <w:szCs w:val="21"/>
        </w:rPr>
      </w:pPr>
      <w:r w:rsidRPr="0076259F">
        <w:rPr>
          <w:rFonts w:ascii="楷体_GB2312" w:eastAsia="楷体_GB2312" w:hint="eastAsia"/>
          <w:szCs w:val="21"/>
        </w:rPr>
        <w:t>从历史的数据来看，如果分级B净值距离阀</w:t>
      </w:r>
      <w:proofErr w:type="gramStart"/>
      <w:r w:rsidRPr="0076259F">
        <w:rPr>
          <w:rFonts w:ascii="楷体_GB2312" w:eastAsia="楷体_GB2312" w:hint="eastAsia"/>
          <w:szCs w:val="21"/>
        </w:rPr>
        <w:t>值还有</w:t>
      </w:r>
      <w:proofErr w:type="gramEnd"/>
      <w:r w:rsidRPr="0076259F">
        <w:rPr>
          <w:rFonts w:ascii="楷体_GB2312" w:eastAsia="楷体_GB2312" w:hint="eastAsia"/>
          <w:szCs w:val="21"/>
        </w:rPr>
        <w:t>一定距离，溢价率通常不会调整至合理水平；但是如果净值距离下</w:t>
      </w:r>
      <w:proofErr w:type="gramStart"/>
      <w:r w:rsidRPr="0076259F">
        <w:rPr>
          <w:rFonts w:ascii="楷体_GB2312" w:eastAsia="楷体_GB2312" w:hint="eastAsia"/>
          <w:szCs w:val="21"/>
        </w:rPr>
        <w:t>折非常</w:t>
      </w:r>
      <w:proofErr w:type="gramEnd"/>
      <w:r w:rsidRPr="0076259F">
        <w:rPr>
          <w:rFonts w:ascii="楷体_GB2312" w:eastAsia="楷体_GB2312" w:hint="eastAsia"/>
          <w:szCs w:val="21"/>
        </w:rPr>
        <w:t>接近，交易价格往往会短时间内向净值收敛。在操作中，分级B一直视为一种短期交易型产品，其价格涨跌容易背离其价值，其风险容易被普通投资者所忽视。碰上极端下跌行情，因为</w:t>
      </w:r>
      <w:proofErr w:type="gramStart"/>
      <w:r w:rsidRPr="0076259F">
        <w:rPr>
          <w:rFonts w:ascii="楷体_GB2312" w:eastAsia="楷体_GB2312" w:hint="eastAsia"/>
          <w:szCs w:val="21"/>
        </w:rPr>
        <w:t>涨跌版</w:t>
      </w:r>
      <w:proofErr w:type="gramEnd"/>
      <w:r w:rsidRPr="0076259F">
        <w:rPr>
          <w:rFonts w:ascii="楷体_GB2312" w:eastAsia="楷体_GB2312" w:hint="eastAsia"/>
          <w:szCs w:val="21"/>
        </w:rPr>
        <w:t>的限制，溢价率还未调整到合理水平就已</w:t>
      </w:r>
      <w:r w:rsidR="00D93845">
        <w:rPr>
          <w:rFonts w:ascii="楷体_GB2312" w:eastAsia="楷体_GB2312" w:hint="eastAsia"/>
          <w:szCs w:val="21"/>
        </w:rPr>
        <w:t>触发</w:t>
      </w:r>
      <w:r w:rsidRPr="0076259F">
        <w:rPr>
          <w:rFonts w:ascii="楷体_GB2312" w:eastAsia="楷体_GB2312" w:hint="eastAsia"/>
          <w:szCs w:val="21"/>
        </w:rPr>
        <w:t>下折条件，分级B</w:t>
      </w:r>
      <w:r w:rsidR="00D93845" w:rsidRPr="0076259F">
        <w:rPr>
          <w:rFonts w:ascii="楷体_GB2312" w:eastAsia="楷体_GB2312" w:hint="eastAsia"/>
          <w:szCs w:val="21"/>
        </w:rPr>
        <w:t>持有</w:t>
      </w:r>
      <w:r w:rsidRPr="0076259F">
        <w:rPr>
          <w:rFonts w:ascii="楷体_GB2312" w:eastAsia="楷体_GB2312" w:hint="eastAsia"/>
          <w:szCs w:val="21"/>
        </w:rPr>
        <w:t>投资者</w:t>
      </w:r>
      <w:r w:rsidR="00EB2064">
        <w:rPr>
          <w:rFonts w:ascii="楷体_GB2312" w:eastAsia="楷体_GB2312" w:hint="eastAsia"/>
          <w:szCs w:val="21"/>
        </w:rPr>
        <w:t>遭遇下折其溢价部分被人为清零，将</w:t>
      </w:r>
      <w:r w:rsidRPr="0076259F">
        <w:rPr>
          <w:rFonts w:ascii="楷体_GB2312" w:eastAsia="楷体_GB2312" w:hint="eastAsia"/>
          <w:szCs w:val="21"/>
        </w:rPr>
        <w:t>损失惨重（即立即损失溢价部分）。</w:t>
      </w:r>
    </w:p>
    <w:p w:rsidR="00656ECD" w:rsidRDefault="00656ECD" w:rsidP="00097878">
      <w:pPr>
        <w:ind w:firstLineChars="200" w:firstLine="420"/>
        <w:rPr>
          <w:rFonts w:ascii="楷体_GB2312" w:eastAsia="楷体_GB2312"/>
          <w:szCs w:val="21"/>
        </w:rPr>
      </w:pPr>
      <w:r>
        <w:rPr>
          <w:rFonts w:ascii="楷体_GB2312" w:eastAsia="楷体_GB2312" w:hint="eastAsia"/>
          <w:szCs w:val="21"/>
        </w:rPr>
        <w:t>即使市场反弹，B份额的高溢</w:t>
      </w:r>
      <w:proofErr w:type="gramStart"/>
      <w:r>
        <w:rPr>
          <w:rFonts w:ascii="楷体_GB2312" w:eastAsia="楷体_GB2312" w:hint="eastAsia"/>
          <w:szCs w:val="21"/>
        </w:rPr>
        <w:t>价回归</w:t>
      </w:r>
      <w:proofErr w:type="gramEnd"/>
      <w:r>
        <w:rPr>
          <w:rFonts w:ascii="楷体_GB2312" w:eastAsia="楷体_GB2312" w:hint="eastAsia"/>
          <w:szCs w:val="21"/>
        </w:rPr>
        <w:t>将吞噬相当部分的净值上涨，导致B份额价格上涨乏力，</w:t>
      </w:r>
      <w:r w:rsidR="00A95181">
        <w:rPr>
          <w:rFonts w:ascii="楷体_GB2312" w:eastAsia="楷体_GB2312" w:hint="eastAsia"/>
          <w:szCs w:val="21"/>
        </w:rPr>
        <w:t>短期内</w:t>
      </w:r>
      <w:r>
        <w:rPr>
          <w:rFonts w:ascii="楷体_GB2312" w:eastAsia="楷体_GB2312" w:hint="eastAsia"/>
          <w:szCs w:val="21"/>
        </w:rPr>
        <w:t>投资者未必能获得理想的资本利得。</w:t>
      </w:r>
      <w:r w:rsidR="00A95181">
        <w:rPr>
          <w:rFonts w:ascii="楷体_GB2312" w:eastAsia="楷体_GB2312" w:hint="eastAsia"/>
          <w:szCs w:val="21"/>
        </w:rPr>
        <w:t>因此，其损失的风险远大于其可能获得的回报，</w:t>
      </w:r>
      <w:r w:rsidR="00097878">
        <w:rPr>
          <w:rFonts w:ascii="楷体_GB2312" w:eastAsia="楷体_GB2312" w:hint="eastAsia"/>
          <w:szCs w:val="21"/>
        </w:rPr>
        <w:t>风险与收益并不对称，建议投资者谨慎对待。</w:t>
      </w:r>
    </w:p>
    <w:p w:rsidR="00196D54" w:rsidRDefault="00097878" w:rsidP="0076259F">
      <w:pPr>
        <w:ind w:firstLineChars="200" w:firstLine="420"/>
        <w:rPr>
          <w:rFonts w:ascii="楷体_GB2312" w:eastAsia="楷体_GB2312"/>
          <w:szCs w:val="21"/>
        </w:rPr>
      </w:pPr>
      <w:r>
        <w:rPr>
          <w:rFonts w:ascii="楷体_GB2312" w:eastAsia="楷体_GB2312" w:hint="eastAsia"/>
          <w:szCs w:val="21"/>
        </w:rPr>
        <w:t>另外，当前</w:t>
      </w:r>
      <w:r w:rsidR="0076259F" w:rsidRPr="0076259F">
        <w:rPr>
          <w:rFonts w:ascii="楷体_GB2312" w:eastAsia="楷体_GB2312" w:hint="eastAsia"/>
          <w:szCs w:val="21"/>
        </w:rPr>
        <w:t>市场</w:t>
      </w:r>
      <w:r>
        <w:rPr>
          <w:rFonts w:ascii="楷体_GB2312" w:eastAsia="楷体_GB2312" w:hint="eastAsia"/>
          <w:szCs w:val="21"/>
        </w:rPr>
        <w:t>仍然存在</w:t>
      </w:r>
      <w:r w:rsidR="0076259F" w:rsidRPr="0076259F">
        <w:rPr>
          <w:rFonts w:ascii="楷体_GB2312" w:eastAsia="楷体_GB2312" w:hint="eastAsia"/>
          <w:szCs w:val="21"/>
        </w:rPr>
        <w:t>潜在调整风险，并不排除二次探底的可能，所以分级B的下</w:t>
      </w:r>
      <w:proofErr w:type="gramStart"/>
      <w:r w:rsidR="0076259F" w:rsidRPr="0076259F">
        <w:rPr>
          <w:rFonts w:ascii="楷体_GB2312" w:eastAsia="楷体_GB2312" w:hint="eastAsia"/>
          <w:szCs w:val="21"/>
        </w:rPr>
        <w:t>折风险</w:t>
      </w:r>
      <w:proofErr w:type="gramEnd"/>
      <w:r w:rsidR="0076259F" w:rsidRPr="0076259F">
        <w:rPr>
          <w:rFonts w:ascii="楷体_GB2312" w:eastAsia="楷体_GB2312" w:hint="eastAsia"/>
          <w:szCs w:val="21"/>
        </w:rPr>
        <w:t>依然存在。在上一波</w:t>
      </w:r>
      <w:proofErr w:type="gramStart"/>
      <w:r w:rsidR="0076259F" w:rsidRPr="0076259F">
        <w:rPr>
          <w:rFonts w:ascii="楷体_GB2312" w:eastAsia="楷体_GB2312" w:hint="eastAsia"/>
          <w:szCs w:val="21"/>
        </w:rPr>
        <w:t>下折潮中</w:t>
      </w:r>
      <w:proofErr w:type="gramEnd"/>
      <w:r w:rsidR="0076259F" w:rsidRPr="0076259F">
        <w:rPr>
          <w:rFonts w:ascii="楷体_GB2312" w:eastAsia="楷体_GB2312" w:hint="eastAsia"/>
          <w:szCs w:val="21"/>
        </w:rPr>
        <w:t>，许多投资者不明不白的蒙受损失，建议投资者不宜盲目的追高一些具有潜在下</w:t>
      </w:r>
      <w:proofErr w:type="gramStart"/>
      <w:r w:rsidR="0076259F" w:rsidRPr="0076259F">
        <w:rPr>
          <w:rFonts w:ascii="楷体_GB2312" w:eastAsia="楷体_GB2312" w:hint="eastAsia"/>
          <w:szCs w:val="21"/>
        </w:rPr>
        <w:t>折风险</w:t>
      </w:r>
      <w:proofErr w:type="gramEnd"/>
      <w:r w:rsidR="0076259F" w:rsidRPr="0076259F">
        <w:rPr>
          <w:rFonts w:ascii="楷体_GB2312" w:eastAsia="楷体_GB2312" w:hint="eastAsia"/>
          <w:szCs w:val="21"/>
        </w:rPr>
        <w:t>的基金。</w:t>
      </w:r>
    </w:p>
    <w:p w:rsidR="00196D54" w:rsidRDefault="00196D54" w:rsidP="0076259F">
      <w:pPr>
        <w:ind w:firstLineChars="200" w:firstLine="420"/>
        <w:rPr>
          <w:rFonts w:ascii="楷体_GB2312" w:eastAsia="楷体_GB2312"/>
          <w:szCs w:val="21"/>
        </w:rPr>
      </w:pPr>
      <w:r>
        <w:rPr>
          <w:rFonts w:ascii="楷体_GB2312" w:eastAsia="楷体_GB2312"/>
          <w:szCs w:val="21"/>
        </w:rPr>
        <w:t xml:space="preserve"> </w:t>
      </w:r>
    </w:p>
    <w:p w:rsidR="00FC4A6C" w:rsidRDefault="00FC4A6C" w:rsidP="00FC4A6C">
      <w:pPr>
        <w:rPr>
          <w:rFonts w:ascii="楷体_GB2312" w:eastAsia="楷体_GB2312"/>
          <w:szCs w:val="21"/>
        </w:rPr>
      </w:pPr>
    </w:p>
    <w:p w:rsidR="0076259F" w:rsidRPr="0076259F" w:rsidRDefault="0076259F" w:rsidP="00536128">
      <w:pPr>
        <w:rPr>
          <w:rFonts w:ascii="华文楷体" w:eastAsia="华文楷体" w:hAnsi="华文楷体"/>
          <w:sz w:val="18"/>
          <w:szCs w:val="18"/>
        </w:rPr>
      </w:pPr>
      <w:r w:rsidRPr="0076259F">
        <w:rPr>
          <w:rFonts w:ascii="华文楷体" w:eastAsia="华文楷体" w:hAnsi="华文楷体" w:hint="eastAsia"/>
          <w:sz w:val="18"/>
          <w:szCs w:val="18"/>
        </w:rPr>
        <w:t>表3：</w:t>
      </w:r>
      <w:proofErr w:type="gramStart"/>
      <w:r w:rsidRPr="0076259F">
        <w:rPr>
          <w:rFonts w:ascii="华文楷体" w:eastAsia="华文楷体" w:hAnsi="华文楷体" w:hint="eastAsia"/>
          <w:sz w:val="18"/>
          <w:szCs w:val="18"/>
        </w:rPr>
        <w:t>下折潮中</w:t>
      </w:r>
      <w:proofErr w:type="gramEnd"/>
      <w:r w:rsidRPr="0076259F">
        <w:rPr>
          <w:rFonts w:ascii="华文楷体" w:eastAsia="华文楷体" w:hAnsi="华文楷体" w:hint="eastAsia"/>
          <w:sz w:val="18"/>
          <w:szCs w:val="18"/>
        </w:rPr>
        <w:t>的22只行业、主题分级B亏损情况</w:t>
      </w:r>
    </w:p>
    <w:tbl>
      <w:tblPr>
        <w:tblStyle w:val="a8"/>
        <w:tblW w:w="0" w:type="auto"/>
        <w:tblInd w:w="-2160" w:type="dxa"/>
        <w:tblLook w:val="04A0"/>
      </w:tblPr>
      <w:tblGrid>
        <w:gridCol w:w="1083"/>
        <w:gridCol w:w="2319"/>
        <w:gridCol w:w="1134"/>
        <w:gridCol w:w="1418"/>
        <w:gridCol w:w="1134"/>
        <w:gridCol w:w="1417"/>
      </w:tblGrid>
      <w:tr w:rsidR="0076259F" w:rsidRPr="0076259F" w:rsidTr="00536128">
        <w:tc>
          <w:tcPr>
            <w:tcW w:w="1083" w:type="dxa"/>
            <w:vAlign w:val="center"/>
          </w:tcPr>
          <w:p w:rsidR="0076259F" w:rsidRPr="0076259F" w:rsidRDefault="0076259F" w:rsidP="0076259F">
            <w:pPr>
              <w:ind w:leftChars="-51" w:left="-107"/>
              <w:jc w:val="center"/>
              <w:rPr>
                <w:rFonts w:ascii="华文楷体" w:eastAsia="华文楷体" w:hAnsi="华文楷体"/>
                <w:sz w:val="18"/>
                <w:szCs w:val="18"/>
              </w:rPr>
            </w:pPr>
            <w:r w:rsidRPr="0076259F">
              <w:rPr>
                <w:rFonts w:ascii="华文楷体" w:eastAsia="华文楷体" w:hAnsi="华文楷体" w:hint="eastAsia"/>
                <w:sz w:val="18"/>
                <w:szCs w:val="18"/>
              </w:rPr>
              <w:t>代码</w:t>
            </w:r>
          </w:p>
        </w:tc>
        <w:tc>
          <w:tcPr>
            <w:tcW w:w="2319" w:type="dxa"/>
            <w:vAlign w:val="center"/>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简称</w:t>
            </w:r>
          </w:p>
        </w:tc>
        <w:tc>
          <w:tcPr>
            <w:tcW w:w="1134" w:type="dxa"/>
            <w:vAlign w:val="center"/>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下折基准日</w:t>
            </w:r>
          </w:p>
        </w:tc>
        <w:tc>
          <w:tcPr>
            <w:tcW w:w="1418" w:type="dxa"/>
            <w:vAlign w:val="center"/>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基准日收盘价</w:t>
            </w:r>
          </w:p>
        </w:tc>
        <w:tc>
          <w:tcPr>
            <w:tcW w:w="1134" w:type="dxa"/>
            <w:vAlign w:val="center"/>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基准日净值</w:t>
            </w:r>
          </w:p>
        </w:tc>
        <w:tc>
          <w:tcPr>
            <w:tcW w:w="1417" w:type="dxa"/>
            <w:vAlign w:val="center"/>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直接</w:t>
            </w:r>
            <w:r>
              <w:rPr>
                <w:rFonts w:ascii="华文楷体" w:eastAsia="华文楷体" w:hAnsi="华文楷体" w:hint="eastAsia"/>
                <w:sz w:val="18"/>
                <w:szCs w:val="18"/>
              </w:rPr>
              <w:t>账面</w:t>
            </w:r>
            <w:r w:rsidRPr="0076259F">
              <w:rPr>
                <w:rFonts w:ascii="华文楷体" w:eastAsia="华文楷体" w:hAnsi="华文楷体" w:hint="eastAsia"/>
                <w:sz w:val="18"/>
                <w:szCs w:val="18"/>
              </w:rPr>
              <w:t>亏损</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150151</w:t>
            </w:r>
          </w:p>
        </w:tc>
        <w:tc>
          <w:tcPr>
            <w:tcW w:w="2319" w:type="dxa"/>
          </w:tcPr>
          <w:p w:rsidR="0076259F" w:rsidRPr="0076259F" w:rsidRDefault="0076259F" w:rsidP="00A95181">
            <w:pPr>
              <w:jc w:val="center"/>
              <w:rPr>
                <w:rFonts w:ascii="华文楷体" w:eastAsia="华文楷体" w:hAnsi="华文楷体"/>
                <w:sz w:val="18"/>
                <w:szCs w:val="18"/>
              </w:rPr>
            </w:pPr>
            <w:proofErr w:type="gramStart"/>
            <w:r w:rsidRPr="0076259F">
              <w:rPr>
                <w:rFonts w:ascii="华文楷体" w:eastAsia="华文楷体" w:hAnsi="华文楷体" w:hint="eastAsia"/>
                <w:sz w:val="18"/>
                <w:szCs w:val="18"/>
              </w:rPr>
              <w:t>信诚中证</w:t>
            </w:r>
            <w:proofErr w:type="gramEnd"/>
            <w:r w:rsidRPr="0076259F">
              <w:rPr>
                <w:rFonts w:ascii="华文楷体" w:eastAsia="华文楷体" w:hAnsi="华文楷体" w:hint="eastAsia"/>
                <w:sz w:val="18"/>
                <w:szCs w:val="18"/>
              </w:rPr>
              <w:t>800有色B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0.486</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0.202</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58.44%</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150252</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招商中证煤炭B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0.562</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0.245</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56.41%</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150234</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申万菱信传媒行业B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0.441</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0.1968</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55.37%</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150193</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鹏华中证800地产B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0.486</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0.222</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54.32%</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150174</w:t>
            </w:r>
          </w:p>
        </w:tc>
        <w:tc>
          <w:tcPr>
            <w:tcW w:w="2319" w:type="dxa"/>
          </w:tcPr>
          <w:p w:rsidR="0076259F" w:rsidRPr="0076259F" w:rsidRDefault="0076259F" w:rsidP="00A95181">
            <w:pPr>
              <w:jc w:val="center"/>
              <w:rPr>
                <w:rFonts w:ascii="华文楷体" w:eastAsia="华文楷体" w:hAnsi="华文楷体"/>
                <w:sz w:val="18"/>
                <w:szCs w:val="18"/>
              </w:rPr>
            </w:pPr>
            <w:proofErr w:type="gramStart"/>
            <w:r w:rsidRPr="0076259F">
              <w:rPr>
                <w:rFonts w:ascii="华文楷体" w:eastAsia="华文楷体" w:hAnsi="华文楷体" w:hint="eastAsia"/>
                <w:sz w:val="18"/>
                <w:szCs w:val="18"/>
              </w:rPr>
              <w:t>信诚中证</w:t>
            </w:r>
            <w:proofErr w:type="gramEnd"/>
            <w:r w:rsidRPr="0076259F">
              <w:rPr>
                <w:rFonts w:ascii="华文楷体" w:eastAsia="华文楷体" w:hAnsi="华文楷体" w:hint="eastAsia"/>
                <w:sz w:val="18"/>
                <w:szCs w:val="18"/>
              </w:rPr>
              <w:t>TMT产业B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2015-7-6</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0.466</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0.213</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54.29%</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150272</w:t>
            </w:r>
          </w:p>
        </w:tc>
        <w:tc>
          <w:tcPr>
            <w:tcW w:w="2319" w:type="dxa"/>
          </w:tcPr>
          <w:p w:rsidR="0076259F" w:rsidRPr="0076259F" w:rsidRDefault="0076259F" w:rsidP="00A95181">
            <w:pPr>
              <w:jc w:val="center"/>
              <w:rPr>
                <w:rFonts w:ascii="华文楷体" w:eastAsia="华文楷体" w:hAnsi="华文楷体"/>
                <w:sz w:val="18"/>
                <w:szCs w:val="18"/>
              </w:rPr>
            </w:pPr>
            <w:proofErr w:type="gramStart"/>
            <w:r w:rsidRPr="0076259F">
              <w:rPr>
                <w:rFonts w:ascii="华文楷体" w:eastAsia="华文楷体" w:hAnsi="华文楷体" w:hint="eastAsia"/>
                <w:sz w:val="18"/>
                <w:szCs w:val="18"/>
              </w:rPr>
              <w:t>招商国证生物</w:t>
            </w:r>
            <w:proofErr w:type="gramEnd"/>
            <w:r w:rsidRPr="0076259F">
              <w:rPr>
                <w:rFonts w:ascii="华文楷体" w:eastAsia="华文楷体" w:hAnsi="华文楷体" w:hint="eastAsia"/>
                <w:sz w:val="18"/>
                <w:szCs w:val="18"/>
              </w:rPr>
              <w:t>医药B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0.453</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0.212</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53.20%</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150280</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鹏华中证新能源B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0.444</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0.21</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52.70%</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150296</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南方中证国企改革B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0.525</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0.2487</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52.63%</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150187</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申万菱信中证军工B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0.55</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0.2637</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52.05%</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150260</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易方达并购重组B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2015-7-7</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0.474</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0.2299</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51.50%</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150262</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华宝兴业中</w:t>
            </w:r>
            <w:proofErr w:type="gramStart"/>
            <w:r w:rsidRPr="0076259F">
              <w:rPr>
                <w:rFonts w:ascii="华文楷体" w:eastAsia="华文楷体" w:hAnsi="华文楷体" w:hint="eastAsia"/>
                <w:sz w:val="18"/>
                <w:szCs w:val="18"/>
              </w:rPr>
              <w:t>证医疗</w:t>
            </w:r>
            <w:proofErr w:type="gramEnd"/>
            <w:r w:rsidRPr="0076259F">
              <w:rPr>
                <w:rFonts w:ascii="华文楷体" w:eastAsia="华文楷体" w:hAnsi="华文楷体" w:hint="eastAsia"/>
                <w:sz w:val="18"/>
                <w:szCs w:val="18"/>
              </w:rPr>
              <w:t>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0.376</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0.1838</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51.12%</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150264</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华宝兴业中证1000B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2015-7-6</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0.47</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0.2317</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50.70%</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150197</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国泰国证有色金属行业B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0.502</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0.248</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50.60%</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150195</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富国中证移动互联网B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0.459</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49.89%</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150258</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易方达生物科技B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0.456</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0.232</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49.12%</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150185</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申万菱信中证环保产业B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0.523</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0.2737</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47.67%</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150278</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鹏华中</w:t>
            </w:r>
            <w:proofErr w:type="gramStart"/>
            <w:r w:rsidRPr="0076259F">
              <w:rPr>
                <w:rFonts w:ascii="华文楷体" w:eastAsia="华文楷体" w:hAnsi="华文楷体" w:hint="eastAsia"/>
                <w:sz w:val="18"/>
                <w:szCs w:val="18"/>
              </w:rPr>
              <w:t>证高铁产业</w:t>
            </w:r>
            <w:proofErr w:type="gramEnd"/>
            <w:r w:rsidRPr="0076259F">
              <w:rPr>
                <w:rFonts w:ascii="华文楷体" w:eastAsia="华文楷体" w:hAnsi="华文楷体" w:hint="eastAsia"/>
                <w:sz w:val="18"/>
                <w:szCs w:val="18"/>
              </w:rPr>
              <w:t>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2015-7-3</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0.427</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0.225</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47.31%</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502015</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长盛中</w:t>
            </w:r>
            <w:proofErr w:type="gramStart"/>
            <w:r w:rsidRPr="0076259F">
              <w:rPr>
                <w:rFonts w:ascii="华文楷体" w:eastAsia="华文楷体" w:hAnsi="华文楷体" w:hint="eastAsia"/>
                <w:sz w:val="18"/>
                <w:szCs w:val="18"/>
              </w:rPr>
              <w:t>证申万</w:t>
            </w:r>
            <w:proofErr w:type="gramEnd"/>
            <w:r w:rsidRPr="0076259F">
              <w:rPr>
                <w:rFonts w:ascii="华文楷体" w:eastAsia="华文楷体" w:hAnsi="华文楷体" w:hint="eastAsia"/>
                <w:sz w:val="18"/>
                <w:szCs w:val="18"/>
              </w:rPr>
              <w:t>一带一路B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0.43</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46.51%</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150274</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鹏华中证一带一路B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0.43</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0.235</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45.35%</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150189</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招商可转债B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0.574</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0.317</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44.77%</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150276</w:t>
            </w:r>
          </w:p>
        </w:tc>
        <w:tc>
          <w:tcPr>
            <w:tcW w:w="2319" w:type="dxa"/>
          </w:tcPr>
          <w:p w:rsidR="0076259F" w:rsidRPr="0076259F" w:rsidRDefault="0076259F" w:rsidP="00A95181">
            <w:pPr>
              <w:jc w:val="center"/>
              <w:rPr>
                <w:rFonts w:ascii="华文楷体" w:eastAsia="华文楷体" w:hAnsi="华文楷体"/>
                <w:sz w:val="18"/>
                <w:szCs w:val="18"/>
              </w:rPr>
            </w:pPr>
            <w:r w:rsidRPr="0076259F">
              <w:rPr>
                <w:rFonts w:ascii="华文楷体" w:eastAsia="华文楷体" w:hAnsi="华文楷体" w:hint="eastAsia"/>
                <w:sz w:val="18"/>
                <w:szCs w:val="18"/>
              </w:rPr>
              <w:t>安信中证一带一路B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2015-7-9</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0.408</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0.235</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42.40%</w:t>
            </w:r>
          </w:p>
        </w:tc>
      </w:tr>
      <w:tr w:rsidR="0076259F" w:rsidRPr="0076259F" w:rsidTr="00536128">
        <w:tc>
          <w:tcPr>
            <w:tcW w:w="1083" w:type="dxa"/>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150248</w:t>
            </w:r>
          </w:p>
        </w:tc>
        <w:tc>
          <w:tcPr>
            <w:tcW w:w="2319" w:type="dxa"/>
          </w:tcPr>
          <w:p w:rsidR="0076259F" w:rsidRPr="0076259F" w:rsidRDefault="0076259F" w:rsidP="00A95181">
            <w:pPr>
              <w:jc w:val="center"/>
              <w:rPr>
                <w:rFonts w:ascii="华文楷体" w:eastAsia="华文楷体" w:hAnsi="华文楷体"/>
                <w:sz w:val="18"/>
                <w:szCs w:val="18"/>
              </w:rPr>
            </w:pPr>
            <w:proofErr w:type="gramStart"/>
            <w:r w:rsidRPr="0076259F">
              <w:rPr>
                <w:rFonts w:ascii="华文楷体" w:eastAsia="华文楷体" w:hAnsi="华文楷体" w:hint="eastAsia"/>
                <w:sz w:val="18"/>
                <w:szCs w:val="18"/>
              </w:rPr>
              <w:t>工银瑞信中</w:t>
            </w:r>
            <w:proofErr w:type="gramEnd"/>
            <w:r w:rsidRPr="0076259F">
              <w:rPr>
                <w:rFonts w:ascii="华文楷体" w:eastAsia="华文楷体" w:hAnsi="华文楷体" w:hint="eastAsia"/>
                <w:sz w:val="18"/>
                <w:szCs w:val="18"/>
              </w:rPr>
              <w:t>证传媒B</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2015-7-8</w:t>
            </w:r>
          </w:p>
        </w:tc>
        <w:tc>
          <w:tcPr>
            <w:tcW w:w="1418"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0.382</w:t>
            </w:r>
          </w:p>
        </w:tc>
        <w:tc>
          <w:tcPr>
            <w:tcW w:w="1134"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0.2326</w:t>
            </w:r>
          </w:p>
        </w:tc>
        <w:tc>
          <w:tcPr>
            <w:tcW w:w="1417" w:type="dxa"/>
            <w:vAlign w:val="center"/>
          </w:tcPr>
          <w:p w:rsidR="0076259F" w:rsidRPr="00536128" w:rsidRDefault="0076259F" w:rsidP="00A95181">
            <w:pPr>
              <w:jc w:val="center"/>
              <w:rPr>
                <w:rFonts w:asciiTheme="minorEastAsia" w:eastAsiaTheme="minorEastAsia" w:hAnsiTheme="minorEastAsia"/>
                <w:sz w:val="18"/>
                <w:szCs w:val="18"/>
              </w:rPr>
            </w:pPr>
            <w:r w:rsidRPr="00536128">
              <w:rPr>
                <w:rFonts w:asciiTheme="minorEastAsia" w:eastAsiaTheme="minorEastAsia" w:hAnsiTheme="minorEastAsia" w:hint="eastAsia"/>
                <w:sz w:val="18"/>
                <w:szCs w:val="18"/>
              </w:rPr>
              <w:t>39.11%</w:t>
            </w:r>
          </w:p>
        </w:tc>
      </w:tr>
    </w:tbl>
    <w:p w:rsidR="0076259F" w:rsidRDefault="0076259F" w:rsidP="0076259F"/>
    <w:p w:rsidR="00FC4A6C" w:rsidRPr="00FC4A6C" w:rsidRDefault="00F24928" w:rsidP="00AA2A45">
      <w:pPr>
        <w:ind w:firstLineChars="200" w:firstLine="420"/>
        <w:rPr>
          <w:rFonts w:ascii="楷体_GB2312" w:eastAsia="楷体_GB2312" w:hAnsi="宋体"/>
          <w:b/>
          <w:color w:val="FF0000"/>
          <w:kern w:val="0"/>
          <w:sz w:val="24"/>
          <w:highlight w:val="yellow"/>
        </w:rPr>
      </w:pPr>
      <w:r>
        <w:rPr>
          <w:rFonts w:ascii="楷体_GB2312" w:eastAsia="楷体_GB2312" w:hint="eastAsia"/>
          <w:szCs w:val="21"/>
        </w:rPr>
        <w:t>因此，在持有分级B</w:t>
      </w:r>
      <w:proofErr w:type="gramStart"/>
      <w:r>
        <w:rPr>
          <w:rFonts w:ascii="楷体_GB2312" w:eastAsia="楷体_GB2312" w:hint="eastAsia"/>
          <w:szCs w:val="21"/>
        </w:rPr>
        <w:t>即将下</w:t>
      </w:r>
      <w:proofErr w:type="gramEnd"/>
      <w:r>
        <w:rPr>
          <w:rFonts w:ascii="楷体_GB2312" w:eastAsia="楷体_GB2312" w:hint="eastAsia"/>
          <w:szCs w:val="21"/>
        </w:rPr>
        <w:t>折之际，最佳的方式是卖出以锁定亏损幅度，</w:t>
      </w:r>
      <w:r w:rsidR="0076259F" w:rsidRPr="00536128">
        <w:rPr>
          <w:rFonts w:ascii="楷体_GB2312" w:eastAsia="楷体_GB2312" w:hint="eastAsia"/>
          <w:szCs w:val="21"/>
        </w:rPr>
        <w:t>如遇到持有快下折的分级B而且无法出货的情况，投资者</w:t>
      </w:r>
      <w:r w:rsidR="00826BFB">
        <w:rPr>
          <w:rFonts w:ascii="楷体_GB2312" w:eastAsia="楷体_GB2312" w:hint="eastAsia"/>
          <w:szCs w:val="21"/>
        </w:rPr>
        <w:t>可选的方式是在</w:t>
      </w:r>
      <w:r w:rsidR="00184DA8">
        <w:rPr>
          <w:rFonts w:ascii="楷体_GB2312" w:eastAsia="楷体_GB2312" w:hint="eastAsia"/>
          <w:szCs w:val="21"/>
        </w:rPr>
        <w:t>确认</w:t>
      </w:r>
      <w:r w:rsidR="00826BFB">
        <w:rPr>
          <w:rFonts w:ascii="楷体_GB2312" w:eastAsia="楷体_GB2312" w:hint="eastAsia"/>
          <w:szCs w:val="21"/>
        </w:rPr>
        <w:t>下折触发日</w:t>
      </w:r>
      <w:r w:rsidR="00184DA8">
        <w:rPr>
          <w:rFonts w:ascii="楷体_GB2312" w:eastAsia="楷体_GB2312" w:hint="eastAsia"/>
          <w:szCs w:val="21"/>
        </w:rPr>
        <w:t>或之前</w:t>
      </w:r>
      <w:r w:rsidR="0076259F" w:rsidRPr="00536128">
        <w:rPr>
          <w:rFonts w:ascii="楷体_GB2312" w:eastAsia="楷体_GB2312" w:hint="eastAsia"/>
          <w:szCs w:val="21"/>
        </w:rPr>
        <w:t>购进对应的分级A，合并后赎回</w:t>
      </w:r>
      <w:r w:rsidR="00E646D8">
        <w:rPr>
          <w:rFonts w:ascii="楷体_GB2312" w:eastAsia="楷体_GB2312" w:hint="eastAsia"/>
          <w:szCs w:val="21"/>
        </w:rPr>
        <w:t>，（</w:t>
      </w:r>
      <w:r w:rsidR="005E36F1">
        <w:rPr>
          <w:rFonts w:ascii="楷体_GB2312" w:eastAsia="楷体_GB2312" w:hint="eastAsia"/>
          <w:szCs w:val="21"/>
        </w:rPr>
        <w:t>母份额有AB份额构成，A份额的折价能抵消B的溢价，所以在合并之后的下折损失远远小于单独持有B份额的损失</w:t>
      </w:r>
      <w:r w:rsidR="00E646D8">
        <w:rPr>
          <w:rFonts w:ascii="楷体_GB2312" w:eastAsia="楷体_GB2312" w:hint="eastAsia"/>
          <w:szCs w:val="21"/>
        </w:rPr>
        <w:t>）</w:t>
      </w:r>
      <w:r w:rsidR="0076259F" w:rsidRPr="00536128">
        <w:rPr>
          <w:rFonts w:ascii="楷体_GB2312" w:eastAsia="楷体_GB2312" w:hint="eastAsia"/>
          <w:szCs w:val="21"/>
        </w:rPr>
        <w:t>能相比只持有B份额能相对减少损失。但这种方法有其的局限性：申购相应的A份额，需要占用</w:t>
      </w:r>
      <w:r w:rsidR="00184DA8">
        <w:rPr>
          <w:rFonts w:ascii="楷体_GB2312" w:eastAsia="楷体_GB2312" w:hint="eastAsia"/>
          <w:szCs w:val="21"/>
        </w:rPr>
        <w:t>远超B份额市值</w:t>
      </w:r>
      <w:r w:rsidR="0076259F" w:rsidRPr="00536128">
        <w:rPr>
          <w:rFonts w:ascii="楷体_GB2312" w:eastAsia="楷体_GB2312" w:hint="eastAsia"/>
          <w:szCs w:val="21"/>
        </w:rPr>
        <w:t>的资金</w:t>
      </w:r>
      <w:r w:rsidR="00184DA8">
        <w:rPr>
          <w:rFonts w:ascii="楷体_GB2312" w:eastAsia="楷体_GB2312" w:hint="eastAsia"/>
          <w:szCs w:val="21"/>
        </w:rPr>
        <w:t>，</w:t>
      </w:r>
      <w:r w:rsidR="003525CB">
        <w:rPr>
          <w:rFonts w:ascii="楷体_GB2312" w:eastAsia="楷体_GB2312" w:hint="eastAsia"/>
          <w:szCs w:val="21"/>
        </w:rPr>
        <w:t>面临</w:t>
      </w:r>
      <w:r w:rsidR="001E5D55">
        <w:rPr>
          <w:rFonts w:ascii="楷体_GB2312" w:eastAsia="楷体_GB2312" w:hint="eastAsia"/>
          <w:szCs w:val="21"/>
        </w:rPr>
        <w:t>买入</w:t>
      </w:r>
      <w:r w:rsidR="0076259F" w:rsidRPr="00536128">
        <w:rPr>
          <w:rFonts w:ascii="楷体_GB2312" w:eastAsia="楷体_GB2312" w:hint="eastAsia"/>
          <w:szCs w:val="21"/>
        </w:rPr>
        <w:t>A份额</w:t>
      </w:r>
      <w:r w:rsidR="001E5D55">
        <w:rPr>
          <w:rFonts w:ascii="楷体_GB2312" w:eastAsia="楷体_GB2312" w:hint="eastAsia"/>
          <w:szCs w:val="21"/>
        </w:rPr>
        <w:t>所</w:t>
      </w:r>
      <w:r w:rsidR="0076259F" w:rsidRPr="00536128">
        <w:rPr>
          <w:rFonts w:ascii="楷体_GB2312" w:eastAsia="楷体_GB2312" w:hint="eastAsia"/>
          <w:szCs w:val="21"/>
        </w:rPr>
        <w:t>带来的冲击成本（如果A</w:t>
      </w:r>
      <w:r w:rsidR="003525CB">
        <w:rPr>
          <w:rFonts w:ascii="楷体_GB2312" w:eastAsia="楷体_GB2312" w:hint="eastAsia"/>
          <w:szCs w:val="21"/>
        </w:rPr>
        <w:t>份额</w:t>
      </w:r>
      <w:r w:rsidR="001E5D55">
        <w:rPr>
          <w:rFonts w:ascii="楷体_GB2312" w:eastAsia="楷体_GB2312" w:hint="eastAsia"/>
          <w:szCs w:val="21"/>
        </w:rPr>
        <w:t>流动性欠缺</w:t>
      </w:r>
      <w:r w:rsidR="0076259F" w:rsidRPr="00536128">
        <w:rPr>
          <w:rFonts w:ascii="楷体_GB2312" w:eastAsia="楷体_GB2312" w:hint="eastAsia"/>
          <w:szCs w:val="21"/>
        </w:rPr>
        <w:t>，冲击成本可能相当的大</w:t>
      </w:r>
      <w:r w:rsidR="001E5D55">
        <w:rPr>
          <w:rFonts w:ascii="楷体_GB2312" w:eastAsia="楷体_GB2312" w:hint="eastAsia"/>
          <w:szCs w:val="21"/>
        </w:rPr>
        <w:t>，</w:t>
      </w:r>
      <w:r w:rsidR="003525CB">
        <w:rPr>
          <w:rFonts w:ascii="楷体_GB2312" w:eastAsia="楷体_GB2312" w:hint="eastAsia"/>
          <w:szCs w:val="21"/>
        </w:rPr>
        <w:t>极端</w:t>
      </w:r>
      <w:r w:rsidR="001E5D55">
        <w:rPr>
          <w:rFonts w:ascii="楷体_GB2312" w:eastAsia="楷体_GB2312" w:hint="eastAsia"/>
          <w:szCs w:val="21"/>
        </w:rPr>
        <w:t>情况下</w:t>
      </w:r>
      <w:r w:rsidR="003525CB">
        <w:rPr>
          <w:rFonts w:ascii="楷体_GB2312" w:eastAsia="楷体_GB2312" w:hint="eastAsia"/>
          <w:szCs w:val="21"/>
        </w:rPr>
        <w:t>可</w:t>
      </w:r>
      <w:r w:rsidR="001E5D55" w:rsidRPr="00536128">
        <w:rPr>
          <w:rFonts w:ascii="楷体_GB2312" w:eastAsia="楷体_GB2312" w:hint="eastAsia"/>
          <w:szCs w:val="21"/>
        </w:rPr>
        <w:t>能根本买到A份额</w:t>
      </w:r>
      <w:r w:rsidR="0076259F" w:rsidRPr="00536128">
        <w:rPr>
          <w:rFonts w:ascii="楷体_GB2312" w:eastAsia="楷体_GB2312" w:hint="eastAsia"/>
          <w:szCs w:val="21"/>
        </w:rPr>
        <w:t>）；但如果已</w:t>
      </w:r>
      <w:r w:rsidR="001E5D55">
        <w:rPr>
          <w:rFonts w:ascii="楷体_GB2312" w:eastAsia="楷体_GB2312" w:hint="eastAsia"/>
          <w:szCs w:val="21"/>
        </w:rPr>
        <w:t>在触发日的次日，合并赎回已经被暂停</w:t>
      </w:r>
      <w:r w:rsidR="0076259F" w:rsidRPr="00536128">
        <w:rPr>
          <w:rFonts w:ascii="楷体_GB2312" w:eastAsia="楷体_GB2312" w:hint="eastAsia"/>
          <w:szCs w:val="21"/>
        </w:rPr>
        <w:t>，</w:t>
      </w:r>
      <w:r w:rsidR="001E5D55">
        <w:rPr>
          <w:rFonts w:ascii="楷体_GB2312" w:eastAsia="楷体_GB2312" w:hint="eastAsia"/>
          <w:szCs w:val="21"/>
        </w:rPr>
        <w:t>投资者只能</w:t>
      </w:r>
      <w:r w:rsidR="00F93EBB">
        <w:rPr>
          <w:rFonts w:ascii="楷体_GB2312" w:eastAsia="楷体_GB2312" w:hint="eastAsia"/>
          <w:szCs w:val="21"/>
        </w:rPr>
        <w:t>持有</w:t>
      </w:r>
      <w:r w:rsidR="0076259F" w:rsidRPr="00536128">
        <w:rPr>
          <w:rFonts w:ascii="楷体_GB2312" w:eastAsia="楷体_GB2312" w:hint="eastAsia"/>
          <w:szCs w:val="21"/>
        </w:rPr>
        <w:t>静待价值归回。</w:t>
      </w:r>
    </w:p>
    <w:p w:rsidR="007246A9" w:rsidRPr="007F672D" w:rsidRDefault="007246A9" w:rsidP="001B37D0">
      <w:pPr>
        <w:widowControl/>
        <w:spacing w:line="360" w:lineRule="auto"/>
        <w:jc w:val="left"/>
        <w:rPr>
          <w:rFonts w:ascii="楷体_GB2312" w:eastAsia="楷体_GB2312" w:hAnsi="宋体"/>
          <w:b/>
          <w:color w:val="FF0000"/>
          <w:kern w:val="0"/>
          <w:sz w:val="24"/>
          <w:highlight w:val="yellow"/>
        </w:rPr>
        <w:sectPr w:rsidR="007246A9" w:rsidRPr="007F672D">
          <w:pgSz w:w="11906" w:h="16838"/>
          <w:pgMar w:top="3402" w:right="1134" w:bottom="1418" w:left="4536" w:header="851" w:footer="992" w:gutter="0"/>
          <w:pgNumType w:start="1"/>
          <w:cols w:space="720"/>
          <w:docGrid w:type="lines" w:linePitch="312"/>
        </w:sectPr>
      </w:pPr>
    </w:p>
    <w:p w:rsidR="001B37D0" w:rsidRDefault="001B37D0" w:rsidP="001B37D0">
      <w:pPr>
        <w:spacing w:line="400" w:lineRule="exact"/>
        <w:jc w:val="left"/>
        <w:rPr>
          <w:rFonts w:eastAsia="楷体_GB2312"/>
          <w:b/>
          <w:bCs/>
          <w:color w:val="003366"/>
          <w:szCs w:val="21"/>
        </w:rPr>
      </w:pPr>
    </w:p>
    <w:p w:rsidR="001B37D0" w:rsidRDefault="001B37D0" w:rsidP="001B37D0">
      <w:pPr>
        <w:spacing w:line="400" w:lineRule="exact"/>
        <w:jc w:val="left"/>
        <w:rPr>
          <w:rFonts w:eastAsia="楷体_GB2312"/>
          <w:b/>
          <w:bCs/>
          <w:color w:val="003366"/>
          <w:szCs w:val="21"/>
        </w:rPr>
      </w:pPr>
      <w:r>
        <w:rPr>
          <w:rFonts w:eastAsia="楷体_GB2312" w:hint="eastAsia"/>
          <w:b/>
          <w:bCs/>
          <w:color w:val="003366"/>
          <w:szCs w:val="21"/>
        </w:rPr>
        <w:t>重要声明</w:t>
      </w:r>
    </w:p>
    <w:p w:rsidR="001B37D0" w:rsidRDefault="001B37D0" w:rsidP="001B37D0">
      <w:pPr>
        <w:spacing w:line="300" w:lineRule="exact"/>
        <w:rPr>
          <w:rFonts w:eastAsia="楷体_GB2312"/>
          <w:color w:val="000000"/>
          <w:sz w:val="18"/>
          <w:szCs w:val="18"/>
        </w:rPr>
      </w:pPr>
      <w:r>
        <w:rPr>
          <w:rFonts w:eastAsia="楷体_GB2312" w:hint="eastAsia"/>
          <w:color w:val="000000"/>
          <w:sz w:val="18"/>
          <w:szCs w:val="18"/>
        </w:rPr>
        <w:t>本报告中的信息均来源于已公开的资料，我公司对这些信息的准确性及完整性不作任何保证，不保证该信息未经任何更新，也不保证本公司</w:t>
      </w:r>
      <w:proofErr w:type="gramStart"/>
      <w:r>
        <w:rPr>
          <w:rFonts w:eastAsia="楷体_GB2312" w:hint="eastAsia"/>
          <w:color w:val="000000"/>
          <w:sz w:val="18"/>
          <w:szCs w:val="18"/>
        </w:rPr>
        <w:t>作出</w:t>
      </w:r>
      <w:proofErr w:type="gramEnd"/>
      <w:r>
        <w:rPr>
          <w:rFonts w:eastAsia="楷体_GB2312" w:hint="eastAsia"/>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Pr>
          <w:rFonts w:eastAsia="楷体_GB2312" w:hint="eastAsia"/>
          <w:color w:val="000000"/>
          <w:sz w:val="18"/>
          <w:szCs w:val="18"/>
        </w:rPr>
        <w:t>作出</w:t>
      </w:r>
      <w:proofErr w:type="gramEnd"/>
      <w:r>
        <w:rPr>
          <w:rFonts w:eastAsia="楷体_GB2312" w:hint="eastAsia"/>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1B37D0" w:rsidRDefault="001B37D0" w:rsidP="001B37D0">
      <w:pPr>
        <w:spacing w:line="300" w:lineRule="exact"/>
        <w:rPr>
          <w:rFonts w:eastAsia="楷体_GB2312"/>
          <w:sz w:val="18"/>
          <w:szCs w:val="18"/>
        </w:rPr>
      </w:pPr>
      <w:r>
        <w:rPr>
          <w:rFonts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w:t>
      </w:r>
      <w:r>
        <w:rPr>
          <w:rFonts w:eastAsia="楷体_GB2312"/>
          <w:color w:val="000000"/>
          <w:sz w:val="18"/>
          <w:szCs w:val="18"/>
        </w:rPr>
        <w:t>“</w:t>
      </w:r>
      <w:r>
        <w:rPr>
          <w:rFonts w:eastAsia="楷体_GB2312" w:hint="eastAsia"/>
          <w:color w:val="000000"/>
          <w:sz w:val="18"/>
          <w:szCs w:val="18"/>
        </w:rPr>
        <w:t>上海证券评价研究中心</w:t>
      </w:r>
      <w:r>
        <w:rPr>
          <w:rFonts w:eastAsia="楷体_GB2312"/>
          <w:color w:val="000000"/>
          <w:sz w:val="18"/>
          <w:szCs w:val="18"/>
        </w:rPr>
        <w:t>”</w:t>
      </w:r>
      <w:r>
        <w:rPr>
          <w:rFonts w:eastAsia="楷体_GB2312" w:hint="eastAsia"/>
          <w:color w:val="000000"/>
          <w:sz w:val="18"/>
          <w:szCs w:val="18"/>
        </w:rPr>
        <w:t>。</w:t>
      </w: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Pr>
        <w:spacing w:line="400" w:lineRule="exact"/>
        <w:jc w:val="left"/>
        <w:rPr>
          <w:rFonts w:eastAsia="楷体_GB2312"/>
          <w:b/>
          <w:bCs/>
          <w:color w:val="FF6600"/>
          <w:szCs w:val="21"/>
        </w:rPr>
      </w:pPr>
    </w:p>
    <w:p w:rsidR="001B37D0" w:rsidRDefault="001B37D0" w:rsidP="001B37D0"/>
    <w:p w:rsidR="001B37D0" w:rsidRDefault="001B37D0" w:rsidP="001B37D0"/>
    <w:p w:rsidR="001B37D0" w:rsidRDefault="001B37D0" w:rsidP="001B37D0"/>
    <w:p w:rsidR="001B37D0" w:rsidRDefault="001B37D0" w:rsidP="001B37D0"/>
    <w:p w:rsidR="001B37D0" w:rsidRDefault="001B37D0" w:rsidP="001B37D0"/>
    <w:p w:rsidR="001B37D0" w:rsidRPr="006058D1" w:rsidRDefault="001B37D0" w:rsidP="001B37D0"/>
    <w:p w:rsidR="001B37D0" w:rsidRPr="00AC3741" w:rsidRDefault="001B37D0" w:rsidP="001B37D0"/>
    <w:p w:rsidR="001B37D0" w:rsidRDefault="001B37D0" w:rsidP="001B37D0"/>
    <w:p w:rsidR="001B37D0" w:rsidRDefault="001B37D0" w:rsidP="001B37D0"/>
    <w:p w:rsidR="001B37D0" w:rsidRPr="00A2608D" w:rsidRDefault="001B37D0" w:rsidP="001B37D0"/>
    <w:p w:rsidR="001B37D0" w:rsidRPr="00272B98" w:rsidRDefault="001B37D0" w:rsidP="001B37D0"/>
    <w:p w:rsidR="001B37D0" w:rsidRPr="00B21895" w:rsidRDefault="001B37D0" w:rsidP="001B37D0"/>
    <w:p w:rsidR="001B37D0" w:rsidRPr="00304EA8" w:rsidRDefault="001B37D0" w:rsidP="001B37D0"/>
    <w:p w:rsidR="001B37D0" w:rsidRDefault="001B37D0" w:rsidP="001B37D0"/>
    <w:p w:rsidR="001B37D0" w:rsidRPr="00C57C57" w:rsidRDefault="001B37D0" w:rsidP="001B37D0"/>
    <w:p w:rsidR="00450C4F" w:rsidRPr="001B37D0" w:rsidRDefault="00450C4F"/>
    <w:sectPr w:rsidR="00450C4F" w:rsidRPr="001B37D0" w:rsidSect="00633D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579" w:rsidRDefault="00044579" w:rsidP="001B37D0">
      <w:r>
        <w:separator/>
      </w:r>
    </w:p>
  </w:endnote>
  <w:endnote w:type="continuationSeparator" w:id="0">
    <w:p w:rsidR="00044579" w:rsidRDefault="00044579" w:rsidP="001B3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宋体-18030">
    <w:altName w:val="宋体"/>
    <w:charset w:val="86"/>
    <w:family w:val="modern"/>
    <w:pitch w:val="fixed"/>
    <w:sig w:usb0="800022A7" w:usb1="880F3C78" w:usb2="000A005E"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9303"/>
      <w:docPartObj>
        <w:docPartGallery w:val="Page Numbers (Bottom of Page)"/>
        <w:docPartUnique/>
      </w:docPartObj>
    </w:sdtPr>
    <w:sdtContent>
      <w:p w:rsidR="00A95181" w:rsidRDefault="00A95181">
        <w:pPr>
          <w:pStyle w:val="a4"/>
          <w:jc w:val="right"/>
        </w:pPr>
      </w:p>
      <w:p w:rsidR="00A95181" w:rsidRDefault="00FC4A6C">
        <w:pPr>
          <w:pStyle w:val="a4"/>
          <w:jc w:val="right"/>
        </w:pPr>
        <w:fldSimple w:instr=" PAGE   \* MERGEFORMAT ">
          <w:r w:rsidR="00AA2A45" w:rsidRPr="00AA2A45">
            <w:rPr>
              <w:noProof/>
              <w:lang w:val="zh-CN"/>
            </w:rPr>
            <w:t>1</w:t>
          </w:r>
        </w:fldSimple>
      </w:p>
    </w:sdtContent>
  </w:sdt>
  <w:p w:rsidR="00A95181" w:rsidRDefault="00A951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579" w:rsidRDefault="00044579" w:rsidP="001B37D0">
      <w:r>
        <w:separator/>
      </w:r>
    </w:p>
  </w:footnote>
  <w:footnote w:type="continuationSeparator" w:id="0">
    <w:p w:rsidR="00044579" w:rsidRDefault="00044579" w:rsidP="001B3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81" w:rsidRPr="0065222C" w:rsidRDefault="00FC4A6C" w:rsidP="001B37D0">
    <w:pPr>
      <w:pStyle w:val="a3"/>
      <w:jc w:val="both"/>
      <w:rPr>
        <w:rFonts w:ascii="楷体_GB2312" w:eastAsia="楷体_GB2312"/>
        <w:b/>
        <w:color w:val="003366"/>
        <w:sz w:val="21"/>
        <w:szCs w:val="21"/>
      </w:rPr>
    </w:pPr>
    <w:r w:rsidRPr="00FC4A6C">
      <w:rPr>
        <w:noProof/>
        <w:sz w:val="21"/>
        <w:szCs w:val="21"/>
      </w:rPr>
      <w:pict>
        <v:line id="Line 61" o:spid="_x0000_s2049" style="position:absolute;left:0;text-align:left;z-index:251658240;visibility:visible" from="-205.2pt,28.45pt" to="507.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" strokecolor="#036" strokeweight="1.5pt"/>
      </w:pict>
    </w:r>
    <w:r w:rsidR="00A95181">
      <w:rPr>
        <w:rFonts w:ascii="楷体_GB2312" w:eastAsia="楷体_GB2312" w:hint="eastAsia"/>
        <w:b/>
        <w:color w:val="003366"/>
        <w:sz w:val="24"/>
        <w:szCs w:val="24"/>
      </w:rPr>
      <w:t xml:space="preserve">                                       </w:t>
    </w:r>
    <w:r w:rsidR="00A95181" w:rsidRPr="0065222C">
      <w:rPr>
        <w:rFonts w:ascii="楷体_GB2312" w:eastAsia="楷体_GB2312" w:hint="eastAsia"/>
        <w:b/>
        <w:color w:val="003366"/>
        <w:sz w:val="21"/>
        <w:szCs w:val="21"/>
      </w:rPr>
      <w:t>每</w:t>
    </w:r>
    <w:proofErr w:type="gramStart"/>
    <w:r w:rsidR="00A95181" w:rsidRPr="0065222C">
      <w:rPr>
        <w:rFonts w:ascii="楷体_GB2312" w:eastAsia="楷体_GB2312" w:hint="eastAsia"/>
        <w:b/>
        <w:color w:val="003366"/>
        <w:sz w:val="21"/>
        <w:szCs w:val="21"/>
      </w:rPr>
      <w:t>周投资</w:t>
    </w:r>
    <w:proofErr w:type="gramEnd"/>
    <w:r w:rsidR="00A95181" w:rsidRPr="0065222C">
      <w:rPr>
        <w:rFonts w:ascii="楷体_GB2312" w:eastAsia="楷体_GB2312" w:hint="eastAsia"/>
        <w:b/>
        <w:color w:val="003366"/>
        <w:sz w:val="21"/>
        <w:szCs w:val="21"/>
      </w:rPr>
      <w:t>快报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7038"/>
    <w:multiLevelType w:val="hybridMultilevel"/>
    <w:tmpl w:val="558E8CA0"/>
    <w:lvl w:ilvl="0" w:tplc="081EC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673E70"/>
    <w:multiLevelType w:val="hybridMultilevel"/>
    <w:tmpl w:val="8F2C33F8"/>
    <w:lvl w:ilvl="0" w:tplc="33A6F226">
      <w:start w:val="1"/>
      <w:numFmt w:val="bullet"/>
      <w:lvlText w:val=""/>
      <w:lvlJc w:val="left"/>
      <w:pPr>
        <w:ind w:left="420" w:hanging="420"/>
      </w:pPr>
      <w:rPr>
        <w:rFonts w:ascii="Wingdings" w:hAnsi="Wingdings" w:hint="default"/>
        <w:color w:val="00336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F0826D8"/>
    <w:multiLevelType w:val="hybridMultilevel"/>
    <w:tmpl w:val="C2BC4B54"/>
    <w:lvl w:ilvl="0" w:tplc="2C02C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CBF0198"/>
    <w:multiLevelType w:val="hybridMultilevel"/>
    <w:tmpl w:val="A7FC0AE8"/>
    <w:lvl w:ilvl="0" w:tplc="33A6F226">
      <w:start w:val="1"/>
      <w:numFmt w:val="bullet"/>
      <w:lvlText w:val=""/>
      <w:lvlJc w:val="left"/>
      <w:pPr>
        <w:tabs>
          <w:tab w:val="num" w:pos="425"/>
        </w:tabs>
        <w:ind w:left="425" w:hanging="425"/>
      </w:pPr>
      <w:rPr>
        <w:rFonts w:ascii="Wingdings" w:hAnsi="Wingdings" w:hint="default"/>
        <w:color w:val="003366"/>
      </w:rPr>
    </w:lvl>
    <w:lvl w:ilvl="1" w:tplc="33A6F226">
      <w:start w:val="1"/>
      <w:numFmt w:val="bullet"/>
      <w:lvlText w:val=""/>
      <w:lvlJc w:val="left"/>
      <w:pPr>
        <w:ind w:left="780" w:hanging="360"/>
      </w:pPr>
      <w:rPr>
        <w:rFonts w:ascii="Wingdings" w:hAnsi="Wingdings" w:hint="default"/>
        <w:color w:val="00336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E1A10C2"/>
    <w:multiLevelType w:val="hybridMultilevel"/>
    <w:tmpl w:val="33A219AA"/>
    <w:lvl w:ilvl="0" w:tplc="33A6F226">
      <w:start w:val="1"/>
      <w:numFmt w:val="bullet"/>
      <w:lvlText w:val=""/>
      <w:lvlJc w:val="left"/>
      <w:pPr>
        <w:tabs>
          <w:tab w:val="num" w:pos="425"/>
        </w:tabs>
        <w:ind w:left="425" w:hanging="425"/>
      </w:pPr>
      <w:rPr>
        <w:rFonts w:ascii="Wingdings" w:hAnsi="Wingdings" w:hint="default"/>
        <w:color w:val="003366"/>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37D0"/>
    <w:rsid w:val="00000113"/>
    <w:rsid w:val="000005C1"/>
    <w:rsid w:val="00000ADB"/>
    <w:rsid w:val="00000C39"/>
    <w:rsid w:val="00000DF4"/>
    <w:rsid w:val="00004CE8"/>
    <w:rsid w:val="00004D1B"/>
    <w:rsid w:val="000067D1"/>
    <w:rsid w:val="00007A1E"/>
    <w:rsid w:val="00007BB8"/>
    <w:rsid w:val="00007C81"/>
    <w:rsid w:val="00012B80"/>
    <w:rsid w:val="00012C18"/>
    <w:rsid w:val="00013A7D"/>
    <w:rsid w:val="00013D24"/>
    <w:rsid w:val="0001425F"/>
    <w:rsid w:val="000178AC"/>
    <w:rsid w:val="000179B2"/>
    <w:rsid w:val="00017A82"/>
    <w:rsid w:val="00021E7C"/>
    <w:rsid w:val="00022A3B"/>
    <w:rsid w:val="00022DAD"/>
    <w:rsid w:val="00025692"/>
    <w:rsid w:val="00025F17"/>
    <w:rsid w:val="000264AE"/>
    <w:rsid w:val="0002674F"/>
    <w:rsid w:val="000267A2"/>
    <w:rsid w:val="00031842"/>
    <w:rsid w:val="00031C4A"/>
    <w:rsid w:val="0003227A"/>
    <w:rsid w:val="00034C74"/>
    <w:rsid w:val="0003529C"/>
    <w:rsid w:val="00036277"/>
    <w:rsid w:val="00036F81"/>
    <w:rsid w:val="00041C20"/>
    <w:rsid w:val="00044150"/>
    <w:rsid w:val="00044579"/>
    <w:rsid w:val="00044645"/>
    <w:rsid w:val="00044654"/>
    <w:rsid w:val="0004590D"/>
    <w:rsid w:val="00046635"/>
    <w:rsid w:val="000478A3"/>
    <w:rsid w:val="000502C3"/>
    <w:rsid w:val="00051CDC"/>
    <w:rsid w:val="000544D8"/>
    <w:rsid w:val="0005494B"/>
    <w:rsid w:val="00057590"/>
    <w:rsid w:val="00057DB5"/>
    <w:rsid w:val="000606C3"/>
    <w:rsid w:val="00060A3D"/>
    <w:rsid w:val="00060E6C"/>
    <w:rsid w:val="00063B51"/>
    <w:rsid w:val="00064EE9"/>
    <w:rsid w:val="00066F77"/>
    <w:rsid w:val="00067118"/>
    <w:rsid w:val="00070E14"/>
    <w:rsid w:val="00071A3E"/>
    <w:rsid w:val="00077786"/>
    <w:rsid w:val="0008551F"/>
    <w:rsid w:val="0008716C"/>
    <w:rsid w:val="00090BC6"/>
    <w:rsid w:val="00091BC7"/>
    <w:rsid w:val="0009308B"/>
    <w:rsid w:val="00093B38"/>
    <w:rsid w:val="00094290"/>
    <w:rsid w:val="00095817"/>
    <w:rsid w:val="00097878"/>
    <w:rsid w:val="000A095C"/>
    <w:rsid w:val="000A1394"/>
    <w:rsid w:val="000A18DA"/>
    <w:rsid w:val="000A3759"/>
    <w:rsid w:val="000A39C3"/>
    <w:rsid w:val="000A5ACC"/>
    <w:rsid w:val="000A7E3B"/>
    <w:rsid w:val="000B0EB8"/>
    <w:rsid w:val="000B1E42"/>
    <w:rsid w:val="000B4D00"/>
    <w:rsid w:val="000B4F6E"/>
    <w:rsid w:val="000B79BE"/>
    <w:rsid w:val="000C2E95"/>
    <w:rsid w:val="000C3F43"/>
    <w:rsid w:val="000C5130"/>
    <w:rsid w:val="000C74F6"/>
    <w:rsid w:val="000D0BC0"/>
    <w:rsid w:val="000D31DD"/>
    <w:rsid w:val="000D3E38"/>
    <w:rsid w:val="000D40A3"/>
    <w:rsid w:val="000D413F"/>
    <w:rsid w:val="000D608B"/>
    <w:rsid w:val="000D7C8E"/>
    <w:rsid w:val="000E1C20"/>
    <w:rsid w:val="000E26E1"/>
    <w:rsid w:val="000E33E5"/>
    <w:rsid w:val="000E4A28"/>
    <w:rsid w:val="000E4EAA"/>
    <w:rsid w:val="000E63B9"/>
    <w:rsid w:val="000F143D"/>
    <w:rsid w:val="000F2A3A"/>
    <w:rsid w:val="000F2AA9"/>
    <w:rsid w:val="000F4786"/>
    <w:rsid w:val="000F4D69"/>
    <w:rsid w:val="000F629C"/>
    <w:rsid w:val="000F6D24"/>
    <w:rsid w:val="000F7EAC"/>
    <w:rsid w:val="00100945"/>
    <w:rsid w:val="00100D7E"/>
    <w:rsid w:val="001045B2"/>
    <w:rsid w:val="00104FC4"/>
    <w:rsid w:val="00105F24"/>
    <w:rsid w:val="00106CA1"/>
    <w:rsid w:val="00110D6E"/>
    <w:rsid w:val="00110EC7"/>
    <w:rsid w:val="00111959"/>
    <w:rsid w:val="00111E34"/>
    <w:rsid w:val="00112AB8"/>
    <w:rsid w:val="00112DA7"/>
    <w:rsid w:val="00115240"/>
    <w:rsid w:val="001173BC"/>
    <w:rsid w:val="001225FA"/>
    <w:rsid w:val="00124ADA"/>
    <w:rsid w:val="00126194"/>
    <w:rsid w:val="001311C4"/>
    <w:rsid w:val="001320AD"/>
    <w:rsid w:val="00132B28"/>
    <w:rsid w:val="0013525F"/>
    <w:rsid w:val="00137A45"/>
    <w:rsid w:val="001407A1"/>
    <w:rsid w:val="00140B04"/>
    <w:rsid w:val="00140DFA"/>
    <w:rsid w:val="00141424"/>
    <w:rsid w:val="00141E81"/>
    <w:rsid w:val="00144C76"/>
    <w:rsid w:val="001459E5"/>
    <w:rsid w:val="00146323"/>
    <w:rsid w:val="00146CD0"/>
    <w:rsid w:val="001477CD"/>
    <w:rsid w:val="00147D2F"/>
    <w:rsid w:val="0015266D"/>
    <w:rsid w:val="001567BB"/>
    <w:rsid w:val="00162CB5"/>
    <w:rsid w:val="00163101"/>
    <w:rsid w:val="00167054"/>
    <w:rsid w:val="001673E3"/>
    <w:rsid w:val="00170EE2"/>
    <w:rsid w:val="00171695"/>
    <w:rsid w:val="00174600"/>
    <w:rsid w:val="0017578B"/>
    <w:rsid w:val="001771C0"/>
    <w:rsid w:val="0018367F"/>
    <w:rsid w:val="00184DA8"/>
    <w:rsid w:val="0018513F"/>
    <w:rsid w:val="001868B0"/>
    <w:rsid w:val="001872FB"/>
    <w:rsid w:val="001913A8"/>
    <w:rsid w:val="00193B2A"/>
    <w:rsid w:val="00193EC6"/>
    <w:rsid w:val="001949DC"/>
    <w:rsid w:val="00195EBA"/>
    <w:rsid w:val="00196274"/>
    <w:rsid w:val="00196D54"/>
    <w:rsid w:val="001979E2"/>
    <w:rsid w:val="001A0112"/>
    <w:rsid w:val="001A0403"/>
    <w:rsid w:val="001A0E2C"/>
    <w:rsid w:val="001A1CF9"/>
    <w:rsid w:val="001A1CFC"/>
    <w:rsid w:val="001A2680"/>
    <w:rsid w:val="001A4704"/>
    <w:rsid w:val="001A65B5"/>
    <w:rsid w:val="001A7478"/>
    <w:rsid w:val="001B2F12"/>
    <w:rsid w:val="001B3025"/>
    <w:rsid w:val="001B31F3"/>
    <w:rsid w:val="001B37D0"/>
    <w:rsid w:val="001B54C5"/>
    <w:rsid w:val="001B617D"/>
    <w:rsid w:val="001B6942"/>
    <w:rsid w:val="001C41B6"/>
    <w:rsid w:val="001C50AD"/>
    <w:rsid w:val="001C5494"/>
    <w:rsid w:val="001C56C2"/>
    <w:rsid w:val="001C7D01"/>
    <w:rsid w:val="001D136C"/>
    <w:rsid w:val="001D1EF9"/>
    <w:rsid w:val="001D225C"/>
    <w:rsid w:val="001D2F2F"/>
    <w:rsid w:val="001D48C1"/>
    <w:rsid w:val="001D5232"/>
    <w:rsid w:val="001D6380"/>
    <w:rsid w:val="001E22DF"/>
    <w:rsid w:val="001E3557"/>
    <w:rsid w:val="001E54B3"/>
    <w:rsid w:val="001E5D55"/>
    <w:rsid w:val="001E64C7"/>
    <w:rsid w:val="001E76E1"/>
    <w:rsid w:val="001F16B7"/>
    <w:rsid w:val="001F4783"/>
    <w:rsid w:val="001F57B0"/>
    <w:rsid w:val="001F5B12"/>
    <w:rsid w:val="001F6D9E"/>
    <w:rsid w:val="001F6DA1"/>
    <w:rsid w:val="001F7AD4"/>
    <w:rsid w:val="00200EAC"/>
    <w:rsid w:val="002035E2"/>
    <w:rsid w:val="00205299"/>
    <w:rsid w:val="0020681A"/>
    <w:rsid w:val="00206AA4"/>
    <w:rsid w:val="00207017"/>
    <w:rsid w:val="00207C1F"/>
    <w:rsid w:val="00207DB5"/>
    <w:rsid w:val="00210755"/>
    <w:rsid w:val="0021230C"/>
    <w:rsid w:val="00212B0B"/>
    <w:rsid w:val="00213E9A"/>
    <w:rsid w:val="00214668"/>
    <w:rsid w:val="00217303"/>
    <w:rsid w:val="00217BB5"/>
    <w:rsid w:val="00220A20"/>
    <w:rsid w:val="00221EBD"/>
    <w:rsid w:val="0022229A"/>
    <w:rsid w:val="002231A5"/>
    <w:rsid w:val="00225CE9"/>
    <w:rsid w:val="0022784F"/>
    <w:rsid w:val="00230FE8"/>
    <w:rsid w:val="00232474"/>
    <w:rsid w:val="0023329D"/>
    <w:rsid w:val="00234220"/>
    <w:rsid w:val="00235C3B"/>
    <w:rsid w:val="0023754F"/>
    <w:rsid w:val="00237920"/>
    <w:rsid w:val="00240AB1"/>
    <w:rsid w:val="0024117D"/>
    <w:rsid w:val="002424E8"/>
    <w:rsid w:val="002431CA"/>
    <w:rsid w:val="0024337A"/>
    <w:rsid w:val="00245706"/>
    <w:rsid w:val="00247913"/>
    <w:rsid w:val="002509FE"/>
    <w:rsid w:val="00252F24"/>
    <w:rsid w:val="00253DD7"/>
    <w:rsid w:val="00254A8F"/>
    <w:rsid w:val="002554B0"/>
    <w:rsid w:val="00256C77"/>
    <w:rsid w:val="00262C8E"/>
    <w:rsid w:val="002728AA"/>
    <w:rsid w:val="00273343"/>
    <w:rsid w:val="002735F3"/>
    <w:rsid w:val="00273756"/>
    <w:rsid w:val="002739E8"/>
    <w:rsid w:val="00275CC5"/>
    <w:rsid w:val="00276DDE"/>
    <w:rsid w:val="00277296"/>
    <w:rsid w:val="0028118D"/>
    <w:rsid w:val="002815EE"/>
    <w:rsid w:val="00281D03"/>
    <w:rsid w:val="00283D2E"/>
    <w:rsid w:val="00285203"/>
    <w:rsid w:val="00285BD3"/>
    <w:rsid w:val="002946FC"/>
    <w:rsid w:val="00296AF2"/>
    <w:rsid w:val="002A139F"/>
    <w:rsid w:val="002A15AA"/>
    <w:rsid w:val="002A240E"/>
    <w:rsid w:val="002A65BA"/>
    <w:rsid w:val="002A694B"/>
    <w:rsid w:val="002B0607"/>
    <w:rsid w:val="002B09B2"/>
    <w:rsid w:val="002B26E3"/>
    <w:rsid w:val="002B3330"/>
    <w:rsid w:val="002B3584"/>
    <w:rsid w:val="002B3CD4"/>
    <w:rsid w:val="002B5F69"/>
    <w:rsid w:val="002B6065"/>
    <w:rsid w:val="002B6A4D"/>
    <w:rsid w:val="002B756D"/>
    <w:rsid w:val="002C1A21"/>
    <w:rsid w:val="002C1F03"/>
    <w:rsid w:val="002C237B"/>
    <w:rsid w:val="002C2D8D"/>
    <w:rsid w:val="002C452D"/>
    <w:rsid w:val="002C47DE"/>
    <w:rsid w:val="002C59FB"/>
    <w:rsid w:val="002C5FFC"/>
    <w:rsid w:val="002C6835"/>
    <w:rsid w:val="002D05E4"/>
    <w:rsid w:val="002D1ED7"/>
    <w:rsid w:val="002D2730"/>
    <w:rsid w:val="002D3D80"/>
    <w:rsid w:val="002D3EEA"/>
    <w:rsid w:val="002D63BC"/>
    <w:rsid w:val="002E009E"/>
    <w:rsid w:val="002E0485"/>
    <w:rsid w:val="002E1094"/>
    <w:rsid w:val="002E18C6"/>
    <w:rsid w:val="002E21C8"/>
    <w:rsid w:val="002E2494"/>
    <w:rsid w:val="002E3CDE"/>
    <w:rsid w:val="002E4F1D"/>
    <w:rsid w:val="002F0219"/>
    <w:rsid w:val="002F1CDC"/>
    <w:rsid w:val="002F6858"/>
    <w:rsid w:val="002F7EB4"/>
    <w:rsid w:val="003017E3"/>
    <w:rsid w:val="00302248"/>
    <w:rsid w:val="00303CD8"/>
    <w:rsid w:val="0030613E"/>
    <w:rsid w:val="003077F8"/>
    <w:rsid w:val="00310854"/>
    <w:rsid w:val="00310C97"/>
    <w:rsid w:val="00312C1E"/>
    <w:rsid w:val="003133E7"/>
    <w:rsid w:val="00313895"/>
    <w:rsid w:val="00314020"/>
    <w:rsid w:val="0031441B"/>
    <w:rsid w:val="00315C64"/>
    <w:rsid w:val="0031739F"/>
    <w:rsid w:val="003173D1"/>
    <w:rsid w:val="003216E8"/>
    <w:rsid w:val="003224C4"/>
    <w:rsid w:val="00323BEE"/>
    <w:rsid w:val="0032408F"/>
    <w:rsid w:val="0032437F"/>
    <w:rsid w:val="00324ED3"/>
    <w:rsid w:val="00325E25"/>
    <w:rsid w:val="003266F1"/>
    <w:rsid w:val="00326FA1"/>
    <w:rsid w:val="00331E5D"/>
    <w:rsid w:val="003322DD"/>
    <w:rsid w:val="003347E8"/>
    <w:rsid w:val="00335D95"/>
    <w:rsid w:val="003413EC"/>
    <w:rsid w:val="003415A9"/>
    <w:rsid w:val="00343E8D"/>
    <w:rsid w:val="00344EEC"/>
    <w:rsid w:val="00345F4F"/>
    <w:rsid w:val="00347211"/>
    <w:rsid w:val="00347C7A"/>
    <w:rsid w:val="003511AB"/>
    <w:rsid w:val="003525CB"/>
    <w:rsid w:val="003529D1"/>
    <w:rsid w:val="003542FB"/>
    <w:rsid w:val="00354AB2"/>
    <w:rsid w:val="00354C42"/>
    <w:rsid w:val="00354FB6"/>
    <w:rsid w:val="00356A9A"/>
    <w:rsid w:val="0035777B"/>
    <w:rsid w:val="00363467"/>
    <w:rsid w:val="003649A9"/>
    <w:rsid w:val="00364CF1"/>
    <w:rsid w:val="00364F8B"/>
    <w:rsid w:val="00366353"/>
    <w:rsid w:val="00366D50"/>
    <w:rsid w:val="00367538"/>
    <w:rsid w:val="00370A38"/>
    <w:rsid w:val="00371198"/>
    <w:rsid w:val="00371D05"/>
    <w:rsid w:val="00371D06"/>
    <w:rsid w:val="00374B49"/>
    <w:rsid w:val="003776FC"/>
    <w:rsid w:val="00381BDA"/>
    <w:rsid w:val="0038338A"/>
    <w:rsid w:val="003868F5"/>
    <w:rsid w:val="003875B0"/>
    <w:rsid w:val="00390F29"/>
    <w:rsid w:val="003911A6"/>
    <w:rsid w:val="00391B78"/>
    <w:rsid w:val="00391C07"/>
    <w:rsid w:val="003927B0"/>
    <w:rsid w:val="0039424F"/>
    <w:rsid w:val="003967E4"/>
    <w:rsid w:val="003979EC"/>
    <w:rsid w:val="003A0076"/>
    <w:rsid w:val="003A1192"/>
    <w:rsid w:val="003A181F"/>
    <w:rsid w:val="003A332E"/>
    <w:rsid w:val="003A44D5"/>
    <w:rsid w:val="003A6773"/>
    <w:rsid w:val="003B1994"/>
    <w:rsid w:val="003B28C2"/>
    <w:rsid w:val="003B2BC0"/>
    <w:rsid w:val="003B362C"/>
    <w:rsid w:val="003B3AD5"/>
    <w:rsid w:val="003B40CA"/>
    <w:rsid w:val="003B51CD"/>
    <w:rsid w:val="003B60D3"/>
    <w:rsid w:val="003B6CCE"/>
    <w:rsid w:val="003B739D"/>
    <w:rsid w:val="003C074F"/>
    <w:rsid w:val="003C1025"/>
    <w:rsid w:val="003C1996"/>
    <w:rsid w:val="003C1B8A"/>
    <w:rsid w:val="003C1D87"/>
    <w:rsid w:val="003C587F"/>
    <w:rsid w:val="003C5CEB"/>
    <w:rsid w:val="003D0191"/>
    <w:rsid w:val="003D068F"/>
    <w:rsid w:val="003D206E"/>
    <w:rsid w:val="003D53E0"/>
    <w:rsid w:val="003D72FC"/>
    <w:rsid w:val="003D7B19"/>
    <w:rsid w:val="003E4742"/>
    <w:rsid w:val="003E5704"/>
    <w:rsid w:val="003E5D1D"/>
    <w:rsid w:val="003F046C"/>
    <w:rsid w:val="003F0C6C"/>
    <w:rsid w:val="003F1C63"/>
    <w:rsid w:val="003F3B5F"/>
    <w:rsid w:val="003F5355"/>
    <w:rsid w:val="003F67D5"/>
    <w:rsid w:val="00402346"/>
    <w:rsid w:val="00406B3C"/>
    <w:rsid w:val="004126C6"/>
    <w:rsid w:val="00414FDB"/>
    <w:rsid w:val="00415A05"/>
    <w:rsid w:val="00416970"/>
    <w:rsid w:val="00417A41"/>
    <w:rsid w:val="0042071F"/>
    <w:rsid w:val="00420F81"/>
    <w:rsid w:val="00422855"/>
    <w:rsid w:val="00423103"/>
    <w:rsid w:val="00424D03"/>
    <w:rsid w:val="00425291"/>
    <w:rsid w:val="00426DC9"/>
    <w:rsid w:val="004319EA"/>
    <w:rsid w:val="00431BB4"/>
    <w:rsid w:val="00432CE5"/>
    <w:rsid w:val="00433FAF"/>
    <w:rsid w:val="004355C4"/>
    <w:rsid w:val="004369CF"/>
    <w:rsid w:val="004369D1"/>
    <w:rsid w:val="00443546"/>
    <w:rsid w:val="004442A9"/>
    <w:rsid w:val="00444F83"/>
    <w:rsid w:val="004466DC"/>
    <w:rsid w:val="004472D0"/>
    <w:rsid w:val="00447C78"/>
    <w:rsid w:val="00447F65"/>
    <w:rsid w:val="0045017F"/>
    <w:rsid w:val="004506C3"/>
    <w:rsid w:val="00450C4F"/>
    <w:rsid w:val="004541AC"/>
    <w:rsid w:val="004545E9"/>
    <w:rsid w:val="0045569F"/>
    <w:rsid w:val="00456457"/>
    <w:rsid w:val="00460BF8"/>
    <w:rsid w:val="004639D1"/>
    <w:rsid w:val="00464734"/>
    <w:rsid w:val="004671B3"/>
    <w:rsid w:val="00467241"/>
    <w:rsid w:val="0047320C"/>
    <w:rsid w:val="00473973"/>
    <w:rsid w:val="00474735"/>
    <w:rsid w:val="004756C0"/>
    <w:rsid w:val="004800C9"/>
    <w:rsid w:val="00481FFF"/>
    <w:rsid w:val="00482215"/>
    <w:rsid w:val="00482AC4"/>
    <w:rsid w:val="00483726"/>
    <w:rsid w:val="00486A89"/>
    <w:rsid w:val="00487C27"/>
    <w:rsid w:val="00491471"/>
    <w:rsid w:val="00492B39"/>
    <w:rsid w:val="00497052"/>
    <w:rsid w:val="00497121"/>
    <w:rsid w:val="004972C3"/>
    <w:rsid w:val="004A044B"/>
    <w:rsid w:val="004A2BFE"/>
    <w:rsid w:val="004A2E73"/>
    <w:rsid w:val="004A4238"/>
    <w:rsid w:val="004A4D4E"/>
    <w:rsid w:val="004B1BED"/>
    <w:rsid w:val="004B22E3"/>
    <w:rsid w:val="004B4566"/>
    <w:rsid w:val="004B63E4"/>
    <w:rsid w:val="004B67DC"/>
    <w:rsid w:val="004B6886"/>
    <w:rsid w:val="004B7050"/>
    <w:rsid w:val="004C09F7"/>
    <w:rsid w:val="004C0B5C"/>
    <w:rsid w:val="004C169F"/>
    <w:rsid w:val="004C193F"/>
    <w:rsid w:val="004C1E22"/>
    <w:rsid w:val="004C42D7"/>
    <w:rsid w:val="004C4424"/>
    <w:rsid w:val="004C45E8"/>
    <w:rsid w:val="004C47A1"/>
    <w:rsid w:val="004C4F8A"/>
    <w:rsid w:val="004C54AE"/>
    <w:rsid w:val="004C7075"/>
    <w:rsid w:val="004D193F"/>
    <w:rsid w:val="004D2168"/>
    <w:rsid w:val="004D28FA"/>
    <w:rsid w:val="004D34E3"/>
    <w:rsid w:val="004D4C02"/>
    <w:rsid w:val="004D5269"/>
    <w:rsid w:val="004D55F2"/>
    <w:rsid w:val="004D592E"/>
    <w:rsid w:val="004D5BB2"/>
    <w:rsid w:val="004E21FD"/>
    <w:rsid w:val="004E2BAF"/>
    <w:rsid w:val="004E3AB2"/>
    <w:rsid w:val="004E3C00"/>
    <w:rsid w:val="004E7807"/>
    <w:rsid w:val="004F25E7"/>
    <w:rsid w:val="004F3C8A"/>
    <w:rsid w:val="004F4624"/>
    <w:rsid w:val="004F4A3E"/>
    <w:rsid w:val="004F5BC2"/>
    <w:rsid w:val="004F6DDE"/>
    <w:rsid w:val="004F700A"/>
    <w:rsid w:val="005008F5"/>
    <w:rsid w:val="00500AEB"/>
    <w:rsid w:val="00502F60"/>
    <w:rsid w:val="0050747D"/>
    <w:rsid w:val="00507AB8"/>
    <w:rsid w:val="00507B75"/>
    <w:rsid w:val="0051134B"/>
    <w:rsid w:val="0051455E"/>
    <w:rsid w:val="00515B27"/>
    <w:rsid w:val="00517ADC"/>
    <w:rsid w:val="005210F1"/>
    <w:rsid w:val="00522610"/>
    <w:rsid w:val="00523C4A"/>
    <w:rsid w:val="005258F0"/>
    <w:rsid w:val="00525CA2"/>
    <w:rsid w:val="0052699A"/>
    <w:rsid w:val="00527EC5"/>
    <w:rsid w:val="00531785"/>
    <w:rsid w:val="00531F21"/>
    <w:rsid w:val="005324A9"/>
    <w:rsid w:val="005324D7"/>
    <w:rsid w:val="00532A61"/>
    <w:rsid w:val="00535621"/>
    <w:rsid w:val="00536128"/>
    <w:rsid w:val="005375BB"/>
    <w:rsid w:val="0054369E"/>
    <w:rsid w:val="00543CDA"/>
    <w:rsid w:val="00543FF4"/>
    <w:rsid w:val="005455A0"/>
    <w:rsid w:val="00545EFF"/>
    <w:rsid w:val="0054611F"/>
    <w:rsid w:val="00550DC3"/>
    <w:rsid w:val="005517E9"/>
    <w:rsid w:val="00551B2B"/>
    <w:rsid w:val="0055206F"/>
    <w:rsid w:val="005534F4"/>
    <w:rsid w:val="00554E21"/>
    <w:rsid w:val="0055564C"/>
    <w:rsid w:val="00557562"/>
    <w:rsid w:val="00560102"/>
    <w:rsid w:val="00561159"/>
    <w:rsid w:val="00562351"/>
    <w:rsid w:val="00562615"/>
    <w:rsid w:val="0056347B"/>
    <w:rsid w:val="00563E92"/>
    <w:rsid w:val="005652D5"/>
    <w:rsid w:val="0056564E"/>
    <w:rsid w:val="00565D82"/>
    <w:rsid w:val="00566C05"/>
    <w:rsid w:val="00570803"/>
    <w:rsid w:val="00574FB4"/>
    <w:rsid w:val="005820FF"/>
    <w:rsid w:val="005828A8"/>
    <w:rsid w:val="00583850"/>
    <w:rsid w:val="00585E4E"/>
    <w:rsid w:val="005860AD"/>
    <w:rsid w:val="0059011D"/>
    <w:rsid w:val="005910D2"/>
    <w:rsid w:val="005934D2"/>
    <w:rsid w:val="00593A57"/>
    <w:rsid w:val="00593EA7"/>
    <w:rsid w:val="00594A10"/>
    <w:rsid w:val="005958A5"/>
    <w:rsid w:val="0059682E"/>
    <w:rsid w:val="005A0557"/>
    <w:rsid w:val="005A3809"/>
    <w:rsid w:val="005A3BCE"/>
    <w:rsid w:val="005A422C"/>
    <w:rsid w:val="005A42CE"/>
    <w:rsid w:val="005A4673"/>
    <w:rsid w:val="005A47B7"/>
    <w:rsid w:val="005A522E"/>
    <w:rsid w:val="005A54D8"/>
    <w:rsid w:val="005A6520"/>
    <w:rsid w:val="005A6EB2"/>
    <w:rsid w:val="005B08E7"/>
    <w:rsid w:val="005B0A70"/>
    <w:rsid w:val="005B22FD"/>
    <w:rsid w:val="005B33F2"/>
    <w:rsid w:val="005B67A4"/>
    <w:rsid w:val="005C1225"/>
    <w:rsid w:val="005C4AA4"/>
    <w:rsid w:val="005C7696"/>
    <w:rsid w:val="005D1491"/>
    <w:rsid w:val="005D1499"/>
    <w:rsid w:val="005D1D3D"/>
    <w:rsid w:val="005D2165"/>
    <w:rsid w:val="005D2780"/>
    <w:rsid w:val="005E0ADC"/>
    <w:rsid w:val="005E32CA"/>
    <w:rsid w:val="005E36F1"/>
    <w:rsid w:val="005E3D57"/>
    <w:rsid w:val="005E4953"/>
    <w:rsid w:val="005E4DD3"/>
    <w:rsid w:val="005E58E9"/>
    <w:rsid w:val="005E6EA8"/>
    <w:rsid w:val="005F15E1"/>
    <w:rsid w:val="005F2652"/>
    <w:rsid w:val="005F26D4"/>
    <w:rsid w:val="005F35BC"/>
    <w:rsid w:val="005F4B4B"/>
    <w:rsid w:val="005F6B75"/>
    <w:rsid w:val="005F71C9"/>
    <w:rsid w:val="006014AE"/>
    <w:rsid w:val="00602CFC"/>
    <w:rsid w:val="00603A28"/>
    <w:rsid w:val="00603B58"/>
    <w:rsid w:val="00603E41"/>
    <w:rsid w:val="006055DA"/>
    <w:rsid w:val="0060793D"/>
    <w:rsid w:val="0061194F"/>
    <w:rsid w:val="00613A57"/>
    <w:rsid w:val="00613BDE"/>
    <w:rsid w:val="00614213"/>
    <w:rsid w:val="00616761"/>
    <w:rsid w:val="00620642"/>
    <w:rsid w:val="006217AA"/>
    <w:rsid w:val="00623218"/>
    <w:rsid w:val="00623F7C"/>
    <w:rsid w:val="00623FD0"/>
    <w:rsid w:val="00624C44"/>
    <w:rsid w:val="00625303"/>
    <w:rsid w:val="006256D7"/>
    <w:rsid w:val="00625843"/>
    <w:rsid w:val="00627268"/>
    <w:rsid w:val="006279D9"/>
    <w:rsid w:val="00630673"/>
    <w:rsid w:val="00633C80"/>
    <w:rsid w:val="00633DE3"/>
    <w:rsid w:val="00634014"/>
    <w:rsid w:val="0063504D"/>
    <w:rsid w:val="00636BD5"/>
    <w:rsid w:val="00636FC4"/>
    <w:rsid w:val="006424D1"/>
    <w:rsid w:val="00642CDE"/>
    <w:rsid w:val="006439C2"/>
    <w:rsid w:val="006449A7"/>
    <w:rsid w:val="0064568B"/>
    <w:rsid w:val="00647499"/>
    <w:rsid w:val="00650AD7"/>
    <w:rsid w:val="006512D8"/>
    <w:rsid w:val="00651D10"/>
    <w:rsid w:val="0065338B"/>
    <w:rsid w:val="00653A1E"/>
    <w:rsid w:val="006551EA"/>
    <w:rsid w:val="00656B61"/>
    <w:rsid w:val="00656ECD"/>
    <w:rsid w:val="00662159"/>
    <w:rsid w:val="00662A70"/>
    <w:rsid w:val="00663464"/>
    <w:rsid w:val="00663576"/>
    <w:rsid w:val="00663D4A"/>
    <w:rsid w:val="00665A9F"/>
    <w:rsid w:val="00665DA3"/>
    <w:rsid w:val="00667331"/>
    <w:rsid w:val="00667E82"/>
    <w:rsid w:val="00670CBA"/>
    <w:rsid w:val="00671239"/>
    <w:rsid w:val="0067147D"/>
    <w:rsid w:val="0067179D"/>
    <w:rsid w:val="00671ACB"/>
    <w:rsid w:val="00671FBE"/>
    <w:rsid w:val="00672AD4"/>
    <w:rsid w:val="00673D89"/>
    <w:rsid w:val="006757C4"/>
    <w:rsid w:val="00680C58"/>
    <w:rsid w:val="00682465"/>
    <w:rsid w:val="006871C9"/>
    <w:rsid w:val="006874A0"/>
    <w:rsid w:val="00687D28"/>
    <w:rsid w:val="006900F8"/>
    <w:rsid w:val="006907BD"/>
    <w:rsid w:val="0069102B"/>
    <w:rsid w:val="00692CEB"/>
    <w:rsid w:val="00694584"/>
    <w:rsid w:val="0069467B"/>
    <w:rsid w:val="00694E56"/>
    <w:rsid w:val="0069539E"/>
    <w:rsid w:val="00696272"/>
    <w:rsid w:val="00697856"/>
    <w:rsid w:val="006978D3"/>
    <w:rsid w:val="006A1394"/>
    <w:rsid w:val="006A18B1"/>
    <w:rsid w:val="006A2E71"/>
    <w:rsid w:val="006A44EA"/>
    <w:rsid w:val="006A61AD"/>
    <w:rsid w:val="006B1D1C"/>
    <w:rsid w:val="006B4670"/>
    <w:rsid w:val="006B7A16"/>
    <w:rsid w:val="006B7CB8"/>
    <w:rsid w:val="006B7DA7"/>
    <w:rsid w:val="006C01AA"/>
    <w:rsid w:val="006C0FE7"/>
    <w:rsid w:val="006C1DD6"/>
    <w:rsid w:val="006C2F9F"/>
    <w:rsid w:val="006C7B4B"/>
    <w:rsid w:val="006D154D"/>
    <w:rsid w:val="006D1DDE"/>
    <w:rsid w:val="006D2592"/>
    <w:rsid w:val="006D2793"/>
    <w:rsid w:val="006D2CB3"/>
    <w:rsid w:val="006D3664"/>
    <w:rsid w:val="006D3F7A"/>
    <w:rsid w:val="006D51D8"/>
    <w:rsid w:val="006D7248"/>
    <w:rsid w:val="006E0AC2"/>
    <w:rsid w:val="006E16C3"/>
    <w:rsid w:val="006E2B35"/>
    <w:rsid w:val="006E32EA"/>
    <w:rsid w:val="006E3E42"/>
    <w:rsid w:val="006E4725"/>
    <w:rsid w:val="006E4B2C"/>
    <w:rsid w:val="006E53DB"/>
    <w:rsid w:val="006E5B7F"/>
    <w:rsid w:val="006E69F4"/>
    <w:rsid w:val="006E7780"/>
    <w:rsid w:val="006F3580"/>
    <w:rsid w:val="006F4DED"/>
    <w:rsid w:val="006F53DA"/>
    <w:rsid w:val="007009A9"/>
    <w:rsid w:val="00701014"/>
    <w:rsid w:val="00701A73"/>
    <w:rsid w:val="00702171"/>
    <w:rsid w:val="0070400D"/>
    <w:rsid w:val="0070595D"/>
    <w:rsid w:val="00706691"/>
    <w:rsid w:val="00706A61"/>
    <w:rsid w:val="00707196"/>
    <w:rsid w:val="007071E7"/>
    <w:rsid w:val="00707ACA"/>
    <w:rsid w:val="007112CF"/>
    <w:rsid w:val="00714538"/>
    <w:rsid w:val="007146B4"/>
    <w:rsid w:val="00714FC2"/>
    <w:rsid w:val="00715B67"/>
    <w:rsid w:val="007174E5"/>
    <w:rsid w:val="007177AC"/>
    <w:rsid w:val="007208E0"/>
    <w:rsid w:val="00721E37"/>
    <w:rsid w:val="00722908"/>
    <w:rsid w:val="00723033"/>
    <w:rsid w:val="0072386D"/>
    <w:rsid w:val="0072426B"/>
    <w:rsid w:val="0072441A"/>
    <w:rsid w:val="00724474"/>
    <w:rsid w:val="007246A9"/>
    <w:rsid w:val="00724CE4"/>
    <w:rsid w:val="00725A1C"/>
    <w:rsid w:val="00725D35"/>
    <w:rsid w:val="00726625"/>
    <w:rsid w:val="00727EE6"/>
    <w:rsid w:val="007301BB"/>
    <w:rsid w:val="007304BC"/>
    <w:rsid w:val="0073204F"/>
    <w:rsid w:val="0073226B"/>
    <w:rsid w:val="007322DA"/>
    <w:rsid w:val="00732C68"/>
    <w:rsid w:val="00734E44"/>
    <w:rsid w:val="0073674B"/>
    <w:rsid w:val="0074175F"/>
    <w:rsid w:val="00741E58"/>
    <w:rsid w:val="00742134"/>
    <w:rsid w:val="007440F5"/>
    <w:rsid w:val="007444D2"/>
    <w:rsid w:val="00744AE1"/>
    <w:rsid w:val="00746007"/>
    <w:rsid w:val="00752691"/>
    <w:rsid w:val="00753E4B"/>
    <w:rsid w:val="00754B22"/>
    <w:rsid w:val="00756B0C"/>
    <w:rsid w:val="0076115C"/>
    <w:rsid w:val="00761173"/>
    <w:rsid w:val="00761D9C"/>
    <w:rsid w:val="0076259F"/>
    <w:rsid w:val="007632F8"/>
    <w:rsid w:val="00763AD1"/>
    <w:rsid w:val="007664BB"/>
    <w:rsid w:val="0076678F"/>
    <w:rsid w:val="00770B57"/>
    <w:rsid w:val="00770DB2"/>
    <w:rsid w:val="007744D5"/>
    <w:rsid w:val="00775078"/>
    <w:rsid w:val="00775E74"/>
    <w:rsid w:val="007779AE"/>
    <w:rsid w:val="00777A45"/>
    <w:rsid w:val="00780B6F"/>
    <w:rsid w:val="00783F38"/>
    <w:rsid w:val="007850B6"/>
    <w:rsid w:val="0078654F"/>
    <w:rsid w:val="007914CA"/>
    <w:rsid w:val="00793836"/>
    <w:rsid w:val="0079550E"/>
    <w:rsid w:val="007A0740"/>
    <w:rsid w:val="007A1982"/>
    <w:rsid w:val="007A3314"/>
    <w:rsid w:val="007A375C"/>
    <w:rsid w:val="007A50B2"/>
    <w:rsid w:val="007A5A4C"/>
    <w:rsid w:val="007A7DAC"/>
    <w:rsid w:val="007B3DD1"/>
    <w:rsid w:val="007B4A5F"/>
    <w:rsid w:val="007B6399"/>
    <w:rsid w:val="007B712A"/>
    <w:rsid w:val="007C0816"/>
    <w:rsid w:val="007C0AB1"/>
    <w:rsid w:val="007C0B5A"/>
    <w:rsid w:val="007C127F"/>
    <w:rsid w:val="007C1A03"/>
    <w:rsid w:val="007C1B0D"/>
    <w:rsid w:val="007C3A20"/>
    <w:rsid w:val="007C4B51"/>
    <w:rsid w:val="007C587A"/>
    <w:rsid w:val="007C701E"/>
    <w:rsid w:val="007D1ECF"/>
    <w:rsid w:val="007D57D8"/>
    <w:rsid w:val="007D741A"/>
    <w:rsid w:val="007E16F1"/>
    <w:rsid w:val="007E19E0"/>
    <w:rsid w:val="007E21E5"/>
    <w:rsid w:val="007E2C40"/>
    <w:rsid w:val="007E5BDE"/>
    <w:rsid w:val="007E6B16"/>
    <w:rsid w:val="007F0AF1"/>
    <w:rsid w:val="007F0F1B"/>
    <w:rsid w:val="007F1154"/>
    <w:rsid w:val="007F2C02"/>
    <w:rsid w:val="007F393F"/>
    <w:rsid w:val="007F3F0D"/>
    <w:rsid w:val="007F3F85"/>
    <w:rsid w:val="007F429A"/>
    <w:rsid w:val="007F490F"/>
    <w:rsid w:val="007F5626"/>
    <w:rsid w:val="007F672D"/>
    <w:rsid w:val="00800F27"/>
    <w:rsid w:val="00801622"/>
    <w:rsid w:val="00801B4E"/>
    <w:rsid w:val="0080291D"/>
    <w:rsid w:val="008033D1"/>
    <w:rsid w:val="00804196"/>
    <w:rsid w:val="008045B0"/>
    <w:rsid w:val="0080762C"/>
    <w:rsid w:val="00807A97"/>
    <w:rsid w:val="008125AA"/>
    <w:rsid w:val="008132A2"/>
    <w:rsid w:val="00814441"/>
    <w:rsid w:val="00814AF9"/>
    <w:rsid w:val="00814B72"/>
    <w:rsid w:val="00814BF6"/>
    <w:rsid w:val="008151B8"/>
    <w:rsid w:val="008154FC"/>
    <w:rsid w:val="008216C1"/>
    <w:rsid w:val="0082231B"/>
    <w:rsid w:val="00826BFB"/>
    <w:rsid w:val="00830B01"/>
    <w:rsid w:val="0083196C"/>
    <w:rsid w:val="00831B80"/>
    <w:rsid w:val="00831C0F"/>
    <w:rsid w:val="00832545"/>
    <w:rsid w:val="0083292C"/>
    <w:rsid w:val="00835234"/>
    <w:rsid w:val="00835C87"/>
    <w:rsid w:val="00835EA7"/>
    <w:rsid w:val="0083602A"/>
    <w:rsid w:val="00836F7A"/>
    <w:rsid w:val="00837D1C"/>
    <w:rsid w:val="008403AC"/>
    <w:rsid w:val="008437A8"/>
    <w:rsid w:val="00843A31"/>
    <w:rsid w:val="00844697"/>
    <w:rsid w:val="00844C0A"/>
    <w:rsid w:val="008454AB"/>
    <w:rsid w:val="008457A7"/>
    <w:rsid w:val="00846800"/>
    <w:rsid w:val="008471CB"/>
    <w:rsid w:val="008505D5"/>
    <w:rsid w:val="00852C44"/>
    <w:rsid w:val="00862AD2"/>
    <w:rsid w:val="0086632F"/>
    <w:rsid w:val="0086697A"/>
    <w:rsid w:val="00872AAA"/>
    <w:rsid w:val="00872B9F"/>
    <w:rsid w:val="0087532D"/>
    <w:rsid w:val="00875CC2"/>
    <w:rsid w:val="00876B19"/>
    <w:rsid w:val="00880858"/>
    <w:rsid w:val="008822D4"/>
    <w:rsid w:val="008827C3"/>
    <w:rsid w:val="00885293"/>
    <w:rsid w:val="0088726C"/>
    <w:rsid w:val="008872D0"/>
    <w:rsid w:val="00887811"/>
    <w:rsid w:val="00891147"/>
    <w:rsid w:val="00891304"/>
    <w:rsid w:val="00891DBB"/>
    <w:rsid w:val="00892520"/>
    <w:rsid w:val="00893502"/>
    <w:rsid w:val="0089604F"/>
    <w:rsid w:val="008962FE"/>
    <w:rsid w:val="008968A5"/>
    <w:rsid w:val="008A0AE7"/>
    <w:rsid w:val="008A1D9D"/>
    <w:rsid w:val="008A40BD"/>
    <w:rsid w:val="008B0541"/>
    <w:rsid w:val="008B20B7"/>
    <w:rsid w:val="008B2BCA"/>
    <w:rsid w:val="008B363D"/>
    <w:rsid w:val="008B3A58"/>
    <w:rsid w:val="008B44D7"/>
    <w:rsid w:val="008B6B07"/>
    <w:rsid w:val="008C0B5C"/>
    <w:rsid w:val="008C2D32"/>
    <w:rsid w:val="008C30A0"/>
    <w:rsid w:val="008C3641"/>
    <w:rsid w:val="008C3A6B"/>
    <w:rsid w:val="008C57E7"/>
    <w:rsid w:val="008C5F28"/>
    <w:rsid w:val="008C6062"/>
    <w:rsid w:val="008C79E2"/>
    <w:rsid w:val="008D091F"/>
    <w:rsid w:val="008D11B7"/>
    <w:rsid w:val="008D2C3D"/>
    <w:rsid w:val="008D3C5C"/>
    <w:rsid w:val="008D3CAE"/>
    <w:rsid w:val="008D48F6"/>
    <w:rsid w:val="008D4C4D"/>
    <w:rsid w:val="008D6244"/>
    <w:rsid w:val="008D6315"/>
    <w:rsid w:val="008D63ED"/>
    <w:rsid w:val="008E08F2"/>
    <w:rsid w:val="008E0B5A"/>
    <w:rsid w:val="008E2B2D"/>
    <w:rsid w:val="008E2F90"/>
    <w:rsid w:val="008E30B8"/>
    <w:rsid w:val="008E394E"/>
    <w:rsid w:val="008E40D3"/>
    <w:rsid w:val="008E4510"/>
    <w:rsid w:val="008E4753"/>
    <w:rsid w:val="008E7C5D"/>
    <w:rsid w:val="008F00CA"/>
    <w:rsid w:val="008F31DD"/>
    <w:rsid w:val="008F3B6C"/>
    <w:rsid w:val="008F3C78"/>
    <w:rsid w:val="008F619C"/>
    <w:rsid w:val="008F66B5"/>
    <w:rsid w:val="008F6806"/>
    <w:rsid w:val="008F693E"/>
    <w:rsid w:val="009003EB"/>
    <w:rsid w:val="00901666"/>
    <w:rsid w:val="0090477F"/>
    <w:rsid w:val="0090490D"/>
    <w:rsid w:val="009071B0"/>
    <w:rsid w:val="00907E17"/>
    <w:rsid w:val="00911ADA"/>
    <w:rsid w:val="00913867"/>
    <w:rsid w:val="009147AB"/>
    <w:rsid w:val="009153D0"/>
    <w:rsid w:val="0091774F"/>
    <w:rsid w:val="00922953"/>
    <w:rsid w:val="00924F0A"/>
    <w:rsid w:val="00930C15"/>
    <w:rsid w:val="00931A1E"/>
    <w:rsid w:val="00933493"/>
    <w:rsid w:val="009365C2"/>
    <w:rsid w:val="009378DA"/>
    <w:rsid w:val="00943AAE"/>
    <w:rsid w:val="009444B5"/>
    <w:rsid w:val="00945251"/>
    <w:rsid w:val="009453F2"/>
    <w:rsid w:val="00946C15"/>
    <w:rsid w:val="009475AF"/>
    <w:rsid w:val="00950B1A"/>
    <w:rsid w:val="00952B22"/>
    <w:rsid w:val="00953028"/>
    <w:rsid w:val="009533FC"/>
    <w:rsid w:val="00954326"/>
    <w:rsid w:val="00954B95"/>
    <w:rsid w:val="009557C8"/>
    <w:rsid w:val="00955855"/>
    <w:rsid w:val="00957B67"/>
    <w:rsid w:val="0096265E"/>
    <w:rsid w:val="00962777"/>
    <w:rsid w:val="00963D35"/>
    <w:rsid w:val="00966B63"/>
    <w:rsid w:val="00966F6D"/>
    <w:rsid w:val="00967311"/>
    <w:rsid w:val="00970D92"/>
    <w:rsid w:val="0097239B"/>
    <w:rsid w:val="00972AF0"/>
    <w:rsid w:val="009734BB"/>
    <w:rsid w:val="00976305"/>
    <w:rsid w:val="0098055B"/>
    <w:rsid w:val="00983C48"/>
    <w:rsid w:val="00983D29"/>
    <w:rsid w:val="009843CB"/>
    <w:rsid w:val="009846FC"/>
    <w:rsid w:val="0098579C"/>
    <w:rsid w:val="009877A6"/>
    <w:rsid w:val="00990ED3"/>
    <w:rsid w:val="00992F54"/>
    <w:rsid w:val="00993CDB"/>
    <w:rsid w:val="0099508B"/>
    <w:rsid w:val="00995710"/>
    <w:rsid w:val="009A39B7"/>
    <w:rsid w:val="009A447E"/>
    <w:rsid w:val="009A474C"/>
    <w:rsid w:val="009A606D"/>
    <w:rsid w:val="009A77F9"/>
    <w:rsid w:val="009A7B1A"/>
    <w:rsid w:val="009B237D"/>
    <w:rsid w:val="009B2E8F"/>
    <w:rsid w:val="009B2FF3"/>
    <w:rsid w:val="009B38D2"/>
    <w:rsid w:val="009B58E5"/>
    <w:rsid w:val="009B730F"/>
    <w:rsid w:val="009C0FF5"/>
    <w:rsid w:val="009C1AB1"/>
    <w:rsid w:val="009C2819"/>
    <w:rsid w:val="009C6639"/>
    <w:rsid w:val="009C7869"/>
    <w:rsid w:val="009D1234"/>
    <w:rsid w:val="009D4167"/>
    <w:rsid w:val="009D4843"/>
    <w:rsid w:val="009D49BD"/>
    <w:rsid w:val="009D61A9"/>
    <w:rsid w:val="009D62C6"/>
    <w:rsid w:val="009E03D7"/>
    <w:rsid w:val="009E1590"/>
    <w:rsid w:val="009E22EE"/>
    <w:rsid w:val="009E2A91"/>
    <w:rsid w:val="009E30AF"/>
    <w:rsid w:val="009E34FA"/>
    <w:rsid w:val="009E461D"/>
    <w:rsid w:val="009E65B4"/>
    <w:rsid w:val="009E6BC7"/>
    <w:rsid w:val="009E6C15"/>
    <w:rsid w:val="009E7261"/>
    <w:rsid w:val="009E75D1"/>
    <w:rsid w:val="009E78EB"/>
    <w:rsid w:val="009F0552"/>
    <w:rsid w:val="009F1F24"/>
    <w:rsid w:val="009F4141"/>
    <w:rsid w:val="009F4420"/>
    <w:rsid w:val="009F510F"/>
    <w:rsid w:val="009F6438"/>
    <w:rsid w:val="009F6D76"/>
    <w:rsid w:val="009F7BC0"/>
    <w:rsid w:val="00A077D8"/>
    <w:rsid w:val="00A077ED"/>
    <w:rsid w:val="00A07A71"/>
    <w:rsid w:val="00A07F8A"/>
    <w:rsid w:val="00A104FC"/>
    <w:rsid w:val="00A1235C"/>
    <w:rsid w:val="00A153D0"/>
    <w:rsid w:val="00A1576D"/>
    <w:rsid w:val="00A15AB6"/>
    <w:rsid w:val="00A16C81"/>
    <w:rsid w:val="00A17C50"/>
    <w:rsid w:val="00A202B1"/>
    <w:rsid w:val="00A21042"/>
    <w:rsid w:val="00A21998"/>
    <w:rsid w:val="00A23079"/>
    <w:rsid w:val="00A23C4C"/>
    <w:rsid w:val="00A23DFA"/>
    <w:rsid w:val="00A24132"/>
    <w:rsid w:val="00A24AA3"/>
    <w:rsid w:val="00A25544"/>
    <w:rsid w:val="00A277BF"/>
    <w:rsid w:val="00A27A22"/>
    <w:rsid w:val="00A30267"/>
    <w:rsid w:val="00A3075E"/>
    <w:rsid w:val="00A32B55"/>
    <w:rsid w:val="00A34151"/>
    <w:rsid w:val="00A36A29"/>
    <w:rsid w:val="00A36E87"/>
    <w:rsid w:val="00A40199"/>
    <w:rsid w:val="00A40793"/>
    <w:rsid w:val="00A40B95"/>
    <w:rsid w:val="00A44B20"/>
    <w:rsid w:val="00A45F15"/>
    <w:rsid w:val="00A46770"/>
    <w:rsid w:val="00A47489"/>
    <w:rsid w:val="00A529C6"/>
    <w:rsid w:val="00A539C8"/>
    <w:rsid w:val="00A56F73"/>
    <w:rsid w:val="00A57C07"/>
    <w:rsid w:val="00A611E4"/>
    <w:rsid w:val="00A612BB"/>
    <w:rsid w:val="00A6167C"/>
    <w:rsid w:val="00A61DC5"/>
    <w:rsid w:val="00A620A0"/>
    <w:rsid w:val="00A622E2"/>
    <w:rsid w:val="00A71CE5"/>
    <w:rsid w:val="00A7286C"/>
    <w:rsid w:val="00A728A7"/>
    <w:rsid w:val="00A73544"/>
    <w:rsid w:val="00A73E5B"/>
    <w:rsid w:val="00A74BF6"/>
    <w:rsid w:val="00A754A0"/>
    <w:rsid w:val="00A75DD6"/>
    <w:rsid w:val="00A8108A"/>
    <w:rsid w:val="00A82583"/>
    <w:rsid w:val="00A846F7"/>
    <w:rsid w:val="00A86429"/>
    <w:rsid w:val="00A90506"/>
    <w:rsid w:val="00A90F08"/>
    <w:rsid w:val="00A91F55"/>
    <w:rsid w:val="00A93043"/>
    <w:rsid w:val="00A95181"/>
    <w:rsid w:val="00A97329"/>
    <w:rsid w:val="00AA2A45"/>
    <w:rsid w:val="00AA4AAF"/>
    <w:rsid w:val="00AA5965"/>
    <w:rsid w:val="00AB0A0C"/>
    <w:rsid w:val="00AB315D"/>
    <w:rsid w:val="00AB34D7"/>
    <w:rsid w:val="00AB3DE8"/>
    <w:rsid w:val="00AB4E11"/>
    <w:rsid w:val="00AB5889"/>
    <w:rsid w:val="00AC0498"/>
    <w:rsid w:val="00AC0D8B"/>
    <w:rsid w:val="00AC19F2"/>
    <w:rsid w:val="00AC1B9D"/>
    <w:rsid w:val="00AC48B1"/>
    <w:rsid w:val="00AC4D50"/>
    <w:rsid w:val="00AC64D3"/>
    <w:rsid w:val="00AD0121"/>
    <w:rsid w:val="00AD03C6"/>
    <w:rsid w:val="00AD0402"/>
    <w:rsid w:val="00AD0DCD"/>
    <w:rsid w:val="00AD20BE"/>
    <w:rsid w:val="00AD3878"/>
    <w:rsid w:val="00AD48BA"/>
    <w:rsid w:val="00AD4E65"/>
    <w:rsid w:val="00AD6186"/>
    <w:rsid w:val="00AD650F"/>
    <w:rsid w:val="00AD6669"/>
    <w:rsid w:val="00AD75B4"/>
    <w:rsid w:val="00AE0DCA"/>
    <w:rsid w:val="00AE1339"/>
    <w:rsid w:val="00AE1E95"/>
    <w:rsid w:val="00AE2B92"/>
    <w:rsid w:val="00AE2D96"/>
    <w:rsid w:val="00AE4658"/>
    <w:rsid w:val="00AE547C"/>
    <w:rsid w:val="00AE5B14"/>
    <w:rsid w:val="00AE6290"/>
    <w:rsid w:val="00AE70A3"/>
    <w:rsid w:val="00AE7766"/>
    <w:rsid w:val="00AE7ABC"/>
    <w:rsid w:val="00AF0DF4"/>
    <w:rsid w:val="00AF4128"/>
    <w:rsid w:val="00AF610E"/>
    <w:rsid w:val="00AF6945"/>
    <w:rsid w:val="00AF697E"/>
    <w:rsid w:val="00B0043C"/>
    <w:rsid w:val="00B02478"/>
    <w:rsid w:val="00B02D3F"/>
    <w:rsid w:val="00B04A93"/>
    <w:rsid w:val="00B0556B"/>
    <w:rsid w:val="00B05DFF"/>
    <w:rsid w:val="00B06448"/>
    <w:rsid w:val="00B06FA3"/>
    <w:rsid w:val="00B0741E"/>
    <w:rsid w:val="00B1027B"/>
    <w:rsid w:val="00B106DC"/>
    <w:rsid w:val="00B12F90"/>
    <w:rsid w:val="00B1375F"/>
    <w:rsid w:val="00B13F34"/>
    <w:rsid w:val="00B22FC1"/>
    <w:rsid w:val="00B23055"/>
    <w:rsid w:val="00B24A51"/>
    <w:rsid w:val="00B24B40"/>
    <w:rsid w:val="00B24D43"/>
    <w:rsid w:val="00B25D06"/>
    <w:rsid w:val="00B30238"/>
    <w:rsid w:val="00B30ACF"/>
    <w:rsid w:val="00B31F36"/>
    <w:rsid w:val="00B31FA1"/>
    <w:rsid w:val="00B322D3"/>
    <w:rsid w:val="00B32A3C"/>
    <w:rsid w:val="00B36BC0"/>
    <w:rsid w:val="00B37286"/>
    <w:rsid w:val="00B374F1"/>
    <w:rsid w:val="00B410D4"/>
    <w:rsid w:val="00B420B4"/>
    <w:rsid w:val="00B42E4C"/>
    <w:rsid w:val="00B46912"/>
    <w:rsid w:val="00B51A00"/>
    <w:rsid w:val="00B51A66"/>
    <w:rsid w:val="00B523BF"/>
    <w:rsid w:val="00B55687"/>
    <w:rsid w:val="00B560CF"/>
    <w:rsid w:val="00B56153"/>
    <w:rsid w:val="00B6116F"/>
    <w:rsid w:val="00B6204F"/>
    <w:rsid w:val="00B63307"/>
    <w:rsid w:val="00B633F0"/>
    <w:rsid w:val="00B65141"/>
    <w:rsid w:val="00B65B79"/>
    <w:rsid w:val="00B6675C"/>
    <w:rsid w:val="00B70135"/>
    <w:rsid w:val="00B722D1"/>
    <w:rsid w:val="00B72DCF"/>
    <w:rsid w:val="00B7421A"/>
    <w:rsid w:val="00B74C14"/>
    <w:rsid w:val="00B77294"/>
    <w:rsid w:val="00B77F9A"/>
    <w:rsid w:val="00B80CBE"/>
    <w:rsid w:val="00B8218B"/>
    <w:rsid w:val="00B8259D"/>
    <w:rsid w:val="00B83267"/>
    <w:rsid w:val="00B83F2E"/>
    <w:rsid w:val="00B8517F"/>
    <w:rsid w:val="00B90B32"/>
    <w:rsid w:val="00B91412"/>
    <w:rsid w:val="00B943AE"/>
    <w:rsid w:val="00B94EC2"/>
    <w:rsid w:val="00B95442"/>
    <w:rsid w:val="00B96229"/>
    <w:rsid w:val="00B96451"/>
    <w:rsid w:val="00B97134"/>
    <w:rsid w:val="00BA0197"/>
    <w:rsid w:val="00BA0D1E"/>
    <w:rsid w:val="00BA0E8F"/>
    <w:rsid w:val="00BA46CF"/>
    <w:rsid w:val="00BA69F2"/>
    <w:rsid w:val="00BA75EC"/>
    <w:rsid w:val="00BB1897"/>
    <w:rsid w:val="00BB1B40"/>
    <w:rsid w:val="00BB3059"/>
    <w:rsid w:val="00BB3AF1"/>
    <w:rsid w:val="00BB586C"/>
    <w:rsid w:val="00BC0F5F"/>
    <w:rsid w:val="00BC1A91"/>
    <w:rsid w:val="00BC2F83"/>
    <w:rsid w:val="00BC48F8"/>
    <w:rsid w:val="00BC51FD"/>
    <w:rsid w:val="00BD07AD"/>
    <w:rsid w:val="00BD165A"/>
    <w:rsid w:val="00BD2C65"/>
    <w:rsid w:val="00BD319E"/>
    <w:rsid w:val="00BD366A"/>
    <w:rsid w:val="00BD3C46"/>
    <w:rsid w:val="00BD53BB"/>
    <w:rsid w:val="00BD67AE"/>
    <w:rsid w:val="00BD6F7F"/>
    <w:rsid w:val="00BE0DCE"/>
    <w:rsid w:val="00BE3A36"/>
    <w:rsid w:val="00BE53D7"/>
    <w:rsid w:val="00BE582E"/>
    <w:rsid w:val="00BE7502"/>
    <w:rsid w:val="00BF2E5F"/>
    <w:rsid w:val="00BF2F88"/>
    <w:rsid w:val="00BF68A8"/>
    <w:rsid w:val="00BF718A"/>
    <w:rsid w:val="00C02241"/>
    <w:rsid w:val="00C03045"/>
    <w:rsid w:val="00C038FB"/>
    <w:rsid w:val="00C04E5A"/>
    <w:rsid w:val="00C05F34"/>
    <w:rsid w:val="00C06D76"/>
    <w:rsid w:val="00C10B42"/>
    <w:rsid w:val="00C13647"/>
    <w:rsid w:val="00C14052"/>
    <w:rsid w:val="00C148AB"/>
    <w:rsid w:val="00C17A61"/>
    <w:rsid w:val="00C17DC1"/>
    <w:rsid w:val="00C17E3D"/>
    <w:rsid w:val="00C200FA"/>
    <w:rsid w:val="00C22FBF"/>
    <w:rsid w:val="00C23872"/>
    <w:rsid w:val="00C24785"/>
    <w:rsid w:val="00C24968"/>
    <w:rsid w:val="00C25E2E"/>
    <w:rsid w:val="00C26A6F"/>
    <w:rsid w:val="00C26D5B"/>
    <w:rsid w:val="00C30335"/>
    <w:rsid w:val="00C303E5"/>
    <w:rsid w:val="00C344B7"/>
    <w:rsid w:val="00C355C5"/>
    <w:rsid w:val="00C37834"/>
    <w:rsid w:val="00C37DC6"/>
    <w:rsid w:val="00C40940"/>
    <w:rsid w:val="00C5106E"/>
    <w:rsid w:val="00C515CF"/>
    <w:rsid w:val="00C51DE2"/>
    <w:rsid w:val="00C5522A"/>
    <w:rsid w:val="00C55E2D"/>
    <w:rsid w:val="00C604B3"/>
    <w:rsid w:val="00C6327A"/>
    <w:rsid w:val="00C64416"/>
    <w:rsid w:val="00C65340"/>
    <w:rsid w:val="00C65443"/>
    <w:rsid w:val="00C65D66"/>
    <w:rsid w:val="00C71EF4"/>
    <w:rsid w:val="00C72F5E"/>
    <w:rsid w:val="00C740A3"/>
    <w:rsid w:val="00C75A0C"/>
    <w:rsid w:val="00C76B83"/>
    <w:rsid w:val="00C76C8F"/>
    <w:rsid w:val="00C76D8B"/>
    <w:rsid w:val="00C77D09"/>
    <w:rsid w:val="00C80150"/>
    <w:rsid w:val="00C80CB8"/>
    <w:rsid w:val="00C811EA"/>
    <w:rsid w:val="00C81D38"/>
    <w:rsid w:val="00C86C77"/>
    <w:rsid w:val="00C90505"/>
    <w:rsid w:val="00C92152"/>
    <w:rsid w:val="00C9236D"/>
    <w:rsid w:val="00C93458"/>
    <w:rsid w:val="00C94517"/>
    <w:rsid w:val="00C946F2"/>
    <w:rsid w:val="00C94E6D"/>
    <w:rsid w:val="00C94FC4"/>
    <w:rsid w:val="00C95913"/>
    <w:rsid w:val="00C961B4"/>
    <w:rsid w:val="00C96AAE"/>
    <w:rsid w:val="00CA1763"/>
    <w:rsid w:val="00CA2C49"/>
    <w:rsid w:val="00CA31F0"/>
    <w:rsid w:val="00CA5394"/>
    <w:rsid w:val="00CA6400"/>
    <w:rsid w:val="00CA7DFC"/>
    <w:rsid w:val="00CB03BC"/>
    <w:rsid w:val="00CB03E4"/>
    <w:rsid w:val="00CB1260"/>
    <w:rsid w:val="00CB2C69"/>
    <w:rsid w:val="00CB2F17"/>
    <w:rsid w:val="00CB4823"/>
    <w:rsid w:val="00CB49D5"/>
    <w:rsid w:val="00CB5237"/>
    <w:rsid w:val="00CB5721"/>
    <w:rsid w:val="00CB5D3F"/>
    <w:rsid w:val="00CB663B"/>
    <w:rsid w:val="00CB6CFA"/>
    <w:rsid w:val="00CB74F5"/>
    <w:rsid w:val="00CB797E"/>
    <w:rsid w:val="00CC4709"/>
    <w:rsid w:val="00CC5FBF"/>
    <w:rsid w:val="00CD40EC"/>
    <w:rsid w:val="00CD547B"/>
    <w:rsid w:val="00CD57AB"/>
    <w:rsid w:val="00CD626A"/>
    <w:rsid w:val="00CD6C3C"/>
    <w:rsid w:val="00CE0042"/>
    <w:rsid w:val="00CE12A4"/>
    <w:rsid w:val="00CE35F5"/>
    <w:rsid w:val="00CE35F7"/>
    <w:rsid w:val="00CE35FD"/>
    <w:rsid w:val="00CE4F6A"/>
    <w:rsid w:val="00CE71A3"/>
    <w:rsid w:val="00CF3E4C"/>
    <w:rsid w:val="00CF684C"/>
    <w:rsid w:val="00D00D9B"/>
    <w:rsid w:val="00D0136B"/>
    <w:rsid w:val="00D02C22"/>
    <w:rsid w:val="00D039BC"/>
    <w:rsid w:val="00D045B5"/>
    <w:rsid w:val="00D060FC"/>
    <w:rsid w:val="00D100B8"/>
    <w:rsid w:val="00D124DC"/>
    <w:rsid w:val="00D147A0"/>
    <w:rsid w:val="00D151CF"/>
    <w:rsid w:val="00D157AB"/>
    <w:rsid w:val="00D178F1"/>
    <w:rsid w:val="00D17A78"/>
    <w:rsid w:val="00D20FF9"/>
    <w:rsid w:val="00D22A83"/>
    <w:rsid w:val="00D24F25"/>
    <w:rsid w:val="00D25FEA"/>
    <w:rsid w:val="00D26154"/>
    <w:rsid w:val="00D273F2"/>
    <w:rsid w:val="00D31007"/>
    <w:rsid w:val="00D3189D"/>
    <w:rsid w:val="00D31D46"/>
    <w:rsid w:val="00D36D0C"/>
    <w:rsid w:val="00D37682"/>
    <w:rsid w:val="00D40DC4"/>
    <w:rsid w:val="00D42240"/>
    <w:rsid w:val="00D45941"/>
    <w:rsid w:val="00D459BF"/>
    <w:rsid w:val="00D45D06"/>
    <w:rsid w:val="00D45DCE"/>
    <w:rsid w:val="00D46EAB"/>
    <w:rsid w:val="00D47098"/>
    <w:rsid w:val="00D50C00"/>
    <w:rsid w:val="00D50E1B"/>
    <w:rsid w:val="00D52202"/>
    <w:rsid w:val="00D52217"/>
    <w:rsid w:val="00D570D1"/>
    <w:rsid w:val="00D57724"/>
    <w:rsid w:val="00D60B2A"/>
    <w:rsid w:val="00D61123"/>
    <w:rsid w:val="00D62201"/>
    <w:rsid w:val="00D67B58"/>
    <w:rsid w:val="00D70EC8"/>
    <w:rsid w:val="00D72791"/>
    <w:rsid w:val="00D73723"/>
    <w:rsid w:val="00D74BB6"/>
    <w:rsid w:val="00D751B0"/>
    <w:rsid w:val="00D808BB"/>
    <w:rsid w:val="00D81713"/>
    <w:rsid w:val="00D81BE3"/>
    <w:rsid w:val="00D822B5"/>
    <w:rsid w:val="00D832A9"/>
    <w:rsid w:val="00D83CFD"/>
    <w:rsid w:val="00D84CA2"/>
    <w:rsid w:val="00D857C3"/>
    <w:rsid w:val="00D86B83"/>
    <w:rsid w:val="00D90F44"/>
    <w:rsid w:val="00D914FA"/>
    <w:rsid w:val="00D92CD8"/>
    <w:rsid w:val="00D93231"/>
    <w:rsid w:val="00D93845"/>
    <w:rsid w:val="00D942F8"/>
    <w:rsid w:val="00D94B0D"/>
    <w:rsid w:val="00D94C98"/>
    <w:rsid w:val="00D967E1"/>
    <w:rsid w:val="00D96F04"/>
    <w:rsid w:val="00DA125B"/>
    <w:rsid w:val="00DA1288"/>
    <w:rsid w:val="00DA152B"/>
    <w:rsid w:val="00DA2D69"/>
    <w:rsid w:val="00DA4229"/>
    <w:rsid w:val="00DA4616"/>
    <w:rsid w:val="00DA48C5"/>
    <w:rsid w:val="00DA4BB9"/>
    <w:rsid w:val="00DB170A"/>
    <w:rsid w:val="00DB1994"/>
    <w:rsid w:val="00DB1FDA"/>
    <w:rsid w:val="00DB2488"/>
    <w:rsid w:val="00DB3D13"/>
    <w:rsid w:val="00DC0206"/>
    <w:rsid w:val="00DC0B96"/>
    <w:rsid w:val="00DC22A8"/>
    <w:rsid w:val="00DC2412"/>
    <w:rsid w:val="00DC26F0"/>
    <w:rsid w:val="00DC41FD"/>
    <w:rsid w:val="00DC61D2"/>
    <w:rsid w:val="00DC61E6"/>
    <w:rsid w:val="00DC61EF"/>
    <w:rsid w:val="00DC7471"/>
    <w:rsid w:val="00DD0EEE"/>
    <w:rsid w:val="00DD10AB"/>
    <w:rsid w:val="00DD2208"/>
    <w:rsid w:val="00DD2D59"/>
    <w:rsid w:val="00DD6FE5"/>
    <w:rsid w:val="00DD7CB7"/>
    <w:rsid w:val="00DE02A3"/>
    <w:rsid w:val="00DE072B"/>
    <w:rsid w:val="00DE2C5F"/>
    <w:rsid w:val="00DE2F42"/>
    <w:rsid w:val="00DE30E4"/>
    <w:rsid w:val="00DE4C9D"/>
    <w:rsid w:val="00DE51C5"/>
    <w:rsid w:val="00DE5A25"/>
    <w:rsid w:val="00DE7B81"/>
    <w:rsid w:val="00DF19EC"/>
    <w:rsid w:val="00DF42CA"/>
    <w:rsid w:val="00DF4F99"/>
    <w:rsid w:val="00DF6A38"/>
    <w:rsid w:val="00DF6B19"/>
    <w:rsid w:val="00E0234B"/>
    <w:rsid w:val="00E025E8"/>
    <w:rsid w:val="00E02F48"/>
    <w:rsid w:val="00E03033"/>
    <w:rsid w:val="00E05782"/>
    <w:rsid w:val="00E058E0"/>
    <w:rsid w:val="00E05911"/>
    <w:rsid w:val="00E10160"/>
    <w:rsid w:val="00E104A3"/>
    <w:rsid w:val="00E10819"/>
    <w:rsid w:val="00E109DF"/>
    <w:rsid w:val="00E117F5"/>
    <w:rsid w:val="00E14118"/>
    <w:rsid w:val="00E14720"/>
    <w:rsid w:val="00E154DC"/>
    <w:rsid w:val="00E1719F"/>
    <w:rsid w:val="00E17FC4"/>
    <w:rsid w:val="00E2107F"/>
    <w:rsid w:val="00E21A9A"/>
    <w:rsid w:val="00E21DC1"/>
    <w:rsid w:val="00E24F29"/>
    <w:rsid w:val="00E27485"/>
    <w:rsid w:val="00E3186E"/>
    <w:rsid w:val="00E32379"/>
    <w:rsid w:val="00E32B3F"/>
    <w:rsid w:val="00E330E1"/>
    <w:rsid w:val="00E3533B"/>
    <w:rsid w:val="00E35ABC"/>
    <w:rsid w:val="00E37260"/>
    <w:rsid w:val="00E42C33"/>
    <w:rsid w:val="00E43E78"/>
    <w:rsid w:val="00E44D5C"/>
    <w:rsid w:val="00E455DA"/>
    <w:rsid w:val="00E466F8"/>
    <w:rsid w:val="00E47C93"/>
    <w:rsid w:val="00E50D89"/>
    <w:rsid w:val="00E50F5B"/>
    <w:rsid w:val="00E520A0"/>
    <w:rsid w:val="00E52DEB"/>
    <w:rsid w:val="00E55A68"/>
    <w:rsid w:val="00E56BD5"/>
    <w:rsid w:val="00E577E5"/>
    <w:rsid w:val="00E57AC4"/>
    <w:rsid w:val="00E610AA"/>
    <w:rsid w:val="00E61301"/>
    <w:rsid w:val="00E61859"/>
    <w:rsid w:val="00E61E44"/>
    <w:rsid w:val="00E640BA"/>
    <w:rsid w:val="00E64109"/>
    <w:rsid w:val="00E646D8"/>
    <w:rsid w:val="00E653E5"/>
    <w:rsid w:val="00E65459"/>
    <w:rsid w:val="00E665CA"/>
    <w:rsid w:val="00E67ECC"/>
    <w:rsid w:val="00E70628"/>
    <w:rsid w:val="00E70C18"/>
    <w:rsid w:val="00E73C9E"/>
    <w:rsid w:val="00E77EE6"/>
    <w:rsid w:val="00E82AA5"/>
    <w:rsid w:val="00E835C1"/>
    <w:rsid w:val="00E8375F"/>
    <w:rsid w:val="00E838C7"/>
    <w:rsid w:val="00E868D8"/>
    <w:rsid w:val="00E86D77"/>
    <w:rsid w:val="00E87291"/>
    <w:rsid w:val="00E905F8"/>
    <w:rsid w:val="00E91312"/>
    <w:rsid w:val="00E9163A"/>
    <w:rsid w:val="00E91B32"/>
    <w:rsid w:val="00E91CE9"/>
    <w:rsid w:val="00E93DD3"/>
    <w:rsid w:val="00E93E10"/>
    <w:rsid w:val="00E960A1"/>
    <w:rsid w:val="00E960B8"/>
    <w:rsid w:val="00E967C5"/>
    <w:rsid w:val="00E97C4A"/>
    <w:rsid w:val="00EA0B0C"/>
    <w:rsid w:val="00EA0FD4"/>
    <w:rsid w:val="00EA11B5"/>
    <w:rsid w:val="00EA2698"/>
    <w:rsid w:val="00EA2907"/>
    <w:rsid w:val="00EA2B0F"/>
    <w:rsid w:val="00EA3BF3"/>
    <w:rsid w:val="00EA549E"/>
    <w:rsid w:val="00EA606B"/>
    <w:rsid w:val="00EA7343"/>
    <w:rsid w:val="00EA7B28"/>
    <w:rsid w:val="00EB0136"/>
    <w:rsid w:val="00EB2064"/>
    <w:rsid w:val="00EB2284"/>
    <w:rsid w:val="00EB280B"/>
    <w:rsid w:val="00EB6253"/>
    <w:rsid w:val="00EB68AD"/>
    <w:rsid w:val="00EC1693"/>
    <w:rsid w:val="00EC236C"/>
    <w:rsid w:val="00EC3D01"/>
    <w:rsid w:val="00EC7B2B"/>
    <w:rsid w:val="00ED0BA8"/>
    <w:rsid w:val="00ED20BA"/>
    <w:rsid w:val="00ED2A10"/>
    <w:rsid w:val="00ED2B2E"/>
    <w:rsid w:val="00ED2DE9"/>
    <w:rsid w:val="00ED3DAB"/>
    <w:rsid w:val="00ED4107"/>
    <w:rsid w:val="00ED423F"/>
    <w:rsid w:val="00ED4CA2"/>
    <w:rsid w:val="00ED6595"/>
    <w:rsid w:val="00EE0621"/>
    <w:rsid w:val="00EE0E77"/>
    <w:rsid w:val="00EE16A6"/>
    <w:rsid w:val="00EE21C0"/>
    <w:rsid w:val="00EE3141"/>
    <w:rsid w:val="00EE3548"/>
    <w:rsid w:val="00EE4A0E"/>
    <w:rsid w:val="00EE7274"/>
    <w:rsid w:val="00EF0107"/>
    <w:rsid w:val="00EF0B38"/>
    <w:rsid w:val="00EF3A36"/>
    <w:rsid w:val="00EF3B7E"/>
    <w:rsid w:val="00EF437B"/>
    <w:rsid w:val="00EF51B5"/>
    <w:rsid w:val="00EF5203"/>
    <w:rsid w:val="00EF5860"/>
    <w:rsid w:val="00EF5B92"/>
    <w:rsid w:val="00EF5D96"/>
    <w:rsid w:val="00F00B85"/>
    <w:rsid w:val="00F019C8"/>
    <w:rsid w:val="00F036EB"/>
    <w:rsid w:val="00F05378"/>
    <w:rsid w:val="00F069C6"/>
    <w:rsid w:val="00F07614"/>
    <w:rsid w:val="00F1089C"/>
    <w:rsid w:val="00F1347C"/>
    <w:rsid w:val="00F13DC5"/>
    <w:rsid w:val="00F14C64"/>
    <w:rsid w:val="00F14EEF"/>
    <w:rsid w:val="00F16460"/>
    <w:rsid w:val="00F16E8B"/>
    <w:rsid w:val="00F17B1A"/>
    <w:rsid w:val="00F17D39"/>
    <w:rsid w:val="00F20CDD"/>
    <w:rsid w:val="00F2362A"/>
    <w:rsid w:val="00F237AE"/>
    <w:rsid w:val="00F24928"/>
    <w:rsid w:val="00F26F8A"/>
    <w:rsid w:val="00F27102"/>
    <w:rsid w:val="00F30AC6"/>
    <w:rsid w:val="00F31E51"/>
    <w:rsid w:val="00F328BA"/>
    <w:rsid w:val="00F371C4"/>
    <w:rsid w:val="00F41AE6"/>
    <w:rsid w:val="00F44C2F"/>
    <w:rsid w:val="00F4576D"/>
    <w:rsid w:val="00F45E75"/>
    <w:rsid w:val="00F45F4B"/>
    <w:rsid w:val="00F478B9"/>
    <w:rsid w:val="00F50036"/>
    <w:rsid w:val="00F50599"/>
    <w:rsid w:val="00F50F8A"/>
    <w:rsid w:val="00F510CD"/>
    <w:rsid w:val="00F51418"/>
    <w:rsid w:val="00F53005"/>
    <w:rsid w:val="00F54703"/>
    <w:rsid w:val="00F54D00"/>
    <w:rsid w:val="00F54F88"/>
    <w:rsid w:val="00F5601B"/>
    <w:rsid w:val="00F60619"/>
    <w:rsid w:val="00F7033E"/>
    <w:rsid w:val="00F735B1"/>
    <w:rsid w:val="00F73641"/>
    <w:rsid w:val="00F749A1"/>
    <w:rsid w:val="00F74F0E"/>
    <w:rsid w:val="00F751F6"/>
    <w:rsid w:val="00F75A5F"/>
    <w:rsid w:val="00F75E79"/>
    <w:rsid w:val="00F75F71"/>
    <w:rsid w:val="00F76687"/>
    <w:rsid w:val="00F77627"/>
    <w:rsid w:val="00F776D0"/>
    <w:rsid w:val="00F823D0"/>
    <w:rsid w:val="00F82531"/>
    <w:rsid w:val="00F8367D"/>
    <w:rsid w:val="00F8511C"/>
    <w:rsid w:val="00F85F0F"/>
    <w:rsid w:val="00F86B4D"/>
    <w:rsid w:val="00F86E47"/>
    <w:rsid w:val="00F9176C"/>
    <w:rsid w:val="00F920D1"/>
    <w:rsid w:val="00F93D7F"/>
    <w:rsid w:val="00F93EBB"/>
    <w:rsid w:val="00F94998"/>
    <w:rsid w:val="00F95D1D"/>
    <w:rsid w:val="00F96738"/>
    <w:rsid w:val="00F967AB"/>
    <w:rsid w:val="00F96F69"/>
    <w:rsid w:val="00F9762D"/>
    <w:rsid w:val="00FA2B32"/>
    <w:rsid w:val="00FA3AE5"/>
    <w:rsid w:val="00FA53EE"/>
    <w:rsid w:val="00FA7D9A"/>
    <w:rsid w:val="00FB2CE3"/>
    <w:rsid w:val="00FB3F18"/>
    <w:rsid w:val="00FB4E8C"/>
    <w:rsid w:val="00FB6239"/>
    <w:rsid w:val="00FB6532"/>
    <w:rsid w:val="00FB691A"/>
    <w:rsid w:val="00FB6BC7"/>
    <w:rsid w:val="00FB7D16"/>
    <w:rsid w:val="00FC0F49"/>
    <w:rsid w:val="00FC26E7"/>
    <w:rsid w:val="00FC4903"/>
    <w:rsid w:val="00FC4A1B"/>
    <w:rsid w:val="00FC4A6C"/>
    <w:rsid w:val="00FC5020"/>
    <w:rsid w:val="00FC7C3D"/>
    <w:rsid w:val="00FD1F59"/>
    <w:rsid w:val="00FD3721"/>
    <w:rsid w:val="00FD4EA9"/>
    <w:rsid w:val="00FD6699"/>
    <w:rsid w:val="00FD67CC"/>
    <w:rsid w:val="00FD6ADC"/>
    <w:rsid w:val="00FE217F"/>
    <w:rsid w:val="00FE2621"/>
    <w:rsid w:val="00FE4689"/>
    <w:rsid w:val="00FE571B"/>
    <w:rsid w:val="00FE6EF8"/>
    <w:rsid w:val="00FE7591"/>
    <w:rsid w:val="00FE7A62"/>
    <w:rsid w:val="00FF178D"/>
    <w:rsid w:val="00FF2F02"/>
    <w:rsid w:val="00FF2F4C"/>
    <w:rsid w:val="00FF7B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D0"/>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1B37D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1B37D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37D0"/>
    <w:rPr>
      <w:rFonts w:ascii="宋体" w:eastAsia="宋体" w:hAnsi="宋体" w:cs="宋体"/>
      <w:b/>
      <w:bCs/>
      <w:kern w:val="36"/>
      <w:sz w:val="48"/>
      <w:szCs w:val="48"/>
    </w:rPr>
  </w:style>
  <w:style w:type="character" w:customStyle="1" w:styleId="2Char">
    <w:name w:val="标题 2 Char"/>
    <w:basedOn w:val="a0"/>
    <w:link w:val="2"/>
    <w:uiPriority w:val="9"/>
    <w:semiHidden/>
    <w:rsid w:val="001B37D0"/>
    <w:rPr>
      <w:rFonts w:asciiTheme="majorHAnsi" w:eastAsiaTheme="majorEastAsia" w:hAnsiTheme="majorHAnsi" w:cstheme="majorBidi"/>
      <w:b/>
      <w:bCs/>
      <w:sz w:val="32"/>
      <w:szCs w:val="32"/>
    </w:rPr>
  </w:style>
  <w:style w:type="paragraph" w:styleId="a3">
    <w:name w:val="header"/>
    <w:basedOn w:val="a"/>
    <w:link w:val="Char1"/>
    <w:uiPriority w:val="99"/>
    <w:semiHidden/>
    <w:unhideWhenUsed/>
    <w:rsid w:val="001B37D0"/>
    <w:pP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link w:val="a3"/>
    <w:uiPriority w:val="99"/>
    <w:semiHidden/>
    <w:locked/>
    <w:rsid w:val="001B37D0"/>
    <w:rPr>
      <w:rFonts w:eastAsia="宋体"/>
      <w:sz w:val="18"/>
      <w:szCs w:val="18"/>
    </w:rPr>
  </w:style>
  <w:style w:type="character" w:customStyle="1" w:styleId="Char">
    <w:name w:val="页眉 Char"/>
    <w:basedOn w:val="a0"/>
    <w:link w:val="a3"/>
    <w:semiHidden/>
    <w:rsid w:val="001B37D0"/>
    <w:rPr>
      <w:rFonts w:ascii="Times New Roman" w:eastAsia="宋体" w:hAnsi="Times New Roman" w:cs="Times New Roman"/>
      <w:sz w:val="18"/>
      <w:szCs w:val="18"/>
    </w:rPr>
  </w:style>
  <w:style w:type="paragraph" w:styleId="a4">
    <w:name w:val="footer"/>
    <w:basedOn w:val="a"/>
    <w:link w:val="Char10"/>
    <w:uiPriority w:val="99"/>
    <w:unhideWhenUsed/>
    <w:rsid w:val="001B37D0"/>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link w:val="a4"/>
    <w:uiPriority w:val="99"/>
    <w:semiHidden/>
    <w:locked/>
    <w:rsid w:val="001B37D0"/>
    <w:rPr>
      <w:rFonts w:eastAsia="宋体"/>
      <w:sz w:val="18"/>
      <w:szCs w:val="18"/>
    </w:rPr>
  </w:style>
  <w:style w:type="character" w:customStyle="1" w:styleId="Char0">
    <w:name w:val="页脚 Char"/>
    <w:basedOn w:val="a0"/>
    <w:link w:val="a4"/>
    <w:uiPriority w:val="99"/>
    <w:rsid w:val="001B37D0"/>
    <w:rPr>
      <w:rFonts w:ascii="Times New Roman" w:eastAsia="宋体" w:hAnsi="Times New Roman" w:cs="Times New Roman"/>
      <w:sz w:val="18"/>
      <w:szCs w:val="18"/>
    </w:rPr>
  </w:style>
  <w:style w:type="character" w:customStyle="1" w:styleId="Char2">
    <w:name w:val="批注框文本 Char"/>
    <w:basedOn w:val="a0"/>
    <w:link w:val="a5"/>
    <w:uiPriority w:val="99"/>
    <w:semiHidden/>
    <w:rsid w:val="001B37D0"/>
    <w:rPr>
      <w:rFonts w:ascii="Times New Roman" w:eastAsia="宋体" w:hAnsi="Times New Roman" w:cs="Times New Roman"/>
      <w:sz w:val="18"/>
      <w:szCs w:val="18"/>
    </w:rPr>
  </w:style>
  <w:style w:type="paragraph" w:styleId="a5">
    <w:name w:val="Balloon Text"/>
    <w:basedOn w:val="a"/>
    <w:link w:val="Char2"/>
    <w:uiPriority w:val="99"/>
    <w:semiHidden/>
    <w:unhideWhenUsed/>
    <w:rsid w:val="001B37D0"/>
    <w:rPr>
      <w:sz w:val="18"/>
      <w:szCs w:val="18"/>
    </w:rPr>
  </w:style>
  <w:style w:type="character" w:customStyle="1" w:styleId="Char11">
    <w:name w:val="批注框文本 Char1"/>
    <w:basedOn w:val="a0"/>
    <w:link w:val="a5"/>
    <w:uiPriority w:val="99"/>
    <w:semiHidden/>
    <w:rsid w:val="001B37D0"/>
    <w:rPr>
      <w:rFonts w:ascii="Times New Roman" w:eastAsia="宋体" w:hAnsi="Times New Roman" w:cs="Times New Roman"/>
      <w:sz w:val="18"/>
      <w:szCs w:val="18"/>
    </w:rPr>
  </w:style>
  <w:style w:type="paragraph" w:styleId="a6">
    <w:name w:val="List Paragraph"/>
    <w:basedOn w:val="a"/>
    <w:uiPriority w:val="34"/>
    <w:qFormat/>
    <w:rsid w:val="001B37D0"/>
    <w:pPr>
      <w:ind w:firstLineChars="200" w:firstLine="420"/>
    </w:pPr>
  </w:style>
  <w:style w:type="character" w:styleId="a7">
    <w:name w:val="Strong"/>
    <w:basedOn w:val="a0"/>
    <w:uiPriority w:val="22"/>
    <w:qFormat/>
    <w:rsid w:val="001B37D0"/>
    <w:rPr>
      <w:b/>
      <w:bCs/>
    </w:rPr>
  </w:style>
  <w:style w:type="character" w:customStyle="1" w:styleId="hqspan">
    <w:name w:val="hqspan"/>
    <w:basedOn w:val="a0"/>
    <w:rsid w:val="001B37D0"/>
  </w:style>
  <w:style w:type="character" w:customStyle="1" w:styleId="agreen">
    <w:name w:val="agreen"/>
    <w:basedOn w:val="a0"/>
    <w:rsid w:val="001B37D0"/>
  </w:style>
  <w:style w:type="character" w:customStyle="1" w:styleId="ared">
    <w:name w:val="ared"/>
    <w:basedOn w:val="a0"/>
    <w:rsid w:val="001B37D0"/>
  </w:style>
  <w:style w:type="table" w:styleId="a8">
    <w:name w:val="Table Grid"/>
    <w:basedOn w:val="a1"/>
    <w:uiPriority w:val="59"/>
    <w:rsid w:val="00762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83523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835234"/>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835234"/>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835234"/>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5351;&#25968;&#34920;&#296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36"/>
  <c:chart>
    <c:autoTitleDeleted val="1"/>
    <c:plotArea>
      <c:layout>
        <c:manualLayout>
          <c:layoutTarget val="inner"/>
          <c:xMode val="edge"/>
          <c:yMode val="edge"/>
          <c:x val="0.1383322603542482"/>
          <c:y val="5.4424116103134169E-2"/>
          <c:w val="0.8407033790587497"/>
          <c:h val="0.66247182337502108"/>
        </c:manualLayout>
      </c:layout>
      <c:barChart>
        <c:barDir val="col"/>
        <c:grouping val="clustered"/>
        <c:ser>
          <c:idx val="0"/>
          <c:order val="0"/>
          <c:tx>
            <c:strRef>
              <c:f>表!$E$1</c:f>
              <c:strCache>
                <c:ptCount val="1"/>
                <c:pt idx="0">
                  <c:v>周涨跌幅</c:v>
                </c:pt>
              </c:strCache>
            </c:strRef>
          </c:tx>
          <c:cat>
            <c:strRef>
              <c:f>表!$D$2:$D$17</c:f>
              <c:strCache>
                <c:ptCount val="16"/>
                <c:pt idx="0">
                  <c:v>中证国防</c:v>
                </c:pt>
                <c:pt idx="1">
                  <c:v>信息安全</c:v>
                </c:pt>
                <c:pt idx="2">
                  <c:v>中证1000</c:v>
                </c:pt>
                <c:pt idx="3">
                  <c:v>CSWD并购</c:v>
                </c:pt>
                <c:pt idx="4">
                  <c:v>中证转债</c:v>
                </c:pt>
                <c:pt idx="5">
                  <c:v>中证TMT</c:v>
                </c:pt>
                <c:pt idx="6">
                  <c:v>中证煤炭</c:v>
                </c:pt>
                <c:pt idx="7">
                  <c:v>中证医疗</c:v>
                </c:pt>
                <c:pt idx="8">
                  <c:v>国企改革</c:v>
                </c:pt>
                <c:pt idx="9">
                  <c:v>一带一路</c:v>
                </c:pt>
                <c:pt idx="10">
                  <c:v>恒生指数</c:v>
                </c:pt>
                <c:pt idx="11">
                  <c:v>上证50</c:v>
                </c:pt>
                <c:pt idx="12">
                  <c:v>中证800证保</c:v>
                </c:pt>
                <c:pt idx="13">
                  <c:v>中证800金融</c:v>
                </c:pt>
                <c:pt idx="14">
                  <c:v>证券公司</c:v>
                </c:pt>
                <c:pt idx="15">
                  <c:v>中证银行</c:v>
                </c:pt>
              </c:strCache>
            </c:strRef>
          </c:cat>
          <c:val>
            <c:numRef>
              <c:f>表!$E$2:$E$17</c:f>
              <c:numCache>
                <c:formatCode>0.00_ </c:formatCode>
                <c:ptCount val="16"/>
                <c:pt idx="0">
                  <c:v>16.770764839923736</c:v>
                </c:pt>
                <c:pt idx="1">
                  <c:v>10.167684696031221</c:v>
                </c:pt>
                <c:pt idx="2">
                  <c:v>9.5217078744189507</c:v>
                </c:pt>
                <c:pt idx="3">
                  <c:v>8.7466813700961499</c:v>
                </c:pt>
                <c:pt idx="4">
                  <c:v>8.3345857161955195</c:v>
                </c:pt>
                <c:pt idx="5">
                  <c:v>7.6079120354336949</c:v>
                </c:pt>
                <c:pt idx="6">
                  <c:v>6.2421365107458433</c:v>
                </c:pt>
                <c:pt idx="7">
                  <c:v>5.9619354652125978</c:v>
                </c:pt>
                <c:pt idx="8">
                  <c:v>5.9452560377193597</c:v>
                </c:pt>
                <c:pt idx="9">
                  <c:v>5.8177777110333802</c:v>
                </c:pt>
                <c:pt idx="10">
                  <c:v>-1.1282980664773623</c:v>
                </c:pt>
                <c:pt idx="11">
                  <c:v>-2.3519620084309407</c:v>
                </c:pt>
                <c:pt idx="12">
                  <c:v>-2.655558046098494</c:v>
                </c:pt>
                <c:pt idx="13">
                  <c:v>-3.1478296585556285</c:v>
                </c:pt>
                <c:pt idx="14">
                  <c:v>-3.7096772974013552</c:v>
                </c:pt>
                <c:pt idx="15">
                  <c:v>-3.7989381676817442</c:v>
                </c:pt>
              </c:numCache>
            </c:numRef>
          </c:val>
        </c:ser>
        <c:axId val="194930944"/>
        <c:axId val="194940928"/>
      </c:barChart>
      <c:catAx>
        <c:axId val="194930944"/>
        <c:scaling>
          <c:orientation val="minMax"/>
        </c:scaling>
        <c:axPos val="b"/>
        <c:majorTickMark val="none"/>
        <c:tickLblPos val="nextTo"/>
        <c:crossAx val="194940928"/>
        <c:crosses val="autoZero"/>
        <c:auto val="1"/>
        <c:lblAlgn val="ctr"/>
        <c:lblOffset val="100"/>
      </c:catAx>
      <c:valAx>
        <c:axId val="194940928"/>
        <c:scaling>
          <c:orientation val="minMax"/>
        </c:scaling>
        <c:axPos val="l"/>
        <c:majorGridlines/>
        <c:numFmt formatCode="0.00_ " sourceLinked="1"/>
        <c:majorTickMark val="none"/>
        <c:tickLblPos val="nextTo"/>
        <c:crossAx val="194930944"/>
        <c:crosses val="autoZero"/>
        <c:crossBetween val="between"/>
      </c:valAx>
      <c:dTable>
        <c:showHorzBorder val="1"/>
        <c:showVertBorder val="1"/>
        <c:showOutline val="1"/>
        <c:showKeys val="1"/>
        <c:txPr>
          <a:bodyPr/>
          <a:lstStyle/>
          <a:p>
            <a:pPr rtl="0">
              <a:defRPr sz="900"/>
            </a:pPr>
            <a:endParaRPr lang="zh-CN"/>
          </a:p>
        </c:txPr>
      </c:dTable>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8FD6A-1BB9-4320-BA7F-5CFE8DE3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762</Words>
  <Characters>4350</Characters>
  <Application>Microsoft Office Word</Application>
  <DocSecurity>0</DocSecurity>
  <Lines>36</Lines>
  <Paragraphs>10</Paragraphs>
  <ScaleCrop>false</ScaleCrop>
  <Company>SHSC</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闻嘉琦:起草</dc:creator>
  <cp:keywords/>
  <dc:description/>
  <cp:lastModifiedBy>闻嘉琦:</cp:lastModifiedBy>
  <cp:revision>6</cp:revision>
  <dcterms:created xsi:type="dcterms:W3CDTF">2015-07-28T09:01:00Z</dcterms:created>
  <dcterms:modified xsi:type="dcterms:W3CDTF">2015-07-29T02:26:00Z</dcterms:modified>
</cp:coreProperties>
</file>