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BF0"/>
  <w:body>
    <w:p w:rsidR="0090542D" w:rsidRDefault="00552BF7" w:rsidP="00B80CE3">
      <w:pPr>
        <w:ind w:right="600" w:firstLineChars="4650" w:firstLine="8370"/>
        <w:rPr>
          <w:rFonts w:eastAsia="黑体" w:cs="Arial"/>
          <w:sz w:val="30"/>
          <w:szCs w:val="52"/>
        </w:rPr>
      </w:pPr>
      <w:r>
        <w:rPr>
          <w:noProof/>
        </w:rPr>
        <w:pict>
          <v:shapetype id="_x0000_t202" coordsize="21600,21600" o:spt="202" path="m,l,21600r21600,l21600,xe">
            <v:stroke joinstyle="miter"/>
            <v:path gradientshapeok="t" o:connecttype="rect"/>
          </v:shapetype>
          <v:shape id="Text Box 340" o:spid="_x0000_s1034" type="#_x0000_t202" style="position:absolute;left:0;text-align:left;margin-left:456.65pt;margin-top:41.1pt;width:117.3pt;height:23.25pt;z-index:25167206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" filled="f" fillcolor="blue" stroked="f" strokecolor="blue">
            <v:textbox>
              <w:txbxContent>
                <w:p w:rsidR="00461CBE" w:rsidRPr="00EE31AB" w:rsidRDefault="00461CBE" w:rsidP="00EE31AB">
                  <w:pPr>
                    <w:jc w:val="right"/>
                    <w:rPr>
                      <w:sz w:val="15"/>
                      <w:szCs w:val="15"/>
                    </w:rPr>
                  </w:pPr>
                  <w:r>
                    <w:rPr>
                      <w:rFonts w:ascii="楷体_GB2312" w:hint="eastAsia"/>
                      <w:sz w:val="15"/>
                      <w:szCs w:val="15"/>
                    </w:rPr>
                    <w:t>证券研究报告</w:t>
                  </w:r>
                </w:p>
              </w:txbxContent>
            </v:textbox>
            <w10:wrap anchorx="page" anchory="page"/>
          </v:shape>
        </w:pict>
      </w:r>
      <w:r>
        <w:rPr>
          <w:noProof/>
        </w:rPr>
        <w:pict>
          <v:shape id="Text Box 336" o:spid="_x0000_s1033" type="#_x0000_t202" style="position:absolute;left:0;text-align:left;margin-left:15.3pt;margin-top:49.15pt;width:409.2pt;height:25.5pt;z-index:25166899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" filled="f" fillcolor="blue" stroked="f" strokecolor="blue">
            <v:textbox>
              <w:txbxContent>
                <w:p w:rsidR="00461CBE" w:rsidRPr="00AE6908" w:rsidRDefault="00461CBE">
                  <w:pPr>
                    <w:rPr>
                      <w:rFonts w:ascii="楷体_GB2312"/>
                      <w:b/>
                      <w:sz w:val="30"/>
                      <w:szCs w:val="30"/>
                    </w:rPr>
                  </w:pPr>
                  <w:bookmarkStart w:id="0" w:name="title"/>
                  <w:r>
                    <w:rPr>
                      <w:rFonts w:ascii="楷体_GB2312" w:hint="eastAsia"/>
                      <w:b/>
                      <w:sz w:val="30"/>
                      <w:szCs w:val="30"/>
                    </w:rPr>
                    <w:t>2015年</w:t>
                  </w:r>
                  <w:r w:rsidR="00C411DC">
                    <w:rPr>
                      <w:rFonts w:ascii="楷体_GB2312" w:hint="eastAsia"/>
                      <w:b/>
                      <w:sz w:val="30"/>
                      <w:szCs w:val="30"/>
                    </w:rPr>
                    <w:t>下半年</w:t>
                  </w:r>
                  <w:r>
                    <w:rPr>
                      <w:rFonts w:ascii="楷体_GB2312" w:hint="eastAsia"/>
                      <w:b/>
                      <w:sz w:val="30"/>
                      <w:szCs w:val="30"/>
                    </w:rPr>
                    <w:t>权益类基金投资策略报告</w:t>
                  </w:r>
                  <w:bookmarkEnd w:id="0"/>
                </w:p>
              </w:txbxContent>
            </v:textbox>
            <w10:wrap anchorx="page" anchory="page"/>
          </v:shape>
        </w:pict>
      </w:r>
      <w:r>
        <w:rPr>
          <w:noProof/>
        </w:rPr>
        <w:pict>
          <v:shape id="Text Box 335" o:spid="_x0000_s1032" type="#_x0000_t202" style="position:absolute;left:0;text-align:left;margin-left:15.3pt;margin-top:15.6pt;width:370.25pt;height:21.55pt;z-index:25166796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" filled="f" fillcolor="blue" stroked="f" strokecolor="blue">
            <v:textbox>
              <w:txbxContent>
                <w:bookmarkStart w:id="1" w:name="reportDate"/>
                <w:p w:rsidR="00461CBE" w:rsidRDefault="00552BF7" w:rsidP="00832F33">
                  <w:pPr>
                    <w:jc w:val="left"/>
                  </w:pPr>
                  <w:sdt>
                    <w:sdtPr>
                      <w:rPr>
                        <w:rFonts w:eastAsia="黑体" w:cs="Arial" w:hint="eastAsia"/>
                        <w:b/>
                        <w:sz w:val="21"/>
                        <w:szCs w:val="21"/>
                      </w:rPr>
                      <w:alias w:val="报告日期"/>
                      <w:tag w:val="BDCONTENTCONTROL_5c179c93-3177-4ab7-ae62-1dc3677fa3d8"/>
                      <w:id w:val="3936421"/>
                      <w:placeholder>
                        <w:docPart w:val="0D16CD4B0A6041038C736C01EC87AF53"/>
                      </w:placeholder>
                      <w:text/>
                    </w:sdtPr>
                    <w:sdtEndPr/>
                    <w:sdtContent>
                      <w:r w:rsidR="003210C0">
                        <w:rPr>
                          <w:rFonts w:eastAsia="黑体" w:cs="Arial" w:hint="eastAsia"/>
                          <w:b/>
                          <w:sz w:val="21"/>
                          <w:szCs w:val="21"/>
                        </w:rPr>
                        <w:t>2015</w:t>
                      </w:r>
                      <w:r w:rsidR="003210C0">
                        <w:rPr>
                          <w:rFonts w:eastAsia="黑体" w:cs="Arial" w:hint="eastAsia"/>
                          <w:b/>
                          <w:sz w:val="21"/>
                          <w:szCs w:val="21"/>
                        </w:rPr>
                        <w:t>年</w:t>
                      </w:r>
                      <w:r w:rsidR="003210C0">
                        <w:rPr>
                          <w:rFonts w:eastAsia="黑体" w:cs="Arial" w:hint="eastAsia"/>
                          <w:b/>
                          <w:sz w:val="21"/>
                          <w:szCs w:val="21"/>
                        </w:rPr>
                        <w:t>07</w:t>
                      </w:r>
                      <w:r w:rsidR="003210C0">
                        <w:rPr>
                          <w:rFonts w:eastAsia="黑体" w:cs="Arial" w:hint="eastAsia"/>
                          <w:b/>
                          <w:sz w:val="21"/>
                          <w:szCs w:val="21"/>
                        </w:rPr>
                        <w:t>月</w:t>
                      </w:r>
                      <w:r w:rsidR="003210C0">
                        <w:rPr>
                          <w:rFonts w:eastAsia="黑体" w:cs="Arial" w:hint="eastAsia"/>
                          <w:b/>
                          <w:sz w:val="21"/>
                          <w:szCs w:val="21"/>
                        </w:rPr>
                        <w:t>02</w:t>
                      </w:r>
                      <w:r w:rsidR="003210C0">
                        <w:rPr>
                          <w:rFonts w:eastAsia="黑体" w:cs="Arial" w:hint="eastAsia"/>
                          <w:b/>
                          <w:sz w:val="21"/>
                          <w:szCs w:val="21"/>
                        </w:rPr>
                        <w:t>日</w:t>
                      </w:r>
                    </w:sdtContent>
                  </w:sdt>
                  <w:bookmarkEnd w:id="1"/>
                </w:p>
              </w:txbxContent>
            </v:textbox>
            <w10:wrap anchorx="page" anchory="page"/>
          </v:shape>
        </w:pict>
      </w:r>
      <w:r>
        <w:rPr>
          <w:noProof/>
        </w:rPr>
        <w:pict>
          <v:rect id="Rectangle 406" o:spid="_x0000_s1031" style="position:absolute;left:0;text-align:left;margin-left:416.25pt;margin-top:-30.75pt;width:124.5pt;height:16.5pt;z-index:2516669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" filled="f" stroked="f" strokecolor="#339">
            <v:textbox>
              <w:txbxContent>
                <w:p w:rsidR="00461CBE" w:rsidRPr="00EC07DB" w:rsidRDefault="00461CBE" w:rsidP="00865BF6">
                  <w:pPr>
                    <w:jc w:val="right"/>
                    <w:rPr>
                      <w:sz w:val="15"/>
                      <w:szCs w:val="15"/>
                    </w:rPr>
                  </w:pPr>
                </w:p>
              </w:txbxContent>
            </v:textbox>
            <w10:anchorlock/>
          </v:rect>
        </w:pict>
      </w:r>
      <w:r>
        <w:rPr>
          <w:noProof/>
        </w:rPr>
        <w:pict>
          <v:shape id="Text Box 405" o:spid="_x0000_s1030" type="#_x0000_t202" style="position:absolute;left:0;text-align:left;margin-left:414.3pt;margin-top:15.6pt;width:128.45pt;height:34.3pt;z-index:251665920;visibility:visible;mso-wrap-style:non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" filled="f" stroked="f">
            <v:textbox>
              <w:txbxContent>
                <w:p w:rsidR="00461CBE" w:rsidRPr="00E17DD1" w:rsidRDefault="00461CBE" w:rsidP="00865BF6">
                  <w:r>
                    <w:rPr>
                      <w:noProof/>
                    </w:rPr>
                    <w:drawing>
                      <wp:inline distT="0" distB="0" distL="0" distR="0">
                        <wp:extent cx="1438275" cy="352425"/>
                        <wp:effectExtent l="0" t="0" r="9525" b="9525"/>
                        <wp:docPr id="7" name="图片 3" descr="未命名的-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未命名的-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38275" cy="352425"/>
                                </a:xfrm>
                                <a:prstGeom prst="rect">
                                  <a:avLst/>
                                </a:prstGeom>
                                <a:noFill/>
                                <a:ln>
                                  <a:noFill/>
                                </a:ln>
                              </pic:spPr>
                            </pic:pic>
                          </a:graphicData>
                        </a:graphic>
                      </wp:inline>
                    </w:drawing>
                  </w:r>
                </w:p>
              </w:txbxContent>
            </v:textbox>
            <w10:wrap anchory="page"/>
            <w10:anchorlock/>
          </v:shape>
        </w:pict>
      </w:r>
      <w:r>
        <w:rPr>
          <w:noProof/>
        </w:rPr>
        <w:pict>
          <v:rect id="lastSuggestion" o:spid="_x0000_s1029" style="position:absolute;left:0;text-align:left;margin-left:299.1pt;margin-top:12.75pt;width:86.55pt;height:25.65pt;z-index:251655680;visibility:hidde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" filled="f" stroked="f" strokecolor="#339">
            <v:textbox>
              <w:txbxContent>
                <w:p w:rsidR="00461CBE" w:rsidRPr="00FE4B43" w:rsidRDefault="00461CBE" w:rsidP="006449BF">
                  <w:pPr>
                    <w:rPr>
                      <w:b/>
                      <w:sz w:val="24"/>
                      <w:szCs w:val="24"/>
                    </w:rPr>
                  </w:pPr>
                  <w:bookmarkStart w:id="2" w:name="lastInvestSuggestion"/>
                  <w:r>
                    <w:rPr>
                      <w:rFonts w:hint="eastAsia"/>
                      <w:b/>
                      <w:sz w:val="24"/>
                      <w:szCs w:val="24"/>
                    </w:rPr>
                    <w:t>买入</w:t>
                  </w:r>
                  <w:bookmarkEnd w:id="2"/>
                </w:p>
              </w:txbxContent>
            </v:textbox>
          </v:rect>
        </w:pict>
      </w:r>
    </w:p>
    <w:p w:rsidR="0090542D" w:rsidRDefault="00552BF7">
      <w:pPr>
        <w:jc w:val="right"/>
        <w:rPr>
          <w:rFonts w:eastAsia="黑体" w:cs="Arial"/>
          <w:sz w:val="30"/>
          <w:szCs w:val="52"/>
        </w:rPr>
      </w:pPr>
      <w:r>
        <w:rPr>
          <w:noProof/>
        </w:rPr>
        <w:pict>
          <v:shape id="Text Box 338" o:spid="_x0000_s1028" type="#_x0000_t202" style="position:absolute;left:0;text-align:left;margin-left:341.25pt;margin-top:98.35pt;width:228.75pt;height:22.1pt;z-index:25167104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" filled="f" fillcolor="blue" stroked="f" strokecolor="blue">
            <v:textbox>
              <w:txbxContent>
                <w:p w:rsidR="00461CBE" w:rsidRDefault="00552BF7" w:rsidP="00F30157">
                  <w:pPr>
                    <w:jc w:val="right"/>
                  </w:pPr>
                  <w:sdt>
                    <w:sdtPr>
                      <w:rPr>
                        <w:rFonts w:hint="eastAsia"/>
                        <w:b/>
                        <w:sz w:val="24"/>
                        <w:szCs w:val="24"/>
                      </w:rPr>
                      <w:alias w:val="报告类型"/>
                      <w:tag w:val="BDCONTENTCONTROL_84bd61de-94b7-4c7c-8f81-60dfebe1887e"/>
                      <w:id w:val="1634203798"/>
                      <w:placeholder>
                        <w:docPart w:val="3C751C7999EB453596E5C4600719BD0F"/>
                      </w:placeholder>
                      <w:text/>
                    </w:sdtPr>
                    <w:sdtEndPr/>
                    <w:sdtContent>
                      <w:r w:rsidR="003210C0">
                        <w:rPr>
                          <w:rFonts w:hint="eastAsia"/>
                          <w:b/>
                          <w:sz w:val="24"/>
                          <w:szCs w:val="24"/>
                        </w:rPr>
                        <w:t>基金投资策略报告</w:t>
                      </w:r>
                    </w:sdtContent>
                  </w:sdt>
                </w:p>
              </w:txbxContent>
            </v:textbox>
            <w10:wrap anchorx="page" anchory="page"/>
          </v:shape>
        </w:pict>
      </w:r>
    </w:p>
    <w:p w:rsidR="0090542D" w:rsidRDefault="00552BF7">
      <w:pPr>
        <w:jc w:val="right"/>
        <w:rPr>
          <w:rFonts w:eastAsia="黑体" w:cs="Arial"/>
          <w:sz w:val="30"/>
          <w:szCs w:val="52"/>
        </w:rPr>
      </w:pPr>
      <w:r>
        <w:rPr>
          <w:noProof/>
        </w:rPr>
        <w:pict>
          <v:line id="Line 335" o:spid="_x0000_s1027" style="position:absolute;left:0;text-align:left;z-index:251653632;visibility:visible;mso-wrap-distance-top:-3e-5mm;mso-wrap-distance-bottom:-3e-5mm" from="-31.8pt,12.65pt" to="565.2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" strokecolor="#00a0e9" strokeweight=".94pt"/>
        </w:pict>
      </w:r>
    </w:p>
    <w:p w:rsidR="00EB010E" w:rsidRDefault="00EB010E">
      <w:pPr>
        <w:jc w:val="right"/>
        <w:rPr>
          <w:rFonts w:eastAsia="黑体" w:cs="Arial"/>
          <w:sz w:val="30"/>
          <w:szCs w:val="52"/>
        </w:rPr>
      </w:pPr>
    </w:p>
    <w:tbl>
      <w:tblPr>
        <w:tblStyle w:val="af"/>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59"/>
        <w:gridCol w:w="7568"/>
      </w:tblGrid>
      <w:tr w:rsidR="00EB010E" w:rsidTr="003A7A25">
        <w:trPr>
          <w:trHeight w:val="12531"/>
        </w:trPr>
        <w:tc>
          <w:tcPr>
            <w:tcW w:w="3459" w:type="dxa"/>
            <w:tcMar>
              <w:top w:w="28" w:type="dxa"/>
              <w:left w:w="0" w:type="dxa"/>
              <w:right w:w="108" w:type="dxa"/>
            </w:tcMar>
          </w:tcPr>
          <w:p w:rsidR="00351D32" w:rsidRDefault="00351D32" w:rsidP="00351D32">
            <w:pPr>
              <w:spacing w:line="14" w:lineRule="exact"/>
            </w:pPr>
          </w:p>
          <w:p w:rsidR="000E6AE0" w:rsidRDefault="000E6AE0" w:rsidP="00F51EB7">
            <w:pPr>
              <w:pStyle w:val="a6"/>
              <w:widowControl/>
              <w:pBdr>
                <w:bottom w:val="none" w:sz="0" w:space="0" w:color="auto"/>
              </w:pBdr>
              <w:tabs>
                <w:tab w:val="clear" w:pos="4153"/>
                <w:tab w:val="clear" w:pos="8306"/>
              </w:tabs>
              <w:snapToGrid/>
              <w:ind w:rightChars="300" w:right="540"/>
              <w:jc w:val="both"/>
              <w:rPr>
                <w:sz w:val="21"/>
              </w:rPr>
            </w:pPr>
          </w:p>
          <w:p w:rsidR="00F51EB7" w:rsidRDefault="00F51EB7" w:rsidP="00F51EB7">
            <w:pPr>
              <w:pStyle w:val="a6"/>
              <w:widowControl/>
              <w:pBdr>
                <w:bottom w:val="none" w:sz="0" w:space="0" w:color="auto"/>
              </w:pBdr>
              <w:tabs>
                <w:tab w:val="clear" w:pos="4153"/>
                <w:tab w:val="clear" w:pos="8306"/>
              </w:tabs>
              <w:snapToGrid/>
              <w:ind w:rightChars="300" w:right="540"/>
              <w:jc w:val="both"/>
              <w:rPr>
                <w:sz w:val="21"/>
              </w:rPr>
            </w:pPr>
          </w:p>
          <w:p w:rsidR="00F51EB7" w:rsidRDefault="00F51EB7" w:rsidP="00F51EB7">
            <w:pPr>
              <w:pStyle w:val="a6"/>
              <w:widowControl/>
              <w:pBdr>
                <w:bottom w:val="none" w:sz="0" w:space="0" w:color="auto"/>
              </w:pBdr>
              <w:tabs>
                <w:tab w:val="clear" w:pos="4153"/>
                <w:tab w:val="clear" w:pos="8306"/>
              </w:tabs>
              <w:snapToGrid/>
              <w:ind w:rightChars="300" w:right="540"/>
              <w:jc w:val="both"/>
              <w:rPr>
                <w:sz w:val="21"/>
              </w:rPr>
            </w:pPr>
          </w:p>
          <w:p w:rsidR="00F51EB7" w:rsidRDefault="00F51EB7" w:rsidP="00F51EB7">
            <w:pPr>
              <w:pStyle w:val="a6"/>
              <w:widowControl/>
              <w:pBdr>
                <w:bottom w:val="none" w:sz="0" w:space="0" w:color="auto"/>
              </w:pBdr>
              <w:tabs>
                <w:tab w:val="clear" w:pos="4153"/>
                <w:tab w:val="clear" w:pos="8306"/>
              </w:tabs>
              <w:snapToGrid/>
              <w:ind w:rightChars="300" w:right="540"/>
              <w:jc w:val="both"/>
              <w:rPr>
                <w:sz w:val="21"/>
              </w:rPr>
            </w:pPr>
          </w:p>
          <w:p w:rsidR="00F51EB7" w:rsidRDefault="00F51EB7" w:rsidP="00F51EB7">
            <w:pPr>
              <w:pStyle w:val="a6"/>
              <w:widowControl/>
              <w:pBdr>
                <w:bottom w:val="none" w:sz="0" w:space="0" w:color="auto"/>
              </w:pBdr>
              <w:tabs>
                <w:tab w:val="clear" w:pos="4153"/>
                <w:tab w:val="clear" w:pos="8306"/>
              </w:tabs>
              <w:snapToGrid/>
              <w:ind w:rightChars="300" w:right="540"/>
              <w:jc w:val="both"/>
              <w:rPr>
                <w:sz w:val="21"/>
              </w:rPr>
            </w:pPr>
          </w:p>
          <w:p w:rsidR="00F51EB7" w:rsidRDefault="00F51EB7" w:rsidP="00F51EB7">
            <w:pPr>
              <w:pStyle w:val="a6"/>
              <w:widowControl/>
              <w:pBdr>
                <w:bottom w:val="none" w:sz="0" w:space="0" w:color="auto"/>
              </w:pBdr>
              <w:tabs>
                <w:tab w:val="clear" w:pos="4153"/>
                <w:tab w:val="clear" w:pos="8306"/>
              </w:tabs>
              <w:snapToGrid/>
              <w:ind w:rightChars="300" w:right="540"/>
              <w:jc w:val="both"/>
              <w:rPr>
                <w:sz w:val="21"/>
              </w:rPr>
            </w:pPr>
          </w:p>
          <w:p w:rsidR="00F51EB7" w:rsidRPr="00F224E2" w:rsidRDefault="00F51EB7" w:rsidP="00F51EB7">
            <w:pPr>
              <w:pStyle w:val="a6"/>
              <w:widowControl/>
              <w:pBdr>
                <w:bottom w:val="none" w:sz="0" w:space="0" w:color="auto"/>
              </w:pBdr>
              <w:tabs>
                <w:tab w:val="clear" w:pos="4153"/>
                <w:tab w:val="clear" w:pos="8306"/>
              </w:tabs>
              <w:snapToGrid/>
              <w:ind w:rightChars="300" w:right="540"/>
              <w:jc w:val="both"/>
              <w:rPr>
                <w:sz w:val="21"/>
              </w:rPr>
            </w:pPr>
          </w:p>
          <w:p w:rsidR="008D4BDD" w:rsidRPr="000E6AE0" w:rsidRDefault="008D4BDD" w:rsidP="000E6AE0">
            <w:pPr>
              <w:ind w:rightChars="300" w:right="540"/>
            </w:pPr>
          </w:p>
          <w:p w:rsidR="00F72FA2" w:rsidRDefault="00F72FA2" w:rsidP="000E6AE0">
            <w:pPr>
              <w:ind w:rightChars="300" w:right="540"/>
              <w:jc w:val="left"/>
              <w:rPr>
                <w:rFonts w:eastAsia="黑体" w:cs="Arial"/>
                <w:sz w:val="30"/>
                <w:szCs w:val="52"/>
              </w:rPr>
            </w:pPr>
          </w:p>
          <w:p w:rsidR="000E6AE0" w:rsidRDefault="000E6AE0" w:rsidP="000E6AE0">
            <w:pPr>
              <w:ind w:rightChars="300" w:right="540"/>
              <w:jc w:val="left"/>
              <w:rPr>
                <w:rFonts w:eastAsia="黑体" w:cs="Arial"/>
                <w:sz w:val="30"/>
                <w:szCs w:val="52"/>
              </w:rPr>
            </w:pPr>
          </w:p>
          <w:p w:rsidR="000E6AE0" w:rsidRDefault="000E6AE0" w:rsidP="000E6AE0">
            <w:pPr>
              <w:ind w:rightChars="300" w:right="540"/>
              <w:jc w:val="left"/>
              <w:rPr>
                <w:rFonts w:eastAsia="黑体" w:cs="Arial"/>
                <w:sz w:val="30"/>
                <w:szCs w:val="52"/>
              </w:rPr>
            </w:pPr>
          </w:p>
          <w:p w:rsidR="000E6AE0" w:rsidRDefault="000E6AE0" w:rsidP="000E6AE0">
            <w:pPr>
              <w:ind w:rightChars="300" w:right="540"/>
              <w:jc w:val="left"/>
              <w:rPr>
                <w:rFonts w:eastAsia="黑体" w:cs="Arial"/>
                <w:sz w:val="30"/>
                <w:szCs w:val="52"/>
              </w:rPr>
            </w:pPr>
          </w:p>
          <w:sdt>
            <w:sdtPr>
              <w:rPr>
                <w:rFonts w:eastAsia="黑体" w:cs="Arial"/>
                <w:sz w:val="30"/>
                <w:szCs w:val="52"/>
              </w:rPr>
              <w:alias w:val="专题相关报告万能版"/>
              <w:tag w:val="BDCONTENTCONTROL_0694d7ec-429e-443a-8333-6c91828fed93"/>
              <w:id w:val="-68895231"/>
              <w:placeholder>
                <w:docPart w:val="EE93CA264701430E92960E75BB2BDC3B"/>
              </w:placeholder>
            </w:sdtPr>
            <w:sdtEndPr/>
            <w:sdtContent>
              <w:p w:rsidR="00A05AC0" w:rsidRDefault="00A05AC0" w:rsidP="00A05AC0">
                <w:pPr>
                  <w:spacing w:line="14" w:lineRule="exact"/>
                  <w:ind w:rightChars="300" w:right="540"/>
                  <w:jc w:val="left"/>
                  <w:rPr>
                    <w:rFonts w:eastAsia="黑体" w:cs="Arial"/>
                    <w:sz w:val="30"/>
                    <w:szCs w:val="52"/>
                  </w:rPr>
                </w:pPr>
              </w:p>
              <w:tbl>
                <w:tblPr>
                  <w:tblW w:w="3368" w:type="dxa"/>
                  <w:tblLayout w:type="fixed"/>
                  <w:tblLook w:val="0000" w:firstRow="0" w:lastRow="0" w:firstColumn="0" w:lastColumn="0" w:noHBand="0" w:noVBand="0"/>
                </w:tblPr>
                <w:tblGrid>
                  <w:gridCol w:w="3368"/>
                </w:tblGrid>
                <w:tr w:rsidR="00A05AC0" w:rsidTr="004F7C74">
                  <w:trPr>
                    <w:trHeight w:val="510"/>
                  </w:trPr>
                  <w:tc>
                    <w:tcPr>
                      <w:tcW w:w="3368" w:type="dxa"/>
                      <w:vAlign w:val="bottom"/>
                    </w:tcPr>
                    <w:p w:rsidR="00A05AC0" w:rsidRPr="00A05AC0" w:rsidRDefault="00A05AC0" w:rsidP="004F7C74">
                      <w:pPr>
                        <w:ind w:rightChars="300" w:right="540"/>
                        <w:rPr>
                          <w:rFonts w:ascii="楷体_GB2312" w:cs="Arial"/>
                          <w:b/>
                          <w:sz w:val="21"/>
                          <w:szCs w:val="21"/>
                        </w:rPr>
                      </w:pPr>
                    </w:p>
                  </w:tc>
                </w:tr>
                <w:tr w:rsidR="00A05AC0" w:rsidTr="004F7C74">
                  <w:trPr>
                    <w:trHeight w:val="510"/>
                  </w:trPr>
                  <w:tc>
                    <w:tcPr>
                      <w:tcW w:w="3368" w:type="dxa"/>
                      <w:vAlign w:val="bottom"/>
                    </w:tcPr>
                    <w:p w:rsidR="00A05AC0" w:rsidRPr="00A05AC0" w:rsidRDefault="00A05AC0" w:rsidP="004F7C74">
                      <w:pPr>
                        <w:ind w:rightChars="300" w:right="540"/>
                        <w:rPr>
                          <w:rFonts w:cs="Arial"/>
                          <w:szCs w:val="52"/>
                        </w:rPr>
                      </w:pPr>
                    </w:p>
                  </w:tc>
                </w:tr>
                <w:tr w:rsidR="00A05AC0" w:rsidTr="004F7C74">
                  <w:trPr>
                    <w:trHeight w:val="510"/>
                  </w:trPr>
                  <w:tc>
                    <w:tcPr>
                      <w:tcW w:w="3368" w:type="dxa"/>
                      <w:vAlign w:val="bottom"/>
                    </w:tcPr>
                    <w:p w:rsidR="00A05AC0" w:rsidRPr="00A05AC0" w:rsidRDefault="00A05AC0" w:rsidP="004F7C74">
                      <w:pPr>
                        <w:ind w:rightChars="300" w:right="540"/>
                        <w:rPr>
                          <w:rFonts w:cs="Arial"/>
                          <w:szCs w:val="52"/>
                        </w:rPr>
                      </w:pPr>
                    </w:p>
                  </w:tc>
                </w:tr>
                <w:tr w:rsidR="00A05AC0" w:rsidTr="004F7C74">
                  <w:trPr>
                    <w:trHeight w:val="510"/>
                  </w:trPr>
                  <w:tc>
                    <w:tcPr>
                      <w:tcW w:w="3368" w:type="dxa"/>
                      <w:vAlign w:val="bottom"/>
                    </w:tcPr>
                    <w:p w:rsidR="00A05AC0" w:rsidRPr="00A05AC0" w:rsidRDefault="00A05AC0" w:rsidP="004F7C74">
                      <w:pPr>
                        <w:ind w:rightChars="300" w:right="540"/>
                        <w:rPr>
                          <w:rFonts w:cs="Arial"/>
                          <w:szCs w:val="52"/>
                        </w:rPr>
                      </w:pPr>
                    </w:p>
                  </w:tc>
                </w:tr>
                <w:tr w:rsidR="00A05AC0" w:rsidTr="004F7C74">
                  <w:trPr>
                    <w:trHeight w:val="510"/>
                  </w:trPr>
                  <w:tc>
                    <w:tcPr>
                      <w:tcW w:w="3368" w:type="dxa"/>
                      <w:vAlign w:val="bottom"/>
                    </w:tcPr>
                    <w:p w:rsidR="00A05AC0" w:rsidRPr="00A05AC0" w:rsidRDefault="00A05AC0" w:rsidP="004F7C74">
                      <w:pPr>
                        <w:ind w:rightChars="300" w:right="540"/>
                        <w:rPr>
                          <w:rFonts w:cs="Arial"/>
                          <w:szCs w:val="52"/>
                        </w:rPr>
                      </w:pPr>
                    </w:p>
                  </w:tc>
                </w:tr>
                <w:tr w:rsidR="00626F55" w:rsidTr="004F7C74">
                  <w:trPr>
                    <w:trHeight w:val="510"/>
                  </w:trPr>
                  <w:tc>
                    <w:tcPr>
                      <w:tcW w:w="3368" w:type="dxa"/>
                      <w:vAlign w:val="bottom"/>
                    </w:tcPr>
                    <w:p w:rsidR="00626F55" w:rsidRPr="00A05AC0" w:rsidRDefault="00626F55" w:rsidP="004F7C74">
                      <w:pPr>
                        <w:ind w:rightChars="300" w:right="540"/>
                        <w:rPr>
                          <w:rFonts w:cs="Arial"/>
                          <w:szCs w:val="52"/>
                        </w:rPr>
                      </w:pPr>
                    </w:p>
                  </w:tc>
                </w:tr>
              </w:tbl>
              <w:p w:rsidR="000E6AE0" w:rsidRDefault="00552BF7" w:rsidP="00A05AC0">
                <w:pPr>
                  <w:spacing w:line="14" w:lineRule="exact"/>
                  <w:ind w:rightChars="300" w:right="540"/>
                  <w:jc w:val="left"/>
                  <w:rPr>
                    <w:rFonts w:eastAsia="黑体" w:cs="Arial"/>
                    <w:sz w:val="30"/>
                    <w:szCs w:val="52"/>
                  </w:rPr>
                </w:pPr>
              </w:p>
            </w:sdtContent>
          </w:sdt>
          <w:p w:rsidR="000E6AE0" w:rsidRDefault="000E6AE0" w:rsidP="000E6AE0">
            <w:pPr>
              <w:ind w:rightChars="300" w:right="540"/>
              <w:jc w:val="left"/>
              <w:rPr>
                <w:rFonts w:eastAsia="黑体" w:cs="Arial"/>
                <w:sz w:val="30"/>
                <w:szCs w:val="52"/>
              </w:rPr>
            </w:pPr>
          </w:p>
          <w:p w:rsidR="000E6AE0" w:rsidRDefault="000E6AE0" w:rsidP="00AA352E">
            <w:pPr>
              <w:jc w:val="left"/>
              <w:rPr>
                <w:rFonts w:eastAsia="黑体" w:cs="Arial"/>
                <w:sz w:val="30"/>
                <w:szCs w:val="52"/>
              </w:rPr>
            </w:pPr>
          </w:p>
          <w:p w:rsidR="00A05AC0" w:rsidRDefault="00A05AC0" w:rsidP="00AA352E">
            <w:pPr>
              <w:jc w:val="left"/>
              <w:rPr>
                <w:rFonts w:eastAsia="黑体" w:cs="Arial"/>
                <w:sz w:val="30"/>
                <w:szCs w:val="52"/>
              </w:rPr>
            </w:pPr>
          </w:p>
          <w:p w:rsidR="009562F7" w:rsidRDefault="009562F7" w:rsidP="00AA352E">
            <w:pPr>
              <w:jc w:val="left"/>
              <w:rPr>
                <w:rFonts w:eastAsia="黑体" w:cs="Arial"/>
                <w:sz w:val="30"/>
                <w:szCs w:val="52"/>
              </w:rPr>
            </w:pPr>
          </w:p>
          <w:p w:rsidR="000E6AE0" w:rsidRDefault="000E6AE0" w:rsidP="00AA352E">
            <w:pPr>
              <w:jc w:val="left"/>
              <w:rPr>
                <w:rFonts w:eastAsia="黑体" w:cs="Arial"/>
                <w:sz w:val="30"/>
                <w:szCs w:val="52"/>
              </w:rPr>
            </w:pPr>
          </w:p>
          <w:p w:rsidR="000E6AE0" w:rsidRDefault="000E6AE0" w:rsidP="00AA352E">
            <w:pPr>
              <w:jc w:val="left"/>
              <w:rPr>
                <w:rFonts w:eastAsia="黑体" w:cs="Arial"/>
                <w:sz w:val="30"/>
                <w:szCs w:val="52"/>
              </w:rPr>
            </w:pPr>
          </w:p>
          <w:p w:rsidR="00D2211C" w:rsidRPr="008D4BDD" w:rsidRDefault="00D2211C" w:rsidP="00AA352E">
            <w:pPr>
              <w:jc w:val="left"/>
              <w:rPr>
                <w:rFonts w:eastAsia="黑体" w:cs="Arial"/>
                <w:sz w:val="30"/>
                <w:szCs w:val="52"/>
              </w:rPr>
            </w:pPr>
          </w:p>
          <w:tbl>
            <w:tblPr>
              <w:tblStyle w:val="af"/>
              <w:tblW w:w="3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458"/>
            </w:tblGrid>
            <w:tr w:rsidR="00D62C60" w:rsidTr="00A50B9B">
              <w:trPr>
                <w:trHeight w:val="2665"/>
              </w:trPr>
              <w:tc>
                <w:tcPr>
                  <w:tcW w:w="3458" w:type="dxa"/>
                  <w:tcMar>
                    <w:left w:w="57" w:type="dxa"/>
                    <w:right w:w="0" w:type="dxa"/>
                  </w:tcMar>
                  <w:vAlign w:val="bottom"/>
                </w:tcPr>
                <w:p w:rsidR="00D62C60" w:rsidRDefault="00D62C60" w:rsidP="00B632AD">
                  <w:pPr>
                    <w:rPr>
                      <w:rFonts w:ascii="楷体_GB2312"/>
                      <w:b/>
                      <w:sz w:val="21"/>
                      <w:szCs w:val="21"/>
                    </w:rPr>
                  </w:pPr>
                </w:p>
                <w:sdt>
                  <w:sdtPr>
                    <w:rPr>
                      <w:rFonts w:hint="eastAsia"/>
                    </w:rPr>
                    <w:alias w:val="作者展示"/>
                    <w:tag w:val="BDCONTENTCONTROL_3df14c52-472a-44c1-9e63-51d70c06bfcd"/>
                    <w:id w:val="1476954864"/>
                    <w:placeholder>
                      <w:docPart w:val="BE343C0A3357424294F39F680051F9AF"/>
                    </w:placeholder>
                  </w:sdtPr>
                  <w:sdtEndPr/>
                  <w:sdtContent>
                    <w:p w:rsidR="00B632AD" w:rsidRPr="00B632AD" w:rsidRDefault="00B632AD" w:rsidP="00B632AD">
                      <w:pPr>
                        <w:spacing w:line="14" w:lineRule="exact"/>
                      </w:pPr>
                    </w:p>
                    <w:tbl>
                      <w:tblPr>
                        <w:tblW w:w="3458" w:type="dxa"/>
                        <w:tblLayout w:type="fixed"/>
                        <w:tblCellMar>
                          <w:left w:w="0" w:type="dxa"/>
                          <w:right w:w="0" w:type="dxa"/>
                        </w:tblCellMar>
                        <w:tblLook w:val="0000" w:firstRow="0" w:lastRow="0" w:firstColumn="0" w:lastColumn="0" w:noHBand="0" w:noVBand="0"/>
                      </w:tblPr>
                      <w:tblGrid>
                        <w:gridCol w:w="850"/>
                        <w:gridCol w:w="2608"/>
                      </w:tblGrid>
                      <w:tr w:rsidR="00FE5CF4" w:rsidTr="00FE5CF4">
                        <w:trPr>
                          <w:trHeight w:val="567"/>
                        </w:trPr>
                        <w:tc>
                          <w:tcPr>
                            <w:tcW w:w="1229" w:type="pct"/>
                            <w:tcMar>
                              <w:left w:w="0" w:type="dxa"/>
                              <w:right w:w="28" w:type="dxa"/>
                            </w:tcMar>
                          </w:tcPr>
                          <w:p w:rsidR="00FE5CF4" w:rsidRPr="007A4B1B" w:rsidRDefault="003210C0" w:rsidP="00DB75E4">
                            <w:pPr>
                              <w:pStyle w:val="GJReportFirPageAuthorName"/>
                            </w:pPr>
                            <w:r>
                              <w:rPr>
                                <w:rFonts w:hint="eastAsia"/>
                              </w:rPr>
                              <w:t>王聃聃</w:t>
                            </w:r>
                          </w:p>
                        </w:tc>
                        <w:tc>
                          <w:tcPr>
                            <w:tcW w:w="3771" w:type="pct"/>
                            <w:tcMar>
                              <w:left w:w="0" w:type="dxa"/>
                              <w:right w:w="28" w:type="dxa"/>
                            </w:tcMar>
                          </w:tcPr>
                          <w:p w:rsidR="00FE5CF4" w:rsidRPr="007A4B1B" w:rsidRDefault="00FE5CF4" w:rsidP="003210C0">
                            <w:pPr>
                              <w:pStyle w:val="GJReportFirPageAuthorEmail"/>
                            </w:pPr>
                            <w:bookmarkStart w:id="3" w:name="_GoBack"/>
                            <w:bookmarkEnd w:id="3"/>
                          </w:p>
                        </w:tc>
                      </w:tr>
                    </w:tbl>
                    <w:p w:rsidR="00B632AD" w:rsidRPr="006E3D11" w:rsidRDefault="00552BF7" w:rsidP="003210C0">
                      <w:pPr>
                        <w:spacing w:line="14" w:lineRule="exact"/>
                      </w:pPr>
                    </w:p>
                  </w:sdtContent>
                </w:sdt>
              </w:tc>
            </w:tr>
          </w:tbl>
          <w:p w:rsidR="008D4BDD" w:rsidRPr="008D4BDD" w:rsidRDefault="008D4BDD" w:rsidP="00D62C60">
            <w:pPr>
              <w:jc w:val="left"/>
              <w:rPr>
                <w:rFonts w:eastAsia="黑体" w:cs="Arial"/>
                <w:sz w:val="30"/>
                <w:szCs w:val="52"/>
              </w:rPr>
            </w:pPr>
          </w:p>
        </w:tc>
        <w:tc>
          <w:tcPr>
            <w:tcW w:w="7568" w:type="dxa"/>
            <w:tcMar>
              <w:top w:w="28" w:type="dxa"/>
              <w:left w:w="108" w:type="dxa"/>
              <w:right w:w="28" w:type="dxa"/>
            </w:tcMar>
          </w:tcPr>
          <w:sdt>
            <w:sdtPr>
              <w:rPr>
                <w:rFonts w:ascii="楷体_GB2312" w:hint="eastAsia"/>
                <w:b/>
                <w:bCs/>
                <w:sz w:val="36"/>
                <w:szCs w:val="36"/>
              </w:rPr>
              <w:alias w:val="副标题"/>
              <w:tag w:val="BDCONTENTCONTROL_AUTO_SAVE_SubTitle"/>
              <w:id w:val="-642272724"/>
              <w:lock w:val="sdtLocked"/>
              <w:placeholder>
                <w:docPart w:val="BE343C0A3357424294F39F680051F9AF"/>
              </w:placeholder>
            </w:sdtPr>
            <w:sdtEndPr/>
            <w:sdtContent>
              <w:p w:rsidR="00962AD2" w:rsidRDefault="00C411DC" w:rsidP="00AA352E">
                <w:pPr>
                  <w:ind w:rightChars="13" w:right="23"/>
                  <w:jc w:val="center"/>
                  <w:rPr>
                    <w:rFonts w:ascii="楷体_GB2312"/>
                    <w:b/>
                    <w:bCs/>
                    <w:sz w:val="36"/>
                    <w:szCs w:val="36"/>
                  </w:rPr>
                </w:pPr>
                <w:r w:rsidRPr="00D4188D">
                  <w:rPr>
                    <w:rFonts w:ascii="楷体_GB2312" w:hint="eastAsia"/>
                    <w:b/>
                    <w:bCs/>
                    <w:sz w:val="36"/>
                    <w:szCs w:val="36"/>
                  </w:rPr>
                  <w:t>多维度稳健配置，增强灵活把握节奏</w:t>
                </w:r>
              </w:p>
            </w:sdtContent>
          </w:sdt>
          <w:p w:rsidR="00962AD2" w:rsidRPr="00BD4986" w:rsidRDefault="00962AD2" w:rsidP="00AA352E">
            <w:pPr>
              <w:jc w:val="left"/>
              <w:rPr>
                <w:rFonts w:eastAsia="黑体" w:cs="Arial"/>
                <w:sz w:val="30"/>
                <w:szCs w:val="52"/>
              </w:rPr>
            </w:pPr>
          </w:p>
          <w:sdt>
            <w:sdtPr>
              <w:rPr>
                <w:rFonts w:cs="Arial"/>
                <w:b/>
                <w:sz w:val="24"/>
                <w:szCs w:val="24"/>
              </w:rPr>
              <w:alias w:val="摘要"/>
              <w:tag w:val="BDCONTENTCONTROL_AUTO_SAVE_Summary"/>
              <w:id w:val="1939021410"/>
              <w:lock w:val="sdtLocked"/>
              <w:placeholder>
                <w:docPart w:val="BE343C0A3357424294F39F680051F9AF"/>
              </w:placeholder>
            </w:sdtPr>
            <w:sdtEndPr>
              <w:rPr>
                <w:rFonts w:cs="Times New Roman"/>
                <w:b w:val="0"/>
                <w:sz w:val="21"/>
                <w:szCs w:val="21"/>
              </w:rPr>
            </w:sdtEndPr>
            <w:sdtContent>
              <w:p w:rsidR="00EE1CC3" w:rsidRPr="00B00136" w:rsidRDefault="00EE1CC3" w:rsidP="00EE1CC3">
                <w:pPr>
                  <w:pStyle w:val="a0"/>
                  <w:spacing w:line="240" w:lineRule="auto"/>
                  <w:ind w:left="0" w:rightChars="12" w:right="22"/>
                  <w:jc w:val="left"/>
                  <w:rPr>
                    <w:b/>
                    <w:bCs/>
                    <w:color w:val="auto"/>
                    <w:sz w:val="24"/>
                  </w:rPr>
                </w:pPr>
                <w:r w:rsidRPr="00B00136">
                  <w:rPr>
                    <w:rFonts w:hint="eastAsia"/>
                    <w:b/>
                    <w:bCs/>
                    <w:color w:val="auto"/>
                    <w:sz w:val="24"/>
                  </w:rPr>
                  <w:t>投资策略</w:t>
                </w:r>
              </w:p>
              <w:p w:rsidR="00C411DC" w:rsidRPr="00400640" w:rsidRDefault="00C411DC" w:rsidP="00982BBE">
                <w:pPr>
                  <w:numPr>
                    <w:ilvl w:val="0"/>
                    <w:numId w:val="33"/>
                  </w:numPr>
                  <w:adjustRightInd w:val="0"/>
                  <w:snapToGrid w:val="0"/>
                  <w:spacing w:beforeLines="50" w:before="120" w:afterLines="50" w:after="120"/>
                  <w:rPr>
                    <w:color w:val="000000"/>
                    <w:kern w:val="0"/>
                    <w:sz w:val="21"/>
                    <w:szCs w:val="20"/>
                    <w:lang w:val="en-GB"/>
                  </w:rPr>
                </w:pPr>
                <w:r w:rsidRPr="00400640">
                  <w:rPr>
                    <w:rFonts w:hint="eastAsia"/>
                    <w:color w:val="000000"/>
                    <w:kern w:val="0"/>
                    <w:sz w:val="21"/>
                    <w:szCs w:val="20"/>
                    <w:lang w:val="en-GB"/>
                  </w:rPr>
                  <w:t>对于短期市场的调整以及下半年的</w:t>
                </w:r>
                <w:r w:rsidRPr="00400640">
                  <w:rPr>
                    <w:rFonts w:hint="eastAsia"/>
                    <w:color w:val="000000"/>
                    <w:kern w:val="0"/>
                    <w:sz w:val="21"/>
                    <w:szCs w:val="20"/>
                    <w:lang w:val="en-GB"/>
                  </w:rPr>
                  <w:t>A</w:t>
                </w:r>
                <w:r w:rsidRPr="00400640">
                  <w:rPr>
                    <w:rFonts w:hint="eastAsia"/>
                    <w:color w:val="000000"/>
                    <w:kern w:val="0"/>
                    <w:sz w:val="21"/>
                    <w:szCs w:val="20"/>
                    <w:lang w:val="en-GB"/>
                  </w:rPr>
                  <w:t>股市场投资，我们认为牛市途中有所波折在所难免，短期有必要控制风险但中期来看牛市的主要逻辑并未发生动摇。如前文所讲，经济数据距离稳健回升状态相差更远，在经济下滑压力并未减轻的背景下，仍要求宏观流动性的适度宽松，未来稳增长的组合拳仍将发力；与此同时，新经济的崛起、改革向纵深推进等因素均未发生改变。但下半年市场运行的节奏或逐渐发生变化，在估值泡沫明显、管理层监管力度加大、发行注册制逐步启动等因素扰动下，市场震荡幅度将加大，尤其是短期去杠杆冲击的背景下，投资者</w:t>
                </w:r>
                <w:r>
                  <w:rPr>
                    <w:rFonts w:hint="eastAsia"/>
                    <w:color w:val="000000"/>
                    <w:kern w:val="0"/>
                    <w:sz w:val="21"/>
                    <w:szCs w:val="20"/>
                    <w:lang w:val="en-GB"/>
                  </w:rPr>
                  <w:t>信心</w:t>
                </w:r>
                <w:r w:rsidRPr="00400640">
                  <w:rPr>
                    <w:rFonts w:hint="eastAsia"/>
                    <w:color w:val="000000"/>
                    <w:kern w:val="0"/>
                    <w:sz w:val="21"/>
                    <w:szCs w:val="20"/>
                    <w:lang w:val="en-GB"/>
                  </w:rPr>
                  <w:t>需要时间恢复，有必要进行</w:t>
                </w:r>
                <w:r w:rsidR="003210C0">
                  <w:rPr>
                    <w:rFonts w:hint="eastAsia"/>
                    <w:color w:val="000000"/>
                    <w:kern w:val="0"/>
                    <w:sz w:val="21"/>
                    <w:szCs w:val="20"/>
                    <w:lang w:val="en-GB"/>
                  </w:rPr>
                  <w:t>风险</w:t>
                </w:r>
                <w:r w:rsidRPr="00400640">
                  <w:rPr>
                    <w:rFonts w:hint="eastAsia"/>
                    <w:color w:val="000000"/>
                    <w:kern w:val="0"/>
                    <w:sz w:val="21"/>
                    <w:szCs w:val="20"/>
                    <w:lang w:val="en-GB"/>
                  </w:rPr>
                  <w:t>控制。</w:t>
                </w:r>
              </w:p>
              <w:p w:rsidR="00C411DC" w:rsidRPr="00F1717E" w:rsidRDefault="00C411DC" w:rsidP="00982BBE">
                <w:pPr>
                  <w:pStyle w:val="a0"/>
                  <w:numPr>
                    <w:ilvl w:val="0"/>
                    <w:numId w:val="33"/>
                  </w:numPr>
                  <w:adjustRightInd w:val="0"/>
                  <w:snapToGrid w:val="0"/>
                  <w:spacing w:beforeLines="50" w:before="120" w:afterLines="50" w:line="240" w:lineRule="auto"/>
                  <w:ind w:rightChars="12" w:right="22"/>
                  <w:jc w:val="left"/>
                </w:pPr>
                <w:r w:rsidRPr="00400640">
                  <w:rPr>
                    <w:rFonts w:hint="eastAsia"/>
                  </w:rPr>
                  <w:t>在短期监管趋于严格、货币政策阶段性以财政政策为主、估值泡沫明显等因素影响下，市场风险偏好将有所下降，全面性牛市的特点将向结构性牛市过渡。就基金投资来看，首先，考虑短期市场震荡、负面情绪有待时间消化，基金投资建议以稳健配置为主，降低高风险的权益类品种的</w:t>
                </w:r>
                <w:proofErr w:type="gramStart"/>
                <w:r w:rsidRPr="00400640">
                  <w:rPr>
                    <w:rFonts w:hint="eastAsia"/>
                  </w:rPr>
                  <w:t>仓位</w:t>
                </w:r>
                <w:proofErr w:type="gramEnd"/>
                <w:r w:rsidRPr="00400640">
                  <w:rPr>
                    <w:rFonts w:hint="eastAsia"/>
                  </w:rPr>
                  <w:t>，侧重今年滞涨的周期蓝</w:t>
                </w:r>
                <w:proofErr w:type="gramStart"/>
                <w:r w:rsidRPr="00400640">
                  <w:rPr>
                    <w:rFonts w:hint="eastAsia"/>
                  </w:rPr>
                  <w:t>筹风格</w:t>
                </w:r>
                <w:proofErr w:type="gramEnd"/>
                <w:r w:rsidRPr="00400640">
                  <w:rPr>
                    <w:rFonts w:hint="eastAsia"/>
                  </w:rPr>
                  <w:t>以及消费蓝</w:t>
                </w:r>
                <w:proofErr w:type="gramStart"/>
                <w:r w:rsidRPr="00400640">
                  <w:rPr>
                    <w:rFonts w:hint="eastAsia"/>
                  </w:rPr>
                  <w:t>筹风格</w:t>
                </w:r>
                <w:proofErr w:type="gramEnd"/>
                <w:r w:rsidRPr="00400640">
                  <w:rPr>
                    <w:rFonts w:hint="eastAsia"/>
                  </w:rPr>
                  <w:t>基金，与此同时对于历史投资风格稳健、擅于自下而上选股的基金经理可给予更多关注。其次，从下半年风格的动态调整角度，经济转型创新的步伐并未停滞，成长股仍具备更强的中期投资价值，但经历短期的市场降温，更将优劣分化，需要甄别擅长成长股投资、选</w:t>
                </w:r>
                <w:proofErr w:type="gramStart"/>
                <w:r w:rsidRPr="00400640">
                  <w:rPr>
                    <w:rFonts w:hint="eastAsia"/>
                  </w:rPr>
                  <w:t>股能力</w:t>
                </w:r>
                <w:proofErr w:type="gramEnd"/>
                <w:r w:rsidRPr="00400640">
                  <w:rPr>
                    <w:rFonts w:hint="eastAsia"/>
                  </w:rPr>
                  <w:t>突出的管理人。第三，就下半年的市场环境我们认为操作风格灵活以及重点关注主题投资的基金具有较高的配置价值。最后，在预计下半年市场大幅波动、投资收益把握难度上升的背景下，对于风险偏好更低的稳健型投资者，可关注以绝对收益为目标、重点参与打新的混合型基金以及运用股指期货对冲、构建市场中性组合的特定投资策略基金。</w:t>
                </w:r>
              </w:p>
              <w:p w:rsidR="00C411DC" w:rsidRPr="00E8033D" w:rsidRDefault="00C411DC" w:rsidP="00C411DC">
                <w:pPr>
                  <w:pStyle w:val="a0"/>
                  <w:numPr>
                    <w:ilvl w:val="0"/>
                    <w:numId w:val="33"/>
                  </w:numPr>
                  <w:spacing w:line="240" w:lineRule="auto"/>
                  <w:ind w:rightChars="12" w:right="22"/>
                  <w:rPr>
                    <w:color w:val="auto"/>
                  </w:rPr>
                </w:pPr>
                <w:r w:rsidRPr="00E8033D">
                  <w:rPr>
                    <w:rFonts w:hint="eastAsia"/>
                    <w:color w:val="auto"/>
                  </w:rPr>
                  <w:t>对于</w:t>
                </w:r>
                <w:r w:rsidRPr="00E8033D">
                  <w:rPr>
                    <w:rFonts w:hint="eastAsia"/>
                    <w:color w:val="auto"/>
                  </w:rPr>
                  <w:t>201</w:t>
                </w:r>
                <w:r>
                  <w:rPr>
                    <w:rFonts w:hint="eastAsia"/>
                    <w:color w:val="auto"/>
                  </w:rPr>
                  <w:t>5</w:t>
                </w:r>
                <w:r w:rsidRPr="00E8033D">
                  <w:rPr>
                    <w:rFonts w:hint="eastAsia"/>
                    <w:color w:val="auto"/>
                  </w:rPr>
                  <w:t>年</w:t>
                </w:r>
                <w:r>
                  <w:rPr>
                    <w:rFonts w:hint="eastAsia"/>
                    <w:color w:val="auto"/>
                  </w:rPr>
                  <w:t>7</w:t>
                </w:r>
                <w:r w:rsidRPr="00E8033D">
                  <w:rPr>
                    <w:rFonts w:hint="eastAsia"/>
                    <w:color w:val="auto"/>
                  </w:rPr>
                  <w:t>月的基金组合：</w:t>
                </w:r>
              </w:p>
              <w:p w:rsidR="00C411DC" w:rsidRPr="00E8033D" w:rsidRDefault="00C411DC" w:rsidP="00C411DC">
                <w:pPr>
                  <w:pStyle w:val="a0"/>
                  <w:numPr>
                    <w:ilvl w:val="0"/>
                    <w:numId w:val="34"/>
                  </w:numPr>
                  <w:spacing w:line="240" w:lineRule="auto"/>
                  <w:ind w:left="709" w:rightChars="12" w:right="22" w:hanging="289"/>
                  <w:jc w:val="left"/>
                  <w:rPr>
                    <w:color w:val="auto"/>
                  </w:rPr>
                </w:pPr>
                <w:r w:rsidRPr="00400640">
                  <w:rPr>
                    <w:rFonts w:hint="eastAsia"/>
                    <w:color w:val="auto"/>
                  </w:rPr>
                  <w:t>进攻性组合调入国泰金泰平衡、</w:t>
                </w:r>
                <w:proofErr w:type="gramStart"/>
                <w:r w:rsidRPr="00400640">
                  <w:rPr>
                    <w:rFonts w:hint="eastAsia"/>
                    <w:color w:val="auto"/>
                  </w:rPr>
                  <w:t>添富价值</w:t>
                </w:r>
                <w:proofErr w:type="gramEnd"/>
                <w:r w:rsidRPr="00400640">
                  <w:rPr>
                    <w:rFonts w:hint="eastAsia"/>
                    <w:color w:val="auto"/>
                  </w:rPr>
                  <w:t>和华泰量化增强。权益类资产的比例实际降低同时整体风格</w:t>
                </w:r>
                <w:proofErr w:type="gramStart"/>
                <w:r w:rsidRPr="00400640">
                  <w:rPr>
                    <w:rFonts w:hint="eastAsia"/>
                    <w:color w:val="auto"/>
                  </w:rPr>
                  <w:t>侧重低</w:t>
                </w:r>
                <w:proofErr w:type="gramEnd"/>
                <w:r w:rsidRPr="00400640">
                  <w:rPr>
                    <w:rFonts w:hint="eastAsia"/>
                    <w:color w:val="auto"/>
                  </w:rPr>
                  <w:t>估值的价值蓝筹风格。其中，光大配置相对均衡，风险收益配比较好，且具备较强的选股能力；广发行业侧重中游制造业，基金经理注重灵活操作；华泰量化增强目前</w:t>
                </w:r>
                <w:proofErr w:type="gramStart"/>
                <w:r w:rsidRPr="00400640">
                  <w:rPr>
                    <w:rFonts w:hint="eastAsia"/>
                    <w:color w:val="auto"/>
                  </w:rPr>
                  <w:t>侧重低</w:t>
                </w:r>
                <w:proofErr w:type="gramEnd"/>
                <w:r w:rsidRPr="00400640">
                  <w:rPr>
                    <w:rFonts w:hint="eastAsia"/>
                    <w:color w:val="auto"/>
                  </w:rPr>
                  <w:t>估值的金融板块；</w:t>
                </w:r>
                <w:proofErr w:type="gramStart"/>
                <w:r w:rsidRPr="00400640">
                  <w:rPr>
                    <w:rFonts w:hint="eastAsia"/>
                    <w:color w:val="auto"/>
                  </w:rPr>
                  <w:t>添富价值</w:t>
                </w:r>
                <w:proofErr w:type="gramEnd"/>
                <w:r w:rsidRPr="00400640">
                  <w:rPr>
                    <w:rFonts w:hint="eastAsia"/>
                    <w:color w:val="auto"/>
                  </w:rPr>
                  <w:t>的基金经理对价值类板块有不错的把握且</w:t>
                </w:r>
                <w:r>
                  <w:rPr>
                    <w:rFonts w:hint="eastAsia"/>
                    <w:color w:val="auto"/>
                  </w:rPr>
                  <w:t>风险控制能力突出；国泰金</w:t>
                </w:r>
                <w:proofErr w:type="gramStart"/>
                <w:r>
                  <w:rPr>
                    <w:rFonts w:hint="eastAsia"/>
                    <w:color w:val="auto"/>
                  </w:rPr>
                  <w:t>泰目前</w:t>
                </w:r>
                <w:proofErr w:type="gramEnd"/>
                <w:r>
                  <w:rPr>
                    <w:rFonts w:hint="eastAsia"/>
                    <w:color w:val="auto"/>
                  </w:rPr>
                  <w:t>的股票</w:t>
                </w:r>
                <w:proofErr w:type="gramStart"/>
                <w:r>
                  <w:rPr>
                    <w:rFonts w:hint="eastAsia"/>
                    <w:color w:val="auto"/>
                  </w:rPr>
                  <w:t>仓位</w:t>
                </w:r>
                <w:proofErr w:type="gramEnd"/>
                <w:r>
                  <w:rPr>
                    <w:rFonts w:hint="eastAsia"/>
                    <w:color w:val="auto"/>
                  </w:rPr>
                  <w:t>非常低并以打新策略为主</w:t>
                </w:r>
                <w:r w:rsidRPr="00E8033D">
                  <w:rPr>
                    <w:rFonts w:hint="eastAsia"/>
                    <w:color w:val="auto"/>
                  </w:rPr>
                  <w:t>；</w:t>
                </w:r>
              </w:p>
              <w:p w:rsidR="00C411DC" w:rsidRPr="00E8033D" w:rsidRDefault="00C411DC" w:rsidP="00C411DC">
                <w:pPr>
                  <w:pStyle w:val="a0"/>
                  <w:numPr>
                    <w:ilvl w:val="0"/>
                    <w:numId w:val="34"/>
                  </w:numPr>
                  <w:spacing w:line="240" w:lineRule="auto"/>
                  <w:ind w:left="709" w:rightChars="12" w:right="22" w:hanging="289"/>
                  <w:jc w:val="left"/>
                  <w:rPr>
                    <w:color w:val="auto"/>
                  </w:rPr>
                </w:pPr>
                <w:r w:rsidRPr="00400640">
                  <w:rPr>
                    <w:rFonts w:hint="eastAsia"/>
                    <w:color w:val="auto"/>
                  </w:rPr>
                  <w:t>防御型组合本月调入招商安泰股票、广发消费品和中欧瑾源，明显降低组合风险。组合内广发消费品侧重消费蓝</w:t>
                </w:r>
                <w:proofErr w:type="gramStart"/>
                <w:r w:rsidRPr="00400640">
                  <w:rPr>
                    <w:rFonts w:hint="eastAsia"/>
                    <w:color w:val="auto"/>
                  </w:rPr>
                  <w:t>筹板块</w:t>
                </w:r>
                <w:proofErr w:type="gramEnd"/>
                <w:r w:rsidRPr="00400640">
                  <w:rPr>
                    <w:rFonts w:hint="eastAsia"/>
                    <w:color w:val="auto"/>
                  </w:rPr>
                  <w:t>投资，风格较为稳健，在今年消费类板块滞涨、具备估值优势的背景下适当关注；招商安泰</w:t>
                </w:r>
                <w:proofErr w:type="gramStart"/>
                <w:r w:rsidRPr="00400640">
                  <w:rPr>
                    <w:rFonts w:hint="eastAsia"/>
                    <w:color w:val="auto"/>
                  </w:rPr>
                  <w:t>股票股票仓位</w:t>
                </w:r>
                <w:proofErr w:type="gramEnd"/>
                <w:r w:rsidRPr="00400640">
                  <w:rPr>
                    <w:rFonts w:hint="eastAsia"/>
                    <w:color w:val="auto"/>
                  </w:rPr>
                  <w:t>适中，是一只风险收益水平相对较低的权益类品种，组合配置均衡且注重灵活；</w:t>
                </w:r>
                <w:proofErr w:type="gramStart"/>
                <w:r w:rsidRPr="00400640">
                  <w:rPr>
                    <w:rFonts w:hint="eastAsia"/>
                    <w:color w:val="auto"/>
                  </w:rPr>
                  <w:t>中欧瑾源是</w:t>
                </w:r>
                <w:proofErr w:type="gramEnd"/>
                <w:r w:rsidRPr="00400640">
                  <w:rPr>
                    <w:rFonts w:hint="eastAsia"/>
                    <w:color w:val="auto"/>
                  </w:rPr>
                  <w:t>一只以打新策略为主的绝对收益目标产品；此外，两只债券型基金占据</w:t>
                </w:r>
                <w:r w:rsidRPr="00400640">
                  <w:rPr>
                    <w:rFonts w:hint="eastAsia"/>
                    <w:color w:val="auto"/>
                  </w:rPr>
                  <w:t>40%</w:t>
                </w:r>
                <w:r w:rsidRPr="00400640">
                  <w:rPr>
                    <w:rFonts w:hint="eastAsia"/>
                    <w:color w:val="auto"/>
                  </w:rPr>
                  <w:t>的比例作为防御部分的配置</w:t>
                </w:r>
                <w:r w:rsidRPr="00E8033D">
                  <w:rPr>
                    <w:rFonts w:hint="eastAsia"/>
                    <w:color w:val="auto"/>
                  </w:rPr>
                  <w:t>；</w:t>
                </w:r>
              </w:p>
              <w:p w:rsidR="00BC7E24" w:rsidRPr="00C411DC" w:rsidRDefault="00C411DC" w:rsidP="00C411DC">
                <w:pPr>
                  <w:pStyle w:val="a0"/>
                  <w:numPr>
                    <w:ilvl w:val="0"/>
                    <w:numId w:val="34"/>
                  </w:numPr>
                  <w:spacing w:line="240" w:lineRule="auto"/>
                  <w:ind w:left="709" w:rightChars="12" w:right="22" w:hanging="289"/>
                  <w:jc w:val="left"/>
                  <w:rPr>
                    <w:color w:val="auto"/>
                  </w:rPr>
                </w:pPr>
                <w:r w:rsidRPr="00400640">
                  <w:rPr>
                    <w:rFonts w:hint="eastAsia"/>
                    <w:color w:val="auto"/>
                    <w:szCs w:val="20"/>
                  </w:rPr>
                  <w:t>作为灵活配置型组合，短期从控制风险的角度，降低高风险资产的比例，组合内权益类产品比例为</w:t>
                </w:r>
                <w:r w:rsidRPr="00400640">
                  <w:rPr>
                    <w:rFonts w:hint="eastAsia"/>
                    <w:color w:val="auto"/>
                    <w:szCs w:val="20"/>
                  </w:rPr>
                  <w:t>20%</w:t>
                </w:r>
                <w:r w:rsidRPr="00400640">
                  <w:rPr>
                    <w:rFonts w:hint="eastAsia"/>
                    <w:color w:val="auto"/>
                    <w:szCs w:val="20"/>
                  </w:rPr>
                  <w:t>，重点关注投资风格稳健的中欧新蓝筹。另外配置</w:t>
                </w:r>
                <w:r w:rsidRPr="00400640">
                  <w:rPr>
                    <w:rFonts w:hint="eastAsia"/>
                    <w:color w:val="auto"/>
                    <w:szCs w:val="20"/>
                  </w:rPr>
                  <w:t>30%</w:t>
                </w:r>
                <w:r w:rsidRPr="00400640">
                  <w:rPr>
                    <w:rFonts w:hint="eastAsia"/>
                    <w:color w:val="auto"/>
                    <w:szCs w:val="20"/>
                  </w:rPr>
                  <w:t>的南方绝对收益，基金采用市场中性策略，运用股指期货等工具对系统性风险进行对冲，比较适合震荡市场环境中持有。</w:t>
                </w:r>
              </w:p>
            </w:sdtContent>
          </w:sdt>
        </w:tc>
      </w:tr>
    </w:tbl>
    <w:p w:rsidR="00C411DC" w:rsidRPr="00B00136" w:rsidRDefault="00C411DC" w:rsidP="00C411DC">
      <w:pPr>
        <w:pStyle w:val="14"/>
        <w:ind w:leftChars="1890"/>
        <w:rPr>
          <w:color w:val="auto"/>
        </w:rPr>
      </w:pPr>
      <w:bookmarkStart w:id="4" w:name="_Toc249266541"/>
      <w:r w:rsidRPr="00B00136">
        <w:rPr>
          <w:rFonts w:hint="eastAsia"/>
          <w:bCs w:val="0"/>
          <w:color w:val="auto"/>
        </w:rPr>
        <w:lastRenderedPageBreak/>
        <w:t>2015</w:t>
      </w:r>
      <w:r w:rsidRPr="00B00136">
        <w:rPr>
          <w:rFonts w:hint="eastAsia"/>
          <w:bCs w:val="0"/>
          <w:color w:val="auto"/>
        </w:rPr>
        <w:t>年</w:t>
      </w:r>
      <w:r w:rsidRPr="00B00136">
        <w:rPr>
          <w:rFonts w:hint="eastAsia"/>
          <w:bCs w:val="0"/>
          <w:color w:val="auto"/>
        </w:rPr>
        <w:t>0</w:t>
      </w:r>
      <w:r>
        <w:rPr>
          <w:rFonts w:hint="eastAsia"/>
          <w:bCs w:val="0"/>
          <w:color w:val="auto"/>
        </w:rPr>
        <w:t>7</w:t>
      </w:r>
      <w:r w:rsidRPr="00B00136">
        <w:rPr>
          <w:rFonts w:hint="eastAsia"/>
          <w:bCs w:val="0"/>
          <w:color w:val="auto"/>
        </w:rPr>
        <w:t>月组合推荐（“</w:t>
      </w:r>
      <w:r w:rsidRPr="00B00136">
        <w:rPr>
          <w:rFonts w:hint="eastAsia"/>
          <w:color w:val="auto"/>
        </w:rPr>
        <w:t>★”</w:t>
      </w:r>
      <w:r w:rsidRPr="00B00136">
        <w:rPr>
          <w:rFonts w:hint="eastAsia"/>
          <w:bCs w:val="0"/>
          <w:color w:val="auto"/>
        </w:rPr>
        <w:t>为重点推荐的组合和产品）</w:t>
      </w:r>
    </w:p>
    <w:tbl>
      <w:tblPr>
        <w:tblW w:w="7371" w:type="dxa"/>
        <w:tblInd w:w="3402" w:type="dxa"/>
        <w:tblBorders>
          <w:top w:val="single" w:sz="4" w:space="0" w:color="00B0F0"/>
          <w:bottom w:val="single" w:sz="4" w:space="0" w:color="00B0F0"/>
          <w:insideH w:val="single" w:sz="4" w:space="0" w:color="00B0F0"/>
        </w:tblBorders>
        <w:tblLayout w:type="fixed"/>
        <w:tblCellMar>
          <w:left w:w="0" w:type="dxa"/>
          <w:right w:w="0" w:type="dxa"/>
        </w:tblCellMar>
        <w:tblLook w:val="0000" w:firstRow="0" w:lastRow="0" w:firstColumn="0" w:lastColumn="0" w:noHBand="0" w:noVBand="0"/>
      </w:tblPr>
      <w:tblGrid>
        <w:gridCol w:w="1276"/>
        <w:gridCol w:w="1559"/>
        <w:gridCol w:w="737"/>
        <w:gridCol w:w="227"/>
        <w:gridCol w:w="1190"/>
        <w:gridCol w:w="1674"/>
        <w:gridCol w:w="708"/>
      </w:tblGrid>
      <w:tr w:rsidR="00C411DC" w:rsidRPr="000C2B2D" w:rsidTr="007F40D7">
        <w:trPr>
          <w:cantSplit/>
          <w:trHeight w:val="340"/>
        </w:trPr>
        <w:tc>
          <w:tcPr>
            <w:tcW w:w="3572" w:type="dxa"/>
            <w:gridSpan w:val="3"/>
            <w:tcBorders>
              <w:top w:val="single" w:sz="4" w:space="0" w:color="00B0F0"/>
            </w:tcBorders>
            <w:shd w:val="clear" w:color="auto" w:fill="auto"/>
            <w:vAlign w:val="center"/>
          </w:tcPr>
          <w:p w:rsidR="00C411DC" w:rsidRPr="000F1DC9" w:rsidRDefault="00C411DC" w:rsidP="007F40D7">
            <w:pPr>
              <w:pStyle w:val="SubTitleLargeTable"/>
              <w:pBdr>
                <w:top w:val="none" w:sz="0" w:space="0" w:color="auto"/>
              </w:pBdr>
              <w:rPr>
                <w:rFonts w:ascii="楷体_GB2312"/>
                <w:b w:val="0"/>
                <w:lang w:val="en-US"/>
              </w:rPr>
            </w:pPr>
            <w:r>
              <w:rPr>
                <w:rFonts w:hint="eastAsia"/>
                <w:lang w:val="en-US"/>
              </w:rPr>
              <w:t>进攻型组合</w:t>
            </w:r>
          </w:p>
        </w:tc>
        <w:tc>
          <w:tcPr>
            <w:tcW w:w="227" w:type="dxa"/>
            <w:tcBorders>
              <w:top w:val="single" w:sz="4" w:space="0" w:color="00B0F0"/>
            </w:tcBorders>
            <w:shd w:val="clear" w:color="auto" w:fill="auto"/>
            <w:vAlign w:val="center"/>
          </w:tcPr>
          <w:p w:rsidR="00C411DC" w:rsidRPr="001309A1" w:rsidRDefault="00C411DC" w:rsidP="007F40D7">
            <w:pPr>
              <w:pStyle w:val="SubTitleLargeTable"/>
              <w:pBdr>
                <w:top w:val="none" w:sz="0" w:space="0" w:color="auto"/>
              </w:pBdr>
              <w:rPr>
                <w:lang w:val="en-US"/>
              </w:rPr>
            </w:pPr>
          </w:p>
        </w:tc>
        <w:tc>
          <w:tcPr>
            <w:tcW w:w="3572" w:type="dxa"/>
            <w:gridSpan w:val="3"/>
            <w:tcBorders>
              <w:top w:val="single" w:sz="4" w:space="0" w:color="00B0F0"/>
            </w:tcBorders>
            <w:shd w:val="clear" w:color="auto" w:fill="auto"/>
            <w:vAlign w:val="center"/>
          </w:tcPr>
          <w:p w:rsidR="00C411DC" w:rsidRPr="001309A1" w:rsidRDefault="00C411DC" w:rsidP="007F40D7">
            <w:pPr>
              <w:pStyle w:val="SubTitleLargeTable"/>
              <w:pBdr>
                <w:top w:val="none" w:sz="0" w:space="0" w:color="auto"/>
              </w:pBdr>
              <w:rPr>
                <w:lang w:val="en-US"/>
              </w:rPr>
            </w:pPr>
            <w:r>
              <w:rPr>
                <w:rFonts w:hint="eastAsia"/>
                <w:lang w:val="en-US"/>
              </w:rPr>
              <w:t>防御型组合</w:t>
            </w:r>
          </w:p>
        </w:tc>
      </w:tr>
      <w:tr w:rsidR="00C411DC" w:rsidRPr="000C2B2D" w:rsidTr="007F40D7">
        <w:trPr>
          <w:cantSplit/>
          <w:trHeight w:val="340"/>
        </w:trPr>
        <w:tc>
          <w:tcPr>
            <w:tcW w:w="1276" w:type="dxa"/>
            <w:tcBorders>
              <w:top w:val="single" w:sz="4" w:space="0" w:color="00B0F0"/>
            </w:tcBorders>
            <w:shd w:val="clear" w:color="auto" w:fill="auto"/>
            <w:vAlign w:val="center"/>
          </w:tcPr>
          <w:p w:rsidR="00C411DC" w:rsidRPr="000F1DC9" w:rsidRDefault="00C411DC" w:rsidP="007F40D7">
            <w:pPr>
              <w:jc w:val="center"/>
              <w:rPr>
                <w:rFonts w:ascii="楷体_GB2312"/>
                <w:b/>
              </w:rPr>
            </w:pPr>
            <w:r w:rsidRPr="000F1DC9">
              <w:rPr>
                <w:rFonts w:ascii="楷体_GB2312" w:hint="eastAsia"/>
                <w:b/>
              </w:rPr>
              <w:t>基金名称</w:t>
            </w:r>
          </w:p>
        </w:tc>
        <w:tc>
          <w:tcPr>
            <w:tcW w:w="1559" w:type="dxa"/>
            <w:tcBorders>
              <w:top w:val="single" w:sz="4" w:space="0" w:color="00B0F0"/>
            </w:tcBorders>
            <w:shd w:val="clear" w:color="auto" w:fill="auto"/>
            <w:vAlign w:val="center"/>
          </w:tcPr>
          <w:p w:rsidR="00C411DC" w:rsidRPr="000F1DC9" w:rsidRDefault="00C411DC" w:rsidP="007F40D7">
            <w:pPr>
              <w:jc w:val="center"/>
              <w:rPr>
                <w:rFonts w:ascii="楷体_GB2312"/>
                <w:b/>
              </w:rPr>
            </w:pPr>
            <w:r w:rsidRPr="000F1DC9">
              <w:rPr>
                <w:rFonts w:ascii="楷体_GB2312" w:hint="eastAsia"/>
                <w:b/>
              </w:rPr>
              <w:t>基金类型</w:t>
            </w:r>
          </w:p>
        </w:tc>
        <w:tc>
          <w:tcPr>
            <w:tcW w:w="737" w:type="dxa"/>
            <w:tcBorders>
              <w:top w:val="single" w:sz="4" w:space="0" w:color="00B0F0"/>
            </w:tcBorders>
            <w:shd w:val="clear" w:color="auto" w:fill="auto"/>
            <w:vAlign w:val="center"/>
          </w:tcPr>
          <w:p w:rsidR="00C411DC" w:rsidRPr="000F1DC9" w:rsidRDefault="00C411DC" w:rsidP="007F40D7">
            <w:pPr>
              <w:jc w:val="center"/>
              <w:rPr>
                <w:rFonts w:ascii="楷体_GB2312"/>
                <w:b/>
              </w:rPr>
            </w:pPr>
            <w:r w:rsidRPr="000F1DC9">
              <w:rPr>
                <w:rFonts w:ascii="楷体_GB2312" w:hint="eastAsia"/>
                <w:b/>
              </w:rPr>
              <w:t>权重</w:t>
            </w:r>
          </w:p>
        </w:tc>
        <w:tc>
          <w:tcPr>
            <w:tcW w:w="227" w:type="dxa"/>
            <w:vMerge w:val="restart"/>
            <w:tcBorders>
              <w:top w:val="single" w:sz="4" w:space="0" w:color="00B0F0"/>
            </w:tcBorders>
            <w:shd w:val="clear" w:color="auto" w:fill="auto"/>
            <w:vAlign w:val="center"/>
          </w:tcPr>
          <w:p w:rsidR="00C411DC" w:rsidRPr="000F1DC9" w:rsidRDefault="00C411DC" w:rsidP="007F40D7">
            <w:pPr>
              <w:jc w:val="center"/>
              <w:rPr>
                <w:rFonts w:ascii="楷体_GB2312"/>
                <w:b/>
              </w:rPr>
            </w:pPr>
          </w:p>
        </w:tc>
        <w:tc>
          <w:tcPr>
            <w:tcW w:w="1190" w:type="dxa"/>
            <w:tcBorders>
              <w:top w:val="single" w:sz="4" w:space="0" w:color="00B0F0"/>
            </w:tcBorders>
            <w:shd w:val="clear" w:color="auto" w:fill="auto"/>
            <w:vAlign w:val="center"/>
          </w:tcPr>
          <w:p w:rsidR="00C411DC" w:rsidRPr="000F1DC9" w:rsidRDefault="00C411DC" w:rsidP="007F40D7">
            <w:pPr>
              <w:jc w:val="center"/>
              <w:rPr>
                <w:rFonts w:ascii="楷体_GB2312"/>
                <w:b/>
              </w:rPr>
            </w:pPr>
            <w:r w:rsidRPr="000F1DC9">
              <w:rPr>
                <w:rFonts w:ascii="楷体_GB2312" w:hint="eastAsia"/>
                <w:b/>
              </w:rPr>
              <w:t>基金名称</w:t>
            </w:r>
          </w:p>
        </w:tc>
        <w:tc>
          <w:tcPr>
            <w:tcW w:w="1674" w:type="dxa"/>
            <w:tcBorders>
              <w:top w:val="single" w:sz="4" w:space="0" w:color="00B0F0"/>
            </w:tcBorders>
            <w:shd w:val="clear" w:color="auto" w:fill="auto"/>
            <w:vAlign w:val="center"/>
          </w:tcPr>
          <w:p w:rsidR="00C411DC" w:rsidRPr="000F1DC9" w:rsidRDefault="00C411DC" w:rsidP="007F40D7">
            <w:pPr>
              <w:jc w:val="center"/>
              <w:rPr>
                <w:rFonts w:ascii="楷体_GB2312"/>
                <w:b/>
              </w:rPr>
            </w:pPr>
            <w:r w:rsidRPr="000F1DC9">
              <w:rPr>
                <w:rFonts w:ascii="楷体_GB2312" w:hint="eastAsia"/>
                <w:b/>
              </w:rPr>
              <w:t>基金类型</w:t>
            </w:r>
          </w:p>
        </w:tc>
        <w:tc>
          <w:tcPr>
            <w:tcW w:w="708" w:type="dxa"/>
            <w:tcBorders>
              <w:top w:val="single" w:sz="4" w:space="0" w:color="00B0F0"/>
            </w:tcBorders>
            <w:shd w:val="clear" w:color="auto" w:fill="auto"/>
            <w:vAlign w:val="center"/>
          </w:tcPr>
          <w:p w:rsidR="00C411DC" w:rsidRPr="000F1DC9" w:rsidRDefault="00C411DC" w:rsidP="007F40D7">
            <w:pPr>
              <w:jc w:val="center"/>
              <w:rPr>
                <w:rFonts w:ascii="楷体_GB2312"/>
                <w:b/>
              </w:rPr>
            </w:pPr>
            <w:r w:rsidRPr="000F1DC9">
              <w:rPr>
                <w:rFonts w:ascii="楷体_GB2312" w:hint="eastAsia"/>
                <w:b/>
              </w:rPr>
              <w:t>权重</w:t>
            </w:r>
          </w:p>
        </w:tc>
      </w:tr>
      <w:tr w:rsidR="00C411DC" w:rsidRPr="00A86F8F" w:rsidTr="007F40D7">
        <w:trPr>
          <w:cantSplit/>
          <w:trHeight w:val="340"/>
        </w:trPr>
        <w:tc>
          <w:tcPr>
            <w:tcW w:w="1276" w:type="dxa"/>
            <w:shd w:val="clear" w:color="auto" w:fill="auto"/>
            <w:vAlign w:val="center"/>
          </w:tcPr>
          <w:p w:rsidR="00C411DC" w:rsidRPr="00781B63" w:rsidRDefault="00C411DC" w:rsidP="007F40D7">
            <w:pPr>
              <w:jc w:val="center"/>
              <w:rPr>
                <w:rFonts w:ascii="楷体_GB2312" w:hAnsi="楷体"/>
                <w:szCs w:val="18"/>
              </w:rPr>
            </w:pPr>
            <w:r w:rsidRPr="00781B63">
              <w:rPr>
                <w:rFonts w:ascii="楷体_GB2312" w:hAnsi="楷体" w:hint="eastAsia"/>
                <w:szCs w:val="18"/>
              </w:rPr>
              <w:t>光大配置</w:t>
            </w:r>
          </w:p>
        </w:tc>
        <w:tc>
          <w:tcPr>
            <w:tcW w:w="1559" w:type="dxa"/>
            <w:shd w:val="clear" w:color="auto" w:fill="auto"/>
            <w:vAlign w:val="center"/>
          </w:tcPr>
          <w:p w:rsidR="00C411DC" w:rsidRPr="00781B63" w:rsidRDefault="00C411DC" w:rsidP="007F40D7">
            <w:pPr>
              <w:jc w:val="center"/>
              <w:rPr>
                <w:rFonts w:ascii="楷体_GB2312" w:hAnsi="楷体"/>
                <w:szCs w:val="18"/>
              </w:rPr>
            </w:pPr>
            <w:r w:rsidRPr="00781B63">
              <w:rPr>
                <w:rFonts w:ascii="楷体_GB2312" w:hAnsi="楷体" w:hint="eastAsia"/>
                <w:szCs w:val="18"/>
              </w:rPr>
              <w:t>混合-灵活配置型</w:t>
            </w:r>
          </w:p>
        </w:tc>
        <w:tc>
          <w:tcPr>
            <w:tcW w:w="737" w:type="dxa"/>
            <w:shd w:val="clear" w:color="auto" w:fill="auto"/>
            <w:vAlign w:val="center"/>
          </w:tcPr>
          <w:p w:rsidR="00C411DC" w:rsidRPr="00505E91" w:rsidRDefault="00C411DC" w:rsidP="007F40D7">
            <w:pPr>
              <w:jc w:val="center"/>
              <w:rPr>
                <w:rFonts w:ascii="楷体_GB2312" w:hAnsi="宋体"/>
                <w:szCs w:val="18"/>
              </w:rPr>
            </w:pPr>
            <w:r w:rsidRPr="00505E91">
              <w:rPr>
                <w:rFonts w:ascii="楷体_GB2312" w:hAnsi="宋体" w:hint="eastAsia"/>
                <w:szCs w:val="18"/>
              </w:rPr>
              <w:t>20%</w:t>
            </w:r>
          </w:p>
        </w:tc>
        <w:tc>
          <w:tcPr>
            <w:tcW w:w="227" w:type="dxa"/>
            <w:vMerge/>
            <w:shd w:val="clear" w:color="auto" w:fill="auto"/>
            <w:vAlign w:val="center"/>
          </w:tcPr>
          <w:p w:rsidR="00C411DC" w:rsidRPr="00505E91" w:rsidRDefault="00C411DC" w:rsidP="007F40D7">
            <w:pPr>
              <w:jc w:val="center"/>
              <w:rPr>
                <w:rFonts w:ascii="楷体_GB2312"/>
                <w:szCs w:val="18"/>
              </w:rPr>
            </w:pPr>
          </w:p>
        </w:tc>
        <w:tc>
          <w:tcPr>
            <w:tcW w:w="1190" w:type="dxa"/>
            <w:shd w:val="clear" w:color="auto" w:fill="auto"/>
            <w:vAlign w:val="center"/>
          </w:tcPr>
          <w:p w:rsidR="00C411DC" w:rsidRPr="00400640" w:rsidRDefault="00C411DC" w:rsidP="007F40D7">
            <w:pPr>
              <w:jc w:val="center"/>
              <w:rPr>
                <w:rFonts w:ascii="楷体_GB2312" w:hAnsi="楷体"/>
                <w:szCs w:val="18"/>
              </w:rPr>
            </w:pPr>
            <w:r w:rsidRPr="00400640">
              <w:rPr>
                <w:rFonts w:ascii="楷体_GB2312" w:hAnsi="楷体" w:hint="eastAsia"/>
                <w:szCs w:val="18"/>
              </w:rPr>
              <w:t>招商安泰股票</w:t>
            </w:r>
          </w:p>
        </w:tc>
        <w:tc>
          <w:tcPr>
            <w:tcW w:w="1674" w:type="dxa"/>
            <w:shd w:val="clear" w:color="auto" w:fill="auto"/>
            <w:vAlign w:val="center"/>
          </w:tcPr>
          <w:p w:rsidR="00C411DC" w:rsidRPr="00400640" w:rsidRDefault="00C411DC" w:rsidP="007F40D7">
            <w:pPr>
              <w:jc w:val="center"/>
              <w:rPr>
                <w:rFonts w:ascii="楷体_GB2312" w:hAnsi="楷体"/>
                <w:szCs w:val="18"/>
              </w:rPr>
            </w:pPr>
            <w:r w:rsidRPr="00400640">
              <w:rPr>
                <w:rFonts w:ascii="楷体_GB2312" w:hAnsi="楷体" w:hint="eastAsia"/>
                <w:szCs w:val="18"/>
              </w:rPr>
              <w:t>股票型</w:t>
            </w:r>
          </w:p>
        </w:tc>
        <w:tc>
          <w:tcPr>
            <w:tcW w:w="708" w:type="dxa"/>
            <w:shd w:val="clear" w:color="auto" w:fill="auto"/>
            <w:vAlign w:val="center"/>
          </w:tcPr>
          <w:p w:rsidR="00C411DC" w:rsidRPr="00505E91" w:rsidRDefault="00C411DC" w:rsidP="007F40D7">
            <w:pPr>
              <w:jc w:val="center"/>
              <w:rPr>
                <w:rFonts w:ascii="楷体_GB2312" w:hAnsi="宋体"/>
                <w:bCs/>
                <w:szCs w:val="18"/>
              </w:rPr>
            </w:pPr>
            <w:r w:rsidRPr="00505E91">
              <w:rPr>
                <w:rFonts w:ascii="楷体_GB2312" w:hAnsi="宋体" w:hint="eastAsia"/>
                <w:bCs/>
                <w:szCs w:val="18"/>
              </w:rPr>
              <w:t>2</w:t>
            </w:r>
            <w:r>
              <w:rPr>
                <w:rFonts w:ascii="楷体_GB2312" w:hAnsi="宋体" w:hint="eastAsia"/>
                <w:bCs/>
                <w:szCs w:val="18"/>
              </w:rPr>
              <w:t>0</w:t>
            </w:r>
            <w:r w:rsidRPr="00505E91">
              <w:rPr>
                <w:rFonts w:ascii="楷体_GB2312" w:hAnsi="宋体" w:hint="eastAsia"/>
                <w:bCs/>
                <w:szCs w:val="18"/>
              </w:rPr>
              <w:t>%</w:t>
            </w:r>
          </w:p>
        </w:tc>
      </w:tr>
      <w:tr w:rsidR="00C411DC" w:rsidRPr="00A86F8F" w:rsidTr="007F40D7">
        <w:trPr>
          <w:cantSplit/>
          <w:trHeight w:val="340"/>
        </w:trPr>
        <w:tc>
          <w:tcPr>
            <w:tcW w:w="1276" w:type="dxa"/>
            <w:shd w:val="clear" w:color="auto" w:fill="auto"/>
            <w:vAlign w:val="center"/>
          </w:tcPr>
          <w:p w:rsidR="00C411DC" w:rsidRPr="00400640" w:rsidRDefault="00C411DC" w:rsidP="007F40D7">
            <w:pPr>
              <w:jc w:val="center"/>
              <w:rPr>
                <w:rFonts w:ascii="楷体_GB2312" w:hAnsi="楷体"/>
                <w:szCs w:val="18"/>
              </w:rPr>
            </w:pPr>
            <w:r w:rsidRPr="00400640">
              <w:rPr>
                <w:rFonts w:ascii="楷体_GB2312" w:hAnsi="楷体" w:hint="eastAsia"/>
                <w:szCs w:val="18"/>
              </w:rPr>
              <w:t>国泰金</w:t>
            </w:r>
            <w:proofErr w:type="gramStart"/>
            <w:r w:rsidRPr="00400640">
              <w:rPr>
                <w:rFonts w:ascii="楷体_GB2312" w:hAnsi="楷体" w:hint="eastAsia"/>
                <w:szCs w:val="18"/>
              </w:rPr>
              <w:t>泰平衡</w:t>
            </w:r>
            <w:proofErr w:type="gramEnd"/>
          </w:p>
        </w:tc>
        <w:tc>
          <w:tcPr>
            <w:tcW w:w="1559" w:type="dxa"/>
            <w:shd w:val="clear" w:color="auto" w:fill="auto"/>
            <w:vAlign w:val="center"/>
          </w:tcPr>
          <w:p w:rsidR="00C411DC" w:rsidRPr="00400640" w:rsidRDefault="00C411DC" w:rsidP="007F40D7">
            <w:pPr>
              <w:jc w:val="center"/>
              <w:rPr>
                <w:rFonts w:ascii="楷体_GB2312" w:hAnsi="楷体"/>
                <w:szCs w:val="18"/>
              </w:rPr>
            </w:pPr>
            <w:r w:rsidRPr="00400640">
              <w:rPr>
                <w:rFonts w:ascii="楷体_GB2312" w:hAnsi="楷体" w:hint="eastAsia"/>
                <w:szCs w:val="18"/>
              </w:rPr>
              <w:t>混合-保守配置型</w:t>
            </w:r>
          </w:p>
        </w:tc>
        <w:tc>
          <w:tcPr>
            <w:tcW w:w="737" w:type="dxa"/>
            <w:shd w:val="clear" w:color="auto" w:fill="auto"/>
            <w:vAlign w:val="center"/>
          </w:tcPr>
          <w:p w:rsidR="00C411DC" w:rsidRPr="00505E91" w:rsidRDefault="00C411DC" w:rsidP="007F40D7">
            <w:pPr>
              <w:jc w:val="center"/>
              <w:rPr>
                <w:rFonts w:ascii="楷体_GB2312" w:hAnsi="宋体"/>
                <w:szCs w:val="18"/>
              </w:rPr>
            </w:pPr>
            <w:r w:rsidRPr="00505E91">
              <w:rPr>
                <w:rFonts w:ascii="楷体_GB2312" w:hAnsi="宋体" w:hint="eastAsia"/>
                <w:szCs w:val="18"/>
              </w:rPr>
              <w:t>20%</w:t>
            </w:r>
          </w:p>
        </w:tc>
        <w:tc>
          <w:tcPr>
            <w:tcW w:w="227" w:type="dxa"/>
            <w:vMerge/>
            <w:shd w:val="clear" w:color="auto" w:fill="auto"/>
            <w:vAlign w:val="center"/>
          </w:tcPr>
          <w:p w:rsidR="00C411DC" w:rsidRPr="00505E91" w:rsidRDefault="00C411DC" w:rsidP="007F40D7">
            <w:pPr>
              <w:jc w:val="center"/>
              <w:rPr>
                <w:rFonts w:ascii="楷体_GB2312"/>
                <w:szCs w:val="18"/>
              </w:rPr>
            </w:pPr>
          </w:p>
        </w:tc>
        <w:tc>
          <w:tcPr>
            <w:tcW w:w="1190" w:type="dxa"/>
            <w:shd w:val="clear" w:color="auto" w:fill="auto"/>
            <w:vAlign w:val="center"/>
          </w:tcPr>
          <w:p w:rsidR="00C411DC" w:rsidRPr="00400640" w:rsidRDefault="00C411DC" w:rsidP="007F40D7">
            <w:pPr>
              <w:jc w:val="center"/>
              <w:rPr>
                <w:rFonts w:ascii="楷体_GB2312" w:hAnsi="楷体"/>
                <w:szCs w:val="18"/>
              </w:rPr>
            </w:pPr>
            <w:proofErr w:type="gramStart"/>
            <w:r w:rsidRPr="00400640">
              <w:rPr>
                <w:rFonts w:ascii="楷体_GB2312" w:hAnsi="楷体" w:hint="eastAsia"/>
                <w:szCs w:val="18"/>
              </w:rPr>
              <w:t>中欧瑾源</w:t>
            </w:r>
            <w:proofErr w:type="gramEnd"/>
          </w:p>
        </w:tc>
        <w:tc>
          <w:tcPr>
            <w:tcW w:w="1674" w:type="dxa"/>
            <w:shd w:val="clear" w:color="auto" w:fill="auto"/>
            <w:vAlign w:val="center"/>
          </w:tcPr>
          <w:p w:rsidR="00C411DC" w:rsidRPr="00400640" w:rsidRDefault="00C411DC" w:rsidP="007F40D7">
            <w:pPr>
              <w:jc w:val="center"/>
              <w:rPr>
                <w:rFonts w:ascii="楷体_GB2312" w:hAnsi="楷体"/>
                <w:szCs w:val="18"/>
              </w:rPr>
            </w:pPr>
            <w:r w:rsidRPr="00400640">
              <w:rPr>
                <w:rFonts w:ascii="楷体_GB2312" w:hAnsi="楷体" w:hint="eastAsia"/>
                <w:szCs w:val="18"/>
              </w:rPr>
              <w:t>混合-灵活配置型</w:t>
            </w:r>
          </w:p>
        </w:tc>
        <w:tc>
          <w:tcPr>
            <w:tcW w:w="708" w:type="dxa"/>
            <w:shd w:val="clear" w:color="auto" w:fill="auto"/>
            <w:vAlign w:val="center"/>
          </w:tcPr>
          <w:p w:rsidR="00C411DC" w:rsidRPr="00505E91" w:rsidRDefault="00C411DC" w:rsidP="007F40D7">
            <w:pPr>
              <w:jc w:val="center"/>
              <w:rPr>
                <w:rFonts w:ascii="楷体_GB2312" w:hAnsi="宋体"/>
                <w:bCs/>
                <w:szCs w:val="18"/>
              </w:rPr>
            </w:pPr>
            <w:r w:rsidRPr="00505E91">
              <w:rPr>
                <w:rFonts w:ascii="楷体_GB2312" w:hAnsi="宋体" w:hint="eastAsia"/>
                <w:bCs/>
                <w:szCs w:val="18"/>
              </w:rPr>
              <w:t>2</w:t>
            </w:r>
            <w:r>
              <w:rPr>
                <w:rFonts w:ascii="楷体_GB2312" w:hAnsi="宋体" w:hint="eastAsia"/>
                <w:bCs/>
                <w:szCs w:val="18"/>
              </w:rPr>
              <w:t>0%</w:t>
            </w:r>
          </w:p>
        </w:tc>
      </w:tr>
      <w:tr w:rsidR="00C411DC" w:rsidRPr="00A86F8F" w:rsidTr="007F40D7">
        <w:trPr>
          <w:cantSplit/>
          <w:trHeight w:val="340"/>
        </w:trPr>
        <w:tc>
          <w:tcPr>
            <w:tcW w:w="1276" w:type="dxa"/>
            <w:shd w:val="clear" w:color="auto" w:fill="auto"/>
            <w:vAlign w:val="center"/>
          </w:tcPr>
          <w:p w:rsidR="00C411DC" w:rsidRPr="00400640" w:rsidRDefault="00C411DC" w:rsidP="007F40D7">
            <w:pPr>
              <w:jc w:val="center"/>
              <w:rPr>
                <w:rFonts w:ascii="楷体_GB2312" w:hAnsi="楷体"/>
                <w:szCs w:val="18"/>
              </w:rPr>
            </w:pPr>
            <w:proofErr w:type="gramStart"/>
            <w:r w:rsidRPr="00400640">
              <w:rPr>
                <w:rFonts w:ascii="楷体_GB2312" w:hAnsi="楷体" w:hint="eastAsia"/>
                <w:szCs w:val="18"/>
              </w:rPr>
              <w:t>添富价值</w:t>
            </w:r>
            <w:proofErr w:type="gramEnd"/>
          </w:p>
        </w:tc>
        <w:tc>
          <w:tcPr>
            <w:tcW w:w="1559" w:type="dxa"/>
            <w:shd w:val="clear" w:color="auto" w:fill="auto"/>
            <w:vAlign w:val="center"/>
          </w:tcPr>
          <w:p w:rsidR="00C411DC" w:rsidRPr="00400640" w:rsidRDefault="00C411DC" w:rsidP="007F40D7">
            <w:pPr>
              <w:jc w:val="center"/>
              <w:rPr>
                <w:rFonts w:ascii="楷体_GB2312" w:hAnsi="楷体"/>
                <w:szCs w:val="18"/>
              </w:rPr>
            </w:pPr>
            <w:r w:rsidRPr="00400640">
              <w:rPr>
                <w:rFonts w:ascii="楷体_GB2312" w:hAnsi="楷体" w:hint="eastAsia"/>
                <w:szCs w:val="18"/>
              </w:rPr>
              <w:t>股票型</w:t>
            </w:r>
          </w:p>
        </w:tc>
        <w:tc>
          <w:tcPr>
            <w:tcW w:w="737" w:type="dxa"/>
            <w:shd w:val="clear" w:color="auto" w:fill="auto"/>
            <w:vAlign w:val="center"/>
          </w:tcPr>
          <w:p w:rsidR="00C411DC" w:rsidRPr="00505E91" w:rsidRDefault="00C411DC" w:rsidP="007F40D7">
            <w:pPr>
              <w:jc w:val="center"/>
              <w:rPr>
                <w:rFonts w:ascii="楷体_GB2312" w:hAnsi="宋体"/>
                <w:szCs w:val="18"/>
              </w:rPr>
            </w:pPr>
            <w:r w:rsidRPr="00505E91">
              <w:rPr>
                <w:rFonts w:ascii="楷体_GB2312" w:hAnsi="宋体" w:hint="eastAsia"/>
                <w:szCs w:val="18"/>
              </w:rPr>
              <w:t>20%</w:t>
            </w:r>
          </w:p>
        </w:tc>
        <w:tc>
          <w:tcPr>
            <w:tcW w:w="227" w:type="dxa"/>
            <w:vMerge/>
            <w:shd w:val="clear" w:color="auto" w:fill="auto"/>
            <w:vAlign w:val="center"/>
          </w:tcPr>
          <w:p w:rsidR="00C411DC" w:rsidRPr="00505E91" w:rsidRDefault="00C411DC" w:rsidP="007F40D7">
            <w:pPr>
              <w:jc w:val="center"/>
              <w:rPr>
                <w:rFonts w:ascii="楷体_GB2312"/>
                <w:szCs w:val="18"/>
              </w:rPr>
            </w:pPr>
          </w:p>
        </w:tc>
        <w:tc>
          <w:tcPr>
            <w:tcW w:w="1190" w:type="dxa"/>
            <w:shd w:val="clear" w:color="auto" w:fill="auto"/>
            <w:vAlign w:val="center"/>
          </w:tcPr>
          <w:p w:rsidR="00C411DC" w:rsidRPr="00400640" w:rsidRDefault="00C411DC" w:rsidP="007F40D7">
            <w:pPr>
              <w:jc w:val="center"/>
              <w:rPr>
                <w:rFonts w:ascii="楷体_GB2312" w:hAnsi="楷体"/>
                <w:szCs w:val="18"/>
              </w:rPr>
            </w:pPr>
            <w:r w:rsidRPr="00400640">
              <w:rPr>
                <w:rFonts w:ascii="楷体_GB2312" w:hAnsi="楷体" w:hint="eastAsia"/>
                <w:szCs w:val="18"/>
              </w:rPr>
              <w:t>广发消费品</w:t>
            </w:r>
          </w:p>
        </w:tc>
        <w:tc>
          <w:tcPr>
            <w:tcW w:w="1674" w:type="dxa"/>
            <w:shd w:val="clear" w:color="auto" w:fill="auto"/>
            <w:vAlign w:val="center"/>
          </w:tcPr>
          <w:p w:rsidR="00C411DC" w:rsidRPr="00400640" w:rsidRDefault="00C411DC" w:rsidP="007F40D7">
            <w:pPr>
              <w:jc w:val="center"/>
              <w:rPr>
                <w:rFonts w:ascii="楷体_GB2312" w:hAnsi="楷体"/>
                <w:szCs w:val="18"/>
              </w:rPr>
            </w:pPr>
            <w:r w:rsidRPr="00400640">
              <w:rPr>
                <w:rFonts w:ascii="楷体_GB2312" w:hAnsi="楷体" w:hint="eastAsia"/>
                <w:szCs w:val="18"/>
              </w:rPr>
              <w:t>股票型</w:t>
            </w:r>
          </w:p>
        </w:tc>
        <w:tc>
          <w:tcPr>
            <w:tcW w:w="708" w:type="dxa"/>
            <w:shd w:val="clear" w:color="auto" w:fill="auto"/>
            <w:vAlign w:val="center"/>
          </w:tcPr>
          <w:p w:rsidR="00C411DC" w:rsidRPr="00505E91" w:rsidRDefault="00C411DC" w:rsidP="007F40D7">
            <w:pPr>
              <w:jc w:val="center"/>
              <w:rPr>
                <w:rFonts w:ascii="楷体_GB2312" w:hAnsi="宋体"/>
                <w:bCs/>
                <w:szCs w:val="18"/>
              </w:rPr>
            </w:pPr>
            <w:r>
              <w:rPr>
                <w:rFonts w:ascii="楷体_GB2312" w:hAnsi="宋体" w:hint="eastAsia"/>
                <w:bCs/>
                <w:szCs w:val="18"/>
              </w:rPr>
              <w:t>20</w:t>
            </w:r>
            <w:r w:rsidRPr="00505E91">
              <w:rPr>
                <w:rFonts w:ascii="楷体_GB2312" w:hAnsi="宋体" w:hint="eastAsia"/>
                <w:bCs/>
                <w:szCs w:val="18"/>
              </w:rPr>
              <w:t>%</w:t>
            </w:r>
          </w:p>
        </w:tc>
      </w:tr>
      <w:tr w:rsidR="00C411DC" w:rsidRPr="00A86F8F" w:rsidTr="007F40D7">
        <w:trPr>
          <w:cantSplit/>
          <w:trHeight w:val="340"/>
        </w:trPr>
        <w:tc>
          <w:tcPr>
            <w:tcW w:w="1276" w:type="dxa"/>
            <w:shd w:val="clear" w:color="auto" w:fill="auto"/>
            <w:vAlign w:val="center"/>
          </w:tcPr>
          <w:p w:rsidR="00C411DC" w:rsidRPr="00400640" w:rsidRDefault="00C411DC" w:rsidP="007F40D7">
            <w:pPr>
              <w:jc w:val="center"/>
              <w:rPr>
                <w:rFonts w:ascii="楷体_GB2312" w:hAnsi="楷体"/>
                <w:szCs w:val="18"/>
              </w:rPr>
            </w:pPr>
            <w:r w:rsidRPr="00400640">
              <w:rPr>
                <w:rFonts w:ascii="楷体_GB2312" w:hAnsi="楷体" w:hint="eastAsia"/>
                <w:szCs w:val="18"/>
              </w:rPr>
              <w:t>华泰量化增强</w:t>
            </w:r>
          </w:p>
        </w:tc>
        <w:tc>
          <w:tcPr>
            <w:tcW w:w="1559" w:type="dxa"/>
            <w:shd w:val="clear" w:color="auto" w:fill="auto"/>
            <w:vAlign w:val="center"/>
          </w:tcPr>
          <w:p w:rsidR="00C411DC" w:rsidRPr="00400640" w:rsidRDefault="00C411DC" w:rsidP="007F40D7">
            <w:pPr>
              <w:jc w:val="center"/>
              <w:rPr>
                <w:rFonts w:ascii="楷体_GB2312" w:hAnsi="楷体"/>
                <w:szCs w:val="18"/>
              </w:rPr>
            </w:pPr>
            <w:r w:rsidRPr="00400640">
              <w:rPr>
                <w:rFonts w:ascii="楷体_GB2312" w:hAnsi="楷体" w:hint="eastAsia"/>
                <w:szCs w:val="18"/>
              </w:rPr>
              <w:t>股票型</w:t>
            </w:r>
          </w:p>
        </w:tc>
        <w:tc>
          <w:tcPr>
            <w:tcW w:w="737" w:type="dxa"/>
            <w:shd w:val="clear" w:color="auto" w:fill="auto"/>
            <w:vAlign w:val="center"/>
          </w:tcPr>
          <w:p w:rsidR="00C411DC" w:rsidRPr="00505E91" w:rsidRDefault="00C411DC" w:rsidP="007F40D7">
            <w:pPr>
              <w:jc w:val="center"/>
              <w:rPr>
                <w:rFonts w:ascii="楷体_GB2312" w:hAnsi="宋体"/>
                <w:szCs w:val="18"/>
              </w:rPr>
            </w:pPr>
            <w:r w:rsidRPr="00505E91">
              <w:rPr>
                <w:rFonts w:ascii="楷体_GB2312" w:hAnsi="宋体" w:hint="eastAsia"/>
                <w:szCs w:val="18"/>
              </w:rPr>
              <w:t>20%</w:t>
            </w:r>
          </w:p>
        </w:tc>
        <w:tc>
          <w:tcPr>
            <w:tcW w:w="227" w:type="dxa"/>
            <w:vMerge/>
            <w:shd w:val="clear" w:color="auto" w:fill="auto"/>
            <w:vAlign w:val="center"/>
          </w:tcPr>
          <w:p w:rsidR="00C411DC" w:rsidRPr="00505E91" w:rsidRDefault="00C411DC" w:rsidP="007F40D7">
            <w:pPr>
              <w:jc w:val="center"/>
              <w:rPr>
                <w:rFonts w:ascii="楷体_GB2312"/>
                <w:szCs w:val="18"/>
              </w:rPr>
            </w:pPr>
          </w:p>
        </w:tc>
        <w:tc>
          <w:tcPr>
            <w:tcW w:w="1190" w:type="dxa"/>
            <w:shd w:val="clear" w:color="auto" w:fill="auto"/>
            <w:vAlign w:val="center"/>
          </w:tcPr>
          <w:p w:rsidR="00C411DC" w:rsidRPr="00781B63" w:rsidRDefault="00C411DC" w:rsidP="007F40D7">
            <w:pPr>
              <w:jc w:val="center"/>
              <w:rPr>
                <w:rFonts w:ascii="楷体_GB2312" w:hAnsi="楷体"/>
                <w:szCs w:val="18"/>
              </w:rPr>
            </w:pPr>
            <w:r w:rsidRPr="00781B63">
              <w:rPr>
                <w:rFonts w:ascii="楷体_GB2312" w:hAnsi="楷体" w:hint="eastAsia"/>
                <w:szCs w:val="18"/>
              </w:rPr>
              <w:t>招商收益</w:t>
            </w:r>
          </w:p>
        </w:tc>
        <w:tc>
          <w:tcPr>
            <w:tcW w:w="1674" w:type="dxa"/>
            <w:shd w:val="clear" w:color="auto" w:fill="auto"/>
            <w:vAlign w:val="center"/>
          </w:tcPr>
          <w:p w:rsidR="00C411DC" w:rsidRPr="00781B63" w:rsidRDefault="00C411DC" w:rsidP="007F40D7">
            <w:pPr>
              <w:jc w:val="center"/>
              <w:rPr>
                <w:rFonts w:ascii="楷体_GB2312" w:hAnsi="楷体"/>
                <w:szCs w:val="18"/>
              </w:rPr>
            </w:pPr>
            <w:r w:rsidRPr="00781B63">
              <w:rPr>
                <w:rFonts w:ascii="楷体_GB2312" w:hAnsi="楷体" w:hint="eastAsia"/>
                <w:szCs w:val="18"/>
              </w:rPr>
              <w:t>债券</w:t>
            </w:r>
            <w:r w:rsidRPr="00781B63">
              <w:rPr>
                <w:rFonts w:ascii="楷体_GB2312" w:hAnsi="楷体"/>
                <w:szCs w:val="18"/>
              </w:rPr>
              <w:t>-</w:t>
            </w:r>
            <w:r w:rsidRPr="00781B63">
              <w:rPr>
                <w:rFonts w:ascii="楷体_GB2312" w:hAnsi="楷体" w:hint="eastAsia"/>
                <w:szCs w:val="18"/>
              </w:rPr>
              <w:t>新股申购型</w:t>
            </w:r>
          </w:p>
        </w:tc>
        <w:tc>
          <w:tcPr>
            <w:tcW w:w="708" w:type="dxa"/>
            <w:shd w:val="clear" w:color="auto" w:fill="auto"/>
            <w:vAlign w:val="center"/>
          </w:tcPr>
          <w:p w:rsidR="00C411DC" w:rsidRPr="00505E91" w:rsidRDefault="00C411DC" w:rsidP="007F40D7">
            <w:pPr>
              <w:jc w:val="center"/>
              <w:rPr>
                <w:rFonts w:ascii="楷体_GB2312" w:hAnsi="宋体"/>
                <w:bCs/>
                <w:szCs w:val="18"/>
              </w:rPr>
            </w:pPr>
            <w:r>
              <w:rPr>
                <w:rFonts w:ascii="楷体_GB2312" w:hAnsi="宋体" w:hint="eastAsia"/>
                <w:bCs/>
                <w:szCs w:val="18"/>
              </w:rPr>
              <w:t>20</w:t>
            </w:r>
            <w:r w:rsidRPr="00505E91">
              <w:rPr>
                <w:rFonts w:ascii="楷体_GB2312" w:hAnsi="宋体" w:hint="eastAsia"/>
                <w:bCs/>
                <w:szCs w:val="18"/>
              </w:rPr>
              <w:t>%</w:t>
            </w:r>
          </w:p>
        </w:tc>
      </w:tr>
      <w:tr w:rsidR="00C411DC" w:rsidRPr="00A86F8F" w:rsidTr="007F40D7">
        <w:trPr>
          <w:cantSplit/>
          <w:trHeight w:val="340"/>
        </w:trPr>
        <w:tc>
          <w:tcPr>
            <w:tcW w:w="1276" w:type="dxa"/>
            <w:shd w:val="clear" w:color="auto" w:fill="auto"/>
            <w:vAlign w:val="center"/>
          </w:tcPr>
          <w:p w:rsidR="00C411DC" w:rsidRPr="00781B63" w:rsidRDefault="00C411DC" w:rsidP="007F40D7">
            <w:pPr>
              <w:jc w:val="center"/>
              <w:rPr>
                <w:rFonts w:ascii="楷体_GB2312" w:hAnsi="楷体"/>
                <w:szCs w:val="18"/>
              </w:rPr>
            </w:pPr>
            <w:r w:rsidRPr="00937378">
              <w:rPr>
                <w:rFonts w:ascii="楷体_GB2312" w:hAnsi="楷体" w:hint="eastAsia"/>
                <w:szCs w:val="18"/>
              </w:rPr>
              <w:t>广发行业</w:t>
            </w:r>
          </w:p>
        </w:tc>
        <w:tc>
          <w:tcPr>
            <w:tcW w:w="1559" w:type="dxa"/>
            <w:shd w:val="clear" w:color="auto" w:fill="auto"/>
            <w:vAlign w:val="center"/>
          </w:tcPr>
          <w:p w:rsidR="00C411DC" w:rsidRPr="00781B63" w:rsidRDefault="00C411DC" w:rsidP="007F40D7">
            <w:pPr>
              <w:jc w:val="center"/>
              <w:rPr>
                <w:rFonts w:ascii="楷体_GB2312" w:hAnsi="楷体"/>
                <w:szCs w:val="18"/>
              </w:rPr>
            </w:pPr>
            <w:r w:rsidRPr="00781B63">
              <w:rPr>
                <w:rFonts w:ascii="楷体_GB2312" w:hAnsi="楷体" w:hint="eastAsia"/>
                <w:szCs w:val="18"/>
              </w:rPr>
              <w:t>股票型</w:t>
            </w:r>
          </w:p>
        </w:tc>
        <w:tc>
          <w:tcPr>
            <w:tcW w:w="737" w:type="dxa"/>
            <w:shd w:val="clear" w:color="auto" w:fill="auto"/>
            <w:vAlign w:val="center"/>
          </w:tcPr>
          <w:p w:rsidR="00C411DC" w:rsidRPr="00505E91" w:rsidRDefault="00C411DC" w:rsidP="007F40D7">
            <w:pPr>
              <w:jc w:val="center"/>
              <w:rPr>
                <w:rFonts w:ascii="楷体_GB2312" w:hAnsi="宋体"/>
                <w:szCs w:val="18"/>
              </w:rPr>
            </w:pPr>
            <w:r w:rsidRPr="00505E91">
              <w:rPr>
                <w:rFonts w:ascii="楷体_GB2312" w:hAnsi="宋体" w:hint="eastAsia"/>
                <w:szCs w:val="18"/>
              </w:rPr>
              <w:t>20%</w:t>
            </w:r>
          </w:p>
        </w:tc>
        <w:tc>
          <w:tcPr>
            <w:tcW w:w="227" w:type="dxa"/>
            <w:vMerge/>
            <w:shd w:val="clear" w:color="auto" w:fill="auto"/>
            <w:vAlign w:val="center"/>
          </w:tcPr>
          <w:p w:rsidR="00C411DC" w:rsidRPr="00505E91" w:rsidRDefault="00C411DC" w:rsidP="007F40D7">
            <w:pPr>
              <w:jc w:val="center"/>
              <w:rPr>
                <w:rFonts w:ascii="楷体_GB2312"/>
                <w:szCs w:val="18"/>
              </w:rPr>
            </w:pPr>
          </w:p>
        </w:tc>
        <w:tc>
          <w:tcPr>
            <w:tcW w:w="1190" w:type="dxa"/>
            <w:shd w:val="clear" w:color="auto" w:fill="auto"/>
            <w:vAlign w:val="center"/>
          </w:tcPr>
          <w:p w:rsidR="00C411DC" w:rsidRPr="00781B63" w:rsidRDefault="00C411DC" w:rsidP="007F40D7">
            <w:pPr>
              <w:jc w:val="center"/>
              <w:rPr>
                <w:rFonts w:ascii="楷体_GB2312" w:hAnsi="楷体"/>
                <w:szCs w:val="18"/>
              </w:rPr>
            </w:pPr>
            <w:r w:rsidRPr="00781B63">
              <w:rPr>
                <w:rFonts w:ascii="楷体_GB2312" w:hAnsi="楷体" w:hint="eastAsia"/>
                <w:szCs w:val="18"/>
              </w:rPr>
              <w:t>南方多利</w:t>
            </w:r>
          </w:p>
        </w:tc>
        <w:tc>
          <w:tcPr>
            <w:tcW w:w="1674" w:type="dxa"/>
            <w:shd w:val="clear" w:color="auto" w:fill="auto"/>
            <w:vAlign w:val="center"/>
          </w:tcPr>
          <w:p w:rsidR="00C411DC" w:rsidRPr="00781B63" w:rsidRDefault="00C411DC" w:rsidP="007F40D7">
            <w:pPr>
              <w:jc w:val="center"/>
              <w:rPr>
                <w:rFonts w:ascii="楷体_GB2312" w:hAnsi="楷体"/>
                <w:szCs w:val="18"/>
              </w:rPr>
            </w:pPr>
            <w:r w:rsidRPr="00781B63">
              <w:rPr>
                <w:rFonts w:ascii="楷体_GB2312" w:hAnsi="楷体" w:hint="eastAsia"/>
                <w:szCs w:val="18"/>
              </w:rPr>
              <w:t>债券</w:t>
            </w:r>
            <w:r w:rsidRPr="00781B63">
              <w:rPr>
                <w:rFonts w:ascii="楷体_GB2312" w:hAnsi="楷体"/>
                <w:szCs w:val="18"/>
              </w:rPr>
              <w:t>-</w:t>
            </w:r>
            <w:r w:rsidRPr="00781B63">
              <w:rPr>
                <w:rFonts w:ascii="楷体_GB2312" w:hAnsi="楷体" w:hint="eastAsia"/>
                <w:szCs w:val="18"/>
              </w:rPr>
              <w:t>新股申购型</w:t>
            </w:r>
          </w:p>
        </w:tc>
        <w:tc>
          <w:tcPr>
            <w:tcW w:w="708" w:type="dxa"/>
            <w:shd w:val="clear" w:color="auto" w:fill="auto"/>
            <w:vAlign w:val="center"/>
          </w:tcPr>
          <w:p w:rsidR="00C411DC" w:rsidRPr="00505E91" w:rsidRDefault="00C411DC" w:rsidP="007F40D7">
            <w:pPr>
              <w:jc w:val="center"/>
              <w:rPr>
                <w:rFonts w:ascii="楷体_GB2312" w:hAnsi="宋体"/>
                <w:bCs/>
                <w:szCs w:val="18"/>
              </w:rPr>
            </w:pPr>
            <w:r>
              <w:rPr>
                <w:rFonts w:ascii="楷体_GB2312" w:hAnsi="宋体" w:hint="eastAsia"/>
                <w:bCs/>
                <w:szCs w:val="18"/>
              </w:rPr>
              <w:t>20</w:t>
            </w:r>
            <w:r w:rsidRPr="00505E91">
              <w:rPr>
                <w:rFonts w:ascii="楷体_GB2312" w:hAnsi="宋体" w:hint="eastAsia"/>
                <w:bCs/>
                <w:szCs w:val="18"/>
              </w:rPr>
              <w:t>%</w:t>
            </w:r>
          </w:p>
        </w:tc>
      </w:tr>
    </w:tbl>
    <w:p w:rsidR="00C411DC" w:rsidRPr="00A86F8F" w:rsidRDefault="00C411DC" w:rsidP="00C411DC">
      <w:pPr>
        <w:pStyle w:val="FootnoteNoline"/>
        <w:spacing w:before="0" w:after="0"/>
        <w:rPr>
          <w:color w:val="auto"/>
          <w:sz w:val="10"/>
          <w:szCs w:val="10"/>
        </w:rPr>
      </w:pPr>
    </w:p>
    <w:tbl>
      <w:tblPr>
        <w:tblW w:w="7371" w:type="dxa"/>
        <w:tblInd w:w="3402" w:type="dxa"/>
        <w:tblBorders>
          <w:top w:val="single" w:sz="4" w:space="0" w:color="00B0F0"/>
          <w:bottom w:val="single" w:sz="4" w:space="0" w:color="00B0F0"/>
          <w:insideH w:val="single" w:sz="4" w:space="0" w:color="00B0F0"/>
        </w:tblBorders>
        <w:tblLayout w:type="fixed"/>
        <w:tblCellMar>
          <w:left w:w="0" w:type="dxa"/>
          <w:right w:w="0" w:type="dxa"/>
        </w:tblCellMar>
        <w:tblLook w:val="0000" w:firstRow="0" w:lastRow="0" w:firstColumn="0" w:lastColumn="0" w:noHBand="0" w:noVBand="0"/>
      </w:tblPr>
      <w:tblGrid>
        <w:gridCol w:w="1276"/>
        <w:gridCol w:w="1559"/>
        <w:gridCol w:w="737"/>
        <w:gridCol w:w="227"/>
        <w:gridCol w:w="1190"/>
        <w:gridCol w:w="1674"/>
        <w:gridCol w:w="708"/>
      </w:tblGrid>
      <w:tr w:rsidR="00C411DC" w:rsidRPr="00A86F8F" w:rsidTr="007F40D7">
        <w:trPr>
          <w:cantSplit/>
          <w:trHeight w:val="200"/>
        </w:trPr>
        <w:tc>
          <w:tcPr>
            <w:tcW w:w="3572" w:type="dxa"/>
            <w:gridSpan w:val="3"/>
            <w:tcBorders>
              <w:bottom w:val="single" w:sz="4" w:space="0" w:color="00B0F0"/>
            </w:tcBorders>
            <w:shd w:val="clear" w:color="auto" w:fill="auto"/>
          </w:tcPr>
          <w:p w:rsidR="00C411DC" w:rsidRPr="00A86F8F" w:rsidRDefault="00C411DC" w:rsidP="007F40D7">
            <w:pPr>
              <w:pStyle w:val="SubTitleLargeTable"/>
              <w:rPr>
                <w:color w:val="auto"/>
                <w:lang w:val="en-US"/>
              </w:rPr>
            </w:pPr>
            <w:r w:rsidRPr="00A86F8F">
              <w:rPr>
                <w:rFonts w:hint="eastAsia"/>
                <w:color w:val="auto"/>
                <w:lang w:val="en-US"/>
              </w:rPr>
              <w:t>灵活配置组合</w:t>
            </w:r>
            <w:r w:rsidRPr="003B46D0">
              <w:rPr>
                <w:rFonts w:hint="eastAsia"/>
              </w:rPr>
              <w:t>★</w:t>
            </w:r>
          </w:p>
        </w:tc>
        <w:tc>
          <w:tcPr>
            <w:tcW w:w="227" w:type="dxa"/>
            <w:tcBorders>
              <w:bottom w:val="single" w:sz="4" w:space="0" w:color="00B0F0"/>
            </w:tcBorders>
            <w:shd w:val="clear" w:color="auto" w:fill="auto"/>
          </w:tcPr>
          <w:p w:rsidR="00C411DC" w:rsidRPr="00816267" w:rsidRDefault="00C411DC" w:rsidP="007F40D7">
            <w:pPr>
              <w:pStyle w:val="a0"/>
              <w:spacing w:after="0" w:line="10" w:lineRule="atLeast"/>
              <w:ind w:left="0"/>
              <w:jc w:val="center"/>
              <w:rPr>
                <w:rFonts w:cs="Arial"/>
                <w:color w:val="auto"/>
              </w:rPr>
            </w:pPr>
          </w:p>
        </w:tc>
        <w:tc>
          <w:tcPr>
            <w:tcW w:w="3572" w:type="dxa"/>
            <w:gridSpan w:val="3"/>
            <w:tcBorders>
              <w:bottom w:val="single" w:sz="4" w:space="0" w:color="00B0F0"/>
            </w:tcBorders>
            <w:shd w:val="clear" w:color="auto" w:fill="auto"/>
          </w:tcPr>
          <w:p w:rsidR="00C411DC" w:rsidRPr="00A86F8F" w:rsidRDefault="00C411DC" w:rsidP="007F40D7">
            <w:pPr>
              <w:pStyle w:val="SubTitleLargeTable"/>
              <w:rPr>
                <w:color w:val="auto"/>
                <w:lang w:val="en-US"/>
              </w:rPr>
            </w:pPr>
          </w:p>
        </w:tc>
      </w:tr>
      <w:tr w:rsidR="00C411DC" w:rsidRPr="00A86F8F" w:rsidTr="007F40D7">
        <w:trPr>
          <w:cantSplit/>
          <w:trHeight w:val="340"/>
        </w:trPr>
        <w:tc>
          <w:tcPr>
            <w:tcW w:w="1276" w:type="dxa"/>
            <w:tcBorders>
              <w:bottom w:val="single" w:sz="4" w:space="0" w:color="00B0F0"/>
            </w:tcBorders>
            <w:shd w:val="clear" w:color="auto" w:fill="auto"/>
            <w:vAlign w:val="center"/>
          </w:tcPr>
          <w:p w:rsidR="00C411DC" w:rsidRPr="00113ECA" w:rsidRDefault="00C411DC" w:rsidP="007F40D7">
            <w:pPr>
              <w:jc w:val="center"/>
              <w:rPr>
                <w:rFonts w:ascii="楷体_GB2312"/>
                <w:b/>
              </w:rPr>
            </w:pPr>
            <w:r w:rsidRPr="00113ECA">
              <w:rPr>
                <w:rFonts w:ascii="楷体_GB2312" w:hint="eastAsia"/>
                <w:b/>
              </w:rPr>
              <w:t>基金名称</w:t>
            </w:r>
          </w:p>
        </w:tc>
        <w:tc>
          <w:tcPr>
            <w:tcW w:w="1559" w:type="dxa"/>
            <w:tcBorders>
              <w:bottom w:val="single" w:sz="4" w:space="0" w:color="00B0F0"/>
            </w:tcBorders>
            <w:shd w:val="clear" w:color="auto" w:fill="auto"/>
            <w:vAlign w:val="center"/>
          </w:tcPr>
          <w:p w:rsidR="00C411DC" w:rsidRPr="00113ECA" w:rsidRDefault="00C411DC" w:rsidP="007F40D7">
            <w:pPr>
              <w:jc w:val="center"/>
              <w:rPr>
                <w:rFonts w:ascii="楷体_GB2312"/>
                <w:b/>
              </w:rPr>
            </w:pPr>
            <w:r w:rsidRPr="00113ECA">
              <w:rPr>
                <w:rFonts w:ascii="楷体_GB2312" w:hint="eastAsia"/>
                <w:b/>
              </w:rPr>
              <w:t>基金类型</w:t>
            </w:r>
          </w:p>
        </w:tc>
        <w:tc>
          <w:tcPr>
            <w:tcW w:w="737" w:type="dxa"/>
            <w:tcBorders>
              <w:bottom w:val="single" w:sz="4" w:space="0" w:color="00B0F0"/>
            </w:tcBorders>
            <w:shd w:val="clear" w:color="auto" w:fill="auto"/>
            <w:vAlign w:val="center"/>
          </w:tcPr>
          <w:p w:rsidR="00C411DC" w:rsidRPr="00113ECA" w:rsidRDefault="00C411DC" w:rsidP="007F40D7">
            <w:pPr>
              <w:jc w:val="center"/>
              <w:rPr>
                <w:rFonts w:ascii="楷体_GB2312"/>
                <w:b/>
              </w:rPr>
            </w:pPr>
            <w:r w:rsidRPr="00113ECA">
              <w:rPr>
                <w:rFonts w:ascii="楷体_GB2312" w:hint="eastAsia"/>
                <w:b/>
              </w:rPr>
              <w:t>权重</w:t>
            </w:r>
          </w:p>
        </w:tc>
        <w:tc>
          <w:tcPr>
            <w:tcW w:w="227" w:type="dxa"/>
            <w:vMerge w:val="restart"/>
            <w:tcBorders>
              <w:bottom w:val="single" w:sz="4" w:space="0" w:color="00B0F0"/>
            </w:tcBorders>
            <w:shd w:val="clear" w:color="auto" w:fill="auto"/>
            <w:vAlign w:val="center"/>
          </w:tcPr>
          <w:p w:rsidR="00C411DC" w:rsidRPr="00113ECA" w:rsidRDefault="00C411DC" w:rsidP="007F40D7">
            <w:pPr>
              <w:jc w:val="center"/>
              <w:rPr>
                <w:rFonts w:ascii="楷体_GB2312"/>
              </w:rPr>
            </w:pPr>
          </w:p>
        </w:tc>
        <w:tc>
          <w:tcPr>
            <w:tcW w:w="1190" w:type="dxa"/>
            <w:tcBorders>
              <w:bottom w:val="single" w:sz="4" w:space="0" w:color="00B0F0"/>
            </w:tcBorders>
            <w:shd w:val="clear" w:color="auto" w:fill="auto"/>
            <w:vAlign w:val="center"/>
          </w:tcPr>
          <w:p w:rsidR="00C411DC" w:rsidRPr="00113ECA" w:rsidRDefault="00C411DC" w:rsidP="007F40D7">
            <w:pPr>
              <w:jc w:val="center"/>
              <w:rPr>
                <w:rFonts w:ascii="楷体_GB2312"/>
                <w:b/>
              </w:rPr>
            </w:pPr>
          </w:p>
        </w:tc>
        <w:tc>
          <w:tcPr>
            <w:tcW w:w="1674" w:type="dxa"/>
            <w:tcBorders>
              <w:bottom w:val="single" w:sz="4" w:space="0" w:color="00B0F0"/>
            </w:tcBorders>
            <w:shd w:val="clear" w:color="auto" w:fill="auto"/>
            <w:vAlign w:val="center"/>
          </w:tcPr>
          <w:p w:rsidR="00C411DC" w:rsidRPr="00113ECA" w:rsidRDefault="00C411DC" w:rsidP="007F40D7">
            <w:pPr>
              <w:jc w:val="center"/>
              <w:rPr>
                <w:rFonts w:ascii="楷体_GB2312"/>
                <w:b/>
              </w:rPr>
            </w:pPr>
          </w:p>
        </w:tc>
        <w:tc>
          <w:tcPr>
            <w:tcW w:w="708" w:type="dxa"/>
            <w:tcBorders>
              <w:bottom w:val="single" w:sz="4" w:space="0" w:color="00B0F0"/>
            </w:tcBorders>
            <w:shd w:val="clear" w:color="auto" w:fill="auto"/>
            <w:vAlign w:val="center"/>
          </w:tcPr>
          <w:p w:rsidR="00C411DC" w:rsidRPr="00113ECA" w:rsidRDefault="00C411DC" w:rsidP="007F40D7">
            <w:pPr>
              <w:jc w:val="center"/>
              <w:rPr>
                <w:rFonts w:ascii="楷体_GB2312"/>
                <w:b/>
              </w:rPr>
            </w:pPr>
          </w:p>
        </w:tc>
      </w:tr>
      <w:tr w:rsidR="00C411DC" w:rsidRPr="00734C71" w:rsidTr="007F40D7">
        <w:trPr>
          <w:cantSplit/>
          <w:trHeight w:val="340"/>
        </w:trPr>
        <w:tc>
          <w:tcPr>
            <w:tcW w:w="1276" w:type="dxa"/>
            <w:shd w:val="clear" w:color="auto" w:fill="auto"/>
            <w:vAlign w:val="center"/>
          </w:tcPr>
          <w:p w:rsidR="00C411DC" w:rsidRPr="00400640" w:rsidRDefault="00C411DC" w:rsidP="007F40D7">
            <w:pPr>
              <w:jc w:val="center"/>
              <w:rPr>
                <w:rFonts w:ascii="楷体_GB2312" w:hAnsi="楷体"/>
                <w:szCs w:val="18"/>
              </w:rPr>
            </w:pPr>
            <w:r w:rsidRPr="00400640">
              <w:rPr>
                <w:rFonts w:ascii="楷体_GB2312" w:hAnsi="楷体" w:hint="eastAsia"/>
                <w:szCs w:val="18"/>
              </w:rPr>
              <w:t>中欧新蓝筹</w:t>
            </w:r>
          </w:p>
        </w:tc>
        <w:tc>
          <w:tcPr>
            <w:tcW w:w="1559" w:type="dxa"/>
            <w:shd w:val="clear" w:color="auto" w:fill="auto"/>
            <w:vAlign w:val="center"/>
          </w:tcPr>
          <w:p w:rsidR="00C411DC" w:rsidRPr="00400640" w:rsidRDefault="00C411DC" w:rsidP="007F40D7">
            <w:pPr>
              <w:jc w:val="center"/>
              <w:rPr>
                <w:rFonts w:ascii="楷体_GB2312" w:hAnsi="楷体"/>
                <w:szCs w:val="18"/>
              </w:rPr>
            </w:pPr>
            <w:r w:rsidRPr="00400640">
              <w:rPr>
                <w:rFonts w:ascii="楷体_GB2312" w:hAnsi="楷体" w:hint="eastAsia"/>
                <w:szCs w:val="18"/>
              </w:rPr>
              <w:t>股票型</w:t>
            </w:r>
          </w:p>
        </w:tc>
        <w:tc>
          <w:tcPr>
            <w:tcW w:w="737" w:type="dxa"/>
            <w:shd w:val="clear" w:color="auto" w:fill="auto"/>
            <w:vAlign w:val="center"/>
          </w:tcPr>
          <w:p w:rsidR="00C411DC" w:rsidRPr="005C22FD" w:rsidRDefault="00C411DC" w:rsidP="007F40D7">
            <w:pPr>
              <w:jc w:val="center"/>
              <w:rPr>
                <w:rFonts w:ascii="楷体_GB2312" w:hAnsi="宋体"/>
                <w:szCs w:val="18"/>
              </w:rPr>
            </w:pPr>
            <w:r>
              <w:rPr>
                <w:rFonts w:ascii="楷体_GB2312" w:hAnsi="宋体" w:hint="eastAsia"/>
                <w:szCs w:val="18"/>
              </w:rPr>
              <w:t>20</w:t>
            </w:r>
            <w:r w:rsidRPr="005C22FD">
              <w:rPr>
                <w:rFonts w:ascii="楷体_GB2312" w:hAnsi="宋体" w:hint="eastAsia"/>
                <w:szCs w:val="18"/>
              </w:rPr>
              <w:t>%</w:t>
            </w:r>
          </w:p>
        </w:tc>
        <w:tc>
          <w:tcPr>
            <w:tcW w:w="227" w:type="dxa"/>
            <w:vMerge/>
            <w:shd w:val="clear" w:color="auto" w:fill="auto"/>
            <w:vAlign w:val="center"/>
          </w:tcPr>
          <w:p w:rsidR="00C411DC" w:rsidRPr="005C22FD" w:rsidRDefault="00C411DC" w:rsidP="007F40D7">
            <w:pPr>
              <w:jc w:val="center"/>
              <w:rPr>
                <w:rFonts w:ascii="楷体_GB2312" w:hAnsi="宋体"/>
                <w:szCs w:val="18"/>
              </w:rPr>
            </w:pPr>
          </w:p>
        </w:tc>
        <w:tc>
          <w:tcPr>
            <w:tcW w:w="1190" w:type="dxa"/>
            <w:shd w:val="clear" w:color="auto" w:fill="auto"/>
            <w:vAlign w:val="center"/>
          </w:tcPr>
          <w:p w:rsidR="00C411DC" w:rsidRPr="005C22FD" w:rsidRDefault="00C411DC" w:rsidP="007F40D7">
            <w:pPr>
              <w:jc w:val="center"/>
              <w:rPr>
                <w:rFonts w:ascii="楷体_GB2312" w:hAnsi="宋体"/>
                <w:szCs w:val="18"/>
              </w:rPr>
            </w:pPr>
          </w:p>
        </w:tc>
        <w:tc>
          <w:tcPr>
            <w:tcW w:w="1674" w:type="dxa"/>
            <w:shd w:val="clear" w:color="auto" w:fill="auto"/>
            <w:vAlign w:val="center"/>
          </w:tcPr>
          <w:p w:rsidR="00C411DC" w:rsidRPr="005C22FD" w:rsidRDefault="00C411DC" w:rsidP="007F40D7">
            <w:pPr>
              <w:jc w:val="center"/>
              <w:rPr>
                <w:rFonts w:ascii="楷体_GB2312" w:hAnsi="宋体"/>
                <w:szCs w:val="18"/>
              </w:rPr>
            </w:pPr>
          </w:p>
        </w:tc>
        <w:tc>
          <w:tcPr>
            <w:tcW w:w="708" w:type="dxa"/>
            <w:shd w:val="clear" w:color="auto" w:fill="auto"/>
            <w:vAlign w:val="center"/>
          </w:tcPr>
          <w:p w:rsidR="00C411DC" w:rsidRPr="005C22FD" w:rsidRDefault="00C411DC" w:rsidP="007F40D7">
            <w:pPr>
              <w:jc w:val="center"/>
              <w:rPr>
                <w:rFonts w:ascii="楷体_GB2312" w:hAnsi="宋体"/>
                <w:szCs w:val="18"/>
              </w:rPr>
            </w:pPr>
          </w:p>
        </w:tc>
      </w:tr>
      <w:tr w:rsidR="00C411DC" w:rsidRPr="009722C9" w:rsidTr="007F40D7">
        <w:trPr>
          <w:cantSplit/>
          <w:trHeight w:val="340"/>
        </w:trPr>
        <w:tc>
          <w:tcPr>
            <w:tcW w:w="1276" w:type="dxa"/>
            <w:shd w:val="clear" w:color="auto" w:fill="auto"/>
            <w:vAlign w:val="center"/>
          </w:tcPr>
          <w:p w:rsidR="00C411DC" w:rsidRPr="00400640" w:rsidRDefault="00C411DC" w:rsidP="007F40D7">
            <w:pPr>
              <w:jc w:val="center"/>
              <w:rPr>
                <w:rFonts w:ascii="楷体_GB2312" w:hAnsi="楷体"/>
                <w:szCs w:val="18"/>
              </w:rPr>
            </w:pPr>
            <w:proofErr w:type="gramStart"/>
            <w:r w:rsidRPr="00400640">
              <w:rPr>
                <w:rFonts w:ascii="楷体_GB2312" w:hAnsi="楷体" w:hint="eastAsia"/>
                <w:szCs w:val="18"/>
              </w:rPr>
              <w:t>工银双利</w:t>
            </w:r>
            <w:proofErr w:type="gramEnd"/>
          </w:p>
        </w:tc>
        <w:tc>
          <w:tcPr>
            <w:tcW w:w="1559" w:type="dxa"/>
            <w:shd w:val="clear" w:color="auto" w:fill="auto"/>
            <w:vAlign w:val="center"/>
          </w:tcPr>
          <w:p w:rsidR="00C411DC" w:rsidRPr="00400640" w:rsidRDefault="00C411DC" w:rsidP="007F40D7">
            <w:pPr>
              <w:jc w:val="center"/>
              <w:rPr>
                <w:rFonts w:ascii="楷体_GB2312" w:hAnsi="楷体"/>
                <w:szCs w:val="18"/>
              </w:rPr>
            </w:pPr>
            <w:r w:rsidRPr="00400640">
              <w:rPr>
                <w:rFonts w:ascii="楷体_GB2312" w:hAnsi="楷体" w:hint="eastAsia"/>
                <w:szCs w:val="18"/>
              </w:rPr>
              <w:t>债券－普通债券型</w:t>
            </w:r>
          </w:p>
        </w:tc>
        <w:tc>
          <w:tcPr>
            <w:tcW w:w="737" w:type="dxa"/>
            <w:shd w:val="clear" w:color="auto" w:fill="auto"/>
            <w:vAlign w:val="center"/>
          </w:tcPr>
          <w:p w:rsidR="00C411DC" w:rsidRPr="009722C9" w:rsidRDefault="00C411DC" w:rsidP="007F40D7">
            <w:pPr>
              <w:jc w:val="center"/>
              <w:rPr>
                <w:rFonts w:ascii="楷体_GB2312" w:hAnsi="楷体"/>
                <w:szCs w:val="18"/>
              </w:rPr>
            </w:pPr>
            <w:r w:rsidRPr="009722C9">
              <w:rPr>
                <w:rFonts w:ascii="楷体_GB2312" w:hAnsi="楷体" w:hint="eastAsia"/>
                <w:szCs w:val="18"/>
              </w:rPr>
              <w:t>25%</w:t>
            </w:r>
          </w:p>
        </w:tc>
        <w:tc>
          <w:tcPr>
            <w:tcW w:w="227" w:type="dxa"/>
            <w:vMerge/>
            <w:shd w:val="clear" w:color="auto" w:fill="auto"/>
            <w:vAlign w:val="center"/>
          </w:tcPr>
          <w:p w:rsidR="00C411DC" w:rsidRPr="009722C9" w:rsidRDefault="00C411DC" w:rsidP="007F40D7">
            <w:pPr>
              <w:jc w:val="center"/>
              <w:rPr>
                <w:rFonts w:ascii="楷体_GB2312" w:hAnsi="楷体"/>
                <w:szCs w:val="18"/>
              </w:rPr>
            </w:pPr>
          </w:p>
        </w:tc>
        <w:tc>
          <w:tcPr>
            <w:tcW w:w="1190" w:type="dxa"/>
            <w:shd w:val="clear" w:color="auto" w:fill="auto"/>
            <w:vAlign w:val="center"/>
          </w:tcPr>
          <w:p w:rsidR="00C411DC" w:rsidRPr="009722C9" w:rsidRDefault="00C411DC" w:rsidP="007F40D7">
            <w:pPr>
              <w:jc w:val="center"/>
              <w:rPr>
                <w:rFonts w:ascii="楷体_GB2312" w:hAnsi="楷体"/>
                <w:szCs w:val="18"/>
              </w:rPr>
            </w:pPr>
          </w:p>
        </w:tc>
        <w:tc>
          <w:tcPr>
            <w:tcW w:w="1674" w:type="dxa"/>
            <w:shd w:val="clear" w:color="auto" w:fill="auto"/>
            <w:vAlign w:val="center"/>
          </w:tcPr>
          <w:p w:rsidR="00C411DC" w:rsidRPr="009722C9" w:rsidRDefault="00C411DC" w:rsidP="007F40D7">
            <w:pPr>
              <w:jc w:val="center"/>
              <w:rPr>
                <w:rFonts w:ascii="楷体_GB2312" w:hAnsi="楷体"/>
                <w:szCs w:val="18"/>
              </w:rPr>
            </w:pPr>
          </w:p>
        </w:tc>
        <w:tc>
          <w:tcPr>
            <w:tcW w:w="708" w:type="dxa"/>
            <w:shd w:val="clear" w:color="auto" w:fill="auto"/>
            <w:vAlign w:val="center"/>
          </w:tcPr>
          <w:p w:rsidR="00C411DC" w:rsidRPr="009722C9" w:rsidRDefault="00C411DC" w:rsidP="007F40D7">
            <w:pPr>
              <w:jc w:val="center"/>
              <w:rPr>
                <w:rFonts w:ascii="楷体_GB2312" w:hAnsi="楷体"/>
                <w:szCs w:val="18"/>
              </w:rPr>
            </w:pPr>
          </w:p>
        </w:tc>
      </w:tr>
      <w:tr w:rsidR="00C411DC" w:rsidRPr="009722C9" w:rsidTr="007F40D7">
        <w:trPr>
          <w:cantSplit/>
          <w:trHeight w:val="340"/>
        </w:trPr>
        <w:tc>
          <w:tcPr>
            <w:tcW w:w="1276" w:type="dxa"/>
            <w:shd w:val="clear" w:color="auto" w:fill="auto"/>
            <w:vAlign w:val="center"/>
          </w:tcPr>
          <w:p w:rsidR="00C411DC" w:rsidRPr="00400640" w:rsidRDefault="00C411DC" w:rsidP="007F40D7">
            <w:pPr>
              <w:jc w:val="center"/>
              <w:rPr>
                <w:rFonts w:ascii="楷体_GB2312" w:hAnsi="楷体"/>
                <w:szCs w:val="18"/>
              </w:rPr>
            </w:pPr>
            <w:proofErr w:type="gramStart"/>
            <w:r w:rsidRPr="00400640">
              <w:rPr>
                <w:rFonts w:ascii="楷体_GB2312" w:hAnsi="楷体" w:hint="eastAsia"/>
                <w:szCs w:val="18"/>
              </w:rPr>
              <w:t>建信双息</w:t>
            </w:r>
            <w:proofErr w:type="gramEnd"/>
            <w:r w:rsidRPr="00400640">
              <w:rPr>
                <w:rFonts w:ascii="楷体_GB2312" w:hAnsi="楷体" w:hint="eastAsia"/>
                <w:szCs w:val="18"/>
              </w:rPr>
              <w:t>红利</w:t>
            </w:r>
          </w:p>
        </w:tc>
        <w:tc>
          <w:tcPr>
            <w:tcW w:w="1559" w:type="dxa"/>
            <w:shd w:val="clear" w:color="auto" w:fill="auto"/>
            <w:vAlign w:val="center"/>
          </w:tcPr>
          <w:p w:rsidR="00C411DC" w:rsidRPr="00400640" w:rsidRDefault="00C411DC" w:rsidP="007F40D7">
            <w:pPr>
              <w:jc w:val="center"/>
              <w:rPr>
                <w:rFonts w:ascii="楷体_GB2312" w:hAnsi="楷体"/>
                <w:szCs w:val="18"/>
              </w:rPr>
            </w:pPr>
            <w:r w:rsidRPr="00400640">
              <w:rPr>
                <w:rFonts w:ascii="楷体_GB2312" w:hAnsi="楷体" w:hint="eastAsia"/>
                <w:szCs w:val="18"/>
              </w:rPr>
              <w:t>债券－普通债券型</w:t>
            </w:r>
          </w:p>
        </w:tc>
        <w:tc>
          <w:tcPr>
            <w:tcW w:w="737" w:type="dxa"/>
            <w:shd w:val="clear" w:color="auto" w:fill="auto"/>
            <w:vAlign w:val="center"/>
          </w:tcPr>
          <w:p w:rsidR="00C411DC" w:rsidRPr="009722C9" w:rsidRDefault="00C411DC" w:rsidP="007F40D7">
            <w:pPr>
              <w:jc w:val="center"/>
              <w:rPr>
                <w:rFonts w:ascii="楷体_GB2312" w:hAnsi="楷体"/>
                <w:szCs w:val="18"/>
              </w:rPr>
            </w:pPr>
            <w:r w:rsidRPr="009722C9">
              <w:rPr>
                <w:rFonts w:ascii="楷体_GB2312" w:hAnsi="楷体" w:hint="eastAsia"/>
                <w:szCs w:val="18"/>
              </w:rPr>
              <w:t>25%</w:t>
            </w:r>
          </w:p>
        </w:tc>
        <w:tc>
          <w:tcPr>
            <w:tcW w:w="227" w:type="dxa"/>
            <w:vMerge/>
            <w:shd w:val="clear" w:color="auto" w:fill="auto"/>
            <w:vAlign w:val="center"/>
          </w:tcPr>
          <w:p w:rsidR="00C411DC" w:rsidRPr="009722C9" w:rsidRDefault="00C411DC" w:rsidP="007F40D7">
            <w:pPr>
              <w:jc w:val="center"/>
              <w:rPr>
                <w:rFonts w:ascii="楷体_GB2312" w:hAnsi="楷体"/>
                <w:szCs w:val="18"/>
              </w:rPr>
            </w:pPr>
          </w:p>
        </w:tc>
        <w:tc>
          <w:tcPr>
            <w:tcW w:w="1190" w:type="dxa"/>
            <w:shd w:val="clear" w:color="auto" w:fill="auto"/>
            <w:vAlign w:val="center"/>
          </w:tcPr>
          <w:p w:rsidR="00C411DC" w:rsidRPr="009722C9" w:rsidRDefault="00C411DC" w:rsidP="007F40D7">
            <w:pPr>
              <w:jc w:val="center"/>
              <w:rPr>
                <w:rFonts w:ascii="楷体_GB2312" w:hAnsi="楷体"/>
                <w:szCs w:val="18"/>
              </w:rPr>
            </w:pPr>
          </w:p>
        </w:tc>
        <w:tc>
          <w:tcPr>
            <w:tcW w:w="1674" w:type="dxa"/>
            <w:shd w:val="clear" w:color="auto" w:fill="auto"/>
            <w:vAlign w:val="center"/>
          </w:tcPr>
          <w:p w:rsidR="00C411DC" w:rsidRPr="009722C9" w:rsidRDefault="00C411DC" w:rsidP="007F40D7">
            <w:pPr>
              <w:jc w:val="center"/>
              <w:rPr>
                <w:rFonts w:ascii="楷体_GB2312" w:hAnsi="楷体"/>
                <w:szCs w:val="18"/>
              </w:rPr>
            </w:pPr>
          </w:p>
        </w:tc>
        <w:tc>
          <w:tcPr>
            <w:tcW w:w="708" w:type="dxa"/>
            <w:shd w:val="clear" w:color="auto" w:fill="auto"/>
            <w:vAlign w:val="center"/>
          </w:tcPr>
          <w:p w:rsidR="00C411DC" w:rsidRPr="009722C9" w:rsidRDefault="00C411DC" w:rsidP="007F40D7">
            <w:pPr>
              <w:jc w:val="center"/>
              <w:rPr>
                <w:rFonts w:ascii="楷体_GB2312" w:hAnsi="楷体"/>
                <w:szCs w:val="18"/>
              </w:rPr>
            </w:pPr>
          </w:p>
        </w:tc>
      </w:tr>
      <w:tr w:rsidR="00C411DC" w:rsidRPr="00734C71" w:rsidTr="007F40D7">
        <w:trPr>
          <w:cantSplit/>
          <w:trHeight w:val="340"/>
        </w:trPr>
        <w:tc>
          <w:tcPr>
            <w:tcW w:w="1276" w:type="dxa"/>
            <w:shd w:val="clear" w:color="auto" w:fill="auto"/>
            <w:vAlign w:val="center"/>
          </w:tcPr>
          <w:p w:rsidR="00C411DC" w:rsidRPr="00400640" w:rsidRDefault="00C411DC" w:rsidP="007F40D7">
            <w:pPr>
              <w:jc w:val="center"/>
              <w:rPr>
                <w:rFonts w:ascii="楷体_GB2312" w:hAnsi="楷体"/>
                <w:szCs w:val="18"/>
              </w:rPr>
            </w:pPr>
            <w:r w:rsidRPr="00400640">
              <w:rPr>
                <w:rFonts w:ascii="楷体_GB2312" w:hAnsi="楷体" w:hint="eastAsia"/>
                <w:szCs w:val="18"/>
              </w:rPr>
              <w:t>★南方绝对收益</w:t>
            </w:r>
          </w:p>
        </w:tc>
        <w:tc>
          <w:tcPr>
            <w:tcW w:w="1559" w:type="dxa"/>
            <w:shd w:val="clear" w:color="auto" w:fill="auto"/>
            <w:vAlign w:val="center"/>
          </w:tcPr>
          <w:p w:rsidR="00C411DC" w:rsidRPr="00400640" w:rsidRDefault="00C411DC" w:rsidP="007F40D7">
            <w:pPr>
              <w:jc w:val="center"/>
              <w:rPr>
                <w:rFonts w:ascii="楷体_GB2312" w:hAnsi="楷体"/>
                <w:szCs w:val="18"/>
              </w:rPr>
            </w:pPr>
            <w:r w:rsidRPr="00400640">
              <w:rPr>
                <w:rFonts w:ascii="楷体_GB2312" w:hAnsi="楷体" w:hint="eastAsia"/>
                <w:szCs w:val="18"/>
              </w:rPr>
              <w:t>股票型</w:t>
            </w:r>
          </w:p>
        </w:tc>
        <w:tc>
          <w:tcPr>
            <w:tcW w:w="737" w:type="dxa"/>
            <w:shd w:val="clear" w:color="auto" w:fill="auto"/>
            <w:vAlign w:val="center"/>
          </w:tcPr>
          <w:p w:rsidR="00C411DC" w:rsidRDefault="00C411DC" w:rsidP="007F40D7">
            <w:pPr>
              <w:jc w:val="center"/>
            </w:pPr>
            <w:r>
              <w:rPr>
                <w:rFonts w:ascii="楷体_GB2312" w:hAnsi="宋体" w:hint="eastAsia"/>
                <w:bCs/>
                <w:szCs w:val="18"/>
              </w:rPr>
              <w:t>30</w:t>
            </w:r>
            <w:r w:rsidRPr="0021406B">
              <w:rPr>
                <w:rFonts w:ascii="楷体_GB2312" w:hAnsi="宋体" w:hint="eastAsia"/>
                <w:bCs/>
                <w:szCs w:val="18"/>
              </w:rPr>
              <w:t>%</w:t>
            </w:r>
          </w:p>
        </w:tc>
        <w:tc>
          <w:tcPr>
            <w:tcW w:w="227" w:type="dxa"/>
            <w:vMerge/>
            <w:shd w:val="clear" w:color="auto" w:fill="auto"/>
            <w:vAlign w:val="center"/>
          </w:tcPr>
          <w:p w:rsidR="00C411DC" w:rsidRPr="00734C71" w:rsidRDefault="00C411DC" w:rsidP="007F40D7">
            <w:pPr>
              <w:jc w:val="center"/>
              <w:rPr>
                <w:rFonts w:ascii="楷体_GB2312" w:hAnsi="宋体"/>
                <w:bCs/>
                <w:szCs w:val="18"/>
              </w:rPr>
            </w:pPr>
          </w:p>
        </w:tc>
        <w:tc>
          <w:tcPr>
            <w:tcW w:w="1190" w:type="dxa"/>
            <w:shd w:val="clear" w:color="auto" w:fill="auto"/>
            <w:vAlign w:val="center"/>
          </w:tcPr>
          <w:p w:rsidR="00C411DC" w:rsidRPr="00734C71" w:rsidRDefault="00C411DC" w:rsidP="007F40D7">
            <w:pPr>
              <w:jc w:val="center"/>
              <w:rPr>
                <w:rFonts w:ascii="楷体_GB2312" w:hAnsi="宋体"/>
                <w:bCs/>
                <w:szCs w:val="18"/>
              </w:rPr>
            </w:pPr>
          </w:p>
        </w:tc>
        <w:tc>
          <w:tcPr>
            <w:tcW w:w="1674" w:type="dxa"/>
            <w:shd w:val="clear" w:color="auto" w:fill="auto"/>
            <w:vAlign w:val="center"/>
          </w:tcPr>
          <w:p w:rsidR="00C411DC" w:rsidRPr="00734C71" w:rsidRDefault="00C411DC" w:rsidP="007F40D7">
            <w:pPr>
              <w:jc w:val="center"/>
              <w:rPr>
                <w:rFonts w:ascii="楷体_GB2312" w:hAnsi="宋体"/>
                <w:bCs/>
                <w:szCs w:val="18"/>
              </w:rPr>
            </w:pPr>
          </w:p>
        </w:tc>
        <w:tc>
          <w:tcPr>
            <w:tcW w:w="708" w:type="dxa"/>
            <w:shd w:val="clear" w:color="auto" w:fill="auto"/>
            <w:vAlign w:val="center"/>
          </w:tcPr>
          <w:p w:rsidR="00C411DC" w:rsidRPr="00734C71" w:rsidRDefault="00C411DC" w:rsidP="007F40D7">
            <w:pPr>
              <w:jc w:val="center"/>
              <w:rPr>
                <w:rFonts w:ascii="楷体_GB2312" w:hAnsi="宋体"/>
                <w:bCs/>
                <w:szCs w:val="18"/>
              </w:rPr>
            </w:pPr>
          </w:p>
        </w:tc>
      </w:tr>
    </w:tbl>
    <w:p w:rsidR="00C411DC" w:rsidRPr="00A86F8F" w:rsidRDefault="00C411DC" w:rsidP="00C411DC">
      <w:pPr>
        <w:pStyle w:val="FootnoteNoline"/>
        <w:spacing w:before="0" w:after="0"/>
        <w:rPr>
          <w:color w:val="auto"/>
          <w:sz w:val="10"/>
          <w:szCs w:val="10"/>
        </w:rPr>
      </w:pPr>
    </w:p>
    <w:p w:rsidR="00C411DC" w:rsidRPr="00AF25D2" w:rsidRDefault="00C411DC" w:rsidP="00C411DC">
      <w:pPr>
        <w:pStyle w:val="FootnoteNoline"/>
        <w:rPr>
          <w:color w:val="auto"/>
        </w:rPr>
      </w:pPr>
      <w:r>
        <w:rPr>
          <w:rFonts w:hint="eastAsia"/>
        </w:rPr>
        <w:t>来源：国金证券研究所</w:t>
      </w:r>
      <w:r>
        <w:rPr>
          <w:rFonts w:hint="eastAsia"/>
        </w:rPr>
        <w:t xml:space="preserve"> </w:t>
      </w:r>
    </w:p>
    <w:p w:rsidR="00C411DC" w:rsidRPr="00B00136" w:rsidRDefault="00C411DC" w:rsidP="00C411DC">
      <w:pPr>
        <w:pStyle w:val="21"/>
        <w:rPr>
          <w:color w:val="auto"/>
        </w:rPr>
      </w:pPr>
    </w:p>
    <w:p w:rsidR="00C411DC" w:rsidRPr="00C639CB" w:rsidRDefault="00C411DC" w:rsidP="00C411DC">
      <w:pPr>
        <w:pStyle w:val="14"/>
        <w:pageBreakBefore w:val="0"/>
        <w:ind w:leftChars="1890"/>
        <w:rPr>
          <w:color w:val="auto"/>
        </w:rPr>
      </w:pPr>
      <w:r>
        <w:br w:type="page"/>
      </w:r>
      <w:bookmarkStart w:id="5" w:name="_Toc329462389"/>
      <w:r w:rsidRPr="00C639CB">
        <w:rPr>
          <w:rFonts w:hint="eastAsia"/>
          <w:color w:val="auto"/>
        </w:rPr>
        <w:lastRenderedPageBreak/>
        <w:t>第一部分：</w:t>
      </w:r>
      <w:r w:rsidRPr="00C411DC">
        <w:rPr>
          <w:rFonts w:hint="eastAsia"/>
          <w:color w:val="auto"/>
        </w:rPr>
        <w:t>多维度稳健配置，增强灵活把握节奏</w:t>
      </w:r>
      <w:r w:rsidRPr="00746141">
        <w:rPr>
          <w:rFonts w:hint="eastAsia"/>
          <w:color w:val="auto"/>
        </w:rPr>
        <w:t>—</w:t>
      </w:r>
      <w:r w:rsidRPr="00C639CB">
        <w:rPr>
          <w:rFonts w:hint="eastAsia"/>
          <w:color w:val="auto"/>
        </w:rPr>
        <w:t>—权益类开放式基金投资操作策略</w:t>
      </w:r>
      <w:bookmarkEnd w:id="4"/>
      <w:bookmarkEnd w:id="5"/>
    </w:p>
    <w:p w:rsidR="00C411DC" w:rsidRPr="003B5626" w:rsidRDefault="00C411DC" w:rsidP="00C411DC">
      <w:pPr>
        <w:pStyle w:val="21"/>
        <w:numPr>
          <w:ilvl w:val="0"/>
          <w:numId w:val="37"/>
        </w:numPr>
        <w:rPr>
          <w:color w:val="auto"/>
        </w:rPr>
      </w:pPr>
      <w:r>
        <w:rPr>
          <w:rFonts w:hint="eastAsia"/>
          <w:color w:val="auto"/>
        </w:rPr>
        <w:t>牛市遇波折，市场运行节奏或变化</w:t>
      </w:r>
    </w:p>
    <w:p w:rsidR="00C411DC" w:rsidRPr="00F94780" w:rsidRDefault="00C411DC" w:rsidP="00C411DC">
      <w:pPr>
        <w:pStyle w:val="21"/>
        <w:spacing w:line="240" w:lineRule="auto"/>
        <w:rPr>
          <w:color w:val="auto"/>
        </w:rPr>
      </w:pPr>
      <w:bookmarkStart w:id="6" w:name="_Toc329462391"/>
      <w:r w:rsidRPr="00F94780">
        <w:rPr>
          <w:rFonts w:hint="eastAsia"/>
          <w:color w:val="auto"/>
        </w:rPr>
        <w:t>国内经济：</w:t>
      </w:r>
      <w:bookmarkEnd w:id="6"/>
      <w:r>
        <w:rPr>
          <w:rFonts w:hint="eastAsia"/>
          <w:color w:val="auto"/>
        </w:rPr>
        <w:t>经济下滑压力并未减轻，宏观流动性</w:t>
      </w:r>
      <w:r w:rsidRPr="004F1F48">
        <w:rPr>
          <w:rFonts w:hint="eastAsia"/>
          <w:color w:val="auto"/>
        </w:rPr>
        <w:t>无需担忧</w:t>
      </w:r>
    </w:p>
    <w:p w:rsidR="00C411DC" w:rsidRPr="00B81361" w:rsidRDefault="00C411DC" w:rsidP="00C411DC">
      <w:pPr>
        <w:pStyle w:val="a0"/>
        <w:numPr>
          <w:ilvl w:val="4"/>
          <w:numId w:val="3"/>
        </w:numPr>
        <w:spacing w:line="240" w:lineRule="auto"/>
        <w:rPr>
          <w:rFonts w:ascii="楷体_GB2312"/>
          <w:color w:val="auto"/>
        </w:rPr>
      </w:pPr>
      <w:r w:rsidRPr="00B81361">
        <w:rPr>
          <w:rFonts w:ascii="楷体_GB2312" w:hint="eastAsia"/>
          <w:color w:val="auto"/>
        </w:rPr>
        <w:t>虽然五月份的经济数据显示部分数据小幅回升，但我们认为当前经济运行的下行趋势并未结束，</w:t>
      </w:r>
      <w:proofErr w:type="gramStart"/>
      <w:r w:rsidRPr="00B81361">
        <w:rPr>
          <w:rFonts w:ascii="楷体_GB2312" w:hint="eastAsia"/>
          <w:color w:val="auto"/>
        </w:rPr>
        <w:t>稳增长</w:t>
      </w:r>
      <w:proofErr w:type="gramEnd"/>
      <w:r w:rsidRPr="00B81361">
        <w:rPr>
          <w:rFonts w:ascii="楷体_GB2312" w:hint="eastAsia"/>
          <w:color w:val="auto"/>
        </w:rPr>
        <w:t>仍然迫切。5月单投资轻微回升</w:t>
      </w:r>
      <w:r>
        <w:rPr>
          <w:rFonts w:ascii="楷体_GB2312" w:hint="eastAsia"/>
          <w:color w:val="auto"/>
        </w:rPr>
        <w:t>0.</w:t>
      </w:r>
      <w:r w:rsidRPr="00B81361">
        <w:rPr>
          <w:rFonts w:ascii="楷体_GB2312" w:hint="eastAsia"/>
          <w:color w:val="auto"/>
        </w:rPr>
        <w:t>3 至 9.9%累计增速仍然略有下滑，</w:t>
      </w:r>
      <w:r>
        <w:rPr>
          <w:rFonts w:ascii="楷体_GB2312" w:hint="eastAsia"/>
          <w:color w:val="auto"/>
        </w:rPr>
        <w:t>其中新开工低位快速恢复，地产销售持续好转，销售面积和销售额大幅提升，但主要由基数效应导致，且上游土地成交依然较弱；同时制造业投资小幅回升，过剩行业与制造业</w:t>
      </w:r>
      <w:proofErr w:type="gramStart"/>
      <w:r>
        <w:rPr>
          <w:rFonts w:ascii="楷体_GB2312" w:hint="eastAsia"/>
          <w:color w:val="auto"/>
        </w:rPr>
        <w:t>装备业</w:t>
      </w:r>
      <w:proofErr w:type="gramEnd"/>
      <w:r>
        <w:rPr>
          <w:rFonts w:ascii="楷体_GB2312" w:hint="eastAsia"/>
          <w:color w:val="auto"/>
        </w:rPr>
        <w:t>均出现反弹；基建投资单月小幅下滑，且新开工落实情况较差，尽管</w:t>
      </w:r>
      <w:r w:rsidRPr="00B81361">
        <w:rPr>
          <w:rFonts w:ascii="楷体_GB2312" w:hint="eastAsia"/>
          <w:color w:val="auto"/>
        </w:rPr>
        <w:t>政策督促</w:t>
      </w:r>
      <w:proofErr w:type="gramStart"/>
      <w:r w:rsidRPr="00B81361">
        <w:rPr>
          <w:rFonts w:ascii="楷体_GB2312" w:hint="eastAsia"/>
          <w:color w:val="auto"/>
        </w:rPr>
        <w:t>稳增长</w:t>
      </w:r>
      <w:proofErr w:type="gramEnd"/>
      <w:r w:rsidRPr="00B81361">
        <w:rPr>
          <w:rFonts w:ascii="楷体_GB2312" w:hint="eastAsia"/>
          <w:color w:val="auto"/>
        </w:rPr>
        <w:t>项目落地的力度</w:t>
      </w:r>
      <w:r>
        <w:rPr>
          <w:rFonts w:ascii="楷体_GB2312" w:hint="eastAsia"/>
          <w:color w:val="auto"/>
        </w:rPr>
        <w:t>有所提升</w:t>
      </w:r>
      <w:r w:rsidRPr="00B81361">
        <w:rPr>
          <w:rFonts w:ascii="楷体_GB2312" w:hint="eastAsia"/>
          <w:color w:val="auto"/>
        </w:rPr>
        <w:t>，但</w:t>
      </w:r>
      <w:r>
        <w:rPr>
          <w:rFonts w:ascii="楷体_GB2312" w:hint="eastAsia"/>
          <w:color w:val="auto"/>
        </w:rPr>
        <w:t>地方投资并未明显启动，钢铁、水泥价格走势较弱</w:t>
      </w:r>
      <w:r w:rsidRPr="00B81361">
        <w:rPr>
          <w:rFonts w:ascii="楷体_GB2312" w:hint="eastAsia"/>
          <w:color w:val="auto"/>
        </w:rPr>
        <w:t>，</w:t>
      </w:r>
      <w:r>
        <w:rPr>
          <w:rFonts w:ascii="楷体_GB2312" w:hint="eastAsia"/>
          <w:color w:val="auto"/>
        </w:rPr>
        <w:t>中游行业</w:t>
      </w:r>
      <w:proofErr w:type="gramStart"/>
      <w:r>
        <w:rPr>
          <w:rFonts w:ascii="楷体_GB2312" w:hint="eastAsia"/>
          <w:color w:val="auto"/>
        </w:rPr>
        <w:t>企稳难现</w:t>
      </w:r>
      <w:proofErr w:type="gramEnd"/>
      <w:r>
        <w:rPr>
          <w:rFonts w:ascii="楷体_GB2312" w:hint="eastAsia"/>
          <w:color w:val="auto"/>
        </w:rPr>
        <w:t>；</w:t>
      </w:r>
      <w:r w:rsidRPr="00B81361">
        <w:rPr>
          <w:rFonts w:ascii="楷体_GB2312" w:hint="eastAsia"/>
          <w:color w:val="auto"/>
        </w:rPr>
        <w:t>5 月工业增加值低位微升至6.1%，</w:t>
      </w:r>
      <w:proofErr w:type="gramStart"/>
      <w:r w:rsidRPr="00B81361">
        <w:rPr>
          <w:rFonts w:ascii="楷体_GB2312" w:hint="eastAsia"/>
          <w:color w:val="auto"/>
        </w:rPr>
        <w:t>季调后环</w:t>
      </w:r>
      <w:proofErr w:type="gramEnd"/>
      <w:r w:rsidRPr="00B81361">
        <w:rPr>
          <w:rFonts w:ascii="楷体_GB2312" w:hint="eastAsia"/>
          <w:color w:val="auto"/>
        </w:rPr>
        <w:t>比</w:t>
      </w:r>
      <w:r>
        <w:rPr>
          <w:rFonts w:ascii="楷体_GB2312" w:hint="eastAsia"/>
          <w:color w:val="auto"/>
        </w:rPr>
        <w:t>涨幅较上月涨幅收窄，消费品行业明显回升，装备制造业以回落为主，传统周期链条并未明显回升；5月消费的名义与实际增速都有所提高，地产相关销售继续高位上升，电子通讯器材类消费继续保持高速增长； 5月贸易仍然疲软，出口低位回升但增速极低，进口的大宗商品、机床等大幅负增长，反映国内投资需求极度低迷、传统工业产出扩张乏力的现实。</w:t>
      </w:r>
    </w:p>
    <w:p w:rsidR="00C411DC" w:rsidRPr="00B81361" w:rsidRDefault="00C411DC" w:rsidP="00C411DC">
      <w:pPr>
        <w:pStyle w:val="a0"/>
        <w:numPr>
          <w:ilvl w:val="4"/>
          <w:numId w:val="3"/>
        </w:numPr>
        <w:spacing w:line="240" w:lineRule="auto"/>
        <w:rPr>
          <w:rFonts w:ascii="楷体_GB2312"/>
          <w:color w:val="auto"/>
        </w:rPr>
      </w:pPr>
      <w:r>
        <w:rPr>
          <w:rFonts w:ascii="楷体_GB2312" w:hint="eastAsia"/>
          <w:color w:val="auto"/>
        </w:rPr>
        <w:t>此外，5月份金融数据仍未实际扩张。5</w:t>
      </w:r>
      <w:r w:rsidRPr="00B81361">
        <w:rPr>
          <w:rFonts w:ascii="楷体_GB2312" w:hint="eastAsia"/>
          <w:color w:val="auto"/>
        </w:rPr>
        <w:t>月融资总额回升到了1.22 万亿</w:t>
      </w:r>
      <w:r>
        <w:rPr>
          <w:rFonts w:ascii="楷体_GB2312" w:hint="eastAsia"/>
          <w:color w:val="auto"/>
        </w:rPr>
        <w:t>但同比增速仍在下滑</w:t>
      </w:r>
      <w:r w:rsidRPr="00B81361">
        <w:rPr>
          <w:rFonts w:ascii="楷体_GB2312" w:hint="eastAsia"/>
          <w:color w:val="auto"/>
        </w:rPr>
        <w:t>，</w:t>
      </w:r>
      <w:proofErr w:type="gramStart"/>
      <w:r>
        <w:rPr>
          <w:rFonts w:ascii="楷体_GB2312" w:hint="eastAsia"/>
          <w:color w:val="auto"/>
        </w:rPr>
        <w:t>且环比</w:t>
      </w:r>
      <w:proofErr w:type="gramEnd"/>
      <w:r>
        <w:rPr>
          <w:rFonts w:ascii="楷体_GB2312" w:hint="eastAsia"/>
          <w:color w:val="auto"/>
        </w:rPr>
        <w:t>回升意义不足</w:t>
      </w:r>
      <w:r w:rsidRPr="00B81361">
        <w:rPr>
          <w:rFonts w:ascii="楷体_GB2312" w:hint="eastAsia"/>
          <w:color w:val="auto"/>
        </w:rPr>
        <w:t>，主要是开出票据上升以及同业人民币贷款增加所致；信贷总量</w:t>
      </w:r>
      <w:r>
        <w:rPr>
          <w:rFonts w:ascii="楷体_GB2312" w:hint="eastAsia"/>
          <w:color w:val="auto"/>
        </w:rPr>
        <w:t>虽然有所扩张</w:t>
      </w:r>
      <w:r w:rsidRPr="00B81361">
        <w:rPr>
          <w:rFonts w:ascii="楷体_GB2312" w:hint="eastAsia"/>
          <w:color w:val="auto"/>
        </w:rPr>
        <w:t>，但主要来自票据贴现及非银同业贷款增加，由于企业的中长期贷款还在下滑，因此</w:t>
      </w:r>
      <w:r>
        <w:rPr>
          <w:rFonts w:ascii="楷体_GB2312" w:hint="eastAsia"/>
          <w:color w:val="auto"/>
        </w:rPr>
        <w:t>与实体相关度不高，房地产销售的持续回升在居民中长期贷款中有所体现</w:t>
      </w:r>
      <w:r w:rsidRPr="00B81361">
        <w:rPr>
          <w:rFonts w:ascii="楷体_GB2312" w:hint="eastAsia"/>
          <w:color w:val="auto"/>
        </w:rPr>
        <w:t>。M2 的回升</w:t>
      </w:r>
      <w:r>
        <w:rPr>
          <w:rFonts w:ascii="楷体_GB2312" w:hint="eastAsia"/>
          <w:color w:val="auto"/>
        </w:rPr>
        <w:t>仍在目标下方回升，且</w:t>
      </w:r>
      <w:r w:rsidRPr="00B81361">
        <w:rPr>
          <w:rFonts w:ascii="楷体_GB2312" w:hint="eastAsia"/>
          <w:color w:val="auto"/>
        </w:rPr>
        <w:t>主要受汇率回升、贸易顺差衰退式增长以及央行PSL 错位影响，存款的波动则主要归因于非银同业存款的大幅增长。</w:t>
      </w:r>
    </w:p>
    <w:p w:rsidR="00C411DC" w:rsidRDefault="00C411DC" w:rsidP="00C411DC">
      <w:pPr>
        <w:pStyle w:val="a0"/>
        <w:numPr>
          <w:ilvl w:val="4"/>
          <w:numId w:val="3"/>
        </w:numPr>
        <w:spacing w:line="240" w:lineRule="auto"/>
        <w:rPr>
          <w:rFonts w:ascii="楷体_GB2312"/>
          <w:color w:val="auto"/>
        </w:rPr>
      </w:pPr>
      <w:r>
        <w:rPr>
          <w:rFonts w:ascii="楷体_GB2312" w:hint="eastAsia"/>
          <w:color w:val="auto"/>
        </w:rPr>
        <w:t>短期经济数据的波动使得市场对于经济企稳的讨论增多，但当前来看，</w:t>
      </w:r>
      <w:r w:rsidRPr="00E15D7A">
        <w:rPr>
          <w:rFonts w:ascii="楷体_GB2312" w:hint="eastAsia"/>
          <w:color w:val="auto"/>
        </w:rPr>
        <w:t>经济</w:t>
      </w:r>
      <w:r>
        <w:rPr>
          <w:rFonts w:ascii="楷体_GB2312" w:hint="eastAsia"/>
          <w:color w:val="auto"/>
        </w:rPr>
        <w:t>数据虽有弱回升但尚无法证明底部企稳，</w:t>
      </w:r>
      <w:r w:rsidRPr="00E15D7A">
        <w:rPr>
          <w:rFonts w:ascii="楷体_GB2312" w:hint="eastAsia"/>
          <w:color w:val="auto"/>
        </w:rPr>
        <w:t>距离稳健回升状态相差更远</w:t>
      </w:r>
      <w:r>
        <w:rPr>
          <w:rFonts w:ascii="楷体_GB2312" w:hint="eastAsia"/>
          <w:color w:val="auto"/>
        </w:rPr>
        <w:t>，除了</w:t>
      </w:r>
      <w:r w:rsidRPr="00E15D7A">
        <w:rPr>
          <w:rFonts w:ascii="楷体_GB2312" w:hint="eastAsia"/>
          <w:color w:val="auto"/>
        </w:rPr>
        <w:t>高频数据显示</w:t>
      </w:r>
      <w:proofErr w:type="gramStart"/>
      <w:r w:rsidRPr="00E15D7A">
        <w:rPr>
          <w:rFonts w:ascii="楷体_GB2312" w:hint="eastAsia"/>
          <w:color w:val="auto"/>
        </w:rPr>
        <w:t>生产面延续</w:t>
      </w:r>
      <w:proofErr w:type="gramEnd"/>
      <w:r w:rsidRPr="00E15D7A">
        <w:rPr>
          <w:rFonts w:ascii="楷体_GB2312" w:hint="eastAsia"/>
          <w:color w:val="auto"/>
        </w:rPr>
        <w:t>疲弱态势，经济下行压力依然延续</w:t>
      </w:r>
      <w:r>
        <w:rPr>
          <w:rFonts w:ascii="楷体_GB2312" w:hint="eastAsia"/>
          <w:color w:val="auto"/>
        </w:rPr>
        <w:t>，近期国务院常务会议仍</w:t>
      </w:r>
      <w:r w:rsidRPr="00E15D7A">
        <w:rPr>
          <w:rFonts w:ascii="楷体_GB2312" w:hint="eastAsia"/>
          <w:color w:val="auto"/>
        </w:rPr>
        <w:t>要求</w:t>
      </w:r>
      <w:proofErr w:type="gramStart"/>
      <w:r w:rsidRPr="00E15D7A">
        <w:rPr>
          <w:rFonts w:ascii="楷体_GB2312" w:hint="eastAsia"/>
          <w:color w:val="auto"/>
        </w:rPr>
        <w:t>稳增长</w:t>
      </w:r>
      <w:proofErr w:type="gramEnd"/>
      <w:r w:rsidRPr="00E15D7A">
        <w:rPr>
          <w:rFonts w:ascii="楷体_GB2312" w:hint="eastAsia"/>
          <w:color w:val="auto"/>
        </w:rPr>
        <w:t>需求与</w:t>
      </w:r>
      <w:proofErr w:type="gramStart"/>
      <w:r w:rsidRPr="00E15D7A">
        <w:rPr>
          <w:rFonts w:ascii="楷体_GB2312" w:hint="eastAsia"/>
          <w:color w:val="auto"/>
        </w:rPr>
        <w:t>资金双</w:t>
      </w:r>
      <w:proofErr w:type="gramEnd"/>
      <w:r w:rsidRPr="00E15D7A">
        <w:rPr>
          <w:rFonts w:ascii="楷体_GB2312" w:hint="eastAsia"/>
          <w:color w:val="auto"/>
        </w:rPr>
        <w:t>加码</w:t>
      </w:r>
      <w:r>
        <w:rPr>
          <w:rFonts w:ascii="楷体_GB2312" w:hint="eastAsia"/>
          <w:color w:val="auto"/>
        </w:rPr>
        <w:t>，</w:t>
      </w:r>
      <w:r w:rsidRPr="00E15D7A">
        <w:rPr>
          <w:rFonts w:ascii="楷体_GB2312" w:hint="eastAsia"/>
          <w:color w:val="auto"/>
        </w:rPr>
        <w:t>于此同时，央行调查问卷显示2季度信贷需求创新低，不仅绝对水平低于2008年4季度，下滑速度创下历年2</w:t>
      </w:r>
      <w:r>
        <w:rPr>
          <w:rFonts w:ascii="楷体_GB2312" w:hint="eastAsia"/>
          <w:color w:val="auto"/>
        </w:rPr>
        <w:t>季度之最，企业经营状况持续恶化。从经济波动角度，我们预计三季度或形成阶段性回升，而实体经济的恢复至少还需要2-3年。</w:t>
      </w:r>
    </w:p>
    <w:p w:rsidR="00C411DC" w:rsidRPr="009B320F" w:rsidRDefault="00C411DC" w:rsidP="00C411DC">
      <w:pPr>
        <w:pStyle w:val="a0"/>
        <w:numPr>
          <w:ilvl w:val="4"/>
          <w:numId w:val="3"/>
        </w:numPr>
        <w:spacing w:line="240" w:lineRule="auto"/>
        <w:rPr>
          <w:rFonts w:ascii="楷体_GB2312"/>
          <w:color w:val="auto"/>
        </w:rPr>
      </w:pPr>
      <w:r>
        <w:rPr>
          <w:rFonts w:ascii="楷体_GB2312" w:hint="eastAsia"/>
          <w:color w:val="auto"/>
        </w:rPr>
        <w:t>在</w:t>
      </w:r>
      <w:r w:rsidRPr="004C6151">
        <w:rPr>
          <w:rFonts w:ascii="楷体_GB2312" w:hint="eastAsia"/>
          <w:color w:val="auto"/>
        </w:rPr>
        <w:t>经济下滑压力并未减轻</w:t>
      </w:r>
      <w:r>
        <w:rPr>
          <w:rFonts w:ascii="楷体_GB2312" w:hint="eastAsia"/>
          <w:color w:val="auto"/>
        </w:rPr>
        <w:t>的背景下</w:t>
      </w:r>
      <w:r w:rsidRPr="0051471C">
        <w:rPr>
          <w:rFonts w:ascii="楷体_GB2312" w:hint="eastAsia"/>
          <w:color w:val="auto"/>
        </w:rPr>
        <w:t>，</w:t>
      </w:r>
      <w:r>
        <w:rPr>
          <w:rFonts w:ascii="楷体_GB2312" w:hint="eastAsia"/>
          <w:color w:val="auto"/>
        </w:rPr>
        <w:t>宏观流动性仍无需担忧。从去年底到今年上半年，央行通过全面的降息</w:t>
      </w:r>
      <w:proofErr w:type="gramStart"/>
      <w:r>
        <w:rPr>
          <w:rFonts w:ascii="楷体_GB2312" w:hint="eastAsia"/>
          <w:color w:val="auto"/>
        </w:rPr>
        <w:t>降准以及</w:t>
      </w:r>
      <w:proofErr w:type="gramEnd"/>
      <w:r>
        <w:rPr>
          <w:rFonts w:ascii="楷体_GB2312" w:hint="eastAsia"/>
          <w:color w:val="auto"/>
        </w:rPr>
        <w:t>多种创新型工具不断改善流动性，短期流动性价格指标明显下降。但同时货币政策传导机制不畅，</w:t>
      </w:r>
      <w:r w:rsidRPr="001240F6">
        <w:rPr>
          <w:rFonts w:ascii="楷体_GB2312" w:hint="eastAsia"/>
          <w:color w:val="auto"/>
        </w:rPr>
        <w:t>实体经济融资</w:t>
      </w:r>
      <w:r>
        <w:rPr>
          <w:rFonts w:ascii="楷体_GB2312" w:hint="eastAsia"/>
          <w:color w:val="auto"/>
        </w:rPr>
        <w:t>需求</w:t>
      </w:r>
      <w:r w:rsidRPr="001240F6">
        <w:rPr>
          <w:rFonts w:ascii="楷体_GB2312" w:hint="eastAsia"/>
          <w:color w:val="auto"/>
        </w:rPr>
        <w:t>显著疲弱</w:t>
      </w:r>
      <w:r>
        <w:rPr>
          <w:rFonts w:ascii="楷体_GB2312" w:hint="eastAsia"/>
          <w:color w:val="auto"/>
        </w:rPr>
        <w:t>，</w:t>
      </w:r>
      <w:r w:rsidRPr="001240F6">
        <w:rPr>
          <w:rFonts w:ascii="楷体_GB2312" w:hint="eastAsia"/>
          <w:color w:val="auto"/>
        </w:rPr>
        <w:t>流动性</w:t>
      </w:r>
      <w:r>
        <w:rPr>
          <w:rFonts w:ascii="楷体_GB2312" w:hint="eastAsia"/>
          <w:color w:val="auto"/>
        </w:rPr>
        <w:t>大量</w:t>
      </w:r>
      <w:r w:rsidRPr="001240F6">
        <w:rPr>
          <w:rFonts w:ascii="楷体_GB2312" w:hint="eastAsia"/>
          <w:color w:val="auto"/>
        </w:rPr>
        <w:t>堆积在金融市场</w:t>
      </w:r>
      <w:r>
        <w:rPr>
          <w:rFonts w:ascii="楷体_GB2312" w:hint="eastAsia"/>
          <w:color w:val="auto"/>
        </w:rPr>
        <w:t>，近期央行停止续作MLF也反映出无意再多喷灌无效供应。下半年</w:t>
      </w:r>
      <w:r w:rsidRPr="001240F6">
        <w:rPr>
          <w:rFonts w:ascii="楷体_GB2312" w:hint="eastAsia"/>
          <w:color w:val="auto"/>
        </w:rPr>
        <w:t>货币政策</w:t>
      </w:r>
      <w:r>
        <w:rPr>
          <w:rFonts w:ascii="楷体_GB2312" w:hint="eastAsia"/>
          <w:color w:val="auto"/>
        </w:rPr>
        <w:t>或</w:t>
      </w:r>
      <w:r w:rsidRPr="001240F6">
        <w:rPr>
          <w:rFonts w:ascii="楷体_GB2312" w:hint="eastAsia"/>
          <w:color w:val="auto"/>
        </w:rPr>
        <w:t>将着力于通过PSL</w:t>
      </w:r>
      <w:r>
        <w:rPr>
          <w:rFonts w:ascii="楷体_GB2312" w:hint="eastAsia"/>
          <w:color w:val="auto"/>
        </w:rPr>
        <w:t>定向宽松</w:t>
      </w:r>
      <w:r w:rsidRPr="001240F6">
        <w:rPr>
          <w:rFonts w:ascii="楷体_GB2312" w:hint="eastAsia"/>
          <w:color w:val="auto"/>
        </w:rPr>
        <w:t>、地方政府债务置换扩容</w:t>
      </w:r>
      <w:r>
        <w:rPr>
          <w:rFonts w:ascii="楷体_GB2312" w:hint="eastAsia"/>
          <w:color w:val="auto"/>
        </w:rPr>
        <w:t>等方式</w:t>
      </w:r>
      <w:r w:rsidRPr="001240F6">
        <w:rPr>
          <w:rFonts w:ascii="楷体_GB2312" w:hint="eastAsia"/>
          <w:color w:val="auto"/>
        </w:rPr>
        <w:t>引导金融体系资金进入实体经济</w:t>
      </w:r>
      <w:r>
        <w:rPr>
          <w:rFonts w:ascii="楷体_GB2312" w:hint="eastAsia"/>
          <w:color w:val="auto"/>
        </w:rPr>
        <w:t>，与此同时</w:t>
      </w:r>
      <w:r w:rsidRPr="001240F6">
        <w:rPr>
          <w:rFonts w:ascii="楷体_GB2312" w:hint="eastAsia"/>
          <w:color w:val="auto"/>
        </w:rPr>
        <w:t>从货币供应目标的要求看，由于基础货币的主动性喷灌无效，杠杆信用扩张太过乏力，因此降息仍然为首选政策</w:t>
      </w:r>
      <w:r>
        <w:rPr>
          <w:rFonts w:ascii="楷体_GB2312" w:hint="eastAsia"/>
          <w:color w:val="auto"/>
        </w:rPr>
        <w:t>。</w:t>
      </w:r>
    </w:p>
    <w:p w:rsidR="00C411DC" w:rsidRDefault="00C411DC" w:rsidP="00C411DC">
      <w:pPr>
        <w:pStyle w:val="a0"/>
        <w:adjustRightInd w:val="0"/>
        <w:snapToGrid w:val="0"/>
        <w:spacing w:after="0" w:line="20" w:lineRule="exact"/>
        <w:rPr>
          <w:color w:val="auto"/>
        </w:rPr>
      </w:pPr>
    </w:p>
    <w:p w:rsidR="00C411DC" w:rsidRPr="006C7F31" w:rsidRDefault="00C411DC" w:rsidP="00C411DC">
      <w:pPr>
        <w:pStyle w:val="21"/>
        <w:spacing w:line="240" w:lineRule="auto"/>
        <w:rPr>
          <w:color w:val="auto"/>
        </w:rPr>
      </w:pPr>
      <w:bookmarkStart w:id="7" w:name="_Toc329462392"/>
      <w:r w:rsidRPr="006C7F31">
        <w:rPr>
          <w:rFonts w:hint="eastAsia"/>
          <w:color w:val="auto"/>
        </w:rPr>
        <w:t>A</w:t>
      </w:r>
      <w:r w:rsidRPr="006C7F31">
        <w:rPr>
          <w:rFonts w:hint="eastAsia"/>
          <w:color w:val="auto"/>
        </w:rPr>
        <w:t>股市场：</w:t>
      </w:r>
      <w:bookmarkEnd w:id="7"/>
      <w:r>
        <w:rPr>
          <w:rFonts w:hint="eastAsia"/>
          <w:color w:val="auto"/>
        </w:rPr>
        <w:t>牛市遇波折，市场运行节奏或变化</w:t>
      </w:r>
    </w:p>
    <w:p w:rsidR="00C411DC" w:rsidRPr="00F93C16" w:rsidRDefault="00C411DC" w:rsidP="00C411DC">
      <w:pPr>
        <w:pStyle w:val="a0"/>
        <w:numPr>
          <w:ilvl w:val="4"/>
          <w:numId w:val="3"/>
        </w:numPr>
        <w:spacing w:line="240" w:lineRule="auto"/>
        <w:rPr>
          <w:rFonts w:ascii="楷体_GB2312"/>
          <w:color w:val="auto"/>
        </w:rPr>
      </w:pPr>
      <w:r>
        <w:rPr>
          <w:rFonts w:ascii="楷体_GB2312" w:hint="eastAsia"/>
          <w:color w:val="auto"/>
        </w:rPr>
        <w:t>2015年上半年市场牛市行情特征显著，并且由去年底</w:t>
      </w:r>
      <w:r w:rsidRPr="00F93C16">
        <w:rPr>
          <w:rFonts w:ascii="楷体_GB2312" w:hint="eastAsia"/>
          <w:color w:val="auto"/>
        </w:rPr>
        <w:t>以金融股为代表的权重股快速上涨过渡到以创业板为</w:t>
      </w:r>
      <w:r>
        <w:rPr>
          <w:rFonts w:ascii="楷体_GB2312" w:hint="eastAsia"/>
          <w:color w:val="auto"/>
        </w:rPr>
        <w:t>主导的市场</w:t>
      </w:r>
      <w:r w:rsidRPr="00F93C16">
        <w:rPr>
          <w:rFonts w:ascii="楷体_GB2312" w:hint="eastAsia"/>
          <w:color w:val="auto"/>
        </w:rPr>
        <w:t>。无风险收益率下降</w:t>
      </w:r>
      <w:r>
        <w:rPr>
          <w:rFonts w:ascii="楷体_GB2312" w:hint="eastAsia"/>
          <w:color w:val="auto"/>
        </w:rPr>
        <w:t>、</w:t>
      </w:r>
      <w:r w:rsidRPr="00312078">
        <w:rPr>
          <w:rFonts w:ascii="楷体_GB2312" w:hint="eastAsia"/>
          <w:color w:val="auto"/>
        </w:rPr>
        <w:t>“新常态”背景下改革</w:t>
      </w:r>
      <w:r>
        <w:rPr>
          <w:rFonts w:ascii="楷体_GB2312" w:hint="eastAsia"/>
          <w:color w:val="auto"/>
        </w:rPr>
        <w:t>预期</w:t>
      </w:r>
      <w:r w:rsidRPr="00312078">
        <w:rPr>
          <w:rFonts w:ascii="楷体_GB2312" w:hint="eastAsia"/>
          <w:color w:val="auto"/>
        </w:rPr>
        <w:t>加速</w:t>
      </w:r>
      <w:r>
        <w:rPr>
          <w:rFonts w:ascii="楷体_GB2312" w:hint="eastAsia"/>
          <w:color w:val="auto"/>
        </w:rPr>
        <w:t>提升投资者偏好并对资本市场形成支撑</w:t>
      </w:r>
      <w:r w:rsidRPr="00F93C16">
        <w:rPr>
          <w:rFonts w:ascii="楷体_GB2312" w:hint="eastAsia"/>
          <w:color w:val="auto"/>
        </w:rPr>
        <w:t>，</w:t>
      </w:r>
      <w:r w:rsidRPr="00312078">
        <w:rPr>
          <w:rFonts w:ascii="楷体_GB2312" w:hint="eastAsia"/>
          <w:color w:val="auto"/>
        </w:rPr>
        <w:t>经济下行和通缩的压力，促使央行连续出手，货币政策持续宽松</w:t>
      </w:r>
      <w:r>
        <w:rPr>
          <w:rFonts w:ascii="楷体_GB2312" w:hint="eastAsia"/>
          <w:color w:val="auto"/>
        </w:rPr>
        <w:t>、市场流动性保持充裕。</w:t>
      </w:r>
      <w:r w:rsidRPr="00D700D2">
        <w:rPr>
          <w:rFonts w:ascii="楷体_GB2312" w:hint="eastAsia"/>
          <w:color w:val="auto"/>
        </w:rPr>
        <w:t>A股市场的赚钱效应也对各路资金形成吸引，</w:t>
      </w:r>
      <w:r>
        <w:rPr>
          <w:rFonts w:ascii="楷体_GB2312" w:hint="eastAsia"/>
          <w:color w:val="auto"/>
        </w:rPr>
        <w:t>除了杠杆资金的热情参与，</w:t>
      </w:r>
      <w:r w:rsidRPr="00312078">
        <w:rPr>
          <w:rFonts w:ascii="楷体_GB2312" w:hint="eastAsia"/>
          <w:color w:val="auto"/>
        </w:rPr>
        <w:t>股票开户数、</w:t>
      </w:r>
      <w:r>
        <w:rPr>
          <w:rFonts w:ascii="楷体_GB2312" w:hint="eastAsia"/>
          <w:color w:val="auto"/>
        </w:rPr>
        <w:t>新发基金规模</w:t>
      </w:r>
      <w:r w:rsidRPr="00312078">
        <w:rPr>
          <w:rFonts w:ascii="楷体_GB2312" w:hint="eastAsia"/>
          <w:color w:val="auto"/>
        </w:rPr>
        <w:t>都反映出投资者</w:t>
      </w:r>
      <w:r>
        <w:rPr>
          <w:rFonts w:ascii="楷体_GB2312" w:hint="eastAsia"/>
          <w:color w:val="auto"/>
        </w:rPr>
        <w:t>极高的参与度</w:t>
      </w:r>
      <w:r w:rsidRPr="00312078">
        <w:rPr>
          <w:rFonts w:ascii="楷体_GB2312" w:hint="eastAsia"/>
          <w:color w:val="auto"/>
        </w:rPr>
        <w:t>。</w:t>
      </w:r>
    </w:p>
    <w:p w:rsidR="00C411DC" w:rsidRDefault="00C411DC" w:rsidP="00C411DC">
      <w:pPr>
        <w:pStyle w:val="a0"/>
        <w:numPr>
          <w:ilvl w:val="4"/>
          <w:numId w:val="3"/>
        </w:numPr>
        <w:spacing w:line="240" w:lineRule="auto"/>
        <w:rPr>
          <w:rFonts w:ascii="楷体_GB2312"/>
          <w:color w:val="auto"/>
        </w:rPr>
      </w:pPr>
      <w:r>
        <w:rPr>
          <w:rFonts w:ascii="楷体_GB2312" w:hint="eastAsia"/>
          <w:color w:val="auto"/>
        </w:rPr>
        <w:lastRenderedPageBreak/>
        <w:t>然而六月份以来市场遭遇今年以来最大调整，无论上证指数还是今年火爆的创业</w:t>
      </w:r>
      <w:proofErr w:type="gramStart"/>
      <w:r>
        <w:rPr>
          <w:rFonts w:ascii="楷体_GB2312" w:hint="eastAsia"/>
          <w:color w:val="auto"/>
        </w:rPr>
        <w:t>板指数</w:t>
      </w:r>
      <w:proofErr w:type="gramEnd"/>
      <w:r>
        <w:rPr>
          <w:rFonts w:ascii="楷体_GB2312" w:hint="eastAsia"/>
          <w:color w:val="auto"/>
        </w:rPr>
        <w:t>都大幅回调，市场活跃度明显降低。一方面，证监会控制两融和场外配资的态度变的更加严厉，对市场情绪造成较大的负面影响，另一方面，新股发行源源不断并在6月份创出本轮IPO重启之最大募集金额，</w:t>
      </w:r>
      <w:r w:rsidRPr="00AE0A17">
        <w:rPr>
          <w:rFonts w:ascii="楷体_GB2312" w:hint="eastAsia"/>
          <w:color w:val="auto"/>
        </w:rPr>
        <w:t>资金面的扰动使得市场的震荡有所加大</w:t>
      </w:r>
      <w:r>
        <w:rPr>
          <w:rFonts w:ascii="楷体_GB2312" w:hint="eastAsia"/>
          <w:color w:val="auto"/>
        </w:rPr>
        <w:t>。除此以外，央行对于短期流动性的控制以及经济短期企稳预期带来的货币政策转向的担忧的声音也在增加。</w:t>
      </w:r>
    </w:p>
    <w:p w:rsidR="00C411DC" w:rsidRPr="004D2335" w:rsidRDefault="00C411DC" w:rsidP="00C411DC">
      <w:pPr>
        <w:pStyle w:val="a0"/>
        <w:numPr>
          <w:ilvl w:val="4"/>
          <w:numId w:val="3"/>
        </w:numPr>
        <w:spacing w:line="240" w:lineRule="auto"/>
        <w:rPr>
          <w:rFonts w:ascii="楷体_GB2312"/>
          <w:color w:val="auto"/>
        </w:rPr>
      </w:pPr>
      <w:r w:rsidRPr="00400640">
        <w:rPr>
          <w:rFonts w:hint="eastAsia"/>
          <w:kern w:val="0"/>
          <w:szCs w:val="20"/>
          <w:lang w:val="en-GB"/>
        </w:rPr>
        <w:t>对于短期市场的调整以及下半年的</w:t>
      </w:r>
      <w:r w:rsidRPr="00400640">
        <w:rPr>
          <w:rFonts w:hint="eastAsia"/>
          <w:kern w:val="0"/>
          <w:szCs w:val="20"/>
          <w:lang w:val="en-GB"/>
        </w:rPr>
        <w:t>A</w:t>
      </w:r>
      <w:r w:rsidRPr="00400640">
        <w:rPr>
          <w:rFonts w:hint="eastAsia"/>
          <w:kern w:val="0"/>
          <w:szCs w:val="20"/>
          <w:lang w:val="en-GB"/>
        </w:rPr>
        <w:t>股市场投资，我们认为牛市途中有所波折在所难免，短期有必要控制风险但中期来看牛市的主要逻辑并未发生动摇。如前文所讲，经济数据距离稳健回升状态相差更远，在经济下滑压力并未减轻的背景下，仍要求宏观流动性的适度宽松，未来稳增长的组合拳仍将发力；与此同时，新经济的崛起、改革向纵深推进等因素均未发生改变。但下半年市场运行的节奏或逐渐发生变化，在估值泡沫明显、管理层监管力度加大、发行注册制逐步启动等因素扰动下，市场震荡幅度将加大，尤其是短期去杠杆冲击的背景下，投资者</w:t>
      </w:r>
      <w:r>
        <w:rPr>
          <w:rFonts w:hint="eastAsia"/>
          <w:kern w:val="0"/>
          <w:szCs w:val="20"/>
          <w:lang w:val="en-GB"/>
        </w:rPr>
        <w:t>信心</w:t>
      </w:r>
      <w:r w:rsidR="003210C0">
        <w:rPr>
          <w:rFonts w:hint="eastAsia"/>
          <w:kern w:val="0"/>
          <w:szCs w:val="20"/>
          <w:lang w:val="en-GB"/>
        </w:rPr>
        <w:t>需要时间恢复，有必要进行风险</w:t>
      </w:r>
      <w:r w:rsidRPr="00400640">
        <w:rPr>
          <w:rFonts w:hint="eastAsia"/>
          <w:kern w:val="0"/>
          <w:szCs w:val="20"/>
          <w:lang w:val="en-GB"/>
        </w:rPr>
        <w:t>控制。</w:t>
      </w:r>
    </w:p>
    <w:p w:rsidR="00C411DC" w:rsidRPr="00D4188D" w:rsidRDefault="00C411DC" w:rsidP="00982BBE">
      <w:pPr>
        <w:pStyle w:val="21"/>
        <w:spacing w:beforeLines="300" w:before="720"/>
        <w:rPr>
          <w:color w:val="auto"/>
        </w:rPr>
      </w:pPr>
      <w:bookmarkStart w:id="8" w:name="_Toc329462393"/>
      <w:r w:rsidRPr="00FC1E1C">
        <w:rPr>
          <w:rFonts w:hint="eastAsia"/>
          <w:color w:val="auto"/>
        </w:rPr>
        <w:t>二、权益类开放式基金投资策略：</w:t>
      </w:r>
      <w:bookmarkEnd w:id="8"/>
      <w:r>
        <w:rPr>
          <w:rFonts w:hint="eastAsia"/>
          <w:color w:val="auto"/>
        </w:rPr>
        <w:t>多维度稳健配置，增强灵活把握节奏</w:t>
      </w:r>
    </w:p>
    <w:p w:rsidR="00C411DC" w:rsidRPr="00151E31" w:rsidRDefault="00C411DC" w:rsidP="00C411DC">
      <w:pPr>
        <w:pStyle w:val="a0"/>
        <w:numPr>
          <w:ilvl w:val="4"/>
          <w:numId w:val="3"/>
        </w:numPr>
        <w:spacing w:line="240" w:lineRule="auto"/>
        <w:rPr>
          <w:rFonts w:ascii="楷体_GB2312"/>
        </w:rPr>
      </w:pPr>
      <w:bookmarkStart w:id="9" w:name="_Toc329462394"/>
      <w:r w:rsidRPr="00151E31">
        <w:rPr>
          <w:rFonts w:ascii="楷体_GB2312" w:hint="eastAsia"/>
        </w:rPr>
        <w:t>基于上述对宏观经济及A股市场的分析，在短期</w:t>
      </w:r>
      <w:r w:rsidRPr="00151E31">
        <w:rPr>
          <w:rFonts w:ascii="楷体_GB2312" w:hint="eastAsia"/>
          <w:color w:val="auto"/>
        </w:rPr>
        <w:t>监管</w:t>
      </w:r>
      <w:r>
        <w:rPr>
          <w:rFonts w:ascii="楷体_GB2312" w:hint="eastAsia"/>
          <w:color w:val="auto"/>
        </w:rPr>
        <w:t>趋于严格</w:t>
      </w:r>
      <w:r w:rsidRPr="00151E31">
        <w:rPr>
          <w:rFonts w:ascii="楷体_GB2312" w:hint="eastAsia"/>
          <w:color w:val="auto"/>
        </w:rPr>
        <w:t>、货币政策阶段性以财政政策为主、估值泡沫明显等因素影响下，市场风险偏好将有所下降</w:t>
      </w:r>
      <w:r w:rsidRPr="00151E31">
        <w:rPr>
          <w:rFonts w:ascii="楷体_GB2312" w:hint="eastAsia"/>
        </w:rPr>
        <w:t>，全面性牛市的特点将向结构性牛市过渡。就基金投资来看，</w:t>
      </w:r>
      <w:r>
        <w:rPr>
          <w:rFonts w:ascii="楷体_GB2312" w:hint="eastAsia"/>
        </w:rPr>
        <w:t>首先，</w:t>
      </w:r>
      <w:r w:rsidRPr="00151E31">
        <w:rPr>
          <w:rFonts w:ascii="楷体_GB2312" w:hint="eastAsia"/>
        </w:rPr>
        <w:t>考虑</w:t>
      </w:r>
      <w:r>
        <w:rPr>
          <w:rFonts w:ascii="楷体_GB2312" w:hint="eastAsia"/>
        </w:rPr>
        <w:t>短期市场震荡、负面情绪有待时间消化，</w:t>
      </w:r>
      <w:r w:rsidRPr="00CB0693">
        <w:rPr>
          <w:rFonts w:ascii="楷体_GB2312" w:hint="eastAsia"/>
        </w:rPr>
        <w:t>基金投资建议以稳健配置为主，降低高风险的权益类品种的</w:t>
      </w:r>
      <w:proofErr w:type="gramStart"/>
      <w:r w:rsidRPr="00CB0693">
        <w:rPr>
          <w:rFonts w:ascii="楷体_GB2312" w:hint="eastAsia"/>
        </w:rPr>
        <w:t>仓位</w:t>
      </w:r>
      <w:proofErr w:type="gramEnd"/>
      <w:r w:rsidRPr="00CB0693">
        <w:rPr>
          <w:rFonts w:ascii="楷体_GB2312" w:hint="eastAsia"/>
        </w:rPr>
        <w:t>，侧重今年滞涨的周期蓝</w:t>
      </w:r>
      <w:proofErr w:type="gramStart"/>
      <w:r w:rsidRPr="00CB0693">
        <w:rPr>
          <w:rFonts w:ascii="楷体_GB2312" w:hint="eastAsia"/>
        </w:rPr>
        <w:t>筹风格</w:t>
      </w:r>
      <w:proofErr w:type="gramEnd"/>
      <w:r w:rsidRPr="00CB0693">
        <w:rPr>
          <w:rFonts w:ascii="楷体_GB2312" w:hint="eastAsia"/>
        </w:rPr>
        <w:t>以及消费蓝</w:t>
      </w:r>
      <w:proofErr w:type="gramStart"/>
      <w:r w:rsidRPr="00CB0693">
        <w:rPr>
          <w:rFonts w:ascii="楷体_GB2312" w:hint="eastAsia"/>
        </w:rPr>
        <w:t>筹风格</w:t>
      </w:r>
      <w:proofErr w:type="gramEnd"/>
      <w:r w:rsidRPr="00CB0693">
        <w:rPr>
          <w:rFonts w:ascii="楷体_GB2312" w:hint="eastAsia"/>
        </w:rPr>
        <w:t>基金</w:t>
      </w:r>
      <w:r>
        <w:rPr>
          <w:rFonts w:ascii="楷体_GB2312" w:hint="eastAsia"/>
        </w:rPr>
        <w:t>，</w:t>
      </w:r>
      <w:r w:rsidRPr="00CB0693">
        <w:rPr>
          <w:rFonts w:ascii="楷体_GB2312" w:hint="eastAsia"/>
        </w:rPr>
        <w:t>与此同时对于历史投资风格稳健、擅于自下而上选股的基金经理可给予更多关注</w:t>
      </w:r>
      <w:r w:rsidRPr="00151E31">
        <w:rPr>
          <w:rFonts w:ascii="楷体_GB2312" w:hint="eastAsia"/>
        </w:rPr>
        <w:t>。</w:t>
      </w:r>
      <w:r>
        <w:rPr>
          <w:rFonts w:ascii="楷体_GB2312" w:hint="eastAsia"/>
        </w:rPr>
        <w:t>其次，从下半年风格的动态调整角度</w:t>
      </w:r>
      <w:r w:rsidRPr="00151E31">
        <w:rPr>
          <w:rFonts w:ascii="楷体_GB2312" w:hint="eastAsia"/>
        </w:rPr>
        <w:t>，</w:t>
      </w:r>
      <w:r>
        <w:rPr>
          <w:rFonts w:ascii="楷体_GB2312" w:hint="eastAsia"/>
        </w:rPr>
        <w:t>经济转型创新的步伐并未停滞，成长股仍具备更强的中期投资价值，但经历短期的</w:t>
      </w:r>
      <w:r w:rsidRPr="00151E31">
        <w:rPr>
          <w:rFonts w:ascii="楷体_GB2312" w:hint="eastAsia"/>
        </w:rPr>
        <w:t>市场降温</w:t>
      </w:r>
      <w:r>
        <w:rPr>
          <w:rFonts w:ascii="楷体_GB2312" w:hint="eastAsia"/>
        </w:rPr>
        <w:t>，更将</w:t>
      </w:r>
      <w:r w:rsidRPr="00151E31">
        <w:rPr>
          <w:rFonts w:ascii="楷体_GB2312" w:hint="eastAsia"/>
        </w:rPr>
        <w:t>优劣分化，</w:t>
      </w:r>
      <w:r>
        <w:rPr>
          <w:rFonts w:ascii="楷体_GB2312" w:hint="eastAsia"/>
        </w:rPr>
        <w:t>需要甄别擅长成长股投资、选</w:t>
      </w:r>
      <w:proofErr w:type="gramStart"/>
      <w:r>
        <w:rPr>
          <w:rFonts w:ascii="楷体_GB2312" w:hint="eastAsia"/>
        </w:rPr>
        <w:t>股能力</w:t>
      </w:r>
      <w:proofErr w:type="gramEnd"/>
      <w:r>
        <w:rPr>
          <w:rFonts w:ascii="楷体_GB2312" w:hint="eastAsia"/>
        </w:rPr>
        <w:t>突出的管理人。第三，</w:t>
      </w:r>
      <w:r w:rsidRPr="00CB0693">
        <w:rPr>
          <w:rFonts w:ascii="楷体_GB2312" w:hint="eastAsia"/>
        </w:rPr>
        <w:t>就下半年的市场环境我</w:t>
      </w:r>
      <w:r>
        <w:rPr>
          <w:rFonts w:ascii="楷体_GB2312" w:hint="eastAsia"/>
        </w:rPr>
        <w:t>们认为操作风格灵活以及重点关注主题投资的基金具有较高的配置价值。</w:t>
      </w:r>
      <w:r w:rsidRPr="00CB0693">
        <w:rPr>
          <w:rFonts w:ascii="楷体_GB2312" w:hint="eastAsia"/>
        </w:rPr>
        <w:t>最后，在预计下半年市场大幅波动、投资</w:t>
      </w:r>
      <w:r>
        <w:rPr>
          <w:rFonts w:ascii="楷体_GB2312" w:hint="eastAsia"/>
        </w:rPr>
        <w:t>收益把握难度上升的背景下，对于风险偏好更低的稳健型投资者，</w:t>
      </w:r>
      <w:r w:rsidRPr="00CB0693">
        <w:rPr>
          <w:rFonts w:ascii="楷体_GB2312" w:hint="eastAsia"/>
        </w:rPr>
        <w:t>可关注以绝对收益为目标、重点参与打新的混合型基金以及运用股指期货对冲、构建市场中性组合的特定投资策略基金。</w:t>
      </w:r>
      <w:r>
        <w:rPr>
          <w:rFonts w:hint="eastAsia"/>
        </w:rPr>
        <w:t>具体来看：</w:t>
      </w:r>
    </w:p>
    <w:p w:rsidR="00C411DC" w:rsidRPr="00E33A0F" w:rsidRDefault="00C411DC" w:rsidP="00C411DC">
      <w:pPr>
        <w:pStyle w:val="a0"/>
        <w:numPr>
          <w:ilvl w:val="4"/>
          <w:numId w:val="3"/>
        </w:numPr>
        <w:spacing w:line="240" w:lineRule="auto"/>
        <w:rPr>
          <w:rFonts w:ascii="楷体_GB2312"/>
          <w:color w:val="auto"/>
        </w:rPr>
      </w:pPr>
      <w:r>
        <w:rPr>
          <w:rFonts w:ascii="楷体_GB2312" w:hint="eastAsia"/>
          <w:color w:val="auto"/>
        </w:rPr>
        <w:t>首先，短期市场波动明显加大，监管趋严、估值泡沫明显等因素影响下，市场风险偏好</w:t>
      </w:r>
      <w:r w:rsidRPr="00BD13E5">
        <w:rPr>
          <w:rFonts w:ascii="楷体_GB2312" w:hint="eastAsia"/>
          <w:color w:val="auto"/>
        </w:rPr>
        <w:t>有所下降，</w:t>
      </w:r>
      <w:r>
        <w:rPr>
          <w:rFonts w:ascii="楷体_GB2312" w:hint="eastAsia"/>
          <w:color w:val="auto"/>
        </w:rPr>
        <w:t>尤其</w:t>
      </w:r>
      <w:r w:rsidRPr="00D671AB">
        <w:rPr>
          <w:rFonts w:ascii="楷体_GB2312" w:hint="eastAsia"/>
          <w:color w:val="auto"/>
        </w:rPr>
        <w:t>在短期</w:t>
      </w:r>
      <w:r>
        <w:rPr>
          <w:rFonts w:ascii="楷体_GB2312" w:hint="eastAsia"/>
          <w:color w:val="auto"/>
        </w:rPr>
        <w:t>去杠杆</w:t>
      </w:r>
      <w:r w:rsidRPr="00D671AB">
        <w:rPr>
          <w:rFonts w:ascii="楷体_GB2312" w:hint="eastAsia"/>
          <w:color w:val="auto"/>
        </w:rPr>
        <w:t>冲击的背景下，投资者心态</w:t>
      </w:r>
      <w:r>
        <w:rPr>
          <w:rFonts w:ascii="楷体_GB2312" w:hint="eastAsia"/>
          <w:color w:val="auto"/>
        </w:rPr>
        <w:t>恢复需要时日，因此在市场震荡为主的背景下，基金投资建议以稳健配置为主，降低高风险的权益类品种的</w:t>
      </w:r>
      <w:proofErr w:type="gramStart"/>
      <w:r>
        <w:rPr>
          <w:rFonts w:ascii="楷体_GB2312" w:hint="eastAsia"/>
          <w:color w:val="auto"/>
        </w:rPr>
        <w:t>仓位</w:t>
      </w:r>
      <w:proofErr w:type="gramEnd"/>
      <w:r>
        <w:rPr>
          <w:rFonts w:ascii="楷体_GB2312" w:hint="eastAsia"/>
          <w:color w:val="auto"/>
        </w:rPr>
        <w:t>，</w:t>
      </w:r>
      <w:r w:rsidRPr="00151E31">
        <w:rPr>
          <w:rFonts w:ascii="楷体_GB2312" w:hint="eastAsia"/>
        </w:rPr>
        <w:t>短期在风格搭配上考虑成长股的高估值需要等待业绩兑现的逐步消化，且上半年的快速上涨使得短期调整压力更大，可适当侧重今年滞涨的周期蓝</w:t>
      </w:r>
      <w:proofErr w:type="gramStart"/>
      <w:r w:rsidRPr="00151E31">
        <w:rPr>
          <w:rFonts w:ascii="楷体_GB2312" w:hint="eastAsia"/>
        </w:rPr>
        <w:t>筹风格</w:t>
      </w:r>
      <w:proofErr w:type="gramEnd"/>
      <w:r w:rsidRPr="00151E31">
        <w:rPr>
          <w:rFonts w:ascii="楷体_GB2312" w:hint="eastAsia"/>
        </w:rPr>
        <w:t>以及消费蓝</w:t>
      </w:r>
      <w:proofErr w:type="gramStart"/>
      <w:r w:rsidRPr="00151E31">
        <w:rPr>
          <w:rFonts w:ascii="楷体_GB2312" w:hint="eastAsia"/>
        </w:rPr>
        <w:t>筹风格</w:t>
      </w:r>
      <w:proofErr w:type="gramEnd"/>
      <w:r w:rsidRPr="00151E31">
        <w:rPr>
          <w:rFonts w:ascii="楷体_GB2312" w:hint="eastAsia"/>
        </w:rPr>
        <w:t>基金；</w:t>
      </w:r>
      <w:r>
        <w:rPr>
          <w:rFonts w:ascii="楷体_GB2312" w:hint="eastAsia"/>
        </w:rPr>
        <w:t>与此同时，市场震荡盘整使得</w:t>
      </w:r>
      <w:r w:rsidRPr="00151E31">
        <w:rPr>
          <w:rFonts w:ascii="楷体_GB2312" w:hint="eastAsia"/>
        </w:rPr>
        <w:t>主动投资基金的管理优势</w:t>
      </w:r>
      <w:r>
        <w:rPr>
          <w:rFonts w:ascii="楷体_GB2312" w:hint="eastAsia"/>
        </w:rPr>
        <w:t>更为明显</w:t>
      </w:r>
      <w:r w:rsidRPr="00151E31">
        <w:rPr>
          <w:rFonts w:ascii="楷体_GB2312" w:hint="eastAsia"/>
        </w:rPr>
        <w:t>，</w:t>
      </w:r>
      <w:r>
        <w:rPr>
          <w:rFonts w:ascii="楷体_GB2312" w:hint="eastAsia"/>
        </w:rPr>
        <w:t>对于历史</w:t>
      </w:r>
      <w:r w:rsidRPr="00151E31">
        <w:rPr>
          <w:rFonts w:ascii="楷体_GB2312" w:hint="eastAsia"/>
        </w:rPr>
        <w:t>投资风格稳健、擅于自下而上选股的基金经理</w:t>
      </w:r>
      <w:r>
        <w:rPr>
          <w:rFonts w:ascii="楷体_GB2312" w:hint="eastAsia"/>
        </w:rPr>
        <w:t>可给予更多关注</w:t>
      </w:r>
      <w:r w:rsidRPr="00151E31">
        <w:rPr>
          <w:rFonts w:ascii="楷体_GB2312" w:hint="eastAsia"/>
        </w:rPr>
        <w:t>，以平滑组合的短期波动。</w:t>
      </w:r>
    </w:p>
    <w:p w:rsidR="00C411DC" w:rsidRPr="00307BFF" w:rsidRDefault="00C411DC" w:rsidP="00C411DC">
      <w:pPr>
        <w:pStyle w:val="a0"/>
        <w:numPr>
          <w:ilvl w:val="5"/>
          <w:numId w:val="36"/>
        </w:numPr>
        <w:spacing w:line="240" w:lineRule="auto"/>
        <w:ind w:left="4140" w:hanging="369"/>
        <w:rPr>
          <w:rFonts w:ascii="楷体_GB2312"/>
          <w:color w:val="auto"/>
        </w:rPr>
      </w:pPr>
      <w:r w:rsidRPr="003A378A">
        <w:rPr>
          <w:rFonts w:ascii="楷体_GB2312" w:hint="eastAsia"/>
          <w:color w:val="auto"/>
        </w:rPr>
        <w:t>今年以来创业板为代表的成长股快速上涨使得估值和业绩已经明显背离，尽管成长股受政策扶持、想象空间很大，但目前成长股的高估值需要等待业绩兑现的逐步消化。正如我们前期策略所讲，在调整风险较大、机构前期高比例集中持有背景下，为避免市场下跌过程中的局部踩踏风险，投资者应适当规避在此类股票集中持有比例较高的基金。与此同时，今年以来</w:t>
      </w:r>
      <w:r w:rsidRPr="003A378A">
        <w:rPr>
          <w:rFonts w:ascii="楷体_GB2312" w:hint="eastAsia"/>
        </w:rPr>
        <w:t>周期蓝</w:t>
      </w:r>
      <w:proofErr w:type="gramStart"/>
      <w:r w:rsidRPr="003A378A">
        <w:rPr>
          <w:rFonts w:ascii="楷体_GB2312" w:hint="eastAsia"/>
        </w:rPr>
        <w:t>筹以及</w:t>
      </w:r>
      <w:proofErr w:type="gramEnd"/>
      <w:r w:rsidRPr="003A378A">
        <w:rPr>
          <w:rFonts w:ascii="楷体_GB2312" w:hint="eastAsia"/>
        </w:rPr>
        <w:t>消费蓝</w:t>
      </w:r>
      <w:proofErr w:type="gramStart"/>
      <w:r w:rsidRPr="003A378A">
        <w:rPr>
          <w:rFonts w:ascii="楷体_GB2312" w:hint="eastAsia"/>
        </w:rPr>
        <w:t>筹品种</w:t>
      </w:r>
      <w:proofErr w:type="gramEnd"/>
      <w:r w:rsidRPr="003A378A">
        <w:rPr>
          <w:rFonts w:ascii="楷体_GB2312" w:hint="eastAsia"/>
        </w:rPr>
        <w:t>明显滞涨，</w:t>
      </w:r>
      <w:r>
        <w:rPr>
          <w:rFonts w:ascii="楷体_GB2312" w:hint="eastAsia"/>
        </w:rPr>
        <w:t>考虑</w:t>
      </w:r>
      <w:r w:rsidRPr="003A378A">
        <w:rPr>
          <w:rFonts w:ascii="楷体_GB2312" w:hint="eastAsia"/>
        </w:rPr>
        <w:t>宏观托底的</w:t>
      </w:r>
      <w:proofErr w:type="gramStart"/>
      <w:r w:rsidRPr="003A378A">
        <w:rPr>
          <w:rFonts w:ascii="楷体_GB2312" w:hint="eastAsia"/>
        </w:rPr>
        <w:t>稳增长</w:t>
      </w:r>
      <w:proofErr w:type="gramEnd"/>
      <w:r w:rsidRPr="003A378A">
        <w:rPr>
          <w:rFonts w:ascii="楷体_GB2312" w:hint="eastAsia"/>
        </w:rPr>
        <w:t>政策持续发力，</w:t>
      </w:r>
      <w:r>
        <w:rPr>
          <w:rFonts w:ascii="楷体_GB2312" w:hint="eastAsia"/>
        </w:rPr>
        <w:t>以及盈利的较高增长，都有利于以证券、保险为代表的周</w:t>
      </w:r>
      <w:r>
        <w:rPr>
          <w:rFonts w:ascii="楷体_GB2312" w:hint="eastAsia"/>
        </w:rPr>
        <w:lastRenderedPageBreak/>
        <w:t>期</w:t>
      </w:r>
      <w:r w:rsidRPr="003A378A">
        <w:rPr>
          <w:rFonts w:ascii="楷体_GB2312" w:hint="eastAsia"/>
        </w:rPr>
        <w:t>蓝筹股</w:t>
      </w:r>
      <w:r>
        <w:rPr>
          <w:rFonts w:ascii="楷体_GB2312" w:hint="eastAsia"/>
        </w:rPr>
        <w:t>的</w:t>
      </w:r>
      <w:r w:rsidRPr="003A378A">
        <w:rPr>
          <w:rFonts w:ascii="楷体_GB2312" w:hint="eastAsia"/>
        </w:rPr>
        <w:t>补涨行情，</w:t>
      </w:r>
      <w:r>
        <w:rPr>
          <w:rFonts w:ascii="楷体_GB2312" w:hint="eastAsia"/>
        </w:rPr>
        <w:t>而从持续增长以及估值</w:t>
      </w:r>
      <w:r w:rsidRPr="00307BFF">
        <w:rPr>
          <w:rFonts w:ascii="楷体_GB2312" w:hint="eastAsia"/>
          <w:color w:val="auto"/>
        </w:rPr>
        <w:t>相对安全的角度，消费蓝</w:t>
      </w:r>
      <w:proofErr w:type="gramStart"/>
      <w:r w:rsidRPr="00307BFF">
        <w:rPr>
          <w:rFonts w:ascii="楷体_GB2312" w:hint="eastAsia"/>
          <w:color w:val="auto"/>
        </w:rPr>
        <w:t>筹品种</w:t>
      </w:r>
      <w:proofErr w:type="gramEnd"/>
      <w:r w:rsidRPr="00307BFF">
        <w:rPr>
          <w:rFonts w:ascii="楷体_GB2312" w:hint="eastAsia"/>
          <w:color w:val="auto"/>
        </w:rPr>
        <w:t>也有望获得超额收益。</w:t>
      </w:r>
    </w:p>
    <w:p w:rsidR="00C411DC" w:rsidRPr="00307BFF" w:rsidRDefault="00C411DC" w:rsidP="00C411DC">
      <w:pPr>
        <w:pStyle w:val="a0"/>
        <w:numPr>
          <w:ilvl w:val="5"/>
          <w:numId w:val="36"/>
        </w:numPr>
        <w:spacing w:line="240" w:lineRule="auto"/>
        <w:ind w:left="4140" w:hanging="369"/>
        <w:rPr>
          <w:rFonts w:ascii="楷体_GB2312"/>
          <w:color w:val="auto"/>
        </w:rPr>
      </w:pPr>
      <w:r w:rsidRPr="00307BFF">
        <w:rPr>
          <w:rFonts w:ascii="楷体_GB2312" w:hint="eastAsia"/>
          <w:color w:val="auto"/>
        </w:rPr>
        <w:t>对于此类基金的筛选，一方面我们重点从持仓结构的角度对相关品种进行测算</w:t>
      </w:r>
      <w:r>
        <w:rPr>
          <w:rFonts w:ascii="楷体_GB2312" w:hint="eastAsia"/>
          <w:color w:val="auto"/>
        </w:rPr>
        <w:t>筛选，另一方面结合基金历史的投资管理能力进行进一步的比较。综合比较定量和定性分析，投资者可重点关注景顺能源基建、南方成份精选、华泰量化、长信金利、新华优选分红、工</w:t>
      </w:r>
      <w:proofErr w:type="gramStart"/>
      <w:r>
        <w:rPr>
          <w:rFonts w:ascii="楷体_GB2312" w:hint="eastAsia"/>
          <w:color w:val="auto"/>
        </w:rPr>
        <w:t>银金融</w:t>
      </w:r>
      <w:proofErr w:type="gramEnd"/>
      <w:r>
        <w:rPr>
          <w:rFonts w:ascii="楷体_GB2312" w:hint="eastAsia"/>
          <w:color w:val="auto"/>
        </w:rPr>
        <w:t>地产以及</w:t>
      </w:r>
      <w:proofErr w:type="gramStart"/>
      <w:r>
        <w:rPr>
          <w:rFonts w:ascii="楷体_GB2312" w:hint="eastAsia"/>
          <w:color w:val="auto"/>
        </w:rPr>
        <w:t>汇添富</w:t>
      </w:r>
      <w:proofErr w:type="gramEnd"/>
      <w:r>
        <w:rPr>
          <w:rFonts w:ascii="楷体_GB2312" w:hint="eastAsia"/>
          <w:color w:val="auto"/>
        </w:rPr>
        <w:t>医药、广发消费品、国投核心、易方达策略、工</w:t>
      </w:r>
      <w:proofErr w:type="gramStart"/>
      <w:r>
        <w:rPr>
          <w:rFonts w:ascii="楷体_GB2312" w:hint="eastAsia"/>
          <w:color w:val="auto"/>
        </w:rPr>
        <w:t>银消费</w:t>
      </w:r>
      <w:proofErr w:type="gramEnd"/>
      <w:r>
        <w:rPr>
          <w:rFonts w:ascii="楷体_GB2312" w:hint="eastAsia"/>
          <w:color w:val="auto"/>
        </w:rPr>
        <w:t>服务等基金。</w:t>
      </w:r>
    </w:p>
    <w:tbl>
      <w:tblPr>
        <w:tblW w:w="10771" w:type="dxa"/>
        <w:tblLayout w:type="fixed"/>
        <w:tblLook w:val="07E0" w:firstRow="1" w:lastRow="1" w:firstColumn="1" w:lastColumn="1" w:noHBand="1" w:noVBand="1"/>
      </w:tblPr>
      <w:tblGrid>
        <w:gridCol w:w="5273"/>
        <w:gridCol w:w="226"/>
        <w:gridCol w:w="5272"/>
      </w:tblGrid>
      <w:tr w:rsidR="00C411DC" w:rsidRPr="001C5C76" w:rsidTr="007F40D7">
        <w:tc>
          <w:tcPr>
            <w:tcW w:w="5273" w:type="dxa"/>
            <w:tcBorders>
              <w:top w:val="single" w:sz="4" w:space="0" w:color="00A0E9"/>
              <w:bottom w:val="single" w:sz="4" w:space="0" w:color="00A0E9"/>
            </w:tcBorders>
            <w:tcMar>
              <w:left w:w="0" w:type="dxa"/>
              <w:right w:w="0" w:type="dxa"/>
            </w:tcMar>
          </w:tcPr>
          <w:p w:rsidR="00C411DC" w:rsidRPr="001B71C3" w:rsidRDefault="00C411DC" w:rsidP="007F40D7">
            <w:pPr>
              <w:pStyle w:val="GJStylesGraphTitle"/>
            </w:pPr>
            <w:r>
              <w:rPr>
                <w:rFonts w:hint="eastAsia"/>
              </w:rPr>
              <w:t>图表</w:t>
            </w:r>
            <w:r w:rsidR="00552BF7">
              <w:fldChar w:fldCharType="begin"/>
            </w:r>
            <w:r w:rsidR="00552BF7">
              <w:instrText xml:space="preserve"> SEQ </w:instrText>
            </w:r>
            <w:r w:rsidR="00552BF7">
              <w:instrText>图表</w:instrText>
            </w:r>
            <w:r w:rsidR="00552BF7">
              <w:instrText xml:space="preserve"> \* ARABIC  \* MERGEFORMAT </w:instrText>
            </w:r>
            <w:r w:rsidR="00552BF7">
              <w:fldChar w:fldCharType="separate"/>
            </w:r>
            <w:r>
              <w:rPr>
                <w:noProof/>
              </w:rPr>
              <w:t>1</w:t>
            </w:r>
            <w:r w:rsidR="00552BF7">
              <w:rPr>
                <w:noProof/>
              </w:rPr>
              <w:fldChar w:fldCharType="end"/>
            </w:r>
            <w:r>
              <w:rPr>
                <w:rFonts w:hint="eastAsia"/>
              </w:rPr>
              <w:t>：</w:t>
            </w:r>
            <w:r w:rsidRPr="001C5C76">
              <w:rPr>
                <w:rFonts w:hint="eastAsia"/>
                <w:color w:val="auto"/>
              </w:rPr>
              <w:t>部分周期蓝</w:t>
            </w:r>
            <w:proofErr w:type="gramStart"/>
            <w:r w:rsidRPr="001C5C76">
              <w:rPr>
                <w:rFonts w:hint="eastAsia"/>
                <w:color w:val="auto"/>
              </w:rPr>
              <w:t>筹风格</w:t>
            </w:r>
            <w:proofErr w:type="gramEnd"/>
            <w:r w:rsidRPr="001C5C76">
              <w:rPr>
                <w:rFonts w:hint="eastAsia"/>
                <w:color w:val="auto"/>
              </w:rPr>
              <w:t>基金</w:t>
            </w:r>
          </w:p>
        </w:tc>
        <w:tc>
          <w:tcPr>
            <w:tcW w:w="226" w:type="dxa"/>
            <w:tcMar>
              <w:left w:w="0" w:type="dxa"/>
              <w:right w:w="0" w:type="dxa"/>
            </w:tcMar>
          </w:tcPr>
          <w:p w:rsidR="00C411DC" w:rsidRPr="001C5C76" w:rsidRDefault="00C411DC" w:rsidP="007F40D7">
            <w:pPr>
              <w:pStyle w:val="GJStylesGraphTitle"/>
              <w:rPr>
                <w:color w:val="auto"/>
              </w:rPr>
            </w:pPr>
          </w:p>
        </w:tc>
        <w:tc>
          <w:tcPr>
            <w:tcW w:w="5272" w:type="dxa"/>
            <w:tcBorders>
              <w:top w:val="single" w:sz="4" w:space="0" w:color="00A0E9"/>
              <w:bottom w:val="single" w:sz="4" w:space="0" w:color="00A0E9"/>
            </w:tcBorders>
            <w:tcMar>
              <w:left w:w="0" w:type="dxa"/>
              <w:right w:w="0" w:type="dxa"/>
            </w:tcMar>
          </w:tcPr>
          <w:p w:rsidR="00C411DC" w:rsidRPr="001C5C76" w:rsidRDefault="00C411DC" w:rsidP="007F40D7">
            <w:pPr>
              <w:pStyle w:val="GJStylesGraphTitle"/>
              <w:rPr>
                <w:color w:val="auto"/>
              </w:rPr>
            </w:pPr>
            <w:r w:rsidRPr="001C5C76">
              <w:rPr>
                <w:rFonts w:hint="eastAsia"/>
                <w:color w:val="auto"/>
              </w:rPr>
              <w:t>图表</w:t>
            </w:r>
            <w:r w:rsidR="00552BF7">
              <w:fldChar w:fldCharType="begin"/>
            </w:r>
            <w:r w:rsidR="00552BF7">
              <w:instrText xml:space="preserve"> SEQ </w:instrText>
            </w:r>
            <w:r w:rsidR="00552BF7">
              <w:instrText>图表</w:instrText>
            </w:r>
            <w:r w:rsidR="00552BF7">
              <w:instrText xml:space="preserve"> \* ARABIC  \* MERGEFORMAT </w:instrText>
            </w:r>
            <w:r w:rsidR="00552BF7">
              <w:fldChar w:fldCharType="separate"/>
            </w:r>
            <w:r>
              <w:rPr>
                <w:noProof/>
                <w:color w:val="auto"/>
              </w:rPr>
              <w:t>2</w:t>
            </w:r>
            <w:r w:rsidR="00552BF7">
              <w:rPr>
                <w:noProof/>
                <w:color w:val="auto"/>
              </w:rPr>
              <w:fldChar w:fldCharType="end"/>
            </w:r>
            <w:r w:rsidRPr="001C5C76">
              <w:rPr>
                <w:rFonts w:hint="eastAsia"/>
                <w:color w:val="auto"/>
              </w:rPr>
              <w:t>：部分</w:t>
            </w:r>
            <w:r>
              <w:rPr>
                <w:rFonts w:hint="eastAsia"/>
                <w:color w:val="auto"/>
              </w:rPr>
              <w:t>消费</w:t>
            </w:r>
            <w:r w:rsidRPr="001C5C76">
              <w:rPr>
                <w:rFonts w:hint="eastAsia"/>
                <w:color w:val="auto"/>
              </w:rPr>
              <w:t>蓝</w:t>
            </w:r>
            <w:proofErr w:type="gramStart"/>
            <w:r w:rsidRPr="001C5C76">
              <w:rPr>
                <w:rFonts w:hint="eastAsia"/>
                <w:color w:val="auto"/>
              </w:rPr>
              <w:t>筹风格</w:t>
            </w:r>
            <w:proofErr w:type="gramEnd"/>
            <w:r w:rsidRPr="001C5C76">
              <w:rPr>
                <w:rFonts w:hint="eastAsia"/>
                <w:color w:val="auto"/>
              </w:rPr>
              <w:t>基金</w:t>
            </w:r>
          </w:p>
        </w:tc>
      </w:tr>
      <w:tr w:rsidR="00C411DC" w:rsidTr="007F40D7">
        <w:trPr>
          <w:trHeight w:val="3016"/>
        </w:trPr>
        <w:tc>
          <w:tcPr>
            <w:tcW w:w="5273" w:type="dxa"/>
            <w:tcBorders>
              <w:bottom w:val="single" w:sz="4" w:space="0" w:color="00A0E9"/>
            </w:tcBorders>
            <w:tcMar>
              <w:left w:w="0" w:type="dxa"/>
              <w:right w:w="0" w:type="dxa"/>
            </w:tcMar>
          </w:tcPr>
          <w:p w:rsidR="00C411DC" w:rsidRPr="001B71C3" w:rsidRDefault="00C411DC" w:rsidP="007F40D7">
            <w:r>
              <w:rPr>
                <w:rFonts w:hint="eastAsia"/>
                <w:noProof/>
              </w:rPr>
              <w:drawing>
                <wp:inline distT="0" distB="0" distL="0" distR="0">
                  <wp:extent cx="3235960" cy="2131695"/>
                  <wp:effectExtent l="19050" t="0" r="2540" b="0"/>
                  <wp:docPr id="1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3235960" cy="2131695"/>
                          </a:xfrm>
                          <a:prstGeom prst="rect">
                            <a:avLst/>
                          </a:prstGeom>
                          <a:noFill/>
                          <a:ln w="9525">
                            <a:noFill/>
                            <a:miter lim="800000"/>
                            <a:headEnd/>
                            <a:tailEnd/>
                          </a:ln>
                        </pic:spPr>
                      </pic:pic>
                    </a:graphicData>
                  </a:graphic>
                </wp:inline>
              </w:drawing>
            </w:r>
          </w:p>
        </w:tc>
        <w:tc>
          <w:tcPr>
            <w:tcW w:w="226" w:type="dxa"/>
            <w:tcMar>
              <w:left w:w="0" w:type="dxa"/>
              <w:right w:w="0" w:type="dxa"/>
            </w:tcMar>
          </w:tcPr>
          <w:p w:rsidR="00C411DC" w:rsidRPr="001C5C76" w:rsidRDefault="00C411DC" w:rsidP="007F40D7">
            <w:pPr>
              <w:pStyle w:val="a0"/>
              <w:spacing w:line="240" w:lineRule="auto"/>
              <w:ind w:left="0"/>
              <w:rPr>
                <w:color w:val="auto"/>
              </w:rPr>
            </w:pPr>
          </w:p>
        </w:tc>
        <w:tc>
          <w:tcPr>
            <w:tcW w:w="5272" w:type="dxa"/>
            <w:tcBorders>
              <w:bottom w:val="single" w:sz="4" w:space="0" w:color="00A0E9"/>
            </w:tcBorders>
            <w:tcMar>
              <w:left w:w="0" w:type="dxa"/>
              <w:right w:w="0" w:type="dxa"/>
            </w:tcMar>
            <w:vAlign w:val="center"/>
          </w:tcPr>
          <w:p w:rsidR="00C411DC" w:rsidRPr="001B71C3" w:rsidRDefault="00C411DC" w:rsidP="007F40D7">
            <w:r>
              <w:rPr>
                <w:rFonts w:hint="eastAsia"/>
                <w:noProof/>
              </w:rPr>
              <w:drawing>
                <wp:inline distT="0" distB="0" distL="0" distR="0">
                  <wp:extent cx="3342640" cy="2101850"/>
                  <wp:effectExtent l="19050" t="0" r="0" b="0"/>
                  <wp:docPr id="1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srcRect/>
                          <a:stretch>
                            <a:fillRect/>
                          </a:stretch>
                        </pic:blipFill>
                        <pic:spPr bwMode="auto">
                          <a:xfrm>
                            <a:off x="0" y="0"/>
                            <a:ext cx="3342640" cy="2101850"/>
                          </a:xfrm>
                          <a:prstGeom prst="rect">
                            <a:avLst/>
                          </a:prstGeom>
                          <a:noFill/>
                          <a:ln w="9525">
                            <a:noFill/>
                            <a:miter lim="800000"/>
                            <a:headEnd/>
                            <a:tailEnd/>
                          </a:ln>
                        </pic:spPr>
                      </pic:pic>
                    </a:graphicData>
                  </a:graphic>
                </wp:inline>
              </w:drawing>
            </w:r>
          </w:p>
        </w:tc>
      </w:tr>
      <w:tr w:rsidR="00C411DC" w:rsidTr="007F40D7">
        <w:tc>
          <w:tcPr>
            <w:tcW w:w="5273" w:type="dxa"/>
            <w:tcMar>
              <w:left w:w="0" w:type="dxa"/>
              <w:right w:w="0" w:type="dxa"/>
            </w:tcMar>
          </w:tcPr>
          <w:p w:rsidR="00C411DC" w:rsidRDefault="00C411DC" w:rsidP="007F40D7">
            <w:pPr>
              <w:pStyle w:val="GJStylesGraphSource"/>
            </w:pPr>
            <w:r>
              <w:rPr>
                <w:rFonts w:hint="eastAsia"/>
              </w:rPr>
              <w:t>来源：国金证券研究所</w:t>
            </w:r>
          </w:p>
        </w:tc>
        <w:tc>
          <w:tcPr>
            <w:tcW w:w="226" w:type="dxa"/>
            <w:tcMar>
              <w:left w:w="0" w:type="dxa"/>
              <w:right w:w="0" w:type="dxa"/>
            </w:tcMar>
          </w:tcPr>
          <w:p w:rsidR="00C411DC" w:rsidRDefault="00C411DC" w:rsidP="007F40D7">
            <w:pPr>
              <w:pStyle w:val="GJStylesGraphSource"/>
            </w:pPr>
          </w:p>
        </w:tc>
        <w:tc>
          <w:tcPr>
            <w:tcW w:w="5272" w:type="dxa"/>
            <w:tcMar>
              <w:left w:w="0" w:type="dxa"/>
              <w:right w:w="0" w:type="dxa"/>
            </w:tcMar>
          </w:tcPr>
          <w:p w:rsidR="00C411DC" w:rsidRDefault="00C411DC" w:rsidP="007F40D7">
            <w:pPr>
              <w:pStyle w:val="GJStylesGraphSource"/>
            </w:pPr>
            <w:r>
              <w:rPr>
                <w:rFonts w:hint="eastAsia"/>
              </w:rPr>
              <w:t>来源：国金证券研究所</w:t>
            </w:r>
          </w:p>
        </w:tc>
      </w:tr>
    </w:tbl>
    <w:p w:rsidR="00C411DC" w:rsidRPr="00076CE6" w:rsidRDefault="00C411DC" w:rsidP="00C411DC">
      <w:pPr>
        <w:pStyle w:val="a0"/>
        <w:numPr>
          <w:ilvl w:val="5"/>
          <w:numId w:val="36"/>
        </w:numPr>
        <w:spacing w:line="240" w:lineRule="auto"/>
        <w:ind w:left="4140" w:hanging="369"/>
        <w:rPr>
          <w:color w:val="auto"/>
        </w:rPr>
      </w:pPr>
      <w:r w:rsidRPr="00076CE6">
        <w:rPr>
          <w:rFonts w:hint="eastAsia"/>
          <w:color w:val="auto"/>
        </w:rPr>
        <w:t>市场震荡盘整使得主动投资基金的管理优势更为明显，然而自去年牛市快速上涨以来优秀基金经理的流失也在加快，我们在此通过历史数据对基金经理投资管理能力做综合评价，同时考虑短期市场行情的特点，重点从风险收益角度对基金经理的投资操作风格做进一步分解，</w:t>
      </w:r>
      <w:r w:rsidRPr="00076CE6">
        <w:rPr>
          <w:rFonts w:ascii="楷体_GB2312" w:hint="eastAsia"/>
          <w:color w:val="auto"/>
        </w:rPr>
        <w:t>对于历史投资风格稳健、擅于自下而上选股的基金经理可给予更多关注，以平滑组合的短期波动</w:t>
      </w:r>
      <w:r w:rsidRPr="00076CE6">
        <w:rPr>
          <w:rFonts w:hint="eastAsia"/>
          <w:color w:val="auto"/>
        </w:rPr>
        <w:t>。</w:t>
      </w:r>
    </w:p>
    <w:p w:rsidR="00C411DC" w:rsidRPr="00BF075B" w:rsidRDefault="00C411DC" w:rsidP="00C411DC">
      <w:pPr>
        <w:pStyle w:val="a0"/>
        <w:numPr>
          <w:ilvl w:val="5"/>
          <w:numId w:val="36"/>
        </w:numPr>
        <w:spacing w:line="240" w:lineRule="auto"/>
        <w:ind w:left="4140" w:hanging="369"/>
        <w:rPr>
          <w:color w:val="auto"/>
        </w:rPr>
      </w:pPr>
      <w:r w:rsidRPr="00BF075B">
        <w:rPr>
          <w:rFonts w:hint="eastAsia"/>
          <w:color w:val="auto"/>
        </w:rPr>
        <w:t>下图表右我们在基金经理综合评价的基础上进一步从风险控制及收益获取能力来看，以刘晓龙、梁永强、朱少醒、刘宏、邵秋涛、王栩、崔建波为代表的基金经理在过去三年获取较高收益的同时也较好的控制了下行风险，所管理产品的风险收益配比效果突出，与此同时，以于江勇、陶灿、桂跃强、陈晓翔、姚锦、顾耀强、叶从飞、</w:t>
      </w:r>
      <w:proofErr w:type="gramStart"/>
      <w:r w:rsidRPr="00BF075B">
        <w:rPr>
          <w:rFonts w:hint="eastAsia"/>
          <w:color w:val="auto"/>
        </w:rPr>
        <w:t>邹</w:t>
      </w:r>
      <w:proofErr w:type="gramEnd"/>
      <w:r w:rsidRPr="00BF075B">
        <w:rPr>
          <w:rFonts w:hint="eastAsia"/>
          <w:color w:val="auto"/>
        </w:rPr>
        <w:t>新进为代表的基金经理投资风格也较为稳健，同时也获得了不错的综合评价。</w:t>
      </w:r>
    </w:p>
    <w:p w:rsidR="00C411DC" w:rsidRPr="00C25981" w:rsidRDefault="00C411DC" w:rsidP="00C411DC">
      <w:pPr>
        <w:pStyle w:val="a0"/>
        <w:numPr>
          <w:ilvl w:val="5"/>
          <w:numId w:val="36"/>
        </w:numPr>
        <w:spacing w:line="240" w:lineRule="auto"/>
        <w:ind w:left="4140" w:hanging="369"/>
        <w:rPr>
          <w:color w:val="auto"/>
        </w:rPr>
      </w:pPr>
      <w:r w:rsidRPr="00C25981">
        <w:rPr>
          <w:rFonts w:hint="eastAsia"/>
          <w:color w:val="auto"/>
        </w:rPr>
        <w:t>除了管理业绩反映出的风险收益配比优势，我们也对基金经理的综合评价和投资组合风格进行这一维度进行比较，从下图表右的结果来看，我们也看到包括上文提到的多位基金经理的投资组合具有相对稳健的特征，组合市盈率控制在较为合理甚至较低的水平，包括刘晓龙、崔建波、邵秋涛、朱少醒、陈晓翔、于江勇等基金经理在这方面表现的尤为显著。</w:t>
      </w:r>
    </w:p>
    <w:tbl>
      <w:tblPr>
        <w:tblW w:w="10771" w:type="dxa"/>
        <w:tblLayout w:type="fixed"/>
        <w:tblLook w:val="07E0" w:firstRow="1" w:lastRow="1" w:firstColumn="1" w:lastColumn="1" w:noHBand="1" w:noVBand="1"/>
      </w:tblPr>
      <w:tblGrid>
        <w:gridCol w:w="5273"/>
        <w:gridCol w:w="226"/>
        <w:gridCol w:w="5272"/>
      </w:tblGrid>
      <w:tr w:rsidR="00C411DC" w:rsidRPr="001C5C76" w:rsidTr="007F40D7">
        <w:tc>
          <w:tcPr>
            <w:tcW w:w="5273" w:type="dxa"/>
            <w:tcBorders>
              <w:top w:val="single" w:sz="4" w:space="0" w:color="00A0E9"/>
              <w:bottom w:val="single" w:sz="4" w:space="0" w:color="00A0E9"/>
            </w:tcBorders>
            <w:tcMar>
              <w:left w:w="0" w:type="dxa"/>
              <w:right w:w="0" w:type="dxa"/>
            </w:tcMar>
          </w:tcPr>
          <w:p w:rsidR="00C411DC" w:rsidRPr="007932DC" w:rsidRDefault="00C411DC" w:rsidP="007F40D7">
            <w:pPr>
              <w:pStyle w:val="GJStylesGraphTitle"/>
            </w:pPr>
            <w:r>
              <w:rPr>
                <w:rFonts w:hint="eastAsia"/>
              </w:rPr>
              <w:lastRenderedPageBreak/>
              <w:t>图表</w:t>
            </w:r>
            <w:r w:rsidR="00552BF7">
              <w:fldChar w:fldCharType="begin"/>
            </w:r>
            <w:r w:rsidR="00552BF7">
              <w:instrText xml:space="preserve"> SEQ </w:instrText>
            </w:r>
            <w:r w:rsidR="00552BF7">
              <w:instrText>图表</w:instrText>
            </w:r>
            <w:r w:rsidR="00552BF7">
              <w:instrText xml:space="preserve"> \* ARABIC  \* MERGEFORMAT </w:instrText>
            </w:r>
            <w:r w:rsidR="00552BF7">
              <w:fldChar w:fldCharType="separate"/>
            </w:r>
            <w:r>
              <w:rPr>
                <w:noProof/>
              </w:rPr>
              <w:t>3</w:t>
            </w:r>
            <w:r w:rsidR="00552BF7">
              <w:rPr>
                <w:noProof/>
              </w:rPr>
              <w:fldChar w:fldCharType="end"/>
            </w:r>
            <w:r>
              <w:rPr>
                <w:rFonts w:hint="eastAsia"/>
              </w:rPr>
              <w:t>：基金经理收益获取及风险控制能力分析</w:t>
            </w:r>
          </w:p>
        </w:tc>
        <w:tc>
          <w:tcPr>
            <w:tcW w:w="226" w:type="dxa"/>
            <w:tcMar>
              <w:left w:w="0" w:type="dxa"/>
              <w:right w:w="0" w:type="dxa"/>
            </w:tcMar>
          </w:tcPr>
          <w:p w:rsidR="00C411DC" w:rsidRPr="001C5C76" w:rsidRDefault="00C411DC" w:rsidP="007F40D7">
            <w:pPr>
              <w:pStyle w:val="GJStylesGraphTitle"/>
              <w:rPr>
                <w:color w:val="auto"/>
              </w:rPr>
            </w:pPr>
          </w:p>
        </w:tc>
        <w:tc>
          <w:tcPr>
            <w:tcW w:w="5272" w:type="dxa"/>
            <w:tcBorders>
              <w:top w:val="single" w:sz="4" w:space="0" w:color="00A0E9"/>
              <w:bottom w:val="single" w:sz="4" w:space="0" w:color="00A0E9"/>
            </w:tcBorders>
            <w:tcMar>
              <w:left w:w="0" w:type="dxa"/>
              <w:right w:w="0" w:type="dxa"/>
            </w:tcMar>
          </w:tcPr>
          <w:p w:rsidR="00C411DC" w:rsidRPr="001C5C76" w:rsidRDefault="00C411DC" w:rsidP="007F40D7">
            <w:pPr>
              <w:pStyle w:val="GJStylesGraphTitle"/>
              <w:rPr>
                <w:color w:val="auto"/>
              </w:rPr>
            </w:pPr>
            <w:r w:rsidRPr="001C5C76">
              <w:rPr>
                <w:rFonts w:hint="eastAsia"/>
                <w:color w:val="auto"/>
              </w:rPr>
              <w:t>图表</w:t>
            </w:r>
            <w:r w:rsidR="00552BF7">
              <w:fldChar w:fldCharType="begin"/>
            </w:r>
            <w:r w:rsidR="00552BF7">
              <w:instrText xml:space="preserve"> SEQ </w:instrText>
            </w:r>
            <w:r w:rsidR="00552BF7">
              <w:instrText>图表</w:instrText>
            </w:r>
            <w:r w:rsidR="00552BF7">
              <w:instrText xml:space="preserve"> \* ARABIC  \* MERGEFORMAT </w:instrText>
            </w:r>
            <w:r w:rsidR="00552BF7">
              <w:fldChar w:fldCharType="separate"/>
            </w:r>
            <w:r>
              <w:rPr>
                <w:noProof/>
                <w:color w:val="auto"/>
              </w:rPr>
              <w:t>4</w:t>
            </w:r>
            <w:r w:rsidR="00552BF7">
              <w:rPr>
                <w:noProof/>
                <w:color w:val="auto"/>
              </w:rPr>
              <w:fldChar w:fldCharType="end"/>
            </w:r>
            <w:r w:rsidRPr="001C5C76">
              <w:rPr>
                <w:rFonts w:hint="eastAsia"/>
                <w:color w:val="auto"/>
              </w:rPr>
              <w:t>：</w:t>
            </w:r>
            <w:r>
              <w:rPr>
                <w:rFonts w:hint="eastAsia"/>
              </w:rPr>
              <w:t>综合评价较高且组合风格相对稳健的基金经理</w:t>
            </w:r>
          </w:p>
        </w:tc>
      </w:tr>
      <w:tr w:rsidR="00C411DC" w:rsidTr="007F40D7">
        <w:trPr>
          <w:trHeight w:val="3016"/>
        </w:trPr>
        <w:tc>
          <w:tcPr>
            <w:tcW w:w="5273" w:type="dxa"/>
            <w:tcBorders>
              <w:bottom w:val="single" w:sz="4" w:space="0" w:color="00A0E9"/>
            </w:tcBorders>
            <w:tcMar>
              <w:left w:w="0" w:type="dxa"/>
              <w:right w:w="0" w:type="dxa"/>
            </w:tcMar>
          </w:tcPr>
          <w:p w:rsidR="00C411DC" w:rsidRPr="007932DC" w:rsidRDefault="00C411DC" w:rsidP="007F40D7">
            <w:pPr>
              <w:jc w:val="center"/>
            </w:pPr>
            <w:r>
              <w:rPr>
                <w:rFonts w:hint="eastAsia"/>
                <w:noProof/>
              </w:rPr>
              <w:drawing>
                <wp:inline distT="0" distB="0" distL="0" distR="0">
                  <wp:extent cx="3034030" cy="2119630"/>
                  <wp:effectExtent l="19050" t="0" r="0" b="0"/>
                  <wp:docPr id="9"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srcRect/>
                          <a:stretch>
                            <a:fillRect/>
                          </a:stretch>
                        </pic:blipFill>
                        <pic:spPr bwMode="auto">
                          <a:xfrm>
                            <a:off x="0" y="0"/>
                            <a:ext cx="3034030" cy="2119630"/>
                          </a:xfrm>
                          <a:prstGeom prst="rect">
                            <a:avLst/>
                          </a:prstGeom>
                          <a:noFill/>
                          <a:ln w="9525">
                            <a:noFill/>
                            <a:miter lim="800000"/>
                            <a:headEnd/>
                            <a:tailEnd/>
                          </a:ln>
                        </pic:spPr>
                      </pic:pic>
                    </a:graphicData>
                  </a:graphic>
                </wp:inline>
              </w:drawing>
            </w:r>
          </w:p>
        </w:tc>
        <w:tc>
          <w:tcPr>
            <w:tcW w:w="226" w:type="dxa"/>
            <w:tcMar>
              <w:left w:w="0" w:type="dxa"/>
              <w:right w:w="0" w:type="dxa"/>
            </w:tcMar>
          </w:tcPr>
          <w:p w:rsidR="00C411DC" w:rsidRPr="001C5C76" w:rsidRDefault="00C411DC" w:rsidP="007F40D7">
            <w:pPr>
              <w:pStyle w:val="a0"/>
              <w:spacing w:line="240" w:lineRule="auto"/>
              <w:ind w:left="0"/>
              <w:rPr>
                <w:color w:val="auto"/>
              </w:rPr>
            </w:pPr>
          </w:p>
        </w:tc>
        <w:tc>
          <w:tcPr>
            <w:tcW w:w="5272" w:type="dxa"/>
            <w:tcBorders>
              <w:bottom w:val="single" w:sz="4" w:space="0" w:color="00A0E9"/>
            </w:tcBorders>
            <w:tcMar>
              <w:left w:w="0" w:type="dxa"/>
              <w:right w:w="0" w:type="dxa"/>
            </w:tcMar>
            <w:vAlign w:val="center"/>
          </w:tcPr>
          <w:p w:rsidR="00C411DC" w:rsidRPr="007932DC" w:rsidRDefault="00C411DC" w:rsidP="007F40D7">
            <w:pPr>
              <w:jc w:val="center"/>
            </w:pPr>
            <w:r>
              <w:rPr>
                <w:rFonts w:hint="eastAsia"/>
                <w:noProof/>
              </w:rPr>
              <w:drawing>
                <wp:inline distT="0" distB="0" distL="0" distR="0">
                  <wp:extent cx="3342640" cy="2101850"/>
                  <wp:effectExtent l="1905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srcRect/>
                          <a:stretch>
                            <a:fillRect/>
                          </a:stretch>
                        </pic:blipFill>
                        <pic:spPr bwMode="auto">
                          <a:xfrm>
                            <a:off x="0" y="0"/>
                            <a:ext cx="3342640" cy="2101850"/>
                          </a:xfrm>
                          <a:prstGeom prst="rect">
                            <a:avLst/>
                          </a:prstGeom>
                          <a:noFill/>
                          <a:ln w="9525">
                            <a:noFill/>
                            <a:miter lim="800000"/>
                            <a:headEnd/>
                            <a:tailEnd/>
                          </a:ln>
                        </pic:spPr>
                      </pic:pic>
                    </a:graphicData>
                  </a:graphic>
                </wp:inline>
              </w:drawing>
            </w:r>
          </w:p>
        </w:tc>
      </w:tr>
      <w:tr w:rsidR="00C411DC" w:rsidTr="007F40D7">
        <w:tc>
          <w:tcPr>
            <w:tcW w:w="5273" w:type="dxa"/>
            <w:tcMar>
              <w:left w:w="0" w:type="dxa"/>
              <w:right w:w="0" w:type="dxa"/>
            </w:tcMar>
          </w:tcPr>
          <w:p w:rsidR="00C411DC" w:rsidRDefault="00C411DC" w:rsidP="007F40D7">
            <w:pPr>
              <w:pStyle w:val="GJStylesGraphSource"/>
            </w:pPr>
            <w:r>
              <w:rPr>
                <w:rFonts w:hint="eastAsia"/>
              </w:rPr>
              <w:t>来源：国金证券研究所</w:t>
            </w:r>
          </w:p>
        </w:tc>
        <w:tc>
          <w:tcPr>
            <w:tcW w:w="226" w:type="dxa"/>
            <w:tcMar>
              <w:left w:w="0" w:type="dxa"/>
              <w:right w:w="0" w:type="dxa"/>
            </w:tcMar>
          </w:tcPr>
          <w:p w:rsidR="00C411DC" w:rsidRDefault="00C411DC" w:rsidP="007F40D7">
            <w:pPr>
              <w:pStyle w:val="GJStylesGraphSource"/>
            </w:pPr>
          </w:p>
        </w:tc>
        <w:tc>
          <w:tcPr>
            <w:tcW w:w="5272" w:type="dxa"/>
            <w:tcMar>
              <w:left w:w="0" w:type="dxa"/>
              <w:right w:w="0" w:type="dxa"/>
            </w:tcMar>
          </w:tcPr>
          <w:p w:rsidR="00C411DC" w:rsidRDefault="00C411DC" w:rsidP="007F40D7">
            <w:pPr>
              <w:pStyle w:val="GJStylesGraphSource"/>
            </w:pPr>
            <w:r>
              <w:rPr>
                <w:rFonts w:hint="eastAsia"/>
              </w:rPr>
              <w:t>来源：国金证券研究所</w:t>
            </w:r>
          </w:p>
        </w:tc>
      </w:tr>
    </w:tbl>
    <w:p w:rsidR="00C411DC" w:rsidRPr="003B2C87" w:rsidRDefault="00C411DC" w:rsidP="00C411DC">
      <w:pPr>
        <w:pStyle w:val="a0"/>
        <w:numPr>
          <w:ilvl w:val="4"/>
          <w:numId w:val="3"/>
        </w:numPr>
        <w:spacing w:line="240" w:lineRule="auto"/>
        <w:rPr>
          <w:rFonts w:ascii="楷体_GB2312"/>
          <w:color w:val="auto"/>
        </w:rPr>
      </w:pPr>
      <w:r>
        <w:rPr>
          <w:rFonts w:ascii="楷体_GB2312" w:hint="eastAsia"/>
          <w:color w:val="auto"/>
        </w:rPr>
        <w:t>其次，从组合风格动态调整的角度，</w:t>
      </w:r>
      <w:r>
        <w:rPr>
          <w:rFonts w:ascii="楷体_GB2312" w:hint="eastAsia"/>
        </w:rPr>
        <w:t>经济转型创新的步伐并未停滞，</w:t>
      </w:r>
      <w:r w:rsidRPr="00F77701">
        <w:rPr>
          <w:rFonts w:hint="eastAsia"/>
        </w:rPr>
        <w:t>受益于产业政策和改革的</w:t>
      </w:r>
      <w:r>
        <w:rPr>
          <w:rFonts w:ascii="楷体_GB2312" w:hint="eastAsia"/>
        </w:rPr>
        <w:t>成长股仍具备中期投资价值，但经历短期的</w:t>
      </w:r>
      <w:r w:rsidRPr="00151E31">
        <w:rPr>
          <w:rFonts w:ascii="楷体_GB2312" w:hint="eastAsia"/>
        </w:rPr>
        <w:t>市场降温</w:t>
      </w:r>
      <w:r>
        <w:rPr>
          <w:rFonts w:ascii="楷体_GB2312" w:hint="eastAsia"/>
        </w:rPr>
        <w:t>，更将</w:t>
      </w:r>
      <w:r w:rsidRPr="00151E31">
        <w:rPr>
          <w:rFonts w:ascii="楷体_GB2312" w:hint="eastAsia"/>
        </w:rPr>
        <w:t>优劣分化，</w:t>
      </w:r>
      <w:r>
        <w:rPr>
          <w:rFonts w:ascii="楷体_GB2312" w:hint="eastAsia"/>
        </w:rPr>
        <w:t>仅以</w:t>
      </w:r>
      <w:r w:rsidRPr="003B2C87">
        <w:rPr>
          <w:rFonts w:ascii="楷体_GB2312" w:hint="eastAsia"/>
        </w:rPr>
        <w:t>讲故事为主</w:t>
      </w:r>
      <w:r>
        <w:rPr>
          <w:rFonts w:ascii="楷体_GB2312" w:hint="eastAsia"/>
        </w:rPr>
        <w:t>、无</w:t>
      </w:r>
      <w:r w:rsidRPr="003B2C87">
        <w:rPr>
          <w:rFonts w:ascii="楷体_GB2312" w:hint="eastAsia"/>
        </w:rPr>
        <w:t>业绩</w:t>
      </w:r>
      <w:r>
        <w:rPr>
          <w:rFonts w:ascii="楷体_GB2312" w:hint="eastAsia"/>
        </w:rPr>
        <w:t>支撑</w:t>
      </w:r>
      <w:proofErr w:type="gramStart"/>
      <w:r>
        <w:rPr>
          <w:rFonts w:ascii="楷体_GB2312" w:hint="eastAsia"/>
        </w:rPr>
        <w:t>亦或</w:t>
      </w:r>
      <w:proofErr w:type="gramEnd"/>
      <w:r>
        <w:rPr>
          <w:rFonts w:ascii="楷体_GB2312" w:hint="eastAsia"/>
        </w:rPr>
        <w:t>是</w:t>
      </w:r>
      <w:r w:rsidRPr="003B2C87">
        <w:rPr>
          <w:rFonts w:ascii="楷体_GB2312" w:hint="eastAsia"/>
        </w:rPr>
        <w:t>前期涨幅过高、过度透支盈利的</w:t>
      </w:r>
      <w:r>
        <w:rPr>
          <w:rFonts w:ascii="楷体_GB2312" w:hint="eastAsia"/>
        </w:rPr>
        <w:t>个股将难以支撑短期的高估值，而</w:t>
      </w:r>
      <w:r>
        <w:rPr>
          <w:rFonts w:hint="eastAsia"/>
        </w:rPr>
        <w:t>具备</w:t>
      </w:r>
      <w:r w:rsidRPr="00F77701">
        <w:rPr>
          <w:rFonts w:hint="eastAsia"/>
        </w:rPr>
        <w:t>发展空间以及真实</w:t>
      </w:r>
      <w:r>
        <w:rPr>
          <w:rFonts w:hint="eastAsia"/>
        </w:rPr>
        <w:t>业绩增长的优质成长股在调整过后仍有可能卷土重来，</w:t>
      </w:r>
      <w:r w:rsidRPr="00F77701">
        <w:rPr>
          <w:rFonts w:hint="eastAsia"/>
        </w:rPr>
        <w:t>对于基金管理人来说也需要更好的选</w:t>
      </w:r>
      <w:proofErr w:type="gramStart"/>
      <w:r w:rsidRPr="00F77701">
        <w:rPr>
          <w:rFonts w:hint="eastAsia"/>
        </w:rPr>
        <w:t>股能力</w:t>
      </w:r>
      <w:proofErr w:type="gramEnd"/>
      <w:r>
        <w:rPr>
          <w:rFonts w:hint="eastAsia"/>
        </w:rPr>
        <w:t>以及动态调整能力</w:t>
      </w:r>
      <w:r w:rsidRPr="00F77701">
        <w:rPr>
          <w:rFonts w:hint="eastAsia"/>
        </w:rPr>
        <w:t>进行甄别判断。</w:t>
      </w:r>
    </w:p>
    <w:p w:rsidR="00C411DC" w:rsidRPr="0010701D" w:rsidRDefault="00C411DC" w:rsidP="00C411DC">
      <w:pPr>
        <w:pStyle w:val="a0"/>
        <w:numPr>
          <w:ilvl w:val="5"/>
          <w:numId w:val="36"/>
        </w:numPr>
        <w:spacing w:line="240" w:lineRule="auto"/>
        <w:ind w:left="4140" w:hanging="369"/>
        <w:rPr>
          <w:rFonts w:ascii="楷体_GB2312" w:hAnsi="楷体"/>
          <w:color w:val="auto"/>
        </w:rPr>
      </w:pPr>
      <w:r w:rsidRPr="00AA4039">
        <w:rPr>
          <w:rFonts w:ascii="楷体_GB2312" w:hAnsi="楷体" w:hint="eastAsia"/>
          <w:color w:val="auto"/>
        </w:rPr>
        <w:t>对于成长风格基金，符合产业结构调整方向、选</w:t>
      </w:r>
      <w:proofErr w:type="gramStart"/>
      <w:r w:rsidRPr="00AA4039">
        <w:rPr>
          <w:rFonts w:ascii="楷体_GB2312" w:hAnsi="楷体" w:hint="eastAsia"/>
          <w:color w:val="auto"/>
        </w:rPr>
        <w:t>股能力</w:t>
      </w:r>
      <w:proofErr w:type="gramEnd"/>
      <w:r w:rsidRPr="00AA4039">
        <w:rPr>
          <w:rFonts w:ascii="楷体_GB2312" w:hAnsi="楷体" w:hint="eastAsia"/>
          <w:color w:val="auto"/>
        </w:rPr>
        <w:t>突出的成长风格基金</w:t>
      </w:r>
      <w:r>
        <w:rPr>
          <w:rFonts w:ascii="楷体_GB2312" w:hAnsi="楷体" w:hint="eastAsia"/>
          <w:color w:val="auto"/>
        </w:rPr>
        <w:t>在调整过后仍有可能卷土重来。在产品选择上，我们结合基金的风格测算以及持仓情况，筛选</w:t>
      </w:r>
      <w:r w:rsidRPr="00AA4039">
        <w:rPr>
          <w:rFonts w:ascii="楷体_GB2312" w:hAnsi="楷体" w:hint="eastAsia"/>
          <w:color w:val="auto"/>
        </w:rPr>
        <w:t>对于成长</w:t>
      </w:r>
      <w:r>
        <w:rPr>
          <w:rFonts w:ascii="楷体_GB2312" w:hAnsi="楷体" w:hint="eastAsia"/>
          <w:color w:val="auto"/>
        </w:rPr>
        <w:t>股投资</w:t>
      </w:r>
      <w:r w:rsidRPr="00AA4039">
        <w:rPr>
          <w:rFonts w:ascii="楷体_GB2312" w:hAnsi="楷体" w:hint="eastAsia"/>
          <w:color w:val="auto"/>
        </w:rPr>
        <w:t>偏好</w:t>
      </w:r>
      <w:r>
        <w:rPr>
          <w:rFonts w:ascii="楷体_GB2312" w:hAnsi="楷体" w:hint="eastAsia"/>
          <w:color w:val="auto"/>
        </w:rPr>
        <w:t>较强</w:t>
      </w:r>
      <w:proofErr w:type="gramStart"/>
      <w:r>
        <w:rPr>
          <w:rFonts w:ascii="楷体_GB2312" w:hAnsi="楷体" w:hint="eastAsia"/>
          <w:color w:val="auto"/>
        </w:rPr>
        <w:t>且选股能力</w:t>
      </w:r>
      <w:proofErr w:type="gramEnd"/>
      <w:r>
        <w:rPr>
          <w:rFonts w:ascii="楷体_GB2312" w:hAnsi="楷体" w:hint="eastAsia"/>
          <w:color w:val="auto"/>
        </w:rPr>
        <w:t>突出的产品</w:t>
      </w:r>
      <w:r w:rsidRPr="00AA4039">
        <w:rPr>
          <w:rFonts w:ascii="楷体_GB2312" w:hAnsi="楷体" w:hint="eastAsia"/>
          <w:color w:val="auto"/>
        </w:rPr>
        <w:t>，</w:t>
      </w:r>
      <w:r>
        <w:rPr>
          <w:rFonts w:ascii="楷体_GB2312" w:hAnsi="楷体" w:hint="eastAsia"/>
          <w:color w:val="auto"/>
        </w:rPr>
        <w:t>与此同时，我们也关注基金对于组合风险的控制能力，对于组合的动态调整</w:t>
      </w:r>
      <w:proofErr w:type="gramStart"/>
      <w:r>
        <w:rPr>
          <w:rFonts w:ascii="楷体_GB2312" w:hAnsi="楷体" w:hint="eastAsia"/>
          <w:color w:val="auto"/>
        </w:rPr>
        <w:t>亦或</w:t>
      </w:r>
      <w:proofErr w:type="gramEnd"/>
      <w:r>
        <w:rPr>
          <w:rFonts w:ascii="楷体_GB2312" w:hAnsi="楷体" w:hint="eastAsia"/>
          <w:color w:val="auto"/>
        </w:rPr>
        <w:t>是阶段性风险的回避，结合下图表中的结果</w:t>
      </w:r>
      <w:r w:rsidRPr="001D3B45">
        <w:rPr>
          <w:rFonts w:ascii="楷体_GB2312" w:hAnsi="楷体" w:hint="eastAsia"/>
          <w:color w:val="auto"/>
        </w:rPr>
        <w:t>以及定性分析，我们认为富国低碳环保、添富民营活力、</w:t>
      </w:r>
      <w:proofErr w:type="gramStart"/>
      <w:r w:rsidRPr="001D3B45">
        <w:rPr>
          <w:rFonts w:ascii="楷体_GB2312" w:hAnsi="楷体" w:hint="eastAsia"/>
          <w:color w:val="auto"/>
        </w:rPr>
        <w:t>添富消费</w:t>
      </w:r>
      <w:proofErr w:type="gramEnd"/>
      <w:r w:rsidRPr="001D3B45">
        <w:rPr>
          <w:rFonts w:ascii="楷体_GB2312" w:hAnsi="楷体" w:hint="eastAsia"/>
          <w:color w:val="auto"/>
        </w:rPr>
        <w:t>、华商价值、华商盛世、易方达新兴成长、</w:t>
      </w:r>
      <w:proofErr w:type="gramStart"/>
      <w:r w:rsidRPr="001D3B45">
        <w:rPr>
          <w:rFonts w:ascii="楷体_GB2312" w:hAnsi="楷体" w:hint="eastAsia"/>
          <w:color w:val="auto"/>
        </w:rPr>
        <w:t>浦银价值</w:t>
      </w:r>
      <w:proofErr w:type="gramEnd"/>
      <w:r w:rsidRPr="001D3B45">
        <w:rPr>
          <w:rFonts w:ascii="楷体_GB2312" w:hAnsi="楷体" w:hint="eastAsia"/>
          <w:color w:val="auto"/>
        </w:rPr>
        <w:t>、</w:t>
      </w:r>
      <w:proofErr w:type="gramStart"/>
      <w:r w:rsidRPr="001D3B45">
        <w:rPr>
          <w:rFonts w:ascii="楷体_GB2312" w:hAnsi="楷体" w:hint="eastAsia"/>
          <w:color w:val="auto"/>
        </w:rPr>
        <w:t>大摩多因子</w:t>
      </w:r>
      <w:proofErr w:type="gramEnd"/>
      <w:r w:rsidRPr="001D3B45">
        <w:rPr>
          <w:rFonts w:ascii="楷体_GB2312" w:hAnsi="楷体" w:hint="eastAsia"/>
          <w:color w:val="auto"/>
        </w:rPr>
        <w:t>策略、</w:t>
      </w:r>
      <w:proofErr w:type="gramStart"/>
      <w:r w:rsidRPr="001D3B45">
        <w:rPr>
          <w:rFonts w:ascii="楷体_GB2312" w:hAnsi="楷体" w:hint="eastAsia"/>
          <w:color w:val="auto"/>
        </w:rPr>
        <w:t>宝盈新价值</w:t>
      </w:r>
      <w:proofErr w:type="gramEnd"/>
      <w:r w:rsidRPr="001D3B45">
        <w:rPr>
          <w:rFonts w:ascii="楷体_GB2312" w:hAnsi="楷体" w:hint="eastAsia"/>
          <w:color w:val="auto"/>
        </w:rPr>
        <w:t>、嘉实领先成长、易方达科</w:t>
      </w:r>
      <w:proofErr w:type="gramStart"/>
      <w:r w:rsidRPr="001D3B45">
        <w:rPr>
          <w:rFonts w:ascii="楷体_GB2312" w:hAnsi="楷体" w:hint="eastAsia"/>
          <w:color w:val="auto"/>
        </w:rPr>
        <w:t>翔基金</w:t>
      </w:r>
      <w:proofErr w:type="gramEnd"/>
      <w:r w:rsidRPr="001D3B45">
        <w:rPr>
          <w:rFonts w:ascii="楷体_GB2312" w:hAnsi="楷体" w:hint="eastAsia"/>
          <w:color w:val="auto"/>
        </w:rPr>
        <w:t>具备较明显的优势，投资者可侧重关注。</w:t>
      </w:r>
    </w:p>
    <w:tbl>
      <w:tblPr>
        <w:tblW w:w="7370" w:type="dxa"/>
        <w:tblInd w:w="3402" w:type="dxa"/>
        <w:tblBorders>
          <w:top w:val="single" w:sz="4" w:space="0" w:color="00A0E9"/>
          <w:insideH w:val="single" w:sz="4" w:space="0" w:color="00A0E9"/>
        </w:tblBorders>
        <w:tblLook w:val="0600" w:firstRow="0" w:lastRow="0" w:firstColumn="0" w:lastColumn="0" w:noHBand="1" w:noVBand="1"/>
      </w:tblPr>
      <w:tblGrid>
        <w:gridCol w:w="7370"/>
      </w:tblGrid>
      <w:tr w:rsidR="00C411DC" w:rsidRPr="00C55E81" w:rsidTr="007F40D7">
        <w:tc>
          <w:tcPr>
            <w:tcW w:w="7370" w:type="dxa"/>
            <w:tcMar>
              <w:left w:w="0" w:type="dxa"/>
              <w:right w:w="0" w:type="dxa"/>
            </w:tcMar>
          </w:tcPr>
          <w:p w:rsidR="00C411DC" w:rsidRPr="0010701D" w:rsidRDefault="00C411DC" w:rsidP="007F40D7">
            <w:pPr>
              <w:pStyle w:val="GJStylesGraphTitle"/>
            </w:pPr>
            <w:r>
              <w:rPr>
                <w:rFonts w:hint="eastAsia"/>
              </w:rPr>
              <w:t>图表</w:t>
            </w:r>
            <w:r w:rsidR="00552BF7">
              <w:fldChar w:fldCharType="begin"/>
            </w:r>
            <w:r w:rsidR="00552BF7">
              <w:instrText xml:space="preserve"> SEQ </w:instrText>
            </w:r>
            <w:r w:rsidR="00552BF7">
              <w:instrText>图表</w:instrText>
            </w:r>
            <w:r w:rsidR="00552BF7">
              <w:instrText xml:space="preserve"> \* ARABIC  \* MERGEFORMAT </w:instrText>
            </w:r>
            <w:r w:rsidR="00552BF7">
              <w:fldChar w:fldCharType="separate"/>
            </w:r>
            <w:r>
              <w:rPr>
                <w:noProof/>
              </w:rPr>
              <w:t>5</w:t>
            </w:r>
            <w:r w:rsidR="00552BF7">
              <w:rPr>
                <w:noProof/>
              </w:rPr>
              <w:fldChar w:fldCharType="end"/>
            </w:r>
            <w:r>
              <w:rPr>
                <w:rFonts w:hint="eastAsia"/>
              </w:rPr>
              <w:t>：成长风格显著且具备较强风险控制能力的基金</w:t>
            </w:r>
          </w:p>
        </w:tc>
      </w:tr>
      <w:tr w:rsidR="00C411DC" w:rsidRPr="00C55E81" w:rsidTr="007F40D7">
        <w:trPr>
          <w:trHeight w:val="3509"/>
        </w:trPr>
        <w:tc>
          <w:tcPr>
            <w:tcW w:w="7370" w:type="dxa"/>
            <w:tcMar>
              <w:left w:w="0" w:type="dxa"/>
              <w:right w:w="0" w:type="dxa"/>
            </w:tcMar>
            <w:vAlign w:val="center"/>
          </w:tcPr>
          <w:p w:rsidR="00C411DC" w:rsidRPr="0010701D" w:rsidRDefault="00C411DC" w:rsidP="007F40D7">
            <w:pPr>
              <w:jc w:val="center"/>
            </w:pPr>
            <w:r>
              <w:rPr>
                <w:rFonts w:hint="eastAsia"/>
                <w:noProof/>
              </w:rPr>
              <w:drawing>
                <wp:inline distT="0" distB="0" distL="0" distR="0">
                  <wp:extent cx="3836035" cy="2190750"/>
                  <wp:effectExtent l="19050" t="0" r="0" b="0"/>
                  <wp:docPr id="3"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srcRect/>
                          <a:stretch>
                            <a:fillRect/>
                          </a:stretch>
                        </pic:blipFill>
                        <pic:spPr bwMode="auto">
                          <a:xfrm>
                            <a:off x="0" y="0"/>
                            <a:ext cx="3836035" cy="2190750"/>
                          </a:xfrm>
                          <a:prstGeom prst="rect">
                            <a:avLst/>
                          </a:prstGeom>
                          <a:noFill/>
                          <a:ln w="9525">
                            <a:noFill/>
                            <a:miter lim="800000"/>
                            <a:headEnd/>
                            <a:tailEnd/>
                          </a:ln>
                        </pic:spPr>
                      </pic:pic>
                    </a:graphicData>
                  </a:graphic>
                </wp:inline>
              </w:drawing>
            </w:r>
          </w:p>
        </w:tc>
      </w:tr>
      <w:tr w:rsidR="00C411DC" w:rsidTr="007F40D7">
        <w:tc>
          <w:tcPr>
            <w:tcW w:w="7370" w:type="dxa"/>
            <w:tcMar>
              <w:left w:w="0" w:type="dxa"/>
              <w:right w:w="0" w:type="dxa"/>
            </w:tcMar>
          </w:tcPr>
          <w:p w:rsidR="00C411DC" w:rsidRDefault="00C411DC" w:rsidP="007F40D7">
            <w:pPr>
              <w:pStyle w:val="GJStylesGraphSource"/>
            </w:pPr>
            <w:r>
              <w:rPr>
                <w:rFonts w:hint="eastAsia"/>
              </w:rPr>
              <w:t>来源：国金证券研究所</w:t>
            </w:r>
          </w:p>
        </w:tc>
      </w:tr>
    </w:tbl>
    <w:p w:rsidR="00C411DC" w:rsidRPr="007D3CBA" w:rsidRDefault="00C411DC" w:rsidP="00C411DC">
      <w:pPr>
        <w:pStyle w:val="a0"/>
        <w:numPr>
          <w:ilvl w:val="4"/>
          <w:numId w:val="3"/>
        </w:numPr>
        <w:spacing w:line="240" w:lineRule="auto"/>
        <w:rPr>
          <w:rFonts w:ascii="楷体_GB2312"/>
          <w:color w:val="auto"/>
        </w:rPr>
      </w:pPr>
      <w:r>
        <w:rPr>
          <w:rFonts w:ascii="楷体_GB2312" w:hint="eastAsia"/>
          <w:color w:val="auto"/>
        </w:rPr>
        <w:t>第三，前文我们主要从组合风格的角度对短期配置和中期动态调整进行了投资建议，与此同时，就下半年的市场环境我们认为操作风格灵活以及重点关注主题投资的基金具有较高的配置价值。一方面，下半年市场波动将较上半年明显加大，</w:t>
      </w:r>
      <w:r w:rsidRPr="00F76055">
        <w:rPr>
          <w:rFonts w:ascii="楷体_GB2312" w:hint="eastAsia"/>
        </w:rPr>
        <w:t>从把握市场波动节奏的角度，优选大类资产配置能力突出、投资灵活度较高且具备前瞻性的基金具有控制组合波动风险的意义</w:t>
      </w:r>
      <w:r>
        <w:rPr>
          <w:rFonts w:ascii="楷体_GB2312" w:hint="eastAsia"/>
        </w:rPr>
        <w:t>；</w:t>
      </w:r>
      <w:r>
        <w:rPr>
          <w:rFonts w:ascii="楷体_GB2312" w:hint="eastAsia"/>
        </w:rPr>
        <w:lastRenderedPageBreak/>
        <w:t>另一方面，以国企改革为代表的主题投资机会在下半年将进入关键时期，同时</w:t>
      </w:r>
      <w:proofErr w:type="gramStart"/>
      <w:r>
        <w:rPr>
          <w:rFonts w:ascii="楷体_GB2312" w:hint="eastAsia"/>
        </w:rPr>
        <w:t>稳增长</w:t>
      </w:r>
      <w:proofErr w:type="gramEnd"/>
      <w:r>
        <w:rPr>
          <w:rFonts w:ascii="楷体_GB2312" w:hint="eastAsia"/>
        </w:rPr>
        <w:t>重心转向财政政策，也将使得相关主题投资的驱动力进一步增强。</w:t>
      </w:r>
    </w:p>
    <w:p w:rsidR="00C411DC" w:rsidRPr="006F433B" w:rsidRDefault="00C411DC" w:rsidP="00C411DC">
      <w:pPr>
        <w:pStyle w:val="a0"/>
        <w:numPr>
          <w:ilvl w:val="5"/>
          <w:numId w:val="36"/>
        </w:numPr>
        <w:spacing w:line="240" w:lineRule="auto"/>
        <w:ind w:left="4140" w:hanging="369"/>
        <w:rPr>
          <w:rFonts w:ascii="楷体_GB2312"/>
          <w:color w:val="auto"/>
        </w:rPr>
      </w:pPr>
      <w:r w:rsidRPr="006F433B">
        <w:rPr>
          <w:rFonts w:ascii="楷体_GB2312" w:hint="eastAsia"/>
          <w:color w:val="auto"/>
        </w:rPr>
        <w:t>下图表左为最近一年比较典型的灵活操作且投资管理能力突出的产品，这些基金普遍具有规模小、高换手率的特征，并且在今年以来的市场环境中取得了不错的管理业绩，包括益民服务、华商优势、新华行业轮换、</w:t>
      </w:r>
      <w:proofErr w:type="gramStart"/>
      <w:r w:rsidRPr="006F433B">
        <w:rPr>
          <w:rFonts w:ascii="楷体_GB2312" w:hint="eastAsia"/>
          <w:color w:val="auto"/>
        </w:rPr>
        <w:t>浦银战略</w:t>
      </w:r>
      <w:proofErr w:type="gramEnd"/>
      <w:r w:rsidRPr="006F433B">
        <w:rPr>
          <w:rFonts w:ascii="楷体_GB2312" w:hint="eastAsia"/>
          <w:color w:val="auto"/>
        </w:rPr>
        <w:t>新兴、国</w:t>
      </w:r>
      <w:proofErr w:type="gramStart"/>
      <w:r w:rsidRPr="006F433B">
        <w:rPr>
          <w:rFonts w:ascii="楷体_GB2312" w:hint="eastAsia"/>
          <w:color w:val="auto"/>
        </w:rPr>
        <w:t>投美丽</w:t>
      </w:r>
      <w:proofErr w:type="gramEnd"/>
      <w:r w:rsidRPr="006F433B">
        <w:rPr>
          <w:rFonts w:ascii="楷体_GB2312" w:hint="eastAsia"/>
          <w:color w:val="auto"/>
        </w:rPr>
        <w:t>中国、</w:t>
      </w:r>
      <w:proofErr w:type="gramStart"/>
      <w:r w:rsidRPr="006F433B">
        <w:rPr>
          <w:rFonts w:ascii="楷体_GB2312" w:hint="eastAsia"/>
          <w:color w:val="auto"/>
        </w:rPr>
        <w:t>汇添富蓝</w:t>
      </w:r>
      <w:proofErr w:type="gramEnd"/>
      <w:r w:rsidRPr="006F433B">
        <w:rPr>
          <w:rFonts w:ascii="楷体_GB2312" w:hint="eastAsia"/>
          <w:color w:val="auto"/>
        </w:rPr>
        <w:t>筹、富国低碳环保等</w:t>
      </w:r>
      <w:r>
        <w:rPr>
          <w:rFonts w:ascii="楷体_GB2312" w:hint="eastAsia"/>
          <w:color w:val="auto"/>
        </w:rPr>
        <w:t>灵活型</w:t>
      </w:r>
      <w:r w:rsidRPr="006F433B">
        <w:rPr>
          <w:rFonts w:ascii="楷体_GB2312" w:hint="eastAsia"/>
          <w:color w:val="auto"/>
        </w:rPr>
        <w:t>基金可重点关注。</w:t>
      </w:r>
      <w:r>
        <w:rPr>
          <w:rFonts w:ascii="楷体_GB2312" w:hint="eastAsia"/>
          <w:color w:val="auto"/>
        </w:rPr>
        <w:t>与此同时，我们也结合今年以来市场节奏的变化统计了</w:t>
      </w:r>
      <w:r w:rsidRPr="006F433B">
        <w:rPr>
          <w:rFonts w:ascii="楷体_GB2312" w:hint="eastAsia"/>
          <w:color w:val="auto"/>
        </w:rPr>
        <w:t>2015年初至6.12</w:t>
      </w:r>
      <w:r>
        <w:rPr>
          <w:rFonts w:ascii="楷体_GB2312" w:hint="eastAsia"/>
          <w:color w:val="auto"/>
        </w:rPr>
        <w:t>市场单边上涨期间以及</w:t>
      </w:r>
      <w:r w:rsidRPr="006F433B">
        <w:rPr>
          <w:rFonts w:ascii="楷体_GB2312" w:hint="eastAsia"/>
          <w:color w:val="auto"/>
        </w:rPr>
        <w:t>6.1</w:t>
      </w:r>
      <w:r>
        <w:rPr>
          <w:rFonts w:ascii="楷体_GB2312" w:hint="eastAsia"/>
          <w:color w:val="auto"/>
        </w:rPr>
        <w:t>5至</w:t>
      </w:r>
      <w:r w:rsidRPr="006F433B">
        <w:rPr>
          <w:rFonts w:ascii="楷体_GB2312" w:hint="eastAsia"/>
          <w:color w:val="auto"/>
        </w:rPr>
        <w:t>6.29</w:t>
      </w:r>
      <w:r>
        <w:rPr>
          <w:rFonts w:ascii="楷体_GB2312" w:hint="eastAsia"/>
          <w:color w:val="auto"/>
        </w:rPr>
        <w:t>市场恐慌性下跌期间的基金业绩，从下图表右的结果可以看到，部分操作高度灵活的产品在市场趋势的把握上也具有明显优势，包括</w:t>
      </w:r>
      <w:proofErr w:type="gramStart"/>
      <w:r>
        <w:rPr>
          <w:rFonts w:ascii="楷体_GB2312" w:hint="eastAsia"/>
          <w:color w:val="auto"/>
        </w:rPr>
        <w:t>浦银战略</w:t>
      </w:r>
      <w:proofErr w:type="gramEnd"/>
      <w:r>
        <w:rPr>
          <w:rFonts w:ascii="楷体_GB2312" w:hint="eastAsia"/>
          <w:color w:val="auto"/>
        </w:rPr>
        <w:t>新兴产业、益民服务、国</w:t>
      </w:r>
      <w:proofErr w:type="gramStart"/>
      <w:r>
        <w:rPr>
          <w:rFonts w:ascii="楷体_GB2312" w:hint="eastAsia"/>
          <w:color w:val="auto"/>
        </w:rPr>
        <w:t>投美丽</w:t>
      </w:r>
      <w:proofErr w:type="gramEnd"/>
      <w:r>
        <w:rPr>
          <w:rFonts w:ascii="楷体_GB2312" w:hint="eastAsia"/>
          <w:color w:val="auto"/>
        </w:rPr>
        <w:t>中国、新华行业轮换在前期获得较突出管理业绩的背景下也较大程度保留住胜利果实，净值回撤在1%以内，此外以富国低碳环保、</w:t>
      </w:r>
      <w:proofErr w:type="gramStart"/>
      <w:r>
        <w:rPr>
          <w:rFonts w:ascii="楷体_GB2312" w:hint="eastAsia"/>
          <w:color w:val="auto"/>
        </w:rPr>
        <w:t>汇添富蓝</w:t>
      </w:r>
      <w:proofErr w:type="gramEnd"/>
      <w:r>
        <w:rPr>
          <w:rFonts w:ascii="楷体_GB2312" w:hint="eastAsia"/>
          <w:color w:val="auto"/>
        </w:rPr>
        <w:t>筹为代表的前期涨幅突出的基金，也显示出较强的风险控制能力，在成长风格基金普遍回撤30%以上的背景下，两只基金的净值损失没超过18%。</w:t>
      </w:r>
    </w:p>
    <w:p w:rsidR="00C411DC" w:rsidRPr="00256E57" w:rsidRDefault="00C411DC" w:rsidP="00C411DC">
      <w:pPr>
        <w:pStyle w:val="a0"/>
        <w:numPr>
          <w:ilvl w:val="5"/>
          <w:numId w:val="36"/>
        </w:numPr>
        <w:spacing w:line="240" w:lineRule="auto"/>
        <w:ind w:left="4140" w:hanging="369"/>
        <w:rPr>
          <w:rFonts w:ascii="楷体_GB2312" w:hAnsi="楷体"/>
          <w:color w:val="auto"/>
        </w:rPr>
      </w:pPr>
      <w:r w:rsidRPr="00256E57">
        <w:rPr>
          <w:rFonts w:ascii="楷体_GB2312" w:hAnsi="楷体" w:hint="eastAsia"/>
          <w:color w:val="auto"/>
        </w:rPr>
        <w:t>而就主题投资基金，我们在下半年重点推荐对于国企改革主题关注度较高的产品。除了工银国企改革、光大国企改革这种以国企改革为主题投资标的</w:t>
      </w:r>
      <w:proofErr w:type="gramStart"/>
      <w:r w:rsidRPr="00256E57">
        <w:rPr>
          <w:rFonts w:ascii="楷体_GB2312" w:hAnsi="楷体" w:hint="eastAsia"/>
          <w:color w:val="auto"/>
        </w:rPr>
        <w:t>的</w:t>
      </w:r>
      <w:proofErr w:type="gramEnd"/>
      <w:r w:rsidRPr="00256E57">
        <w:rPr>
          <w:rFonts w:ascii="楷体_GB2312" w:hAnsi="楷体" w:hint="eastAsia"/>
          <w:color w:val="auto"/>
        </w:rPr>
        <w:t>基金，结合基金</w:t>
      </w:r>
      <w:proofErr w:type="gramStart"/>
      <w:r w:rsidRPr="00256E57">
        <w:rPr>
          <w:rFonts w:ascii="楷体_GB2312" w:hAnsi="楷体" w:hint="eastAsia"/>
          <w:color w:val="auto"/>
        </w:rPr>
        <w:t>一</w:t>
      </w:r>
      <w:proofErr w:type="gramEnd"/>
      <w:r w:rsidRPr="00256E57">
        <w:rPr>
          <w:rFonts w:ascii="楷体_GB2312" w:hAnsi="楷体" w:hint="eastAsia"/>
          <w:color w:val="auto"/>
        </w:rPr>
        <w:t>季报的重仓股，</w:t>
      </w:r>
      <w:r w:rsidRPr="00256E57">
        <w:rPr>
          <w:rFonts w:ascii="楷体_GB2312" w:hint="eastAsia"/>
          <w:color w:val="auto"/>
        </w:rPr>
        <w:t>基金的历史选</w:t>
      </w:r>
      <w:proofErr w:type="gramStart"/>
      <w:r w:rsidRPr="00256E57">
        <w:rPr>
          <w:rFonts w:ascii="楷体_GB2312" w:hint="eastAsia"/>
          <w:color w:val="auto"/>
        </w:rPr>
        <w:t>股能力</w:t>
      </w:r>
      <w:proofErr w:type="gramEnd"/>
      <w:r w:rsidRPr="00256E57">
        <w:rPr>
          <w:rFonts w:ascii="楷体_GB2312" w:hint="eastAsia"/>
          <w:color w:val="auto"/>
        </w:rPr>
        <w:t>以及操作风格、主题投资偏好，投资者可重点关注中海蓝筹、鹏</w:t>
      </w:r>
      <w:proofErr w:type="gramStart"/>
      <w:r w:rsidRPr="00256E57">
        <w:rPr>
          <w:rFonts w:ascii="楷体_GB2312" w:hint="eastAsia"/>
          <w:color w:val="auto"/>
        </w:rPr>
        <w:t>华先进</w:t>
      </w:r>
      <w:proofErr w:type="gramEnd"/>
      <w:r w:rsidRPr="00256E57">
        <w:rPr>
          <w:rFonts w:ascii="楷体_GB2312" w:hint="eastAsia"/>
          <w:color w:val="auto"/>
        </w:rPr>
        <w:t>制造、广发消费品、嘉实周期优选、嘉</w:t>
      </w:r>
      <w:proofErr w:type="gramStart"/>
      <w:r w:rsidRPr="00256E57">
        <w:rPr>
          <w:rFonts w:ascii="楷体_GB2312" w:hint="eastAsia"/>
          <w:color w:val="auto"/>
        </w:rPr>
        <w:t>实主题新</w:t>
      </w:r>
      <w:proofErr w:type="gramEnd"/>
      <w:r w:rsidRPr="00256E57">
        <w:rPr>
          <w:rFonts w:ascii="楷体_GB2312" w:hint="eastAsia"/>
          <w:color w:val="auto"/>
        </w:rPr>
        <w:t>动力等基金。</w:t>
      </w:r>
    </w:p>
    <w:tbl>
      <w:tblPr>
        <w:tblW w:w="10771" w:type="dxa"/>
        <w:tblLayout w:type="fixed"/>
        <w:tblLook w:val="07E0" w:firstRow="1" w:lastRow="1" w:firstColumn="1" w:lastColumn="1" w:noHBand="1" w:noVBand="1"/>
      </w:tblPr>
      <w:tblGrid>
        <w:gridCol w:w="5273"/>
        <w:gridCol w:w="226"/>
        <w:gridCol w:w="597"/>
        <w:gridCol w:w="1134"/>
        <w:gridCol w:w="1275"/>
        <w:gridCol w:w="993"/>
        <w:gridCol w:w="1273"/>
      </w:tblGrid>
      <w:tr w:rsidR="00C411DC" w:rsidRPr="001C5C76" w:rsidTr="007F40D7">
        <w:tc>
          <w:tcPr>
            <w:tcW w:w="5273" w:type="dxa"/>
            <w:tcBorders>
              <w:top w:val="single" w:sz="4" w:space="0" w:color="00A0E9"/>
              <w:bottom w:val="single" w:sz="4" w:space="0" w:color="00A0E9"/>
            </w:tcBorders>
            <w:tcMar>
              <w:left w:w="0" w:type="dxa"/>
              <w:right w:w="0" w:type="dxa"/>
            </w:tcMar>
          </w:tcPr>
          <w:p w:rsidR="00C411DC" w:rsidRPr="005946C2" w:rsidRDefault="00C411DC" w:rsidP="007F40D7">
            <w:pPr>
              <w:pStyle w:val="GJStylesGraphTitle"/>
            </w:pPr>
            <w:r>
              <w:rPr>
                <w:rFonts w:hint="eastAsia"/>
              </w:rPr>
              <w:t>图表</w:t>
            </w:r>
            <w:r w:rsidR="00552BF7">
              <w:fldChar w:fldCharType="begin"/>
            </w:r>
            <w:r w:rsidR="00552BF7">
              <w:instrText xml:space="preserve"> SEQ </w:instrText>
            </w:r>
            <w:r w:rsidR="00552BF7">
              <w:instrText>图表</w:instrText>
            </w:r>
            <w:r w:rsidR="00552BF7">
              <w:instrText xml:space="preserve"> \* ARABIC  \* MERGEFORMAT </w:instrText>
            </w:r>
            <w:r w:rsidR="00552BF7">
              <w:fldChar w:fldCharType="separate"/>
            </w:r>
            <w:r>
              <w:rPr>
                <w:noProof/>
              </w:rPr>
              <w:t>6</w:t>
            </w:r>
            <w:r w:rsidR="00552BF7">
              <w:rPr>
                <w:noProof/>
              </w:rPr>
              <w:fldChar w:fldCharType="end"/>
            </w:r>
            <w:r>
              <w:rPr>
                <w:rFonts w:hint="eastAsia"/>
              </w:rPr>
              <w:t>：换手率及操作效果</w:t>
            </w:r>
          </w:p>
        </w:tc>
        <w:tc>
          <w:tcPr>
            <w:tcW w:w="226" w:type="dxa"/>
            <w:tcMar>
              <w:left w:w="0" w:type="dxa"/>
              <w:right w:w="0" w:type="dxa"/>
            </w:tcMar>
          </w:tcPr>
          <w:p w:rsidR="00C411DC" w:rsidRPr="001C5C76" w:rsidRDefault="00C411DC" w:rsidP="007F40D7">
            <w:pPr>
              <w:pStyle w:val="GJStylesGraphTitle"/>
              <w:rPr>
                <w:rFonts w:ascii="楷体_GB2312"/>
                <w:color w:val="auto"/>
              </w:rPr>
            </w:pPr>
          </w:p>
        </w:tc>
        <w:tc>
          <w:tcPr>
            <w:tcW w:w="5272" w:type="dxa"/>
            <w:gridSpan w:val="5"/>
            <w:tcBorders>
              <w:top w:val="single" w:sz="4" w:space="0" w:color="00A0E9"/>
              <w:bottom w:val="single" w:sz="4" w:space="0" w:color="00B0F0"/>
            </w:tcBorders>
            <w:tcMar>
              <w:left w:w="0" w:type="dxa"/>
              <w:right w:w="0" w:type="dxa"/>
            </w:tcMar>
          </w:tcPr>
          <w:p w:rsidR="00C411DC" w:rsidRPr="001C5C76" w:rsidRDefault="00C411DC" w:rsidP="007F40D7">
            <w:pPr>
              <w:pStyle w:val="GJStylesGraphTitle"/>
              <w:rPr>
                <w:rFonts w:ascii="楷体_GB2312"/>
                <w:color w:val="auto"/>
              </w:rPr>
            </w:pPr>
            <w:r w:rsidRPr="001C5C76">
              <w:rPr>
                <w:rFonts w:ascii="楷体_GB2312" w:hint="eastAsia"/>
                <w:color w:val="auto"/>
              </w:rPr>
              <w:t>图表</w:t>
            </w:r>
            <w:r w:rsidR="00552BF7">
              <w:fldChar w:fldCharType="begin"/>
            </w:r>
            <w:r w:rsidR="00552BF7">
              <w:instrText xml:space="preserve"> SEQ </w:instrText>
            </w:r>
            <w:r w:rsidR="00552BF7">
              <w:instrText>图表</w:instrText>
            </w:r>
            <w:r w:rsidR="00552BF7">
              <w:instrText xml:space="preserve"> \* ARABIC  \* MERGEFORMAT </w:instrText>
            </w:r>
            <w:r w:rsidR="00552BF7">
              <w:fldChar w:fldCharType="separate"/>
            </w:r>
            <w:r>
              <w:rPr>
                <w:rFonts w:ascii="楷体_GB2312"/>
                <w:noProof/>
                <w:color w:val="auto"/>
              </w:rPr>
              <w:t>7</w:t>
            </w:r>
            <w:r w:rsidR="00552BF7">
              <w:rPr>
                <w:rFonts w:ascii="楷体_GB2312"/>
                <w:noProof/>
                <w:color w:val="auto"/>
              </w:rPr>
              <w:fldChar w:fldCharType="end"/>
            </w:r>
            <w:r w:rsidRPr="001C5C76">
              <w:rPr>
                <w:rFonts w:ascii="楷体_GB2312" w:hint="eastAsia"/>
                <w:color w:val="auto"/>
              </w:rPr>
              <w:t>：</w:t>
            </w:r>
            <w:r>
              <w:rPr>
                <w:rFonts w:ascii="楷体_GB2312" w:hint="eastAsia"/>
                <w:color w:val="auto"/>
              </w:rPr>
              <w:t>灵活型基金阶段业绩比较</w:t>
            </w:r>
          </w:p>
        </w:tc>
      </w:tr>
      <w:tr w:rsidR="00C411DC" w:rsidRPr="001C5C76" w:rsidTr="007F40D7">
        <w:trPr>
          <w:trHeight w:val="284"/>
        </w:trPr>
        <w:tc>
          <w:tcPr>
            <w:tcW w:w="5273" w:type="dxa"/>
            <w:vMerge w:val="restart"/>
            <w:tcMar>
              <w:left w:w="0" w:type="dxa"/>
              <w:right w:w="0" w:type="dxa"/>
            </w:tcMar>
            <w:vAlign w:val="center"/>
          </w:tcPr>
          <w:p w:rsidR="00C411DC" w:rsidRPr="005946C2" w:rsidRDefault="00C411DC" w:rsidP="007F40D7">
            <w:r>
              <w:rPr>
                <w:rFonts w:hint="eastAsia"/>
                <w:noProof/>
              </w:rPr>
              <w:drawing>
                <wp:inline distT="0" distB="0" distL="0" distR="0">
                  <wp:extent cx="3313430" cy="1988820"/>
                  <wp:effectExtent l="19050" t="0" r="1270" b="0"/>
                  <wp:docPr id="2"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srcRect/>
                          <a:stretch>
                            <a:fillRect/>
                          </a:stretch>
                        </pic:blipFill>
                        <pic:spPr bwMode="auto">
                          <a:xfrm>
                            <a:off x="0" y="0"/>
                            <a:ext cx="3313430" cy="1988820"/>
                          </a:xfrm>
                          <a:prstGeom prst="rect">
                            <a:avLst/>
                          </a:prstGeom>
                          <a:noFill/>
                          <a:ln w="9525">
                            <a:noFill/>
                            <a:miter lim="800000"/>
                            <a:headEnd/>
                            <a:tailEnd/>
                          </a:ln>
                        </pic:spPr>
                      </pic:pic>
                    </a:graphicData>
                  </a:graphic>
                </wp:inline>
              </w:drawing>
            </w:r>
          </w:p>
        </w:tc>
        <w:tc>
          <w:tcPr>
            <w:tcW w:w="226" w:type="dxa"/>
            <w:vMerge w:val="restart"/>
            <w:tcMar>
              <w:left w:w="0" w:type="dxa"/>
              <w:right w:w="0" w:type="dxa"/>
            </w:tcMar>
          </w:tcPr>
          <w:p w:rsidR="00C411DC" w:rsidRPr="001C5C76" w:rsidRDefault="00C411DC" w:rsidP="007F40D7">
            <w:pPr>
              <w:pStyle w:val="a0"/>
              <w:spacing w:line="240" w:lineRule="auto"/>
              <w:ind w:left="0"/>
              <w:rPr>
                <w:rFonts w:ascii="楷体_GB2312"/>
                <w:color w:val="auto"/>
              </w:rPr>
            </w:pPr>
          </w:p>
        </w:tc>
        <w:tc>
          <w:tcPr>
            <w:tcW w:w="597" w:type="dxa"/>
            <w:tcBorders>
              <w:top w:val="single" w:sz="4" w:space="0" w:color="00B0F0"/>
              <w:bottom w:val="single" w:sz="4" w:space="0" w:color="D9D9D9"/>
              <w:right w:val="single" w:sz="4" w:space="0" w:color="D9D9D9"/>
            </w:tcBorders>
            <w:tcMar>
              <w:left w:w="0" w:type="dxa"/>
              <w:right w:w="0" w:type="dxa"/>
            </w:tcMar>
            <w:vAlign w:val="center"/>
          </w:tcPr>
          <w:p w:rsidR="00C411DC" w:rsidRPr="006F433B" w:rsidRDefault="00C411DC" w:rsidP="007F40D7">
            <w:pPr>
              <w:jc w:val="center"/>
              <w:rPr>
                <w:rFonts w:ascii="宋体" w:eastAsia="宋体" w:hAnsi="宋体" w:cs="宋体"/>
                <w:b/>
                <w:color w:val="000000"/>
                <w:sz w:val="15"/>
                <w:szCs w:val="15"/>
              </w:rPr>
            </w:pPr>
            <w:r w:rsidRPr="006F433B">
              <w:rPr>
                <w:rFonts w:ascii="宋体" w:eastAsia="宋体" w:hAnsi="宋体" w:hint="eastAsia"/>
                <w:b/>
                <w:color w:val="000000"/>
                <w:sz w:val="15"/>
                <w:szCs w:val="15"/>
              </w:rPr>
              <w:t>代码</w:t>
            </w:r>
          </w:p>
        </w:tc>
        <w:tc>
          <w:tcPr>
            <w:tcW w:w="1134" w:type="dxa"/>
            <w:tcBorders>
              <w:top w:val="single" w:sz="4" w:space="0" w:color="00B0F0"/>
              <w:left w:val="single" w:sz="4" w:space="0" w:color="D9D9D9"/>
              <w:bottom w:val="single" w:sz="4" w:space="0" w:color="D9D9D9"/>
              <w:right w:val="single" w:sz="4" w:space="0" w:color="D9D9D9"/>
            </w:tcBorders>
            <w:vAlign w:val="center"/>
          </w:tcPr>
          <w:p w:rsidR="00C411DC" w:rsidRPr="006F433B" w:rsidRDefault="00C411DC" w:rsidP="007F40D7">
            <w:pPr>
              <w:jc w:val="center"/>
              <w:rPr>
                <w:rFonts w:ascii="宋体" w:eastAsia="宋体" w:hAnsi="宋体" w:cs="宋体"/>
                <w:b/>
                <w:color w:val="000000"/>
                <w:sz w:val="15"/>
                <w:szCs w:val="15"/>
              </w:rPr>
            </w:pPr>
            <w:r w:rsidRPr="006F433B">
              <w:rPr>
                <w:rFonts w:ascii="宋体" w:eastAsia="宋体" w:hAnsi="宋体" w:hint="eastAsia"/>
                <w:b/>
                <w:color w:val="000000"/>
                <w:sz w:val="15"/>
                <w:szCs w:val="15"/>
              </w:rPr>
              <w:t>简称</w:t>
            </w:r>
          </w:p>
        </w:tc>
        <w:tc>
          <w:tcPr>
            <w:tcW w:w="1275" w:type="dxa"/>
            <w:tcBorders>
              <w:top w:val="single" w:sz="4" w:space="0" w:color="00B0F0"/>
              <w:left w:val="single" w:sz="4" w:space="0" w:color="D9D9D9"/>
              <w:bottom w:val="single" w:sz="4" w:space="0" w:color="D9D9D9"/>
              <w:right w:val="single" w:sz="4" w:space="0" w:color="D9D9D9"/>
            </w:tcBorders>
            <w:vAlign w:val="center"/>
          </w:tcPr>
          <w:p w:rsidR="00C411DC" w:rsidRPr="006F433B" w:rsidRDefault="00C411DC" w:rsidP="007F40D7">
            <w:pPr>
              <w:jc w:val="center"/>
              <w:rPr>
                <w:rFonts w:ascii="宋体" w:eastAsia="宋体" w:hAnsi="宋体" w:cs="宋体"/>
                <w:b/>
                <w:color w:val="000000"/>
                <w:sz w:val="15"/>
                <w:szCs w:val="15"/>
              </w:rPr>
            </w:pPr>
            <w:r w:rsidRPr="006F433B">
              <w:rPr>
                <w:rFonts w:ascii="宋体" w:eastAsia="宋体" w:hAnsi="宋体" w:hint="eastAsia"/>
                <w:b/>
                <w:color w:val="000000"/>
                <w:sz w:val="15"/>
                <w:szCs w:val="15"/>
              </w:rPr>
              <w:t>2015年初至6.12</w:t>
            </w:r>
            <w:r>
              <w:rPr>
                <w:rFonts w:ascii="宋体" w:eastAsia="宋体" w:hAnsi="宋体" w:hint="eastAsia"/>
                <w:b/>
                <w:color w:val="000000"/>
                <w:sz w:val="15"/>
                <w:szCs w:val="15"/>
              </w:rPr>
              <w:t>业绩（%）</w:t>
            </w:r>
          </w:p>
        </w:tc>
        <w:tc>
          <w:tcPr>
            <w:tcW w:w="993" w:type="dxa"/>
            <w:tcBorders>
              <w:top w:val="single" w:sz="4" w:space="0" w:color="00B0F0"/>
              <w:left w:val="single" w:sz="4" w:space="0" w:color="D9D9D9"/>
              <w:bottom w:val="single" w:sz="4" w:space="0" w:color="D9D9D9"/>
              <w:right w:val="single" w:sz="4" w:space="0" w:color="D9D9D9"/>
            </w:tcBorders>
            <w:vAlign w:val="center"/>
          </w:tcPr>
          <w:p w:rsidR="00C411DC" w:rsidRPr="006F433B" w:rsidRDefault="00C411DC" w:rsidP="007F40D7">
            <w:pPr>
              <w:jc w:val="center"/>
              <w:rPr>
                <w:rFonts w:ascii="宋体" w:eastAsia="宋体" w:hAnsi="宋体" w:cs="宋体"/>
                <w:b/>
                <w:color w:val="000000"/>
                <w:sz w:val="15"/>
                <w:szCs w:val="15"/>
              </w:rPr>
            </w:pPr>
            <w:r w:rsidRPr="006F433B">
              <w:rPr>
                <w:rFonts w:ascii="宋体" w:eastAsia="宋体" w:hAnsi="宋体" w:hint="eastAsia"/>
                <w:b/>
                <w:color w:val="000000"/>
                <w:sz w:val="15"/>
                <w:szCs w:val="15"/>
              </w:rPr>
              <w:t>6.12~6.29</w:t>
            </w:r>
            <w:r>
              <w:rPr>
                <w:rFonts w:ascii="宋体" w:eastAsia="宋体" w:hAnsi="宋体" w:hint="eastAsia"/>
                <w:b/>
                <w:color w:val="000000"/>
                <w:sz w:val="15"/>
                <w:szCs w:val="15"/>
              </w:rPr>
              <w:t>业绩（%）</w:t>
            </w:r>
          </w:p>
        </w:tc>
        <w:tc>
          <w:tcPr>
            <w:tcW w:w="1273" w:type="dxa"/>
            <w:tcBorders>
              <w:top w:val="single" w:sz="4" w:space="0" w:color="00B0F0"/>
              <w:left w:val="single" w:sz="4" w:space="0" w:color="D9D9D9"/>
              <w:bottom w:val="single" w:sz="4" w:space="0" w:color="D9D9D9"/>
            </w:tcBorders>
            <w:vAlign w:val="center"/>
          </w:tcPr>
          <w:p w:rsidR="00C411DC" w:rsidRPr="006F433B" w:rsidRDefault="00C411DC" w:rsidP="007F40D7">
            <w:pPr>
              <w:jc w:val="center"/>
              <w:rPr>
                <w:rFonts w:ascii="宋体" w:eastAsia="宋体" w:hAnsi="宋体" w:cs="宋体"/>
                <w:b/>
                <w:color w:val="000000"/>
                <w:sz w:val="15"/>
                <w:szCs w:val="15"/>
              </w:rPr>
            </w:pPr>
            <w:r w:rsidRPr="006F433B">
              <w:rPr>
                <w:rFonts w:ascii="宋体" w:eastAsia="宋体" w:hAnsi="宋体" w:hint="eastAsia"/>
                <w:b/>
                <w:color w:val="000000"/>
                <w:sz w:val="15"/>
                <w:szCs w:val="15"/>
              </w:rPr>
              <w:t>基金经理</w:t>
            </w:r>
          </w:p>
        </w:tc>
      </w:tr>
      <w:tr w:rsidR="00C411DC" w:rsidRPr="001C5C76" w:rsidTr="007F40D7">
        <w:trPr>
          <w:trHeight w:val="284"/>
        </w:trPr>
        <w:tc>
          <w:tcPr>
            <w:tcW w:w="5273" w:type="dxa"/>
            <w:vMerge/>
            <w:tcMar>
              <w:left w:w="0" w:type="dxa"/>
              <w:right w:w="0" w:type="dxa"/>
            </w:tcMar>
          </w:tcPr>
          <w:p w:rsidR="00C411DC" w:rsidRPr="0023588A" w:rsidRDefault="00C411DC" w:rsidP="007F40D7">
            <w:pPr>
              <w:jc w:val="center"/>
            </w:pPr>
          </w:p>
        </w:tc>
        <w:tc>
          <w:tcPr>
            <w:tcW w:w="226" w:type="dxa"/>
            <w:vMerge/>
            <w:tcMar>
              <w:left w:w="0" w:type="dxa"/>
              <w:right w:w="0" w:type="dxa"/>
            </w:tcMar>
          </w:tcPr>
          <w:p w:rsidR="00C411DC" w:rsidRPr="001C5C76" w:rsidRDefault="00C411DC" w:rsidP="007F40D7">
            <w:pPr>
              <w:pStyle w:val="a0"/>
              <w:spacing w:line="240" w:lineRule="auto"/>
              <w:ind w:left="0"/>
              <w:rPr>
                <w:rFonts w:ascii="楷体_GB2312"/>
                <w:color w:val="auto"/>
              </w:rPr>
            </w:pPr>
          </w:p>
        </w:tc>
        <w:tc>
          <w:tcPr>
            <w:tcW w:w="597" w:type="dxa"/>
            <w:tcBorders>
              <w:top w:val="single" w:sz="4" w:space="0" w:color="D9D9D9"/>
              <w:bottom w:val="single" w:sz="4" w:space="0" w:color="D9D9D9"/>
              <w:right w:val="single" w:sz="4" w:space="0" w:color="D9D9D9"/>
            </w:tcBorders>
            <w:tcMar>
              <w:left w:w="0" w:type="dxa"/>
              <w:right w:w="0" w:type="dxa"/>
            </w:tcMar>
            <w:vAlign w:val="center"/>
          </w:tcPr>
          <w:p w:rsidR="00C411DC" w:rsidRPr="006F433B" w:rsidRDefault="00C411DC" w:rsidP="007F40D7">
            <w:pPr>
              <w:jc w:val="center"/>
              <w:rPr>
                <w:rFonts w:ascii="宋体" w:eastAsia="宋体" w:hAnsi="宋体" w:cs="宋体"/>
                <w:color w:val="000000"/>
                <w:sz w:val="15"/>
                <w:szCs w:val="15"/>
              </w:rPr>
            </w:pPr>
            <w:r w:rsidRPr="006F433B">
              <w:rPr>
                <w:rFonts w:ascii="宋体" w:eastAsia="宋体" w:hAnsi="宋体" w:hint="eastAsia"/>
                <w:color w:val="000000"/>
                <w:sz w:val="15"/>
                <w:szCs w:val="15"/>
              </w:rPr>
              <w:t>100056</w:t>
            </w:r>
          </w:p>
        </w:tc>
        <w:tc>
          <w:tcPr>
            <w:tcW w:w="1134" w:type="dxa"/>
            <w:tcBorders>
              <w:top w:val="single" w:sz="4" w:space="0" w:color="D9D9D9"/>
              <w:left w:val="single" w:sz="4" w:space="0" w:color="D9D9D9"/>
              <w:bottom w:val="single" w:sz="4" w:space="0" w:color="D9D9D9"/>
              <w:right w:val="single" w:sz="4" w:space="0" w:color="D9D9D9"/>
            </w:tcBorders>
            <w:vAlign w:val="center"/>
          </w:tcPr>
          <w:p w:rsidR="00C411DC" w:rsidRPr="006F433B" w:rsidRDefault="00C411DC" w:rsidP="007F40D7">
            <w:pPr>
              <w:jc w:val="center"/>
              <w:rPr>
                <w:rFonts w:ascii="宋体" w:eastAsia="宋体" w:hAnsi="宋体" w:cs="宋体"/>
                <w:color w:val="000000"/>
                <w:sz w:val="15"/>
                <w:szCs w:val="15"/>
              </w:rPr>
            </w:pPr>
            <w:r w:rsidRPr="006F433B">
              <w:rPr>
                <w:rFonts w:ascii="宋体" w:eastAsia="宋体" w:hAnsi="宋体" w:hint="eastAsia"/>
                <w:color w:val="000000"/>
                <w:sz w:val="15"/>
                <w:szCs w:val="15"/>
              </w:rPr>
              <w:t>富国低碳</w:t>
            </w:r>
          </w:p>
        </w:tc>
        <w:tc>
          <w:tcPr>
            <w:tcW w:w="1275" w:type="dxa"/>
            <w:tcBorders>
              <w:top w:val="single" w:sz="4" w:space="0" w:color="D9D9D9"/>
              <w:left w:val="single" w:sz="4" w:space="0" w:color="D9D9D9"/>
              <w:bottom w:val="single" w:sz="4" w:space="0" w:color="D9D9D9"/>
              <w:right w:val="single" w:sz="4" w:space="0" w:color="D9D9D9"/>
            </w:tcBorders>
            <w:vAlign w:val="center"/>
          </w:tcPr>
          <w:p w:rsidR="00C411DC" w:rsidRPr="006F433B" w:rsidRDefault="00C411DC" w:rsidP="007F40D7">
            <w:pPr>
              <w:jc w:val="center"/>
              <w:rPr>
                <w:rFonts w:ascii="宋体" w:eastAsia="宋体" w:hAnsi="宋体" w:cs="宋体"/>
                <w:color w:val="000000"/>
                <w:sz w:val="15"/>
                <w:szCs w:val="15"/>
              </w:rPr>
            </w:pPr>
            <w:r w:rsidRPr="006F433B">
              <w:rPr>
                <w:rFonts w:ascii="宋体" w:eastAsia="宋体" w:hAnsi="宋体" w:hint="eastAsia"/>
                <w:color w:val="000000"/>
                <w:sz w:val="15"/>
                <w:szCs w:val="15"/>
              </w:rPr>
              <w:t xml:space="preserve">204.04 </w:t>
            </w:r>
          </w:p>
        </w:tc>
        <w:tc>
          <w:tcPr>
            <w:tcW w:w="993" w:type="dxa"/>
            <w:tcBorders>
              <w:top w:val="single" w:sz="4" w:space="0" w:color="D9D9D9"/>
              <w:left w:val="single" w:sz="4" w:space="0" w:color="D9D9D9"/>
              <w:bottom w:val="single" w:sz="4" w:space="0" w:color="D9D9D9"/>
              <w:right w:val="single" w:sz="4" w:space="0" w:color="D9D9D9"/>
            </w:tcBorders>
            <w:vAlign w:val="center"/>
          </w:tcPr>
          <w:p w:rsidR="00C411DC" w:rsidRPr="006F433B" w:rsidRDefault="00C411DC" w:rsidP="007F40D7">
            <w:pPr>
              <w:jc w:val="center"/>
              <w:rPr>
                <w:rFonts w:ascii="宋体" w:eastAsia="宋体" w:hAnsi="宋体" w:cs="宋体"/>
                <w:color w:val="000000"/>
                <w:sz w:val="15"/>
                <w:szCs w:val="15"/>
              </w:rPr>
            </w:pPr>
            <w:r w:rsidRPr="006F433B">
              <w:rPr>
                <w:rFonts w:ascii="宋体" w:eastAsia="宋体" w:hAnsi="宋体" w:hint="eastAsia"/>
                <w:color w:val="FF0000"/>
                <w:sz w:val="15"/>
                <w:szCs w:val="15"/>
              </w:rPr>
              <w:t xml:space="preserve">-17.21 </w:t>
            </w:r>
          </w:p>
        </w:tc>
        <w:tc>
          <w:tcPr>
            <w:tcW w:w="1273" w:type="dxa"/>
            <w:tcBorders>
              <w:top w:val="single" w:sz="4" w:space="0" w:color="D9D9D9"/>
              <w:left w:val="single" w:sz="4" w:space="0" w:color="D9D9D9"/>
              <w:bottom w:val="single" w:sz="4" w:space="0" w:color="D9D9D9"/>
            </w:tcBorders>
            <w:vAlign w:val="center"/>
          </w:tcPr>
          <w:p w:rsidR="00C411DC" w:rsidRPr="006F433B" w:rsidRDefault="00C411DC" w:rsidP="007F40D7">
            <w:pPr>
              <w:jc w:val="center"/>
              <w:rPr>
                <w:rFonts w:ascii="宋体" w:eastAsia="宋体" w:hAnsi="宋体" w:cs="宋体"/>
                <w:color w:val="000000"/>
                <w:sz w:val="15"/>
                <w:szCs w:val="15"/>
              </w:rPr>
            </w:pPr>
            <w:r w:rsidRPr="006F433B">
              <w:rPr>
                <w:rFonts w:ascii="宋体" w:eastAsia="宋体" w:hAnsi="宋体" w:hint="eastAsia"/>
                <w:color w:val="000000"/>
                <w:sz w:val="15"/>
                <w:szCs w:val="15"/>
              </w:rPr>
              <w:t>魏伟</w:t>
            </w:r>
          </w:p>
        </w:tc>
      </w:tr>
      <w:tr w:rsidR="00C411DC" w:rsidRPr="001C5C76" w:rsidTr="007F40D7">
        <w:trPr>
          <w:trHeight w:val="284"/>
        </w:trPr>
        <w:tc>
          <w:tcPr>
            <w:tcW w:w="5273" w:type="dxa"/>
            <w:vMerge/>
            <w:tcMar>
              <w:left w:w="0" w:type="dxa"/>
              <w:right w:w="0" w:type="dxa"/>
            </w:tcMar>
          </w:tcPr>
          <w:p w:rsidR="00C411DC" w:rsidRPr="0023588A" w:rsidRDefault="00C411DC" w:rsidP="007F40D7">
            <w:pPr>
              <w:jc w:val="center"/>
            </w:pPr>
          </w:p>
        </w:tc>
        <w:tc>
          <w:tcPr>
            <w:tcW w:w="226" w:type="dxa"/>
            <w:vMerge/>
            <w:tcMar>
              <w:left w:w="0" w:type="dxa"/>
              <w:right w:w="0" w:type="dxa"/>
            </w:tcMar>
          </w:tcPr>
          <w:p w:rsidR="00C411DC" w:rsidRPr="001C5C76" w:rsidRDefault="00C411DC" w:rsidP="007F40D7">
            <w:pPr>
              <w:pStyle w:val="a0"/>
              <w:spacing w:line="240" w:lineRule="auto"/>
              <w:ind w:left="0"/>
              <w:rPr>
                <w:rFonts w:ascii="楷体_GB2312"/>
                <w:color w:val="auto"/>
              </w:rPr>
            </w:pPr>
          </w:p>
        </w:tc>
        <w:tc>
          <w:tcPr>
            <w:tcW w:w="597" w:type="dxa"/>
            <w:tcBorders>
              <w:top w:val="single" w:sz="4" w:space="0" w:color="D9D9D9"/>
              <w:bottom w:val="single" w:sz="4" w:space="0" w:color="D9D9D9"/>
              <w:right w:val="single" w:sz="4" w:space="0" w:color="D9D9D9"/>
            </w:tcBorders>
            <w:tcMar>
              <w:left w:w="0" w:type="dxa"/>
              <w:right w:w="0" w:type="dxa"/>
            </w:tcMar>
            <w:vAlign w:val="center"/>
          </w:tcPr>
          <w:p w:rsidR="00C411DC" w:rsidRPr="006F433B" w:rsidRDefault="00C411DC" w:rsidP="007F40D7">
            <w:pPr>
              <w:jc w:val="center"/>
              <w:rPr>
                <w:rFonts w:ascii="宋体" w:eastAsia="宋体" w:hAnsi="宋体" w:cs="宋体"/>
                <w:color w:val="000000"/>
                <w:sz w:val="15"/>
                <w:szCs w:val="15"/>
              </w:rPr>
            </w:pPr>
            <w:r w:rsidRPr="006F433B">
              <w:rPr>
                <w:rFonts w:ascii="宋体" w:eastAsia="宋体" w:hAnsi="宋体" w:hint="eastAsia"/>
                <w:color w:val="000000"/>
                <w:sz w:val="15"/>
                <w:szCs w:val="15"/>
              </w:rPr>
              <w:t>519120</w:t>
            </w:r>
          </w:p>
        </w:tc>
        <w:tc>
          <w:tcPr>
            <w:tcW w:w="1134" w:type="dxa"/>
            <w:tcBorders>
              <w:top w:val="single" w:sz="4" w:space="0" w:color="D9D9D9"/>
              <w:left w:val="single" w:sz="4" w:space="0" w:color="D9D9D9"/>
              <w:bottom w:val="single" w:sz="4" w:space="0" w:color="D9D9D9"/>
              <w:right w:val="single" w:sz="4" w:space="0" w:color="D9D9D9"/>
            </w:tcBorders>
            <w:vAlign w:val="center"/>
          </w:tcPr>
          <w:p w:rsidR="00C411DC" w:rsidRPr="006F433B" w:rsidRDefault="00C411DC" w:rsidP="007F40D7">
            <w:pPr>
              <w:jc w:val="center"/>
              <w:rPr>
                <w:rFonts w:ascii="宋体" w:eastAsia="宋体" w:hAnsi="宋体" w:cs="宋体"/>
                <w:color w:val="000000"/>
                <w:sz w:val="15"/>
                <w:szCs w:val="15"/>
              </w:rPr>
            </w:pPr>
            <w:proofErr w:type="gramStart"/>
            <w:r w:rsidRPr="006F433B">
              <w:rPr>
                <w:rFonts w:ascii="宋体" w:eastAsia="宋体" w:hAnsi="宋体" w:hint="eastAsia"/>
                <w:color w:val="000000"/>
                <w:sz w:val="15"/>
                <w:szCs w:val="15"/>
              </w:rPr>
              <w:t>浦银战略</w:t>
            </w:r>
            <w:proofErr w:type="gramEnd"/>
            <w:r w:rsidRPr="006F433B">
              <w:rPr>
                <w:rFonts w:ascii="宋体" w:eastAsia="宋体" w:hAnsi="宋体" w:hint="eastAsia"/>
                <w:color w:val="000000"/>
                <w:sz w:val="15"/>
                <w:szCs w:val="15"/>
              </w:rPr>
              <w:t>新兴</w:t>
            </w:r>
          </w:p>
        </w:tc>
        <w:tc>
          <w:tcPr>
            <w:tcW w:w="1275" w:type="dxa"/>
            <w:tcBorders>
              <w:top w:val="single" w:sz="4" w:space="0" w:color="D9D9D9"/>
              <w:left w:val="single" w:sz="4" w:space="0" w:color="D9D9D9"/>
              <w:bottom w:val="single" w:sz="4" w:space="0" w:color="D9D9D9"/>
              <w:right w:val="single" w:sz="4" w:space="0" w:color="D9D9D9"/>
            </w:tcBorders>
            <w:vAlign w:val="center"/>
          </w:tcPr>
          <w:p w:rsidR="00C411DC" w:rsidRPr="006F433B" w:rsidRDefault="00C411DC" w:rsidP="007F40D7">
            <w:pPr>
              <w:jc w:val="center"/>
              <w:rPr>
                <w:rFonts w:ascii="宋体" w:eastAsia="宋体" w:hAnsi="宋体" w:cs="宋体"/>
                <w:color w:val="000000"/>
                <w:sz w:val="15"/>
                <w:szCs w:val="15"/>
              </w:rPr>
            </w:pPr>
            <w:r w:rsidRPr="006F433B">
              <w:rPr>
                <w:rFonts w:ascii="宋体" w:eastAsia="宋体" w:hAnsi="宋体" w:hint="eastAsia"/>
                <w:color w:val="000000"/>
                <w:sz w:val="15"/>
                <w:szCs w:val="15"/>
              </w:rPr>
              <w:t xml:space="preserve">96.38 </w:t>
            </w:r>
          </w:p>
        </w:tc>
        <w:tc>
          <w:tcPr>
            <w:tcW w:w="993" w:type="dxa"/>
            <w:tcBorders>
              <w:top w:val="single" w:sz="4" w:space="0" w:color="D9D9D9"/>
              <w:left w:val="single" w:sz="4" w:space="0" w:color="D9D9D9"/>
              <w:bottom w:val="single" w:sz="4" w:space="0" w:color="D9D9D9"/>
              <w:right w:val="single" w:sz="4" w:space="0" w:color="D9D9D9"/>
            </w:tcBorders>
            <w:vAlign w:val="center"/>
          </w:tcPr>
          <w:p w:rsidR="00C411DC" w:rsidRPr="006F433B" w:rsidRDefault="00C411DC" w:rsidP="007F40D7">
            <w:pPr>
              <w:jc w:val="center"/>
              <w:rPr>
                <w:rFonts w:ascii="宋体" w:eastAsia="宋体" w:hAnsi="宋体" w:cs="宋体"/>
                <w:color w:val="000000"/>
                <w:sz w:val="15"/>
                <w:szCs w:val="15"/>
              </w:rPr>
            </w:pPr>
            <w:r w:rsidRPr="006F433B">
              <w:rPr>
                <w:rFonts w:ascii="宋体" w:eastAsia="宋体" w:hAnsi="宋体" w:hint="eastAsia"/>
                <w:color w:val="000000"/>
                <w:sz w:val="15"/>
                <w:szCs w:val="15"/>
              </w:rPr>
              <w:t xml:space="preserve">0.04 </w:t>
            </w:r>
          </w:p>
        </w:tc>
        <w:tc>
          <w:tcPr>
            <w:tcW w:w="1273" w:type="dxa"/>
            <w:tcBorders>
              <w:top w:val="single" w:sz="4" w:space="0" w:color="D9D9D9"/>
              <w:left w:val="single" w:sz="4" w:space="0" w:color="D9D9D9"/>
              <w:bottom w:val="single" w:sz="4" w:space="0" w:color="D9D9D9"/>
            </w:tcBorders>
            <w:vAlign w:val="center"/>
          </w:tcPr>
          <w:p w:rsidR="00C411DC" w:rsidRPr="006F433B" w:rsidRDefault="00C411DC" w:rsidP="007F40D7">
            <w:pPr>
              <w:jc w:val="center"/>
              <w:rPr>
                <w:rFonts w:ascii="宋体" w:eastAsia="宋体" w:hAnsi="宋体" w:cs="宋体"/>
                <w:color w:val="000000"/>
                <w:sz w:val="15"/>
                <w:szCs w:val="15"/>
              </w:rPr>
            </w:pPr>
            <w:r w:rsidRPr="006F433B">
              <w:rPr>
                <w:rFonts w:ascii="宋体" w:eastAsia="宋体" w:hAnsi="宋体" w:hint="eastAsia"/>
                <w:color w:val="000000"/>
                <w:sz w:val="15"/>
                <w:szCs w:val="15"/>
              </w:rPr>
              <w:t>吴勇</w:t>
            </w:r>
          </w:p>
        </w:tc>
      </w:tr>
      <w:tr w:rsidR="00C411DC" w:rsidRPr="001C5C76" w:rsidTr="007F40D7">
        <w:trPr>
          <w:trHeight w:val="284"/>
        </w:trPr>
        <w:tc>
          <w:tcPr>
            <w:tcW w:w="5273" w:type="dxa"/>
            <w:vMerge/>
            <w:tcMar>
              <w:left w:w="0" w:type="dxa"/>
              <w:right w:w="0" w:type="dxa"/>
            </w:tcMar>
          </w:tcPr>
          <w:p w:rsidR="00C411DC" w:rsidRPr="0023588A" w:rsidRDefault="00C411DC" w:rsidP="007F40D7">
            <w:pPr>
              <w:jc w:val="center"/>
            </w:pPr>
          </w:p>
        </w:tc>
        <w:tc>
          <w:tcPr>
            <w:tcW w:w="226" w:type="dxa"/>
            <w:vMerge/>
            <w:tcMar>
              <w:left w:w="0" w:type="dxa"/>
              <w:right w:w="0" w:type="dxa"/>
            </w:tcMar>
          </w:tcPr>
          <w:p w:rsidR="00C411DC" w:rsidRPr="001C5C76" w:rsidRDefault="00C411DC" w:rsidP="007F40D7">
            <w:pPr>
              <w:pStyle w:val="a0"/>
              <w:spacing w:line="240" w:lineRule="auto"/>
              <w:ind w:left="0"/>
              <w:rPr>
                <w:rFonts w:ascii="楷体_GB2312"/>
                <w:color w:val="auto"/>
              </w:rPr>
            </w:pPr>
          </w:p>
        </w:tc>
        <w:tc>
          <w:tcPr>
            <w:tcW w:w="597" w:type="dxa"/>
            <w:tcBorders>
              <w:top w:val="single" w:sz="4" w:space="0" w:color="D9D9D9"/>
              <w:bottom w:val="single" w:sz="4" w:space="0" w:color="D9D9D9"/>
              <w:right w:val="single" w:sz="4" w:space="0" w:color="D9D9D9"/>
            </w:tcBorders>
            <w:tcMar>
              <w:left w:w="0" w:type="dxa"/>
              <w:right w:w="0" w:type="dxa"/>
            </w:tcMar>
            <w:vAlign w:val="center"/>
          </w:tcPr>
          <w:p w:rsidR="00C411DC" w:rsidRPr="006F433B" w:rsidRDefault="00C411DC" w:rsidP="007F40D7">
            <w:pPr>
              <w:jc w:val="center"/>
              <w:rPr>
                <w:rFonts w:ascii="宋体" w:eastAsia="宋体" w:hAnsi="宋体" w:cs="宋体"/>
                <w:color w:val="000000"/>
                <w:sz w:val="15"/>
                <w:szCs w:val="15"/>
              </w:rPr>
            </w:pPr>
            <w:r w:rsidRPr="006F433B">
              <w:rPr>
                <w:rFonts w:ascii="宋体" w:eastAsia="宋体" w:hAnsi="宋体" w:hint="eastAsia"/>
                <w:color w:val="000000"/>
                <w:sz w:val="15"/>
                <w:szCs w:val="15"/>
              </w:rPr>
              <w:t>000410</w:t>
            </w:r>
          </w:p>
        </w:tc>
        <w:tc>
          <w:tcPr>
            <w:tcW w:w="1134" w:type="dxa"/>
            <w:tcBorders>
              <w:top w:val="single" w:sz="4" w:space="0" w:color="D9D9D9"/>
              <w:left w:val="single" w:sz="4" w:space="0" w:color="D9D9D9"/>
              <w:bottom w:val="single" w:sz="4" w:space="0" w:color="D9D9D9"/>
              <w:right w:val="single" w:sz="4" w:space="0" w:color="D9D9D9"/>
            </w:tcBorders>
            <w:vAlign w:val="center"/>
          </w:tcPr>
          <w:p w:rsidR="00C411DC" w:rsidRPr="006F433B" w:rsidRDefault="00C411DC" w:rsidP="007F40D7">
            <w:pPr>
              <w:jc w:val="center"/>
              <w:rPr>
                <w:rFonts w:ascii="宋体" w:eastAsia="宋体" w:hAnsi="宋体" w:cs="宋体"/>
                <w:color w:val="000000"/>
                <w:sz w:val="15"/>
                <w:szCs w:val="15"/>
              </w:rPr>
            </w:pPr>
            <w:r w:rsidRPr="006F433B">
              <w:rPr>
                <w:rFonts w:ascii="宋体" w:eastAsia="宋体" w:hAnsi="宋体" w:hint="eastAsia"/>
                <w:color w:val="000000"/>
                <w:sz w:val="15"/>
                <w:szCs w:val="15"/>
              </w:rPr>
              <w:t>益民服务</w:t>
            </w:r>
          </w:p>
        </w:tc>
        <w:tc>
          <w:tcPr>
            <w:tcW w:w="1275" w:type="dxa"/>
            <w:tcBorders>
              <w:top w:val="single" w:sz="4" w:space="0" w:color="D9D9D9"/>
              <w:left w:val="single" w:sz="4" w:space="0" w:color="D9D9D9"/>
              <w:bottom w:val="single" w:sz="4" w:space="0" w:color="D9D9D9"/>
              <w:right w:val="single" w:sz="4" w:space="0" w:color="D9D9D9"/>
            </w:tcBorders>
            <w:vAlign w:val="center"/>
          </w:tcPr>
          <w:p w:rsidR="00C411DC" w:rsidRPr="006F433B" w:rsidRDefault="00C411DC" w:rsidP="007F40D7">
            <w:pPr>
              <w:jc w:val="center"/>
              <w:rPr>
                <w:rFonts w:ascii="宋体" w:eastAsia="宋体" w:hAnsi="宋体" w:cs="宋体"/>
                <w:color w:val="000000"/>
                <w:sz w:val="15"/>
                <w:szCs w:val="15"/>
              </w:rPr>
            </w:pPr>
            <w:r w:rsidRPr="006F433B">
              <w:rPr>
                <w:rFonts w:ascii="宋体" w:eastAsia="宋体" w:hAnsi="宋体" w:hint="eastAsia"/>
                <w:color w:val="000000"/>
                <w:sz w:val="15"/>
                <w:szCs w:val="15"/>
              </w:rPr>
              <w:t xml:space="preserve">98.01 </w:t>
            </w:r>
          </w:p>
        </w:tc>
        <w:tc>
          <w:tcPr>
            <w:tcW w:w="993" w:type="dxa"/>
            <w:tcBorders>
              <w:top w:val="single" w:sz="4" w:space="0" w:color="D9D9D9"/>
              <w:left w:val="single" w:sz="4" w:space="0" w:color="D9D9D9"/>
              <w:bottom w:val="single" w:sz="4" w:space="0" w:color="D9D9D9"/>
              <w:right w:val="single" w:sz="4" w:space="0" w:color="D9D9D9"/>
            </w:tcBorders>
            <w:vAlign w:val="center"/>
          </w:tcPr>
          <w:p w:rsidR="00C411DC" w:rsidRPr="006F433B" w:rsidRDefault="00C411DC" w:rsidP="007F40D7">
            <w:pPr>
              <w:jc w:val="center"/>
              <w:rPr>
                <w:rFonts w:ascii="宋体" w:eastAsia="宋体" w:hAnsi="宋体" w:cs="宋体"/>
                <w:color w:val="000000"/>
                <w:sz w:val="15"/>
                <w:szCs w:val="15"/>
              </w:rPr>
            </w:pPr>
            <w:r w:rsidRPr="006F433B">
              <w:rPr>
                <w:rFonts w:ascii="宋体" w:eastAsia="宋体" w:hAnsi="宋体" w:hint="eastAsia"/>
                <w:color w:val="FF0000"/>
                <w:sz w:val="15"/>
                <w:szCs w:val="15"/>
              </w:rPr>
              <w:t xml:space="preserve">-1.00 </w:t>
            </w:r>
          </w:p>
        </w:tc>
        <w:tc>
          <w:tcPr>
            <w:tcW w:w="1273" w:type="dxa"/>
            <w:tcBorders>
              <w:top w:val="single" w:sz="4" w:space="0" w:color="D9D9D9"/>
              <w:left w:val="single" w:sz="4" w:space="0" w:color="D9D9D9"/>
              <w:bottom w:val="single" w:sz="4" w:space="0" w:color="D9D9D9"/>
            </w:tcBorders>
            <w:vAlign w:val="center"/>
          </w:tcPr>
          <w:p w:rsidR="00C411DC" w:rsidRPr="006F433B" w:rsidRDefault="00C411DC" w:rsidP="007F40D7">
            <w:pPr>
              <w:jc w:val="center"/>
              <w:rPr>
                <w:rFonts w:ascii="宋体" w:eastAsia="宋体" w:hAnsi="宋体" w:cs="宋体"/>
                <w:color w:val="000000"/>
                <w:sz w:val="15"/>
                <w:szCs w:val="15"/>
              </w:rPr>
            </w:pPr>
            <w:r w:rsidRPr="006F433B">
              <w:rPr>
                <w:rFonts w:ascii="宋体" w:eastAsia="宋体" w:hAnsi="宋体" w:hint="eastAsia"/>
                <w:color w:val="000000"/>
                <w:sz w:val="15"/>
                <w:szCs w:val="15"/>
              </w:rPr>
              <w:t>黄祥斌,李道滢</w:t>
            </w:r>
          </w:p>
        </w:tc>
      </w:tr>
      <w:tr w:rsidR="00C411DC" w:rsidRPr="001C5C76" w:rsidTr="007F40D7">
        <w:trPr>
          <w:trHeight w:val="284"/>
        </w:trPr>
        <w:tc>
          <w:tcPr>
            <w:tcW w:w="5273" w:type="dxa"/>
            <w:vMerge/>
            <w:tcMar>
              <w:left w:w="0" w:type="dxa"/>
              <w:right w:w="0" w:type="dxa"/>
            </w:tcMar>
          </w:tcPr>
          <w:p w:rsidR="00C411DC" w:rsidRPr="0023588A" w:rsidRDefault="00C411DC" w:rsidP="007F40D7">
            <w:pPr>
              <w:jc w:val="center"/>
            </w:pPr>
          </w:p>
        </w:tc>
        <w:tc>
          <w:tcPr>
            <w:tcW w:w="226" w:type="dxa"/>
            <w:vMerge/>
            <w:tcMar>
              <w:left w:w="0" w:type="dxa"/>
              <w:right w:w="0" w:type="dxa"/>
            </w:tcMar>
          </w:tcPr>
          <w:p w:rsidR="00C411DC" w:rsidRPr="001C5C76" w:rsidRDefault="00C411DC" w:rsidP="007F40D7">
            <w:pPr>
              <w:pStyle w:val="a0"/>
              <w:spacing w:line="240" w:lineRule="auto"/>
              <w:ind w:left="0"/>
              <w:rPr>
                <w:rFonts w:ascii="楷体_GB2312"/>
                <w:color w:val="auto"/>
              </w:rPr>
            </w:pPr>
          </w:p>
        </w:tc>
        <w:tc>
          <w:tcPr>
            <w:tcW w:w="597" w:type="dxa"/>
            <w:tcBorders>
              <w:top w:val="single" w:sz="4" w:space="0" w:color="D9D9D9"/>
              <w:bottom w:val="single" w:sz="4" w:space="0" w:color="D9D9D9"/>
              <w:right w:val="single" w:sz="4" w:space="0" w:color="D9D9D9"/>
            </w:tcBorders>
            <w:tcMar>
              <w:left w:w="0" w:type="dxa"/>
              <w:right w:w="0" w:type="dxa"/>
            </w:tcMar>
            <w:vAlign w:val="center"/>
          </w:tcPr>
          <w:p w:rsidR="00C411DC" w:rsidRPr="006F433B" w:rsidRDefault="00C411DC" w:rsidP="007F40D7">
            <w:pPr>
              <w:jc w:val="center"/>
              <w:rPr>
                <w:rFonts w:ascii="宋体" w:eastAsia="宋体" w:hAnsi="宋体" w:cs="宋体"/>
                <w:color w:val="000000"/>
                <w:sz w:val="15"/>
                <w:szCs w:val="15"/>
              </w:rPr>
            </w:pPr>
            <w:r w:rsidRPr="006F433B">
              <w:rPr>
                <w:rFonts w:ascii="宋体" w:eastAsia="宋体" w:hAnsi="宋体" w:hint="eastAsia"/>
                <w:color w:val="000000"/>
                <w:sz w:val="15"/>
                <w:szCs w:val="15"/>
              </w:rPr>
              <w:t>000663</w:t>
            </w:r>
          </w:p>
        </w:tc>
        <w:tc>
          <w:tcPr>
            <w:tcW w:w="1134" w:type="dxa"/>
            <w:tcBorders>
              <w:top w:val="single" w:sz="4" w:space="0" w:color="D9D9D9"/>
              <w:left w:val="single" w:sz="4" w:space="0" w:color="D9D9D9"/>
              <w:bottom w:val="single" w:sz="4" w:space="0" w:color="D9D9D9"/>
              <w:right w:val="single" w:sz="4" w:space="0" w:color="D9D9D9"/>
            </w:tcBorders>
            <w:vAlign w:val="center"/>
          </w:tcPr>
          <w:p w:rsidR="00C411DC" w:rsidRPr="006F433B" w:rsidRDefault="00C411DC" w:rsidP="007F40D7">
            <w:pPr>
              <w:jc w:val="center"/>
              <w:rPr>
                <w:rFonts w:ascii="宋体" w:eastAsia="宋体" w:hAnsi="宋体" w:cs="宋体"/>
                <w:color w:val="000000"/>
                <w:sz w:val="15"/>
                <w:szCs w:val="15"/>
              </w:rPr>
            </w:pPr>
            <w:r w:rsidRPr="006F433B">
              <w:rPr>
                <w:rFonts w:ascii="宋体" w:eastAsia="宋体" w:hAnsi="宋体" w:hint="eastAsia"/>
                <w:color w:val="000000"/>
                <w:sz w:val="15"/>
                <w:szCs w:val="15"/>
              </w:rPr>
              <w:t>国</w:t>
            </w:r>
            <w:proofErr w:type="gramStart"/>
            <w:r w:rsidRPr="006F433B">
              <w:rPr>
                <w:rFonts w:ascii="宋体" w:eastAsia="宋体" w:hAnsi="宋体" w:hint="eastAsia"/>
                <w:color w:val="000000"/>
                <w:sz w:val="15"/>
                <w:szCs w:val="15"/>
              </w:rPr>
              <w:t>投美丽</w:t>
            </w:r>
            <w:proofErr w:type="gramEnd"/>
            <w:r w:rsidRPr="006F433B">
              <w:rPr>
                <w:rFonts w:ascii="宋体" w:eastAsia="宋体" w:hAnsi="宋体" w:hint="eastAsia"/>
                <w:color w:val="000000"/>
                <w:sz w:val="15"/>
                <w:szCs w:val="15"/>
              </w:rPr>
              <w:t>中国</w:t>
            </w:r>
          </w:p>
        </w:tc>
        <w:tc>
          <w:tcPr>
            <w:tcW w:w="1275" w:type="dxa"/>
            <w:tcBorders>
              <w:top w:val="single" w:sz="4" w:space="0" w:color="D9D9D9"/>
              <w:left w:val="single" w:sz="4" w:space="0" w:color="D9D9D9"/>
              <w:bottom w:val="single" w:sz="4" w:space="0" w:color="D9D9D9"/>
              <w:right w:val="single" w:sz="4" w:space="0" w:color="D9D9D9"/>
            </w:tcBorders>
            <w:vAlign w:val="center"/>
          </w:tcPr>
          <w:p w:rsidR="00C411DC" w:rsidRPr="006F433B" w:rsidRDefault="00C411DC" w:rsidP="007F40D7">
            <w:pPr>
              <w:jc w:val="center"/>
              <w:rPr>
                <w:rFonts w:ascii="宋体" w:eastAsia="宋体" w:hAnsi="宋体" w:cs="宋体"/>
                <w:color w:val="000000"/>
                <w:sz w:val="15"/>
                <w:szCs w:val="15"/>
              </w:rPr>
            </w:pPr>
            <w:r w:rsidRPr="006F433B">
              <w:rPr>
                <w:rFonts w:ascii="宋体" w:eastAsia="宋体" w:hAnsi="宋体" w:hint="eastAsia"/>
                <w:color w:val="000000"/>
                <w:sz w:val="15"/>
                <w:szCs w:val="15"/>
              </w:rPr>
              <w:t xml:space="preserve">95.09 </w:t>
            </w:r>
          </w:p>
        </w:tc>
        <w:tc>
          <w:tcPr>
            <w:tcW w:w="993" w:type="dxa"/>
            <w:tcBorders>
              <w:top w:val="single" w:sz="4" w:space="0" w:color="D9D9D9"/>
              <w:left w:val="single" w:sz="4" w:space="0" w:color="D9D9D9"/>
              <w:bottom w:val="single" w:sz="4" w:space="0" w:color="D9D9D9"/>
              <w:right w:val="single" w:sz="4" w:space="0" w:color="D9D9D9"/>
            </w:tcBorders>
            <w:vAlign w:val="center"/>
          </w:tcPr>
          <w:p w:rsidR="00C411DC" w:rsidRPr="006F433B" w:rsidRDefault="00C411DC" w:rsidP="007F40D7">
            <w:pPr>
              <w:jc w:val="center"/>
              <w:rPr>
                <w:rFonts w:ascii="宋体" w:eastAsia="宋体" w:hAnsi="宋体" w:cs="宋体"/>
                <w:color w:val="000000"/>
                <w:sz w:val="15"/>
                <w:szCs w:val="15"/>
              </w:rPr>
            </w:pPr>
            <w:r w:rsidRPr="006F433B">
              <w:rPr>
                <w:rFonts w:ascii="宋体" w:eastAsia="宋体" w:hAnsi="宋体" w:hint="eastAsia"/>
                <w:color w:val="FF0000"/>
                <w:sz w:val="15"/>
                <w:szCs w:val="15"/>
              </w:rPr>
              <w:t xml:space="preserve">-0.67 </w:t>
            </w:r>
          </w:p>
        </w:tc>
        <w:tc>
          <w:tcPr>
            <w:tcW w:w="1273" w:type="dxa"/>
            <w:tcBorders>
              <w:top w:val="single" w:sz="4" w:space="0" w:color="D9D9D9"/>
              <w:left w:val="single" w:sz="4" w:space="0" w:color="D9D9D9"/>
              <w:bottom w:val="single" w:sz="4" w:space="0" w:color="D9D9D9"/>
            </w:tcBorders>
            <w:vAlign w:val="center"/>
          </w:tcPr>
          <w:p w:rsidR="00C411DC" w:rsidRPr="006F433B" w:rsidRDefault="00C411DC" w:rsidP="007F40D7">
            <w:pPr>
              <w:jc w:val="center"/>
              <w:rPr>
                <w:rFonts w:ascii="宋体" w:eastAsia="宋体" w:hAnsi="宋体" w:cs="宋体"/>
                <w:color w:val="000000"/>
                <w:sz w:val="15"/>
                <w:szCs w:val="15"/>
              </w:rPr>
            </w:pPr>
            <w:r w:rsidRPr="006F433B">
              <w:rPr>
                <w:rFonts w:ascii="宋体" w:eastAsia="宋体" w:hAnsi="宋体" w:hint="eastAsia"/>
                <w:color w:val="000000"/>
                <w:sz w:val="15"/>
                <w:szCs w:val="15"/>
              </w:rPr>
              <w:t>陈小玲,董晗</w:t>
            </w:r>
          </w:p>
        </w:tc>
      </w:tr>
      <w:tr w:rsidR="00C411DC" w:rsidRPr="001C5C76" w:rsidTr="007F40D7">
        <w:trPr>
          <w:trHeight w:val="284"/>
        </w:trPr>
        <w:tc>
          <w:tcPr>
            <w:tcW w:w="5273" w:type="dxa"/>
            <w:vMerge/>
            <w:tcMar>
              <w:left w:w="0" w:type="dxa"/>
              <w:right w:w="0" w:type="dxa"/>
            </w:tcMar>
          </w:tcPr>
          <w:p w:rsidR="00C411DC" w:rsidRPr="0023588A" w:rsidRDefault="00C411DC" w:rsidP="007F40D7">
            <w:pPr>
              <w:jc w:val="center"/>
            </w:pPr>
          </w:p>
        </w:tc>
        <w:tc>
          <w:tcPr>
            <w:tcW w:w="226" w:type="dxa"/>
            <w:vMerge/>
            <w:tcMar>
              <w:left w:w="0" w:type="dxa"/>
              <w:right w:w="0" w:type="dxa"/>
            </w:tcMar>
          </w:tcPr>
          <w:p w:rsidR="00C411DC" w:rsidRPr="001C5C76" w:rsidRDefault="00C411DC" w:rsidP="007F40D7">
            <w:pPr>
              <w:pStyle w:val="a0"/>
              <w:spacing w:line="240" w:lineRule="auto"/>
              <w:ind w:left="0"/>
              <w:rPr>
                <w:rFonts w:ascii="楷体_GB2312"/>
                <w:color w:val="auto"/>
              </w:rPr>
            </w:pPr>
          </w:p>
        </w:tc>
        <w:tc>
          <w:tcPr>
            <w:tcW w:w="597" w:type="dxa"/>
            <w:tcBorders>
              <w:top w:val="single" w:sz="4" w:space="0" w:color="D9D9D9"/>
              <w:bottom w:val="single" w:sz="4" w:space="0" w:color="D9D9D9"/>
              <w:right w:val="single" w:sz="4" w:space="0" w:color="D9D9D9"/>
            </w:tcBorders>
            <w:tcMar>
              <w:left w:w="0" w:type="dxa"/>
              <w:right w:w="0" w:type="dxa"/>
            </w:tcMar>
            <w:vAlign w:val="center"/>
          </w:tcPr>
          <w:p w:rsidR="00C411DC" w:rsidRPr="006F433B" w:rsidRDefault="00C411DC" w:rsidP="007F40D7">
            <w:pPr>
              <w:jc w:val="center"/>
              <w:rPr>
                <w:rFonts w:ascii="宋体" w:eastAsia="宋体" w:hAnsi="宋体" w:cs="宋体"/>
                <w:color w:val="000000"/>
                <w:sz w:val="15"/>
                <w:szCs w:val="15"/>
              </w:rPr>
            </w:pPr>
            <w:r w:rsidRPr="006F433B">
              <w:rPr>
                <w:rFonts w:ascii="宋体" w:eastAsia="宋体" w:hAnsi="宋体" w:hint="eastAsia"/>
                <w:color w:val="000000"/>
                <w:sz w:val="15"/>
                <w:szCs w:val="15"/>
              </w:rPr>
              <w:t>519066</w:t>
            </w:r>
          </w:p>
        </w:tc>
        <w:tc>
          <w:tcPr>
            <w:tcW w:w="1134" w:type="dxa"/>
            <w:tcBorders>
              <w:top w:val="single" w:sz="4" w:space="0" w:color="D9D9D9"/>
              <w:left w:val="single" w:sz="4" w:space="0" w:color="D9D9D9"/>
              <w:bottom w:val="single" w:sz="4" w:space="0" w:color="D9D9D9"/>
              <w:right w:val="single" w:sz="4" w:space="0" w:color="D9D9D9"/>
            </w:tcBorders>
            <w:vAlign w:val="center"/>
          </w:tcPr>
          <w:p w:rsidR="00C411DC" w:rsidRPr="006F433B" w:rsidRDefault="00C411DC" w:rsidP="007F40D7">
            <w:pPr>
              <w:jc w:val="center"/>
              <w:rPr>
                <w:rFonts w:ascii="宋体" w:eastAsia="宋体" w:hAnsi="宋体" w:cs="宋体"/>
                <w:color w:val="000000"/>
                <w:sz w:val="15"/>
                <w:szCs w:val="15"/>
              </w:rPr>
            </w:pPr>
            <w:proofErr w:type="gramStart"/>
            <w:r w:rsidRPr="006F433B">
              <w:rPr>
                <w:rFonts w:ascii="宋体" w:eastAsia="宋体" w:hAnsi="宋体" w:hint="eastAsia"/>
                <w:color w:val="000000"/>
                <w:sz w:val="15"/>
                <w:szCs w:val="15"/>
              </w:rPr>
              <w:t>汇添富蓝</w:t>
            </w:r>
            <w:proofErr w:type="gramEnd"/>
            <w:r w:rsidRPr="006F433B">
              <w:rPr>
                <w:rFonts w:ascii="宋体" w:eastAsia="宋体" w:hAnsi="宋体" w:hint="eastAsia"/>
                <w:color w:val="000000"/>
                <w:sz w:val="15"/>
                <w:szCs w:val="15"/>
              </w:rPr>
              <w:t>筹</w:t>
            </w:r>
          </w:p>
        </w:tc>
        <w:tc>
          <w:tcPr>
            <w:tcW w:w="1275" w:type="dxa"/>
            <w:tcBorders>
              <w:top w:val="single" w:sz="4" w:space="0" w:color="D9D9D9"/>
              <w:left w:val="single" w:sz="4" w:space="0" w:color="D9D9D9"/>
              <w:bottom w:val="single" w:sz="4" w:space="0" w:color="D9D9D9"/>
              <w:right w:val="single" w:sz="4" w:space="0" w:color="D9D9D9"/>
            </w:tcBorders>
            <w:vAlign w:val="center"/>
          </w:tcPr>
          <w:p w:rsidR="00C411DC" w:rsidRPr="006F433B" w:rsidRDefault="00C411DC" w:rsidP="007F40D7">
            <w:pPr>
              <w:jc w:val="center"/>
              <w:rPr>
                <w:rFonts w:ascii="宋体" w:eastAsia="宋体" w:hAnsi="宋体" w:cs="宋体"/>
                <w:color w:val="000000"/>
                <w:sz w:val="15"/>
                <w:szCs w:val="15"/>
              </w:rPr>
            </w:pPr>
            <w:r w:rsidRPr="006F433B">
              <w:rPr>
                <w:rFonts w:ascii="宋体" w:eastAsia="宋体" w:hAnsi="宋体" w:hint="eastAsia"/>
                <w:color w:val="000000"/>
                <w:sz w:val="15"/>
                <w:szCs w:val="15"/>
              </w:rPr>
              <w:t xml:space="preserve">122.08 </w:t>
            </w:r>
          </w:p>
        </w:tc>
        <w:tc>
          <w:tcPr>
            <w:tcW w:w="993" w:type="dxa"/>
            <w:tcBorders>
              <w:top w:val="single" w:sz="4" w:space="0" w:color="D9D9D9"/>
              <w:left w:val="single" w:sz="4" w:space="0" w:color="D9D9D9"/>
              <w:bottom w:val="single" w:sz="4" w:space="0" w:color="D9D9D9"/>
              <w:right w:val="single" w:sz="4" w:space="0" w:color="D9D9D9"/>
            </w:tcBorders>
            <w:vAlign w:val="center"/>
          </w:tcPr>
          <w:p w:rsidR="00C411DC" w:rsidRPr="006F433B" w:rsidRDefault="00C411DC" w:rsidP="007F40D7">
            <w:pPr>
              <w:jc w:val="center"/>
              <w:rPr>
                <w:rFonts w:ascii="宋体" w:eastAsia="宋体" w:hAnsi="宋体" w:cs="宋体"/>
                <w:color w:val="000000"/>
                <w:sz w:val="15"/>
                <w:szCs w:val="15"/>
              </w:rPr>
            </w:pPr>
            <w:r w:rsidRPr="006F433B">
              <w:rPr>
                <w:rFonts w:ascii="宋体" w:eastAsia="宋体" w:hAnsi="宋体" w:hint="eastAsia"/>
                <w:color w:val="FF0000"/>
                <w:sz w:val="15"/>
                <w:szCs w:val="15"/>
              </w:rPr>
              <w:t xml:space="preserve">-15.05 </w:t>
            </w:r>
          </w:p>
        </w:tc>
        <w:tc>
          <w:tcPr>
            <w:tcW w:w="1273" w:type="dxa"/>
            <w:tcBorders>
              <w:top w:val="single" w:sz="4" w:space="0" w:color="D9D9D9"/>
              <w:left w:val="single" w:sz="4" w:space="0" w:color="D9D9D9"/>
              <w:bottom w:val="single" w:sz="4" w:space="0" w:color="D9D9D9"/>
            </w:tcBorders>
            <w:vAlign w:val="center"/>
          </w:tcPr>
          <w:p w:rsidR="00C411DC" w:rsidRPr="006F433B" w:rsidRDefault="00C411DC" w:rsidP="007F40D7">
            <w:pPr>
              <w:jc w:val="center"/>
              <w:rPr>
                <w:rFonts w:ascii="宋体" w:eastAsia="宋体" w:hAnsi="宋体" w:cs="宋体"/>
                <w:color w:val="000000"/>
                <w:sz w:val="15"/>
                <w:szCs w:val="15"/>
              </w:rPr>
            </w:pPr>
            <w:r w:rsidRPr="006F433B">
              <w:rPr>
                <w:rFonts w:ascii="宋体" w:eastAsia="宋体" w:hAnsi="宋体" w:hint="eastAsia"/>
                <w:color w:val="000000"/>
                <w:sz w:val="15"/>
                <w:szCs w:val="15"/>
              </w:rPr>
              <w:t>叶从飞,雷鸣</w:t>
            </w:r>
          </w:p>
        </w:tc>
      </w:tr>
      <w:tr w:rsidR="00C411DC" w:rsidRPr="001C5C76" w:rsidTr="007F40D7">
        <w:trPr>
          <w:trHeight w:val="284"/>
        </w:trPr>
        <w:tc>
          <w:tcPr>
            <w:tcW w:w="5273" w:type="dxa"/>
            <w:vMerge/>
            <w:tcMar>
              <w:left w:w="0" w:type="dxa"/>
              <w:right w:w="0" w:type="dxa"/>
            </w:tcMar>
          </w:tcPr>
          <w:p w:rsidR="00C411DC" w:rsidRPr="0023588A" w:rsidRDefault="00C411DC" w:rsidP="007F40D7">
            <w:pPr>
              <w:jc w:val="center"/>
            </w:pPr>
          </w:p>
        </w:tc>
        <w:tc>
          <w:tcPr>
            <w:tcW w:w="226" w:type="dxa"/>
            <w:vMerge/>
            <w:tcMar>
              <w:left w:w="0" w:type="dxa"/>
              <w:right w:w="0" w:type="dxa"/>
            </w:tcMar>
          </w:tcPr>
          <w:p w:rsidR="00C411DC" w:rsidRPr="001C5C76" w:rsidRDefault="00C411DC" w:rsidP="007F40D7">
            <w:pPr>
              <w:pStyle w:val="a0"/>
              <w:spacing w:line="240" w:lineRule="auto"/>
              <w:ind w:left="0"/>
              <w:rPr>
                <w:rFonts w:ascii="楷体_GB2312"/>
                <w:color w:val="auto"/>
              </w:rPr>
            </w:pPr>
          </w:p>
        </w:tc>
        <w:tc>
          <w:tcPr>
            <w:tcW w:w="597" w:type="dxa"/>
            <w:tcBorders>
              <w:top w:val="single" w:sz="4" w:space="0" w:color="D9D9D9"/>
              <w:bottom w:val="single" w:sz="4" w:space="0" w:color="D9D9D9"/>
              <w:right w:val="single" w:sz="4" w:space="0" w:color="D9D9D9"/>
            </w:tcBorders>
            <w:tcMar>
              <w:left w:w="0" w:type="dxa"/>
              <w:right w:w="0" w:type="dxa"/>
            </w:tcMar>
            <w:vAlign w:val="center"/>
          </w:tcPr>
          <w:p w:rsidR="00C411DC" w:rsidRPr="006F433B" w:rsidRDefault="00C411DC" w:rsidP="007F40D7">
            <w:pPr>
              <w:jc w:val="center"/>
              <w:rPr>
                <w:rFonts w:ascii="宋体" w:eastAsia="宋体" w:hAnsi="宋体" w:cs="宋体"/>
                <w:color w:val="000000"/>
                <w:sz w:val="15"/>
                <w:szCs w:val="15"/>
              </w:rPr>
            </w:pPr>
            <w:r w:rsidRPr="006F433B">
              <w:rPr>
                <w:rFonts w:ascii="宋体" w:eastAsia="宋体" w:hAnsi="宋体" w:hint="eastAsia"/>
                <w:color w:val="000000"/>
                <w:sz w:val="15"/>
                <w:szCs w:val="15"/>
              </w:rPr>
              <w:t>519156</w:t>
            </w:r>
          </w:p>
        </w:tc>
        <w:tc>
          <w:tcPr>
            <w:tcW w:w="1134" w:type="dxa"/>
            <w:tcBorders>
              <w:top w:val="single" w:sz="4" w:space="0" w:color="D9D9D9"/>
              <w:left w:val="single" w:sz="4" w:space="0" w:color="D9D9D9"/>
              <w:bottom w:val="single" w:sz="4" w:space="0" w:color="D9D9D9"/>
              <w:right w:val="single" w:sz="4" w:space="0" w:color="D9D9D9"/>
            </w:tcBorders>
            <w:vAlign w:val="center"/>
          </w:tcPr>
          <w:p w:rsidR="00C411DC" w:rsidRPr="006F433B" w:rsidRDefault="00C411DC" w:rsidP="007F40D7">
            <w:pPr>
              <w:jc w:val="center"/>
              <w:rPr>
                <w:rFonts w:ascii="宋体" w:eastAsia="宋体" w:hAnsi="宋体" w:cs="宋体"/>
                <w:color w:val="000000"/>
                <w:sz w:val="15"/>
                <w:szCs w:val="15"/>
              </w:rPr>
            </w:pPr>
            <w:r w:rsidRPr="006F433B">
              <w:rPr>
                <w:rFonts w:ascii="宋体" w:eastAsia="宋体" w:hAnsi="宋体" w:hint="eastAsia"/>
                <w:color w:val="000000"/>
                <w:sz w:val="15"/>
                <w:szCs w:val="15"/>
              </w:rPr>
              <w:t>新华行业轮换</w:t>
            </w:r>
          </w:p>
        </w:tc>
        <w:tc>
          <w:tcPr>
            <w:tcW w:w="1275" w:type="dxa"/>
            <w:tcBorders>
              <w:top w:val="single" w:sz="4" w:space="0" w:color="D9D9D9"/>
              <w:left w:val="single" w:sz="4" w:space="0" w:color="D9D9D9"/>
              <w:bottom w:val="single" w:sz="4" w:space="0" w:color="D9D9D9"/>
              <w:right w:val="single" w:sz="4" w:space="0" w:color="D9D9D9"/>
            </w:tcBorders>
            <w:vAlign w:val="center"/>
          </w:tcPr>
          <w:p w:rsidR="00C411DC" w:rsidRPr="006F433B" w:rsidRDefault="00C411DC" w:rsidP="007F40D7">
            <w:pPr>
              <w:jc w:val="center"/>
              <w:rPr>
                <w:rFonts w:ascii="宋体" w:eastAsia="宋体" w:hAnsi="宋体" w:cs="宋体"/>
                <w:color w:val="000000"/>
                <w:sz w:val="15"/>
                <w:szCs w:val="15"/>
              </w:rPr>
            </w:pPr>
            <w:r w:rsidRPr="006F433B">
              <w:rPr>
                <w:rFonts w:ascii="宋体" w:eastAsia="宋体" w:hAnsi="宋体" w:hint="eastAsia"/>
                <w:color w:val="000000"/>
                <w:sz w:val="15"/>
                <w:szCs w:val="15"/>
              </w:rPr>
              <w:t xml:space="preserve">83.96 </w:t>
            </w:r>
          </w:p>
        </w:tc>
        <w:tc>
          <w:tcPr>
            <w:tcW w:w="993" w:type="dxa"/>
            <w:tcBorders>
              <w:top w:val="single" w:sz="4" w:space="0" w:color="D9D9D9"/>
              <w:left w:val="single" w:sz="4" w:space="0" w:color="D9D9D9"/>
              <w:bottom w:val="single" w:sz="4" w:space="0" w:color="D9D9D9"/>
              <w:right w:val="single" w:sz="4" w:space="0" w:color="D9D9D9"/>
            </w:tcBorders>
            <w:vAlign w:val="center"/>
          </w:tcPr>
          <w:p w:rsidR="00C411DC" w:rsidRPr="006F433B" w:rsidRDefault="00C411DC" w:rsidP="007F40D7">
            <w:pPr>
              <w:jc w:val="center"/>
              <w:rPr>
                <w:rFonts w:ascii="宋体" w:eastAsia="宋体" w:hAnsi="宋体" w:cs="宋体"/>
                <w:color w:val="000000"/>
                <w:sz w:val="15"/>
                <w:szCs w:val="15"/>
              </w:rPr>
            </w:pPr>
            <w:r w:rsidRPr="006F433B">
              <w:rPr>
                <w:rFonts w:ascii="宋体" w:eastAsia="宋体" w:hAnsi="宋体" w:hint="eastAsia"/>
                <w:color w:val="FF0000"/>
                <w:sz w:val="15"/>
                <w:szCs w:val="15"/>
              </w:rPr>
              <w:t xml:space="preserve">-0.44 </w:t>
            </w:r>
          </w:p>
        </w:tc>
        <w:tc>
          <w:tcPr>
            <w:tcW w:w="1273" w:type="dxa"/>
            <w:tcBorders>
              <w:top w:val="single" w:sz="4" w:space="0" w:color="D9D9D9"/>
              <w:left w:val="single" w:sz="4" w:space="0" w:color="D9D9D9"/>
              <w:bottom w:val="single" w:sz="4" w:space="0" w:color="D9D9D9"/>
            </w:tcBorders>
            <w:vAlign w:val="center"/>
          </w:tcPr>
          <w:p w:rsidR="00C411DC" w:rsidRPr="006F433B" w:rsidRDefault="00C411DC" w:rsidP="007F40D7">
            <w:pPr>
              <w:jc w:val="center"/>
              <w:rPr>
                <w:rFonts w:ascii="宋体" w:eastAsia="宋体" w:hAnsi="宋体" w:cs="宋体"/>
                <w:color w:val="000000"/>
                <w:sz w:val="15"/>
                <w:szCs w:val="15"/>
              </w:rPr>
            </w:pPr>
            <w:proofErr w:type="gramStart"/>
            <w:r w:rsidRPr="006F433B">
              <w:rPr>
                <w:rFonts w:ascii="宋体" w:eastAsia="宋体" w:hAnsi="宋体" w:hint="eastAsia"/>
                <w:color w:val="000000"/>
                <w:sz w:val="15"/>
                <w:szCs w:val="15"/>
              </w:rPr>
              <w:t>李会忠</w:t>
            </w:r>
            <w:proofErr w:type="gramEnd"/>
          </w:p>
        </w:tc>
      </w:tr>
      <w:tr w:rsidR="00C411DC" w:rsidRPr="001C5C76" w:rsidTr="007F40D7">
        <w:trPr>
          <w:trHeight w:val="284"/>
        </w:trPr>
        <w:tc>
          <w:tcPr>
            <w:tcW w:w="5273" w:type="dxa"/>
            <w:vMerge/>
            <w:tcMar>
              <w:left w:w="0" w:type="dxa"/>
              <w:right w:w="0" w:type="dxa"/>
            </w:tcMar>
          </w:tcPr>
          <w:p w:rsidR="00C411DC" w:rsidRPr="0023588A" w:rsidRDefault="00C411DC" w:rsidP="007F40D7">
            <w:pPr>
              <w:jc w:val="center"/>
            </w:pPr>
          </w:p>
        </w:tc>
        <w:tc>
          <w:tcPr>
            <w:tcW w:w="226" w:type="dxa"/>
            <w:vMerge/>
            <w:tcMar>
              <w:left w:w="0" w:type="dxa"/>
              <w:right w:w="0" w:type="dxa"/>
            </w:tcMar>
          </w:tcPr>
          <w:p w:rsidR="00C411DC" w:rsidRPr="001C5C76" w:rsidRDefault="00C411DC" w:rsidP="007F40D7">
            <w:pPr>
              <w:pStyle w:val="a0"/>
              <w:spacing w:line="240" w:lineRule="auto"/>
              <w:ind w:left="0"/>
              <w:rPr>
                <w:rFonts w:ascii="楷体_GB2312"/>
                <w:color w:val="auto"/>
              </w:rPr>
            </w:pPr>
          </w:p>
        </w:tc>
        <w:tc>
          <w:tcPr>
            <w:tcW w:w="597" w:type="dxa"/>
            <w:tcBorders>
              <w:top w:val="single" w:sz="4" w:space="0" w:color="D9D9D9"/>
              <w:bottom w:val="single" w:sz="4" w:space="0" w:color="D9D9D9"/>
              <w:right w:val="single" w:sz="4" w:space="0" w:color="D9D9D9"/>
            </w:tcBorders>
            <w:tcMar>
              <w:left w:w="0" w:type="dxa"/>
              <w:right w:w="0" w:type="dxa"/>
            </w:tcMar>
            <w:vAlign w:val="center"/>
          </w:tcPr>
          <w:p w:rsidR="00C411DC" w:rsidRPr="006F433B" w:rsidRDefault="00C411DC" w:rsidP="007F40D7">
            <w:pPr>
              <w:jc w:val="center"/>
              <w:rPr>
                <w:rFonts w:ascii="宋体" w:eastAsia="宋体" w:hAnsi="宋体" w:cs="宋体"/>
                <w:color w:val="000000"/>
                <w:sz w:val="15"/>
                <w:szCs w:val="15"/>
              </w:rPr>
            </w:pPr>
            <w:r w:rsidRPr="006F433B">
              <w:rPr>
                <w:rFonts w:ascii="宋体" w:eastAsia="宋体" w:hAnsi="宋体" w:hint="eastAsia"/>
                <w:color w:val="000000"/>
                <w:sz w:val="15"/>
                <w:szCs w:val="15"/>
              </w:rPr>
              <w:t>163110</w:t>
            </w:r>
          </w:p>
        </w:tc>
        <w:tc>
          <w:tcPr>
            <w:tcW w:w="1134" w:type="dxa"/>
            <w:tcBorders>
              <w:top w:val="single" w:sz="4" w:space="0" w:color="D9D9D9"/>
              <w:left w:val="single" w:sz="4" w:space="0" w:color="D9D9D9"/>
              <w:bottom w:val="single" w:sz="4" w:space="0" w:color="D9D9D9"/>
              <w:right w:val="single" w:sz="4" w:space="0" w:color="D9D9D9"/>
            </w:tcBorders>
            <w:vAlign w:val="center"/>
          </w:tcPr>
          <w:p w:rsidR="00C411DC" w:rsidRPr="006F433B" w:rsidRDefault="00C411DC" w:rsidP="007F40D7">
            <w:pPr>
              <w:jc w:val="center"/>
              <w:rPr>
                <w:rFonts w:ascii="宋体" w:eastAsia="宋体" w:hAnsi="宋体" w:cs="宋体"/>
                <w:color w:val="000000"/>
                <w:sz w:val="15"/>
                <w:szCs w:val="15"/>
              </w:rPr>
            </w:pPr>
            <w:proofErr w:type="gramStart"/>
            <w:r w:rsidRPr="006F433B">
              <w:rPr>
                <w:rFonts w:ascii="宋体" w:eastAsia="宋体" w:hAnsi="宋体" w:hint="eastAsia"/>
                <w:color w:val="000000"/>
                <w:sz w:val="15"/>
                <w:szCs w:val="15"/>
              </w:rPr>
              <w:t>申万量化</w:t>
            </w:r>
            <w:proofErr w:type="gramEnd"/>
            <w:r w:rsidRPr="006F433B">
              <w:rPr>
                <w:rFonts w:ascii="宋体" w:eastAsia="宋体" w:hAnsi="宋体" w:hint="eastAsia"/>
                <w:color w:val="000000"/>
                <w:sz w:val="15"/>
                <w:szCs w:val="15"/>
              </w:rPr>
              <w:t>小盘</w:t>
            </w:r>
          </w:p>
        </w:tc>
        <w:tc>
          <w:tcPr>
            <w:tcW w:w="1275" w:type="dxa"/>
            <w:tcBorders>
              <w:top w:val="single" w:sz="4" w:space="0" w:color="D9D9D9"/>
              <w:left w:val="single" w:sz="4" w:space="0" w:color="D9D9D9"/>
              <w:bottom w:val="single" w:sz="4" w:space="0" w:color="D9D9D9"/>
              <w:right w:val="single" w:sz="4" w:space="0" w:color="D9D9D9"/>
            </w:tcBorders>
            <w:vAlign w:val="center"/>
          </w:tcPr>
          <w:p w:rsidR="00C411DC" w:rsidRPr="006F433B" w:rsidRDefault="00C411DC" w:rsidP="007F40D7">
            <w:pPr>
              <w:jc w:val="center"/>
              <w:rPr>
                <w:rFonts w:ascii="宋体" w:eastAsia="宋体" w:hAnsi="宋体" w:cs="宋体"/>
                <w:color w:val="000000"/>
                <w:sz w:val="15"/>
                <w:szCs w:val="15"/>
              </w:rPr>
            </w:pPr>
            <w:r w:rsidRPr="006F433B">
              <w:rPr>
                <w:rFonts w:ascii="宋体" w:eastAsia="宋体" w:hAnsi="宋体" w:hint="eastAsia"/>
                <w:color w:val="000000"/>
                <w:sz w:val="15"/>
                <w:szCs w:val="15"/>
              </w:rPr>
              <w:t xml:space="preserve">113.62 </w:t>
            </w:r>
          </w:p>
        </w:tc>
        <w:tc>
          <w:tcPr>
            <w:tcW w:w="993" w:type="dxa"/>
            <w:tcBorders>
              <w:top w:val="single" w:sz="4" w:space="0" w:color="D9D9D9"/>
              <w:left w:val="single" w:sz="4" w:space="0" w:color="D9D9D9"/>
              <w:bottom w:val="single" w:sz="4" w:space="0" w:color="D9D9D9"/>
              <w:right w:val="single" w:sz="4" w:space="0" w:color="D9D9D9"/>
            </w:tcBorders>
            <w:vAlign w:val="center"/>
          </w:tcPr>
          <w:p w:rsidR="00C411DC" w:rsidRPr="006F433B" w:rsidRDefault="00C411DC" w:rsidP="007F40D7">
            <w:pPr>
              <w:jc w:val="center"/>
              <w:rPr>
                <w:rFonts w:ascii="宋体" w:eastAsia="宋体" w:hAnsi="宋体" w:cs="宋体"/>
                <w:color w:val="000000"/>
                <w:sz w:val="15"/>
                <w:szCs w:val="15"/>
              </w:rPr>
            </w:pPr>
            <w:r w:rsidRPr="006F433B">
              <w:rPr>
                <w:rFonts w:ascii="宋体" w:eastAsia="宋体" w:hAnsi="宋体" w:hint="eastAsia"/>
                <w:color w:val="FF0000"/>
                <w:sz w:val="15"/>
                <w:szCs w:val="15"/>
              </w:rPr>
              <w:t xml:space="preserve">-20.30 </w:t>
            </w:r>
          </w:p>
        </w:tc>
        <w:tc>
          <w:tcPr>
            <w:tcW w:w="1273" w:type="dxa"/>
            <w:tcBorders>
              <w:top w:val="single" w:sz="4" w:space="0" w:color="D9D9D9"/>
              <w:left w:val="single" w:sz="4" w:space="0" w:color="D9D9D9"/>
              <w:bottom w:val="single" w:sz="4" w:space="0" w:color="D9D9D9"/>
            </w:tcBorders>
            <w:vAlign w:val="center"/>
          </w:tcPr>
          <w:p w:rsidR="00C411DC" w:rsidRPr="006F433B" w:rsidRDefault="00C411DC" w:rsidP="007F40D7">
            <w:pPr>
              <w:jc w:val="center"/>
              <w:rPr>
                <w:rFonts w:ascii="宋体" w:eastAsia="宋体" w:hAnsi="宋体" w:cs="宋体"/>
                <w:color w:val="000000"/>
                <w:sz w:val="15"/>
                <w:szCs w:val="15"/>
              </w:rPr>
            </w:pPr>
            <w:r w:rsidRPr="006F433B">
              <w:rPr>
                <w:rFonts w:ascii="宋体" w:eastAsia="宋体" w:hAnsi="宋体" w:hint="eastAsia"/>
                <w:color w:val="000000"/>
                <w:sz w:val="15"/>
                <w:szCs w:val="15"/>
              </w:rPr>
              <w:t>金</w:t>
            </w:r>
            <w:r w:rsidRPr="006F433B">
              <w:rPr>
                <w:rFonts w:ascii="宋体" w:eastAsia="宋体" w:hAnsi="宋体" w:cs="宋体" w:hint="eastAsia"/>
                <w:color w:val="000000"/>
                <w:sz w:val="15"/>
                <w:szCs w:val="15"/>
              </w:rPr>
              <w:t>昉</w:t>
            </w:r>
            <w:r w:rsidRPr="006F433B">
              <w:rPr>
                <w:rFonts w:ascii="宋体" w:eastAsia="宋体" w:hAnsi="宋体" w:cs="楷体_GB2312" w:hint="eastAsia"/>
                <w:color w:val="000000"/>
                <w:sz w:val="15"/>
                <w:szCs w:val="15"/>
              </w:rPr>
              <w:t>毅</w:t>
            </w:r>
          </w:p>
        </w:tc>
      </w:tr>
      <w:tr w:rsidR="00C411DC" w:rsidRPr="001C5C76" w:rsidTr="007F40D7">
        <w:trPr>
          <w:trHeight w:val="284"/>
        </w:trPr>
        <w:tc>
          <w:tcPr>
            <w:tcW w:w="5273" w:type="dxa"/>
            <w:vMerge/>
            <w:tcMar>
              <w:left w:w="0" w:type="dxa"/>
              <w:right w:w="0" w:type="dxa"/>
            </w:tcMar>
          </w:tcPr>
          <w:p w:rsidR="00C411DC" w:rsidRPr="0023588A" w:rsidRDefault="00C411DC" w:rsidP="007F40D7">
            <w:pPr>
              <w:jc w:val="center"/>
            </w:pPr>
          </w:p>
        </w:tc>
        <w:tc>
          <w:tcPr>
            <w:tcW w:w="226" w:type="dxa"/>
            <w:vMerge/>
            <w:tcMar>
              <w:left w:w="0" w:type="dxa"/>
              <w:right w:w="0" w:type="dxa"/>
            </w:tcMar>
          </w:tcPr>
          <w:p w:rsidR="00C411DC" w:rsidRPr="001C5C76" w:rsidRDefault="00C411DC" w:rsidP="007F40D7">
            <w:pPr>
              <w:pStyle w:val="a0"/>
              <w:spacing w:line="240" w:lineRule="auto"/>
              <w:ind w:left="0"/>
              <w:rPr>
                <w:rFonts w:ascii="楷体_GB2312"/>
                <w:color w:val="auto"/>
              </w:rPr>
            </w:pPr>
          </w:p>
        </w:tc>
        <w:tc>
          <w:tcPr>
            <w:tcW w:w="597" w:type="dxa"/>
            <w:tcBorders>
              <w:top w:val="single" w:sz="4" w:space="0" w:color="D9D9D9"/>
              <w:bottom w:val="single" w:sz="4" w:space="0" w:color="D9D9D9"/>
              <w:right w:val="single" w:sz="4" w:space="0" w:color="D9D9D9"/>
            </w:tcBorders>
            <w:tcMar>
              <w:left w:w="0" w:type="dxa"/>
              <w:right w:w="0" w:type="dxa"/>
            </w:tcMar>
            <w:vAlign w:val="center"/>
          </w:tcPr>
          <w:p w:rsidR="00C411DC" w:rsidRPr="006F433B" w:rsidRDefault="00C411DC" w:rsidP="007F40D7">
            <w:pPr>
              <w:jc w:val="center"/>
              <w:rPr>
                <w:rFonts w:ascii="宋体" w:eastAsia="宋体" w:hAnsi="宋体" w:cs="宋体"/>
                <w:color w:val="000000"/>
                <w:sz w:val="15"/>
                <w:szCs w:val="15"/>
              </w:rPr>
            </w:pPr>
            <w:r w:rsidRPr="006F433B">
              <w:rPr>
                <w:rFonts w:ascii="宋体" w:eastAsia="宋体" w:hAnsi="宋体" w:hint="eastAsia"/>
                <w:color w:val="000000"/>
                <w:sz w:val="15"/>
                <w:szCs w:val="15"/>
              </w:rPr>
              <w:t>673010</w:t>
            </w:r>
          </w:p>
        </w:tc>
        <w:tc>
          <w:tcPr>
            <w:tcW w:w="1134" w:type="dxa"/>
            <w:tcBorders>
              <w:top w:val="single" w:sz="4" w:space="0" w:color="D9D9D9"/>
              <w:left w:val="single" w:sz="4" w:space="0" w:color="D9D9D9"/>
              <w:bottom w:val="single" w:sz="4" w:space="0" w:color="D9D9D9"/>
              <w:right w:val="single" w:sz="4" w:space="0" w:color="D9D9D9"/>
            </w:tcBorders>
            <w:vAlign w:val="center"/>
          </w:tcPr>
          <w:p w:rsidR="00C411DC" w:rsidRPr="006F433B" w:rsidRDefault="00C411DC" w:rsidP="007F40D7">
            <w:pPr>
              <w:jc w:val="center"/>
              <w:rPr>
                <w:rFonts w:ascii="宋体" w:eastAsia="宋体" w:hAnsi="宋体" w:cs="宋体"/>
                <w:color w:val="000000"/>
                <w:sz w:val="15"/>
                <w:szCs w:val="15"/>
              </w:rPr>
            </w:pPr>
            <w:r w:rsidRPr="006F433B">
              <w:rPr>
                <w:rFonts w:ascii="宋体" w:eastAsia="宋体" w:hAnsi="宋体" w:hint="eastAsia"/>
                <w:color w:val="000000"/>
                <w:sz w:val="15"/>
                <w:szCs w:val="15"/>
              </w:rPr>
              <w:t>西部新动向</w:t>
            </w:r>
          </w:p>
        </w:tc>
        <w:tc>
          <w:tcPr>
            <w:tcW w:w="1275" w:type="dxa"/>
            <w:tcBorders>
              <w:top w:val="single" w:sz="4" w:space="0" w:color="D9D9D9"/>
              <w:left w:val="single" w:sz="4" w:space="0" w:color="D9D9D9"/>
              <w:bottom w:val="single" w:sz="4" w:space="0" w:color="D9D9D9"/>
              <w:right w:val="single" w:sz="4" w:space="0" w:color="D9D9D9"/>
            </w:tcBorders>
            <w:vAlign w:val="center"/>
          </w:tcPr>
          <w:p w:rsidR="00C411DC" w:rsidRPr="006F433B" w:rsidRDefault="00C411DC" w:rsidP="007F40D7">
            <w:pPr>
              <w:jc w:val="center"/>
              <w:rPr>
                <w:rFonts w:ascii="宋体" w:eastAsia="宋体" w:hAnsi="宋体" w:cs="宋体"/>
                <w:color w:val="000000"/>
                <w:sz w:val="15"/>
                <w:szCs w:val="15"/>
              </w:rPr>
            </w:pPr>
            <w:r w:rsidRPr="006F433B">
              <w:rPr>
                <w:rFonts w:ascii="宋体" w:eastAsia="宋体" w:hAnsi="宋体" w:hint="eastAsia"/>
                <w:color w:val="000000"/>
                <w:sz w:val="15"/>
                <w:szCs w:val="15"/>
              </w:rPr>
              <w:t xml:space="preserve">93.23 </w:t>
            </w:r>
          </w:p>
        </w:tc>
        <w:tc>
          <w:tcPr>
            <w:tcW w:w="993" w:type="dxa"/>
            <w:tcBorders>
              <w:top w:val="single" w:sz="4" w:space="0" w:color="D9D9D9"/>
              <w:left w:val="single" w:sz="4" w:space="0" w:color="D9D9D9"/>
              <w:bottom w:val="single" w:sz="4" w:space="0" w:color="D9D9D9"/>
              <w:right w:val="single" w:sz="4" w:space="0" w:color="D9D9D9"/>
            </w:tcBorders>
            <w:vAlign w:val="center"/>
          </w:tcPr>
          <w:p w:rsidR="00C411DC" w:rsidRPr="006F433B" w:rsidRDefault="00C411DC" w:rsidP="007F40D7">
            <w:pPr>
              <w:jc w:val="center"/>
              <w:rPr>
                <w:rFonts w:ascii="宋体" w:eastAsia="宋体" w:hAnsi="宋体" w:cs="宋体"/>
                <w:color w:val="000000"/>
                <w:sz w:val="15"/>
                <w:szCs w:val="15"/>
              </w:rPr>
            </w:pPr>
            <w:r w:rsidRPr="006F433B">
              <w:rPr>
                <w:rFonts w:ascii="宋体" w:eastAsia="宋体" w:hAnsi="宋体" w:hint="eastAsia"/>
                <w:color w:val="FF0000"/>
                <w:sz w:val="15"/>
                <w:szCs w:val="15"/>
              </w:rPr>
              <w:t xml:space="preserve">-13.55 </w:t>
            </w:r>
          </w:p>
        </w:tc>
        <w:tc>
          <w:tcPr>
            <w:tcW w:w="1273" w:type="dxa"/>
            <w:tcBorders>
              <w:top w:val="single" w:sz="4" w:space="0" w:color="D9D9D9"/>
              <w:left w:val="single" w:sz="4" w:space="0" w:color="D9D9D9"/>
              <w:bottom w:val="single" w:sz="4" w:space="0" w:color="D9D9D9"/>
            </w:tcBorders>
            <w:vAlign w:val="center"/>
          </w:tcPr>
          <w:p w:rsidR="00C411DC" w:rsidRPr="006F433B" w:rsidRDefault="00C411DC" w:rsidP="007F40D7">
            <w:pPr>
              <w:jc w:val="center"/>
              <w:rPr>
                <w:rFonts w:ascii="宋体" w:eastAsia="宋体" w:hAnsi="宋体" w:cs="宋体"/>
                <w:color w:val="000000"/>
                <w:sz w:val="15"/>
                <w:szCs w:val="15"/>
              </w:rPr>
            </w:pPr>
            <w:proofErr w:type="gramStart"/>
            <w:r w:rsidRPr="006F433B">
              <w:rPr>
                <w:rFonts w:ascii="宋体" w:eastAsia="宋体" w:hAnsi="宋体" w:hint="eastAsia"/>
                <w:color w:val="000000"/>
                <w:sz w:val="15"/>
                <w:szCs w:val="15"/>
              </w:rPr>
              <w:t>付琦</w:t>
            </w:r>
            <w:proofErr w:type="gramEnd"/>
          </w:p>
        </w:tc>
      </w:tr>
      <w:tr w:rsidR="00C411DC" w:rsidRPr="001C5C76" w:rsidTr="007F40D7">
        <w:trPr>
          <w:trHeight w:val="284"/>
        </w:trPr>
        <w:tc>
          <w:tcPr>
            <w:tcW w:w="5273" w:type="dxa"/>
            <w:vMerge/>
            <w:tcMar>
              <w:left w:w="0" w:type="dxa"/>
              <w:right w:w="0" w:type="dxa"/>
            </w:tcMar>
          </w:tcPr>
          <w:p w:rsidR="00C411DC" w:rsidRPr="0023588A" w:rsidRDefault="00C411DC" w:rsidP="007F40D7">
            <w:pPr>
              <w:jc w:val="center"/>
            </w:pPr>
          </w:p>
        </w:tc>
        <w:tc>
          <w:tcPr>
            <w:tcW w:w="226" w:type="dxa"/>
            <w:vMerge/>
            <w:tcMar>
              <w:left w:w="0" w:type="dxa"/>
              <w:right w:w="0" w:type="dxa"/>
            </w:tcMar>
          </w:tcPr>
          <w:p w:rsidR="00C411DC" w:rsidRPr="001C5C76" w:rsidRDefault="00C411DC" w:rsidP="007F40D7">
            <w:pPr>
              <w:pStyle w:val="a0"/>
              <w:spacing w:line="240" w:lineRule="auto"/>
              <w:ind w:left="0"/>
              <w:rPr>
                <w:rFonts w:ascii="楷体_GB2312"/>
                <w:color w:val="auto"/>
              </w:rPr>
            </w:pPr>
          </w:p>
        </w:tc>
        <w:tc>
          <w:tcPr>
            <w:tcW w:w="597" w:type="dxa"/>
            <w:tcBorders>
              <w:top w:val="single" w:sz="4" w:space="0" w:color="D9D9D9"/>
              <w:bottom w:val="single" w:sz="4" w:space="0" w:color="D9D9D9"/>
              <w:right w:val="single" w:sz="4" w:space="0" w:color="D9D9D9"/>
            </w:tcBorders>
            <w:tcMar>
              <w:left w:w="0" w:type="dxa"/>
              <w:right w:w="0" w:type="dxa"/>
            </w:tcMar>
            <w:vAlign w:val="center"/>
          </w:tcPr>
          <w:p w:rsidR="00C411DC" w:rsidRPr="006F433B" w:rsidRDefault="00C411DC" w:rsidP="007F40D7">
            <w:pPr>
              <w:jc w:val="center"/>
              <w:rPr>
                <w:rFonts w:ascii="宋体" w:eastAsia="宋体" w:hAnsi="宋体" w:cs="宋体"/>
                <w:color w:val="000000"/>
                <w:sz w:val="15"/>
                <w:szCs w:val="15"/>
              </w:rPr>
            </w:pPr>
            <w:r w:rsidRPr="006F433B">
              <w:rPr>
                <w:rFonts w:ascii="宋体" w:eastAsia="宋体" w:hAnsi="宋体" w:hint="eastAsia"/>
                <w:color w:val="000000"/>
                <w:sz w:val="15"/>
                <w:szCs w:val="15"/>
              </w:rPr>
              <w:t>070032</w:t>
            </w:r>
          </w:p>
        </w:tc>
        <w:tc>
          <w:tcPr>
            <w:tcW w:w="1134" w:type="dxa"/>
            <w:tcBorders>
              <w:top w:val="single" w:sz="4" w:space="0" w:color="D9D9D9"/>
              <w:left w:val="single" w:sz="4" w:space="0" w:color="D9D9D9"/>
              <w:bottom w:val="single" w:sz="4" w:space="0" w:color="D9D9D9"/>
              <w:right w:val="single" w:sz="4" w:space="0" w:color="D9D9D9"/>
            </w:tcBorders>
            <w:vAlign w:val="center"/>
          </w:tcPr>
          <w:p w:rsidR="00C411DC" w:rsidRPr="006F433B" w:rsidRDefault="00C411DC" w:rsidP="007F40D7">
            <w:pPr>
              <w:jc w:val="center"/>
              <w:rPr>
                <w:rFonts w:ascii="宋体" w:eastAsia="宋体" w:hAnsi="宋体" w:cs="宋体"/>
                <w:color w:val="000000"/>
                <w:sz w:val="15"/>
                <w:szCs w:val="15"/>
              </w:rPr>
            </w:pPr>
            <w:r w:rsidRPr="006F433B">
              <w:rPr>
                <w:rFonts w:ascii="宋体" w:eastAsia="宋体" w:hAnsi="宋体" w:hint="eastAsia"/>
                <w:color w:val="000000"/>
                <w:sz w:val="15"/>
                <w:szCs w:val="15"/>
              </w:rPr>
              <w:t>嘉实优化</w:t>
            </w:r>
          </w:p>
        </w:tc>
        <w:tc>
          <w:tcPr>
            <w:tcW w:w="1275" w:type="dxa"/>
            <w:tcBorders>
              <w:top w:val="single" w:sz="4" w:space="0" w:color="D9D9D9"/>
              <w:left w:val="single" w:sz="4" w:space="0" w:color="D9D9D9"/>
              <w:bottom w:val="single" w:sz="4" w:space="0" w:color="D9D9D9"/>
              <w:right w:val="single" w:sz="4" w:space="0" w:color="D9D9D9"/>
            </w:tcBorders>
            <w:vAlign w:val="center"/>
          </w:tcPr>
          <w:p w:rsidR="00C411DC" w:rsidRPr="006F433B" w:rsidRDefault="00C411DC" w:rsidP="007F40D7">
            <w:pPr>
              <w:jc w:val="center"/>
              <w:rPr>
                <w:rFonts w:ascii="宋体" w:eastAsia="宋体" w:hAnsi="宋体" w:cs="宋体"/>
                <w:color w:val="000000"/>
                <w:sz w:val="15"/>
                <w:szCs w:val="15"/>
              </w:rPr>
            </w:pPr>
            <w:r w:rsidRPr="006F433B">
              <w:rPr>
                <w:rFonts w:ascii="宋体" w:eastAsia="宋体" w:hAnsi="宋体" w:hint="eastAsia"/>
                <w:color w:val="000000"/>
                <w:sz w:val="15"/>
                <w:szCs w:val="15"/>
              </w:rPr>
              <w:t xml:space="preserve">110.85 </w:t>
            </w:r>
          </w:p>
        </w:tc>
        <w:tc>
          <w:tcPr>
            <w:tcW w:w="993" w:type="dxa"/>
            <w:tcBorders>
              <w:top w:val="single" w:sz="4" w:space="0" w:color="D9D9D9"/>
              <w:left w:val="single" w:sz="4" w:space="0" w:color="D9D9D9"/>
              <w:bottom w:val="single" w:sz="4" w:space="0" w:color="D9D9D9"/>
              <w:right w:val="single" w:sz="4" w:space="0" w:color="D9D9D9"/>
            </w:tcBorders>
            <w:vAlign w:val="center"/>
          </w:tcPr>
          <w:p w:rsidR="00C411DC" w:rsidRPr="006F433B" w:rsidRDefault="00C411DC" w:rsidP="007F40D7">
            <w:pPr>
              <w:jc w:val="center"/>
              <w:rPr>
                <w:rFonts w:ascii="宋体" w:eastAsia="宋体" w:hAnsi="宋体" w:cs="宋体"/>
                <w:color w:val="000000"/>
                <w:sz w:val="15"/>
                <w:szCs w:val="15"/>
              </w:rPr>
            </w:pPr>
            <w:r w:rsidRPr="006F433B">
              <w:rPr>
                <w:rFonts w:ascii="宋体" w:eastAsia="宋体" w:hAnsi="宋体" w:hint="eastAsia"/>
                <w:color w:val="FF0000"/>
                <w:sz w:val="15"/>
                <w:szCs w:val="15"/>
              </w:rPr>
              <w:t xml:space="preserve">-21.11 </w:t>
            </w:r>
          </w:p>
        </w:tc>
        <w:tc>
          <w:tcPr>
            <w:tcW w:w="1273" w:type="dxa"/>
            <w:tcBorders>
              <w:top w:val="single" w:sz="4" w:space="0" w:color="D9D9D9"/>
              <w:left w:val="single" w:sz="4" w:space="0" w:color="D9D9D9"/>
              <w:bottom w:val="single" w:sz="4" w:space="0" w:color="D9D9D9"/>
            </w:tcBorders>
            <w:vAlign w:val="center"/>
          </w:tcPr>
          <w:p w:rsidR="00C411DC" w:rsidRPr="006F433B" w:rsidRDefault="00C411DC" w:rsidP="007F40D7">
            <w:pPr>
              <w:jc w:val="center"/>
              <w:rPr>
                <w:rFonts w:ascii="宋体" w:eastAsia="宋体" w:hAnsi="宋体" w:cs="宋体"/>
                <w:color w:val="000000"/>
                <w:sz w:val="15"/>
                <w:szCs w:val="15"/>
              </w:rPr>
            </w:pPr>
            <w:r w:rsidRPr="006F433B">
              <w:rPr>
                <w:rFonts w:ascii="宋体" w:eastAsia="宋体" w:hAnsi="宋体" w:hint="eastAsia"/>
                <w:color w:val="000000"/>
                <w:sz w:val="15"/>
                <w:szCs w:val="15"/>
              </w:rPr>
              <w:t>董理</w:t>
            </w:r>
          </w:p>
        </w:tc>
      </w:tr>
      <w:tr w:rsidR="00C411DC" w:rsidRPr="001C5C76" w:rsidTr="007F40D7">
        <w:trPr>
          <w:trHeight w:val="284"/>
        </w:trPr>
        <w:tc>
          <w:tcPr>
            <w:tcW w:w="5273" w:type="dxa"/>
            <w:vMerge/>
            <w:tcBorders>
              <w:bottom w:val="single" w:sz="4" w:space="0" w:color="00A0E9"/>
            </w:tcBorders>
            <w:tcMar>
              <w:left w:w="0" w:type="dxa"/>
              <w:right w:w="0" w:type="dxa"/>
            </w:tcMar>
          </w:tcPr>
          <w:p w:rsidR="00C411DC" w:rsidRPr="0023588A" w:rsidRDefault="00C411DC" w:rsidP="007F40D7">
            <w:pPr>
              <w:jc w:val="center"/>
            </w:pPr>
          </w:p>
        </w:tc>
        <w:tc>
          <w:tcPr>
            <w:tcW w:w="226" w:type="dxa"/>
            <w:vMerge/>
            <w:tcMar>
              <w:left w:w="0" w:type="dxa"/>
              <w:right w:w="0" w:type="dxa"/>
            </w:tcMar>
          </w:tcPr>
          <w:p w:rsidR="00C411DC" w:rsidRPr="001C5C76" w:rsidRDefault="00C411DC" w:rsidP="007F40D7">
            <w:pPr>
              <w:pStyle w:val="a0"/>
              <w:spacing w:line="240" w:lineRule="auto"/>
              <w:ind w:left="0"/>
              <w:rPr>
                <w:rFonts w:ascii="楷体_GB2312"/>
                <w:color w:val="auto"/>
              </w:rPr>
            </w:pPr>
          </w:p>
        </w:tc>
        <w:tc>
          <w:tcPr>
            <w:tcW w:w="597" w:type="dxa"/>
            <w:tcBorders>
              <w:top w:val="single" w:sz="4" w:space="0" w:color="D9D9D9"/>
              <w:bottom w:val="single" w:sz="4" w:space="0" w:color="00A0E9"/>
              <w:right w:val="single" w:sz="4" w:space="0" w:color="D9D9D9"/>
            </w:tcBorders>
            <w:tcMar>
              <w:left w:w="0" w:type="dxa"/>
              <w:right w:w="0" w:type="dxa"/>
            </w:tcMar>
            <w:vAlign w:val="center"/>
          </w:tcPr>
          <w:p w:rsidR="00C411DC" w:rsidRPr="006F433B" w:rsidRDefault="00C411DC" w:rsidP="007F40D7">
            <w:pPr>
              <w:jc w:val="center"/>
              <w:rPr>
                <w:rFonts w:ascii="宋体" w:eastAsia="宋体" w:hAnsi="宋体" w:cs="宋体"/>
                <w:color w:val="000000"/>
                <w:sz w:val="15"/>
                <w:szCs w:val="15"/>
              </w:rPr>
            </w:pPr>
            <w:r w:rsidRPr="006F433B">
              <w:rPr>
                <w:rFonts w:ascii="宋体" w:eastAsia="宋体" w:hAnsi="宋体" w:hint="eastAsia"/>
                <w:color w:val="000000"/>
                <w:sz w:val="15"/>
                <w:szCs w:val="15"/>
              </w:rPr>
              <w:t>000390</w:t>
            </w:r>
          </w:p>
        </w:tc>
        <w:tc>
          <w:tcPr>
            <w:tcW w:w="1134" w:type="dxa"/>
            <w:tcBorders>
              <w:top w:val="single" w:sz="4" w:space="0" w:color="D9D9D9"/>
              <w:left w:val="single" w:sz="4" w:space="0" w:color="D9D9D9"/>
              <w:bottom w:val="single" w:sz="4" w:space="0" w:color="00A0E9"/>
              <w:right w:val="single" w:sz="4" w:space="0" w:color="D9D9D9"/>
            </w:tcBorders>
            <w:vAlign w:val="center"/>
          </w:tcPr>
          <w:p w:rsidR="00C411DC" w:rsidRPr="006F433B" w:rsidRDefault="00C411DC" w:rsidP="007F40D7">
            <w:pPr>
              <w:jc w:val="center"/>
              <w:rPr>
                <w:rFonts w:ascii="宋体" w:eastAsia="宋体" w:hAnsi="宋体" w:cs="宋体"/>
                <w:color w:val="000000"/>
                <w:sz w:val="15"/>
                <w:szCs w:val="15"/>
              </w:rPr>
            </w:pPr>
            <w:r w:rsidRPr="006F433B">
              <w:rPr>
                <w:rFonts w:ascii="宋体" w:eastAsia="宋体" w:hAnsi="宋体" w:hint="eastAsia"/>
                <w:color w:val="000000"/>
                <w:sz w:val="15"/>
                <w:szCs w:val="15"/>
              </w:rPr>
              <w:t>华商优势</w:t>
            </w:r>
          </w:p>
        </w:tc>
        <w:tc>
          <w:tcPr>
            <w:tcW w:w="1275" w:type="dxa"/>
            <w:tcBorders>
              <w:top w:val="single" w:sz="4" w:space="0" w:color="D9D9D9"/>
              <w:left w:val="single" w:sz="4" w:space="0" w:color="D9D9D9"/>
              <w:bottom w:val="single" w:sz="4" w:space="0" w:color="00A0E9"/>
              <w:right w:val="single" w:sz="4" w:space="0" w:color="D9D9D9"/>
            </w:tcBorders>
            <w:vAlign w:val="center"/>
          </w:tcPr>
          <w:p w:rsidR="00C411DC" w:rsidRPr="006F433B" w:rsidRDefault="00C411DC" w:rsidP="007F40D7">
            <w:pPr>
              <w:jc w:val="center"/>
              <w:rPr>
                <w:rFonts w:ascii="宋体" w:eastAsia="宋体" w:hAnsi="宋体" w:cs="宋体"/>
                <w:color w:val="000000"/>
                <w:sz w:val="15"/>
                <w:szCs w:val="15"/>
              </w:rPr>
            </w:pPr>
            <w:r w:rsidRPr="006F433B">
              <w:rPr>
                <w:rFonts w:ascii="宋体" w:eastAsia="宋体" w:hAnsi="宋体" w:hint="eastAsia"/>
                <w:color w:val="000000"/>
                <w:sz w:val="15"/>
                <w:szCs w:val="15"/>
              </w:rPr>
              <w:t xml:space="preserve">82.31 </w:t>
            </w:r>
          </w:p>
        </w:tc>
        <w:tc>
          <w:tcPr>
            <w:tcW w:w="993" w:type="dxa"/>
            <w:tcBorders>
              <w:top w:val="single" w:sz="4" w:space="0" w:color="D9D9D9"/>
              <w:left w:val="single" w:sz="4" w:space="0" w:color="D9D9D9"/>
              <w:bottom w:val="single" w:sz="4" w:space="0" w:color="00A0E9"/>
              <w:right w:val="single" w:sz="4" w:space="0" w:color="D9D9D9"/>
            </w:tcBorders>
            <w:vAlign w:val="center"/>
          </w:tcPr>
          <w:p w:rsidR="00C411DC" w:rsidRPr="006F433B" w:rsidRDefault="00C411DC" w:rsidP="007F40D7">
            <w:pPr>
              <w:jc w:val="center"/>
              <w:rPr>
                <w:rFonts w:ascii="宋体" w:eastAsia="宋体" w:hAnsi="宋体" w:cs="宋体"/>
                <w:color w:val="000000"/>
                <w:sz w:val="15"/>
                <w:szCs w:val="15"/>
              </w:rPr>
            </w:pPr>
            <w:r w:rsidRPr="006F433B">
              <w:rPr>
                <w:rFonts w:ascii="宋体" w:eastAsia="宋体" w:hAnsi="宋体" w:hint="eastAsia"/>
                <w:color w:val="FF0000"/>
                <w:sz w:val="15"/>
                <w:szCs w:val="15"/>
              </w:rPr>
              <w:t xml:space="preserve">-9.73 </w:t>
            </w:r>
          </w:p>
        </w:tc>
        <w:tc>
          <w:tcPr>
            <w:tcW w:w="1273" w:type="dxa"/>
            <w:tcBorders>
              <w:top w:val="single" w:sz="4" w:space="0" w:color="D9D9D9"/>
              <w:left w:val="single" w:sz="4" w:space="0" w:color="D9D9D9"/>
              <w:bottom w:val="single" w:sz="4" w:space="0" w:color="00A0E9"/>
            </w:tcBorders>
            <w:vAlign w:val="center"/>
          </w:tcPr>
          <w:p w:rsidR="00C411DC" w:rsidRPr="006F433B" w:rsidRDefault="00C411DC" w:rsidP="007F40D7">
            <w:pPr>
              <w:jc w:val="center"/>
              <w:rPr>
                <w:rFonts w:ascii="宋体" w:eastAsia="宋体" w:hAnsi="宋体" w:cs="宋体"/>
                <w:color w:val="000000"/>
                <w:sz w:val="15"/>
                <w:szCs w:val="15"/>
              </w:rPr>
            </w:pPr>
            <w:r w:rsidRPr="006F433B">
              <w:rPr>
                <w:rFonts w:ascii="宋体" w:eastAsia="宋体" w:hAnsi="宋体" w:hint="eastAsia"/>
                <w:color w:val="000000"/>
                <w:sz w:val="15"/>
                <w:szCs w:val="15"/>
              </w:rPr>
              <w:t>田明圣,吴鹏飞</w:t>
            </w:r>
          </w:p>
        </w:tc>
      </w:tr>
      <w:tr w:rsidR="00C411DC" w:rsidTr="007F40D7">
        <w:tc>
          <w:tcPr>
            <w:tcW w:w="5273" w:type="dxa"/>
            <w:tcMar>
              <w:left w:w="0" w:type="dxa"/>
              <w:right w:w="0" w:type="dxa"/>
            </w:tcMar>
          </w:tcPr>
          <w:p w:rsidR="00C411DC" w:rsidRDefault="00C411DC" w:rsidP="007F40D7">
            <w:pPr>
              <w:pStyle w:val="GJStylesGraphSource"/>
            </w:pPr>
            <w:r>
              <w:rPr>
                <w:rFonts w:hint="eastAsia"/>
              </w:rPr>
              <w:t>来源：国金证券研究所</w:t>
            </w:r>
          </w:p>
        </w:tc>
        <w:tc>
          <w:tcPr>
            <w:tcW w:w="226" w:type="dxa"/>
            <w:tcMar>
              <w:left w:w="0" w:type="dxa"/>
              <w:right w:w="0" w:type="dxa"/>
            </w:tcMar>
          </w:tcPr>
          <w:p w:rsidR="00C411DC" w:rsidRDefault="00C411DC" w:rsidP="007F40D7">
            <w:pPr>
              <w:pStyle w:val="GJStylesGraphSource"/>
            </w:pPr>
          </w:p>
        </w:tc>
        <w:tc>
          <w:tcPr>
            <w:tcW w:w="5272" w:type="dxa"/>
            <w:gridSpan w:val="5"/>
            <w:tcMar>
              <w:left w:w="0" w:type="dxa"/>
              <w:right w:w="0" w:type="dxa"/>
            </w:tcMar>
          </w:tcPr>
          <w:p w:rsidR="00C411DC" w:rsidRDefault="00C411DC" w:rsidP="007F40D7">
            <w:pPr>
              <w:pStyle w:val="GJStylesGraphSource"/>
            </w:pPr>
            <w:r>
              <w:rPr>
                <w:rFonts w:hint="eastAsia"/>
              </w:rPr>
              <w:t>来源：国金证券研究所</w:t>
            </w:r>
          </w:p>
        </w:tc>
      </w:tr>
    </w:tbl>
    <w:p w:rsidR="00C411DC" w:rsidRDefault="00C411DC" w:rsidP="00C411DC">
      <w:pPr>
        <w:pStyle w:val="a0"/>
        <w:numPr>
          <w:ilvl w:val="4"/>
          <w:numId w:val="3"/>
        </w:numPr>
        <w:spacing w:line="240" w:lineRule="auto"/>
        <w:rPr>
          <w:rFonts w:ascii="楷体_GB2312"/>
          <w:color w:val="auto"/>
        </w:rPr>
      </w:pPr>
      <w:r>
        <w:rPr>
          <w:rFonts w:ascii="楷体_GB2312" w:hint="eastAsia"/>
          <w:color w:val="auto"/>
        </w:rPr>
        <w:t>最后，随着公</w:t>
      </w:r>
      <w:proofErr w:type="gramStart"/>
      <w:r>
        <w:rPr>
          <w:rFonts w:ascii="楷体_GB2312" w:hint="eastAsia"/>
          <w:color w:val="auto"/>
        </w:rPr>
        <w:t>募基金</w:t>
      </w:r>
      <w:proofErr w:type="gramEnd"/>
      <w:r>
        <w:rPr>
          <w:rFonts w:ascii="楷体_GB2312" w:hint="eastAsia"/>
          <w:color w:val="auto"/>
        </w:rPr>
        <w:t>产品种类、投资范围的不断丰富，也为投资者提供了多样化的投资工具，在预计下半年市场大幅波动、投资收益把握难度上升的背景下，对于风险偏好更低的稳健型投资者，下半年可关注以绝对收益为目标、重点参与打新的混合型基金以及运用股指期货对冲、构建市场中性组合的特定投资策略基金。</w:t>
      </w:r>
    </w:p>
    <w:p w:rsidR="00C411DC" w:rsidRPr="0097760F" w:rsidRDefault="00C411DC" w:rsidP="00C411DC">
      <w:pPr>
        <w:pStyle w:val="a0"/>
        <w:numPr>
          <w:ilvl w:val="5"/>
          <w:numId w:val="36"/>
        </w:numPr>
        <w:spacing w:line="240" w:lineRule="auto"/>
        <w:ind w:left="4140" w:hanging="369"/>
        <w:rPr>
          <w:rFonts w:ascii="楷体_GB2312"/>
          <w:color w:val="auto"/>
        </w:rPr>
      </w:pPr>
      <w:r w:rsidRPr="0097760F">
        <w:rPr>
          <w:rFonts w:ascii="楷体_GB2312" w:hint="eastAsia"/>
          <w:color w:val="auto"/>
        </w:rPr>
        <w:t>尽管新股发行改革后机构网下配售的优势明显减弱（回拨比例大幅上升，网下获配比例降低；机构网下申购的高</w:t>
      </w:r>
      <w:proofErr w:type="gramStart"/>
      <w:r w:rsidRPr="0097760F">
        <w:rPr>
          <w:rFonts w:ascii="楷体_GB2312" w:hint="eastAsia"/>
          <w:color w:val="auto"/>
        </w:rPr>
        <w:t>入围率摊薄</w:t>
      </w:r>
      <w:proofErr w:type="gramEnd"/>
      <w:r w:rsidRPr="0097760F">
        <w:rPr>
          <w:rFonts w:ascii="楷体_GB2312" w:hint="eastAsia"/>
          <w:color w:val="auto"/>
        </w:rPr>
        <w:t>收益），打新基金难以复制过去的高收益，但新股申购仍然是市场上可获得稳定绝对回报的较好的策略。尤其是在禁止</w:t>
      </w:r>
      <w:proofErr w:type="gramStart"/>
      <w:r w:rsidRPr="0097760F">
        <w:rPr>
          <w:rFonts w:ascii="楷体_GB2312" w:hint="eastAsia"/>
          <w:color w:val="auto"/>
        </w:rPr>
        <w:t>超募和估值</w:t>
      </w:r>
      <w:proofErr w:type="gramEnd"/>
      <w:r w:rsidRPr="0097760F">
        <w:rPr>
          <w:rFonts w:ascii="楷体_GB2312" w:hint="eastAsia"/>
          <w:color w:val="auto"/>
        </w:rPr>
        <w:t>受限下，新股上市</w:t>
      </w:r>
      <w:proofErr w:type="gramStart"/>
      <w:r w:rsidRPr="0097760F">
        <w:rPr>
          <w:rFonts w:ascii="楷体_GB2312" w:hint="eastAsia"/>
          <w:color w:val="auto"/>
        </w:rPr>
        <w:t>后较高</w:t>
      </w:r>
      <w:proofErr w:type="gramEnd"/>
      <w:r w:rsidRPr="0097760F">
        <w:rPr>
          <w:rFonts w:ascii="楷体_GB2312" w:hint="eastAsia"/>
          <w:color w:val="auto"/>
        </w:rPr>
        <w:t>的收益率仍然使得投资者关注度不减，据统计，今年以来新股上市后5日的价格平均涨幅可达到130%，10日的价格平均涨幅达到227%。</w:t>
      </w:r>
    </w:p>
    <w:p w:rsidR="00C411DC" w:rsidRPr="0097760F" w:rsidRDefault="00C411DC" w:rsidP="00C411DC">
      <w:pPr>
        <w:pStyle w:val="a0"/>
        <w:numPr>
          <w:ilvl w:val="5"/>
          <w:numId w:val="36"/>
        </w:numPr>
        <w:spacing w:line="240" w:lineRule="auto"/>
        <w:rPr>
          <w:rFonts w:ascii="楷体_GB2312"/>
          <w:color w:val="auto"/>
        </w:rPr>
      </w:pPr>
      <w:r w:rsidRPr="0097760F">
        <w:rPr>
          <w:rFonts w:ascii="楷体_GB2312" w:hint="eastAsia"/>
          <w:color w:val="auto"/>
        </w:rPr>
        <w:t>与此同时，由于证监会规范债券型基金不能参与新股网下申购，借道混合型基金参与打新受到市场关注，不少基金公司也快速成立此类以绝对</w:t>
      </w:r>
      <w:r w:rsidRPr="0097760F">
        <w:rPr>
          <w:rFonts w:ascii="楷体_GB2312" w:hint="eastAsia"/>
          <w:color w:val="auto"/>
        </w:rPr>
        <w:lastRenderedPageBreak/>
        <w:t>收益为目标、股票</w:t>
      </w:r>
      <w:proofErr w:type="gramStart"/>
      <w:r w:rsidRPr="0097760F">
        <w:rPr>
          <w:rFonts w:ascii="楷体_GB2312" w:hint="eastAsia"/>
          <w:color w:val="auto"/>
        </w:rPr>
        <w:t>仓位</w:t>
      </w:r>
      <w:proofErr w:type="gramEnd"/>
      <w:r w:rsidRPr="0097760F">
        <w:rPr>
          <w:rFonts w:ascii="楷体_GB2312" w:hint="eastAsia"/>
          <w:color w:val="auto"/>
        </w:rPr>
        <w:t>设置更加灵活的产品为投资者提供打新工具。我们结合今年二季度机构投资者参与网下申购的中签率以及新股</w:t>
      </w:r>
      <w:r>
        <w:rPr>
          <w:rFonts w:hint="eastAsia"/>
        </w:rPr>
        <w:t>上市后</w:t>
      </w:r>
      <w:r>
        <w:rPr>
          <w:rFonts w:hint="eastAsia"/>
        </w:rPr>
        <w:t>5</w:t>
      </w:r>
      <w:r>
        <w:rPr>
          <w:rFonts w:hint="eastAsia"/>
        </w:rPr>
        <w:t>日的</w:t>
      </w:r>
      <w:r w:rsidRPr="0097760F">
        <w:rPr>
          <w:rFonts w:ascii="楷体_GB2312" w:hint="eastAsia"/>
          <w:color w:val="auto"/>
        </w:rPr>
        <w:t>表现，测算基金单纯打新年化收益率约为</w:t>
      </w:r>
      <w:r>
        <w:rPr>
          <w:rFonts w:ascii="楷体_GB2312" w:hint="eastAsia"/>
          <w:color w:val="auto"/>
        </w:rPr>
        <w:t>8</w:t>
      </w:r>
      <w:r w:rsidRPr="0097760F">
        <w:rPr>
          <w:rFonts w:ascii="楷体_GB2312" w:hint="eastAsia"/>
          <w:color w:val="auto"/>
        </w:rPr>
        <w:t>%左右，对于风险偏好较低的稳健型投资者也是不错的选择。</w:t>
      </w:r>
    </w:p>
    <w:p w:rsidR="00C411DC" w:rsidRPr="002E0BDB" w:rsidRDefault="00C411DC" w:rsidP="00C411DC">
      <w:pPr>
        <w:pStyle w:val="a0"/>
        <w:numPr>
          <w:ilvl w:val="5"/>
          <w:numId w:val="36"/>
        </w:numPr>
        <w:spacing w:line="240" w:lineRule="auto"/>
        <w:rPr>
          <w:rFonts w:ascii="楷体_GB2312"/>
          <w:color w:val="auto"/>
        </w:rPr>
      </w:pPr>
      <w:r>
        <w:rPr>
          <w:rFonts w:ascii="楷体_GB2312" w:hint="eastAsia"/>
          <w:color w:val="auto"/>
        </w:rPr>
        <w:t>就打新基金的筛选上，由于基金招募说明书并不将打新策略做专门说明，我们主要从基金投资目标和投资范围以及运作以来的实际情况进行判断，重点关注以绝对收益为目标、股票投资范围灵活且下限为0、季度末股票</w:t>
      </w:r>
      <w:proofErr w:type="gramStart"/>
      <w:r>
        <w:rPr>
          <w:rFonts w:ascii="楷体_GB2312" w:hint="eastAsia"/>
          <w:color w:val="auto"/>
        </w:rPr>
        <w:t>仓位</w:t>
      </w:r>
      <w:proofErr w:type="gramEnd"/>
      <w:r>
        <w:rPr>
          <w:rFonts w:ascii="楷体_GB2312" w:hint="eastAsia"/>
          <w:color w:val="auto"/>
        </w:rPr>
        <w:t>以及业绩波动情况。下图表右筛选了打新参与度较高且以打新为主的基</w:t>
      </w:r>
      <w:r w:rsidRPr="002E0BDB">
        <w:rPr>
          <w:rFonts w:ascii="楷体_GB2312" w:hint="eastAsia"/>
          <w:color w:val="auto"/>
        </w:rPr>
        <w:t>金，投资者可适当关注。</w:t>
      </w:r>
    </w:p>
    <w:tbl>
      <w:tblPr>
        <w:tblW w:w="10771" w:type="dxa"/>
        <w:tblLayout w:type="fixed"/>
        <w:tblLook w:val="07E0" w:firstRow="1" w:lastRow="1" w:firstColumn="1" w:lastColumn="1" w:noHBand="1" w:noVBand="1"/>
      </w:tblPr>
      <w:tblGrid>
        <w:gridCol w:w="5273"/>
        <w:gridCol w:w="226"/>
        <w:gridCol w:w="1164"/>
        <w:gridCol w:w="1134"/>
        <w:gridCol w:w="708"/>
        <w:gridCol w:w="709"/>
        <w:gridCol w:w="851"/>
        <w:gridCol w:w="706"/>
      </w:tblGrid>
      <w:tr w:rsidR="00C411DC" w:rsidRPr="001C5C76" w:rsidTr="007F40D7">
        <w:tc>
          <w:tcPr>
            <w:tcW w:w="5273" w:type="dxa"/>
            <w:tcBorders>
              <w:top w:val="single" w:sz="4" w:space="0" w:color="00A0E9"/>
              <w:bottom w:val="single" w:sz="4" w:space="0" w:color="00A0E9"/>
            </w:tcBorders>
            <w:tcMar>
              <w:left w:w="0" w:type="dxa"/>
              <w:right w:w="0" w:type="dxa"/>
            </w:tcMar>
          </w:tcPr>
          <w:p w:rsidR="00C411DC" w:rsidRPr="00897048" w:rsidRDefault="00C411DC" w:rsidP="007F40D7">
            <w:pPr>
              <w:pStyle w:val="GJStylesGraphTitle"/>
            </w:pPr>
            <w:r>
              <w:rPr>
                <w:rFonts w:hint="eastAsia"/>
              </w:rPr>
              <w:t>图表</w:t>
            </w:r>
            <w:r w:rsidR="00552BF7">
              <w:fldChar w:fldCharType="begin"/>
            </w:r>
            <w:r w:rsidR="00552BF7">
              <w:instrText xml:space="preserve"> SEQ </w:instrText>
            </w:r>
            <w:r w:rsidR="00552BF7">
              <w:instrText>图表</w:instrText>
            </w:r>
            <w:r w:rsidR="00552BF7">
              <w:instrText xml:space="preserve"> \* ARABIC  \* MERGEFORMAT </w:instrText>
            </w:r>
            <w:r w:rsidR="00552BF7">
              <w:fldChar w:fldCharType="separate"/>
            </w:r>
            <w:r>
              <w:rPr>
                <w:noProof/>
              </w:rPr>
              <w:t>8</w:t>
            </w:r>
            <w:r w:rsidR="00552BF7">
              <w:rPr>
                <w:noProof/>
              </w:rPr>
              <w:fldChar w:fldCharType="end"/>
            </w:r>
            <w:r>
              <w:rPr>
                <w:rFonts w:hint="eastAsia"/>
              </w:rPr>
              <w:t>：</w:t>
            </w:r>
            <w:r>
              <w:rPr>
                <w:rFonts w:hint="eastAsia"/>
              </w:rPr>
              <w:t>2015</w:t>
            </w:r>
            <w:r>
              <w:rPr>
                <w:rFonts w:hint="eastAsia"/>
              </w:rPr>
              <w:t>年以来</w:t>
            </w:r>
            <w:r>
              <w:rPr>
                <w:rFonts w:hint="eastAsia"/>
              </w:rPr>
              <w:t>A</w:t>
            </w:r>
            <w:r>
              <w:rPr>
                <w:rFonts w:hint="eastAsia"/>
              </w:rPr>
              <w:t>类机构打新中签率</w:t>
            </w:r>
          </w:p>
        </w:tc>
        <w:tc>
          <w:tcPr>
            <w:tcW w:w="226" w:type="dxa"/>
            <w:tcMar>
              <w:left w:w="0" w:type="dxa"/>
              <w:right w:w="0" w:type="dxa"/>
            </w:tcMar>
          </w:tcPr>
          <w:p w:rsidR="00C411DC" w:rsidRPr="001C5C76" w:rsidRDefault="00C411DC" w:rsidP="007F40D7">
            <w:pPr>
              <w:pStyle w:val="GJStylesGraphTitle"/>
              <w:rPr>
                <w:color w:val="auto"/>
              </w:rPr>
            </w:pPr>
          </w:p>
        </w:tc>
        <w:tc>
          <w:tcPr>
            <w:tcW w:w="5272" w:type="dxa"/>
            <w:gridSpan w:val="6"/>
            <w:tcBorders>
              <w:top w:val="single" w:sz="4" w:space="0" w:color="00A0E9"/>
              <w:bottom w:val="single" w:sz="4" w:space="0" w:color="00A0E9"/>
            </w:tcBorders>
            <w:tcMar>
              <w:left w:w="0" w:type="dxa"/>
              <w:right w:w="0" w:type="dxa"/>
            </w:tcMar>
          </w:tcPr>
          <w:p w:rsidR="00C411DC" w:rsidRPr="001C5C76" w:rsidRDefault="00C411DC" w:rsidP="007F40D7">
            <w:pPr>
              <w:pStyle w:val="GJStylesGraphTitle"/>
              <w:rPr>
                <w:color w:val="auto"/>
              </w:rPr>
            </w:pPr>
            <w:r w:rsidRPr="001C5C76">
              <w:rPr>
                <w:rFonts w:hint="eastAsia"/>
                <w:color w:val="auto"/>
              </w:rPr>
              <w:t>图表</w:t>
            </w:r>
            <w:r w:rsidR="00552BF7">
              <w:fldChar w:fldCharType="begin"/>
            </w:r>
            <w:r w:rsidR="00552BF7">
              <w:instrText xml:space="preserve"> SEQ </w:instrText>
            </w:r>
            <w:r w:rsidR="00552BF7">
              <w:instrText>图表</w:instrText>
            </w:r>
            <w:r w:rsidR="00552BF7">
              <w:instrText xml:space="preserve"> \* ARABIC  \* MERGEFORMAT </w:instrText>
            </w:r>
            <w:r w:rsidR="00552BF7">
              <w:fldChar w:fldCharType="separate"/>
            </w:r>
            <w:r>
              <w:rPr>
                <w:noProof/>
                <w:color w:val="auto"/>
              </w:rPr>
              <w:t>9</w:t>
            </w:r>
            <w:r w:rsidR="00552BF7">
              <w:rPr>
                <w:noProof/>
                <w:color w:val="auto"/>
              </w:rPr>
              <w:fldChar w:fldCharType="end"/>
            </w:r>
            <w:r w:rsidRPr="001C5C76">
              <w:rPr>
                <w:rFonts w:hint="eastAsia"/>
                <w:color w:val="auto"/>
              </w:rPr>
              <w:t>：</w:t>
            </w:r>
            <w:r>
              <w:rPr>
                <w:rFonts w:hint="eastAsia"/>
                <w:color w:val="auto"/>
              </w:rPr>
              <w:t>部分打新基金</w:t>
            </w:r>
          </w:p>
        </w:tc>
      </w:tr>
      <w:tr w:rsidR="00C411DC" w:rsidTr="007F40D7">
        <w:trPr>
          <w:trHeight w:val="135"/>
        </w:trPr>
        <w:tc>
          <w:tcPr>
            <w:tcW w:w="5273" w:type="dxa"/>
            <w:vMerge w:val="restart"/>
            <w:tcMar>
              <w:left w:w="0" w:type="dxa"/>
              <w:right w:w="0" w:type="dxa"/>
            </w:tcMar>
            <w:vAlign w:val="center"/>
          </w:tcPr>
          <w:p w:rsidR="00C411DC" w:rsidRPr="00897048" w:rsidRDefault="00C411DC" w:rsidP="007F40D7">
            <w:pPr>
              <w:jc w:val="center"/>
            </w:pPr>
            <w:r>
              <w:rPr>
                <w:rFonts w:hint="eastAsia"/>
                <w:noProof/>
              </w:rPr>
              <w:drawing>
                <wp:inline distT="0" distB="0" distL="0" distR="0">
                  <wp:extent cx="3241675" cy="1941830"/>
                  <wp:effectExtent l="19050" t="0" r="0" b="0"/>
                  <wp:docPr id="1"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srcRect/>
                          <a:stretch>
                            <a:fillRect/>
                          </a:stretch>
                        </pic:blipFill>
                        <pic:spPr bwMode="auto">
                          <a:xfrm>
                            <a:off x="0" y="0"/>
                            <a:ext cx="3241675" cy="1941830"/>
                          </a:xfrm>
                          <a:prstGeom prst="rect">
                            <a:avLst/>
                          </a:prstGeom>
                          <a:noFill/>
                          <a:ln w="9525">
                            <a:noFill/>
                            <a:miter lim="800000"/>
                            <a:headEnd/>
                            <a:tailEnd/>
                          </a:ln>
                        </pic:spPr>
                      </pic:pic>
                    </a:graphicData>
                  </a:graphic>
                </wp:inline>
              </w:drawing>
            </w:r>
          </w:p>
        </w:tc>
        <w:tc>
          <w:tcPr>
            <w:tcW w:w="226" w:type="dxa"/>
            <w:vMerge w:val="restart"/>
            <w:tcMar>
              <w:left w:w="0" w:type="dxa"/>
              <w:right w:w="0" w:type="dxa"/>
            </w:tcMar>
          </w:tcPr>
          <w:p w:rsidR="00C411DC" w:rsidRPr="001C5C76" w:rsidRDefault="00C411DC" w:rsidP="007F40D7">
            <w:pPr>
              <w:pStyle w:val="a0"/>
              <w:spacing w:line="240" w:lineRule="auto"/>
              <w:ind w:left="0"/>
              <w:rPr>
                <w:color w:val="auto"/>
              </w:rPr>
            </w:pPr>
          </w:p>
        </w:tc>
        <w:tc>
          <w:tcPr>
            <w:tcW w:w="1164" w:type="dxa"/>
            <w:tcBorders>
              <w:bottom w:val="single" w:sz="4" w:space="0" w:color="00A0E9"/>
            </w:tcBorders>
            <w:tcMar>
              <w:left w:w="0" w:type="dxa"/>
              <w:right w:w="0" w:type="dxa"/>
            </w:tcMar>
            <w:vAlign w:val="center"/>
          </w:tcPr>
          <w:p w:rsidR="00C411DC" w:rsidRPr="002E0BDB" w:rsidRDefault="00C411DC" w:rsidP="007F40D7">
            <w:pPr>
              <w:jc w:val="center"/>
              <w:rPr>
                <w:rFonts w:ascii="宋体" w:eastAsia="宋体" w:hAnsi="宋体" w:cs="宋体"/>
                <w:b/>
                <w:sz w:val="15"/>
                <w:szCs w:val="15"/>
              </w:rPr>
            </w:pPr>
            <w:r w:rsidRPr="002E0BDB">
              <w:rPr>
                <w:rFonts w:ascii="宋体" w:eastAsia="宋体" w:hAnsi="宋体" w:hint="eastAsia"/>
                <w:b/>
                <w:sz w:val="15"/>
                <w:szCs w:val="15"/>
              </w:rPr>
              <w:t>证券简称</w:t>
            </w:r>
          </w:p>
        </w:tc>
        <w:tc>
          <w:tcPr>
            <w:tcW w:w="1134" w:type="dxa"/>
            <w:tcBorders>
              <w:bottom w:val="single" w:sz="4" w:space="0" w:color="00A0E9"/>
            </w:tcBorders>
            <w:vAlign w:val="center"/>
          </w:tcPr>
          <w:p w:rsidR="00C411DC" w:rsidRPr="002E0BDB" w:rsidRDefault="00C411DC" w:rsidP="007F40D7">
            <w:pPr>
              <w:jc w:val="center"/>
              <w:rPr>
                <w:rFonts w:ascii="宋体" w:eastAsia="宋体" w:hAnsi="宋体" w:cs="宋体"/>
                <w:b/>
                <w:sz w:val="15"/>
                <w:szCs w:val="15"/>
              </w:rPr>
            </w:pPr>
            <w:r w:rsidRPr="002E0BDB">
              <w:rPr>
                <w:rFonts w:ascii="宋体" w:eastAsia="宋体" w:hAnsi="宋体" w:hint="eastAsia"/>
                <w:b/>
                <w:sz w:val="15"/>
                <w:szCs w:val="15"/>
              </w:rPr>
              <w:t>成立日</w:t>
            </w:r>
          </w:p>
        </w:tc>
        <w:tc>
          <w:tcPr>
            <w:tcW w:w="708" w:type="dxa"/>
            <w:tcBorders>
              <w:bottom w:val="single" w:sz="4" w:space="0" w:color="00A0E9"/>
            </w:tcBorders>
            <w:vAlign w:val="center"/>
          </w:tcPr>
          <w:p w:rsidR="00C411DC" w:rsidRPr="002E0BDB" w:rsidRDefault="00C411DC" w:rsidP="007F40D7">
            <w:pPr>
              <w:jc w:val="center"/>
              <w:rPr>
                <w:rFonts w:ascii="宋体" w:eastAsia="宋体" w:hAnsi="宋体" w:cs="宋体"/>
                <w:b/>
                <w:sz w:val="15"/>
                <w:szCs w:val="15"/>
              </w:rPr>
            </w:pPr>
            <w:r w:rsidRPr="002E0BDB">
              <w:rPr>
                <w:rFonts w:ascii="宋体" w:eastAsia="宋体" w:hAnsi="宋体" w:hint="eastAsia"/>
                <w:b/>
                <w:sz w:val="15"/>
                <w:szCs w:val="15"/>
              </w:rPr>
              <w:t>今年以来收益</w:t>
            </w:r>
          </w:p>
        </w:tc>
        <w:tc>
          <w:tcPr>
            <w:tcW w:w="709" w:type="dxa"/>
            <w:tcBorders>
              <w:bottom w:val="single" w:sz="4" w:space="0" w:color="00A0E9"/>
            </w:tcBorders>
            <w:vAlign w:val="center"/>
          </w:tcPr>
          <w:p w:rsidR="00C411DC" w:rsidRPr="002E0BDB" w:rsidRDefault="00C411DC" w:rsidP="007F40D7">
            <w:pPr>
              <w:jc w:val="center"/>
              <w:rPr>
                <w:rFonts w:ascii="宋体" w:eastAsia="宋体" w:hAnsi="宋体" w:cs="宋体"/>
                <w:b/>
                <w:sz w:val="15"/>
                <w:szCs w:val="15"/>
              </w:rPr>
            </w:pPr>
            <w:r w:rsidRPr="002E0BDB">
              <w:rPr>
                <w:rFonts w:ascii="宋体" w:eastAsia="宋体" w:hAnsi="宋体" w:hint="eastAsia"/>
                <w:b/>
                <w:sz w:val="15"/>
                <w:szCs w:val="15"/>
              </w:rPr>
              <w:t>成立以来最大回撤</w:t>
            </w:r>
          </w:p>
        </w:tc>
        <w:tc>
          <w:tcPr>
            <w:tcW w:w="851" w:type="dxa"/>
            <w:tcBorders>
              <w:bottom w:val="single" w:sz="4" w:space="0" w:color="00A0E9"/>
            </w:tcBorders>
            <w:vAlign w:val="center"/>
          </w:tcPr>
          <w:p w:rsidR="00C411DC" w:rsidRPr="002E0BDB" w:rsidRDefault="00C411DC" w:rsidP="007F40D7">
            <w:pPr>
              <w:jc w:val="center"/>
              <w:rPr>
                <w:rFonts w:ascii="宋体" w:eastAsia="宋体" w:hAnsi="宋体" w:cs="宋体"/>
                <w:b/>
                <w:sz w:val="15"/>
                <w:szCs w:val="15"/>
              </w:rPr>
            </w:pPr>
            <w:r w:rsidRPr="002E0BDB">
              <w:rPr>
                <w:rFonts w:ascii="宋体" w:eastAsia="宋体" w:hAnsi="宋体" w:hint="eastAsia"/>
                <w:b/>
                <w:sz w:val="15"/>
                <w:szCs w:val="15"/>
              </w:rPr>
              <w:t>二季度以来新股获配个数</w:t>
            </w:r>
          </w:p>
        </w:tc>
        <w:tc>
          <w:tcPr>
            <w:tcW w:w="706" w:type="dxa"/>
            <w:tcBorders>
              <w:bottom w:val="single" w:sz="4" w:space="0" w:color="00A0E9"/>
            </w:tcBorders>
            <w:vAlign w:val="center"/>
          </w:tcPr>
          <w:p w:rsidR="00C411DC" w:rsidRPr="002E0BDB" w:rsidRDefault="00C411DC" w:rsidP="007F40D7">
            <w:pPr>
              <w:jc w:val="center"/>
              <w:rPr>
                <w:rFonts w:ascii="宋体" w:eastAsia="宋体" w:hAnsi="宋体" w:cs="宋体"/>
                <w:b/>
                <w:sz w:val="15"/>
                <w:szCs w:val="15"/>
              </w:rPr>
            </w:pPr>
            <w:r w:rsidRPr="002E0BDB">
              <w:rPr>
                <w:rFonts w:ascii="宋体" w:eastAsia="宋体" w:hAnsi="宋体" w:hint="eastAsia"/>
                <w:b/>
                <w:sz w:val="15"/>
                <w:szCs w:val="15"/>
              </w:rPr>
              <w:t>今年以来</w:t>
            </w:r>
            <w:proofErr w:type="gramStart"/>
            <w:r w:rsidRPr="002E0BDB">
              <w:rPr>
                <w:rFonts w:ascii="宋体" w:eastAsia="宋体" w:hAnsi="宋体" w:hint="eastAsia"/>
                <w:b/>
                <w:sz w:val="15"/>
                <w:szCs w:val="15"/>
              </w:rPr>
              <w:t>年化波动</w:t>
            </w:r>
            <w:proofErr w:type="gramEnd"/>
            <w:r w:rsidRPr="002E0BDB">
              <w:rPr>
                <w:rFonts w:ascii="宋体" w:eastAsia="宋体" w:hAnsi="宋体" w:hint="eastAsia"/>
                <w:b/>
                <w:sz w:val="15"/>
                <w:szCs w:val="15"/>
              </w:rPr>
              <w:t>率</w:t>
            </w:r>
          </w:p>
        </w:tc>
      </w:tr>
      <w:tr w:rsidR="00C411DC" w:rsidTr="007F40D7">
        <w:trPr>
          <w:trHeight w:val="127"/>
        </w:trPr>
        <w:tc>
          <w:tcPr>
            <w:tcW w:w="5273" w:type="dxa"/>
            <w:vMerge/>
            <w:tcMar>
              <w:left w:w="0" w:type="dxa"/>
              <w:right w:w="0" w:type="dxa"/>
            </w:tcMar>
            <w:vAlign w:val="center"/>
          </w:tcPr>
          <w:p w:rsidR="00C411DC" w:rsidRPr="002E0BDB" w:rsidRDefault="00C411DC" w:rsidP="007F40D7">
            <w:pPr>
              <w:jc w:val="center"/>
            </w:pPr>
          </w:p>
        </w:tc>
        <w:tc>
          <w:tcPr>
            <w:tcW w:w="226" w:type="dxa"/>
            <w:vMerge/>
            <w:tcMar>
              <w:left w:w="0" w:type="dxa"/>
              <w:right w:w="0" w:type="dxa"/>
            </w:tcMar>
          </w:tcPr>
          <w:p w:rsidR="00C411DC" w:rsidRPr="001C5C76" w:rsidRDefault="00C411DC" w:rsidP="007F40D7">
            <w:pPr>
              <w:pStyle w:val="a0"/>
              <w:spacing w:line="240" w:lineRule="auto"/>
              <w:ind w:left="0"/>
              <w:rPr>
                <w:color w:val="auto"/>
              </w:rPr>
            </w:pPr>
          </w:p>
        </w:tc>
        <w:tc>
          <w:tcPr>
            <w:tcW w:w="1164" w:type="dxa"/>
            <w:tcBorders>
              <w:bottom w:val="single" w:sz="4" w:space="0" w:color="00A0E9"/>
            </w:tcBorders>
            <w:tcMar>
              <w:left w:w="0" w:type="dxa"/>
              <w:right w:w="0" w:type="dxa"/>
            </w:tcMar>
            <w:vAlign w:val="center"/>
          </w:tcPr>
          <w:p w:rsidR="00C411DC" w:rsidRPr="002E0BDB" w:rsidRDefault="00C411DC" w:rsidP="007F40D7">
            <w:pPr>
              <w:jc w:val="center"/>
              <w:rPr>
                <w:rFonts w:ascii="宋体" w:eastAsia="宋体" w:hAnsi="宋体" w:cs="宋体"/>
                <w:bCs/>
                <w:sz w:val="15"/>
                <w:szCs w:val="15"/>
              </w:rPr>
            </w:pPr>
            <w:proofErr w:type="gramStart"/>
            <w:r w:rsidRPr="002E0BDB">
              <w:rPr>
                <w:rFonts w:ascii="宋体" w:eastAsia="宋体" w:hAnsi="宋体" w:hint="eastAsia"/>
                <w:bCs/>
                <w:sz w:val="15"/>
                <w:szCs w:val="15"/>
              </w:rPr>
              <w:t>泰达宏利创盈</w:t>
            </w:r>
            <w:proofErr w:type="gramEnd"/>
            <w:r w:rsidRPr="002E0BDB">
              <w:rPr>
                <w:rFonts w:ascii="宋体" w:eastAsia="宋体" w:hAnsi="宋体" w:hint="eastAsia"/>
                <w:bCs/>
                <w:sz w:val="15"/>
                <w:szCs w:val="15"/>
              </w:rPr>
              <w:t>A</w:t>
            </w:r>
          </w:p>
        </w:tc>
        <w:tc>
          <w:tcPr>
            <w:tcW w:w="1134" w:type="dxa"/>
            <w:tcBorders>
              <w:bottom w:val="single" w:sz="4" w:space="0" w:color="00A0E9"/>
            </w:tcBorders>
            <w:vAlign w:val="center"/>
          </w:tcPr>
          <w:p w:rsidR="00C411DC" w:rsidRPr="002E0BDB" w:rsidRDefault="00C411DC" w:rsidP="007F40D7">
            <w:pPr>
              <w:jc w:val="center"/>
              <w:rPr>
                <w:rFonts w:ascii="宋体" w:eastAsia="宋体" w:hAnsi="宋体" w:cs="宋体"/>
                <w:sz w:val="15"/>
                <w:szCs w:val="15"/>
              </w:rPr>
            </w:pPr>
            <w:r w:rsidRPr="002E0BDB">
              <w:rPr>
                <w:rFonts w:ascii="宋体" w:eastAsia="宋体" w:hAnsi="宋体" w:hint="eastAsia"/>
                <w:sz w:val="15"/>
                <w:szCs w:val="15"/>
              </w:rPr>
              <w:t>2015-3-30</w:t>
            </w:r>
          </w:p>
        </w:tc>
        <w:tc>
          <w:tcPr>
            <w:tcW w:w="708" w:type="dxa"/>
            <w:tcBorders>
              <w:bottom w:val="single" w:sz="4" w:space="0" w:color="00A0E9"/>
            </w:tcBorders>
            <w:vAlign w:val="center"/>
          </w:tcPr>
          <w:p w:rsidR="00C411DC" w:rsidRPr="002E0BDB" w:rsidRDefault="00C411DC" w:rsidP="007F40D7">
            <w:pPr>
              <w:jc w:val="center"/>
              <w:rPr>
                <w:rFonts w:ascii="宋体" w:eastAsia="宋体" w:hAnsi="宋体" w:cs="宋体"/>
                <w:sz w:val="15"/>
                <w:szCs w:val="15"/>
              </w:rPr>
            </w:pPr>
            <w:r w:rsidRPr="002E0BDB">
              <w:rPr>
                <w:rFonts w:ascii="宋体" w:eastAsia="宋体" w:hAnsi="宋体" w:hint="eastAsia"/>
                <w:sz w:val="15"/>
                <w:szCs w:val="15"/>
              </w:rPr>
              <w:t>2.60</w:t>
            </w:r>
          </w:p>
        </w:tc>
        <w:tc>
          <w:tcPr>
            <w:tcW w:w="709" w:type="dxa"/>
            <w:tcBorders>
              <w:bottom w:val="single" w:sz="4" w:space="0" w:color="00A0E9"/>
            </w:tcBorders>
            <w:vAlign w:val="center"/>
          </w:tcPr>
          <w:p w:rsidR="00C411DC" w:rsidRPr="002E0BDB" w:rsidRDefault="00C411DC" w:rsidP="007F40D7">
            <w:pPr>
              <w:jc w:val="center"/>
              <w:rPr>
                <w:rFonts w:ascii="宋体" w:eastAsia="宋体" w:hAnsi="宋体" w:cs="宋体"/>
                <w:sz w:val="15"/>
                <w:szCs w:val="15"/>
              </w:rPr>
            </w:pPr>
            <w:r w:rsidRPr="002E0BDB">
              <w:rPr>
                <w:rFonts w:ascii="宋体" w:eastAsia="宋体" w:hAnsi="宋体" w:hint="eastAsia"/>
                <w:sz w:val="15"/>
                <w:szCs w:val="15"/>
              </w:rPr>
              <w:t>-0.10</w:t>
            </w:r>
          </w:p>
        </w:tc>
        <w:tc>
          <w:tcPr>
            <w:tcW w:w="851" w:type="dxa"/>
            <w:tcBorders>
              <w:bottom w:val="single" w:sz="4" w:space="0" w:color="00A0E9"/>
            </w:tcBorders>
            <w:vAlign w:val="center"/>
          </w:tcPr>
          <w:p w:rsidR="00C411DC" w:rsidRPr="002E0BDB" w:rsidRDefault="00C411DC" w:rsidP="007F40D7">
            <w:pPr>
              <w:jc w:val="center"/>
              <w:rPr>
                <w:rFonts w:ascii="宋体" w:eastAsia="宋体" w:hAnsi="宋体" w:cs="宋体"/>
                <w:sz w:val="15"/>
                <w:szCs w:val="15"/>
              </w:rPr>
            </w:pPr>
            <w:r w:rsidRPr="002E0BDB">
              <w:rPr>
                <w:rFonts w:ascii="宋体" w:eastAsia="宋体" w:hAnsi="宋体" w:hint="eastAsia"/>
                <w:sz w:val="15"/>
                <w:szCs w:val="15"/>
              </w:rPr>
              <w:t>87</w:t>
            </w:r>
          </w:p>
        </w:tc>
        <w:tc>
          <w:tcPr>
            <w:tcW w:w="706" w:type="dxa"/>
            <w:tcBorders>
              <w:bottom w:val="single" w:sz="4" w:space="0" w:color="00A0E9"/>
            </w:tcBorders>
            <w:vAlign w:val="center"/>
          </w:tcPr>
          <w:p w:rsidR="00C411DC" w:rsidRPr="002E0BDB" w:rsidRDefault="00C411DC" w:rsidP="007F40D7">
            <w:pPr>
              <w:jc w:val="center"/>
              <w:rPr>
                <w:rFonts w:ascii="宋体" w:eastAsia="宋体" w:hAnsi="宋体" w:cs="宋体"/>
                <w:sz w:val="15"/>
                <w:szCs w:val="15"/>
              </w:rPr>
            </w:pPr>
            <w:r w:rsidRPr="002E0BDB">
              <w:rPr>
                <w:rFonts w:ascii="宋体" w:eastAsia="宋体" w:hAnsi="宋体" w:hint="eastAsia"/>
                <w:sz w:val="15"/>
                <w:szCs w:val="15"/>
              </w:rPr>
              <w:t>1.0</w:t>
            </w:r>
          </w:p>
        </w:tc>
      </w:tr>
      <w:tr w:rsidR="00C411DC" w:rsidTr="007F40D7">
        <w:trPr>
          <w:trHeight w:val="127"/>
        </w:trPr>
        <w:tc>
          <w:tcPr>
            <w:tcW w:w="5273" w:type="dxa"/>
            <w:vMerge/>
            <w:tcMar>
              <w:left w:w="0" w:type="dxa"/>
              <w:right w:w="0" w:type="dxa"/>
            </w:tcMar>
            <w:vAlign w:val="center"/>
          </w:tcPr>
          <w:p w:rsidR="00C411DC" w:rsidRPr="002E0BDB" w:rsidRDefault="00C411DC" w:rsidP="007F40D7">
            <w:pPr>
              <w:jc w:val="center"/>
            </w:pPr>
          </w:p>
        </w:tc>
        <w:tc>
          <w:tcPr>
            <w:tcW w:w="226" w:type="dxa"/>
            <w:vMerge/>
            <w:tcMar>
              <w:left w:w="0" w:type="dxa"/>
              <w:right w:w="0" w:type="dxa"/>
            </w:tcMar>
          </w:tcPr>
          <w:p w:rsidR="00C411DC" w:rsidRPr="001C5C76" w:rsidRDefault="00C411DC" w:rsidP="007F40D7">
            <w:pPr>
              <w:pStyle w:val="a0"/>
              <w:spacing w:line="240" w:lineRule="auto"/>
              <w:ind w:left="0"/>
              <w:rPr>
                <w:color w:val="auto"/>
              </w:rPr>
            </w:pPr>
          </w:p>
        </w:tc>
        <w:tc>
          <w:tcPr>
            <w:tcW w:w="1164" w:type="dxa"/>
            <w:tcBorders>
              <w:bottom w:val="single" w:sz="4" w:space="0" w:color="00A0E9"/>
            </w:tcBorders>
            <w:tcMar>
              <w:left w:w="0" w:type="dxa"/>
              <w:right w:w="0" w:type="dxa"/>
            </w:tcMar>
            <w:vAlign w:val="center"/>
          </w:tcPr>
          <w:p w:rsidR="00C411DC" w:rsidRPr="002E0BDB" w:rsidRDefault="00C411DC" w:rsidP="007F40D7">
            <w:pPr>
              <w:jc w:val="center"/>
              <w:rPr>
                <w:rFonts w:ascii="宋体" w:eastAsia="宋体" w:hAnsi="宋体" w:cs="宋体"/>
                <w:bCs/>
                <w:sz w:val="15"/>
                <w:szCs w:val="15"/>
              </w:rPr>
            </w:pPr>
            <w:proofErr w:type="gramStart"/>
            <w:r w:rsidRPr="002E0BDB">
              <w:rPr>
                <w:rFonts w:ascii="宋体" w:eastAsia="宋体" w:hAnsi="宋体" w:hint="eastAsia"/>
                <w:bCs/>
                <w:sz w:val="15"/>
                <w:szCs w:val="15"/>
              </w:rPr>
              <w:t>申万菱</w:t>
            </w:r>
            <w:proofErr w:type="gramEnd"/>
            <w:r w:rsidRPr="002E0BDB">
              <w:rPr>
                <w:rFonts w:ascii="宋体" w:eastAsia="宋体" w:hAnsi="宋体" w:hint="eastAsia"/>
                <w:bCs/>
                <w:sz w:val="15"/>
                <w:szCs w:val="15"/>
              </w:rPr>
              <w:t>信多策略</w:t>
            </w:r>
          </w:p>
        </w:tc>
        <w:tc>
          <w:tcPr>
            <w:tcW w:w="1134" w:type="dxa"/>
            <w:tcBorders>
              <w:bottom w:val="single" w:sz="4" w:space="0" w:color="00A0E9"/>
            </w:tcBorders>
            <w:vAlign w:val="center"/>
          </w:tcPr>
          <w:p w:rsidR="00C411DC" w:rsidRPr="002E0BDB" w:rsidRDefault="00C411DC" w:rsidP="007F40D7">
            <w:pPr>
              <w:jc w:val="center"/>
              <w:rPr>
                <w:rFonts w:ascii="宋体" w:eastAsia="宋体" w:hAnsi="宋体" w:cs="宋体"/>
                <w:sz w:val="15"/>
                <w:szCs w:val="15"/>
              </w:rPr>
            </w:pPr>
            <w:r w:rsidRPr="002E0BDB">
              <w:rPr>
                <w:rFonts w:ascii="宋体" w:eastAsia="宋体" w:hAnsi="宋体" w:hint="eastAsia"/>
                <w:sz w:val="15"/>
                <w:szCs w:val="15"/>
              </w:rPr>
              <w:t>2015-3-31</w:t>
            </w:r>
          </w:p>
        </w:tc>
        <w:tc>
          <w:tcPr>
            <w:tcW w:w="708" w:type="dxa"/>
            <w:tcBorders>
              <w:bottom w:val="single" w:sz="4" w:space="0" w:color="00A0E9"/>
            </w:tcBorders>
            <w:vAlign w:val="center"/>
          </w:tcPr>
          <w:p w:rsidR="00C411DC" w:rsidRPr="002E0BDB" w:rsidRDefault="00C411DC" w:rsidP="007F40D7">
            <w:pPr>
              <w:jc w:val="center"/>
              <w:rPr>
                <w:rFonts w:ascii="宋体" w:eastAsia="宋体" w:hAnsi="宋体" w:cs="宋体"/>
                <w:sz w:val="15"/>
                <w:szCs w:val="15"/>
              </w:rPr>
            </w:pPr>
            <w:r w:rsidRPr="002E0BDB">
              <w:rPr>
                <w:rFonts w:ascii="宋体" w:eastAsia="宋体" w:hAnsi="宋体" w:hint="eastAsia"/>
                <w:sz w:val="15"/>
                <w:szCs w:val="15"/>
              </w:rPr>
              <w:t>2.70</w:t>
            </w:r>
          </w:p>
        </w:tc>
        <w:tc>
          <w:tcPr>
            <w:tcW w:w="709" w:type="dxa"/>
            <w:tcBorders>
              <w:bottom w:val="single" w:sz="4" w:space="0" w:color="00A0E9"/>
            </w:tcBorders>
            <w:vAlign w:val="center"/>
          </w:tcPr>
          <w:p w:rsidR="00C411DC" w:rsidRPr="002E0BDB" w:rsidRDefault="00C411DC" w:rsidP="007F40D7">
            <w:pPr>
              <w:jc w:val="center"/>
              <w:rPr>
                <w:rFonts w:ascii="宋体" w:eastAsia="宋体" w:hAnsi="宋体" w:cs="宋体"/>
                <w:sz w:val="15"/>
                <w:szCs w:val="15"/>
              </w:rPr>
            </w:pPr>
            <w:r w:rsidRPr="002E0BDB">
              <w:rPr>
                <w:rFonts w:ascii="宋体" w:eastAsia="宋体" w:hAnsi="宋体" w:hint="eastAsia"/>
                <w:sz w:val="15"/>
                <w:szCs w:val="15"/>
              </w:rPr>
              <w:t>-0.10</w:t>
            </w:r>
          </w:p>
        </w:tc>
        <w:tc>
          <w:tcPr>
            <w:tcW w:w="851" w:type="dxa"/>
            <w:tcBorders>
              <w:bottom w:val="single" w:sz="4" w:space="0" w:color="00A0E9"/>
            </w:tcBorders>
            <w:vAlign w:val="center"/>
          </w:tcPr>
          <w:p w:rsidR="00C411DC" w:rsidRPr="002E0BDB" w:rsidRDefault="00C411DC" w:rsidP="007F40D7">
            <w:pPr>
              <w:jc w:val="center"/>
              <w:rPr>
                <w:rFonts w:ascii="宋体" w:eastAsia="宋体" w:hAnsi="宋体" w:cs="宋体"/>
                <w:sz w:val="15"/>
                <w:szCs w:val="15"/>
              </w:rPr>
            </w:pPr>
            <w:r w:rsidRPr="002E0BDB">
              <w:rPr>
                <w:rFonts w:ascii="宋体" w:eastAsia="宋体" w:hAnsi="宋体" w:hint="eastAsia"/>
                <w:sz w:val="15"/>
                <w:szCs w:val="15"/>
              </w:rPr>
              <w:t>83</w:t>
            </w:r>
          </w:p>
        </w:tc>
        <w:tc>
          <w:tcPr>
            <w:tcW w:w="706" w:type="dxa"/>
            <w:tcBorders>
              <w:bottom w:val="single" w:sz="4" w:space="0" w:color="00A0E9"/>
            </w:tcBorders>
            <w:vAlign w:val="center"/>
          </w:tcPr>
          <w:p w:rsidR="00C411DC" w:rsidRPr="002E0BDB" w:rsidRDefault="00C411DC" w:rsidP="007F40D7">
            <w:pPr>
              <w:jc w:val="center"/>
              <w:rPr>
                <w:rFonts w:ascii="宋体" w:eastAsia="宋体" w:hAnsi="宋体" w:cs="宋体"/>
                <w:sz w:val="15"/>
                <w:szCs w:val="15"/>
              </w:rPr>
            </w:pPr>
            <w:r w:rsidRPr="002E0BDB">
              <w:rPr>
                <w:rFonts w:ascii="宋体" w:eastAsia="宋体" w:hAnsi="宋体" w:hint="eastAsia"/>
                <w:sz w:val="15"/>
                <w:szCs w:val="15"/>
              </w:rPr>
              <w:t>1.2</w:t>
            </w:r>
          </w:p>
        </w:tc>
      </w:tr>
      <w:tr w:rsidR="00C411DC" w:rsidTr="007F40D7">
        <w:trPr>
          <w:trHeight w:val="127"/>
        </w:trPr>
        <w:tc>
          <w:tcPr>
            <w:tcW w:w="5273" w:type="dxa"/>
            <w:vMerge/>
            <w:tcMar>
              <w:left w:w="0" w:type="dxa"/>
              <w:right w:w="0" w:type="dxa"/>
            </w:tcMar>
            <w:vAlign w:val="center"/>
          </w:tcPr>
          <w:p w:rsidR="00C411DC" w:rsidRPr="002E0BDB" w:rsidRDefault="00C411DC" w:rsidP="007F40D7">
            <w:pPr>
              <w:jc w:val="center"/>
            </w:pPr>
          </w:p>
        </w:tc>
        <w:tc>
          <w:tcPr>
            <w:tcW w:w="226" w:type="dxa"/>
            <w:vMerge/>
            <w:tcMar>
              <w:left w:w="0" w:type="dxa"/>
              <w:right w:w="0" w:type="dxa"/>
            </w:tcMar>
          </w:tcPr>
          <w:p w:rsidR="00C411DC" w:rsidRPr="001C5C76" w:rsidRDefault="00C411DC" w:rsidP="007F40D7">
            <w:pPr>
              <w:pStyle w:val="a0"/>
              <w:spacing w:line="240" w:lineRule="auto"/>
              <w:ind w:left="0"/>
              <w:rPr>
                <w:color w:val="auto"/>
              </w:rPr>
            </w:pPr>
          </w:p>
        </w:tc>
        <w:tc>
          <w:tcPr>
            <w:tcW w:w="1164" w:type="dxa"/>
            <w:tcBorders>
              <w:bottom w:val="single" w:sz="4" w:space="0" w:color="00A0E9"/>
            </w:tcBorders>
            <w:tcMar>
              <w:left w:w="0" w:type="dxa"/>
              <w:right w:w="0" w:type="dxa"/>
            </w:tcMar>
            <w:vAlign w:val="center"/>
          </w:tcPr>
          <w:p w:rsidR="00C411DC" w:rsidRPr="002E0BDB" w:rsidRDefault="00C411DC" w:rsidP="007F40D7">
            <w:pPr>
              <w:jc w:val="center"/>
              <w:rPr>
                <w:rFonts w:ascii="宋体" w:eastAsia="宋体" w:hAnsi="宋体" w:cs="宋体"/>
                <w:bCs/>
                <w:sz w:val="15"/>
                <w:szCs w:val="15"/>
              </w:rPr>
            </w:pPr>
            <w:r w:rsidRPr="002E0BDB">
              <w:rPr>
                <w:rFonts w:ascii="宋体" w:eastAsia="宋体" w:hAnsi="宋体" w:hint="eastAsia"/>
                <w:bCs/>
                <w:sz w:val="15"/>
                <w:szCs w:val="15"/>
              </w:rPr>
              <w:t>鹏</w:t>
            </w:r>
            <w:proofErr w:type="gramStart"/>
            <w:r w:rsidRPr="002E0BDB">
              <w:rPr>
                <w:rFonts w:ascii="宋体" w:eastAsia="宋体" w:hAnsi="宋体" w:hint="eastAsia"/>
                <w:bCs/>
                <w:sz w:val="15"/>
                <w:szCs w:val="15"/>
              </w:rPr>
              <w:t>华弘利</w:t>
            </w:r>
            <w:proofErr w:type="gramEnd"/>
            <w:r w:rsidRPr="002E0BDB">
              <w:rPr>
                <w:rFonts w:ascii="宋体" w:eastAsia="宋体" w:hAnsi="宋体" w:hint="eastAsia"/>
                <w:bCs/>
                <w:sz w:val="15"/>
                <w:szCs w:val="15"/>
              </w:rPr>
              <w:t>A</w:t>
            </w:r>
          </w:p>
        </w:tc>
        <w:tc>
          <w:tcPr>
            <w:tcW w:w="1134" w:type="dxa"/>
            <w:tcBorders>
              <w:bottom w:val="single" w:sz="4" w:space="0" w:color="00A0E9"/>
            </w:tcBorders>
            <w:vAlign w:val="center"/>
          </w:tcPr>
          <w:p w:rsidR="00C411DC" w:rsidRPr="002E0BDB" w:rsidRDefault="00C411DC" w:rsidP="007F40D7">
            <w:pPr>
              <w:jc w:val="center"/>
              <w:rPr>
                <w:rFonts w:ascii="宋体" w:eastAsia="宋体" w:hAnsi="宋体" w:cs="宋体"/>
                <w:sz w:val="15"/>
                <w:szCs w:val="15"/>
              </w:rPr>
            </w:pPr>
            <w:r w:rsidRPr="002E0BDB">
              <w:rPr>
                <w:rFonts w:ascii="宋体" w:eastAsia="宋体" w:hAnsi="宋体" w:hint="eastAsia"/>
                <w:sz w:val="15"/>
                <w:szCs w:val="15"/>
              </w:rPr>
              <w:t>2015-3-12</w:t>
            </w:r>
          </w:p>
        </w:tc>
        <w:tc>
          <w:tcPr>
            <w:tcW w:w="708" w:type="dxa"/>
            <w:tcBorders>
              <w:bottom w:val="single" w:sz="4" w:space="0" w:color="00A0E9"/>
            </w:tcBorders>
            <w:vAlign w:val="center"/>
          </w:tcPr>
          <w:p w:rsidR="00C411DC" w:rsidRPr="002E0BDB" w:rsidRDefault="00C411DC" w:rsidP="007F40D7">
            <w:pPr>
              <w:jc w:val="center"/>
              <w:rPr>
                <w:rFonts w:ascii="宋体" w:eastAsia="宋体" w:hAnsi="宋体" w:cs="宋体"/>
                <w:sz w:val="15"/>
                <w:szCs w:val="15"/>
              </w:rPr>
            </w:pPr>
            <w:r w:rsidRPr="002E0BDB">
              <w:rPr>
                <w:rFonts w:ascii="宋体" w:eastAsia="宋体" w:hAnsi="宋体" w:hint="eastAsia"/>
                <w:sz w:val="15"/>
                <w:szCs w:val="15"/>
              </w:rPr>
              <w:t>3.50</w:t>
            </w:r>
          </w:p>
        </w:tc>
        <w:tc>
          <w:tcPr>
            <w:tcW w:w="709" w:type="dxa"/>
            <w:tcBorders>
              <w:bottom w:val="single" w:sz="4" w:space="0" w:color="00A0E9"/>
            </w:tcBorders>
            <w:vAlign w:val="center"/>
          </w:tcPr>
          <w:p w:rsidR="00C411DC" w:rsidRPr="002E0BDB" w:rsidRDefault="00C411DC" w:rsidP="007F40D7">
            <w:pPr>
              <w:jc w:val="center"/>
              <w:rPr>
                <w:rFonts w:ascii="宋体" w:eastAsia="宋体" w:hAnsi="宋体" w:cs="宋体"/>
                <w:sz w:val="15"/>
                <w:szCs w:val="15"/>
              </w:rPr>
            </w:pPr>
            <w:r w:rsidRPr="002E0BDB">
              <w:rPr>
                <w:rFonts w:ascii="宋体" w:eastAsia="宋体" w:hAnsi="宋体" w:hint="eastAsia"/>
                <w:sz w:val="15"/>
                <w:szCs w:val="15"/>
              </w:rPr>
              <w:t>-0.10</w:t>
            </w:r>
          </w:p>
        </w:tc>
        <w:tc>
          <w:tcPr>
            <w:tcW w:w="851" w:type="dxa"/>
            <w:tcBorders>
              <w:bottom w:val="single" w:sz="4" w:space="0" w:color="00A0E9"/>
            </w:tcBorders>
            <w:vAlign w:val="center"/>
          </w:tcPr>
          <w:p w:rsidR="00C411DC" w:rsidRPr="002E0BDB" w:rsidRDefault="00C411DC" w:rsidP="007F40D7">
            <w:pPr>
              <w:jc w:val="center"/>
              <w:rPr>
                <w:rFonts w:ascii="宋体" w:eastAsia="宋体" w:hAnsi="宋体" w:cs="宋体"/>
                <w:sz w:val="15"/>
                <w:szCs w:val="15"/>
              </w:rPr>
            </w:pPr>
            <w:r w:rsidRPr="002E0BDB">
              <w:rPr>
                <w:rFonts w:ascii="宋体" w:eastAsia="宋体" w:hAnsi="宋体" w:hint="eastAsia"/>
                <w:sz w:val="15"/>
                <w:szCs w:val="15"/>
              </w:rPr>
              <w:t>82</w:t>
            </w:r>
          </w:p>
        </w:tc>
        <w:tc>
          <w:tcPr>
            <w:tcW w:w="706" w:type="dxa"/>
            <w:tcBorders>
              <w:bottom w:val="single" w:sz="4" w:space="0" w:color="00A0E9"/>
            </w:tcBorders>
            <w:vAlign w:val="center"/>
          </w:tcPr>
          <w:p w:rsidR="00C411DC" w:rsidRPr="002E0BDB" w:rsidRDefault="00C411DC" w:rsidP="007F40D7">
            <w:pPr>
              <w:jc w:val="center"/>
              <w:rPr>
                <w:rFonts w:ascii="宋体" w:eastAsia="宋体" w:hAnsi="宋体" w:cs="宋体"/>
                <w:sz w:val="15"/>
                <w:szCs w:val="15"/>
              </w:rPr>
            </w:pPr>
            <w:r w:rsidRPr="002E0BDB">
              <w:rPr>
                <w:rFonts w:ascii="宋体" w:eastAsia="宋体" w:hAnsi="宋体" w:hint="eastAsia"/>
                <w:sz w:val="15"/>
                <w:szCs w:val="15"/>
              </w:rPr>
              <w:t>1.3</w:t>
            </w:r>
          </w:p>
        </w:tc>
      </w:tr>
      <w:tr w:rsidR="00C411DC" w:rsidTr="007F40D7">
        <w:trPr>
          <w:trHeight w:val="127"/>
        </w:trPr>
        <w:tc>
          <w:tcPr>
            <w:tcW w:w="5273" w:type="dxa"/>
            <w:vMerge/>
            <w:tcMar>
              <w:left w:w="0" w:type="dxa"/>
              <w:right w:w="0" w:type="dxa"/>
            </w:tcMar>
            <w:vAlign w:val="center"/>
          </w:tcPr>
          <w:p w:rsidR="00C411DC" w:rsidRPr="002E0BDB" w:rsidRDefault="00C411DC" w:rsidP="007F40D7">
            <w:pPr>
              <w:jc w:val="center"/>
            </w:pPr>
          </w:p>
        </w:tc>
        <w:tc>
          <w:tcPr>
            <w:tcW w:w="226" w:type="dxa"/>
            <w:vMerge/>
            <w:tcMar>
              <w:left w:w="0" w:type="dxa"/>
              <w:right w:w="0" w:type="dxa"/>
            </w:tcMar>
          </w:tcPr>
          <w:p w:rsidR="00C411DC" w:rsidRPr="001C5C76" w:rsidRDefault="00C411DC" w:rsidP="007F40D7">
            <w:pPr>
              <w:pStyle w:val="a0"/>
              <w:spacing w:line="240" w:lineRule="auto"/>
              <w:ind w:left="0"/>
              <w:rPr>
                <w:color w:val="auto"/>
              </w:rPr>
            </w:pPr>
          </w:p>
        </w:tc>
        <w:tc>
          <w:tcPr>
            <w:tcW w:w="1164" w:type="dxa"/>
            <w:tcBorders>
              <w:bottom w:val="single" w:sz="4" w:space="0" w:color="00A0E9"/>
            </w:tcBorders>
            <w:tcMar>
              <w:left w:w="0" w:type="dxa"/>
              <w:right w:w="0" w:type="dxa"/>
            </w:tcMar>
            <w:vAlign w:val="center"/>
          </w:tcPr>
          <w:p w:rsidR="00C411DC" w:rsidRPr="002E0BDB" w:rsidRDefault="00C411DC" w:rsidP="007F40D7">
            <w:pPr>
              <w:jc w:val="center"/>
              <w:rPr>
                <w:rFonts w:ascii="宋体" w:eastAsia="宋体" w:hAnsi="宋体" w:cs="宋体"/>
                <w:sz w:val="15"/>
                <w:szCs w:val="15"/>
              </w:rPr>
            </w:pPr>
            <w:r>
              <w:rPr>
                <w:rFonts w:ascii="宋体" w:eastAsia="宋体" w:hAnsi="宋体" w:hint="eastAsia"/>
                <w:sz w:val="15"/>
                <w:szCs w:val="15"/>
              </w:rPr>
              <w:t>泰达</w:t>
            </w:r>
            <w:r w:rsidRPr="002E0BDB">
              <w:rPr>
                <w:rFonts w:ascii="宋体" w:eastAsia="宋体" w:hAnsi="宋体" w:hint="eastAsia"/>
                <w:sz w:val="15"/>
                <w:szCs w:val="15"/>
              </w:rPr>
              <w:t>养老收益A</w:t>
            </w:r>
          </w:p>
        </w:tc>
        <w:tc>
          <w:tcPr>
            <w:tcW w:w="1134" w:type="dxa"/>
            <w:tcBorders>
              <w:bottom w:val="single" w:sz="4" w:space="0" w:color="00A0E9"/>
            </w:tcBorders>
            <w:vAlign w:val="center"/>
          </w:tcPr>
          <w:p w:rsidR="00C411DC" w:rsidRPr="002E0BDB" w:rsidRDefault="00C411DC" w:rsidP="007F40D7">
            <w:pPr>
              <w:jc w:val="center"/>
              <w:rPr>
                <w:rFonts w:ascii="宋体" w:eastAsia="宋体" w:hAnsi="宋体" w:cs="宋体"/>
                <w:sz w:val="15"/>
                <w:szCs w:val="15"/>
              </w:rPr>
            </w:pPr>
            <w:r w:rsidRPr="002E0BDB">
              <w:rPr>
                <w:rFonts w:ascii="宋体" w:eastAsia="宋体" w:hAnsi="宋体" w:hint="eastAsia"/>
                <w:sz w:val="15"/>
                <w:szCs w:val="15"/>
              </w:rPr>
              <w:t>2014-3-5</w:t>
            </w:r>
          </w:p>
        </w:tc>
        <w:tc>
          <w:tcPr>
            <w:tcW w:w="708" w:type="dxa"/>
            <w:tcBorders>
              <w:bottom w:val="single" w:sz="4" w:space="0" w:color="00A0E9"/>
            </w:tcBorders>
            <w:vAlign w:val="center"/>
          </w:tcPr>
          <w:p w:rsidR="00C411DC" w:rsidRPr="002E0BDB" w:rsidRDefault="00C411DC" w:rsidP="007F40D7">
            <w:pPr>
              <w:jc w:val="center"/>
              <w:rPr>
                <w:rFonts w:ascii="宋体" w:eastAsia="宋体" w:hAnsi="宋体" w:cs="宋体"/>
                <w:sz w:val="15"/>
                <w:szCs w:val="15"/>
              </w:rPr>
            </w:pPr>
            <w:r w:rsidRPr="002E0BDB">
              <w:rPr>
                <w:rFonts w:ascii="宋体" w:eastAsia="宋体" w:hAnsi="宋体" w:hint="eastAsia"/>
                <w:sz w:val="15"/>
                <w:szCs w:val="15"/>
              </w:rPr>
              <w:t>8.19</w:t>
            </w:r>
          </w:p>
        </w:tc>
        <w:tc>
          <w:tcPr>
            <w:tcW w:w="709" w:type="dxa"/>
            <w:tcBorders>
              <w:bottom w:val="single" w:sz="4" w:space="0" w:color="00A0E9"/>
            </w:tcBorders>
            <w:vAlign w:val="center"/>
          </w:tcPr>
          <w:p w:rsidR="00C411DC" w:rsidRPr="002E0BDB" w:rsidRDefault="00C411DC" w:rsidP="007F40D7">
            <w:pPr>
              <w:jc w:val="center"/>
              <w:rPr>
                <w:rFonts w:ascii="宋体" w:eastAsia="宋体" w:hAnsi="宋体" w:cs="宋体"/>
                <w:sz w:val="15"/>
                <w:szCs w:val="15"/>
              </w:rPr>
            </w:pPr>
            <w:r w:rsidRPr="002E0BDB">
              <w:rPr>
                <w:rFonts w:ascii="宋体" w:eastAsia="宋体" w:hAnsi="宋体" w:hint="eastAsia"/>
                <w:sz w:val="15"/>
                <w:szCs w:val="15"/>
              </w:rPr>
              <w:t>-1.14</w:t>
            </w:r>
          </w:p>
        </w:tc>
        <w:tc>
          <w:tcPr>
            <w:tcW w:w="851" w:type="dxa"/>
            <w:tcBorders>
              <w:bottom w:val="single" w:sz="4" w:space="0" w:color="00A0E9"/>
            </w:tcBorders>
            <w:vAlign w:val="center"/>
          </w:tcPr>
          <w:p w:rsidR="00C411DC" w:rsidRPr="002E0BDB" w:rsidRDefault="00C411DC" w:rsidP="007F40D7">
            <w:pPr>
              <w:jc w:val="center"/>
              <w:rPr>
                <w:rFonts w:ascii="宋体" w:eastAsia="宋体" w:hAnsi="宋体" w:cs="宋体"/>
                <w:sz w:val="15"/>
                <w:szCs w:val="15"/>
              </w:rPr>
            </w:pPr>
            <w:r w:rsidRPr="002E0BDB">
              <w:rPr>
                <w:rFonts w:ascii="宋体" w:eastAsia="宋体" w:hAnsi="宋体" w:hint="eastAsia"/>
                <w:sz w:val="15"/>
                <w:szCs w:val="15"/>
              </w:rPr>
              <w:t>79</w:t>
            </w:r>
          </w:p>
        </w:tc>
        <w:tc>
          <w:tcPr>
            <w:tcW w:w="706" w:type="dxa"/>
            <w:tcBorders>
              <w:bottom w:val="single" w:sz="4" w:space="0" w:color="00A0E9"/>
            </w:tcBorders>
            <w:vAlign w:val="center"/>
          </w:tcPr>
          <w:p w:rsidR="00C411DC" w:rsidRPr="002E0BDB" w:rsidRDefault="00C411DC" w:rsidP="007F40D7">
            <w:pPr>
              <w:jc w:val="center"/>
              <w:rPr>
                <w:rFonts w:ascii="宋体" w:eastAsia="宋体" w:hAnsi="宋体" w:cs="宋体"/>
                <w:sz w:val="15"/>
                <w:szCs w:val="15"/>
              </w:rPr>
            </w:pPr>
            <w:r w:rsidRPr="002E0BDB">
              <w:rPr>
                <w:rFonts w:ascii="宋体" w:eastAsia="宋体" w:hAnsi="宋体" w:hint="eastAsia"/>
                <w:sz w:val="15"/>
                <w:szCs w:val="15"/>
              </w:rPr>
              <w:t>1.9</w:t>
            </w:r>
          </w:p>
        </w:tc>
      </w:tr>
      <w:tr w:rsidR="00C411DC" w:rsidTr="007F40D7">
        <w:trPr>
          <w:trHeight w:val="127"/>
        </w:trPr>
        <w:tc>
          <w:tcPr>
            <w:tcW w:w="5273" w:type="dxa"/>
            <w:vMerge/>
            <w:tcMar>
              <w:left w:w="0" w:type="dxa"/>
              <w:right w:w="0" w:type="dxa"/>
            </w:tcMar>
            <w:vAlign w:val="center"/>
          </w:tcPr>
          <w:p w:rsidR="00C411DC" w:rsidRPr="002E0BDB" w:rsidRDefault="00C411DC" w:rsidP="007F40D7">
            <w:pPr>
              <w:jc w:val="center"/>
            </w:pPr>
          </w:p>
        </w:tc>
        <w:tc>
          <w:tcPr>
            <w:tcW w:w="226" w:type="dxa"/>
            <w:vMerge/>
            <w:tcMar>
              <w:left w:w="0" w:type="dxa"/>
              <w:right w:w="0" w:type="dxa"/>
            </w:tcMar>
          </w:tcPr>
          <w:p w:rsidR="00C411DC" w:rsidRPr="001C5C76" w:rsidRDefault="00C411DC" w:rsidP="007F40D7">
            <w:pPr>
              <w:pStyle w:val="a0"/>
              <w:spacing w:line="240" w:lineRule="auto"/>
              <w:ind w:left="0"/>
              <w:rPr>
                <w:color w:val="auto"/>
              </w:rPr>
            </w:pPr>
          </w:p>
        </w:tc>
        <w:tc>
          <w:tcPr>
            <w:tcW w:w="1164" w:type="dxa"/>
            <w:tcBorders>
              <w:bottom w:val="single" w:sz="4" w:space="0" w:color="00A0E9"/>
            </w:tcBorders>
            <w:tcMar>
              <w:left w:w="0" w:type="dxa"/>
              <w:right w:w="0" w:type="dxa"/>
            </w:tcMar>
            <w:vAlign w:val="center"/>
          </w:tcPr>
          <w:p w:rsidR="00C411DC" w:rsidRPr="002E0BDB" w:rsidRDefault="00C411DC" w:rsidP="007F40D7">
            <w:pPr>
              <w:jc w:val="center"/>
              <w:rPr>
                <w:rFonts w:ascii="宋体" w:eastAsia="宋体" w:hAnsi="宋体" w:cs="宋体"/>
                <w:bCs/>
                <w:sz w:val="15"/>
                <w:szCs w:val="15"/>
              </w:rPr>
            </w:pPr>
            <w:r w:rsidRPr="002E0BDB">
              <w:rPr>
                <w:rFonts w:ascii="宋体" w:eastAsia="宋体" w:hAnsi="宋体" w:hint="eastAsia"/>
                <w:bCs/>
                <w:sz w:val="15"/>
                <w:szCs w:val="15"/>
              </w:rPr>
              <w:t>大成景秀</w:t>
            </w:r>
          </w:p>
        </w:tc>
        <w:tc>
          <w:tcPr>
            <w:tcW w:w="1134" w:type="dxa"/>
            <w:tcBorders>
              <w:bottom w:val="single" w:sz="4" w:space="0" w:color="00A0E9"/>
            </w:tcBorders>
            <w:vAlign w:val="center"/>
          </w:tcPr>
          <w:p w:rsidR="00C411DC" w:rsidRPr="002E0BDB" w:rsidRDefault="00C411DC" w:rsidP="007F40D7">
            <w:pPr>
              <w:jc w:val="center"/>
              <w:rPr>
                <w:rFonts w:ascii="宋体" w:eastAsia="宋体" w:hAnsi="宋体" w:cs="宋体"/>
                <w:sz w:val="15"/>
                <w:szCs w:val="15"/>
              </w:rPr>
            </w:pPr>
            <w:r w:rsidRPr="002E0BDB">
              <w:rPr>
                <w:rFonts w:ascii="宋体" w:eastAsia="宋体" w:hAnsi="宋体" w:hint="eastAsia"/>
                <w:sz w:val="15"/>
                <w:szCs w:val="15"/>
              </w:rPr>
              <w:t>2015-3-27</w:t>
            </w:r>
          </w:p>
        </w:tc>
        <w:tc>
          <w:tcPr>
            <w:tcW w:w="708" w:type="dxa"/>
            <w:tcBorders>
              <w:bottom w:val="single" w:sz="4" w:space="0" w:color="00A0E9"/>
            </w:tcBorders>
            <w:vAlign w:val="center"/>
          </w:tcPr>
          <w:p w:rsidR="00C411DC" w:rsidRPr="002E0BDB" w:rsidRDefault="00C411DC" w:rsidP="007F40D7">
            <w:pPr>
              <w:jc w:val="center"/>
              <w:rPr>
                <w:rFonts w:ascii="宋体" w:eastAsia="宋体" w:hAnsi="宋体" w:cs="宋体"/>
                <w:sz w:val="15"/>
                <w:szCs w:val="15"/>
              </w:rPr>
            </w:pPr>
            <w:r w:rsidRPr="002E0BDB">
              <w:rPr>
                <w:rFonts w:ascii="宋体" w:eastAsia="宋体" w:hAnsi="宋体" w:hint="eastAsia"/>
                <w:sz w:val="15"/>
                <w:szCs w:val="15"/>
              </w:rPr>
              <w:t>3.30</w:t>
            </w:r>
          </w:p>
        </w:tc>
        <w:tc>
          <w:tcPr>
            <w:tcW w:w="709" w:type="dxa"/>
            <w:tcBorders>
              <w:bottom w:val="single" w:sz="4" w:space="0" w:color="00A0E9"/>
            </w:tcBorders>
            <w:vAlign w:val="center"/>
          </w:tcPr>
          <w:p w:rsidR="00C411DC" w:rsidRPr="002E0BDB" w:rsidRDefault="00C411DC" w:rsidP="007F40D7">
            <w:pPr>
              <w:jc w:val="center"/>
              <w:rPr>
                <w:rFonts w:ascii="宋体" w:eastAsia="宋体" w:hAnsi="宋体" w:cs="宋体"/>
                <w:sz w:val="15"/>
                <w:szCs w:val="15"/>
              </w:rPr>
            </w:pPr>
            <w:r w:rsidRPr="002E0BDB">
              <w:rPr>
                <w:rFonts w:ascii="宋体" w:eastAsia="宋体" w:hAnsi="宋体" w:hint="eastAsia"/>
                <w:sz w:val="15"/>
                <w:szCs w:val="15"/>
              </w:rPr>
              <w:t>0.00</w:t>
            </w:r>
          </w:p>
        </w:tc>
        <w:tc>
          <w:tcPr>
            <w:tcW w:w="851" w:type="dxa"/>
            <w:tcBorders>
              <w:bottom w:val="single" w:sz="4" w:space="0" w:color="00A0E9"/>
            </w:tcBorders>
            <w:vAlign w:val="center"/>
          </w:tcPr>
          <w:p w:rsidR="00C411DC" w:rsidRPr="002E0BDB" w:rsidRDefault="00C411DC" w:rsidP="007F40D7">
            <w:pPr>
              <w:jc w:val="center"/>
              <w:rPr>
                <w:rFonts w:ascii="宋体" w:eastAsia="宋体" w:hAnsi="宋体" w:cs="宋体"/>
                <w:sz w:val="15"/>
                <w:szCs w:val="15"/>
              </w:rPr>
            </w:pPr>
            <w:r w:rsidRPr="002E0BDB">
              <w:rPr>
                <w:rFonts w:ascii="宋体" w:eastAsia="宋体" w:hAnsi="宋体" w:hint="eastAsia"/>
                <w:sz w:val="15"/>
                <w:szCs w:val="15"/>
              </w:rPr>
              <w:t>71</w:t>
            </w:r>
          </w:p>
        </w:tc>
        <w:tc>
          <w:tcPr>
            <w:tcW w:w="706" w:type="dxa"/>
            <w:tcBorders>
              <w:bottom w:val="single" w:sz="4" w:space="0" w:color="00A0E9"/>
            </w:tcBorders>
            <w:vAlign w:val="center"/>
          </w:tcPr>
          <w:p w:rsidR="00C411DC" w:rsidRPr="002E0BDB" w:rsidRDefault="00C411DC" w:rsidP="007F40D7">
            <w:pPr>
              <w:jc w:val="center"/>
              <w:rPr>
                <w:rFonts w:ascii="宋体" w:eastAsia="宋体" w:hAnsi="宋体" w:cs="宋体"/>
                <w:sz w:val="15"/>
                <w:szCs w:val="15"/>
              </w:rPr>
            </w:pPr>
            <w:r w:rsidRPr="002E0BDB">
              <w:rPr>
                <w:rFonts w:ascii="宋体" w:eastAsia="宋体" w:hAnsi="宋体" w:hint="eastAsia"/>
                <w:sz w:val="15"/>
                <w:szCs w:val="15"/>
              </w:rPr>
              <w:t>1.5</w:t>
            </w:r>
          </w:p>
        </w:tc>
      </w:tr>
      <w:tr w:rsidR="00C411DC" w:rsidTr="007F40D7">
        <w:trPr>
          <w:trHeight w:val="127"/>
        </w:trPr>
        <w:tc>
          <w:tcPr>
            <w:tcW w:w="5273" w:type="dxa"/>
            <w:vMerge/>
            <w:tcMar>
              <w:left w:w="0" w:type="dxa"/>
              <w:right w:w="0" w:type="dxa"/>
            </w:tcMar>
            <w:vAlign w:val="center"/>
          </w:tcPr>
          <w:p w:rsidR="00C411DC" w:rsidRPr="002E0BDB" w:rsidRDefault="00C411DC" w:rsidP="007F40D7">
            <w:pPr>
              <w:jc w:val="center"/>
            </w:pPr>
          </w:p>
        </w:tc>
        <w:tc>
          <w:tcPr>
            <w:tcW w:w="226" w:type="dxa"/>
            <w:vMerge/>
            <w:tcMar>
              <w:left w:w="0" w:type="dxa"/>
              <w:right w:w="0" w:type="dxa"/>
            </w:tcMar>
          </w:tcPr>
          <w:p w:rsidR="00C411DC" w:rsidRPr="001C5C76" w:rsidRDefault="00C411DC" w:rsidP="007F40D7">
            <w:pPr>
              <w:pStyle w:val="a0"/>
              <w:spacing w:line="240" w:lineRule="auto"/>
              <w:ind w:left="0"/>
              <w:rPr>
                <w:color w:val="auto"/>
              </w:rPr>
            </w:pPr>
          </w:p>
        </w:tc>
        <w:tc>
          <w:tcPr>
            <w:tcW w:w="1164" w:type="dxa"/>
            <w:tcBorders>
              <w:bottom w:val="single" w:sz="4" w:space="0" w:color="00A0E9"/>
            </w:tcBorders>
            <w:tcMar>
              <w:left w:w="0" w:type="dxa"/>
              <w:right w:w="0" w:type="dxa"/>
            </w:tcMar>
            <w:vAlign w:val="center"/>
          </w:tcPr>
          <w:p w:rsidR="00C411DC" w:rsidRPr="002E0BDB" w:rsidRDefault="00C411DC" w:rsidP="007F40D7">
            <w:pPr>
              <w:jc w:val="center"/>
              <w:rPr>
                <w:rFonts w:ascii="宋体" w:eastAsia="宋体" w:hAnsi="宋体" w:cs="宋体"/>
                <w:bCs/>
                <w:sz w:val="15"/>
                <w:szCs w:val="15"/>
              </w:rPr>
            </w:pPr>
            <w:proofErr w:type="gramStart"/>
            <w:r w:rsidRPr="002E0BDB">
              <w:rPr>
                <w:rFonts w:ascii="宋体" w:eastAsia="宋体" w:hAnsi="宋体" w:hint="eastAsia"/>
                <w:bCs/>
                <w:sz w:val="15"/>
                <w:szCs w:val="15"/>
              </w:rPr>
              <w:t>中欧瑾源</w:t>
            </w:r>
            <w:proofErr w:type="gramEnd"/>
            <w:r w:rsidRPr="002E0BDB">
              <w:rPr>
                <w:rFonts w:ascii="宋体" w:eastAsia="宋体" w:hAnsi="宋体" w:hint="eastAsia"/>
                <w:bCs/>
                <w:sz w:val="15"/>
                <w:szCs w:val="15"/>
              </w:rPr>
              <w:t>A</w:t>
            </w:r>
          </w:p>
        </w:tc>
        <w:tc>
          <w:tcPr>
            <w:tcW w:w="1134" w:type="dxa"/>
            <w:tcBorders>
              <w:bottom w:val="single" w:sz="4" w:space="0" w:color="00A0E9"/>
            </w:tcBorders>
            <w:vAlign w:val="center"/>
          </w:tcPr>
          <w:p w:rsidR="00C411DC" w:rsidRPr="002E0BDB" w:rsidRDefault="00C411DC" w:rsidP="007F40D7">
            <w:pPr>
              <w:jc w:val="center"/>
              <w:rPr>
                <w:rFonts w:ascii="宋体" w:eastAsia="宋体" w:hAnsi="宋体" w:cs="宋体"/>
                <w:sz w:val="15"/>
                <w:szCs w:val="15"/>
              </w:rPr>
            </w:pPr>
            <w:r w:rsidRPr="002E0BDB">
              <w:rPr>
                <w:rFonts w:ascii="宋体" w:eastAsia="宋体" w:hAnsi="宋体" w:hint="eastAsia"/>
                <w:sz w:val="15"/>
                <w:szCs w:val="15"/>
              </w:rPr>
              <w:t>2015-3-31</w:t>
            </w:r>
          </w:p>
        </w:tc>
        <w:tc>
          <w:tcPr>
            <w:tcW w:w="708" w:type="dxa"/>
            <w:tcBorders>
              <w:bottom w:val="single" w:sz="4" w:space="0" w:color="00A0E9"/>
            </w:tcBorders>
            <w:vAlign w:val="center"/>
          </w:tcPr>
          <w:p w:rsidR="00C411DC" w:rsidRPr="002E0BDB" w:rsidRDefault="00C411DC" w:rsidP="007F40D7">
            <w:pPr>
              <w:jc w:val="center"/>
              <w:rPr>
                <w:rFonts w:ascii="宋体" w:eastAsia="宋体" w:hAnsi="宋体" w:cs="宋体"/>
                <w:sz w:val="15"/>
                <w:szCs w:val="15"/>
              </w:rPr>
            </w:pPr>
            <w:r w:rsidRPr="002E0BDB">
              <w:rPr>
                <w:rFonts w:ascii="宋体" w:eastAsia="宋体" w:hAnsi="宋体" w:hint="eastAsia"/>
                <w:sz w:val="15"/>
                <w:szCs w:val="15"/>
              </w:rPr>
              <w:t>2.90</w:t>
            </w:r>
          </w:p>
        </w:tc>
        <w:tc>
          <w:tcPr>
            <w:tcW w:w="709" w:type="dxa"/>
            <w:tcBorders>
              <w:bottom w:val="single" w:sz="4" w:space="0" w:color="00A0E9"/>
            </w:tcBorders>
            <w:vAlign w:val="center"/>
          </w:tcPr>
          <w:p w:rsidR="00C411DC" w:rsidRPr="002E0BDB" w:rsidRDefault="00C411DC" w:rsidP="007F40D7">
            <w:pPr>
              <w:jc w:val="center"/>
              <w:rPr>
                <w:rFonts w:ascii="宋体" w:eastAsia="宋体" w:hAnsi="宋体" w:cs="宋体"/>
                <w:sz w:val="15"/>
                <w:szCs w:val="15"/>
              </w:rPr>
            </w:pPr>
            <w:r w:rsidRPr="002E0BDB">
              <w:rPr>
                <w:rFonts w:ascii="宋体" w:eastAsia="宋体" w:hAnsi="宋体" w:hint="eastAsia"/>
                <w:sz w:val="15"/>
                <w:szCs w:val="15"/>
              </w:rPr>
              <w:t>-0.29</w:t>
            </w:r>
          </w:p>
        </w:tc>
        <w:tc>
          <w:tcPr>
            <w:tcW w:w="851" w:type="dxa"/>
            <w:tcBorders>
              <w:bottom w:val="single" w:sz="4" w:space="0" w:color="00A0E9"/>
            </w:tcBorders>
            <w:vAlign w:val="center"/>
          </w:tcPr>
          <w:p w:rsidR="00C411DC" w:rsidRPr="002E0BDB" w:rsidRDefault="00C411DC" w:rsidP="007F40D7">
            <w:pPr>
              <w:jc w:val="center"/>
              <w:rPr>
                <w:rFonts w:ascii="宋体" w:eastAsia="宋体" w:hAnsi="宋体" w:cs="宋体"/>
                <w:sz w:val="15"/>
                <w:szCs w:val="15"/>
              </w:rPr>
            </w:pPr>
            <w:r w:rsidRPr="002E0BDB">
              <w:rPr>
                <w:rFonts w:ascii="宋体" w:eastAsia="宋体" w:hAnsi="宋体" w:hint="eastAsia"/>
                <w:sz w:val="15"/>
                <w:szCs w:val="15"/>
              </w:rPr>
              <w:t>71</w:t>
            </w:r>
          </w:p>
        </w:tc>
        <w:tc>
          <w:tcPr>
            <w:tcW w:w="706" w:type="dxa"/>
            <w:tcBorders>
              <w:bottom w:val="single" w:sz="4" w:space="0" w:color="00A0E9"/>
            </w:tcBorders>
            <w:vAlign w:val="center"/>
          </w:tcPr>
          <w:p w:rsidR="00C411DC" w:rsidRPr="002E0BDB" w:rsidRDefault="00C411DC" w:rsidP="007F40D7">
            <w:pPr>
              <w:jc w:val="center"/>
              <w:rPr>
                <w:rFonts w:ascii="宋体" w:eastAsia="宋体" w:hAnsi="宋体" w:cs="宋体"/>
                <w:sz w:val="15"/>
                <w:szCs w:val="15"/>
              </w:rPr>
            </w:pPr>
            <w:r w:rsidRPr="002E0BDB">
              <w:rPr>
                <w:rFonts w:ascii="宋体" w:eastAsia="宋体" w:hAnsi="宋体" w:hint="eastAsia"/>
                <w:sz w:val="15"/>
                <w:szCs w:val="15"/>
              </w:rPr>
              <w:t>2.1</w:t>
            </w:r>
          </w:p>
        </w:tc>
      </w:tr>
      <w:tr w:rsidR="00C411DC" w:rsidTr="007F40D7">
        <w:trPr>
          <w:trHeight w:val="127"/>
        </w:trPr>
        <w:tc>
          <w:tcPr>
            <w:tcW w:w="5273" w:type="dxa"/>
            <w:vMerge/>
            <w:tcMar>
              <w:left w:w="0" w:type="dxa"/>
              <w:right w:w="0" w:type="dxa"/>
            </w:tcMar>
            <w:vAlign w:val="center"/>
          </w:tcPr>
          <w:p w:rsidR="00C411DC" w:rsidRPr="002E0BDB" w:rsidRDefault="00C411DC" w:rsidP="007F40D7">
            <w:pPr>
              <w:jc w:val="center"/>
            </w:pPr>
          </w:p>
        </w:tc>
        <w:tc>
          <w:tcPr>
            <w:tcW w:w="226" w:type="dxa"/>
            <w:vMerge/>
            <w:tcMar>
              <w:left w:w="0" w:type="dxa"/>
              <w:right w:w="0" w:type="dxa"/>
            </w:tcMar>
          </w:tcPr>
          <w:p w:rsidR="00C411DC" w:rsidRPr="001C5C76" w:rsidRDefault="00C411DC" w:rsidP="007F40D7">
            <w:pPr>
              <w:pStyle w:val="a0"/>
              <w:spacing w:line="240" w:lineRule="auto"/>
              <w:ind w:left="0"/>
              <w:rPr>
                <w:color w:val="auto"/>
              </w:rPr>
            </w:pPr>
          </w:p>
        </w:tc>
        <w:tc>
          <w:tcPr>
            <w:tcW w:w="1164" w:type="dxa"/>
            <w:tcBorders>
              <w:bottom w:val="single" w:sz="4" w:space="0" w:color="00A0E9"/>
            </w:tcBorders>
            <w:tcMar>
              <w:left w:w="0" w:type="dxa"/>
              <w:right w:w="0" w:type="dxa"/>
            </w:tcMar>
            <w:vAlign w:val="center"/>
          </w:tcPr>
          <w:p w:rsidR="00C411DC" w:rsidRPr="002E0BDB" w:rsidRDefault="00C411DC" w:rsidP="007F40D7">
            <w:pPr>
              <w:jc w:val="center"/>
              <w:rPr>
                <w:rFonts w:ascii="宋体" w:eastAsia="宋体" w:hAnsi="宋体" w:cs="宋体"/>
                <w:sz w:val="15"/>
                <w:szCs w:val="15"/>
              </w:rPr>
            </w:pPr>
            <w:r w:rsidRPr="002E0BDB">
              <w:rPr>
                <w:rFonts w:ascii="宋体" w:eastAsia="宋体" w:hAnsi="宋体" w:hint="eastAsia"/>
                <w:sz w:val="15"/>
                <w:szCs w:val="15"/>
              </w:rPr>
              <w:t>鹏</w:t>
            </w:r>
            <w:proofErr w:type="gramStart"/>
            <w:r w:rsidRPr="002E0BDB">
              <w:rPr>
                <w:rFonts w:ascii="宋体" w:eastAsia="宋体" w:hAnsi="宋体" w:hint="eastAsia"/>
                <w:sz w:val="15"/>
                <w:szCs w:val="15"/>
              </w:rPr>
              <w:t>华弘盛</w:t>
            </w:r>
            <w:proofErr w:type="gramEnd"/>
          </w:p>
        </w:tc>
        <w:tc>
          <w:tcPr>
            <w:tcW w:w="1134" w:type="dxa"/>
            <w:tcBorders>
              <w:bottom w:val="single" w:sz="4" w:space="0" w:color="00A0E9"/>
            </w:tcBorders>
            <w:vAlign w:val="center"/>
          </w:tcPr>
          <w:p w:rsidR="00C411DC" w:rsidRPr="002E0BDB" w:rsidRDefault="00C411DC" w:rsidP="007F40D7">
            <w:pPr>
              <w:jc w:val="center"/>
              <w:rPr>
                <w:rFonts w:ascii="宋体" w:eastAsia="宋体" w:hAnsi="宋体" w:cs="宋体"/>
                <w:sz w:val="15"/>
                <w:szCs w:val="15"/>
              </w:rPr>
            </w:pPr>
            <w:r w:rsidRPr="002E0BDB">
              <w:rPr>
                <w:rFonts w:ascii="宋体" w:eastAsia="宋体" w:hAnsi="宋体" w:hint="eastAsia"/>
                <w:sz w:val="15"/>
                <w:szCs w:val="15"/>
              </w:rPr>
              <w:t>2015-2-25</w:t>
            </w:r>
          </w:p>
        </w:tc>
        <w:tc>
          <w:tcPr>
            <w:tcW w:w="708" w:type="dxa"/>
            <w:tcBorders>
              <w:bottom w:val="single" w:sz="4" w:space="0" w:color="00A0E9"/>
            </w:tcBorders>
            <w:vAlign w:val="center"/>
          </w:tcPr>
          <w:p w:rsidR="00C411DC" w:rsidRPr="002E0BDB" w:rsidRDefault="00C411DC" w:rsidP="007F40D7">
            <w:pPr>
              <w:jc w:val="center"/>
              <w:rPr>
                <w:rFonts w:ascii="宋体" w:eastAsia="宋体" w:hAnsi="宋体" w:cs="宋体"/>
                <w:sz w:val="15"/>
                <w:szCs w:val="15"/>
              </w:rPr>
            </w:pPr>
            <w:r w:rsidRPr="002E0BDB">
              <w:rPr>
                <w:rFonts w:ascii="宋体" w:eastAsia="宋体" w:hAnsi="宋体" w:hint="eastAsia"/>
                <w:sz w:val="15"/>
                <w:szCs w:val="15"/>
              </w:rPr>
              <w:t>5.60</w:t>
            </w:r>
          </w:p>
        </w:tc>
        <w:tc>
          <w:tcPr>
            <w:tcW w:w="709" w:type="dxa"/>
            <w:tcBorders>
              <w:bottom w:val="single" w:sz="4" w:space="0" w:color="00A0E9"/>
            </w:tcBorders>
            <w:vAlign w:val="center"/>
          </w:tcPr>
          <w:p w:rsidR="00C411DC" w:rsidRPr="002E0BDB" w:rsidRDefault="00C411DC" w:rsidP="007F40D7">
            <w:pPr>
              <w:jc w:val="center"/>
              <w:rPr>
                <w:rFonts w:ascii="宋体" w:eastAsia="宋体" w:hAnsi="宋体" w:cs="宋体"/>
                <w:sz w:val="15"/>
                <w:szCs w:val="15"/>
              </w:rPr>
            </w:pPr>
            <w:r w:rsidRPr="002E0BDB">
              <w:rPr>
                <w:rFonts w:ascii="宋体" w:eastAsia="宋体" w:hAnsi="宋体" w:hint="eastAsia"/>
                <w:sz w:val="15"/>
                <w:szCs w:val="15"/>
              </w:rPr>
              <w:t>-0.10</w:t>
            </w:r>
          </w:p>
        </w:tc>
        <w:tc>
          <w:tcPr>
            <w:tcW w:w="851" w:type="dxa"/>
            <w:tcBorders>
              <w:bottom w:val="single" w:sz="4" w:space="0" w:color="00A0E9"/>
            </w:tcBorders>
            <w:vAlign w:val="center"/>
          </w:tcPr>
          <w:p w:rsidR="00C411DC" w:rsidRPr="002E0BDB" w:rsidRDefault="00C411DC" w:rsidP="007F40D7">
            <w:pPr>
              <w:jc w:val="center"/>
              <w:rPr>
                <w:rFonts w:ascii="宋体" w:eastAsia="宋体" w:hAnsi="宋体" w:cs="宋体"/>
                <w:sz w:val="15"/>
                <w:szCs w:val="15"/>
              </w:rPr>
            </w:pPr>
            <w:r w:rsidRPr="002E0BDB">
              <w:rPr>
                <w:rFonts w:ascii="宋体" w:eastAsia="宋体" w:hAnsi="宋体" w:hint="eastAsia"/>
                <w:sz w:val="15"/>
                <w:szCs w:val="15"/>
              </w:rPr>
              <w:t>70</w:t>
            </w:r>
          </w:p>
        </w:tc>
        <w:tc>
          <w:tcPr>
            <w:tcW w:w="706" w:type="dxa"/>
            <w:tcBorders>
              <w:bottom w:val="single" w:sz="4" w:space="0" w:color="00A0E9"/>
            </w:tcBorders>
            <w:vAlign w:val="center"/>
          </w:tcPr>
          <w:p w:rsidR="00C411DC" w:rsidRPr="002E0BDB" w:rsidRDefault="00C411DC" w:rsidP="007F40D7">
            <w:pPr>
              <w:jc w:val="center"/>
              <w:rPr>
                <w:rFonts w:ascii="宋体" w:eastAsia="宋体" w:hAnsi="宋体" w:cs="宋体"/>
                <w:sz w:val="15"/>
                <w:szCs w:val="15"/>
              </w:rPr>
            </w:pPr>
            <w:r w:rsidRPr="002E0BDB">
              <w:rPr>
                <w:rFonts w:ascii="宋体" w:eastAsia="宋体" w:hAnsi="宋体" w:hint="eastAsia"/>
                <w:sz w:val="15"/>
                <w:szCs w:val="15"/>
              </w:rPr>
              <w:t>2.2</w:t>
            </w:r>
          </w:p>
        </w:tc>
      </w:tr>
      <w:tr w:rsidR="00C411DC" w:rsidTr="007F40D7">
        <w:trPr>
          <w:trHeight w:val="127"/>
        </w:trPr>
        <w:tc>
          <w:tcPr>
            <w:tcW w:w="5273" w:type="dxa"/>
            <w:vMerge/>
            <w:tcMar>
              <w:left w:w="0" w:type="dxa"/>
              <w:right w:w="0" w:type="dxa"/>
            </w:tcMar>
            <w:vAlign w:val="center"/>
          </w:tcPr>
          <w:p w:rsidR="00C411DC" w:rsidRPr="002E0BDB" w:rsidRDefault="00C411DC" w:rsidP="007F40D7">
            <w:pPr>
              <w:jc w:val="center"/>
            </w:pPr>
          </w:p>
        </w:tc>
        <w:tc>
          <w:tcPr>
            <w:tcW w:w="226" w:type="dxa"/>
            <w:vMerge/>
            <w:tcMar>
              <w:left w:w="0" w:type="dxa"/>
              <w:right w:w="0" w:type="dxa"/>
            </w:tcMar>
          </w:tcPr>
          <w:p w:rsidR="00C411DC" w:rsidRPr="001C5C76" w:rsidRDefault="00C411DC" w:rsidP="007F40D7">
            <w:pPr>
              <w:pStyle w:val="a0"/>
              <w:spacing w:line="240" w:lineRule="auto"/>
              <w:ind w:left="0"/>
              <w:rPr>
                <w:color w:val="auto"/>
              </w:rPr>
            </w:pPr>
          </w:p>
        </w:tc>
        <w:tc>
          <w:tcPr>
            <w:tcW w:w="1164" w:type="dxa"/>
            <w:tcBorders>
              <w:bottom w:val="single" w:sz="4" w:space="0" w:color="00A0E9"/>
            </w:tcBorders>
            <w:tcMar>
              <w:left w:w="0" w:type="dxa"/>
              <w:right w:w="0" w:type="dxa"/>
            </w:tcMar>
            <w:vAlign w:val="center"/>
          </w:tcPr>
          <w:p w:rsidR="00C411DC" w:rsidRPr="002E0BDB" w:rsidRDefault="00C411DC" w:rsidP="007F40D7">
            <w:pPr>
              <w:jc w:val="center"/>
              <w:rPr>
                <w:rFonts w:ascii="宋体" w:eastAsia="宋体" w:hAnsi="宋体" w:cs="宋体"/>
                <w:bCs/>
                <w:sz w:val="15"/>
                <w:szCs w:val="15"/>
              </w:rPr>
            </w:pPr>
            <w:r w:rsidRPr="002E0BDB">
              <w:rPr>
                <w:rFonts w:ascii="宋体" w:eastAsia="宋体" w:hAnsi="宋体" w:hint="eastAsia"/>
                <w:bCs/>
                <w:sz w:val="15"/>
                <w:szCs w:val="15"/>
              </w:rPr>
              <w:t>华安新动力</w:t>
            </w:r>
          </w:p>
        </w:tc>
        <w:tc>
          <w:tcPr>
            <w:tcW w:w="1134" w:type="dxa"/>
            <w:tcBorders>
              <w:bottom w:val="single" w:sz="4" w:space="0" w:color="00A0E9"/>
            </w:tcBorders>
            <w:vAlign w:val="center"/>
          </w:tcPr>
          <w:p w:rsidR="00C411DC" w:rsidRPr="002E0BDB" w:rsidRDefault="00C411DC" w:rsidP="007F40D7">
            <w:pPr>
              <w:jc w:val="center"/>
              <w:rPr>
                <w:rFonts w:ascii="宋体" w:eastAsia="宋体" w:hAnsi="宋体" w:cs="宋体"/>
                <w:sz w:val="15"/>
                <w:szCs w:val="15"/>
              </w:rPr>
            </w:pPr>
            <w:r w:rsidRPr="002E0BDB">
              <w:rPr>
                <w:rFonts w:ascii="宋体" w:eastAsia="宋体" w:hAnsi="宋体" w:hint="eastAsia"/>
                <w:sz w:val="15"/>
                <w:szCs w:val="15"/>
              </w:rPr>
              <w:t>2015-3-24</w:t>
            </w:r>
          </w:p>
        </w:tc>
        <w:tc>
          <w:tcPr>
            <w:tcW w:w="708" w:type="dxa"/>
            <w:tcBorders>
              <w:bottom w:val="single" w:sz="4" w:space="0" w:color="00A0E9"/>
            </w:tcBorders>
            <w:vAlign w:val="center"/>
          </w:tcPr>
          <w:p w:rsidR="00C411DC" w:rsidRPr="002E0BDB" w:rsidRDefault="00C411DC" w:rsidP="007F40D7">
            <w:pPr>
              <w:jc w:val="center"/>
              <w:rPr>
                <w:rFonts w:ascii="宋体" w:eastAsia="宋体" w:hAnsi="宋体" w:cs="宋体"/>
                <w:sz w:val="15"/>
                <w:szCs w:val="15"/>
              </w:rPr>
            </w:pPr>
            <w:r w:rsidRPr="002E0BDB">
              <w:rPr>
                <w:rFonts w:ascii="宋体" w:eastAsia="宋体" w:hAnsi="宋体" w:hint="eastAsia"/>
                <w:sz w:val="15"/>
                <w:szCs w:val="15"/>
              </w:rPr>
              <w:t>2.40</w:t>
            </w:r>
          </w:p>
        </w:tc>
        <w:tc>
          <w:tcPr>
            <w:tcW w:w="709" w:type="dxa"/>
            <w:tcBorders>
              <w:bottom w:val="single" w:sz="4" w:space="0" w:color="00A0E9"/>
            </w:tcBorders>
            <w:vAlign w:val="center"/>
          </w:tcPr>
          <w:p w:rsidR="00C411DC" w:rsidRPr="002E0BDB" w:rsidRDefault="00C411DC" w:rsidP="007F40D7">
            <w:pPr>
              <w:jc w:val="center"/>
              <w:rPr>
                <w:rFonts w:ascii="宋体" w:eastAsia="宋体" w:hAnsi="宋体" w:cs="宋体"/>
                <w:sz w:val="15"/>
                <w:szCs w:val="15"/>
              </w:rPr>
            </w:pPr>
            <w:r w:rsidRPr="002E0BDB">
              <w:rPr>
                <w:rFonts w:ascii="宋体" w:eastAsia="宋体" w:hAnsi="宋体" w:hint="eastAsia"/>
                <w:sz w:val="15"/>
                <w:szCs w:val="15"/>
              </w:rPr>
              <w:t>-0.10</w:t>
            </w:r>
          </w:p>
        </w:tc>
        <w:tc>
          <w:tcPr>
            <w:tcW w:w="851" w:type="dxa"/>
            <w:tcBorders>
              <w:bottom w:val="single" w:sz="4" w:space="0" w:color="00A0E9"/>
            </w:tcBorders>
            <w:vAlign w:val="center"/>
          </w:tcPr>
          <w:p w:rsidR="00C411DC" w:rsidRPr="002E0BDB" w:rsidRDefault="00C411DC" w:rsidP="007F40D7">
            <w:pPr>
              <w:jc w:val="center"/>
              <w:rPr>
                <w:rFonts w:ascii="宋体" w:eastAsia="宋体" w:hAnsi="宋体" w:cs="宋体"/>
                <w:sz w:val="15"/>
                <w:szCs w:val="15"/>
              </w:rPr>
            </w:pPr>
            <w:r w:rsidRPr="002E0BDB">
              <w:rPr>
                <w:rFonts w:ascii="宋体" w:eastAsia="宋体" w:hAnsi="宋体" w:hint="eastAsia"/>
                <w:sz w:val="15"/>
                <w:szCs w:val="15"/>
              </w:rPr>
              <w:t>70</w:t>
            </w:r>
          </w:p>
        </w:tc>
        <w:tc>
          <w:tcPr>
            <w:tcW w:w="706" w:type="dxa"/>
            <w:tcBorders>
              <w:bottom w:val="single" w:sz="4" w:space="0" w:color="00A0E9"/>
            </w:tcBorders>
            <w:vAlign w:val="center"/>
          </w:tcPr>
          <w:p w:rsidR="00C411DC" w:rsidRPr="002E0BDB" w:rsidRDefault="00C411DC" w:rsidP="007F40D7">
            <w:pPr>
              <w:jc w:val="center"/>
              <w:rPr>
                <w:rFonts w:ascii="宋体" w:eastAsia="宋体" w:hAnsi="宋体" w:cs="宋体"/>
                <w:sz w:val="15"/>
                <w:szCs w:val="15"/>
              </w:rPr>
            </w:pPr>
            <w:r w:rsidRPr="002E0BDB">
              <w:rPr>
                <w:rFonts w:ascii="宋体" w:eastAsia="宋体" w:hAnsi="宋体" w:hint="eastAsia"/>
                <w:sz w:val="15"/>
                <w:szCs w:val="15"/>
              </w:rPr>
              <w:t>1.3</w:t>
            </w:r>
          </w:p>
        </w:tc>
      </w:tr>
      <w:tr w:rsidR="00C411DC" w:rsidTr="007F40D7">
        <w:trPr>
          <w:trHeight w:val="127"/>
        </w:trPr>
        <w:tc>
          <w:tcPr>
            <w:tcW w:w="5273" w:type="dxa"/>
            <w:vMerge/>
            <w:tcMar>
              <w:left w:w="0" w:type="dxa"/>
              <w:right w:w="0" w:type="dxa"/>
            </w:tcMar>
            <w:vAlign w:val="center"/>
          </w:tcPr>
          <w:p w:rsidR="00C411DC" w:rsidRPr="002E0BDB" w:rsidRDefault="00C411DC" w:rsidP="007F40D7">
            <w:pPr>
              <w:jc w:val="center"/>
            </w:pPr>
          </w:p>
        </w:tc>
        <w:tc>
          <w:tcPr>
            <w:tcW w:w="226" w:type="dxa"/>
            <w:vMerge/>
            <w:tcMar>
              <w:left w:w="0" w:type="dxa"/>
              <w:right w:w="0" w:type="dxa"/>
            </w:tcMar>
          </w:tcPr>
          <w:p w:rsidR="00C411DC" w:rsidRPr="001C5C76" w:rsidRDefault="00C411DC" w:rsidP="007F40D7">
            <w:pPr>
              <w:pStyle w:val="a0"/>
              <w:spacing w:line="240" w:lineRule="auto"/>
              <w:ind w:left="0"/>
              <w:rPr>
                <w:color w:val="auto"/>
              </w:rPr>
            </w:pPr>
          </w:p>
        </w:tc>
        <w:tc>
          <w:tcPr>
            <w:tcW w:w="1164" w:type="dxa"/>
            <w:tcBorders>
              <w:bottom w:val="single" w:sz="4" w:space="0" w:color="00A0E9"/>
            </w:tcBorders>
            <w:tcMar>
              <w:left w:w="0" w:type="dxa"/>
              <w:right w:w="0" w:type="dxa"/>
            </w:tcMar>
            <w:vAlign w:val="center"/>
          </w:tcPr>
          <w:p w:rsidR="00C411DC" w:rsidRPr="002E0BDB" w:rsidRDefault="00C411DC" w:rsidP="007F40D7">
            <w:pPr>
              <w:jc w:val="center"/>
              <w:rPr>
                <w:rFonts w:ascii="宋体" w:eastAsia="宋体" w:hAnsi="宋体" w:cs="宋体"/>
                <w:sz w:val="15"/>
                <w:szCs w:val="15"/>
              </w:rPr>
            </w:pPr>
            <w:r w:rsidRPr="002E0BDB">
              <w:rPr>
                <w:rFonts w:ascii="宋体" w:eastAsia="宋体" w:hAnsi="宋体" w:hint="eastAsia"/>
                <w:sz w:val="15"/>
                <w:szCs w:val="15"/>
              </w:rPr>
              <w:t>富国新回报AB</w:t>
            </w:r>
          </w:p>
        </w:tc>
        <w:tc>
          <w:tcPr>
            <w:tcW w:w="1134" w:type="dxa"/>
            <w:tcBorders>
              <w:bottom w:val="single" w:sz="4" w:space="0" w:color="00A0E9"/>
            </w:tcBorders>
            <w:vAlign w:val="center"/>
          </w:tcPr>
          <w:p w:rsidR="00C411DC" w:rsidRPr="002E0BDB" w:rsidRDefault="00C411DC" w:rsidP="007F40D7">
            <w:pPr>
              <w:jc w:val="center"/>
              <w:rPr>
                <w:rFonts w:ascii="宋体" w:eastAsia="宋体" w:hAnsi="宋体" w:cs="宋体"/>
                <w:sz w:val="15"/>
                <w:szCs w:val="15"/>
              </w:rPr>
            </w:pPr>
            <w:r w:rsidRPr="002E0BDB">
              <w:rPr>
                <w:rFonts w:ascii="宋体" w:eastAsia="宋体" w:hAnsi="宋体" w:hint="eastAsia"/>
                <w:sz w:val="15"/>
                <w:szCs w:val="15"/>
              </w:rPr>
              <w:t>2014-11-26</w:t>
            </w:r>
          </w:p>
        </w:tc>
        <w:tc>
          <w:tcPr>
            <w:tcW w:w="708" w:type="dxa"/>
            <w:tcBorders>
              <w:bottom w:val="single" w:sz="4" w:space="0" w:color="00A0E9"/>
            </w:tcBorders>
            <w:vAlign w:val="center"/>
          </w:tcPr>
          <w:p w:rsidR="00C411DC" w:rsidRPr="002E0BDB" w:rsidRDefault="00C411DC" w:rsidP="007F40D7">
            <w:pPr>
              <w:jc w:val="center"/>
              <w:rPr>
                <w:rFonts w:ascii="宋体" w:eastAsia="宋体" w:hAnsi="宋体" w:cs="宋体"/>
                <w:sz w:val="15"/>
                <w:szCs w:val="15"/>
              </w:rPr>
            </w:pPr>
            <w:r w:rsidRPr="002E0BDB">
              <w:rPr>
                <w:rFonts w:ascii="宋体" w:eastAsia="宋体" w:hAnsi="宋体" w:hint="eastAsia"/>
                <w:sz w:val="15"/>
                <w:szCs w:val="15"/>
              </w:rPr>
              <w:t>6.50</w:t>
            </w:r>
          </w:p>
        </w:tc>
        <w:tc>
          <w:tcPr>
            <w:tcW w:w="709" w:type="dxa"/>
            <w:tcBorders>
              <w:bottom w:val="single" w:sz="4" w:space="0" w:color="00A0E9"/>
            </w:tcBorders>
            <w:vAlign w:val="center"/>
          </w:tcPr>
          <w:p w:rsidR="00C411DC" w:rsidRPr="002E0BDB" w:rsidRDefault="00C411DC" w:rsidP="007F40D7">
            <w:pPr>
              <w:jc w:val="center"/>
              <w:rPr>
                <w:rFonts w:ascii="宋体" w:eastAsia="宋体" w:hAnsi="宋体" w:cs="宋体"/>
                <w:sz w:val="15"/>
                <w:szCs w:val="15"/>
              </w:rPr>
            </w:pPr>
            <w:r w:rsidRPr="002E0BDB">
              <w:rPr>
                <w:rFonts w:ascii="宋体" w:eastAsia="宋体" w:hAnsi="宋体" w:hint="eastAsia"/>
                <w:sz w:val="15"/>
                <w:szCs w:val="15"/>
              </w:rPr>
              <w:t>-0.58</w:t>
            </w:r>
          </w:p>
        </w:tc>
        <w:tc>
          <w:tcPr>
            <w:tcW w:w="851" w:type="dxa"/>
            <w:tcBorders>
              <w:bottom w:val="single" w:sz="4" w:space="0" w:color="00A0E9"/>
            </w:tcBorders>
            <w:vAlign w:val="center"/>
          </w:tcPr>
          <w:p w:rsidR="00C411DC" w:rsidRPr="002E0BDB" w:rsidRDefault="00C411DC" w:rsidP="007F40D7">
            <w:pPr>
              <w:jc w:val="center"/>
              <w:rPr>
                <w:rFonts w:ascii="宋体" w:eastAsia="宋体" w:hAnsi="宋体" w:cs="宋体"/>
                <w:sz w:val="15"/>
                <w:szCs w:val="15"/>
              </w:rPr>
            </w:pPr>
            <w:r w:rsidRPr="002E0BDB">
              <w:rPr>
                <w:rFonts w:ascii="宋体" w:eastAsia="宋体" w:hAnsi="宋体" w:hint="eastAsia"/>
                <w:sz w:val="15"/>
                <w:szCs w:val="15"/>
              </w:rPr>
              <w:t>56</w:t>
            </w:r>
          </w:p>
        </w:tc>
        <w:tc>
          <w:tcPr>
            <w:tcW w:w="706" w:type="dxa"/>
            <w:tcBorders>
              <w:bottom w:val="single" w:sz="4" w:space="0" w:color="00A0E9"/>
            </w:tcBorders>
            <w:vAlign w:val="center"/>
          </w:tcPr>
          <w:p w:rsidR="00C411DC" w:rsidRPr="002E0BDB" w:rsidRDefault="00C411DC" w:rsidP="007F40D7">
            <w:pPr>
              <w:jc w:val="center"/>
              <w:rPr>
                <w:rFonts w:ascii="宋体" w:eastAsia="宋体" w:hAnsi="宋体" w:cs="宋体"/>
                <w:sz w:val="15"/>
                <w:szCs w:val="15"/>
              </w:rPr>
            </w:pPr>
            <w:r w:rsidRPr="002E0BDB">
              <w:rPr>
                <w:rFonts w:ascii="宋体" w:eastAsia="宋体" w:hAnsi="宋体" w:hint="eastAsia"/>
                <w:sz w:val="15"/>
                <w:szCs w:val="15"/>
              </w:rPr>
              <w:t>1.7</w:t>
            </w:r>
          </w:p>
        </w:tc>
      </w:tr>
      <w:tr w:rsidR="00C411DC" w:rsidTr="007F40D7">
        <w:trPr>
          <w:trHeight w:val="127"/>
        </w:trPr>
        <w:tc>
          <w:tcPr>
            <w:tcW w:w="5273" w:type="dxa"/>
            <w:vMerge/>
            <w:tcMar>
              <w:left w:w="0" w:type="dxa"/>
              <w:right w:w="0" w:type="dxa"/>
            </w:tcMar>
            <w:vAlign w:val="center"/>
          </w:tcPr>
          <w:p w:rsidR="00C411DC" w:rsidRPr="002E0BDB" w:rsidRDefault="00C411DC" w:rsidP="007F40D7">
            <w:pPr>
              <w:jc w:val="center"/>
            </w:pPr>
          </w:p>
        </w:tc>
        <w:tc>
          <w:tcPr>
            <w:tcW w:w="226" w:type="dxa"/>
            <w:vMerge/>
            <w:tcMar>
              <w:left w:w="0" w:type="dxa"/>
              <w:right w:w="0" w:type="dxa"/>
            </w:tcMar>
          </w:tcPr>
          <w:p w:rsidR="00C411DC" w:rsidRPr="001C5C76" w:rsidRDefault="00C411DC" w:rsidP="007F40D7">
            <w:pPr>
              <w:pStyle w:val="a0"/>
              <w:spacing w:line="240" w:lineRule="auto"/>
              <w:ind w:left="0"/>
              <w:rPr>
                <w:color w:val="auto"/>
              </w:rPr>
            </w:pPr>
          </w:p>
        </w:tc>
        <w:tc>
          <w:tcPr>
            <w:tcW w:w="1164" w:type="dxa"/>
            <w:tcBorders>
              <w:bottom w:val="single" w:sz="4" w:space="0" w:color="00A0E9"/>
            </w:tcBorders>
            <w:tcMar>
              <w:left w:w="0" w:type="dxa"/>
              <w:right w:w="0" w:type="dxa"/>
            </w:tcMar>
            <w:vAlign w:val="center"/>
          </w:tcPr>
          <w:p w:rsidR="00C411DC" w:rsidRPr="002E0BDB" w:rsidRDefault="00C411DC" w:rsidP="007F40D7">
            <w:pPr>
              <w:jc w:val="center"/>
              <w:rPr>
                <w:rFonts w:ascii="宋体" w:eastAsia="宋体" w:hAnsi="宋体" w:cs="宋体"/>
                <w:sz w:val="15"/>
                <w:szCs w:val="15"/>
              </w:rPr>
            </w:pPr>
            <w:r w:rsidRPr="002E0BDB">
              <w:rPr>
                <w:rFonts w:ascii="宋体" w:eastAsia="宋体" w:hAnsi="宋体" w:hint="eastAsia"/>
                <w:sz w:val="15"/>
                <w:szCs w:val="15"/>
              </w:rPr>
              <w:t>安信鑫发优选</w:t>
            </w:r>
          </w:p>
        </w:tc>
        <w:tc>
          <w:tcPr>
            <w:tcW w:w="1134" w:type="dxa"/>
            <w:tcBorders>
              <w:bottom w:val="single" w:sz="4" w:space="0" w:color="00A0E9"/>
            </w:tcBorders>
            <w:vAlign w:val="center"/>
          </w:tcPr>
          <w:p w:rsidR="00C411DC" w:rsidRPr="002E0BDB" w:rsidRDefault="00C411DC" w:rsidP="007F40D7">
            <w:pPr>
              <w:jc w:val="center"/>
              <w:rPr>
                <w:rFonts w:ascii="宋体" w:eastAsia="宋体" w:hAnsi="宋体" w:cs="宋体"/>
                <w:sz w:val="15"/>
                <w:szCs w:val="15"/>
              </w:rPr>
            </w:pPr>
            <w:r w:rsidRPr="002E0BDB">
              <w:rPr>
                <w:rFonts w:ascii="宋体" w:eastAsia="宋体" w:hAnsi="宋体" w:hint="eastAsia"/>
                <w:sz w:val="15"/>
                <w:szCs w:val="15"/>
              </w:rPr>
              <w:t>2013-12-31</w:t>
            </w:r>
          </w:p>
        </w:tc>
        <w:tc>
          <w:tcPr>
            <w:tcW w:w="708" w:type="dxa"/>
            <w:tcBorders>
              <w:bottom w:val="single" w:sz="4" w:space="0" w:color="00A0E9"/>
            </w:tcBorders>
            <w:vAlign w:val="center"/>
          </w:tcPr>
          <w:p w:rsidR="00C411DC" w:rsidRPr="002E0BDB" w:rsidRDefault="00C411DC" w:rsidP="007F40D7">
            <w:pPr>
              <w:jc w:val="center"/>
              <w:rPr>
                <w:rFonts w:ascii="宋体" w:eastAsia="宋体" w:hAnsi="宋体" w:cs="宋体"/>
                <w:sz w:val="15"/>
                <w:szCs w:val="15"/>
              </w:rPr>
            </w:pPr>
            <w:r w:rsidRPr="002E0BDB">
              <w:rPr>
                <w:rFonts w:ascii="宋体" w:eastAsia="宋体" w:hAnsi="宋体" w:hint="eastAsia"/>
                <w:sz w:val="15"/>
                <w:szCs w:val="15"/>
              </w:rPr>
              <w:t>9.09</w:t>
            </w:r>
          </w:p>
        </w:tc>
        <w:tc>
          <w:tcPr>
            <w:tcW w:w="709" w:type="dxa"/>
            <w:tcBorders>
              <w:bottom w:val="single" w:sz="4" w:space="0" w:color="00A0E9"/>
            </w:tcBorders>
            <w:vAlign w:val="center"/>
          </w:tcPr>
          <w:p w:rsidR="00C411DC" w:rsidRPr="002E0BDB" w:rsidRDefault="00C411DC" w:rsidP="007F40D7">
            <w:pPr>
              <w:jc w:val="center"/>
              <w:rPr>
                <w:rFonts w:ascii="宋体" w:eastAsia="宋体" w:hAnsi="宋体" w:cs="宋体"/>
                <w:sz w:val="15"/>
                <w:szCs w:val="15"/>
              </w:rPr>
            </w:pPr>
            <w:r w:rsidRPr="002E0BDB">
              <w:rPr>
                <w:rFonts w:ascii="宋体" w:eastAsia="宋体" w:hAnsi="宋体" w:hint="eastAsia"/>
                <w:sz w:val="15"/>
                <w:szCs w:val="15"/>
              </w:rPr>
              <w:t>-0.59</w:t>
            </w:r>
          </w:p>
        </w:tc>
        <w:tc>
          <w:tcPr>
            <w:tcW w:w="851" w:type="dxa"/>
            <w:tcBorders>
              <w:bottom w:val="single" w:sz="4" w:space="0" w:color="00A0E9"/>
            </w:tcBorders>
            <w:vAlign w:val="center"/>
          </w:tcPr>
          <w:p w:rsidR="00C411DC" w:rsidRPr="002E0BDB" w:rsidRDefault="00C411DC" w:rsidP="007F40D7">
            <w:pPr>
              <w:jc w:val="center"/>
              <w:rPr>
                <w:rFonts w:ascii="宋体" w:eastAsia="宋体" w:hAnsi="宋体" w:cs="宋体"/>
                <w:sz w:val="15"/>
                <w:szCs w:val="15"/>
              </w:rPr>
            </w:pPr>
            <w:r w:rsidRPr="002E0BDB">
              <w:rPr>
                <w:rFonts w:ascii="宋体" w:eastAsia="宋体" w:hAnsi="宋体" w:hint="eastAsia"/>
                <w:sz w:val="15"/>
                <w:szCs w:val="15"/>
              </w:rPr>
              <w:t>55</w:t>
            </w:r>
          </w:p>
        </w:tc>
        <w:tc>
          <w:tcPr>
            <w:tcW w:w="706" w:type="dxa"/>
            <w:tcBorders>
              <w:bottom w:val="single" w:sz="4" w:space="0" w:color="00A0E9"/>
            </w:tcBorders>
            <w:vAlign w:val="center"/>
          </w:tcPr>
          <w:p w:rsidR="00C411DC" w:rsidRPr="002E0BDB" w:rsidRDefault="00C411DC" w:rsidP="007F40D7">
            <w:pPr>
              <w:jc w:val="center"/>
              <w:rPr>
                <w:rFonts w:ascii="宋体" w:eastAsia="宋体" w:hAnsi="宋体" w:cs="宋体"/>
                <w:sz w:val="15"/>
                <w:szCs w:val="15"/>
              </w:rPr>
            </w:pPr>
            <w:r w:rsidRPr="002E0BDB">
              <w:rPr>
                <w:rFonts w:ascii="宋体" w:eastAsia="宋体" w:hAnsi="宋体" w:hint="eastAsia"/>
                <w:sz w:val="15"/>
                <w:szCs w:val="15"/>
              </w:rPr>
              <w:t>2.8</w:t>
            </w:r>
          </w:p>
        </w:tc>
      </w:tr>
      <w:tr w:rsidR="00C411DC" w:rsidTr="007F40D7">
        <w:trPr>
          <w:trHeight w:val="127"/>
        </w:trPr>
        <w:tc>
          <w:tcPr>
            <w:tcW w:w="5273" w:type="dxa"/>
            <w:vMerge/>
            <w:tcMar>
              <w:left w:w="0" w:type="dxa"/>
              <w:right w:w="0" w:type="dxa"/>
            </w:tcMar>
            <w:vAlign w:val="center"/>
          </w:tcPr>
          <w:p w:rsidR="00C411DC" w:rsidRPr="002E0BDB" w:rsidRDefault="00C411DC" w:rsidP="007F40D7">
            <w:pPr>
              <w:jc w:val="center"/>
            </w:pPr>
          </w:p>
        </w:tc>
        <w:tc>
          <w:tcPr>
            <w:tcW w:w="226" w:type="dxa"/>
            <w:vMerge/>
            <w:tcMar>
              <w:left w:w="0" w:type="dxa"/>
              <w:right w:w="0" w:type="dxa"/>
            </w:tcMar>
          </w:tcPr>
          <w:p w:rsidR="00C411DC" w:rsidRPr="001C5C76" w:rsidRDefault="00C411DC" w:rsidP="007F40D7">
            <w:pPr>
              <w:pStyle w:val="a0"/>
              <w:spacing w:line="240" w:lineRule="auto"/>
              <w:ind w:left="0"/>
              <w:rPr>
                <w:color w:val="auto"/>
              </w:rPr>
            </w:pPr>
          </w:p>
        </w:tc>
        <w:tc>
          <w:tcPr>
            <w:tcW w:w="1164" w:type="dxa"/>
            <w:tcBorders>
              <w:bottom w:val="single" w:sz="4" w:space="0" w:color="00A0E9"/>
            </w:tcBorders>
            <w:tcMar>
              <w:left w:w="0" w:type="dxa"/>
              <w:right w:w="0" w:type="dxa"/>
            </w:tcMar>
            <w:vAlign w:val="center"/>
          </w:tcPr>
          <w:p w:rsidR="00C411DC" w:rsidRPr="002E0BDB" w:rsidRDefault="00C411DC" w:rsidP="007F40D7">
            <w:pPr>
              <w:jc w:val="center"/>
              <w:rPr>
                <w:rFonts w:ascii="宋体" w:eastAsia="宋体" w:hAnsi="宋体" w:cs="宋体"/>
                <w:bCs/>
                <w:sz w:val="15"/>
                <w:szCs w:val="15"/>
              </w:rPr>
            </w:pPr>
            <w:proofErr w:type="gramStart"/>
            <w:r w:rsidRPr="002E0BDB">
              <w:rPr>
                <w:rFonts w:ascii="宋体" w:eastAsia="宋体" w:hAnsi="宋体" w:hint="eastAsia"/>
                <w:bCs/>
                <w:sz w:val="15"/>
                <w:szCs w:val="15"/>
              </w:rPr>
              <w:t>国投瑞银</w:t>
            </w:r>
            <w:proofErr w:type="gramEnd"/>
            <w:r w:rsidRPr="002E0BDB">
              <w:rPr>
                <w:rFonts w:ascii="宋体" w:eastAsia="宋体" w:hAnsi="宋体" w:hint="eastAsia"/>
                <w:bCs/>
                <w:sz w:val="15"/>
                <w:szCs w:val="15"/>
              </w:rPr>
              <w:t>新回报</w:t>
            </w:r>
          </w:p>
        </w:tc>
        <w:tc>
          <w:tcPr>
            <w:tcW w:w="1134" w:type="dxa"/>
            <w:tcBorders>
              <w:bottom w:val="single" w:sz="4" w:space="0" w:color="00A0E9"/>
            </w:tcBorders>
            <w:vAlign w:val="center"/>
          </w:tcPr>
          <w:p w:rsidR="00C411DC" w:rsidRPr="002E0BDB" w:rsidRDefault="00C411DC" w:rsidP="007F40D7">
            <w:pPr>
              <w:jc w:val="center"/>
              <w:rPr>
                <w:rFonts w:ascii="宋体" w:eastAsia="宋体" w:hAnsi="宋体" w:cs="宋体"/>
                <w:sz w:val="15"/>
                <w:szCs w:val="15"/>
              </w:rPr>
            </w:pPr>
            <w:r w:rsidRPr="002E0BDB">
              <w:rPr>
                <w:rFonts w:ascii="宋体" w:eastAsia="宋体" w:hAnsi="宋体" w:hint="eastAsia"/>
                <w:sz w:val="15"/>
                <w:szCs w:val="15"/>
              </w:rPr>
              <w:t>2015-3-20</w:t>
            </w:r>
          </w:p>
        </w:tc>
        <w:tc>
          <w:tcPr>
            <w:tcW w:w="708" w:type="dxa"/>
            <w:tcBorders>
              <w:bottom w:val="single" w:sz="4" w:space="0" w:color="00A0E9"/>
            </w:tcBorders>
            <w:vAlign w:val="center"/>
          </w:tcPr>
          <w:p w:rsidR="00C411DC" w:rsidRPr="002E0BDB" w:rsidRDefault="00C411DC" w:rsidP="007F40D7">
            <w:pPr>
              <w:jc w:val="center"/>
              <w:rPr>
                <w:rFonts w:ascii="宋体" w:eastAsia="宋体" w:hAnsi="宋体" w:cs="宋体"/>
                <w:sz w:val="15"/>
                <w:szCs w:val="15"/>
              </w:rPr>
            </w:pPr>
            <w:r w:rsidRPr="002E0BDB">
              <w:rPr>
                <w:rFonts w:ascii="宋体" w:eastAsia="宋体" w:hAnsi="宋体" w:hint="eastAsia"/>
                <w:sz w:val="15"/>
                <w:szCs w:val="15"/>
              </w:rPr>
              <w:t>3.70</w:t>
            </w:r>
          </w:p>
        </w:tc>
        <w:tc>
          <w:tcPr>
            <w:tcW w:w="709" w:type="dxa"/>
            <w:tcBorders>
              <w:bottom w:val="single" w:sz="4" w:space="0" w:color="00A0E9"/>
            </w:tcBorders>
            <w:vAlign w:val="center"/>
          </w:tcPr>
          <w:p w:rsidR="00C411DC" w:rsidRPr="002E0BDB" w:rsidRDefault="00C411DC" w:rsidP="007F40D7">
            <w:pPr>
              <w:jc w:val="center"/>
              <w:rPr>
                <w:rFonts w:ascii="宋体" w:eastAsia="宋体" w:hAnsi="宋体" w:cs="宋体"/>
                <w:sz w:val="15"/>
                <w:szCs w:val="15"/>
              </w:rPr>
            </w:pPr>
            <w:r w:rsidRPr="002E0BDB">
              <w:rPr>
                <w:rFonts w:ascii="宋体" w:eastAsia="宋体" w:hAnsi="宋体" w:hint="eastAsia"/>
                <w:sz w:val="15"/>
                <w:szCs w:val="15"/>
              </w:rPr>
              <w:t>-0.30</w:t>
            </w:r>
          </w:p>
        </w:tc>
        <w:tc>
          <w:tcPr>
            <w:tcW w:w="851" w:type="dxa"/>
            <w:tcBorders>
              <w:bottom w:val="single" w:sz="4" w:space="0" w:color="00A0E9"/>
            </w:tcBorders>
            <w:vAlign w:val="center"/>
          </w:tcPr>
          <w:p w:rsidR="00C411DC" w:rsidRPr="002E0BDB" w:rsidRDefault="00C411DC" w:rsidP="007F40D7">
            <w:pPr>
              <w:jc w:val="center"/>
              <w:rPr>
                <w:rFonts w:ascii="宋体" w:eastAsia="宋体" w:hAnsi="宋体" w:cs="宋体"/>
                <w:sz w:val="15"/>
                <w:szCs w:val="15"/>
              </w:rPr>
            </w:pPr>
            <w:r w:rsidRPr="002E0BDB">
              <w:rPr>
                <w:rFonts w:ascii="宋体" w:eastAsia="宋体" w:hAnsi="宋体" w:hint="eastAsia"/>
                <w:sz w:val="15"/>
                <w:szCs w:val="15"/>
              </w:rPr>
              <w:t>54</w:t>
            </w:r>
          </w:p>
        </w:tc>
        <w:tc>
          <w:tcPr>
            <w:tcW w:w="706" w:type="dxa"/>
            <w:tcBorders>
              <w:bottom w:val="single" w:sz="4" w:space="0" w:color="00A0E9"/>
            </w:tcBorders>
            <w:vAlign w:val="center"/>
          </w:tcPr>
          <w:p w:rsidR="00C411DC" w:rsidRPr="002E0BDB" w:rsidRDefault="00C411DC" w:rsidP="007F40D7">
            <w:pPr>
              <w:jc w:val="center"/>
              <w:rPr>
                <w:rFonts w:ascii="宋体" w:eastAsia="宋体" w:hAnsi="宋体" w:cs="宋体"/>
                <w:sz w:val="15"/>
                <w:szCs w:val="15"/>
              </w:rPr>
            </w:pPr>
            <w:r w:rsidRPr="002E0BDB">
              <w:rPr>
                <w:rFonts w:ascii="宋体" w:eastAsia="宋体" w:hAnsi="宋体" w:hint="eastAsia"/>
                <w:sz w:val="15"/>
                <w:szCs w:val="15"/>
              </w:rPr>
              <w:t>1.5</w:t>
            </w:r>
          </w:p>
        </w:tc>
      </w:tr>
      <w:tr w:rsidR="00C411DC" w:rsidTr="007F40D7">
        <w:trPr>
          <w:trHeight w:val="127"/>
        </w:trPr>
        <w:tc>
          <w:tcPr>
            <w:tcW w:w="5273" w:type="dxa"/>
            <w:vMerge/>
            <w:tcMar>
              <w:left w:w="0" w:type="dxa"/>
              <w:right w:w="0" w:type="dxa"/>
            </w:tcMar>
            <w:vAlign w:val="center"/>
          </w:tcPr>
          <w:p w:rsidR="00C411DC" w:rsidRPr="002E0BDB" w:rsidRDefault="00C411DC" w:rsidP="007F40D7">
            <w:pPr>
              <w:jc w:val="center"/>
            </w:pPr>
          </w:p>
        </w:tc>
        <w:tc>
          <w:tcPr>
            <w:tcW w:w="226" w:type="dxa"/>
            <w:vMerge/>
            <w:tcMar>
              <w:left w:w="0" w:type="dxa"/>
              <w:right w:w="0" w:type="dxa"/>
            </w:tcMar>
          </w:tcPr>
          <w:p w:rsidR="00C411DC" w:rsidRPr="001C5C76" w:rsidRDefault="00C411DC" w:rsidP="007F40D7">
            <w:pPr>
              <w:pStyle w:val="a0"/>
              <w:spacing w:line="240" w:lineRule="auto"/>
              <w:ind w:left="0"/>
              <w:rPr>
                <w:color w:val="auto"/>
              </w:rPr>
            </w:pPr>
          </w:p>
        </w:tc>
        <w:tc>
          <w:tcPr>
            <w:tcW w:w="1164" w:type="dxa"/>
            <w:tcBorders>
              <w:bottom w:val="single" w:sz="4" w:space="0" w:color="00A0E9"/>
            </w:tcBorders>
            <w:tcMar>
              <w:left w:w="0" w:type="dxa"/>
              <w:right w:w="0" w:type="dxa"/>
            </w:tcMar>
            <w:vAlign w:val="center"/>
          </w:tcPr>
          <w:p w:rsidR="00C411DC" w:rsidRPr="002E0BDB" w:rsidRDefault="00C411DC" w:rsidP="007F40D7">
            <w:pPr>
              <w:jc w:val="center"/>
              <w:rPr>
                <w:rFonts w:ascii="宋体" w:eastAsia="宋体" w:hAnsi="宋体" w:cs="宋体"/>
                <w:sz w:val="15"/>
                <w:szCs w:val="15"/>
              </w:rPr>
            </w:pPr>
            <w:r w:rsidRPr="002E0BDB">
              <w:rPr>
                <w:rFonts w:ascii="宋体" w:eastAsia="宋体" w:hAnsi="宋体" w:hint="eastAsia"/>
                <w:sz w:val="15"/>
                <w:szCs w:val="15"/>
              </w:rPr>
              <w:t>中</w:t>
            </w:r>
            <w:proofErr w:type="gramStart"/>
            <w:r w:rsidRPr="002E0BDB">
              <w:rPr>
                <w:rFonts w:ascii="宋体" w:eastAsia="宋体" w:hAnsi="宋体" w:hint="eastAsia"/>
                <w:sz w:val="15"/>
                <w:szCs w:val="15"/>
              </w:rPr>
              <w:t>海积极</w:t>
            </w:r>
            <w:proofErr w:type="gramEnd"/>
            <w:r w:rsidRPr="002E0BDB">
              <w:rPr>
                <w:rFonts w:ascii="宋体" w:eastAsia="宋体" w:hAnsi="宋体" w:hint="eastAsia"/>
                <w:sz w:val="15"/>
                <w:szCs w:val="15"/>
              </w:rPr>
              <w:t>收益</w:t>
            </w:r>
          </w:p>
        </w:tc>
        <w:tc>
          <w:tcPr>
            <w:tcW w:w="1134" w:type="dxa"/>
            <w:tcBorders>
              <w:bottom w:val="single" w:sz="4" w:space="0" w:color="00A0E9"/>
            </w:tcBorders>
            <w:vAlign w:val="center"/>
          </w:tcPr>
          <w:p w:rsidR="00C411DC" w:rsidRPr="002E0BDB" w:rsidRDefault="00C411DC" w:rsidP="007F40D7">
            <w:pPr>
              <w:jc w:val="center"/>
              <w:rPr>
                <w:rFonts w:ascii="宋体" w:eastAsia="宋体" w:hAnsi="宋体" w:cs="宋体"/>
                <w:sz w:val="15"/>
                <w:szCs w:val="15"/>
              </w:rPr>
            </w:pPr>
            <w:r w:rsidRPr="002E0BDB">
              <w:rPr>
                <w:rFonts w:ascii="宋体" w:eastAsia="宋体" w:hAnsi="宋体" w:hint="eastAsia"/>
                <w:sz w:val="15"/>
                <w:szCs w:val="15"/>
              </w:rPr>
              <w:t>2014-5-26</w:t>
            </w:r>
          </w:p>
        </w:tc>
        <w:tc>
          <w:tcPr>
            <w:tcW w:w="708" w:type="dxa"/>
            <w:tcBorders>
              <w:bottom w:val="single" w:sz="4" w:space="0" w:color="00A0E9"/>
            </w:tcBorders>
            <w:vAlign w:val="center"/>
          </w:tcPr>
          <w:p w:rsidR="00C411DC" w:rsidRPr="002E0BDB" w:rsidRDefault="00C411DC" w:rsidP="007F40D7">
            <w:pPr>
              <w:jc w:val="center"/>
              <w:rPr>
                <w:rFonts w:ascii="宋体" w:eastAsia="宋体" w:hAnsi="宋体" w:cs="宋体"/>
                <w:sz w:val="15"/>
                <w:szCs w:val="15"/>
              </w:rPr>
            </w:pPr>
            <w:r w:rsidRPr="002E0BDB">
              <w:rPr>
                <w:rFonts w:ascii="宋体" w:eastAsia="宋体" w:hAnsi="宋体" w:hint="eastAsia"/>
                <w:sz w:val="15"/>
                <w:szCs w:val="15"/>
              </w:rPr>
              <w:t>4.87</w:t>
            </w:r>
          </w:p>
        </w:tc>
        <w:tc>
          <w:tcPr>
            <w:tcW w:w="709" w:type="dxa"/>
            <w:tcBorders>
              <w:bottom w:val="single" w:sz="4" w:space="0" w:color="00A0E9"/>
            </w:tcBorders>
            <w:vAlign w:val="center"/>
          </w:tcPr>
          <w:p w:rsidR="00C411DC" w:rsidRPr="002E0BDB" w:rsidRDefault="00C411DC" w:rsidP="007F40D7">
            <w:pPr>
              <w:jc w:val="center"/>
              <w:rPr>
                <w:rFonts w:ascii="宋体" w:eastAsia="宋体" w:hAnsi="宋体" w:cs="宋体"/>
                <w:sz w:val="15"/>
                <w:szCs w:val="15"/>
              </w:rPr>
            </w:pPr>
            <w:r w:rsidRPr="002E0BDB">
              <w:rPr>
                <w:rFonts w:ascii="宋体" w:eastAsia="宋体" w:hAnsi="宋体" w:hint="eastAsia"/>
                <w:sz w:val="15"/>
                <w:szCs w:val="15"/>
              </w:rPr>
              <w:t>-1.33</w:t>
            </w:r>
          </w:p>
        </w:tc>
        <w:tc>
          <w:tcPr>
            <w:tcW w:w="851" w:type="dxa"/>
            <w:tcBorders>
              <w:bottom w:val="single" w:sz="4" w:space="0" w:color="00A0E9"/>
            </w:tcBorders>
            <w:vAlign w:val="center"/>
          </w:tcPr>
          <w:p w:rsidR="00C411DC" w:rsidRPr="002E0BDB" w:rsidRDefault="00C411DC" w:rsidP="007F40D7">
            <w:pPr>
              <w:jc w:val="center"/>
              <w:rPr>
                <w:rFonts w:ascii="宋体" w:eastAsia="宋体" w:hAnsi="宋体" w:cs="宋体"/>
                <w:sz w:val="15"/>
                <w:szCs w:val="15"/>
              </w:rPr>
            </w:pPr>
            <w:r w:rsidRPr="002E0BDB">
              <w:rPr>
                <w:rFonts w:ascii="宋体" w:eastAsia="宋体" w:hAnsi="宋体" w:hint="eastAsia"/>
                <w:sz w:val="15"/>
                <w:szCs w:val="15"/>
              </w:rPr>
              <w:t>45</w:t>
            </w:r>
          </w:p>
        </w:tc>
        <w:tc>
          <w:tcPr>
            <w:tcW w:w="706" w:type="dxa"/>
            <w:tcBorders>
              <w:bottom w:val="single" w:sz="4" w:space="0" w:color="00A0E9"/>
            </w:tcBorders>
            <w:vAlign w:val="center"/>
          </w:tcPr>
          <w:p w:rsidR="00C411DC" w:rsidRPr="002E0BDB" w:rsidRDefault="00C411DC" w:rsidP="007F40D7">
            <w:pPr>
              <w:jc w:val="center"/>
              <w:rPr>
                <w:rFonts w:ascii="宋体" w:eastAsia="宋体" w:hAnsi="宋体" w:cs="宋体"/>
                <w:sz w:val="15"/>
                <w:szCs w:val="15"/>
              </w:rPr>
            </w:pPr>
            <w:r w:rsidRPr="002E0BDB">
              <w:rPr>
                <w:rFonts w:ascii="宋体" w:eastAsia="宋体" w:hAnsi="宋体" w:hint="eastAsia"/>
                <w:sz w:val="15"/>
                <w:szCs w:val="15"/>
              </w:rPr>
              <w:t>1.1</w:t>
            </w:r>
          </w:p>
        </w:tc>
      </w:tr>
      <w:tr w:rsidR="00C411DC" w:rsidTr="007F40D7">
        <w:trPr>
          <w:trHeight w:val="127"/>
        </w:trPr>
        <w:tc>
          <w:tcPr>
            <w:tcW w:w="5273" w:type="dxa"/>
            <w:vMerge/>
            <w:tcMar>
              <w:left w:w="0" w:type="dxa"/>
              <w:right w:w="0" w:type="dxa"/>
            </w:tcMar>
            <w:vAlign w:val="center"/>
          </w:tcPr>
          <w:p w:rsidR="00C411DC" w:rsidRPr="002E0BDB" w:rsidRDefault="00C411DC" w:rsidP="007F40D7">
            <w:pPr>
              <w:jc w:val="center"/>
            </w:pPr>
          </w:p>
        </w:tc>
        <w:tc>
          <w:tcPr>
            <w:tcW w:w="226" w:type="dxa"/>
            <w:vMerge/>
            <w:tcMar>
              <w:left w:w="0" w:type="dxa"/>
              <w:right w:w="0" w:type="dxa"/>
            </w:tcMar>
          </w:tcPr>
          <w:p w:rsidR="00C411DC" w:rsidRPr="001C5C76" w:rsidRDefault="00C411DC" w:rsidP="007F40D7">
            <w:pPr>
              <w:pStyle w:val="a0"/>
              <w:spacing w:line="240" w:lineRule="auto"/>
              <w:ind w:left="0"/>
              <w:rPr>
                <w:color w:val="auto"/>
              </w:rPr>
            </w:pPr>
          </w:p>
        </w:tc>
        <w:tc>
          <w:tcPr>
            <w:tcW w:w="1164" w:type="dxa"/>
            <w:tcBorders>
              <w:bottom w:val="single" w:sz="4" w:space="0" w:color="00A0E9"/>
            </w:tcBorders>
            <w:tcMar>
              <w:left w:w="0" w:type="dxa"/>
              <w:right w:w="0" w:type="dxa"/>
            </w:tcMar>
            <w:vAlign w:val="center"/>
          </w:tcPr>
          <w:p w:rsidR="00C411DC" w:rsidRPr="002E0BDB" w:rsidRDefault="00C411DC" w:rsidP="007F40D7">
            <w:pPr>
              <w:jc w:val="center"/>
              <w:rPr>
                <w:rFonts w:ascii="宋体" w:eastAsia="宋体" w:hAnsi="宋体" w:cs="宋体"/>
                <w:bCs/>
                <w:sz w:val="15"/>
                <w:szCs w:val="15"/>
              </w:rPr>
            </w:pPr>
            <w:proofErr w:type="gramStart"/>
            <w:r w:rsidRPr="002E0BDB">
              <w:rPr>
                <w:rFonts w:ascii="宋体" w:eastAsia="宋体" w:hAnsi="宋体" w:hint="eastAsia"/>
                <w:bCs/>
                <w:sz w:val="15"/>
                <w:szCs w:val="15"/>
              </w:rPr>
              <w:t>中欧瑾泉</w:t>
            </w:r>
            <w:proofErr w:type="gramEnd"/>
            <w:r w:rsidRPr="002E0BDB">
              <w:rPr>
                <w:rFonts w:ascii="宋体" w:eastAsia="宋体" w:hAnsi="宋体" w:hint="eastAsia"/>
                <w:bCs/>
                <w:sz w:val="15"/>
                <w:szCs w:val="15"/>
              </w:rPr>
              <w:t>A</w:t>
            </w:r>
          </w:p>
        </w:tc>
        <w:tc>
          <w:tcPr>
            <w:tcW w:w="1134" w:type="dxa"/>
            <w:tcBorders>
              <w:bottom w:val="single" w:sz="4" w:space="0" w:color="00A0E9"/>
            </w:tcBorders>
            <w:vAlign w:val="center"/>
          </w:tcPr>
          <w:p w:rsidR="00C411DC" w:rsidRPr="002E0BDB" w:rsidRDefault="00C411DC" w:rsidP="007F40D7">
            <w:pPr>
              <w:jc w:val="center"/>
              <w:rPr>
                <w:rFonts w:ascii="宋体" w:eastAsia="宋体" w:hAnsi="宋体" w:cs="宋体"/>
                <w:sz w:val="15"/>
                <w:szCs w:val="15"/>
              </w:rPr>
            </w:pPr>
            <w:r w:rsidRPr="002E0BDB">
              <w:rPr>
                <w:rFonts w:ascii="宋体" w:eastAsia="宋体" w:hAnsi="宋体" w:hint="eastAsia"/>
                <w:sz w:val="15"/>
                <w:szCs w:val="15"/>
              </w:rPr>
              <w:t>2015-3-16</w:t>
            </w:r>
          </w:p>
        </w:tc>
        <w:tc>
          <w:tcPr>
            <w:tcW w:w="708" w:type="dxa"/>
            <w:tcBorders>
              <w:bottom w:val="single" w:sz="4" w:space="0" w:color="00A0E9"/>
            </w:tcBorders>
            <w:vAlign w:val="center"/>
          </w:tcPr>
          <w:p w:rsidR="00C411DC" w:rsidRPr="002E0BDB" w:rsidRDefault="00C411DC" w:rsidP="007F40D7">
            <w:pPr>
              <w:jc w:val="center"/>
              <w:rPr>
                <w:rFonts w:ascii="宋体" w:eastAsia="宋体" w:hAnsi="宋体" w:cs="宋体"/>
                <w:sz w:val="15"/>
                <w:szCs w:val="15"/>
              </w:rPr>
            </w:pPr>
            <w:r w:rsidRPr="002E0BDB">
              <w:rPr>
                <w:rFonts w:ascii="宋体" w:eastAsia="宋体" w:hAnsi="宋体" w:hint="eastAsia"/>
                <w:sz w:val="15"/>
                <w:szCs w:val="15"/>
              </w:rPr>
              <w:t>5.60</w:t>
            </w:r>
          </w:p>
        </w:tc>
        <w:tc>
          <w:tcPr>
            <w:tcW w:w="709" w:type="dxa"/>
            <w:tcBorders>
              <w:bottom w:val="single" w:sz="4" w:space="0" w:color="00A0E9"/>
            </w:tcBorders>
            <w:vAlign w:val="center"/>
          </w:tcPr>
          <w:p w:rsidR="00C411DC" w:rsidRPr="002E0BDB" w:rsidRDefault="00C411DC" w:rsidP="007F40D7">
            <w:pPr>
              <w:jc w:val="center"/>
              <w:rPr>
                <w:rFonts w:ascii="宋体" w:eastAsia="宋体" w:hAnsi="宋体" w:cs="宋体"/>
                <w:sz w:val="15"/>
                <w:szCs w:val="15"/>
              </w:rPr>
            </w:pPr>
            <w:r w:rsidRPr="002E0BDB">
              <w:rPr>
                <w:rFonts w:ascii="宋体" w:eastAsia="宋体" w:hAnsi="宋体" w:hint="eastAsia"/>
                <w:sz w:val="15"/>
                <w:szCs w:val="15"/>
              </w:rPr>
              <w:t>-0.29</w:t>
            </w:r>
          </w:p>
        </w:tc>
        <w:tc>
          <w:tcPr>
            <w:tcW w:w="851" w:type="dxa"/>
            <w:tcBorders>
              <w:bottom w:val="single" w:sz="4" w:space="0" w:color="00A0E9"/>
            </w:tcBorders>
            <w:vAlign w:val="center"/>
          </w:tcPr>
          <w:p w:rsidR="00C411DC" w:rsidRPr="002E0BDB" w:rsidRDefault="00C411DC" w:rsidP="007F40D7">
            <w:pPr>
              <w:jc w:val="center"/>
              <w:rPr>
                <w:rFonts w:ascii="宋体" w:eastAsia="宋体" w:hAnsi="宋体" w:cs="宋体"/>
                <w:sz w:val="15"/>
                <w:szCs w:val="15"/>
              </w:rPr>
            </w:pPr>
            <w:r w:rsidRPr="002E0BDB">
              <w:rPr>
                <w:rFonts w:ascii="宋体" w:eastAsia="宋体" w:hAnsi="宋体" w:hint="eastAsia"/>
                <w:sz w:val="15"/>
                <w:szCs w:val="15"/>
              </w:rPr>
              <w:t>44</w:t>
            </w:r>
          </w:p>
        </w:tc>
        <w:tc>
          <w:tcPr>
            <w:tcW w:w="706" w:type="dxa"/>
            <w:tcBorders>
              <w:bottom w:val="single" w:sz="4" w:space="0" w:color="00A0E9"/>
            </w:tcBorders>
            <w:vAlign w:val="center"/>
          </w:tcPr>
          <w:p w:rsidR="00C411DC" w:rsidRPr="002E0BDB" w:rsidRDefault="00C411DC" w:rsidP="007F40D7">
            <w:pPr>
              <w:jc w:val="center"/>
              <w:rPr>
                <w:rFonts w:ascii="宋体" w:eastAsia="宋体" w:hAnsi="宋体" w:cs="宋体"/>
                <w:sz w:val="15"/>
                <w:szCs w:val="15"/>
              </w:rPr>
            </w:pPr>
            <w:r w:rsidRPr="002E0BDB">
              <w:rPr>
                <w:rFonts w:ascii="宋体" w:eastAsia="宋体" w:hAnsi="宋体" w:hint="eastAsia"/>
                <w:sz w:val="15"/>
                <w:szCs w:val="15"/>
              </w:rPr>
              <w:t>3.4</w:t>
            </w:r>
          </w:p>
        </w:tc>
      </w:tr>
      <w:tr w:rsidR="00C411DC" w:rsidTr="007F40D7">
        <w:trPr>
          <w:trHeight w:val="127"/>
        </w:trPr>
        <w:tc>
          <w:tcPr>
            <w:tcW w:w="5273" w:type="dxa"/>
            <w:vMerge/>
            <w:tcMar>
              <w:left w:w="0" w:type="dxa"/>
              <w:right w:w="0" w:type="dxa"/>
            </w:tcMar>
            <w:vAlign w:val="center"/>
          </w:tcPr>
          <w:p w:rsidR="00C411DC" w:rsidRPr="002E0BDB" w:rsidRDefault="00C411DC" w:rsidP="007F40D7">
            <w:pPr>
              <w:jc w:val="center"/>
            </w:pPr>
          </w:p>
        </w:tc>
        <w:tc>
          <w:tcPr>
            <w:tcW w:w="226" w:type="dxa"/>
            <w:vMerge/>
            <w:tcMar>
              <w:left w:w="0" w:type="dxa"/>
              <w:right w:w="0" w:type="dxa"/>
            </w:tcMar>
          </w:tcPr>
          <w:p w:rsidR="00C411DC" w:rsidRPr="001C5C76" w:rsidRDefault="00C411DC" w:rsidP="007F40D7">
            <w:pPr>
              <w:pStyle w:val="a0"/>
              <w:spacing w:line="240" w:lineRule="auto"/>
              <w:ind w:left="0"/>
              <w:rPr>
                <w:color w:val="auto"/>
              </w:rPr>
            </w:pPr>
          </w:p>
        </w:tc>
        <w:tc>
          <w:tcPr>
            <w:tcW w:w="1164" w:type="dxa"/>
            <w:tcBorders>
              <w:bottom w:val="single" w:sz="4" w:space="0" w:color="00A0E9"/>
            </w:tcBorders>
            <w:tcMar>
              <w:left w:w="0" w:type="dxa"/>
              <w:right w:w="0" w:type="dxa"/>
            </w:tcMar>
            <w:vAlign w:val="center"/>
          </w:tcPr>
          <w:p w:rsidR="00C411DC" w:rsidRPr="002E0BDB" w:rsidRDefault="00C411DC" w:rsidP="007F40D7">
            <w:pPr>
              <w:jc w:val="center"/>
              <w:rPr>
                <w:rFonts w:ascii="宋体" w:eastAsia="宋体" w:hAnsi="宋体" w:cs="宋体"/>
                <w:sz w:val="15"/>
                <w:szCs w:val="15"/>
              </w:rPr>
            </w:pPr>
            <w:r w:rsidRPr="002E0BDB">
              <w:rPr>
                <w:rFonts w:ascii="宋体" w:eastAsia="宋体" w:hAnsi="宋体" w:hint="eastAsia"/>
                <w:sz w:val="15"/>
                <w:szCs w:val="15"/>
              </w:rPr>
              <w:t>国泰民益</w:t>
            </w:r>
          </w:p>
        </w:tc>
        <w:tc>
          <w:tcPr>
            <w:tcW w:w="1134" w:type="dxa"/>
            <w:tcBorders>
              <w:bottom w:val="single" w:sz="4" w:space="0" w:color="00A0E9"/>
            </w:tcBorders>
            <w:vAlign w:val="center"/>
          </w:tcPr>
          <w:p w:rsidR="00C411DC" w:rsidRPr="002E0BDB" w:rsidRDefault="00C411DC" w:rsidP="007F40D7">
            <w:pPr>
              <w:jc w:val="center"/>
              <w:rPr>
                <w:rFonts w:ascii="宋体" w:eastAsia="宋体" w:hAnsi="宋体" w:cs="宋体"/>
                <w:sz w:val="15"/>
                <w:szCs w:val="15"/>
              </w:rPr>
            </w:pPr>
            <w:r w:rsidRPr="002E0BDB">
              <w:rPr>
                <w:rFonts w:ascii="宋体" w:eastAsia="宋体" w:hAnsi="宋体" w:hint="eastAsia"/>
                <w:sz w:val="15"/>
                <w:szCs w:val="15"/>
              </w:rPr>
              <w:t>2013-12-30</w:t>
            </w:r>
          </w:p>
        </w:tc>
        <w:tc>
          <w:tcPr>
            <w:tcW w:w="708" w:type="dxa"/>
            <w:tcBorders>
              <w:bottom w:val="single" w:sz="4" w:space="0" w:color="00A0E9"/>
            </w:tcBorders>
            <w:vAlign w:val="center"/>
          </w:tcPr>
          <w:p w:rsidR="00C411DC" w:rsidRPr="002E0BDB" w:rsidRDefault="00C411DC" w:rsidP="007F40D7">
            <w:pPr>
              <w:jc w:val="center"/>
              <w:rPr>
                <w:rFonts w:ascii="宋体" w:eastAsia="宋体" w:hAnsi="宋体" w:cs="宋体"/>
                <w:sz w:val="15"/>
                <w:szCs w:val="15"/>
              </w:rPr>
            </w:pPr>
            <w:r w:rsidRPr="002E0BDB">
              <w:rPr>
                <w:rFonts w:ascii="宋体" w:eastAsia="宋体" w:hAnsi="宋体" w:hint="eastAsia"/>
                <w:sz w:val="15"/>
                <w:szCs w:val="15"/>
              </w:rPr>
              <w:t>11.96</w:t>
            </w:r>
          </w:p>
        </w:tc>
        <w:tc>
          <w:tcPr>
            <w:tcW w:w="709" w:type="dxa"/>
            <w:tcBorders>
              <w:bottom w:val="single" w:sz="4" w:space="0" w:color="00A0E9"/>
            </w:tcBorders>
            <w:vAlign w:val="center"/>
          </w:tcPr>
          <w:p w:rsidR="00C411DC" w:rsidRPr="002E0BDB" w:rsidRDefault="00C411DC" w:rsidP="007F40D7">
            <w:pPr>
              <w:jc w:val="center"/>
              <w:rPr>
                <w:rFonts w:ascii="宋体" w:eastAsia="宋体" w:hAnsi="宋体" w:cs="宋体"/>
                <w:sz w:val="15"/>
                <w:szCs w:val="15"/>
              </w:rPr>
            </w:pPr>
            <w:r w:rsidRPr="002E0BDB">
              <w:rPr>
                <w:rFonts w:ascii="宋体" w:eastAsia="宋体" w:hAnsi="宋体" w:hint="eastAsia"/>
                <w:sz w:val="15"/>
                <w:szCs w:val="15"/>
              </w:rPr>
              <w:t>-0.59</w:t>
            </w:r>
          </w:p>
        </w:tc>
        <w:tc>
          <w:tcPr>
            <w:tcW w:w="851" w:type="dxa"/>
            <w:tcBorders>
              <w:bottom w:val="single" w:sz="4" w:space="0" w:color="00A0E9"/>
            </w:tcBorders>
            <w:vAlign w:val="center"/>
          </w:tcPr>
          <w:p w:rsidR="00C411DC" w:rsidRPr="002E0BDB" w:rsidRDefault="00C411DC" w:rsidP="007F40D7">
            <w:pPr>
              <w:jc w:val="center"/>
              <w:rPr>
                <w:rFonts w:ascii="宋体" w:eastAsia="宋体" w:hAnsi="宋体" w:cs="宋体"/>
                <w:sz w:val="15"/>
                <w:szCs w:val="15"/>
              </w:rPr>
            </w:pPr>
            <w:r w:rsidRPr="002E0BDB">
              <w:rPr>
                <w:rFonts w:ascii="宋体" w:eastAsia="宋体" w:hAnsi="宋体" w:hint="eastAsia"/>
                <w:sz w:val="15"/>
                <w:szCs w:val="15"/>
              </w:rPr>
              <w:t>43</w:t>
            </w:r>
          </w:p>
        </w:tc>
        <w:tc>
          <w:tcPr>
            <w:tcW w:w="706" w:type="dxa"/>
            <w:tcBorders>
              <w:bottom w:val="single" w:sz="4" w:space="0" w:color="00A0E9"/>
            </w:tcBorders>
            <w:vAlign w:val="center"/>
          </w:tcPr>
          <w:p w:rsidR="00C411DC" w:rsidRPr="002E0BDB" w:rsidRDefault="00C411DC" w:rsidP="007F40D7">
            <w:pPr>
              <w:jc w:val="center"/>
              <w:rPr>
                <w:rFonts w:ascii="宋体" w:eastAsia="宋体" w:hAnsi="宋体" w:cs="宋体"/>
                <w:sz w:val="15"/>
                <w:szCs w:val="15"/>
              </w:rPr>
            </w:pPr>
            <w:r w:rsidRPr="002E0BDB">
              <w:rPr>
                <w:rFonts w:ascii="宋体" w:eastAsia="宋体" w:hAnsi="宋体" w:hint="eastAsia"/>
                <w:sz w:val="15"/>
                <w:szCs w:val="15"/>
              </w:rPr>
              <w:t>2.8</w:t>
            </w:r>
          </w:p>
        </w:tc>
      </w:tr>
      <w:tr w:rsidR="00C411DC" w:rsidTr="007F40D7">
        <w:trPr>
          <w:trHeight w:val="127"/>
        </w:trPr>
        <w:tc>
          <w:tcPr>
            <w:tcW w:w="5273" w:type="dxa"/>
            <w:vMerge/>
            <w:tcBorders>
              <w:bottom w:val="single" w:sz="4" w:space="0" w:color="00A0E9"/>
            </w:tcBorders>
            <w:tcMar>
              <w:left w:w="0" w:type="dxa"/>
              <w:right w:w="0" w:type="dxa"/>
            </w:tcMar>
            <w:vAlign w:val="center"/>
          </w:tcPr>
          <w:p w:rsidR="00C411DC" w:rsidRPr="002E0BDB" w:rsidRDefault="00C411DC" w:rsidP="007F40D7">
            <w:pPr>
              <w:jc w:val="center"/>
            </w:pPr>
          </w:p>
        </w:tc>
        <w:tc>
          <w:tcPr>
            <w:tcW w:w="226" w:type="dxa"/>
            <w:vMerge/>
            <w:tcMar>
              <w:left w:w="0" w:type="dxa"/>
              <w:right w:w="0" w:type="dxa"/>
            </w:tcMar>
          </w:tcPr>
          <w:p w:rsidR="00C411DC" w:rsidRPr="001C5C76" w:rsidRDefault="00C411DC" w:rsidP="007F40D7">
            <w:pPr>
              <w:pStyle w:val="a0"/>
              <w:spacing w:line="240" w:lineRule="auto"/>
              <w:ind w:left="0"/>
              <w:rPr>
                <w:color w:val="auto"/>
              </w:rPr>
            </w:pPr>
          </w:p>
        </w:tc>
        <w:tc>
          <w:tcPr>
            <w:tcW w:w="1164" w:type="dxa"/>
            <w:tcBorders>
              <w:bottom w:val="single" w:sz="4" w:space="0" w:color="00A0E9"/>
            </w:tcBorders>
            <w:tcMar>
              <w:left w:w="0" w:type="dxa"/>
              <w:right w:w="0" w:type="dxa"/>
            </w:tcMar>
            <w:vAlign w:val="center"/>
          </w:tcPr>
          <w:p w:rsidR="00C411DC" w:rsidRPr="002E0BDB" w:rsidRDefault="00C411DC" w:rsidP="007F40D7">
            <w:pPr>
              <w:jc w:val="center"/>
              <w:rPr>
                <w:rFonts w:ascii="宋体" w:eastAsia="宋体" w:hAnsi="宋体" w:cs="宋体"/>
                <w:bCs/>
                <w:sz w:val="15"/>
                <w:szCs w:val="15"/>
              </w:rPr>
            </w:pPr>
            <w:r w:rsidRPr="002E0BDB">
              <w:rPr>
                <w:rFonts w:ascii="宋体" w:eastAsia="宋体" w:hAnsi="宋体" w:hint="eastAsia"/>
                <w:bCs/>
                <w:sz w:val="15"/>
                <w:szCs w:val="15"/>
              </w:rPr>
              <w:t>易方达裕如</w:t>
            </w:r>
          </w:p>
        </w:tc>
        <w:tc>
          <w:tcPr>
            <w:tcW w:w="1134" w:type="dxa"/>
            <w:tcBorders>
              <w:bottom w:val="single" w:sz="4" w:space="0" w:color="00A0E9"/>
            </w:tcBorders>
            <w:vAlign w:val="center"/>
          </w:tcPr>
          <w:p w:rsidR="00C411DC" w:rsidRPr="002E0BDB" w:rsidRDefault="00C411DC" w:rsidP="007F40D7">
            <w:pPr>
              <w:jc w:val="center"/>
              <w:rPr>
                <w:rFonts w:ascii="宋体" w:eastAsia="宋体" w:hAnsi="宋体" w:cs="宋体"/>
                <w:sz w:val="15"/>
                <w:szCs w:val="15"/>
              </w:rPr>
            </w:pPr>
            <w:r w:rsidRPr="002E0BDB">
              <w:rPr>
                <w:rFonts w:ascii="宋体" w:eastAsia="宋体" w:hAnsi="宋体" w:hint="eastAsia"/>
                <w:sz w:val="15"/>
                <w:szCs w:val="15"/>
              </w:rPr>
              <w:t>2015-3-24</w:t>
            </w:r>
          </w:p>
        </w:tc>
        <w:tc>
          <w:tcPr>
            <w:tcW w:w="708" w:type="dxa"/>
            <w:tcBorders>
              <w:bottom w:val="single" w:sz="4" w:space="0" w:color="00A0E9"/>
            </w:tcBorders>
            <w:vAlign w:val="center"/>
          </w:tcPr>
          <w:p w:rsidR="00C411DC" w:rsidRPr="002E0BDB" w:rsidRDefault="00C411DC" w:rsidP="007F40D7">
            <w:pPr>
              <w:jc w:val="center"/>
              <w:rPr>
                <w:rFonts w:ascii="宋体" w:eastAsia="宋体" w:hAnsi="宋体" w:cs="宋体"/>
                <w:sz w:val="15"/>
                <w:szCs w:val="15"/>
              </w:rPr>
            </w:pPr>
            <w:r w:rsidRPr="002E0BDB">
              <w:rPr>
                <w:rFonts w:ascii="宋体" w:eastAsia="宋体" w:hAnsi="宋体" w:hint="eastAsia"/>
                <w:sz w:val="15"/>
                <w:szCs w:val="15"/>
              </w:rPr>
              <w:t>4.40</w:t>
            </w:r>
          </w:p>
        </w:tc>
        <w:tc>
          <w:tcPr>
            <w:tcW w:w="709" w:type="dxa"/>
            <w:tcBorders>
              <w:bottom w:val="single" w:sz="4" w:space="0" w:color="00A0E9"/>
            </w:tcBorders>
            <w:vAlign w:val="center"/>
          </w:tcPr>
          <w:p w:rsidR="00C411DC" w:rsidRPr="002E0BDB" w:rsidRDefault="00C411DC" w:rsidP="007F40D7">
            <w:pPr>
              <w:jc w:val="center"/>
              <w:rPr>
                <w:rFonts w:ascii="宋体" w:eastAsia="宋体" w:hAnsi="宋体" w:cs="宋体"/>
                <w:sz w:val="15"/>
                <w:szCs w:val="15"/>
              </w:rPr>
            </w:pPr>
            <w:r w:rsidRPr="002E0BDB">
              <w:rPr>
                <w:rFonts w:ascii="宋体" w:eastAsia="宋体" w:hAnsi="宋体" w:hint="eastAsia"/>
                <w:sz w:val="15"/>
                <w:szCs w:val="15"/>
              </w:rPr>
              <w:t>-0.19</w:t>
            </w:r>
          </w:p>
        </w:tc>
        <w:tc>
          <w:tcPr>
            <w:tcW w:w="851" w:type="dxa"/>
            <w:tcBorders>
              <w:bottom w:val="single" w:sz="4" w:space="0" w:color="00A0E9"/>
            </w:tcBorders>
            <w:vAlign w:val="center"/>
          </w:tcPr>
          <w:p w:rsidR="00C411DC" w:rsidRPr="002E0BDB" w:rsidRDefault="00C411DC" w:rsidP="007F40D7">
            <w:pPr>
              <w:jc w:val="center"/>
              <w:rPr>
                <w:rFonts w:ascii="宋体" w:eastAsia="宋体" w:hAnsi="宋体" w:cs="宋体"/>
                <w:sz w:val="15"/>
                <w:szCs w:val="15"/>
              </w:rPr>
            </w:pPr>
            <w:r w:rsidRPr="002E0BDB">
              <w:rPr>
                <w:rFonts w:ascii="宋体" w:eastAsia="宋体" w:hAnsi="宋体" w:hint="eastAsia"/>
                <w:sz w:val="15"/>
                <w:szCs w:val="15"/>
              </w:rPr>
              <w:t>31</w:t>
            </w:r>
          </w:p>
        </w:tc>
        <w:tc>
          <w:tcPr>
            <w:tcW w:w="706" w:type="dxa"/>
            <w:tcBorders>
              <w:bottom w:val="single" w:sz="4" w:space="0" w:color="00A0E9"/>
            </w:tcBorders>
            <w:vAlign w:val="center"/>
          </w:tcPr>
          <w:p w:rsidR="00C411DC" w:rsidRPr="002E0BDB" w:rsidRDefault="00C411DC" w:rsidP="007F40D7">
            <w:pPr>
              <w:jc w:val="center"/>
              <w:rPr>
                <w:rFonts w:ascii="宋体" w:eastAsia="宋体" w:hAnsi="宋体" w:cs="宋体"/>
                <w:sz w:val="15"/>
                <w:szCs w:val="15"/>
              </w:rPr>
            </w:pPr>
            <w:r w:rsidRPr="002E0BDB">
              <w:rPr>
                <w:rFonts w:ascii="宋体" w:eastAsia="宋体" w:hAnsi="宋体" w:hint="eastAsia"/>
                <w:sz w:val="15"/>
                <w:szCs w:val="15"/>
              </w:rPr>
              <w:t>2.0</w:t>
            </w:r>
          </w:p>
        </w:tc>
      </w:tr>
      <w:tr w:rsidR="00C411DC" w:rsidTr="007F40D7">
        <w:tc>
          <w:tcPr>
            <w:tcW w:w="5273" w:type="dxa"/>
            <w:tcMar>
              <w:left w:w="0" w:type="dxa"/>
              <w:right w:w="0" w:type="dxa"/>
            </w:tcMar>
          </w:tcPr>
          <w:p w:rsidR="00C411DC" w:rsidRDefault="00C411DC" w:rsidP="007F40D7">
            <w:pPr>
              <w:pStyle w:val="GJStylesGraphSource"/>
            </w:pPr>
            <w:r>
              <w:rPr>
                <w:rFonts w:hint="eastAsia"/>
              </w:rPr>
              <w:t>来源：国金证券研究所</w:t>
            </w:r>
          </w:p>
        </w:tc>
        <w:tc>
          <w:tcPr>
            <w:tcW w:w="226" w:type="dxa"/>
            <w:tcMar>
              <w:left w:w="0" w:type="dxa"/>
              <w:right w:w="0" w:type="dxa"/>
            </w:tcMar>
          </w:tcPr>
          <w:p w:rsidR="00C411DC" w:rsidRDefault="00C411DC" w:rsidP="007F40D7">
            <w:pPr>
              <w:pStyle w:val="GJStylesGraphSource"/>
            </w:pPr>
          </w:p>
        </w:tc>
        <w:tc>
          <w:tcPr>
            <w:tcW w:w="5272" w:type="dxa"/>
            <w:gridSpan w:val="6"/>
            <w:tcMar>
              <w:left w:w="0" w:type="dxa"/>
              <w:right w:w="0" w:type="dxa"/>
            </w:tcMar>
          </w:tcPr>
          <w:p w:rsidR="00C411DC" w:rsidRDefault="00C411DC" w:rsidP="007F40D7">
            <w:pPr>
              <w:pStyle w:val="GJStylesGraphSource"/>
            </w:pPr>
            <w:r>
              <w:rPr>
                <w:rFonts w:hint="eastAsia"/>
              </w:rPr>
              <w:t>来源：国金证券研究所</w:t>
            </w:r>
          </w:p>
        </w:tc>
      </w:tr>
    </w:tbl>
    <w:p w:rsidR="00C411DC" w:rsidRDefault="00C411DC" w:rsidP="00C411DC">
      <w:pPr>
        <w:pStyle w:val="a0"/>
        <w:numPr>
          <w:ilvl w:val="5"/>
          <w:numId w:val="36"/>
        </w:numPr>
        <w:spacing w:line="240" w:lineRule="auto"/>
        <w:rPr>
          <w:rFonts w:ascii="楷体_GB2312"/>
          <w:color w:val="auto"/>
        </w:rPr>
      </w:pPr>
      <w:bookmarkStart w:id="10" w:name="_Toc249266547"/>
      <w:bookmarkStart w:id="11" w:name="OLE_LINK5"/>
      <w:bookmarkStart w:id="12" w:name="OLE_LINK6"/>
      <w:bookmarkEnd w:id="9"/>
      <w:r w:rsidRPr="0097760F">
        <w:rPr>
          <w:rFonts w:ascii="楷体_GB2312" w:hint="eastAsia"/>
          <w:color w:val="auto"/>
        </w:rPr>
        <w:t>对于构建市场中性组合的特定投资策略基金，在投资的过程中通过运用金融衍生工具对冲组合的系统性风险，并通过阿尔法策略或套利策略来获得绝对收益，市场中性策略基金</w:t>
      </w:r>
      <w:proofErr w:type="gramStart"/>
      <w:r w:rsidRPr="0097760F">
        <w:rPr>
          <w:rFonts w:ascii="楷体_GB2312" w:hint="eastAsia"/>
          <w:color w:val="auto"/>
        </w:rPr>
        <w:t>具备低</w:t>
      </w:r>
      <w:proofErr w:type="gramEnd"/>
      <w:r w:rsidRPr="0097760F">
        <w:rPr>
          <w:rFonts w:ascii="楷体_GB2312" w:hint="eastAsia"/>
          <w:color w:val="auto"/>
        </w:rPr>
        <w:t>波动、业绩走势独立于市场指数的特征。但由于不承担市场波动所带来的风险，在股市单边上涨行情中其收益率也会表现逊于普通的权益类产品，而在震荡市或大幅下挫的行情中，此类基金将表现出更明显的优势。因此，其低波动的特点比较适合稳健型投资者进行投资。</w:t>
      </w:r>
    </w:p>
    <w:p w:rsidR="00C411DC" w:rsidRPr="0097760F" w:rsidRDefault="00C411DC" w:rsidP="00C411DC">
      <w:pPr>
        <w:pStyle w:val="a0"/>
        <w:numPr>
          <w:ilvl w:val="5"/>
          <w:numId w:val="36"/>
        </w:numPr>
        <w:spacing w:line="240" w:lineRule="auto"/>
        <w:rPr>
          <w:rFonts w:ascii="楷体_GB2312"/>
          <w:color w:val="auto"/>
        </w:rPr>
      </w:pPr>
      <w:r w:rsidRPr="0097760F">
        <w:rPr>
          <w:rFonts w:ascii="楷体_GB2312" w:hint="eastAsia"/>
          <w:color w:val="auto"/>
        </w:rPr>
        <w:t>目前公</w:t>
      </w:r>
      <w:proofErr w:type="gramStart"/>
      <w:r w:rsidRPr="0097760F">
        <w:rPr>
          <w:rFonts w:ascii="楷体_GB2312" w:hint="eastAsia"/>
          <w:color w:val="auto"/>
        </w:rPr>
        <w:t>募基金</w:t>
      </w:r>
      <w:proofErr w:type="gramEnd"/>
      <w:r w:rsidRPr="0097760F">
        <w:rPr>
          <w:rFonts w:ascii="楷体_GB2312" w:hint="eastAsia"/>
          <w:color w:val="auto"/>
        </w:rPr>
        <w:t>中共成立八只此类产品，从业绩表现来看，这几只基金在近期市场大跌过程中也体现出其投资优势。</w:t>
      </w:r>
      <w:r>
        <w:rPr>
          <w:rFonts w:ascii="楷体_GB2312" w:hint="eastAsia"/>
          <w:color w:val="auto"/>
        </w:rPr>
        <w:t>与此同时</w:t>
      </w:r>
      <w:r w:rsidRPr="0097760F">
        <w:rPr>
          <w:rFonts w:ascii="楷体_GB2312" w:hint="eastAsia"/>
          <w:color w:val="auto"/>
        </w:rPr>
        <w:t>从历史收益来看，产品在表现出盈利有效性的同时，历史净值回撤基本处于可控范围内，下行风险较小。</w:t>
      </w:r>
      <w:r>
        <w:rPr>
          <w:rFonts w:ascii="楷体_GB2312" w:hint="eastAsia"/>
          <w:color w:val="auto"/>
        </w:rPr>
        <w:t>投资者可重点关注南方绝对收益、广发对冲等基金。</w:t>
      </w:r>
    </w:p>
    <w:tbl>
      <w:tblPr>
        <w:tblW w:w="7370" w:type="dxa"/>
        <w:tblInd w:w="3402" w:type="dxa"/>
        <w:tblBorders>
          <w:top w:val="single" w:sz="4" w:space="0" w:color="00A0E9"/>
          <w:insideH w:val="single" w:sz="4" w:space="0" w:color="00A0E9"/>
        </w:tblBorders>
        <w:tblLook w:val="0600" w:firstRow="0" w:lastRow="0" w:firstColumn="0" w:lastColumn="0" w:noHBand="1" w:noVBand="1"/>
      </w:tblPr>
      <w:tblGrid>
        <w:gridCol w:w="921"/>
        <w:gridCol w:w="921"/>
        <w:gridCol w:w="921"/>
        <w:gridCol w:w="922"/>
        <w:gridCol w:w="921"/>
        <w:gridCol w:w="921"/>
        <w:gridCol w:w="921"/>
        <w:gridCol w:w="922"/>
      </w:tblGrid>
      <w:tr w:rsidR="00C411DC" w:rsidRPr="00C55E81" w:rsidTr="007F40D7">
        <w:tc>
          <w:tcPr>
            <w:tcW w:w="7370" w:type="dxa"/>
            <w:gridSpan w:val="8"/>
            <w:tcMar>
              <w:left w:w="0" w:type="dxa"/>
              <w:right w:w="0" w:type="dxa"/>
            </w:tcMar>
          </w:tcPr>
          <w:p w:rsidR="00C411DC" w:rsidRPr="0097760F" w:rsidRDefault="00C411DC" w:rsidP="007F40D7">
            <w:pPr>
              <w:pStyle w:val="GJStylesGraphTitle"/>
            </w:pPr>
            <w:r>
              <w:rPr>
                <w:rFonts w:hint="eastAsia"/>
              </w:rPr>
              <w:t>图表</w:t>
            </w:r>
            <w:r w:rsidR="00552BF7">
              <w:fldChar w:fldCharType="begin"/>
            </w:r>
            <w:r w:rsidR="00552BF7">
              <w:instrText xml:space="preserve"> SEQ </w:instrText>
            </w:r>
            <w:r w:rsidR="00552BF7">
              <w:instrText>图表</w:instrText>
            </w:r>
            <w:r w:rsidR="00552BF7">
              <w:instrText xml:space="preserve"> \* ARABIC  \* MERGEFORMAT </w:instrText>
            </w:r>
            <w:r w:rsidR="00552BF7">
              <w:fldChar w:fldCharType="separate"/>
            </w:r>
            <w:r>
              <w:rPr>
                <w:noProof/>
              </w:rPr>
              <w:t>10</w:t>
            </w:r>
            <w:r w:rsidR="00552BF7">
              <w:rPr>
                <w:noProof/>
              </w:rPr>
              <w:fldChar w:fldCharType="end"/>
            </w:r>
            <w:r>
              <w:rPr>
                <w:rFonts w:hint="eastAsia"/>
              </w:rPr>
              <w:t>：特殊策略基金比较</w:t>
            </w:r>
          </w:p>
        </w:tc>
      </w:tr>
      <w:tr w:rsidR="00C411DC" w:rsidRPr="00C55E81" w:rsidTr="007F40D7">
        <w:trPr>
          <w:trHeight w:val="284"/>
        </w:trPr>
        <w:tc>
          <w:tcPr>
            <w:tcW w:w="921" w:type="dxa"/>
            <w:tcMar>
              <w:left w:w="0" w:type="dxa"/>
              <w:right w:w="0" w:type="dxa"/>
            </w:tcMar>
            <w:vAlign w:val="center"/>
          </w:tcPr>
          <w:p w:rsidR="00C411DC" w:rsidRPr="00C55E81" w:rsidRDefault="00C411DC" w:rsidP="007F40D7">
            <w:pPr>
              <w:jc w:val="center"/>
              <w:rPr>
                <w:rFonts w:ascii="宋体" w:eastAsia="宋体" w:hAnsi="宋体" w:cs="宋体"/>
                <w:b/>
                <w:bCs/>
                <w:sz w:val="15"/>
                <w:szCs w:val="15"/>
              </w:rPr>
            </w:pPr>
            <w:r w:rsidRPr="00C55E81">
              <w:rPr>
                <w:rFonts w:hint="eastAsia"/>
                <w:b/>
                <w:bCs/>
                <w:sz w:val="15"/>
                <w:szCs w:val="15"/>
              </w:rPr>
              <w:t>基金名称</w:t>
            </w:r>
          </w:p>
        </w:tc>
        <w:tc>
          <w:tcPr>
            <w:tcW w:w="921" w:type="dxa"/>
            <w:tcMar>
              <w:left w:w="0" w:type="dxa"/>
              <w:right w:w="0" w:type="dxa"/>
            </w:tcMar>
            <w:vAlign w:val="center"/>
          </w:tcPr>
          <w:p w:rsidR="00C411DC" w:rsidRPr="00C55E81" w:rsidRDefault="00C411DC" w:rsidP="007F40D7">
            <w:pPr>
              <w:jc w:val="center"/>
              <w:rPr>
                <w:rFonts w:ascii="宋体" w:eastAsia="宋体" w:hAnsi="宋体" w:cs="宋体"/>
                <w:b/>
                <w:color w:val="000000"/>
                <w:sz w:val="15"/>
                <w:szCs w:val="15"/>
              </w:rPr>
            </w:pPr>
            <w:proofErr w:type="gramStart"/>
            <w:r w:rsidRPr="00C55E81">
              <w:rPr>
                <w:rFonts w:hint="eastAsia"/>
                <w:b/>
                <w:color w:val="000000"/>
                <w:sz w:val="15"/>
                <w:szCs w:val="15"/>
              </w:rPr>
              <w:t>年化波动</w:t>
            </w:r>
            <w:proofErr w:type="gramEnd"/>
            <w:r w:rsidRPr="00C55E81">
              <w:rPr>
                <w:rFonts w:hint="eastAsia"/>
                <w:b/>
                <w:color w:val="000000"/>
                <w:sz w:val="15"/>
                <w:szCs w:val="15"/>
              </w:rPr>
              <w:t>率</w:t>
            </w:r>
          </w:p>
        </w:tc>
        <w:tc>
          <w:tcPr>
            <w:tcW w:w="921" w:type="dxa"/>
            <w:tcMar>
              <w:left w:w="0" w:type="dxa"/>
              <w:right w:w="0" w:type="dxa"/>
            </w:tcMar>
            <w:vAlign w:val="center"/>
          </w:tcPr>
          <w:p w:rsidR="00C411DC" w:rsidRPr="00C55E81" w:rsidRDefault="00C411DC" w:rsidP="007F40D7">
            <w:pPr>
              <w:jc w:val="center"/>
              <w:rPr>
                <w:rFonts w:ascii="宋体" w:eastAsia="宋体" w:hAnsi="宋体" w:cs="宋体"/>
                <w:b/>
                <w:color w:val="000000"/>
                <w:sz w:val="15"/>
                <w:szCs w:val="15"/>
              </w:rPr>
            </w:pPr>
            <w:r w:rsidRPr="00C55E81">
              <w:rPr>
                <w:rFonts w:hint="eastAsia"/>
                <w:b/>
                <w:color w:val="000000"/>
                <w:sz w:val="15"/>
                <w:szCs w:val="15"/>
              </w:rPr>
              <w:t>夏普比率</w:t>
            </w:r>
          </w:p>
        </w:tc>
        <w:tc>
          <w:tcPr>
            <w:tcW w:w="922" w:type="dxa"/>
            <w:tcMar>
              <w:left w:w="0" w:type="dxa"/>
              <w:right w:w="0" w:type="dxa"/>
            </w:tcMar>
            <w:vAlign w:val="center"/>
          </w:tcPr>
          <w:p w:rsidR="00C411DC" w:rsidRPr="00C55E81" w:rsidRDefault="00C411DC" w:rsidP="007F40D7">
            <w:pPr>
              <w:jc w:val="center"/>
              <w:rPr>
                <w:rFonts w:ascii="宋体" w:eastAsia="宋体" w:hAnsi="宋体" w:cs="宋体"/>
                <w:b/>
                <w:color w:val="000000"/>
                <w:sz w:val="15"/>
                <w:szCs w:val="15"/>
              </w:rPr>
            </w:pPr>
            <w:r w:rsidRPr="00C55E81">
              <w:rPr>
                <w:rFonts w:hint="eastAsia"/>
                <w:b/>
                <w:color w:val="000000"/>
                <w:sz w:val="15"/>
                <w:szCs w:val="15"/>
              </w:rPr>
              <w:t>最大回撤</w:t>
            </w:r>
          </w:p>
        </w:tc>
        <w:tc>
          <w:tcPr>
            <w:tcW w:w="921" w:type="dxa"/>
            <w:tcMar>
              <w:left w:w="0" w:type="dxa"/>
              <w:right w:w="0" w:type="dxa"/>
            </w:tcMar>
            <w:vAlign w:val="center"/>
          </w:tcPr>
          <w:p w:rsidR="00C411DC" w:rsidRPr="00C55E81" w:rsidRDefault="00C411DC" w:rsidP="007F40D7">
            <w:pPr>
              <w:jc w:val="center"/>
              <w:rPr>
                <w:rFonts w:ascii="宋体" w:eastAsia="宋体" w:hAnsi="宋体" w:cs="宋体"/>
                <w:b/>
                <w:color w:val="000000"/>
                <w:sz w:val="15"/>
                <w:szCs w:val="15"/>
              </w:rPr>
            </w:pPr>
            <w:r w:rsidRPr="00C55E81">
              <w:rPr>
                <w:rFonts w:hint="eastAsia"/>
                <w:b/>
                <w:color w:val="000000"/>
                <w:sz w:val="15"/>
                <w:szCs w:val="15"/>
              </w:rPr>
              <w:t>最近一个月收益率</w:t>
            </w:r>
          </w:p>
        </w:tc>
        <w:tc>
          <w:tcPr>
            <w:tcW w:w="921" w:type="dxa"/>
            <w:tcMar>
              <w:left w:w="0" w:type="dxa"/>
              <w:right w:w="0" w:type="dxa"/>
            </w:tcMar>
            <w:vAlign w:val="center"/>
          </w:tcPr>
          <w:p w:rsidR="00C411DC" w:rsidRPr="00C55E81" w:rsidRDefault="00C411DC" w:rsidP="007F40D7">
            <w:pPr>
              <w:jc w:val="center"/>
              <w:rPr>
                <w:rFonts w:ascii="宋体" w:eastAsia="宋体" w:hAnsi="宋体" w:cs="宋体"/>
                <w:b/>
                <w:color w:val="000000"/>
                <w:sz w:val="15"/>
                <w:szCs w:val="15"/>
              </w:rPr>
            </w:pPr>
            <w:r w:rsidRPr="00C55E81">
              <w:rPr>
                <w:rFonts w:hint="eastAsia"/>
                <w:b/>
                <w:color w:val="000000"/>
                <w:sz w:val="15"/>
                <w:szCs w:val="15"/>
              </w:rPr>
              <w:t>最近三个月收益率</w:t>
            </w:r>
          </w:p>
        </w:tc>
        <w:tc>
          <w:tcPr>
            <w:tcW w:w="921" w:type="dxa"/>
            <w:tcMar>
              <w:left w:w="0" w:type="dxa"/>
              <w:right w:w="0" w:type="dxa"/>
            </w:tcMar>
            <w:vAlign w:val="center"/>
          </w:tcPr>
          <w:p w:rsidR="00C411DC" w:rsidRPr="00C55E81" w:rsidRDefault="00C411DC" w:rsidP="007F40D7">
            <w:pPr>
              <w:jc w:val="center"/>
              <w:rPr>
                <w:rFonts w:ascii="宋体" w:eastAsia="宋体" w:hAnsi="宋体" w:cs="宋体"/>
                <w:b/>
                <w:color w:val="000000"/>
                <w:sz w:val="15"/>
                <w:szCs w:val="15"/>
              </w:rPr>
            </w:pPr>
            <w:r w:rsidRPr="00C55E81">
              <w:rPr>
                <w:rFonts w:hint="eastAsia"/>
                <w:b/>
                <w:color w:val="000000"/>
                <w:sz w:val="15"/>
                <w:szCs w:val="15"/>
              </w:rPr>
              <w:t>最近半年收益率</w:t>
            </w:r>
          </w:p>
        </w:tc>
        <w:tc>
          <w:tcPr>
            <w:tcW w:w="922" w:type="dxa"/>
            <w:tcMar>
              <w:left w:w="0" w:type="dxa"/>
              <w:right w:w="0" w:type="dxa"/>
            </w:tcMar>
            <w:vAlign w:val="center"/>
          </w:tcPr>
          <w:p w:rsidR="00C411DC" w:rsidRPr="00C55E81" w:rsidRDefault="00C411DC" w:rsidP="007F40D7">
            <w:pPr>
              <w:jc w:val="center"/>
              <w:rPr>
                <w:rFonts w:ascii="宋体" w:eastAsia="宋体" w:hAnsi="宋体" w:cs="宋体"/>
                <w:b/>
                <w:color w:val="000000"/>
                <w:sz w:val="15"/>
                <w:szCs w:val="15"/>
              </w:rPr>
            </w:pPr>
            <w:r w:rsidRPr="00C55E81">
              <w:rPr>
                <w:rFonts w:hint="eastAsia"/>
                <w:b/>
                <w:color w:val="000000"/>
                <w:sz w:val="15"/>
                <w:szCs w:val="15"/>
              </w:rPr>
              <w:t>设立日期</w:t>
            </w:r>
          </w:p>
        </w:tc>
      </w:tr>
      <w:tr w:rsidR="00C411DC" w:rsidRPr="00C55E81" w:rsidTr="007F40D7">
        <w:trPr>
          <w:trHeight w:val="284"/>
        </w:trPr>
        <w:tc>
          <w:tcPr>
            <w:tcW w:w="921" w:type="dxa"/>
            <w:tcMar>
              <w:left w:w="0" w:type="dxa"/>
              <w:right w:w="0" w:type="dxa"/>
            </w:tcMar>
            <w:vAlign w:val="center"/>
          </w:tcPr>
          <w:p w:rsidR="00C411DC" w:rsidRPr="00C55E81" w:rsidRDefault="00C411DC" w:rsidP="007F40D7">
            <w:pPr>
              <w:jc w:val="center"/>
              <w:rPr>
                <w:rFonts w:ascii="宋体" w:eastAsia="宋体" w:hAnsi="宋体" w:cs="宋体"/>
                <w:bCs/>
                <w:sz w:val="15"/>
                <w:szCs w:val="15"/>
              </w:rPr>
            </w:pPr>
            <w:r w:rsidRPr="00C55E81">
              <w:rPr>
                <w:rFonts w:hint="eastAsia"/>
                <w:bCs/>
                <w:sz w:val="15"/>
                <w:szCs w:val="15"/>
              </w:rPr>
              <w:t>南方绝对收益</w:t>
            </w:r>
          </w:p>
        </w:tc>
        <w:tc>
          <w:tcPr>
            <w:tcW w:w="921" w:type="dxa"/>
            <w:tcMar>
              <w:left w:w="0" w:type="dxa"/>
              <w:right w:w="0" w:type="dxa"/>
            </w:tcMar>
            <w:vAlign w:val="center"/>
          </w:tcPr>
          <w:p w:rsidR="00C411DC" w:rsidRPr="00C55E81" w:rsidRDefault="00C411DC" w:rsidP="007F40D7">
            <w:pPr>
              <w:jc w:val="center"/>
              <w:rPr>
                <w:rFonts w:ascii="宋体" w:eastAsia="宋体" w:hAnsi="宋体" w:cs="宋体"/>
                <w:color w:val="000000"/>
                <w:sz w:val="15"/>
                <w:szCs w:val="15"/>
              </w:rPr>
            </w:pPr>
            <w:r w:rsidRPr="00C55E81">
              <w:rPr>
                <w:rFonts w:hint="eastAsia"/>
                <w:color w:val="000000"/>
                <w:sz w:val="15"/>
                <w:szCs w:val="15"/>
              </w:rPr>
              <w:t>5.33</w:t>
            </w:r>
          </w:p>
        </w:tc>
        <w:tc>
          <w:tcPr>
            <w:tcW w:w="921" w:type="dxa"/>
            <w:tcMar>
              <w:left w:w="0" w:type="dxa"/>
              <w:right w:w="0" w:type="dxa"/>
            </w:tcMar>
            <w:vAlign w:val="center"/>
          </w:tcPr>
          <w:p w:rsidR="00C411DC" w:rsidRPr="00C55E81" w:rsidRDefault="00C411DC" w:rsidP="007F40D7">
            <w:pPr>
              <w:jc w:val="center"/>
              <w:rPr>
                <w:rFonts w:ascii="宋体" w:eastAsia="宋体" w:hAnsi="宋体" w:cs="宋体"/>
                <w:color w:val="000000"/>
                <w:sz w:val="15"/>
                <w:szCs w:val="15"/>
              </w:rPr>
            </w:pPr>
            <w:r w:rsidRPr="00C55E81">
              <w:rPr>
                <w:rFonts w:hint="eastAsia"/>
                <w:color w:val="000000"/>
                <w:sz w:val="15"/>
                <w:szCs w:val="15"/>
              </w:rPr>
              <w:t>57.8%</w:t>
            </w:r>
          </w:p>
        </w:tc>
        <w:tc>
          <w:tcPr>
            <w:tcW w:w="922" w:type="dxa"/>
            <w:tcMar>
              <w:left w:w="0" w:type="dxa"/>
              <w:right w:w="0" w:type="dxa"/>
            </w:tcMar>
            <w:vAlign w:val="center"/>
          </w:tcPr>
          <w:p w:rsidR="00C411DC" w:rsidRPr="00C55E81" w:rsidRDefault="00C411DC" w:rsidP="007F40D7">
            <w:pPr>
              <w:jc w:val="center"/>
              <w:rPr>
                <w:rFonts w:ascii="宋体" w:eastAsia="宋体" w:hAnsi="宋体" w:cs="宋体"/>
                <w:color w:val="000000"/>
                <w:sz w:val="15"/>
                <w:szCs w:val="15"/>
              </w:rPr>
            </w:pPr>
            <w:r w:rsidRPr="00C55E81">
              <w:rPr>
                <w:rFonts w:hint="eastAsia"/>
                <w:color w:val="FF0000"/>
                <w:sz w:val="15"/>
                <w:szCs w:val="15"/>
              </w:rPr>
              <w:t>-1.19</w:t>
            </w:r>
          </w:p>
        </w:tc>
        <w:tc>
          <w:tcPr>
            <w:tcW w:w="921" w:type="dxa"/>
            <w:tcMar>
              <w:left w:w="0" w:type="dxa"/>
              <w:right w:w="0" w:type="dxa"/>
            </w:tcMar>
            <w:vAlign w:val="center"/>
          </w:tcPr>
          <w:p w:rsidR="00C411DC" w:rsidRPr="00C55E81" w:rsidRDefault="00C411DC" w:rsidP="007F40D7">
            <w:pPr>
              <w:jc w:val="center"/>
              <w:rPr>
                <w:rFonts w:ascii="宋体" w:eastAsia="宋体" w:hAnsi="宋体" w:cs="宋体"/>
                <w:color w:val="000000"/>
                <w:sz w:val="15"/>
                <w:szCs w:val="15"/>
              </w:rPr>
            </w:pPr>
            <w:r w:rsidRPr="00C55E81">
              <w:rPr>
                <w:rFonts w:hint="eastAsia"/>
                <w:color w:val="000000"/>
                <w:sz w:val="15"/>
                <w:szCs w:val="15"/>
              </w:rPr>
              <w:t>3.14</w:t>
            </w:r>
          </w:p>
        </w:tc>
        <w:tc>
          <w:tcPr>
            <w:tcW w:w="921" w:type="dxa"/>
            <w:tcMar>
              <w:left w:w="0" w:type="dxa"/>
              <w:right w:w="0" w:type="dxa"/>
            </w:tcMar>
            <w:vAlign w:val="center"/>
          </w:tcPr>
          <w:p w:rsidR="00C411DC" w:rsidRPr="00C55E81" w:rsidRDefault="00C411DC" w:rsidP="007F40D7">
            <w:pPr>
              <w:jc w:val="center"/>
              <w:rPr>
                <w:rFonts w:ascii="宋体" w:eastAsia="宋体" w:hAnsi="宋体" w:cs="宋体"/>
                <w:color w:val="000000"/>
                <w:sz w:val="15"/>
                <w:szCs w:val="15"/>
              </w:rPr>
            </w:pPr>
            <w:r w:rsidRPr="00C55E81">
              <w:rPr>
                <w:rFonts w:hint="eastAsia"/>
                <w:color w:val="000000"/>
                <w:sz w:val="15"/>
                <w:szCs w:val="15"/>
              </w:rPr>
              <w:t>7.29</w:t>
            </w:r>
          </w:p>
        </w:tc>
        <w:tc>
          <w:tcPr>
            <w:tcW w:w="921" w:type="dxa"/>
            <w:tcMar>
              <w:left w:w="0" w:type="dxa"/>
              <w:right w:w="0" w:type="dxa"/>
            </w:tcMar>
            <w:vAlign w:val="center"/>
          </w:tcPr>
          <w:p w:rsidR="00C411DC" w:rsidRPr="00C55E81" w:rsidRDefault="00C411DC" w:rsidP="007F40D7">
            <w:pPr>
              <w:jc w:val="center"/>
              <w:rPr>
                <w:rFonts w:ascii="宋体" w:eastAsia="宋体" w:hAnsi="宋体" w:cs="宋体"/>
                <w:color w:val="000000"/>
                <w:sz w:val="15"/>
                <w:szCs w:val="15"/>
              </w:rPr>
            </w:pPr>
            <w:r w:rsidRPr="00C55E81">
              <w:rPr>
                <w:rFonts w:hint="eastAsia"/>
                <w:color w:val="000000"/>
                <w:sz w:val="15"/>
                <w:szCs w:val="15"/>
              </w:rPr>
              <w:t>15.58</w:t>
            </w:r>
          </w:p>
        </w:tc>
        <w:tc>
          <w:tcPr>
            <w:tcW w:w="922" w:type="dxa"/>
            <w:tcMar>
              <w:left w:w="0" w:type="dxa"/>
              <w:right w:w="0" w:type="dxa"/>
            </w:tcMar>
            <w:vAlign w:val="center"/>
          </w:tcPr>
          <w:p w:rsidR="00C411DC" w:rsidRPr="00C55E81" w:rsidRDefault="00C411DC" w:rsidP="007F40D7">
            <w:pPr>
              <w:jc w:val="center"/>
              <w:rPr>
                <w:rFonts w:ascii="宋体" w:eastAsia="宋体" w:hAnsi="宋体" w:cs="宋体"/>
                <w:color w:val="000000"/>
                <w:sz w:val="15"/>
                <w:szCs w:val="15"/>
              </w:rPr>
            </w:pPr>
            <w:r w:rsidRPr="00C55E81">
              <w:rPr>
                <w:rFonts w:hint="eastAsia"/>
                <w:color w:val="000000"/>
                <w:sz w:val="15"/>
                <w:szCs w:val="15"/>
              </w:rPr>
              <w:t>2014-12-1</w:t>
            </w:r>
          </w:p>
        </w:tc>
      </w:tr>
      <w:tr w:rsidR="00C411DC" w:rsidRPr="00C55E81" w:rsidTr="007F40D7">
        <w:trPr>
          <w:trHeight w:val="284"/>
        </w:trPr>
        <w:tc>
          <w:tcPr>
            <w:tcW w:w="921" w:type="dxa"/>
            <w:tcMar>
              <w:left w:w="0" w:type="dxa"/>
              <w:right w:w="0" w:type="dxa"/>
            </w:tcMar>
            <w:vAlign w:val="center"/>
          </w:tcPr>
          <w:p w:rsidR="00C411DC" w:rsidRPr="00C55E81" w:rsidRDefault="00C411DC" w:rsidP="007F40D7">
            <w:pPr>
              <w:jc w:val="center"/>
              <w:rPr>
                <w:rFonts w:ascii="宋体" w:eastAsia="宋体" w:hAnsi="宋体" w:cs="宋体"/>
                <w:bCs/>
                <w:sz w:val="15"/>
                <w:szCs w:val="15"/>
              </w:rPr>
            </w:pPr>
            <w:r w:rsidRPr="00C55E81">
              <w:rPr>
                <w:rFonts w:hint="eastAsia"/>
                <w:bCs/>
                <w:sz w:val="15"/>
                <w:szCs w:val="15"/>
              </w:rPr>
              <w:t>广发对冲</w:t>
            </w:r>
          </w:p>
        </w:tc>
        <w:tc>
          <w:tcPr>
            <w:tcW w:w="921" w:type="dxa"/>
            <w:tcMar>
              <w:left w:w="0" w:type="dxa"/>
              <w:right w:w="0" w:type="dxa"/>
            </w:tcMar>
            <w:vAlign w:val="center"/>
          </w:tcPr>
          <w:p w:rsidR="00C411DC" w:rsidRPr="00C55E81" w:rsidRDefault="00C411DC" w:rsidP="007F40D7">
            <w:pPr>
              <w:jc w:val="center"/>
              <w:rPr>
                <w:rFonts w:ascii="宋体" w:eastAsia="宋体" w:hAnsi="宋体" w:cs="宋体"/>
                <w:color w:val="000000"/>
                <w:sz w:val="15"/>
                <w:szCs w:val="15"/>
              </w:rPr>
            </w:pPr>
            <w:r w:rsidRPr="00C55E81">
              <w:rPr>
                <w:rFonts w:hint="eastAsia"/>
                <w:color w:val="000000"/>
                <w:sz w:val="15"/>
                <w:szCs w:val="15"/>
              </w:rPr>
              <w:t>6.32</w:t>
            </w:r>
          </w:p>
        </w:tc>
        <w:tc>
          <w:tcPr>
            <w:tcW w:w="921" w:type="dxa"/>
            <w:tcMar>
              <w:left w:w="0" w:type="dxa"/>
              <w:right w:w="0" w:type="dxa"/>
            </w:tcMar>
            <w:vAlign w:val="center"/>
          </w:tcPr>
          <w:p w:rsidR="00C411DC" w:rsidRPr="00C55E81" w:rsidRDefault="00C411DC" w:rsidP="007F40D7">
            <w:pPr>
              <w:jc w:val="center"/>
              <w:rPr>
                <w:rFonts w:ascii="宋体" w:eastAsia="宋体" w:hAnsi="宋体" w:cs="宋体"/>
                <w:color w:val="000000"/>
                <w:sz w:val="15"/>
                <w:szCs w:val="15"/>
              </w:rPr>
            </w:pPr>
            <w:r w:rsidRPr="00C55E81">
              <w:rPr>
                <w:rFonts w:hint="eastAsia"/>
                <w:color w:val="000000"/>
                <w:sz w:val="15"/>
                <w:szCs w:val="15"/>
              </w:rPr>
              <w:t>54.7%</w:t>
            </w:r>
          </w:p>
        </w:tc>
        <w:tc>
          <w:tcPr>
            <w:tcW w:w="922" w:type="dxa"/>
            <w:tcMar>
              <w:left w:w="0" w:type="dxa"/>
              <w:right w:w="0" w:type="dxa"/>
            </w:tcMar>
            <w:vAlign w:val="center"/>
          </w:tcPr>
          <w:p w:rsidR="00C411DC" w:rsidRPr="00C55E81" w:rsidRDefault="00C411DC" w:rsidP="007F40D7">
            <w:pPr>
              <w:jc w:val="center"/>
              <w:rPr>
                <w:rFonts w:ascii="宋体" w:eastAsia="宋体" w:hAnsi="宋体" w:cs="宋体"/>
                <w:color w:val="000000"/>
                <w:sz w:val="15"/>
                <w:szCs w:val="15"/>
              </w:rPr>
            </w:pPr>
            <w:r w:rsidRPr="00C55E81">
              <w:rPr>
                <w:rFonts w:hint="eastAsia"/>
                <w:color w:val="FF0000"/>
                <w:sz w:val="15"/>
                <w:szCs w:val="15"/>
              </w:rPr>
              <w:t>-1.25</w:t>
            </w:r>
          </w:p>
        </w:tc>
        <w:tc>
          <w:tcPr>
            <w:tcW w:w="921" w:type="dxa"/>
            <w:tcMar>
              <w:left w:w="0" w:type="dxa"/>
              <w:right w:w="0" w:type="dxa"/>
            </w:tcMar>
            <w:vAlign w:val="center"/>
          </w:tcPr>
          <w:p w:rsidR="00C411DC" w:rsidRPr="00C55E81" w:rsidRDefault="00C411DC" w:rsidP="007F40D7">
            <w:pPr>
              <w:jc w:val="center"/>
              <w:rPr>
                <w:rFonts w:ascii="宋体" w:eastAsia="宋体" w:hAnsi="宋体" w:cs="宋体"/>
                <w:color w:val="000000"/>
                <w:sz w:val="15"/>
                <w:szCs w:val="15"/>
              </w:rPr>
            </w:pPr>
            <w:r w:rsidRPr="00C55E81">
              <w:rPr>
                <w:rFonts w:hint="eastAsia"/>
                <w:color w:val="000000"/>
                <w:sz w:val="15"/>
                <w:szCs w:val="15"/>
              </w:rPr>
              <w:t>5.02</w:t>
            </w:r>
          </w:p>
        </w:tc>
        <w:tc>
          <w:tcPr>
            <w:tcW w:w="921" w:type="dxa"/>
            <w:tcMar>
              <w:left w:w="0" w:type="dxa"/>
              <w:right w:w="0" w:type="dxa"/>
            </w:tcMar>
            <w:vAlign w:val="center"/>
          </w:tcPr>
          <w:p w:rsidR="00C411DC" w:rsidRPr="00C55E81" w:rsidRDefault="00C411DC" w:rsidP="007F40D7">
            <w:pPr>
              <w:jc w:val="center"/>
              <w:rPr>
                <w:rFonts w:ascii="宋体" w:eastAsia="宋体" w:hAnsi="宋体" w:cs="宋体"/>
                <w:color w:val="000000"/>
                <w:sz w:val="15"/>
                <w:szCs w:val="15"/>
              </w:rPr>
            </w:pPr>
            <w:r w:rsidRPr="00C55E81">
              <w:rPr>
                <w:rFonts w:hint="eastAsia"/>
                <w:color w:val="000000"/>
                <w:sz w:val="15"/>
                <w:szCs w:val="15"/>
              </w:rPr>
              <w:t>8.83</w:t>
            </w:r>
          </w:p>
        </w:tc>
        <w:tc>
          <w:tcPr>
            <w:tcW w:w="921" w:type="dxa"/>
            <w:tcMar>
              <w:left w:w="0" w:type="dxa"/>
              <w:right w:w="0" w:type="dxa"/>
            </w:tcMar>
            <w:vAlign w:val="center"/>
          </w:tcPr>
          <w:p w:rsidR="00C411DC" w:rsidRPr="00C55E81" w:rsidRDefault="00C411DC" w:rsidP="007F40D7">
            <w:pPr>
              <w:jc w:val="center"/>
              <w:rPr>
                <w:rFonts w:ascii="宋体" w:eastAsia="宋体" w:hAnsi="宋体" w:cs="宋体"/>
                <w:color w:val="000000"/>
                <w:sz w:val="15"/>
                <w:szCs w:val="15"/>
              </w:rPr>
            </w:pPr>
            <w:r w:rsidRPr="00C55E81">
              <w:rPr>
                <w:rFonts w:ascii="宋体" w:eastAsia="宋体" w:hAnsi="宋体" w:cs="宋体" w:hint="eastAsia"/>
                <w:color w:val="000000"/>
                <w:sz w:val="15"/>
                <w:szCs w:val="15"/>
              </w:rPr>
              <w:t>—</w:t>
            </w:r>
          </w:p>
        </w:tc>
        <w:tc>
          <w:tcPr>
            <w:tcW w:w="922" w:type="dxa"/>
            <w:tcMar>
              <w:left w:w="0" w:type="dxa"/>
              <w:right w:w="0" w:type="dxa"/>
            </w:tcMar>
            <w:vAlign w:val="center"/>
          </w:tcPr>
          <w:p w:rsidR="00C411DC" w:rsidRPr="00C55E81" w:rsidRDefault="00C411DC" w:rsidP="007F40D7">
            <w:pPr>
              <w:jc w:val="center"/>
              <w:rPr>
                <w:rFonts w:ascii="宋体" w:eastAsia="宋体" w:hAnsi="宋体" w:cs="宋体"/>
                <w:color w:val="000000"/>
                <w:sz w:val="15"/>
                <w:szCs w:val="15"/>
              </w:rPr>
            </w:pPr>
            <w:r w:rsidRPr="00C55E81">
              <w:rPr>
                <w:rFonts w:hint="eastAsia"/>
                <w:color w:val="000000"/>
                <w:sz w:val="15"/>
                <w:szCs w:val="15"/>
              </w:rPr>
              <w:t>2015-2-6</w:t>
            </w:r>
          </w:p>
        </w:tc>
      </w:tr>
      <w:tr w:rsidR="00C411DC" w:rsidRPr="00C55E81" w:rsidTr="007F40D7">
        <w:trPr>
          <w:trHeight w:val="284"/>
        </w:trPr>
        <w:tc>
          <w:tcPr>
            <w:tcW w:w="921" w:type="dxa"/>
            <w:tcMar>
              <w:left w:w="0" w:type="dxa"/>
              <w:right w:w="0" w:type="dxa"/>
            </w:tcMar>
            <w:vAlign w:val="center"/>
          </w:tcPr>
          <w:p w:rsidR="00C411DC" w:rsidRPr="00C55E81" w:rsidRDefault="00C411DC" w:rsidP="007F40D7">
            <w:pPr>
              <w:jc w:val="center"/>
              <w:rPr>
                <w:rFonts w:ascii="宋体" w:eastAsia="宋体" w:hAnsi="宋体" w:cs="宋体"/>
                <w:bCs/>
                <w:sz w:val="15"/>
                <w:szCs w:val="15"/>
              </w:rPr>
            </w:pPr>
            <w:r w:rsidRPr="00C55E81">
              <w:rPr>
                <w:rFonts w:hint="eastAsia"/>
                <w:bCs/>
                <w:sz w:val="15"/>
                <w:szCs w:val="15"/>
              </w:rPr>
              <w:t>中金绝对收益</w:t>
            </w:r>
          </w:p>
        </w:tc>
        <w:tc>
          <w:tcPr>
            <w:tcW w:w="921" w:type="dxa"/>
            <w:tcMar>
              <w:left w:w="0" w:type="dxa"/>
              <w:right w:w="0" w:type="dxa"/>
            </w:tcMar>
            <w:vAlign w:val="center"/>
          </w:tcPr>
          <w:p w:rsidR="00C411DC" w:rsidRPr="00C55E81" w:rsidRDefault="00C411DC" w:rsidP="007F40D7">
            <w:pPr>
              <w:jc w:val="center"/>
              <w:rPr>
                <w:rFonts w:ascii="宋体" w:eastAsia="宋体" w:hAnsi="宋体" w:cs="宋体"/>
                <w:color w:val="000000"/>
                <w:sz w:val="15"/>
                <w:szCs w:val="15"/>
              </w:rPr>
            </w:pPr>
            <w:r w:rsidRPr="00C55E81">
              <w:rPr>
                <w:rFonts w:hint="eastAsia"/>
                <w:color w:val="000000"/>
                <w:sz w:val="15"/>
                <w:szCs w:val="15"/>
              </w:rPr>
              <w:t>9.86</w:t>
            </w:r>
          </w:p>
        </w:tc>
        <w:tc>
          <w:tcPr>
            <w:tcW w:w="921" w:type="dxa"/>
            <w:tcMar>
              <w:left w:w="0" w:type="dxa"/>
              <w:right w:w="0" w:type="dxa"/>
            </w:tcMar>
            <w:vAlign w:val="center"/>
          </w:tcPr>
          <w:p w:rsidR="00C411DC" w:rsidRPr="00C55E81" w:rsidRDefault="00C411DC" w:rsidP="007F40D7">
            <w:pPr>
              <w:jc w:val="center"/>
              <w:rPr>
                <w:rFonts w:ascii="宋体" w:eastAsia="宋体" w:hAnsi="宋体" w:cs="宋体"/>
                <w:color w:val="000000"/>
                <w:sz w:val="15"/>
                <w:szCs w:val="15"/>
              </w:rPr>
            </w:pPr>
            <w:r w:rsidRPr="00C55E81">
              <w:rPr>
                <w:rFonts w:hint="eastAsia"/>
                <w:color w:val="000000"/>
                <w:sz w:val="15"/>
                <w:szCs w:val="15"/>
              </w:rPr>
              <w:t>44.2%</w:t>
            </w:r>
          </w:p>
        </w:tc>
        <w:tc>
          <w:tcPr>
            <w:tcW w:w="922" w:type="dxa"/>
            <w:tcMar>
              <w:left w:w="0" w:type="dxa"/>
              <w:right w:w="0" w:type="dxa"/>
            </w:tcMar>
            <w:vAlign w:val="center"/>
          </w:tcPr>
          <w:p w:rsidR="00C411DC" w:rsidRPr="00C55E81" w:rsidRDefault="00C411DC" w:rsidP="007F40D7">
            <w:pPr>
              <w:jc w:val="center"/>
              <w:rPr>
                <w:rFonts w:ascii="宋体" w:eastAsia="宋体" w:hAnsi="宋体" w:cs="宋体"/>
                <w:color w:val="000000"/>
                <w:sz w:val="15"/>
                <w:szCs w:val="15"/>
              </w:rPr>
            </w:pPr>
            <w:r w:rsidRPr="00C55E81">
              <w:rPr>
                <w:rFonts w:hint="eastAsia"/>
                <w:color w:val="FF0000"/>
                <w:sz w:val="15"/>
                <w:szCs w:val="15"/>
              </w:rPr>
              <w:t>-1.39</w:t>
            </w:r>
          </w:p>
        </w:tc>
        <w:tc>
          <w:tcPr>
            <w:tcW w:w="921" w:type="dxa"/>
            <w:tcMar>
              <w:left w:w="0" w:type="dxa"/>
              <w:right w:w="0" w:type="dxa"/>
            </w:tcMar>
            <w:vAlign w:val="center"/>
          </w:tcPr>
          <w:p w:rsidR="00C411DC" w:rsidRPr="00C55E81" w:rsidRDefault="00C411DC" w:rsidP="007F40D7">
            <w:pPr>
              <w:jc w:val="center"/>
              <w:rPr>
                <w:rFonts w:ascii="宋体" w:eastAsia="宋体" w:hAnsi="宋体" w:cs="宋体"/>
                <w:color w:val="000000"/>
                <w:sz w:val="15"/>
                <w:szCs w:val="15"/>
              </w:rPr>
            </w:pPr>
            <w:r w:rsidRPr="00C55E81">
              <w:rPr>
                <w:rFonts w:hint="eastAsia"/>
                <w:color w:val="000000"/>
                <w:sz w:val="15"/>
                <w:szCs w:val="15"/>
              </w:rPr>
              <w:t>5.06</w:t>
            </w:r>
          </w:p>
        </w:tc>
        <w:tc>
          <w:tcPr>
            <w:tcW w:w="921" w:type="dxa"/>
            <w:tcMar>
              <w:left w:w="0" w:type="dxa"/>
              <w:right w:w="0" w:type="dxa"/>
            </w:tcMar>
            <w:vAlign w:val="center"/>
          </w:tcPr>
          <w:p w:rsidR="00C411DC" w:rsidRPr="00C55E81" w:rsidRDefault="00C411DC" w:rsidP="007F40D7">
            <w:pPr>
              <w:jc w:val="center"/>
              <w:rPr>
                <w:rFonts w:ascii="宋体" w:eastAsia="宋体" w:hAnsi="宋体" w:cs="宋体"/>
                <w:color w:val="000000"/>
                <w:sz w:val="15"/>
                <w:szCs w:val="15"/>
              </w:rPr>
            </w:pPr>
            <w:r w:rsidRPr="00C55E81">
              <w:rPr>
                <w:rFonts w:hint="eastAsia"/>
                <w:color w:val="000000"/>
                <w:sz w:val="15"/>
                <w:szCs w:val="15"/>
              </w:rPr>
              <w:t>5.90</w:t>
            </w:r>
          </w:p>
        </w:tc>
        <w:tc>
          <w:tcPr>
            <w:tcW w:w="921" w:type="dxa"/>
            <w:tcMar>
              <w:left w:w="0" w:type="dxa"/>
              <w:right w:w="0" w:type="dxa"/>
            </w:tcMar>
            <w:vAlign w:val="center"/>
          </w:tcPr>
          <w:p w:rsidR="00C411DC" w:rsidRPr="00C55E81" w:rsidRDefault="00C411DC" w:rsidP="007F40D7">
            <w:pPr>
              <w:jc w:val="center"/>
              <w:rPr>
                <w:rFonts w:ascii="宋体" w:eastAsia="宋体" w:hAnsi="宋体" w:cs="宋体"/>
                <w:color w:val="000000"/>
                <w:sz w:val="15"/>
                <w:szCs w:val="15"/>
              </w:rPr>
            </w:pPr>
            <w:r w:rsidRPr="00C55E81">
              <w:rPr>
                <w:rFonts w:ascii="宋体" w:eastAsia="宋体" w:hAnsi="宋体" w:cs="宋体" w:hint="eastAsia"/>
                <w:color w:val="000000"/>
                <w:sz w:val="15"/>
                <w:szCs w:val="15"/>
              </w:rPr>
              <w:t>—</w:t>
            </w:r>
          </w:p>
        </w:tc>
        <w:tc>
          <w:tcPr>
            <w:tcW w:w="922" w:type="dxa"/>
            <w:tcMar>
              <w:left w:w="0" w:type="dxa"/>
              <w:right w:w="0" w:type="dxa"/>
            </w:tcMar>
            <w:vAlign w:val="center"/>
          </w:tcPr>
          <w:p w:rsidR="00C411DC" w:rsidRPr="00C55E81" w:rsidRDefault="00C411DC" w:rsidP="007F40D7">
            <w:pPr>
              <w:jc w:val="center"/>
              <w:rPr>
                <w:rFonts w:ascii="宋体" w:eastAsia="宋体" w:hAnsi="宋体" w:cs="宋体"/>
                <w:color w:val="000000"/>
                <w:sz w:val="15"/>
                <w:szCs w:val="15"/>
              </w:rPr>
            </w:pPr>
            <w:r w:rsidRPr="00C55E81">
              <w:rPr>
                <w:rFonts w:hint="eastAsia"/>
                <w:color w:val="000000"/>
                <w:sz w:val="15"/>
                <w:szCs w:val="15"/>
              </w:rPr>
              <w:t>2015-4-21</w:t>
            </w:r>
          </w:p>
        </w:tc>
      </w:tr>
      <w:tr w:rsidR="00C411DC" w:rsidRPr="00C55E81" w:rsidTr="007F40D7">
        <w:trPr>
          <w:trHeight w:val="284"/>
        </w:trPr>
        <w:tc>
          <w:tcPr>
            <w:tcW w:w="921" w:type="dxa"/>
            <w:tcMar>
              <w:left w:w="0" w:type="dxa"/>
              <w:right w:w="0" w:type="dxa"/>
            </w:tcMar>
            <w:vAlign w:val="center"/>
          </w:tcPr>
          <w:p w:rsidR="00C411DC" w:rsidRPr="00C55E81" w:rsidRDefault="00C411DC" w:rsidP="007F40D7">
            <w:pPr>
              <w:jc w:val="center"/>
              <w:rPr>
                <w:rFonts w:ascii="宋体" w:eastAsia="宋体" w:hAnsi="宋体" w:cs="宋体"/>
                <w:bCs/>
                <w:sz w:val="15"/>
                <w:szCs w:val="15"/>
              </w:rPr>
            </w:pPr>
            <w:r w:rsidRPr="00C55E81">
              <w:rPr>
                <w:rFonts w:hint="eastAsia"/>
                <w:bCs/>
                <w:sz w:val="15"/>
                <w:szCs w:val="15"/>
              </w:rPr>
              <w:t>海富通阿尔法</w:t>
            </w:r>
          </w:p>
        </w:tc>
        <w:tc>
          <w:tcPr>
            <w:tcW w:w="921" w:type="dxa"/>
            <w:tcMar>
              <w:left w:w="0" w:type="dxa"/>
              <w:right w:w="0" w:type="dxa"/>
            </w:tcMar>
            <w:vAlign w:val="center"/>
          </w:tcPr>
          <w:p w:rsidR="00C411DC" w:rsidRPr="00C55E81" w:rsidRDefault="00C411DC" w:rsidP="007F40D7">
            <w:pPr>
              <w:jc w:val="center"/>
              <w:rPr>
                <w:rFonts w:ascii="宋体" w:eastAsia="宋体" w:hAnsi="宋体" w:cs="宋体"/>
                <w:color w:val="000000"/>
                <w:sz w:val="15"/>
                <w:szCs w:val="15"/>
              </w:rPr>
            </w:pPr>
            <w:r w:rsidRPr="00C55E81">
              <w:rPr>
                <w:rFonts w:hint="eastAsia"/>
                <w:color w:val="000000"/>
                <w:sz w:val="15"/>
                <w:szCs w:val="15"/>
              </w:rPr>
              <w:t>9.79</w:t>
            </w:r>
          </w:p>
        </w:tc>
        <w:tc>
          <w:tcPr>
            <w:tcW w:w="921" w:type="dxa"/>
            <w:tcMar>
              <w:left w:w="0" w:type="dxa"/>
              <w:right w:w="0" w:type="dxa"/>
            </w:tcMar>
            <w:vAlign w:val="center"/>
          </w:tcPr>
          <w:p w:rsidR="00C411DC" w:rsidRPr="00C55E81" w:rsidRDefault="00C411DC" w:rsidP="007F40D7">
            <w:pPr>
              <w:jc w:val="center"/>
              <w:rPr>
                <w:rFonts w:ascii="宋体" w:eastAsia="宋体" w:hAnsi="宋体" w:cs="宋体"/>
                <w:color w:val="000000"/>
                <w:sz w:val="15"/>
                <w:szCs w:val="15"/>
              </w:rPr>
            </w:pPr>
            <w:r w:rsidRPr="00C55E81">
              <w:rPr>
                <w:rFonts w:hint="eastAsia"/>
                <w:color w:val="000000"/>
                <w:sz w:val="15"/>
                <w:szCs w:val="15"/>
              </w:rPr>
              <w:t>43.3%</w:t>
            </w:r>
          </w:p>
        </w:tc>
        <w:tc>
          <w:tcPr>
            <w:tcW w:w="922" w:type="dxa"/>
            <w:tcMar>
              <w:left w:w="0" w:type="dxa"/>
              <w:right w:w="0" w:type="dxa"/>
            </w:tcMar>
            <w:vAlign w:val="center"/>
          </w:tcPr>
          <w:p w:rsidR="00C411DC" w:rsidRPr="00C55E81" w:rsidRDefault="00C411DC" w:rsidP="007F40D7">
            <w:pPr>
              <w:jc w:val="center"/>
              <w:rPr>
                <w:rFonts w:ascii="宋体" w:eastAsia="宋体" w:hAnsi="宋体" w:cs="宋体"/>
                <w:color w:val="000000"/>
                <w:sz w:val="15"/>
                <w:szCs w:val="15"/>
              </w:rPr>
            </w:pPr>
            <w:r w:rsidRPr="00C55E81">
              <w:rPr>
                <w:rFonts w:hint="eastAsia"/>
                <w:color w:val="FF0000"/>
                <w:sz w:val="15"/>
                <w:szCs w:val="15"/>
              </w:rPr>
              <w:t>-2.97</w:t>
            </w:r>
          </w:p>
        </w:tc>
        <w:tc>
          <w:tcPr>
            <w:tcW w:w="921" w:type="dxa"/>
            <w:tcMar>
              <w:left w:w="0" w:type="dxa"/>
              <w:right w:w="0" w:type="dxa"/>
            </w:tcMar>
            <w:vAlign w:val="center"/>
          </w:tcPr>
          <w:p w:rsidR="00C411DC" w:rsidRPr="00C55E81" w:rsidRDefault="00C411DC" w:rsidP="007F40D7">
            <w:pPr>
              <w:jc w:val="center"/>
              <w:rPr>
                <w:rFonts w:ascii="宋体" w:eastAsia="宋体" w:hAnsi="宋体" w:cs="宋体"/>
                <w:color w:val="000000"/>
                <w:sz w:val="15"/>
                <w:szCs w:val="15"/>
              </w:rPr>
            </w:pPr>
            <w:r w:rsidRPr="00C55E81">
              <w:rPr>
                <w:rFonts w:hint="eastAsia"/>
                <w:color w:val="000000"/>
                <w:sz w:val="15"/>
                <w:szCs w:val="15"/>
              </w:rPr>
              <w:t>2.11</w:t>
            </w:r>
          </w:p>
        </w:tc>
        <w:tc>
          <w:tcPr>
            <w:tcW w:w="921" w:type="dxa"/>
            <w:tcMar>
              <w:left w:w="0" w:type="dxa"/>
              <w:right w:w="0" w:type="dxa"/>
            </w:tcMar>
            <w:vAlign w:val="center"/>
          </w:tcPr>
          <w:p w:rsidR="00C411DC" w:rsidRPr="00C55E81" w:rsidRDefault="00C411DC" w:rsidP="007F40D7">
            <w:pPr>
              <w:jc w:val="center"/>
              <w:rPr>
                <w:rFonts w:ascii="宋体" w:eastAsia="宋体" w:hAnsi="宋体" w:cs="宋体"/>
                <w:color w:val="000000"/>
                <w:sz w:val="15"/>
                <w:szCs w:val="15"/>
              </w:rPr>
            </w:pPr>
            <w:r w:rsidRPr="00C55E81">
              <w:rPr>
                <w:rFonts w:hint="eastAsia"/>
                <w:color w:val="000000"/>
                <w:sz w:val="15"/>
                <w:szCs w:val="15"/>
              </w:rPr>
              <w:t>12.01</w:t>
            </w:r>
          </w:p>
        </w:tc>
        <w:tc>
          <w:tcPr>
            <w:tcW w:w="921" w:type="dxa"/>
            <w:tcMar>
              <w:left w:w="0" w:type="dxa"/>
              <w:right w:w="0" w:type="dxa"/>
            </w:tcMar>
            <w:vAlign w:val="center"/>
          </w:tcPr>
          <w:p w:rsidR="00C411DC" w:rsidRPr="00C55E81" w:rsidRDefault="00C411DC" w:rsidP="007F40D7">
            <w:pPr>
              <w:jc w:val="center"/>
              <w:rPr>
                <w:rFonts w:ascii="宋体" w:eastAsia="宋体" w:hAnsi="宋体" w:cs="宋体"/>
                <w:color w:val="000000"/>
                <w:sz w:val="15"/>
                <w:szCs w:val="15"/>
              </w:rPr>
            </w:pPr>
            <w:r w:rsidRPr="00C55E81">
              <w:rPr>
                <w:rFonts w:hint="eastAsia"/>
                <w:color w:val="000000"/>
                <w:sz w:val="15"/>
                <w:szCs w:val="15"/>
              </w:rPr>
              <w:t>18.82</w:t>
            </w:r>
          </w:p>
        </w:tc>
        <w:tc>
          <w:tcPr>
            <w:tcW w:w="922" w:type="dxa"/>
            <w:tcMar>
              <w:left w:w="0" w:type="dxa"/>
              <w:right w:w="0" w:type="dxa"/>
            </w:tcMar>
            <w:vAlign w:val="center"/>
          </w:tcPr>
          <w:p w:rsidR="00C411DC" w:rsidRPr="00C55E81" w:rsidRDefault="00C411DC" w:rsidP="007F40D7">
            <w:pPr>
              <w:jc w:val="center"/>
              <w:rPr>
                <w:rFonts w:ascii="宋体" w:eastAsia="宋体" w:hAnsi="宋体" w:cs="宋体"/>
                <w:color w:val="000000"/>
                <w:sz w:val="15"/>
                <w:szCs w:val="15"/>
              </w:rPr>
            </w:pPr>
            <w:r w:rsidRPr="00C55E81">
              <w:rPr>
                <w:rFonts w:hint="eastAsia"/>
                <w:color w:val="000000"/>
                <w:sz w:val="15"/>
                <w:szCs w:val="15"/>
              </w:rPr>
              <w:t>2014-11-20</w:t>
            </w:r>
          </w:p>
        </w:tc>
      </w:tr>
      <w:tr w:rsidR="00C411DC" w:rsidRPr="00C55E81" w:rsidTr="007F40D7">
        <w:trPr>
          <w:trHeight w:val="284"/>
        </w:trPr>
        <w:tc>
          <w:tcPr>
            <w:tcW w:w="921" w:type="dxa"/>
            <w:tcMar>
              <w:left w:w="0" w:type="dxa"/>
              <w:right w:w="0" w:type="dxa"/>
            </w:tcMar>
            <w:vAlign w:val="center"/>
          </w:tcPr>
          <w:p w:rsidR="00C411DC" w:rsidRPr="00C55E81" w:rsidRDefault="00C411DC" w:rsidP="007F40D7">
            <w:pPr>
              <w:jc w:val="center"/>
              <w:rPr>
                <w:rFonts w:ascii="宋体" w:eastAsia="宋体" w:hAnsi="宋体" w:cs="宋体"/>
                <w:bCs/>
                <w:sz w:val="15"/>
                <w:szCs w:val="15"/>
              </w:rPr>
            </w:pPr>
            <w:r w:rsidRPr="00C55E81">
              <w:rPr>
                <w:rFonts w:hint="eastAsia"/>
                <w:bCs/>
                <w:sz w:val="15"/>
                <w:szCs w:val="15"/>
              </w:rPr>
              <w:t>华宝对冲策略</w:t>
            </w:r>
          </w:p>
        </w:tc>
        <w:tc>
          <w:tcPr>
            <w:tcW w:w="921" w:type="dxa"/>
            <w:tcMar>
              <w:left w:w="0" w:type="dxa"/>
              <w:right w:w="0" w:type="dxa"/>
            </w:tcMar>
            <w:vAlign w:val="center"/>
          </w:tcPr>
          <w:p w:rsidR="00C411DC" w:rsidRPr="00C55E81" w:rsidRDefault="00C411DC" w:rsidP="007F40D7">
            <w:pPr>
              <w:jc w:val="center"/>
              <w:rPr>
                <w:rFonts w:ascii="宋体" w:eastAsia="宋体" w:hAnsi="宋体" w:cs="宋体"/>
                <w:color w:val="000000"/>
                <w:sz w:val="15"/>
                <w:szCs w:val="15"/>
              </w:rPr>
            </w:pPr>
            <w:r w:rsidRPr="00C55E81">
              <w:rPr>
                <w:rFonts w:hint="eastAsia"/>
                <w:color w:val="000000"/>
                <w:sz w:val="15"/>
                <w:szCs w:val="15"/>
              </w:rPr>
              <w:t>6.17</w:t>
            </w:r>
          </w:p>
        </w:tc>
        <w:tc>
          <w:tcPr>
            <w:tcW w:w="921" w:type="dxa"/>
            <w:tcMar>
              <w:left w:w="0" w:type="dxa"/>
              <w:right w:w="0" w:type="dxa"/>
            </w:tcMar>
            <w:vAlign w:val="center"/>
          </w:tcPr>
          <w:p w:rsidR="00C411DC" w:rsidRPr="00C55E81" w:rsidRDefault="00C411DC" w:rsidP="007F40D7">
            <w:pPr>
              <w:jc w:val="center"/>
              <w:rPr>
                <w:rFonts w:ascii="宋体" w:eastAsia="宋体" w:hAnsi="宋体" w:cs="宋体"/>
                <w:color w:val="000000"/>
                <w:sz w:val="15"/>
                <w:szCs w:val="15"/>
              </w:rPr>
            </w:pPr>
            <w:r w:rsidRPr="00C55E81">
              <w:rPr>
                <w:rFonts w:hint="eastAsia"/>
                <w:color w:val="000000"/>
                <w:sz w:val="15"/>
                <w:szCs w:val="15"/>
              </w:rPr>
              <w:t>36.8%</w:t>
            </w:r>
          </w:p>
        </w:tc>
        <w:tc>
          <w:tcPr>
            <w:tcW w:w="922" w:type="dxa"/>
            <w:tcMar>
              <w:left w:w="0" w:type="dxa"/>
              <w:right w:w="0" w:type="dxa"/>
            </w:tcMar>
            <w:vAlign w:val="center"/>
          </w:tcPr>
          <w:p w:rsidR="00C411DC" w:rsidRPr="00C55E81" w:rsidRDefault="00C411DC" w:rsidP="007F40D7">
            <w:pPr>
              <w:jc w:val="center"/>
              <w:rPr>
                <w:rFonts w:ascii="宋体" w:eastAsia="宋体" w:hAnsi="宋体" w:cs="宋体"/>
                <w:color w:val="000000"/>
                <w:sz w:val="15"/>
                <w:szCs w:val="15"/>
              </w:rPr>
            </w:pPr>
            <w:r w:rsidRPr="00C55E81">
              <w:rPr>
                <w:rFonts w:hint="eastAsia"/>
                <w:color w:val="FF0000"/>
                <w:sz w:val="15"/>
                <w:szCs w:val="15"/>
              </w:rPr>
              <w:t>-3.21</w:t>
            </w:r>
          </w:p>
        </w:tc>
        <w:tc>
          <w:tcPr>
            <w:tcW w:w="921" w:type="dxa"/>
            <w:tcMar>
              <w:left w:w="0" w:type="dxa"/>
              <w:right w:w="0" w:type="dxa"/>
            </w:tcMar>
            <w:vAlign w:val="center"/>
          </w:tcPr>
          <w:p w:rsidR="00C411DC" w:rsidRPr="00C55E81" w:rsidRDefault="00C411DC" w:rsidP="007F40D7">
            <w:pPr>
              <w:jc w:val="center"/>
              <w:rPr>
                <w:rFonts w:ascii="宋体" w:eastAsia="宋体" w:hAnsi="宋体" w:cs="宋体"/>
                <w:color w:val="000000"/>
                <w:sz w:val="15"/>
                <w:szCs w:val="15"/>
              </w:rPr>
            </w:pPr>
            <w:r w:rsidRPr="00C55E81">
              <w:rPr>
                <w:rFonts w:hint="eastAsia"/>
                <w:color w:val="000000"/>
                <w:sz w:val="15"/>
                <w:szCs w:val="15"/>
              </w:rPr>
              <w:t>3.13</w:t>
            </w:r>
          </w:p>
        </w:tc>
        <w:tc>
          <w:tcPr>
            <w:tcW w:w="921" w:type="dxa"/>
            <w:tcMar>
              <w:left w:w="0" w:type="dxa"/>
              <w:right w:w="0" w:type="dxa"/>
            </w:tcMar>
            <w:vAlign w:val="center"/>
          </w:tcPr>
          <w:p w:rsidR="00C411DC" w:rsidRPr="00C55E81" w:rsidRDefault="00C411DC" w:rsidP="007F40D7">
            <w:pPr>
              <w:jc w:val="center"/>
              <w:rPr>
                <w:rFonts w:ascii="宋体" w:eastAsia="宋体" w:hAnsi="宋体" w:cs="宋体"/>
                <w:color w:val="000000"/>
                <w:sz w:val="15"/>
                <w:szCs w:val="15"/>
              </w:rPr>
            </w:pPr>
            <w:r w:rsidRPr="00C55E81">
              <w:rPr>
                <w:rFonts w:hint="eastAsia"/>
                <w:color w:val="000000"/>
                <w:sz w:val="15"/>
                <w:szCs w:val="15"/>
              </w:rPr>
              <w:t>6.27</w:t>
            </w:r>
          </w:p>
        </w:tc>
        <w:tc>
          <w:tcPr>
            <w:tcW w:w="921" w:type="dxa"/>
            <w:tcMar>
              <w:left w:w="0" w:type="dxa"/>
              <w:right w:w="0" w:type="dxa"/>
            </w:tcMar>
            <w:vAlign w:val="center"/>
          </w:tcPr>
          <w:p w:rsidR="00C411DC" w:rsidRPr="00C55E81" w:rsidRDefault="00C411DC" w:rsidP="007F40D7">
            <w:pPr>
              <w:jc w:val="center"/>
              <w:rPr>
                <w:rFonts w:ascii="宋体" w:eastAsia="宋体" w:hAnsi="宋体" w:cs="宋体"/>
                <w:color w:val="000000"/>
                <w:sz w:val="15"/>
                <w:szCs w:val="15"/>
              </w:rPr>
            </w:pPr>
            <w:r w:rsidRPr="00C55E81">
              <w:rPr>
                <w:rFonts w:hint="eastAsia"/>
                <w:color w:val="000000"/>
                <w:sz w:val="15"/>
                <w:szCs w:val="15"/>
              </w:rPr>
              <w:t>11.52</w:t>
            </w:r>
          </w:p>
        </w:tc>
        <w:tc>
          <w:tcPr>
            <w:tcW w:w="922" w:type="dxa"/>
            <w:tcMar>
              <w:left w:w="0" w:type="dxa"/>
              <w:right w:w="0" w:type="dxa"/>
            </w:tcMar>
            <w:vAlign w:val="center"/>
          </w:tcPr>
          <w:p w:rsidR="00C411DC" w:rsidRPr="00C55E81" w:rsidRDefault="00C411DC" w:rsidP="007F40D7">
            <w:pPr>
              <w:jc w:val="center"/>
              <w:rPr>
                <w:rFonts w:ascii="宋体" w:eastAsia="宋体" w:hAnsi="宋体" w:cs="宋体"/>
                <w:color w:val="000000"/>
                <w:sz w:val="15"/>
                <w:szCs w:val="15"/>
              </w:rPr>
            </w:pPr>
            <w:r w:rsidRPr="00C55E81">
              <w:rPr>
                <w:rFonts w:hint="eastAsia"/>
                <w:color w:val="000000"/>
                <w:sz w:val="15"/>
                <w:szCs w:val="15"/>
              </w:rPr>
              <w:t>2014-9-17</w:t>
            </w:r>
          </w:p>
        </w:tc>
      </w:tr>
      <w:tr w:rsidR="00C411DC" w:rsidRPr="00C55E81" w:rsidTr="007F40D7">
        <w:trPr>
          <w:trHeight w:val="284"/>
        </w:trPr>
        <w:tc>
          <w:tcPr>
            <w:tcW w:w="921" w:type="dxa"/>
            <w:tcMar>
              <w:left w:w="0" w:type="dxa"/>
              <w:right w:w="0" w:type="dxa"/>
            </w:tcMar>
            <w:vAlign w:val="center"/>
          </w:tcPr>
          <w:p w:rsidR="00C411DC" w:rsidRPr="00C55E81" w:rsidRDefault="00C411DC" w:rsidP="007F40D7">
            <w:pPr>
              <w:jc w:val="center"/>
              <w:rPr>
                <w:rFonts w:ascii="宋体" w:eastAsia="宋体" w:hAnsi="宋体" w:cs="宋体"/>
                <w:bCs/>
                <w:sz w:val="15"/>
                <w:szCs w:val="15"/>
              </w:rPr>
            </w:pPr>
            <w:r w:rsidRPr="00C55E81">
              <w:rPr>
                <w:rFonts w:hint="eastAsia"/>
                <w:bCs/>
                <w:sz w:val="15"/>
                <w:szCs w:val="15"/>
              </w:rPr>
              <w:t>工银绝对收益</w:t>
            </w:r>
          </w:p>
        </w:tc>
        <w:tc>
          <w:tcPr>
            <w:tcW w:w="921" w:type="dxa"/>
            <w:tcMar>
              <w:left w:w="0" w:type="dxa"/>
              <w:right w:w="0" w:type="dxa"/>
            </w:tcMar>
            <w:vAlign w:val="center"/>
          </w:tcPr>
          <w:p w:rsidR="00C411DC" w:rsidRPr="00C55E81" w:rsidRDefault="00C411DC" w:rsidP="007F40D7">
            <w:pPr>
              <w:jc w:val="center"/>
              <w:rPr>
                <w:rFonts w:ascii="宋体" w:eastAsia="宋体" w:hAnsi="宋体" w:cs="宋体"/>
                <w:color w:val="000000"/>
                <w:sz w:val="15"/>
                <w:szCs w:val="15"/>
              </w:rPr>
            </w:pPr>
            <w:r w:rsidRPr="00C55E81">
              <w:rPr>
                <w:rFonts w:hint="eastAsia"/>
                <w:color w:val="000000"/>
                <w:sz w:val="15"/>
                <w:szCs w:val="15"/>
              </w:rPr>
              <w:t>5.26</w:t>
            </w:r>
          </w:p>
        </w:tc>
        <w:tc>
          <w:tcPr>
            <w:tcW w:w="921" w:type="dxa"/>
            <w:tcMar>
              <w:left w:w="0" w:type="dxa"/>
              <w:right w:w="0" w:type="dxa"/>
            </w:tcMar>
            <w:vAlign w:val="center"/>
          </w:tcPr>
          <w:p w:rsidR="00C411DC" w:rsidRPr="00C55E81" w:rsidRDefault="00C411DC" w:rsidP="007F40D7">
            <w:pPr>
              <w:jc w:val="center"/>
              <w:rPr>
                <w:rFonts w:ascii="宋体" w:eastAsia="宋体" w:hAnsi="宋体" w:cs="宋体"/>
                <w:color w:val="000000"/>
                <w:sz w:val="15"/>
                <w:szCs w:val="15"/>
              </w:rPr>
            </w:pPr>
            <w:r w:rsidRPr="00C55E81">
              <w:rPr>
                <w:rFonts w:hint="eastAsia"/>
                <w:color w:val="000000"/>
                <w:sz w:val="15"/>
                <w:szCs w:val="15"/>
              </w:rPr>
              <w:t>24.7%</w:t>
            </w:r>
          </w:p>
        </w:tc>
        <w:tc>
          <w:tcPr>
            <w:tcW w:w="922" w:type="dxa"/>
            <w:tcMar>
              <w:left w:w="0" w:type="dxa"/>
              <w:right w:w="0" w:type="dxa"/>
            </w:tcMar>
            <w:vAlign w:val="center"/>
          </w:tcPr>
          <w:p w:rsidR="00C411DC" w:rsidRPr="00C55E81" w:rsidRDefault="00C411DC" w:rsidP="007F40D7">
            <w:pPr>
              <w:jc w:val="center"/>
              <w:rPr>
                <w:rFonts w:ascii="宋体" w:eastAsia="宋体" w:hAnsi="宋体" w:cs="宋体"/>
                <w:color w:val="000000"/>
                <w:sz w:val="15"/>
                <w:szCs w:val="15"/>
              </w:rPr>
            </w:pPr>
            <w:r w:rsidRPr="00C55E81">
              <w:rPr>
                <w:rFonts w:hint="eastAsia"/>
                <w:color w:val="FF0000"/>
                <w:sz w:val="15"/>
                <w:szCs w:val="15"/>
              </w:rPr>
              <w:t>-5.19</w:t>
            </w:r>
          </w:p>
        </w:tc>
        <w:tc>
          <w:tcPr>
            <w:tcW w:w="921" w:type="dxa"/>
            <w:tcMar>
              <w:left w:w="0" w:type="dxa"/>
              <w:right w:w="0" w:type="dxa"/>
            </w:tcMar>
            <w:vAlign w:val="center"/>
          </w:tcPr>
          <w:p w:rsidR="00C411DC" w:rsidRPr="00C55E81" w:rsidRDefault="00C411DC" w:rsidP="007F40D7">
            <w:pPr>
              <w:jc w:val="center"/>
              <w:rPr>
                <w:rFonts w:ascii="宋体" w:eastAsia="宋体" w:hAnsi="宋体" w:cs="宋体"/>
                <w:color w:val="000000"/>
                <w:sz w:val="15"/>
                <w:szCs w:val="15"/>
              </w:rPr>
            </w:pPr>
            <w:r w:rsidRPr="00C55E81">
              <w:rPr>
                <w:rFonts w:hint="eastAsia"/>
                <w:color w:val="000000"/>
                <w:sz w:val="15"/>
                <w:szCs w:val="15"/>
              </w:rPr>
              <w:t>2.56</w:t>
            </w:r>
          </w:p>
        </w:tc>
        <w:tc>
          <w:tcPr>
            <w:tcW w:w="921" w:type="dxa"/>
            <w:tcMar>
              <w:left w:w="0" w:type="dxa"/>
              <w:right w:w="0" w:type="dxa"/>
            </w:tcMar>
            <w:vAlign w:val="center"/>
          </w:tcPr>
          <w:p w:rsidR="00C411DC" w:rsidRPr="00C55E81" w:rsidRDefault="00C411DC" w:rsidP="007F40D7">
            <w:pPr>
              <w:jc w:val="center"/>
              <w:rPr>
                <w:rFonts w:ascii="宋体" w:eastAsia="宋体" w:hAnsi="宋体" w:cs="宋体"/>
                <w:color w:val="000000"/>
                <w:sz w:val="15"/>
                <w:szCs w:val="15"/>
              </w:rPr>
            </w:pPr>
            <w:r w:rsidRPr="00C55E81">
              <w:rPr>
                <w:rFonts w:hint="eastAsia"/>
                <w:color w:val="000000"/>
                <w:sz w:val="15"/>
                <w:szCs w:val="15"/>
              </w:rPr>
              <w:t>6.16</w:t>
            </w:r>
          </w:p>
        </w:tc>
        <w:tc>
          <w:tcPr>
            <w:tcW w:w="921" w:type="dxa"/>
            <w:tcMar>
              <w:left w:w="0" w:type="dxa"/>
              <w:right w:w="0" w:type="dxa"/>
            </w:tcMar>
            <w:vAlign w:val="center"/>
          </w:tcPr>
          <w:p w:rsidR="00C411DC" w:rsidRPr="00C55E81" w:rsidRDefault="00C411DC" w:rsidP="007F40D7">
            <w:pPr>
              <w:jc w:val="center"/>
              <w:rPr>
                <w:rFonts w:ascii="宋体" w:eastAsia="宋体" w:hAnsi="宋体" w:cs="宋体"/>
                <w:color w:val="000000"/>
                <w:sz w:val="15"/>
                <w:szCs w:val="15"/>
              </w:rPr>
            </w:pPr>
            <w:r w:rsidRPr="00C55E81">
              <w:rPr>
                <w:rFonts w:hint="eastAsia"/>
                <w:color w:val="000000"/>
                <w:sz w:val="15"/>
                <w:szCs w:val="15"/>
              </w:rPr>
              <w:t>9.90</w:t>
            </w:r>
          </w:p>
        </w:tc>
        <w:tc>
          <w:tcPr>
            <w:tcW w:w="922" w:type="dxa"/>
            <w:tcMar>
              <w:left w:w="0" w:type="dxa"/>
              <w:right w:w="0" w:type="dxa"/>
            </w:tcMar>
            <w:vAlign w:val="center"/>
          </w:tcPr>
          <w:p w:rsidR="00C411DC" w:rsidRPr="00C55E81" w:rsidRDefault="00C411DC" w:rsidP="007F40D7">
            <w:pPr>
              <w:jc w:val="center"/>
              <w:rPr>
                <w:rFonts w:ascii="宋体" w:eastAsia="宋体" w:hAnsi="宋体" w:cs="宋体"/>
                <w:color w:val="000000"/>
                <w:sz w:val="15"/>
                <w:szCs w:val="15"/>
              </w:rPr>
            </w:pPr>
            <w:r w:rsidRPr="00C55E81">
              <w:rPr>
                <w:rFonts w:hint="eastAsia"/>
                <w:color w:val="000000"/>
                <w:sz w:val="15"/>
                <w:szCs w:val="15"/>
              </w:rPr>
              <w:t>2014-6-26</w:t>
            </w:r>
          </w:p>
        </w:tc>
      </w:tr>
      <w:tr w:rsidR="00C411DC" w:rsidRPr="00C55E81" w:rsidTr="007F40D7">
        <w:trPr>
          <w:trHeight w:val="284"/>
        </w:trPr>
        <w:tc>
          <w:tcPr>
            <w:tcW w:w="921" w:type="dxa"/>
            <w:tcMar>
              <w:left w:w="0" w:type="dxa"/>
              <w:right w:w="0" w:type="dxa"/>
            </w:tcMar>
            <w:vAlign w:val="center"/>
          </w:tcPr>
          <w:p w:rsidR="00C411DC" w:rsidRPr="00C55E81" w:rsidRDefault="00C411DC" w:rsidP="007F40D7">
            <w:pPr>
              <w:jc w:val="center"/>
              <w:rPr>
                <w:rFonts w:ascii="宋体" w:eastAsia="宋体" w:hAnsi="宋体" w:cs="宋体"/>
                <w:bCs/>
                <w:sz w:val="15"/>
                <w:szCs w:val="15"/>
              </w:rPr>
            </w:pPr>
            <w:r w:rsidRPr="00C55E81">
              <w:rPr>
                <w:rFonts w:hint="eastAsia"/>
                <w:bCs/>
                <w:sz w:val="15"/>
                <w:szCs w:val="15"/>
              </w:rPr>
              <w:t>嘉实对冲套利</w:t>
            </w:r>
          </w:p>
        </w:tc>
        <w:tc>
          <w:tcPr>
            <w:tcW w:w="921" w:type="dxa"/>
            <w:tcMar>
              <w:left w:w="0" w:type="dxa"/>
              <w:right w:w="0" w:type="dxa"/>
            </w:tcMar>
            <w:vAlign w:val="center"/>
          </w:tcPr>
          <w:p w:rsidR="00C411DC" w:rsidRPr="00C55E81" w:rsidRDefault="00C411DC" w:rsidP="007F40D7">
            <w:pPr>
              <w:jc w:val="center"/>
              <w:rPr>
                <w:rFonts w:ascii="宋体" w:eastAsia="宋体" w:hAnsi="宋体" w:cs="宋体"/>
                <w:color w:val="000000"/>
                <w:sz w:val="15"/>
                <w:szCs w:val="15"/>
              </w:rPr>
            </w:pPr>
            <w:r w:rsidRPr="00C55E81">
              <w:rPr>
                <w:rFonts w:hint="eastAsia"/>
                <w:color w:val="000000"/>
                <w:sz w:val="15"/>
                <w:szCs w:val="15"/>
              </w:rPr>
              <w:t>5.33</w:t>
            </w:r>
          </w:p>
        </w:tc>
        <w:tc>
          <w:tcPr>
            <w:tcW w:w="921" w:type="dxa"/>
            <w:tcMar>
              <w:left w:w="0" w:type="dxa"/>
              <w:right w:w="0" w:type="dxa"/>
            </w:tcMar>
            <w:vAlign w:val="center"/>
          </w:tcPr>
          <w:p w:rsidR="00C411DC" w:rsidRPr="00C55E81" w:rsidRDefault="00C411DC" w:rsidP="007F40D7">
            <w:pPr>
              <w:jc w:val="center"/>
              <w:rPr>
                <w:rFonts w:ascii="宋体" w:eastAsia="宋体" w:hAnsi="宋体" w:cs="宋体"/>
                <w:color w:val="000000"/>
                <w:sz w:val="15"/>
                <w:szCs w:val="15"/>
              </w:rPr>
            </w:pPr>
            <w:r w:rsidRPr="00C55E81">
              <w:rPr>
                <w:rFonts w:hint="eastAsia"/>
                <w:color w:val="000000"/>
                <w:sz w:val="15"/>
                <w:szCs w:val="15"/>
              </w:rPr>
              <w:t>5.1%</w:t>
            </w:r>
          </w:p>
        </w:tc>
        <w:tc>
          <w:tcPr>
            <w:tcW w:w="922" w:type="dxa"/>
            <w:tcMar>
              <w:left w:w="0" w:type="dxa"/>
              <w:right w:w="0" w:type="dxa"/>
            </w:tcMar>
            <w:vAlign w:val="center"/>
          </w:tcPr>
          <w:p w:rsidR="00C411DC" w:rsidRPr="00C55E81" w:rsidRDefault="00C411DC" w:rsidP="007F40D7">
            <w:pPr>
              <w:jc w:val="center"/>
              <w:rPr>
                <w:rFonts w:ascii="宋体" w:eastAsia="宋体" w:hAnsi="宋体" w:cs="宋体"/>
                <w:color w:val="000000"/>
                <w:sz w:val="15"/>
                <w:szCs w:val="15"/>
              </w:rPr>
            </w:pPr>
            <w:r w:rsidRPr="00C55E81">
              <w:rPr>
                <w:rFonts w:hint="eastAsia"/>
                <w:color w:val="FF0000"/>
                <w:sz w:val="15"/>
                <w:szCs w:val="15"/>
              </w:rPr>
              <w:t>-6.61</w:t>
            </w:r>
          </w:p>
        </w:tc>
        <w:tc>
          <w:tcPr>
            <w:tcW w:w="921" w:type="dxa"/>
            <w:tcMar>
              <w:left w:w="0" w:type="dxa"/>
              <w:right w:w="0" w:type="dxa"/>
            </w:tcMar>
            <w:vAlign w:val="center"/>
          </w:tcPr>
          <w:p w:rsidR="00C411DC" w:rsidRPr="00C55E81" w:rsidRDefault="00C411DC" w:rsidP="007F40D7">
            <w:pPr>
              <w:jc w:val="center"/>
              <w:rPr>
                <w:rFonts w:ascii="宋体" w:eastAsia="宋体" w:hAnsi="宋体" w:cs="宋体"/>
                <w:color w:val="000000"/>
                <w:sz w:val="15"/>
                <w:szCs w:val="15"/>
              </w:rPr>
            </w:pPr>
            <w:r w:rsidRPr="00C55E81">
              <w:rPr>
                <w:rFonts w:hint="eastAsia"/>
                <w:color w:val="000000"/>
                <w:sz w:val="15"/>
                <w:szCs w:val="15"/>
              </w:rPr>
              <w:t>0.48</w:t>
            </w:r>
          </w:p>
        </w:tc>
        <w:tc>
          <w:tcPr>
            <w:tcW w:w="921" w:type="dxa"/>
            <w:tcMar>
              <w:left w:w="0" w:type="dxa"/>
              <w:right w:w="0" w:type="dxa"/>
            </w:tcMar>
            <w:vAlign w:val="center"/>
          </w:tcPr>
          <w:p w:rsidR="00C411DC" w:rsidRPr="00C55E81" w:rsidRDefault="00C411DC" w:rsidP="007F40D7">
            <w:pPr>
              <w:jc w:val="center"/>
              <w:rPr>
                <w:rFonts w:ascii="宋体" w:eastAsia="宋体" w:hAnsi="宋体" w:cs="宋体"/>
                <w:color w:val="000000"/>
                <w:sz w:val="15"/>
                <w:szCs w:val="15"/>
              </w:rPr>
            </w:pPr>
            <w:r w:rsidRPr="00C55E81">
              <w:rPr>
                <w:rFonts w:hint="eastAsia"/>
                <w:color w:val="000000"/>
                <w:sz w:val="15"/>
                <w:szCs w:val="15"/>
              </w:rPr>
              <w:t>2.95</w:t>
            </w:r>
          </w:p>
        </w:tc>
        <w:tc>
          <w:tcPr>
            <w:tcW w:w="921" w:type="dxa"/>
            <w:tcMar>
              <w:left w:w="0" w:type="dxa"/>
              <w:right w:w="0" w:type="dxa"/>
            </w:tcMar>
            <w:vAlign w:val="center"/>
          </w:tcPr>
          <w:p w:rsidR="00C411DC" w:rsidRPr="00C55E81" w:rsidRDefault="00C411DC" w:rsidP="007F40D7">
            <w:pPr>
              <w:jc w:val="center"/>
              <w:rPr>
                <w:rFonts w:ascii="宋体" w:eastAsia="宋体" w:hAnsi="宋体" w:cs="宋体"/>
                <w:color w:val="000000"/>
                <w:sz w:val="15"/>
                <w:szCs w:val="15"/>
              </w:rPr>
            </w:pPr>
            <w:r w:rsidRPr="00C55E81">
              <w:rPr>
                <w:rFonts w:hint="eastAsia"/>
                <w:color w:val="000000"/>
                <w:sz w:val="15"/>
                <w:szCs w:val="15"/>
              </w:rPr>
              <w:t>7.95</w:t>
            </w:r>
          </w:p>
        </w:tc>
        <w:tc>
          <w:tcPr>
            <w:tcW w:w="922" w:type="dxa"/>
            <w:tcMar>
              <w:left w:w="0" w:type="dxa"/>
              <w:right w:w="0" w:type="dxa"/>
            </w:tcMar>
            <w:vAlign w:val="center"/>
          </w:tcPr>
          <w:p w:rsidR="00C411DC" w:rsidRPr="00C55E81" w:rsidRDefault="00C411DC" w:rsidP="007F40D7">
            <w:pPr>
              <w:jc w:val="center"/>
              <w:rPr>
                <w:rFonts w:ascii="宋体" w:eastAsia="宋体" w:hAnsi="宋体" w:cs="宋体"/>
                <w:color w:val="000000"/>
                <w:sz w:val="15"/>
                <w:szCs w:val="15"/>
              </w:rPr>
            </w:pPr>
            <w:r w:rsidRPr="00C55E81">
              <w:rPr>
                <w:rFonts w:hint="eastAsia"/>
                <w:color w:val="000000"/>
                <w:sz w:val="15"/>
                <w:szCs w:val="15"/>
              </w:rPr>
              <w:t>2014-5-16</w:t>
            </w:r>
          </w:p>
        </w:tc>
      </w:tr>
      <w:tr w:rsidR="00C411DC" w:rsidRPr="00C55E81" w:rsidTr="007F40D7">
        <w:trPr>
          <w:trHeight w:val="284"/>
        </w:trPr>
        <w:tc>
          <w:tcPr>
            <w:tcW w:w="921" w:type="dxa"/>
            <w:tcMar>
              <w:left w:w="0" w:type="dxa"/>
              <w:right w:w="0" w:type="dxa"/>
            </w:tcMar>
            <w:vAlign w:val="center"/>
          </w:tcPr>
          <w:p w:rsidR="00C411DC" w:rsidRPr="00C55E81" w:rsidRDefault="00C411DC" w:rsidP="007F40D7">
            <w:pPr>
              <w:jc w:val="center"/>
              <w:rPr>
                <w:rFonts w:ascii="宋体" w:eastAsia="宋体" w:hAnsi="宋体" w:cs="宋体"/>
                <w:bCs/>
                <w:sz w:val="15"/>
                <w:szCs w:val="15"/>
              </w:rPr>
            </w:pPr>
            <w:r w:rsidRPr="00C55E81">
              <w:rPr>
                <w:rFonts w:hint="eastAsia"/>
                <w:bCs/>
                <w:sz w:val="15"/>
                <w:szCs w:val="15"/>
              </w:rPr>
              <w:t>嘉实绝对收益</w:t>
            </w:r>
          </w:p>
        </w:tc>
        <w:tc>
          <w:tcPr>
            <w:tcW w:w="921" w:type="dxa"/>
            <w:tcMar>
              <w:left w:w="0" w:type="dxa"/>
              <w:right w:w="0" w:type="dxa"/>
            </w:tcMar>
            <w:vAlign w:val="center"/>
          </w:tcPr>
          <w:p w:rsidR="00C411DC" w:rsidRPr="00C55E81" w:rsidRDefault="00C411DC" w:rsidP="007F40D7">
            <w:pPr>
              <w:jc w:val="center"/>
              <w:rPr>
                <w:rFonts w:ascii="宋体" w:eastAsia="宋体" w:hAnsi="宋体" w:cs="宋体"/>
                <w:color w:val="000000"/>
                <w:sz w:val="15"/>
                <w:szCs w:val="15"/>
              </w:rPr>
            </w:pPr>
            <w:r w:rsidRPr="00C55E81">
              <w:rPr>
                <w:rFonts w:hint="eastAsia"/>
                <w:color w:val="000000"/>
                <w:sz w:val="15"/>
                <w:szCs w:val="15"/>
              </w:rPr>
              <w:t>5.32</w:t>
            </w:r>
          </w:p>
        </w:tc>
        <w:tc>
          <w:tcPr>
            <w:tcW w:w="921" w:type="dxa"/>
            <w:tcMar>
              <w:left w:w="0" w:type="dxa"/>
              <w:right w:w="0" w:type="dxa"/>
            </w:tcMar>
            <w:vAlign w:val="center"/>
          </w:tcPr>
          <w:p w:rsidR="00C411DC" w:rsidRPr="00C55E81" w:rsidRDefault="00C411DC" w:rsidP="007F40D7">
            <w:pPr>
              <w:jc w:val="center"/>
              <w:rPr>
                <w:rFonts w:ascii="宋体" w:eastAsia="宋体" w:hAnsi="宋体" w:cs="宋体"/>
                <w:color w:val="000000"/>
                <w:sz w:val="15"/>
                <w:szCs w:val="15"/>
              </w:rPr>
            </w:pPr>
            <w:r w:rsidRPr="00C55E81">
              <w:rPr>
                <w:rFonts w:hint="eastAsia"/>
                <w:color w:val="000000"/>
                <w:sz w:val="15"/>
                <w:szCs w:val="15"/>
              </w:rPr>
              <w:t>16.1%</w:t>
            </w:r>
          </w:p>
        </w:tc>
        <w:tc>
          <w:tcPr>
            <w:tcW w:w="922" w:type="dxa"/>
            <w:tcMar>
              <w:left w:w="0" w:type="dxa"/>
              <w:right w:w="0" w:type="dxa"/>
            </w:tcMar>
            <w:vAlign w:val="center"/>
          </w:tcPr>
          <w:p w:rsidR="00C411DC" w:rsidRPr="00C55E81" w:rsidRDefault="00C411DC" w:rsidP="007F40D7">
            <w:pPr>
              <w:jc w:val="center"/>
              <w:rPr>
                <w:rFonts w:ascii="宋体" w:eastAsia="宋体" w:hAnsi="宋体" w:cs="宋体"/>
                <w:color w:val="000000"/>
                <w:sz w:val="15"/>
                <w:szCs w:val="15"/>
              </w:rPr>
            </w:pPr>
            <w:r w:rsidRPr="00C55E81">
              <w:rPr>
                <w:rFonts w:hint="eastAsia"/>
                <w:color w:val="FF0000"/>
                <w:sz w:val="15"/>
                <w:szCs w:val="15"/>
              </w:rPr>
              <w:t>-6.62</w:t>
            </w:r>
          </w:p>
        </w:tc>
        <w:tc>
          <w:tcPr>
            <w:tcW w:w="921" w:type="dxa"/>
            <w:tcMar>
              <w:left w:w="0" w:type="dxa"/>
              <w:right w:w="0" w:type="dxa"/>
            </w:tcMar>
            <w:vAlign w:val="center"/>
          </w:tcPr>
          <w:p w:rsidR="00C411DC" w:rsidRPr="00C55E81" w:rsidRDefault="00C411DC" w:rsidP="007F40D7">
            <w:pPr>
              <w:jc w:val="center"/>
              <w:rPr>
                <w:rFonts w:ascii="宋体" w:eastAsia="宋体" w:hAnsi="宋体" w:cs="宋体"/>
                <w:color w:val="000000"/>
                <w:sz w:val="15"/>
                <w:szCs w:val="15"/>
              </w:rPr>
            </w:pPr>
            <w:r w:rsidRPr="00C55E81">
              <w:rPr>
                <w:rFonts w:hint="eastAsia"/>
                <w:color w:val="000000"/>
                <w:sz w:val="15"/>
                <w:szCs w:val="15"/>
              </w:rPr>
              <w:t>3.36</w:t>
            </w:r>
          </w:p>
        </w:tc>
        <w:tc>
          <w:tcPr>
            <w:tcW w:w="921" w:type="dxa"/>
            <w:tcMar>
              <w:left w:w="0" w:type="dxa"/>
              <w:right w:w="0" w:type="dxa"/>
            </w:tcMar>
            <w:vAlign w:val="center"/>
          </w:tcPr>
          <w:p w:rsidR="00C411DC" w:rsidRPr="00C55E81" w:rsidRDefault="00C411DC" w:rsidP="007F40D7">
            <w:pPr>
              <w:jc w:val="center"/>
              <w:rPr>
                <w:rFonts w:ascii="宋体" w:eastAsia="宋体" w:hAnsi="宋体" w:cs="宋体"/>
                <w:color w:val="000000"/>
                <w:sz w:val="15"/>
                <w:szCs w:val="15"/>
              </w:rPr>
            </w:pPr>
            <w:r w:rsidRPr="00C55E81">
              <w:rPr>
                <w:rFonts w:hint="eastAsia"/>
                <w:color w:val="000000"/>
                <w:sz w:val="15"/>
                <w:szCs w:val="15"/>
              </w:rPr>
              <w:t>8.18</w:t>
            </w:r>
          </w:p>
        </w:tc>
        <w:tc>
          <w:tcPr>
            <w:tcW w:w="921" w:type="dxa"/>
            <w:tcMar>
              <w:left w:w="0" w:type="dxa"/>
              <w:right w:w="0" w:type="dxa"/>
            </w:tcMar>
            <w:vAlign w:val="center"/>
          </w:tcPr>
          <w:p w:rsidR="00C411DC" w:rsidRPr="00C55E81" w:rsidRDefault="00C411DC" w:rsidP="007F40D7">
            <w:pPr>
              <w:jc w:val="center"/>
              <w:rPr>
                <w:rFonts w:ascii="宋体" w:eastAsia="宋体" w:hAnsi="宋体" w:cs="宋体"/>
                <w:color w:val="000000"/>
                <w:sz w:val="15"/>
                <w:szCs w:val="15"/>
              </w:rPr>
            </w:pPr>
            <w:r w:rsidRPr="00C55E81">
              <w:rPr>
                <w:rFonts w:hint="eastAsia"/>
                <w:color w:val="000000"/>
                <w:sz w:val="15"/>
                <w:szCs w:val="15"/>
              </w:rPr>
              <w:t>14.04</w:t>
            </w:r>
          </w:p>
        </w:tc>
        <w:tc>
          <w:tcPr>
            <w:tcW w:w="922" w:type="dxa"/>
            <w:tcMar>
              <w:left w:w="0" w:type="dxa"/>
              <w:right w:w="0" w:type="dxa"/>
            </w:tcMar>
            <w:vAlign w:val="center"/>
          </w:tcPr>
          <w:p w:rsidR="00C411DC" w:rsidRPr="00C55E81" w:rsidRDefault="00C411DC" w:rsidP="007F40D7">
            <w:pPr>
              <w:jc w:val="center"/>
              <w:rPr>
                <w:rFonts w:ascii="宋体" w:eastAsia="宋体" w:hAnsi="宋体" w:cs="宋体"/>
                <w:color w:val="000000"/>
                <w:sz w:val="15"/>
                <w:szCs w:val="15"/>
              </w:rPr>
            </w:pPr>
            <w:r w:rsidRPr="00C55E81">
              <w:rPr>
                <w:rFonts w:hint="eastAsia"/>
                <w:color w:val="000000"/>
                <w:sz w:val="15"/>
                <w:szCs w:val="15"/>
              </w:rPr>
              <w:t>2013-12-6</w:t>
            </w:r>
          </w:p>
        </w:tc>
      </w:tr>
      <w:tr w:rsidR="00C411DC" w:rsidTr="007F40D7">
        <w:tc>
          <w:tcPr>
            <w:tcW w:w="7370" w:type="dxa"/>
            <w:gridSpan w:val="8"/>
            <w:tcMar>
              <w:left w:w="0" w:type="dxa"/>
              <w:right w:w="0" w:type="dxa"/>
            </w:tcMar>
          </w:tcPr>
          <w:p w:rsidR="00C411DC" w:rsidRDefault="00C411DC" w:rsidP="007F40D7">
            <w:pPr>
              <w:pStyle w:val="GJStylesGraphSource"/>
            </w:pPr>
            <w:r>
              <w:rPr>
                <w:rFonts w:hint="eastAsia"/>
              </w:rPr>
              <w:t>来源：国金证券研究所</w:t>
            </w:r>
          </w:p>
        </w:tc>
      </w:tr>
    </w:tbl>
    <w:p w:rsidR="00C411DC" w:rsidRPr="00D91376" w:rsidRDefault="00C411DC" w:rsidP="00C411DC">
      <w:pPr>
        <w:pStyle w:val="13"/>
        <w:rPr>
          <w:color w:val="auto"/>
        </w:rPr>
      </w:pPr>
      <w:bookmarkStart w:id="13" w:name="_Toc249266564"/>
      <w:bookmarkStart w:id="14" w:name="_Toc329462402"/>
      <w:bookmarkEnd w:id="10"/>
      <w:bookmarkEnd w:id="11"/>
      <w:bookmarkEnd w:id="12"/>
      <w:r w:rsidRPr="00D91376">
        <w:rPr>
          <w:rFonts w:hint="eastAsia"/>
          <w:color w:val="auto"/>
        </w:rPr>
        <w:lastRenderedPageBreak/>
        <w:t>第二部分：基金池及</w:t>
      </w:r>
      <w:r w:rsidRPr="00D91376">
        <w:rPr>
          <w:rFonts w:hint="eastAsia"/>
          <w:color w:val="auto"/>
        </w:rPr>
        <w:t>201</w:t>
      </w:r>
      <w:r>
        <w:rPr>
          <w:rFonts w:hint="eastAsia"/>
          <w:color w:val="auto"/>
        </w:rPr>
        <w:t>5</w:t>
      </w:r>
      <w:r w:rsidRPr="00D91376">
        <w:rPr>
          <w:rFonts w:hint="eastAsia"/>
          <w:color w:val="auto"/>
        </w:rPr>
        <w:t>年</w:t>
      </w:r>
      <w:r w:rsidRPr="00D91376">
        <w:rPr>
          <w:rFonts w:hint="eastAsia"/>
          <w:color w:val="auto"/>
        </w:rPr>
        <w:t>7</w:t>
      </w:r>
      <w:r w:rsidRPr="00D91376">
        <w:rPr>
          <w:rFonts w:hint="eastAsia"/>
          <w:color w:val="auto"/>
        </w:rPr>
        <w:t>月份基金组合推荐</w:t>
      </w:r>
      <w:bookmarkEnd w:id="13"/>
      <w:bookmarkEnd w:id="14"/>
    </w:p>
    <w:p w:rsidR="00C411DC" w:rsidRDefault="00C411DC" w:rsidP="00C411DC">
      <w:pPr>
        <w:pStyle w:val="a0"/>
        <w:numPr>
          <w:ilvl w:val="4"/>
          <w:numId w:val="3"/>
        </w:numPr>
        <w:spacing w:after="240"/>
        <w:rPr>
          <w:color w:val="auto"/>
        </w:rPr>
      </w:pPr>
      <w:r w:rsidRPr="00C237AD">
        <w:rPr>
          <w:rFonts w:hint="eastAsia"/>
          <w:color w:val="auto"/>
        </w:rPr>
        <w:t>依据前面各部分对相关市场以及各类产品投资操作策略分析，下阶段重点关注基金池</w:t>
      </w:r>
      <w:r>
        <w:rPr>
          <w:rFonts w:hint="eastAsia"/>
          <w:color w:val="auto"/>
        </w:rPr>
        <w:t>如下：</w:t>
      </w:r>
    </w:p>
    <w:tbl>
      <w:tblPr>
        <w:tblW w:w="10772" w:type="dxa"/>
        <w:jc w:val="center"/>
        <w:tblBorders>
          <w:top w:val="single" w:sz="6" w:space="0" w:color="00B0F0"/>
          <w:bottom w:val="single" w:sz="6" w:space="0" w:color="00B0F0"/>
          <w:insideH w:val="single" w:sz="6" w:space="0" w:color="00B0F0"/>
        </w:tblBorders>
        <w:tblLayout w:type="fixed"/>
        <w:tblCellMar>
          <w:left w:w="0" w:type="dxa"/>
          <w:right w:w="0" w:type="dxa"/>
        </w:tblCellMar>
        <w:tblLook w:val="0000" w:firstRow="0" w:lastRow="0" w:firstColumn="0" w:lastColumn="0" w:noHBand="0" w:noVBand="0"/>
      </w:tblPr>
      <w:tblGrid>
        <w:gridCol w:w="2042"/>
        <w:gridCol w:w="8730"/>
      </w:tblGrid>
      <w:tr w:rsidR="00C411DC" w:rsidTr="007F40D7">
        <w:trPr>
          <w:cantSplit/>
          <w:trHeight w:val="200"/>
          <w:tblHeader/>
          <w:jc w:val="center"/>
        </w:trPr>
        <w:tc>
          <w:tcPr>
            <w:tcW w:w="10772" w:type="dxa"/>
            <w:gridSpan w:val="2"/>
            <w:tcBorders>
              <w:bottom w:val="single" w:sz="6" w:space="0" w:color="00B0F0"/>
            </w:tcBorders>
            <w:shd w:val="clear" w:color="auto" w:fill="auto"/>
          </w:tcPr>
          <w:p w:rsidR="00C411DC" w:rsidRDefault="00C411DC" w:rsidP="007F40D7">
            <w:pPr>
              <w:pStyle w:val="SubTitleLargeTable"/>
            </w:pPr>
            <w:r>
              <w:rPr>
                <w:rFonts w:hint="eastAsia"/>
              </w:rPr>
              <w:t>图表</w:t>
            </w:r>
            <w:r w:rsidR="00A762D4">
              <w:fldChar w:fldCharType="begin"/>
            </w:r>
            <w:r>
              <w:instrText xml:space="preserve"> </w:instrText>
            </w:r>
            <w:r>
              <w:rPr>
                <w:rFonts w:hint="eastAsia"/>
              </w:rPr>
              <w:instrText xml:space="preserve">SEQ </w:instrText>
            </w:r>
            <w:r>
              <w:rPr>
                <w:rFonts w:hint="eastAsia"/>
              </w:rPr>
              <w:instrText>图表</w:instrText>
            </w:r>
            <w:r>
              <w:rPr>
                <w:rFonts w:hint="eastAsia"/>
              </w:rPr>
              <w:instrText xml:space="preserve"> \* ARABIC</w:instrText>
            </w:r>
            <w:r>
              <w:instrText xml:space="preserve"> </w:instrText>
            </w:r>
            <w:r w:rsidR="00A762D4">
              <w:fldChar w:fldCharType="separate"/>
            </w:r>
            <w:r>
              <w:rPr>
                <w:noProof/>
              </w:rPr>
              <w:t>4</w:t>
            </w:r>
            <w:r w:rsidR="00A762D4">
              <w:fldChar w:fldCharType="end"/>
            </w:r>
            <w:r>
              <w:rPr>
                <w:rFonts w:hint="eastAsia"/>
              </w:rPr>
              <w:t>：基金池推荐（按字母顺序排列）</w:t>
            </w:r>
          </w:p>
        </w:tc>
      </w:tr>
      <w:tr w:rsidR="00C411DC" w:rsidTr="007F40D7">
        <w:trPr>
          <w:cantSplit/>
          <w:trHeight w:val="340"/>
          <w:jc w:val="center"/>
        </w:trPr>
        <w:tc>
          <w:tcPr>
            <w:tcW w:w="2042" w:type="dxa"/>
            <w:tcBorders>
              <w:bottom w:val="single" w:sz="6" w:space="0" w:color="D9D9D9"/>
              <w:right w:val="single" w:sz="6" w:space="0" w:color="D9D9D9"/>
            </w:tcBorders>
            <w:shd w:val="clear" w:color="auto" w:fill="auto"/>
            <w:vAlign w:val="center"/>
          </w:tcPr>
          <w:p w:rsidR="00C411DC" w:rsidRPr="00F84181" w:rsidRDefault="00C411DC" w:rsidP="007F40D7">
            <w:pPr>
              <w:jc w:val="center"/>
              <w:rPr>
                <w:rFonts w:ascii="宋体" w:eastAsia="宋体" w:hAnsi="宋体" w:cs="宋体"/>
                <w:b/>
                <w:bCs/>
                <w:szCs w:val="18"/>
              </w:rPr>
            </w:pPr>
            <w:r w:rsidRPr="00F84181">
              <w:rPr>
                <w:rFonts w:ascii="宋体" w:eastAsia="宋体" w:hAnsi="宋体" w:hint="eastAsia"/>
                <w:b/>
                <w:bCs/>
                <w:szCs w:val="18"/>
              </w:rPr>
              <w:t>股票型基金</w:t>
            </w:r>
          </w:p>
        </w:tc>
        <w:tc>
          <w:tcPr>
            <w:tcW w:w="8730" w:type="dxa"/>
            <w:tcBorders>
              <w:left w:val="single" w:sz="6" w:space="0" w:color="D9D9D9"/>
              <w:bottom w:val="single" w:sz="6" w:space="0" w:color="D9D9D9"/>
            </w:tcBorders>
            <w:shd w:val="clear" w:color="auto" w:fill="auto"/>
            <w:vAlign w:val="center"/>
          </w:tcPr>
          <w:p w:rsidR="00C411DC" w:rsidRPr="00220F11" w:rsidRDefault="00C411DC" w:rsidP="007F40D7">
            <w:pPr>
              <w:jc w:val="center"/>
              <w:rPr>
                <w:rFonts w:ascii="宋体" w:eastAsia="宋体" w:hAnsi="宋体" w:cs="宋体"/>
                <w:b/>
                <w:color w:val="000000"/>
                <w:szCs w:val="18"/>
              </w:rPr>
            </w:pPr>
            <w:r w:rsidRPr="00220F11">
              <w:rPr>
                <w:rFonts w:ascii="宋体" w:eastAsia="宋体" w:hAnsi="宋体" w:cs="宋体" w:hint="eastAsia"/>
                <w:b/>
                <w:color w:val="000000"/>
                <w:szCs w:val="18"/>
              </w:rPr>
              <w:t>推荐理由</w:t>
            </w:r>
          </w:p>
        </w:tc>
      </w:tr>
      <w:tr w:rsidR="00C411DC" w:rsidTr="007F40D7">
        <w:trPr>
          <w:cantSplit/>
          <w:trHeight w:val="340"/>
          <w:jc w:val="center"/>
        </w:trPr>
        <w:tc>
          <w:tcPr>
            <w:tcW w:w="2042" w:type="dxa"/>
            <w:tcBorders>
              <w:top w:val="single" w:sz="6" w:space="0" w:color="D9D9D9"/>
              <w:bottom w:val="single" w:sz="6" w:space="0" w:color="D9D9D9"/>
              <w:right w:val="single" w:sz="6" w:space="0" w:color="D9D9D9"/>
            </w:tcBorders>
            <w:shd w:val="clear" w:color="auto" w:fill="auto"/>
            <w:vAlign w:val="center"/>
          </w:tcPr>
          <w:p w:rsidR="00C411DC" w:rsidRPr="009A36BC" w:rsidRDefault="00C411DC" w:rsidP="007F40D7">
            <w:pPr>
              <w:jc w:val="center"/>
              <w:rPr>
                <w:rFonts w:ascii="宋体" w:eastAsia="宋体" w:hAnsi="宋体"/>
                <w:b/>
                <w:szCs w:val="18"/>
              </w:rPr>
            </w:pPr>
            <w:r>
              <w:rPr>
                <w:rFonts w:ascii="宋体" w:eastAsia="宋体" w:hAnsi="宋体" w:hint="eastAsia"/>
                <w:b/>
                <w:szCs w:val="18"/>
              </w:rPr>
              <w:t>宝盈策略</w:t>
            </w:r>
          </w:p>
        </w:tc>
        <w:tc>
          <w:tcPr>
            <w:tcW w:w="8730" w:type="dxa"/>
            <w:tcBorders>
              <w:top w:val="single" w:sz="6" w:space="0" w:color="D9D9D9"/>
              <w:left w:val="single" w:sz="6" w:space="0" w:color="D9D9D9"/>
              <w:bottom w:val="single" w:sz="6" w:space="0" w:color="D9D9D9"/>
            </w:tcBorders>
            <w:shd w:val="clear" w:color="auto" w:fill="auto"/>
            <w:vAlign w:val="center"/>
          </w:tcPr>
          <w:p w:rsidR="00C411DC" w:rsidRPr="009A36BC" w:rsidRDefault="00C411DC" w:rsidP="007F40D7">
            <w:pPr>
              <w:jc w:val="left"/>
              <w:rPr>
                <w:rFonts w:ascii="宋体" w:eastAsia="宋体" w:hAnsi="宋体"/>
                <w:szCs w:val="18"/>
              </w:rPr>
            </w:pPr>
            <w:r>
              <w:rPr>
                <w:rFonts w:ascii="宋体" w:eastAsia="宋体" w:hAnsi="宋体" w:hint="eastAsia"/>
                <w:szCs w:val="18"/>
              </w:rPr>
              <w:t>基金经理具备较强的投资管理能力，无论是择时还是选股指标都在同业中表现突出</w:t>
            </w:r>
            <w:r w:rsidRPr="009A36BC">
              <w:rPr>
                <w:rFonts w:ascii="宋体" w:eastAsia="宋体" w:hAnsi="宋体" w:hint="eastAsia"/>
                <w:szCs w:val="18"/>
              </w:rPr>
              <w:t>。</w:t>
            </w:r>
            <w:r>
              <w:rPr>
                <w:rFonts w:ascii="宋体" w:eastAsia="宋体" w:hAnsi="宋体" w:hint="eastAsia"/>
                <w:szCs w:val="18"/>
              </w:rPr>
              <w:t>基金侧重成长风格投资，同时在国企改革、军工等主题投资领域上关注较多。</w:t>
            </w:r>
          </w:p>
        </w:tc>
      </w:tr>
      <w:tr w:rsidR="00C411DC" w:rsidTr="007F40D7">
        <w:trPr>
          <w:cantSplit/>
          <w:trHeight w:val="340"/>
          <w:jc w:val="center"/>
        </w:trPr>
        <w:tc>
          <w:tcPr>
            <w:tcW w:w="2042" w:type="dxa"/>
            <w:tcBorders>
              <w:top w:val="single" w:sz="6" w:space="0" w:color="D9D9D9"/>
              <w:bottom w:val="single" w:sz="6" w:space="0" w:color="D9D9D9"/>
              <w:right w:val="single" w:sz="6" w:space="0" w:color="D9D9D9"/>
            </w:tcBorders>
            <w:shd w:val="clear" w:color="auto" w:fill="auto"/>
            <w:vAlign w:val="center"/>
          </w:tcPr>
          <w:p w:rsidR="00C411DC" w:rsidRPr="009A36BC" w:rsidRDefault="00C411DC" w:rsidP="007F40D7">
            <w:pPr>
              <w:jc w:val="center"/>
              <w:rPr>
                <w:rFonts w:ascii="宋体" w:eastAsia="宋体" w:hAnsi="宋体"/>
                <w:b/>
                <w:szCs w:val="18"/>
              </w:rPr>
            </w:pPr>
            <w:r>
              <w:rPr>
                <w:rFonts w:ascii="宋体" w:eastAsia="宋体" w:hAnsi="宋体" w:hint="eastAsia"/>
                <w:b/>
                <w:szCs w:val="18"/>
              </w:rPr>
              <w:t>博时特许</w:t>
            </w:r>
          </w:p>
        </w:tc>
        <w:tc>
          <w:tcPr>
            <w:tcW w:w="8730" w:type="dxa"/>
            <w:tcBorders>
              <w:top w:val="single" w:sz="6" w:space="0" w:color="D9D9D9"/>
              <w:left w:val="single" w:sz="6" w:space="0" w:color="D9D9D9"/>
              <w:bottom w:val="single" w:sz="6" w:space="0" w:color="D9D9D9"/>
            </w:tcBorders>
            <w:shd w:val="clear" w:color="auto" w:fill="auto"/>
            <w:vAlign w:val="center"/>
          </w:tcPr>
          <w:p w:rsidR="00C411DC" w:rsidRPr="009A36BC" w:rsidRDefault="00C411DC" w:rsidP="007F40D7">
            <w:pPr>
              <w:jc w:val="left"/>
              <w:rPr>
                <w:rFonts w:ascii="宋体" w:eastAsia="宋体" w:hAnsi="宋体"/>
                <w:szCs w:val="18"/>
              </w:rPr>
            </w:pPr>
            <w:r>
              <w:rPr>
                <w:rFonts w:ascii="宋体" w:eastAsia="宋体" w:hAnsi="宋体" w:hint="eastAsia"/>
                <w:szCs w:val="18"/>
              </w:rPr>
              <w:t>低估值蓝</w:t>
            </w:r>
            <w:proofErr w:type="gramStart"/>
            <w:r>
              <w:rPr>
                <w:rFonts w:ascii="宋体" w:eastAsia="宋体" w:hAnsi="宋体" w:hint="eastAsia"/>
                <w:szCs w:val="18"/>
              </w:rPr>
              <w:t>筹风格</w:t>
            </w:r>
            <w:proofErr w:type="gramEnd"/>
            <w:r>
              <w:rPr>
                <w:rFonts w:ascii="宋体" w:eastAsia="宋体" w:hAnsi="宋体" w:hint="eastAsia"/>
                <w:szCs w:val="18"/>
              </w:rPr>
              <w:t>显著，并对此类风格品种有突出的把握能力，且长期投资风格保持稳定，在价值风格主导的行情中有较强的配置价值。</w:t>
            </w:r>
          </w:p>
        </w:tc>
      </w:tr>
      <w:tr w:rsidR="00C411DC" w:rsidTr="007F40D7">
        <w:trPr>
          <w:cantSplit/>
          <w:trHeight w:val="340"/>
          <w:jc w:val="center"/>
        </w:trPr>
        <w:tc>
          <w:tcPr>
            <w:tcW w:w="2042" w:type="dxa"/>
            <w:tcBorders>
              <w:top w:val="single" w:sz="6" w:space="0" w:color="D9D9D9"/>
              <w:bottom w:val="single" w:sz="6" w:space="0" w:color="D9D9D9"/>
              <w:right w:val="single" w:sz="6" w:space="0" w:color="D9D9D9"/>
            </w:tcBorders>
            <w:shd w:val="clear" w:color="auto" w:fill="auto"/>
            <w:vAlign w:val="center"/>
          </w:tcPr>
          <w:p w:rsidR="00C411DC" w:rsidRPr="00455ED2" w:rsidRDefault="00C411DC" w:rsidP="007F40D7">
            <w:pPr>
              <w:jc w:val="center"/>
              <w:rPr>
                <w:rFonts w:ascii="宋体" w:eastAsia="宋体" w:hAnsi="宋体"/>
                <w:b/>
                <w:szCs w:val="18"/>
              </w:rPr>
            </w:pPr>
            <w:r>
              <w:rPr>
                <w:rFonts w:ascii="宋体" w:eastAsia="宋体" w:hAnsi="宋体" w:hint="eastAsia"/>
                <w:b/>
                <w:szCs w:val="18"/>
              </w:rPr>
              <w:t>大</w:t>
            </w:r>
            <w:proofErr w:type="gramStart"/>
            <w:r>
              <w:rPr>
                <w:rFonts w:ascii="宋体" w:eastAsia="宋体" w:hAnsi="宋体" w:hint="eastAsia"/>
                <w:b/>
                <w:szCs w:val="18"/>
              </w:rPr>
              <w:t>摩主题</w:t>
            </w:r>
            <w:proofErr w:type="gramEnd"/>
          </w:p>
        </w:tc>
        <w:tc>
          <w:tcPr>
            <w:tcW w:w="8730" w:type="dxa"/>
            <w:tcBorders>
              <w:top w:val="single" w:sz="6" w:space="0" w:color="D9D9D9"/>
              <w:left w:val="single" w:sz="6" w:space="0" w:color="D9D9D9"/>
              <w:bottom w:val="single" w:sz="6" w:space="0" w:color="D9D9D9"/>
            </w:tcBorders>
            <w:shd w:val="clear" w:color="auto" w:fill="auto"/>
            <w:vAlign w:val="center"/>
          </w:tcPr>
          <w:p w:rsidR="00C411DC" w:rsidRPr="009A36BC" w:rsidRDefault="00C411DC" w:rsidP="007F40D7">
            <w:pPr>
              <w:jc w:val="left"/>
              <w:rPr>
                <w:rFonts w:ascii="宋体" w:eastAsia="宋体" w:hAnsi="宋体"/>
                <w:szCs w:val="18"/>
              </w:rPr>
            </w:pPr>
            <w:r>
              <w:rPr>
                <w:rFonts w:ascii="宋体" w:eastAsia="宋体" w:hAnsi="宋体" w:hint="eastAsia"/>
                <w:szCs w:val="18"/>
              </w:rPr>
              <w:t>主题投资基金，无论在2014年还是2015年以来均对主题投资有较好的把握，且具有较高的灵活性。</w:t>
            </w:r>
          </w:p>
        </w:tc>
      </w:tr>
      <w:tr w:rsidR="00C411DC" w:rsidTr="007F40D7">
        <w:trPr>
          <w:cantSplit/>
          <w:trHeight w:val="340"/>
          <w:jc w:val="center"/>
        </w:trPr>
        <w:tc>
          <w:tcPr>
            <w:tcW w:w="2042" w:type="dxa"/>
            <w:tcBorders>
              <w:top w:val="single" w:sz="6" w:space="0" w:color="D9D9D9"/>
              <w:bottom w:val="single" w:sz="6" w:space="0" w:color="D9D9D9"/>
              <w:right w:val="single" w:sz="6" w:space="0" w:color="D9D9D9"/>
            </w:tcBorders>
            <w:shd w:val="clear" w:color="auto" w:fill="auto"/>
            <w:vAlign w:val="center"/>
          </w:tcPr>
          <w:p w:rsidR="00C411DC" w:rsidRPr="009A36BC" w:rsidRDefault="00C411DC" w:rsidP="007F40D7">
            <w:pPr>
              <w:jc w:val="center"/>
              <w:rPr>
                <w:rFonts w:ascii="宋体" w:eastAsia="宋体" w:hAnsi="宋体"/>
                <w:b/>
                <w:szCs w:val="18"/>
              </w:rPr>
            </w:pPr>
            <w:r>
              <w:rPr>
                <w:rFonts w:ascii="宋体" w:eastAsia="宋体" w:hAnsi="宋体" w:hint="eastAsia"/>
                <w:b/>
                <w:szCs w:val="18"/>
              </w:rPr>
              <w:t>工</w:t>
            </w:r>
            <w:proofErr w:type="gramStart"/>
            <w:r>
              <w:rPr>
                <w:rFonts w:ascii="宋体" w:eastAsia="宋体" w:hAnsi="宋体" w:hint="eastAsia"/>
                <w:b/>
                <w:szCs w:val="18"/>
              </w:rPr>
              <w:t>银金融</w:t>
            </w:r>
            <w:proofErr w:type="gramEnd"/>
            <w:r>
              <w:rPr>
                <w:rFonts w:ascii="宋体" w:eastAsia="宋体" w:hAnsi="宋体" w:hint="eastAsia"/>
                <w:b/>
                <w:szCs w:val="18"/>
              </w:rPr>
              <w:t>地产</w:t>
            </w:r>
          </w:p>
        </w:tc>
        <w:tc>
          <w:tcPr>
            <w:tcW w:w="8730" w:type="dxa"/>
            <w:tcBorders>
              <w:top w:val="single" w:sz="6" w:space="0" w:color="D9D9D9"/>
              <w:left w:val="single" w:sz="6" w:space="0" w:color="D9D9D9"/>
              <w:bottom w:val="single" w:sz="6" w:space="0" w:color="D9D9D9"/>
            </w:tcBorders>
            <w:shd w:val="clear" w:color="auto" w:fill="auto"/>
            <w:vAlign w:val="center"/>
          </w:tcPr>
          <w:p w:rsidR="00C411DC" w:rsidRDefault="00C411DC" w:rsidP="007F40D7">
            <w:pPr>
              <w:jc w:val="left"/>
              <w:rPr>
                <w:rFonts w:ascii="宋体" w:eastAsia="宋体" w:hAnsi="宋体"/>
                <w:szCs w:val="18"/>
              </w:rPr>
            </w:pPr>
            <w:r>
              <w:rPr>
                <w:rFonts w:ascii="宋体" w:eastAsia="宋体" w:hAnsi="宋体" w:hint="eastAsia"/>
                <w:szCs w:val="18"/>
              </w:rPr>
              <w:t>重点投资于金融地产行业，且从投资风格来看在选股上具有较高的灵活度，在2014年对市场投资机会有突出的把握，在相关行业投资机会较为明显的市场环境中，可重点关注。</w:t>
            </w:r>
          </w:p>
        </w:tc>
      </w:tr>
      <w:tr w:rsidR="00C411DC" w:rsidTr="007F40D7">
        <w:trPr>
          <w:cantSplit/>
          <w:trHeight w:val="340"/>
          <w:jc w:val="center"/>
        </w:trPr>
        <w:tc>
          <w:tcPr>
            <w:tcW w:w="2042" w:type="dxa"/>
            <w:tcBorders>
              <w:top w:val="single" w:sz="6" w:space="0" w:color="D9D9D9"/>
              <w:bottom w:val="single" w:sz="6" w:space="0" w:color="D9D9D9"/>
              <w:right w:val="single" w:sz="6" w:space="0" w:color="D9D9D9"/>
            </w:tcBorders>
            <w:shd w:val="clear" w:color="auto" w:fill="auto"/>
            <w:vAlign w:val="center"/>
          </w:tcPr>
          <w:p w:rsidR="00C411DC" w:rsidRDefault="00C411DC" w:rsidP="007F40D7">
            <w:pPr>
              <w:jc w:val="center"/>
              <w:rPr>
                <w:rFonts w:ascii="宋体" w:eastAsia="宋体" w:hAnsi="宋体"/>
                <w:b/>
                <w:szCs w:val="18"/>
              </w:rPr>
            </w:pPr>
            <w:r>
              <w:rPr>
                <w:rFonts w:ascii="宋体" w:eastAsia="宋体" w:hAnsi="宋体" w:hint="eastAsia"/>
                <w:b/>
                <w:szCs w:val="18"/>
              </w:rPr>
              <w:t>工</w:t>
            </w:r>
            <w:proofErr w:type="gramStart"/>
            <w:r>
              <w:rPr>
                <w:rFonts w:ascii="宋体" w:eastAsia="宋体" w:hAnsi="宋体" w:hint="eastAsia"/>
                <w:b/>
                <w:szCs w:val="18"/>
              </w:rPr>
              <w:t>银主题</w:t>
            </w:r>
            <w:proofErr w:type="gramEnd"/>
          </w:p>
        </w:tc>
        <w:tc>
          <w:tcPr>
            <w:tcW w:w="8730" w:type="dxa"/>
            <w:tcBorders>
              <w:top w:val="single" w:sz="6" w:space="0" w:color="D9D9D9"/>
              <w:left w:val="single" w:sz="6" w:space="0" w:color="D9D9D9"/>
              <w:bottom w:val="single" w:sz="6" w:space="0" w:color="D9D9D9"/>
            </w:tcBorders>
            <w:shd w:val="clear" w:color="auto" w:fill="auto"/>
            <w:vAlign w:val="center"/>
          </w:tcPr>
          <w:p w:rsidR="00C411DC" w:rsidRDefault="00C411DC" w:rsidP="007F40D7">
            <w:pPr>
              <w:jc w:val="left"/>
              <w:rPr>
                <w:rFonts w:ascii="宋体" w:eastAsia="宋体" w:hAnsi="宋体"/>
                <w:szCs w:val="18"/>
              </w:rPr>
            </w:pPr>
            <w:r>
              <w:rPr>
                <w:rFonts w:ascii="宋体" w:eastAsia="宋体" w:hAnsi="宋体" w:cs="宋体" w:hint="eastAsia"/>
                <w:bCs/>
                <w:szCs w:val="18"/>
              </w:rPr>
              <w:t>主题投资策略基金，从投资效果来看，具备较强的市场热点把握能力和个股选择能力，投资风格积极、灵活，中长期业绩表现良好。</w:t>
            </w:r>
          </w:p>
        </w:tc>
      </w:tr>
      <w:tr w:rsidR="00C411DC" w:rsidTr="007F40D7">
        <w:trPr>
          <w:cantSplit/>
          <w:trHeight w:val="340"/>
          <w:jc w:val="center"/>
        </w:trPr>
        <w:tc>
          <w:tcPr>
            <w:tcW w:w="2042" w:type="dxa"/>
            <w:tcBorders>
              <w:top w:val="single" w:sz="6" w:space="0" w:color="D9D9D9"/>
              <w:bottom w:val="single" w:sz="6" w:space="0" w:color="D9D9D9"/>
              <w:right w:val="single" w:sz="6" w:space="0" w:color="D9D9D9"/>
            </w:tcBorders>
            <w:shd w:val="clear" w:color="auto" w:fill="auto"/>
            <w:vAlign w:val="center"/>
          </w:tcPr>
          <w:p w:rsidR="00C411DC" w:rsidRPr="009A36BC" w:rsidRDefault="00C411DC" w:rsidP="007F40D7">
            <w:pPr>
              <w:jc w:val="center"/>
              <w:rPr>
                <w:rFonts w:ascii="宋体" w:eastAsia="宋体" w:hAnsi="宋体"/>
                <w:b/>
                <w:szCs w:val="18"/>
              </w:rPr>
            </w:pPr>
            <w:r>
              <w:rPr>
                <w:rFonts w:ascii="宋体" w:eastAsia="宋体" w:hAnsi="宋体" w:hint="eastAsia"/>
                <w:b/>
                <w:szCs w:val="18"/>
              </w:rPr>
              <w:t>广发行业领先</w:t>
            </w:r>
          </w:p>
        </w:tc>
        <w:tc>
          <w:tcPr>
            <w:tcW w:w="8730" w:type="dxa"/>
            <w:tcBorders>
              <w:top w:val="single" w:sz="6" w:space="0" w:color="D9D9D9"/>
              <w:left w:val="single" w:sz="6" w:space="0" w:color="D9D9D9"/>
              <w:bottom w:val="single" w:sz="6" w:space="0" w:color="D9D9D9"/>
            </w:tcBorders>
            <w:shd w:val="clear" w:color="auto" w:fill="auto"/>
            <w:vAlign w:val="center"/>
          </w:tcPr>
          <w:p w:rsidR="00C411DC" w:rsidRDefault="00C411DC" w:rsidP="007F40D7">
            <w:pPr>
              <w:jc w:val="left"/>
              <w:rPr>
                <w:rFonts w:ascii="宋体" w:eastAsia="宋体" w:hAnsi="宋体"/>
                <w:szCs w:val="18"/>
              </w:rPr>
            </w:pPr>
            <w:r>
              <w:rPr>
                <w:rFonts w:ascii="宋体" w:eastAsia="宋体" w:hAnsi="宋体" w:hint="eastAsia"/>
                <w:szCs w:val="18"/>
              </w:rPr>
              <w:t>行业配置均衡，注重自下而上的选择，具备突出的选股能力，管理业绩具有较好的持续性。</w:t>
            </w:r>
          </w:p>
        </w:tc>
      </w:tr>
      <w:tr w:rsidR="00C411DC" w:rsidTr="007F40D7">
        <w:trPr>
          <w:cantSplit/>
          <w:trHeight w:val="340"/>
          <w:jc w:val="center"/>
        </w:trPr>
        <w:tc>
          <w:tcPr>
            <w:tcW w:w="2042" w:type="dxa"/>
            <w:tcBorders>
              <w:top w:val="single" w:sz="6" w:space="0" w:color="D9D9D9"/>
              <w:bottom w:val="single" w:sz="6" w:space="0" w:color="D9D9D9"/>
              <w:right w:val="single" w:sz="6" w:space="0" w:color="D9D9D9"/>
            </w:tcBorders>
            <w:shd w:val="clear" w:color="auto" w:fill="auto"/>
            <w:vAlign w:val="center"/>
          </w:tcPr>
          <w:p w:rsidR="00C411DC" w:rsidRPr="009A36BC" w:rsidRDefault="00C411DC" w:rsidP="007F40D7">
            <w:pPr>
              <w:jc w:val="center"/>
              <w:rPr>
                <w:rFonts w:ascii="宋体" w:eastAsia="宋体" w:hAnsi="宋体"/>
                <w:b/>
                <w:szCs w:val="18"/>
              </w:rPr>
            </w:pPr>
            <w:r>
              <w:rPr>
                <w:rFonts w:ascii="宋体" w:eastAsia="宋体" w:hAnsi="宋体" w:hint="eastAsia"/>
                <w:b/>
                <w:szCs w:val="18"/>
              </w:rPr>
              <w:t>广发消费品</w:t>
            </w:r>
          </w:p>
        </w:tc>
        <w:tc>
          <w:tcPr>
            <w:tcW w:w="8730" w:type="dxa"/>
            <w:tcBorders>
              <w:top w:val="single" w:sz="6" w:space="0" w:color="D9D9D9"/>
              <w:left w:val="single" w:sz="6" w:space="0" w:color="D9D9D9"/>
              <w:bottom w:val="single" w:sz="6" w:space="0" w:color="D9D9D9"/>
            </w:tcBorders>
            <w:shd w:val="clear" w:color="auto" w:fill="auto"/>
            <w:vAlign w:val="center"/>
          </w:tcPr>
          <w:p w:rsidR="00C411DC" w:rsidRPr="009A36BC" w:rsidRDefault="00C411DC" w:rsidP="007F40D7">
            <w:pPr>
              <w:jc w:val="left"/>
              <w:rPr>
                <w:rFonts w:ascii="宋体" w:eastAsia="宋体" w:hAnsi="宋体"/>
                <w:szCs w:val="18"/>
              </w:rPr>
            </w:pPr>
            <w:r>
              <w:rPr>
                <w:rFonts w:ascii="宋体" w:eastAsia="宋体" w:hAnsi="宋体" w:hint="eastAsia"/>
                <w:bCs/>
                <w:szCs w:val="18"/>
              </w:rPr>
              <w:t>侧重消费蓝</w:t>
            </w:r>
            <w:proofErr w:type="gramStart"/>
            <w:r>
              <w:rPr>
                <w:rFonts w:ascii="宋体" w:eastAsia="宋体" w:hAnsi="宋体" w:hint="eastAsia"/>
                <w:bCs/>
                <w:szCs w:val="18"/>
              </w:rPr>
              <w:t>筹板块</w:t>
            </w:r>
            <w:proofErr w:type="gramEnd"/>
            <w:r>
              <w:rPr>
                <w:rFonts w:ascii="宋体" w:eastAsia="宋体" w:hAnsi="宋体" w:hint="eastAsia"/>
                <w:bCs/>
                <w:szCs w:val="18"/>
              </w:rPr>
              <w:t>投资，风格较为稳健，在今年消费类板块滞涨、具备估值优势的背景下适当关注。</w:t>
            </w:r>
          </w:p>
        </w:tc>
      </w:tr>
      <w:tr w:rsidR="00C411DC" w:rsidTr="007F40D7">
        <w:trPr>
          <w:cantSplit/>
          <w:trHeight w:val="340"/>
          <w:jc w:val="center"/>
        </w:trPr>
        <w:tc>
          <w:tcPr>
            <w:tcW w:w="2042" w:type="dxa"/>
            <w:tcBorders>
              <w:top w:val="single" w:sz="6" w:space="0" w:color="D9D9D9"/>
              <w:bottom w:val="single" w:sz="6" w:space="0" w:color="D9D9D9"/>
              <w:right w:val="single" w:sz="6" w:space="0" w:color="D9D9D9"/>
            </w:tcBorders>
            <w:shd w:val="clear" w:color="auto" w:fill="auto"/>
            <w:vAlign w:val="center"/>
          </w:tcPr>
          <w:p w:rsidR="00C411DC" w:rsidRPr="00455ED2" w:rsidRDefault="00C411DC" w:rsidP="007F40D7">
            <w:pPr>
              <w:jc w:val="center"/>
              <w:rPr>
                <w:rFonts w:ascii="宋体" w:eastAsia="宋体" w:hAnsi="宋体"/>
                <w:b/>
                <w:szCs w:val="18"/>
              </w:rPr>
            </w:pPr>
            <w:r>
              <w:rPr>
                <w:rFonts w:ascii="宋体" w:eastAsia="宋体" w:hAnsi="宋体" w:hint="eastAsia"/>
                <w:b/>
                <w:szCs w:val="18"/>
              </w:rPr>
              <w:t>华安逆向策略</w:t>
            </w:r>
          </w:p>
        </w:tc>
        <w:tc>
          <w:tcPr>
            <w:tcW w:w="8730" w:type="dxa"/>
            <w:tcBorders>
              <w:top w:val="single" w:sz="6" w:space="0" w:color="D9D9D9"/>
              <w:left w:val="single" w:sz="6" w:space="0" w:color="D9D9D9"/>
              <w:bottom w:val="single" w:sz="6" w:space="0" w:color="D9D9D9"/>
            </w:tcBorders>
            <w:shd w:val="clear" w:color="auto" w:fill="auto"/>
            <w:vAlign w:val="center"/>
          </w:tcPr>
          <w:p w:rsidR="00C411DC" w:rsidRPr="009A36BC" w:rsidRDefault="00C411DC" w:rsidP="007F40D7">
            <w:pPr>
              <w:jc w:val="left"/>
              <w:rPr>
                <w:rFonts w:ascii="宋体" w:eastAsia="宋体" w:hAnsi="宋体"/>
                <w:szCs w:val="18"/>
              </w:rPr>
            </w:pPr>
            <w:r w:rsidRPr="001C05C8">
              <w:rPr>
                <w:rFonts w:ascii="宋体" w:eastAsia="宋体" w:hAnsi="宋体" w:hint="eastAsia"/>
                <w:szCs w:val="18"/>
              </w:rPr>
              <w:t>重点投资于价值被低估的股票</w:t>
            </w:r>
            <w:r>
              <w:rPr>
                <w:rFonts w:ascii="宋体" w:eastAsia="宋体" w:hAnsi="宋体" w:hint="eastAsia"/>
                <w:szCs w:val="18"/>
              </w:rPr>
              <w:t>，价值特征显著，投资风格稳健且具备一定的灵活性，在震荡市场环境中具备一定的优势。</w:t>
            </w:r>
          </w:p>
        </w:tc>
      </w:tr>
      <w:tr w:rsidR="00C411DC" w:rsidTr="007F40D7">
        <w:trPr>
          <w:cantSplit/>
          <w:trHeight w:val="340"/>
          <w:jc w:val="center"/>
        </w:trPr>
        <w:tc>
          <w:tcPr>
            <w:tcW w:w="2042" w:type="dxa"/>
            <w:tcBorders>
              <w:top w:val="single" w:sz="6" w:space="0" w:color="D9D9D9"/>
              <w:bottom w:val="single" w:sz="6" w:space="0" w:color="D9D9D9"/>
              <w:right w:val="single" w:sz="6" w:space="0" w:color="D9D9D9"/>
            </w:tcBorders>
            <w:shd w:val="clear" w:color="auto" w:fill="auto"/>
            <w:vAlign w:val="center"/>
          </w:tcPr>
          <w:p w:rsidR="00C411DC" w:rsidRPr="009A36BC" w:rsidRDefault="00C411DC" w:rsidP="007F40D7">
            <w:pPr>
              <w:jc w:val="center"/>
              <w:rPr>
                <w:rFonts w:ascii="宋体" w:eastAsia="宋体" w:hAnsi="宋体"/>
                <w:b/>
                <w:szCs w:val="18"/>
              </w:rPr>
            </w:pPr>
            <w:r>
              <w:rPr>
                <w:rFonts w:ascii="宋体" w:eastAsia="宋体" w:hAnsi="宋体" w:hint="eastAsia"/>
                <w:b/>
                <w:szCs w:val="18"/>
              </w:rPr>
              <w:t>华商主题</w:t>
            </w:r>
          </w:p>
        </w:tc>
        <w:tc>
          <w:tcPr>
            <w:tcW w:w="8730" w:type="dxa"/>
            <w:tcBorders>
              <w:top w:val="single" w:sz="6" w:space="0" w:color="D9D9D9"/>
              <w:left w:val="single" w:sz="6" w:space="0" w:color="D9D9D9"/>
              <w:bottom w:val="single" w:sz="6" w:space="0" w:color="D9D9D9"/>
            </w:tcBorders>
            <w:shd w:val="clear" w:color="auto" w:fill="auto"/>
            <w:vAlign w:val="center"/>
          </w:tcPr>
          <w:p w:rsidR="00C411DC" w:rsidRPr="009A36BC" w:rsidRDefault="00C411DC" w:rsidP="007F40D7">
            <w:pPr>
              <w:jc w:val="left"/>
              <w:rPr>
                <w:rFonts w:ascii="宋体" w:eastAsia="宋体" w:hAnsi="宋体"/>
                <w:szCs w:val="18"/>
              </w:rPr>
            </w:pPr>
            <w:r w:rsidRPr="00E6457A">
              <w:rPr>
                <w:rFonts w:ascii="宋体" w:eastAsia="宋体" w:hAnsi="宋体" w:hint="eastAsia"/>
                <w:szCs w:val="18"/>
              </w:rPr>
              <w:t>关注经济结构转型过程中新兴产业的投资方向，坚持自下而上的投资策略，股票</w:t>
            </w:r>
            <w:proofErr w:type="gramStart"/>
            <w:r w:rsidRPr="00E6457A">
              <w:rPr>
                <w:rFonts w:ascii="宋体" w:eastAsia="宋体" w:hAnsi="宋体" w:hint="eastAsia"/>
                <w:szCs w:val="18"/>
              </w:rPr>
              <w:t>仓位</w:t>
            </w:r>
            <w:proofErr w:type="gramEnd"/>
            <w:r w:rsidRPr="00E6457A">
              <w:rPr>
                <w:rFonts w:ascii="宋体" w:eastAsia="宋体" w:hAnsi="宋体" w:hint="eastAsia"/>
                <w:szCs w:val="18"/>
              </w:rPr>
              <w:t>保持基本稳定且</w:t>
            </w:r>
            <w:proofErr w:type="gramStart"/>
            <w:r w:rsidRPr="00E6457A">
              <w:rPr>
                <w:rFonts w:ascii="宋体" w:eastAsia="宋体" w:hAnsi="宋体" w:hint="eastAsia"/>
                <w:szCs w:val="18"/>
              </w:rPr>
              <w:t>仓位</w:t>
            </w:r>
            <w:proofErr w:type="gramEnd"/>
            <w:r w:rsidRPr="00E6457A">
              <w:rPr>
                <w:rFonts w:ascii="宋体" w:eastAsia="宋体" w:hAnsi="宋体" w:hint="eastAsia"/>
                <w:szCs w:val="18"/>
              </w:rPr>
              <w:t>较高，选</w:t>
            </w:r>
            <w:proofErr w:type="gramStart"/>
            <w:r w:rsidRPr="00E6457A">
              <w:rPr>
                <w:rFonts w:ascii="宋体" w:eastAsia="宋体" w:hAnsi="宋体" w:hint="eastAsia"/>
                <w:szCs w:val="18"/>
              </w:rPr>
              <w:t>股能力</w:t>
            </w:r>
            <w:proofErr w:type="gramEnd"/>
            <w:r w:rsidRPr="00E6457A">
              <w:rPr>
                <w:rFonts w:ascii="宋体" w:eastAsia="宋体" w:hAnsi="宋体" w:hint="eastAsia"/>
                <w:szCs w:val="18"/>
              </w:rPr>
              <w:t>突出，且高持股集中度。重仓股相对稳定，中长期持有的特征明显，近年来实现了</w:t>
            </w:r>
            <w:r>
              <w:rPr>
                <w:rFonts w:ascii="宋体" w:eastAsia="宋体" w:hAnsi="宋体" w:hint="eastAsia"/>
                <w:szCs w:val="18"/>
              </w:rPr>
              <w:t>较好</w:t>
            </w:r>
            <w:r w:rsidRPr="00E6457A">
              <w:rPr>
                <w:rFonts w:ascii="宋体" w:eastAsia="宋体" w:hAnsi="宋体" w:hint="eastAsia"/>
                <w:szCs w:val="18"/>
              </w:rPr>
              <w:t>的业绩持续性。</w:t>
            </w:r>
          </w:p>
        </w:tc>
      </w:tr>
      <w:tr w:rsidR="00C411DC" w:rsidTr="007F40D7">
        <w:trPr>
          <w:cantSplit/>
          <w:trHeight w:val="340"/>
          <w:jc w:val="center"/>
        </w:trPr>
        <w:tc>
          <w:tcPr>
            <w:tcW w:w="2042" w:type="dxa"/>
            <w:tcBorders>
              <w:top w:val="single" w:sz="6" w:space="0" w:color="D9D9D9"/>
              <w:bottom w:val="single" w:sz="6" w:space="0" w:color="D9D9D9"/>
              <w:right w:val="single" w:sz="6" w:space="0" w:color="D9D9D9"/>
            </w:tcBorders>
            <w:shd w:val="clear" w:color="auto" w:fill="auto"/>
            <w:vAlign w:val="center"/>
          </w:tcPr>
          <w:p w:rsidR="00C411DC" w:rsidRPr="009A36BC" w:rsidRDefault="00C411DC" w:rsidP="007F40D7">
            <w:pPr>
              <w:jc w:val="center"/>
              <w:rPr>
                <w:rFonts w:ascii="宋体" w:eastAsia="宋体" w:hAnsi="宋体"/>
                <w:b/>
                <w:szCs w:val="18"/>
              </w:rPr>
            </w:pPr>
            <w:r>
              <w:rPr>
                <w:rFonts w:ascii="宋体" w:eastAsia="宋体" w:hAnsi="宋体" w:hint="eastAsia"/>
                <w:b/>
                <w:szCs w:val="18"/>
              </w:rPr>
              <w:t>华泰量化增强</w:t>
            </w:r>
          </w:p>
        </w:tc>
        <w:tc>
          <w:tcPr>
            <w:tcW w:w="8730" w:type="dxa"/>
            <w:tcBorders>
              <w:top w:val="single" w:sz="6" w:space="0" w:color="D9D9D9"/>
              <w:left w:val="single" w:sz="6" w:space="0" w:color="D9D9D9"/>
              <w:bottom w:val="single" w:sz="6" w:space="0" w:color="D9D9D9"/>
            </w:tcBorders>
            <w:shd w:val="clear" w:color="auto" w:fill="auto"/>
            <w:vAlign w:val="center"/>
          </w:tcPr>
          <w:p w:rsidR="00C411DC" w:rsidRPr="009A36BC" w:rsidRDefault="00C411DC" w:rsidP="007F40D7">
            <w:pPr>
              <w:jc w:val="left"/>
              <w:rPr>
                <w:rFonts w:ascii="宋体" w:eastAsia="宋体" w:hAnsi="宋体"/>
                <w:szCs w:val="18"/>
              </w:rPr>
            </w:pPr>
            <w:r w:rsidRPr="005E20B7">
              <w:rPr>
                <w:rFonts w:ascii="宋体" w:eastAsia="宋体" w:hAnsi="宋体" w:hint="eastAsia"/>
                <w:szCs w:val="18"/>
              </w:rPr>
              <w:t>基金成立以来的运作体现了其量化模型的科学有效性，在展现出良好选</w:t>
            </w:r>
            <w:proofErr w:type="gramStart"/>
            <w:r w:rsidRPr="005E20B7">
              <w:rPr>
                <w:rFonts w:ascii="宋体" w:eastAsia="宋体" w:hAnsi="宋体" w:hint="eastAsia"/>
                <w:szCs w:val="18"/>
              </w:rPr>
              <w:t>股能力</w:t>
            </w:r>
            <w:proofErr w:type="gramEnd"/>
            <w:r w:rsidRPr="005E20B7">
              <w:rPr>
                <w:rFonts w:ascii="宋体" w:eastAsia="宋体" w:hAnsi="宋体" w:hint="eastAsia"/>
                <w:szCs w:val="18"/>
              </w:rPr>
              <w:t>的同时，也较好控制了投资风险。基金的持股平均期限相对长，整体体现了其</w:t>
            </w:r>
            <w:proofErr w:type="gramStart"/>
            <w:r w:rsidRPr="005E20B7">
              <w:rPr>
                <w:rFonts w:ascii="宋体" w:eastAsia="宋体" w:hAnsi="宋体" w:hint="eastAsia"/>
                <w:szCs w:val="18"/>
              </w:rPr>
              <w:t>“</w:t>
            </w:r>
            <w:proofErr w:type="gramEnd"/>
            <w:r w:rsidRPr="005E20B7">
              <w:rPr>
                <w:rFonts w:ascii="宋体" w:eastAsia="宋体" w:hAnsi="宋体" w:hint="eastAsia"/>
                <w:szCs w:val="18"/>
              </w:rPr>
              <w:t>基于基本面信息的“中长”持有期的选股模型</w:t>
            </w:r>
            <w:proofErr w:type="gramStart"/>
            <w:r w:rsidRPr="005E20B7">
              <w:rPr>
                <w:rFonts w:ascii="宋体" w:eastAsia="宋体" w:hAnsi="宋体" w:hint="eastAsia"/>
                <w:szCs w:val="18"/>
              </w:rPr>
              <w:t>”</w:t>
            </w:r>
            <w:proofErr w:type="gramEnd"/>
            <w:r w:rsidRPr="005E20B7">
              <w:rPr>
                <w:rFonts w:ascii="宋体" w:eastAsia="宋体" w:hAnsi="宋体" w:hint="eastAsia"/>
                <w:szCs w:val="18"/>
              </w:rPr>
              <w:t>的投资思路。</w:t>
            </w:r>
          </w:p>
        </w:tc>
      </w:tr>
      <w:tr w:rsidR="00C411DC" w:rsidTr="007F40D7">
        <w:trPr>
          <w:cantSplit/>
          <w:trHeight w:val="340"/>
          <w:jc w:val="center"/>
        </w:trPr>
        <w:tc>
          <w:tcPr>
            <w:tcW w:w="2042" w:type="dxa"/>
            <w:tcBorders>
              <w:top w:val="single" w:sz="6" w:space="0" w:color="D9D9D9"/>
              <w:bottom w:val="single" w:sz="6" w:space="0" w:color="D9D9D9"/>
              <w:right w:val="single" w:sz="6" w:space="0" w:color="D9D9D9"/>
            </w:tcBorders>
            <w:shd w:val="clear" w:color="auto" w:fill="auto"/>
            <w:vAlign w:val="center"/>
          </w:tcPr>
          <w:p w:rsidR="00C411DC" w:rsidRPr="009A36BC" w:rsidRDefault="00C411DC" w:rsidP="007F40D7">
            <w:pPr>
              <w:jc w:val="center"/>
              <w:rPr>
                <w:rFonts w:ascii="宋体" w:eastAsia="宋体" w:hAnsi="宋体"/>
                <w:b/>
                <w:szCs w:val="18"/>
              </w:rPr>
            </w:pPr>
            <w:r>
              <w:rPr>
                <w:rFonts w:ascii="宋体" w:eastAsia="宋体" w:hAnsi="宋体" w:hint="eastAsia"/>
                <w:b/>
                <w:szCs w:val="18"/>
              </w:rPr>
              <w:t>嘉实领先成长</w:t>
            </w:r>
          </w:p>
        </w:tc>
        <w:tc>
          <w:tcPr>
            <w:tcW w:w="8730" w:type="dxa"/>
            <w:tcBorders>
              <w:top w:val="single" w:sz="6" w:space="0" w:color="D9D9D9"/>
              <w:left w:val="single" w:sz="6" w:space="0" w:color="D9D9D9"/>
              <w:bottom w:val="single" w:sz="6" w:space="0" w:color="D9D9D9"/>
            </w:tcBorders>
            <w:shd w:val="clear" w:color="auto" w:fill="auto"/>
            <w:vAlign w:val="center"/>
          </w:tcPr>
          <w:p w:rsidR="00C411DC" w:rsidRPr="009A36BC" w:rsidRDefault="00C411DC" w:rsidP="007F40D7">
            <w:pPr>
              <w:jc w:val="left"/>
              <w:rPr>
                <w:rFonts w:ascii="宋体" w:eastAsia="宋体" w:hAnsi="宋体"/>
                <w:szCs w:val="18"/>
              </w:rPr>
            </w:pPr>
            <w:r w:rsidRPr="00E6457A">
              <w:rPr>
                <w:rFonts w:ascii="宋体" w:eastAsia="宋体" w:hAnsi="宋体" w:hint="eastAsia"/>
                <w:szCs w:val="18"/>
              </w:rPr>
              <w:t>基金组合配置较为稳定，主要着眼于长期投资前景，重点对消费、医药、服务等行业板块进行核心配置</w:t>
            </w:r>
            <w:r>
              <w:rPr>
                <w:rFonts w:ascii="宋体" w:eastAsia="宋体" w:hAnsi="宋体" w:hint="eastAsia"/>
                <w:szCs w:val="18"/>
              </w:rPr>
              <w:t>。中长期管理业绩更为突出，具备良好的选股能力。</w:t>
            </w:r>
          </w:p>
        </w:tc>
      </w:tr>
      <w:tr w:rsidR="00C411DC" w:rsidTr="007F40D7">
        <w:trPr>
          <w:cantSplit/>
          <w:trHeight w:val="340"/>
          <w:jc w:val="center"/>
        </w:trPr>
        <w:tc>
          <w:tcPr>
            <w:tcW w:w="2042" w:type="dxa"/>
            <w:tcBorders>
              <w:top w:val="single" w:sz="6" w:space="0" w:color="D9D9D9"/>
              <w:bottom w:val="single" w:sz="6" w:space="0" w:color="D9D9D9"/>
              <w:right w:val="single" w:sz="6" w:space="0" w:color="D9D9D9"/>
            </w:tcBorders>
            <w:shd w:val="clear" w:color="auto" w:fill="auto"/>
            <w:vAlign w:val="center"/>
          </w:tcPr>
          <w:p w:rsidR="00C411DC" w:rsidRPr="009A36BC" w:rsidRDefault="00C411DC" w:rsidP="007F40D7">
            <w:pPr>
              <w:jc w:val="center"/>
              <w:rPr>
                <w:rFonts w:ascii="宋体" w:eastAsia="宋体" w:hAnsi="宋体"/>
                <w:b/>
                <w:szCs w:val="18"/>
              </w:rPr>
            </w:pPr>
            <w:r w:rsidRPr="009A36BC">
              <w:rPr>
                <w:rFonts w:ascii="宋体" w:eastAsia="宋体" w:hAnsi="宋体" w:hint="eastAsia"/>
                <w:b/>
                <w:szCs w:val="18"/>
              </w:rPr>
              <w:t>嘉</w:t>
            </w:r>
            <w:proofErr w:type="gramStart"/>
            <w:r w:rsidRPr="009A36BC">
              <w:rPr>
                <w:rFonts w:ascii="宋体" w:eastAsia="宋体" w:hAnsi="宋体" w:hint="eastAsia"/>
                <w:b/>
                <w:szCs w:val="18"/>
              </w:rPr>
              <w:t>实</w:t>
            </w:r>
            <w:r>
              <w:rPr>
                <w:rFonts w:ascii="宋体" w:eastAsia="宋体" w:hAnsi="宋体" w:hint="eastAsia"/>
                <w:b/>
                <w:szCs w:val="18"/>
              </w:rPr>
              <w:t>研究</w:t>
            </w:r>
            <w:proofErr w:type="gramEnd"/>
            <w:r w:rsidRPr="009A36BC">
              <w:rPr>
                <w:rFonts w:ascii="宋体" w:eastAsia="宋体" w:hAnsi="宋体" w:hint="eastAsia"/>
                <w:b/>
                <w:szCs w:val="18"/>
              </w:rPr>
              <w:t>精选</w:t>
            </w:r>
          </w:p>
        </w:tc>
        <w:tc>
          <w:tcPr>
            <w:tcW w:w="8730" w:type="dxa"/>
            <w:tcBorders>
              <w:top w:val="single" w:sz="6" w:space="0" w:color="D9D9D9"/>
              <w:left w:val="single" w:sz="6" w:space="0" w:color="D9D9D9"/>
              <w:bottom w:val="single" w:sz="6" w:space="0" w:color="D9D9D9"/>
            </w:tcBorders>
            <w:shd w:val="clear" w:color="auto" w:fill="auto"/>
            <w:vAlign w:val="center"/>
          </w:tcPr>
          <w:p w:rsidR="00C411DC" w:rsidRPr="009A36BC" w:rsidRDefault="00C411DC" w:rsidP="007F40D7">
            <w:pPr>
              <w:jc w:val="left"/>
              <w:rPr>
                <w:rFonts w:ascii="宋体" w:eastAsia="宋体" w:hAnsi="宋体"/>
                <w:szCs w:val="18"/>
              </w:rPr>
            </w:pPr>
            <w:r w:rsidRPr="009A36BC">
              <w:rPr>
                <w:rFonts w:ascii="宋体" w:eastAsia="宋体" w:hAnsi="宋体" w:hint="eastAsia"/>
                <w:szCs w:val="18"/>
              </w:rPr>
              <w:t>成立以来显示出长期稳定且优异的业绩特征，建立在良好选</w:t>
            </w:r>
            <w:proofErr w:type="gramStart"/>
            <w:r w:rsidRPr="009A36BC">
              <w:rPr>
                <w:rFonts w:ascii="宋体" w:eastAsia="宋体" w:hAnsi="宋体" w:hint="eastAsia"/>
                <w:szCs w:val="18"/>
              </w:rPr>
              <w:t>股能力</w:t>
            </w:r>
            <w:proofErr w:type="gramEnd"/>
            <w:r w:rsidRPr="009A36BC">
              <w:rPr>
                <w:rFonts w:ascii="宋体" w:eastAsia="宋体" w:hAnsi="宋体" w:hint="eastAsia"/>
                <w:szCs w:val="18"/>
              </w:rPr>
              <w:t>基础上的适度集中投资和策略灵活调整，是嘉</w:t>
            </w:r>
            <w:proofErr w:type="gramStart"/>
            <w:r w:rsidRPr="009A36BC">
              <w:rPr>
                <w:rFonts w:ascii="宋体" w:eastAsia="宋体" w:hAnsi="宋体" w:hint="eastAsia"/>
                <w:szCs w:val="18"/>
              </w:rPr>
              <w:t>实研究</w:t>
            </w:r>
            <w:proofErr w:type="gramEnd"/>
            <w:r w:rsidRPr="009A36BC">
              <w:rPr>
                <w:rFonts w:ascii="宋体" w:eastAsia="宋体" w:hAnsi="宋体" w:hint="eastAsia"/>
                <w:szCs w:val="18"/>
              </w:rPr>
              <w:t>精选基金获得超额收益的主要来源，基金在风格上侧重成长，对成长股有不错的把握能力。</w:t>
            </w:r>
          </w:p>
        </w:tc>
      </w:tr>
      <w:tr w:rsidR="00C411DC" w:rsidTr="007F40D7">
        <w:trPr>
          <w:cantSplit/>
          <w:trHeight w:val="340"/>
          <w:jc w:val="center"/>
        </w:trPr>
        <w:tc>
          <w:tcPr>
            <w:tcW w:w="2042" w:type="dxa"/>
            <w:tcBorders>
              <w:top w:val="single" w:sz="6" w:space="0" w:color="D9D9D9"/>
              <w:bottom w:val="single" w:sz="6" w:space="0" w:color="D9D9D9"/>
              <w:right w:val="single" w:sz="6" w:space="0" w:color="D9D9D9"/>
            </w:tcBorders>
            <w:shd w:val="clear" w:color="auto" w:fill="auto"/>
            <w:vAlign w:val="center"/>
          </w:tcPr>
          <w:p w:rsidR="00C411DC" w:rsidRPr="009A36BC" w:rsidRDefault="00C411DC" w:rsidP="007F40D7">
            <w:pPr>
              <w:jc w:val="center"/>
              <w:rPr>
                <w:rFonts w:ascii="宋体" w:eastAsia="宋体" w:hAnsi="宋体"/>
                <w:b/>
                <w:szCs w:val="18"/>
              </w:rPr>
            </w:pPr>
            <w:r>
              <w:rPr>
                <w:rFonts w:ascii="宋体" w:eastAsia="宋体" w:hAnsi="宋体" w:hint="eastAsia"/>
                <w:b/>
                <w:szCs w:val="18"/>
              </w:rPr>
              <w:t>南方精选</w:t>
            </w:r>
          </w:p>
        </w:tc>
        <w:tc>
          <w:tcPr>
            <w:tcW w:w="8730" w:type="dxa"/>
            <w:tcBorders>
              <w:top w:val="single" w:sz="6" w:space="0" w:color="D9D9D9"/>
              <w:left w:val="single" w:sz="6" w:space="0" w:color="D9D9D9"/>
              <w:bottom w:val="single" w:sz="6" w:space="0" w:color="D9D9D9"/>
            </w:tcBorders>
            <w:shd w:val="clear" w:color="auto" w:fill="auto"/>
            <w:vAlign w:val="center"/>
          </w:tcPr>
          <w:p w:rsidR="00C411DC" w:rsidRPr="009A36BC" w:rsidRDefault="00C411DC" w:rsidP="007F40D7">
            <w:pPr>
              <w:jc w:val="left"/>
              <w:rPr>
                <w:rFonts w:ascii="宋体" w:eastAsia="宋体" w:hAnsi="宋体"/>
                <w:szCs w:val="18"/>
              </w:rPr>
            </w:pPr>
            <w:r>
              <w:rPr>
                <w:rFonts w:ascii="宋体" w:eastAsia="宋体" w:hAnsi="宋体" w:hint="eastAsia"/>
                <w:szCs w:val="18"/>
              </w:rPr>
              <w:t>由于投资范围为沪深300样本股，因此低估值蓝</w:t>
            </w:r>
            <w:proofErr w:type="gramStart"/>
            <w:r>
              <w:rPr>
                <w:rFonts w:ascii="宋体" w:eastAsia="宋体" w:hAnsi="宋体" w:hint="eastAsia"/>
                <w:szCs w:val="18"/>
              </w:rPr>
              <w:t>筹风格</w:t>
            </w:r>
            <w:proofErr w:type="gramEnd"/>
            <w:r>
              <w:rPr>
                <w:rFonts w:ascii="宋体" w:eastAsia="宋体" w:hAnsi="宋体" w:hint="eastAsia"/>
                <w:szCs w:val="18"/>
              </w:rPr>
              <w:t>显著，金融、地产配置比例较高，且长期投资风格保持稳定，在价值风格主导的行情中有较强的配置价值。</w:t>
            </w:r>
          </w:p>
        </w:tc>
      </w:tr>
      <w:tr w:rsidR="00C411DC" w:rsidTr="007F40D7">
        <w:trPr>
          <w:cantSplit/>
          <w:trHeight w:val="340"/>
          <w:jc w:val="center"/>
        </w:trPr>
        <w:tc>
          <w:tcPr>
            <w:tcW w:w="2042" w:type="dxa"/>
            <w:tcBorders>
              <w:top w:val="single" w:sz="6" w:space="0" w:color="D9D9D9"/>
              <w:bottom w:val="single" w:sz="6" w:space="0" w:color="D9D9D9"/>
              <w:right w:val="single" w:sz="6" w:space="0" w:color="D9D9D9"/>
            </w:tcBorders>
            <w:shd w:val="clear" w:color="auto" w:fill="auto"/>
            <w:vAlign w:val="center"/>
          </w:tcPr>
          <w:p w:rsidR="00C411DC" w:rsidRDefault="00C411DC" w:rsidP="007F40D7">
            <w:pPr>
              <w:jc w:val="center"/>
              <w:rPr>
                <w:rFonts w:ascii="宋体" w:eastAsia="宋体" w:hAnsi="宋体"/>
                <w:b/>
                <w:szCs w:val="18"/>
              </w:rPr>
            </w:pPr>
            <w:r>
              <w:rPr>
                <w:rFonts w:ascii="宋体" w:eastAsia="宋体" w:hAnsi="宋体" w:hint="eastAsia"/>
                <w:b/>
                <w:szCs w:val="18"/>
              </w:rPr>
              <w:t>南方绝对收益</w:t>
            </w:r>
          </w:p>
        </w:tc>
        <w:tc>
          <w:tcPr>
            <w:tcW w:w="8730" w:type="dxa"/>
            <w:tcBorders>
              <w:top w:val="single" w:sz="6" w:space="0" w:color="D9D9D9"/>
              <w:left w:val="single" w:sz="6" w:space="0" w:color="D9D9D9"/>
              <w:bottom w:val="single" w:sz="6" w:space="0" w:color="D9D9D9"/>
            </w:tcBorders>
            <w:shd w:val="clear" w:color="auto" w:fill="auto"/>
            <w:vAlign w:val="center"/>
          </w:tcPr>
          <w:p w:rsidR="00C411DC" w:rsidRDefault="00C411DC" w:rsidP="007F40D7">
            <w:pPr>
              <w:jc w:val="left"/>
              <w:rPr>
                <w:rFonts w:ascii="宋体" w:eastAsia="宋体" w:hAnsi="宋体"/>
                <w:szCs w:val="18"/>
              </w:rPr>
            </w:pPr>
            <w:r>
              <w:rPr>
                <w:rFonts w:ascii="宋体" w:eastAsia="宋体" w:hAnsi="宋体" w:hint="eastAsia"/>
                <w:bCs/>
                <w:szCs w:val="18"/>
              </w:rPr>
              <w:t>基金采用市场中性策略，运用股指期货等工具对系统性风险进行对冲，比较适合震荡市场环境中持有。</w:t>
            </w:r>
          </w:p>
        </w:tc>
      </w:tr>
      <w:tr w:rsidR="00C411DC" w:rsidTr="007F40D7">
        <w:trPr>
          <w:cantSplit/>
          <w:trHeight w:val="340"/>
          <w:jc w:val="center"/>
        </w:trPr>
        <w:tc>
          <w:tcPr>
            <w:tcW w:w="2042" w:type="dxa"/>
            <w:tcBorders>
              <w:top w:val="single" w:sz="6" w:space="0" w:color="D9D9D9"/>
              <w:bottom w:val="single" w:sz="6" w:space="0" w:color="D9D9D9"/>
              <w:right w:val="single" w:sz="6" w:space="0" w:color="D9D9D9"/>
            </w:tcBorders>
            <w:shd w:val="clear" w:color="auto" w:fill="auto"/>
            <w:vAlign w:val="center"/>
          </w:tcPr>
          <w:p w:rsidR="00C411DC" w:rsidRPr="009A36BC" w:rsidRDefault="00C411DC" w:rsidP="007F40D7">
            <w:pPr>
              <w:jc w:val="center"/>
              <w:rPr>
                <w:rFonts w:ascii="宋体" w:eastAsia="宋体" w:hAnsi="宋体"/>
                <w:b/>
                <w:szCs w:val="18"/>
              </w:rPr>
            </w:pPr>
            <w:r>
              <w:rPr>
                <w:rFonts w:ascii="宋体" w:eastAsia="宋体" w:hAnsi="宋体" w:hint="eastAsia"/>
                <w:b/>
                <w:szCs w:val="18"/>
              </w:rPr>
              <w:t>鹏</w:t>
            </w:r>
            <w:proofErr w:type="gramStart"/>
            <w:r>
              <w:rPr>
                <w:rFonts w:ascii="宋体" w:eastAsia="宋体" w:hAnsi="宋体" w:hint="eastAsia"/>
                <w:b/>
                <w:szCs w:val="18"/>
              </w:rPr>
              <w:t>华价值</w:t>
            </w:r>
            <w:proofErr w:type="gramEnd"/>
          </w:p>
        </w:tc>
        <w:tc>
          <w:tcPr>
            <w:tcW w:w="8730" w:type="dxa"/>
            <w:tcBorders>
              <w:top w:val="single" w:sz="6" w:space="0" w:color="D9D9D9"/>
              <w:left w:val="single" w:sz="6" w:space="0" w:color="D9D9D9"/>
              <w:bottom w:val="single" w:sz="6" w:space="0" w:color="D9D9D9"/>
            </w:tcBorders>
            <w:shd w:val="clear" w:color="auto" w:fill="auto"/>
            <w:vAlign w:val="center"/>
          </w:tcPr>
          <w:p w:rsidR="00C411DC" w:rsidRPr="009A36BC" w:rsidRDefault="00C411DC" w:rsidP="007F40D7">
            <w:pPr>
              <w:jc w:val="left"/>
              <w:rPr>
                <w:rFonts w:ascii="宋体" w:eastAsia="宋体" w:hAnsi="宋体"/>
                <w:szCs w:val="18"/>
              </w:rPr>
            </w:pPr>
            <w:r>
              <w:rPr>
                <w:rFonts w:ascii="宋体" w:eastAsia="宋体" w:hAnsi="宋体" w:hint="eastAsia"/>
                <w:szCs w:val="18"/>
              </w:rPr>
              <w:t>价值投资特点显著，长期集中</w:t>
            </w:r>
            <w:proofErr w:type="gramStart"/>
            <w:r>
              <w:rPr>
                <w:rFonts w:ascii="宋体" w:eastAsia="宋体" w:hAnsi="宋体" w:hint="eastAsia"/>
                <w:szCs w:val="18"/>
              </w:rPr>
              <w:t>持有低</w:t>
            </w:r>
            <w:proofErr w:type="gramEnd"/>
            <w:r>
              <w:rPr>
                <w:rFonts w:ascii="宋体" w:eastAsia="宋体" w:hAnsi="宋体" w:hint="eastAsia"/>
                <w:szCs w:val="18"/>
              </w:rPr>
              <w:t>估值股票，对家电、银行等行业内股票有较高的偏好。</w:t>
            </w:r>
          </w:p>
        </w:tc>
      </w:tr>
      <w:tr w:rsidR="00C411DC" w:rsidTr="007F40D7">
        <w:trPr>
          <w:cantSplit/>
          <w:trHeight w:val="340"/>
          <w:jc w:val="center"/>
        </w:trPr>
        <w:tc>
          <w:tcPr>
            <w:tcW w:w="2042" w:type="dxa"/>
            <w:tcBorders>
              <w:top w:val="single" w:sz="6" w:space="0" w:color="D9D9D9"/>
              <w:bottom w:val="single" w:sz="6" w:space="0" w:color="D9D9D9"/>
              <w:right w:val="single" w:sz="6" w:space="0" w:color="D9D9D9"/>
            </w:tcBorders>
            <w:shd w:val="clear" w:color="auto" w:fill="auto"/>
            <w:vAlign w:val="center"/>
          </w:tcPr>
          <w:p w:rsidR="00C411DC" w:rsidRPr="009A36BC" w:rsidRDefault="00C411DC" w:rsidP="007F40D7">
            <w:pPr>
              <w:jc w:val="center"/>
              <w:rPr>
                <w:rFonts w:ascii="宋体" w:eastAsia="宋体" w:hAnsi="宋体"/>
                <w:b/>
                <w:szCs w:val="18"/>
              </w:rPr>
            </w:pPr>
            <w:proofErr w:type="gramStart"/>
            <w:r w:rsidRPr="009A36BC">
              <w:rPr>
                <w:rFonts w:ascii="宋体" w:eastAsia="宋体" w:hAnsi="宋体" w:hint="eastAsia"/>
                <w:b/>
                <w:szCs w:val="18"/>
              </w:rPr>
              <w:t>添富价值</w:t>
            </w:r>
            <w:proofErr w:type="gramEnd"/>
          </w:p>
        </w:tc>
        <w:tc>
          <w:tcPr>
            <w:tcW w:w="8730" w:type="dxa"/>
            <w:tcBorders>
              <w:top w:val="single" w:sz="6" w:space="0" w:color="D9D9D9"/>
              <w:left w:val="single" w:sz="6" w:space="0" w:color="D9D9D9"/>
              <w:bottom w:val="single" w:sz="6" w:space="0" w:color="D9D9D9"/>
            </w:tcBorders>
            <w:shd w:val="clear" w:color="auto" w:fill="auto"/>
            <w:vAlign w:val="center"/>
          </w:tcPr>
          <w:p w:rsidR="00C411DC" w:rsidRPr="009A36BC" w:rsidRDefault="00C411DC" w:rsidP="007F40D7">
            <w:pPr>
              <w:jc w:val="left"/>
              <w:rPr>
                <w:rFonts w:ascii="宋体" w:eastAsia="宋体" w:hAnsi="宋体"/>
                <w:szCs w:val="18"/>
              </w:rPr>
            </w:pPr>
            <w:r w:rsidRPr="009A36BC">
              <w:rPr>
                <w:rFonts w:ascii="宋体" w:eastAsia="宋体" w:hAnsi="宋体" w:hint="eastAsia"/>
                <w:szCs w:val="18"/>
              </w:rPr>
              <w:t>重点挖掘低估值板块以及“以时间换空间”的价值投资方法，获取中长期业绩的稳定性，基金经理陈晓翔善于价值选股，并在市场的顺势而为或逆向投资方面把握一定的“度”，以在市场上下波动阶段增强投资收益。在“蓝筹回归”的市场趋势下，具备一定的优势。</w:t>
            </w:r>
          </w:p>
        </w:tc>
      </w:tr>
      <w:tr w:rsidR="00C411DC" w:rsidTr="007F40D7">
        <w:trPr>
          <w:cantSplit/>
          <w:trHeight w:val="340"/>
          <w:jc w:val="center"/>
        </w:trPr>
        <w:tc>
          <w:tcPr>
            <w:tcW w:w="2042" w:type="dxa"/>
            <w:tcBorders>
              <w:top w:val="single" w:sz="6" w:space="0" w:color="D9D9D9"/>
              <w:bottom w:val="single" w:sz="6" w:space="0" w:color="D9D9D9"/>
              <w:right w:val="single" w:sz="6" w:space="0" w:color="D9D9D9"/>
            </w:tcBorders>
            <w:shd w:val="clear" w:color="auto" w:fill="auto"/>
            <w:vAlign w:val="center"/>
          </w:tcPr>
          <w:p w:rsidR="00C411DC" w:rsidRPr="009A36BC" w:rsidRDefault="00C411DC" w:rsidP="007F40D7">
            <w:pPr>
              <w:jc w:val="center"/>
              <w:rPr>
                <w:rFonts w:ascii="宋体" w:eastAsia="宋体" w:hAnsi="宋体"/>
                <w:b/>
                <w:szCs w:val="18"/>
              </w:rPr>
            </w:pPr>
            <w:proofErr w:type="gramStart"/>
            <w:r>
              <w:rPr>
                <w:rFonts w:ascii="宋体" w:eastAsia="宋体" w:hAnsi="宋体" w:hint="eastAsia"/>
                <w:b/>
                <w:szCs w:val="18"/>
              </w:rPr>
              <w:t>添富逆向</w:t>
            </w:r>
            <w:proofErr w:type="gramEnd"/>
          </w:p>
        </w:tc>
        <w:tc>
          <w:tcPr>
            <w:tcW w:w="8730" w:type="dxa"/>
            <w:tcBorders>
              <w:top w:val="single" w:sz="6" w:space="0" w:color="D9D9D9"/>
              <w:left w:val="single" w:sz="6" w:space="0" w:color="D9D9D9"/>
              <w:bottom w:val="single" w:sz="6" w:space="0" w:color="D9D9D9"/>
            </w:tcBorders>
            <w:shd w:val="clear" w:color="auto" w:fill="auto"/>
            <w:vAlign w:val="center"/>
          </w:tcPr>
          <w:p w:rsidR="00C411DC" w:rsidRPr="009A36BC" w:rsidRDefault="00C411DC" w:rsidP="007F40D7">
            <w:pPr>
              <w:jc w:val="left"/>
              <w:rPr>
                <w:rFonts w:ascii="宋体" w:eastAsia="宋体" w:hAnsi="宋体"/>
                <w:szCs w:val="18"/>
              </w:rPr>
            </w:pPr>
            <w:proofErr w:type="gramStart"/>
            <w:r w:rsidRPr="006C6448">
              <w:rPr>
                <w:rFonts w:ascii="宋体" w:eastAsia="宋体" w:hAnsi="宋体" w:hint="eastAsia"/>
                <w:szCs w:val="18"/>
              </w:rPr>
              <w:t>汇添富</w:t>
            </w:r>
            <w:proofErr w:type="gramEnd"/>
            <w:r w:rsidRPr="006C6448">
              <w:rPr>
                <w:rFonts w:ascii="宋体" w:eastAsia="宋体" w:hAnsi="宋体" w:hint="eastAsia"/>
                <w:szCs w:val="18"/>
              </w:rPr>
              <w:t>逆向投资基金自成立以来，中长期业绩优秀。逆向投资思维+灵活配置较好的契合了目前多变的市场投资环境，管理者较强的投资能力也起到决定性的作用。基金持股偏离主流，较少参与市场热点，优质蓝筹+低估值成长的风格较为明显。</w:t>
            </w:r>
          </w:p>
        </w:tc>
      </w:tr>
      <w:tr w:rsidR="00C411DC" w:rsidTr="007F40D7">
        <w:trPr>
          <w:cantSplit/>
          <w:trHeight w:val="340"/>
          <w:jc w:val="center"/>
        </w:trPr>
        <w:tc>
          <w:tcPr>
            <w:tcW w:w="2042" w:type="dxa"/>
            <w:tcBorders>
              <w:top w:val="single" w:sz="6" w:space="0" w:color="D9D9D9"/>
              <w:bottom w:val="single" w:sz="6" w:space="0" w:color="D9D9D9"/>
              <w:right w:val="single" w:sz="6" w:space="0" w:color="D9D9D9"/>
            </w:tcBorders>
            <w:shd w:val="clear" w:color="auto" w:fill="auto"/>
            <w:vAlign w:val="center"/>
          </w:tcPr>
          <w:p w:rsidR="00C411DC" w:rsidRPr="009A36BC" w:rsidRDefault="00C411DC" w:rsidP="007F40D7">
            <w:pPr>
              <w:jc w:val="center"/>
              <w:rPr>
                <w:rFonts w:ascii="宋体" w:eastAsia="宋体" w:hAnsi="宋体"/>
                <w:b/>
                <w:szCs w:val="18"/>
              </w:rPr>
            </w:pPr>
            <w:r w:rsidRPr="009A36BC">
              <w:rPr>
                <w:rFonts w:ascii="宋体" w:eastAsia="宋体" w:hAnsi="宋体" w:hint="eastAsia"/>
                <w:b/>
                <w:szCs w:val="18"/>
              </w:rPr>
              <w:t>兴全</w:t>
            </w:r>
            <w:r>
              <w:rPr>
                <w:rFonts w:ascii="宋体" w:eastAsia="宋体" w:hAnsi="宋体" w:hint="eastAsia"/>
                <w:b/>
                <w:szCs w:val="18"/>
              </w:rPr>
              <w:t>绿色</w:t>
            </w:r>
          </w:p>
        </w:tc>
        <w:tc>
          <w:tcPr>
            <w:tcW w:w="8730" w:type="dxa"/>
            <w:tcBorders>
              <w:top w:val="single" w:sz="6" w:space="0" w:color="D9D9D9"/>
              <w:left w:val="single" w:sz="6" w:space="0" w:color="D9D9D9"/>
              <w:bottom w:val="single" w:sz="6" w:space="0" w:color="D9D9D9"/>
            </w:tcBorders>
            <w:shd w:val="clear" w:color="auto" w:fill="auto"/>
            <w:vAlign w:val="center"/>
          </w:tcPr>
          <w:p w:rsidR="00C411DC" w:rsidRPr="009A36BC" w:rsidRDefault="00C411DC" w:rsidP="007F40D7">
            <w:pPr>
              <w:jc w:val="left"/>
              <w:rPr>
                <w:rFonts w:ascii="宋体" w:eastAsia="宋体" w:hAnsi="宋体"/>
                <w:szCs w:val="18"/>
              </w:rPr>
            </w:pPr>
            <w:r w:rsidRPr="009A36BC">
              <w:rPr>
                <w:rFonts w:ascii="宋体" w:eastAsia="宋体" w:hAnsi="宋体" w:hint="eastAsia"/>
                <w:szCs w:val="18"/>
              </w:rPr>
              <w:t>秉承公司风险控制和选股优势，</w:t>
            </w:r>
            <w:r>
              <w:rPr>
                <w:rFonts w:ascii="宋体" w:eastAsia="宋体" w:hAnsi="宋体" w:hint="eastAsia"/>
                <w:szCs w:val="18"/>
              </w:rPr>
              <w:t>在核心配置稳定增长的消费行业的同时，也注重成长股的投资，整体来看</w:t>
            </w:r>
            <w:r w:rsidRPr="009A36BC">
              <w:rPr>
                <w:rFonts w:ascii="宋体" w:eastAsia="宋体" w:hAnsi="宋体" w:hint="eastAsia"/>
                <w:szCs w:val="18"/>
              </w:rPr>
              <w:t>兼顾业绩确定性</w:t>
            </w:r>
            <w:r>
              <w:rPr>
                <w:rFonts w:ascii="宋体" w:eastAsia="宋体" w:hAnsi="宋体" w:hint="eastAsia"/>
                <w:szCs w:val="18"/>
              </w:rPr>
              <w:t>和成长性</w:t>
            </w:r>
            <w:r w:rsidRPr="009A36BC">
              <w:rPr>
                <w:rFonts w:ascii="宋体" w:eastAsia="宋体" w:hAnsi="宋体" w:hint="eastAsia"/>
                <w:szCs w:val="18"/>
              </w:rPr>
              <w:t>，</w:t>
            </w:r>
            <w:r>
              <w:rPr>
                <w:rFonts w:ascii="宋体" w:eastAsia="宋体" w:hAnsi="宋体" w:hint="eastAsia"/>
                <w:szCs w:val="18"/>
              </w:rPr>
              <w:t>风格较为稳健，风险收益配比优势突出</w:t>
            </w:r>
            <w:r w:rsidRPr="009A36BC">
              <w:rPr>
                <w:rFonts w:ascii="宋体" w:eastAsia="宋体" w:hAnsi="宋体" w:hint="eastAsia"/>
                <w:szCs w:val="18"/>
              </w:rPr>
              <w:t>。</w:t>
            </w:r>
          </w:p>
        </w:tc>
      </w:tr>
      <w:tr w:rsidR="00C411DC" w:rsidTr="007F40D7">
        <w:trPr>
          <w:cantSplit/>
          <w:trHeight w:val="340"/>
          <w:jc w:val="center"/>
        </w:trPr>
        <w:tc>
          <w:tcPr>
            <w:tcW w:w="2042" w:type="dxa"/>
            <w:tcBorders>
              <w:top w:val="single" w:sz="6" w:space="0" w:color="D9D9D9"/>
              <w:bottom w:val="single" w:sz="6" w:space="0" w:color="D9D9D9"/>
              <w:right w:val="single" w:sz="6" w:space="0" w:color="D9D9D9"/>
            </w:tcBorders>
            <w:shd w:val="clear" w:color="auto" w:fill="auto"/>
            <w:vAlign w:val="center"/>
          </w:tcPr>
          <w:p w:rsidR="00C411DC" w:rsidRPr="009A36BC" w:rsidRDefault="00C411DC" w:rsidP="007F40D7">
            <w:pPr>
              <w:jc w:val="center"/>
              <w:rPr>
                <w:rFonts w:ascii="宋体" w:eastAsia="宋体" w:hAnsi="宋体"/>
                <w:b/>
                <w:szCs w:val="18"/>
              </w:rPr>
            </w:pPr>
            <w:r>
              <w:rPr>
                <w:rFonts w:ascii="宋体" w:eastAsia="宋体" w:hAnsi="宋体" w:hint="eastAsia"/>
                <w:b/>
                <w:szCs w:val="18"/>
              </w:rPr>
              <w:t>银河行业</w:t>
            </w:r>
          </w:p>
        </w:tc>
        <w:tc>
          <w:tcPr>
            <w:tcW w:w="8730" w:type="dxa"/>
            <w:tcBorders>
              <w:top w:val="single" w:sz="6" w:space="0" w:color="D9D9D9"/>
              <w:left w:val="single" w:sz="6" w:space="0" w:color="D9D9D9"/>
              <w:bottom w:val="single" w:sz="6" w:space="0" w:color="D9D9D9"/>
            </w:tcBorders>
            <w:shd w:val="clear" w:color="auto" w:fill="auto"/>
            <w:vAlign w:val="center"/>
          </w:tcPr>
          <w:p w:rsidR="00C411DC" w:rsidRPr="009A36BC" w:rsidRDefault="00C411DC" w:rsidP="007F40D7">
            <w:pPr>
              <w:jc w:val="left"/>
              <w:rPr>
                <w:rFonts w:ascii="宋体" w:eastAsia="宋体" w:hAnsi="宋体"/>
                <w:szCs w:val="18"/>
              </w:rPr>
            </w:pPr>
            <w:r>
              <w:rPr>
                <w:rFonts w:ascii="宋体" w:eastAsia="宋体" w:hAnsi="宋体" w:hint="eastAsia"/>
                <w:szCs w:val="18"/>
              </w:rPr>
              <w:t>坚持自下而上的投资策略，股票</w:t>
            </w:r>
            <w:proofErr w:type="gramStart"/>
            <w:r>
              <w:rPr>
                <w:rFonts w:ascii="宋体" w:eastAsia="宋体" w:hAnsi="宋体" w:hint="eastAsia"/>
                <w:szCs w:val="18"/>
              </w:rPr>
              <w:t>仓位</w:t>
            </w:r>
            <w:proofErr w:type="gramEnd"/>
            <w:r>
              <w:rPr>
                <w:rFonts w:ascii="宋体" w:eastAsia="宋体" w:hAnsi="宋体" w:hint="eastAsia"/>
                <w:szCs w:val="18"/>
              </w:rPr>
              <w:t>保持基本稳定，投资风格侧重成长且较为积极，对创业</w:t>
            </w:r>
            <w:proofErr w:type="gramStart"/>
            <w:r>
              <w:rPr>
                <w:rFonts w:ascii="宋体" w:eastAsia="宋体" w:hAnsi="宋体" w:hint="eastAsia"/>
                <w:szCs w:val="18"/>
              </w:rPr>
              <w:t>板股票</w:t>
            </w:r>
            <w:proofErr w:type="gramEnd"/>
            <w:r>
              <w:rPr>
                <w:rFonts w:ascii="宋体" w:eastAsia="宋体" w:hAnsi="宋体" w:hint="eastAsia"/>
                <w:szCs w:val="18"/>
              </w:rPr>
              <w:t>投资比例较高，并取得了突出的投资效果，具备高风险、高收益的特征。</w:t>
            </w:r>
          </w:p>
        </w:tc>
      </w:tr>
      <w:tr w:rsidR="00C411DC" w:rsidTr="007F40D7">
        <w:trPr>
          <w:cantSplit/>
          <w:trHeight w:val="340"/>
          <w:jc w:val="center"/>
        </w:trPr>
        <w:tc>
          <w:tcPr>
            <w:tcW w:w="2042" w:type="dxa"/>
            <w:tcBorders>
              <w:top w:val="single" w:sz="6" w:space="0" w:color="D9D9D9"/>
              <w:bottom w:val="single" w:sz="6" w:space="0" w:color="D9D9D9"/>
              <w:right w:val="single" w:sz="6" w:space="0" w:color="D9D9D9"/>
            </w:tcBorders>
            <w:shd w:val="clear" w:color="auto" w:fill="auto"/>
            <w:vAlign w:val="center"/>
          </w:tcPr>
          <w:p w:rsidR="00C411DC" w:rsidRPr="009A36BC" w:rsidRDefault="00C411DC" w:rsidP="007F40D7">
            <w:pPr>
              <w:jc w:val="center"/>
              <w:rPr>
                <w:rFonts w:ascii="宋体" w:eastAsia="宋体" w:hAnsi="宋体"/>
                <w:b/>
                <w:szCs w:val="18"/>
              </w:rPr>
            </w:pPr>
            <w:r>
              <w:rPr>
                <w:rFonts w:ascii="宋体" w:eastAsia="宋体" w:hAnsi="宋体" w:hint="eastAsia"/>
                <w:b/>
                <w:szCs w:val="18"/>
              </w:rPr>
              <w:t>招商安泰股票</w:t>
            </w:r>
          </w:p>
        </w:tc>
        <w:tc>
          <w:tcPr>
            <w:tcW w:w="8730" w:type="dxa"/>
            <w:tcBorders>
              <w:top w:val="single" w:sz="6" w:space="0" w:color="D9D9D9"/>
              <w:left w:val="single" w:sz="6" w:space="0" w:color="D9D9D9"/>
              <w:bottom w:val="single" w:sz="6" w:space="0" w:color="D9D9D9"/>
            </w:tcBorders>
            <w:shd w:val="clear" w:color="auto" w:fill="auto"/>
            <w:vAlign w:val="center"/>
          </w:tcPr>
          <w:p w:rsidR="00C411DC" w:rsidRPr="009A36BC" w:rsidRDefault="00C411DC" w:rsidP="007F40D7">
            <w:pPr>
              <w:jc w:val="left"/>
              <w:rPr>
                <w:rFonts w:ascii="宋体" w:eastAsia="宋体" w:hAnsi="宋体"/>
                <w:szCs w:val="18"/>
              </w:rPr>
            </w:pPr>
            <w:r>
              <w:rPr>
                <w:rFonts w:ascii="宋体" w:eastAsia="宋体" w:hAnsi="宋体" w:hint="eastAsia"/>
                <w:bCs/>
                <w:szCs w:val="18"/>
              </w:rPr>
              <w:t>招商安泰</w:t>
            </w:r>
            <w:proofErr w:type="gramStart"/>
            <w:r>
              <w:rPr>
                <w:rFonts w:ascii="宋体" w:eastAsia="宋体" w:hAnsi="宋体" w:hint="eastAsia"/>
                <w:bCs/>
                <w:szCs w:val="18"/>
              </w:rPr>
              <w:t>股票股票仓位</w:t>
            </w:r>
            <w:proofErr w:type="gramEnd"/>
            <w:r>
              <w:rPr>
                <w:rFonts w:ascii="宋体" w:eastAsia="宋体" w:hAnsi="宋体" w:hint="eastAsia"/>
                <w:bCs/>
                <w:szCs w:val="18"/>
              </w:rPr>
              <w:t>适中，是一只风险收益水平相对较低的权益类品种，组合配置均衡且注重灵活。</w:t>
            </w:r>
          </w:p>
        </w:tc>
      </w:tr>
      <w:tr w:rsidR="00C411DC" w:rsidTr="007F40D7">
        <w:trPr>
          <w:cantSplit/>
          <w:trHeight w:val="340"/>
          <w:jc w:val="center"/>
        </w:trPr>
        <w:tc>
          <w:tcPr>
            <w:tcW w:w="2042" w:type="dxa"/>
            <w:tcBorders>
              <w:top w:val="single" w:sz="6" w:space="0" w:color="D9D9D9"/>
              <w:bottom w:val="single" w:sz="6" w:space="0" w:color="D9D9D9"/>
              <w:right w:val="single" w:sz="6" w:space="0" w:color="D9D9D9"/>
            </w:tcBorders>
            <w:shd w:val="clear" w:color="auto" w:fill="auto"/>
            <w:vAlign w:val="center"/>
          </w:tcPr>
          <w:p w:rsidR="00C411DC" w:rsidRDefault="00C411DC" w:rsidP="007F40D7">
            <w:pPr>
              <w:jc w:val="center"/>
              <w:rPr>
                <w:rFonts w:ascii="宋体" w:eastAsia="宋体" w:hAnsi="宋体"/>
                <w:b/>
                <w:szCs w:val="18"/>
              </w:rPr>
            </w:pPr>
            <w:r>
              <w:rPr>
                <w:rFonts w:ascii="宋体" w:eastAsia="宋体" w:hAnsi="宋体" w:hint="eastAsia"/>
                <w:b/>
                <w:szCs w:val="18"/>
              </w:rPr>
              <w:t>中</w:t>
            </w:r>
            <w:proofErr w:type="gramStart"/>
            <w:r>
              <w:rPr>
                <w:rFonts w:ascii="宋体" w:eastAsia="宋体" w:hAnsi="宋体" w:hint="eastAsia"/>
                <w:b/>
                <w:szCs w:val="18"/>
              </w:rPr>
              <w:t>银主题</w:t>
            </w:r>
            <w:proofErr w:type="gramEnd"/>
          </w:p>
        </w:tc>
        <w:tc>
          <w:tcPr>
            <w:tcW w:w="8730" w:type="dxa"/>
            <w:tcBorders>
              <w:top w:val="single" w:sz="6" w:space="0" w:color="D9D9D9"/>
              <w:left w:val="single" w:sz="6" w:space="0" w:color="D9D9D9"/>
              <w:bottom w:val="single" w:sz="6" w:space="0" w:color="D9D9D9"/>
            </w:tcBorders>
            <w:shd w:val="clear" w:color="auto" w:fill="auto"/>
            <w:vAlign w:val="center"/>
          </w:tcPr>
          <w:p w:rsidR="00C411DC" w:rsidRPr="001C05C8" w:rsidRDefault="00C411DC" w:rsidP="007F40D7">
            <w:pPr>
              <w:jc w:val="left"/>
              <w:rPr>
                <w:rFonts w:ascii="宋体" w:eastAsia="宋体" w:hAnsi="宋体"/>
                <w:szCs w:val="18"/>
              </w:rPr>
            </w:pPr>
            <w:r>
              <w:rPr>
                <w:rFonts w:ascii="宋体" w:eastAsia="宋体" w:hAnsi="宋体" w:hint="eastAsia"/>
                <w:szCs w:val="18"/>
              </w:rPr>
              <w:t>主题投资策略基金，具有较高的操作灵活性，无论是资产配置的调整还是个股的调整都相对灵活，</w:t>
            </w:r>
          </w:p>
        </w:tc>
      </w:tr>
      <w:tr w:rsidR="00C411DC" w:rsidTr="007F40D7">
        <w:trPr>
          <w:cantSplit/>
          <w:trHeight w:val="340"/>
          <w:jc w:val="center"/>
        </w:trPr>
        <w:tc>
          <w:tcPr>
            <w:tcW w:w="2042" w:type="dxa"/>
            <w:tcBorders>
              <w:top w:val="single" w:sz="6" w:space="0" w:color="D9D9D9"/>
              <w:bottom w:val="single" w:sz="6" w:space="0" w:color="D9D9D9"/>
              <w:right w:val="single" w:sz="6" w:space="0" w:color="D9D9D9"/>
            </w:tcBorders>
            <w:shd w:val="clear" w:color="auto" w:fill="auto"/>
            <w:vAlign w:val="center"/>
          </w:tcPr>
          <w:p w:rsidR="00C411DC" w:rsidRPr="009A36BC" w:rsidRDefault="00C411DC" w:rsidP="007F40D7">
            <w:pPr>
              <w:jc w:val="center"/>
              <w:rPr>
                <w:rFonts w:ascii="宋体" w:eastAsia="宋体" w:hAnsi="宋体"/>
                <w:b/>
                <w:szCs w:val="18"/>
              </w:rPr>
            </w:pPr>
            <w:r>
              <w:rPr>
                <w:rFonts w:ascii="宋体" w:eastAsia="宋体" w:hAnsi="宋体" w:hint="eastAsia"/>
                <w:b/>
                <w:szCs w:val="18"/>
              </w:rPr>
              <w:t>中</w:t>
            </w:r>
            <w:proofErr w:type="gramStart"/>
            <w:r>
              <w:rPr>
                <w:rFonts w:ascii="宋体" w:eastAsia="宋体" w:hAnsi="宋体" w:hint="eastAsia"/>
                <w:b/>
                <w:szCs w:val="18"/>
              </w:rPr>
              <w:t>邮主题</w:t>
            </w:r>
            <w:proofErr w:type="gramEnd"/>
          </w:p>
        </w:tc>
        <w:tc>
          <w:tcPr>
            <w:tcW w:w="8730" w:type="dxa"/>
            <w:tcBorders>
              <w:top w:val="single" w:sz="6" w:space="0" w:color="D9D9D9"/>
              <w:left w:val="single" w:sz="6" w:space="0" w:color="D9D9D9"/>
              <w:bottom w:val="single" w:sz="6" w:space="0" w:color="D9D9D9"/>
            </w:tcBorders>
            <w:shd w:val="clear" w:color="auto" w:fill="auto"/>
            <w:vAlign w:val="center"/>
          </w:tcPr>
          <w:p w:rsidR="00C411DC" w:rsidRPr="009A36BC" w:rsidRDefault="00C411DC" w:rsidP="007F40D7">
            <w:pPr>
              <w:jc w:val="left"/>
              <w:rPr>
                <w:rFonts w:ascii="宋体" w:eastAsia="宋体" w:hAnsi="宋体"/>
                <w:szCs w:val="18"/>
              </w:rPr>
            </w:pPr>
            <w:r>
              <w:rPr>
                <w:rFonts w:ascii="宋体" w:eastAsia="宋体" w:hAnsi="宋体" w:hint="eastAsia"/>
                <w:szCs w:val="18"/>
              </w:rPr>
              <w:t>中小</w:t>
            </w:r>
            <w:proofErr w:type="gramStart"/>
            <w:r>
              <w:rPr>
                <w:rFonts w:ascii="宋体" w:eastAsia="宋体" w:hAnsi="宋体" w:hint="eastAsia"/>
                <w:szCs w:val="18"/>
              </w:rPr>
              <w:t>盘成长</w:t>
            </w:r>
            <w:proofErr w:type="gramEnd"/>
            <w:r>
              <w:rPr>
                <w:rFonts w:ascii="宋体" w:eastAsia="宋体" w:hAnsi="宋体" w:hint="eastAsia"/>
                <w:szCs w:val="18"/>
              </w:rPr>
              <w:t>风格显著，对于新经济、新兴产业主题有突出的把握能力，且表现在历史业绩上超额收益显著。注重自下而上选股，股票</w:t>
            </w:r>
            <w:proofErr w:type="gramStart"/>
            <w:r>
              <w:rPr>
                <w:rFonts w:ascii="宋体" w:eastAsia="宋体" w:hAnsi="宋体" w:hint="eastAsia"/>
                <w:szCs w:val="18"/>
              </w:rPr>
              <w:t>仓位</w:t>
            </w:r>
            <w:proofErr w:type="gramEnd"/>
            <w:r>
              <w:rPr>
                <w:rFonts w:ascii="宋体" w:eastAsia="宋体" w:hAnsi="宋体" w:hint="eastAsia"/>
                <w:szCs w:val="18"/>
              </w:rPr>
              <w:t>相对稳定。</w:t>
            </w:r>
          </w:p>
        </w:tc>
      </w:tr>
      <w:tr w:rsidR="00C411DC" w:rsidTr="007F40D7">
        <w:trPr>
          <w:cantSplit/>
          <w:trHeight w:val="340"/>
          <w:jc w:val="center"/>
        </w:trPr>
        <w:tc>
          <w:tcPr>
            <w:tcW w:w="2042" w:type="dxa"/>
            <w:tcBorders>
              <w:top w:val="single" w:sz="6" w:space="0" w:color="00B0F0"/>
              <w:bottom w:val="single" w:sz="6" w:space="0" w:color="D9D9D9"/>
              <w:right w:val="single" w:sz="6" w:space="0" w:color="D9D9D9"/>
            </w:tcBorders>
            <w:shd w:val="clear" w:color="auto" w:fill="auto"/>
            <w:vAlign w:val="center"/>
          </w:tcPr>
          <w:p w:rsidR="00C411DC" w:rsidRPr="009A36BC" w:rsidRDefault="00C411DC" w:rsidP="007F40D7">
            <w:pPr>
              <w:jc w:val="center"/>
              <w:rPr>
                <w:rFonts w:ascii="宋体" w:eastAsia="宋体" w:hAnsi="宋体"/>
                <w:b/>
                <w:szCs w:val="18"/>
              </w:rPr>
            </w:pPr>
          </w:p>
        </w:tc>
        <w:tc>
          <w:tcPr>
            <w:tcW w:w="8730" w:type="dxa"/>
            <w:tcBorders>
              <w:top w:val="single" w:sz="6" w:space="0" w:color="00B0F0"/>
              <w:left w:val="single" w:sz="6" w:space="0" w:color="D9D9D9"/>
              <w:bottom w:val="single" w:sz="6" w:space="0" w:color="D9D9D9"/>
            </w:tcBorders>
            <w:shd w:val="clear" w:color="auto" w:fill="auto"/>
            <w:vAlign w:val="center"/>
          </w:tcPr>
          <w:p w:rsidR="00C411DC" w:rsidRPr="009A36BC" w:rsidRDefault="00C411DC" w:rsidP="007F40D7">
            <w:pPr>
              <w:jc w:val="left"/>
              <w:rPr>
                <w:rFonts w:ascii="宋体" w:eastAsia="宋体" w:hAnsi="宋体"/>
                <w:szCs w:val="18"/>
              </w:rPr>
            </w:pPr>
          </w:p>
        </w:tc>
      </w:tr>
      <w:tr w:rsidR="00C411DC" w:rsidTr="007F40D7">
        <w:trPr>
          <w:cantSplit/>
          <w:trHeight w:val="340"/>
          <w:jc w:val="center"/>
        </w:trPr>
        <w:tc>
          <w:tcPr>
            <w:tcW w:w="2042" w:type="dxa"/>
            <w:tcBorders>
              <w:top w:val="single" w:sz="6" w:space="0" w:color="D9D9D9"/>
              <w:bottom w:val="single" w:sz="6" w:space="0" w:color="D9D9D9"/>
              <w:right w:val="single" w:sz="6" w:space="0" w:color="D9D9D9"/>
            </w:tcBorders>
            <w:shd w:val="clear" w:color="auto" w:fill="auto"/>
            <w:vAlign w:val="center"/>
          </w:tcPr>
          <w:p w:rsidR="00C411DC" w:rsidRPr="009A36BC" w:rsidRDefault="00C411DC" w:rsidP="007F40D7">
            <w:pPr>
              <w:jc w:val="center"/>
              <w:rPr>
                <w:rFonts w:ascii="宋体" w:eastAsia="宋体" w:hAnsi="宋体"/>
                <w:b/>
                <w:szCs w:val="18"/>
              </w:rPr>
            </w:pPr>
            <w:r w:rsidRPr="009A36BC">
              <w:rPr>
                <w:rFonts w:ascii="宋体" w:eastAsia="宋体" w:hAnsi="宋体" w:hint="eastAsia"/>
                <w:b/>
                <w:szCs w:val="18"/>
              </w:rPr>
              <w:t>混合型基金</w:t>
            </w:r>
          </w:p>
        </w:tc>
        <w:tc>
          <w:tcPr>
            <w:tcW w:w="8730" w:type="dxa"/>
            <w:tcBorders>
              <w:top w:val="single" w:sz="6" w:space="0" w:color="D9D9D9"/>
              <w:left w:val="single" w:sz="6" w:space="0" w:color="D9D9D9"/>
              <w:bottom w:val="single" w:sz="6" w:space="0" w:color="D9D9D9"/>
            </w:tcBorders>
            <w:shd w:val="clear" w:color="auto" w:fill="auto"/>
            <w:vAlign w:val="center"/>
          </w:tcPr>
          <w:p w:rsidR="00C411DC" w:rsidRPr="009A36BC" w:rsidRDefault="00C411DC" w:rsidP="007F40D7">
            <w:pPr>
              <w:jc w:val="center"/>
              <w:rPr>
                <w:rFonts w:ascii="宋体" w:eastAsia="宋体" w:hAnsi="宋体"/>
                <w:b/>
                <w:szCs w:val="18"/>
              </w:rPr>
            </w:pPr>
            <w:r w:rsidRPr="009A36BC">
              <w:rPr>
                <w:rFonts w:ascii="宋体" w:eastAsia="宋体" w:hAnsi="宋体" w:hint="eastAsia"/>
                <w:b/>
                <w:szCs w:val="18"/>
              </w:rPr>
              <w:t>推荐理由</w:t>
            </w:r>
          </w:p>
        </w:tc>
      </w:tr>
      <w:tr w:rsidR="00C411DC" w:rsidTr="007F40D7">
        <w:trPr>
          <w:cantSplit/>
          <w:trHeight w:val="340"/>
          <w:jc w:val="center"/>
        </w:trPr>
        <w:tc>
          <w:tcPr>
            <w:tcW w:w="2042" w:type="dxa"/>
            <w:tcBorders>
              <w:top w:val="single" w:sz="6" w:space="0" w:color="D9D9D9"/>
              <w:bottom w:val="single" w:sz="6" w:space="0" w:color="D9D9D9"/>
              <w:right w:val="single" w:sz="6" w:space="0" w:color="D9D9D9"/>
            </w:tcBorders>
            <w:shd w:val="clear" w:color="auto" w:fill="auto"/>
            <w:vAlign w:val="center"/>
          </w:tcPr>
          <w:p w:rsidR="00C411DC" w:rsidRPr="009A36BC" w:rsidRDefault="00C411DC" w:rsidP="007F40D7">
            <w:pPr>
              <w:jc w:val="center"/>
              <w:rPr>
                <w:rFonts w:ascii="宋体" w:eastAsia="宋体" w:hAnsi="宋体"/>
                <w:b/>
                <w:szCs w:val="18"/>
              </w:rPr>
            </w:pPr>
            <w:r>
              <w:rPr>
                <w:rFonts w:ascii="宋体" w:eastAsia="宋体" w:hAnsi="宋体" w:hint="eastAsia"/>
                <w:b/>
                <w:szCs w:val="18"/>
              </w:rPr>
              <w:t>宝</w:t>
            </w:r>
            <w:proofErr w:type="gramStart"/>
            <w:r>
              <w:rPr>
                <w:rFonts w:ascii="宋体" w:eastAsia="宋体" w:hAnsi="宋体" w:hint="eastAsia"/>
                <w:b/>
                <w:szCs w:val="18"/>
              </w:rPr>
              <w:t>盈核心</w:t>
            </w:r>
            <w:proofErr w:type="gramEnd"/>
            <w:r>
              <w:rPr>
                <w:rFonts w:ascii="宋体" w:eastAsia="宋体" w:hAnsi="宋体" w:hint="eastAsia"/>
                <w:b/>
                <w:szCs w:val="18"/>
              </w:rPr>
              <w:t>优势</w:t>
            </w:r>
          </w:p>
        </w:tc>
        <w:tc>
          <w:tcPr>
            <w:tcW w:w="8730" w:type="dxa"/>
            <w:tcBorders>
              <w:top w:val="single" w:sz="6" w:space="0" w:color="D9D9D9"/>
              <w:left w:val="single" w:sz="6" w:space="0" w:color="D9D9D9"/>
              <w:bottom w:val="single" w:sz="6" w:space="0" w:color="D9D9D9"/>
            </w:tcBorders>
            <w:shd w:val="clear" w:color="auto" w:fill="auto"/>
            <w:vAlign w:val="center"/>
          </w:tcPr>
          <w:p w:rsidR="00C411DC" w:rsidRPr="009A36BC" w:rsidRDefault="00C411DC" w:rsidP="007F40D7">
            <w:pPr>
              <w:jc w:val="left"/>
              <w:rPr>
                <w:rFonts w:ascii="宋体" w:eastAsia="宋体" w:hAnsi="宋体"/>
                <w:szCs w:val="18"/>
              </w:rPr>
            </w:pPr>
            <w:r>
              <w:rPr>
                <w:rFonts w:ascii="宋体" w:eastAsia="宋体" w:hAnsi="宋体" w:hint="eastAsia"/>
                <w:szCs w:val="18"/>
              </w:rPr>
              <w:t>基金经理对市场节奏有较好的把握，无论是大类资产配置还是自下而上的选股都有突出的优势，尤其擅长成长类股票的投资。</w:t>
            </w:r>
          </w:p>
        </w:tc>
      </w:tr>
      <w:tr w:rsidR="00C411DC" w:rsidTr="007F40D7">
        <w:trPr>
          <w:cantSplit/>
          <w:trHeight w:val="340"/>
          <w:jc w:val="center"/>
        </w:trPr>
        <w:tc>
          <w:tcPr>
            <w:tcW w:w="2042" w:type="dxa"/>
            <w:tcBorders>
              <w:top w:val="single" w:sz="6" w:space="0" w:color="D9D9D9"/>
              <w:bottom w:val="single" w:sz="6" w:space="0" w:color="D9D9D9"/>
              <w:right w:val="single" w:sz="6" w:space="0" w:color="D9D9D9"/>
            </w:tcBorders>
            <w:shd w:val="clear" w:color="auto" w:fill="auto"/>
            <w:vAlign w:val="center"/>
          </w:tcPr>
          <w:p w:rsidR="00C411DC" w:rsidRPr="009A36BC" w:rsidRDefault="00C411DC" w:rsidP="007F40D7">
            <w:pPr>
              <w:jc w:val="center"/>
              <w:rPr>
                <w:rFonts w:ascii="宋体" w:eastAsia="宋体" w:hAnsi="宋体"/>
                <w:b/>
                <w:szCs w:val="18"/>
              </w:rPr>
            </w:pPr>
            <w:r w:rsidRPr="009A36BC">
              <w:rPr>
                <w:rFonts w:ascii="宋体" w:eastAsia="宋体" w:hAnsi="宋体" w:hint="eastAsia"/>
                <w:b/>
                <w:szCs w:val="18"/>
              </w:rPr>
              <w:lastRenderedPageBreak/>
              <w:t>富国天成</w:t>
            </w:r>
          </w:p>
        </w:tc>
        <w:tc>
          <w:tcPr>
            <w:tcW w:w="8730" w:type="dxa"/>
            <w:tcBorders>
              <w:top w:val="single" w:sz="6" w:space="0" w:color="D9D9D9"/>
              <w:left w:val="single" w:sz="6" w:space="0" w:color="D9D9D9"/>
              <w:bottom w:val="single" w:sz="6" w:space="0" w:color="D9D9D9"/>
            </w:tcBorders>
            <w:shd w:val="clear" w:color="auto" w:fill="auto"/>
            <w:vAlign w:val="center"/>
          </w:tcPr>
          <w:p w:rsidR="00C411DC" w:rsidRPr="009A36BC" w:rsidRDefault="00C411DC" w:rsidP="007F40D7">
            <w:pPr>
              <w:jc w:val="left"/>
              <w:rPr>
                <w:rFonts w:ascii="宋体" w:eastAsia="宋体" w:hAnsi="宋体"/>
                <w:szCs w:val="18"/>
              </w:rPr>
            </w:pPr>
            <w:r w:rsidRPr="009A36BC">
              <w:rPr>
                <w:rFonts w:ascii="宋体" w:eastAsia="宋体" w:hAnsi="宋体" w:hint="eastAsia"/>
                <w:szCs w:val="18"/>
              </w:rPr>
              <w:t>股票</w:t>
            </w:r>
            <w:proofErr w:type="gramStart"/>
            <w:r w:rsidRPr="009A36BC">
              <w:rPr>
                <w:rFonts w:ascii="宋体" w:eastAsia="宋体" w:hAnsi="宋体" w:hint="eastAsia"/>
                <w:szCs w:val="18"/>
              </w:rPr>
              <w:t>仓位</w:t>
            </w:r>
            <w:proofErr w:type="gramEnd"/>
            <w:r w:rsidRPr="009A36BC">
              <w:rPr>
                <w:rFonts w:ascii="宋体" w:eastAsia="宋体" w:hAnsi="宋体" w:hint="eastAsia"/>
                <w:szCs w:val="18"/>
              </w:rPr>
              <w:t>适中，风险控制能力较强，侧重稳健成长类风格股票和低估值</w:t>
            </w:r>
            <w:r>
              <w:rPr>
                <w:rFonts w:ascii="宋体" w:eastAsia="宋体" w:hAnsi="宋体" w:hint="eastAsia"/>
                <w:szCs w:val="18"/>
              </w:rPr>
              <w:t>蓝筹股</w:t>
            </w:r>
            <w:r w:rsidRPr="009A36BC">
              <w:rPr>
                <w:rFonts w:ascii="宋体" w:eastAsia="宋体" w:hAnsi="宋体" w:hint="eastAsia"/>
                <w:szCs w:val="18"/>
              </w:rPr>
              <w:t>。</w:t>
            </w:r>
          </w:p>
        </w:tc>
      </w:tr>
      <w:tr w:rsidR="00C411DC" w:rsidTr="007F40D7">
        <w:trPr>
          <w:cantSplit/>
          <w:trHeight w:val="340"/>
          <w:jc w:val="center"/>
        </w:trPr>
        <w:tc>
          <w:tcPr>
            <w:tcW w:w="2042" w:type="dxa"/>
            <w:tcBorders>
              <w:top w:val="single" w:sz="6" w:space="0" w:color="D9D9D9"/>
              <w:bottom w:val="single" w:sz="6" w:space="0" w:color="D9D9D9"/>
              <w:right w:val="single" w:sz="6" w:space="0" w:color="D9D9D9"/>
            </w:tcBorders>
            <w:shd w:val="clear" w:color="auto" w:fill="auto"/>
            <w:vAlign w:val="center"/>
          </w:tcPr>
          <w:p w:rsidR="00C411DC" w:rsidRPr="009A36BC" w:rsidRDefault="00C411DC" w:rsidP="007F40D7">
            <w:pPr>
              <w:jc w:val="center"/>
              <w:rPr>
                <w:rFonts w:ascii="宋体" w:eastAsia="宋体" w:hAnsi="宋体"/>
                <w:b/>
                <w:szCs w:val="18"/>
              </w:rPr>
            </w:pPr>
            <w:r>
              <w:rPr>
                <w:rFonts w:ascii="宋体" w:eastAsia="宋体" w:hAnsi="宋体" w:hint="eastAsia"/>
                <w:b/>
                <w:szCs w:val="18"/>
              </w:rPr>
              <w:t>光大配置</w:t>
            </w:r>
          </w:p>
        </w:tc>
        <w:tc>
          <w:tcPr>
            <w:tcW w:w="8730" w:type="dxa"/>
            <w:tcBorders>
              <w:top w:val="single" w:sz="6" w:space="0" w:color="D9D9D9"/>
              <w:left w:val="single" w:sz="6" w:space="0" w:color="D9D9D9"/>
              <w:bottom w:val="single" w:sz="6" w:space="0" w:color="D9D9D9"/>
            </w:tcBorders>
            <w:shd w:val="clear" w:color="auto" w:fill="auto"/>
            <w:vAlign w:val="center"/>
          </w:tcPr>
          <w:p w:rsidR="00C411DC" w:rsidRPr="009A36BC" w:rsidRDefault="00C411DC" w:rsidP="007F40D7">
            <w:pPr>
              <w:jc w:val="left"/>
              <w:rPr>
                <w:rFonts w:ascii="宋体" w:eastAsia="宋体" w:hAnsi="宋体"/>
                <w:szCs w:val="18"/>
              </w:rPr>
            </w:pPr>
            <w:r>
              <w:rPr>
                <w:rFonts w:ascii="宋体" w:eastAsia="宋体" w:hAnsi="宋体" w:hint="eastAsia"/>
                <w:szCs w:val="18"/>
              </w:rPr>
              <w:t>配置较为均衡，股票</w:t>
            </w:r>
            <w:proofErr w:type="gramStart"/>
            <w:r>
              <w:rPr>
                <w:rFonts w:ascii="宋体" w:eastAsia="宋体" w:hAnsi="宋体" w:hint="eastAsia"/>
                <w:szCs w:val="18"/>
              </w:rPr>
              <w:t>仓位</w:t>
            </w:r>
            <w:proofErr w:type="gramEnd"/>
            <w:r>
              <w:rPr>
                <w:rFonts w:ascii="宋体" w:eastAsia="宋体" w:hAnsi="宋体" w:hint="eastAsia"/>
                <w:szCs w:val="18"/>
              </w:rPr>
              <w:t>中等水平，注重自下而上的选择</w:t>
            </w:r>
            <w:proofErr w:type="gramStart"/>
            <w:r>
              <w:rPr>
                <w:rFonts w:ascii="宋体" w:eastAsia="宋体" w:hAnsi="宋体" w:hint="eastAsia"/>
                <w:szCs w:val="18"/>
              </w:rPr>
              <w:t>且选股能力</w:t>
            </w:r>
            <w:proofErr w:type="gramEnd"/>
            <w:r>
              <w:rPr>
                <w:rFonts w:ascii="宋体" w:eastAsia="宋体" w:hAnsi="宋体" w:hint="eastAsia"/>
                <w:szCs w:val="18"/>
              </w:rPr>
              <w:t>良好，从历史业绩来看，具有较好的风险收益配比</w:t>
            </w:r>
            <w:r w:rsidRPr="009A36BC">
              <w:rPr>
                <w:rFonts w:ascii="宋体" w:eastAsia="宋体" w:hAnsi="宋体" w:hint="eastAsia"/>
                <w:szCs w:val="18"/>
              </w:rPr>
              <w:t>。</w:t>
            </w:r>
          </w:p>
        </w:tc>
      </w:tr>
      <w:tr w:rsidR="00C411DC" w:rsidTr="007F40D7">
        <w:trPr>
          <w:cantSplit/>
          <w:trHeight w:val="340"/>
          <w:jc w:val="center"/>
        </w:trPr>
        <w:tc>
          <w:tcPr>
            <w:tcW w:w="2042" w:type="dxa"/>
            <w:tcBorders>
              <w:top w:val="single" w:sz="6" w:space="0" w:color="D9D9D9"/>
              <w:bottom w:val="single" w:sz="6" w:space="0" w:color="D9D9D9"/>
              <w:right w:val="single" w:sz="6" w:space="0" w:color="D9D9D9"/>
            </w:tcBorders>
            <w:shd w:val="clear" w:color="auto" w:fill="auto"/>
            <w:vAlign w:val="center"/>
          </w:tcPr>
          <w:p w:rsidR="00C411DC" w:rsidRPr="009A36BC" w:rsidRDefault="00C411DC" w:rsidP="007F40D7">
            <w:pPr>
              <w:jc w:val="center"/>
              <w:rPr>
                <w:rFonts w:ascii="宋体" w:eastAsia="宋体" w:hAnsi="宋体"/>
                <w:b/>
                <w:szCs w:val="18"/>
              </w:rPr>
            </w:pPr>
            <w:r w:rsidRPr="007D60E4">
              <w:rPr>
                <w:rFonts w:ascii="宋体" w:eastAsia="宋体" w:hAnsi="宋体" w:hint="eastAsia"/>
                <w:b/>
                <w:szCs w:val="18"/>
              </w:rPr>
              <w:t>国泰金</w:t>
            </w:r>
            <w:proofErr w:type="gramStart"/>
            <w:r w:rsidRPr="007D60E4">
              <w:rPr>
                <w:rFonts w:ascii="宋体" w:eastAsia="宋体" w:hAnsi="宋体" w:hint="eastAsia"/>
                <w:b/>
                <w:szCs w:val="18"/>
              </w:rPr>
              <w:t>泰平衡</w:t>
            </w:r>
            <w:proofErr w:type="gramEnd"/>
          </w:p>
        </w:tc>
        <w:tc>
          <w:tcPr>
            <w:tcW w:w="8730" w:type="dxa"/>
            <w:tcBorders>
              <w:top w:val="single" w:sz="6" w:space="0" w:color="D9D9D9"/>
              <w:left w:val="single" w:sz="6" w:space="0" w:color="D9D9D9"/>
              <w:bottom w:val="single" w:sz="6" w:space="0" w:color="D9D9D9"/>
            </w:tcBorders>
            <w:shd w:val="clear" w:color="auto" w:fill="auto"/>
            <w:vAlign w:val="center"/>
          </w:tcPr>
          <w:p w:rsidR="00C411DC" w:rsidRPr="009A36BC" w:rsidRDefault="00C411DC" w:rsidP="007F40D7">
            <w:pPr>
              <w:jc w:val="left"/>
              <w:rPr>
                <w:rFonts w:ascii="宋体" w:eastAsia="宋体" w:hAnsi="宋体"/>
                <w:szCs w:val="18"/>
              </w:rPr>
            </w:pPr>
            <w:r>
              <w:rPr>
                <w:rFonts w:ascii="宋体" w:eastAsia="宋体" w:hAnsi="宋体" w:hint="eastAsia"/>
                <w:szCs w:val="18"/>
              </w:rPr>
              <w:t>保守配置型基金，基金以追求相对稳定的回报为目标，股票投资上限为50%，结合转型前和转型后的表现，基金经理均呈现良好的投资管理能力。</w:t>
            </w:r>
          </w:p>
        </w:tc>
      </w:tr>
      <w:tr w:rsidR="00C411DC" w:rsidTr="007F40D7">
        <w:trPr>
          <w:cantSplit/>
          <w:trHeight w:val="340"/>
          <w:jc w:val="center"/>
        </w:trPr>
        <w:tc>
          <w:tcPr>
            <w:tcW w:w="2042" w:type="dxa"/>
            <w:tcBorders>
              <w:top w:val="single" w:sz="6" w:space="0" w:color="D9D9D9"/>
              <w:bottom w:val="single" w:sz="6" w:space="0" w:color="D9D9D9"/>
              <w:right w:val="single" w:sz="6" w:space="0" w:color="D9D9D9"/>
            </w:tcBorders>
            <w:shd w:val="clear" w:color="auto" w:fill="auto"/>
            <w:vAlign w:val="center"/>
          </w:tcPr>
          <w:p w:rsidR="00C411DC" w:rsidRPr="009A36BC" w:rsidRDefault="00C411DC" w:rsidP="007F40D7">
            <w:pPr>
              <w:jc w:val="center"/>
              <w:rPr>
                <w:rFonts w:ascii="宋体" w:eastAsia="宋体" w:hAnsi="宋体"/>
                <w:b/>
                <w:szCs w:val="18"/>
              </w:rPr>
            </w:pPr>
            <w:r w:rsidRPr="009A36BC">
              <w:rPr>
                <w:rFonts w:ascii="宋体" w:eastAsia="宋体" w:hAnsi="宋体" w:hint="eastAsia"/>
                <w:b/>
                <w:szCs w:val="18"/>
              </w:rPr>
              <w:t>国投稳健增长</w:t>
            </w:r>
          </w:p>
        </w:tc>
        <w:tc>
          <w:tcPr>
            <w:tcW w:w="8730" w:type="dxa"/>
            <w:tcBorders>
              <w:top w:val="single" w:sz="6" w:space="0" w:color="D9D9D9"/>
              <w:left w:val="single" w:sz="6" w:space="0" w:color="D9D9D9"/>
              <w:bottom w:val="single" w:sz="6" w:space="0" w:color="D9D9D9"/>
            </w:tcBorders>
            <w:shd w:val="clear" w:color="auto" w:fill="auto"/>
            <w:vAlign w:val="center"/>
          </w:tcPr>
          <w:p w:rsidR="00C411DC" w:rsidRPr="009A36BC" w:rsidRDefault="00C411DC" w:rsidP="007F40D7">
            <w:pPr>
              <w:jc w:val="left"/>
              <w:rPr>
                <w:rFonts w:ascii="宋体" w:eastAsia="宋体" w:hAnsi="宋体"/>
                <w:szCs w:val="18"/>
              </w:rPr>
            </w:pPr>
            <w:r w:rsidRPr="009A36BC">
              <w:rPr>
                <w:rFonts w:ascii="宋体" w:eastAsia="宋体" w:hAnsi="宋体" w:hint="eastAsia"/>
                <w:szCs w:val="18"/>
              </w:rPr>
              <w:t>基金经理善于利用资产配置控制系统性风险，重视组合中对行业个股的选配，基金历史业绩稳健。</w:t>
            </w:r>
          </w:p>
        </w:tc>
      </w:tr>
      <w:tr w:rsidR="00C411DC" w:rsidTr="007F40D7">
        <w:trPr>
          <w:cantSplit/>
          <w:trHeight w:val="340"/>
          <w:jc w:val="center"/>
        </w:trPr>
        <w:tc>
          <w:tcPr>
            <w:tcW w:w="2042" w:type="dxa"/>
            <w:tcBorders>
              <w:top w:val="single" w:sz="6" w:space="0" w:color="D9D9D9"/>
              <w:bottom w:val="single" w:sz="6" w:space="0" w:color="D9D9D9"/>
              <w:right w:val="single" w:sz="6" w:space="0" w:color="D9D9D9"/>
            </w:tcBorders>
            <w:shd w:val="clear" w:color="auto" w:fill="auto"/>
            <w:vAlign w:val="center"/>
          </w:tcPr>
          <w:p w:rsidR="00C411DC" w:rsidRPr="009A36BC" w:rsidRDefault="00C411DC" w:rsidP="007F40D7">
            <w:pPr>
              <w:jc w:val="center"/>
              <w:rPr>
                <w:rFonts w:ascii="宋体" w:eastAsia="宋体" w:hAnsi="宋体"/>
                <w:b/>
                <w:szCs w:val="18"/>
              </w:rPr>
            </w:pPr>
            <w:proofErr w:type="gramStart"/>
            <w:r w:rsidRPr="009A36BC">
              <w:rPr>
                <w:rFonts w:ascii="宋体" w:eastAsia="宋体" w:hAnsi="宋体" w:hint="eastAsia"/>
                <w:b/>
                <w:szCs w:val="18"/>
              </w:rPr>
              <w:t>海富通精选</w:t>
            </w:r>
            <w:proofErr w:type="gramEnd"/>
          </w:p>
        </w:tc>
        <w:tc>
          <w:tcPr>
            <w:tcW w:w="8730" w:type="dxa"/>
            <w:tcBorders>
              <w:top w:val="single" w:sz="6" w:space="0" w:color="D9D9D9"/>
              <w:left w:val="single" w:sz="6" w:space="0" w:color="D9D9D9"/>
              <w:bottom w:val="single" w:sz="6" w:space="0" w:color="D9D9D9"/>
            </w:tcBorders>
            <w:shd w:val="clear" w:color="auto" w:fill="auto"/>
            <w:vAlign w:val="center"/>
          </w:tcPr>
          <w:p w:rsidR="00C411DC" w:rsidRPr="009A36BC" w:rsidRDefault="00C411DC" w:rsidP="007F40D7">
            <w:pPr>
              <w:jc w:val="left"/>
              <w:rPr>
                <w:rFonts w:ascii="宋体" w:eastAsia="宋体" w:hAnsi="宋体"/>
                <w:szCs w:val="18"/>
              </w:rPr>
            </w:pPr>
            <w:r w:rsidRPr="009A36BC">
              <w:rPr>
                <w:rFonts w:ascii="宋体" w:eastAsia="宋体" w:hAnsi="宋体" w:hint="eastAsia"/>
                <w:szCs w:val="18"/>
              </w:rPr>
              <w:t>偏好价值成长类股票，操作风格灵活积极，基金经理具备较强的管理能力，市场震荡过程中更显优势。</w:t>
            </w:r>
          </w:p>
        </w:tc>
      </w:tr>
      <w:tr w:rsidR="00C411DC" w:rsidTr="007F40D7">
        <w:trPr>
          <w:cantSplit/>
          <w:trHeight w:val="340"/>
          <w:jc w:val="center"/>
        </w:trPr>
        <w:tc>
          <w:tcPr>
            <w:tcW w:w="2042" w:type="dxa"/>
            <w:tcBorders>
              <w:top w:val="single" w:sz="6" w:space="0" w:color="D9D9D9"/>
              <w:bottom w:val="single" w:sz="6" w:space="0" w:color="D9D9D9"/>
              <w:right w:val="single" w:sz="6" w:space="0" w:color="D9D9D9"/>
            </w:tcBorders>
            <w:shd w:val="clear" w:color="auto" w:fill="auto"/>
            <w:vAlign w:val="center"/>
          </w:tcPr>
          <w:p w:rsidR="00C411DC" w:rsidRPr="009A36BC" w:rsidRDefault="00C411DC" w:rsidP="007F40D7">
            <w:pPr>
              <w:jc w:val="center"/>
              <w:rPr>
                <w:rFonts w:ascii="宋体" w:eastAsia="宋体" w:hAnsi="宋体"/>
                <w:b/>
                <w:szCs w:val="18"/>
              </w:rPr>
            </w:pPr>
            <w:r w:rsidRPr="009A36BC">
              <w:rPr>
                <w:rFonts w:ascii="宋体" w:eastAsia="宋体" w:hAnsi="宋体" w:hint="eastAsia"/>
                <w:b/>
                <w:szCs w:val="18"/>
              </w:rPr>
              <w:t>华安宏利</w:t>
            </w:r>
          </w:p>
        </w:tc>
        <w:tc>
          <w:tcPr>
            <w:tcW w:w="8730" w:type="dxa"/>
            <w:tcBorders>
              <w:top w:val="single" w:sz="6" w:space="0" w:color="D9D9D9"/>
              <w:left w:val="single" w:sz="6" w:space="0" w:color="D9D9D9"/>
              <w:bottom w:val="single" w:sz="6" w:space="0" w:color="D9D9D9"/>
            </w:tcBorders>
            <w:shd w:val="clear" w:color="auto" w:fill="auto"/>
            <w:vAlign w:val="center"/>
          </w:tcPr>
          <w:p w:rsidR="00C411DC" w:rsidRPr="009A36BC" w:rsidRDefault="00C411DC" w:rsidP="007F40D7">
            <w:pPr>
              <w:jc w:val="left"/>
              <w:rPr>
                <w:rFonts w:ascii="宋体" w:eastAsia="宋体" w:hAnsi="宋体"/>
                <w:szCs w:val="18"/>
              </w:rPr>
            </w:pPr>
            <w:r w:rsidRPr="009A36BC">
              <w:rPr>
                <w:rFonts w:ascii="宋体" w:eastAsia="宋体" w:hAnsi="宋体" w:hint="eastAsia"/>
                <w:szCs w:val="18"/>
              </w:rPr>
              <w:t>大盘蓝</w:t>
            </w:r>
            <w:proofErr w:type="gramStart"/>
            <w:r w:rsidRPr="009A36BC">
              <w:rPr>
                <w:rFonts w:ascii="宋体" w:eastAsia="宋体" w:hAnsi="宋体" w:hint="eastAsia"/>
                <w:szCs w:val="18"/>
              </w:rPr>
              <w:t>筹风格</w:t>
            </w:r>
            <w:proofErr w:type="gramEnd"/>
            <w:r w:rsidRPr="009A36BC">
              <w:rPr>
                <w:rFonts w:ascii="宋体" w:eastAsia="宋体" w:hAnsi="宋体" w:hint="eastAsia"/>
                <w:szCs w:val="18"/>
              </w:rPr>
              <w:t>明显，对蓝筹股有较强的把握能力，基金经理稳定且具备突出的管理能力。</w:t>
            </w:r>
          </w:p>
        </w:tc>
      </w:tr>
      <w:tr w:rsidR="00C411DC" w:rsidTr="007F40D7">
        <w:trPr>
          <w:cantSplit/>
          <w:trHeight w:val="340"/>
          <w:jc w:val="center"/>
        </w:trPr>
        <w:tc>
          <w:tcPr>
            <w:tcW w:w="2042" w:type="dxa"/>
            <w:tcBorders>
              <w:top w:val="single" w:sz="6" w:space="0" w:color="D9D9D9"/>
              <w:bottom w:val="single" w:sz="6" w:space="0" w:color="D9D9D9"/>
              <w:right w:val="single" w:sz="6" w:space="0" w:color="D9D9D9"/>
            </w:tcBorders>
            <w:shd w:val="clear" w:color="auto" w:fill="auto"/>
            <w:vAlign w:val="center"/>
          </w:tcPr>
          <w:p w:rsidR="00C411DC" w:rsidRPr="009A36BC" w:rsidRDefault="00C411DC" w:rsidP="007F40D7">
            <w:pPr>
              <w:jc w:val="center"/>
              <w:rPr>
                <w:rFonts w:ascii="宋体" w:eastAsia="宋体" w:hAnsi="宋体"/>
                <w:b/>
                <w:szCs w:val="18"/>
              </w:rPr>
            </w:pPr>
            <w:r w:rsidRPr="009A36BC">
              <w:rPr>
                <w:rFonts w:ascii="宋体" w:eastAsia="宋体" w:hAnsi="宋体" w:hint="eastAsia"/>
                <w:b/>
                <w:szCs w:val="18"/>
              </w:rPr>
              <w:t>华</w:t>
            </w:r>
            <w:proofErr w:type="gramStart"/>
            <w:r w:rsidRPr="009A36BC">
              <w:rPr>
                <w:rFonts w:ascii="宋体" w:eastAsia="宋体" w:hAnsi="宋体" w:hint="eastAsia"/>
                <w:b/>
                <w:szCs w:val="18"/>
              </w:rPr>
              <w:t>宝收益</w:t>
            </w:r>
            <w:proofErr w:type="gramEnd"/>
          </w:p>
        </w:tc>
        <w:tc>
          <w:tcPr>
            <w:tcW w:w="8730" w:type="dxa"/>
            <w:tcBorders>
              <w:top w:val="single" w:sz="6" w:space="0" w:color="D9D9D9"/>
              <w:left w:val="single" w:sz="6" w:space="0" w:color="D9D9D9"/>
              <w:bottom w:val="single" w:sz="6" w:space="0" w:color="D9D9D9"/>
            </w:tcBorders>
            <w:shd w:val="clear" w:color="auto" w:fill="auto"/>
            <w:vAlign w:val="center"/>
          </w:tcPr>
          <w:p w:rsidR="00C411DC" w:rsidRPr="009A36BC" w:rsidRDefault="00C411DC" w:rsidP="007F40D7">
            <w:pPr>
              <w:jc w:val="left"/>
              <w:rPr>
                <w:rFonts w:ascii="宋体" w:eastAsia="宋体" w:hAnsi="宋体"/>
                <w:szCs w:val="18"/>
              </w:rPr>
            </w:pPr>
            <w:r w:rsidRPr="009A36BC">
              <w:rPr>
                <w:rFonts w:ascii="宋体" w:eastAsia="宋体" w:hAnsi="宋体" w:hint="eastAsia"/>
                <w:szCs w:val="18"/>
              </w:rPr>
              <w:t>基金注重通过个股把握结构行情，同时持股集中度较高，以提高组合效率和进攻性。此外，基金对部分重仓个股的持续持有的时间较长，密切跟踪、深入了解也使其对重仓股有更好的把握。目前来看对于盈利增长稳定和低估值个股兼顾配置。</w:t>
            </w:r>
          </w:p>
        </w:tc>
      </w:tr>
      <w:tr w:rsidR="00C411DC" w:rsidTr="007F40D7">
        <w:trPr>
          <w:cantSplit/>
          <w:trHeight w:val="340"/>
          <w:jc w:val="center"/>
        </w:trPr>
        <w:tc>
          <w:tcPr>
            <w:tcW w:w="2042" w:type="dxa"/>
            <w:tcBorders>
              <w:top w:val="single" w:sz="6" w:space="0" w:color="D9D9D9"/>
              <w:bottom w:val="single" w:sz="6" w:space="0" w:color="D9D9D9"/>
              <w:right w:val="single" w:sz="6" w:space="0" w:color="D9D9D9"/>
            </w:tcBorders>
            <w:shd w:val="clear" w:color="auto" w:fill="auto"/>
            <w:vAlign w:val="center"/>
          </w:tcPr>
          <w:p w:rsidR="00C411DC" w:rsidRPr="009A36BC" w:rsidRDefault="00C411DC" w:rsidP="007F40D7">
            <w:pPr>
              <w:jc w:val="center"/>
              <w:rPr>
                <w:rFonts w:ascii="宋体" w:eastAsia="宋体" w:hAnsi="宋体"/>
                <w:b/>
                <w:szCs w:val="18"/>
              </w:rPr>
            </w:pPr>
            <w:r w:rsidRPr="009A36BC">
              <w:rPr>
                <w:rFonts w:ascii="宋体" w:eastAsia="宋体" w:hAnsi="宋体" w:hint="eastAsia"/>
                <w:b/>
                <w:szCs w:val="18"/>
              </w:rPr>
              <w:t>华商领先</w:t>
            </w:r>
          </w:p>
        </w:tc>
        <w:tc>
          <w:tcPr>
            <w:tcW w:w="8730" w:type="dxa"/>
            <w:tcBorders>
              <w:top w:val="single" w:sz="6" w:space="0" w:color="D9D9D9"/>
              <w:left w:val="single" w:sz="6" w:space="0" w:color="D9D9D9"/>
              <w:bottom w:val="single" w:sz="6" w:space="0" w:color="D9D9D9"/>
            </w:tcBorders>
            <w:shd w:val="clear" w:color="auto" w:fill="auto"/>
            <w:vAlign w:val="center"/>
          </w:tcPr>
          <w:p w:rsidR="00C411DC" w:rsidRPr="009A36BC" w:rsidRDefault="00C411DC" w:rsidP="007F40D7">
            <w:pPr>
              <w:jc w:val="left"/>
              <w:rPr>
                <w:rFonts w:ascii="宋体" w:eastAsia="宋体" w:hAnsi="宋体"/>
                <w:szCs w:val="18"/>
              </w:rPr>
            </w:pPr>
            <w:r w:rsidRPr="009A36BC">
              <w:rPr>
                <w:rFonts w:ascii="宋体" w:eastAsia="宋体" w:hAnsi="宋体" w:hint="eastAsia"/>
                <w:szCs w:val="18"/>
              </w:rPr>
              <w:t>属于混合型基金中操作风格积极的品种，一方面其股票</w:t>
            </w:r>
            <w:proofErr w:type="gramStart"/>
            <w:r w:rsidRPr="009A36BC">
              <w:rPr>
                <w:rFonts w:ascii="宋体" w:eastAsia="宋体" w:hAnsi="宋体" w:hint="eastAsia"/>
                <w:szCs w:val="18"/>
              </w:rPr>
              <w:t>仓位</w:t>
            </w:r>
            <w:proofErr w:type="gramEnd"/>
            <w:r w:rsidRPr="009A36BC">
              <w:rPr>
                <w:rFonts w:ascii="宋体" w:eastAsia="宋体" w:hAnsi="宋体" w:hint="eastAsia"/>
                <w:szCs w:val="18"/>
              </w:rPr>
              <w:t>明显高于同业平均水平，另一方面基金持股集中度较高，具备较强的进攻性。良好的选</w:t>
            </w:r>
            <w:proofErr w:type="gramStart"/>
            <w:r w:rsidRPr="009A36BC">
              <w:rPr>
                <w:rFonts w:ascii="宋体" w:eastAsia="宋体" w:hAnsi="宋体" w:hint="eastAsia"/>
                <w:szCs w:val="18"/>
              </w:rPr>
              <w:t>股能力</w:t>
            </w:r>
            <w:proofErr w:type="gramEnd"/>
            <w:r w:rsidRPr="009A36BC">
              <w:rPr>
                <w:rFonts w:ascii="宋体" w:eastAsia="宋体" w:hAnsi="宋体" w:hint="eastAsia"/>
                <w:szCs w:val="18"/>
              </w:rPr>
              <w:t>是基金获得超额收益的主要来源，尤其擅长对成长股的投资。目前在配置</w:t>
            </w:r>
            <w:proofErr w:type="gramStart"/>
            <w:r w:rsidRPr="009A36BC">
              <w:rPr>
                <w:rFonts w:ascii="宋体" w:eastAsia="宋体" w:hAnsi="宋体" w:hint="eastAsia"/>
                <w:szCs w:val="18"/>
              </w:rPr>
              <w:t>上基金兼顾低</w:t>
            </w:r>
            <w:proofErr w:type="gramEnd"/>
            <w:r w:rsidRPr="009A36BC">
              <w:rPr>
                <w:rFonts w:ascii="宋体" w:eastAsia="宋体" w:hAnsi="宋体" w:hint="eastAsia"/>
                <w:szCs w:val="18"/>
              </w:rPr>
              <w:t>估值和成长性，相对均衡。</w:t>
            </w:r>
          </w:p>
        </w:tc>
      </w:tr>
      <w:tr w:rsidR="00C411DC" w:rsidTr="007F40D7">
        <w:trPr>
          <w:cantSplit/>
          <w:trHeight w:val="340"/>
          <w:jc w:val="center"/>
        </w:trPr>
        <w:tc>
          <w:tcPr>
            <w:tcW w:w="2042" w:type="dxa"/>
            <w:tcBorders>
              <w:top w:val="single" w:sz="6" w:space="0" w:color="D9D9D9"/>
              <w:bottom w:val="single" w:sz="6" w:space="0" w:color="D9D9D9"/>
              <w:right w:val="single" w:sz="6" w:space="0" w:color="D9D9D9"/>
            </w:tcBorders>
            <w:shd w:val="clear" w:color="auto" w:fill="auto"/>
            <w:vAlign w:val="center"/>
          </w:tcPr>
          <w:p w:rsidR="00C411DC" w:rsidRPr="009A36BC" w:rsidRDefault="00C411DC" w:rsidP="007F40D7">
            <w:pPr>
              <w:jc w:val="center"/>
              <w:rPr>
                <w:rFonts w:ascii="宋体" w:eastAsia="宋体" w:hAnsi="宋体"/>
                <w:b/>
                <w:szCs w:val="18"/>
              </w:rPr>
            </w:pPr>
            <w:r w:rsidRPr="009A36BC">
              <w:rPr>
                <w:rFonts w:ascii="宋体" w:eastAsia="宋体" w:hAnsi="宋体" w:hint="eastAsia"/>
                <w:b/>
                <w:szCs w:val="18"/>
              </w:rPr>
              <w:t>华夏回报</w:t>
            </w:r>
          </w:p>
        </w:tc>
        <w:tc>
          <w:tcPr>
            <w:tcW w:w="8730" w:type="dxa"/>
            <w:tcBorders>
              <w:top w:val="single" w:sz="6" w:space="0" w:color="D9D9D9"/>
              <w:left w:val="single" w:sz="6" w:space="0" w:color="D9D9D9"/>
              <w:bottom w:val="single" w:sz="6" w:space="0" w:color="D9D9D9"/>
            </w:tcBorders>
            <w:shd w:val="clear" w:color="auto" w:fill="auto"/>
            <w:vAlign w:val="center"/>
          </w:tcPr>
          <w:p w:rsidR="00C411DC" w:rsidRPr="009A36BC" w:rsidRDefault="00C411DC" w:rsidP="007F40D7">
            <w:pPr>
              <w:jc w:val="left"/>
              <w:rPr>
                <w:rFonts w:ascii="宋体" w:eastAsia="宋体" w:hAnsi="宋体"/>
                <w:szCs w:val="18"/>
              </w:rPr>
            </w:pPr>
            <w:r w:rsidRPr="009A36BC">
              <w:rPr>
                <w:rFonts w:ascii="宋体" w:eastAsia="宋体" w:hAnsi="宋体" w:hint="eastAsia"/>
                <w:szCs w:val="18"/>
              </w:rPr>
              <w:t>投资风格稳健，风险控制能力突出，在震荡市场环境中更能展现其投资管理能力，行业配置相对均衡、持股集中度较低。</w:t>
            </w:r>
          </w:p>
        </w:tc>
      </w:tr>
      <w:tr w:rsidR="00C411DC" w:rsidTr="007F40D7">
        <w:trPr>
          <w:cantSplit/>
          <w:trHeight w:val="340"/>
          <w:jc w:val="center"/>
        </w:trPr>
        <w:tc>
          <w:tcPr>
            <w:tcW w:w="2042" w:type="dxa"/>
            <w:tcBorders>
              <w:top w:val="single" w:sz="6" w:space="0" w:color="D9D9D9"/>
              <w:bottom w:val="single" w:sz="6" w:space="0" w:color="D9D9D9"/>
              <w:right w:val="single" w:sz="6" w:space="0" w:color="D9D9D9"/>
            </w:tcBorders>
            <w:shd w:val="clear" w:color="auto" w:fill="auto"/>
            <w:vAlign w:val="center"/>
          </w:tcPr>
          <w:p w:rsidR="00C411DC" w:rsidRPr="009A36BC" w:rsidRDefault="00C411DC" w:rsidP="007F40D7">
            <w:pPr>
              <w:jc w:val="center"/>
              <w:rPr>
                <w:rFonts w:ascii="宋体" w:eastAsia="宋体" w:hAnsi="宋体"/>
                <w:b/>
                <w:szCs w:val="18"/>
              </w:rPr>
            </w:pPr>
            <w:r>
              <w:rPr>
                <w:rFonts w:ascii="宋体" w:eastAsia="宋体" w:hAnsi="宋体" w:hint="eastAsia"/>
                <w:b/>
                <w:szCs w:val="18"/>
              </w:rPr>
              <w:t>嘉</w:t>
            </w:r>
            <w:proofErr w:type="gramStart"/>
            <w:r>
              <w:rPr>
                <w:rFonts w:ascii="宋体" w:eastAsia="宋体" w:hAnsi="宋体" w:hint="eastAsia"/>
                <w:b/>
                <w:szCs w:val="18"/>
              </w:rPr>
              <w:t>实主题</w:t>
            </w:r>
            <w:proofErr w:type="gramEnd"/>
          </w:p>
        </w:tc>
        <w:tc>
          <w:tcPr>
            <w:tcW w:w="8730" w:type="dxa"/>
            <w:tcBorders>
              <w:top w:val="single" w:sz="6" w:space="0" w:color="D9D9D9"/>
              <w:left w:val="single" w:sz="6" w:space="0" w:color="D9D9D9"/>
              <w:bottom w:val="single" w:sz="6" w:space="0" w:color="D9D9D9"/>
            </w:tcBorders>
            <w:shd w:val="clear" w:color="auto" w:fill="auto"/>
            <w:vAlign w:val="center"/>
          </w:tcPr>
          <w:p w:rsidR="00C411DC" w:rsidRPr="009A36BC" w:rsidRDefault="00C411DC" w:rsidP="007F40D7">
            <w:pPr>
              <w:jc w:val="left"/>
              <w:rPr>
                <w:rFonts w:ascii="宋体" w:eastAsia="宋体" w:hAnsi="宋体"/>
                <w:szCs w:val="18"/>
              </w:rPr>
            </w:pPr>
            <w:r w:rsidRPr="0001760F">
              <w:rPr>
                <w:rFonts w:ascii="宋体" w:eastAsia="宋体" w:hAnsi="宋体"/>
                <w:szCs w:val="18"/>
              </w:rPr>
              <w:t>运用主题投资方法追求超额收益</w:t>
            </w:r>
            <w:r w:rsidRPr="0001760F">
              <w:rPr>
                <w:rFonts w:ascii="宋体" w:eastAsia="宋体" w:hAnsi="宋体" w:hint="eastAsia"/>
                <w:szCs w:val="18"/>
              </w:rPr>
              <w:t>；基金经理历史业绩优秀。近期</w:t>
            </w:r>
            <w:proofErr w:type="gramStart"/>
            <w:r w:rsidRPr="0001760F">
              <w:rPr>
                <w:rFonts w:ascii="宋体" w:eastAsia="宋体" w:hAnsi="宋体" w:hint="eastAsia"/>
                <w:szCs w:val="18"/>
              </w:rPr>
              <w:t>仓位</w:t>
            </w:r>
            <w:proofErr w:type="gramEnd"/>
            <w:r w:rsidRPr="0001760F">
              <w:rPr>
                <w:rFonts w:ascii="宋体" w:eastAsia="宋体" w:hAnsi="宋体" w:hint="eastAsia"/>
                <w:szCs w:val="18"/>
              </w:rPr>
              <w:t>围绕农业、大众消费品以及医药等。</w:t>
            </w:r>
          </w:p>
        </w:tc>
      </w:tr>
      <w:tr w:rsidR="00C411DC" w:rsidRPr="0028462A" w:rsidTr="007F40D7">
        <w:trPr>
          <w:cantSplit/>
          <w:trHeight w:val="340"/>
          <w:jc w:val="center"/>
        </w:trPr>
        <w:tc>
          <w:tcPr>
            <w:tcW w:w="2042" w:type="dxa"/>
            <w:tcBorders>
              <w:top w:val="single" w:sz="6" w:space="0" w:color="D9D9D9"/>
              <w:bottom w:val="single" w:sz="6" w:space="0" w:color="D9D9D9"/>
              <w:right w:val="single" w:sz="6" w:space="0" w:color="D9D9D9"/>
            </w:tcBorders>
            <w:shd w:val="clear" w:color="auto" w:fill="auto"/>
            <w:vAlign w:val="center"/>
          </w:tcPr>
          <w:p w:rsidR="00C411DC" w:rsidRPr="009A36BC" w:rsidRDefault="00C411DC" w:rsidP="007F40D7">
            <w:pPr>
              <w:jc w:val="center"/>
              <w:rPr>
                <w:rFonts w:ascii="宋体" w:eastAsia="宋体" w:hAnsi="宋体"/>
                <w:b/>
                <w:szCs w:val="18"/>
              </w:rPr>
            </w:pPr>
            <w:proofErr w:type="gramStart"/>
            <w:r>
              <w:rPr>
                <w:rFonts w:ascii="宋体" w:eastAsia="宋体" w:hAnsi="宋体" w:hint="eastAsia"/>
                <w:b/>
                <w:szCs w:val="18"/>
              </w:rPr>
              <w:t>诺安配置</w:t>
            </w:r>
            <w:proofErr w:type="gramEnd"/>
          </w:p>
        </w:tc>
        <w:tc>
          <w:tcPr>
            <w:tcW w:w="8730" w:type="dxa"/>
            <w:tcBorders>
              <w:top w:val="single" w:sz="6" w:space="0" w:color="D9D9D9"/>
              <w:left w:val="single" w:sz="6" w:space="0" w:color="D9D9D9"/>
              <w:bottom w:val="single" w:sz="6" w:space="0" w:color="D9D9D9"/>
            </w:tcBorders>
            <w:shd w:val="clear" w:color="auto" w:fill="auto"/>
            <w:vAlign w:val="center"/>
          </w:tcPr>
          <w:p w:rsidR="00C411DC" w:rsidRPr="009A36BC" w:rsidRDefault="00C411DC" w:rsidP="007F40D7">
            <w:pPr>
              <w:jc w:val="left"/>
              <w:rPr>
                <w:rFonts w:ascii="宋体" w:eastAsia="宋体" w:hAnsi="宋体"/>
                <w:szCs w:val="18"/>
              </w:rPr>
            </w:pPr>
            <w:r>
              <w:rPr>
                <w:rFonts w:ascii="宋体" w:eastAsia="宋体" w:hAnsi="宋体" w:hint="eastAsia"/>
                <w:szCs w:val="18"/>
              </w:rPr>
              <w:t>具有较高的灵活性，无论是择时还是选股均有明显的体现，</w:t>
            </w:r>
            <w:proofErr w:type="gramStart"/>
            <w:r>
              <w:rPr>
                <w:rFonts w:ascii="宋体" w:eastAsia="宋体" w:hAnsi="宋体" w:hint="eastAsia"/>
                <w:szCs w:val="18"/>
              </w:rPr>
              <w:t>且较好</w:t>
            </w:r>
            <w:proofErr w:type="gramEnd"/>
            <w:r>
              <w:rPr>
                <w:rFonts w:ascii="宋体" w:eastAsia="宋体" w:hAnsi="宋体" w:hint="eastAsia"/>
                <w:szCs w:val="18"/>
              </w:rPr>
              <w:t>的把握市场热点及主题投资机会，历史业绩良好。</w:t>
            </w:r>
          </w:p>
        </w:tc>
      </w:tr>
      <w:tr w:rsidR="00C411DC" w:rsidTr="007F40D7">
        <w:trPr>
          <w:cantSplit/>
          <w:trHeight w:val="340"/>
          <w:jc w:val="center"/>
        </w:trPr>
        <w:tc>
          <w:tcPr>
            <w:tcW w:w="2042" w:type="dxa"/>
            <w:tcBorders>
              <w:top w:val="single" w:sz="6" w:space="0" w:color="D9D9D9"/>
              <w:bottom w:val="single" w:sz="6" w:space="0" w:color="D9D9D9"/>
              <w:right w:val="single" w:sz="6" w:space="0" w:color="D9D9D9"/>
            </w:tcBorders>
            <w:shd w:val="clear" w:color="auto" w:fill="auto"/>
            <w:vAlign w:val="center"/>
          </w:tcPr>
          <w:p w:rsidR="00C411DC" w:rsidRPr="009A36BC" w:rsidRDefault="00C411DC" w:rsidP="007F40D7">
            <w:pPr>
              <w:jc w:val="center"/>
              <w:rPr>
                <w:rFonts w:ascii="宋体" w:eastAsia="宋体" w:hAnsi="宋体"/>
                <w:b/>
                <w:szCs w:val="18"/>
              </w:rPr>
            </w:pPr>
            <w:proofErr w:type="gramStart"/>
            <w:r w:rsidRPr="009A36BC">
              <w:rPr>
                <w:rFonts w:ascii="宋体" w:eastAsia="宋体" w:hAnsi="宋体" w:hint="eastAsia"/>
                <w:b/>
                <w:szCs w:val="18"/>
              </w:rPr>
              <w:t>添富优势</w:t>
            </w:r>
            <w:proofErr w:type="gramEnd"/>
          </w:p>
        </w:tc>
        <w:tc>
          <w:tcPr>
            <w:tcW w:w="8730" w:type="dxa"/>
            <w:tcBorders>
              <w:top w:val="single" w:sz="6" w:space="0" w:color="D9D9D9"/>
              <w:left w:val="single" w:sz="6" w:space="0" w:color="D9D9D9"/>
              <w:bottom w:val="single" w:sz="6" w:space="0" w:color="D9D9D9"/>
            </w:tcBorders>
            <w:shd w:val="clear" w:color="auto" w:fill="auto"/>
            <w:vAlign w:val="center"/>
          </w:tcPr>
          <w:p w:rsidR="00C411DC" w:rsidRPr="009A36BC" w:rsidRDefault="00C411DC" w:rsidP="007F40D7">
            <w:pPr>
              <w:jc w:val="left"/>
              <w:rPr>
                <w:rFonts w:ascii="宋体" w:eastAsia="宋体" w:hAnsi="宋体"/>
                <w:szCs w:val="18"/>
              </w:rPr>
            </w:pPr>
            <w:r w:rsidRPr="009A36BC">
              <w:rPr>
                <w:rFonts w:ascii="宋体" w:eastAsia="宋体" w:hAnsi="宋体" w:hint="eastAsia"/>
                <w:szCs w:val="18"/>
              </w:rPr>
              <w:t>股票</w:t>
            </w:r>
            <w:proofErr w:type="gramStart"/>
            <w:r w:rsidRPr="009A36BC">
              <w:rPr>
                <w:rFonts w:ascii="宋体" w:eastAsia="宋体" w:hAnsi="宋体" w:hint="eastAsia"/>
                <w:szCs w:val="18"/>
              </w:rPr>
              <w:t>仓位</w:t>
            </w:r>
            <w:proofErr w:type="gramEnd"/>
            <w:r w:rsidRPr="009A36BC">
              <w:rPr>
                <w:rFonts w:ascii="宋体" w:eastAsia="宋体" w:hAnsi="宋体" w:hint="eastAsia"/>
                <w:szCs w:val="18"/>
              </w:rPr>
              <w:t>保持较高水平运作，对成长和价值的配置相对均衡。</w:t>
            </w:r>
          </w:p>
        </w:tc>
      </w:tr>
      <w:tr w:rsidR="00C411DC" w:rsidTr="007F40D7">
        <w:trPr>
          <w:cantSplit/>
          <w:trHeight w:val="340"/>
          <w:jc w:val="center"/>
        </w:trPr>
        <w:tc>
          <w:tcPr>
            <w:tcW w:w="2042" w:type="dxa"/>
            <w:tcBorders>
              <w:top w:val="single" w:sz="6" w:space="0" w:color="D9D9D9"/>
              <w:bottom w:val="single" w:sz="6" w:space="0" w:color="D9D9D9"/>
              <w:right w:val="single" w:sz="6" w:space="0" w:color="D9D9D9"/>
            </w:tcBorders>
            <w:shd w:val="clear" w:color="auto" w:fill="auto"/>
            <w:vAlign w:val="center"/>
          </w:tcPr>
          <w:p w:rsidR="00C411DC" w:rsidRPr="009A36BC" w:rsidRDefault="00C411DC" w:rsidP="007F40D7">
            <w:pPr>
              <w:jc w:val="center"/>
              <w:rPr>
                <w:rFonts w:ascii="宋体" w:eastAsia="宋体" w:hAnsi="宋体"/>
                <w:b/>
                <w:szCs w:val="18"/>
              </w:rPr>
            </w:pPr>
            <w:r w:rsidRPr="009A36BC">
              <w:rPr>
                <w:rFonts w:ascii="宋体" w:eastAsia="宋体" w:hAnsi="宋体" w:hint="eastAsia"/>
                <w:b/>
                <w:szCs w:val="18"/>
              </w:rPr>
              <w:t>兴</w:t>
            </w:r>
            <w:proofErr w:type="gramStart"/>
            <w:r w:rsidRPr="009A36BC">
              <w:rPr>
                <w:rFonts w:ascii="宋体" w:eastAsia="宋体" w:hAnsi="宋体" w:hint="eastAsia"/>
                <w:b/>
                <w:szCs w:val="18"/>
              </w:rPr>
              <w:t>全趋势</w:t>
            </w:r>
            <w:proofErr w:type="gramEnd"/>
          </w:p>
        </w:tc>
        <w:tc>
          <w:tcPr>
            <w:tcW w:w="8730" w:type="dxa"/>
            <w:tcBorders>
              <w:top w:val="single" w:sz="6" w:space="0" w:color="D9D9D9"/>
              <w:left w:val="single" w:sz="6" w:space="0" w:color="D9D9D9"/>
              <w:bottom w:val="single" w:sz="6" w:space="0" w:color="D9D9D9"/>
            </w:tcBorders>
            <w:shd w:val="clear" w:color="auto" w:fill="auto"/>
            <w:vAlign w:val="center"/>
          </w:tcPr>
          <w:p w:rsidR="00C411DC" w:rsidRPr="009A36BC" w:rsidRDefault="00C411DC" w:rsidP="007F40D7">
            <w:pPr>
              <w:jc w:val="left"/>
              <w:rPr>
                <w:rFonts w:ascii="宋体" w:eastAsia="宋体" w:hAnsi="宋体"/>
                <w:szCs w:val="18"/>
              </w:rPr>
            </w:pPr>
            <w:r w:rsidRPr="009A36BC">
              <w:rPr>
                <w:rFonts w:ascii="宋体" w:eastAsia="宋体" w:hAnsi="宋体" w:hint="eastAsia"/>
                <w:szCs w:val="18"/>
              </w:rPr>
              <w:t>操作上秉承公司整体顺势而为的特点，根据市场环境适当微调。蓝</w:t>
            </w:r>
            <w:proofErr w:type="gramStart"/>
            <w:r w:rsidRPr="009A36BC">
              <w:rPr>
                <w:rFonts w:ascii="宋体" w:eastAsia="宋体" w:hAnsi="宋体" w:hint="eastAsia"/>
                <w:szCs w:val="18"/>
              </w:rPr>
              <w:t>筹风格</w:t>
            </w:r>
            <w:proofErr w:type="gramEnd"/>
            <w:r w:rsidRPr="009A36BC">
              <w:rPr>
                <w:rFonts w:ascii="宋体" w:eastAsia="宋体" w:hAnsi="宋体" w:hint="eastAsia"/>
                <w:szCs w:val="18"/>
              </w:rPr>
              <w:t>比较明显，近年来随着实体经济增长逐渐放缓、周期行业的估值水平不断下移，基金组合结构也进行了一定调整，整体来看组合更加稳健。</w:t>
            </w:r>
          </w:p>
        </w:tc>
      </w:tr>
      <w:tr w:rsidR="00C411DC" w:rsidTr="007F40D7">
        <w:trPr>
          <w:cantSplit/>
          <w:trHeight w:val="340"/>
          <w:jc w:val="center"/>
        </w:trPr>
        <w:tc>
          <w:tcPr>
            <w:tcW w:w="2042" w:type="dxa"/>
            <w:tcBorders>
              <w:top w:val="single" w:sz="6" w:space="0" w:color="D9D9D9"/>
              <w:bottom w:val="single" w:sz="6" w:space="0" w:color="D9D9D9"/>
              <w:right w:val="single" w:sz="6" w:space="0" w:color="D9D9D9"/>
            </w:tcBorders>
            <w:shd w:val="clear" w:color="auto" w:fill="auto"/>
            <w:vAlign w:val="center"/>
          </w:tcPr>
          <w:p w:rsidR="00C411DC" w:rsidRPr="009A36BC" w:rsidRDefault="00C411DC" w:rsidP="007F40D7">
            <w:pPr>
              <w:jc w:val="center"/>
              <w:rPr>
                <w:rFonts w:ascii="宋体" w:eastAsia="宋体" w:hAnsi="宋体"/>
                <w:b/>
                <w:szCs w:val="18"/>
              </w:rPr>
            </w:pPr>
            <w:r>
              <w:rPr>
                <w:rFonts w:ascii="宋体" w:eastAsia="宋体" w:hAnsi="宋体" w:hint="eastAsia"/>
                <w:b/>
                <w:szCs w:val="18"/>
              </w:rPr>
              <w:t>易方达平稳增长</w:t>
            </w:r>
          </w:p>
        </w:tc>
        <w:tc>
          <w:tcPr>
            <w:tcW w:w="8730" w:type="dxa"/>
            <w:tcBorders>
              <w:top w:val="single" w:sz="6" w:space="0" w:color="D9D9D9"/>
              <w:left w:val="single" w:sz="6" w:space="0" w:color="D9D9D9"/>
              <w:bottom w:val="single" w:sz="6" w:space="0" w:color="D9D9D9"/>
            </w:tcBorders>
            <w:shd w:val="clear" w:color="auto" w:fill="auto"/>
            <w:vAlign w:val="center"/>
          </w:tcPr>
          <w:p w:rsidR="00C411DC" w:rsidRPr="009A36BC" w:rsidRDefault="00C411DC" w:rsidP="007F40D7">
            <w:pPr>
              <w:jc w:val="left"/>
              <w:rPr>
                <w:rFonts w:ascii="宋体" w:eastAsia="宋体" w:hAnsi="宋体"/>
                <w:szCs w:val="18"/>
              </w:rPr>
            </w:pPr>
            <w:r>
              <w:rPr>
                <w:rFonts w:ascii="宋体" w:eastAsia="宋体" w:hAnsi="宋体" w:hint="eastAsia"/>
                <w:szCs w:val="18"/>
              </w:rPr>
              <w:t>保守配置型基金，</w:t>
            </w:r>
            <w:r w:rsidRPr="00D32F2D">
              <w:rPr>
                <w:rFonts w:ascii="宋体" w:eastAsia="宋体" w:hAnsi="宋体" w:hint="eastAsia"/>
                <w:szCs w:val="18"/>
              </w:rPr>
              <w:t>股票资产</w:t>
            </w:r>
            <w:r>
              <w:rPr>
                <w:rFonts w:ascii="宋体" w:eastAsia="宋体" w:hAnsi="宋体" w:hint="eastAsia"/>
                <w:szCs w:val="18"/>
              </w:rPr>
              <w:t>占到基金组合的</w:t>
            </w:r>
            <w:r w:rsidRPr="00D32F2D">
              <w:rPr>
                <w:rFonts w:ascii="宋体" w:eastAsia="宋体" w:hAnsi="宋体" w:hint="eastAsia"/>
                <w:szCs w:val="18"/>
              </w:rPr>
              <w:t>30%－65%</w:t>
            </w:r>
            <w:r>
              <w:rPr>
                <w:rFonts w:ascii="宋体" w:eastAsia="宋体" w:hAnsi="宋体" w:hint="eastAsia"/>
                <w:szCs w:val="18"/>
              </w:rPr>
              <w:t>，历史业绩来看，具有良好的风险控制能力，呈现出较好的风险收益配比，比较适合震荡市场环境中投资。</w:t>
            </w:r>
          </w:p>
        </w:tc>
      </w:tr>
      <w:tr w:rsidR="00C411DC" w:rsidTr="007F40D7">
        <w:trPr>
          <w:cantSplit/>
          <w:trHeight w:val="340"/>
          <w:jc w:val="center"/>
        </w:trPr>
        <w:tc>
          <w:tcPr>
            <w:tcW w:w="2042" w:type="dxa"/>
            <w:tcBorders>
              <w:top w:val="single" w:sz="6" w:space="0" w:color="D9D9D9"/>
              <w:bottom w:val="single" w:sz="6" w:space="0" w:color="D9D9D9"/>
              <w:right w:val="single" w:sz="6" w:space="0" w:color="D9D9D9"/>
            </w:tcBorders>
            <w:shd w:val="clear" w:color="auto" w:fill="auto"/>
            <w:vAlign w:val="center"/>
          </w:tcPr>
          <w:p w:rsidR="00C411DC" w:rsidRPr="009A36BC" w:rsidRDefault="00C411DC" w:rsidP="007F40D7">
            <w:pPr>
              <w:jc w:val="center"/>
              <w:rPr>
                <w:rFonts w:ascii="宋体" w:eastAsia="宋体" w:hAnsi="宋体"/>
                <w:b/>
                <w:szCs w:val="18"/>
              </w:rPr>
            </w:pPr>
            <w:r w:rsidRPr="009A36BC">
              <w:rPr>
                <w:rFonts w:ascii="宋体" w:eastAsia="宋体" w:hAnsi="宋体" w:hint="eastAsia"/>
                <w:b/>
                <w:szCs w:val="18"/>
              </w:rPr>
              <w:t>银河稳健</w:t>
            </w:r>
          </w:p>
        </w:tc>
        <w:tc>
          <w:tcPr>
            <w:tcW w:w="8730" w:type="dxa"/>
            <w:tcBorders>
              <w:top w:val="single" w:sz="6" w:space="0" w:color="D9D9D9"/>
              <w:left w:val="single" w:sz="6" w:space="0" w:color="D9D9D9"/>
              <w:bottom w:val="single" w:sz="6" w:space="0" w:color="D9D9D9"/>
            </w:tcBorders>
            <w:shd w:val="clear" w:color="auto" w:fill="auto"/>
            <w:vAlign w:val="center"/>
          </w:tcPr>
          <w:p w:rsidR="00C411DC" w:rsidRPr="009A36BC" w:rsidRDefault="00C411DC" w:rsidP="007F40D7">
            <w:pPr>
              <w:jc w:val="left"/>
              <w:rPr>
                <w:rFonts w:ascii="宋体" w:eastAsia="宋体" w:hAnsi="宋体"/>
                <w:szCs w:val="18"/>
              </w:rPr>
            </w:pPr>
            <w:r w:rsidRPr="009A36BC">
              <w:rPr>
                <w:rFonts w:ascii="宋体" w:eastAsia="宋体" w:hAnsi="宋体" w:hint="eastAsia"/>
                <w:szCs w:val="18"/>
              </w:rPr>
              <w:t>配置均衡，攻守兼备，良好的风险控制使得基金业绩具有较好的持续性，擅长结构行情的把握。</w:t>
            </w:r>
          </w:p>
        </w:tc>
      </w:tr>
      <w:tr w:rsidR="00C411DC" w:rsidTr="007F40D7">
        <w:trPr>
          <w:cantSplit/>
          <w:trHeight w:val="340"/>
          <w:jc w:val="center"/>
        </w:trPr>
        <w:tc>
          <w:tcPr>
            <w:tcW w:w="2042" w:type="dxa"/>
            <w:tcBorders>
              <w:top w:val="single" w:sz="6" w:space="0" w:color="D9D9D9"/>
              <w:bottom w:val="single" w:sz="6" w:space="0" w:color="D9D9D9"/>
              <w:right w:val="single" w:sz="6" w:space="0" w:color="D9D9D9"/>
            </w:tcBorders>
            <w:shd w:val="clear" w:color="auto" w:fill="auto"/>
            <w:vAlign w:val="center"/>
          </w:tcPr>
          <w:p w:rsidR="00C411DC" w:rsidRPr="009A36BC" w:rsidRDefault="00C411DC" w:rsidP="007F40D7">
            <w:pPr>
              <w:jc w:val="center"/>
              <w:rPr>
                <w:rFonts w:ascii="宋体" w:eastAsia="宋体" w:hAnsi="宋体"/>
                <w:b/>
                <w:szCs w:val="18"/>
              </w:rPr>
            </w:pPr>
            <w:r>
              <w:rPr>
                <w:rFonts w:ascii="宋体" w:eastAsia="宋体" w:hAnsi="宋体" w:hint="eastAsia"/>
                <w:b/>
                <w:szCs w:val="18"/>
              </w:rPr>
              <w:t>银华和谐主题</w:t>
            </w:r>
          </w:p>
        </w:tc>
        <w:tc>
          <w:tcPr>
            <w:tcW w:w="8730" w:type="dxa"/>
            <w:tcBorders>
              <w:top w:val="single" w:sz="6" w:space="0" w:color="D9D9D9"/>
              <w:left w:val="single" w:sz="6" w:space="0" w:color="D9D9D9"/>
              <w:bottom w:val="single" w:sz="6" w:space="0" w:color="D9D9D9"/>
            </w:tcBorders>
            <w:shd w:val="clear" w:color="auto" w:fill="auto"/>
            <w:vAlign w:val="center"/>
          </w:tcPr>
          <w:p w:rsidR="00C411DC" w:rsidRPr="009A36BC" w:rsidRDefault="00C411DC" w:rsidP="007F40D7">
            <w:pPr>
              <w:jc w:val="left"/>
              <w:rPr>
                <w:rFonts w:ascii="宋体" w:eastAsia="宋体" w:hAnsi="宋体"/>
                <w:szCs w:val="18"/>
              </w:rPr>
            </w:pPr>
            <w:r>
              <w:rPr>
                <w:rFonts w:ascii="宋体" w:eastAsia="宋体" w:hAnsi="宋体" w:hint="eastAsia"/>
                <w:szCs w:val="18"/>
              </w:rPr>
              <w:t>组合配置相对均衡和分散，注重自下而上的选择，同时保持相对中性的股票</w:t>
            </w:r>
            <w:proofErr w:type="gramStart"/>
            <w:r>
              <w:rPr>
                <w:rFonts w:ascii="宋体" w:eastAsia="宋体" w:hAnsi="宋体" w:hint="eastAsia"/>
                <w:szCs w:val="18"/>
              </w:rPr>
              <w:t>仓位</w:t>
            </w:r>
            <w:proofErr w:type="gramEnd"/>
            <w:r>
              <w:rPr>
                <w:rFonts w:ascii="宋体" w:eastAsia="宋体" w:hAnsi="宋体" w:hint="eastAsia"/>
                <w:szCs w:val="18"/>
              </w:rPr>
              <w:t>，具有较好的风险收益配比。</w:t>
            </w:r>
          </w:p>
        </w:tc>
      </w:tr>
      <w:tr w:rsidR="00C411DC" w:rsidTr="007F40D7">
        <w:trPr>
          <w:cantSplit/>
          <w:trHeight w:val="340"/>
          <w:jc w:val="center"/>
        </w:trPr>
        <w:tc>
          <w:tcPr>
            <w:tcW w:w="2042" w:type="dxa"/>
            <w:tcBorders>
              <w:top w:val="single" w:sz="6" w:space="0" w:color="D9D9D9"/>
              <w:bottom w:val="single" w:sz="6" w:space="0" w:color="D9D9D9"/>
              <w:right w:val="single" w:sz="6" w:space="0" w:color="D9D9D9"/>
            </w:tcBorders>
            <w:shd w:val="clear" w:color="auto" w:fill="auto"/>
            <w:vAlign w:val="center"/>
          </w:tcPr>
          <w:p w:rsidR="00C411DC" w:rsidRPr="009A36BC" w:rsidRDefault="00C411DC" w:rsidP="007F40D7">
            <w:pPr>
              <w:jc w:val="center"/>
              <w:rPr>
                <w:rFonts w:ascii="宋体" w:eastAsia="宋体" w:hAnsi="宋体"/>
                <w:b/>
                <w:szCs w:val="18"/>
              </w:rPr>
            </w:pPr>
            <w:r>
              <w:rPr>
                <w:rFonts w:ascii="宋体" w:eastAsia="宋体" w:hAnsi="宋体" w:hint="eastAsia"/>
                <w:b/>
                <w:szCs w:val="18"/>
              </w:rPr>
              <w:t>长盛创新先锋</w:t>
            </w:r>
          </w:p>
        </w:tc>
        <w:tc>
          <w:tcPr>
            <w:tcW w:w="8730" w:type="dxa"/>
            <w:tcBorders>
              <w:top w:val="single" w:sz="6" w:space="0" w:color="D9D9D9"/>
              <w:left w:val="single" w:sz="6" w:space="0" w:color="D9D9D9"/>
              <w:bottom w:val="single" w:sz="6" w:space="0" w:color="D9D9D9"/>
            </w:tcBorders>
            <w:shd w:val="clear" w:color="auto" w:fill="auto"/>
            <w:vAlign w:val="center"/>
          </w:tcPr>
          <w:p w:rsidR="00C411DC" w:rsidRPr="009A36BC" w:rsidRDefault="00C411DC" w:rsidP="007F40D7">
            <w:pPr>
              <w:jc w:val="left"/>
              <w:rPr>
                <w:rFonts w:ascii="宋体" w:eastAsia="宋体" w:hAnsi="宋体"/>
                <w:szCs w:val="18"/>
              </w:rPr>
            </w:pPr>
            <w:r>
              <w:rPr>
                <w:rFonts w:ascii="宋体" w:eastAsia="宋体" w:hAnsi="宋体" w:hint="eastAsia"/>
                <w:szCs w:val="18"/>
              </w:rPr>
              <w:t>基金经理侧重成长风格投资，在TMT板块有突出的把握能力，且注重组合估值的合理控制，具有较好的风险收益配比。</w:t>
            </w:r>
          </w:p>
        </w:tc>
      </w:tr>
      <w:tr w:rsidR="00C411DC" w:rsidTr="007F40D7">
        <w:trPr>
          <w:cantSplit/>
          <w:trHeight w:val="340"/>
          <w:jc w:val="center"/>
        </w:trPr>
        <w:tc>
          <w:tcPr>
            <w:tcW w:w="2042" w:type="dxa"/>
            <w:tcBorders>
              <w:top w:val="single" w:sz="6" w:space="0" w:color="D9D9D9"/>
              <w:bottom w:val="single" w:sz="6" w:space="0" w:color="D9D9D9"/>
              <w:right w:val="single" w:sz="6" w:space="0" w:color="D9D9D9"/>
            </w:tcBorders>
            <w:shd w:val="clear" w:color="auto" w:fill="auto"/>
            <w:vAlign w:val="center"/>
          </w:tcPr>
          <w:p w:rsidR="00C411DC" w:rsidRPr="009A36BC" w:rsidRDefault="00C411DC" w:rsidP="007F40D7">
            <w:pPr>
              <w:jc w:val="center"/>
              <w:rPr>
                <w:rFonts w:ascii="宋体" w:eastAsia="宋体" w:hAnsi="宋体"/>
                <w:b/>
                <w:szCs w:val="18"/>
              </w:rPr>
            </w:pPr>
            <w:proofErr w:type="gramStart"/>
            <w:r>
              <w:rPr>
                <w:rFonts w:ascii="宋体" w:eastAsia="宋体" w:hAnsi="宋体" w:hint="eastAsia"/>
                <w:b/>
                <w:szCs w:val="18"/>
              </w:rPr>
              <w:t>中欧瑾源</w:t>
            </w:r>
            <w:proofErr w:type="gramEnd"/>
          </w:p>
        </w:tc>
        <w:tc>
          <w:tcPr>
            <w:tcW w:w="8730" w:type="dxa"/>
            <w:tcBorders>
              <w:top w:val="single" w:sz="6" w:space="0" w:color="D9D9D9"/>
              <w:left w:val="single" w:sz="6" w:space="0" w:color="D9D9D9"/>
              <w:bottom w:val="single" w:sz="6" w:space="0" w:color="D9D9D9"/>
            </w:tcBorders>
            <w:shd w:val="clear" w:color="auto" w:fill="auto"/>
            <w:vAlign w:val="center"/>
          </w:tcPr>
          <w:p w:rsidR="00C411DC" w:rsidRPr="009A36BC" w:rsidRDefault="00C411DC" w:rsidP="007F40D7">
            <w:pPr>
              <w:jc w:val="left"/>
              <w:rPr>
                <w:rFonts w:ascii="宋体" w:eastAsia="宋体" w:hAnsi="宋体"/>
                <w:szCs w:val="18"/>
              </w:rPr>
            </w:pPr>
            <w:r>
              <w:rPr>
                <w:rFonts w:ascii="宋体" w:eastAsia="宋体" w:hAnsi="宋体" w:hint="eastAsia"/>
                <w:bCs/>
                <w:szCs w:val="18"/>
              </w:rPr>
              <w:t>以打新策略为主的绝对收益目标产品，基于二季度的打新情况测算，8%左右的</w:t>
            </w:r>
            <w:proofErr w:type="gramStart"/>
            <w:r>
              <w:rPr>
                <w:rFonts w:ascii="宋体" w:eastAsia="宋体" w:hAnsi="宋体" w:hint="eastAsia"/>
                <w:bCs/>
                <w:szCs w:val="18"/>
              </w:rPr>
              <w:t>年化收益</w:t>
            </w:r>
            <w:proofErr w:type="gramEnd"/>
            <w:r>
              <w:rPr>
                <w:rFonts w:ascii="宋体" w:eastAsia="宋体" w:hAnsi="宋体" w:hint="eastAsia"/>
                <w:bCs/>
                <w:szCs w:val="18"/>
              </w:rPr>
              <w:t>水平比较适合保守投资者投资参与。</w:t>
            </w:r>
          </w:p>
        </w:tc>
      </w:tr>
      <w:tr w:rsidR="00C411DC" w:rsidTr="007F40D7">
        <w:trPr>
          <w:cantSplit/>
          <w:trHeight w:val="340"/>
          <w:jc w:val="center"/>
        </w:trPr>
        <w:tc>
          <w:tcPr>
            <w:tcW w:w="2042" w:type="dxa"/>
            <w:tcBorders>
              <w:top w:val="single" w:sz="6" w:space="0" w:color="D9D9D9"/>
              <w:bottom w:val="single" w:sz="6" w:space="0" w:color="D9D9D9"/>
              <w:right w:val="single" w:sz="6" w:space="0" w:color="D9D9D9"/>
            </w:tcBorders>
            <w:shd w:val="clear" w:color="auto" w:fill="auto"/>
            <w:vAlign w:val="center"/>
          </w:tcPr>
          <w:p w:rsidR="00C411DC" w:rsidRPr="009A36BC" w:rsidRDefault="00C411DC" w:rsidP="007F40D7">
            <w:pPr>
              <w:jc w:val="center"/>
              <w:rPr>
                <w:rFonts w:ascii="宋体" w:eastAsia="宋体" w:hAnsi="宋体"/>
                <w:b/>
                <w:szCs w:val="18"/>
              </w:rPr>
            </w:pPr>
            <w:r>
              <w:rPr>
                <w:rFonts w:ascii="宋体" w:eastAsia="宋体" w:hAnsi="宋体" w:hint="eastAsia"/>
                <w:b/>
                <w:szCs w:val="18"/>
              </w:rPr>
              <w:t>中欧新蓝筹</w:t>
            </w:r>
          </w:p>
        </w:tc>
        <w:tc>
          <w:tcPr>
            <w:tcW w:w="8730" w:type="dxa"/>
            <w:tcBorders>
              <w:top w:val="single" w:sz="6" w:space="0" w:color="D9D9D9"/>
              <w:left w:val="single" w:sz="6" w:space="0" w:color="D9D9D9"/>
              <w:bottom w:val="single" w:sz="6" w:space="0" w:color="D9D9D9"/>
            </w:tcBorders>
            <w:shd w:val="clear" w:color="auto" w:fill="auto"/>
            <w:vAlign w:val="center"/>
          </w:tcPr>
          <w:p w:rsidR="00C411DC" w:rsidRPr="009A36BC" w:rsidRDefault="00C411DC" w:rsidP="007F40D7">
            <w:pPr>
              <w:jc w:val="left"/>
              <w:rPr>
                <w:rFonts w:ascii="宋体" w:eastAsia="宋体" w:hAnsi="宋体"/>
                <w:szCs w:val="18"/>
              </w:rPr>
            </w:pPr>
            <w:r>
              <w:rPr>
                <w:rFonts w:ascii="宋体" w:eastAsia="宋体" w:hAnsi="宋体" w:hint="eastAsia"/>
                <w:szCs w:val="18"/>
              </w:rPr>
              <w:t>基金经理风格稳健、注重控制风险，偏好新兴产业投资，在细分产业中寻找估值合理的成长性个股。</w:t>
            </w:r>
          </w:p>
        </w:tc>
      </w:tr>
      <w:tr w:rsidR="00C411DC" w:rsidTr="007F40D7">
        <w:trPr>
          <w:cantSplit/>
          <w:trHeight w:val="340"/>
          <w:jc w:val="center"/>
        </w:trPr>
        <w:tc>
          <w:tcPr>
            <w:tcW w:w="2042" w:type="dxa"/>
            <w:tcBorders>
              <w:top w:val="single" w:sz="6" w:space="0" w:color="D9D9D9"/>
              <w:bottom w:val="single" w:sz="6" w:space="0" w:color="00B0F0"/>
              <w:right w:val="single" w:sz="6" w:space="0" w:color="D9D9D9"/>
            </w:tcBorders>
            <w:shd w:val="clear" w:color="auto" w:fill="auto"/>
            <w:vAlign w:val="center"/>
          </w:tcPr>
          <w:p w:rsidR="00C411DC" w:rsidRPr="009A36BC" w:rsidRDefault="00C411DC" w:rsidP="007F40D7">
            <w:pPr>
              <w:jc w:val="center"/>
              <w:rPr>
                <w:rFonts w:ascii="宋体" w:eastAsia="宋体" w:hAnsi="宋体"/>
                <w:b/>
                <w:szCs w:val="18"/>
              </w:rPr>
            </w:pPr>
            <w:r w:rsidRPr="009A36BC">
              <w:rPr>
                <w:rFonts w:ascii="宋体" w:eastAsia="宋体" w:hAnsi="宋体" w:hint="eastAsia"/>
                <w:b/>
                <w:szCs w:val="18"/>
              </w:rPr>
              <w:t>中</w:t>
            </w:r>
            <w:proofErr w:type="gramStart"/>
            <w:r w:rsidRPr="009A36BC">
              <w:rPr>
                <w:rFonts w:ascii="宋体" w:eastAsia="宋体" w:hAnsi="宋体" w:hint="eastAsia"/>
                <w:b/>
                <w:szCs w:val="18"/>
              </w:rPr>
              <w:t>银收益</w:t>
            </w:r>
            <w:proofErr w:type="gramEnd"/>
          </w:p>
        </w:tc>
        <w:tc>
          <w:tcPr>
            <w:tcW w:w="8730" w:type="dxa"/>
            <w:tcBorders>
              <w:top w:val="single" w:sz="6" w:space="0" w:color="D9D9D9"/>
              <w:left w:val="single" w:sz="6" w:space="0" w:color="D9D9D9"/>
              <w:bottom w:val="single" w:sz="6" w:space="0" w:color="00B0F0"/>
            </w:tcBorders>
            <w:shd w:val="clear" w:color="auto" w:fill="auto"/>
            <w:vAlign w:val="center"/>
          </w:tcPr>
          <w:p w:rsidR="00C411DC" w:rsidRPr="009A36BC" w:rsidRDefault="00C411DC" w:rsidP="007F40D7">
            <w:pPr>
              <w:jc w:val="left"/>
              <w:rPr>
                <w:rFonts w:ascii="宋体" w:eastAsia="宋体" w:hAnsi="宋体"/>
                <w:szCs w:val="18"/>
              </w:rPr>
            </w:pPr>
            <w:r w:rsidRPr="009A36BC">
              <w:rPr>
                <w:rFonts w:ascii="宋体" w:eastAsia="宋体" w:hAnsi="宋体" w:hint="eastAsia"/>
                <w:szCs w:val="18"/>
              </w:rPr>
              <w:t>操作灵活，同时秉承中</w:t>
            </w:r>
            <w:proofErr w:type="gramStart"/>
            <w:r w:rsidRPr="009A36BC">
              <w:rPr>
                <w:rFonts w:ascii="宋体" w:eastAsia="宋体" w:hAnsi="宋体" w:hint="eastAsia"/>
                <w:szCs w:val="18"/>
              </w:rPr>
              <w:t>银基金</w:t>
            </w:r>
            <w:proofErr w:type="gramEnd"/>
            <w:r w:rsidRPr="009A36BC">
              <w:rPr>
                <w:rFonts w:ascii="宋体" w:eastAsia="宋体" w:hAnsi="宋体" w:hint="eastAsia"/>
                <w:szCs w:val="18"/>
              </w:rPr>
              <w:t>公司稳健、注重风险控制的特征。在投资上，该基金重视在目前震荡市中采取“攻守平衡”的板块配置，兼顾食品饮料、园林装饰等业绩较为确定的消费行业和成长性个股，以及周期类风格的搭配；在大类资产配置上，基金保持稳健。</w:t>
            </w:r>
          </w:p>
        </w:tc>
      </w:tr>
    </w:tbl>
    <w:p w:rsidR="00C411DC" w:rsidRDefault="00C411DC" w:rsidP="00C411DC">
      <w:pPr>
        <w:pStyle w:val="FootnoteNoline"/>
        <w:ind w:left="0"/>
      </w:pPr>
      <w:r>
        <w:rPr>
          <w:rFonts w:hint="eastAsia"/>
        </w:rPr>
        <w:t>来源：国金证券研究所</w:t>
      </w:r>
      <w:r>
        <w:rPr>
          <w:rFonts w:hint="eastAsia"/>
        </w:rPr>
        <w:t xml:space="preserve"> </w:t>
      </w:r>
    </w:p>
    <w:p w:rsidR="00C411DC" w:rsidRDefault="00C411DC" w:rsidP="00982BBE">
      <w:pPr>
        <w:pStyle w:val="a0"/>
        <w:numPr>
          <w:ilvl w:val="4"/>
          <w:numId w:val="3"/>
        </w:numPr>
        <w:spacing w:beforeLines="200" w:before="480" w:after="240"/>
        <w:rPr>
          <w:color w:val="auto"/>
        </w:rPr>
      </w:pPr>
      <w:r w:rsidRPr="00192B85">
        <w:rPr>
          <w:rFonts w:hint="eastAsia"/>
          <w:color w:val="auto"/>
        </w:rPr>
        <w:t>依据前面各部分</w:t>
      </w:r>
      <w:r>
        <w:rPr>
          <w:rFonts w:hint="eastAsia"/>
          <w:color w:val="auto"/>
        </w:rPr>
        <w:t>对相关市场以及各类产品投资操作策略分析，建立</w:t>
      </w:r>
      <w:r w:rsidRPr="00192B85">
        <w:rPr>
          <w:rFonts w:hint="eastAsia"/>
          <w:color w:val="auto"/>
        </w:rPr>
        <w:t>国金</w:t>
      </w:r>
      <w:r>
        <w:rPr>
          <w:rFonts w:hint="eastAsia"/>
          <w:color w:val="auto"/>
        </w:rPr>
        <w:t>201507</w:t>
      </w:r>
      <w:r w:rsidRPr="00192B85">
        <w:rPr>
          <w:rFonts w:hint="eastAsia"/>
          <w:color w:val="auto"/>
        </w:rPr>
        <w:t>期基金组合</w:t>
      </w:r>
      <w:r>
        <w:rPr>
          <w:rFonts w:hint="eastAsia"/>
          <w:color w:val="auto"/>
        </w:rPr>
        <w:t>如下，对于短期重点推荐的组合加</w:t>
      </w:r>
      <w:r w:rsidRPr="003B46D0">
        <w:rPr>
          <w:rFonts w:hint="eastAsia"/>
          <w:color w:val="auto"/>
        </w:rPr>
        <w:t>★</w:t>
      </w:r>
      <w:r>
        <w:rPr>
          <w:rFonts w:hint="eastAsia"/>
          <w:color w:val="auto"/>
        </w:rPr>
        <w:t>，同时</w:t>
      </w:r>
      <w:r w:rsidRPr="003B46D0">
        <w:rPr>
          <w:rFonts w:hint="eastAsia"/>
          <w:color w:val="auto"/>
        </w:rPr>
        <w:t>为了方便投资者在配置之外选择重点的品种，我们</w:t>
      </w:r>
      <w:r>
        <w:rPr>
          <w:rFonts w:hint="eastAsia"/>
          <w:color w:val="auto"/>
        </w:rPr>
        <w:t>在表中加</w:t>
      </w:r>
      <w:r w:rsidRPr="003B46D0">
        <w:rPr>
          <w:rFonts w:hint="eastAsia"/>
          <w:color w:val="auto"/>
        </w:rPr>
        <w:t>★</w:t>
      </w:r>
      <w:r>
        <w:rPr>
          <w:rFonts w:hint="eastAsia"/>
          <w:color w:val="auto"/>
        </w:rPr>
        <w:t>的基金</w:t>
      </w:r>
      <w:r w:rsidRPr="003B46D0">
        <w:rPr>
          <w:rFonts w:hint="eastAsia"/>
          <w:color w:val="auto"/>
        </w:rPr>
        <w:t>表示为</w:t>
      </w:r>
      <w:r>
        <w:rPr>
          <w:rFonts w:hint="eastAsia"/>
          <w:color w:val="auto"/>
        </w:rPr>
        <w:t>相对</w:t>
      </w:r>
      <w:r w:rsidRPr="003B46D0">
        <w:rPr>
          <w:rFonts w:hint="eastAsia"/>
          <w:color w:val="auto"/>
        </w:rPr>
        <w:t>看好的</w:t>
      </w:r>
      <w:r>
        <w:rPr>
          <w:rFonts w:hint="eastAsia"/>
          <w:color w:val="auto"/>
        </w:rPr>
        <w:t>品种。</w:t>
      </w:r>
    </w:p>
    <w:tbl>
      <w:tblPr>
        <w:tblpPr w:leftFromText="180" w:rightFromText="180" w:vertAnchor="text" w:tblpY="1"/>
        <w:tblOverlap w:val="never"/>
        <w:tblW w:w="10772" w:type="dxa"/>
        <w:tblLayout w:type="fixed"/>
        <w:tblCellMar>
          <w:left w:w="0" w:type="dxa"/>
          <w:right w:w="0" w:type="dxa"/>
        </w:tblCellMar>
        <w:tblLook w:val="0000" w:firstRow="0" w:lastRow="0" w:firstColumn="0" w:lastColumn="0" w:noHBand="0" w:noVBand="0"/>
      </w:tblPr>
      <w:tblGrid>
        <w:gridCol w:w="1134"/>
        <w:gridCol w:w="993"/>
        <w:gridCol w:w="1036"/>
        <w:gridCol w:w="1054"/>
        <w:gridCol w:w="1055"/>
        <w:gridCol w:w="227"/>
        <w:gridCol w:w="1164"/>
        <w:gridCol w:w="992"/>
        <w:gridCol w:w="1007"/>
        <w:gridCol w:w="1054"/>
        <w:gridCol w:w="1056"/>
      </w:tblGrid>
      <w:tr w:rsidR="00C411DC" w:rsidTr="007F40D7">
        <w:trPr>
          <w:cantSplit/>
          <w:trHeight w:val="200"/>
        </w:trPr>
        <w:tc>
          <w:tcPr>
            <w:tcW w:w="5272" w:type="dxa"/>
            <w:gridSpan w:val="5"/>
            <w:tcBorders>
              <w:top w:val="single" w:sz="4" w:space="0" w:color="00A0E9"/>
              <w:bottom w:val="single" w:sz="4" w:space="0" w:color="00A0E9"/>
            </w:tcBorders>
            <w:shd w:val="clear" w:color="auto" w:fill="auto"/>
          </w:tcPr>
          <w:p w:rsidR="00C411DC" w:rsidRDefault="00C411DC" w:rsidP="007F40D7">
            <w:pPr>
              <w:pStyle w:val="SubTitleLargeTable"/>
            </w:pPr>
            <w:r>
              <w:rPr>
                <w:rFonts w:hint="eastAsia"/>
              </w:rPr>
              <w:t>图表</w:t>
            </w:r>
            <w:r w:rsidR="00A762D4">
              <w:fldChar w:fldCharType="begin"/>
            </w:r>
            <w:r>
              <w:instrText xml:space="preserve"> </w:instrText>
            </w:r>
            <w:r>
              <w:rPr>
                <w:rFonts w:hint="eastAsia"/>
              </w:rPr>
              <w:instrText xml:space="preserve">SEQ </w:instrText>
            </w:r>
            <w:r>
              <w:rPr>
                <w:rFonts w:hint="eastAsia"/>
              </w:rPr>
              <w:instrText>图表</w:instrText>
            </w:r>
            <w:r>
              <w:rPr>
                <w:rFonts w:hint="eastAsia"/>
              </w:rPr>
              <w:instrText xml:space="preserve"> \* ARABIC</w:instrText>
            </w:r>
            <w:r>
              <w:instrText xml:space="preserve"> </w:instrText>
            </w:r>
            <w:r w:rsidR="00A762D4">
              <w:fldChar w:fldCharType="separate"/>
            </w:r>
            <w:r>
              <w:rPr>
                <w:noProof/>
              </w:rPr>
              <w:t>12</w:t>
            </w:r>
            <w:r w:rsidR="00A762D4">
              <w:fldChar w:fldCharType="end"/>
            </w:r>
            <w:r>
              <w:rPr>
                <w:rFonts w:hint="eastAsia"/>
              </w:rPr>
              <w:t>：</w:t>
            </w:r>
            <w:r>
              <w:rPr>
                <w:rFonts w:hint="eastAsia"/>
              </w:rPr>
              <w:t>1507</w:t>
            </w:r>
            <w:r>
              <w:rPr>
                <w:rFonts w:hint="eastAsia"/>
              </w:rPr>
              <w:t>期进攻型组合</w:t>
            </w:r>
          </w:p>
        </w:tc>
        <w:tc>
          <w:tcPr>
            <w:tcW w:w="227" w:type="dxa"/>
          </w:tcPr>
          <w:p w:rsidR="00C411DC" w:rsidRPr="00816267" w:rsidRDefault="00C411DC" w:rsidP="007F40D7">
            <w:pPr>
              <w:pStyle w:val="a0"/>
              <w:spacing w:after="0" w:line="10" w:lineRule="atLeast"/>
              <w:ind w:left="0"/>
              <w:jc w:val="center"/>
              <w:rPr>
                <w:rFonts w:cs="Arial"/>
                <w:color w:val="auto"/>
              </w:rPr>
            </w:pPr>
          </w:p>
        </w:tc>
        <w:tc>
          <w:tcPr>
            <w:tcW w:w="5273" w:type="dxa"/>
            <w:gridSpan w:val="5"/>
            <w:tcBorders>
              <w:top w:val="single" w:sz="4" w:space="0" w:color="00A0E9"/>
              <w:bottom w:val="single" w:sz="4" w:space="0" w:color="00A0E9"/>
            </w:tcBorders>
            <w:shd w:val="clear" w:color="auto" w:fill="auto"/>
          </w:tcPr>
          <w:p w:rsidR="00C411DC" w:rsidRDefault="00C411DC" w:rsidP="007F40D7">
            <w:pPr>
              <w:pStyle w:val="SubTitleLargeTable"/>
            </w:pPr>
            <w:r>
              <w:rPr>
                <w:rFonts w:hint="eastAsia"/>
              </w:rPr>
              <w:t>图表</w:t>
            </w:r>
            <w:r w:rsidR="00A762D4">
              <w:fldChar w:fldCharType="begin"/>
            </w:r>
            <w:r>
              <w:instrText xml:space="preserve"> </w:instrText>
            </w:r>
            <w:r>
              <w:rPr>
                <w:rFonts w:hint="eastAsia"/>
              </w:rPr>
              <w:instrText xml:space="preserve">SEQ </w:instrText>
            </w:r>
            <w:r>
              <w:rPr>
                <w:rFonts w:hint="eastAsia"/>
              </w:rPr>
              <w:instrText>图表</w:instrText>
            </w:r>
            <w:r>
              <w:rPr>
                <w:rFonts w:hint="eastAsia"/>
              </w:rPr>
              <w:instrText xml:space="preserve"> \* ARABIC</w:instrText>
            </w:r>
            <w:r>
              <w:instrText xml:space="preserve"> </w:instrText>
            </w:r>
            <w:r w:rsidR="00A762D4">
              <w:fldChar w:fldCharType="separate"/>
            </w:r>
            <w:r>
              <w:rPr>
                <w:noProof/>
              </w:rPr>
              <w:t>13</w:t>
            </w:r>
            <w:r w:rsidR="00A762D4">
              <w:fldChar w:fldCharType="end"/>
            </w:r>
            <w:r>
              <w:rPr>
                <w:rFonts w:hint="eastAsia"/>
              </w:rPr>
              <w:t>：</w:t>
            </w:r>
            <w:r>
              <w:rPr>
                <w:rFonts w:hint="eastAsia"/>
              </w:rPr>
              <w:t>1507</w:t>
            </w:r>
            <w:r>
              <w:rPr>
                <w:rFonts w:hint="eastAsia"/>
              </w:rPr>
              <w:t>期防御型组合</w:t>
            </w:r>
          </w:p>
        </w:tc>
      </w:tr>
      <w:tr w:rsidR="00C411DC" w:rsidRPr="001961D3" w:rsidTr="007F40D7">
        <w:trPr>
          <w:cantSplit/>
          <w:trHeight w:val="340"/>
        </w:trPr>
        <w:tc>
          <w:tcPr>
            <w:tcW w:w="1134" w:type="dxa"/>
            <w:tcBorders>
              <w:top w:val="single" w:sz="4" w:space="0" w:color="00A0E9"/>
              <w:bottom w:val="single" w:sz="4" w:space="0" w:color="00A0E9"/>
            </w:tcBorders>
            <w:shd w:val="clear" w:color="auto" w:fill="auto"/>
            <w:vAlign w:val="center"/>
          </w:tcPr>
          <w:p w:rsidR="00C411DC" w:rsidRPr="004922F9" w:rsidRDefault="00C411DC" w:rsidP="007F40D7">
            <w:pPr>
              <w:jc w:val="center"/>
              <w:rPr>
                <w:rFonts w:ascii="宋体" w:eastAsia="宋体" w:hAnsi="宋体"/>
                <w:b/>
                <w:szCs w:val="18"/>
              </w:rPr>
            </w:pPr>
            <w:r w:rsidRPr="004922F9">
              <w:rPr>
                <w:rFonts w:ascii="宋体" w:eastAsia="宋体" w:hAnsi="宋体" w:hint="eastAsia"/>
                <w:b/>
                <w:szCs w:val="18"/>
              </w:rPr>
              <w:t>基金名称</w:t>
            </w:r>
          </w:p>
        </w:tc>
        <w:tc>
          <w:tcPr>
            <w:tcW w:w="993" w:type="dxa"/>
            <w:tcBorders>
              <w:top w:val="single" w:sz="4" w:space="0" w:color="00A0E9"/>
              <w:bottom w:val="single" w:sz="4" w:space="0" w:color="00A0E9"/>
            </w:tcBorders>
            <w:shd w:val="clear" w:color="auto" w:fill="auto"/>
            <w:vAlign w:val="center"/>
          </w:tcPr>
          <w:p w:rsidR="00C411DC" w:rsidRPr="004922F9" w:rsidRDefault="00C411DC" w:rsidP="007F40D7">
            <w:pPr>
              <w:jc w:val="center"/>
              <w:rPr>
                <w:rFonts w:ascii="宋体" w:eastAsia="宋体" w:hAnsi="宋体"/>
                <w:b/>
                <w:szCs w:val="18"/>
              </w:rPr>
            </w:pPr>
            <w:r>
              <w:rPr>
                <w:rFonts w:ascii="宋体" w:eastAsia="宋体" w:hAnsi="宋体" w:hint="eastAsia"/>
                <w:b/>
                <w:szCs w:val="18"/>
              </w:rPr>
              <w:t>基金</w:t>
            </w:r>
            <w:r w:rsidRPr="004922F9">
              <w:rPr>
                <w:rFonts w:ascii="宋体" w:eastAsia="宋体" w:hAnsi="宋体" w:hint="eastAsia"/>
                <w:b/>
                <w:szCs w:val="18"/>
              </w:rPr>
              <w:t>类型</w:t>
            </w:r>
          </w:p>
        </w:tc>
        <w:tc>
          <w:tcPr>
            <w:tcW w:w="1036" w:type="dxa"/>
            <w:tcBorders>
              <w:top w:val="single" w:sz="4" w:space="0" w:color="00A0E9"/>
              <w:bottom w:val="single" w:sz="4" w:space="0" w:color="00A0E9"/>
            </w:tcBorders>
            <w:shd w:val="clear" w:color="auto" w:fill="auto"/>
            <w:vAlign w:val="center"/>
          </w:tcPr>
          <w:p w:rsidR="00C411DC" w:rsidRPr="004922F9" w:rsidRDefault="00C411DC" w:rsidP="007F40D7">
            <w:pPr>
              <w:jc w:val="center"/>
              <w:rPr>
                <w:rFonts w:ascii="宋体" w:eastAsia="宋体" w:hAnsi="宋体"/>
                <w:b/>
                <w:szCs w:val="18"/>
              </w:rPr>
            </w:pPr>
            <w:r w:rsidRPr="004922F9">
              <w:rPr>
                <w:rFonts w:ascii="宋体" w:eastAsia="宋体" w:hAnsi="宋体" w:hint="eastAsia"/>
                <w:b/>
                <w:szCs w:val="18"/>
              </w:rPr>
              <w:t>基金经理</w:t>
            </w:r>
          </w:p>
        </w:tc>
        <w:tc>
          <w:tcPr>
            <w:tcW w:w="1054" w:type="dxa"/>
            <w:tcBorders>
              <w:top w:val="single" w:sz="4" w:space="0" w:color="00A0E9"/>
              <w:bottom w:val="single" w:sz="4" w:space="0" w:color="00A0E9"/>
            </w:tcBorders>
            <w:shd w:val="clear" w:color="auto" w:fill="auto"/>
            <w:vAlign w:val="center"/>
          </w:tcPr>
          <w:p w:rsidR="00C411DC" w:rsidRPr="004922F9" w:rsidRDefault="00C411DC" w:rsidP="007F40D7">
            <w:pPr>
              <w:jc w:val="center"/>
              <w:rPr>
                <w:rFonts w:ascii="宋体" w:eastAsia="宋体" w:hAnsi="宋体"/>
                <w:b/>
                <w:szCs w:val="18"/>
              </w:rPr>
            </w:pPr>
            <w:r w:rsidRPr="004922F9">
              <w:rPr>
                <w:rFonts w:ascii="宋体" w:eastAsia="宋体" w:hAnsi="宋体" w:hint="eastAsia"/>
                <w:b/>
                <w:szCs w:val="18"/>
              </w:rPr>
              <w:t>基金公司</w:t>
            </w:r>
          </w:p>
        </w:tc>
        <w:tc>
          <w:tcPr>
            <w:tcW w:w="1055" w:type="dxa"/>
            <w:tcBorders>
              <w:top w:val="single" w:sz="4" w:space="0" w:color="00A0E9"/>
              <w:bottom w:val="single" w:sz="4" w:space="0" w:color="00A0E9"/>
            </w:tcBorders>
            <w:shd w:val="clear" w:color="auto" w:fill="auto"/>
            <w:vAlign w:val="center"/>
          </w:tcPr>
          <w:p w:rsidR="00C411DC" w:rsidRPr="004922F9" w:rsidRDefault="00C411DC" w:rsidP="007F40D7">
            <w:pPr>
              <w:jc w:val="center"/>
              <w:rPr>
                <w:rFonts w:ascii="宋体" w:eastAsia="宋体" w:hAnsi="宋体"/>
                <w:b/>
                <w:szCs w:val="18"/>
              </w:rPr>
            </w:pPr>
            <w:r w:rsidRPr="004922F9">
              <w:rPr>
                <w:rFonts w:ascii="宋体" w:eastAsia="宋体" w:hAnsi="宋体" w:hint="eastAsia"/>
                <w:b/>
                <w:szCs w:val="18"/>
              </w:rPr>
              <w:t>投资权重</w:t>
            </w:r>
          </w:p>
        </w:tc>
        <w:tc>
          <w:tcPr>
            <w:tcW w:w="227" w:type="dxa"/>
            <w:vMerge w:val="restart"/>
            <w:vAlign w:val="center"/>
          </w:tcPr>
          <w:p w:rsidR="00C411DC" w:rsidRPr="001961D3" w:rsidRDefault="00C411DC" w:rsidP="007F40D7">
            <w:pPr>
              <w:jc w:val="center"/>
            </w:pPr>
          </w:p>
        </w:tc>
        <w:tc>
          <w:tcPr>
            <w:tcW w:w="1164" w:type="dxa"/>
            <w:tcBorders>
              <w:top w:val="single" w:sz="4" w:space="0" w:color="00A0E9"/>
              <w:bottom w:val="single" w:sz="4" w:space="0" w:color="00A0E9"/>
            </w:tcBorders>
            <w:shd w:val="clear" w:color="auto" w:fill="auto"/>
            <w:vAlign w:val="center"/>
          </w:tcPr>
          <w:p w:rsidR="00C411DC" w:rsidRPr="004922F9" w:rsidRDefault="00C411DC" w:rsidP="007F40D7">
            <w:pPr>
              <w:jc w:val="center"/>
              <w:rPr>
                <w:rFonts w:ascii="宋体" w:eastAsia="宋体" w:hAnsi="宋体"/>
                <w:b/>
                <w:szCs w:val="18"/>
              </w:rPr>
            </w:pPr>
            <w:r w:rsidRPr="004922F9">
              <w:rPr>
                <w:rFonts w:ascii="宋体" w:eastAsia="宋体" w:hAnsi="宋体" w:hint="eastAsia"/>
                <w:b/>
                <w:szCs w:val="18"/>
              </w:rPr>
              <w:t>基金名称</w:t>
            </w:r>
          </w:p>
        </w:tc>
        <w:tc>
          <w:tcPr>
            <w:tcW w:w="992" w:type="dxa"/>
            <w:tcBorders>
              <w:top w:val="single" w:sz="4" w:space="0" w:color="00A0E9"/>
              <w:bottom w:val="single" w:sz="4" w:space="0" w:color="00A0E9"/>
            </w:tcBorders>
            <w:shd w:val="clear" w:color="auto" w:fill="auto"/>
            <w:vAlign w:val="center"/>
          </w:tcPr>
          <w:p w:rsidR="00C411DC" w:rsidRPr="004922F9" w:rsidRDefault="00C411DC" w:rsidP="007F40D7">
            <w:pPr>
              <w:jc w:val="center"/>
              <w:rPr>
                <w:rFonts w:ascii="宋体" w:eastAsia="宋体" w:hAnsi="宋体"/>
                <w:b/>
                <w:szCs w:val="18"/>
              </w:rPr>
            </w:pPr>
            <w:r>
              <w:rPr>
                <w:rFonts w:ascii="宋体" w:eastAsia="宋体" w:hAnsi="宋体" w:hint="eastAsia"/>
                <w:b/>
                <w:szCs w:val="18"/>
              </w:rPr>
              <w:t>基金</w:t>
            </w:r>
            <w:r w:rsidRPr="004922F9">
              <w:rPr>
                <w:rFonts w:ascii="宋体" w:eastAsia="宋体" w:hAnsi="宋体" w:hint="eastAsia"/>
                <w:b/>
                <w:szCs w:val="18"/>
              </w:rPr>
              <w:t>类型</w:t>
            </w:r>
          </w:p>
        </w:tc>
        <w:tc>
          <w:tcPr>
            <w:tcW w:w="1007" w:type="dxa"/>
            <w:tcBorders>
              <w:top w:val="single" w:sz="4" w:space="0" w:color="00A0E9"/>
              <w:bottom w:val="single" w:sz="4" w:space="0" w:color="00A0E9"/>
            </w:tcBorders>
            <w:shd w:val="clear" w:color="auto" w:fill="auto"/>
            <w:vAlign w:val="center"/>
          </w:tcPr>
          <w:p w:rsidR="00C411DC" w:rsidRPr="004922F9" w:rsidRDefault="00C411DC" w:rsidP="007F40D7">
            <w:pPr>
              <w:jc w:val="center"/>
              <w:rPr>
                <w:rFonts w:ascii="宋体" w:eastAsia="宋体" w:hAnsi="宋体"/>
                <w:b/>
                <w:szCs w:val="18"/>
              </w:rPr>
            </w:pPr>
            <w:r w:rsidRPr="004922F9">
              <w:rPr>
                <w:rFonts w:ascii="宋体" w:eastAsia="宋体" w:hAnsi="宋体" w:hint="eastAsia"/>
                <w:b/>
                <w:szCs w:val="18"/>
              </w:rPr>
              <w:t>基金经理</w:t>
            </w:r>
          </w:p>
        </w:tc>
        <w:tc>
          <w:tcPr>
            <w:tcW w:w="1054" w:type="dxa"/>
            <w:tcBorders>
              <w:top w:val="single" w:sz="4" w:space="0" w:color="00A0E9"/>
              <w:bottom w:val="single" w:sz="4" w:space="0" w:color="00A0E9"/>
            </w:tcBorders>
            <w:shd w:val="clear" w:color="auto" w:fill="auto"/>
            <w:vAlign w:val="center"/>
          </w:tcPr>
          <w:p w:rsidR="00C411DC" w:rsidRPr="004922F9" w:rsidRDefault="00C411DC" w:rsidP="007F40D7">
            <w:pPr>
              <w:jc w:val="center"/>
              <w:rPr>
                <w:rFonts w:ascii="宋体" w:eastAsia="宋体" w:hAnsi="宋体"/>
                <w:b/>
                <w:szCs w:val="18"/>
              </w:rPr>
            </w:pPr>
            <w:r w:rsidRPr="004922F9">
              <w:rPr>
                <w:rFonts w:ascii="宋体" w:eastAsia="宋体" w:hAnsi="宋体" w:hint="eastAsia"/>
                <w:b/>
                <w:szCs w:val="18"/>
              </w:rPr>
              <w:t>基金公司</w:t>
            </w:r>
          </w:p>
        </w:tc>
        <w:tc>
          <w:tcPr>
            <w:tcW w:w="1056" w:type="dxa"/>
            <w:tcBorders>
              <w:top w:val="single" w:sz="4" w:space="0" w:color="00A0E9"/>
              <w:bottom w:val="single" w:sz="4" w:space="0" w:color="00A0E9"/>
            </w:tcBorders>
            <w:shd w:val="clear" w:color="auto" w:fill="auto"/>
            <w:vAlign w:val="center"/>
          </w:tcPr>
          <w:p w:rsidR="00C411DC" w:rsidRPr="004922F9" w:rsidRDefault="00C411DC" w:rsidP="007F40D7">
            <w:pPr>
              <w:jc w:val="center"/>
              <w:rPr>
                <w:rFonts w:ascii="宋体" w:eastAsia="宋体" w:hAnsi="宋体"/>
                <w:b/>
                <w:szCs w:val="18"/>
              </w:rPr>
            </w:pPr>
            <w:r w:rsidRPr="004922F9">
              <w:rPr>
                <w:rFonts w:ascii="宋体" w:eastAsia="宋体" w:hAnsi="宋体" w:hint="eastAsia"/>
                <w:b/>
                <w:szCs w:val="18"/>
              </w:rPr>
              <w:t>投资权重</w:t>
            </w:r>
          </w:p>
        </w:tc>
      </w:tr>
      <w:tr w:rsidR="00C411DC" w:rsidRPr="001961D3" w:rsidTr="007F40D7">
        <w:trPr>
          <w:cantSplit/>
          <w:trHeight w:val="340"/>
        </w:trPr>
        <w:tc>
          <w:tcPr>
            <w:tcW w:w="1134" w:type="dxa"/>
            <w:tcBorders>
              <w:top w:val="single" w:sz="4" w:space="0" w:color="00A0E9"/>
              <w:bottom w:val="single" w:sz="4" w:space="0" w:color="00A0E9"/>
            </w:tcBorders>
            <w:shd w:val="clear" w:color="auto" w:fill="auto"/>
            <w:vAlign w:val="center"/>
          </w:tcPr>
          <w:p w:rsidR="00C411DC" w:rsidRPr="00CE2F1A" w:rsidRDefault="00C411DC" w:rsidP="007F40D7">
            <w:pPr>
              <w:jc w:val="center"/>
              <w:rPr>
                <w:rFonts w:ascii="宋体" w:eastAsia="宋体" w:hAnsi="宋体"/>
                <w:b/>
                <w:szCs w:val="18"/>
              </w:rPr>
            </w:pPr>
            <w:r w:rsidRPr="00CE2F1A">
              <w:rPr>
                <w:rFonts w:ascii="宋体" w:eastAsia="宋体" w:hAnsi="宋体" w:hint="eastAsia"/>
                <w:b/>
                <w:szCs w:val="18"/>
              </w:rPr>
              <w:t>光大配置</w:t>
            </w:r>
          </w:p>
        </w:tc>
        <w:tc>
          <w:tcPr>
            <w:tcW w:w="993" w:type="dxa"/>
            <w:tcBorders>
              <w:top w:val="single" w:sz="4" w:space="0" w:color="00A0E9"/>
              <w:bottom w:val="single" w:sz="4" w:space="0" w:color="00A0E9"/>
            </w:tcBorders>
            <w:shd w:val="clear" w:color="auto" w:fill="auto"/>
            <w:vAlign w:val="center"/>
          </w:tcPr>
          <w:p w:rsidR="00C411DC" w:rsidRPr="00CE2F1A" w:rsidRDefault="00C411DC" w:rsidP="007F40D7">
            <w:pPr>
              <w:jc w:val="center"/>
              <w:rPr>
                <w:rFonts w:ascii="宋体" w:eastAsia="宋体" w:hAnsi="宋体"/>
                <w:szCs w:val="18"/>
              </w:rPr>
            </w:pPr>
            <w:r w:rsidRPr="00CE2F1A">
              <w:rPr>
                <w:rFonts w:ascii="宋体" w:eastAsia="宋体" w:hAnsi="宋体" w:hint="eastAsia"/>
                <w:szCs w:val="18"/>
              </w:rPr>
              <w:t>混合-灵活配置型</w:t>
            </w:r>
          </w:p>
        </w:tc>
        <w:tc>
          <w:tcPr>
            <w:tcW w:w="1036" w:type="dxa"/>
            <w:tcBorders>
              <w:top w:val="single" w:sz="4" w:space="0" w:color="00A0E9"/>
              <w:bottom w:val="single" w:sz="4" w:space="0" w:color="00A0E9"/>
            </w:tcBorders>
            <w:shd w:val="clear" w:color="auto" w:fill="auto"/>
            <w:vAlign w:val="center"/>
          </w:tcPr>
          <w:p w:rsidR="00C411DC" w:rsidRDefault="00C411DC" w:rsidP="007F40D7">
            <w:pPr>
              <w:jc w:val="center"/>
              <w:rPr>
                <w:rFonts w:ascii="宋体" w:eastAsia="宋体" w:hAnsi="宋体"/>
                <w:szCs w:val="18"/>
              </w:rPr>
            </w:pPr>
            <w:r>
              <w:rPr>
                <w:rFonts w:ascii="宋体" w:eastAsia="宋体" w:hAnsi="宋体" w:hint="eastAsia"/>
                <w:szCs w:val="18"/>
              </w:rPr>
              <w:t>王健</w:t>
            </w:r>
          </w:p>
        </w:tc>
        <w:tc>
          <w:tcPr>
            <w:tcW w:w="1054" w:type="dxa"/>
            <w:tcBorders>
              <w:top w:val="single" w:sz="4" w:space="0" w:color="00A0E9"/>
              <w:bottom w:val="single" w:sz="4" w:space="0" w:color="00A0E9"/>
            </w:tcBorders>
            <w:shd w:val="clear" w:color="auto" w:fill="auto"/>
            <w:vAlign w:val="center"/>
          </w:tcPr>
          <w:p w:rsidR="00C411DC" w:rsidRDefault="00C411DC" w:rsidP="007F40D7">
            <w:pPr>
              <w:jc w:val="center"/>
              <w:rPr>
                <w:rFonts w:ascii="宋体" w:eastAsia="宋体" w:hAnsi="宋体"/>
                <w:szCs w:val="18"/>
              </w:rPr>
            </w:pPr>
            <w:r>
              <w:rPr>
                <w:rFonts w:ascii="宋体" w:eastAsia="宋体" w:hAnsi="宋体" w:hint="eastAsia"/>
                <w:szCs w:val="18"/>
              </w:rPr>
              <w:t>光大</w:t>
            </w:r>
          </w:p>
        </w:tc>
        <w:tc>
          <w:tcPr>
            <w:tcW w:w="1055" w:type="dxa"/>
            <w:tcBorders>
              <w:top w:val="single" w:sz="4" w:space="0" w:color="00A0E9"/>
              <w:bottom w:val="single" w:sz="4" w:space="0" w:color="00A0E9"/>
            </w:tcBorders>
            <w:shd w:val="clear" w:color="auto" w:fill="auto"/>
            <w:vAlign w:val="center"/>
          </w:tcPr>
          <w:p w:rsidR="00C411DC" w:rsidRPr="008372A8" w:rsidRDefault="00C411DC" w:rsidP="007F40D7">
            <w:pPr>
              <w:jc w:val="center"/>
              <w:rPr>
                <w:rFonts w:ascii="宋体" w:eastAsia="宋体" w:hAnsi="宋体"/>
                <w:szCs w:val="18"/>
              </w:rPr>
            </w:pPr>
            <w:r w:rsidRPr="008372A8">
              <w:rPr>
                <w:rFonts w:ascii="宋体" w:eastAsia="宋体" w:hAnsi="宋体" w:hint="eastAsia"/>
                <w:szCs w:val="18"/>
              </w:rPr>
              <w:t>20%</w:t>
            </w:r>
          </w:p>
        </w:tc>
        <w:tc>
          <w:tcPr>
            <w:tcW w:w="227" w:type="dxa"/>
            <w:vMerge/>
            <w:vAlign w:val="center"/>
          </w:tcPr>
          <w:p w:rsidR="00C411DC" w:rsidRPr="00ED22EB" w:rsidRDefault="00C411DC" w:rsidP="007F40D7">
            <w:pPr>
              <w:jc w:val="center"/>
              <w:rPr>
                <w:rFonts w:ascii="宋体" w:eastAsia="宋体" w:hAnsi="宋体"/>
                <w:szCs w:val="18"/>
              </w:rPr>
            </w:pPr>
          </w:p>
        </w:tc>
        <w:tc>
          <w:tcPr>
            <w:tcW w:w="1164" w:type="dxa"/>
            <w:tcBorders>
              <w:top w:val="single" w:sz="4" w:space="0" w:color="00A0E9"/>
              <w:bottom w:val="single" w:sz="4" w:space="0" w:color="00A0E9"/>
            </w:tcBorders>
            <w:shd w:val="clear" w:color="auto" w:fill="auto"/>
            <w:vAlign w:val="center"/>
          </w:tcPr>
          <w:p w:rsidR="00C411DC" w:rsidRPr="003B170A" w:rsidRDefault="00C411DC" w:rsidP="007F40D7">
            <w:pPr>
              <w:jc w:val="center"/>
              <w:rPr>
                <w:rFonts w:ascii="宋体" w:eastAsia="宋体" w:hAnsi="宋体"/>
                <w:b/>
                <w:szCs w:val="18"/>
              </w:rPr>
            </w:pPr>
            <w:r w:rsidRPr="003B170A">
              <w:rPr>
                <w:rFonts w:ascii="宋体" w:eastAsia="宋体" w:hAnsi="宋体" w:hint="eastAsia"/>
                <w:b/>
                <w:szCs w:val="18"/>
              </w:rPr>
              <w:t>招商安泰股票</w:t>
            </w:r>
          </w:p>
        </w:tc>
        <w:tc>
          <w:tcPr>
            <w:tcW w:w="992" w:type="dxa"/>
            <w:tcBorders>
              <w:top w:val="single" w:sz="4" w:space="0" w:color="00A0E9"/>
              <w:bottom w:val="single" w:sz="4" w:space="0" w:color="00A0E9"/>
            </w:tcBorders>
            <w:shd w:val="clear" w:color="auto" w:fill="auto"/>
            <w:vAlign w:val="center"/>
          </w:tcPr>
          <w:p w:rsidR="00C411DC" w:rsidRPr="003B170A" w:rsidRDefault="00C411DC" w:rsidP="007F40D7">
            <w:pPr>
              <w:jc w:val="center"/>
              <w:rPr>
                <w:rFonts w:ascii="宋体" w:eastAsia="宋体" w:hAnsi="宋体"/>
                <w:szCs w:val="18"/>
              </w:rPr>
            </w:pPr>
            <w:r w:rsidRPr="003B170A">
              <w:rPr>
                <w:rFonts w:ascii="宋体" w:eastAsia="宋体" w:hAnsi="宋体" w:hint="eastAsia"/>
                <w:szCs w:val="18"/>
              </w:rPr>
              <w:t>股票型</w:t>
            </w:r>
          </w:p>
        </w:tc>
        <w:tc>
          <w:tcPr>
            <w:tcW w:w="1007" w:type="dxa"/>
            <w:tcBorders>
              <w:top w:val="single" w:sz="4" w:space="0" w:color="00A0E9"/>
              <w:bottom w:val="single" w:sz="4" w:space="0" w:color="00A0E9"/>
            </w:tcBorders>
            <w:shd w:val="clear" w:color="auto" w:fill="auto"/>
            <w:vAlign w:val="center"/>
          </w:tcPr>
          <w:p w:rsidR="00C411DC" w:rsidRPr="00074811" w:rsidRDefault="00C411DC" w:rsidP="007F40D7">
            <w:pPr>
              <w:jc w:val="center"/>
              <w:rPr>
                <w:rFonts w:ascii="宋体" w:eastAsia="宋体" w:hAnsi="宋体"/>
                <w:szCs w:val="18"/>
              </w:rPr>
            </w:pPr>
            <w:r w:rsidRPr="00074811">
              <w:rPr>
                <w:rFonts w:ascii="宋体" w:eastAsia="宋体" w:hAnsi="宋体" w:hint="eastAsia"/>
                <w:szCs w:val="18"/>
              </w:rPr>
              <w:t>王景</w:t>
            </w:r>
          </w:p>
        </w:tc>
        <w:tc>
          <w:tcPr>
            <w:tcW w:w="1054" w:type="dxa"/>
            <w:tcBorders>
              <w:top w:val="single" w:sz="4" w:space="0" w:color="00A0E9"/>
              <w:bottom w:val="single" w:sz="4" w:space="0" w:color="00A0E9"/>
            </w:tcBorders>
            <w:shd w:val="clear" w:color="auto" w:fill="auto"/>
            <w:vAlign w:val="center"/>
          </w:tcPr>
          <w:p w:rsidR="00C411DC" w:rsidRPr="003B170A" w:rsidRDefault="00C411DC" w:rsidP="007F40D7">
            <w:pPr>
              <w:jc w:val="center"/>
              <w:rPr>
                <w:rFonts w:ascii="宋体" w:eastAsia="宋体" w:hAnsi="宋体"/>
                <w:szCs w:val="18"/>
              </w:rPr>
            </w:pPr>
            <w:r w:rsidRPr="003B170A">
              <w:rPr>
                <w:rFonts w:ascii="宋体" w:eastAsia="宋体" w:hAnsi="宋体" w:hint="eastAsia"/>
                <w:szCs w:val="18"/>
              </w:rPr>
              <w:t>招商</w:t>
            </w:r>
          </w:p>
        </w:tc>
        <w:tc>
          <w:tcPr>
            <w:tcW w:w="1056" w:type="dxa"/>
            <w:tcBorders>
              <w:top w:val="single" w:sz="4" w:space="0" w:color="00A0E9"/>
              <w:bottom w:val="single" w:sz="4" w:space="0" w:color="00A0E9"/>
            </w:tcBorders>
            <w:shd w:val="clear" w:color="auto" w:fill="auto"/>
            <w:vAlign w:val="center"/>
          </w:tcPr>
          <w:p w:rsidR="00C411DC" w:rsidRPr="001E1B5D" w:rsidRDefault="00C411DC" w:rsidP="007F40D7">
            <w:pPr>
              <w:jc w:val="center"/>
              <w:rPr>
                <w:rFonts w:ascii="宋体" w:eastAsia="宋体" w:hAnsi="宋体"/>
                <w:szCs w:val="18"/>
              </w:rPr>
            </w:pPr>
            <w:r>
              <w:rPr>
                <w:rFonts w:ascii="宋体" w:eastAsia="宋体" w:hAnsi="宋体" w:hint="eastAsia"/>
                <w:szCs w:val="18"/>
              </w:rPr>
              <w:t>20%</w:t>
            </w:r>
          </w:p>
        </w:tc>
      </w:tr>
      <w:tr w:rsidR="00C411DC" w:rsidRPr="001961D3" w:rsidTr="007F40D7">
        <w:trPr>
          <w:cantSplit/>
          <w:trHeight w:val="340"/>
        </w:trPr>
        <w:tc>
          <w:tcPr>
            <w:tcW w:w="1134" w:type="dxa"/>
            <w:tcBorders>
              <w:top w:val="single" w:sz="4" w:space="0" w:color="00A0E9"/>
              <w:bottom w:val="single" w:sz="4" w:space="0" w:color="00A0E9"/>
            </w:tcBorders>
            <w:shd w:val="clear" w:color="auto" w:fill="auto"/>
            <w:vAlign w:val="center"/>
          </w:tcPr>
          <w:p w:rsidR="00C411DC" w:rsidRPr="003B170A" w:rsidRDefault="00C411DC" w:rsidP="007F40D7">
            <w:pPr>
              <w:jc w:val="center"/>
              <w:rPr>
                <w:rFonts w:ascii="宋体" w:eastAsia="宋体" w:hAnsi="宋体"/>
                <w:b/>
                <w:szCs w:val="18"/>
              </w:rPr>
            </w:pPr>
            <w:r w:rsidRPr="003B170A">
              <w:rPr>
                <w:rFonts w:ascii="宋体" w:eastAsia="宋体" w:hAnsi="宋体" w:hint="eastAsia"/>
                <w:b/>
                <w:szCs w:val="18"/>
              </w:rPr>
              <w:t>国泰金</w:t>
            </w:r>
            <w:proofErr w:type="gramStart"/>
            <w:r w:rsidRPr="003B170A">
              <w:rPr>
                <w:rFonts w:ascii="宋体" w:eastAsia="宋体" w:hAnsi="宋体" w:hint="eastAsia"/>
                <w:b/>
                <w:szCs w:val="18"/>
              </w:rPr>
              <w:t>泰平衡</w:t>
            </w:r>
            <w:proofErr w:type="gramEnd"/>
          </w:p>
        </w:tc>
        <w:tc>
          <w:tcPr>
            <w:tcW w:w="993" w:type="dxa"/>
            <w:tcBorders>
              <w:top w:val="single" w:sz="4" w:space="0" w:color="00A0E9"/>
              <w:bottom w:val="single" w:sz="4" w:space="0" w:color="00A0E9"/>
            </w:tcBorders>
            <w:shd w:val="clear" w:color="auto" w:fill="auto"/>
            <w:vAlign w:val="center"/>
          </w:tcPr>
          <w:p w:rsidR="00C411DC" w:rsidRPr="003B170A" w:rsidRDefault="00C411DC" w:rsidP="007F40D7">
            <w:pPr>
              <w:jc w:val="center"/>
              <w:rPr>
                <w:rFonts w:ascii="宋体" w:eastAsia="宋体" w:hAnsi="宋体"/>
                <w:szCs w:val="18"/>
              </w:rPr>
            </w:pPr>
            <w:r w:rsidRPr="003B170A">
              <w:rPr>
                <w:rFonts w:ascii="宋体" w:eastAsia="宋体" w:hAnsi="宋体" w:hint="eastAsia"/>
                <w:szCs w:val="18"/>
              </w:rPr>
              <w:t>混合-保守配置型</w:t>
            </w:r>
          </w:p>
        </w:tc>
        <w:tc>
          <w:tcPr>
            <w:tcW w:w="1036" w:type="dxa"/>
            <w:tcBorders>
              <w:top w:val="single" w:sz="4" w:space="0" w:color="00A0E9"/>
              <w:bottom w:val="single" w:sz="4" w:space="0" w:color="00A0E9"/>
            </w:tcBorders>
            <w:shd w:val="clear" w:color="auto" w:fill="auto"/>
            <w:vAlign w:val="center"/>
          </w:tcPr>
          <w:p w:rsidR="00C411DC" w:rsidRPr="006E0CA2" w:rsidRDefault="00C411DC" w:rsidP="007F40D7">
            <w:pPr>
              <w:jc w:val="center"/>
              <w:rPr>
                <w:rFonts w:ascii="宋体" w:eastAsia="宋体" w:hAnsi="宋体"/>
                <w:szCs w:val="18"/>
              </w:rPr>
            </w:pPr>
            <w:proofErr w:type="gramStart"/>
            <w:r>
              <w:rPr>
                <w:rFonts w:ascii="宋体" w:eastAsia="宋体" w:hAnsi="宋体" w:hint="eastAsia"/>
                <w:szCs w:val="18"/>
              </w:rPr>
              <w:t>程洲</w:t>
            </w:r>
            <w:proofErr w:type="gramEnd"/>
          </w:p>
        </w:tc>
        <w:tc>
          <w:tcPr>
            <w:tcW w:w="1054" w:type="dxa"/>
            <w:tcBorders>
              <w:top w:val="single" w:sz="4" w:space="0" w:color="00A0E9"/>
              <w:bottom w:val="single" w:sz="4" w:space="0" w:color="00A0E9"/>
            </w:tcBorders>
            <w:shd w:val="clear" w:color="auto" w:fill="auto"/>
            <w:vAlign w:val="center"/>
          </w:tcPr>
          <w:p w:rsidR="00C411DC" w:rsidRPr="008372A8" w:rsidRDefault="00C411DC" w:rsidP="007F40D7">
            <w:pPr>
              <w:jc w:val="center"/>
              <w:rPr>
                <w:rFonts w:ascii="宋体" w:eastAsia="宋体" w:hAnsi="宋体"/>
                <w:szCs w:val="18"/>
              </w:rPr>
            </w:pPr>
            <w:r>
              <w:rPr>
                <w:rFonts w:ascii="宋体" w:eastAsia="宋体" w:hAnsi="宋体" w:hint="eastAsia"/>
                <w:szCs w:val="18"/>
              </w:rPr>
              <w:t>国泰</w:t>
            </w:r>
          </w:p>
        </w:tc>
        <w:tc>
          <w:tcPr>
            <w:tcW w:w="1055" w:type="dxa"/>
            <w:tcBorders>
              <w:top w:val="single" w:sz="4" w:space="0" w:color="00A0E9"/>
              <w:bottom w:val="single" w:sz="4" w:space="0" w:color="00A0E9"/>
            </w:tcBorders>
            <w:shd w:val="clear" w:color="auto" w:fill="auto"/>
            <w:vAlign w:val="center"/>
          </w:tcPr>
          <w:p w:rsidR="00C411DC" w:rsidRPr="008372A8" w:rsidRDefault="00C411DC" w:rsidP="007F40D7">
            <w:pPr>
              <w:jc w:val="center"/>
              <w:rPr>
                <w:rFonts w:ascii="宋体" w:eastAsia="宋体" w:hAnsi="宋体"/>
                <w:szCs w:val="18"/>
              </w:rPr>
            </w:pPr>
            <w:r w:rsidRPr="008372A8">
              <w:rPr>
                <w:rFonts w:ascii="宋体" w:eastAsia="宋体" w:hAnsi="宋体" w:hint="eastAsia"/>
                <w:szCs w:val="18"/>
              </w:rPr>
              <w:t>20%</w:t>
            </w:r>
          </w:p>
        </w:tc>
        <w:tc>
          <w:tcPr>
            <w:tcW w:w="227" w:type="dxa"/>
            <w:vMerge/>
            <w:vAlign w:val="center"/>
          </w:tcPr>
          <w:p w:rsidR="00C411DC" w:rsidRPr="00ED22EB" w:rsidRDefault="00C411DC" w:rsidP="007F40D7">
            <w:pPr>
              <w:jc w:val="center"/>
              <w:rPr>
                <w:rFonts w:ascii="宋体" w:eastAsia="宋体" w:hAnsi="宋体"/>
                <w:szCs w:val="18"/>
              </w:rPr>
            </w:pPr>
          </w:p>
        </w:tc>
        <w:tc>
          <w:tcPr>
            <w:tcW w:w="1164" w:type="dxa"/>
            <w:tcBorders>
              <w:top w:val="single" w:sz="4" w:space="0" w:color="00A0E9"/>
              <w:bottom w:val="single" w:sz="4" w:space="0" w:color="00A0E9"/>
            </w:tcBorders>
            <w:shd w:val="clear" w:color="auto" w:fill="auto"/>
            <w:vAlign w:val="center"/>
          </w:tcPr>
          <w:p w:rsidR="00C411DC" w:rsidRPr="003B170A" w:rsidRDefault="00C411DC" w:rsidP="007F40D7">
            <w:pPr>
              <w:jc w:val="center"/>
              <w:rPr>
                <w:rFonts w:ascii="宋体" w:eastAsia="宋体" w:hAnsi="宋体"/>
                <w:b/>
                <w:szCs w:val="18"/>
              </w:rPr>
            </w:pPr>
            <w:proofErr w:type="gramStart"/>
            <w:r w:rsidRPr="003B170A">
              <w:rPr>
                <w:rFonts w:ascii="宋体" w:eastAsia="宋体" w:hAnsi="宋体" w:hint="eastAsia"/>
                <w:b/>
                <w:szCs w:val="18"/>
              </w:rPr>
              <w:t>中欧瑾源</w:t>
            </w:r>
            <w:proofErr w:type="gramEnd"/>
          </w:p>
        </w:tc>
        <w:tc>
          <w:tcPr>
            <w:tcW w:w="992" w:type="dxa"/>
            <w:tcBorders>
              <w:top w:val="single" w:sz="4" w:space="0" w:color="00A0E9"/>
              <w:bottom w:val="single" w:sz="4" w:space="0" w:color="00A0E9"/>
            </w:tcBorders>
            <w:shd w:val="clear" w:color="auto" w:fill="auto"/>
            <w:vAlign w:val="center"/>
          </w:tcPr>
          <w:p w:rsidR="00C411DC" w:rsidRPr="003B170A" w:rsidRDefault="00C411DC" w:rsidP="007F40D7">
            <w:pPr>
              <w:jc w:val="center"/>
              <w:rPr>
                <w:rFonts w:ascii="宋体" w:eastAsia="宋体" w:hAnsi="宋体"/>
                <w:szCs w:val="18"/>
              </w:rPr>
            </w:pPr>
            <w:r w:rsidRPr="003B170A">
              <w:rPr>
                <w:rFonts w:ascii="宋体" w:eastAsia="宋体" w:hAnsi="宋体" w:hint="eastAsia"/>
                <w:szCs w:val="18"/>
              </w:rPr>
              <w:t>混合-灵活配置型</w:t>
            </w:r>
          </w:p>
        </w:tc>
        <w:tc>
          <w:tcPr>
            <w:tcW w:w="1007" w:type="dxa"/>
            <w:tcBorders>
              <w:top w:val="single" w:sz="4" w:space="0" w:color="00A0E9"/>
              <w:bottom w:val="single" w:sz="4" w:space="0" w:color="00A0E9"/>
            </w:tcBorders>
            <w:shd w:val="clear" w:color="auto" w:fill="auto"/>
            <w:vAlign w:val="center"/>
          </w:tcPr>
          <w:p w:rsidR="00C411DC" w:rsidRPr="00074811" w:rsidRDefault="00C411DC" w:rsidP="007F40D7">
            <w:pPr>
              <w:jc w:val="center"/>
              <w:rPr>
                <w:rFonts w:ascii="宋体" w:eastAsia="宋体" w:hAnsi="宋体"/>
                <w:szCs w:val="18"/>
              </w:rPr>
            </w:pPr>
            <w:r w:rsidRPr="00074811">
              <w:rPr>
                <w:rFonts w:ascii="宋体" w:eastAsia="宋体" w:hAnsi="宋体" w:hint="eastAsia"/>
                <w:szCs w:val="18"/>
              </w:rPr>
              <w:t>葛兰、吴启权、孙甜</w:t>
            </w:r>
          </w:p>
        </w:tc>
        <w:tc>
          <w:tcPr>
            <w:tcW w:w="1054" w:type="dxa"/>
            <w:tcBorders>
              <w:top w:val="single" w:sz="4" w:space="0" w:color="00A0E9"/>
              <w:bottom w:val="single" w:sz="4" w:space="0" w:color="00A0E9"/>
            </w:tcBorders>
            <w:shd w:val="clear" w:color="auto" w:fill="auto"/>
            <w:vAlign w:val="center"/>
          </w:tcPr>
          <w:p w:rsidR="00C411DC" w:rsidRPr="003B170A" w:rsidRDefault="00C411DC" w:rsidP="007F40D7">
            <w:pPr>
              <w:jc w:val="center"/>
              <w:rPr>
                <w:rFonts w:ascii="宋体" w:eastAsia="宋体" w:hAnsi="宋体"/>
                <w:szCs w:val="18"/>
              </w:rPr>
            </w:pPr>
            <w:r w:rsidRPr="003B170A">
              <w:rPr>
                <w:rFonts w:ascii="宋体" w:eastAsia="宋体" w:hAnsi="宋体" w:hint="eastAsia"/>
                <w:szCs w:val="18"/>
              </w:rPr>
              <w:t>中欧</w:t>
            </w:r>
          </w:p>
        </w:tc>
        <w:tc>
          <w:tcPr>
            <w:tcW w:w="1056" w:type="dxa"/>
            <w:tcBorders>
              <w:top w:val="single" w:sz="4" w:space="0" w:color="00A0E9"/>
              <w:bottom w:val="single" w:sz="4" w:space="0" w:color="00A0E9"/>
            </w:tcBorders>
            <w:shd w:val="clear" w:color="auto" w:fill="auto"/>
            <w:vAlign w:val="center"/>
          </w:tcPr>
          <w:p w:rsidR="00C411DC" w:rsidRDefault="00C411DC" w:rsidP="007F40D7">
            <w:pPr>
              <w:jc w:val="center"/>
              <w:rPr>
                <w:rFonts w:ascii="宋体" w:eastAsia="宋体" w:hAnsi="宋体"/>
                <w:szCs w:val="18"/>
              </w:rPr>
            </w:pPr>
            <w:r>
              <w:rPr>
                <w:rFonts w:ascii="宋体" w:eastAsia="宋体" w:hAnsi="宋体" w:hint="eastAsia"/>
                <w:szCs w:val="18"/>
              </w:rPr>
              <w:t>20%</w:t>
            </w:r>
          </w:p>
        </w:tc>
      </w:tr>
      <w:tr w:rsidR="00C411DC" w:rsidRPr="001961D3" w:rsidTr="007F40D7">
        <w:trPr>
          <w:cantSplit/>
          <w:trHeight w:val="340"/>
        </w:trPr>
        <w:tc>
          <w:tcPr>
            <w:tcW w:w="1134" w:type="dxa"/>
            <w:tcBorders>
              <w:top w:val="single" w:sz="4" w:space="0" w:color="00A0E9"/>
              <w:bottom w:val="single" w:sz="4" w:space="0" w:color="00A0E9"/>
            </w:tcBorders>
            <w:shd w:val="clear" w:color="auto" w:fill="auto"/>
            <w:vAlign w:val="center"/>
          </w:tcPr>
          <w:p w:rsidR="00C411DC" w:rsidRPr="003B170A" w:rsidRDefault="00C411DC" w:rsidP="007F40D7">
            <w:pPr>
              <w:jc w:val="center"/>
              <w:rPr>
                <w:rFonts w:ascii="宋体" w:eastAsia="宋体" w:hAnsi="宋体"/>
                <w:b/>
                <w:szCs w:val="18"/>
              </w:rPr>
            </w:pPr>
            <w:proofErr w:type="gramStart"/>
            <w:r w:rsidRPr="003B170A">
              <w:rPr>
                <w:rFonts w:ascii="宋体" w:eastAsia="宋体" w:hAnsi="宋体" w:hint="eastAsia"/>
                <w:b/>
                <w:szCs w:val="18"/>
              </w:rPr>
              <w:t>添富价值</w:t>
            </w:r>
            <w:proofErr w:type="gramEnd"/>
          </w:p>
        </w:tc>
        <w:tc>
          <w:tcPr>
            <w:tcW w:w="993" w:type="dxa"/>
            <w:tcBorders>
              <w:top w:val="single" w:sz="4" w:space="0" w:color="00A0E9"/>
              <w:bottom w:val="single" w:sz="4" w:space="0" w:color="00A0E9"/>
            </w:tcBorders>
            <w:shd w:val="clear" w:color="auto" w:fill="auto"/>
            <w:vAlign w:val="center"/>
          </w:tcPr>
          <w:p w:rsidR="00C411DC" w:rsidRPr="003B170A" w:rsidRDefault="00C411DC" w:rsidP="007F40D7">
            <w:pPr>
              <w:jc w:val="center"/>
              <w:rPr>
                <w:rFonts w:ascii="宋体" w:eastAsia="宋体" w:hAnsi="宋体"/>
                <w:szCs w:val="18"/>
              </w:rPr>
            </w:pPr>
            <w:r w:rsidRPr="003B170A">
              <w:rPr>
                <w:rFonts w:ascii="宋体" w:eastAsia="宋体" w:hAnsi="宋体" w:hint="eastAsia"/>
                <w:szCs w:val="18"/>
              </w:rPr>
              <w:t>股票型</w:t>
            </w:r>
          </w:p>
        </w:tc>
        <w:tc>
          <w:tcPr>
            <w:tcW w:w="1036" w:type="dxa"/>
            <w:tcBorders>
              <w:top w:val="single" w:sz="4" w:space="0" w:color="00A0E9"/>
              <w:bottom w:val="single" w:sz="4" w:space="0" w:color="00A0E9"/>
            </w:tcBorders>
            <w:shd w:val="clear" w:color="auto" w:fill="auto"/>
            <w:vAlign w:val="center"/>
          </w:tcPr>
          <w:p w:rsidR="00C411DC" w:rsidRPr="006E0CA2" w:rsidRDefault="00C411DC" w:rsidP="007F40D7">
            <w:pPr>
              <w:jc w:val="center"/>
              <w:rPr>
                <w:rFonts w:ascii="宋体" w:eastAsia="宋体" w:hAnsi="宋体"/>
                <w:szCs w:val="18"/>
              </w:rPr>
            </w:pPr>
            <w:r>
              <w:rPr>
                <w:rFonts w:ascii="宋体" w:eastAsia="宋体" w:hAnsi="宋体" w:hint="eastAsia"/>
                <w:szCs w:val="18"/>
              </w:rPr>
              <w:t>陈晓翔</w:t>
            </w:r>
          </w:p>
        </w:tc>
        <w:tc>
          <w:tcPr>
            <w:tcW w:w="1054" w:type="dxa"/>
            <w:tcBorders>
              <w:top w:val="single" w:sz="4" w:space="0" w:color="00A0E9"/>
              <w:bottom w:val="single" w:sz="4" w:space="0" w:color="00A0E9"/>
            </w:tcBorders>
            <w:shd w:val="clear" w:color="auto" w:fill="auto"/>
            <w:vAlign w:val="center"/>
          </w:tcPr>
          <w:p w:rsidR="00C411DC" w:rsidRPr="008372A8" w:rsidRDefault="00C411DC" w:rsidP="007F40D7">
            <w:pPr>
              <w:jc w:val="center"/>
              <w:rPr>
                <w:rFonts w:ascii="宋体" w:eastAsia="宋体" w:hAnsi="宋体"/>
                <w:szCs w:val="18"/>
              </w:rPr>
            </w:pPr>
            <w:proofErr w:type="gramStart"/>
            <w:r>
              <w:rPr>
                <w:rFonts w:ascii="宋体" w:eastAsia="宋体" w:hAnsi="宋体" w:hint="eastAsia"/>
                <w:szCs w:val="18"/>
              </w:rPr>
              <w:t>汇添富</w:t>
            </w:r>
            <w:proofErr w:type="gramEnd"/>
          </w:p>
        </w:tc>
        <w:tc>
          <w:tcPr>
            <w:tcW w:w="1055" w:type="dxa"/>
            <w:tcBorders>
              <w:top w:val="single" w:sz="4" w:space="0" w:color="00A0E9"/>
              <w:bottom w:val="single" w:sz="4" w:space="0" w:color="00A0E9"/>
            </w:tcBorders>
            <w:shd w:val="clear" w:color="auto" w:fill="auto"/>
            <w:vAlign w:val="center"/>
          </w:tcPr>
          <w:p w:rsidR="00C411DC" w:rsidRPr="008372A8" w:rsidRDefault="00C411DC" w:rsidP="007F40D7">
            <w:pPr>
              <w:jc w:val="center"/>
              <w:rPr>
                <w:rFonts w:ascii="宋体" w:eastAsia="宋体" w:hAnsi="宋体"/>
                <w:szCs w:val="18"/>
              </w:rPr>
            </w:pPr>
            <w:r w:rsidRPr="008372A8">
              <w:rPr>
                <w:rFonts w:ascii="宋体" w:eastAsia="宋体" w:hAnsi="宋体" w:hint="eastAsia"/>
                <w:szCs w:val="18"/>
              </w:rPr>
              <w:t>20%</w:t>
            </w:r>
          </w:p>
        </w:tc>
        <w:tc>
          <w:tcPr>
            <w:tcW w:w="227" w:type="dxa"/>
            <w:vMerge/>
            <w:vAlign w:val="center"/>
          </w:tcPr>
          <w:p w:rsidR="00C411DC" w:rsidRPr="00ED22EB" w:rsidRDefault="00C411DC" w:rsidP="007F40D7">
            <w:pPr>
              <w:jc w:val="center"/>
              <w:rPr>
                <w:rFonts w:ascii="宋体" w:eastAsia="宋体" w:hAnsi="宋体"/>
                <w:szCs w:val="18"/>
              </w:rPr>
            </w:pPr>
          </w:p>
        </w:tc>
        <w:tc>
          <w:tcPr>
            <w:tcW w:w="1164" w:type="dxa"/>
            <w:tcBorders>
              <w:top w:val="single" w:sz="4" w:space="0" w:color="00A0E9"/>
              <w:bottom w:val="single" w:sz="4" w:space="0" w:color="00A0E9"/>
            </w:tcBorders>
            <w:shd w:val="clear" w:color="auto" w:fill="auto"/>
            <w:vAlign w:val="center"/>
          </w:tcPr>
          <w:p w:rsidR="00C411DC" w:rsidRPr="003B170A" w:rsidRDefault="00C411DC" w:rsidP="007F40D7">
            <w:pPr>
              <w:jc w:val="center"/>
              <w:rPr>
                <w:rFonts w:ascii="宋体" w:eastAsia="宋体" w:hAnsi="宋体"/>
                <w:b/>
                <w:szCs w:val="18"/>
              </w:rPr>
            </w:pPr>
            <w:r w:rsidRPr="003B170A">
              <w:rPr>
                <w:rFonts w:ascii="宋体" w:eastAsia="宋体" w:hAnsi="宋体" w:hint="eastAsia"/>
                <w:b/>
                <w:szCs w:val="18"/>
              </w:rPr>
              <w:t>广发消费品</w:t>
            </w:r>
          </w:p>
        </w:tc>
        <w:tc>
          <w:tcPr>
            <w:tcW w:w="992" w:type="dxa"/>
            <w:tcBorders>
              <w:top w:val="single" w:sz="4" w:space="0" w:color="00A0E9"/>
              <w:bottom w:val="single" w:sz="4" w:space="0" w:color="00A0E9"/>
            </w:tcBorders>
            <w:shd w:val="clear" w:color="auto" w:fill="auto"/>
            <w:vAlign w:val="center"/>
          </w:tcPr>
          <w:p w:rsidR="00C411DC" w:rsidRPr="003B170A" w:rsidRDefault="00C411DC" w:rsidP="007F40D7">
            <w:pPr>
              <w:jc w:val="center"/>
              <w:rPr>
                <w:rFonts w:ascii="宋体" w:eastAsia="宋体" w:hAnsi="宋体"/>
                <w:szCs w:val="18"/>
              </w:rPr>
            </w:pPr>
            <w:r w:rsidRPr="003B170A">
              <w:rPr>
                <w:rFonts w:ascii="宋体" w:eastAsia="宋体" w:hAnsi="宋体" w:hint="eastAsia"/>
                <w:szCs w:val="18"/>
              </w:rPr>
              <w:t>股票型</w:t>
            </w:r>
          </w:p>
        </w:tc>
        <w:tc>
          <w:tcPr>
            <w:tcW w:w="1007" w:type="dxa"/>
            <w:tcBorders>
              <w:top w:val="single" w:sz="4" w:space="0" w:color="00A0E9"/>
              <w:bottom w:val="single" w:sz="4" w:space="0" w:color="00A0E9"/>
            </w:tcBorders>
            <w:shd w:val="clear" w:color="auto" w:fill="auto"/>
            <w:vAlign w:val="center"/>
          </w:tcPr>
          <w:p w:rsidR="00C411DC" w:rsidRPr="00074811" w:rsidRDefault="00C411DC" w:rsidP="007F40D7">
            <w:pPr>
              <w:jc w:val="center"/>
              <w:rPr>
                <w:rFonts w:ascii="宋体" w:eastAsia="宋体" w:hAnsi="宋体"/>
                <w:szCs w:val="18"/>
              </w:rPr>
            </w:pPr>
            <w:r w:rsidRPr="00074811">
              <w:rPr>
                <w:rFonts w:ascii="宋体" w:eastAsia="宋体" w:hAnsi="宋体" w:hint="eastAsia"/>
                <w:szCs w:val="18"/>
              </w:rPr>
              <w:t>程琨</w:t>
            </w:r>
          </w:p>
        </w:tc>
        <w:tc>
          <w:tcPr>
            <w:tcW w:w="1054" w:type="dxa"/>
            <w:tcBorders>
              <w:top w:val="single" w:sz="4" w:space="0" w:color="00A0E9"/>
              <w:bottom w:val="single" w:sz="4" w:space="0" w:color="00A0E9"/>
            </w:tcBorders>
            <w:shd w:val="clear" w:color="auto" w:fill="auto"/>
            <w:vAlign w:val="center"/>
          </w:tcPr>
          <w:p w:rsidR="00C411DC" w:rsidRPr="003B170A" w:rsidRDefault="00C411DC" w:rsidP="007F40D7">
            <w:pPr>
              <w:jc w:val="center"/>
              <w:rPr>
                <w:rFonts w:ascii="宋体" w:eastAsia="宋体" w:hAnsi="宋体"/>
                <w:szCs w:val="18"/>
              </w:rPr>
            </w:pPr>
            <w:r w:rsidRPr="003B170A">
              <w:rPr>
                <w:rFonts w:ascii="宋体" w:eastAsia="宋体" w:hAnsi="宋体" w:hint="eastAsia"/>
                <w:szCs w:val="18"/>
              </w:rPr>
              <w:t>广发</w:t>
            </w:r>
          </w:p>
        </w:tc>
        <w:tc>
          <w:tcPr>
            <w:tcW w:w="1056" w:type="dxa"/>
            <w:tcBorders>
              <w:top w:val="single" w:sz="4" w:space="0" w:color="00A0E9"/>
              <w:bottom w:val="single" w:sz="4" w:space="0" w:color="00A0E9"/>
            </w:tcBorders>
            <w:shd w:val="clear" w:color="auto" w:fill="auto"/>
            <w:vAlign w:val="center"/>
          </w:tcPr>
          <w:p w:rsidR="00C411DC" w:rsidRDefault="00C411DC" w:rsidP="007F40D7">
            <w:pPr>
              <w:jc w:val="center"/>
              <w:rPr>
                <w:rFonts w:ascii="宋体" w:eastAsia="宋体" w:hAnsi="宋体"/>
                <w:szCs w:val="18"/>
              </w:rPr>
            </w:pPr>
            <w:r>
              <w:rPr>
                <w:rFonts w:ascii="宋体" w:eastAsia="宋体" w:hAnsi="宋体" w:hint="eastAsia"/>
                <w:szCs w:val="18"/>
              </w:rPr>
              <w:t>20%</w:t>
            </w:r>
          </w:p>
        </w:tc>
      </w:tr>
      <w:tr w:rsidR="00C411DC" w:rsidRPr="001961D3" w:rsidTr="007F40D7">
        <w:trPr>
          <w:cantSplit/>
          <w:trHeight w:val="340"/>
        </w:trPr>
        <w:tc>
          <w:tcPr>
            <w:tcW w:w="1134" w:type="dxa"/>
            <w:tcBorders>
              <w:top w:val="single" w:sz="4" w:space="0" w:color="00A0E9"/>
              <w:bottom w:val="single" w:sz="4" w:space="0" w:color="00A0E9"/>
            </w:tcBorders>
            <w:shd w:val="clear" w:color="auto" w:fill="auto"/>
            <w:vAlign w:val="center"/>
          </w:tcPr>
          <w:p w:rsidR="00C411DC" w:rsidRPr="003B170A" w:rsidRDefault="00C411DC" w:rsidP="007F40D7">
            <w:pPr>
              <w:jc w:val="center"/>
              <w:rPr>
                <w:rFonts w:ascii="宋体" w:eastAsia="宋体" w:hAnsi="宋体"/>
                <w:b/>
                <w:szCs w:val="18"/>
              </w:rPr>
            </w:pPr>
            <w:r w:rsidRPr="003B170A">
              <w:rPr>
                <w:rFonts w:ascii="宋体" w:eastAsia="宋体" w:hAnsi="宋体" w:hint="eastAsia"/>
                <w:b/>
                <w:szCs w:val="18"/>
              </w:rPr>
              <w:lastRenderedPageBreak/>
              <w:t>华泰量化增强</w:t>
            </w:r>
          </w:p>
        </w:tc>
        <w:tc>
          <w:tcPr>
            <w:tcW w:w="993" w:type="dxa"/>
            <w:tcBorders>
              <w:top w:val="single" w:sz="4" w:space="0" w:color="00A0E9"/>
              <w:bottom w:val="single" w:sz="4" w:space="0" w:color="00A0E9"/>
            </w:tcBorders>
            <w:shd w:val="clear" w:color="auto" w:fill="auto"/>
            <w:vAlign w:val="center"/>
          </w:tcPr>
          <w:p w:rsidR="00C411DC" w:rsidRPr="003B170A" w:rsidRDefault="00C411DC" w:rsidP="007F40D7">
            <w:pPr>
              <w:jc w:val="center"/>
              <w:rPr>
                <w:rFonts w:ascii="宋体" w:eastAsia="宋体" w:hAnsi="宋体"/>
                <w:szCs w:val="18"/>
              </w:rPr>
            </w:pPr>
            <w:r w:rsidRPr="003B170A">
              <w:rPr>
                <w:rFonts w:ascii="宋体" w:eastAsia="宋体" w:hAnsi="宋体" w:hint="eastAsia"/>
                <w:szCs w:val="18"/>
              </w:rPr>
              <w:t>股票型</w:t>
            </w:r>
          </w:p>
        </w:tc>
        <w:tc>
          <w:tcPr>
            <w:tcW w:w="1036" w:type="dxa"/>
            <w:tcBorders>
              <w:top w:val="single" w:sz="4" w:space="0" w:color="00A0E9"/>
              <w:bottom w:val="single" w:sz="4" w:space="0" w:color="00A0E9"/>
            </w:tcBorders>
            <w:shd w:val="clear" w:color="auto" w:fill="auto"/>
            <w:vAlign w:val="center"/>
          </w:tcPr>
          <w:p w:rsidR="00C411DC" w:rsidRPr="006E0CA2" w:rsidRDefault="00C411DC" w:rsidP="007F40D7">
            <w:pPr>
              <w:jc w:val="center"/>
              <w:rPr>
                <w:rFonts w:ascii="宋体" w:eastAsia="宋体" w:hAnsi="宋体"/>
                <w:szCs w:val="18"/>
              </w:rPr>
            </w:pPr>
            <w:r>
              <w:rPr>
                <w:rFonts w:ascii="宋体" w:eastAsia="宋体" w:hAnsi="宋体" w:hint="eastAsia"/>
                <w:szCs w:val="18"/>
              </w:rPr>
              <w:t>田汉卿</w:t>
            </w:r>
          </w:p>
        </w:tc>
        <w:tc>
          <w:tcPr>
            <w:tcW w:w="1054" w:type="dxa"/>
            <w:tcBorders>
              <w:top w:val="single" w:sz="4" w:space="0" w:color="00A0E9"/>
              <w:bottom w:val="single" w:sz="4" w:space="0" w:color="00A0E9"/>
            </w:tcBorders>
            <w:shd w:val="clear" w:color="auto" w:fill="auto"/>
            <w:vAlign w:val="center"/>
          </w:tcPr>
          <w:p w:rsidR="00C411DC" w:rsidRPr="008372A8" w:rsidRDefault="00C411DC" w:rsidP="007F40D7">
            <w:pPr>
              <w:jc w:val="center"/>
              <w:rPr>
                <w:rFonts w:ascii="宋体" w:eastAsia="宋体" w:hAnsi="宋体"/>
                <w:szCs w:val="18"/>
              </w:rPr>
            </w:pPr>
            <w:r>
              <w:rPr>
                <w:rFonts w:ascii="宋体" w:eastAsia="宋体" w:hAnsi="宋体" w:hint="eastAsia"/>
                <w:szCs w:val="18"/>
              </w:rPr>
              <w:t>华泰柏瑞</w:t>
            </w:r>
          </w:p>
        </w:tc>
        <w:tc>
          <w:tcPr>
            <w:tcW w:w="1055" w:type="dxa"/>
            <w:tcBorders>
              <w:top w:val="single" w:sz="4" w:space="0" w:color="00A0E9"/>
              <w:bottom w:val="single" w:sz="4" w:space="0" w:color="00A0E9"/>
            </w:tcBorders>
            <w:shd w:val="clear" w:color="auto" w:fill="auto"/>
            <w:vAlign w:val="center"/>
          </w:tcPr>
          <w:p w:rsidR="00C411DC" w:rsidRPr="008372A8" w:rsidRDefault="00C411DC" w:rsidP="007F40D7">
            <w:pPr>
              <w:jc w:val="center"/>
              <w:rPr>
                <w:rFonts w:ascii="宋体" w:eastAsia="宋体" w:hAnsi="宋体"/>
                <w:szCs w:val="18"/>
              </w:rPr>
            </w:pPr>
            <w:r w:rsidRPr="008372A8">
              <w:rPr>
                <w:rFonts w:ascii="宋体" w:eastAsia="宋体" w:hAnsi="宋体" w:hint="eastAsia"/>
                <w:szCs w:val="18"/>
              </w:rPr>
              <w:t>20%</w:t>
            </w:r>
          </w:p>
        </w:tc>
        <w:tc>
          <w:tcPr>
            <w:tcW w:w="227" w:type="dxa"/>
            <w:vMerge/>
            <w:vAlign w:val="center"/>
          </w:tcPr>
          <w:p w:rsidR="00C411DC" w:rsidRPr="00ED22EB" w:rsidRDefault="00C411DC" w:rsidP="007F40D7">
            <w:pPr>
              <w:jc w:val="center"/>
              <w:rPr>
                <w:rFonts w:ascii="宋体" w:eastAsia="宋体" w:hAnsi="宋体"/>
                <w:szCs w:val="18"/>
              </w:rPr>
            </w:pPr>
          </w:p>
        </w:tc>
        <w:tc>
          <w:tcPr>
            <w:tcW w:w="1164" w:type="dxa"/>
            <w:tcBorders>
              <w:top w:val="single" w:sz="4" w:space="0" w:color="00A0E9"/>
              <w:bottom w:val="single" w:sz="4" w:space="0" w:color="00A0E9"/>
            </w:tcBorders>
            <w:shd w:val="clear" w:color="auto" w:fill="auto"/>
            <w:vAlign w:val="center"/>
          </w:tcPr>
          <w:p w:rsidR="00C411DC" w:rsidRPr="00C23493" w:rsidRDefault="00C411DC" w:rsidP="007F40D7">
            <w:pPr>
              <w:jc w:val="center"/>
              <w:rPr>
                <w:rFonts w:ascii="宋体" w:eastAsia="宋体" w:hAnsi="宋体"/>
                <w:b/>
                <w:szCs w:val="18"/>
              </w:rPr>
            </w:pPr>
            <w:r w:rsidRPr="00C23493">
              <w:rPr>
                <w:rFonts w:ascii="宋体" w:eastAsia="宋体" w:hAnsi="宋体" w:hint="eastAsia"/>
                <w:b/>
                <w:szCs w:val="18"/>
              </w:rPr>
              <w:t>招商收益</w:t>
            </w:r>
          </w:p>
        </w:tc>
        <w:tc>
          <w:tcPr>
            <w:tcW w:w="992" w:type="dxa"/>
            <w:tcBorders>
              <w:top w:val="single" w:sz="4" w:space="0" w:color="00A0E9"/>
              <w:bottom w:val="single" w:sz="4" w:space="0" w:color="00A0E9"/>
            </w:tcBorders>
            <w:shd w:val="clear" w:color="auto" w:fill="auto"/>
            <w:vAlign w:val="center"/>
          </w:tcPr>
          <w:p w:rsidR="00C411DC" w:rsidRPr="00C23493" w:rsidRDefault="00C411DC" w:rsidP="007F40D7">
            <w:pPr>
              <w:jc w:val="center"/>
              <w:rPr>
                <w:rFonts w:ascii="宋体" w:eastAsia="宋体" w:hAnsi="宋体"/>
                <w:szCs w:val="18"/>
              </w:rPr>
            </w:pPr>
            <w:r w:rsidRPr="00C23493">
              <w:rPr>
                <w:rFonts w:ascii="宋体" w:eastAsia="宋体" w:hAnsi="宋体" w:hint="eastAsia"/>
                <w:szCs w:val="18"/>
              </w:rPr>
              <w:t>债券</w:t>
            </w:r>
            <w:r w:rsidRPr="002C2E6E">
              <w:rPr>
                <w:rFonts w:ascii="楷体" w:eastAsia="楷体" w:hAnsi="楷体"/>
                <w:szCs w:val="18"/>
              </w:rPr>
              <w:t>-</w:t>
            </w:r>
            <w:r w:rsidRPr="00C23493">
              <w:rPr>
                <w:rFonts w:ascii="宋体" w:eastAsia="宋体" w:hAnsi="宋体" w:hint="eastAsia"/>
                <w:szCs w:val="18"/>
              </w:rPr>
              <w:t>新股申购型</w:t>
            </w:r>
          </w:p>
        </w:tc>
        <w:tc>
          <w:tcPr>
            <w:tcW w:w="1007" w:type="dxa"/>
            <w:tcBorders>
              <w:top w:val="single" w:sz="4" w:space="0" w:color="00A0E9"/>
              <w:bottom w:val="single" w:sz="4" w:space="0" w:color="00A0E9"/>
            </w:tcBorders>
            <w:shd w:val="clear" w:color="auto" w:fill="auto"/>
            <w:vAlign w:val="center"/>
          </w:tcPr>
          <w:p w:rsidR="00C411DC" w:rsidRPr="008372A8" w:rsidRDefault="00C411DC" w:rsidP="007F40D7">
            <w:pPr>
              <w:jc w:val="center"/>
              <w:rPr>
                <w:rFonts w:ascii="宋体" w:eastAsia="宋体" w:hAnsi="宋体"/>
                <w:szCs w:val="18"/>
              </w:rPr>
            </w:pPr>
            <w:r>
              <w:rPr>
                <w:rFonts w:ascii="宋体" w:eastAsia="宋体" w:hAnsi="宋体" w:hint="eastAsia"/>
                <w:szCs w:val="18"/>
              </w:rPr>
              <w:t>孙海波、马龙</w:t>
            </w:r>
          </w:p>
        </w:tc>
        <w:tc>
          <w:tcPr>
            <w:tcW w:w="1054" w:type="dxa"/>
            <w:tcBorders>
              <w:top w:val="single" w:sz="4" w:space="0" w:color="00A0E9"/>
              <w:bottom w:val="single" w:sz="4" w:space="0" w:color="00A0E9"/>
            </w:tcBorders>
            <w:shd w:val="clear" w:color="auto" w:fill="auto"/>
            <w:vAlign w:val="center"/>
          </w:tcPr>
          <w:p w:rsidR="00C411DC" w:rsidRPr="008372A8" w:rsidRDefault="00C411DC" w:rsidP="007F40D7">
            <w:pPr>
              <w:jc w:val="center"/>
              <w:rPr>
                <w:rFonts w:ascii="宋体" w:eastAsia="宋体" w:hAnsi="宋体"/>
                <w:szCs w:val="18"/>
              </w:rPr>
            </w:pPr>
            <w:r>
              <w:rPr>
                <w:rFonts w:ascii="宋体" w:eastAsia="宋体" w:hAnsi="宋体" w:hint="eastAsia"/>
                <w:szCs w:val="18"/>
              </w:rPr>
              <w:t>招商</w:t>
            </w:r>
          </w:p>
        </w:tc>
        <w:tc>
          <w:tcPr>
            <w:tcW w:w="1056" w:type="dxa"/>
            <w:tcBorders>
              <w:top w:val="single" w:sz="4" w:space="0" w:color="00A0E9"/>
              <w:bottom w:val="single" w:sz="4" w:space="0" w:color="00A0E9"/>
            </w:tcBorders>
            <w:shd w:val="clear" w:color="auto" w:fill="auto"/>
            <w:vAlign w:val="center"/>
          </w:tcPr>
          <w:p w:rsidR="00C411DC" w:rsidRPr="008372A8" w:rsidRDefault="00C411DC" w:rsidP="007F40D7">
            <w:pPr>
              <w:jc w:val="center"/>
              <w:rPr>
                <w:rFonts w:ascii="宋体" w:eastAsia="宋体" w:hAnsi="宋体"/>
                <w:szCs w:val="18"/>
              </w:rPr>
            </w:pPr>
            <w:r>
              <w:rPr>
                <w:rFonts w:ascii="宋体" w:eastAsia="宋体" w:hAnsi="宋体" w:hint="eastAsia"/>
                <w:szCs w:val="18"/>
              </w:rPr>
              <w:t>20</w:t>
            </w:r>
            <w:r w:rsidRPr="008372A8">
              <w:rPr>
                <w:rFonts w:ascii="宋体" w:eastAsia="宋体" w:hAnsi="宋体" w:hint="eastAsia"/>
                <w:szCs w:val="18"/>
              </w:rPr>
              <w:t>%</w:t>
            </w:r>
          </w:p>
        </w:tc>
      </w:tr>
      <w:tr w:rsidR="00C411DC" w:rsidRPr="001961D3" w:rsidTr="007F40D7">
        <w:trPr>
          <w:cantSplit/>
          <w:trHeight w:val="340"/>
        </w:trPr>
        <w:tc>
          <w:tcPr>
            <w:tcW w:w="1134" w:type="dxa"/>
            <w:tcBorders>
              <w:top w:val="single" w:sz="4" w:space="0" w:color="00A0E9"/>
              <w:bottom w:val="single" w:sz="4" w:space="0" w:color="00A0E9"/>
            </w:tcBorders>
            <w:shd w:val="clear" w:color="auto" w:fill="auto"/>
            <w:vAlign w:val="center"/>
          </w:tcPr>
          <w:p w:rsidR="00C411DC" w:rsidRPr="00CE2F1A" w:rsidRDefault="00C411DC" w:rsidP="007F40D7">
            <w:pPr>
              <w:jc w:val="center"/>
              <w:rPr>
                <w:rFonts w:ascii="宋体" w:eastAsia="宋体" w:hAnsi="宋体"/>
                <w:b/>
                <w:szCs w:val="18"/>
              </w:rPr>
            </w:pPr>
            <w:r>
              <w:rPr>
                <w:rFonts w:ascii="宋体" w:eastAsia="宋体" w:hAnsi="宋体" w:hint="eastAsia"/>
                <w:b/>
                <w:szCs w:val="18"/>
              </w:rPr>
              <w:t>广发行业</w:t>
            </w:r>
          </w:p>
        </w:tc>
        <w:tc>
          <w:tcPr>
            <w:tcW w:w="993" w:type="dxa"/>
            <w:tcBorders>
              <w:top w:val="single" w:sz="4" w:space="0" w:color="00A0E9"/>
              <w:bottom w:val="single" w:sz="4" w:space="0" w:color="00A0E9"/>
            </w:tcBorders>
            <w:shd w:val="clear" w:color="auto" w:fill="auto"/>
            <w:vAlign w:val="center"/>
          </w:tcPr>
          <w:p w:rsidR="00C411DC" w:rsidRPr="00CE2F1A" w:rsidRDefault="00C411DC" w:rsidP="007F40D7">
            <w:pPr>
              <w:jc w:val="center"/>
              <w:rPr>
                <w:rFonts w:ascii="宋体" w:eastAsia="宋体" w:hAnsi="宋体"/>
                <w:szCs w:val="18"/>
              </w:rPr>
            </w:pPr>
            <w:r w:rsidRPr="00CE2F1A">
              <w:rPr>
                <w:rFonts w:ascii="宋体" w:eastAsia="宋体" w:hAnsi="宋体" w:hint="eastAsia"/>
                <w:szCs w:val="18"/>
              </w:rPr>
              <w:t>股票型</w:t>
            </w:r>
          </w:p>
        </w:tc>
        <w:tc>
          <w:tcPr>
            <w:tcW w:w="1036" w:type="dxa"/>
            <w:tcBorders>
              <w:top w:val="single" w:sz="4" w:space="0" w:color="00A0E9"/>
              <w:bottom w:val="single" w:sz="4" w:space="0" w:color="00A0E9"/>
            </w:tcBorders>
            <w:shd w:val="clear" w:color="auto" w:fill="auto"/>
            <w:vAlign w:val="center"/>
          </w:tcPr>
          <w:p w:rsidR="00C411DC" w:rsidRPr="006E0CA2" w:rsidRDefault="00C411DC" w:rsidP="007F40D7">
            <w:pPr>
              <w:jc w:val="center"/>
              <w:rPr>
                <w:rFonts w:ascii="宋体" w:eastAsia="宋体" w:hAnsi="宋体"/>
                <w:szCs w:val="18"/>
              </w:rPr>
            </w:pPr>
            <w:r>
              <w:rPr>
                <w:rFonts w:ascii="宋体" w:eastAsia="宋体" w:hAnsi="宋体" w:hint="eastAsia"/>
                <w:szCs w:val="18"/>
              </w:rPr>
              <w:t>刘晓龙</w:t>
            </w:r>
          </w:p>
        </w:tc>
        <w:tc>
          <w:tcPr>
            <w:tcW w:w="1054" w:type="dxa"/>
            <w:tcBorders>
              <w:top w:val="single" w:sz="4" w:space="0" w:color="00A0E9"/>
              <w:bottom w:val="single" w:sz="4" w:space="0" w:color="00A0E9"/>
            </w:tcBorders>
            <w:shd w:val="clear" w:color="auto" w:fill="auto"/>
            <w:vAlign w:val="center"/>
          </w:tcPr>
          <w:p w:rsidR="00C411DC" w:rsidRDefault="00C411DC" w:rsidP="007F40D7">
            <w:pPr>
              <w:jc w:val="center"/>
              <w:rPr>
                <w:rFonts w:ascii="宋体" w:eastAsia="宋体" w:hAnsi="宋体"/>
                <w:szCs w:val="18"/>
              </w:rPr>
            </w:pPr>
            <w:r>
              <w:rPr>
                <w:rFonts w:ascii="宋体" w:eastAsia="宋体" w:hAnsi="宋体" w:hint="eastAsia"/>
                <w:szCs w:val="18"/>
              </w:rPr>
              <w:t>广发</w:t>
            </w:r>
          </w:p>
        </w:tc>
        <w:tc>
          <w:tcPr>
            <w:tcW w:w="1055" w:type="dxa"/>
            <w:tcBorders>
              <w:top w:val="single" w:sz="4" w:space="0" w:color="00A0E9"/>
              <w:bottom w:val="single" w:sz="4" w:space="0" w:color="00A0E9"/>
            </w:tcBorders>
            <w:shd w:val="clear" w:color="auto" w:fill="auto"/>
            <w:vAlign w:val="center"/>
          </w:tcPr>
          <w:p w:rsidR="00C411DC" w:rsidRDefault="00C411DC" w:rsidP="007F40D7">
            <w:pPr>
              <w:jc w:val="center"/>
              <w:rPr>
                <w:rFonts w:ascii="宋体" w:eastAsia="宋体" w:hAnsi="宋体"/>
                <w:szCs w:val="18"/>
              </w:rPr>
            </w:pPr>
            <w:r>
              <w:rPr>
                <w:rFonts w:ascii="宋体" w:eastAsia="宋体" w:hAnsi="宋体" w:hint="eastAsia"/>
                <w:szCs w:val="18"/>
              </w:rPr>
              <w:t>20%</w:t>
            </w:r>
          </w:p>
        </w:tc>
        <w:tc>
          <w:tcPr>
            <w:tcW w:w="227" w:type="dxa"/>
            <w:vMerge/>
            <w:vAlign w:val="center"/>
          </w:tcPr>
          <w:p w:rsidR="00C411DC" w:rsidRPr="00ED22EB" w:rsidRDefault="00C411DC" w:rsidP="007F40D7">
            <w:pPr>
              <w:jc w:val="center"/>
              <w:rPr>
                <w:rFonts w:ascii="宋体" w:eastAsia="宋体" w:hAnsi="宋体"/>
                <w:szCs w:val="18"/>
              </w:rPr>
            </w:pPr>
          </w:p>
        </w:tc>
        <w:tc>
          <w:tcPr>
            <w:tcW w:w="1164" w:type="dxa"/>
            <w:tcBorders>
              <w:top w:val="single" w:sz="4" w:space="0" w:color="00A0E9"/>
              <w:bottom w:val="single" w:sz="4" w:space="0" w:color="00A0E9"/>
            </w:tcBorders>
            <w:shd w:val="clear" w:color="auto" w:fill="auto"/>
            <w:vAlign w:val="center"/>
          </w:tcPr>
          <w:p w:rsidR="00C411DC" w:rsidRPr="00A579E1" w:rsidRDefault="00C411DC" w:rsidP="007F40D7">
            <w:pPr>
              <w:jc w:val="center"/>
              <w:rPr>
                <w:rFonts w:ascii="宋体" w:eastAsia="宋体" w:hAnsi="宋体"/>
                <w:b/>
                <w:szCs w:val="18"/>
              </w:rPr>
            </w:pPr>
            <w:r>
              <w:rPr>
                <w:rFonts w:ascii="宋体" w:eastAsia="宋体" w:hAnsi="宋体" w:hint="eastAsia"/>
                <w:b/>
                <w:szCs w:val="18"/>
              </w:rPr>
              <w:t>南方多利</w:t>
            </w:r>
          </w:p>
        </w:tc>
        <w:tc>
          <w:tcPr>
            <w:tcW w:w="992" w:type="dxa"/>
            <w:tcBorders>
              <w:top w:val="single" w:sz="4" w:space="0" w:color="00A0E9"/>
              <w:bottom w:val="single" w:sz="4" w:space="0" w:color="00A0E9"/>
            </w:tcBorders>
            <w:shd w:val="clear" w:color="auto" w:fill="auto"/>
            <w:vAlign w:val="center"/>
          </w:tcPr>
          <w:p w:rsidR="00C411DC" w:rsidRPr="00C23493" w:rsidRDefault="00C411DC" w:rsidP="007F40D7">
            <w:pPr>
              <w:jc w:val="center"/>
              <w:rPr>
                <w:rFonts w:ascii="宋体" w:eastAsia="宋体" w:hAnsi="宋体"/>
                <w:szCs w:val="18"/>
              </w:rPr>
            </w:pPr>
            <w:r w:rsidRPr="00C23493">
              <w:rPr>
                <w:rFonts w:ascii="宋体" w:eastAsia="宋体" w:hAnsi="宋体" w:hint="eastAsia"/>
                <w:szCs w:val="18"/>
              </w:rPr>
              <w:t>债券</w:t>
            </w:r>
            <w:r w:rsidRPr="002C2E6E">
              <w:rPr>
                <w:rFonts w:ascii="楷体" w:eastAsia="楷体" w:hAnsi="楷体"/>
                <w:szCs w:val="18"/>
              </w:rPr>
              <w:t>-</w:t>
            </w:r>
            <w:r w:rsidRPr="00C23493">
              <w:rPr>
                <w:rFonts w:ascii="宋体" w:eastAsia="宋体" w:hAnsi="宋体" w:hint="eastAsia"/>
                <w:szCs w:val="18"/>
              </w:rPr>
              <w:t>新股申购型</w:t>
            </w:r>
          </w:p>
        </w:tc>
        <w:tc>
          <w:tcPr>
            <w:tcW w:w="1007" w:type="dxa"/>
            <w:tcBorders>
              <w:top w:val="single" w:sz="4" w:space="0" w:color="00A0E9"/>
              <w:bottom w:val="single" w:sz="4" w:space="0" w:color="00A0E9"/>
            </w:tcBorders>
            <w:shd w:val="clear" w:color="auto" w:fill="auto"/>
            <w:vAlign w:val="center"/>
          </w:tcPr>
          <w:p w:rsidR="00C411DC" w:rsidRPr="00B803C4" w:rsidRDefault="00C411DC" w:rsidP="007F40D7">
            <w:pPr>
              <w:jc w:val="center"/>
              <w:rPr>
                <w:rFonts w:ascii="宋体" w:eastAsia="宋体" w:hAnsi="宋体"/>
                <w:bCs/>
                <w:szCs w:val="18"/>
              </w:rPr>
            </w:pPr>
            <w:r>
              <w:rPr>
                <w:rFonts w:ascii="宋体" w:eastAsia="宋体" w:hAnsi="宋体" w:hint="eastAsia"/>
                <w:bCs/>
                <w:szCs w:val="18"/>
              </w:rPr>
              <w:t>李璇</w:t>
            </w:r>
          </w:p>
        </w:tc>
        <w:tc>
          <w:tcPr>
            <w:tcW w:w="1054" w:type="dxa"/>
            <w:tcBorders>
              <w:top w:val="single" w:sz="4" w:space="0" w:color="00A0E9"/>
              <w:bottom w:val="single" w:sz="4" w:space="0" w:color="00A0E9"/>
            </w:tcBorders>
            <w:shd w:val="clear" w:color="auto" w:fill="auto"/>
            <w:vAlign w:val="center"/>
          </w:tcPr>
          <w:p w:rsidR="00C411DC" w:rsidRPr="007B282B" w:rsidRDefault="00C411DC" w:rsidP="007F40D7">
            <w:pPr>
              <w:jc w:val="center"/>
              <w:rPr>
                <w:rFonts w:ascii="宋体" w:eastAsia="宋体" w:hAnsi="宋体"/>
                <w:bCs/>
                <w:szCs w:val="18"/>
              </w:rPr>
            </w:pPr>
            <w:r>
              <w:rPr>
                <w:rFonts w:ascii="宋体" w:eastAsia="宋体" w:hAnsi="宋体" w:hint="eastAsia"/>
                <w:bCs/>
                <w:szCs w:val="18"/>
              </w:rPr>
              <w:t>南方</w:t>
            </w:r>
          </w:p>
        </w:tc>
        <w:tc>
          <w:tcPr>
            <w:tcW w:w="1056" w:type="dxa"/>
            <w:tcBorders>
              <w:top w:val="single" w:sz="4" w:space="0" w:color="00A0E9"/>
              <w:bottom w:val="single" w:sz="4" w:space="0" w:color="00A0E9"/>
            </w:tcBorders>
            <w:shd w:val="clear" w:color="auto" w:fill="auto"/>
            <w:vAlign w:val="center"/>
          </w:tcPr>
          <w:p w:rsidR="00C411DC" w:rsidRPr="007B282B" w:rsidRDefault="00C411DC" w:rsidP="007F40D7">
            <w:pPr>
              <w:jc w:val="center"/>
              <w:rPr>
                <w:rFonts w:ascii="宋体" w:eastAsia="宋体" w:hAnsi="宋体"/>
              </w:rPr>
            </w:pPr>
            <w:r>
              <w:rPr>
                <w:rFonts w:ascii="宋体" w:eastAsia="宋体" w:hAnsi="宋体" w:hint="eastAsia"/>
              </w:rPr>
              <w:t>20%</w:t>
            </w:r>
          </w:p>
        </w:tc>
      </w:tr>
      <w:tr w:rsidR="00C411DC" w:rsidRPr="001961D3" w:rsidTr="007F40D7">
        <w:trPr>
          <w:cantSplit/>
          <w:trHeight w:val="690"/>
        </w:trPr>
        <w:tc>
          <w:tcPr>
            <w:tcW w:w="5272" w:type="dxa"/>
            <w:gridSpan w:val="5"/>
            <w:tcBorders>
              <w:top w:val="single" w:sz="4" w:space="0" w:color="00A0E9"/>
              <w:bottom w:val="single" w:sz="4" w:space="0" w:color="00A0E9"/>
            </w:tcBorders>
            <w:shd w:val="clear" w:color="auto" w:fill="auto"/>
            <w:vAlign w:val="center"/>
          </w:tcPr>
          <w:p w:rsidR="00C411DC" w:rsidRPr="00DB0AFF" w:rsidRDefault="00C411DC" w:rsidP="007F40D7">
            <w:pPr>
              <w:jc w:val="left"/>
              <w:rPr>
                <w:rFonts w:ascii="宋体" w:eastAsia="宋体" w:hAnsi="宋体"/>
                <w:bCs/>
                <w:szCs w:val="18"/>
              </w:rPr>
            </w:pPr>
            <w:r w:rsidRPr="00187785">
              <w:rPr>
                <w:rFonts w:ascii="宋体" w:eastAsia="宋体" w:hAnsi="宋体" w:hint="eastAsia"/>
                <w:b/>
                <w:bCs/>
                <w:szCs w:val="18"/>
              </w:rPr>
              <w:t>组合说明：</w:t>
            </w:r>
            <w:r>
              <w:rPr>
                <w:rFonts w:ascii="宋体" w:eastAsia="宋体" w:hAnsi="宋体" w:hint="eastAsia"/>
                <w:bCs/>
                <w:szCs w:val="18"/>
              </w:rPr>
              <w:t>本月进攻性</w:t>
            </w:r>
            <w:r w:rsidRPr="00EF7A42">
              <w:rPr>
                <w:rFonts w:ascii="宋体" w:eastAsia="宋体" w:hAnsi="宋体" w:hint="eastAsia"/>
                <w:bCs/>
                <w:szCs w:val="18"/>
              </w:rPr>
              <w:t>组合</w:t>
            </w:r>
            <w:r>
              <w:rPr>
                <w:rFonts w:ascii="宋体" w:eastAsia="宋体" w:hAnsi="宋体" w:hint="eastAsia"/>
                <w:bCs/>
                <w:szCs w:val="18"/>
              </w:rPr>
              <w:t>调入国泰金泰平衡、</w:t>
            </w:r>
            <w:proofErr w:type="gramStart"/>
            <w:r>
              <w:rPr>
                <w:rFonts w:ascii="宋体" w:eastAsia="宋体" w:hAnsi="宋体" w:hint="eastAsia"/>
                <w:bCs/>
                <w:szCs w:val="18"/>
              </w:rPr>
              <w:t>添富价值</w:t>
            </w:r>
            <w:proofErr w:type="gramEnd"/>
            <w:r>
              <w:rPr>
                <w:rFonts w:ascii="宋体" w:eastAsia="宋体" w:hAnsi="宋体" w:hint="eastAsia"/>
                <w:bCs/>
                <w:szCs w:val="18"/>
              </w:rPr>
              <w:t>和华泰量化增强。权益类资产的比例实际降低同时整体风格</w:t>
            </w:r>
            <w:proofErr w:type="gramStart"/>
            <w:r>
              <w:rPr>
                <w:rFonts w:ascii="宋体" w:eastAsia="宋体" w:hAnsi="宋体" w:hint="eastAsia"/>
                <w:bCs/>
                <w:szCs w:val="18"/>
              </w:rPr>
              <w:t>侧重低</w:t>
            </w:r>
            <w:proofErr w:type="gramEnd"/>
            <w:r>
              <w:rPr>
                <w:rFonts w:ascii="宋体" w:eastAsia="宋体" w:hAnsi="宋体" w:hint="eastAsia"/>
                <w:bCs/>
                <w:szCs w:val="18"/>
              </w:rPr>
              <w:t>估值的价值蓝筹风格。其中，光大配置相对均衡，风险收益配比较好，且具备较强的选股能力；广发行业侧重中游制造业，基金经理注重灵活操作；华泰量化增强目前</w:t>
            </w:r>
            <w:proofErr w:type="gramStart"/>
            <w:r>
              <w:rPr>
                <w:rFonts w:ascii="宋体" w:eastAsia="宋体" w:hAnsi="宋体" w:hint="eastAsia"/>
                <w:bCs/>
                <w:szCs w:val="18"/>
              </w:rPr>
              <w:t>侧重低</w:t>
            </w:r>
            <w:proofErr w:type="gramEnd"/>
            <w:r>
              <w:rPr>
                <w:rFonts w:ascii="宋体" w:eastAsia="宋体" w:hAnsi="宋体" w:hint="eastAsia"/>
                <w:bCs/>
                <w:szCs w:val="18"/>
              </w:rPr>
              <w:t>估值的金融板块；</w:t>
            </w:r>
            <w:proofErr w:type="gramStart"/>
            <w:r>
              <w:rPr>
                <w:rFonts w:ascii="宋体" w:eastAsia="宋体" w:hAnsi="宋体" w:hint="eastAsia"/>
                <w:bCs/>
                <w:szCs w:val="18"/>
              </w:rPr>
              <w:t>添富价值</w:t>
            </w:r>
            <w:proofErr w:type="gramEnd"/>
            <w:r>
              <w:rPr>
                <w:rFonts w:ascii="宋体" w:eastAsia="宋体" w:hAnsi="宋体" w:hint="eastAsia"/>
                <w:bCs/>
                <w:szCs w:val="18"/>
              </w:rPr>
              <w:t>的基金经理对价值类板块有不错的把握且风险控制能力突出；国泰金</w:t>
            </w:r>
            <w:proofErr w:type="gramStart"/>
            <w:r>
              <w:rPr>
                <w:rFonts w:ascii="宋体" w:eastAsia="宋体" w:hAnsi="宋体" w:hint="eastAsia"/>
                <w:bCs/>
                <w:szCs w:val="18"/>
              </w:rPr>
              <w:t>泰目前</w:t>
            </w:r>
            <w:proofErr w:type="gramEnd"/>
            <w:r>
              <w:rPr>
                <w:rFonts w:ascii="宋体" w:eastAsia="宋体" w:hAnsi="宋体" w:hint="eastAsia"/>
                <w:bCs/>
                <w:szCs w:val="18"/>
              </w:rPr>
              <w:t>的股票</w:t>
            </w:r>
            <w:proofErr w:type="gramStart"/>
            <w:r>
              <w:rPr>
                <w:rFonts w:ascii="宋体" w:eastAsia="宋体" w:hAnsi="宋体" w:hint="eastAsia"/>
                <w:bCs/>
                <w:szCs w:val="18"/>
              </w:rPr>
              <w:t>仓位</w:t>
            </w:r>
            <w:proofErr w:type="gramEnd"/>
            <w:r>
              <w:rPr>
                <w:rFonts w:ascii="宋体" w:eastAsia="宋体" w:hAnsi="宋体" w:hint="eastAsia"/>
                <w:bCs/>
                <w:szCs w:val="18"/>
              </w:rPr>
              <w:t>非常低并以打新策略为主。</w:t>
            </w:r>
          </w:p>
        </w:tc>
        <w:tc>
          <w:tcPr>
            <w:tcW w:w="227" w:type="dxa"/>
          </w:tcPr>
          <w:p w:rsidR="00C411DC" w:rsidRPr="004334C6" w:rsidRDefault="00C411DC" w:rsidP="007F40D7">
            <w:pPr>
              <w:jc w:val="center"/>
            </w:pPr>
          </w:p>
        </w:tc>
        <w:tc>
          <w:tcPr>
            <w:tcW w:w="5273" w:type="dxa"/>
            <w:gridSpan w:val="5"/>
            <w:tcBorders>
              <w:top w:val="single" w:sz="4" w:space="0" w:color="00A0E9"/>
              <w:bottom w:val="single" w:sz="4" w:space="0" w:color="00A0E9"/>
            </w:tcBorders>
            <w:shd w:val="clear" w:color="auto" w:fill="auto"/>
            <w:vAlign w:val="center"/>
          </w:tcPr>
          <w:p w:rsidR="00C411DC" w:rsidRPr="001F4758" w:rsidRDefault="00C411DC" w:rsidP="007F40D7">
            <w:pPr>
              <w:jc w:val="left"/>
              <w:rPr>
                <w:rFonts w:ascii="宋体" w:eastAsia="宋体" w:hAnsi="宋体" w:cs="宋体"/>
                <w:b/>
                <w:bCs/>
                <w:szCs w:val="18"/>
              </w:rPr>
            </w:pPr>
            <w:r w:rsidRPr="001F4758">
              <w:rPr>
                <w:rFonts w:ascii="宋体" w:eastAsia="宋体" w:hAnsi="宋体" w:hint="eastAsia"/>
                <w:b/>
                <w:bCs/>
                <w:szCs w:val="18"/>
              </w:rPr>
              <w:t>组合说明：</w:t>
            </w:r>
            <w:r w:rsidRPr="001F4758">
              <w:rPr>
                <w:rFonts w:ascii="宋体" w:eastAsia="宋体" w:hAnsi="宋体" w:hint="eastAsia"/>
                <w:bCs/>
                <w:szCs w:val="18"/>
              </w:rPr>
              <w:t>防御型组合本月</w:t>
            </w:r>
            <w:r>
              <w:rPr>
                <w:rFonts w:ascii="宋体" w:eastAsia="宋体" w:hAnsi="宋体" w:hint="eastAsia"/>
                <w:bCs/>
                <w:szCs w:val="18"/>
              </w:rPr>
              <w:t>调入招商安泰股票、广发消费品和中欧瑾源，明显降低组合风险</w:t>
            </w:r>
            <w:r w:rsidRPr="001F4758">
              <w:rPr>
                <w:rFonts w:ascii="宋体" w:eastAsia="宋体" w:hAnsi="宋体" w:hint="eastAsia"/>
                <w:bCs/>
                <w:szCs w:val="18"/>
              </w:rPr>
              <w:t>。组合内</w:t>
            </w:r>
            <w:r>
              <w:rPr>
                <w:rFonts w:ascii="宋体" w:eastAsia="宋体" w:hAnsi="宋体" w:hint="eastAsia"/>
                <w:bCs/>
                <w:szCs w:val="18"/>
              </w:rPr>
              <w:t>广发消费品侧重消费蓝</w:t>
            </w:r>
            <w:proofErr w:type="gramStart"/>
            <w:r>
              <w:rPr>
                <w:rFonts w:ascii="宋体" w:eastAsia="宋体" w:hAnsi="宋体" w:hint="eastAsia"/>
                <w:bCs/>
                <w:szCs w:val="18"/>
              </w:rPr>
              <w:t>筹板块</w:t>
            </w:r>
            <w:proofErr w:type="gramEnd"/>
            <w:r>
              <w:rPr>
                <w:rFonts w:ascii="宋体" w:eastAsia="宋体" w:hAnsi="宋体" w:hint="eastAsia"/>
                <w:bCs/>
                <w:szCs w:val="18"/>
              </w:rPr>
              <w:t>投资，风格较为稳健，在今年消费类板块滞涨、具备估值优势的背景下适当关注；招商安泰</w:t>
            </w:r>
            <w:proofErr w:type="gramStart"/>
            <w:r>
              <w:rPr>
                <w:rFonts w:ascii="宋体" w:eastAsia="宋体" w:hAnsi="宋体" w:hint="eastAsia"/>
                <w:bCs/>
                <w:szCs w:val="18"/>
              </w:rPr>
              <w:t>股票股票仓位</w:t>
            </w:r>
            <w:proofErr w:type="gramEnd"/>
            <w:r>
              <w:rPr>
                <w:rFonts w:ascii="宋体" w:eastAsia="宋体" w:hAnsi="宋体" w:hint="eastAsia"/>
                <w:bCs/>
                <w:szCs w:val="18"/>
              </w:rPr>
              <w:t>适中，是一只风险收益水平相对较低的权益类品种，组合配置均衡且注重灵活；</w:t>
            </w:r>
            <w:proofErr w:type="gramStart"/>
            <w:r>
              <w:rPr>
                <w:rFonts w:ascii="宋体" w:eastAsia="宋体" w:hAnsi="宋体" w:hint="eastAsia"/>
                <w:bCs/>
                <w:szCs w:val="18"/>
              </w:rPr>
              <w:t>中欧瑾源是</w:t>
            </w:r>
            <w:proofErr w:type="gramEnd"/>
            <w:r>
              <w:rPr>
                <w:rFonts w:ascii="宋体" w:eastAsia="宋体" w:hAnsi="宋体" w:hint="eastAsia"/>
                <w:bCs/>
                <w:szCs w:val="18"/>
              </w:rPr>
              <w:t>一只以打新策略为主的绝对收益目标产品；</w:t>
            </w:r>
            <w:r w:rsidRPr="001F4758">
              <w:rPr>
                <w:rFonts w:ascii="宋体" w:eastAsia="宋体" w:hAnsi="宋体" w:hint="eastAsia"/>
                <w:bCs/>
                <w:szCs w:val="18"/>
              </w:rPr>
              <w:t>此外，两只债券型基金占据</w:t>
            </w:r>
            <w:r>
              <w:rPr>
                <w:rFonts w:ascii="宋体" w:eastAsia="宋体" w:hAnsi="宋体" w:hint="eastAsia"/>
                <w:bCs/>
                <w:szCs w:val="18"/>
              </w:rPr>
              <w:t>40</w:t>
            </w:r>
            <w:r w:rsidRPr="001F4758">
              <w:rPr>
                <w:rFonts w:ascii="宋体" w:eastAsia="宋体" w:hAnsi="宋体" w:hint="eastAsia"/>
                <w:bCs/>
                <w:szCs w:val="18"/>
              </w:rPr>
              <w:t>%的比例作为防御部分的配置。</w:t>
            </w:r>
          </w:p>
        </w:tc>
      </w:tr>
      <w:tr w:rsidR="00C411DC" w:rsidRPr="00A067AA" w:rsidTr="007F40D7">
        <w:tblPrEx>
          <w:tblBorders>
            <w:top w:val="single" w:sz="4" w:space="0" w:color="00A0E9"/>
            <w:insideH w:val="single" w:sz="4" w:space="0" w:color="00A0E9"/>
            <w:insideV w:val="single" w:sz="4" w:space="0" w:color="00A0E9"/>
          </w:tblBorders>
        </w:tblPrEx>
        <w:trPr>
          <w:cantSplit/>
          <w:trHeight w:val="200"/>
        </w:trPr>
        <w:tc>
          <w:tcPr>
            <w:tcW w:w="10772" w:type="dxa"/>
            <w:gridSpan w:val="11"/>
            <w:shd w:val="clear" w:color="auto" w:fill="auto"/>
            <w:vAlign w:val="center"/>
          </w:tcPr>
          <w:p w:rsidR="00C411DC" w:rsidRPr="00A067AA" w:rsidRDefault="00C411DC" w:rsidP="007F40D7">
            <w:pPr>
              <w:pStyle w:val="FootnoteNoline"/>
              <w:ind w:left="0"/>
            </w:pPr>
            <w:r>
              <w:rPr>
                <w:rFonts w:hint="eastAsia"/>
              </w:rPr>
              <w:t>来源：国金证券研究所</w:t>
            </w:r>
          </w:p>
        </w:tc>
      </w:tr>
    </w:tbl>
    <w:p w:rsidR="00C411DC" w:rsidRPr="00A067AA" w:rsidRDefault="00C411DC" w:rsidP="00C411DC">
      <w:pPr>
        <w:pStyle w:val="a0"/>
        <w:ind w:left="0"/>
      </w:pPr>
    </w:p>
    <w:tbl>
      <w:tblPr>
        <w:tblpPr w:leftFromText="180" w:rightFromText="180" w:vertAnchor="text" w:tblpY="1"/>
        <w:tblOverlap w:val="never"/>
        <w:tblW w:w="10772" w:type="dxa"/>
        <w:tblLayout w:type="fixed"/>
        <w:tblCellMar>
          <w:left w:w="0" w:type="dxa"/>
          <w:right w:w="0" w:type="dxa"/>
        </w:tblCellMar>
        <w:tblLook w:val="0000" w:firstRow="0" w:lastRow="0" w:firstColumn="0" w:lastColumn="0" w:noHBand="0" w:noVBand="0"/>
      </w:tblPr>
      <w:tblGrid>
        <w:gridCol w:w="1054"/>
        <w:gridCol w:w="1054"/>
        <w:gridCol w:w="1055"/>
        <w:gridCol w:w="1054"/>
        <w:gridCol w:w="1055"/>
        <w:gridCol w:w="227"/>
        <w:gridCol w:w="1054"/>
        <w:gridCol w:w="1054"/>
        <w:gridCol w:w="1055"/>
        <w:gridCol w:w="1054"/>
        <w:gridCol w:w="1056"/>
      </w:tblGrid>
      <w:tr w:rsidR="00C411DC" w:rsidTr="007F40D7">
        <w:trPr>
          <w:cantSplit/>
          <w:trHeight w:val="200"/>
        </w:trPr>
        <w:tc>
          <w:tcPr>
            <w:tcW w:w="5272" w:type="dxa"/>
            <w:gridSpan w:val="5"/>
            <w:tcBorders>
              <w:top w:val="single" w:sz="4" w:space="0" w:color="00A0E9"/>
              <w:bottom w:val="single" w:sz="4" w:space="0" w:color="00A0E9"/>
            </w:tcBorders>
            <w:shd w:val="clear" w:color="auto" w:fill="auto"/>
          </w:tcPr>
          <w:p w:rsidR="00C411DC" w:rsidRDefault="00C411DC" w:rsidP="007F40D7">
            <w:pPr>
              <w:pStyle w:val="SubTitleLargeTable"/>
            </w:pPr>
            <w:r>
              <w:rPr>
                <w:rFonts w:hint="eastAsia"/>
              </w:rPr>
              <w:t>图表</w:t>
            </w:r>
            <w:r w:rsidR="00A762D4">
              <w:fldChar w:fldCharType="begin"/>
            </w:r>
            <w:r>
              <w:instrText xml:space="preserve"> </w:instrText>
            </w:r>
            <w:r>
              <w:rPr>
                <w:rFonts w:hint="eastAsia"/>
              </w:rPr>
              <w:instrText xml:space="preserve">SEQ </w:instrText>
            </w:r>
            <w:r>
              <w:rPr>
                <w:rFonts w:hint="eastAsia"/>
              </w:rPr>
              <w:instrText>图表</w:instrText>
            </w:r>
            <w:r>
              <w:rPr>
                <w:rFonts w:hint="eastAsia"/>
              </w:rPr>
              <w:instrText xml:space="preserve"> \* ARABIC</w:instrText>
            </w:r>
            <w:r>
              <w:instrText xml:space="preserve"> </w:instrText>
            </w:r>
            <w:r w:rsidR="00A762D4">
              <w:fldChar w:fldCharType="separate"/>
            </w:r>
            <w:r>
              <w:rPr>
                <w:noProof/>
              </w:rPr>
              <w:t>14</w:t>
            </w:r>
            <w:r w:rsidR="00A762D4">
              <w:fldChar w:fldCharType="end"/>
            </w:r>
            <w:r>
              <w:rPr>
                <w:rFonts w:hint="eastAsia"/>
              </w:rPr>
              <w:t>：</w:t>
            </w:r>
            <w:r>
              <w:rPr>
                <w:rFonts w:hint="eastAsia"/>
              </w:rPr>
              <w:t>1507</w:t>
            </w:r>
            <w:r>
              <w:rPr>
                <w:rFonts w:hint="eastAsia"/>
              </w:rPr>
              <w:t>期灵活配置组合</w:t>
            </w:r>
            <w:r w:rsidRPr="003B46D0">
              <w:rPr>
                <w:rFonts w:hint="eastAsia"/>
              </w:rPr>
              <w:t>★</w:t>
            </w:r>
          </w:p>
        </w:tc>
        <w:tc>
          <w:tcPr>
            <w:tcW w:w="227" w:type="dxa"/>
          </w:tcPr>
          <w:p w:rsidR="00C411DC" w:rsidRPr="00816267" w:rsidRDefault="00C411DC" w:rsidP="007F40D7">
            <w:pPr>
              <w:pStyle w:val="a0"/>
              <w:spacing w:after="0" w:line="10" w:lineRule="atLeast"/>
              <w:ind w:left="0"/>
              <w:jc w:val="center"/>
              <w:rPr>
                <w:rFonts w:cs="Arial"/>
                <w:color w:val="auto"/>
              </w:rPr>
            </w:pPr>
          </w:p>
        </w:tc>
        <w:tc>
          <w:tcPr>
            <w:tcW w:w="5273" w:type="dxa"/>
            <w:gridSpan w:val="5"/>
            <w:tcBorders>
              <w:top w:val="single" w:sz="4" w:space="0" w:color="00A0E9"/>
              <w:bottom w:val="single" w:sz="4" w:space="0" w:color="00A0E9"/>
            </w:tcBorders>
            <w:shd w:val="clear" w:color="auto" w:fill="auto"/>
          </w:tcPr>
          <w:p w:rsidR="00C411DC" w:rsidRDefault="00C411DC" w:rsidP="007F40D7">
            <w:pPr>
              <w:pStyle w:val="SubTitleLargeTable"/>
            </w:pPr>
          </w:p>
        </w:tc>
      </w:tr>
      <w:tr w:rsidR="00C411DC" w:rsidRPr="004922F9" w:rsidTr="007F40D7">
        <w:trPr>
          <w:cantSplit/>
          <w:trHeight w:val="340"/>
        </w:trPr>
        <w:tc>
          <w:tcPr>
            <w:tcW w:w="1054" w:type="dxa"/>
            <w:tcBorders>
              <w:top w:val="single" w:sz="4" w:space="0" w:color="00A0E9"/>
              <w:bottom w:val="single" w:sz="4" w:space="0" w:color="00A0E9"/>
            </w:tcBorders>
            <w:shd w:val="clear" w:color="auto" w:fill="auto"/>
            <w:vAlign w:val="center"/>
          </w:tcPr>
          <w:p w:rsidR="00C411DC" w:rsidRPr="004922F9" w:rsidRDefault="00C411DC" w:rsidP="007F40D7">
            <w:pPr>
              <w:jc w:val="center"/>
              <w:rPr>
                <w:rFonts w:ascii="宋体" w:eastAsia="宋体" w:hAnsi="宋体"/>
                <w:b/>
                <w:szCs w:val="18"/>
              </w:rPr>
            </w:pPr>
            <w:r w:rsidRPr="004922F9">
              <w:rPr>
                <w:rFonts w:ascii="宋体" w:eastAsia="宋体" w:hAnsi="宋体" w:hint="eastAsia"/>
                <w:b/>
                <w:szCs w:val="18"/>
              </w:rPr>
              <w:t>基金名称</w:t>
            </w:r>
          </w:p>
        </w:tc>
        <w:tc>
          <w:tcPr>
            <w:tcW w:w="1054" w:type="dxa"/>
            <w:tcBorders>
              <w:top w:val="single" w:sz="4" w:space="0" w:color="00A0E9"/>
              <w:bottom w:val="single" w:sz="4" w:space="0" w:color="00A0E9"/>
            </w:tcBorders>
            <w:shd w:val="clear" w:color="auto" w:fill="auto"/>
            <w:vAlign w:val="center"/>
          </w:tcPr>
          <w:p w:rsidR="00C411DC" w:rsidRPr="004922F9" w:rsidRDefault="00C411DC" w:rsidP="007F40D7">
            <w:pPr>
              <w:jc w:val="center"/>
              <w:rPr>
                <w:rFonts w:ascii="宋体" w:eastAsia="宋体" w:hAnsi="宋体"/>
                <w:b/>
                <w:szCs w:val="18"/>
              </w:rPr>
            </w:pPr>
            <w:r>
              <w:rPr>
                <w:rFonts w:ascii="宋体" w:eastAsia="宋体" w:hAnsi="宋体" w:hint="eastAsia"/>
                <w:b/>
                <w:szCs w:val="18"/>
              </w:rPr>
              <w:t>基金</w:t>
            </w:r>
            <w:r w:rsidRPr="004922F9">
              <w:rPr>
                <w:rFonts w:ascii="宋体" w:eastAsia="宋体" w:hAnsi="宋体" w:hint="eastAsia"/>
                <w:b/>
                <w:szCs w:val="18"/>
              </w:rPr>
              <w:t>类型</w:t>
            </w:r>
          </w:p>
        </w:tc>
        <w:tc>
          <w:tcPr>
            <w:tcW w:w="1055" w:type="dxa"/>
            <w:tcBorders>
              <w:top w:val="single" w:sz="4" w:space="0" w:color="00A0E9"/>
              <w:bottom w:val="single" w:sz="4" w:space="0" w:color="00A0E9"/>
            </w:tcBorders>
            <w:shd w:val="clear" w:color="auto" w:fill="auto"/>
            <w:vAlign w:val="center"/>
          </w:tcPr>
          <w:p w:rsidR="00C411DC" w:rsidRPr="004922F9" w:rsidRDefault="00C411DC" w:rsidP="007F40D7">
            <w:pPr>
              <w:jc w:val="center"/>
              <w:rPr>
                <w:rFonts w:ascii="宋体" w:eastAsia="宋体" w:hAnsi="宋体"/>
                <w:b/>
                <w:szCs w:val="18"/>
              </w:rPr>
            </w:pPr>
            <w:r w:rsidRPr="004922F9">
              <w:rPr>
                <w:rFonts w:ascii="宋体" w:eastAsia="宋体" w:hAnsi="宋体" w:hint="eastAsia"/>
                <w:b/>
                <w:szCs w:val="18"/>
              </w:rPr>
              <w:t>基金经理</w:t>
            </w:r>
          </w:p>
        </w:tc>
        <w:tc>
          <w:tcPr>
            <w:tcW w:w="1054" w:type="dxa"/>
            <w:tcBorders>
              <w:top w:val="single" w:sz="4" w:space="0" w:color="00A0E9"/>
              <w:bottom w:val="single" w:sz="4" w:space="0" w:color="00A0E9"/>
            </w:tcBorders>
            <w:shd w:val="clear" w:color="auto" w:fill="auto"/>
            <w:vAlign w:val="center"/>
          </w:tcPr>
          <w:p w:rsidR="00C411DC" w:rsidRPr="004922F9" w:rsidRDefault="00C411DC" w:rsidP="007F40D7">
            <w:pPr>
              <w:jc w:val="center"/>
              <w:rPr>
                <w:rFonts w:ascii="宋体" w:eastAsia="宋体" w:hAnsi="宋体"/>
                <w:b/>
                <w:szCs w:val="18"/>
              </w:rPr>
            </w:pPr>
            <w:r w:rsidRPr="004922F9">
              <w:rPr>
                <w:rFonts w:ascii="宋体" w:eastAsia="宋体" w:hAnsi="宋体" w:hint="eastAsia"/>
                <w:b/>
                <w:szCs w:val="18"/>
              </w:rPr>
              <w:t>基金公司</w:t>
            </w:r>
          </w:p>
        </w:tc>
        <w:tc>
          <w:tcPr>
            <w:tcW w:w="1055" w:type="dxa"/>
            <w:tcBorders>
              <w:top w:val="single" w:sz="4" w:space="0" w:color="00A0E9"/>
              <w:bottom w:val="single" w:sz="4" w:space="0" w:color="00A0E9"/>
            </w:tcBorders>
            <w:shd w:val="clear" w:color="auto" w:fill="auto"/>
            <w:vAlign w:val="center"/>
          </w:tcPr>
          <w:p w:rsidR="00C411DC" w:rsidRPr="004922F9" w:rsidRDefault="00C411DC" w:rsidP="007F40D7">
            <w:pPr>
              <w:jc w:val="center"/>
              <w:rPr>
                <w:rFonts w:ascii="宋体" w:eastAsia="宋体" w:hAnsi="宋体"/>
                <w:b/>
                <w:szCs w:val="18"/>
              </w:rPr>
            </w:pPr>
            <w:r w:rsidRPr="004922F9">
              <w:rPr>
                <w:rFonts w:ascii="宋体" w:eastAsia="宋体" w:hAnsi="宋体" w:hint="eastAsia"/>
                <w:b/>
                <w:szCs w:val="18"/>
              </w:rPr>
              <w:t>投资权重</w:t>
            </w:r>
          </w:p>
        </w:tc>
        <w:tc>
          <w:tcPr>
            <w:tcW w:w="227" w:type="dxa"/>
            <w:vMerge w:val="restart"/>
            <w:vAlign w:val="center"/>
          </w:tcPr>
          <w:p w:rsidR="00C411DC" w:rsidRPr="001961D3" w:rsidRDefault="00C411DC" w:rsidP="007F40D7">
            <w:pPr>
              <w:jc w:val="center"/>
            </w:pPr>
          </w:p>
        </w:tc>
        <w:tc>
          <w:tcPr>
            <w:tcW w:w="1054" w:type="dxa"/>
            <w:tcBorders>
              <w:top w:val="single" w:sz="4" w:space="0" w:color="00A0E9"/>
              <w:bottom w:val="single" w:sz="4" w:space="0" w:color="00A0E9"/>
            </w:tcBorders>
            <w:shd w:val="clear" w:color="auto" w:fill="auto"/>
            <w:vAlign w:val="center"/>
          </w:tcPr>
          <w:p w:rsidR="00C411DC" w:rsidRPr="004922F9" w:rsidRDefault="00C411DC" w:rsidP="007F40D7">
            <w:pPr>
              <w:jc w:val="center"/>
              <w:rPr>
                <w:rFonts w:ascii="宋体" w:eastAsia="宋体" w:hAnsi="宋体"/>
                <w:b/>
                <w:szCs w:val="18"/>
              </w:rPr>
            </w:pPr>
          </w:p>
        </w:tc>
        <w:tc>
          <w:tcPr>
            <w:tcW w:w="1054" w:type="dxa"/>
            <w:tcBorders>
              <w:top w:val="single" w:sz="4" w:space="0" w:color="00A0E9"/>
              <w:bottom w:val="single" w:sz="4" w:space="0" w:color="00A0E9"/>
            </w:tcBorders>
            <w:shd w:val="clear" w:color="auto" w:fill="auto"/>
            <w:vAlign w:val="center"/>
          </w:tcPr>
          <w:p w:rsidR="00C411DC" w:rsidRPr="004922F9" w:rsidRDefault="00C411DC" w:rsidP="007F40D7">
            <w:pPr>
              <w:jc w:val="center"/>
              <w:rPr>
                <w:rFonts w:ascii="宋体" w:eastAsia="宋体" w:hAnsi="宋体"/>
                <w:b/>
                <w:szCs w:val="18"/>
              </w:rPr>
            </w:pPr>
          </w:p>
        </w:tc>
        <w:tc>
          <w:tcPr>
            <w:tcW w:w="1055" w:type="dxa"/>
            <w:tcBorders>
              <w:top w:val="single" w:sz="4" w:space="0" w:color="00A0E9"/>
              <w:bottom w:val="single" w:sz="4" w:space="0" w:color="00A0E9"/>
            </w:tcBorders>
            <w:shd w:val="clear" w:color="auto" w:fill="auto"/>
            <w:vAlign w:val="center"/>
          </w:tcPr>
          <w:p w:rsidR="00C411DC" w:rsidRPr="004922F9" w:rsidRDefault="00C411DC" w:rsidP="007F40D7">
            <w:pPr>
              <w:jc w:val="center"/>
              <w:rPr>
                <w:rFonts w:ascii="宋体" w:eastAsia="宋体" w:hAnsi="宋体"/>
                <w:b/>
                <w:szCs w:val="18"/>
              </w:rPr>
            </w:pPr>
          </w:p>
        </w:tc>
        <w:tc>
          <w:tcPr>
            <w:tcW w:w="1054" w:type="dxa"/>
            <w:tcBorders>
              <w:top w:val="single" w:sz="4" w:space="0" w:color="00A0E9"/>
              <w:bottom w:val="single" w:sz="4" w:space="0" w:color="00A0E9"/>
            </w:tcBorders>
            <w:shd w:val="clear" w:color="auto" w:fill="auto"/>
            <w:vAlign w:val="center"/>
          </w:tcPr>
          <w:p w:rsidR="00C411DC" w:rsidRPr="004922F9" w:rsidRDefault="00C411DC" w:rsidP="007F40D7">
            <w:pPr>
              <w:jc w:val="center"/>
              <w:rPr>
                <w:rFonts w:ascii="宋体" w:eastAsia="宋体" w:hAnsi="宋体"/>
                <w:b/>
                <w:szCs w:val="18"/>
              </w:rPr>
            </w:pPr>
          </w:p>
        </w:tc>
        <w:tc>
          <w:tcPr>
            <w:tcW w:w="1056" w:type="dxa"/>
            <w:tcBorders>
              <w:top w:val="single" w:sz="4" w:space="0" w:color="00A0E9"/>
              <w:bottom w:val="single" w:sz="4" w:space="0" w:color="00A0E9"/>
            </w:tcBorders>
            <w:shd w:val="clear" w:color="auto" w:fill="auto"/>
            <w:vAlign w:val="center"/>
          </w:tcPr>
          <w:p w:rsidR="00C411DC" w:rsidRPr="004922F9" w:rsidRDefault="00C411DC" w:rsidP="007F40D7">
            <w:pPr>
              <w:jc w:val="center"/>
              <w:rPr>
                <w:rFonts w:ascii="宋体" w:eastAsia="宋体" w:hAnsi="宋体"/>
                <w:b/>
                <w:szCs w:val="18"/>
              </w:rPr>
            </w:pPr>
          </w:p>
        </w:tc>
      </w:tr>
      <w:tr w:rsidR="00C411DC" w:rsidRPr="00E20E5A" w:rsidTr="007F40D7">
        <w:trPr>
          <w:cantSplit/>
          <w:trHeight w:val="340"/>
        </w:trPr>
        <w:tc>
          <w:tcPr>
            <w:tcW w:w="1054" w:type="dxa"/>
            <w:tcBorders>
              <w:top w:val="single" w:sz="4" w:space="0" w:color="00A0E9"/>
              <w:bottom w:val="single" w:sz="4" w:space="0" w:color="00A0E9"/>
            </w:tcBorders>
            <w:shd w:val="clear" w:color="auto" w:fill="auto"/>
            <w:vAlign w:val="center"/>
          </w:tcPr>
          <w:p w:rsidR="00C411DC" w:rsidRPr="003B170A" w:rsidRDefault="00C411DC" w:rsidP="007F40D7">
            <w:pPr>
              <w:jc w:val="center"/>
              <w:rPr>
                <w:rFonts w:ascii="宋体" w:eastAsia="宋体" w:hAnsi="宋体" w:cs="宋体"/>
                <w:b/>
                <w:szCs w:val="18"/>
              </w:rPr>
            </w:pPr>
            <w:bookmarkStart w:id="15" w:name="_Hlk273533316"/>
            <w:r w:rsidRPr="003B170A">
              <w:rPr>
                <w:rFonts w:ascii="宋体" w:eastAsia="宋体" w:hAnsi="宋体" w:cs="宋体" w:hint="eastAsia"/>
                <w:b/>
                <w:szCs w:val="18"/>
              </w:rPr>
              <w:t>中欧新蓝筹</w:t>
            </w:r>
          </w:p>
        </w:tc>
        <w:tc>
          <w:tcPr>
            <w:tcW w:w="1054" w:type="dxa"/>
            <w:tcBorders>
              <w:top w:val="single" w:sz="4" w:space="0" w:color="00A0E9"/>
              <w:bottom w:val="single" w:sz="4" w:space="0" w:color="00A0E9"/>
            </w:tcBorders>
            <w:shd w:val="clear" w:color="auto" w:fill="auto"/>
            <w:vAlign w:val="center"/>
          </w:tcPr>
          <w:p w:rsidR="00C411DC" w:rsidRPr="003B170A" w:rsidRDefault="00C411DC" w:rsidP="007F40D7">
            <w:pPr>
              <w:jc w:val="center"/>
              <w:rPr>
                <w:rFonts w:ascii="宋体" w:eastAsia="宋体" w:hAnsi="宋体" w:cs="宋体"/>
                <w:szCs w:val="18"/>
              </w:rPr>
            </w:pPr>
            <w:r w:rsidRPr="003B170A">
              <w:rPr>
                <w:rFonts w:ascii="宋体" w:eastAsia="宋体" w:hAnsi="宋体" w:cs="宋体" w:hint="eastAsia"/>
                <w:szCs w:val="18"/>
              </w:rPr>
              <w:t>股票型</w:t>
            </w:r>
          </w:p>
        </w:tc>
        <w:tc>
          <w:tcPr>
            <w:tcW w:w="1055" w:type="dxa"/>
            <w:tcBorders>
              <w:top w:val="single" w:sz="4" w:space="0" w:color="00A0E9"/>
              <w:bottom w:val="single" w:sz="4" w:space="0" w:color="00A0E9"/>
            </w:tcBorders>
            <w:shd w:val="clear" w:color="auto" w:fill="auto"/>
            <w:vAlign w:val="center"/>
          </w:tcPr>
          <w:p w:rsidR="00C411DC" w:rsidRPr="00074811" w:rsidRDefault="00C411DC" w:rsidP="007F40D7">
            <w:pPr>
              <w:jc w:val="center"/>
              <w:rPr>
                <w:rFonts w:ascii="宋体" w:eastAsia="宋体" w:hAnsi="宋体" w:cs="宋体"/>
                <w:szCs w:val="18"/>
              </w:rPr>
            </w:pPr>
            <w:proofErr w:type="gramStart"/>
            <w:r w:rsidRPr="00074811">
              <w:rPr>
                <w:rFonts w:ascii="宋体" w:eastAsia="宋体" w:hAnsi="宋体" w:cs="宋体" w:hint="eastAsia"/>
                <w:szCs w:val="18"/>
              </w:rPr>
              <w:t>周蔚文</w:t>
            </w:r>
            <w:proofErr w:type="gramEnd"/>
            <w:r w:rsidRPr="00074811">
              <w:rPr>
                <w:rFonts w:ascii="宋体" w:eastAsia="宋体" w:hAnsi="宋体" w:cs="宋体" w:hint="eastAsia"/>
                <w:szCs w:val="18"/>
              </w:rPr>
              <w:t>、林英睿</w:t>
            </w:r>
          </w:p>
        </w:tc>
        <w:tc>
          <w:tcPr>
            <w:tcW w:w="1054" w:type="dxa"/>
            <w:tcBorders>
              <w:top w:val="single" w:sz="4" w:space="0" w:color="00A0E9"/>
              <w:bottom w:val="single" w:sz="4" w:space="0" w:color="00A0E9"/>
            </w:tcBorders>
            <w:shd w:val="clear" w:color="auto" w:fill="auto"/>
            <w:vAlign w:val="center"/>
          </w:tcPr>
          <w:p w:rsidR="00C411DC" w:rsidRPr="00074811" w:rsidRDefault="00C411DC" w:rsidP="007F40D7">
            <w:pPr>
              <w:jc w:val="center"/>
              <w:rPr>
                <w:rFonts w:ascii="宋体" w:eastAsia="宋体" w:hAnsi="宋体" w:cs="宋体"/>
                <w:szCs w:val="18"/>
              </w:rPr>
            </w:pPr>
            <w:r w:rsidRPr="00074811">
              <w:rPr>
                <w:rFonts w:ascii="宋体" w:eastAsia="宋体" w:hAnsi="宋体" w:cs="宋体" w:hint="eastAsia"/>
                <w:szCs w:val="18"/>
              </w:rPr>
              <w:t>中欧</w:t>
            </w:r>
          </w:p>
        </w:tc>
        <w:tc>
          <w:tcPr>
            <w:tcW w:w="1055" w:type="dxa"/>
            <w:tcBorders>
              <w:top w:val="single" w:sz="4" w:space="0" w:color="00A0E9"/>
              <w:bottom w:val="single" w:sz="4" w:space="0" w:color="00A0E9"/>
            </w:tcBorders>
            <w:shd w:val="clear" w:color="auto" w:fill="auto"/>
            <w:vAlign w:val="center"/>
          </w:tcPr>
          <w:p w:rsidR="00C411DC" w:rsidRPr="00074811" w:rsidRDefault="00C411DC" w:rsidP="007F40D7">
            <w:pPr>
              <w:jc w:val="center"/>
              <w:rPr>
                <w:rFonts w:ascii="宋体" w:eastAsia="宋体" w:hAnsi="宋体" w:cs="宋体"/>
                <w:szCs w:val="18"/>
              </w:rPr>
            </w:pPr>
            <w:r w:rsidRPr="00074811">
              <w:rPr>
                <w:rFonts w:ascii="宋体" w:eastAsia="宋体" w:hAnsi="宋体" w:cs="宋体" w:hint="eastAsia"/>
                <w:szCs w:val="18"/>
              </w:rPr>
              <w:t>20%</w:t>
            </w:r>
          </w:p>
        </w:tc>
        <w:tc>
          <w:tcPr>
            <w:tcW w:w="227" w:type="dxa"/>
            <w:vMerge/>
            <w:vAlign w:val="center"/>
          </w:tcPr>
          <w:p w:rsidR="00C411DC" w:rsidRPr="00ED22EB" w:rsidRDefault="00C411DC" w:rsidP="007F40D7">
            <w:pPr>
              <w:jc w:val="center"/>
              <w:rPr>
                <w:rFonts w:ascii="宋体" w:eastAsia="宋体" w:hAnsi="宋体"/>
                <w:color w:val="FF0000"/>
              </w:rPr>
            </w:pPr>
          </w:p>
        </w:tc>
        <w:tc>
          <w:tcPr>
            <w:tcW w:w="1054" w:type="dxa"/>
            <w:tcBorders>
              <w:top w:val="single" w:sz="4" w:space="0" w:color="00A0E9"/>
              <w:bottom w:val="single" w:sz="4" w:space="0" w:color="00A0E9"/>
            </w:tcBorders>
            <w:shd w:val="clear" w:color="auto" w:fill="auto"/>
            <w:vAlign w:val="center"/>
          </w:tcPr>
          <w:p w:rsidR="00C411DC" w:rsidRPr="00BE585F" w:rsidRDefault="00C411DC" w:rsidP="007F40D7">
            <w:pPr>
              <w:jc w:val="center"/>
              <w:rPr>
                <w:rFonts w:ascii="宋体" w:eastAsia="宋体" w:hAnsi="宋体" w:cs="宋体"/>
                <w:b/>
                <w:bCs/>
                <w:szCs w:val="18"/>
              </w:rPr>
            </w:pPr>
          </w:p>
        </w:tc>
        <w:tc>
          <w:tcPr>
            <w:tcW w:w="1054" w:type="dxa"/>
            <w:tcBorders>
              <w:top w:val="single" w:sz="4" w:space="0" w:color="00A0E9"/>
              <w:bottom w:val="single" w:sz="4" w:space="0" w:color="00A0E9"/>
            </w:tcBorders>
            <w:shd w:val="clear" w:color="auto" w:fill="auto"/>
            <w:vAlign w:val="center"/>
          </w:tcPr>
          <w:p w:rsidR="00C411DC" w:rsidRPr="00BE585F" w:rsidRDefault="00C411DC" w:rsidP="007F40D7">
            <w:pPr>
              <w:jc w:val="center"/>
              <w:rPr>
                <w:rFonts w:ascii="宋体" w:eastAsia="宋体" w:hAnsi="宋体" w:cs="宋体"/>
                <w:szCs w:val="18"/>
              </w:rPr>
            </w:pPr>
          </w:p>
        </w:tc>
        <w:tc>
          <w:tcPr>
            <w:tcW w:w="1055" w:type="dxa"/>
            <w:tcBorders>
              <w:top w:val="single" w:sz="4" w:space="0" w:color="00A0E9"/>
              <w:bottom w:val="single" w:sz="4" w:space="0" w:color="00A0E9"/>
            </w:tcBorders>
            <w:shd w:val="clear" w:color="auto" w:fill="auto"/>
            <w:vAlign w:val="center"/>
          </w:tcPr>
          <w:p w:rsidR="00C411DC" w:rsidRPr="001619E7" w:rsidRDefault="00C411DC" w:rsidP="007F40D7">
            <w:pPr>
              <w:jc w:val="center"/>
              <w:rPr>
                <w:rFonts w:ascii="宋体" w:eastAsia="宋体" w:hAnsi="宋体" w:cs="宋体"/>
                <w:szCs w:val="18"/>
              </w:rPr>
            </w:pPr>
          </w:p>
        </w:tc>
        <w:tc>
          <w:tcPr>
            <w:tcW w:w="1054" w:type="dxa"/>
            <w:tcBorders>
              <w:top w:val="single" w:sz="4" w:space="0" w:color="00A0E9"/>
              <w:bottom w:val="single" w:sz="4" w:space="0" w:color="00A0E9"/>
            </w:tcBorders>
            <w:shd w:val="clear" w:color="auto" w:fill="auto"/>
            <w:vAlign w:val="center"/>
          </w:tcPr>
          <w:p w:rsidR="00C411DC" w:rsidRPr="001619E7" w:rsidRDefault="00C411DC" w:rsidP="007F40D7">
            <w:pPr>
              <w:jc w:val="center"/>
              <w:rPr>
                <w:rFonts w:ascii="宋体" w:eastAsia="宋体" w:hAnsi="宋体" w:cs="宋体"/>
                <w:szCs w:val="18"/>
              </w:rPr>
            </w:pPr>
          </w:p>
        </w:tc>
        <w:tc>
          <w:tcPr>
            <w:tcW w:w="1056" w:type="dxa"/>
            <w:tcBorders>
              <w:top w:val="single" w:sz="4" w:space="0" w:color="00A0E9"/>
              <w:bottom w:val="single" w:sz="4" w:space="0" w:color="00A0E9"/>
            </w:tcBorders>
            <w:shd w:val="clear" w:color="auto" w:fill="auto"/>
            <w:vAlign w:val="center"/>
          </w:tcPr>
          <w:p w:rsidR="00C411DC" w:rsidRPr="001619E7" w:rsidRDefault="00C411DC" w:rsidP="007F40D7">
            <w:pPr>
              <w:jc w:val="center"/>
              <w:rPr>
                <w:rFonts w:ascii="宋体" w:eastAsia="宋体" w:hAnsi="宋体" w:cs="宋体"/>
                <w:szCs w:val="18"/>
              </w:rPr>
            </w:pPr>
          </w:p>
        </w:tc>
      </w:tr>
      <w:bookmarkEnd w:id="15"/>
      <w:tr w:rsidR="00C411DC" w:rsidRPr="00E20E5A" w:rsidTr="007F40D7">
        <w:trPr>
          <w:cantSplit/>
          <w:trHeight w:val="340"/>
        </w:trPr>
        <w:tc>
          <w:tcPr>
            <w:tcW w:w="1054" w:type="dxa"/>
            <w:tcBorders>
              <w:top w:val="single" w:sz="4" w:space="0" w:color="00A0E9"/>
              <w:bottom w:val="single" w:sz="4" w:space="0" w:color="00A0E9"/>
            </w:tcBorders>
            <w:shd w:val="clear" w:color="auto" w:fill="auto"/>
            <w:vAlign w:val="center"/>
          </w:tcPr>
          <w:p w:rsidR="00C411DC" w:rsidRPr="004A48B9" w:rsidRDefault="00C411DC" w:rsidP="007F40D7">
            <w:pPr>
              <w:jc w:val="center"/>
              <w:rPr>
                <w:rFonts w:ascii="宋体" w:eastAsia="宋体" w:hAnsi="宋体" w:cs="宋体"/>
                <w:b/>
                <w:szCs w:val="18"/>
              </w:rPr>
            </w:pPr>
            <w:proofErr w:type="gramStart"/>
            <w:r>
              <w:rPr>
                <w:rFonts w:ascii="宋体" w:eastAsia="宋体" w:hAnsi="宋体" w:cs="宋体" w:hint="eastAsia"/>
                <w:b/>
                <w:szCs w:val="18"/>
              </w:rPr>
              <w:t>工银双利</w:t>
            </w:r>
            <w:proofErr w:type="gramEnd"/>
          </w:p>
        </w:tc>
        <w:tc>
          <w:tcPr>
            <w:tcW w:w="1054" w:type="dxa"/>
            <w:tcBorders>
              <w:top w:val="single" w:sz="4" w:space="0" w:color="00A0E9"/>
              <w:bottom w:val="single" w:sz="4" w:space="0" w:color="00A0E9"/>
            </w:tcBorders>
            <w:shd w:val="clear" w:color="auto" w:fill="auto"/>
            <w:vAlign w:val="center"/>
          </w:tcPr>
          <w:p w:rsidR="00C411DC" w:rsidRPr="003B170A" w:rsidRDefault="00C411DC" w:rsidP="007F40D7">
            <w:pPr>
              <w:jc w:val="center"/>
              <w:rPr>
                <w:rFonts w:ascii="宋体" w:eastAsia="宋体" w:hAnsi="宋体"/>
                <w:szCs w:val="18"/>
              </w:rPr>
            </w:pPr>
            <w:r w:rsidRPr="003B170A">
              <w:rPr>
                <w:rFonts w:ascii="宋体" w:eastAsia="宋体" w:hAnsi="宋体" w:hint="eastAsia"/>
                <w:szCs w:val="18"/>
              </w:rPr>
              <w:t>债券－普通债券型</w:t>
            </w:r>
          </w:p>
        </w:tc>
        <w:tc>
          <w:tcPr>
            <w:tcW w:w="1055" w:type="dxa"/>
            <w:tcBorders>
              <w:top w:val="single" w:sz="4" w:space="0" w:color="00A0E9"/>
              <w:bottom w:val="single" w:sz="4" w:space="0" w:color="00A0E9"/>
            </w:tcBorders>
            <w:shd w:val="clear" w:color="auto" w:fill="auto"/>
            <w:vAlign w:val="center"/>
          </w:tcPr>
          <w:p w:rsidR="00C411DC" w:rsidRPr="00B803C4" w:rsidRDefault="00C411DC" w:rsidP="007F40D7">
            <w:pPr>
              <w:jc w:val="center"/>
              <w:rPr>
                <w:rFonts w:ascii="宋体" w:eastAsia="宋体" w:hAnsi="宋体"/>
                <w:bCs/>
                <w:szCs w:val="18"/>
              </w:rPr>
            </w:pPr>
            <w:r>
              <w:rPr>
                <w:rFonts w:ascii="宋体" w:eastAsia="宋体" w:hAnsi="宋体" w:hint="eastAsia"/>
                <w:bCs/>
                <w:szCs w:val="18"/>
              </w:rPr>
              <w:t>欧阳凯、王佳、宋炳坤、魏欣</w:t>
            </w:r>
          </w:p>
        </w:tc>
        <w:tc>
          <w:tcPr>
            <w:tcW w:w="1054" w:type="dxa"/>
            <w:tcBorders>
              <w:top w:val="single" w:sz="4" w:space="0" w:color="00A0E9"/>
              <w:bottom w:val="single" w:sz="4" w:space="0" w:color="00A0E9"/>
            </w:tcBorders>
            <w:shd w:val="clear" w:color="auto" w:fill="auto"/>
            <w:vAlign w:val="center"/>
          </w:tcPr>
          <w:p w:rsidR="00C411DC" w:rsidRPr="007B282B" w:rsidRDefault="00C411DC" w:rsidP="007F40D7">
            <w:pPr>
              <w:jc w:val="center"/>
              <w:rPr>
                <w:rFonts w:ascii="宋体" w:eastAsia="宋体" w:hAnsi="宋体"/>
                <w:bCs/>
                <w:szCs w:val="18"/>
              </w:rPr>
            </w:pPr>
            <w:proofErr w:type="gramStart"/>
            <w:r>
              <w:rPr>
                <w:rFonts w:ascii="宋体" w:eastAsia="宋体" w:hAnsi="宋体" w:hint="eastAsia"/>
                <w:bCs/>
                <w:szCs w:val="18"/>
              </w:rPr>
              <w:t>工银瑞信</w:t>
            </w:r>
            <w:proofErr w:type="gramEnd"/>
          </w:p>
        </w:tc>
        <w:tc>
          <w:tcPr>
            <w:tcW w:w="1055" w:type="dxa"/>
            <w:tcBorders>
              <w:top w:val="single" w:sz="4" w:space="0" w:color="00A0E9"/>
              <w:bottom w:val="single" w:sz="4" w:space="0" w:color="00A0E9"/>
            </w:tcBorders>
            <w:shd w:val="clear" w:color="auto" w:fill="auto"/>
            <w:vAlign w:val="center"/>
          </w:tcPr>
          <w:p w:rsidR="00C411DC" w:rsidRPr="006E0CA2" w:rsidRDefault="00C411DC" w:rsidP="007F40D7">
            <w:pPr>
              <w:jc w:val="center"/>
              <w:rPr>
                <w:rFonts w:ascii="宋体" w:eastAsia="宋体" w:hAnsi="宋体"/>
                <w:szCs w:val="18"/>
              </w:rPr>
            </w:pPr>
            <w:r>
              <w:rPr>
                <w:rFonts w:ascii="宋体" w:eastAsia="宋体" w:hAnsi="宋体" w:hint="eastAsia"/>
                <w:szCs w:val="18"/>
              </w:rPr>
              <w:t>25</w:t>
            </w:r>
            <w:r w:rsidRPr="006E0CA2">
              <w:rPr>
                <w:rFonts w:ascii="宋体" w:eastAsia="宋体" w:hAnsi="宋体" w:hint="eastAsia"/>
                <w:szCs w:val="18"/>
              </w:rPr>
              <w:t>%</w:t>
            </w:r>
          </w:p>
        </w:tc>
        <w:tc>
          <w:tcPr>
            <w:tcW w:w="227" w:type="dxa"/>
            <w:vMerge/>
            <w:vAlign w:val="center"/>
          </w:tcPr>
          <w:p w:rsidR="00C411DC" w:rsidRPr="00ED22EB" w:rsidRDefault="00C411DC" w:rsidP="007F40D7">
            <w:pPr>
              <w:jc w:val="center"/>
              <w:rPr>
                <w:rFonts w:ascii="宋体" w:eastAsia="宋体" w:hAnsi="宋体"/>
                <w:color w:val="FF0000"/>
              </w:rPr>
            </w:pPr>
          </w:p>
        </w:tc>
        <w:tc>
          <w:tcPr>
            <w:tcW w:w="1054" w:type="dxa"/>
            <w:tcBorders>
              <w:top w:val="single" w:sz="4" w:space="0" w:color="00A0E9"/>
              <w:bottom w:val="single" w:sz="4" w:space="0" w:color="00A0E9"/>
            </w:tcBorders>
            <w:shd w:val="clear" w:color="auto" w:fill="auto"/>
            <w:vAlign w:val="center"/>
          </w:tcPr>
          <w:p w:rsidR="00C411DC" w:rsidRPr="00BE585F" w:rsidRDefault="00C411DC" w:rsidP="007F40D7">
            <w:pPr>
              <w:jc w:val="center"/>
              <w:rPr>
                <w:rFonts w:ascii="宋体" w:eastAsia="宋体" w:hAnsi="宋体" w:cs="宋体"/>
                <w:b/>
                <w:bCs/>
                <w:szCs w:val="18"/>
              </w:rPr>
            </w:pPr>
          </w:p>
        </w:tc>
        <w:tc>
          <w:tcPr>
            <w:tcW w:w="1054" w:type="dxa"/>
            <w:tcBorders>
              <w:top w:val="single" w:sz="4" w:space="0" w:color="00A0E9"/>
              <w:bottom w:val="single" w:sz="4" w:space="0" w:color="00A0E9"/>
            </w:tcBorders>
            <w:shd w:val="clear" w:color="auto" w:fill="auto"/>
            <w:vAlign w:val="center"/>
          </w:tcPr>
          <w:p w:rsidR="00C411DC" w:rsidRPr="00BE585F" w:rsidRDefault="00C411DC" w:rsidP="007F40D7">
            <w:pPr>
              <w:jc w:val="center"/>
              <w:rPr>
                <w:rFonts w:ascii="宋体" w:eastAsia="宋体" w:hAnsi="宋体" w:cs="宋体"/>
                <w:szCs w:val="18"/>
              </w:rPr>
            </w:pPr>
          </w:p>
        </w:tc>
        <w:tc>
          <w:tcPr>
            <w:tcW w:w="1055" w:type="dxa"/>
            <w:tcBorders>
              <w:top w:val="single" w:sz="4" w:space="0" w:color="00A0E9"/>
              <w:bottom w:val="single" w:sz="4" w:space="0" w:color="00A0E9"/>
            </w:tcBorders>
            <w:shd w:val="clear" w:color="auto" w:fill="auto"/>
            <w:vAlign w:val="center"/>
          </w:tcPr>
          <w:p w:rsidR="00C411DC" w:rsidRPr="001619E7" w:rsidRDefault="00C411DC" w:rsidP="007F40D7">
            <w:pPr>
              <w:jc w:val="center"/>
              <w:rPr>
                <w:rFonts w:ascii="宋体" w:eastAsia="宋体" w:hAnsi="宋体" w:cs="宋体"/>
                <w:szCs w:val="18"/>
              </w:rPr>
            </w:pPr>
          </w:p>
        </w:tc>
        <w:tc>
          <w:tcPr>
            <w:tcW w:w="1054" w:type="dxa"/>
            <w:tcBorders>
              <w:top w:val="single" w:sz="4" w:space="0" w:color="00A0E9"/>
              <w:bottom w:val="single" w:sz="4" w:space="0" w:color="00A0E9"/>
            </w:tcBorders>
            <w:shd w:val="clear" w:color="auto" w:fill="auto"/>
            <w:vAlign w:val="center"/>
          </w:tcPr>
          <w:p w:rsidR="00C411DC" w:rsidRPr="001619E7" w:rsidRDefault="00C411DC" w:rsidP="007F40D7">
            <w:pPr>
              <w:jc w:val="center"/>
              <w:rPr>
                <w:rFonts w:ascii="宋体" w:eastAsia="宋体" w:hAnsi="宋体" w:cs="宋体"/>
                <w:szCs w:val="18"/>
              </w:rPr>
            </w:pPr>
          </w:p>
        </w:tc>
        <w:tc>
          <w:tcPr>
            <w:tcW w:w="1056" w:type="dxa"/>
            <w:tcBorders>
              <w:top w:val="single" w:sz="4" w:space="0" w:color="00A0E9"/>
              <w:bottom w:val="single" w:sz="4" w:space="0" w:color="00A0E9"/>
            </w:tcBorders>
            <w:shd w:val="clear" w:color="auto" w:fill="auto"/>
            <w:vAlign w:val="center"/>
          </w:tcPr>
          <w:p w:rsidR="00C411DC" w:rsidRPr="001619E7" w:rsidRDefault="00C411DC" w:rsidP="007F40D7">
            <w:pPr>
              <w:jc w:val="center"/>
              <w:rPr>
                <w:rFonts w:ascii="宋体" w:eastAsia="宋体" w:hAnsi="宋体" w:cs="宋体"/>
                <w:szCs w:val="18"/>
              </w:rPr>
            </w:pPr>
          </w:p>
        </w:tc>
      </w:tr>
      <w:tr w:rsidR="00C411DC" w:rsidRPr="007C2681" w:rsidTr="007F40D7">
        <w:trPr>
          <w:cantSplit/>
          <w:trHeight w:val="465"/>
        </w:trPr>
        <w:tc>
          <w:tcPr>
            <w:tcW w:w="1054" w:type="dxa"/>
            <w:tcBorders>
              <w:top w:val="single" w:sz="4" w:space="0" w:color="00A0E9"/>
              <w:bottom w:val="single" w:sz="4" w:space="0" w:color="00A0E9"/>
            </w:tcBorders>
            <w:shd w:val="clear" w:color="auto" w:fill="auto"/>
            <w:vAlign w:val="center"/>
          </w:tcPr>
          <w:p w:rsidR="00C411DC" w:rsidRPr="004A48B9" w:rsidRDefault="00C411DC" w:rsidP="007F40D7">
            <w:pPr>
              <w:jc w:val="center"/>
              <w:rPr>
                <w:rFonts w:ascii="宋体" w:eastAsia="宋体" w:hAnsi="宋体" w:cs="宋体"/>
                <w:b/>
                <w:szCs w:val="18"/>
              </w:rPr>
            </w:pPr>
            <w:proofErr w:type="gramStart"/>
            <w:r w:rsidRPr="004A48B9">
              <w:rPr>
                <w:rFonts w:ascii="宋体" w:eastAsia="宋体" w:hAnsi="宋体" w:hint="eastAsia"/>
                <w:b/>
                <w:szCs w:val="18"/>
              </w:rPr>
              <w:t>建信双息</w:t>
            </w:r>
            <w:proofErr w:type="gramEnd"/>
            <w:r w:rsidRPr="004A48B9">
              <w:rPr>
                <w:rFonts w:ascii="宋体" w:eastAsia="宋体" w:hAnsi="宋体" w:hint="eastAsia"/>
                <w:b/>
                <w:szCs w:val="18"/>
              </w:rPr>
              <w:t>红利</w:t>
            </w:r>
          </w:p>
        </w:tc>
        <w:tc>
          <w:tcPr>
            <w:tcW w:w="1054" w:type="dxa"/>
            <w:tcBorders>
              <w:top w:val="single" w:sz="4" w:space="0" w:color="00A0E9"/>
              <w:bottom w:val="single" w:sz="4" w:space="0" w:color="00A0E9"/>
            </w:tcBorders>
            <w:shd w:val="clear" w:color="auto" w:fill="auto"/>
            <w:vAlign w:val="center"/>
          </w:tcPr>
          <w:p w:rsidR="00C411DC" w:rsidRPr="003B170A" w:rsidRDefault="00C411DC" w:rsidP="007F40D7">
            <w:pPr>
              <w:jc w:val="center"/>
              <w:rPr>
                <w:rFonts w:ascii="宋体" w:eastAsia="宋体" w:hAnsi="宋体" w:cs="宋体"/>
                <w:szCs w:val="18"/>
              </w:rPr>
            </w:pPr>
            <w:r w:rsidRPr="003B170A">
              <w:rPr>
                <w:rFonts w:ascii="宋体" w:eastAsia="宋体" w:hAnsi="宋体" w:hint="eastAsia"/>
                <w:szCs w:val="18"/>
              </w:rPr>
              <w:t>债券－普通债券型</w:t>
            </w:r>
          </w:p>
        </w:tc>
        <w:tc>
          <w:tcPr>
            <w:tcW w:w="1055" w:type="dxa"/>
            <w:tcBorders>
              <w:top w:val="single" w:sz="4" w:space="0" w:color="00A0E9"/>
              <w:bottom w:val="single" w:sz="4" w:space="0" w:color="00A0E9"/>
            </w:tcBorders>
            <w:shd w:val="clear" w:color="auto" w:fill="auto"/>
            <w:vAlign w:val="center"/>
          </w:tcPr>
          <w:p w:rsidR="00C411DC" w:rsidRPr="006E0CA2" w:rsidRDefault="00C411DC" w:rsidP="007F40D7">
            <w:pPr>
              <w:jc w:val="center"/>
              <w:rPr>
                <w:rFonts w:ascii="宋体" w:eastAsia="宋体" w:hAnsi="宋体"/>
                <w:szCs w:val="18"/>
              </w:rPr>
            </w:pPr>
            <w:r>
              <w:rPr>
                <w:rFonts w:ascii="宋体" w:eastAsia="宋体" w:hAnsi="宋体" w:hint="eastAsia"/>
                <w:szCs w:val="18"/>
              </w:rPr>
              <w:t>钟敬棣</w:t>
            </w:r>
          </w:p>
        </w:tc>
        <w:tc>
          <w:tcPr>
            <w:tcW w:w="1054" w:type="dxa"/>
            <w:tcBorders>
              <w:top w:val="single" w:sz="4" w:space="0" w:color="00A0E9"/>
              <w:bottom w:val="single" w:sz="4" w:space="0" w:color="00A0E9"/>
            </w:tcBorders>
            <w:shd w:val="clear" w:color="auto" w:fill="auto"/>
            <w:vAlign w:val="center"/>
          </w:tcPr>
          <w:p w:rsidR="00C411DC" w:rsidRPr="006E0CA2" w:rsidRDefault="00C411DC" w:rsidP="007F40D7">
            <w:pPr>
              <w:jc w:val="center"/>
              <w:rPr>
                <w:rFonts w:ascii="宋体" w:eastAsia="宋体" w:hAnsi="宋体"/>
                <w:szCs w:val="18"/>
              </w:rPr>
            </w:pPr>
            <w:r>
              <w:rPr>
                <w:rFonts w:ascii="宋体" w:eastAsia="宋体" w:hAnsi="宋体" w:hint="eastAsia"/>
                <w:szCs w:val="18"/>
              </w:rPr>
              <w:t>建信</w:t>
            </w:r>
          </w:p>
        </w:tc>
        <w:tc>
          <w:tcPr>
            <w:tcW w:w="1055" w:type="dxa"/>
            <w:tcBorders>
              <w:top w:val="single" w:sz="4" w:space="0" w:color="00A0E9"/>
              <w:bottom w:val="single" w:sz="4" w:space="0" w:color="00A0E9"/>
            </w:tcBorders>
            <w:shd w:val="clear" w:color="auto" w:fill="auto"/>
            <w:vAlign w:val="center"/>
          </w:tcPr>
          <w:p w:rsidR="00C411DC" w:rsidRPr="006E0CA2" w:rsidRDefault="00C411DC" w:rsidP="007F40D7">
            <w:pPr>
              <w:jc w:val="center"/>
              <w:rPr>
                <w:rFonts w:ascii="宋体" w:eastAsia="宋体" w:hAnsi="宋体"/>
                <w:szCs w:val="18"/>
              </w:rPr>
            </w:pPr>
            <w:r>
              <w:rPr>
                <w:rFonts w:ascii="宋体" w:eastAsia="宋体" w:hAnsi="宋体" w:hint="eastAsia"/>
                <w:szCs w:val="18"/>
              </w:rPr>
              <w:t>25%</w:t>
            </w:r>
          </w:p>
        </w:tc>
        <w:tc>
          <w:tcPr>
            <w:tcW w:w="227" w:type="dxa"/>
            <w:vMerge/>
            <w:vAlign w:val="center"/>
          </w:tcPr>
          <w:p w:rsidR="00C411DC" w:rsidRPr="00ED22EB" w:rsidRDefault="00C411DC" w:rsidP="007F40D7">
            <w:pPr>
              <w:jc w:val="center"/>
              <w:rPr>
                <w:rFonts w:ascii="宋体" w:eastAsia="宋体" w:hAnsi="宋体"/>
                <w:color w:val="FF0000"/>
              </w:rPr>
            </w:pPr>
          </w:p>
        </w:tc>
        <w:tc>
          <w:tcPr>
            <w:tcW w:w="1054" w:type="dxa"/>
            <w:tcBorders>
              <w:top w:val="single" w:sz="4" w:space="0" w:color="00A0E9"/>
              <w:bottom w:val="single" w:sz="4" w:space="0" w:color="00A0E9"/>
            </w:tcBorders>
            <w:shd w:val="clear" w:color="auto" w:fill="auto"/>
            <w:vAlign w:val="center"/>
          </w:tcPr>
          <w:p w:rsidR="00C411DC" w:rsidRPr="00BE585F" w:rsidRDefault="00C411DC" w:rsidP="007F40D7">
            <w:pPr>
              <w:jc w:val="center"/>
              <w:rPr>
                <w:rFonts w:ascii="宋体" w:eastAsia="宋体" w:hAnsi="宋体" w:cs="宋体"/>
                <w:b/>
                <w:szCs w:val="18"/>
              </w:rPr>
            </w:pPr>
          </w:p>
        </w:tc>
        <w:tc>
          <w:tcPr>
            <w:tcW w:w="1054" w:type="dxa"/>
            <w:tcBorders>
              <w:top w:val="single" w:sz="4" w:space="0" w:color="00A0E9"/>
              <w:bottom w:val="single" w:sz="4" w:space="0" w:color="00A0E9"/>
            </w:tcBorders>
            <w:shd w:val="clear" w:color="auto" w:fill="auto"/>
            <w:vAlign w:val="center"/>
          </w:tcPr>
          <w:p w:rsidR="00C411DC" w:rsidRPr="00BE585F" w:rsidRDefault="00C411DC" w:rsidP="007F40D7">
            <w:pPr>
              <w:jc w:val="center"/>
              <w:rPr>
                <w:rFonts w:ascii="宋体" w:eastAsia="宋体" w:hAnsi="宋体" w:cs="宋体"/>
                <w:szCs w:val="18"/>
              </w:rPr>
            </w:pPr>
          </w:p>
        </w:tc>
        <w:tc>
          <w:tcPr>
            <w:tcW w:w="1055" w:type="dxa"/>
            <w:tcBorders>
              <w:top w:val="single" w:sz="4" w:space="0" w:color="00A0E9"/>
              <w:bottom w:val="single" w:sz="4" w:space="0" w:color="00A0E9"/>
            </w:tcBorders>
            <w:shd w:val="clear" w:color="auto" w:fill="auto"/>
            <w:vAlign w:val="center"/>
          </w:tcPr>
          <w:p w:rsidR="00C411DC" w:rsidRPr="001619E7" w:rsidRDefault="00C411DC" w:rsidP="007F40D7">
            <w:pPr>
              <w:jc w:val="center"/>
              <w:rPr>
                <w:rFonts w:ascii="宋体" w:eastAsia="宋体" w:hAnsi="宋体" w:cs="宋体"/>
                <w:szCs w:val="18"/>
              </w:rPr>
            </w:pPr>
          </w:p>
        </w:tc>
        <w:tc>
          <w:tcPr>
            <w:tcW w:w="1054" w:type="dxa"/>
            <w:tcBorders>
              <w:top w:val="single" w:sz="4" w:space="0" w:color="00A0E9"/>
              <w:bottom w:val="single" w:sz="4" w:space="0" w:color="00A0E9"/>
            </w:tcBorders>
            <w:shd w:val="clear" w:color="auto" w:fill="auto"/>
            <w:vAlign w:val="center"/>
          </w:tcPr>
          <w:p w:rsidR="00C411DC" w:rsidRPr="001619E7" w:rsidRDefault="00C411DC" w:rsidP="007F40D7">
            <w:pPr>
              <w:jc w:val="center"/>
              <w:rPr>
                <w:rFonts w:ascii="宋体" w:eastAsia="宋体" w:hAnsi="宋体" w:cs="宋体"/>
                <w:szCs w:val="18"/>
              </w:rPr>
            </w:pPr>
          </w:p>
        </w:tc>
        <w:tc>
          <w:tcPr>
            <w:tcW w:w="1056" w:type="dxa"/>
            <w:tcBorders>
              <w:top w:val="single" w:sz="4" w:space="0" w:color="00A0E9"/>
              <w:bottom w:val="single" w:sz="4" w:space="0" w:color="00A0E9"/>
            </w:tcBorders>
            <w:shd w:val="clear" w:color="auto" w:fill="auto"/>
            <w:vAlign w:val="center"/>
          </w:tcPr>
          <w:p w:rsidR="00C411DC" w:rsidRPr="001619E7" w:rsidRDefault="00C411DC" w:rsidP="007F40D7">
            <w:pPr>
              <w:jc w:val="center"/>
              <w:rPr>
                <w:rFonts w:ascii="宋体" w:eastAsia="宋体" w:hAnsi="宋体" w:cs="宋体"/>
                <w:szCs w:val="18"/>
              </w:rPr>
            </w:pPr>
          </w:p>
        </w:tc>
      </w:tr>
      <w:tr w:rsidR="00C411DC" w:rsidRPr="007C2681" w:rsidTr="007F40D7">
        <w:trPr>
          <w:cantSplit/>
          <w:trHeight w:val="340"/>
        </w:trPr>
        <w:tc>
          <w:tcPr>
            <w:tcW w:w="1054" w:type="dxa"/>
            <w:tcBorders>
              <w:top w:val="single" w:sz="4" w:space="0" w:color="00A0E9"/>
              <w:bottom w:val="single" w:sz="4" w:space="0" w:color="00A0E9"/>
            </w:tcBorders>
            <w:shd w:val="clear" w:color="auto" w:fill="auto"/>
            <w:vAlign w:val="center"/>
          </w:tcPr>
          <w:p w:rsidR="00C411DC" w:rsidRPr="003B170A" w:rsidRDefault="00C411DC" w:rsidP="007F40D7">
            <w:pPr>
              <w:jc w:val="center"/>
              <w:rPr>
                <w:rFonts w:ascii="宋体" w:eastAsia="宋体" w:hAnsi="宋体" w:cs="宋体"/>
                <w:b/>
                <w:szCs w:val="18"/>
              </w:rPr>
            </w:pPr>
            <w:r w:rsidRPr="003B46D0">
              <w:rPr>
                <w:rFonts w:hint="eastAsia"/>
              </w:rPr>
              <w:t>★</w:t>
            </w:r>
            <w:r w:rsidRPr="003B170A">
              <w:rPr>
                <w:rFonts w:ascii="宋体" w:eastAsia="宋体" w:hAnsi="宋体" w:cs="宋体" w:hint="eastAsia"/>
                <w:b/>
                <w:szCs w:val="18"/>
              </w:rPr>
              <w:t>南方绝对收益</w:t>
            </w:r>
          </w:p>
        </w:tc>
        <w:tc>
          <w:tcPr>
            <w:tcW w:w="1054" w:type="dxa"/>
            <w:tcBorders>
              <w:top w:val="single" w:sz="4" w:space="0" w:color="00A0E9"/>
              <w:bottom w:val="single" w:sz="4" w:space="0" w:color="00A0E9"/>
            </w:tcBorders>
            <w:shd w:val="clear" w:color="auto" w:fill="auto"/>
            <w:vAlign w:val="center"/>
          </w:tcPr>
          <w:p w:rsidR="00C411DC" w:rsidRPr="003B170A" w:rsidRDefault="00C411DC" w:rsidP="007F40D7">
            <w:pPr>
              <w:jc w:val="center"/>
              <w:rPr>
                <w:rFonts w:ascii="宋体" w:eastAsia="宋体" w:hAnsi="宋体" w:cs="宋体"/>
                <w:szCs w:val="18"/>
              </w:rPr>
            </w:pPr>
            <w:r w:rsidRPr="003B170A">
              <w:rPr>
                <w:rFonts w:ascii="宋体" w:eastAsia="宋体" w:hAnsi="宋体" w:cs="宋体" w:hint="eastAsia"/>
                <w:szCs w:val="18"/>
              </w:rPr>
              <w:t>股票型</w:t>
            </w:r>
          </w:p>
        </w:tc>
        <w:tc>
          <w:tcPr>
            <w:tcW w:w="1055" w:type="dxa"/>
            <w:tcBorders>
              <w:top w:val="single" w:sz="4" w:space="0" w:color="00A0E9"/>
              <w:bottom w:val="single" w:sz="4" w:space="0" w:color="00A0E9"/>
            </w:tcBorders>
            <w:shd w:val="clear" w:color="auto" w:fill="auto"/>
            <w:vAlign w:val="center"/>
          </w:tcPr>
          <w:p w:rsidR="00C411DC" w:rsidRDefault="00C411DC" w:rsidP="007F40D7">
            <w:pPr>
              <w:jc w:val="center"/>
              <w:rPr>
                <w:rFonts w:ascii="宋体" w:eastAsia="宋体" w:hAnsi="宋体"/>
                <w:szCs w:val="18"/>
              </w:rPr>
            </w:pPr>
            <w:r>
              <w:rPr>
                <w:rFonts w:ascii="宋体" w:eastAsia="宋体" w:hAnsi="宋体" w:hint="eastAsia"/>
                <w:szCs w:val="18"/>
              </w:rPr>
              <w:t>朱卫华</w:t>
            </w:r>
          </w:p>
        </w:tc>
        <w:tc>
          <w:tcPr>
            <w:tcW w:w="1054" w:type="dxa"/>
            <w:tcBorders>
              <w:top w:val="single" w:sz="4" w:space="0" w:color="00A0E9"/>
              <w:bottom w:val="single" w:sz="4" w:space="0" w:color="00A0E9"/>
            </w:tcBorders>
            <w:shd w:val="clear" w:color="auto" w:fill="auto"/>
            <w:vAlign w:val="center"/>
          </w:tcPr>
          <w:p w:rsidR="00C411DC" w:rsidRDefault="00C411DC" w:rsidP="007F40D7">
            <w:pPr>
              <w:jc w:val="center"/>
              <w:rPr>
                <w:rFonts w:ascii="宋体" w:eastAsia="宋体" w:hAnsi="宋体"/>
                <w:szCs w:val="18"/>
              </w:rPr>
            </w:pPr>
            <w:r>
              <w:rPr>
                <w:rFonts w:ascii="宋体" w:eastAsia="宋体" w:hAnsi="宋体" w:hint="eastAsia"/>
                <w:szCs w:val="18"/>
              </w:rPr>
              <w:t>南方</w:t>
            </w:r>
          </w:p>
        </w:tc>
        <w:tc>
          <w:tcPr>
            <w:tcW w:w="1055" w:type="dxa"/>
            <w:tcBorders>
              <w:top w:val="single" w:sz="4" w:space="0" w:color="00A0E9"/>
              <w:bottom w:val="single" w:sz="4" w:space="0" w:color="00A0E9"/>
            </w:tcBorders>
            <w:shd w:val="clear" w:color="auto" w:fill="auto"/>
            <w:vAlign w:val="center"/>
          </w:tcPr>
          <w:p w:rsidR="00C411DC" w:rsidRPr="006E0CA2" w:rsidRDefault="00C411DC" w:rsidP="007F40D7">
            <w:pPr>
              <w:jc w:val="center"/>
              <w:rPr>
                <w:rFonts w:ascii="宋体" w:eastAsia="宋体" w:hAnsi="宋体"/>
                <w:szCs w:val="18"/>
              </w:rPr>
            </w:pPr>
            <w:r>
              <w:rPr>
                <w:rFonts w:ascii="宋体" w:eastAsia="宋体" w:hAnsi="宋体" w:hint="eastAsia"/>
                <w:szCs w:val="18"/>
              </w:rPr>
              <w:t>30</w:t>
            </w:r>
            <w:r w:rsidRPr="006E0CA2">
              <w:rPr>
                <w:rFonts w:ascii="宋体" w:eastAsia="宋体" w:hAnsi="宋体" w:hint="eastAsia"/>
                <w:szCs w:val="18"/>
              </w:rPr>
              <w:t>%</w:t>
            </w:r>
          </w:p>
        </w:tc>
        <w:tc>
          <w:tcPr>
            <w:tcW w:w="227" w:type="dxa"/>
            <w:vMerge/>
            <w:vAlign w:val="center"/>
          </w:tcPr>
          <w:p w:rsidR="00C411DC" w:rsidRPr="00ED22EB" w:rsidRDefault="00C411DC" w:rsidP="007F40D7">
            <w:pPr>
              <w:jc w:val="center"/>
              <w:rPr>
                <w:rFonts w:ascii="宋体" w:eastAsia="宋体" w:hAnsi="宋体"/>
                <w:color w:val="FF0000"/>
              </w:rPr>
            </w:pPr>
          </w:p>
        </w:tc>
        <w:tc>
          <w:tcPr>
            <w:tcW w:w="1054" w:type="dxa"/>
            <w:tcBorders>
              <w:top w:val="single" w:sz="4" w:space="0" w:color="00A0E9"/>
              <w:bottom w:val="single" w:sz="4" w:space="0" w:color="00A0E9"/>
            </w:tcBorders>
            <w:shd w:val="clear" w:color="auto" w:fill="auto"/>
            <w:vAlign w:val="center"/>
          </w:tcPr>
          <w:p w:rsidR="00C411DC" w:rsidRPr="00BE585F" w:rsidRDefault="00C411DC" w:rsidP="007F40D7">
            <w:pPr>
              <w:jc w:val="center"/>
              <w:rPr>
                <w:rFonts w:ascii="宋体" w:eastAsia="宋体" w:hAnsi="宋体" w:cs="宋体"/>
                <w:b/>
                <w:bCs/>
                <w:szCs w:val="18"/>
              </w:rPr>
            </w:pPr>
          </w:p>
        </w:tc>
        <w:tc>
          <w:tcPr>
            <w:tcW w:w="1054" w:type="dxa"/>
            <w:tcBorders>
              <w:top w:val="single" w:sz="4" w:space="0" w:color="00A0E9"/>
              <w:bottom w:val="single" w:sz="4" w:space="0" w:color="00A0E9"/>
            </w:tcBorders>
            <w:shd w:val="clear" w:color="auto" w:fill="auto"/>
            <w:vAlign w:val="center"/>
          </w:tcPr>
          <w:p w:rsidR="00C411DC" w:rsidRPr="00BE585F" w:rsidRDefault="00C411DC" w:rsidP="007F40D7">
            <w:pPr>
              <w:jc w:val="center"/>
              <w:rPr>
                <w:rFonts w:ascii="宋体" w:eastAsia="宋体" w:hAnsi="宋体" w:cs="宋体"/>
                <w:szCs w:val="18"/>
              </w:rPr>
            </w:pPr>
          </w:p>
        </w:tc>
        <w:tc>
          <w:tcPr>
            <w:tcW w:w="1055" w:type="dxa"/>
            <w:tcBorders>
              <w:top w:val="single" w:sz="4" w:space="0" w:color="00A0E9"/>
              <w:bottom w:val="single" w:sz="4" w:space="0" w:color="00A0E9"/>
            </w:tcBorders>
            <w:shd w:val="clear" w:color="auto" w:fill="auto"/>
            <w:vAlign w:val="center"/>
          </w:tcPr>
          <w:p w:rsidR="00C411DC" w:rsidRPr="001619E7" w:rsidRDefault="00C411DC" w:rsidP="007F40D7">
            <w:pPr>
              <w:jc w:val="center"/>
              <w:rPr>
                <w:rFonts w:ascii="宋体" w:eastAsia="宋体" w:hAnsi="宋体" w:cs="宋体"/>
                <w:szCs w:val="18"/>
              </w:rPr>
            </w:pPr>
          </w:p>
        </w:tc>
        <w:tc>
          <w:tcPr>
            <w:tcW w:w="1054" w:type="dxa"/>
            <w:tcBorders>
              <w:top w:val="single" w:sz="4" w:space="0" w:color="00A0E9"/>
              <w:bottom w:val="single" w:sz="4" w:space="0" w:color="00A0E9"/>
            </w:tcBorders>
            <w:shd w:val="clear" w:color="auto" w:fill="auto"/>
            <w:vAlign w:val="center"/>
          </w:tcPr>
          <w:p w:rsidR="00C411DC" w:rsidRPr="001619E7" w:rsidRDefault="00C411DC" w:rsidP="007F40D7">
            <w:pPr>
              <w:jc w:val="center"/>
              <w:rPr>
                <w:rFonts w:ascii="宋体" w:eastAsia="宋体" w:hAnsi="宋体" w:cs="宋体"/>
                <w:szCs w:val="18"/>
              </w:rPr>
            </w:pPr>
          </w:p>
        </w:tc>
        <w:tc>
          <w:tcPr>
            <w:tcW w:w="1056" w:type="dxa"/>
            <w:tcBorders>
              <w:top w:val="single" w:sz="4" w:space="0" w:color="00A0E9"/>
              <w:bottom w:val="single" w:sz="4" w:space="0" w:color="00A0E9"/>
            </w:tcBorders>
            <w:shd w:val="clear" w:color="auto" w:fill="auto"/>
            <w:vAlign w:val="center"/>
          </w:tcPr>
          <w:p w:rsidR="00C411DC" w:rsidRPr="001619E7" w:rsidRDefault="00C411DC" w:rsidP="007F40D7">
            <w:pPr>
              <w:jc w:val="center"/>
              <w:rPr>
                <w:rFonts w:ascii="宋体" w:eastAsia="宋体" w:hAnsi="宋体" w:cs="宋体"/>
                <w:szCs w:val="18"/>
              </w:rPr>
            </w:pPr>
          </w:p>
        </w:tc>
      </w:tr>
      <w:tr w:rsidR="00C411DC" w:rsidRPr="00E20E5A" w:rsidTr="007F40D7">
        <w:trPr>
          <w:cantSplit/>
          <w:trHeight w:val="643"/>
        </w:trPr>
        <w:tc>
          <w:tcPr>
            <w:tcW w:w="5272" w:type="dxa"/>
            <w:gridSpan w:val="5"/>
            <w:tcBorders>
              <w:top w:val="single" w:sz="4" w:space="0" w:color="00A0E9"/>
              <w:bottom w:val="single" w:sz="4" w:space="0" w:color="00A0E9"/>
            </w:tcBorders>
            <w:shd w:val="clear" w:color="auto" w:fill="auto"/>
            <w:vAlign w:val="center"/>
          </w:tcPr>
          <w:p w:rsidR="00C411DC" w:rsidRPr="00187785" w:rsidRDefault="00C411DC" w:rsidP="007F40D7">
            <w:pPr>
              <w:jc w:val="left"/>
              <w:rPr>
                <w:rFonts w:ascii="宋体" w:eastAsia="宋体" w:hAnsi="宋体"/>
                <w:b/>
                <w:bCs/>
                <w:szCs w:val="18"/>
              </w:rPr>
            </w:pPr>
            <w:bookmarkStart w:id="16" w:name="_Hlk278459784"/>
            <w:r w:rsidRPr="00187785">
              <w:rPr>
                <w:rFonts w:ascii="宋体" w:eastAsia="宋体" w:hAnsi="宋体" w:hint="eastAsia"/>
                <w:b/>
                <w:bCs/>
                <w:szCs w:val="18"/>
              </w:rPr>
              <w:t>组合说明：</w:t>
            </w:r>
            <w:r w:rsidRPr="0046414C">
              <w:rPr>
                <w:rFonts w:ascii="宋体" w:eastAsia="宋体" w:hAnsi="宋体" w:hint="eastAsia"/>
                <w:bCs/>
                <w:szCs w:val="18"/>
              </w:rPr>
              <w:t>作为灵活配置型组合，</w:t>
            </w:r>
            <w:r>
              <w:rPr>
                <w:rFonts w:ascii="宋体" w:eastAsia="宋体" w:hAnsi="宋体" w:hint="eastAsia"/>
                <w:bCs/>
                <w:szCs w:val="18"/>
              </w:rPr>
              <w:t>短期从控制风险的角度，降低高风险资产的比例，组合内权益类产品比例为20%，重点关注投资风格稳健的中欧新蓝筹。另外配置30%的南方绝对收益，基金采用市场中性策略，运用股指期货等工具对系统性风险进行对冲，比较适合震荡市场环境中持有。</w:t>
            </w:r>
          </w:p>
        </w:tc>
        <w:tc>
          <w:tcPr>
            <w:tcW w:w="227" w:type="dxa"/>
          </w:tcPr>
          <w:p w:rsidR="00C411DC" w:rsidRPr="0043215A" w:rsidRDefault="00C411DC" w:rsidP="007F40D7">
            <w:pPr>
              <w:jc w:val="center"/>
              <w:rPr>
                <w:color w:val="FF0000"/>
              </w:rPr>
            </w:pPr>
          </w:p>
        </w:tc>
        <w:tc>
          <w:tcPr>
            <w:tcW w:w="5273" w:type="dxa"/>
            <w:gridSpan w:val="5"/>
            <w:tcBorders>
              <w:top w:val="single" w:sz="4" w:space="0" w:color="00A0E9"/>
              <w:bottom w:val="single" w:sz="4" w:space="0" w:color="00A0E9"/>
            </w:tcBorders>
            <w:shd w:val="clear" w:color="auto" w:fill="auto"/>
            <w:vAlign w:val="center"/>
          </w:tcPr>
          <w:p w:rsidR="00C411DC" w:rsidRPr="00187785" w:rsidRDefault="00C411DC" w:rsidP="007F40D7">
            <w:pPr>
              <w:jc w:val="left"/>
              <w:rPr>
                <w:rFonts w:ascii="宋体" w:eastAsia="宋体" w:hAnsi="宋体" w:cs="宋体"/>
                <w:b/>
                <w:bCs/>
                <w:color w:val="FF0000"/>
                <w:szCs w:val="18"/>
              </w:rPr>
            </w:pPr>
          </w:p>
        </w:tc>
      </w:tr>
      <w:bookmarkEnd w:id="16"/>
      <w:tr w:rsidR="00C411DC" w:rsidRPr="00A067AA" w:rsidTr="007F40D7">
        <w:tblPrEx>
          <w:tblBorders>
            <w:top w:val="single" w:sz="4" w:space="0" w:color="00A0E9"/>
            <w:insideH w:val="single" w:sz="4" w:space="0" w:color="00A0E9"/>
            <w:insideV w:val="single" w:sz="4" w:space="0" w:color="00A0E9"/>
          </w:tblBorders>
        </w:tblPrEx>
        <w:trPr>
          <w:cantSplit/>
          <w:trHeight w:val="200"/>
        </w:trPr>
        <w:tc>
          <w:tcPr>
            <w:tcW w:w="10772" w:type="dxa"/>
            <w:gridSpan w:val="11"/>
            <w:shd w:val="clear" w:color="auto" w:fill="auto"/>
          </w:tcPr>
          <w:p w:rsidR="00C411DC" w:rsidRPr="00A067AA" w:rsidRDefault="00C411DC" w:rsidP="007F40D7">
            <w:pPr>
              <w:pStyle w:val="FootnoteNoline"/>
              <w:ind w:left="0"/>
            </w:pPr>
            <w:r>
              <w:rPr>
                <w:rFonts w:hint="eastAsia"/>
              </w:rPr>
              <w:t>来源：国金证券研究所</w:t>
            </w:r>
          </w:p>
        </w:tc>
      </w:tr>
    </w:tbl>
    <w:p w:rsidR="00C411DC" w:rsidRDefault="00C411DC" w:rsidP="00C411DC">
      <w:pPr>
        <w:pStyle w:val="a0"/>
        <w:widowControl/>
        <w:ind w:left="0"/>
        <w:rPr>
          <w:color w:val="auto"/>
        </w:rPr>
      </w:pPr>
    </w:p>
    <w:p w:rsidR="0005161F" w:rsidRDefault="00552BF7" w:rsidP="00776898">
      <w:pPr>
        <w:pStyle w:val="a0"/>
        <w:pageBreakBefore/>
        <w:ind w:left="0"/>
      </w:pPr>
      <w:r>
        <w:rPr>
          <w:noProof/>
        </w:rPr>
        <w:lastRenderedPageBreak/>
        <w:pict>
          <v:shape id="Text Box 353" o:spid="_x0000_s1026" type="#_x0000_t202" style="position:absolute;left:0;text-align:left;margin-left:-7.05pt;margin-top:77.1pt;width:545.95pt;height:337.8pt;z-index:251654656;visibility:visibl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" filled="f" stroked="f">
            <v:textbox>
              <w:txbxContent>
                <w:p w:rsidR="00461CBE" w:rsidRDefault="00461CBE" w:rsidP="000E6AE0">
                  <w:pPr>
                    <w:pStyle w:val="a0"/>
                    <w:spacing w:after="40" w:line="200" w:lineRule="atLeast"/>
                    <w:ind w:left="0" w:rightChars="-27" w:right="-49" w:firstLineChars="22" w:firstLine="46"/>
                    <w:rPr>
                      <w:b/>
                      <w:bCs/>
                      <w:color w:val="auto"/>
                      <w:szCs w:val="15"/>
                    </w:rPr>
                  </w:pPr>
                  <w:r w:rsidRPr="009A3954">
                    <w:rPr>
                      <w:rFonts w:hint="eastAsia"/>
                      <w:b/>
                      <w:bCs/>
                      <w:color w:val="auto"/>
                      <w:szCs w:val="15"/>
                    </w:rPr>
                    <w:t>特别声明：</w:t>
                  </w:r>
                  <w:r w:rsidRPr="009A3954">
                    <w:rPr>
                      <w:b/>
                      <w:bCs/>
                      <w:color w:val="auto"/>
                      <w:szCs w:val="15"/>
                    </w:rPr>
                    <w:t xml:space="preserve"> </w:t>
                  </w:r>
                </w:p>
                <w:p w:rsidR="00461CBE" w:rsidRPr="00EE31AB" w:rsidRDefault="00461CBE" w:rsidP="00EE31AB">
                  <w:pPr>
                    <w:pStyle w:val="a0"/>
                    <w:spacing w:after="0" w:line="240" w:lineRule="auto"/>
                    <w:ind w:left="0" w:firstLine="420"/>
                    <w:jc w:val="left"/>
                    <w:rPr>
                      <w:b/>
                      <w:bCs/>
                      <w:color w:val="auto"/>
                      <w:szCs w:val="15"/>
                    </w:rPr>
                  </w:pPr>
                  <w:r w:rsidRPr="0038328E">
                    <w:rPr>
                      <w:rFonts w:ascii="楷体_GB2312" w:hAnsi="Tahoma" w:cs="Tahoma" w:hint="eastAsia"/>
                      <w:szCs w:val="21"/>
                    </w:rPr>
                    <w:t>国金证券股份有限公司经中国证券监督管理委员会批准，已具备证券投资咨询业务资格。</w:t>
                  </w:r>
                </w:p>
                <w:p w:rsidR="00461CBE" w:rsidRDefault="00461CBE" w:rsidP="00DF32E3">
                  <w:pPr>
                    <w:ind w:firstLine="420"/>
                    <w:jc w:val="left"/>
                    <w:rPr>
                      <w:rFonts w:ascii="Tahoma" w:eastAsia="宋体" w:hAnsi="Tahoma" w:cs="Tahoma"/>
                      <w:color w:val="000000"/>
                      <w:sz w:val="20"/>
                    </w:rPr>
                  </w:pPr>
                  <w:r>
                    <w:rPr>
                      <w:rFonts w:ascii="楷体_GB2312" w:hAnsi="Tahoma" w:cs="Tahoma" w:hint="eastAsia"/>
                      <w:color w:val="000000"/>
                      <w:sz w:val="21"/>
                      <w:szCs w:val="21"/>
                    </w:rPr>
                    <w:t>本报告版权归</w:t>
                  </w:r>
                  <w:r>
                    <w:rPr>
                      <w:rFonts w:ascii="楷体_GB2312" w:hAnsi="Tahoma" w:cs="Tahoma"/>
                      <w:color w:val="000000"/>
                      <w:sz w:val="21"/>
                      <w:szCs w:val="21"/>
                    </w:rPr>
                    <w:t>“</w:t>
                  </w:r>
                  <w:r>
                    <w:rPr>
                      <w:rFonts w:ascii="楷体_GB2312" w:hAnsi="Tahoma" w:cs="Tahoma" w:hint="eastAsia"/>
                      <w:color w:val="000000"/>
                      <w:sz w:val="21"/>
                      <w:szCs w:val="21"/>
                    </w:rPr>
                    <w:t>国金证券股份有限公司</w:t>
                  </w:r>
                  <w:r>
                    <w:rPr>
                      <w:rFonts w:ascii="楷体_GB2312" w:hAnsi="Tahoma" w:cs="Tahoma"/>
                      <w:color w:val="000000"/>
                      <w:sz w:val="21"/>
                      <w:szCs w:val="21"/>
                    </w:rPr>
                    <w:t>”</w:t>
                  </w:r>
                  <w:r>
                    <w:rPr>
                      <w:rFonts w:ascii="楷体_GB2312" w:hAnsi="Tahoma" w:cs="Tahoma" w:hint="eastAsia"/>
                      <w:color w:val="000000"/>
                      <w:sz w:val="21"/>
                      <w:szCs w:val="21"/>
                    </w:rPr>
                    <w:t>（以下简称</w:t>
                  </w:r>
                  <w:r>
                    <w:rPr>
                      <w:rFonts w:ascii="楷体_GB2312" w:hAnsi="Tahoma" w:cs="Tahoma"/>
                      <w:color w:val="000000"/>
                      <w:sz w:val="21"/>
                      <w:szCs w:val="21"/>
                    </w:rPr>
                    <w:t>“</w:t>
                  </w:r>
                  <w:r>
                    <w:rPr>
                      <w:rFonts w:ascii="楷体_GB2312" w:hAnsi="Tahoma" w:cs="Tahoma" w:hint="eastAsia"/>
                      <w:color w:val="000000"/>
                      <w:sz w:val="21"/>
                      <w:szCs w:val="21"/>
                    </w:rPr>
                    <w:t>国金证券</w:t>
                  </w:r>
                  <w:r>
                    <w:rPr>
                      <w:rFonts w:ascii="楷体_GB2312" w:hAnsi="Tahoma" w:cs="Tahoma"/>
                      <w:color w:val="000000"/>
                      <w:sz w:val="21"/>
                      <w:szCs w:val="21"/>
                    </w:rPr>
                    <w:t>”</w:t>
                  </w:r>
                  <w:r>
                    <w:rPr>
                      <w:rFonts w:ascii="楷体_GB2312" w:hAnsi="Tahoma" w:cs="Tahoma" w:hint="eastAsia"/>
                      <w:color w:val="000000"/>
                      <w:sz w:val="21"/>
                      <w:szCs w:val="21"/>
                    </w:rPr>
                    <w:t>）所有，未经事先书面授权，本报告的任何部分均不得以任何方式制作任何形式的拷贝，或再次分发给任何其他人，或以任何侵犯本公司版权的其他方式使用。经过书面授权的引用、刊发，需注明出处为</w:t>
                  </w:r>
                  <w:r>
                    <w:rPr>
                      <w:rFonts w:ascii="楷体_GB2312" w:hAnsi="Tahoma" w:cs="Tahoma"/>
                      <w:color w:val="000000"/>
                      <w:sz w:val="21"/>
                      <w:szCs w:val="21"/>
                    </w:rPr>
                    <w:t>“</w:t>
                  </w:r>
                  <w:r>
                    <w:rPr>
                      <w:rFonts w:ascii="楷体_GB2312" w:hAnsi="Tahoma" w:cs="Tahoma" w:hint="eastAsia"/>
                      <w:color w:val="000000"/>
                      <w:sz w:val="21"/>
                      <w:szCs w:val="21"/>
                    </w:rPr>
                    <w:t>国金证券股份有限公司</w:t>
                  </w:r>
                  <w:r>
                    <w:rPr>
                      <w:rFonts w:ascii="楷体_GB2312" w:hAnsi="Tahoma" w:cs="Tahoma"/>
                      <w:color w:val="000000"/>
                      <w:sz w:val="21"/>
                      <w:szCs w:val="21"/>
                    </w:rPr>
                    <w:t>”</w:t>
                  </w:r>
                  <w:r>
                    <w:rPr>
                      <w:rFonts w:ascii="楷体_GB2312" w:hAnsi="Tahoma" w:cs="Tahoma" w:hint="eastAsia"/>
                      <w:color w:val="000000"/>
                      <w:sz w:val="21"/>
                      <w:szCs w:val="21"/>
                    </w:rPr>
                    <w:t>，且不得对本报告进行任何有悖原意的删节和修改。</w:t>
                  </w:r>
                </w:p>
                <w:p w:rsidR="00461CBE" w:rsidRDefault="00461CBE" w:rsidP="00DF32E3">
                  <w:pPr>
                    <w:ind w:firstLine="420"/>
                    <w:jc w:val="left"/>
                    <w:rPr>
                      <w:rFonts w:ascii="Tahoma" w:eastAsia="宋体" w:hAnsi="Tahoma" w:cs="Tahoma"/>
                      <w:color w:val="000000"/>
                      <w:sz w:val="20"/>
                    </w:rPr>
                  </w:pPr>
                  <w:r>
                    <w:rPr>
                      <w:rFonts w:ascii="楷体_GB2312" w:hAnsi="Tahoma" w:cs="Tahoma" w:hint="eastAsia"/>
                      <w:color w:val="000000"/>
                      <w:sz w:val="21"/>
                      <w:szCs w:val="21"/>
                    </w:rPr>
                    <w:t>本报告的产生基于国金证券及其研究人员认为可信的公开资料或实地调研资料，但国金证券及其研究人员对这些信息的准确性和完整性不作任何保证，对由于该等问题产生的一切责任，国金证券不</w:t>
                  </w:r>
                  <w:proofErr w:type="gramStart"/>
                  <w:r>
                    <w:rPr>
                      <w:rFonts w:ascii="楷体_GB2312" w:hAnsi="Tahoma" w:cs="Tahoma" w:hint="eastAsia"/>
                      <w:color w:val="000000"/>
                      <w:sz w:val="21"/>
                      <w:szCs w:val="21"/>
                    </w:rPr>
                    <w:t>作出</w:t>
                  </w:r>
                  <w:proofErr w:type="gramEnd"/>
                  <w:r>
                    <w:rPr>
                      <w:rFonts w:ascii="楷体_GB2312" w:hAnsi="Tahoma" w:cs="Tahoma" w:hint="eastAsia"/>
                      <w:color w:val="000000"/>
                      <w:sz w:val="21"/>
                      <w:szCs w:val="21"/>
                    </w:rPr>
                    <w:t>任何担保。且本报告中的资料、意见、预测均反映报告初次公开发布时的判断，在</w:t>
                  </w:r>
                  <w:proofErr w:type="gramStart"/>
                  <w:r>
                    <w:rPr>
                      <w:rFonts w:ascii="楷体_GB2312" w:hAnsi="Tahoma" w:cs="Tahoma" w:hint="eastAsia"/>
                      <w:color w:val="000000"/>
                      <w:sz w:val="21"/>
                      <w:szCs w:val="21"/>
                    </w:rPr>
                    <w:t>不作事</w:t>
                  </w:r>
                  <w:proofErr w:type="gramEnd"/>
                  <w:r>
                    <w:rPr>
                      <w:rFonts w:ascii="楷体_GB2312" w:hAnsi="Tahoma" w:cs="Tahoma" w:hint="eastAsia"/>
                      <w:color w:val="000000"/>
                      <w:sz w:val="21"/>
                      <w:szCs w:val="21"/>
                    </w:rPr>
                    <w:t>先通知的情况下，可能会随时调整。</w:t>
                  </w:r>
                </w:p>
                <w:p w:rsidR="00461CBE" w:rsidRDefault="00461CBE" w:rsidP="00DF32E3">
                  <w:pPr>
                    <w:ind w:firstLine="420"/>
                    <w:jc w:val="left"/>
                    <w:rPr>
                      <w:rFonts w:ascii="Tahoma" w:eastAsia="宋体" w:hAnsi="Tahoma" w:cs="Tahoma"/>
                      <w:color w:val="000000"/>
                      <w:sz w:val="20"/>
                    </w:rPr>
                  </w:pPr>
                  <w:r>
                    <w:rPr>
                      <w:rFonts w:ascii="楷体_GB2312" w:hAnsi="Tahoma" w:cs="Tahoma" w:hint="eastAsia"/>
                      <w:color w:val="000000"/>
                      <w:sz w:val="21"/>
                      <w:szCs w:val="21"/>
                    </w:rPr>
                    <w:t>客户应当考虑到国金证券存在可能影响本报告客观性的利益冲突，而不应视本报告为</w:t>
                  </w:r>
                  <w:proofErr w:type="gramStart"/>
                  <w:r>
                    <w:rPr>
                      <w:rFonts w:ascii="楷体_GB2312" w:hAnsi="Tahoma" w:cs="Tahoma" w:hint="eastAsia"/>
                      <w:color w:val="000000"/>
                      <w:sz w:val="21"/>
                      <w:szCs w:val="21"/>
                    </w:rPr>
                    <w:t>作出</w:t>
                  </w:r>
                  <w:proofErr w:type="gramEnd"/>
                  <w:r>
                    <w:rPr>
                      <w:rFonts w:ascii="楷体_GB2312" w:hAnsi="Tahoma" w:cs="Tahoma" w:hint="eastAsia"/>
                      <w:color w:val="000000"/>
                      <w:sz w:val="21"/>
                      <w:szCs w:val="21"/>
                    </w:rPr>
                    <w:t>投资决策的唯一因素。本报告亦</w:t>
                  </w:r>
                  <w:proofErr w:type="gramStart"/>
                  <w:r>
                    <w:rPr>
                      <w:rFonts w:ascii="楷体_GB2312" w:hAnsi="Tahoma" w:cs="Tahoma" w:hint="eastAsia"/>
                      <w:color w:val="000000"/>
                      <w:sz w:val="21"/>
                      <w:szCs w:val="21"/>
                    </w:rPr>
                    <w:t>非作为</w:t>
                  </w:r>
                  <w:proofErr w:type="gramEnd"/>
                  <w:r>
                    <w:rPr>
                      <w:rFonts w:ascii="楷体_GB2312" w:hAnsi="Tahoma" w:cs="Tahoma" w:hint="eastAsia"/>
                      <w:color w:val="000000"/>
                      <w:sz w:val="21"/>
                      <w:szCs w:val="21"/>
                    </w:rPr>
                    <w:t>或被视为出售或购买证券或其他投资标的邀请。</w:t>
                  </w:r>
                </w:p>
                <w:p w:rsidR="00461CBE" w:rsidRDefault="00461CBE" w:rsidP="00DF32E3">
                  <w:pPr>
                    <w:ind w:firstLine="420"/>
                    <w:jc w:val="left"/>
                    <w:rPr>
                      <w:rFonts w:ascii="Tahoma" w:eastAsia="宋体" w:hAnsi="Tahoma" w:cs="Tahoma"/>
                      <w:color w:val="000000"/>
                      <w:sz w:val="20"/>
                    </w:rPr>
                  </w:pPr>
                  <w:r>
                    <w:rPr>
                      <w:rFonts w:ascii="楷体_GB2312" w:hAnsi="Tahoma" w:cs="Tahoma" w:hint="eastAsia"/>
                      <w:color w:val="000000"/>
                      <w:sz w:val="21"/>
                      <w:szCs w:val="21"/>
                    </w:rPr>
                    <w:t>证券研究报告是用于服务机构投资者和投资顾问的专业产品，使用时必须经专业人士进行解读。国金证券建议客户应考虑本报告的任何意见或建议是否符合其特定状况，以及（若有必要）咨询独立投资顾问。报告本身、报告中的信息或所表达意见也不构成投资、法律、会计或税务的最终操作建议，国金证券不就报告中的内容对最终操作建议做出任何担保。</w:t>
                  </w:r>
                </w:p>
                <w:p w:rsidR="00461CBE" w:rsidRDefault="00461CBE" w:rsidP="00DF32E3">
                  <w:pPr>
                    <w:ind w:firstLine="420"/>
                    <w:jc w:val="left"/>
                    <w:rPr>
                      <w:rFonts w:ascii="Tahoma" w:eastAsia="宋体" w:hAnsi="Tahoma" w:cs="Tahoma"/>
                      <w:color w:val="000000"/>
                      <w:sz w:val="20"/>
                    </w:rPr>
                  </w:pPr>
                  <w:r>
                    <w:rPr>
                      <w:rFonts w:ascii="楷体_GB2312" w:hAnsi="Tahoma" w:cs="Tahoma" w:hint="eastAsia"/>
                      <w:color w:val="000000"/>
                      <w:sz w:val="21"/>
                      <w:szCs w:val="21"/>
                    </w:rPr>
                    <w:t>在法律允许的情况下，国金证券的关联机构可能会持有报告中涉及的公司所发行的证券并进行交易，并可能为这些公司正在提供或争取提供多种金融服务。</w:t>
                  </w:r>
                </w:p>
                <w:p w:rsidR="00461CBE" w:rsidRDefault="00461CBE" w:rsidP="00DF32E3">
                  <w:pPr>
                    <w:ind w:firstLine="420"/>
                    <w:jc w:val="left"/>
                    <w:rPr>
                      <w:rFonts w:ascii="楷体_GB2312" w:hAnsi="Tahoma" w:cs="Tahoma"/>
                      <w:color w:val="000000"/>
                      <w:sz w:val="21"/>
                      <w:szCs w:val="21"/>
                    </w:rPr>
                  </w:pPr>
                  <w:r>
                    <w:rPr>
                      <w:rFonts w:ascii="楷体_GB2312" w:hAnsi="Tahoma" w:cs="Tahoma" w:hint="eastAsia"/>
                      <w:color w:val="000000"/>
                      <w:sz w:val="21"/>
                      <w:szCs w:val="21"/>
                    </w:rPr>
                    <w:t>本报告反映编写分析员的不同设想、见解及分析方法，故本报告所载观点可能与其他类似研究报告的观点及市场实际情况不一致，且收件人亦不会因为收到本报告而成为国金证券的客户。</w:t>
                  </w:r>
                </w:p>
                <w:p w:rsidR="00461CBE" w:rsidRDefault="00461CBE" w:rsidP="000E6AE0">
                  <w:pPr>
                    <w:pStyle w:val="a0"/>
                    <w:spacing w:after="40" w:line="200" w:lineRule="atLeast"/>
                    <w:ind w:left="0" w:rightChars="-27" w:right="-49"/>
                    <w:rPr>
                      <w:b/>
                      <w:bCs/>
                      <w:color w:val="auto"/>
                      <w:szCs w:val="15"/>
                    </w:rPr>
                  </w:pPr>
                  <w:r>
                    <w:rPr>
                      <w:rFonts w:eastAsia="宋体"/>
                      <w:b/>
                      <w:bCs/>
                      <w:szCs w:val="18"/>
                    </w:rPr>
                    <w:t xml:space="preserve">         </w:t>
                  </w:r>
                  <w:r>
                    <w:rPr>
                      <w:rFonts w:ascii="楷体_GB2312" w:hAnsi="Tahoma" w:cs="Tahoma" w:hint="eastAsia"/>
                      <w:szCs w:val="21"/>
                    </w:rPr>
                    <w:t>本报告仅供国金证券股份有限公司的机构客户使用；非国金证券客户擅自使用国金证券研究报告进行投资，遭受任何损失，国金证券不承担相关法律责任。</w:t>
                  </w:r>
                </w:p>
                <w:p w:rsidR="00461CBE" w:rsidRDefault="00461CBE" w:rsidP="000E6AE0">
                  <w:pPr>
                    <w:pStyle w:val="a0"/>
                    <w:spacing w:after="60"/>
                    <w:ind w:left="0" w:rightChars="-27" w:right="-49"/>
                    <w:rPr>
                      <w:color w:val="auto"/>
                      <w:szCs w:val="15"/>
                    </w:rPr>
                  </w:pPr>
                </w:p>
                <w:p w:rsidR="00461CBE" w:rsidRDefault="00461CBE" w:rsidP="000E6AE0">
                  <w:pPr>
                    <w:pStyle w:val="a0"/>
                    <w:spacing w:after="60"/>
                    <w:ind w:left="0" w:rightChars="-27" w:right="-49"/>
                    <w:rPr>
                      <w:color w:val="auto"/>
                      <w:szCs w:val="15"/>
                    </w:rPr>
                  </w:pPr>
                </w:p>
                <w:p w:rsidR="00461CBE" w:rsidRPr="000336C0" w:rsidRDefault="00461CBE" w:rsidP="000E6AE0">
                  <w:pPr>
                    <w:pStyle w:val="a0"/>
                    <w:spacing w:after="60"/>
                    <w:ind w:left="0" w:rightChars="-27" w:right="-49"/>
                    <w:rPr>
                      <w:color w:val="auto"/>
                      <w:szCs w:val="15"/>
                    </w:rPr>
                  </w:pPr>
                </w:p>
              </w:txbxContent>
            </v:textbox>
            <w10:wrap type="square" anchory="page"/>
          </v:shape>
        </w:pict>
      </w:r>
    </w:p>
    <w:p w:rsidR="00ED77B9" w:rsidRDefault="00ED77B9" w:rsidP="00ED77B9">
      <w:pPr>
        <w:spacing w:line="14" w:lineRule="exact"/>
      </w:pPr>
    </w:p>
    <w:p w:rsidR="00762F0E" w:rsidRPr="00ED77B9" w:rsidRDefault="00762F0E" w:rsidP="00ED77B9">
      <w:pPr>
        <w:spacing w:line="14" w:lineRule="exact"/>
      </w:pPr>
    </w:p>
    <w:p w:rsidR="00E1684A" w:rsidRDefault="00E1684A" w:rsidP="00E1684A">
      <w:pPr>
        <w:spacing w:line="14" w:lineRule="exact"/>
      </w:pPr>
    </w:p>
    <w:sdt>
      <w:sdtPr>
        <w:alias w:val="末页联系地址"/>
        <w:tag w:val="BDCONTENTCONTROL_2602561a-fc2b-4adc-befd-22fa63ba88c6"/>
        <w:id w:val="-1419249774"/>
        <w:placeholder>
          <w:docPart w:val="BE343C0A3357424294F39F680051F9AF"/>
        </w:placeholder>
      </w:sdtPr>
      <w:sdtEndPr/>
      <w:sdtContent>
        <w:p w:rsidR="004C64E0" w:rsidRDefault="004C64E0" w:rsidP="004C64E0">
          <w:pPr>
            <w:spacing w:line="14" w:lineRule="exact"/>
          </w:pPr>
        </w:p>
        <w:tbl>
          <w:tblPr>
            <w:tblW w:w="0" w:type="auto"/>
            <w:tblLayout w:type="fixed"/>
            <w:tblLook w:val="0000" w:firstRow="0" w:lastRow="0" w:firstColumn="0" w:lastColumn="0" w:noHBand="0" w:noVBand="0"/>
          </w:tblPr>
          <w:tblGrid>
            <w:gridCol w:w="3625"/>
            <w:gridCol w:w="3625"/>
            <w:gridCol w:w="3625"/>
          </w:tblGrid>
          <w:tr w:rsidR="004C64E0">
            <w:tc>
              <w:tcPr>
                <w:tcW w:w="3625" w:type="dxa"/>
              </w:tcPr>
              <w:p w:rsidR="004C64E0" w:rsidRPr="004C64E0" w:rsidRDefault="003210C0" w:rsidP="004C64E0">
                <w:pPr>
                  <w:spacing w:after="120" w:line="240" w:lineRule="exact"/>
                  <w:rPr>
                    <w:b/>
                  </w:rPr>
                </w:pPr>
                <w:r>
                  <w:rPr>
                    <w:rFonts w:hint="eastAsia"/>
                    <w:b/>
                  </w:rPr>
                  <w:t>上海</w:t>
                </w:r>
              </w:p>
            </w:tc>
            <w:tc>
              <w:tcPr>
                <w:tcW w:w="3625" w:type="dxa"/>
              </w:tcPr>
              <w:p w:rsidR="004C64E0" w:rsidRPr="004C64E0" w:rsidRDefault="003210C0" w:rsidP="004C64E0">
                <w:pPr>
                  <w:spacing w:after="120" w:line="240" w:lineRule="exact"/>
                  <w:rPr>
                    <w:b/>
                  </w:rPr>
                </w:pPr>
                <w:r>
                  <w:rPr>
                    <w:rFonts w:hint="eastAsia"/>
                    <w:b/>
                  </w:rPr>
                  <w:t>北京</w:t>
                </w:r>
              </w:p>
            </w:tc>
            <w:tc>
              <w:tcPr>
                <w:tcW w:w="3625" w:type="dxa"/>
              </w:tcPr>
              <w:p w:rsidR="004C64E0" w:rsidRPr="004C64E0" w:rsidRDefault="003210C0" w:rsidP="004C64E0">
                <w:pPr>
                  <w:spacing w:after="120" w:line="240" w:lineRule="exact"/>
                  <w:rPr>
                    <w:b/>
                  </w:rPr>
                </w:pPr>
                <w:r>
                  <w:rPr>
                    <w:rFonts w:hint="eastAsia"/>
                    <w:b/>
                  </w:rPr>
                  <w:t>深圳</w:t>
                </w:r>
              </w:p>
            </w:tc>
          </w:tr>
          <w:tr w:rsidR="004C64E0">
            <w:tc>
              <w:tcPr>
                <w:tcW w:w="3625" w:type="dxa"/>
              </w:tcPr>
              <w:p w:rsidR="003210C0" w:rsidRDefault="003210C0" w:rsidP="000B01C0">
                <w:pPr>
                  <w:spacing w:after="120" w:line="240" w:lineRule="exact"/>
                </w:pPr>
                <w:r>
                  <w:rPr>
                    <w:rFonts w:hint="eastAsia"/>
                  </w:rPr>
                  <w:t>电话：</w:t>
                </w:r>
                <w:r>
                  <w:rPr>
                    <w:rFonts w:hint="eastAsia"/>
                  </w:rPr>
                  <w:t>021-60753903</w:t>
                </w:r>
              </w:p>
              <w:p w:rsidR="003210C0" w:rsidRDefault="003210C0" w:rsidP="000B01C0">
                <w:pPr>
                  <w:spacing w:after="120" w:line="240" w:lineRule="exact"/>
                </w:pPr>
                <w:r>
                  <w:rPr>
                    <w:rFonts w:hint="eastAsia"/>
                  </w:rPr>
                  <w:t>传真：</w:t>
                </w:r>
                <w:r>
                  <w:rPr>
                    <w:rFonts w:hint="eastAsia"/>
                  </w:rPr>
                  <w:t>021-61038200</w:t>
                </w:r>
              </w:p>
              <w:p w:rsidR="003210C0" w:rsidRDefault="003210C0" w:rsidP="000B01C0">
                <w:pPr>
                  <w:spacing w:after="120" w:line="240" w:lineRule="exact"/>
                </w:pPr>
                <w:r>
                  <w:rPr>
                    <w:rFonts w:hint="eastAsia"/>
                  </w:rPr>
                  <w:t>邮箱：</w:t>
                </w:r>
                <w:r>
                  <w:rPr>
                    <w:rFonts w:hint="eastAsia"/>
                  </w:rPr>
                  <w:t>researchsh@gjzq.com.cn</w:t>
                </w:r>
              </w:p>
              <w:p w:rsidR="003210C0" w:rsidRDefault="003210C0" w:rsidP="000B01C0">
                <w:pPr>
                  <w:spacing w:after="120" w:line="240" w:lineRule="exact"/>
                </w:pPr>
                <w:r>
                  <w:rPr>
                    <w:rFonts w:hint="eastAsia"/>
                  </w:rPr>
                  <w:t>邮编：</w:t>
                </w:r>
                <w:r>
                  <w:rPr>
                    <w:rFonts w:hint="eastAsia"/>
                  </w:rPr>
                  <w:t>201204</w:t>
                </w:r>
              </w:p>
              <w:p w:rsidR="003210C0" w:rsidRDefault="003210C0" w:rsidP="000B01C0">
                <w:pPr>
                  <w:spacing w:after="120" w:line="240" w:lineRule="exact"/>
                </w:pPr>
                <w:r>
                  <w:rPr>
                    <w:rFonts w:hint="eastAsia"/>
                  </w:rPr>
                  <w:t>地址：上海浦东新区芳</w:t>
                </w:r>
                <w:proofErr w:type="gramStart"/>
                <w:r>
                  <w:rPr>
                    <w:rFonts w:hint="eastAsia"/>
                  </w:rPr>
                  <w:t>甸</w:t>
                </w:r>
                <w:proofErr w:type="gramEnd"/>
                <w:r>
                  <w:rPr>
                    <w:rFonts w:hint="eastAsia"/>
                  </w:rPr>
                  <w:t>路</w:t>
                </w:r>
                <w:r>
                  <w:rPr>
                    <w:rFonts w:hint="eastAsia"/>
                  </w:rPr>
                  <w:t>1088</w:t>
                </w:r>
                <w:r>
                  <w:rPr>
                    <w:rFonts w:hint="eastAsia"/>
                  </w:rPr>
                  <w:t>号</w:t>
                </w:r>
              </w:p>
              <w:p w:rsidR="004C64E0" w:rsidRDefault="003210C0" w:rsidP="000B01C0">
                <w:pPr>
                  <w:spacing w:after="120" w:line="240" w:lineRule="exact"/>
                </w:pPr>
                <w:r>
                  <w:rPr>
                    <w:rFonts w:hint="eastAsia"/>
                  </w:rPr>
                  <w:t xml:space="preserve">           </w:t>
                </w:r>
                <w:r>
                  <w:rPr>
                    <w:rFonts w:hint="eastAsia"/>
                  </w:rPr>
                  <w:t>紫竹国际大厦</w:t>
                </w:r>
                <w:r>
                  <w:rPr>
                    <w:rFonts w:hint="eastAsia"/>
                  </w:rPr>
                  <w:t>7</w:t>
                </w:r>
                <w:r>
                  <w:rPr>
                    <w:rFonts w:hint="eastAsia"/>
                  </w:rPr>
                  <w:t>楼</w:t>
                </w:r>
              </w:p>
            </w:tc>
            <w:tc>
              <w:tcPr>
                <w:tcW w:w="3625" w:type="dxa"/>
              </w:tcPr>
              <w:p w:rsidR="003210C0" w:rsidRDefault="003210C0" w:rsidP="000B01C0">
                <w:pPr>
                  <w:spacing w:after="120" w:line="240" w:lineRule="exact"/>
                </w:pPr>
                <w:r>
                  <w:rPr>
                    <w:rFonts w:hint="eastAsia"/>
                  </w:rPr>
                  <w:t>电话：</w:t>
                </w:r>
                <w:r>
                  <w:rPr>
                    <w:rFonts w:hint="eastAsia"/>
                  </w:rPr>
                  <w:t>010-66216979</w:t>
                </w:r>
              </w:p>
              <w:p w:rsidR="003210C0" w:rsidRDefault="003210C0" w:rsidP="000B01C0">
                <w:pPr>
                  <w:spacing w:after="120" w:line="240" w:lineRule="exact"/>
                </w:pPr>
                <w:r>
                  <w:rPr>
                    <w:rFonts w:hint="eastAsia"/>
                  </w:rPr>
                  <w:t>传真：</w:t>
                </w:r>
                <w:r>
                  <w:rPr>
                    <w:rFonts w:hint="eastAsia"/>
                  </w:rPr>
                  <w:t>010-66216793</w:t>
                </w:r>
              </w:p>
              <w:p w:rsidR="003210C0" w:rsidRDefault="003210C0" w:rsidP="000B01C0">
                <w:pPr>
                  <w:spacing w:after="120" w:line="240" w:lineRule="exact"/>
                </w:pPr>
                <w:r>
                  <w:rPr>
                    <w:rFonts w:hint="eastAsia"/>
                  </w:rPr>
                  <w:t>邮箱：</w:t>
                </w:r>
                <w:r>
                  <w:rPr>
                    <w:rFonts w:hint="eastAsia"/>
                  </w:rPr>
                  <w:t>researchbj@gjzq.com.cn</w:t>
                </w:r>
              </w:p>
              <w:p w:rsidR="003210C0" w:rsidRDefault="003210C0" w:rsidP="000B01C0">
                <w:pPr>
                  <w:spacing w:after="120" w:line="240" w:lineRule="exact"/>
                </w:pPr>
                <w:r>
                  <w:rPr>
                    <w:rFonts w:hint="eastAsia"/>
                  </w:rPr>
                  <w:t>邮编：</w:t>
                </w:r>
                <w:r>
                  <w:rPr>
                    <w:rFonts w:hint="eastAsia"/>
                  </w:rPr>
                  <w:t>100053</w:t>
                </w:r>
              </w:p>
              <w:p w:rsidR="004C64E0" w:rsidRDefault="003210C0" w:rsidP="000B01C0">
                <w:pPr>
                  <w:spacing w:after="120" w:line="240" w:lineRule="exact"/>
                </w:pPr>
                <w:r>
                  <w:rPr>
                    <w:rFonts w:hint="eastAsia"/>
                  </w:rPr>
                  <w:t>地址：中国北京西城区长椿街</w:t>
                </w:r>
                <w:r>
                  <w:rPr>
                    <w:rFonts w:hint="eastAsia"/>
                  </w:rPr>
                  <w:t>3</w:t>
                </w:r>
                <w:r>
                  <w:rPr>
                    <w:rFonts w:hint="eastAsia"/>
                  </w:rPr>
                  <w:t>号</w:t>
                </w:r>
                <w:r>
                  <w:rPr>
                    <w:rFonts w:hint="eastAsia"/>
                  </w:rPr>
                  <w:t xml:space="preserve">4 </w:t>
                </w:r>
                <w:r>
                  <w:rPr>
                    <w:rFonts w:hint="eastAsia"/>
                  </w:rPr>
                  <w:t>层</w:t>
                </w:r>
              </w:p>
            </w:tc>
            <w:tc>
              <w:tcPr>
                <w:tcW w:w="3625" w:type="dxa"/>
              </w:tcPr>
              <w:p w:rsidR="003210C0" w:rsidRDefault="003210C0" w:rsidP="000B01C0">
                <w:pPr>
                  <w:spacing w:after="120" w:line="240" w:lineRule="exact"/>
                </w:pPr>
                <w:r>
                  <w:rPr>
                    <w:rFonts w:hint="eastAsia"/>
                  </w:rPr>
                  <w:t>电话：</w:t>
                </w:r>
                <w:r>
                  <w:rPr>
                    <w:rFonts w:hint="eastAsia"/>
                  </w:rPr>
                  <w:t>0755-83831378</w:t>
                </w:r>
              </w:p>
              <w:p w:rsidR="003210C0" w:rsidRDefault="003210C0" w:rsidP="000B01C0">
                <w:pPr>
                  <w:spacing w:after="120" w:line="240" w:lineRule="exact"/>
                </w:pPr>
                <w:r>
                  <w:rPr>
                    <w:rFonts w:hint="eastAsia"/>
                  </w:rPr>
                  <w:t>传真：</w:t>
                </w:r>
                <w:r>
                  <w:rPr>
                    <w:rFonts w:hint="eastAsia"/>
                  </w:rPr>
                  <w:t>0755-83830558</w:t>
                </w:r>
              </w:p>
              <w:p w:rsidR="003210C0" w:rsidRDefault="003210C0" w:rsidP="000B01C0">
                <w:pPr>
                  <w:spacing w:after="120" w:line="240" w:lineRule="exact"/>
                </w:pPr>
                <w:r>
                  <w:rPr>
                    <w:rFonts w:hint="eastAsia"/>
                  </w:rPr>
                  <w:t>邮箱：</w:t>
                </w:r>
                <w:r>
                  <w:rPr>
                    <w:rFonts w:hint="eastAsia"/>
                  </w:rPr>
                  <w:t>researchsz@gjzq.com.cn</w:t>
                </w:r>
              </w:p>
              <w:p w:rsidR="003210C0" w:rsidRDefault="003210C0" w:rsidP="000B01C0">
                <w:pPr>
                  <w:spacing w:after="120" w:line="240" w:lineRule="exact"/>
                </w:pPr>
                <w:r>
                  <w:rPr>
                    <w:rFonts w:hint="eastAsia"/>
                  </w:rPr>
                  <w:t>邮编：</w:t>
                </w:r>
                <w:r>
                  <w:rPr>
                    <w:rFonts w:hint="eastAsia"/>
                  </w:rPr>
                  <w:t>518000</w:t>
                </w:r>
              </w:p>
              <w:p w:rsidR="003210C0" w:rsidRDefault="003210C0" w:rsidP="000B01C0">
                <w:pPr>
                  <w:spacing w:after="120" w:line="240" w:lineRule="exact"/>
                </w:pPr>
                <w:r>
                  <w:rPr>
                    <w:rFonts w:hint="eastAsia"/>
                  </w:rPr>
                  <w:t>地址：中国深圳福田区深南大道</w:t>
                </w:r>
                <w:r>
                  <w:rPr>
                    <w:rFonts w:hint="eastAsia"/>
                  </w:rPr>
                  <w:t>4001</w:t>
                </w:r>
                <w:r>
                  <w:rPr>
                    <w:rFonts w:hint="eastAsia"/>
                  </w:rPr>
                  <w:t>号</w:t>
                </w:r>
              </w:p>
              <w:p w:rsidR="004C64E0" w:rsidRDefault="003210C0" w:rsidP="000B01C0">
                <w:pPr>
                  <w:spacing w:after="120" w:line="240" w:lineRule="exact"/>
                </w:pPr>
                <w:r>
                  <w:rPr>
                    <w:rFonts w:hint="eastAsia"/>
                  </w:rPr>
                  <w:t xml:space="preserve">           </w:t>
                </w:r>
                <w:r>
                  <w:rPr>
                    <w:rFonts w:hint="eastAsia"/>
                  </w:rPr>
                  <w:t>时代金融中心</w:t>
                </w:r>
                <w:r>
                  <w:rPr>
                    <w:rFonts w:hint="eastAsia"/>
                  </w:rPr>
                  <w:t>7BD</w:t>
                </w:r>
              </w:p>
            </w:tc>
          </w:tr>
        </w:tbl>
        <w:p w:rsidR="00E1684A" w:rsidRDefault="00552BF7" w:rsidP="003210C0">
          <w:pPr>
            <w:spacing w:line="14" w:lineRule="exact"/>
          </w:pPr>
        </w:p>
      </w:sdtContent>
    </w:sdt>
    <w:p w:rsidR="005E311D" w:rsidRPr="00ED77B9" w:rsidRDefault="005E311D" w:rsidP="00ED77B9"/>
    <w:sectPr w:rsidR="005E311D" w:rsidRPr="00ED77B9" w:rsidSect="00A87799">
      <w:headerReference w:type="default" r:id="rId17"/>
      <w:footerReference w:type="even" r:id="rId18"/>
      <w:footerReference w:type="default" r:id="rId19"/>
      <w:headerReference w:type="first" r:id="rId20"/>
      <w:footerReference w:type="first" r:id="rId21"/>
      <w:type w:val="continuous"/>
      <w:pgSz w:w="11907" w:h="16840" w:code="9"/>
      <w:pgMar w:top="1440" w:right="624" w:bottom="1440" w:left="624" w:header="851" w:footer="39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2BF7" w:rsidRDefault="00552BF7">
      <w:r>
        <w:separator/>
      </w:r>
    </w:p>
  </w:endnote>
  <w:endnote w:type="continuationSeparator" w:id="0">
    <w:p w:rsidR="00552BF7" w:rsidRDefault="00552B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楷体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Monotype Sorts">
    <w:altName w:val="Courier New"/>
    <w:panose1 w:val="00000000000000000000"/>
    <w:charset w:val="02"/>
    <w:family w:val="auto"/>
    <w:notTrueType/>
    <w:pitch w:val="variable"/>
  </w:font>
  <w:font w:name="Arial">
    <w:panose1 w:val="020B0604020202020204"/>
    <w:charset w:val="00"/>
    <w:family w:val="swiss"/>
    <w:pitch w:val="variable"/>
    <w:sig w:usb0="E0002AFF" w:usb1="C0007843"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LucidaT">
    <w:altName w:val="Times New Roman"/>
    <w:panose1 w:val="00000000000000000000"/>
    <w:charset w:val="00"/>
    <w:family w:val="auto"/>
    <w:notTrueType/>
    <w:pitch w:val="variable"/>
    <w:sig w:usb0="00000003" w:usb1="00000000" w:usb2="00000000" w:usb3="00000000" w:csb0="00000001" w:csb1="00000000"/>
  </w:font>
  <w:font w:name="LucidaSans">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1CBE" w:rsidRDefault="00A762D4">
    <w:pPr>
      <w:pStyle w:val="a4"/>
      <w:framePr w:wrap="around" w:vAnchor="text" w:hAnchor="margin" w:xAlign="right" w:y="1"/>
      <w:rPr>
        <w:rStyle w:val="a5"/>
      </w:rPr>
    </w:pPr>
    <w:r>
      <w:rPr>
        <w:rStyle w:val="a5"/>
      </w:rPr>
      <w:fldChar w:fldCharType="begin"/>
    </w:r>
    <w:r w:rsidR="00461CBE">
      <w:rPr>
        <w:rStyle w:val="a5"/>
      </w:rPr>
      <w:instrText xml:space="preserve">PAGE  </w:instrText>
    </w:r>
    <w:r>
      <w:rPr>
        <w:rStyle w:val="a5"/>
      </w:rPr>
      <w:fldChar w:fldCharType="end"/>
    </w:r>
  </w:p>
  <w:p w:rsidR="00461CBE" w:rsidRDefault="00461CBE">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1CBE" w:rsidRPr="00A30364" w:rsidRDefault="00552BF7" w:rsidP="007F6DAF">
    <w:pPr>
      <w:pStyle w:val="a6"/>
      <w:pBdr>
        <w:bottom w:val="none" w:sz="0" w:space="0" w:color="auto"/>
      </w:pBdr>
      <w:rPr>
        <w:rFonts w:ascii="LucidaSans" w:hAnsi="LucidaSans"/>
        <w:b/>
      </w:rPr>
    </w:pPr>
    <w:r>
      <w:rPr>
        <w:noProof/>
      </w:rPr>
      <w:pict>
        <v:line id="Line 34" o:spid="_x0000_s2051" style="position:absolute;left:0;text-align:left;z-index:251659264;visibility:visible;mso-wrap-distance-top:-3e-5mm;mso-wrap-distance-bottom:-3e-5mm" from="-7.65pt,-.6pt" to="540.4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" strokecolor="#00a0e9"/>
      </w:pict>
    </w:r>
    <w:r w:rsidR="00461CBE" w:rsidRPr="00A30364">
      <w:rPr>
        <w:rFonts w:ascii="LucidaSans" w:hAnsi="LucidaSans"/>
        <w:b/>
        <w:szCs w:val="21"/>
      </w:rPr>
      <w:t xml:space="preserve">- </w:t>
    </w:r>
    <w:r w:rsidR="00A762D4" w:rsidRPr="003C4E1B">
      <w:rPr>
        <w:b/>
        <w:szCs w:val="21"/>
      </w:rPr>
      <w:fldChar w:fldCharType="begin"/>
    </w:r>
    <w:r w:rsidR="00461CBE" w:rsidRPr="003C4E1B">
      <w:rPr>
        <w:b/>
        <w:szCs w:val="21"/>
      </w:rPr>
      <w:instrText xml:space="preserve"> PAGE </w:instrText>
    </w:r>
    <w:r w:rsidR="00A762D4" w:rsidRPr="003C4E1B">
      <w:rPr>
        <w:b/>
        <w:szCs w:val="21"/>
      </w:rPr>
      <w:fldChar w:fldCharType="separate"/>
    </w:r>
    <w:r w:rsidR="00982BBE">
      <w:rPr>
        <w:b/>
        <w:noProof/>
        <w:szCs w:val="21"/>
      </w:rPr>
      <w:t>12</w:t>
    </w:r>
    <w:r w:rsidR="00A762D4" w:rsidRPr="003C4E1B">
      <w:rPr>
        <w:b/>
        <w:szCs w:val="21"/>
      </w:rPr>
      <w:fldChar w:fldCharType="end"/>
    </w:r>
    <w:r w:rsidR="00461CBE" w:rsidRPr="00A30364">
      <w:rPr>
        <w:rFonts w:ascii="LucidaSans" w:hAnsi="LucidaSans"/>
        <w:b/>
        <w:szCs w:val="21"/>
      </w:rPr>
      <w:t xml:space="preserve"> -</w:t>
    </w:r>
  </w:p>
  <w:p w:rsidR="00461CBE" w:rsidRDefault="00461CBE" w:rsidP="0007511E">
    <w:pPr>
      <w:pStyle w:val="a6"/>
      <w:pBdr>
        <w:bottom w:val="none" w:sz="0" w:space="0" w:color="auto"/>
      </w:pBdr>
      <w:jc w:val="left"/>
      <w:rPr>
        <w:rFonts w:ascii="LucidaSans" w:hAnsi="LucidaSans"/>
      </w:rPr>
    </w:pPr>
    <w:r>
      <w:rPr>
        <w:rFonts w:ascii="LucidaSans" w:hAnsi="LucidaSans" w:hint="eastAsia"/>
      </w:rPr>
      <w:t>敬请参阅最后一页特别声明</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1CBE" w:rsidRPr="00A30364" w:rsidRDefault="00552BF7" w:rsidP="00A30364">
    <w:pPr>
      <w:pStyle w:val="a4"/>
      <w:tabs>
        <w:tab w:val="center" w:pos="5103"/>
      </w:tabs>
      <w:jc w:val="center"/>
      <w:rPr>
        <w:rFonts w:cs="Arial"/>
        <w:b/>
      </w:rPr>
    </w:pPr>
    <w:r>
      <w:rPr>
        <w:noProof/>
      </w:rPr>
      <w:pict>
        <v:line id="Line 35" o:spid="_x0000_s2050" style="position:absolute;left:0;text-align:left;z-index:251660288;visibility:visible;mso-wrap-distance-top:-3e-5mm;mso-wrap-distance-bottom:-3e-5mm" from="-31.8pt,.5pt" to="570.3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" strokecolor="#00a0e9"/>
      </w:pict>
    </w:r>
    <w:r>
      <w:rPr>
        <w:noProof/>
      </w:rPr>
      <w:pict>
        <v:rect id="Rectangle 33" o:spid="_x0000_s2049" style="position:absolute;left:0;text-align:left;margin-left:-31.8pt;margin-top:24.65pt;width:596.1pt;height:19.2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" fillcolor="#eaeaea" stroked="f" strokecolor="#f8f8f8">
          <v:fill opacity="39321f"/>
          <v:textbox>
            <w:txbxContent>
              <w:p w:rsidR="00461CBE" w:rsidRPr="0003281B" w:rsidRDefault="00461CBE" w:rsidP="0003281B"/>
            </w:txbxContent>
          </v:textbox>
        </v:rect>
      </w:pict>
    </w:r>
    <w:r w:rsidR="00461CBE" w:rsidRPr="00A30364">
      <w:rPr>
        <w:rFonts w:cs="Arial"/>
        <w:b/>
        <w:szCs w:val="21"/>
      </w:rPr>
      <w:t xml:space="preserve">- </w:t>
    </w:r>
    <w:r w:rsidR="00A762D4" w:rsidRPr="00A30364">
      <w:rPr>
        <w:rFonts w:cs="Arial"/>
        <w:b/>
        <w:szCs w:val="21"/>
      </w:rPr>
      <w:fldChar w:fldCharType="begin"/>
    </w:r>
    <w:r w:rsidR="00461CBE" w:rsidRPr="00A30364">
      <w:rPr>
        <w:rFonts w:cs="Arial"/>
        <w:b/>
        <w:szCs w:val="21"/>
      </w:rPr>
      <w:instrText xml:space="preserve"> PAGE </w:instrText>
    </w:r>
    <w:r w:rsidR="00A762D4" w:rsidRPr="00A30364">
      <w:rPr>
        <w:rFonts w:cs="Arial"/>
        <w:b/>
        <w:szCs w:val="21"/>
      </w:rPr>
      <w:fldChar w:fldCharType="separate"/>
    </w:r>
    <w:r w:rsidR="00982BBE">
      <w:rPr>
        <w:rFonts w:cs="Arial"/>
        <w:b/>
        <w:noProof/>
        <w:szCs w:val="21"/>
      </w:rPr>
      <w:t>1</w:t>
    </w:r>
    <w:r w:rsidR="00A762D4" w:rsidRPr="00A30364">
      <w:rPr>
        <w:rFonts w:cs="Arial"/>
        <w:b/>
        <w:szCs w:val="21"/>
      </w:rPr>
      <w:fldChar w:fldCharType="end"/>
    </w:r>
    <w:r w:rsidR="00461CBE" w:rsidRPr="00A30364">
      <w:rPr>
        <w:rFonts w:cs="Arial"/>
        <w:b/>
        <w:szCs w:val="21"/>
      </w:rPr>
      <w:t xml:space="preserve"> -</w:t>
    </w:r>
  </w:p>
  <w:p w:rsidR="00461CBE" w:rsidRDefault="00461CBE">
    <w:r>
      <w:rPr>
        <w:rFonts w:cs="Arial" w:hint="eastAsia"/>
        <w:szCs w:val="18"/>
      </w:rPr>
      <w:t>敬请参阅最后一页特别声明</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2BF7" w:rsidRDefault="00552BF7">
      <w:r>
        <w:separator/>
      </w:r>
    </w:p>
  </w:footnote>
  <w:footnote w:type="continuationSeparator" w:id="0">
    <w:p w:rsidR="00552BF7" w:rsidRDefault="00552B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1CBE" w:rsidRDefault="00552BF7" w:rsidP="00F72878">
    <w:pPr>
      <w:jc w:val="right"/>
    </w:pPr>
    <w:sdt>
      <w:sdtPr>
        <w:alias w:val="报告类型"/>
        <w:tag w:val="BDCONTENTCONTROL_451e08ee-3959-4251-8d5f-f302d5f0f153"/>
        <w:id w:val="631523797"/>
        <w:placeholder>
          <w:docPart w:val="DA91429EABDC4B639FE5616858B3E722"/>
        </w:placeholder>
        <w:text/>
      </w:sdtPr>
      <w:sdtEndPr/>
      <w:sdtContent>
        <w:r w:rsidR="003210C0">
          <w:rPr>
            <w:rFonts w:hint="eastAsia"/>
          </w:rPr>
          <w:t>基金投资策略报告</w:t>
        </w:r>
      </w:sdtContent>
    </w:sdt>
    <w:r>
      <w:rPr>
        <w:noProof/>
      </w:rPr>
      <w:pict>
        <v:shapetype id="_x0000_t202" coordsize="21600,21600" o:spt="202" path="m,l,21600r21600,l21600,xe">
          <v:stroke joinstyle="miter"/>
          <v:path gradientshapeok="t" o:connecttype="rect"/>
        </v:shapetype>
        <v:shape id="Text Box 18" o:spid="_x0000_s2053" type="#_x0000_t202" style="position:absolute;left:0;text-align:left;margin-left:-16.2pt;margin-top:31.05pt;width:101.45pt;height:29.7pt;z-index:251655168;visibility:visible;mso-wrap-style:none;mso-position-horizontal-relative:text;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" filled="f" stroked="f">
          <v:textbox style="mso-fit-shape-to-text:t">
            <w:txbxContent>
              <w:p w:rsidR="00461CBE" w:rsidRPr="00E17DD1" w:rsidRDefault="00461CBE" w:rsidP="005721EB">
                <w:r>
                  <w:rPr>
                    <w:noProof/>
                  </w:rPr>
                  <w:drawing>
                    <wp:inline distT="0" distB="0" distL="0" distR="0">
                      <wp:extent cx="1095375" cy="276225"/>
                      <wp:effectExtent l="0" t="0" r="9525" b="9525"/>
                      <wp:docPr id="8" name="图片 2" descr="未命名的-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未命名的-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5375" cy="276225"/>
                              </a:xfrm>
                              <a:prstGeom prst="rect">
                                <a:avLst/>
                              </a:prstGeom>
                              <a:noFill/>
                              <a:ln>
                                <a:noFill/>
                              </a:ln>
                            </pic:spPr>
                          </pic:pic>
                        </a:graphicData>
                      </a:graphic>
                    </wp:inline>
                  </w:drawing>
                </w:r>
              </w:p>
            </w:txbxContent>
          </v:textbox>
          <w10:wrap anchory="page"/>
        </v:shape>
      </w:pict>
    </w:r>
    <w:r>
      <w:rPr>
        <w:noProof/>
      </w:rPr>
      <w:pict>
        <v:line id="Line 27" o:spid="_x0000_s2052" style="position:absolute;left:0;text-align:left;z-index:251656192;visibility:visible;mso-wrap-distance-top:-3e-5mm;mso-wrap-distance-bottom:-3e-5mm;mso-position-horizontal:center;mso-position-horizontal-relative:text;mso-position-vertical-relative:text" from="0,13.8pt" to="548.1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" strokecolor="#00a0e9"/>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1CBE" w:rsidRDefault="00461CBE" w:rsidP="007F6DAF">
    <w:pPr>
      <w:pStyle w:val="a6"/>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A7B7A"/>
    <w:multiLevelType w:val="multilevel"/>
    <w:tmpl w:val="3CDE5F16"/>
    <w:numStyleLink w:val="GJStylesContentMark"/>
  </w:abstractNum>
  <w:abstractNum w:abstractNumId="1">
    <w:nsid w:val="022C102E"/>
    <w:multiLevelType w:val="multilevel"/>
    <w:tmpl w:val="3CDE5F16"/>
    <w:numStyleLink w:val="GJStylesContentMark"/>
  </w:abstractNum>
  <w:abstractNum w:abstractNumId="2">
    <w:nsid w:val="04001E96"/>
    <w:multiLevelType w:val="multilevel"/>
    <w:tmpl w:val="1556E7D6"/>
    <w:numStyleLink w:val="GJStylesSummaryContentMark"/>
  </w:abstractNum>
  <w:abstractNum w:abstractNumId="3">
    <w:nsid w:val="08014C42"/>
    <w:multiLevelType w:val="singleLevel"/>
    <w:tmpl w:val="B4861D4C"/>
    <w:lvl w:ilvl="0">
      <w:start w:val="1"/>
      <w:numFmt w:val="bullet"/>
      <w:pStyle w:val="CoverBullet"/>
      <w:lvlText w:val=""/>
      <w:lvlJc w:val="left"/>
      <w:pPr>
        <w:tabs>
          <w:tab w:val="num" w:pos="360"/>
        </w:tabs>
        <w:ind w:left="360" w:hanging="360"/>
      </w:pPr>
      <w:rPr>
        <w:rFonts w:ascii="Wingdings" w:hAnsi="Wingdings" w:cs="Times New Roman" w:hint="default"/>
        <w:color w:val="FF0000"/>
        <w:sz w:val="20"/>
        <w:szCs w:val="20"/>
      </w:rPr>
    </w:lvl>
  </w:abstractNum>
  <w:abstractNum w:abstractNumId="4">
    <w:nsid w:val="08333B74"/>
    <w:multiLevelType w:val="multilevel"/>
    <w:tmpl w:val="3CDE5F16"/>
    <w:numStyleLink w:val="GJStylesContentMark"/>
  </w:abstractNum>
  <w:abstractNum w:abstractNumId="5">
    <w:nsid w:val="08AF5ED3"/>
    <w:multiLevelType w:val="hybridMultilevel"/>
    <w:tmpl w:val="1FD23C90"/>
    <w:lvl w:ilvl="0" w:tplc="064266E0">
      <w:start w:val="1"/>
      <w:numFmt w:val="bullet"/>
      <w:lvlText w:val=""/>
      <w:lvlJc w:val="left"/>
      <w:pPr>
        <w:ind w:left="1241" w:hanging="420"/>
      </w:pPr>
      <w:rPr>
        <w:rFonts w:ascii="Wingdings 2" w:hAnsi="Wingdings 2" w:hint="default"/>
        <w:b w:val="0"/>
        <w:i w:val="0"/>
        <w:color w:val="auto"/>
        <w:sz w:val="18"/>
      </w:rPr>
    </w:lvl>
    <w:lvl w:ilvl="1" w:tplc="04090003" w:tentative="1">
      <w:start w:val="1"/>
      <w:numFmt w:val="bullet"/>
      <w:lvlText w:val=""/>
      <w:lvlJc w:val="left"/>
      <w:pPr>
        <w:ind w:left="1661" w:hanging="420"/>
      </w:pPr>
      <w:rPr>
        <w:rFonts w:ascii="Wingdings" w:hAnsi="Wingdings" w:hint="default"/>
      </w:rPr>
    </w:lvl>
    <w:lvl w:ilvl="2" w:tplc="04090005" w:tentative="1">
      <w:start w:val="1"/>
      <w:numFmt w:val="bullet"/>
      <w:lvlText w:val=""/>
      <w:lvlJc w:val="left"/>
      <w:pPr>
        <w:ind w:left="2081" w:hanging="420"/>
      </w:pPr>
      <w:rPr>
        <w:rFonts w:ascii="Wingdings" w:hAnsi="Wingdings" w:hint="default"/>
      </w:rPr>
    </w:lvl>
    <w:lvl w:ilvl="3" w:tplc="04090001" w:tentative="1">
      <w:start w:val="1"/>
      <w:numFmt w:val="bullet"/>
      <w:lvlText w:val=""/>
      <w:lvlJc w:val="left"/>
      <w:pPr>
        <w:ind w:left="2501" w:hanging="420"/>
      </w:pPr>
      <w:rPr>
        <w:rFonts w:ascii="Wingdings" w:hAnsi="Wingdings" w:hint="default"/>
      </w:rPr>
    </w:lvl>
    <w:lvl w:ilvl="4" w:tplc="04090003" w:tentative="1">
      <w:start w:val="1"/>
      <w:numFmt w:val="bullet"/>
      <w:lvlText w:val=""/>
      <w:lvlJc w:val="left"/>
      <w:pPr>
        <w:ind w:left="2921" w:hanging="420"/>
      </w:pPr>
      <w:rPr>
        <w:rFonts w:ascii="Wingdings" w:hAnsi="Wingdings" w:hint="default"/>
      </w:rPr>
    </w:lvl>
    <w:lvl w:ilvl="5" w:tplc="04090005" w:tentative="1">
      <w:start w:val="1"/>
      <w:numFmt w:val="bullet"/>
      <w:lvlText w:val=""/>
      <w:lvlJc w:val="left"/>
      <w:pPr>
        <w:ind w:left="3341" w:hanging="420"/>
      </w:pPr>
      <w:rPr>
        <w:rFonts w:ascii="Wingdings" w:hAnsi="Wingdings" w:hint="default"/>
      </w:rPr>
    </w:lvl>
    <w:lvl w:ilvl="6" w:tplc="04090001" w:tentative="1">
      <w:start w:val="1"/>
      <w:numFmt w:val="bullet"/>
      <w:lvlText w:val=""/>
      <w:lvlJc w:val="left"/>
      <w:pPr>
        <w:ind w:left="3761" w:hanging="420"/>
      </w:pPr>
      <w:rPr>
        <w:rFonts w:ascii="Wingdings" w:hAnsi="Wingdings" w:hint="default"/>
      </w:rPr>
    </w:lvl>
    <w:lvl w:ilvl="7" w:tplc="04090003" w:tentative="1">
      <w:start w:val="1"/>
      <w:numFmt w:val="bullet"/>
      <w:lvlText w:val=""/>
      <w:lvlJc w:val="left"/>
      <w:pPr>
        <w:ind w:left="4181" w:hanging="420"/>
      </w:pPr>
      <w:rPr>
        <w:rFonts w:ascii="Wingdings" w:hAnsi="Wingdings" w:hint="default"/>
      </w:rPr>
    </w:lvl>
    <w:lvl w:ilvl="8" w:tplc="04090005" w:tentative="1">
      <w:start w:val="1"/>
      <w:numFmt w:val="bullet"/>
      <w:lvlText w:val=""/>
      <w:lvlJc w:val="left"/>
      <w:pPr>
        <w:ind w:left="4601" w:hanging="420"/>
      </w:pPr>
      <w:rPr>
        <w:rFonts w:ascii="Wingdings" w:hAnsi="Wingdings" w:hint="default"/>
      </w:rPr>
    </w:lvl>
  </w:abstractNum>
  <w:abstractNum w:abstractNumId="6">
    <w:nsid w:val="093F6D8F"/>
    <w:multiLevelType w:val="hybridMultilevel"/>
    <w:tmpl w:val="B5F61258"/>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0A2434BC"/>
    <w:multiLevelType w:val="multilevel"/>
    <w:tmpl w:val="3CDE5F16"/>
    <w:numStyleLink w:val="GJStylesContentMark"/>
  </w:abstractNum>
  <w:abstractNum w:abstractNumId="8">
    <w:nsid w:val="161F4DCD"/>
    <w:multiLevelType w:val="multilevel"/>
    <w:tmpl w:val="1556E7D6"/>
    <w:numStyleLink w:val="GJStylesSummaryContentMark"/>
  </w:abstractNum>
  <w:abstractNum w:abstractNumId="9">
    <w:nsid w:val="16A5693A"/>
    <w:multiLevelType w:val="multilevel"/>
    <w:tmpl w:val="3CDE5F16"/>
    <w:numStyleLink w:val="GJStylesContentMark"/>
  </w:abstractNum>
  <w:abstractNum w:abstractNumId="10">
    <w:nsid w:val="187D3942"/>
    <w:multiLevelType w:val="hybridMultilevel"/>
    <w:tmpl w:val="1E96B158"/>
    <w:lvl w:ilvl="0" w:tplc="35BAA90E">
      <w:start w:val="1"/>
      <w:numFmt w:val="japaneseCounting"/>
      <w:lvlText w:val="%1、"/>
      <w:lvlJc w:val="left"/>
      <w:pPr>
        <w:ind w:left="3852" w:hanging="450"/>
      </w:pPr>
      <w:rPr>
        <w:rFonts w:hint="default"/>
      </w:rPr>
    </w:lvl>
    <w:lvl w:ilvl="1" w:tplc="04090019" w:tentative="1">
      <w:start w:val="1"/>
      <w:numFmt w:val="lowerLetter"/>
      <w:lvlText w:val="%2)"/>
      <w:lvlJc w:val="left"/>
      <w:pPr>
        <w:ind w:left="4242" w:hanging="420"/>
      </w:pPr>
    </w:lvl>
    <w:lvl w:ilvl="2" w:tplc="0409001B" w:tentative="1">
      <w:start w:val="1"/>
      <w:numFmt w:val="lowerRoman"/>
      <w:lvlText w:val="%3."/>
      <w:lvlJc w:val="right"/>
      <w:pPr>
        <w:ind w:left="4662" w:hanging="420"/>
      </w:pPr>
    </w:lvl>
    <w:lvl w:ilvl="3" w:tplc="0409000F" w:tentative="1">
      <w:start w:val="1"/>
      <w:numFmt w:val="decimal"/>
      <w:lvlText w:val="%4."/>
      <w:lvlJc w:val="left"/>
      <w:pPr>
        <w:ind w:left="5082" w:hanging="420"/>
      </w:pPr>
    </w:lvl>
    <w:lvl w:ilvl="4" w:tplc="04090019" w:tentative="1">
      <w:start w:val="1"/>
      <w:numFmt w:val="lowerLetter"/>
      <w:lvlText w:val="%5)"/>
      <w:lvlJc w:val="left"/>
      <w:pPr>
        <w:ind w:left="5502" w:hanging="420"/>
      </w:pPr>
    </w:lvl>
    <w:lvl w:ilvl="5" w:tplc="0409001B" w:tentative="1">
      <w:start w:val="1"/>
      <w:numFmt w:val="lowerRoman"/>
      <w:lvlText w:val="%6."/>
      <w:lvlJc w:val="right"/>
      <w:pPr>
        <w:ind w:left="5922" w:hanging="420"/>
      </w:pPr>
    </w:lvl>
    <w:lvl w:ilvl="6" w:tplc="0409000F" w:tentative="1">
      <w:start w:val="1"/>
      <w:numFmt w:val="decimal"/>
      <w:lvlText w:val="%7."/>
      <w:lvlJc w:val="left"/>
      <w:pPr>
        <w:ind w:left="6342" w:hanging="420"/>
      </w:pPr>
    </w:lvl>
    <w:lvl w:ilvl="7" w:tplc="04090019" w:tentative="1">
      <w:start w:val="1"/>
      <w:numFmt w:val="lowerLetter"/>
      <w:lvlText w:val="%8)"/>
      <w:lvlJc w:val="left"/>
      <w:pPr>
        <w:ind w:left="6762" w:hanging="420"/>
      </w:pPr>
    </w:lvl>
    <w:lvl w:ilvl="8" w:tplc="0409001B" w:tentative="1">
      <w:start w:val="1"/>
      <w:numFmt w:val="lowerRoman"/>
      <w:lvlText w:val="%9."/>
      <w:lvlJc w:val="right"/>
      <w:pPr>
        <w:ind w:left="7182" w:hanging="420"/>
      </w:pPr>
    </w:lvl>
  </w:abstractNum>
  <w:abstractNum w:abstractNumId="11">
    <w:nsid w:val="209D5689"/>
    <w:multiLevelType w:val="hybridMultilevel"/>
    <w:tmpl w:val="1D1ABF00"/>
    <w:lvl w:ilvl="0" w:tplc="AC7CA5DC">
      <w:start w:val="1"/>
      <w:numFmt w:val="bullet"/>
      <w:lvlText w:val=""/>
      <w:lvlJc w:val="left"/>
      <w:pPr>
        <w:ind w:left="420" w:hanging="420"/>
      </w:pPr>
      <w:rPr>
        <w:rFonts w:ascii="Wingdings" w:eastAsia="楷体_GB2312" w:hAnsi="Wingdings" w:hint="default"/>
        <w:b w:val="0"/>
        <w:i w:val="0"/>
        <w:color w:val="auto"/>
        <w:sz w:val="18"/>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21E90DAA"/>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3">
    <w:nsid w:val="226D6F70"/>
    <w:multiLevelType w:val="hybridMultilevel"/>
    <w:tmpl w:val="C9E4C4AC"/>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4">
    <w:nsid w:val="3133399E"/>
    <w:multiLevelType w:val="multilevel"/>
    <w:tmpl w:val="1556E7D6"/>
    <w:styleLink w:val="GJStylesSummaryContentMark"/>
    <w:lvl w:ilvl="0">
      <w:start w:val="1"/>
      <w:numFmt w:val="bullet"/>
      <w:pStyle w:val="GJStylesSummaryContent"/>
      <w:lvlText w:val=""/>
      <w:lvlJc w:val="left"/>
      <w:pPr>
        <w:ind w:left="840" w:hanging="420"/>
      </w:pPr>
      <w:rPr>
        <w:rFonts w:ascii="Wingdings" w:hAnsi="Wingdings" w:hint="default"/>
        <w:b w:val="0"/>
        <w:i w:val="0"/>
        <w:color w:val="auto"/>
        <w:sz w:val="18"/>
      </w:rPr>
    </w:lvl>
    <w:lvl w:ilvl="1">
      <w:start w:val="1"/>
      <w:numFmt w:val="bullet"/>
      <w:pStyle w:val="GJStylesSummarySubContent"/>
      <w:lvlText w:val=""/>
      <w:lvlJc w:val="left"/>
      <w:pPr>
        <w:ind w:left="1260" w:hanging="420"/>
      </w:pPr>
      <w:rPr>
        <w:rFonts w:ascii="Wingdings 2" w:hAnsi="Wingdings 2" w:hint="default"/>
        <w:sz w:val="15"/>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5">
    <w:nsid w:val="33877569"/>
    <w:multiLevelType w:val="hybridMultilevel"/>
    <w:tmpl w:val="2FA8D094"/>
    <w:lvl w:ilvl="0" w:tplc="064266E0">
      <w:start w:val="1"/>
      <w:numFmt w:val="bullet"/>
      <w:lvlText w:val=""/>
      <w:lvlJc w:val="left"/>
      <w:pPr>
        <w:ind w:left="840" w:hanging="420"/>
      </w:pPr>
      <w:rPr>
        <w:rFonts w:ascii="Wingdings 2" w:hAnsi="Wingdings 2" w:hint="default"/>
        <w:b w:val="0"/>
        <w:i w:val="0"/>
        <w:color w:val="auto"/>
        <w:sz w:val="18"/>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6">
    <w:nsid w:val="36004F02"/>
    <w:multiLevelType w:val="multilevel"/>
    <w:tmpl w:val="3CDE5F16"/>
    <w:numStyleLink w:val="GJStylesContentMark"/>
  </w:abstractNum>
  <w:abstractNum w:abstractNumId="17">
    <w:nsid w:val="41A645CE"/>
    <w:multiLevelType w:val="multilevel"/>
    <w:tmpl w:val="3CDE5F16"/>
    <w:numStyleLink w:val="GJStylesContentMark"/>
  </w:abstractNum>
  <w:abstractNum w:abstractNumId="18">
    <w:nsid w:val="44D96BA6"/>
    <w:multiLevelType w:val="multilevel"/>
    <w:tmpl w:val="1556E7D6"/>
    <w:numStyleLink w:val="GJStylesSummaryContentMark"/>
  </w:abstractNum>
  <w:abstractNum w:abstractNumId="19">
    <w:nsid w:val="44E1352C"/>
    <w:multiLevelType w:val="multilevel"/>
    <w:tmpl w:val="3CDE5F16"/>
    <w:numStyleLink w:val="GJStylesContentMark"/>
  </w:abstractNum>
  <w:abstractNum w:abstractNumId="20">
    <w:nsid w:val="47567D89"/>
    <w:multiLevelType w:val="multilevel"/>
    <w:tmpl w:val="7CBE05E2"/>
    <w:styleLink w:val="GJStylesContentMarkWide"/>
    <w:lvl w:ilvl="0">
      <w:start w:val="1"/>
      <w:numFmt w:val="bullet"/>
      <w:lvlText w:val=""/>
      <w:lvlJc w:val="left"/>
      <w:pPr>
        <w:ind w:left="850" w:hanging="425"/>
      </w:pPr>
      <w:rPr>
        <w:rFonts w:ascii="Wingdings 2" w:hAnsi="Wingdings 2" w:hint="default"/>
        <w:color w:val="auto"/>
      </w:rPr>
    </w:lvl>
    <w:lvl w:ilvl="1">
      <w:start w:val="1"/>
      <w:numFmt w:val="bullet"/>
      <w:lvlText w:val=""/>
      <w:lvlJc w:val="left"/>
      <w:pPr>
        <w:ind w:left="1417" w:hanging="567"/>
      </w:pPr>
      <w:rPr>
        <w:rFonts w:ascii="Wingdings 2" w:hAnsi="Wingdings 2" w:hint="default"/>
      </w:rPr>
    </w:lvl>
    <w:lvl w:ilvl="2">
      <w:start w:val="1"/>
      <w:numFmt w:val="decimal"/>
      <w:lvlText w:val="%1.%2.%3"/>
      <w:lvlJc w:val="left"/>
      <w:pPr>
        <w:ind w:left="1843" w:hanging="567"/>
      </w:pPr>
      <w:rPr>
        <w:rFonts w:hint="eastAsia"/>
      </w:rPr>
    </w:lvl>
    <w:lvl w:ilvl="3">
      <w:start w:val="1"/>
      <w:numFmt w:val="decimal"/>
      <w:lvlText w:val="%1.%2.%3.%4"/>
      <w:lvlJc w:val="left"/>
      <w:pPr>
        <w:ind w:left="2409" w:hanging="708"/>
      </w:pPr>
      <w:rPr>
        <w:rFonts w:hint="eastAsia"/>
      </w:rPr>
    </w:lvl>
    <w:lvl w:ilvl="4">
      <w:start w:val="1"/>
      <w:numFmt w:val="decimal"/>
      <w:lvlText w:val="%1.%2.%3.%4.%5"/>
      <w:lvlJc w:val="left"/>
      <w:pPr>
        <w:ind w:left="2976" w:hanging="850"/>
      </w:pPr>
      <w:rPr>
        <w:rFonts w:hint="eastAsia"/>
      </w:rPr>
    </w:lvl>
    <w:lvl w:ilvl="5">
      <w:start w:val="1"/>
      <w:numFmt w:val="decimal"/>
      <w:lvlText w:val="%1.%2.%3.%4.%5.%6"/>
      <w:lvlJc w:val="left"/>
      <w:pPr>
        <w:ind w:left="3685" w:hanging="1134"/>
      </w:pPr>
      <w:rPr>
        <w:rFonts w:hint="eastAsia"/>
      </w:rPr>
    </w:lvl>
    <w:lvl w:ilvl="6">
      <w:start w:val="1"/>
      <w:numFmt w:val="decimal"/>
      <w:lvlText w:val="%1.%2.%3.%4.%5.%6.%7"/>
      <w:lvlJc w:val="left"/>
      <w:pPr>
        <w:ind w:left="4252" w:hanging="1276"/>
      </w:pPr>
      <w:rPr>
        <w:rFonts w:hint="eastAsia"/>
      </w:rPr>
    </w:lvl>
    <w:lvl w:ilvl="7">
      <w:start w:val="1"/>
      <w:numFmt w:val="decimal"/>
      <w:lvlText w:val="%1.%2.%3.%4.%5.%6.%7.%8"/>
      <w:lvlJc w:val="left"/>
      <w:pPr>
        <w:ind w:left="4819" w:hanging="1418"/>
      </w:pPr>
      <w:rPr>
        <w:rFonts w:hint="eastAsia"/>
      </w:rPr>
    </w:lvl>
    <w:lvl w:ilvl="8">
      <w:start w:val="1"/>
      <w:numFmt w:val="decimal"/>
      <w:lvlText w:val="%1.%2.%3.%4.%5.%6.%7.%8.%9"/>
      <w:lvlJc w:val="left"/>
      <w:pPr>
        <w:ind w:left="5527" w:hanging="1700"/>
      </w:pPr>
      <w:rPr>
        <w:rFonts w:hint="eastAsia"/>
      </w:rPr>
    </w:lvl>
  </w:abstractNum>
  <w:abstractNum w:abstractNumId="21">
    <w:nsid w:val="492C6DD3"/>
    <w:multiLevelType w:val="hybridMultilevel"/>
    <w:tmpl w:val="6B68E90C"/>
    <w:lvl w:ilvl="0" w:tplc="A1E68908">
      <w:start w:val="1"/>
      <w:numFmt w:val="bullet"/>
      <w:lvlText w:val=""/>
      <w:lvlJc w:val="left"/>
      <w:pPr>
        <w:tabs>
          <w:tab w:val="num" w:pos="4329"/>
        </w:tabs>
        <w:ind w:left="3969" w:firstLine="0"/>
      </w:pPr>
      <w:rPr>
        <w:rFonts w:hint="default"/>
        <w:b w:val="0"/>
        <w:i w:val="0"/>
        <w:color w:val="000565"/>
        <w:sz w:val="18"/>
      </w:rPr>
    </w:lvl>
    <w:lvl w:ilvl="1" w:tplc="04090003">
      <w:start w:val="1"/>
      <w:numFmt w:val="bullet"/>
      <w:lvlText w:val=""/>
      <w:lvlJc w:val="left"/>
      <w:pPr>
        <w:tabs>
          <w:tab w:val="num" w:pos="4242"/>
        </w:tabs>
        <w:ind w:left="4242" w:hanging="420"/>
      </w:pPr>
      <w:rPr>
        <w:rFonts w:ascii="Wingdings" w:hAnsi="Wingdings" w:hint="default"/>
      </w:rPr>
    </w:lvl>
    <w:lvl w:ilvl="2" w:tplc="04090005">
      <w:start w:val="1"/>
      <w:numFmt w:val="bullet"/>
      <w:lvlText w:val=""/>
      <w:lvlJc w:val="left"/>
      <w:pPr>
        <w:tabs>
          <w:tab w:val="num" w:pos="4662"/>
        </w:tabs>
        <w:ind w:left="4662" w:hanging="420"/>
      </w:pPr>
      <w:rPr>
        <w:rFonts w:ascii="Wingdings" w:hAnsi="Wingdings" w:hint="default"/>
      </w:rPr>
    </w:lvl>
    <w:lvl w:ilvl="3" w:tplc="04090001">
      <w:start w:val="1"/>
      <w:numFmt w:val="bullet"/>
      <w:lvlText w:val=""/>
      <w:lvlJc w:val="left"/>
      <w:pPr>
        <w:tabs>
          <w:tab w:val="num" w:pos="5082"/>
        </w:tabs>
        <w:ind w:left="5082" w:hanging="420"/>
      </w:pPr>
      <w:rPr>
        <w:rFonts w:ascii="Wingdings" w:hAnsi="Wingdings" w:hint="default"/>
      </w:rPr>
    </w:lvl>
    <w:lvl w:ilvl="4" w:tplc="AC7CA5DC">
      <w:start w:val="1"/>
      <w:numFmt w:val="bullet"/>
      <w:lvlText w:val=""/>
      <w:lvlJc w:val="left"/>
      <w:pPr>
        <w:tabs>
          <w:tab w:val="num" w:pos="3799"/>
        </w:tabs>
        <w:ind w:left="3799" w:hanging="369"/>
      </w:pPr>
      <w:rPr>
        <w:rFonts w:ascii="Wingdings" w:eastAsia="楷体_GB2312" w:hAnsi="Wingdings" w:hint="default"/>
        <w:b w:val="0"/>
        <w:i w:val="0"/>
        <w:color w:val="auto"/>
        <w:sz w:val="18"/>
      </w:rPr>
    </w:lvl>
    <w:lvl w:ilvl="5" w:tplc="04090005">
      <w:start w:val="1"/>
      <w:numFmt w:val="bullet"/>
      <w:lvlText w:val=""/>
      <w:lvlJc w:val="left"/>
      <w:pPr>
        <w:tabs>
          <w:tab w:val="num" w:pos="5922"/>
        </w:tabs>
        <w:ind w:left="5922" w:hanging="420"/>
      </w:pPr>
      <w:rPr>
        <w:rFonts w:ascii="Wingdings" w:hAnsi="Wingdings" w:hint="default"/>
      </w:rPr>
    </w:lvl>
    <w:lvl w:ilvl="6" w:tplc="04090001" w:tentative="1">
      <w:start w:val="1"/>
      <w:numFmt w:val="bullet"/>
      <w:lvlText w:val=""/>
      <w:lvlJc w:val="left"/>
      <w:pPr>
        <w:tabs>
          <w:tab w:val="num" w:pos="6342"/>
        </w:tabs>
        <w:ind w:left="6342" w:hanging="420"/>
      </w:pPr>
      <w:rPr>
        <w:rFonts w:ascii="Wingdings" w:hAnsi="Wingdings" w:hint="default"/>
      </w:rPr>
    </w:lvl>
    <w:lvl w:ilvl="7" w:tplc="04090003" w:tentative="1">
      <w:start w:val="1"/>
      <w:numFmt w:val="bullet"/>
      <w:lvlText w:val=""/>
      <w:lvlJc w:val="left"/>
      <w:pPr>
        <w:tabs>
          <w:tab w:val="num" w:pos="6762"/>
        </w:tabs>
        <w:ind w:left="6762" w:hanging="420"/>
      </w:pPr>
      <w:rPr>
        <w:rFonts w:ascii="Wingdings" w:hAnsi="Wingdings" w:hint="default"/>
      </w:rPr>
    </w:lvl>
    <w:lvl w:ilvl="8" w:tplc="04090005" w:tentative="1">
      <w:start w:val="1"/>
      <w:numFmt w:val="bullet"/>
      <w:lvlText w:val=""/>
      <w:lvlJc w:val="left"/>
      <w:pPr>
        <w:tabs>
          <w:tab w:val="num" w:pos="7182"/>
        </w:tabs>
        <w:ind w:left="7182" w:hanging="420"/>
      </w:pPr>
      <w:rPr>
        <w:rFonts w:ascii="Wingdings" w:hAnsi="Wingdings" w:hint="default"/>
      </w:rPr>
    </w:lvl>
  </w:abstractNum>
  <w:abstractNum w:abstractNumId="22">
    <w:nsid w:val="4E0270AD"/>
    <w:multiLevelType w:val="multilevel"/>
    <w:tmpl w:val="3CDE5F16"/>
    <w:styleLink w:val="GJStylesContentMark"/>
    <w:lvl w:ilvl="0">
      <w:start w:val="1"/>
      <w:numFmt w:val="bullet"/>
      <w:pStyle w:val="GJStylesContentThirdTitle"/>
      <w:lvlText w:val=""/>
      <w:lvlJc w:val="left"/>
      <w:pPr>
        <w:tabs>
          <w:tab w:val="num" w:pos="3430"/>
        </w:tabs>
        <w:ind w:left="3799" w:hanging="369"/>
      </w:pPr>
      <w:rPr>
        <w:rFonts w:ascii="Wingdings 2" w:hAnsi="Wingdings 2" w:hint="default"/>
        <w:color w:val="auto"/>
      </w:rPr>
    </w:lvl>
    <w:lvl w:ilvl="1">
      <w:start w:val="1"/>
      <w:numFmt w:val="bullet"/>
      <w:pStyle w:val="GJStylesContentFourTitle"/>
      <w:lvlText w:val=""/>
      <w:lvlJc w:val="left"/>
      <w:pPr>
        <w:ind w:left="4190" w:hanging="419"/>
      </w:pPr>
      <w:rPr>
        <w:rFonts w:ascii="Wingdings 2" w:hAnsi="Wingdings 2" w:hint="default"/>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3">
    <w:nsid w:val="4E7C3CC1"/>
    <w:multiLevelType w:val="hybridMultilevel"/>
    <w:tmpl w:val="60FAACEA"/>
    <w:lvl w:ilvl="0" w:tplc="A1E68908">
      <w:start w:val="1"/>
      <w:numFmt w:val="bullet"/>
      <w:lvlText w:val=""/>
      <w:lvlJc w:val="left"/>
      <w:pPr>
        <w:tabs>
          <w:tab w:val="num" w:pos="4329"/>
        </w:tabs>
        <w:ind w:left="3969" w:firstLine="0"/>
      </w:pPr>
      <w:rPr>
        <w:rFonts w:hint="default"/>
        <w:b w:val="0"/>
        <w:i w:val="0"/>
        <w:color w:val="000565"/>
        <w:sz w:val="18"/>
      </w:rPr>
    </w:lvl>
    <w:lvl w:ilvl="1" w:tplc="04090003" w:tentative="1">
      <w:start w:val="1"/>
      <w:numFmt w:val="bullet"/>
      <w:lvlText w:val=""/>
      <w:lvlJc w:val="left"/>
      <w:pPr>
        <w:tabs>
          <w:tab w:val="num" w:pos="4242"/>
        </w:tabs>
        <w:ind w:left="4242" w:hanging="420"/>
      </w:pPr>
      <w:rPr>
        <w:rFonts w:ascii="Wingdings" w:hAnsi="Wingdings" w:hint="default"/>
      </w:rPr>
    </w:lvl>
    <w:lvl w:ilvl="2" w:tplc="04090005" w:tentative="1">
      <w:start w:val="1"/>
      <w:numFmt w:val="bullet"/>
      <w:lvlText w:val=""/>
      <w:lvlJc w:val="left"/>
      <w:pPr>
        <w:tabs>
          <w:tab w:val="num" w:pos="4662"/>
        </w:tabs>
        <w:ind w:left="4662" w:hanging="420"/>
      </w:pPr>
      <w:rPr>
        <w:rFonts w:ascii="Wingdings" w:hAnsi="Wingdings" w:hint="default"/>
      </w:rPr>
    </w:lvl>
    <w:lvl w:ilvl="3" w:tplc="04090001" w:tentative="1">
      <w:start w:val="1"/>
      <w:numFmt w:val="bullet"/>
      <w:lvlText w:val=""/>
      <w:lvlJc w:val="left"/>
      <w:pPr>
        <w:tabs>
          <w:tab w:val="num" w:pos="5082"/>
        </w:tabs>
        <w:ind w:left="5082" w:hanging="420"/>
      </w:pPr>
      <w:rPr>
        <w:rFonts w:ascii="Wingdings" w:hAnsi="Wingdings" w:hint="default"/>
      </w:rPr>
    </w:lvl>
    <w:lvl w:ilvl="4" w:tplc="31DAFFE0">
      <w:start w:val="1"/>
      <w:numFmt w:val="bullet"/>
      <w:lvlText w:val=""/>
      <w:lvlJc w:val="left"/>
      <w:pPr>
        <w:tabs>
          <w:tab w:val="num" w:pos="3649"/>
        </w:tabs>
        <w:ind w:left="3289" w:firstLine="0"/>
      </w:pPr>
      <w:rPr>
        <w:rFonts w:ascii="Wingdings" w:eastAsia="宋体" w:hAnsi="Wingdings" w:hint="default"/>
        <w:b w:val="0"/>
        <w:i w:val="0"/>
        <w:color w:val="000565"/>
        <w:sz w:val="18"/>
      </w:rPr>
    </w:lvl>
    <w:lvl w:ilvl="5" w:tplc="064266E0">
      <w:start w:val="1"/>
      <w:numFmt w:val="bullet"/>
      <w:lvlText w:val=""/>
      <w:lvlJc w:val="left"/>
      <w:pPr>
        <w:tabs>
          <w:tab w:val="num" w:pos="4191"/>
        </w:tabs>
        <w:ind w:left="4191" w:hanging="420"/>
      </w:pPr>
      <w:rPr>
        <w:rFonts w:ascii="Wingdings 2" w:hAnsi="Wingdings 2" w:hint="default"/>
        <w:b w:val="0"/>
        <w:i w:val="0"/>
        <w:color w:val="auto"/>
        <w:sz w:val="18"/>
      </w:rPr>
    </w:lvl>
    <w:lvl w:ilvl="6" w:tplc="04090001" w:tentative="1">
      <w:start w:val="1"/>
      <w:numFmt w:val="bullet"/>
      <w:lvlText w:val=""/>
      <w:lvlJc w:val="left"/>
      <w:pPr>
        <w:tabs>
          <w:tab w:val="num" w:pos="6342"/>
        </w:tabs>
        <w:ind w:left="6342" w:hanging="420"/>
      </w:pPr>
      <w:rPr>
        <w:rFonts w:ascii="Wingdings" w:hAnsi="Wingdings" w:hint="default"/>
      </w:rPr>
    </w:lvl>
    <w:lvl w:ilvl="7" w:tplc="04090003" w:tentative="1">
      <w:start w:val="1"/>
      <w:numFmt w:val="bullet"/>
      <w:lvlText w:val=""/>
      <w:lvlJc w:val="left"/>
      <w:pPr>
        <w:tabs>
          <w:tab w:val="num" w:pos="6762"/>
        </w:tabs>
        <w:ind w:left="6762" w:hanging="420"/>
      </w:pPr>
      <w:rPr>
        <w:rFonts w:ascii="Wingdings" w:hAnsi="Wingdings" w:hint="default"/>
      </w:rPr>
    </w:lvl>
    <w:lvl w:ilvl="8" w:tplc="04090005" w:tentative="1">
      <w:start w:val="1"/>
      <w:numFmt w:val="bullet"/>
      <w:lvlText w:val=""/>
      <w:lvlJc w:val="left"/>
      <w:pPr>
        <w:tabs>
          <w:tab w:val="num" w:pos="7182"/>
        </w:tabs>
        <w:ind w:left="7182" w:hanging="420"/>
      </w:pPr>
      <w:rPr>
        <w:rFonts w:ascii="Wingdings" w:hAnsi="Wingdings" w:hint="default"/>
      </w:rPr>
    </w:lvl>
  </w:abstractNum>
  <w:abstractNum w:abstractNumId="24">
    <w:nsid w:val="515021FA"/>
    <w:multiLevelType w:val="multilevel"/>
    <w:tmpl w:val="1556E7D6"/>
    <w:numStyleLink w:val="GJStylesSummaryContentMark"/>
  </w:abstractNum>
  <w:abstractNum w:abstractNumId="25">
    <w:nsid w:val="5ADD1880"/>
    <w:multiLevelType w:val="hybridMultilevel"/>
    <w:tmpl w:val="3358225E"/>
    <w:lvl w:ilvl="0" w:tplc="AC7CA5DC">
      <w:start w:val="1"/>
      <w:numFmt w:val="bullet"/>
      <w:lvlText w:val=""/>
      <w:lvlJc w:val="left"/>
      <w:pPr>
        <w:ind w:left="420" w:hanging="420"/>
      </w:pPr>
      <w:rPr>
        <w:rFonts w:ascii="Wingdings" w:eastAsia="楷体_GB2312" w:hAnsi="Wingdings" w:hint="default"/>
        <w:b w:val="0"/>
        <w:i w:val="0"/>
        <w:color w:val="auto"/>
        <w:sz w:val="18"/>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nsid w:val="5E8271C1"/>
    <w:multiLevelType w:val="hybridMultilevel"/>
    <w:tmpl w:val="6B68E90C"/>
    <w:lvl w:ilvl="0" w:tplc="A1E68908">
      <w:start w:val="1"/>
      <w:numFmt w:val="bullet"/>
      <w:lvlText w:val=""/>
      <w:lvlJc w:val="left"/>
      <w:pPr>
        <w:tabs>
          <w:tab w:val="num" w:pos="4329"/>
        </w:tabs>
        <w:ind w:left="3969" w:firstLine="0"/>
      </w:pPr>
      <w:rPr>
        <w:rFonts w:hint="default"/>
        <w:b w:val="0"/>
        <w:i w:val="0"/>
        <w:color w:val="000565"/>
        <w:sz w:val="18"/>
      </w:rPr>
    </w:lvl>
    <w:lvl w:ilvl="1" w:tplc="04090003">
      <w:start w:val="1"/>
      <w:numFmt w:val="bullet"/>
      <w:lvlText w:val=""/>
      <w:lvlJc w:val="left"/>
      <w:pPr>
        <w:tabs>
          <w:tab w:val="num" w:pos="4242"/>
        </w:tabs>
        <w:ind w:left="4242" w:hanging="420"/>
      </w:pPr>
      <w:rPr>
        <w:rFonts w:ascii="Wingdings" w:hAnsi="Wingdings" w:hint="default"/>
      </w:rPr>
    </w:lvl>
    <w:lvl w:ilvl="2" w:tplc="04090005">
      <w:start w:val="1"/>
      <w:numFmt w:val="bullet"/>
      <w:lvlText w:val=""/>
      <w:lvlJc w:val="left"/>
      <w:pPr>
        <w:tabs>
          <w:tab w:val="num" w:pos="4662"/>
        </w:tabs>
        <w:ind w:left="4662" w:hanging="420"/>
      </w:pPr>
      <w:rPr>
        <w:rFonts w:ascii="Wingdings" w:hAnsi="Wingdings" w:hint="default"/>
      </w:rPr>
    </w:lvl>
    <w:lvl w:ilvl="3" w:tplc="04090001">
      <w:start w:val="1"/>
      <w:numFmt w:val="bullet"/>
      <w:lvlText w:val=""/>
      <w:lvlJc w:val="left"/>
      <w:pPr>
        <w:tabs>
          <w:tab w:val="num" w:pos="5082"/>
        </w:tabs>
        <w:ind w:left="5082" w:hanging="420"/>
      </w:pPr>
      <w:rPr>
        <w:rFonts w:ascii="Wingdings" w:hAnsi="Wingdings" w:hint="default"/>
      </w:rPr>
    </w:lvl>
    <w:lvl w:ilvl="4" w:tplc="31DAFFE0">
      <w:start w:val="1"/>
      <w:numFmt w:val="bullet"/>
      <w:lvlText w:val=""/>
      <w:lvlJc w:val="left"/>
      <w:pPr>
        <w:tabs>
          <w:tab w:val="num" w:pos="3649"/>
        </w:tabs>
        <w:ind w:left="3289" w:firstLine="0"/>
      </w:pPr>
      <w:rPr>
        <w:rFonts w:ascii="Wingdings" w:eastAsia="宋体" w:hAnsi="Wingdings" w:hint="default"/>
        <w:b w:val="0"/>
        <w:i w:val="0"/>
        <w:color w:val="000565"/>
        <w:sz w:val="18"/>
      </w:rPr>
    </w:lvl>
    <w:lvl w:ilvl="5" w:tplc="DDC8F30C">
      <w:start w:val="1"/>
      <w:numFmt w:val="bullet"/>
      <w:lvlText w:val=""/>
      <w:lvlJc w:val="left"/>
      <w:pPr>
        <w:tabs>
          <w:tab w:val="num" w:pos="4139"/>
        </w:tabs>
        <w:ind w:left="4139" w:hanging="368"/>
      </w:pPr>
      <w:rPr>
        <w:rFonts w:ascii="Wingdings 2" w:eastAsia="楷体_GB2312" w:hAnsi="Wingdings 2" w:hint="default"/>
        <w:b w:val="0"/>
        <w:i w:val="0"/>
        <w:sz w:val="18"/>
      </w:rPr>
    </w:lvl>
    <w:lvl w:ilvl="6" w:tplc="04090001" w:tentative="1">
      <w:start w:val="1"/>
      <w:numFmt w:val="bullet"/>
      <w:lvlText w:val=""/>
      <w:lvlJc w:val="left"/>
      <w:pPr>
        <w:tabs>
          <w:tab w:val="num" w:pos="6342"/>
        </w:tabs>
        <w:ind w:left="6342" w:hanging="420"/>
      </w:pPr>
      <w:rPr>
        <w:rFonts w:ascii="Wingdings" w:hAnsi="Wingdings" w:hint="default"/>
      </w:rPr>
    </w:lvl>
    <w:lvl w:ilvl="7" w:tplc="04090003" w:tentative="1">
      <w:start w:val="1"/>
      <w:numFmt w:val="bullet"/>
      <w:lvlText w:val=""/>
      <w:lvlJc w:val="left"/>
      <w:pPr>
        <w:tabs>
          <w:tab w:val="num" w:pos="6762"/>
        </w:tabs>
        <w:ind w:left="6762" w:hanging="420"/>
      </w:pPr>
      <w:rPr>
        <w:rFonts w:ascii="Wingdings" w:hAnsi="Wingdings" w:hint="default"/>
      </w:rPr>
    </w:lvl>
    <w:lvl w:ilvl="8" w:tplc="04090005" w:tentative="1">
      <w:start w:val="1"/>
      <w:numFmt w:val="bullet"/>
      <w:lvlText w:val=""/>
      <w:lvlJc w:val="left"/>
      <w:pPr>
        <w:tabs>
          <w:tab w:val="num" w:pos="7182"/>
        </w:tabs>
        <w:ind w:left="7182" w:hanging="420"/>
      </w:pPr>
      <w:rPr>
        <w:rFonts w:ascii="Wingdings" w:hAnsi="Wingdings" w:hint="default"/>
      </w:rPr>
    </w:lvl>
  </w:abstractNum>
  <w:abstractNum w:abstractNumId="27">
    <w:nsid w:val="65DD2D9F"/>
    <w:multiLevelType w:val="multilevel"/>
    <w:tmpl w:val="3CDE5F16"/>
    <w:numStyleLink w:val="GJStylesContentMark"/>
  </w:abstractNum>
  <w:abstractNum w:abstractNumId="28">
    <w:nsid w:val="66145FDE"/>
    <w:multiLevelType w:val="singleLevel"/>
    <w:tmpl w:val="918C41C0"/>
    <w:lvl w:ilvl="0">
      <w:start w:val="1"/>
      <w:numFmt w:val="bullet"/>
      <w:pStyle w:val="BulletCoverpage"/>
      <w:lvlText w:val=""/>
      <w:lvlJc w:val="left"/>
      <w:pPr>
        <w:tabs>
          <w:tab w:val="num" w:pos="0"/>
        </w:tabs>
        <w:ind w:left="227" w:hanging="227"/>
      </w:pPr>
      <w:rPr>
        <w:rFonts w:ascii="Monotype Sorts" w:hAnsi="Monotype Sorts" w:cs="Times New Roman" w:hint="default"/>
        <w:color w:val="FF0000"/>
        <w:sz w:val="16"/>
        <w:szCs w:val="16"/>
      </w:rPr>
    </w:lvl>
  </w:abstractNum>
  <w:abstractNum w:abstractNumId="29">
    <w:nsid w:val="686369BF"/>
    <w:multiLevelType w:val="multilevel"/>
    <w:tmpl w:val="1556E7D6"/>
    <w:numStyleLink w:val="GJStylesSummaryContentMark"/>
  </w:abstractNum>
  <w:abstractNum w:abstractNumId="30">
    <w:nsid w:val="6BF14180"/>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1">
    <w:nsid w:val="72754749"/>
    <w:multiLevelType w:val="multilevel"/>
    <w:tmpl w:val="1556E7D6"/>
    <w:numStyleLink w:val="GJStylesSummaryContentMark"/>
  </w:abstractNum>
  <w:abstractNum w:abstractNumId="32">
    <w:nsid w:val="73777A50"/>
    <w:multiLevelType w:val="multilevel"/>
    <w:tmpl w:val="3CDE5F16"/>
    <w:numStyleLink w:val="GJStylesContentMark"/>
  </w:abstractNum>
  <w:abstractNum w:abstractNumId="33">
    <w:nsid w:val="743E305A"/>
    <w:multiLevelType w:val="hybridMultilevel"/>
    <w:tmpl w:val="6196488C"/>
    <w:lvl w:ilvl="0" w:tplc="AC7CA5DC">
      <w:start w:val="1"/>
      <w:numFmt w:val="bullet"/>
      <w:lvlText w:val=""/>
      <w:lvlJc w:val="left"/>
      <w:pPr>
        <w:ind w:left="420" w:hanging="420"/>
      </w:pPr>
      <w:rPr>
        <w:rFonts w:ascii="Wingdings" w:eastAsia="楷体_GB2312" w:hAnsi="Wingdings" w:hint="default"/>
        <w:b w:val="0"/>
        <w:i w:val="0"/>
        <w:color w:val="auto"/>
        <w:sz w:val="18"/>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nsid w:val="7C284D5A"/>
    <w:multiLevelType w:val="multilevel"/>
    <w:tmpl w:val="3CDE5F16"/>
    <w:numStyleLink w:val="GJStylesContentMark"/>
  </w:abstractNum>
  <w:abstractNum w:abstractNumId="35">
    <w:nsid w:val="7C8139AA"/>
    <w:multiLevelType w:val="multilevel"/>
    <w:tmpl w:val="3CDE5F16"/>
    <w:numStyleLink w:val="GJStylesContentMark"/>
  </w:abstractNum>
  <w:num w:numId="1">
    <w:abstractNumId w:val="28"/>
  </w:num>
  <w:num w:numId="2">
    <w:abstractNumId w:val="3"/>
  </w:num>
  <w:num w:numId="3">
    <w:abstractNumId w:val="21"/>
  </w:num>
  <w:num w:numId="4">
    <w:abstractNumId w:val="23"/>
  </w:num>
  <w:num w:numId="5">
    <w:abstractNumId w:val="11"/>
  </w:num>
  <w:num w:numId="6">
    <w:abstractNumId w:val="14"/>
  </w:num>
  <w:num w:numId="7">
    <w:abstractNumId w:val="22"/>
  </w:num>
  <w:num w:numId="8">
    <w:abstractNumId w:val="29"/>
  </w:num>
  <w:num w:numId="9">
    <w:abstractNumId w:val="16"/>
  </w:num>
  <w:num w:numId="10">
    <w:abstractNumId w:val="20"/>
  </w:num>
  <w:num w:numId="11">
    <w:abstractNumId w:val="30"/>
  </w:num>
  <w:num w:numId="12">
    <w:abstractNumId w:val="25"/>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2"/>
  </w:num>
  <w:num w:numId="16">
    <w:abstractNumId w:val="8"/>
  </w:num>
  <w:num w:numId="17">
    <w:abstractNumId w:val="24"/>
  </w:num>
  <w:num w:numId="18">
    <w:abstractNumId w:val="18"/>
  </w:num>
  <w:num w:numId="19">
    <w:abstractNumId w:val="31"/>
  </w:num>
  <w:num w:numId="20">
    <w:abstractNumId w:val="12"/>
  </w:num>
  <w:num w:numId="21">
    <w:abstractNumId w:val="17"/>
  </w:num>
  <w:num w:numId="22">
    <w:abstractNumId w:val="0"/>
  </w:num>
  <w:num w:numId="23">
    <w:abstractNumId w:val="19"/>
  </w:num>
  <w:num w:numId="24">
    <w:abstractNumId w:val="9"/>
  </w:num>
  <w:num w:numId="25">
    <w:abstractNumId w:val="1"/>
  </w:num>
  <w:num w:numId="26">
    <w:abstractNumId w:val="7"/>
  </w:num>
  <w:num w:numId="27">
    <w:abstractNumId w:val="27"/>
  </w:num>
  <w:num w:numId="28">
    <w:abstractNumId w:val="4"/>
  </w:num>
  <w:num w:numId="29">
    <w:abstractNumId w:val="32"/>
  </w:num>
  <w:num w:numId="30">
    <w:abstractNumId w:val="34"/>
  </w:num>
  <w:num w:numId="31">
    <w:abstractNumId w:val="35"/>
  </w:num>
  <w:num w:numId="32">
    <w:abstractNumId w:val="33"/>
  </w:num>
  <w:num w:numId="33">
    <w:abstractNumId w:val="6"/>
  </w:num>
  <w:num w:numId="34">
    <w:abstractNumId w:val="15"/>
  </w:num>
  <w:num w:numId="35">
    <w:abstractNumId w:val="13"/>
  </w:num>
  <w:num w:numId="36">
    <w:abstractNumId w:val="26"/>
  </w:num>
  <w:num w:numId="37">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printFractionalCharacterWidth/>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6"/>
  <w:drawingGridVerticalSpacing w:val="6"/>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4" style="mso-position-horizontal-relative:page;mso-position-vertical-relative:page" fill="f" fillcolor="blue" strokecolor="blue">
      <v:fill color="blue" on="f"/>
      <v:stroke color="blue"/>
      <o:colormru v:ext="edit" colors="#d7e4f0,#7494c3,#003765"/>
    </o:shapedefaults>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EE1CC3"/>
    <w:rsid w:val="000004CC"/>
    <w:rsid w:val="00002BE4"/>
    <w:rsid w:val="00003774"/>
    <w:rsid w:val="00004320"/>
    <w:rsid w:val="00004EBA"/>
    <w:rsid w:val="00005676"/>
    <w:rsid w:val="0000572E"/>
    <w:rsid w:val="000106FC"/>
    <w:rsid w:val="00012047"/>
    <w:rsid w:val="00013EB2"/>
    <w:rsid w:val="0001492B"/>
    <w:rsid w:val="000149F7"/>
    <w:rsid w:val="00014B77"/>
    <w:rsid w:val="00014F51"/>
    <w:rsid w:val="00016C91"/>
    <w:rsid w:val="0001708F"/>
    <w:rsid w:val="0002045A"/>
    <w:rsid w:val="000219EC"/>
    <w:rsid w:val="00021A32"/>
    <w:rsid w:val="000221E8"/>
    <w:rsid w:val="0002347C"/>
    <w:rsid w:val="00023D3A"/>
    <w:rsid w:val="00025049"/>
    <w:rsid w:val="00026458"/>
    <w:rsid w:val="0002666B"/>
    <w:rsid w:val="00030007"/>
    <w:rsid w:val="00031106"/>
    <w:rsid w:val="000319DC"/>
    <w:rsid w:val="00032255"/>
    <w:rsid w:val="0003281B"/>
    <w:rsid w:val="00032EE6"/>
    <w:rsid w:val="00033099"/>
    <w:rsid w:val="000336C0"/>
    <w:rsid w:val="00034017"/>
    <w:rsid w:val="000343B3"/>
    <w:rsid w:val="0003448B"/>
    <w:rsid w:val="00034A37"/>
    <w:rsid w:val="00034B6F"/>
    <w:rsid w:val="000368BD"/>
    <w:rsid w:val="000374D7"/>
    <w:rsid w:val="000424AC"/>
    <w:rsid w:val="00043630"/>
    <w:rsid w:val="00044649"/>
    <w:rsid w:val="00044C1E"/>
    <w:rsid w:val="00045BB2"/>
    <w:rsid w:val="000463A6"/>
    <w:rsid w:val="000464EF"/>
    <w:rsid w:val="00051253"/>
    <w:rsid w:val="0005161F"/>
    <w:rsid w:val="00051AFD"/>
    <w:rsid w:val="000520F8"/>
    <w:rsid w:val="000528A0"/>
    <w:rsid w:val="000528AB"/>
    <w:rsid w:val="00054005"/>
    <w:rsid w:val="000576EE"/>
    <w:rsid w:val="0006128E"/>
    <w:rsid w:val="000622E5"/>
    <w:rsid w:val="00063A3F"/>
    <w:rsid w:val="0006435D"/>
    <w:rsid w:val="00070B6F"/>
    <w:rsid w:val="00070EA5"/>
    <w:rsid w:val="00070F25"/>
    <w:rsid w:val="00071EB8"/>
    <w:rsid w:val="000748FA"/>
    <w:rsid w:val="00074B53"/>
    <w:rsid w:val="0007511E"/>
    <w:rsid w:val="00080902"/>
    <w:rsid w:val="00080AF3"/>
    <w:rsid w:val="000810F3"/>
    <w:rsid w:val="00082C91"/>
    <w:rsid w:val="00082E94"/>
    <w:rsid w:val="0008444C"/>
    <w:rsid w:val="000873F1"/>
    <w:rsid w:val="00090567"/>
    <w:rsid w:val="00090CDA"/>
    <w:rsid w:val="00091670"/>
    <w:rsid w:val="00091CB7"/>
    <w:rsid w:val="000939AA"/>
    <w:rsid w:val="000943F5"/>
    <w:rsid w:val="00094710"/>
    <w:rsid w:val="000961E1"/>
    <w:rsid w:val="00096DCC"/>
    <w:rsid w:val="00096FFB"/>
    <w:rsid w:val="000A2612"/>
    <w:rsid w:val="000A43ED"/>
    <w:rsid w:val="000A44D7"/>
    <w:rsid w:val="000A6D82"/>
    <w:rsid w:val="000A76EF"/>
    <w:rsid w:val="000A7AA6"/>
    <w:rsid w:val="000A7D02"/>
    <w:rsid w:val="000B001B"/>
    <w:rsid w:val="000B01C0"/>
    <w:rsid w:val="000B076E"/>
    <w:rsid w:val="000B07ED"/>
    <w:rsid w:val="000B0E6B"/>
    <w:rsid w:val="000B265D"/>
    <w:rsid w:val="000B2D7D"/>
    <w:rsid w:val="000B50B1"/>
    <w:rsid w:val="000B539C"/>
    <w:rsid w:val="000B5C96"/>
    <w:rsid w:val="000B78AA"/>
    <w:rsid w:val="000C065B"/>
    <w:rsid w:val="000C0A3A"/>
    <w:rsid w:val="000C0DA5"/>
    <w:rsid w:val="000C177B"/>
    <w:rsid w:val="000C2404"/>
    <w:rsid w:val="000C2513"/>
    <w:rsid w:val="000C2EDE"/>
    <w:rsid w:val="000C4699"/>
    <w:rsid w:val="000C484B"/>
    <w:rsid w:val="000C7D66"/>
    <w:rsid w:val="000C7EB1"/>
    <w:rsid w:val="000D1948"/>
    <w:rsid w:val="000D3153"/>
    <w:rsid w:val="000D3417"/>
    <w:rsid w:val="000D5698"/>
    <w:rsid w:val="000D688F"/>
    <w:rsid w:val="000E0E02"/>
    <w:rsid w:val="000E12FC"/>
    <w:rsid w:val="000E2FF4"/>
    <w:rsid w:val="000E40C9"/>
    <w:rsid w:val="000E6203"/>
    <w:rsid w:val="000E6AE0"/>
    <w:rsid w:val="000F0DF5"/>
    <w:rsid w:val="000F2451"/>
    <w:rsid w:val="000F2643"/>
    <w:rsid w:val="000F4AB0"/>
    <w:rsid w:val="000F5142"/>
    <w:rsid w:val="000F61F9"/>
    <w:rsid w:val="000F72BA"/>
    <w:rsid w:val="000F738D"/>
    <w:rsid w:val="00100477"/>
    <w:rsid w:val="00101F8F"/>
    <w:rsid w:val="001025A9"/>
    <w:rsid w:val="00102FCE"/>
    <w:rsid w:val="001064A9"/>
    <w:rsid w:val="0010686C"/>
    <w:rsid w:val="00106ADD"/>
    <w:rsid w:val="00106FF6"/>
    <w:rsid w:val="001119C0"/>
    <w:rsid w:val="00113F7E"/>
    <w:rsid w:val="0011478F"/>
    <w:rsid w:val="001151C1"/>
    <w:rsid w:val="001157E3"/>
    <w:rsid w:val="001167F6"/>
    <w:rsid w:val="00116EEB"/>
    <w:rsid w:val="00117A99"/>
    <w:rsid w:val="00121983"/>
    <w:rsid w:val="00122401"/>
    <w:rsid w:val="00122D86"/>
    <w:rsid w:val="001236FE"/>
    <w:rsid w:val="00123AF2"/>
    <w:rsid w:val="00123B4C"/>
    <w:rsid w:val="0012748C"/>
    <w:rsid w:val="00127D52"/>
    <w:rsid w:val="0013080A"/>
    <w:rsid w:val="00130A54"/>
    <w:rsid w:val="00131E05"/>
    <w:rsid w:val="00132A68"/>
    <w:rsid w:val="00132E65"/>
    <w:rsid w:val="00132E70"/>
    <w:rsid w:val="00133402"/>
    <w:rsid w:val="00134C05"/>
    <w:rsid w:val="0013548E"/>
    <w:rsid w:val="00135645"/>
    <w:rsid w:val="0013641C"/>
    <w:rsid w:val="001377EB"/>
    <w:rsid w:val="001406FF"/>
    <w:rsid w:val="00141C49"/>
    <w:rsid w:val="00141C88"/>
    <w:rsid w:val="0014285A"/>
    <w:rsid w:val="0014388E"/>
    <w:rsid w:val="00143C2D"/>
    <w:rsid w:val="00146968"/>
    <w:rsid w:val="00147350"/>
    <w:rsid w:val="00147D85"/>
    <w:rsid w:val="00150299"/>
    <w:rsid w:val="00150313"/>
    <w:rsid w:val="00150353"/>
    <w:rsid w:val="001503CD"/>
    <w:rsid w:val="00150417"/>
    <w:rsid w:val="0015120D"/>
    <w:rsid w:val="001522ED"/>
    <w:rsid w:val="0015265C"/>
    <w:rsid w:val="00152A3D"/>
    <w:rsid w:val="0015543F"/>
    <w:rsid w:val="0015629E"/>
    <w:rsid w:val="00156497"/>
    <w:rsid w:val="001602B1"/>
    <w:rsid w:val="0016153B"/>
    <w:rsid w:val="0016156D"/>
    <w:rsid w:val="00161A50"/>
    <w:rsid w:val="00161CE1"/>
    <w:rsid w:val="0016394F"/>
    <w:rsid w:val="00164EE1"/>
    <w:rsid w:val="00165EA0"/>
    <w:rsid w:val="00167E1A"/>
    <w:rsid w:val="00170C24"/>
    <w:rsid w:val="00172839"/>
    <w:rsid w:val="001748BC"/>
    <w:rsid w:val="00176A15"/>
    <w:rsid w:val="00180167"/>
    <w:rsid w:val="00180272"/>
    <w:rsid w:val="00180733"/>
    <w:rsid w:val="001809E2"/>
    <w:rsid w:val="00181776"/>
    <w:rsid w:val="00181A5B"/>
    <w:rsid w:val="001820D1"/>
    <w:rsid w:val="001829B0"/>
    <w:rsid w:val="001837D4"/>
    <w:rsid w:val="00183D27"/>
    <w:rsid w:val="001865C6"/>
    <w:rsid w:val="001865FF"/>
    <w:rsid w:val="00186750"/>
    <w:rsid w:val="001876A8"/>
    <w:rsid w:val="00194D9A"/>
    <w:rsid w:val="00194F5F"/>
    <w:rsid w:val="001953A5"/>
    <w:rsid w:val="001A0044"/>
    <w:rsid w:val="001A07F2"/>
    <w:rsid w:val="001A091B"/>
    <w:rsid w:val="001A1E48"/>
    <w:rsid w:val="001A247C"/>
    <w:rsid w:val="001A24EA"/>
    <w:rsid w:val="001A2AD4"/>
    <w:rsid w:val="001A2C79"/>
    <w:rsid w:val="001A3994"/>
    <w:rsid w:val="001A4819"/>
    <w:rsid w:val="001A67A0"/>
    <w:rsid w:val="001A6CF8"/>
    <w:rsid w:val="001B07C4"/>
    <w:rsid w:val="001B1467"/>
    <w:rsid w:val="001B2725"/>
    <w:rsid w:val="001B4033"/>
    <w:rsid w:val="001B4237"/>
    <w:rsid w:val="001B47B2"/>
    <w:rsid w:val="001B5CE8"/>
    <w:rsid w:val="001B6452"/>
    <w:rsid w:val="001B72E9"/>
    <w:rsid w:val="001C118C"/>
    <w:rsid w:val="001C1C32"/>
    <w:rsid w:val="001C28A5"/>
    <w:rsid w:val="001C370A"/>
    <w:rsid w:val="001C3E78"/>
    <w:rsid w:val="001C40DD"/>
    <w:rsid w:val="001C4CE3"/>
    <w:rsid w:val="001C523C"/>
    <w:rsid w:val="001C52BA"/>
    <w:rsid w:val="001C5AA3"/>
    <w:rsid w:val="001C5C2B"/>
    <w:rsid w:val="001C7914"/>
    <w:rsid w:val="001C7C49"/>
    <w:rsid w:val="001D0A95"/>
    <w:rsid w:val="001D0F58"/>
    <w:rsid w:val="001D24A0"/>
    <w:rsid w:val="001D3958"/>
    <w:rsid w:val="001D3DC3"/>
    <w:rsid w:val="001D4A05"/>
    <w:rsid w:val="001D5FBF"/>
    <w:rsid w:val="001D7559"/>
    <w:rsid w:val="001E1FDB"/>
    <w:rsid w:val="001E24A0"/>
    <w:rsid w:val="001E2668"/>
    <w:rsid w:val="001E5CB0"/>
    <w:rsid w:val="001E6529"/>
    <w:rsid w:val="001E72F3"/>
    <w:rsid w:val="001E7B3E"/>
    <w:rsid w:val="001F0514"/>
    <w:rsid w:val="001F1AE5"/>
    <w:rsid w:val="001F1EDA"/>
    <w:rsid w:val="001F2D26"/>
    <w:rsid w:val="001F37D3"/>
    <w:rsid w:val="001F4836"/>
    <w:rsid w:val="001F5094"/>
    <w:rsid w:val="001F79C4"/>
    <w:rsid w:val="002009BA"/>
    <w:rsid w:val="00200D33"/>
    <w:rsid w:val="00200E39"/>
    <w:rsid w:val="0020190A"/>
    <w:rsid w:val="00202E43"/>
    <w:rsid w:val="00203AB8"/>
    <w:rsid w:val="0020511C"/>
    <w:rsid w:val="00205425"/>
    <w:rsid w:val="00205844"/>
    <w:rsid w:val="00205E05"/>
    <w:rsid w:val="00206545"/>
    <w:rsid w:val="00206A8D"/>
    <w:rsid w:val="002071A0"/>
    <w:rsid w:val="002078CF"/>
    <w:rsid w:val="0021169E"/>
    <w:rsid w:val="00212F4D"/>
    <w:rsid w:val="00213251"/>
    <w:rsid w:val="00213D4E"/>
    <w:rsid w:val="002170D3"/>
    <w:rsid w:val="0021747E"/>
    <w:rsid w:val="00220363"/>
    <w:rsid w:val="00220D09"/>
    <w:rsid w:val="0022215E"/>
    <w:rsid w:val="0022453A"/>
    <w:rsid w:val="00224810"/>
    <w:rsid w:val="0022768D"/>
    <w:rsid w:val="00230996"/>
    <w:rsid w:val="0023347E"/>
    <w:rsid w:val="00233B04"/>
    <w:rsid w:val="002347F7"/>
    <w:rsid w:val="00234C04"/>
    <w:rsid w:val="002356FE"/>
    <w:rsid w:val="0024043A"/>
    <w:rsid w:val="002412D0"/>
    <w:rsid w:val="002416F4"/>
    <w:rsid w:val="00243205"/>
    <w:rsid w:val="002436CB"/>
    <w:rsid w:val="0024447F"/>
    <w:rsid w:val="0024569B"/>
    <w:rsid w:val="002463F9"/>
    <w:rsid w:val="0025246E"/>
    <w:rsid w:val="00253506"/>
    <w:rsid w:val="00255EE8"/>
    <w:rsid w:val="00256C54"/>
    <w:rsid w:val="0025701C"/>
    <w:rsid w:val="0025705E"/>
    <w:rsid w:val="00257C5B"/>
    <w:rsid w:val="00260EF2"/>
    <w:rsid w:val="002613C1"/>
    <w:rsid w:val="00261447"/>
    <w:rsid w:val="00261B2D"/>
    <w:rsid w:val="00261E81"/>
    <w:rsid w:val="00262373"/>
    <w:rsid w:val="002627D5"/>
    <w:rsid w:val="00262C87"/>
    <w:rsid w:val="00263585"/>
    <w:rsid w:val="00264055"/>
    <w:rsid w:val="002647A0"/>
    <w:rsid w:val="00264D37"/>
    <w:rsid w:val="002711AC"/>
    <w:rsid w:val="002724E5"/>
    <w:rsid w:val="00273AF6"/>
    <w:rsid w:val="0027404C"/>
    <w:rsid w:val="00274073"/>
    <w:rsid w:val="00275A0E"/>
    <w:rsid w:val="0027674A"/>
    <w:rsid w:val="00276AED"/>
    <w:rsid w:val="00280012"/>
    <w:rsid w:val="00280145"/>
    <w:rsid w:val="002807D9"/>
    <w:rsid w:val="002824FD"/>
    <w:rsid w:val="00282C90"/>
    <w:rsid w:val="002838A3"/>
    <w:rsid w:val="00284A26"/>
    <w:rsid w:val="0029022C"/>
    <w:rsid w:val="00292EB6"/>
    <w:rsid w:val="0029580F"/>
    <w:rsid w:val="00295AB4"/>
    <w:rsid w:val="002978EA"/>
    <w:rsid w:val="00297C96"/>
    <w:rsid w:val="002A1CCE"/>
    <w:rsid w:val="002A1D2C"/>
    <w:rsid w:val="002A24F5"/>
    <w:rsid w:val="002A5003"/>
    <w:rsid w:val="002A616B"/>
    <w:rsid w:val="002A673A"/>
    <w:rsid w:val="002A6F88"/>
    <w:rsid w:val="002A771D"/>
    <w:rsid w:val="002B45D1"/>
    <w:rsid w:val="002B487A"/>
    <w:rsid w:val="002B4981"/>
    <w:rsid w:val="002C0205"/>
    <w:rsid w:val="002C0377"/>
    <w:rsid w:val="002C07DE"/>
    <w:rsid w:val="002C0968"/>
    <w:rsid w:val="002C2C46"/>
    <w:rsid w:val="002C456B"/>
    <w:rsid w:val="002C4E0E"/>
    <w:rsid w:val="002C4E8C"/>
    <w:rsid w:val="002C5291"/>
    <w:rsid w:val="002C5AE2"/>
    <w:rsid w:val="002C6A7A"/>
    <w:rsid w:val="002D08AF"/>
    <w:rsid w:val="002D12B5"/>
    <w:rsid w:val="002D14E8"/>
    <w:rsid w:val="002D2654"/>
    <w:rsid w:val="002D3454"/>
    <w:rsid w:val="002D3741"/>
    <w:rsid w:val="002D4069"/>
    <w:rsid w:val="002E0711"/>
    <w:rsid w:val="002E0BBA"/>
    <w:rsid w:val="002E0D03"/>
    <w:rsid w:val="002E1B35"/>
    <w:rsid w:val="002E3E22"/>
    <w:rsid w:val="002E4121"/>
    <w:rsid w:val="002E4642"/>
    <w:rsid w:val="002E5D74"/>
    <w:rsid w:val="002E61EA"/>
    <w:rsid w:val="002E6511"/>
    <w:rsid w:val="002E75AF"/>
    <w:rsid w:val="002E7EC3"/>
    <w:rsid w:val="002F0CD4"/>
    <w:rsid w:val="002F1768"/>
    <w:rsid w:val="002F22C7"/>
    <w:rsid w:val="002F25DE"/>
    <w:rsid w:val="002F2BA7"/>
    <w:rsid w:val="002F355F"/>
    <w:rsid w:val="002F3A38"/>
    <w:rsid w:val="002F593A"/>
    <w:rsid w:val="002F5AE7"/>
    <w:rsid w:val="002F5BF7"/>
    <w:rsid w:val="002F6E11"/>
    <w:rsid w:val="00302B7E"/>
    <w:rsid w:val="003060B9"/>
    <w:rsid w:val="00306161"/>
    <w:rsid w:val="00306EBB"/>
    <w:rsid w:val="003071B6"/>
    <w:rsid w:val="00307994"/>
    <w:rsid w:val="003120F7"/>
    <w:rsid w:val="003127AF"/>
    <w:rsid w:val="00313166"/>
    <w:rsid w:val="003136D8"/>
    <w:rsid w:val="00314043"/>
    <w:rsid w:val="0031452D"/>
    <w:rsid w:val="00314DE5"/>
    <w:rsid w:val="0031538A"/>
    <w:rsid w:val="00317099"/>
    <w:rsid w:val="003170B2"/>
    <w:rsid w:val="00317266"/>
    <w:rsid w:val="00320A7A"/>
    <w:rsid w:val="003210C0"/>
    <w:rsid w:val="00321826"/>
    <w:rsid w:val="00321881"/>
    <w:rsid w:val="003224F1"/>
    <w:rsid w:val="00322B0C"/>
    <w:rsid w:val="00323DF0"/>
    <w:rsid w:val="003257B9"/>
    <w:rsid w:val="003277D6"/>
    <w:rsid w:val="00327CFE"/>
    <w:rsid w:val="00331C73"/>
    <w:rsid w:val="003326E4"/>
    <w:rsid w:val="003370A9"/>
    <w:rsid w:val="00340097"/>
    <w:rsid w:val="00340945"/>
    <w:rsid w:val="00341662"/>
    <w:rsid w:val="00341675"/>
    <w:rsid w:val="00342B1B"/>
    <w:rsid w:val="00343A04"/>
    <w:rsid w:val="00344C85"/>
    <w:rsid w:val="003453BD"/>
    <w:rsid w:val="00345839"/>
    <w:rsid w:val="00346273"/>
    <w:rsid w:val="00346BB1"/>
    <w:rsid w:val="00347FF1"/>
    <w:rsid w:val="00351D32"/>
    <w:rsid w:val="0035208F"/>
    <w:rsid w:val="003551E8"/>
    <w:rsid w:val="00355A8C"/>
    <w:rsid w:val="003565F8"/>
    <w:rsid w:val="00357333"/>
    <w:rsid w:val="0035779A"/>
    <w:rsid w:val="00357BD6"/>
    <w:rsid w:val="0036471C"/>
    <w:rsid w:val="00366D76"/>
    <w:rsid w:val="00370570"/>
    <w:rsid w:val="003708AB"/>
    <w:rsid w:val="00373BE5"/>
    <w:rsid w:val="00374401"/>
    <w:rsid w:val="00374566"/>
    <w:rsid w:val="00375560"/>
    <w:rsid w:val="00376061"/>
    <w:rsid w:val="003770F6"/>
    <w:rsid w:val="00377B46"/>
    <w:rsid w:val="00377B96"/>
    <w:rsid w:val="00380602"/>
    <w:rsid w:val="00380A4C"/>
    <w:rsid w:val="0038171D"/>
    <w:rsid w:val="003823A5"/>
    <w:rsid w:val="003825A9"/>
    <w:rsid w:val="00383ECB"/>
    <w:rsid w:val="00385ADD"/>
    <w:rsid w:val="00385FE5"/>
    <w:rsid w:val="00386F8D"/>
    <w:rsid w:val="00387CD4"/>
    <w:rsid w:val="00390CEC"/>
    <w:rsid w:val="00391640"/>
    <w:rsid w:val="00392C2D"/>
    <w:rsid w:val="00392D30"/>
    <w:rsid w:val="003940E0"/>
    <w:rsid w:val="003A0A8C"/>
    <w:rsid w:val="003A2F11"/>
    <w:rsid w:val="003A41B1"/>
    <w:rsid w:val="003A439D"/>
    <w:rsid w:val="003A54F6"/>
    <w:rsid w:val="003A604C"/>
    <w:rsid w:val="003A7A25"/>
    <w:rsid w:val="003B0DF7"/>
    <w:rsid w:val="003B1653"/>
    <w:rsid w:val="003B181C"/>
    <w:rsid w:val="003B4003"/>
    <w:rsid w:val="003B4093"/>
    <w:rsid w:val="003B66EA"/>
    <w:rsid w:val="003B6A5A"/>
    <w:rsid w:val="003C07FD"/>
    <w:rsid w:val="003C100F"/>
    <w:rsid w:val="003C2FB6"/>
    <w:rsid w:val="003C3975"/>
    <w:rsid w:val="003C3B56"/>
    <w:rsid w:val="003C4E1B"/>
    <w:rsid w:val="003C543C"/>
    <w:rsid w:val="003C56FF"/>
    <w:rsid w:val="003C5B13"/>
    <w:rsid w:val="003D04AA"/>
    <w:rsid w:val="003D06A2"/>
    <w:rsid w:val="003D131A"/>
    <w:rsid w:val="003D2CEC"/>
    <w:rsid w:val="003D34BE"/>
    <w:rsid w:val="003D42C0"/>
    <w:rsid w:val="003D637B"/>
    <w:rsid w:val="003D6C0B"/>
    <w:rsid w:val="003D7790"/>
    <w:rsid w:val="003E0662"/>
    <w:rsid w:val="003E19C5"/>
    <w:rsid w:val="003E34D9"/>
    <w:rsid w:val="003E4EE3"/>
    <w:rsid w:val="003E588D"/>
    <w:rsid w:val="003E7A24"/>
    <w:rsid w:val="003F1DFD"/>
    <w:rsid w:val="003F4374"/>
    <w:rsid w:val="003F44DF"/>
    <w:rsid w:val="003F5FAF"/>
    <w:rsid w:val="003F5FC8"/>
    <w:rsid w:val="003F69AD"/>
    <w:rsid w:val="003F70C5"/>
    <w:rsid w:val="00400104"/>
    <w:rsid w:val="004006DF"/>
    <w:rsid w:val="004008F6"/>
    <w:rsid w:val="00401913"/>
    <w:rsid w:val="00401B4A"/>
    <w:rsid w:val="00404001"/>
    <w:rsid w:val="00405A95"/>
    <w:rsid w:val="00405CB0"/>
    <w:rsid w:val="00405E6E"/>
    <w:rsid w:val="00406323"/>
    <w:rsid w:val="00406E9B"/>
    <w:rsid w:val="0040718A"/>
    <w:rsid w:val="00407572"/>
    <w:rsid w:val="00411188"/>
    <w:rsid w:val="00411272"/>
    <w:rsid w:val="0041633D"/>
    <w:rsid w:val="004173B9"/>
    <w:rsid w:val="0041785A"/>
    <w:rsid w:val="004201B5"/>
    <w:rsid w:val="004220C6"/>
    <w:rsid w:val="00422B94"/>
    <w:rsid w:val="004255AB"/>
    <w:rsid w:val="00425E65"/>
    <w:rsid w:val="0042700B"/>
    <w:rsid w:val="004305C0"/>
    <w:rsid w:val="00431896"/>
    <w:rsid w:val="00432354"/>
    <w:rsid w:val="0043239D"/>
    <w:rsid w:val="00436046"/>
    <w:rsid w:val="004406DF"/>
    <w:rsid w:val="00440764"/>
    <w:rsid w:val="00441C53"/>
    <w:rsid w:val="00441FFE"/>
    <w:rsid w:val="004426FD"/>
    <w:rsid w:val="00442D78"/>
    <w:rsid w:val="00446939"/>
    <w:rsid w:val="00451748"/>
    <w:rsid w:val="004517DE"/>
    <w:rsid w:val="00460D1B"/>
    <w:rsid w:val="00461143"/>
    <w:rsid w:val="0046153D"/>
    <w:rsid w:val="00461632"/>
    <w:rsid w:val="00461CBE"/>
    <w:rsid w:val="00461F8F"/>
    <w:rsid w:val="00462605"/>
    <w:rsid w:val="0046331E"/>
    <w:rsid w:val="004652B5"/>
    <w:rsid w:val="00465D01"/>
    <w:rsid w:val="00466EE2"/>
    <w:rsid w:val="00467264"/>
    <w:rsid w:val="00470E0A"/>
    <w:rsid w:val="004720B7"/>
    <w:rsid w:val="004733CD"/>
    <w:rsid w:val="0047552D"/>
    <w:rsid w:val="00475F78"/>
    <w:rsid w:val="004763E7"/>
    <w:rsid w:val="00476412"/>
    <w:rsid w:val="004771EF"/>
    <w:rsid w:val="00480AD3"/>
    <w:rsid w:val="00480F30"/>
    <w:rsid w:val="0048332D"/>
    <w:rsid w:val="00484352"/>
    <w:rsid w:val="00484816"/>
    <w:rsid w:val="00487051"/>
    <w:rsid w:val="00487AA2"/>
    <w:rsid w:val="00490982"/>
    <w:rsid w:val="0049143A"/>
    <w:rsid w:val="00491683"/>
    <w:rsid w:val="00496669"/>
    <w:rsid w:val="00497028"/>
    <w:rsid w:val="004A0D0B"/>
    <w:rsid w:val="004A258A"/>
    <w:rsid w:val="004A4CDA"/>
    <w:rsid w:val="004A4FC7"/>
    <w:rsid w:val="004B1144"/>
    <w:rsid w:val="004B14CE"/>
    <w:rsid w:val="004B15F5"/>
    <w:rsid w:val="004B1C12"/>
    <w:rsid w:val="004B2E6F"/>
    <w:rsid w:val="004B4777"/>
    <w:rsid w:val="004B4DD6"/>
    <w:rsid w:val="004B5B71"/>
    <w:rsid w:val="004B5D30"/>
    <w:rsid w:val="004B6C64"/>
    <w:rsid w:val="004B6D3C"/>
    <w:rsid w:val="004C1421"/>
    <w:rsid w:val="004C1881"/>
    <w:rsid w:val="004C1C21"/>
    <w:rsid w:val="004C3757"/>
    <w:rsid w:val="004C4283"/>
    <w:rsid w:val="004C527F"/>
    <w:rsid w:val="004C6151"/>
    <w:rsid w:val="004C64E0"/>
    <w:rsid w:val="004C6CED"/>
    <w:rsid w:val="004D0440"/>
    <w:rsid w:val="004D1494"/>
    <w:rsid w:val="004D28D0"/>
    <w:rsid w:val="004D3BFA"/>
    <w:rsid w:val="004D49B8"/>
    <w:rsid w:val="004D5C9F"/>
    <w:rsid w:val="004D76AE"/>
    <w:rsid w:val="004D7D64"/>
    <w:rsid w:val="004D7FB3"/>
    <w:rsid w:val="004E0A1B"/>
    <w:rsid w:val="004E1C83"/>
    <w:rsid w:val="004E2B78"/>
    <w:rsid w:val="004E2C0D"/>
    <w:rsid w:val="004E2E08"/>
    <w:rsid w:val="004E2F6D"/>
    <w:rsid w:val="004E30B3"/>
    <w:rsid w:val="004E3213"/>
    <w:rsid w:val="004E4B97"/>
    <w:rsid w:val="004E4D0F"/>
    <w:rsid w:val="004E55B6"/>
    <w:rsid w:val="004E61F8"/>
    <w:rsid w:val="004E627E"/>
    <w:rsid w:val="004E6829"/>
    <w:rsid w:val="004E76D0"/>
    <w:rsid w:val="004F0345"/>
    <w:rsid w:val="004F03CC"/>
    <w:rsid w:val="004F0AB3"/>
    <w:rsid w:val="004F2784"/>
    <w:rsid w:val="004F2EE8"/>
    <w:rsid w:val="004F3338"/>
    <w:rsid w:val="004F3AE7"/>
    <w:rsid w:val="004F57FE"/>
    <w:rsid w:val="004F5961"/>
    <w:rsid w:val="004F59EB"/>
    <w:rsid w:val="004F5D04"/>
    <w:rsid w:val="004F6054"/>
    <w:rsid w:val="004F7C74"/>
    <w:rsid w:val="00501C4D"/>
    <w:rsid w:val="00502252"/>
    <w:rsid w:val="005026F7"/>
    <w:rsid w:val="00505788"/>
    <w:rsid w:val="00507170"/>
    <w:rsid w:val="00510642"/>
    <w:rsid w:val="00510D65"/>
    <w:rsid w:val="00511E6C"/>
    <w:rsid w:val="00513B47"/>
    <w:rsid w:val="0051471C"/>
    <w:rsid w:val="005157E6"/>
    <w:rsid w:val="00515D58"/>
    <w:rsid w:val="005214D7"/>
    <w:rsid w:val="005217AE"/>
    <w:rsid w:val="00523011"/>
    <w:rsid w:val="005231B8"/>
    <w:rsid w:val="0052331C"/>
    <w:rsid w:val="00524B59"/>
    <w:rsid w:val="0052506B"/>
    <w:rsid w:val="005264A1"/>
    <w:rsid w:val="0052755F"/>
    <w:rsid w:val="00527CB3"/>
    <w:rsid w:val="00532858"/>
    <w:rsid w:val="00535B28"/>
    <w:rsid w:val="005360E0"/>
    <w:rsid w:val="005363E6"/>
    <w:rsid w:val="00536940"/>
    <w:rsid w:val="00537116"/>
    <w:rsid w:val="005379A0"/>
    <w:rsid w:val="0054081F"/>
    <w:rsid w:val="00540835"/>
    <w:rsid w:val="00541ADD"/>
    <w:rsid w:val="0054218B"/>
    <w:rsid w:val="00544037"/>
    <w:rsid w:val="005519C0"/>
    <w:rsid w:val="005526E7"/>
    <w:rsid w:val="00552BF7"/>
    <w:rsid w:val="00552C2F"/>
    <w:rsid w:val="005548B3"/>
    <w:rsid w:val="00554DE2"/>
    <w:rsid w:val="005552A5"/>
    <w:rsid w:val="005553CC"/>
    <w:rsid w:val="00555C07"/>
    <w:rsid w:val="00555CEF"/>
    <w:rsid w:val="00555D3A"/>
    <w:rsid w:val="00556ADA"/>
    <w:rsid w:val="005577B5"/>
    <w:rsid w:val="00560FBE"/>
    <w:rsid w:val="0056136E"/>
    <w:rsid w:val="00561E96"/>
    <w:rsid w:val="005631D5"/>
    <w:rsid w:val="00563BB7"/>
    <w:rsid w:val="0056434B"/>
    <w:rsid w:val="005657EA"/>
    <w:rsid w:val="00566AC1"/>
    <w:rsid w:val="00567DC4"/>
    <w:rsid w:val="00570976"/>
    <w:rsid w:val="00570D00"/>
    <w:rsid w:val="005721EB"/>
    <w:rsid w:val="00572FFB"/>
    <w:rsid w:val="00573AE0"/>
    <w:rsid w:val="0057735E"/>
    <w:rsid w:val="00580667"/>
    <w:rsid w:val="00580A28"/>
    <w:rsid w:val="00581E5D"/>
    <w:rsid w:val="00581FA9"/>
    <w:rsid w:val="0058200E"/>
    <w:rsid w:val="005820FB"/>
    <w:rsid w:val="005843E0"/>
    <w:rsid w:val="005854BE"/>
    <w:rsid w:val="00585557"/>
    <w:rsid w:val="00587714"/>
    <w:rsid w:val="00587C3D"/>
    <w:rsid w:val="00590348"/>
    <w:rsid w:val="005903BD"/>
    <w:rsid w:val="0059131D"/>
    <w:rsid w:val="00592AA9"/>
    <w:rsid w:val="005930C5"/>
    <w:rsid w:val="005940B7"/>
    <w:rsid w:val="00594E62"/>
    <w:rsid w:val="00594EEE"/>
    <w:rsid w:val="005973E6"/>
    <w:rsid w:val="00597BE8"/>
    <w:rsid w:val="005A0B09"/>
    <w:rsid w:val="005A21C4"/>
    <w:rsid w:val="005A26BC"/>
    <w:rsid w:val="005A4369"/>
    <w:rsid w:val="005A4767"/>
    <w:rsid w:val="005A603C"/>
    <w:rsid w:val="005A66A2"/>
    <w:rsid w:val="005A6A6A"/>
    <w:rsid w:val="005B069B"/>
    <w:rsid w:val="005B078D"/>
    <w:rsid w:val="005B1EAB"/>
    <w:rsid w:val="005B247E"/>
    <w:rsid w:val="005B30C9"/>
    <w:rsid w:val="005B3E2E"/>
    <w:rsid w:val="005B4673"/>
    <w:rsid w:val="005C0169"/>
    <w:rsid w:val="005C2514"/>
    <w:rsid w:val="005C3784"/>
    <w:rsid w:val="005C466C"/>
    <w:rsid w:val="005C4C98"/>
    <w:rsid w:val="005C6537"/>
    <w:rsid w:val="005C6B60"/>
    <w:rsid w:val="005C75E8"/>
    <w:rsid w:val="005C7721"/>
    <w:rsid w:val="005C7E8B"/>
    <w:rsid w:val="005D0C99"/>
    <w:rsid w:val="005D19EF"/>
    <w:rsid w:val="005D2110"/>
    <w:rsid w:val="005D3A27"/>
    <w:rsid w:val="005D3C8E"/>
    <w:rsid w:val="005D402F"/>
    <w:rsid w:val="005D7926"/>
    <w:rsid w:val="005D79A9"/>
    <w:rsid w:val="005D7B38"/>
    <w:rsid w:val="005E0923"/>
    <w:rsid w:val="005E0E69"/>
    <w:rsid w:val="005E2988"/>
    <w:rsid w:val="005E2B56"/>
    <w:rsid w:val="005E311D"/>
    <w:rsid w:val="005E36A8"/>
    <w:rsid w:val="005E396B"/>
    <w:rsid w:val="005E3EAC"/>
    <w:rsid w:val="005E477F"/>
    <w:rsid w:val="005E4C41"/>
    <w:rsid w:val="005E54E0"/>
    <w:rsid w:val="005E6F7A"/>
    <w:rsid w:val="005E7F08"/>
    <w:rsid w:val="005F0D29"/>
    <w:rsid w:val="005F30C9"/>
    <w:rsid w:val="005F59CA"/>
    <w:rsid w:val="005F77FF"/>
    <w:rsid w:val="006007CA"/>
    <w:rsid w:val="0060202E"/>
    <w:rsid w:val="0060216C"/>
    <w:rsid w:val="00602631"/>
    <w:rsid w:val="006034B8"/>
    <w:rsid w:val="006041F6"/>
    <w:rsid w:val="00607327"/>
    <w:rsid w:val="006077A8"/>
    <w:rsid w:val="00607BAA"/>
    <w:rsid w:val="006114D3"/>
    <w:rsid w:val="00612794"/>
    <w:rsid w:val="006127F6"/>
    <w:rsid w:val="00612DD1"/>
    <w:rsid w:val="00612F8D"/>
    <w:rsid w:val="006140D2"/>
    <w:rsid w:val="00614CED"/>
    <w:rsid w:val="00615281"/>
    <w:rsid w:val="0061568E"/>
    <w:rsid w:val="00615CB2"/>
    <w:rsid w:val="00616BEA"/>
    <w:rsid w:val="00620E39"/>
    <w:rsid w:val="00621D58"/>
    <w:rsid w:val="0062368A"/>
    <w:rsid w:val="0062398E"/>
    <w:rsid w:val="00624240"/>
    <w:rsid w:val="0062489C"/>
    <w:rsid w:val="00624E42"/>
    <w:rsid w:val="00626256"/>
    <w:rsid w:val="00626F55"/>
    <w:rsid w:val="0062762D"/>
    <w:rsid w:val="00630996"/>
    <w:rsid w:val="00631C3D"/>
    <w:rsid w:val="00631EAF"/>
    <w:rsid w:val="00632EA0"/>
    <w:rsid w:val="006359E4"/>
    <w:rsid w:val="00637FAA"/>
    <w:rsid w:val="006403B4"/>
    <w:rsid w:val="00640523"/>
    <w:rsid w:val="0064126A"/>
    <w:rsid w:val="00643A3A"/>
    <w:rsid w:val="006449BF"/>
    <w:rsid w:val="00645394"/>
    <w:rsid w:val="006458BA"/>
    <w:rsid w:val="0064599D"/>
    <w:rsid w:val="0064780A"/>
    <w:rsid w:val="00647BD2"/>
    <w:rsid w:val="0065063E"/>
    <w:rsid w:val="00651244"/>
    <w:rsid w:val="00651E3B"/>
    <w:rsid w:val="006529B1"/>
    <w:rsid w:val="00652C9C"/>
    <w:rsid w:val="00655332"/>
    <w:rsid w:val="006555FA"/>
    <w:rsid w:val="006574A0"/>
    <w:rsid w:val="0065788C"/>
    <w:rsid w:val="00662518"/>
    <w:rsid w:val="006632A4"/>
    <w:rsid w:val="006645A3"/>
    <w:rsid w:val="00665430"/>
    <w:rsid w:val="006674BF"/>
    <w:rsid w:val="006679ED"/>
    <w:rsid w:val="00667F60"/>
    <w:rsid w:val="006700B1"/>
    <w:rsid w:val="006705A4"/>
    <w:rsid w:val="006705BA"/>
    <w:rsid w:val="0067155D"/>
    <w:rsid w:val="006734B1"/>
    <w:rsid w:val="006762EA"/>
    <w:rsid w:val="00680465"/>
    <w:rsid w:val="0068056C"/>
    <w:rsid w:val="00681B2E"/>
    <w:rsid w:val="00682AD3"/>
    <w:rsid w:val="00682C2A"/>
    <w:rsid w:val="006841B6"/>
    <w:rsid w:val="0068469E"/>
    <w:rsid w:val="0068636E"/>
    <w:rsid w:val="00686947"/>
    <w:rsid w:val="00686AC0"/>
    <w:rsid w:val="00686C0A"/>
    <w:rsid w:val="00687D39"/>
    <w:rsid w:val="00690713"/>
    <w:rsid w:val="00692C07"/>
    <w:rsid w:val="00695547"/>
    <w:rsid w:val="00695798"/>
    <w:rsid w:val="00695970"/>
    <w:rsid w:val="00697F39"/>
    <w:rsid w:val="006A0092"/>
    <w:rsid w:val="006A19A5"/>
    <w:rsid w:val="006A214A"/>
    <w:rsid w:val="006A4685"/>
    <w:rsid w:val="006A4CF3"/>
    <w:rsid w:val="006A5A9C"/>
    <w:rsid w:val="006A6902"/>
    <w:rsid w:val="006B0416"/>
    <w:rsid w:val="006B0553"/>
    <w:rsid w:val="006B0739"/>
    <w:rsid w:val="006B146F"/>
    <w:rsid w:val="006B1684"/>
    <w:rsid w:val="006B2CC3"/>
    <w:rsid w:val="006B2CDC"/>
    <w:rsid w:val="006B4876"/>
    <w:rsid w:val="006B4BCD"/>
    <w:rsid w:val="006B65A4"/>
    <w:rsid w:val="006B74A8"/>
    <w:rsid w:val="006B75C5"/>
    <w:rsid w:val="006B7A09"/>
    <w:rsid w:val="006B7AA6"/>
    <w:rsid w:val="006C1058"/>
    <w:rsid w:val="006C248C"/>
    <w:rsid w:val="006C2895"/>
    <w:rsid w:val="006C45CD"/>
    <w:rsid w:val="006C5074"/>
    <w:rsid w:val="006C595E"/>
    <w:rsid w:val="006C6C4E"/>
    <w:rsid w:val="006C6CEE"/>
    <w:rsid w:val="006C7622"/>
    <w:rsid w:val="006C7EB4"/>
    <w:rsid w:val="006D0435"/>
    <w:rsid w:val="006D08C1"/>
    <w:rsid w:val="006D1E53"/>
    <w:rsid w:val="006D493F"/>
    <w:rsid w:val="006D4BFD"/>
    <w:rsid w:val="006D5CDF"/>
    <w:rsid w:val="006D770C"/>
    <w:rsid w:val="006E06E4"/>
    <w:rsid w:val="006E1B4B"/>
    <w:rsid w:val="006E208A"/>
    <w:rsid w:val="006E3D11"/>
    <w:rsid w:val="006E40C7"/>
    <w:rsid w:val="006E4121"/>
    <w:rsid w:val="006E4A68"/>
    <w:rsid w:val="006E516D"/>
    <w:rsid w:val="006E551C"/>
    <w:rsid w:val="006E7425"/>
    <w:rsid w:val="006F074B"/>
    <w:rsid w:val="006F4213"/>
    <w:rsid w:val="006F5B97"/>
    <w:rsid w:val="006F659C"/>
    <w:rsid w:val="006F74CD"/>
    <w:rsid w:val="007007AC"/>
    <w:rsid w:val="0070117D"/>
    <w:rsid w:val="00701FE8"/>
    <w:rsid w:val="00702391"/>
    <w:rsid w:val="00702BA4"/>
    <w:rsid w:val="007038DB"/>
    <w:rsid w:val="00703A6B"/>
    <w:rsid w:val="0070455D"/>
    <w:rsid w:val="00704BB9"/>
    <w:rsid w:val="00704CDB"/>
    <w:rsid w:val="00705D4B"/>
    <w:rsid w:val="0070732B"/>
    <w:rsid w:val="007111E5"/>
    <w:rsid w:val="00711211"/>
    <w:rsid w:val="00713304"/>
    <w:rsid w:val="00715A81"/>
    <w:rsid w:val="0071687A"/>
    <w:rsid w:val="007170F5"/>
    <w:rsid w:val="007172E8"/>
    <w:rsid w:val="00717608"/>
    <w:rsid w:val="00720E9E"/>
    <w:rsid w:val="007217A1"/>
    <w:rsid w:val="00721F3C"/>
    <w:rsid w:val="00722B64"/>
    <w:rsid w:val="00722D30"/>
    <w:rsid w:val="0072371C"/>
    <w:rsid w:val="00725738"/>
    <w:rsid w:val="00730B1B"/>
    <w:rsid w:val="00731846"/>
    <w:rsid w:val="007331A2"/>
    <w:rsid w:val="007348B4"/>
    <w:rsid w:val="00734EDE"/>
    <w:rsid w:val="0073585A"/>
    <w:rsid w:val="00735AE3"/>
    <w:rsid w:val="00735BBD"/>
    <w:rsid w:val="00737F27"/>
    <w:rsid w:val="007415B4"/>
    <w:rsid w:val="00744C7E"/>
    <w:rsid w:val="00744E53"/>
    <w:rsid w:val="007474B2"/>
    <w:rsid w:val="007476DC"/>
    <w:rsid w:val="0075038E"/>
    <w:rsid w:val="00752294"/>
    <w:rsid w:val="00753B4A"/>
    <w:rsid w:val="007545AC"/>
    <w:rsid w:val="0075491B"/>
    <w:rsid w:val="007601FD"/>
    <w:rsid w:val="00760542"/>
    <w:rsid w:val="007605C0"/>
    <w:rsid w:val="00760E29"/>
    <w:rsid w:val="00762C2C"/>
    <w:rsid w:val="00762F0E"/>
    <w:rsid w:val="00763539"/>
    <w:rsid w:val="00763F69"/>
    <w:rsid w:val="0076629A"/>
    <w:rsid w:val="00767BD1"/>
    <w:rsid w:val="007708B7"/>
    <w:rsid w:val="007708F1"/>
    <w:rsid w:val="00773239"/>
    <w:rsid w:val="00773E46"/>
    <w:rsid w:val="00776739"/>
    <w:rsid w:val="00776898"/>
    <w:rsid w:val="00777222"/>
    <w:rsid w:val="007774CA"/>
    <w:rsid w:val="00777AD0"/>
    <w:rsid w:val="007823D1"/>
    <w:rsid w:val="00782C5F"/>
    <w:rsid w:val="00782EB2"/>
    <w:rsid w:val="007830D0"/>
    <w:rsid w:val="00784D23"/>
    <w:rsid w:val="00785EA8"/>
    <w:rsid w:val="00786160"/>
    <w:rsid w:val="007867E9"/>
    <w:rsid w:val="00791DC7"/>
    <w:rsid w:val="00792DB7"/>
    <w:rsid w:val="00793762"/>
    <w:rsid w:val="00795251"/>
    <w:rsid w:val="0079581C"/>
    <w:rsid w:val="007966C4"/>
    <w:rsid w:val="0079679B"/>
    <w:rsid w:val="007A0F8B"/>
    <w:rsid w:val="007A6317"/>
    <w:rsid w:val="007A7B1A"/>
    <w:rsid w:val="007A7C43"/>
    <w:rsid w:val="007B274A"/>
    <w:rsid w:val="007B2943"/>
    <w:rsid w:val="007B33CC"/>
    <w:rsid w:val="007B4897"/>
    <w:rsid w:val="007B4F41"/>
    <w:rsid w:val="007B7701"/>
    <w:rsid w:val="007C03B5"/>
    <w:rsid w:val="007C2C85"/>
    <w:rsid w:val="007C2E99"/>
    <w:rsid w:val="007C43D9"/>
    <w:rsid w:val="007C4692"/>
    <w:rsid w:val="007D0FE7"/>
    <w:rsid w:val="007D2023"/>
    <w:rsid w:val="007D3A06"/>
    <w:rsid w:val="007D3C1D"/>
    <w:rsid w:val="007D4315"/>
    <w:rsid w:val="007D44C5"/>
    <w:rsid w:val="007D4A15"/>
    <w:rsid w:val="007D5949"/>
    <w:rsid w:val="007D5B8F"/>
    <w:rsid w:val="007D6D43"/>
    <w:rsid w:val="007E0E76"/>
    <w:rsid w:val="007E1139"/>
    <w:rsid w:val="007E1530"/>
    <w:rsid w:val="007E2D2F"/>
    <w:rsid w:val="007E4828"/>
    <w:rsid w:val="007E6A11"/>
    <w:rsid w:val="007E7584"/>
    <w:rsid w:val="007E7B9C"/>
    <w:rsid w:val="007F139B"/>
    <w:rsid w:val="007F3E0D"/>
    <w:rsid w:val="007F47E6"/>
    <w:rsid w:val="007F55E1"/>
    <w:rsid w:val="007F6DAF"/>
    <w:rsid w:val="007F7A9A"/>
    <w:rsid w:val="00801AEC"/>
    <w:rsid w:val="00802801"/>
    <w:rsid w:val="00803125"/>
    <w:rsid w:val="0080465B"/>
    <w:rsid w:val="008075AB"/>
    <w:rsid w:val="00810034"/>
    <w:rsid w:val="00810607"/>
    <w:rsid w:val="00810AF3"/>
    <w:rsid w:val="00811195"/>
    <w:rsid w:val="008115BF"/>
    <w:rsid w:val="00811648"/>
    <w:rsid w:val="00811FDF"/>
    <w:rsid w:val="0081271C"/>
    <w:rsid w:val="00812D33"/>
    <w:rsid w:val="00813E5F"/>
    <w:rsid w:val="008149F5"/>
    <w:rsid w:val="008161DE"/>
    <w:rsid w:val="008166BC"/>
    <w:rsid w:val="00816BBA"/>
    <w:rsid w:val="0082027C"/>
    <w:rsid w:val="00820A4E"/>
    <w:rsid w:val="008215C5"/>
    <w:rsid w:val="00821BFC"/>
    <w:rsid w:val="00822A22"/>
    <w:rsid w:val="00823BFC"/>
    <w:rsid w:val="00824364"/>
    <w:rsid w:val="008255F7"/>
    <w:rsid w:val="00825E50"/>
    <w:rsid w:val="008277E9"/>
    <w:rsid w:val="00830610"/>
    <w:rsid w:val="00830A03"/>
    <w:rsid w:val="00832649"/>
    <w:rsid w:val="008328BD"/>
    <w:rsid w:val="00832F33"/>
    <w:rsid w:val="00832FAF"/>
    <w:rsid w:val="008333EC"/>
    <w:rsid w:val="0083429C"/>
    <w:rsid w:val="0083469E"/>
    <w:rsid w:val="00835678"/>
    <w:rsid w:val="00835B4C"/>
    <w:rsid w:val="00835EBF"/>
    <w:rsid w:val="00844CA4"/>
    <w:rsid w:val="0084574F"/>
    <w:rsid w:val="00845E8A"/>
    <w:rsid w:val="00847743"/>
    <w:rsid w:val="00851088"/>
    <w:rsid w:val="00851E51"/>
    <w:rsid w:val="00853C75"/>
    <w:rsid w:val="0085663E"/>
    <w:rsid w:val="00856F5F"/>
    <w:rsid w:val="008571C1"/>
    <w:rsid w:val="00860476"/>
    <w:rsid w:val="008613D5"/>
    <w:rsid w:val="00861D1B"/>
    <w:rsid w:val="00862063"/>
    <w:rsid w:val="00862F01"/>
    <w:rsid w:val="008652FC"/>
    <w:rsid w:val="008658D1"/>
    <w:rsid w:val="008659CB"/>
    <w:rsid w:val="00865BF6"/>
    <w:rsid w:val="00870BE1"/>
    <w:rsid w:val="008715AF"/>
    <w:rsid w:val="00874885"/>
    <w:rsid w:val="00875819"/>
    <w:rsid w:val="0087585B"/>
    <w:rsid w:val="008759B9"/>
    <w:rsid w:val="00875D81"/>
    <w:rsid w:val="00876236"/>
    <w:rsid w:val="008765A0"/>
    <w:rsid w:val="00876C71"/>
    <w:rsid w:val="00880158"/>
    <w:rsid w:val="0088240B"/>
    <w:rsid w:val="008833C2"/>
    <w:rsid w:val="0088353F"/>
    <w:rsid w:val="008838CC"/>
    <w:rsid w:val="00884A07"/>
    <w:rsid w:val="0088660A"/>
    <w:rsid w:val="00887569"/>
    <w:rsid w:val="00890060"/>
    <w:rsid w:val="00890FB0"/>
    <w:rsid w:val="00892B55"/>
    <w:rsid w:val="0089353A"/>
    <w:rsid w:val="0089479E"/>
    <w:rsid w:val="0089514D"/>
    <w:rsid w:val="00896133"/>
    <w:rsid w:val="008965B6"/>
    <w:rsid w:val="00896FED"/>
    <w:rsid w:val="008A1050"/>
    <w:rsid w:val="008A1111"/>
    <w:rsid w:val="008A160B"/>
    <w:rsid w:val="008A166D"/>
    <w:rsid w:val="008A177A"/>
    <w:rsid w:val="008A37CC"/>
    <w:rsid w:val="008A5083"/>
    <w:rsid w:val="008A5660"/>
    <w:rsid w:val="008A56B1"/>
    <w:rsid w:val="008A6B4E"/>
    <w:rsid w:val="008B55D2"/>
    <w:rsid w:val="008B589E"/>
    <w:rsid w:val="008B630C"/>
    <w:rsid w:val="008C0F60"/>
    <w:rsid w:val="008C2784"/>
    <w:rsid w:val="008C372B"/>
    <w:rsid w:val="008C3894"/>
    <w:rsid w:val="008C40C4"/>
    <w:rsid w:val="008D1223"/>
    <w:rsid w:val="008D1275"/>
    <w:rsid w:val="008D3BFE"/>
    <w:rsid w:val="008D4A12"/>
    <w:rsid w:val="008D4BDD"/>
    <w:rsid w:val="008D52D3"/>
    <w:rsid w:val="008D618B"/>
    <w:rsid w:val="008E0B17"/>
    <w:rsid w:val="008E32FA"/>
    <w:rsid w:val="008E3508"/>
    <w:rsid w:val="008E48A4"/>
    <w:rsid w:val="008E4CDF"/>
    <w:rsid w:val="008E7493"/>
    <w:rsid w:val="008F0756"/>
    <w:rsid w:val="008F0A0A"/>
    <w:rsid w:val="008F10B3"/>
    <w:rsid w:val="008F1154"/>
    <w:rsid w:val="008F3450"/>
    <w:rsid w:val="008F44DD"/>
    <w:rsid w:val="008F4E49"/>
    <w:rsid w:val="008F6C62"/>
    <w:rsid w:val="00900A1A"/>
    <w:rsid w:val="00901D05"/>
    <w:rsid w:val="00903607"/>
    <w:rsid w:val="0090542D"/>
    <w:rsid w:val="00906C1C"/>
    <w:rsid w:val="009079C7"/>
    <w:rsid w:val="00910176"/>
    <w:rsid w:val="00910601"/>
    <w:rsid w:val="009109E1"/>
    <w:rsid w:val="00910D05"/>
    <w:rsid w:val="0091261A"/>
    <w:rsid w:val="00914521"/>
    <w:rsid w:val="009159A5"/>
    <w:rsid w:val="00920642"/>
    <w:rsid w:val="0092107F"/>
    <w:rsid w:val="00921FFD"/>
    <w:rsid w:val="0092214A"/>
    <w:rsid w:val="00923F82"/>
    <w:rsid w:val="00923FB1"/>
    <w:rsid w:val="0092522B"/>
    <w:rsid w:val="00925F78"/>
    <w:rsid w:val="00926B68"/>
    <w:rsid w:val="00927E78"/>
    <w:rsid w:val="00930158"/>
    <w:rsid w:val="009306B9"/>
    <w:rsid w:val="0093075E"/>
    <w:rsid w:val="009308D9"/>
    <w:rsid w:val="00932738"/>
    <w:rsid w:val="009335AD"/>
    <w:rsid w:val="00933643"/>
    <w:rsid w:val="0093436C"/>
    <w:rsid w:val="00934E0E"/>
    <w:rsid w:val="00934E9C"/>
    <w:rsid w:val="0093541A"/>
    <w:rsid w:val="00935AB0"/>
    <w:rsid w:val="0093710B"/>
    <w:rsid w:val="00937378"/>
    <w:rsid w:val="009373DF"/>
    <w:rsid w:val="0093755B"/>
    <w:rsid w:val="00937948"/>
    <w:rsid w:val="00940623"/>
    <w:rsid w:val="0094185B"/>
    <w:rsid w:val="00941934"/>
    <w:rsid w:val="00943DDB"/>
    <w:rsid w:val="00945F58"/>
    <w:rsid w:val="009461CC"/>
    <w:rsid w:val="00946F46"/>
    <w:rsid w:val="00950261"/>
    <w:rsid w:val="00950BC2"/>
    <w:rsid w:val="0095104E"/>
    <w:rsid w:val="00951F8A"/>
    <w:rsid w:val="00954446"/>
    <w:rsid w:val="0095477E"/>
    <w:rsid w:val="00954F09"/>
    <w:rsid w:val="0095520B"/>
    <w:rsid w:val="009556ED"/>
    <w:rsid w:val="009562F7"/>
    <w:rsid w:val="009601EB"/>
    <w:rsid w:val="009603EE"/>
    <w:rsid w:val="0096171F"/>
    <w:rsid w:val="00962919"/>
    <w:rsid w:val="00962978"/>
    <w:rsid w:val="00962AD2"/>
    <w:rsid w:val="00962B43"/>
    <w:rsid w:val="009632E7"/>
    <w:rsid w:val="00971B71"/>
    <w:rsid w:val="00972163"/>
    <w:rsid w:val="009722C9"/>
    <w:rsid w:val="0097436F"/>
    <w:rsid w:val="00974941"/>
    <w:rsid w:val="0097507B"/>
    <w:rsid w:val="00975BA1"/>
    <w:rsid w:val="00975C22"/>
    <w:rsid w:val="00976396"/>
    <w:rsid w:val="00977A53"/>
    <w:rsid w:val="00980398"/>
    <w:rsid w:val="009815A4"/>
    <w:rsid w:val="00981CA7"/>
    <w:rsid w:val="00982BBE"/>
    <w:rsid w:val="00983D6B"/>
    <w:rsid w:val="00983F3F"/>
    <w:rsid w:val="00984591"/>
    <w:rsid w:val="00985093"/>
    <w:rsid w:val="00987F76"/>
    <w:rsid w:val="00991C46"/>
    <w:rsid w:val="009926D7"/>
    <w:rsid w:val="009945DC"/>
    <w:rsid w:val="00997F48"/>
    <w:rsid w:val="009A00B8"/>
    <w:rsid w:val="009A2024"/>
    <w:rsid w:val="009A2B1D"/>
    <w:rsid w:val="009A3954"/>
    <w:rsid w:val="009A3A41"/>
    <w:rsid w:val="009A6C6F"/>
    <w:rsid w:val="009A71DD"/>
    <w:rsid w:val="009A7C65"/>
    <w:rsid w:val="009B162F"/>
    <w:rsid w:val="009B2174"/>
    <w:rsid w:val="009B362F"/>
    <w:rsid w:val="009B7C68"/>
    <w:rsid w:val="009C0521"/>
    <w:rsid w:val="009C0970"/>
    <w:rsid w:val="009C327C"/>
    <w:rsid w:val="009C3A92"/>
    <w:rsid w:val="009C4027"/>
    <w:rsid w:val="009C42C6"/>
    <w:rsid w:val="009C4D15"/>
    <w:rsid w:val="009C4FAD"/>
    <w:rsid w:val="009C503B"/>
    <w:rsid w:val="009C52CC"/>
    <w:rsid w:val="009C5559"/>
    <w:rsid w:val="009C58A2"/>
    <w:rsid w:val="009C6555"/>
    <w:rsid w:val="009C778D"/>
    <w:rsid w:val="009D02B5"/>
    <w:rsid w:val="009D12EF"/>
    <w:rsid w:val="009D23E4"/>
    <w:rsid w:val="009D38CF"/>
    <w:rsid w:val="009D3FCD"/>
    <w:rsid w:val="009D6AAD"/>
    <w:rsid w:val="009E270D"/>
    <w:rsid w:val="009E2E84"/>
    <w:rsid w:val="009E4C78"/>
    <w:rsid w:val="009E5875"/>
    <w:rsid w:val="009E5884"/>
    <w:rsid w:val="009E659D"/>
    <w:rsid w:val="009F0616"/>
    <w:rsid w:val="009F337F"/>
    <w:rsid w:val="009F417D"/>
    <w:rsid w:val="009F543B"/>
    <w:rsid w:val="009F6FB0"/>
    <w:rsid w:val="009F756D"/>
    <w:rsid w:val="009F7DBC"/>
    <w:rsid w:val="009F7DD3"/>
    <w:rsid w:val="00A00AFC"/>
    <w:rsid w:val="00A00CF8"/>
    <w:rsid w:val="00A019AE"/>
    <w:rsid w:val="00A033D7"/>
    <w:rsid w:val="00A045E5"/>
    <w:rsid w:val="00A05AC0"/>
    <w:rsid w:val="00A07BC8"/>
    <w:rsid w:val="00A07EB0"/>
    <w:rsid w:val="00A102CE"/>
    <w:rsid w:val="00A12CFE"/>
    <w:rsid w:val="00A139B9"/>
    <w:rsid w:val="00A13F8E"/>
    <w:rsid w:val="00A145D2"/>
    <w:rsid w:val="00A22EC6"/>
    <w:rsid w:val="00A23EA1"/>
    <w:rsid w:val="00A25AC1"/>
    <w:rsid w:val="00A30364"/>
    <w:rsid w:val="00A30984"/>
    <w:rsid w:val="00A31566"/>
    <w:rsid w:val="00A315DF"/>
    <w:rsid w:val="00A32549"/>
    <w:rsid w:val="00A35FB1"/>
    <w:rsid w:val="00A36146"/>
    <w:rsid w:val="00A36869"/>
    <w:rsid w:val="00A369C7"/>
    <w:rsid w:val="00A37C50"/>
    <w:rsid w:val="00A417FC"/>
    <w:rsid w:val="00A418A4"/>
    <w:rsid w:val="00A44748"/>
    <w:rsid w:val="00A44BEA"/>
    <w:rsid w:val="00A4573A"/>
    <w:rsid w:val="00A47C08"/>
    <w:rsid w:val="00A47CAC"/>
    <w:rsid w:val="00A508B5"/>
    <w:rsid w:val="00A50B9B"/>
    <w:rsid w:val="00A51718"/>
    <w:rsid w:val="00A54A4D"/>
    <w:rsid w:val="00A57A7B"/>
    <w:rsid w:val="00A57BE7"/>
    <w:rsid w:val="00A57D4D"/>
    <w:rsid w:val="00A6046A"/>
    <w:rsid w:val="00A61BB7"/>
    <w:rsid w:val="00A61F07"/>
    <w:rsid w:val="00A6208B"/>
    <w:rsid w:val="00A6332F"/>
    <w:rsid w:val="00A64CA3"/>
    <w:rsid w:val="00A64F1A"/>
    <w:rsid w:val="00A6594A"/>
    <w:rsid w:val="00A6600F"/>
    <w:rsid w:val="00A664B7"/>
    <w:rsid w:val="00A668CC"/>
    <w:rsid w:val="00A67D93"/>
    <w:rsid w:val="00A70D1D"/>
    <w:rsid w:val="00A73916"/>
    <w:rsid w:val="00A75115"/>
    <w:rsid w:val="00A7551A"/>
    <w:rsid w:val="00A75A43"/>
    <w:rsid w:val="00A75A5C"/>
    <w:rsid w:val="00A762D4"/>
    <w:rsid w:val="00A77640"/>
    <w:rsid w:val="00A80AFF"/>
    <w:rsid w:val="00A80BD7"/>
    <w:rsid w:val="00A83296"/>
    <w:rsid w:val="00A85D34"/>
    <w:rsid w:val="00A85E1D"/>
    <w:rsid w:val="00A86C31"/>
    <w:rsid w:val="00A87799"/>
    <w:rsid w:val="00A913FD"/>
    <w:rsid w:val="00A91F69"/>
    <w:rsid w:val="00A92F07"/>
    <w:rsid w:val="00A942A6"/>
    <w:rsid w:val="00A95D35"/>
    <w:rsid w:val="00A970AA"/>
    <w:rsid w:val="00AA1FCB"/>
    <w:rsid w:val="00AA352E"/>
    <w:rsid w:val="00AA433A"/>
    <w:rsid w:val="00AA5BCE"/>
    <w:rsid w:val="00AA72B1"/>
    <w:rsid w:val="00AB147E"/>
    <w:rsid w:val="00AB17B5"/>
    <w:rsid w:val="00AB3235"/>
    <w:rsid w:val="00AB4DAC"/>
    <w:rsid w:val="00AB5CBD"/>
    <w:rsid w:val="00AB7114"/>
    <w:rsid w:val="00AB7354"/>
    <w:rsid w:val="00AB7805"/>
    <w:rsid w:val="00AB7F07"/>
    <w:rsid w:val="00AC0181"/>
    <w:rsid w:val="00AC1A09"/>
    <w:rsid w:val="00AC2283"/>
    <w:rsid w:val="00AC6120"/>
    <w:rsid w:val="00AC6FE7"/>
    <w:rsid w:val="00AC71D8"/>
    <w:rsid w:val="00AD0301"/>
    <w:rsid w:val="00AD157D"/>
    <w:rsid w:val="00AD1C9C"/>
    <w:rsid w:val="00AD22F8"/>
    <w:rsid w:val="00AD2696"/>
    <w:rsid w:val="00AD297C"/>
    <w:rsid w:val="00AD29BB"/>
    <w:rsid w:val="00AD2A71"/>
    <w:rsid w:val="00AD35F6"/>
    <w:rsid w:val="00AD5558"/>
    <w:rsid w:val="00AD55F6"/>
    <w:rsid w:val="00AD5990"/>
    <w:rsid w:val="00AD6381"/>
    <w:rsid w:val="00AD67B1"/>
    <w:rsid w:val="00AD6D9A"/>
    <w:rsid w:val="00AE0BE5"/>
    <w:rsid w:val="00AE3307"/>
    <w:rsid w:val="00AE35DF"/>
    <w:rsid w:val="00AE3A9E"/>
    <w:rsid w:val="00AE3F64"/>
    <w:rsid w:val="00AE49ED"/>
    <w:rsid w:val="00AE5464"/>
    <w:rsid w:val="00AE6908"/>
    <w:rsid w:val="00AE7573"/>
    <w:rsid w:val="00AF07C5"/>
    <w:rsid w:val="00AF0E8B"/>
    <w:rsid w:val="00AF0F46"/>
    <w:rsid w:val="00AF1034"/>
    <w:rsid w:val="00AF105C"/>
    <w:rsid w:val="00AF1478"/>
    <w:rsid w:val="00AF1791"/>
    <w:rsid w:val="00AF1A71"/>
    <w:rsid w:val="00AF3E5C"/>
    <w:rsid w:val="00AF5188"/>
    <w:rsid w:val="00AF5906"/>
    <w:rsid w:val="00AF6158"/>
    <w:rsid w:val="00AF63BA"/>
    <w:rsid w:val="00AF6816"/>
    <w:rsid w:val="00AF7797"/>
    <w:rsid w:val="00AF7B22"/>
    <w:rsid w:val="00B000AE"/>
    <w:rsid w:val="00B008AE"/>
    <w:rsid w:val="00B00D1C"/>
    <w:rsid w:val="00B00F87"/>
    <w:rsid w:val="00B01432"/>
    <w:rsid w:val="00B04095"/>
    <w:rsid w:val="00B0623D"/>
    <w:rsid w:val="00B0659A"/>
    <w:rsid w:val="00B10465"/>
    <w:rsid w:val="00B11D6E"/>
    <w:rsid w:val="00B122E6"/>
    <w:rsid w:val="00B12529"/>
    <w:rsid w:val="00B1325D"/>
    <w:rsid w:val="00B1372D"/>
    <w:rsid w:val="00B144F9"/>
    <w:rsid w:val="00B162F1"/>
    <w:rsid w:val="00B16778"/>
    <w:rsid w:val="00B17211"/>
    <w:rsid w:val="00B20A70"/>
    <w:rsid w:val="00B20A98"/>
    <w:rsid w:val="00B215DE"/>
    <w:rsid w:val="00B2248E"/>
    <w:rsid w:val="00B22C15"/>
    <w:rsid w:val="00B2302F"/>
    <w:rsid w:val="00B2395C"/>
    <w:rsid w:val="00B24D51"/>
    <w:rsid w:val="00B27EA0"/>
    <w:rsid w:val="00B309C5"/>
    <w:rsid w:val="00B30C90"/>
    <w:rsid w:val="00B31600"/>
    <w:rsid w:val="00B31E57"/>
    <w:rsid w:val="00B32585"/>
    <w:rsid w:val="00B32C58"/>
    <w:rsid w:val="00B33F67"/>
    <w:rsid w:val="00B378BB"/>
    <w:rsid w:val="00B41264"/>
    <w:rsid w:val="00B4179A"/>
    <w:rsid w:val="00B41954"/>
    <w:rsid w:val="00B41C50"/>
    <w:rsid w:val="00B430E2"/>
    <w:rsid w:val="00B4402C"/>
    <w:rsid w:val="00B448AC"/>
    <w:rsid w:val="00B45E65"/>
    <w:rsid w:val="00B470F3"/>
    <w:rsid w:val="00B502CC"/>
    <w:rsid w:val="00B50BA6"/>
    <w:rsid w:val="00B519F1"/>
    <w:rsid w:val="00B53037"/>
    <w:rsid w:val="00B536C2"/>
    <w:rsid w:val="00B553D5"/>
    <w:rsid w:val="00B55B90"/>
    <w:rsid w:val="00B55C36"/>
    <w:rsid w:val="00B562FD"/>
    <w:rsid w:val="00B56F70"/>
    <w:rsid w:val="00B57793"/>
    <w:rsid w:val="00B603E9"/>
    <w:rsid w:val="00B60C5A"/>
    <w:rsid w:val="00B611DF"/>
    <w:rsid w:val="00B6136C"/>
    <w:rsid w:val="00B62EAA"/>
    <w:rsid w:val="00B632AD"/>
    <w:rsid w:val="00B660C2"/>
    <w:rsid w:val="00B66B66"/>
    <w:rsid w:val="00B66E74"/>
    <w:rsid w:val="00B67297"/>
    <w:rsid w:val="00B711CA"/>
    <w:rsid w:val="00B731C7"/>
    <w:rsid w:val="00B76C95"/>
    <w:rsid w:val="00B77545"/>
    <w:rsid w:val="00B777C6"/>
    <w:rsid w:val="00B80444"/>
    <w:rsid w:val="00B809FF"/>
    <w:rsid w:val="00B80CE3"/>
    <w:rsid w:val="00B83977"/>
    <w:rsid w:val="00B84184"/>
    <w:rsid w:val="00B869D0"/>
    <w:rsid w:val="00B87E5D"/>
    <w:rsid w:val="00B92C98"/>
    <w:rsid w:val="00B938A5"/>
    <w:rsid w:val="00B94A44"/>
    <w:rsid w:val="00B94F90"/>
    <w:rsid w:val="00B95AF1"/>
    <w:rsid w:val="00B960C7"/>
    <w:rsid w:val="00BA154C"/>
    <w:rsid w:val="00BA2790"/>
    <w:rsid w:val="00BA2B0C"/>
    <w:rsid w:val="00BA5C0B"/>
    <w:rsid w:val="00BA6B17"/>
    <w:rsid w:val="00BA7362"/>
    <w:rsid w:val="00BA7382"/>
    <w:rsid w:val="00BB0995"/>
    <w:rsid w:val="00BB143E"/>
    <w:rsid w:val="00BB2011"/>
    <w:rsid w:val="00BB20E6"/>
    <w:rsid w:val="00BB2FC8"/>
    <w:rsid w:val="00BB5C0B"/>
    <w:rsid w:val="00BB782F"/>
    <w:rsid w:val="00BC40C3"/>
    <w:rsid w:val="00BC4CAC"/>
    <w:rsid w:val="00BC51A1"/>
    <w:rsid w:val="00BC5483"/>
    <w:rsid w:val="00BC5610"/>
    <w:rsid w:val="00BC7273"/>
    <w:rsid w:val="00BC741F"/>
    <w:rsid w:val="00BC7E24"/>
    <w:rsid w:val="00BD07BC"/>
    <w:rsid w:val="00BD1541"/>
    <w:rsid w:val="00BD245D"/>
    <w:rsid w:val="00BD428E"/>
    <w:rsid w:val="00BD4485"/>
    <w:rsid w:val="00BD4986"/>
    <w:rsid w:val="00BD6D8E"/>
    <w:rsid w:val="00BD743F"/>
    <w:rsid w:val="00BE028A"/>
    <w:rsid w:val="00BE67B3"/>
    <w:rsid w:val="00BE6A9C"/>
    <w:rsid w:val="00BE7640"/>
    <w:rsid w:val="00BF2058"/>
    <w:rsid w:val="00BF21C5"/>
    <w:rsid w:val="00BF22C8"/>
    <w:rsid w:val="00BF2810"/>
    <w:rsid w:val="00BF4D5B"/>
    <w:rsid w:val="00BF5C81"/>
    <w:rsid w:val="00BF6671"/>
    <w:rsid w:val="00BF7897"/>
    <w:rsid w:val="00C012E9"/>
    <w:rsid w:val="00C01E70"/>
    <w:rsid w:val="00C030E5"/>
    <w:rsid w:val="00C0573D"/>
    <w:rsid w:val="00C058D3"/>
    <w:rsid w:val="00C06C0A"/>
    <w:rsid w:val="00C0737C"/>
    <w:rsid w:val="00C079F8"/>
    <w:rsid w:val="00C10763"/>
    <w:rsid w:val="00C11CC4"/>
    <w:rsid w:val="00C120BB"/>
    <w:rsid w:val="00C127B3"/>
    <w:rsid w:val="00C130D1"/>
    <w:rsid w:val="00C13461"/>
    <w:rsid w:val="00C1451E"/>
    <w:rsid w:val="00C150F4"/>
    <w:rsid w:val="00C15488"/>
    <w:rsid w:val="00C15B98"/>
    <w:rsid w:val="00C1688F"/>
    <w:rsid w:val="00C16C65"/>
    <w:rsid w:val="00C16CDF"/>
    <w:rsid w:val="00C176E8"/>
    <w:rsid w:val="00C20B7C"/>
    <w:rsid w:val="00C215E1"/>
    <w:rsid w:val="00C217C1"/>
    <w:rsid w:val="00C22279"/>
    <w:rsid w:val="00C22DC8"/>
    <w:rsid w:val="00C23317"/>
    <w:rsid w:val="00C23F0E"/>
    <w:rsid w:val="00C26336"/>
    <w:rsid w:val="00C27FE3"/>
    <w:rsid w:val="00C306A7"/>
    <w:rsid w:val="00C32FCC"/>
    <w:rsid w:val="00C364C7"/>
    <w:rsid w:val="00C370A2"/>
    <w:rsid w:val="00C411DC"/>
    <w:rsid w:val="00C41542"/>
    <w:rsid w:val="00C417E2"/>
    <w:rsid w:val="00C41A11"/>
    <w:rsid w:val="00C4401F"/>
    <w:rsid w:val="00C447D5"/>
    <w:rsid w:val="00C454E3"/>
    <w:rsid w:val="00C45835"/>
    <w:rsid w:val="00C5277C"/>
    <w:rsid w:val="00C52A28"/>
    <w:rsid w:val="00C5382F"/>
    <w:rsid w:val="00C55C5C"/>
    <w:rsid w:val="00C56991"/>
    <w:rsid w:val="00C61578"/>
    <w:rsid w:val="00C61870"/>
    <w:rsid w:val="00C61ADA"/>
    <w:rsid w:val="00C63440"/>
    <w:rsid w:val="00C63D0E"/>
    <w:rsid w:val="00C6515F"/>
    <w:rsid w:val="00C65BB3"/>
    <w:rsid w:val="00C666EF"/>
    <w:rsid w:val="00C67DEC"/>
    <w:rsid w:val="00C7029D"/>
    <w:rsid w:val="00C70382"/>
    <w:rsid w:val="00C7043F"/>
    <w:rsid w:val="00C70ACB"/>
    <w:rsid w:val="00C71800"/>
    <w:rsid w:val="00C71EC4"/>
    <w:rsid w:val="00C7305C"/>
    <w:rsid w:val="00C7334F"/>
    <w:rsid w:val="00C73873"/>
    <w:rsid w:val="00C7580B"/>
    <w:rsid w:val="00C802FD"/>
    <w:rsid w:val="00C80900"/>
    <w:rsid w:val="00C80C32"/>
    <w:rsid w:val="00C81367"/>
    <w:rsid w:val="00C816B6"/>
    <w:rsid w:val="00C8340F"/>
    <w:rsid w:val="00C86235"/>
    <w:rsid w:val="00C862C5"/>
    <w:rsid w:val="00C863B4"/>
    <w:rsid w:val="00C878FE"/>
    <w:rsid w:val="00C879E5"/>
    <w:rsid w:val="00C905C3"/>
    <w:rsid w:val="00C905CA"/>
    <w:rsid w:val="00C91119"/>
    <w:rsid w:val="00C92873"/>
    <w:rsid w:val="00CA0051"/>
    <w:rsid w:val="00CA12CC"/>
    <w:rsid w:val="00CA2D5D"/>
    <w:rsid w:val="00CA3395"/>
    <w:rsid w:val="00CA5E46"/>
    <w:rsid w:val="00CA6998"/>
    <w:rsid w:val="00CA6D1B"/>
    <w:rsid w:val="00CA6DA2"/>
    <w:rsid w:val="00CB0746"/>
    <w:rsid w:val="00CB3A22"/>
    <w:rsid w:val="00CB6B37"/>
    <w:rsid w:val="00CB7ED2"/>
    <w:rsid w:val="00CC01ED"/>
    <w:rsid w:val="00CC0A1A"/>
    <w:rsid w:val="00CC15A1"/>
    <w:rsid w:val="00CC2931"/>
    <w:rsid w:val="00CC2999"/>
    <w:rsid w:val="00CC3C0D"/>
    <w:rsid w:val="00CC4A26"/>
    <w:rsid w:val="00CC5003"/>
    <w:rsid w:val="00CC544B"/>
    <w:rsid w:val="00CC567B"/>
    <w:rsid w:val="00CC5AFC"/>
    <w:rsid w:val="00CC68CA"/>
    <w:rsid w:val="00CD01DC"/>
    <w:rsid w:val="00CD06F0"/>
    <w:rsid w:val="00CD0845"/>
    <w:rsid w:val="00CD0A23"/>
    <w:rsid w:val="00CD29A4"/>
    <w:rsid w:val="00CD3691"/>
    <w:rsid w:val="00CD43FC"/>
    <w:rsid w:val="00CD4747"/>
    <w:rsid w:val="00CD493B"/>
    <w:rsid w:val="00CD49A0"/>
    <w:rsid w:val="00CD77E6"/>
    <w:rsid w:val="00CD78A9"/>
    <w:rsid w:val="00CE0530"/>
    <w:rsid w:val="00CE0EC7"/>
    <w:rsid w:val="00CE298E"/>
    <w:rsid w:val="00CE367B"/>
    <w:rsid w:val="00CE4EE7"/>
    <w:rsid w:val="00CE6AA4"/>
    <w:rsid w:val="00CE6DE4"/>
    <w:rsid w:val="00CE78EA"/>
    <w:rsid w:val="00CF03A8"/>
    <w:rsid w:val="00CF0796"/>
    <w:rsid w:val="00CF2E18"/>
    <w:rsid w:val="00CF4016"/>
    <w:rsid w:val="00CF4B4E"/>
    <w:rsid w:val="00CF6BF2"/>
    <w:rsid w:val="00D01486"/>
    <w:rsid w:val="00D0229A"/>
    <w:rsid w:val="00D025A7"/>
    <w:rsid w:val="00D03E8D"/>
    <w:rsid w:val="00D03F79"/>
    <w:rsid w:val="00D04196"/>
    <w:rsid w:val="00D04677"/>
    <w:rsid w:val="00D05580"/>
    <w:rsid w:val="00D06BE7"/>
    <w:rsid w:val="00D06C07"/>
    <w:rsid w:val="00D06D42"/>
    <w:rsid w:val="00D1027F"/>
    <w:rsid w:val="00D114FC"/>
    <w:rsid w:val="00D1466A"/>
    <w:rsid w:val="00D15665"/>
    <w:rsid w:val="00D16BA6"/>
    <w:rsid w:val="00D16E53"/>
    <w:rsid w:val="00D204A6"/>
    <w:rsid w:val="00D2211C"/>
    <w:rsid w:val="00D23D19"/>
    <w:rsid w:val="00D241B9"/>
    <w:rsid w:val="00D25E30"/>
    <w:rsid w:val="00D27C3A"/>
    <w:rsid w:val="00D27D2B"/>
    <w:rsid w:val="00D27F21"/>
    <w:rsid w:val="00D3249E"/>
    <w:rsid w:val="00D326C6"/>
    <w:rsid w:val="00D35E73"/>
    <w:rsid w:val="00D363F5"/>
    <w:rsid w:val="00D4047F"/>
    <w:rsid w:val="00D40EE0"/>
    <w:rsid w:val="00D41C33"/>
    <w:rsid w:val="00D432F3"/>
    <w:rsid w:val="00D43EEE"/>
    <w:rsid w:val="00D445CC"/>
    <w:rsid w:val="00D44D4A"/>
    <w:rsid w:val="00D51476"/>
    <w:rsid w:val="00D547D3"/>
    <w:rsid w:val="00D54847"/>
    <w:rsid w:val="00D54A89"/>
    <w:rsid w:val="00D6002D"/>
    <w:rsid w:val="00D60A0A"/>
    <w:rsid w:val="00D61BF6"/>
    <w:rsid w:val="00D627DF"/>
    <w:rsid w:val="00D62C60"/>
    <w:rsid w:val="00D6489F"/>
    <w:rsid w:val="00D6603A"/>
    <w:rsid w:val="00D67069"/>
    <w:rsid w:val="00D6709A"/>
    <w:rsid w:val="00D6757D"/>
    <w:rsid w:val="00D70277"/>
    <w:rsid w:val="00D7090A"/>
    <w:rsid w:val="00D713D9"/>
    <w:rsid w:val="00D72499"/>
    <w:rsid w:val="00D7479F"/>
    <w:rsid w:val="00D75E4D"/>
    <w:rsid w:val="00D770A5"/>
    <w:rsid w:val="00D77A48"/>
    <w:rsid w:val="00D8039A"/>
    <w:rsid w:val="00D8043F"/>
    <w:rsid w:val="00D82060"/>
    <w:rsid w:val="00D826BC"/>
    <w:rsid w:val="00D85A2A"/>
    <w:rsid w:val="00D8633B"/>
    <w:rsid w:val="00D8702B"/>
    <w:rsid w:val="00D906D1"/>
    <w:rsid w:val="00D91695"/>
    <w:rsid w:val="00D94163"/>
    <w:rsid w:val="00D94734"/>
    <w:rsid w:val="00D95CC6"/>
    <w:rsid w:val="00D97CB0"/>
    <w:rsid w:val="00DA0D60"/>
    <w:rsid w:val="00DA3445"/>
    <w:rsid w:val="00DA754B"/>
    <w:rsid w:val="00DB00E5"/>
    <w:rsid w:val="00DB104A"/>
    <w:rsid w:val="00DB1679"/>
    <w:rsid w:val="00DB197D"/>
    <w:rsid w:val="00DB24C4"/>
    <w:rsid w:val="00DB31B5"/>
    <w:rsid w:val="00DB3E55"/>
    <w:rsid w:val="00DB3FDF"/>
    <w:rsid w:val="00DB5260"/>
    <w:rsid w:val="00DB6127"/>
    <w:rsid w:val="00DB6C03"/>
    <w:rsid w:val="00DB75E4"/>
    <w:rsid w:val="00DC0877"/>
    <w:rsid w:val="00DC152E"/>
    <w:rsid w:val="00DC171E"/>
    <w:rsid w:val="00DC1A58"/>
    <w:rsid w:val="00DC2444"/>
    <w:rsid w:val="00DC295D"/>
    <w:rsid w:val="00DC351C"/>
    <w:rsid w:val="00DC40A0"/>
    <w:rsid w:val="00DC44B1"/>
    <w:rsid w:val="00DC5D13"/>
    <w:rsid w:val="00DC5DF3"/>
    <w:rsid w:val="00DC7302"/>
    <w:rsid w:val="00DC78A4"/>
    <w:rsid w:val="00DD4128"/>
    <w:rsid w:val="00DD454D"/>
    <w:rsid w:val="00DD6B09"/>
    <w:rsid w:val="00DD73D8"/>
    <w:rsid w:val="00DD7FB7"/>
    <w:rsid w:val="00DE251E"/>
    <w:rsid w:val="00DE27B1"/>
    <w:rsid w:val="00DE3439"/>
    <w:rsid w:val="00DE37A4"/>
    <w:rsid w:val="00DE3A5B"/>
    <w:rsid w:val="00DE3B39"/>
    <w:rsid w:val="00DE4246"/>
    <w:rsid w:val="00DE4D09"/>
    <w:rsid w:val="00DE77DD"/>
    <w:rsid w:val="00DE7B1D"/>
    <w:rsid w:val="00DE7C4B"/>
    <w:rsid w:val="00DE7D0D"/>
    <w:rsid w:val="00DF08C2"/>
    <w:rsid w:val="00DF1D5B"/>
    <w:rsid w:val="00DF1D70"/>
    <w:rsid w:val="00DF215E"/>
    <w:rsid w:val="00DF32E3"/>
    <w:rsid w:val="00DF3F7F"/>
    <w:rsid w:val="00DF4B51"/>
    <w:rsid w:val="00DF4DEA"/>
    <w:rsid w:val="00DF5D66"/>
    <w:rsid w:val="00DF63DF"/>
    <w:rsid w:val="00DF673B"/>
    <w:rsid w:val="00DF6879"/>
    <w:rsid w:val="00DF7336"/>
    <w:rsid w:val="00DF7782"/>
    <w:rsid w:val="00E00A3D"/>
    <w:rsid w:val="00E00C1F"/>
    <w:rsid w:val="00E03080"/>
    <w:rsid w:val="00E0328A"/>
    <w:rsid w:val="00E039B6"/>
    <w:rsid w:val="00E0445C"/>
    <w:rsid w:val="00E04B45"/>
    <w:rsid w:val="00E06242"/>
    <w:rsid w:val="00E06BA9"/>
    <w:rsid w:val="00E07986"/>
    <w:rsid w:val="00E126FD"/>
    <w:rsid w:val="00E152CF"/>
    <w:rsid w:val="00E1684A"/>
    <w:rsid w:val="00E17DD1"/>
    <w:rsid w:val="00E2030E"/>
    <w:rsid w:val="00E22F31"/>
    <w:rsid w:val="00E24594"/>
    <w:rsid w:val="00E258A9"/>
    <w:rsid w:val="00E25A4C"/>
    <w:rsid w:val="00E2714E"/>
    <w:rsid w:val="00E2770A"/>
    <w:rsid w:val="00E27FAA"/>
    <w:rsid w:val="00E30954"/>
    <w:rsid w:val="00E31FC8"/>
    <w:rsid w:val="00E3355F"/>
    <w:rsid w:val="00E34074"/>
    <w:rsid w:val="00E40992"/>
    <w:rsid w:val="00E41561"/>
    <w:rsid w:val="00E437F1"/>
    <w:rsid w:val="00E44E9A"/>
    <w:rsid w:val="00E452D1"/>
    <w:rsid w:val="00E52A4D"/>
    <w:rsid w:val="00E52ACB"/>
    <w:rsid w:val="00E53D30"/>
    <w:rsid w:val="00E5487C"/>
    <w:rsid w:val="00E54B00"/>
    <w:rsid w:val="00E56CBE"/>
    <w:rsid w:val="00E56D1E"/>
    <w:rsid w:val="00E570C6"/>
    <w:rsid w:val="00E573A3"/>
    <w:rsid w:val="00E57F29"/>
    <w:rsid w:val="00E606C1"/>
    <w:rsid w:val="00E64A7B"/>
    <w:rsid w:val="00E65253"/>
    <w:rsid w:val="00E653EC"/>
    <w:rsid w:val="00E65FFE"/>
    <w:rsid w:val="00E6739E"/>
    <w:rsid w:val="00E71818"/>
    <w:rsid w:val="00E72E1E"/>
    <w:rsid w:val="00E73EF7"/>
    <w:rsid w:val="00E742E7"/>
    <w:rsid w:val="00E76CAF"/>
    <w:rsid w:val="00E76E54"/>
    <w:rsid w:val="00E822A2"/>
    <w:rsid w:val="00E82E03"/>
    <w:rsid w:val="00E83728"/>
    <w:rsid w:val="00E83CEE"/>
    <w:rsid w:val="00E8464C"/>
    <w:rsid w:val="00E84E98"/>
    <w:rsid w:val="00E866E8"/>
    <w:rsid w:val="00E914E9"/>
    <w:rsid w:val="00E917FA"/>
    <w:rsid w:val="00E91CF0"/>
    <w:rsid w:val="00E91ECC"/>
    <w:rsid w:val="00E92041"/>
    <w:rsid w:val="00E930A4"/>
    <w:rsid w:val="00E9382A"/>
    <w:rsid w:val="00E94102"/>
    <w:rsid w:val="00E94776"/>
    <w:rsid w:val="00E94C5B"/>
    <w:rsid w:val="00E965AE"/>
    <w:rsid w:val="00E9690E"/>
    <w:rsid w:val="00E96A51"/>
    <w:rsid w:val="00E96B67"/>
    <w:rsid w:val="00EA035A"/>
    <w:rsid w:val="00EA05A4"/>
    <w:rsid w:val="00EA0E2C"/>
    <w:rsid w:val="00EA17C7"/>
    <w:rsid w:val="00EA1C5C"/>
    <w:rsid w:val="00EA26A4"/>
    <w:rsid w:val="00EA29A7"/>
    <w:rsid w:val="00EA47DD"/>
    <w:rsid w:val="00EA5C44"/>
    <w:rsid w:val="00EB010E"/>
    <w:rsid w:val="00EB0D39"/>
    <w:rsid w:val="00EB1297"/>
    <w:rsid w:val="00EB3014"/>
    <w:rsid w:val="00EB347E"/>
    <w:rsid w:val="00EB4811"/>
    <w:rsid w:val="00EB4BF2"/>
    <w:rsid w:val="00EB4D35"/>
    <w:rsid w:val="00EB50EF"/>
    <w:rsid w:val="00EB510E"/>
    <w:rsid w:val="00EB58BA"/>
    <w:rsid w:val="00EB61DA"/>
    <w:rsid w:val="00EB6B04"/>
    <w:rsid w:val="00EB7E79"/>
    <w:rsid w:val="00EC13C9"/>
    <w:rsid w:val="00EC39AA"/>
    <w:rsid w:val="00EC4C27"/>
    <w:rsid w:val="00EC5C24"/>
    <w:rsid w:val="00EC7644"/>
    <w:rsid w:val="00EC7E3D"/>
    <w:rsid w:val="00ED04DF"/>
    <w:rsid w:val="00ED1E8B"/>
    <w:rsid w:val="00ED2883"/>
    <w:rsid w:val="00ED3B60"/>
    <w:rsid w:val="00ED3DFF"/>
    <w:rsid w:val="00ED52FE"/>
    <w:rsid w:val="00ED5E78"/>
    <w:rsid w:val="00ED6077"/>
    <w:rsid w:val="00ED77B9"/>
    <w:rsid w:val="00EE0794"/>
    <w:rsid w:val="00EE177C"/>
    <w:rsid w:val="00EE1CC3"/>
    <w:rsid w:val="00EE24D8"/>
    <w:rsid w:val="00EE31AB"/>
    <w:rsid w:val="00EE3E9A"/>
    <w:rsid w:val="00EE4527"/>
    <w:rsid w:val="00EE4F95"/>
    <w:rsid w:val="00EE5794"/>
    <w:rsid w:val="00EE57AC"/>
    <w:rsid w:val="00EE5CE4"/>
    <w:rsid w:val="00EF0008"/>
    <w:rsid w:val="00EF0F62"/>
    <w:rsid w:val="00EF14CF"/>
    <w:rsid w:val="00EF1EE3"/>
    <w:rsid w:val="00EF2286"/>
    <w:rsid w:val="00EF2325"/>
    <w:rsid w:val="00EF2532"/>
    <w:rsid w:val="00EF25C2"/>
    <w:rsid w:val="00EF3436"/>
    <w:rsid w:val="00EF459C"/>
    <w:rsid w:val="00EF701A"/>
    <w:rsid w:val="00EF74F1"/>
    <w:rsid w:val="00EF773D"/>
    <w:rsid w:val="00EF7A94"/>
    <w:rsid w:val="00F01B4B"/>
    <w:rsid w:val="00F01C75"/>
    <w:rsid w:val="00F02606"/>
    <w:rsid w:val="00F02920"/>
    <w:rsid w:val="00F02CD6"/>
    <w:rsid w:val="00F02DB9"/>
    <w:rsid w:val="00F030FF"/>
    <w:rsid w:val="00F036B0"/>
    <w:rsid w:val="00F05934"/>
    <w:rsid w:val="00F075F5"/>
    <w:rsid w:val="00F07F3C"/>
    <w:rsid w:val="00F13D5D"/>
    <w:rsid w:val="00F17075"/>
    <w:rsid w:val="00F200D4"/>
    <w:rsid w:val="00F23BE3"/>
    <w:rsid w:val="00F30157"/>
    <w:rsid w:val="00F32B4B"/>
    <w:rsid w:val="00F34FC7"/>
    <w:rsid w:val="00F3533A"/>
    <w:rsid w:val="00F35481"/>
    <w:rsid w:val="00F36359"/>
    <w:rsid w:val="00F37C19"/>
    <w:rsid w:val="00F402B7"/>
    <w:rsid w:val="00F410B3"/>
    <w:rsid w:val="00F42F5A"/>
    <w:rsid w:val="00F439D9"/>
    <w:rsid w:val="00F44303"/>
    <w:rsid w:val="00F44DA7"/>
    <w:rsid w:val="00F45041"/>
    <w:rsid w:val="00F4529A"/>
    <w:rsid w:val="00F47641"/>
    <w:rsid w:val="00F50D5A"/>
    <w:rsid w:val="00F50E94"/>
    <w:rsid w:val="00F51EB7"/>
    <w:rsid w:val="00F523EA"/>
    <w:rsid w:val="00F52C89"/>
    <w:rsid w:val="00F53E5B"/>
    <w:rsid w:val="00F53EC1"/>
    <w:rsid w:val="00F60E4B"/>
    <w:rsid w:val="00F62A61"/>
    <w:rsid w:val="00F633BF"/>
    <w:rsid w:val="00F64C9D"/>
    <w:rsid w:val="00F66153"/>
    <w:rsid w:val="00F66AF3"/>
    <w:rsid w:val="00F66FC8"/>
    <w:rsid w:val="00F700AA"/>
    <w:rsid w:val="00F70306"/>
    <w:rsid w:val="00F707F6"/>
    <w:rsid w:val="00F70B30"/>
    <w:rsid w:val="00F70D3B"/>
    <w:rsid w:val="00F715BC"/>
    <w:rsid w:val="00F71C31"/>
    <w:rsid w:val="00F72878"/>
    <w:rsid w:val="00F72FA2"/>
    <w:rsid w:val="00F73F87"/>
    <w:rsid w:val="00F7444E"/>
    <w:rsid w:val="00F74FDF"/>
    <w:rsid w:val="00F759B6"/>
    <w:rsid w:val="00F7767D"/>
    <w:rsid w:val="00F77DA8"/>
    <w:rsid w:val="00F80C1B"/>
    <w:rsid w:val="00F80F6E"/>
    <w:rsid w:val="00F81232"/>
    <w:rsid w:val="00F82C30"/>
    <w:rsid w:val="00F82E4D"/>
    <w:rsid w:val="00F832F8"/>
    <w:rsid w:val="00F84E6C"/>
    <w:rsid w:val="00F867C1"/>
    <w:rsid w:val="00F86AD7"/>
    <w:rsid w:val="00F876B7"/>
    <w:rsid w:val="00F9044A"/>
    <w:rsid w:val="00F9054F"/>
    <w:rsid w:val="00F95B30"/>
    <w:rsid w:val="00F96DC7"/>
    <w:rsid w:val="00F97A03"/>
    <w:rsid w:val="00FA0F5D"/>
    <w:rsid w:val="00FA1F69"/>
    <w:rsid w:val="00FA2F76"/>
    <w:rsid w:val="00FA534D"/>
    <w:rsid w:val="00FA7E3B"/>
    <w:rsid w:val="00FB0642"/>
    <w:rsid w:val="00FB12F7"/>
    <w:rsid w:val="00FB1B14"/>
    <w:rsid w:val="00FB25E7"/>
    <w:rsid w:val="00FB2B46"/>
    <w:rsid w:val="00FB47B0"/>
    <w:rsid w:val="00FB532C"/>
    <w:rsid w:val="00FB6A2C"/>
    <w:rsid w:val="00FC0459"/>
    <w:rsid w:val="00FC1D99"/>
    <w:rsid w:val="00FC4436"/>
    <w:rsid w:val="00FC4938"/>
    <w:rsid w:val="00FC5174"/>
    <w:rsid w:val="00FC5AAF"/>
    <w:rsid w:val="00FC5BFD"/>
    <w:rsid w:val="00FC6C81"/>
    <w:rsid w:val="00FC6E86"/>
    <w:rsid w:val="00FC6FDE"/>
    <w:rsid w:val="00FC7516"/>
    <w:rsid w:val="00FD041A"/>
    <w:rsid w:val="00FD15EA"/>
    <w:rsid w:val="00FD2FD7"/>
    <w:rsid w:val="00FD4DEB"/>
    <w:rsid w:val="00FD6C57"/>
    <w:rsid w:val="00FD6E95"/>
    <w:rsid w:val="00FD739A"/>
    <w:rsid w:val="00FD75EA"/>
    <w:rsid w:val="00FD76A4"/>
    <w:rsid w:val="00FE3C9D"/>
    <w:rsid w:val="00FE42FE"/>
    <w:rsid w:val="00FE4387"/>
    <w:rsid w:val="00FE4B43"/>
    <w:rsid w:val="00FE5CF4"/>
    <w:rsid w:val="00FE77C4"/>
    <w:rsid w:val="00FE7E07"/>
    <w:rsid w:val="00FF095C"/>
    <w:rsid w:val="00FF0983"/>
    <w:rsid w:val="00FF27D5"/>
    <w:rsid w:val="00FF2B4F"/>
    <w:rsid w:val="00FF2B89"/>
    <w:rsid w:val="00FF46BD"/>
    <w:rsid w:val="00FF5724"/>
    <w:rsid w:val="00FF7E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style="mso-position-horizontal-relative:page;mso-position-vertical-relative:page" fill="f" fillcolor="blue" strokecolor="blue">
      <v:fill color="blue" on="f"/>
      <v:stroke color="blue"/>
      <o:colormru v:ext="edit" colors="#d7e4f0,#7494c3,#003765"/>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header" w:uiPriority="99"/>
    <w:lsdException w:name="footer" w:uiPriority="99"/>
    <w:lsdException w:name="caption" w:qFormat="1"/>
    <w:lsdException w:name="table of figures"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10C0"/>
    <w:pPr>
      <w:widowControl w:val="0"/>
      <w:jc w:val="both"/>
    </w:pPr>
    <w:rPr>
      <w:rFonts w:ascii="Arial" w:eastAsia="楷体_GB2312" w:hAnsi="Arial"/>
      <w:kern w:val="2"/>
      <w:sz w:val="18"/>
      <w:szCs w:val="22"/>
    </w:rPr>
  </w:style>
  <w:style w:type="paragraph" w:styleId="1">
    <w:name w:val="heading 1"/>
    <w:basedOn w:val="a"/>
    <w:next w:val="a"/>
    <w:qFormat/>
    <w:rsid w:val="00BB0995"/>
    <w:pPr>
      <w:keepNext/>
      <w:outlineLvl w:val="0"/>
    </w:pPr>
    <w:rPr>
      <w:b/>
      <w:bCs/>
    </w:rPr>
  </w:style>
  <w:style w:type="paragraph" w:styleId="2">
    <w:name w:val="heading 2"/>
    <w:basedOn w:val="a"/>
    <w:next w:val="a"/>
    <w:qFormat/>
    <w:rsid w:val="00BB0995"/>
    <w:pPr>
      <w:keepNext/>
      <w:spacing w:after="120"/>
      <w:ind w:left="2552"/>
      <w:outlineLvl w:val="1"/>
    </w:pPr>
    <w:rPr>
      <w:b/>
      <w:bCs/>
      <w:sz w:val="24"/>
      <w:szCs w:val="24"/>
    </w:rPr>
  </w:style>
  <w:style w:type="paragraph" w:styleId="3">
    <w:name w:val="heading 3"/>
    <w:basedOn w:val="a"/>
    <w:next w:val="a0"/>
    <w:qFormat/>
    <w:rsid w:val="00BB0995"/>
    <w:pPr>
      <w:spacing w:before="120" w:after="120"/>
      <w:ind w:left="2552"/>
      <w:outlineLvl w:val="2"/>
    </w:pPr>
    <w:rPr>
      <w:b/>
      <w:bCs/>
      <w:color w:val="0000FF"/>
    </w:rPr>
  </w:style>
  <w:style w:type="paragraph" w:styleId="4">
    <w:name w:val="heading 4"/>
    <w:basedOn w:val="a"/>
    <w:next w:val="a0"/>
    <w:qFormat/>
    <w:rsid w:val="00BB0995"/>
    <w:pPr>
      <w:keepNext/>
      <w:spacing w:before="120"/>
      <w:ind w:left="2552"/>
      <w:outlineLvl w:val="3"/>
    </w:pPr>
    <w:rPr>
      <w:b/>
      <w:bCs/>
      <w:szCs w:val="18"/>
    </w:rPr>
  </w:style>
  <w:style w:type="paragraph" w:styleId="5">
    <w:name w:val="heading 5"/>
    <w:basedOn w:val="a"/>
    <w:next w:val="a"/>
    <w:qFormat/>
    <w:rsid w:val="00BB0995"/>
    <w:pPr>
      <w:keepNext/>
      <w:framePr w:hSpace="180" w:wrap="auto" w:vAnchor="text" w:hAnchor="page" w:x="1182" w:y="2599"/>
      <w:spacing w:before="40" w:after="200"/>
      <w:outlineLvl w:val="4"/>
    </w:pPr>
    <w:rPr>
      <w:i/>
      <w:iCs/>
      <w:sz w:val="16"/>
      <w:szCs w:val="16"/>
    </w:rPr>
  </w:style>
  <w:style w:type="paragraph" w:styleId="6">
    <w:name w:val="heading 6"/>
    <w:basedOn w:val="a"/>
    <w:next w:val="a"/>
    <w:qFormat/>
    <w:rsid w:val="00BB0995"/>
    <w:pPr>
      <w:keepNext/>
      <w:ind w:left="112"/>
      <w:outlineLvl w:val="5"/>
    </w:pPr>
    <w:rPr>
      <w:b/>
      <w:bCs/>
      <w:color w:val="000000"/>
      <w:sz w:val="16"/>
      <w:szCs w:val="16"/>
      <w:lang w:val="en-AU"/>
    </w:rPr>
  </w:style>
  <w:style w:type="paragraph" w:styleId="7">
    <w:name w:val="heading 7"/>
    <w:basedOn w:val="a"/>
    <w:next w:val="a"/>
    <w:qFormat/>
    <w:rsid w:val="00BB0995"/>
    <w:pPr>
      <w:keepNext/>
      <w:outlineLvl w:val="6"/>
    </w:pPr>
    <w:rPr>
      <w:b/>
      <w:bCs/>
      <w:color w:val="000000"/>
      <w:sz w:val="15"/>
      <w:szCs w:val="15"/>
      <w:lang w:val="en-AU"/>
    </w:rPr>
  </w:style>
  <w:style w:type="paragraph" w:styleId="8">
    <w:name w:val="heading 8"/>
    <w:basedOn w:val="a"/>
    <w:next w:val="a"/>
    <w:qFormat/>
    <w:rsid w:val="00BB0995"/>
    <w:pPr>
      <w:keepNext/>
      <w:spacing w:before="80" w:after="40"/>
      <w:ind w:left="86"/>
      <w:jc w:val="left"/>
      <w:outlineLvl w:val="7"/>
    </w:pPr>
    <w:rPr>
      <w:b/>
      <w:bCs/>
      <w:color w:val="000000"/>
      <w:sz w:val="16"/>
      <w:szCs w:val="16"/>
      <w:lang w:val="en-AU"/>
    </w:rPr>
  </w:style>
  <w:style w:type="paragraph" w:styleId="9">
    <w:name w:val="heading 9"/>
    <w:basedOn w:val="a"/>
    <w:next w:val="a"/>
    <w:qFormat/>
    <w:rsid w:val="00BB0995"/>
    <w:pPr>
      <w:keepNext/>
      <w:outlineLvl w:val="8"/>
    </w:pPr>
    <w:rPr>
      <w:rFonts w:ascii="Lucida Sans" w:hAnsi="Lucida Sans"/>
      <w:b/>
      <w:bCs/>
      <w:color w:val="000000"/>
      <w:sz w:val="14"/>
      <w:szCs w:val="1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rsid w:val="00BB0995"/>
    <w:pPr>
      <w:spacing w:after="120" w:line="240" w:lineRule="exact"/>
      <w:ind w:left="3402"/>
    </w:pPr>
    <w:rPr>
      <w:color w:val="000000"/>
      <w:sz w:val="21"/>
    </w:rPr>
  </w:style>
  <w:style w:type="paragraph" w:customStyle="1" w:styleId="Contact">
    <w:name w:val="Contact"/>
    <w:basedOn w:val="a"/>
    <w:rsid w:val="00BB0995"/>
    <w:pPr>
      <w:framePr w:w="2285" w:h="289" w:hSpace="210" w:wrap="auto" w:vAnchor="page" w:hAnchor="page" w:x="901" w:y="3571" w:anchorLock="1"/>
    </w:pPr>
    <w:rPr>
      <w:color w:val="000000"/>
      <w:sz w:val="16"/>
      <w:szCs w:val="16"/>
    </w:rPr>
  </w:style>
  <w:style w:type="paragraph" w:styleId="a4">
    <w:name w:val="footer"/>
    <w:basedOn w:val="a"/>
    <w:link w:val="Char0"/>
    <w:uiPriority w:val="99"/>
    <w:unhideWhenUsed/>
    <w:rsid w:val="003210C0"/>
    <w:pPr>
      <w:tabs>
        <w:tab w:val="center" w:pos="4153"/>
        <w:tab w:val="right" w:pos="8306"/>
      </w:tabs>
      <w:snapToGrid w:val="0"/>
      <w:jc w:val="left"/>
    </w:pPr>
    <w:rPr>
      <w:szCs w:val="18"/>
    </w:rPr>
  </w:style>
  <w:style w:type="paragraph" w:customStyle="1" w:styleId="FootnoteNoline">
    <w:name w:val="FootnoteNoline"/>
    <w:basedOn w:val="a"/>
    <w:next w:val="a0"/>
    <w:rsid w:val="00D85A2A"/>
    <w:pPr>
      <w:tabs>
        <w:tab w:val="right" w:pos="10065"/>
      </w:tabs>
      <w:spacing w:before="40" w:after="160"/>
      <w:ind w:left="3402"/>
    </w:pPr>
    <w:rPr>
      <w:rFonts w:cs="Arial"/>
      <w:color w:val="000000"/>
      <w:sz w:val="15"/>
      <w:szCs w:val="14"/>
    </w:rPr>
  </w:style>
  <w:style w:type="paragraph" w:customStyle="1" w:styleId="Table">
    <w:name w:val="Table"/>
    <w:basedOn w:val="a"/>
    <w:rsid w:val="00BB0995"/>
    <w:pPr>
      <w:spacing w:before="20" w:after="20"/>
      <w:jc w:val="right"/>
    </w:pPr>
    <w:rPr>
      <w:rFonts w:cs="Arial"/>
      <w:color w:val="000000"/>
      <w:szCs w:val="16"/>
    </w:rPr>
  </w:style>
  <w:style w:type="paragraph" w:customStyle="1" w:styleId="Headline">
    <w:name w:val="Headline"/>
    <w:next w:val="a"/>
    <w:rsid w:val="00BB0995"/>
    <w:pPr>
      <w:spacing w:line="1200" w:lineRule="exact"/>
      <w:ind w:left="-56"/>
      <w:jc w:val="both"/>
    </w:pPr>
    <w:rPr>
      <w:rFonts w:ascii="LucidaT" w:hAnsi="LucidaT"/>
      <w:color w:val="000000"/>
      <w:position w:val="6"/>
      <w:sz w:val="120"/>
      <w:szCs w:val="120"/>
      <w:lang w:val="en-GB"/>
    </w:rPr>
  </w:style>
  <w:style w:type="paragraph" w:customStyle="1" w:styleId="Disclaimer">
    <w:name w:val="Disclaimer"/>
    <w:basedOn w:val="a"/>
    <w:rsid w:val="00BB0995"/>
    <w:pPr>
      <w:pBdr>
        <w:top w:val="single" w:sz="6" w:space="3" w:color="FF0000"/>
      </w:pBdr>
      <w:spacing w:before="60"/>
    </w:pPr>
    <w:rPr>
      <w:sz w:val="12"/>
      <w:szCs w:val="12"/>
    </w:rPr>
  </w:style>
  <w:style w:type="paragraph" w:customStyle="1" w:styleId="Disclaimer1">
    <w:name w:val="Disclaimer1"/>
    <w:basedOn w:val="Disclaimer"/>
    <w:rsid w:val="00BB0995"/>
    <w:pPr>
      <w:pBdr>
        <w:top w:val="single" w:sz="6" w:space="2" w:color="auto"/>
        <w:bottom w:val="single" w:sz="6" w:space="2" w:color="auto"/>
      </w:pBdr>
      <w:ind w:right="-1"/>
    </w:pPr>
  </w:style>
  <w:style w:type="paragraph" w:customStyle="1" w:styleId="StoryTitle">
    <w:name w:val="StoryTitle"/>
    <w:basedOn w:val="a"/>
    <w:rsid w:val="00BB0995"/>
    <w:pPr>
      <w:spacing w:before="120" w:after="120"/>
      <w:ind w:left="2552"/>
    </w:pPr>
    <w:rPr>
      <w:b/>
      <w:bCs/>
      <w:color w:val="FF0000"/>
      <w:sz w:val="32"/>
      <w:szCs w:val="32"/>
    </w:rPr>
  </w:style>
  <w:style w:type="character" w:styleId="a5">
    <w:name w:val="page number"/>
    <w:basedOn w:val="a1"/>
    <w:rsid w:val="00BB0995"/>
  </w:style>
  <w:style w:type="paragraph" w:customStyle="1" w:styleId="AnalystWk">
    <w:name w:val="AnalystWk"/>
    <w:basedOn w:val="a"/>
    <w:rsid w:val="00BB0995"/>
    <w:pPr>
      <w:framePr w:w="2285" w:h="289" w:hSpace="210" w:wrap="auto" w:vAnchor="page" w:hAnchor="page" w:x="901" w:y="3571" w:anchorLock="1"/>
      <w:spacing w:before="120"/>
      <w:ind w:right="-108"/>
      <w:jc w:val="left"/>
    </w:pPr>
    <w:rPr>
      <w:b/>
      <w:bCs/>
      <w:color w:val="0000FF"/>
      <w:szCs w:val="18"/>
    </w:rPr>
  </w:style>
  <w:style w:type="paragraph" w:customStyle="1" w:styleId="Coverage">
    <w:name w:val="Coverage"/>
    <w:basedOn w:val="a"/>
    <w:rsid w:val="00BB0995"/>
    <w:pPr>
      <w:framePr w:w="2285" w:h="289" w:hSpace="210" w:wrap="auto" w:vAnchor="page" w:hAnchor="page" w:x="901" w:y="3571" w:anchorLock="1"/>
      <w:tabs>
        <w:tab w:val="center" w:pos="4320"/>
        <w:tab w:val="right" w:pos="8640"/>
      </w:tabs>
    </w:pPr>
    <w:rPr>
      <w:b/>
      <w:bCs/>
      <w:color w:val="FF0000"/>
      <w:sz w:val="16"/>
      <w:szCs w:val="16"/>
    </w:rPr>
  </w:style>
  <w:style w:type="paragraph" w:customStyle="1" w:styleId="Location">
    <w:name w:val="Location"/>
    <w:basedOn w:val="a"/>
    <w:rsid w:val="00BB0995"/>
    <w:pPr>
      <w:framePr w:w="2285" w:h="289" w:hSpace="210" w:wrap="auto" w:vAnchor="page" w:hAnchor="page" w:x="901" w:y="3571" w:anchorLock="1"/>
      <w:tabs>
        <w:tab w:val="center" w:pos="4320"/>
        <w:tab w:val="right" w:pos="8640"/>
      </w:tabs>
      <w:ind w:right="-108"/>
      <w:jc w:val="left"/>
    </w:pPr>
    <w:rPr>
      <w:color w:val="000000"/>
      <w:szCs w:val="18"/>
    </w:rPr>
  </w:style>
  <w:style w:type="paragraph" w:styleId="a6">
    <w:name w:val="header"/>
    <w:basedOn w:val="a"/>
    <w:link w:val="Char1"/>
    <w:uiPriority w:val="99"/>
    <w:unhideWhenUsed/>
    <w:rsid w:val="003210C0"/>
    <w:pPr>
      <w:pBdr>
        <w:bottom w:val="single" w:sz="6" w:space="1" w:color="auto"/>
      </w:pBdr>
      <w:tabs>
        <w:tab w:val="center" w:pos="4153"/>
        <w:tab w:val="right" w:pos="8306"/>
      </w:tabs>
      <w:snapToGrid w:val="0"/>
      <w:jc w:val="center"/>
    </w:pPr>
    <w:rPr>
      <w:szCs w:val="18"/>
    </w:rPr>
  </w:style>
  <w:style w:type="paragraph" w:customStyle="1" w:styleId="RecomPara">
    <w:name w:val="RecomPara"/>
    <w:basedOn w:val="a"/>
    <w:rsid w:val="00BB0995"/>
    <w:pPr>
      <w:shd w:val="pct5" w:color="000000" w:fill="FFFFFF"/>
      <w:spacing w:before="240" w:after="200"/>
    </w:pPr>
    <w:rPr>
      <w:color w:val="000000"/>
    </w:rPr>
  </w:style>
  <w:style w:type="paragraph" w:customStyle="1" w:styleId="RecomLine">
    <w:name w:val="RecomLine"/>
    <w:rsid w:val="00BB0995"/>
    <w:pPr>
      <w:spacing w:before="120"/>
    </w:pPr>
    <w:rPr>
      <w:rFonts w:ascii="LucidaSans" w:hAnsi="LucidaSans"/>
      <w:b/>
      <w:bCs/>
      <w:color w:val="000000"/>
      <w:lang w:val="en-GB"/>
    </w:rPr>
  </w:style>
  <w:style w:type="paragraph" w:customStyle="1" w:styleId="Marginnotes">
    <w:name w:val="Margin notes"/>
    <w:basedOn w:val="a"/>
    <w:rsid w:val="00BB0995"/>
    <w:pPr>
      <w:framePr w:w="2285" w:h="289" w:hSpace="215" w:wrap="auto" w:vAnchor="text" w:hAnchor="page" w:x="886" w:y="29" w:anchorLock="1"/>
      <w:shd w:val="solid" w:color="FFFFFF" w:fill="FFFFFF"/>
      <w:jc w:val="left"/>
    </w:pPr>
    <w:rPr>
      <w:b/>
      <w:bCs/>
      <w:color w:val="FF0000"/>
      <w:sz w:val="16"/>
      <w:szCs w:val="16"/>
    </w:rPr>
  </w:style>
  <w:style w:type="paragraph" w:customStyle="1" w:styleId="Logo">
    <w:name w:val="Logo"/>
    <w:basedOn w:val="a"/>
    <w:rsid w:val="00BB0995"/>
    <w:pPr>
      <w:jc w:val="left"/>
    </w:pPr>
    <w:rPr>
      <w:sz w:val="16"/>
      <w:szCs w:val="16"/>
    </w:rPr>
  </w:style>
  <w:style w:type="paragraph" w:customStyle="1" w:styleId="Dateline">
    <w:name w:val="Dateline"/>
    <w:basedOn w:val="a"/>
    <w:rsid w:val="00BB0995"/>
    <w:pPr>
      <w:tabs>
        <w:tab w:val="right" w:pos="7535"/>
        <w:tab w:val="right" w:pos="10206"/>
      </w:tabs>
      <w:spacing w:before="240"/>
      <w:jc w:val="left"/>
    </w:pPr>
    <w:rPr>
      <w:b/>
      <w:bCs/>
      <w:sz w:val="16"/>
      <w:szCs w:val="16"/>
    </w:rPr>
  </w:style>
  <w:style w:type="paragraph" w:customStyle="1" w:styleId="AnalystHJ">
    <w:name w:val="AnalystHJ"/>
    <w:basedOn w:val="a6"/>
    <w:rsid w:val="00BB0995"/>
    <w:pPr>
      <w:tabs>
        <w:tab w:val="center" w:pos="4320"/>
        <w:tab w:val="right" w:pos="8640"/>
      </w:tabs>
      <w:ind w:left="-80" w:right="-108"/>
      <w:jc w:val="left"/>
    </w:pPr>
    <w:rPr>
      <w:sz w:val="16"/>
      <w:szCs w:val="16"/>
    </w:rPr>
  </w:style>
  <w:style w:type="paragraph" w:customStyle="1" w:styleId="SourceLarge">
    <w:name w:val="SourceLarge"/>
    <w:rsid w:val="00BB0995"/>
    <w:pPr>
      <w:tabs>
        <w:tab w:val="left" w:pos="5216"/>
        <w:tab w:val="right" w:pos="9866"/>
      </w:tabs>
      <w:suppressAutoHyphens/>
      <w:spacing w:line="160" w:lineRule="atLeast"/>
    </w:pPr>
    <w:rPr>
      <w:rFonts w:ascii="LucidaSans" w:hAnsi="LucidaSans"/>
      <w:sz w:val="12"/>
      <w:szCs w:val="12"/>
      <w:lang w:val="en-GB"/>
    </w:rPr>
  </w:style>
  <w:style w:type="paragraph" w:customStyle="1" w:styleId="SourceSmall">
    <w:name w:val="SourceSmall"/>
    <w:rsid w:val="00BB0995"/>
    <w:pPr>
      <w:tabs>
        <w:tab w:val="left" w:pos="6521"/>
        <w:tab w:val="right" w:pos="9866"/>
      </w:tabs>
      <w:suppressAutoHyphens/>
      <w:spacing w:line="160" w:lineRule="atLeast"/>
      <w:ind w:left="2608"/>
    </w:pPr>
    <w:rPr>
      <w:rFonts w:ascii="LucidaSans" w:hAnsi="LucidaSans"/>
      <w:sz w:val="12"/>
      <w:szCs w:val="12"/>
      <w:lang w:val="en-GB"/>
    </w:rPr>
  </w:style>
  <w:style w:type="paragraph" w:customStyle="1" w:styleId="SubTitleLargeTable">
    <w:name w:val="SubTitleLargeTable"/>
    <w:rsid w:val="00D85A2A"/>
    <w:pPr>
      <w:keepNext/>
      <w:pBdr>
        <w:top w:val="single" w:sz="6" w:space="1" w:color="666699"/>
      </w:pBdr>
      <w:suppressAutoHyphens/>
      <w:spacing w:after="40" w:line="240" w:lineRule="atLeast"/>
    </w:pPr>
    <w:rPr>
      <w:rFonts w:ascii="Arial" w:eastAsia="楷体_GB2312" w:hAnsi="Arial" w:cs="Arial"/>
      <w:b/>
      <w:bCs/>
      <w:i/>
      <w:iCs/>
      <w:color w:val="000000"/>
      <w:sz w:val="21"/>
      <w:szCs w:val="21"/>
      <w:lang w:val="en-GB"/>
    </w:rPr>
  </w:style>
  <w:style w:type="paragraph" w:customStyle="1" w:styleId="SubTitleSmallTable">
    <w:name w:val="SubTitleSmallTable"/>
    <w:rsid w:val="00BB0995"/>
    <w:pPr>
      <w:tabs>
        <w:tab w:val="left" w:pos="993"/>
      </w:tabs>
      <w:suppressAutoHyphens/>
      <w:spacing w:after="40"/>
      <w:ind w:left="2608"/>
    </w:pPr>
    <w:rPr>
      <w:rFonts w:ascii="LucidaSans" w:hAnsi="LucidaSans"/>
      <w:b/>
      <w:bCs/>
      <w:noProof/>
    </w:rPr>
  </w:style>
  <w:style w:type="paragraph" w:customStyle="1" w:styleId="TitleLargeTable">
    <w:name w:val="TitleLargeTable"/>
    <w:next w:val="SubTitleLargeTable"/>
    <w:rsid w:val="00BB0995"/>
    <w:pPr>
      <w:keepNext/>
      <w:suppressAutoHyphens/>
      <w:spacing w:after="40" w:line="200" w:lineRule="atLeast"/>
    </w:pPr>
    <w:rPr>
      <w:rFonts w:ascii="Arial" w:eastAsia="楷体_GB2312" w:hAnsi="Arial" w:cs="Arial"/>
      <w:sz w:val="18"/>
      <w:szCs w:val="16"/>
      <w:lang w:val="en-GB"/>
    </w:rPr>
  </w:style>
  <w:style w:type="paragraph" w:customStyle="1" w:styleId="TitleSmallTable">
    <w:name w:val="TitleSmallTable"/>
    <w:next w:val="SubTitleSmallTable"/>
    <w:rsid w:val="00BB0995"/>
    <w:pPr>
      <w:keepNext/>
      <w:suppressAutoHyphens/>
      <w:spacing w:after="40" w:line="200" w:lineRule="atLeast"/>
      <w:ind w:left="2608"/>
    </w:pPr>
    <w:rPr>
      <w:rFonts w:ascii="LucidaSans" w:hAnsi="LucidaSans"/>
      <w:sz w:val="16"/>
      <w:szCs w:val="16"/>
      <w:lang w:val="en-GB"/>
    </w:rPr>
  </w:style>
  <w:style w:type="paragraph" w:customStyle="1" w:styleId="TableFirst">
    <w:name w:val="TableFirst"/>
    <w:basedOn w:val="Table"/>
    <w:rsid w:val="00BB0995"/>
    <w:pPr>
      <w:spacing w:before="60" w:after="0"/>
    </w:pPr>
    <w:rPr>
      <w:color w:val="auto"/>
      <w:lang w:val="en-AU"/>
    </w:rPr>
  </w:style>
  <w:style w:type="paragraph" w:customStyle="1" w:styleId="Descriptor">
    <w:name w:val="Descriptor"/>
    <w:basedOn w:val="a"/>
    <w:rsid w:val="00BB0995"/>
    <w:pPr>
      <w:spacing w:before="60"/>
      <w:jc w:val="left"/>
    </w:pPr>
    <w:rPr>
      <w:b/>
      <w:bCs/>
      <w:color w:val="000000"/>
    </w:rPr>
  </w:style>
  <w:style w:type="paragraph" w:customStyle="1" w:styleId="BulletCoverpage">
    <w:name w:val="Bullet Cover page"/>
    <w:basedOn w:val="a"/>
    <w:rsid w:val="00BB0995"/>
    <w:pPr>
      <w:numPr>
        <w:numId w:val="1"/>
      </w:numPr>
      <w:suppressAutoHyphens/>
      <w:spacing w:after="200" w:line="240" w:lineRule="atLeast"/>
    </w:pPr>
  </w:style>
  <w:style w:type="paragraph" w:customStyle="1" w:styleId="BulletedHeading">
    <w:name w:val="Bulleted Heading"/>
    <w:basedOn w:val="a"/>
    <w:next w:val="a"/>
    <w:rsid w:val="00BB0995"/>
    <w:pPr>
      <w:suppressAutoHyphens/>
      <w:spacing w:after="60" w:line="240" w:lineRule="atLeast"/>
      <w:ind w:left="2609" w:hanging="352"/>
    </w:pPr>
    <w:rPr>
      <w:rFonts w:ascii="LucidaT" w:hAnsi="LucidaT"/>
      <w:szCs w:val="18"/>
    </w:rPr>
  </w:style>
  <w:style w:type="paragraph" w:customStyle="1" w:styleId="SideComments">
    <w:name w:val="SideComments"/>
    <w:rsid w:val="003210C0"/>
    <w:pPr>
      <w:spacing w:line="200" w:lineRule="atLeast"/>
      <w:ind w:firstLineChars="200" w:firstLine="200"/>
      <w:jc w:val="both"/>
    </w:pPr>
    <w:rPr>
      <w:rFonts w:ascii="Arial" w:eastAsia="楷体_GB2312" w:hAnsi="Arial"/>
      <w:b/>
      <w:color w:val="000000"/>
      <w:kern w:val="2"/>
      <w:sz w:val="21"/>
      <w:szCs w:val="22"/>
    </w:rPr>
  </w:style>
  <w:style w:type="paragraph" w:customStyle="1" w:styleId="TableFirst-p1">
    <w:name w:val="TableFirst-p1"/>
    <w:rsid w:val="00BB0995"/>
    <w:pPr>
      <w:tabs>
        <w:tab w:val="right" w:pos="1871"/>
        <w:tab w:val="right" w:pos="3107"/>
        <w:tab w:val="right" w:pos="4258"/>
        <w:tab w:val="right" w:pos="5329"/>
        <w:tab w:val="right" w:pos="6406"/>
        <w:tab w:val="right" w:pos="7483"/>
      </w:tabs>
      <w:spacing w:before="40"/>
      <w:jc w:val="both"/>
    </w:pPr>
    <w:rPr>
      <w:rFonts w:ascii="LucidaSans" w:hAnsi="LucidaSans"/>
      <w:sz w:val="16"/>
      <w:szCs w:val="16"/>
      <w:lang w:val="en-GB" w:eastAsia="en-US"/>
    </w:rPr>
  </w:style>
  <w:style w:type="paragraph" w:customStyle="1" w:styleId="TableTitleFirst-p1">
    <w:name w:val="TableTitleFirst-p1"/>
    <w:rsid w:val="00BB0995"/>
    <w:pPr>
      <w:pBdr>
        <w:top w:val="single" w:sz="6" w:space="0" w:color="auto"/>
        <w:between w:val="single" w:sz="6" w:space="5" w:color="auto"/>
      </w:pBdr>
      <w:tabs>
        <w:tab w:val="right" w:pos="1871"/>
        <w:tab w:val="right" w:pos="4252"/>
        <w:tab w:val="right" w:pos="5329"/>
        <w:tab w:val="right" w:pos="6406"/>
        <w:tab w:val="right" w:pos="7483"/>
      </w:tabs>
      <w:spacing w:before="57"/>
      <w:jc w:val="both"/>
    </w:pPr>
    <w:rPr>
      <w:rFonts w:ascii="LucidaSans" w:hAnsi="LucidaSans"/>
      <w:b/>
      <w:bCs/>
      <w:sz w:val="16"/>
      <w:szCs w:val="16"/>
      <w:lang w:val="en-AU" w:eastAsia="en-US"/>
    </w:rPr>
  </w:style>
  <w:style w:type="paragraph" w:customStyle="1" w:styleId="TableTitle">
    <w:name w:val="TableTitle"/>
    <w:rsid w:val="00BB0995"/>
    <w:pPr>
      <w:keepNext/>
      <w:pBdr>
        <w:top w:val="single" w:sz="8" w:space="2" w:color="FF0000"/>
        <w:bottom w:val="single" w:sz="6" w:space="1" w:color="808080"/>
        <w:between w:val="single" w:sz="2" w:space="2" w:color="auto"/>
      </w:pBdr>
      <w:tabs>
        <w:tab w:val="right" w:pos="1928"/>
        <w:tab w:val="right" w:pos="3118"/>
        <w:tab w:val="right" w:pos="3969"/>
        <w:tab w:val="right" w:pos="4932"/>
        <w:tab w:val="right" w:pos="5777"/>
        <w:tab w:val="right" w:pos="6690"/>
        <w:tab w:val="right" w:pos="7483"/>
        <w:tab w:val="right" w:pos="8504"/>
        <w:tab w:val="right" w:pos="9354"/>
        <w:tab w:val="right" w:pos="10205"/>
      </w:tabs>
      <w:spacing w:before="20" w:after="20"/>
      <w:jc w:val="both"/>
    </w:pPr>
    <w:rPr>
      <w:rFonts w:ascii="LucidaSans" w:hAnsi="LucidaSans"/>
      <w:b/>
      <w:bCs/>
      <w:sz w:val="18"/>
      <w:szCs w:val="18"/>
      <w:lang w:val="en-GB" w:eastAsia="en-US"/>
    </w:rPr>
  </w:style>
  <w:style w:type="paragraph" w:customStyle="1" w:styleId="Analyst">
    <w:name w:val="Analyst"/>
    <w:rsid w:val="00BB0995"/>
    <w:pPr>
      <w:spacing w:before="1" w:after="1"/>
      <w:ind w:left="1" w:right="1" w:firstLine="1"/>
      <w:jc w:val="right"/>
    </w:pPr>
    <w:rPr>
      <w:rFonts w:ascii="LucidaSans" w:hAnsi="LucidaSans"/>
      <w:b/>
      <w:bCs/>
      <w:color w:val="000000"/>
      <w:sz w:val="18"/>
      <w:szCs w:val="18"/>
      <w:lang w:val="en-GB"/>
    </w:rPr>
  </w:style>
  <w:style w:type="paragraph" w:customStyle="1" w:styleId="CoverBullet">
    <w:name w:val="Cover Bullet"/>
    <w:rsid w:val="00BB0995"/>
    <w:pPr>
      <w:numPr>
        <w:numId w:val="2"/>
      </w:numPr>
      <w:spacing w:before="120" w:after="120"/>
      <w:ind w:left="357" w:hanging="357"/>
    </w:pPr>
    <w:rPr>
      <w:rFonts w:ascii="LucidaSans" w:hAnsi="LucidaSans"/>
      <w:b/>
      <w:bCs/>
      <w:lang w:val="en-GB"/>
    </w:rPr>
  </w:style>
  <w:style w:type="paragraph" w:customStyle="1" w:styleId="Target">
    <w:name w:val="Target"/>
    <w:basedOn w:val="Call"/>
    <w:rsid w:val="00BB0995"/>
    <w:pPr>
      <w:pBdr>
        <w:top w:val="none" w:sz="0" w:space="0" w:color="auto"/>
        <w:bottom w:val="dashDotStroked" w:sz="24" w:space="1" w:color="FF0000"/>
      </w:pBdr>
    </w:pPr>
  </w:style>
  <w:style w:type="paragraph" w:customStyle="1" w:styleId="Call">
    <w:name w:val="Call"/>
    <w:basedOn w:val="a"/>
    <w:next w:val="RecomPara"/>
    <w:rsid w:val="00BB0995"/>
    <w:pPr>
      <w:pBdr>
        <w:top w:val="dashDotStroked" w:sz="24" w:space="4" w:color="FF0000"/>
      </w:pBdr>
      <w:shd w:val="pct5" w:color="000000" w:fill="FFFFFF"/>
      <w:tabs>
        <w:tab w:val="left" w:pos="2558"/>
      </w:tabs>
    </w:pPr>
    <w:rPr>
      <w:b/>
      <w:bCs/>
      <w:color w:val="0000FF"/>
    </w:rPr>
  </w:style>
  <w:style w:type="paragraph" w:customStyle="1" w:styleId="TableLast">
    <w:name w:val="TableLast"/>
    <w:basedOn w:val="Table"/>
    <w:rsid w:val="00BB0995"/>
    <w:pPr>
      <w:spacing w:before="0" w:after="60"/>
      <w:jc w:val="both"/>
    </w:pPr>
    <w:rPr>
      <w:color w:val="auto"/>
      <w:lang w:val="en-AU" w:eastAsia="en-US"/>
    </w:rPr>
  </w:style>
  <w:style w:type="paragraph" w:customStyle="1" w:styleId="Contents">
    <w:name w:val="Contents"/>
    <w:basedOn w:val="AnalystWk"/>
    <w:rsid w:val="00BB0995"/>
    <w:pPr>
      <w:framePr w:wrap="auto"/>
      <w:tabs>
        <w:tab w:val="right" w:pos="2127"/>
      </w:tabs>
      <w:spacing w:before="240"/>
      <w:ind w:left="142" w:hanging="142"/>
    </w:pPr>
    <w:rPr>
      <w:sz w:val="16"/>
      <w:szCs w:val="16"/>
    </w:rPr>
  </w:style>
  <w:style w:type="paragraph" w:styleId="a7">
    <w:name w:val="Body Text Indent"/>
    <w:basedOn w:val="a"/>
    <w:rsid w:val="00BB0995"/>
    <w:pPr>
      <w:tabs>
        <w:tab w:val="left" w:pos="284"/>
        <w:tab w:val="left" w:pos="2520"/>
      </w:tabs>
    </w:pPr>
    <w:rPr>
      <w:i/>
      <w:iCs/>
    </w:rPr>
  </w:style>
  <w:style w:type="paragraph" w:styleId="20">
    <w:name w:val="Body Text Indent 2"/>
    <w:basedOn w:val="a"/>
    <w:rsid w:val="00BB0995"/>
    <w:pPr>
      <w:ind w:left="2520"/>
    </w:pPr>
    <w:rPr>
      <w:b/>
      <w:bCs/>
      <w:i/>
      <w:iCs/>
    </w:rPr>
  </w:style>
  <w:style w:type="paragraph" w:customStyle="1" w:styleId="bo">
    <w:name w:val="bo"/>
    <w:basedOn w:val="1"/>
    <w:rsid w:val="00BB0995"/>
    <w:pPr>
      <w:tabs>
        <w:tab w:val="left" w:pos="284"/>
      </w:tabs>
    </w:pPr>
    <w:rPr>
      <w:i/>
      <w:iCs/>
    </w:rPr>
  </w:style>
  <w:style w:type="paragraph" w:customStyle="1" w:styleId="ChartComments">
    <w:name w:val="ChartComments"/>
    <w:basedOn w:val="a"/>
    <w:rsid w:val="00BB0995"/>
    <w:pPr>
      <w:shd w:val="solid" w:color="FFFFFF" w:fill="FFFFFF"/>
      <w:suppressAutoHyphens/>
      <w:spacing w:after="80" w:line="200" w:lineRule="atLeast"/>
      <w:ind w:right="284"/>
      <w:jc w:val="right"/>
    </w:pPr>
    <w:rPr>
      <w:b/>
      <w:bCs/>
      <w:color w:val="000000"/>
      <w:sz w:val="16"/>
      <w:szCs w:val="16"/>
    </w:rPr>
  </w:style>
  <w:style w:type="paragraph" w:customStyle="1" w:styleId="Celldata">
    <w:name w:val="Cell data"/>
    <w:basedOn w:val="a"/>
    <w:rsid w:val="00BB0995"/>
    <w:pPr>
      <w:spacing w:after="20" w:line="180" w:lineRule="atLeast"/>
      <w:ind w:left="28" w:right="57"/>
      <w:jc w:val="left"/>
    </w:pPr>
    <w:rPr>
      <w:sz w:val="14"/>
      <w:szCs w:val="14"/>
    </w:rPr>
  </w:style>
  <w:style w:type="paragraph" w:customStyle="1" w:styleId="SectionTitle">
    <w:name w:val="SectionTitle"/>
    <w:basedOn w:val="StoryTitle"/>
    <w:rsid w:val="00BB0995"/>
    <w:pPr>
      <w:spacing w:before="240"/>
    </w:pPr>
  </w:style>
  <w:style w:type="paragraph" w:customStyle="1" w:styleId="TableTitleFirst">
    <w:name w:val="TableTitleFirst"/>
    <w:basedOn w:val="a"/>
    <w:rsid w:val="00BB0995"/>
    <w:pPr>
      <w:spacing w:before="60" w:after="20"/>
    </w:pPr>
    <w:rPr>
      <w:b/>
      <w:bCs/>
      <w:color w:val="000000"/>
      <w:sz w:val="16"/>
      <w:szCs w:val="16"/>
      <w:lang w:eastAsia="en-US"/>
    </w:rPr>
  </w:style>
  <w:style w:type="paragraph" w:customStyle="1" w:styleId="TableTitleLast">
    <w:name w:val="TableTitleLast"/>
    <w:basedOn w:val="Table"/>
    <w:rsid w:val="00BB0995"/>
    <w:pPr>
      <w:spacing w:after="60"/>
      <w:jc w:val="both"/>
    </w:pPr>
    <w:rPr>
      <w:b/>
      <w:bCs/>
      <w:color w:val="auto"/>
      <w:lang w:eastAsia="en-US"/>
    </w:rPr>
  </w:style>
  <w:style w:type="paragraph" w:customStyle="1" w:styleId="CompanyHead">
    <w:name w:val="CompanyHead"/>
    <w:basedOn w:val="a0"/>
    <w:rsid w:val="00BB0995"/>
    <w:pPr>
      <w:tabs>
        <w:tab w:val="right" w:pos="2410"/>
        <w:tab w:val="left" w:pos="2552"/>
        <w:tab w:val="right" w:pos="10205"/>
      </w:tabs>
      <w:ind w:left="0"/>
    </w:pPr>
    <w:rPr>
      <w:b/>
      <w:bCs/>
      <w:color w:val="FF0000"/>
    </w:rPr>
  </w:style>
  <w:style w:type="paragraph" w:styleId="30">
    <w:name w:val="Body Text 3"/>
    <w:basedOn w:val="a"/>
    <w:rsid w:val="00BB0995"/>
    <w:rPr>
      <w:szCs w:val="18"/>
    </w:rPr>
  </w:style>
  <w:style w:type="paragraph" w:customStyle="1" w:styleId="body">
    <w:name w:val="body"/>
    <w:basedOn w:val="a"/>
    <w:rsid w:val="00BB0995"/>
    <w:rPr>
      <w:noProof/>
    </w:rPr>
  </w:style>
  <w:style w:type="paragraph" w:customStyle="1" w:styleId="font5">
    <w:name w:val="font5"/>
    <w:basedOn w:val="a"/>
    <w:rsid w:val="00BB0995"/>
    <w:pPr>
      <w:spacing w:before="100" w:beforeAutospacing="1" w:after="100" w:afterAutospacing="1"/>
      <w:jc w:val="left"/>
    </w:pPr>
    <w:rPr>
      <w:rFonts w:ascii="宋体" w:hAnsi="宋体"/>
      <w:szCs w:val="18"/>
    </w:rPr>
  </w:style>
  <w:style w:type="paragraph" w:customStyle="1" w:styleId="font6">
    <w:name w:val="font6"/>
    <w:basedOn w:val="a"/>
    <w:rsid w:val="00BB0995"/>
    <w:pPr>
      <w:spacing w:before="100" w:beforeAutospacing="1" w:after="100" w:afterAutospacing="1"/>
      <w:jc w:val="left"/>
    </w:pPr>
    <w:rPr>
      <w:rFonts w:ascii="宋体" w:hAnsi="宋体"/>
    </w:rPr>
  </w:style>
  <w:style w:type="paragraph" w:customStyle="1" w:styleId="font7">
    <w:name w:val="font7"/>
    <w:basedOn w:val="a"/>
    <w:rsid w:val="00BB0995"/>
    <w:pPr>
      <w:spacing w:before="100" w:beforeAutospacing="1" w:after="100" w:afterAutospacing="1"/>
      <w:jc w:val="left"/>
    </w:pPr>
    <w:rPr>
      <w:rFonts w:ascii="宋体" w:hAnsi="宋体"/>
      <w:b/>
      <w:bCs/>
    </w:rPr>
  </w:style>
  <w:style w:type="paragraph" w:customStyle="1" w:styleId="xl24">
    <w:name w:val="xl24"/>
    <w:basedOn w:val="a"/>
    <w:rsid w:val="00BB0995"/>
    <w:pPr>
      <w:spacing w:before="100" w:beforeAutospacing="1" w:after="100" w:afterAutospacing="1"/>
      <w:jc w:val="left"/>
    </w:pPr>
    <w:rPr>
      <w:rFonts w:ascii="宋体" w:hAnsi="宋体"/>
      <w:sz w:val="24"/>
      <w:szCs w:val="24"/>
    </w:rPr>
  </w:style>
  <w:style w:type="paragraph" w:customStyle="1" w:styleId="xl25">
    <w:name w:val="xl25"/>
    <w:basedOn w:val="a"/>
    <w:rsid w:val="00BB0995"/>
    <w:pPr>
      <w:spacing w:before="100" w:beforeAutospacing="1" w:after="100" w:afterAutospacing="1"/>
      <w:jc w:val="left"/>
    </w:pPr>
    <w:rPr>
      <w:rFonts w:ascii="宋体" w:hAnsi="宋体"/>
      <w:b/>
      <w:bCs/>
      <w:sz w:val="24"/>
      <w:szCs w:val="24"/>
    </w:rPr>
  </w:style>
  <w:style w:type="paragraph" w:customStyle="1" w:styleId="xl27">
    <w:name w:val="xl27"/>
    <w:basedOn w:val="a"/>
    <w:rsid w:val="00BB0995"/>
    <w:pPr>
      <w:pBdr>
        <w:bottom w:val="single" w:sz="4" w:space="0" w:color="auto"/>
      </w:pBdr>
      <w:spacing w:before="100" w:beforeAutospacing="1" w:after="100" w:afterAutospacing="1"/>
      <w:jc w:val="left"/>
    </w:pPr>
    <w:rPr>
      <w:rFonts w:ascii="宋体" w:hAnsi="宋体"/>
      <w:sz w:val="24"/>
      <w:szCs w:val="24"/>
    </w:rPr>
  </w:style>
  <w:style w:type="paragraph" w:customStyle="1" w:styleId="xl28">
    <w:name w:val="xl28"/>
    <w:basedOn w:val="a"/>
    <w:rsid w:val="00BB0995"/>
    <w:pPr>
      <w:pBdr>
        <w:bottom w:val="single" w:sz="4" w:space="0" w:color="auto"/>
      </w:pBdr>
      <w:spacing w:before="100" w:beforeAutospacing="1" w:after="100" w:afterAutospacing="1"/>
      <w:jc w:val="left"/>
    </w:pPr>
    <w:rPr>
      <w:rFonts w:ascii="宋体" w:hAnsi="宋体"/>
      <w:sz w:val="24"/>
      <w:szCs w:val="24"/>
    </w:rPr>
  </w:style>
  <w:style w:type="paragraph" w:customStyle="1" w:styleId="xl30">
    <w:name w:val="xl30"/>
    <w:basedOn w:val="a"/>
    <w:rsid w:val="00BB0995"/>
    <w:pPr>
      <w:spacing w:before="100" w:beforeAutospacing="1" w:after="100" w:afterAutospacing="1"/>
      <w:jc w:val="right"/>
    </w:pPr>
    <w:rPr>
      <w:rFonts w:ascii="Arial Unicode MS" w:eastAsia="Arial Unicode MS" w:hAnsi="Arial Unicode MS"/>
      <w:sz w:val="24"/>
      <w:szCs w:val="24"/>
    </w:rPr>
  </w:style>
  <w:style w:type="character" w:styleId="a8">
    <w:name w:val="footnote reference"/>
    <w:semiHidden/>
    <w:rsid w:val="00BB0995"/>
    <w:rPr>
      <w:vertAlign w:val="superscript"/>
    </w:rPr>
  </w:style>
  <w:style w:type="paragraph" w:styleId="a9">
    <w:name w:val="footnote text"/>
    <w:basedOn w:val="a"/>
    <w:semiHidden/>
    <w:rsid w:val="00BB0995"/>
    <w:pPr>
      <w:snapToGrid w:val="0"/>
      <w:jc w:val="left"/>
    </w:pPr>
    <w:rPr>
      <w:szCs w:val="18"/>
    </w:rPr>
  </w:style>
  <w:style w:type="paragraph" w:styleId="31">
    <w:name w:val="Body Text Indent 3"/>
    <w:basedOn w:val="a"/>
    <w:rsid w:val="00BB0995"/>
    <w:pPr>
      <w:spacing w:line="288" w:lineRule="auto"/>
      <w:ind w:firstLineChars="197" w:firstLine="295"/>
    </w:pPr>
    <w:rPr>
      <w:rFonts w:ascii="宋体" w:hAnsi="宋体"/>
      <w:color w:val="0000FF"/>
      <w:sz w:val="15"/>
      <w:szCs w:val="15"/>
    </w:rPr>
  </w:style>
  <w:style w:type="character" w:styleId="aa">
    <w:name w:val="Hyperlink"/>
    <w:uiPriority w:val="99"/>
    <w:rsid w:val="00BB0995"/>
    <w:rPr>
      <w:color w:val="0000FF"/>
      <w:u w:val="single"/>
    </w:rPr>
  </w:style>
  <w:style w:type="paragraph" w:styleId="ab">
    <w:name w:val="Date"/>
    <w:basedOn w:val="a"/>
    <w:next w:val="a"/>
    <w:rsid w:val="00BB0995"/>
    <w:pPr>
      <w:ind w:leftChars="2500" w:left="100"/>
    </w:pPr>
    <w:rPr>
      <w:rFonts w:ascii="宋体" w:hAnsi="宋体"/>
      <w:szCs w:val="18"/>
    </w:rPr>
  </w:style>
  <w:style w:type="paragraph" w:styleId="ac">
    <w:name w:val="table of figures"/>
    <w:basedOn w:val="a"/>
    <w:next w:val="a"/>
    <w:uiPriority w:val="99"/>
    <w:rsid w:val="00BB0995"/>
    <w:pPr>
      <w:widowControl/>
      <w:spacing w:line="312" w:lineRule="auto"/>
      <w:ind w:left="3402"/>
    </w:pPr>
    <w:rPr>
      <w:color w:val="000000"/>
      <w:sz w:val="21"/>
    </w:rPr>
  </w:style>
  <w:style w:type="character" w:styleId="ad">
    <w:name w:val="FollowedHyperlink"/>
    <w:rsid w:val="00BB0995"/>
    <w:rPr>
      <w:color w:val="800080"/>
      <w:u w:val="single"/>
    </w:rPr>
  </w:style>
  <w:style w:type="paragraph" w:customStyle="1" w:styleId="21">
    <w:name w:val="模板标题2"/>
    <w:basedOn w:val="a0"/>
    <w:next w:val="a0"/>
    <w:rsid w:val="00BB0995"/>
    <w:pPr>
      <w:outlineLvl w:val="1"/>
    </w:pPr>
    <w:rPr>
      <w:b/>
      <w:bCs/>
      <w:color w:val="01659D"/>
    </w:rPr>
  </w:style>
  <w:style w:type="paragraph" w:customStyle="1" w:styleId="10">
    <w:name w:val="样式1"/>
    <w:basedOn w:val="a0"/>
    <w:next w:val="21"/>
    <w:rsid w:val="00BB0995"/>
    <w:rPr>
      <w:sz w:val="24"/>
    </w:rPr>
  </w:style>
  <w:style w:type="paragraph" w:customStyle="1" w:styleId="11">
    <w:name w:val="模板标题1"/>
    <w:basedOn w:val="21"/>
    <w:next w:val="a0"/>
    <w:rsid w:val="00BB0995"/>
    <w:pPr>
      <w:spacing w:after="240" w:line="300" w:lineRule="exact"/>
      <w:outlineLvl w:val="0"/>
    </w:pPr>
    <w:rPr>
      <w:sz w:val="24"/>
    </w:rPr>
  </w:style>
  <w:style w:type="paragraph" w:customStyle="1" w:styleId="ae">
    <w:name w:val="模板目录标题"/>
    <w:basedOn w:val="a0"/>
    <w:next w:val="12"/>
    <w:rsid w:val="00BB0995"/>
    <w:pPr>
      <w:tabs>
        <w:tab w:val="right" w:leader="dot" w:pos="10649"/>
      </w:tabs>
      <w:spacing w:line="480" w:lineRule="exact"/>
    </w:pPr>
    <w:rPr>
      <w:b/>
      <w:sz w:val="28"/>
    </w:rPr>
  </w:style>
  <w:style w:type="paragraph" w:styleId="12">
    <w:name w:val="toc 1"/>
    <w:basedOn w:val="GJStylesMuluContent1"/>
    <w:next w:val="a"/>
    <w:autoRedefine/>
    <w:uiPriority w:val="39"/>
    <w:rsid w:val="00BB0995"/>
  </w:style>
  <w:style w:type="paragraph" w:styleId="22">
    <w:name w:val="toc 2"/>
    <w:basedOn w:val="GJStylesMuluContent2"/>
    <w:next w:val="a"/>
    <w:autoRedefine/>
    <w:uiPriority w:val="39"/>
    <w:rsid w:val="00730B1B"/>
  </w:style>
  <w:style w:type="paragraph" w:customStyle="1" w:styleId="13">
    <w:name w:val="模板标题1(段前分页)"/>
    <w:basedOn w:val="11"/>
    <w:next w:val="21"/>
    <w:rsid w:val="00BB0995"/>
    <w:pPr>
      <w:pageBreakBefore/>
    </w:pPr>
    <w:rPr>
      <w:bCs w:val="0"/>
    </w:rPr>
  </w:style>
  <w:style w:type="paragraph" w:styleId="32">
    <w:name w:val="toc 3"/>
    <w:basedOn w:val="a"/>
    <w:next w:val="a"/>
    <w:autoRedefine/>
    <w:semiHidden/>
    <w:rsid w:val="00BB0995"/>
    <w:pPr>
      <w:ind w:leftChars="400" w:left="840"/>
    </w:pPr>
  </w:style>
  <w:style w:type="paragraph" w:styleId="40">
    <w:name w:val="toc 4"/>
    <w:basedOn w:val="a"/>
    <w:next w:val="a"/>
    <w:autoRedefine/>
    <w:semiHidden/>
    <w:rsid w:val="00BB0995"/>
    <w:pPr>
      <w:ind w:leftChars="600" w:left="1260"/>
    </w:pPr>
  </w:style>
  <w:style w:type="paragraph" w:styleId="50">
    <w:name w:val="toc 5"/>
    <w:basedOn w:val="a"/>
    <w:next w:val="a"/>
    <w:autoRedefine/>
    <w:semiHidden/>
    <w:rsid w:val="00BB0995"/>
    <w:pPr>
      <w:ind w:leftChars="800" w:left="1680"/>
    </w:pPr>
  </w:style>
  <w:style w:type="paragraph" w:styleId="60">
    <w:name w:val="toc 6"/>
    <w:basedOn w:val="a"/>
    <w:next w:val="a"/>
    <w:autoRedefine/>
    <w:semiHidden/>
    <w:rsid w:val="00BB0995"/>
    <w:pPr>
      <w:ind w:leftChars="1000" w:left="2100"/>
    </w:pPr>
  </w:style>
  <w:style w:type="paragraph" w:styleId="70">
    <w:name w:val="toc 7"/>
    <w:basedOn w:val="a"/>
    <w:next w:val="a"/>
    <w:autoRedefine/>
    <w:semiHidden/>
    <w:rsid w:val="00BB0995"/>
    <w:pPr>
      <w:ind w:leftChars="1200" w:left="2520"/>
    </w:pPr>
  </w:style>
  <w:style w:type="paragraph" w:styleId="80">
    <w:name w:val="toc 8"/>
    <w:basedOn w:val="a"/>
    <w:next w:val="a"/>
    <w:autoRedefine/>
    <w:semiHidden/>
    <w:rsid w:val="00BB0995"/>
    <w:pPr>
      <w:ind w:leftChars="1400" w:left="2940"/>
    </w:pPr>
  </w:style>
  <w:style w:type="paragraph" w:styleId="90">
    <w:name w:val="toc 9"/>
    <w:basedOn w:val="a"/>
    <w:next w:val="a"/>
    <w:autoRedefine/>
    <w:semiHidden/>
    <w:rsid w:val="00BB0995"/>
    <w:pPr>
      <w:ind w:leftChars="1600" w:left="3360"/>
    </w:pPr>
  </w:style>
  <w:style w:type="table" w:styleId="af">
    <w:name w:val="Table Grid"/>
    <w:basedOn w:val="a2"/>
    <w:uiPriority w:val="59"/>
    <w:rsid w:val="003210C0"/>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1">
    <w:name w:val="模板标题111"/>
    <w:basedOn w:val="11"/>
    <w:next w:val="SubTitleLargeTable"/>
    <w:rsid w:val="00AF1034"/>
    <w:pPr>
      <w:keepNext/>
    </w:pPr>
  </w:style>
  <w:style w:type="paragraph" w:customStyle="1" w:styleId="14">
    <w:name w:val="模板标题1（段前分页）"/>
    <w:basedOn w:val="11"/>
    <w:next w:val="21"/>
    <w:rsid w:val="00E54B00"/>
    <w:pPr>
      <w:pageBreakBefore/>
    </w:pPr>
  </w:style>
  <w:style w:type="paragraph" w:styleId="af0">
    <w:name w:val="Balloon Text"/>
    <w:basedOn w:val="a"/>
    <w:link w:val="Char2"/>
    <w:rsid w:val="00A61F07"/>
    <w:rPr>
      <w:szCs w:val="18"/>
    </w:rPr>
  </w:style>
  <w:style w:type="character" w:customStyle="1" w:styleId="Char2">
    <w:name w:val="批注框文本 Char"/>
    <w:link w:val="af0"/>
    <w:rsid w:val="00A61F07"/>
    <w:rPr>
      <w:rFonts w:ascii="Arial" w:eastAsia="楷体_GB2312" w:hAnsi="Arial"/>
      <w:sz w:val="18"/>
      <w:szCs w:val="18"/>
      <w:lang w:val="en-GB"/>
    </w:rPr>
  </w:style>
  <w:style w:type="character" w:customStyle="1" w:styleId="Char">
    <w:name w:val="正文文本 Char"/>
    <w:link w:val="a0"/>
    <w:rsid w:val="005A66A2"/>
    <w:rPr>
      <w:rFonts w:ascii="Arial" w:eastAsia="楷体_GB2312" w:hAnsi="Arial" w:cs="Arial"/>
      <w:color w:val="000000"/>
      <w:sz w:val="21"/>
      <w:lang w:val="en-GB"/>
    </w:rPr>
  </w:style>
  <w:style w:type="paragraph" w:styleId="af1">
    <w:name w:val="Document Map"/>
    <w:basedOn w:val="a"/>
    <w:link w:val="Char3"/>
    <w:rsid w:val="0003281B"/>
    <w:rPr>
      <w:rFonts w:ascii="宋体" w:eastAsia="宋体"/>
      <w:szCs w:val="18"/>
    </w:rPr>
  </w:style>
  <w:style w:type="character" w:customStyle="1" w:styleId="Char3">
    <w:name w:val="文档结构图 Char"/>
    <w:link w:val="af1"/>
    <w:rsid w:val="0003281B"/>
    <w:rPr>
      <w:rFonts w:ascii="宋体" w:hAnsi="Arial"/>
      <w:sz w:val="18"/>
      <w:szCs w:val="18"/>
      <w:lang w:val="en-GB"/>
    </w:rPr>
  </w:style>
  <w:style w:type="character" w:customStyle="1" w:styleId="Char1">
    <w:name w:val="页眉 Char"/>
    <w:link w:val="a6"/>
    <w:uiPriority w:val="99"/>
    <w:rsid w:val="003210C0"/>
    <w:rPr>
      <w:rFonts w:ascii="Arial" w:eastAsia="楷体_GB2312" w:hAnsi="Arial"/>
      <w:kern w:val="2"/>
      <w:sz w:val="18"/>
      <w:szCs w:val="18"/>
    </w:rPr>
  </w:style>
  <w:style w:type="character" w:customStyle="1" w:styleId="Char0">
    <w:name w:val="页脚 Char"/>
    <w:link w:val="a4"/>
    <w:uiPriority w:val="99"/>
    <w:rsid w:val="003210C0"/>
    <w:rPr>
      <w:rFonts w:ascii="Arial" w:eastAsia="楷体_GB2312" w:hAnsi="Arial"/>
      <w:kern w:val="2"/>
      <w:sz w:val="18"/>
      <w:szCs w:val="18"/>
    </w:rPr>
  </w:style>
  <w:style w:type="paragraph" w:customStyle="1" w:styleId="GJStylesSummaryTitle">
    <w:name w:val="GJ_Styles_Summary_Title"/>
    <w:qFormat/>
    <w:rsid w:val="003210C0"/>
    <w:pPr>
      <w:spacing w:afterLines="50"/>
      <w:jc w:val="both"/>
    </w:pPr>
    <w:rPr>
      <w:rFonts w:ascii="Arial" w:eastAsia="楷体_GB2312" w:hAnsi="Arial"/>
      <w:b/>
      <w:color w:val="000000"/>
      <w:kern w:val="2"/>
      <w:sz w:val="24"/>
      <w:szCs w:val="22"/>
    </w:rPr>
  </w:style>
  <w:style w:type="paragraph" w:customStyle="1" w:styleId="GJStylesSummaryContent">
    <w:name w:val="GJ_Styles_Summary_Content"/>
    <w:qFormat/>
    <w:rsid w:val="003210C0"/>
    <w:pPr>
      <w:numPr>
        <w:numId w:val="13"/>
      </w:numPr>
      <w:spacing w:afterLines="50" w:line="240" w:lineRule="exact"/>
      <w:jc w:val="both"/>
    </w:pPr>
    <w:rPr>
      <w:rFonts w:ascii="Arial" w:eastAsia="楷体_GB2312" w:hAnsi="Arial"/>
      <w:color w:val="000000"/>
      <w:kern w:val="2"/>
      <w:sz w:val="21"/>
      <w:szCs w:val="22"/>
    </w:rPr>
  </w:style>
  <w:style w:type="paragraph" w:customStyle="1" w:styleId="GJStylesSummarySubContent">
    <w:name w:val="GJ_Styles_Summary_SubContent"/>
    <w:qFormat/>
    <w:rsid w:val="003210C0"/>
    <w:pPr>
      <w:numPr>
        <w:ilvl w:val="1"/>
        <w:numId w:val="13"/>
      </w:numPr>
      <w:spacing w:after="156"/>
      <w:jc w:val="both"/>
    </w:pPr>
    <w:rPr>
      <w:rFonts w:ascii="Arial" w:eastAsia="楷体_GB2312" w:hAnsi="Arial"/>
      <w:color w:val="000000"/>
      <w:kern w:val="2"/>
      <w:sz w:val="21"/>
      <w:szCs w:val="22"/>
    </w:rPr>
  </w:style>
  <w:style w:type="paragraph" w:customStyle="1" w:styleId="GJStylesSummaryContentNoMark">
    <w:name w:val="GJ_Styles_Summary_Content_NoMark"/>
    <w:qFormat/>
    <w:rsid w:val="003210C0"/>
    <w:pPr>
      <w:spacing w:afterLines="50" w:line="240" w:lineRule="exact"/>
      <w:jc w:val="both"/>
    </w:pPr>
    <w:rPr>
      <w:rFonts w:ascii="Arial" w:eastAsia="楷体_GB2312" w:hAnsi="Arial"/>
      <w:color w:val="000000"/>
      <w:kern w:val="2"/>
      <w:sz w:val="21"/>
      <w:szCs w:val="22"/>
    </w:rPr>
  </w:style>
  <w:style w:type="numbering" w:customStyle="1" w:styleId="GJStylesSummaryContentMark">
    <w:name w:val="GJ_Styles_Summary_Content_Mark"/>
    <w:uiPriority w:val="99"/>
    <w:rsid w:val="003210C0"/>
    <w:pPr>
      <w:numPr>
        <w:numId w:val="6"/>
      </w:numPr>
    </w:pPr>
  </w:style>
  <w:style w:type="paragraph" w:customStyle="1" w:styleId="GJStylesContentFirTitle">
    <w:name w:val="GJ_Styles_Content_FirTitle"/>
    <w:qFormat/>
    <w:rsid w:val="003210C0"/>
    <w:pPr>
      <w:spacing w:after="240" w:line="300" w:lineRule="exact"/>
      <w:ind w:left="3402"/>
      <w:jc w:val="both"/>
      <w:outlineLvl w:val="0"/>
    </w:pPr>
    <w:rPr>
      <w:rFonts w:ascii="Arial" w:eastAsia="楷体_GB2312" w:hAnsi="Arial"/>
      <w:b/>
      <w:kern w:val="2"/>
      <w:sz w:val="24"/>
      <w:szCs w:val="22"/>
    </w:rPr>
  </w:style>
  <w:style w:type="paragraph" w:customStyle="1" w:styleId="GJStylesContentSecTitle">
    <w:name w:val="GJ_Styles_Content_SecTitle"/>
    <w:qFormat/>
    <w:rsid w:val="003210C0"/>
    <w:pPr>
      <w:spacing w:after="120" w:line="240" w:lineRule="exact"/>
      <w:ind w:left="3402"/>
      <w:jc w:val="both"/>
      <w:outlineLvl w:val="1"/>
    </w:pPr>
    <w:rPr>
      <w:rFonts w:ascii="Arial" w:eastAsia="楷体_GB2312" w:hAnsi="Arial"/>
      <w:b/>
      <w:kern w:val="2"/>
      <w:sz w:val="21"/>
      <w:szCs w:val="22"/>
    </w:rPr>
  </w:style>
  <w:style w:type="paragraph" w:customStyle="1" w:styleId="GJStylesContentThirdTitle">
    <w:name w:val="GJ_Styles_Content_ThirdTitle"/>
    <w:qFormat/>
    <w:rsid w:val="003210C0"/>
    <w:pPr>
      <w:numPr>
        <w:numId w:val="7"/>
      </w:numPr>
      <w:spacing w:after="120" w:line="240" w:lineRule="exact"/>
      <w:jc w:val="both"/>
    </w:pPr>
    <w:rPr>
      <w:rFonts w:ascii="Arial" w:eastAsia="楷体_GB2312" w:hAnsi="Arial"/>
      <w:kern w:val="2"/>
      <w:sz w:val="21"/>
      <w:szCs w:val="22"/>
    </w:rPr>
  </w:style>
  <w:style w:type="paragraph" w:customStyle="1" w:styleId="GJStylesContentFourTitle">
    <w:name w:val="GJ_Styles_Content_FourTitle"/>
    <w:qFormat/>
    <w:rsid w:val="003210C0"/>
    <w:pPr>
      <w:numPr>
        <w:ilvl w:val="1"/>
        <w:numId w:val="7"/>
      </w:numPr>
      <w:spacing w:after="120" w:line="240" w:lineRule="exact"/>
      <w:jc w:val="both"/>
    </w:pPr>
    <w:rPr>
      <w:rFonts w:ascii="Arial" w:eastAsia="楷体_GB2312" w:hAnsi="Arial"/>
      <w:kern w:val="2"/>
      <w:sz w:val="21"/>
      <w:szCs w:val="22"/>
    </w:rPr>
  </w:style>
  <w:style w:type="paragraph" w:customStyle="1" w:styleId="GJStylesContentContent">
    <w:name w:val="GJ_Styles_Content_Content"/>
    <w:qFormat/>
    <w:rsid w:val="003210C0"/>
    <w:pPr>
      <w:spacing w:after="120" w:line="240" w:lineRule="exact"/>
      <w:ind w:left="3402" w:firstLineChars="200" w:firstLine="200"/>
      <w:jc w:val="both"/>
    </w:pPr>
    <w:rPr>
      <w:rFonts w:ascii="Arial" w:eastAsia="楷体_GB2312" w:hAnsi="Arial"/>
      <w:kern w:val="2"/>
      <w:sz w:val="21"/>
      <w:szCs w:val="22"/>
    </w:rPr>
  </w:style>
  <w:style w:type="paragraph" w:customStyle="1" w:styleId="GJStylesGraphTitle">
    <w:name w:val="GJ_Styles_Graph_Title"/>
    <w:qFormat/>
    <w:rsid w:val="003210C0"/>
    <w:pPr>
      <w:keepNext/>
      <w:suppressAutoHyphens/>
      <w:spacing w:after="40" w:line="240" w:lineRule="atLeast"/>
      <w:jc w:val="both"/>
    </w:pPr>
    <w:rPr>
      <w:rFonts w:ascii="Arial" w:eastAsia="楷体_GB2312" w:hAnsi="Arial"/>
      <w:b/>
      <w:i/>
      <w:color w:val="000000"/>
      <w:kern w:val="2"/>
      <w:sz w:val="21"/>
      <w:szCs w:val="22"/>
    </w:rPr>
  </w:style>
  <w:style w:type="paragraph" w:customStyle="1" w:styleId="GJStylesGraphSource">
    <w:name w:val="GJ_Styles_Graph_Source"/>
    <w:qFormat/>
    <w:rsid w:val="003210C0"/>
    <w:pPr>
      <w:spacing w:before="40" w:after="160"/>
      <w:jc w:val="both"/>
    </w:pPr>
    <w:rPr>
      <w:rFonts w:ascii="Arial" w:eastAsia="楷体_GB2312" w:hAnsi="Arial"/>
      <w:color w:val="000000"/>
      <w:kern w:val="2"/>
      <w:sz w:val="15"/>
      <w:szCs w:val="22"/>
    </w:rPr>
  </w:style>
  <w:style w:type="numbering" w:customStyle="1" w:styleId="GJStylesContentMark">
    <w:name w:val="GJ_Styles_Content_Mark"/>
    <w:uiPriority w:val="99"/>
    <w:rsid w:val="003210C0"/>
    <w:pPr>
      <w:numPr>
        <w:numId w:val="7"/>
      </w:numPr>
    </w:pPr>
  </w:style>
  <w:style w:type="paragraph" w:customStyle="1" w:styleId="GJStylesContentFirTitleWide">
    <w:name w:val="GJ_Styles_Content_FirTitle_Wide"/>
    <w:qFormat/>
    <w:rsid w:val="003210C0"/>
    <w:pPr>
      <w:spacing w:after="240" w:line="300" w:lineRule="exact"/>
      <w:jc w:val="both"/>
      <w:outlineLvl w:val="0"/>
    </w:pPr>
    <w:rPr>
      <w:rFonts w:ascii="Arial" w:eastAsia="楷体_GB2312" w:hAnsi="Arial"/>
      <w:b/>
      <w:kern w:val="2"/>
      <w:sz w:val="24"/>
      <w:szCs w:val="22"/>
    </w:rPr>
  </w:style>
  <w:style w:type="paragraph" w:customStyle="1" w:styleId="GJStylesContentSecTitleWide">
    <w:name w:val="GJ_Styles_Content_SecTitle_Wide"/>
    <w:qFormat/>
    <w:rsid w:val="003210C0"/>
    <w:pPr>
      <w:spacing w:after="120" w:line="240" w:lineRule="exact"/>
      <w:jc w:val="both"/>
      <w:outlineLvl w:val="1"/>
    </w:pPr>
    <w:rPr>
      <w:rFonts w:ascii="Arial" w:eastAsia="楷体_GB2312" w:hAnsi="Arial"/>
      <w:b/>
      <w:kern w:val="2"/>
      <w:sz w:val="21"/>
      <w:szCs w:val="22"/>
    </w:rPr>
  </w:style>
  <w:style w:type="paragraph" w:customStyle="1" w:styleId="GJStylesContentThirdTitleWide">
    <w:name w:val="GJ_Styles_Content_ThirdTitle_Wide"/>
    <w:qFormat/>
    <w:rsid w:val="003210C0"/>
    <w:pPr>
      <w:numPr>
        <w:numId w:val="26"/>
      </w:numPr>
      <w:spacing w:after="120" w:line="240" w:lineRule="exact"/>
      <w:jc w:val="both"/>
    </w:pPr>
    <w:rPr>
      <w:rFonts w:ascii="Arial" w:eastAsia="楷体_GB2312" w:hAnsi="Arial"/>
      <w:kern w:val="2"/>
      <w:sz w:val="21"/>
      <w:szCs w:val="22"/>
    </w:rPr>
  </w:style>
  <w:style w:type="paragraph" w:customStyle="1" w:styleId="GJStylesContentFourTitleWide">
    <w:name w:val="GJ_Styles_Content_FourTitle_Wide"/>
    <w:qFormat/>
    <w:rsid w:val="003210C0"/>
    <w:pPr>
      <w:numPr>
        <w:ilvl w:val="1"/>
        <w:numId w:val="26"/>
      </w:numPr>
      <w:spacing w:after="120" w:line="240" w:lineRule="exact"/>
      <w:jc w:val="both"/>
    </w:pPr>
    <w:rPr>
      <w:rFonts w:ascii="Arial" w:eastAsia="楷体_GB2312" w:hAnsi="Arial"/>
      <w:kern w:val="2"/>
      <w:sz w:val="21"/>
      <w:szCs w:val="22"/>
    </w:rPr>
  </w:style>
  <w:style w:type="paragraph" w:customStyle="1" w:styleId="GJStylesContentContentWide">
    <w:name w:val="GJ_Styles_Content_Content_Wide"/>
    <w:qFormat/>
    <w:rsid w:val="003210C0"/>
    <w:pPr>
      <w:spacing w:after="120" w:line="240" w:lineRule="exact"/>
      <w:ind w:firstLineChars="200" w:firstLine="200"/>
      <w:jc w:val="both"/>
    </w:pPr>
    <w:rPr>
      <w:rFonts w:ascii="Arial" w:eastAsia="楷体_GB2312" w:hAnsi="Arial"/>
      <w:kern w:val="2"/>
      <w:sz w:val="21"/>
      <w:szCs w:val="22"/>
    </w:rPr>
  </w:style>
  <w:style w:type="paragraph" w:customStyle="1" w:styleId="GJReportFirPageRelaReports">
    <w:name w:val="GJ_Report_FirPage_RelaReports"/>
    <w:qFormat/>
    <w:rsid w:val="003210C0"/>
    <w:pPr>
      <w:jc w:val="both"/>
    </w:pPr>
    <w:rPr>
      <w:rFonts w:ascii="Arial" w:eastAsia="楷体_GB2312" w:hAnsi="Arial"/>
      <w:kern w:val="2"/>
      <w:sz w:val="18"/>
      <w:szCs w:val="22"/>
    </w:rPr>
  </w:style>
  <w:style w:type="paragraph" w:customStyle="1" w:styleId="GJReportFirPageAuthorName">
    <w:name w:val="GJ_Report_FirPage_Author_Name"/>
    <w:qFormat/>
    <w:rsid w:val="003210C0"/>
    <w:pPr>
      <w:jc w:val="both"/>
    </w:pPr>
    <w:rPr>
      <w:rFonts w:ascii="Arial" w:eastAsia="楷体_GB2312" w:hAnsi="Arial"/>
      <w:b/>
      <w:kern w:val="2"/>
      <w:sz w:val="21"/>
      <w:szCs w:val="22"/>
    </w:rPr>
  </w:style>
  <w:style w:type="paragraph" w:customStyle="1" w:styleId="GJReportFirPageAuthorEmail">
    <w:name w:val="GJ_Report_FirPage_Author_Email"/>
    <w:qFormat/>
    <w:rsid w:val="003210C0"/>
    <w:pPr>
      <w:jc w:val="both"/>
    </w:pPr>
    <w:rPr>
      <w:rFonts w:ascii="Arial" w:eastAsia="楷体_GB2312" w:hAnsi="Arial"/>
      <w:b/>
      <w:kern w:val="2"/>
      <w:sz w:val="13"/>
      <w:szCs w:val="22"/>
    </w:rPr>
  </w:style>
  <w:style w:type="paragraph" w:customStyle="1" w:styleId="GJStylesTableTitleSuo">
    <w:name w:val="GJ_Styles_Table_Title_Suo"/>
    <w:qFormat/>
    <w:rsid w:val="003210C0"/>
    <w:pPr>
      <w:keepNext/>
      <w:pBdr>
        <w:top w:val="single" w:sz="4" w:space="1" w:color="00A0E9"/>
      </w:pBdr>
      <w:suppressAutoHyphens/>
      <w:spacing w:after="40" w:line="240" w:lineRule="atLeast"/>
      <w:ind w:left="3402"/>
      <w:jc w:val="both"/>
    </w:pPr>
    <w:rPr>
      <w:rFonts w:ascii="Arial" w:eastAsia="楷体_GB2312" w:hAnsi="Arial"/>
      <w:b/>
      <w:i/>
      <w:color w:val="000000"/>
      <w:kern w:val="2"/>
      <w:sz w:val="21"/>
      <w:szCs w:val="22"/>
    </w:rPr>
  </w:style>
  <w:style w:type="paragraph" w:customStyle="1" w:styleId="GJStylesTableSourceSuo">
    <w:name w:val="GJ_Styles_Table_Source_Suo"/>
    <w:qFormat/>
    <w:rsid w:val="003210C0"/>
    <w:pPr>
      <w:spacing w:before="40" w:after="160"/>
      <w:ind w:left="3402"/>
      <w:jc w:val="both"/>
    </w:pPr>
    <w:rPr>
      <w:rFonts w:ascii="Arial" w:eastAsia="楷体_GB2312" w:hAnsi="Arial"/>
      <w:color w:val="000000"/>
      <w:kern w:val="2"/>
      <w:sz w:val="15"/>
      <w:szCs w:val="22"/>
    </w:rPr>
  </w:style>
  <w:style w:type="numbering" w:customStyle="1" w:styleId="GJStylesContentMarkWide">
    <w:name w:val="GJ_Styles_Content_Mark_Wide"/>
    <w:uiPriority w:val="99"/>
    <w:rsid w:val="003210C0"/>
    <w:pPr>
      <w:numPr>
        <w:numId w:val="10"/>
      </w:numPr>
    </w:pPr>
  </w:style>
  <w:style w:type="table" w:customStyle="1" w:styleId="GJStylesChartInsertSingleCol">
    <w:name w:val="GJ_Styles_Chart_InsertSingleCol"/>
    <w:basedOn w:val="a2"/>
    <w:uiPriority w:val="99"/>
    <w:qFormat/>
    <w:rsid w:val="003210C0"/>
    <w:rPr>
      <w:rFonts w:ascii="Calibri" w:hAnsi="Calibri"/>
    </w:rPr>
    <w:tblPr>
      <w:tblInd w:w="0" w:type="dxa"/>
      <w:tblBorders>
        <w:top w:val="single" w:sz="4" w:space="0" w:color="00A0E9"/>
        <w:insideH w:val="single" w:sz="4" w:space="0" w:color="00A0E9"/>
      </w:tblBorders>
      <w:tblCellMar>
        <w:top w:w="0" w:type="dxa"/>
        <w:left w:w="108" w:type="dxa"/>
        <w:bottom w:w="0" w:type="dxa"/>
        <w:right w:w="108" w:type="dxa"/>
      </w:tblCellMar>
    </w:tblPr>
    <w:tcPr>
      <w:tcMar>
        <w:left w:w="0" w:type="dxa"/>
        <w:right w:w="0" w:type="dxa"/>
      </w:tcMar>
    </w:tcPr>
    <w:tblStylePr w:type="firstRow">
      <w:pPr>
        <w:wordWrap/>
        <w:jc w:val="left"/>
      </w:pPr>
    </w:tblStylePr>
    <w:tblStylePr w:type="lastRow">
      <w:pPr>
        <w:wordWrap/>
        <w:jc w:val="left"/>
      </w:pPr>
    </w:tblStylePr>
  </w:style>
  <w:style w:type="table" w:customStyle="1" w:styleId="GJStylesChartInsertDoubleCol">
    <w:name w:val="GJ_Styles_Chart_InsertDoubleCol"/>
    <w:basedOn w:val="a2"/>
    <w:uiPriority w:val="99"/>
    <w:qFormat/>
    <w:rsid w:val="003210C0"/>
    <w:rPr>
      <w:rFonts w:ascii="Calibri" w:hAnsi="Calibri"/>
    </w:rPr>
    <w:tblPr>
      <w:tblInd w:w="0" w:type="dxa"/>
      <w:tblCellMar>
        <w:top w:w="0" w:type="dxa"/>
        <w:left w:w="108" w:type="dxa"/>
        <w:bottom w:w="0" w:type="dxa"/>
        <w:right w:w="108" w:type="dxa"/>
      </w:tblCellMar>
    </w:tblPr>
    <w:tcPr>
      <w:tcMar>
        <w:left w:w="0" w:type="dxa"/>
        <w:right w:w="0" w:type="dxa"/>
      </w:tcMar>
    </w:tcPr>
    <w:tblStylePr w:type="firstCol">
      <w:tblPr/>
      <w:tcPr>
        <w:tcBorders>
          <w:top w:val="single" w:sz="4" w:space="0" w:color="00A0E9"/>
          <w:insideH w:val="single" w:sz="4" w:space="0" w:color="00A0E9"/>
        </w:tcBorders>
      </w:tcPr>
    </w:tblStylePr>
    <w:tblStylePr w:type="lastCol">
      <w:tblPr/>
      <w:tcPr>
        <w:tcBorders>
          <w:top w:val="single" w:sz="4" w:space="0" w:color="00A0E9"/>
          <w:insideH w:val="single" w:sz="4" w:space="0" w:color="00A0E9"/>
        </w:tcBorders>
      </w:tcPr>
    </w:tblStylePr>
  </w:style>
  <w:style w:type="paragraph" w:customStyle="1" w:styleId="GJStylesTableTitle">
    <w:name w:val="GJ_Styles_Table_Title"/>
    <w:qFormat/>
    <w:rsid w:val="003210C0"/>
    <w:pPr>
      <w:keepNext/>
      <w:pBdr>
        <w:top w:val="single" w:sz="4" w:space="1" w:color="00A0E9"/>
      </w:pBdr>
      <w:suppressAutoHyphens/>
      <w:spacing w:after="40" w:line="240" w:lineRule="atLeast"/>
      <w:jc w:val="both"/>
    </w:pPr>
    <w:rPr>
      <w:rFonts w:ascii="Arial" w:eastAsia="楷体_GB2312" w:hAnsi="Arial"/>
      <w:b/>
      <w:i/>
      <w:color w:val="000000"/>
      <w:kern w:val="2"/>
      <w:sz w:val="21"/>
      <w:szCs w:val="22"/>
    </w:rPr>
  </w:style>
  <w:style w:type="table" w:customStyle="1" w:styleId="GJStylesTableDefalutStyle">
    <w:name w:val="GJ_Styles_Table_DefalutStyle"/>
    <w:basedOn w:val="a2"/>
    <w:uiPriority w:val="99"/>
    <w:qFormat/>
    <w:rsid w:val="003210C0"/>
    <w:rPr>
      <w:rFonts w:ascii="Arial" w:eastAsia="楷体_GB2312" w:hAnsi="Arial"/>
      <w:color w:val="000000"/>
      <w:sz w:val="18"/>
    </w:rPr>
    <w:tblPr>
      <w:tblInd w:w="0" w:type="dxa"/>
      <w:tblBorders>
        <w:top w:val="single" w:sz="4" w:space="0" w:color="00A0E9"/>
        <w:bottom w:val="single" w:sz="4" w:space="0" w:color="00A0E9"/>
      </w:tblBorders>
      <w:tblCellMar>
        <w:top w:w="0" w:type="dxa"/>
        <w:left w:w="108" w:type="dxa"/>
        <w:bottom w:w="0" w:type="dxa"/>
        <w:right w:w="108" w:type="dxa"/>
      </w:tblCellMar>
    </w:tblPr>
    <w:tblStylePr w:type="firstRow">
      <w:pPr>
        <w:wordWrap/>
        <w:jc w:val="center"/>
      </w:pPr>
      <w:rPr>
        <w:b/>
      </w:rPr>
      <w:tblPr/>
      <w:tcPr>
        <w:tcBorders>
          <w:bottom w:val="single" w:sz="4" w:space="0" w:color="BFBFBF"/>
        </w:tcBorders>
      </w:tcPr>
    </w:tblStylePr>
  </w:style>
  <w:style w:type="paragraph" w:customStyle="1" w:styleId="GJStylesTableTitleRed">
    <w:name w:val="GJ_Styles_Table_Title_Red"/>
    <w:qFormat/>
    <w:rsid w:val="003210C0"/>
    <w:pPr>
      <w:keepNext/>
      <w:pBdr>
        <w:top w:val="single" w:sz="4" w:space="1" w:color="C00000"/>
      </w:pBdr>
      <w:suppressAutoHyphens/>
      <w:spacing w:after="40" w:line="240" w:lineRule="atLeast"/>
      <w:jc w:val="both"/>
    </w:pPr>
    <w:rPr>
      <w:rFonts w:ascii="Arial" w:eastAsia="楷体_GB2312" w:hAnsi="Arial"/>
      <w:b/>
      <w:i/>
      <w:color w:val="000000"/>
      <w:kern w:val="2"/>
      <w:sz w:val="21"/>
      <w:szCs w:val="22"/>
    </w:rPr>
  </w:style>
  <w:style w:type="paragraph" w:customStyle="1" w:styleId="GJStylesTableTitleSuoRed">
    <w:name w:val="GJ_Styles_Table_Title_Suo_Red"/>
    <w:qFormat/>
    <w:rsid w:val="003210C0"/>
    <w:pPr>
      <w:keepNext/>
      <w:pBdr>
        <w:top w:val="single" w:sz="4" w:space="1" w:color="C00000"/>
      </w:pBdr>
      <w:suppressAutoHyphens/>
      <w:spacing w:after="40" w:line="240" w:lineRule="atLeast"/>
      <w:ind w:left="3402"/>
      <w:jc w:val="both"/>
    </w:pPr>
    <w:rPr>
      <w:rFonts w:ascii="Arial" w:eastAsia="楷体_GB2312" w:hAnsi="Arial"/>
      <w:b/>
      <w:i/>
      <w:color w:val="000000"/>
      <w:kern w:val="2"/>
      <w:sz w:val="21"/>
      <w:szCs w:val="22"/>
    </w:rPr>
  </w:style>
  <w:style w:type="table" w:customStyle="1" w:styleId="GJStylesTableDefalutStyleRed">
    <w:name w:val="GJ_Styles_Table_DefalutStyle_Red"/>
    <w:basedOn w:val="a2"/>
    <w:uiPriority w:val="99"/>
    <w:qFormat/>
    <w:rsid w:val="003210C0"/>
    <w:rPr>
      <w:rFonts w:ascii="Arial" w:eastAsia="楷体_GB2312" w:hAnsi="Arial"/>
      <w:sz w:val="18"/>
    </w:rPr>
    <w:tblPr>
      <w:tblInd w:w="0" w:type="dxa"/>
      <w:tblBorders>
        <w:top w:val="single" w:sz="4" w:space="0" w:color="C00000"/>
        <w:bottom w:val="single" w:sz="4" w:space="0" w:color="C00000"/>
      </w:tblBorders>
      <w:tblCellMar>
        <w:top w:w="0" w:type="dxa"/>
        <w:left w:w="108" w:type="dxa"/>
        <w:bottom w:w="0" w:type="dxa"/>
        <w:right w:w="108" w:type="dxa"/>
      </w:tblCellMar>
    </w:tblPr>
    <w:tblStylePr w:type="firstRow">
      <w:rPr>
        <w:b/>
      </w:rPr>
      <w:tblPr/>
      <w:tcPr>
        <w:tcBorders>
          <w:bottom w:val="single" w:sz="4" w:space="0" w:color="BFBFBF"/>
        </w:tcBorders>
      </w:tcPr>
    </w:tblStylePr>
  </w:style>
  <w:style w:type="table" w:customStyle="1" w:styleId="GJStylesChartInsertSingleColRed">
    <w:name w:val="GJ_Styles_Chart_InsertSingleCol_Red"/>
    <w:basedOn w:val="a2"/>
    <w:uiPriority w:val="99"/>
    <w:qFormat/>
    <w:rsid w:val="003210C0"/>
    <w:rPr>
      <w:rFonts w:ascii="Calibri" w:hAnsi="Calibri"/>
    </w:rPr>
    <w:tblPr>
      <w:tblInd w:w="0" w:type="dxa"/>
      <w:tblBorders>
        <w:top w:val="single" w:sz="4" w:space="0" w:color="C00000"/>
        <w:insideH w:val="single" w:sz="4" w:space="0" w:color="C00000"/>
      </w:tblBorders>
      <w:tblCellMar>
        <w:top w:w="0" w:type="dxa"/>
        <w:left w:w="108" w:type="dxa"/>
        <w:bottom w:w="0" w:type="dxa"/>
        <w:right w:w="108" w:type="dxa"/>
      </w:tblCellMar>
    </w:tblPr>
  </w:style>
  <w:style w:type="table" w:customStyle="1" w:styleId="GJStylesChartInsertDoubleColRed">
    <w:name w:val="GJ_Styles_Chart_InsertDoubleCol_Red"/>
    <w:basedOn w:val="a2"/>
    <w:uiPriority w:val="99"/>
    <w:qFormat/>
    <w:rsid w:val="003210C0"/>
    <w:rPr>
      <w:rFonts w:ascii="Calibri" w:hAnsi="Calibri"/>
    </w:rPr>
    <w:tblPr>
      <w:tblInd w:w="0" w:type="dxa"/>
      <w:tblCellMar>
        <w:top w:w="0" w:type="dxa"/>
        <w:left w:w="108" w:type="dxa"/>
        <w:bottom w:w="0" w:type="dxa"/>
        <w:right w:w="108" w:type="dxa"/>
      </w:tblCellMar>
    </w:tblPr>
    <w:tblStylePr w:type="firstCol">
      <w:tblPr/>
      <w:tcPr>
        <w:tcBorders>
          <w:top w:val="single" w:sz="4" w:space="0" w:color="C00000"/>
          <w:insideH w:val="single" w:sz="4" w:space="0" w:color="C00000"/>
        </w:tcBorders>
      </w:tcPr>
    </w:tblStylePr>
    <w:tblStylePr w:type="lastCol">
      <w:tblPr/>
      <w:tcPr>
        <w:tcBorders>
          <w:top w:val="single" w:sz="4" w:space="0" w:color="C00000"/>
          <w:insideH w:val="single" w:sz="4" w:space="0" w:color="C00000"/>
        </w:tcBorders>
      </w:tcPr>
    </w:tblStylePr>
  </w:style>
  <w:style w:type="paragraph" w:customStyle="1" w:styleId="GJStylesMuluTitle">
    <w:name w:val="GJ_Styles_Mulu_Title"/>
    <w:rsid w:val="003210C0"/>
    <w:pPr>
      <w:spacing w:after="120" w:line="480" w:lineRule="exact"/>
      <w:ind w:left="3402"/>
      <w:jc w:val="both"/>
    </w:pPr>
    <w:rPr>
      <w:rFonts w:ascii="Arial" w:eastAsia="楷体_GB2312" w:hAnsi="Arial"/>
      <w:b/>
      <w:color w:val="000000"/>
      <w:kern w:val="2"/>
      <w:sz w:val="28"/>
      <w:szCs w:val="22"/>
    </w:rPr>
  </w:style>
  <w:style w:type="paragraph" w:customStyle="1" w:styleId="GJStylesMuluContent1">
    <w:name w:val="GJ_Styles_Mulu_Content1"/>
    <w:rsid w:val="003210C0"/>
    <w:pPr>
      <w:spacing w:line="312" w:lineRule="auto"/>
      <w:ind w:left="3402"/>
      <w:jc w:val="both"/>
    </w:pPr>
    <w:rPr>
      <w:rFonts w:ascii="Arial" w:eastAsia="楷体_GB2312" w:hAnsi="Arial"/>
      <w:color w:val="000000"/>
      <w:kern w:val="2"/>
      <w:sz w:val="21"/>
      <w:szCs w:val="22"/>
    </w:rPr>
  </w:style>
  <w:style w:type="paragraph" w:customStyle="1" w:styleId="GJStylesMuluContent2">
    <w:name w:val="GJ_Styles_Mulu_Content2"/>
    <w:rsid w:val="003210C0"/>
    <w:pPr>
      <w:spacing w:line="312" w:lineRule="auto"/>
      <w:ind w:leftChars="2000" w:left="2000"/>
      <w:jc w:val="both"/>
    </w:pPr>
    <w:rPr>
      <w:rFonts w:ascii="Arial" w:eastAsia="楷体_GB2312" w:hAnsi="Arial"/>
      <w:color w:val="000000"/>
      <w:kern w:val="2"/>
      <w:sz w:val="21"/>
      <w:szCs w:val="22"/>
    </w:rPr>
  </w:style>
  <w:style w:type="character" w:styleId="af2">
    <w:name w:val="Placeholder Text"/>
    <w:basedOn w:val="a1"/>
    <w:uiPriority w:val="99"/>
    <w:semiHidden/>
    <w:rsid w:val="00DC78A4"/>
    <w:rPr>
      <w:color w:val="808080"/>
    </w:rPr>
  </w:style>
  <w:style w:type="table" w:customStyle="1" w:styleId="GJStylesTableRatStyle">
    <w:name w:val="GJ_Styles_Table_RatStyle"/>
    <w:basedOn w:val="a2"/>
    <w:uiPriority w:val="99"/>
    <w:qFormat/>
    <w:rsid w:val="003210C0"/>
    <w:pPr>
      <w:jc w:val="center"/>
    </w:pPr>
    <w:rPr>
      <w:rFonts w:ascii="Arial" w:eastAsia="楷体_GB2312" w:hAnsi="Arial"/>
      <w:color w:val="000000"/>
      <w:sz w:val="18"/>
    </w:rPr>
    <w:tblPr>
      <w:tblInd w:w="0" w:type="dxa"/>
      <w:tblBorders>
        <w:top w:val="single" w:sz="4" w:space="0" w:color="C0C0C0"/>
        <w:bottom w:val="single" w:sz="4" w:space="0" w:color="C0C0C0"/>
        <w:insideH w:val="single" w:sz="4" w:space="0" w:color="C0C0C0"/>
      </w:tblBorders>
      <w:tblCellMar>
        <w:top w:w="0" w:type="dxa"/>
        <w:left w:w="0" w:type="dxa"/>
        <w:bottom w:w="0" w:type="dxa"/>
        <w:right w:w="28" w:type="dxa"/>
      </w:tblCellMar>
    </w:tblPr>
    <w:tcPr>
      <w:vAlign w:val="center"/>
    </w:tcPr>
    <w:tblStylePr w:type="firstRow">
      <w:pPr>
        <w:wordWrap/>
        <w:jc w:val="center"/>
        <w:outlineLvl w:val="9"/>
      </w:pPr>
      <w:rPr>
        <w:rFonts w:ascii="Arial" w:eastAsia="楷体_GB2312" w:hAnsi="Arial"/>
        <w:b/>
        <w:i w:val="0"/>
        <w:color w:val="000000"/>
        <w:sz w:val="18"/>
      </w:rPr>
      <w:tblPr/>
      <w:tcPr>
        <w:tcBorders>
          <w:top w:val="single" w:sz="4" w:space="0" w:color="BFBFBF"/>
          <w:left w:val="nil"/>
          <w:bottom w:val="single" w:sz="4" w:space="0" w:color="BFBFBF"/>
          <w:right w:val="nil"/>
          <w:insideH w:val="nil"/>
          <w:insideV w:val="nil"/>
          <w:tl2br w:val="nil"/>
          <w:tr2bl w:val="nil"/>
        </w:tcBorders>
      </w:tcPr>
    </w:tblStylePr>
  </w:style>
  <w:style w:type="table" w:customStyle="1" w:styleId="GJStylesTableRatStyle2">
    <w:name w:val="GJ_Styles_Table_RatStyle_2"/>
    <w:basedOn w:val="a2"/>
    <w:uiPriority w:val="99"/>
    <w:qFormat/>
    <w:rsid w:val="003210C0"/>
    <w:pPr>
      <w:jc w:val="center"/>
    </w:pPr>
    <w:rPr>
      <w:rFonts w:ascii="Arial" w:eastAsia="楷体_GB2312" w:hAnsi="Arial"/>
      <w:color w:val="000000"/>
      <w:sz w:val="18"/>
    </w:rPr>
    <w:tblPr>
      <w:tblInd w:w="0" w:type="dxa"/>
      <w:tblBorders>
        <w:top w:val="single" w:sz="4" w:space="0" w:color="00A0E9"/>
        <w:bottom w:val="single" w:sz="4" w:space="0" w:color="00A0E9"/>
      </w:tblBorders>
      <w:tblCellMar>
        <w:top w:w="0" w:type="dxa"/>
        <w:left w:w="0" w:type="dxa"/>
        <w:bottom w:w="0" w:type="dxa"/>
        <w:right w:w="28" w:type="dxa"/>
      </w:tblCellMar>
    </w:tblPr>
    <w:tcPr>
      <w:shd w:val="clear" w:color="auto" w:fill="FFFFFF"/>
      <w:vAlign w:val="center"/>
    </w:tcPr>
    <w:tblStylePr w:type="firstRow">
      <w:rPr>
        <w:rFonts w:ascii="楷体_GB2312" w:eastAsia="楷体_GB2312"/>
        <w:b/>
        <w:i w:val="0"/>
        <w:color w:val="000000"/>
        <w:sz w:val="18"/>
      </w:rPr>
      <w:tblPr/>
      <w:tcPr>
        <w:tcBorders>
          <w:top w:val="single" w:sz="4" w:space="0" w:color="00A0E9"/>
          <w:left w:val="nil"/>
          <w:bottom w:val="nil"/>
          <w:right w:val="nil"/>
          <w:insideH w:val="nil"/>
          <w:insideV w:val="nil"/>
          <w:tl2br w:val="nil"/>
          <w:tr2bl w:val="nil"/>
        </w:tcBorders>
        <w:shd w:val="clear" w:color="auto" w:fill="FFFFFF"/>
      </w:tcPr>
    </w:tblStylePr>
  </w:style>
  <w:style w:type="table" w:customStyle="1" w:styleId="GJStylesTableRatStyle3">
    <w:name w:val="GJ_Styles_Table_RatStyle_3"/>
    <w:basedOn w:val="a2"/>
    <w:uiPriority w:val="99"/>
    <w:qFormat/>
    <w:rsid w:val="003210C0"/>
    <w:pPr>
      <w:jc w:val="center"/>
    </w:pPr>
    <w:rPr>
      <w:rFonts w:ascii="Arial" w:eastAsia="楷体_GB2312" w:hAnsi="Arial"/>
      <w:sz w:val="18"/>
    </w:rPr>
    <w:tblPr>
      <w:tblInd w:w="0" w:type="dxa"/>
      <w:tblBorders>
        <w:insideH w:val="single" w:sz="6" w:space="0" w:color="C0C0C0"/>
      </w:tblBorders>
      <w:tblCellMar>
        <w:top w:w="0" w:type="dxa"/>
        <w:left w:w="0" w:type="dxa"/>
        <w:bottom w:w="0" w:type="dxa"/>
        <w:right w:w="0" w:type="dxa"/>
      </w:tblCellMar>
    </w:tblPr>
  </w:style>
  <w:style w:type="table" w:customStyle="1" w:styleId="GJStylesTableRatStyle4">
    <w:name w:val="GJ_Styles_Table_RatStyle_4"/>
    <w:basedOn w:val="a2"/>
    <w:uiPriority w:val="99"/>
    <w:qFormat/>
    <w:rsid w:val="003210C0"/>
    <w:rPr>
      <w:rFonts w:ascii="Arial" w:eastAsia="楷体_GB2312" w:hAnsi="Arial"/>
      <w:sz w:val="21"/>
    </w:rPr>
    <w:tblPr>
      <w:tblInd w:w="0" w:type="dxa"/>
      <w:tblCellMar>
        <w:top w:w="0" w:type="dxa"/>
        <w:left w:w="0" w:type="dxa"/>
        <w:bottom w:w="0" w:type="dxa"/>
        <w:right w:w="0" w:type="dxa"/>
      </w:tblCellMar>
    </w:tblPr>
    <w:tblStylePr w:type="firstRow">
      <w:rPr>
        <w:rFonts w:ascii="Arial" w:eastAsia="楷体_GB2312" w:hAnsi="Arial"/>
        <w:b/>
        <w:i w:val="0"/>
        <w:sz w:val="21"/>
      </w:rPr>
    </w:tblStylePr>
  </w:style>
  <w:style w:type="table" w:customStyle="1" w:styleId="GJStylesTableRatStyle5">
    <w:name w:val="GJ_Styles_Table_RatStyle_5"/>
    <w:basedOn w:val="a2"/>
    <w:uiPriority w:val="99"/>
    <w:qFormat/>
    <w:rsid w:val="003210C0"/>
    <w:pPr>
      <w:spacing w:after="120" w:line="240" w:lineRule="exact"/>
      <w:jc w:val="both"/>
    </w:pPr>
    <w:rPr>
      <w:rFonts w:ascii="Calibri" w:hAnsi="Calibri"/>
    </w:rPr>
    <w:tblPr>
      <w:tblInd w:w="0" w:type="dxa"/>
      <w:tblCellMar>
        <w:top w:w="0" w:type="dxa"/>
        <w:left w:w="108" w:type="dxa"/>
        <w:bottom w:w="0" w:type="dxa"/>
        <w:right w:w="108" w:type="dxa"/>
      </w:tblCellMar>
    </w:tblPr>
  </w:style>
  <w:style w:type="table" w:customStyle="1" w:styleId="GJStylesTableRatStyle6">
    <w:name w:val="GJ_Styles_Table_RatStyle_6"/>
    <w:basedOn w:val="a2"/>
    <w:uiPriority w:val="99"/>
    <w:qFormat/>
    <w:rsid w:val="003210C0"/>
    <w:pPr>
      <w:jc w:val="right"/>
    </w:pPr>
    <w:rPr>
      <w:rFonts w:ascii="Arial" w:eastAsia="楷体_GB2312" w:hAnsi="Arial"/>
      <w:sz w:val="18"/>
    </w:rPr>
    <w:tblPr>
      <w:tblInd w:w="0" w:type="dxa"/>
      <w:tblCellMar>
        <w:top w:w="0" w:type="dxa"/>
        <w:left w:w="0" w:type="dxa"/>
        <w:bottom w:w="0" w:type="dxa"/>
        <w:right w:w="0" w:type="dxa"/>
      </w:tblCellMar>
    </w:tblPr>
    <w:tblStylePr w:type="firstCol">
      <w:pPr>
        <w:jc w:val="center"/>
      </w:pPr>
      <w:rPr>
        <w:rFonts w:ascii="Arial" w:eastAsia="楷体_GB2312" w:hAnsi="Arial"/>
        <w:b w:val="0"/>
        <w:i w:val="0"/>
        <w:sz w:val="18"/>
      </w:rPr>
      <w:tblPr/>
      <w:tcPr>
        <w:tcBorders>
          <w:top w:val="nil"/>
          <w:left w:val="nil"/>
          <w:bottom w:val="nil"/>
          <w:right w:val="nil"/>
          <w:insideH w:val="nil"/>
          <w:insideV w:val="nil"/>
          <w:tl2br w:val="nil"/>
          <w:tr2bl w:val="nil"/>
        </w:tcBorders>
        <w:vAlign w:val="center"/>
      </w:tcPr>
    </w:tblStylePr>
  </w:style>
  <w:style w:type="table" w:customStyle="1" w:styleId="GJStylesTableRatStyle7">
    <w:name w:val="GJ_Styles_Table_RatStyle_7"/>
    <w:basedOn w:val="a2"/>
    <w:uiPriority w:val="99"/>
    <w:qFormat/>
    <w:rsid w:val="003210C0"/>
    <w:pPr>
      <w:jc w:val="both"/>
    </w:pPr>
    <w:rPr>
      <w:rFonts w:ascii="Calibri" w:eastAsia="楷体_GB2312" w:hAnsi="Calibri"/>
      <w:b/>
      <w:sz w:val="13"/>
    </w:rPr>
    <w:tblPr>
      <w:tblInd w:w="-34" w:type="dxa"/>
      <w:tblCellMar>
        <w:top w:w="0" w:type="dxa"/>
        <w:left w:w="0" w:type="dxa"/>
        <w:bottom w:w="0" w:type="dxa"/>
        <w:right w:w="0" w:type="dxa"/>
      </w:tblCellMar>
    </w:tblPr>
    <w:tblStylePr w:type="firstRow">
      <w:pPr>
        <w:jc w:val="both"/>
      </w:pPr>
      <w:rPr>
        <w:rFonts w:ascii="Arial" w:eastAsia="Monotype Sorts" w:hAnsi="Arial"/>
        <w:b/>
        <w:i w:val="0"/>
        <w:sz w:val="21"/>
      </w:rPr>
    </w:tblStylePr>
    <w:tblStylePr w:type="lastRow">
      <w:pPr>
        <w:jc w:val="both"/>
      </w:pPr>
      <w:rPr>
        <w:rFonts w:ascii="Arial" w:eastAsia="Monotype Sorts" w:hAnsi="Arial"/>
        <w:b/>
        <w:i w:val="0"/>
        <w:sz w:val="13"/>
      </w:r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numbering" w:customStyle="1" w:styleId="a0">
    <w:name w:val="GJStylesSummaryContentMark"/>
    <w:pPr>
      <w:numPr>
        <w:numId w:val="6"/>
      </w:numPr>
    </w:pPr>
  </w:style>
  <w:style w:type="numbering" w:customStyle="1" w:styleId="Contact">
    <w:name w:val="GJStylesContentMarkWide"/>
    <w:pPr>
      <w:numPr>
        <w:numId w:val="10"/>
      </w:numPr>
    </w:pPr>
  </w:style>
  <w:style w:type="numbering" w:customStyle="1" w:styleId="a4">
    <w:name w:val="GJStylesContentMark"/>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4278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wmf"/><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image" Target="media/image4.wmf"/><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8.wmf"/><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7.wmf"/><Relationship Id="rId23" Type="http://schemas.openxmlformats.org/officeDocument/2006/relationships/glossaryDocument" Target="glossary/document.xml"/><Relationship Id="rId10" Type="http://schemas.openxmlformats.org/officeDocument/2006/relationships/image" Target="media/image2.wmf"/><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wmf"/><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BigData\&#22269;&#37329;Word&#25554;&#20214;\config\Word\RptTemplate\&#19987;&#39064;&#25253;&#21578;&#19975;&#33021;&#29256;.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EE93CA264701430E92960E75BB2BDC3B"/>
        <w:category>
          <w:name w:val="常规"/>
          <w:gallery w:val="placeholder"/>
        </w:category>
        <w:types>
          <w:type w:val="bbPlcHdr"/>
        </w:types>
        <w:behaviors>
          <w:behavior w:val="content"/>
        </w:behaviors>
        <w:guid w:val="{0AFBA20E-A21C-4964-9406-685454F8006B}"/>
      </w:docPartPr>
      <w:docPartBody>
        <w:p w:rsidR="00B47F0F" w:rsidRDefault="00F7165C">
          <w:pPr>
            <w:pStyle w:val="EE93CA264701430E92960E75BB2BDC3B"/>
          </w:pPr>
          <w:r w:rsidRPr="001C4667">
            <w:rPr>
              <w:rStyle w:val="a3"/>
              <w:rFonts w:hint="eastAsia"/>
            </w:rPr>
            <w:t>单击此处输入文字。</w:t>
          </w:r>
        </w:p>
      </w:docPartBody>
    </w:docPart>
    <w:docPart>
      <w:docPartPr>
        <w:name w:val="BE343C0A3357424294F39F680051F9AF"/>
        <w:category>
          <w:name w:val="常规"/>
          <w:gallery w:val="placeholder"/>
        </w:category>
        <w:types>
          <w:type w:val="bbPlcHdr"/>
        </w:types>
        <w:behaviors>
          <w:behavior w:val="content"/>
        </w:behaviors>
        <w:guid w:val="{B5983D82-EEAE-4B0E-9A46-C4D1F34C7A6C}"/>
      </w:docPartPr>
      <w:docPartBody>
        <w:p w:rsidR="00B47F0F" w:rsidRDefault="00F7165C">
          <w:pPr>
            <w:pStyle w:val="BE343C0A3357424294F39F680051F9AF"/>
          </w:pPr>
          <w:r w:rsidRPr="004F02EC">
            <w:rPr>
              <w:rStyle w:val="a3"/>
              <w:rFonts w:hint="eastAsia"/>
            </w:rPr>
            <w:t>单击此处输入文字。</w:t>
          </w:r>
        </w:p>
      </w:docPartBody>
    </w:docPart>
    <w:docPart>
      <w:docPartPr>
        <w:name w:val="DA91429EABDC4B639FE5616858B3E722"/>
        <w:category>
          <w:name w:val="常规"/>
          <w:gallery w:val="placeholder"/>
        </w:category>
        <w:types>
          <w:type w:val="bbPlcHdr"/>
        </w:types>
        <w:behaviors>
          <w:behavior w:val="content"/>
        </w:behaviors>
        <w:guid w:val="{58B2DA1D-FD97-4267-A666-BF24CAE3D99D}"/>
      </w:docPartPr>
      <w:docPartBody>
        <w:p w:rsidR="00B078D3" w:rsidRDefault="00B72D56">
          <w:r w:rsidRPr="00696874">
            <w:rPr>
              <w:rStyle w:val="a3"/>
              <w:rFonts w:hint="eastAsia"/>
            </w:rPr>
            <w:t>报告类型</w:t>
          </w:r>
        </w:p>
      </w:docPartBody>
    </w:docPart>
    <w:docPart>
      <w:docPartPr>
        <w:name w:val="0D16CD4B0A6041038C736C01EC87AF53"/>
        <w:category>
          <w:name w:val="常规"/>
          <w:gallery w:val="placeholder"/>
        </w:category>
        <w:types>
          <w:type w:val="bbPlcHdr"/>
        </w:types>
        <w:behaviors>
          <w:behavior w:val="content"/>
        </w:behaviors>
        <w:guid w:val="{041FDE92-1782-4E71-B73E-CF9E6502E3A4}"/>
      </w:docPartPr>
      <w:docPartBody>
        <w:p w:rsidR="00B078D3" w:rsidRDefault="00B72D56">
          <w:r w:rsidRPr="00696874">
            <w:rPr>
              <w:rStyle w:val="a3"/>
              <w:rFonts w:hint="eastAsia"/>
            </w:rPr>
            <w:t>报告日期</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楷体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Monotype Sorts">
    <w:altName w:val="Courier New"/>
    <w:panose1 w:val="00000000000000000000"/>
    <w:charset w:val="02"/>
    <w:family w:val="auto"/>
    <w:notTrueType/>
    <w:pitch w:val="variable"/>
  </w:font>
  <w:font w:name="Arial">
    <w:panose1 w:val="020B0604020202020204"/>
    <w:charset w:val="00"/>
    <w:family w:val="swiss"/>
    <w:pitch w:val="variable"/>
    <w:sig w:usb0="E0002AFF" w:usb1="C0007843"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LucidaT">
    <w:altName w:val="Times New Roman"/>
    <w:panose1 w:val="00000000000000000000"/>
    <w:charset w:val="00"/>
    <w:family w:val="auto"/>
    <w:notTrueType/>
    <w:pitch w:val="variable"/>
    <w:sig w:usb0="00000003" w:usb1="00000000" w:usb2="00000000" w:usb3="00000000" w:csb0="00000001" w:csb1="00000000"/>
  </w:font>
  <w:font w:name="LucidaSans">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BA1BE2"/>
    <w:rsid w:val="00070B0D"/>
    <w:rsid w:val="000A3BEB"/>
    <w:rsid w:val="00123066"/>
    <w:rsid w:val="001F56F2"/>
    <w:rsid w:val="00234BAA"/>
    <w:rsid w:val="00400C3F"/>
    <w:rsid w:val="0042460E"/>
    <w:rsid w:val="0051748B"/>
    <w:rsid w:val="005744EC"/>
    <w:rsid w:val="005B200B"/>
    <w:rsid w:val="00614CC3"/>
    <w:rsid w:val="006751B9"/>
    <w:rsid w:val="00794BC7"/>
    <w:rsid w:val="007A6E7B"/>
    <w:rsid w:val="007E74B9"/>
    <w:rsid w:val="00881CBF"/>
    <w:rsid w:val="008B31C0"/>
    <w:rsid w:val="009152D3"/>
    <w:rsid w:val="00916AF7"/>
    <w:rsid w:val="00917607"/>
    <w:rsid w:val="009535CF"/>
    <w:rsid w:val="009906A7"/>
    <w:rsid w:val="009B44A7"/>
    <w:rsid w:val="00A90CA8"/>
    <w:rsid w:val="00A9619F"/>
    <w:rsid w:val="00B078D3"/>
    <w:rsid w:val="00B40151"/>
    <w:rsid w:val="00B47F0F"/>
    <w:rsid w:val="00B72D56"/>
    <w:rsid w:val="00B8260F"/>
    <w:rsid w:val="00BA1BE2"/>
    <w:rsid w:val="00CF289E"/>
    <w:rsid w:val="00CF4D53"/>
    <w:rsid w:val="00D836B4"/>
    <w:rsid w:val="00D91520"/>
    <w:rsid w:val="00D93C43"/>
    <w:rsid w:val="00DA4BBE"/>
    <w:rsid w:val="00DC40EC"/>
    <w:rsid w:val="00E86CEE"/>
    <w:rsid w:val="00F67415"/>
    <w:rsid w:val="00F7165C"/>
    <w:rsid w:val="00FA6868"/>
    <w:rsid w:val="00FE2B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7F0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72D56"/>
    <w:rPr>
      <w:color w:val="808080"/>
    </w:rPr>
  </w:style>
  <w:style w:type="paragraph" w:customStyle="1" w:styleId="EE93CA264701430E92960E75BB2BDC3B">
    <w:name w:val="EE93CA264701430E92960E75BB2BDC3B"/>
    <w:rsid w:val="00B47F0F"/>
    <w:pPr>
      <w:widowControl w:val="0"/>
      <w:jc w:val="both"/>
    </w:pPr>
  </w:style>
  <w:style w:type="paragraph" w:customStyle="1" w:styleId="BE343C0A3357424294F39F680051F9AF">
    <w:name w:val="BE343C0A3357424294F39F680051F9AF"/>
    <w:rsid w:val="00B47F0F"/>
    <w:pPr>
      <w:widowControl w:val="0"/>
      <w:jc w:val="both"/>
    </w:pPr>
  </w:style>
  <w:style w:type="paragraph" w:customStyle="1" w:styleId="A8FCE2F95BC3413FA53FA3C82B6C3AAB">
    <w:name w:val="A8FCE2F95BC3413FA53FA3C82B6C3AAB"/>
    <w:rsid w:val="00B47F0F"/>
    <w:pPr>
      <w:widowControl w:val="0"/>
      <w:jc w:val="both"/>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E84AD0-2D98-4F5A-97BA-325EA16497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专题报告万能版.dotx</Template>
  <TotalTime>6384</TotalTime>
  <Pages>12</Pages>
  <Words>2140</Words>
  <Characters>12198</Characters>
  <Application>Microsoft Office Word</Application>
  <DocSecurity>0</DocSecurity>
  <Lines>101</Lines>
  <Paragraphs>28</Paragraphs>
  <ScaleCrop>false</ScaleCrop>
  <Company/>
  <LinksUpToDate>false</LinksUpToDate>
  <CharactersWithSpaces>14310</CharactersWithSpaces>
  <SharedDoc>false</SharedDoc>
  <HLinks>
    <vt:vector size="60" baseType="variant">
      <vt:variant>
        <vt:i4>1179710</vt:i4>
      </vt:variant>
      <vt:variant>
        <vt:i4>59</vt:i4>
      </vt:variant>
      <vt:variant>
        <vt:i4>0</vt:i4>
      </vt:variant>
      <vt:variant>
        <vt:i4>5</vt:i4>
      </vt:variant>
      <vt:variant>
        <vt:lpwstr/>
      </vt:variant>
      <vt:variant>
        <vt:lpwstr>_Toc240795531</vt:lpwstr>
      </vt:variant>
      <vt:variant>
        <vt:i4>2031673</vt:i4>
      </vt:variant>
      <vt:variant>
        <vt:i4>50</vt:i4>
      </vt:variant>
      <vt:variant>
        <vt:i4>0</vt:i4>
      </vt:variant>
      <vt:variant>
        <vt:i4>5</vt:i4>
      </vt:variant>
      <vt:variant>
        <vt:lpwstr/>
      </vt:variant>
      <vt:variant>
        <vt:lpwstr>_Toc239840639</vt:lpwstr>
      </vt:variant>
      <vt:variant>
        <vt:i4>2031673</vt:i4>
      </vt:variant>
      <vt:variant>
        <vt:i4>44</vt:i4>
      </vt:variant>
      <vt:variant>
        <vt:i4>0</vt:i4>
      </vt:variant>
      <vt:variant>
        <vt:i4>5</vt:i4>
      </vt:variant>
      <vt:variant>
        <vt:lpwstr/>
      </vt:variant>
      <vt:variant>
        <vt:lpwstr>_Toc239840638</vt:lpwstr>
      </vt:variant>
      <vt:variant>
        <vt:i4>2031673</vt:i4>
      </vt:variant>
      <vt:variant>
        <vt:i4>38</vt:i4>
      </vt:variant>
      <vt:variant>
        <vt:i4>0</vt:i4>
      </vt:variant>
      <vt:variant>
        <vt:i4>5</vt:i4>
      </vt:variant>
      <vt:variant>
        <vt:lpwstr/>
      </vt:variant>
      <vt:variant>
        <vt:lpwstr>_Toc239840637</vt:lpwstr>
      </vt:variant>
      <vt:variant>
        <vt:i4>2031673</vt:i4>
      </vt:variant>
      <vt:variant>
        <vt:i4>32</vt:i4>
      </vt:variant>
      <vt:variant>
        <vt:i4>0</vt:i4>
      </vt:variant>
      <vt:variant>
        <vt:i4>5</vt:i4>
      </vt:variant>
      <vt:variant>
        <vt:lpwstr/>
      </vt:variant>
      <vt:variant>
        <vt:lpwstr>_Toc239840636</vt:lpwstr>
      </vt:variant>
      <vt:variant>
        <vt:i4>2031673</vt:i4>
      </vt:variant>
      <vt:variant>
        <vt:i4>26</vt:i4>
      </vt:variant>
      <vt:variant>
        <vt:i4>0</vt:i4>
      </vt:variant>
      <vt:variant>
        <vt:i4>5</vt:i4>
      </vt:variant>
      <vt:variant>
        <vt:lpwstr/>
      </vt:variant>
      <vt:variant>
        <vt:lpwstr>_Toc239840635</vt:lpwstr>
      </vt:variant>
      <vt:variant>
        <vt:i4>2031673</vt:i4>
      </vt:variant>
      <vt:variant>
        <vt:i4>20</vt:i4>
      </vt:variant>
      <vt:variant>
        <vt:i4>0</vt:i4>
      </vt:variant>
      <vt:variant>
        <vt:i4>5</vt:i4>
      </vt:variant>
      <vt:variant>
        <vt:lpwstr/>
      </vt:variant>
      <vt:variant>
        <vt:lpwstr>_Toc239840634</vt:lpwstr>
      </vt:variant>
      <vt:variant>
        <vt:i4>2031673</vt:i4>
      </vt:variant>
      <vt:variant>
        <vt:i4>14</vt:i4>
      </vt:variant>
      <vt:variant>
        <vt:i4>0</vt:i4>
      </vt:variant>
      <vt:variant>
        <vt:i4>5</vt:i4>
      </vt:variant>
      <vt:variant>
        <vt:lpwstr/>
      </vt:variant>
      <vt:variant>
        <vt:lpwstr>_Toc239840633</vt:lpwstr>
      </vt:variant>
      <vt:variant>
        <vt:i4>2031673</vt:i4>
      </vt:variant>
      <vt:variant>
        <vt:i4>8</vt:i4>
      </vt:variant>
      <vt:variant>
        <vt:i4>0</vt:i4>
      </vt:variant>
      <vt:variant>
        <vt:i4>5</vt:i4>
      </vt:variant>
      <vt:variant>
        <vt:lpwstr/>
      </vt:variant>
      <vt:variant>
        <vt:lpwstr>_Toc239840632</vt:lpwstr>
      </vt:variant>
      <vt:variant>
        <vt:i4>2031673</vt:i4>
      </vt:variant>
      <vt:variant>
        <vt:i4>2</vt:i4>
      </vt:variant>
      <vt:variant>
        <vt:i4>0</vt:i4>
      </vt:variant>
      <vt:variant>
        <vt:i4>5</vt:i4>
      </vt:variant>
      <vt:variant>
        <vt:lpwstr/>
      </vt:variant>
      <vt:variant>
        <vt:lpwstr>_Toc239840631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公司研究</dc:title>
  <dc:subject>公司研究</dc:subject>
  <dc:creator>王聃聃</dc:creator>
  <cp:keywords>模板</cp:keywords>
  <cp:lastModifiedBy>翁倩岚</cp:lastModifiedBy>
  <cp:revision>389</cp:revision>
  <cp:lastPrinted>2014-10-10T02:53:00Z</cp:lastPrinted>
  <dcterms:created xsi:type="dcterms:W3CDTF">2015-03-02T02:11:00Z</dcterms:created>
  <dcterms:modified xsi:type="dcterms:W3CDTF">2015-07-06T08:33:00Z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DCONTENTCONTROL_7592d0e5-15bb-4c61-826b-158ffdefbf84">
    <vt:lpwstr>GetData?Formula=PVBBUigiUmVwb3J0RGF0ZSIp&amp;FunctionName=PAR&amp;ContentType=TEXT&amp;Caption=报告日期&amp;DatasourceType=PAR&amp;StyleId=&amp;Other=yyyy年MM月dd日&amp;IsOnlyRefresh=False</vt:lpwstr>
  </property>
  <property fmtid="{D5CDD505-2E9C-101B-9397-08002B2CF9AE}" pid="3" name="BDCONTENTCONTROL_5c179c93-3177-4ab7-ae62-1dc3677fa3d8">
    <vt:lpwstr>GetData?Formula=PVBBUigiUmVwb3J0RGF0ZSIp&amp;FunctionName=PAR&amp;ContentType=TEXT&amp;Caption=报告日期&amp;DatasourceType=PAR&amp;StyleId=&amp;Other=yyyy年MM月dd日&amp;IsOnlyRefresh=False</vt:lpwstr>
  </property>
  <property fmtid="{D5CDD505-2E9C-101B-9397-08002B2CF9AE}" pid="4" name="BDCONTENTCONTROL_041a4771-0be9-4b94-b712-4a498ce28cf4">
    <vt:lpwstr>GetData?Formula=PVBBUigiQ29tUmFuayIp&amp;FunctionName=PAR&amp;ContentType=TEXT&amp;Caption=投资评级&amp;DatasourceType=PAR&amp;StyleId=&amp;Other=&amp;IsOnlyRefresh=False</vt:lpwstr>
  </property>
  <property fmtid="{D5CDD505-2E9C-101B-9397-08002B2CF9AE}" pid="5" name="BDCONTENTCONTROL_1bc0465d-2dae-4eb8-b81d-d7fb89f80052">
    <vt:lpwstr>GetData?Formula=PVBBUigiUmFua0FqdXN0Iik=&amp;FunctionName=PAR&amp;ContentType=TEXT&amp;Caption=评级变动&amp;DatasourceType=PAR&amp;StyleId=&amp;Other=&amp;IsOnlyRefresh=False</vt:lpwstr>
  </property>
  <property fmtid="{D5CDD505-2E9C-101B-9397-08002B2CF9AE}" pid="6" name="BDCONTENTCONTROL_2602561a-fc2b-4adc-befd-22fa63ba88c6">
    <vt:lpwstr>GetData?Formula=PURJWSgiUG9zdFNlcnZpY2UuYXNweD9TZXJ2aWNlPVN1YmplY3REYXRhU2VydmljZS5HZXRzJkZ1bmN0aW9uPUdldHNTZXJ2aWNlJkZMQUc9MSZPQkpfVldfSUQ9MTMwMDAwMDEiKQ==&amp;FunctionName=DIY&amp;ContentType=TABLE&amp;Caption=末页联系地址&amp;DatasourceType=DIYTable&amp;StyleId=0&amp;Other=13000001</vt:lpwstr>
  </property>
  <property fmtid="{D5CDD505-2E9C-101B-9397-08002B2CF9AE}" pid="7" name="BDCONTENTCONTROL_2602561a-fc2b-4adc-befd-22fa63ba88c6#2">
    <vt:lpwstr>&amp;IsOnlyRefresh=True&amp;StartRow=1&amp;RemainRows=2</vt:lpwstr>
  </property>
  <property fmtid="{D5CDD505-2E9C-101B-9397-08002B2CF9AE}" pid="8" name="BDCONTENTCONTROL_3add0a4e-8415-463a-afb4-ccd2e0c28ff9">
    <vt:lpwstr>GetData?Formula=PURJWSgiUG9zdFNlcnZpY2UuYXNweD9TZXJ2aWNlPVN1YmplY3REYXRhU2VydmljZS5HZXRzJkZ1bmN0aW9uPUdldHNTZXJ2aWNlJkZMQUc9MSZPQkpfVldfSUQ9MTMwMDAwMDUmQkRfQ09ERT0nNjAwMDI4JyZSZXBvcnREYXRlPScyMDA3JTJGNyUyRjExJTIwMCUzQTAwJTNBMDAnJm9yZGVyPSU3QiUyMkElMjIlM0E</vt:lpwstr>
  </property>
  <property fmtid="{D5CDD505-2E9C-101B-9397-08002B2CF9AE}" pid="9" name="BDCONTENTCONTROL_3add0a4e-8415-463a-afb4-ccd2e0c28ff9#2">
    <vt:lpwstr>wJTdEIik=&amp;FunctionName=DIY&amp;ContentType=TABLE&amp;Caption=报告评级比率分析&amp;DatasourceType=DIYTable&amp;StyleId=0&amp;Other=13000005&amp;IsOnlyRefresh=False</vt:lpwstr>
  </property>
  <property fmtid="{D5CDD505-2E9C-101B-9397-08002B2CF9AE}" pid="10" name="BDCONTENTCONTROL_a8d4360b-f486-4c10-adb5-ce3260e60d2a">
    <vt:lpwstr>GetData?Formula=PURJWSgiUG9zdFNlcnZpY2UuYXNweD9TZXJ2aWNlPVN1YmplY3REYXRhU2VydmljZS5HZXRzJkZ1bmN0aW9uPUdldHNTZXJ2aWNlJkZMQUc9MSZPQkpfVldfSUQ9MTMwMDAwMDUmQkRfQ09ERT0nNjAwMDI4JyZSZXBvcnREYXRlPScyMDE0LTktMjYnJm9yZGVyPSU3QiUyMkElMjIlM0EwJTdEIik=&amp;FunctionName=D</vt:lpwstr>
  </property>
  <property fmtid="{D5CDD505-2E9C-101B-9397-08002B2CF9AE}" pid="11" name="BDCONTENTCONTROL_a8d4360b-f486-4c10-adb5-ce3260e60d2a#2">
    <vt:lpwstr>IY&amp;ContentType=TABLE&amp;Caption=报告评级比率分析&amp;DatasourceType=DIYTable&amp;StyleId=0&amp;Other=13000005&amp;IsOnlyRefresh=False</vt:lpwstr>
  </property>
  <property fmtid="{D5CDD505-2E9C-101B-9397-08002B2CF9AE}" pid="12" name="BDCONTENTCONTROL_836ae175-361a-4de8-98eb-6e727a235a8c">
    <vt:lpwstr>GetData?Formula=PURJWSgiUG9zdFNlcnZpY2UuYXNweD9TZXJ2aWNlPVN1YmplY3REYXRhU2VydmljZS5HZXRzJkZ1bmN0aW9uPUdldHNTZXJ2aWNlJkZMQUc9MSZPQkpfVldfSUQ9MTMwMDAwMDUmQkRfQ09ERT0nNjAwMDI4JyZSZXBvcnREYXRlPScyMDA3LTctMTEnJm9yZGVyPSU3QiUyMkElMjIlM0EwJTdEIik=&amp;FunctionName=D</vt:lpwstr>
  </property>
  <property fmtid="{D5CDD505-2E9C-101B-9397-08002B2CF9AE}" pid="13" name="BDCONTENTCONTROL_836ae175-361a-4de8-98eb-6e727a235a8c#2">
    <vt:lpwstr>IY&amp;ContentType=TABLE&amp;Caption=报告评级比率分析&amp;DatasourceType=DIYTable&amp;StyleId=0&amp;Other=13000005&amp;IsOnlyRefresh=False</vt:lpwstr>
  </property>
  <property fmtid="{D5CDD505-2E9C-101B-9397-08002B2CF9AE}" pid="14" name="BDCONTENTCONTROL_fa65df0e-cad1-46fd-8d9a-66943b5311b5">
    <vt:lpwstr>GetData?Formula=PURJWSgiUG9zdFNlcnZpY2UuYXNweD9TZXJ2aWNlPVN1YmplY3REYXRhU2VydmljZS5HZXRzJkZ1bmN0aW9uPUdldHNTZXJ2aWNlJkZMQUc9MSZPQkpfVldfSUQ9MTMwMDAwMDUmQkRfQ09ERT0nNjAwMDI4JyZSZXBvcnREYXRlPScyMDA3LTctMTEnJm9yZGVyPSU3QiUyMkElMjIlM0EwJTdEIik=&amp;FunctionName=D</vt:lpwstr>
  </property>
  <property fmtid="{D5CDD505-2E9C-101B-9397-08002B2CF9AE}" pid="15" name="BDCONTENTCONTROL_fa65df0e-cad1-46fd-8d9a-66943b5311b5#2">
    <vt:lpwstr>IY&amp;ContentType=TABLE&amp;Caption=报告评级比率分析&amp;DatasourceType=DIYTable&amp;StyleId=0&amp;Other=13000005&amp;IsOnlyRefresh=False</vt:lpwstr>
  </property>
  <property fmtid="{D5CDD505-2E9C-101B-9397-08002B2CF9AE}" pid="16" name="BDCONTENTCONTROL_9b7c2d7f-a274-48a5-ade1-684fed3c8341">
    <vt:lpwstr>GetData?Formula=PURJWSgiUG9zdFNlcnZpY2UuYXNweD9TZXJ2aWNlPVN1YmplY3REYXRhU2VydmljZS5HZXRzJkZ1bmN0aW9uPUdldHNTZXJ2aWNlJkZMQUc9MSZPQkpfVldfSUQ9MTMwMDAwMDUmQkRfQ09ERT0nNjAwMDI4JyZSZXBvcnREYXRlPScyMDA3LTctMTEnJm9yZGVyPSU3QiUyMkElMjIlM0EwJTdEIik=&amp;FunctionName=D</vt:lpwstr>
  </property>
  <property fmtid="{D5CDD505-2E9C-101B-9397-08002B2CF9AE}" pid="17" name="BDCONTENTCONTROL_9b7c2d7f-a274-48a5-ade1-684fed3c8341#2">
    <vt:lpwstr>IY&amp;ContentType=TABLE&amp;Caption=报告评级比率分析&amp;DatasourceType=DIYTable&amp;StyleId=0&amp;Other=13000005&amp;IsOnlyRefresh=False</vt:lpwstr>
  </property>
  <property fmtid="{D5CDD505-2E9C-101B-9397-08002B2CF9AE}" pid="18" name="BDCONTENTCONTROL_6c067a8c-6d03-438e-9514-ba2fec9aa546#2">
    <vt:lpwstr>iKQ==&amp;FunctionName=DIY&amp;ContentType=TABLE&amp;Caption=报告评级比率分析&amp;DatasourceType=DIYTable&amp;StyleId=0&amp;Other=13000005&amp;IsOnlyRefresh=True&amp;StartRow=1&amp;RemainRows=6</vt:lpwstr>
  </property>
  <property fmtid="{D5CDD505-2E9C-101B-9397-08002B2CF9AE}" pid="19" name="RankAjust_Value">
    <vt:lpwstr>1</vt:lpwstr>
  </property>
  <property fmtid="{D5CDD505-2E9C-101B-9397-08002B2CF9AE}" pid="20" name="RankAjust_DisplayName">
    <vt:lpwstr>首次评级</vt:lpwstr>
  </property>
  <property fmtid="{D5CDD505-2E9C-101B-9397-08002B2CF9AE}" pid="21" name="BDCONTENTCONTROL_90a28eaf-840e-4104-995f-66ef522ba654">
    <vt:lpwstr>GetData?Formula=PVBBUigiQWltUHJpY2VIaWdoIik=&amp;FunctionName=PAR&amp;ContentType=TEXT&amp;Caption=目标价上限&amp;DatasourceType=PAR&amp;StyleId=&amp;Other=&amp;IsOnlyRefresh=False&amp;IsDataSubmission=</vt:lpwstr>
  </property>
  <property fmtid="{D5CDD505-2E9C-101B-9397-08002B2CF9AE}" pid="22" name="BDCONTENTCONTROL_33fd6f44-455f-4b93-8c76-ff7ef6f5596b">
    <vt:lpwstr>GetData?Formula=PURJWSgiUG9zdFNlcnZpY2UuYXNweD9TZXJ2aWNlPVN1YmplY3REYXRhU2VydmljZS5HZXRzJkZ1bmN0aW9uPUdldHNTZXJ2aWNlJkZMQUc9MSZPQkpfVldfSUQ9MTMwMDAwMDgmQkRfQ09ERT0nNjAwNTA1JyZSZXBvcnREYXRlPScyMDE0LTEwLTIxJyIp&amp;FunctionName=DIY&amp;ContentType=TABLE&amp;Caption=历史推</vt:lpwstr>
  </property>
  <property fmtid="{D5CDD505-2E9C-101B-9397-08002B2CF9AE}" pid="23" name="BDCONTENTCONTROL_33fd6f44-455f-4b93-8c76-ff7ef6f5596b#2">
    <vt:lpwstr>荐和股价走势图&amp;DatasourceType=DIYChart&amp;StyleId=45&amp;Other={"ID":45,"IsTile":false,"Title":null,"Height":2.0,"Width":3.0,"TemplateName":null,"StyleName":null,"IsExpand":false,"IsCustom":false,"IsMainMinValue":false,"IsSecMinValue":false,"IsDataLabel":false,"IsRefre</vt:lpwstr>
  </property>
  <property fmtid="{D5CDD505-2E9C-101B-9397-08002B2CF9AE}" pid="24" name="BDCONTENTCONTROL_33fd6f44-455f-4b93-8c76-ff7ef6f5596b#3">
    <vt:lpwstr>shTemplate":false,"CustomKey":null,"ObjViewID":"13000008"}&amp;IsOnlyRefresh=False&amp;IsDataSubmission=&amp;ContentColor=</vt:lpwstr>
  </property>
  <property fmtid="{D5CDD505-2E9C-101B-9397-08002B2CF9AE}" pid="25" name="BDCONTENTCONTROL_ce083c24-69a8-4a3c-be7d-5984dfcd714f">
    <vt:lpwstr>GetData?Formula=PURJWSgiUG9zdFNlcnZpY2UuYXNweD9TZXJ2aWNlPVN1YmplY3REYXRhU2VydmljZS5HZXRzJkZ1bmN0aW9uPUdldHNTZXJ2aWNlJkZMQUc9MSZPQkpfVldfSUQ9MTMwMDAwMDgmQkRfQ09ERT0nNjAwNTA1JyZSZXBvcnREYXRlPScyMDE0LTEwLTIxJyIp&amp;FunctionName=DIY&amp;ContentType=TABLE&amp;Caption=历史推</vt:lpwstr>
  </property>
  <property fmtid="{D5CDD505-2E9C-101B-9397-08002B2CF9AE}" pid="26" name="BDCONTENTCONTROL_ce083c24-69a8-4a3c-be7d-5984dfcd714f#2">
    <vt:lpwstr>荐和股价走势图&amp;DatasourceType=DIYChart&amp;StyleId=45&amp;Other={"ID":45,"IsTile":false,"Title":null,"Height":2.3,"Width":3.0,"TemplateName":null,"StyleName":null,"IsExpand":false,"IsCustom":false,"IsMainMinValue":false,"IsSecMinValue":false,"IsDataLabel":false,"IsRefre</vt:lpwstr>
  </property>
  <property fmtid="{D5CDD505-2E9C-101B-9397-08002B2CF9AE}" pid="27" name="BDCONTENTCONTROL_ce083c24-69a8-4a3c-be7d-5984dfcd714f#3">
    <vt:lpwstr>shTemplate":false,"CustomKey":null,"ObjViewID":"13000008"}&amp;IsOnlyRefresh=False&amp;IsDataSubmission=&amp;ContentColor=</vt:lpwstr>
  </property>
  <property fmtid="{D5CDD505-2E9C-101B-9397-08002B2CF9AE}" pid="28" name="BDCONTENTCONTROL_0694d7ec-429e-443a-8333-6c91828fed93">
    <vt:lpwstr>GetData?Formula=PURJWSgiUG9zdFNlcnZpY2UuYXNweD9TZXJ2aWNlPVN1YmplY3REYXRhU2VydmljZS5HZXRzJkZ1bmN0aW9uPUdldHNTZXJ2aWNlJkZMQUc9MSZPQkpfVldfSUQ9MTMwMDAwMjcmVGl0bGU9JyR7QkRDT05URU5UQ09OVFJPTF9BVVRPX1NBVkVfVGl0bGV9JyZSZXBvcnREYXRlPScke1JlcG9ydERhdGVfVmFsdWV9JyI</vt:lpwstr>
  </property>
  <property fmtid="{D5CDD505-2E9C-101B-9397-08002B2CF9AE}" pid="29" name="BDCONTENTCONTROL_0694d7ec-429e-443a-8333-6c91828fed93#2">
    <vt:lpwstr>p&amp;FunctionName=DIY&amp;ContentType=TABLE&amp;Caption=专题相关报告万能版&amp;DatasourceType=DIYTable&amp;StyleId=0&amp;Other=13000027&amp;IsOnlyRefresh=True&amp;StartRow=0&amp;RemainRows=5&amp;IsDataSubmission=&amp;ContentColor=&amp;HiddenCondition=&amp;Filter=</vt:lpwstr>
  </property>
  <property fmtid="{D5CDD505-2E9C-101B-9397-08002B2CF9AE}" pid="30" name="BDCONTENTCONTROL_84bd61de-94b7-4c7c-8f81-60dfebe1887e">
    <vt:lpwstr>GetData?Formula=PVBBUigiUmVwb3J0VHlwZTEiKQ==&amp;FunctionName=PAR&amp;ContentType=TEXT&amp;Caption=报告类型&amp;DatasourceType=PAR&amp;StyleId=&amp;Other=&amp;IsOnlyRefresh=False&amp;IsDataSubmission=&amp;ContentColor=&amp;HiddenCondition=&amp;Filter=</vt:lpwstr>
  </property>
  <property fmtid="{D5CDD505-2E9C-101B-9397-08002B2CF9AE}" pid="31" name="BDCONTENTCONTROL_AUTO_SAVE_Title&#10;_DisplayName">
    <vt:lpwstr>XX专题分析报告</vt:lpwstr>
  </property>
  <property fmtid="{D5CDD505-2E9C-101B-9397-08002B2CF9AE}" pid="32" name="BDCONTENTCONTROL_3df14c52-472a-44c1-9e63-51d70c06bfcd">
    <vt:lpwstr>GetData?Formula=PURJWSgiUG9zdFNlcnZpY2UuYXNweD9TZXJ2aWNlPVN1YmplY3REYXRhU2VydmljZS5HZXRzJkZ1bmN0aW9uPUdldHNTZXJ2aWNlJkZMQUc9MSZPQkpfVldfSUQ9MTMwMDAwMDQmVVNFUklEPScke1N0YWZmSURfVmFsdWV9JyIp&amp;FunctionName=DIY&amp;ContentType=TABLE&amp;Caption=作者展示&amp;DatasourceType=DIY</vt:lpwstr>
  </property>
  <property fmtid="{D5CDD505-2E9C-101B-9397-08002B2CF9AE}" pid="33" name="BDCONTENTCONTROL_3df14c52-472a-44c1-9e63-51d70c06bfcd#2">
    <vt:lpwstr>Table&amp;StyleId=44&amp;Other=13000004&amp;IsOnlyRefresh=True&amp;StartRow=1&amp;RemainRows=1&amp;IsDataSubmission=&amp;ContentColor=&amp;HiddenCondition=&amp;Filter=</vt:lpwstr>
  </property>
  <property fmtid="{D5CDD505-2E9C-101B-9397-08002B2CF9AE}" pid="34" name="BDCONTENTCONTROL_451e08ee-3959-4251-8d5f-f302d5f0f153">
    <vt:lpwstr>GetData?Formula=PVBBUigiUmVwb3J0VHlwZTEiKQ==&amp;FunctionName=PAR&amp;ContentType=TEXT&amp;Caption=报告类型&amp;DatasourceType=PAR&amp;StyleId=&amp;Other=&amp;IsOnlyRefresh=False&amp;IsDataSubmission=&amp;ContentColor=&amp;HiddenCondition=&amp;Filter=</vt:lpwstr>
  </property>
  <property fmtid="{D5CDD505-2E9C-101B-9397-08002B2CF9AE}" pid="35" name="BDCONTENTCONTROL_AUTO_SAVE_Title_DisplayName">
    <vt:lpwstr>XX专题分析报告</vt:lpwstr>
  </property>
  <property fmtid="{D5CDD505-2E9C-101B-9397-08002B2CF9AE}" pid="36" name="docSaved">
    <vt:lpwstr>true</vt:lpwstr>
  </property>
  <property fmtid="{D5CDD505-2E9C-101B-9397-08002B2CF9AE}" pid="37" name="BD_Doc_Temp_ID">
    <vt:lpwstr>d6ef6f14-1ff8-45fa-9cd2-51e8f95b000c</vt:lpwstr>
  </property>
  <property fmtid="{D5CDD505-2E9C-101B-9397-08002B2CF9AE}" pid="38" name="ReportType1_Value">
    <vt:lpwstr>ff80808147862c3b01478666abf202d0</vt:lpwstr>
  </property>
  <property fmtid="{D5CDD505-2E9C-101B-9397-08002B2CF9AE}" pid="39" name="ReportType1_DisplayName">
    <vt:lpwstr>基金投资策略报告</vt:lpwstr>
  </property>
  <property fmtid="{D5CDD505-2E9C-101B-9397-08002B2CF9AE}" pid="40" name="ReportDate_Value">
    <vt:lpwstr>2015-07-02</vt:lpwstr>
  </property>
  <property fmtid="{D5CDD505-2E9C-101B-9397-08002B2CF9AE}" pid="41" name="ReportDate_DisplayName">
    <vt:lpwstr>2015年07月02日</vt:lpwstr>
  </property>
  <property fmtid="{D5CDD505-2E9C-101B-9397-08002B2CF9AE}" pid="42" name="StaffID_Value">
    <vt:lpwstr>FF00C761D2347BA0E0430100007FAB3A;</vt:lpwstr>
  </property>
  <property fmtid="{D5CDD505-2E9C-101B-9397-08002B2CF9AE}" pid="43" name="StaffID_DisplayName">
    <vt:lpwstr>王聃聃-公募产品组;</vt:lpwstr>
  </property>
  <property fmtid="{D5CDD505-2E9C-101B-9397-08002B2CF9AE}" pid="44" name="TemplateID">
    <vt:lpwstr> </vt:lpwstr>
  </property>
  <property fmtid="{D5CDD505-2E9C-101B-9397-08002B2CF9AE}" pid="45" name="BDCONTENTCONTROL_AUTO_SAVE_SubTitle">
    <vt:lpwstr>多维度稳健配置，增强灵活把握节奏</vt:lpwstr>
  </property>
  <property fmtid="{D5CDD505-2E9C-101B-9397-08002B2CF9AE}" pid="46" name="BDCONTENTCONTROL_AUTO_SAVE_Summary">
    <vt:lpwstr>投资策略_x000d_对于短期市场的调整以及下半年的A股市场投资，我们认为牛市途中有所波折在所难免，短期有必要控制风险但中期来看牛市的主要逻辑并未发生动摇。如前文所讲，经济数据距离稳健回升状态相差更远，在经济下滑压力并未减轻的背景下，仍要求宏观流动性的适度宽松，未来稳增长的组合拳仍将发力；与此同时，新经济的崛起、改革向纵深推进等因素均未发生改变。但下半年市场运行的节奏或逐渐发生变化，在估值泡沫明显、管理层监管力度加大、发行注册制逐步启动等因素扰动下，市场震荡幅度将加大，尤其是短期去杠杆冲击的背景下，投资者信心需要时间</vt:lpwstr>
  </property>
  <property fmtid="{D5CDD505-2E9C-101B-9397-08002B2CF9AE}" pid="47" name="BDCONTENTCONTROL_AUTO_SAVE_Summary#2">
    <vt:lpwstr>恢复，有必要进行风险控制。_x000d_在短期监管趋于严格、货币政策阶段性以财政政策为主、估值泡沫明显等因素影响下，市场风险偏好将有所下降，全面性牛市的特点将向结构性牛市过渡。就基金投资来看，首先，考虑短期市场震荡、负面情绪有待时间消化，基金投资建议以稳健配置为主，降低高风险的权益类品种的仓位，侧重今年滞涨的周期蓝筹风格以及消费蓝筹风格基金，与此同时对于历史投资风格稳健、擅于自下而上选股的基金经理可给予更多关注。其次，从下半年风格的动态调整角度，经济转型创新的步伐并未停滞，成长股仍具备更强的中期投资价值，但经历短期的</vt:lpwstr>
  </property>
  <property fmtid="{D5CDD505-2E9C-101B-9397-08002B2CF9AE}" pid="48" name="BDCONTENTCONTROL_AUTO_SAVE_Summary#3">
    <vt:lpwstr>市场降温，更将优劣分化，需要甄别擅长成长股投资、选股能力突出的管理人。第三，就下半年的市场环境我们认为操作风格灵活以及重点关注主题投资的基金具有较高的配置价值。最后，在预计下半年市场大幅波动、投资收益把握难度上升的背景下，对于风险偏好更低的稳健型投资者，可关注以绝对收益为目标、重点参与打新的混合型基金以及运用股指期货对冲、构建市场中性组合的特定投资策略基金。_x000d_对于2015年7月的基金组合：_x000d_进攻性组合调入国泰金泰平衡、添富价值和华泰量化增强。权益类资产的比例实际降低同时整体风格侧重低估值的价值蓝筹风格。其</vt:lpwstr>
  </property>
  <property fmtid="{D5CDD505-2E9C-101B-9397-08002B2CF9AE}" pid="49" name="BDCONTENTCONTROL_AUTO_SAVE_Summary#4">
    <vt:lpwstr>中，光大配置相对均衡，风险收益配比较好，且具备较强的选股能力；广发行业侧重中游制造业，基金经理注重灵活操作；华泰量化增强目前侧重低估值的金融板块；添富价值的基金经理对价值类板块有不错的把握且风险控制能力突出；国泰金泰目前的股票仓位非常低并以打新策略为主；_x000d_防御型组合本月调入招商安泰股票、广发消费品和中欧瑾源，明显降低组合风险。组合内广发消费品侧重消费蓝筹板块投资，风格较为稳健，在今年消费类板块滞涨、具备估值优势的背景下适当关注；招商安泰股票股票仓位适中，是一只风险收益水平相对较低的权益类品种，组合配置均衡</vt:lpwstr>
  </property>
  <property fmtid="{D5CDD505-2E9C-101B-9397-08002B2CF9AE}" pid="50" name="BDCONTENTCONTROL_AUTO_SAVE_Summary#5">
    <vt:lpwstr>且注重灵活；中欧瑾源是一只以打新策略为主的绝对收益目标产品；此外，两只债券型基金占据40%的比例作为防御部分的配置；_x000d_作为灵活配置型组合，短期从控制风险的角度，降低高风险资产的比例，组合内权益类产品比例为20%，重点关注投资风格稳健的中欧新蓝筹。另外配置30%的南方绝对收益，基金采用市场中性策略，运用股指期货等工具对系统性风险进行对冲，比较适合震荡市场环境中持有。</vt:lpwstr>
  </property>
</Properties>
</file>