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37" w:tblpY="-2806"/>
        <w:tblW w:w="4113" w:type="dxa"/>
        <w:shd w:val="clear" w:color="auto" w:fill="E0E0E0"/>
        <w:tblLayout w:type="fixed"/>
        <w:tblLook w:val="01E0"/>
      </w:tblPr>
      <w:tblGrid>
        <w:gridCol w:w="534"/>
        <w:gridCol w:w="519"/>
        <w:gridCol w:w="1035"/>
        <w:gridCol w:w="1800"/>
        <w:gridCol w:w="225"/>
      </w:tblGrid>
      <w:tr w:rsidR="009A18F4" w:rsidRPr="00F57D27" w:rsidTr="00E74D90">
        <w:trPr>
          <w:gridAfter w:val="1"/>
          <w:wAfter w:w="225" w:type="dxa"/>
          <w:trHeight w:val="284"/>
        </w:trPr>
        <w:tc>
          <w:tcPr>
            <w:tcW w:w="534" w:type="dxa"/>
          </w:tcPr>
          <w:p w:rsidR="009A18F4" w:rsidRPr="00F57D27" w:rsidRDefault="009A18F4" w:rsidP="00E74D90">
            <w:pPr>
              <w:rPr>
                <w:rFonts w:eastAsia="楷体_GB2312"/>
                <w:b/>
                <w:color w:val="003366"/>
                <w:sz w:val="24"/>
              </w:rPr>
            </w:pPr>
          </w:p>
        </w:tc>
        <w:tc>
          <w:tcPr>
            <w:tcW w:w="1554" w:type="dxa"/>
            <w:gridSpan w:val="2"/>
          </w:tcPr>
          <w:p w:rsidR="009A18F4" w:rsidRPr="00F57D27" w:rsidRDefault="009A18F4" w:rsidP="00E74D90">
            <w:pPr>
              <w:rPr>
                <w:rFonts w:eastAsia="楷体_GB2312"/>
                <w:b/>
                <w:color w:val="003366"/>
                <w:sz w:val="24"/>
              </w:rPr>
            </w:pPr>
          </w:p>
          <w:p w:rsidR="009A18F4" w:rsidRPr="00F57D27" w:rsidRDefault="009A18F4" w:rsidP="00E74D90">
            <w:pPr>
              <w:rPr>
                <w:rFonts w:eastAsia="楷体_GB2312"/>
                <w:b/>
                <w:color w:val="003366"/>
                <w:sz w:val="24"/>
              </w:rPr>
            </w:pPr>
          </w:p>
          <w:p w:rsidR="009A18F4" w:rsidRPr="00F57D27" w:rsidRDefault="009A18F4" w:rsidP="00E74D90">
            <w:pPr>
              <w:rPr>
                <w:rFonts w:eastAsia="楷体_GB2312"/>
                <w:b/>
                <w:color w:val="003366"/>
                <w:sz w:val="24"/>
              </w:rPr>
            </w:pPr>
          </w:p>
        </w:tc>
        <w:tc>
          <w:tcPr>
            <w:tcW w:w="1800" w:type="dxa"/>
            <w:vAlign w:val="center"/>
          </w:tcPr>
          <w:p w:rsidR="009A18F4" w:rsidRPr="00F57D27" w:rsidRDefault="009A18F4" w:rsidP="00E74D90">
            <w:pPr>
              <w:rPr>
                <w:rFonts w:eastAsia="楷体_GB2312"/>
                <w:b/>
                <w:color w:val="003366"/>
                <w:sz w:val="24"/>
              </w:rPr>
            </w:pPr>
            <w:r w:rsidRPr="00E67FE5">
              <w:rPr>
                <w:rFonts w:ascii="黑体" w:eastAsia="黑体" w:hAnsi="宋体"/>
                <w:b/>
                <w:noProof/>
                <w:color w:val="003366"/>
                <w:sz w:val="24"/>
              </w:rPr>
              <w:pict>
                <v:shapetype id="_x0000_t202" coordsize="21600,21600" o:spt="202" path="m,l,21600r21600,l21600,xe">
                  <v:stroke joinstyle="miter"/>
                  <v:path gradientshapeok="t" o:connecttype="rect"/>
                </v:shapetype>
                <v:shape id="_x0000_s1027" type="#_x0000_t202" style="position:absolute;left:0;text-align:left;margin-left:66.6pt;margin-top:-.05pt;width:428.4pt;height:31.2pt;z-index:251661312;mso-position-horizontal-relative:text;mso-position-vertical-relative:text" fillcolor="#f00000" stroked="f">
                  <v:textbox style="mso-next-textbox:#_x0000_s1027">
                    <w:txbxContent>
                      <w:p w:rsidR="009A18F4" w:rsidRPr="00FC770C" w:rsidRDefault="009A18F4" w:rsidP="009A18F4">
                        <w:pPr>
                          <w:ind w:firstLine="281"/>
                          <w:rPr>
                            <w:rFonts w:ascii="楷体_GB2312" w:eastAsia="楷体_GB2312" w:hAnsi="宋体-18030" w:cs="宋体-18030"/>
                            <w:b/>
                            <w:color w:val="FFFFFF"/>
                            <w:sz w:val="28"/>
                            <w:szCs w:val="28"/>
                          </w:rPr>
                        </w:pPr>
                        <w:r>
                          <w:rPr>
                            <w:rFonts w:ascii="楷体_GB2312" w:eastAsia="楷体_GB2312" w:hAnsi="宋体-18030" w:cs="宋体-18030" w:hint="eastAsia"/>
                            <w:b/>
                            <w:color w:val="FFFFFF"/>
                            <w:sz w:val="28"/>
                            <w:szCs w:val="28"/>
                          </w:rPr>
                          <w:t xml:space="preserve">                        </w:t>
                        </w:r>
                        <w:r w:rsidRPr="00FC770C">
                          <w:rPr>
                            <w:rFonts w:ascii="楷体_GB2312" w:eastAsia="楷体_GB2312" w:hAnsi="宋体-18030" w:cs="宋体-18030" w:hint="eastAsia"/>
                            <w:b/>
                            <w:color w:val="FFFFFF"/>
                            <w:sz w:val="28"/>
                            <w:szCs w:val="28"/>
                          </w:rPr>
                          <w:t>证券投资基金研究报告/ 基金策略</w:t>
                        </w:r>
                      </w:p>
                    </w:txbxContent>
                  </v:textbox>
                </v:shape>
              </w:pict>
            </w:r>
          </w:p>
        </w:tc>
      </w:tr>
      <w:tr w:rsidR="009A18F4" w:rsidRPr="00F57D27" w:rsidTr="00E74D90">
        <w:trPr>
          <w:gridAfter w:val="1"/>
          <w:wAfter w:w="225" w:type="dxa"/>
          <w:trHeight w:val="284"/>
        </w:trPr>
        <w:tc>
          <w:tcPr>
            <w:tcW w:w="534" w:type="dxa"/>
            <w:shd w:val="clear" w:color="auto" w:fill="CDD7FA"/>
          </w:tcPr>
          <w:p w:rsidR="009A18F4" w:rsidRPr="00F57D27" w:rsidRDefault="009A18F4" w:rsidP="00E74D90">
            <w:pPr>
              <w:rPr>
                <w:rFonts w:eastAsia="楷体_GB2312"/>
                <w:b/>
                <w:color w:val="003366"/>
                <w:sz w:val="24"/>
              </w:rPr>
            </w:pPr>
          </w:p>
        </w:tc>
        <w:tc>
          <w:tcPr>
            <w:tcW w:w="3354" w:type="dxa"/>
            <w:gridSpan w:val="3"/>
            <w:shd w:val="clear" w:color="auto" w:fill="CDD7FA"/>
            <w:vAlign w:val="center"/>
          </w:tcPr>
          <w:p w:rsidR="009A18F4" w:rsidRPr="00F57D27" w:rsidRDefault="009A18F4" w:rsidP="00E74D90">
            <w:pPr>
              <w:rPr>
                <w:rFonts w:eastAsia="楷体_GB2312"/>
                <w:b/>
                <w:color w:val="003366"/>
                <w:sz w:val="24"/>
              </w:rPr>
            </w:pPr>
          </w:p>
        </w:tc>
      </w:tr>
      <w:tr w:rsidR="009A18F4" w:rsidRPr="00F57D27" w:rsidTr="00E74D90">
        <w:trPr>
          <w:gridAfter w:val="1"/>
          <w:wAfter w:w="225" w:type="dxa"/>
          <w:trHeight w:val="284"/>
        </w:trPr>
        <w:tc>
          <w:tcPr>
            <w:tcW w:w="534" w:type="dxa"/>
            <w:shd w:val="clear" w:color="auto" w:fill="CDD7FA"/>
          </w:tcPr>
          <w:p w:rsidR="009A18F4" w:rsidRPr="00F57D27" w:rsidRDefault="009A18F4" w:rsidP="00E74D90">
            <w:pPr>
              <w:rPr>
                <w:rFonts w:eastAsia="楷体_GB2312"/>
                <w:b/>
                <w:color w:val="003366"/>
                <w:sz w:val="24"/>
              </w:rPr>
            </w:pPr>
            <w:r>
              <w:rPr>
                <w:rFonts w:eastAsia="楷体_GB2312" w:hint="eastAsia"/>
                <w:noProof/>
                <w:sz w:val="24"/>
              </w:rPr>
              <w:drawing>
                <wp:anchor distT="0" distB="0" distL="114300" distR="114300" simplePos="0" relativeHeight="251662336" behindDoc="0" locked="0" layoutInCell="1" allowOverlap="1">
                  <wp:simplePos x="0" y="0"/>
                  <wp:positionH relativeFrom="column">
                    <wp:posOffset>226695</wp:posOffset>
                  </wp:positionH>
                  <wp:positionV relativeFrom="paragraph">
                    <wp:posOffset>-3810</wp:posOffset>
                  </wp:positionV>
                  <wp:extent cx="1714500" cy="814705"/>
                  <wp:effectExtent l="0" t="0" r="0" b="0"/>
                  <wp:wrapNone/>
                  <wp:docPr id="11"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5" cstate="print">
                            <a:clrChange>
                              <a:clrFrom>
                                <a:srgbClr val="D2D2FF"/>
                              </a:clrFrom>
                              <a:clrTo>
                                <a:srgbClr val="D2D2FF">
                                  <a:alpha val="0"/>
                                </a:srgbClr>
                              </a:clrTo>
                            </a:clrChange>
                          </a:blip>
                          <a:srcRect/>
                          <a:stretch>
                            <a:fillRect/>
                          </a:stretch>
                        </pic:blipFill>
                        <pic:spPr bwMode="auto">
                          <a:xfrm>
                            <a:off x="0" y="0"/>
                            <a:ext cx="1714500" cy="814705"/>
                          </a:xfrm>
                          <a:prstGeom prst="rect">
                            <a:avLst/>
                          </a:prstGeom>
                          <a:noFill/>
                          <a:ln w="9525">
                            <a:noFill/>
                            <a:miter lim="800000"/>
                            <a:headEnd/>
                            <a:tailEnd/>
                          </a:ln>
                        </pic:spPr>
                      </pic:pic>
                    </a:graphicData>
                  </a:graphic>
                </wp:anchor>
              </w:drawing>
            </w:r>
          </w:p>
        </w:tc>
        <w:tc>
          <w:tcPr>
            <w:tcW w:w="3354" w:type="dxa"/>
            <w:gridSpan w:val="3"/>
            <w:shd w:val="clear" w:color="auto" w:fill="CDD7FA"/>
          </w:tcPr>
          <w:p w:rsidR="009A18F4" w:rsidRPr="00F57D27" w:rsidRDefault="009A18F4" w:rsidP="00E74D90">
            <w:pPr>
              <w:rPr>
                <w:rFonts w:eastAsia="楷体_GB2312"/>
                <w:b/>
                <w:color w:val="003366"/>
                <w:sz w:val="24"/>
              </w:rPr>
            </w:pPr>
          </w:p>
        </w:tc>
      </w:tr>
      <w:tr w:rsidR="009A18F4" w:rsidRPr="00F57D27" w:rsidTr="00E74D90">
        <w:trPr>
          <w:gridAfter w:val="1"/>
          <w:wAfter w:w="225" w:type="dxa"/>
          <w:trHeight w:val="940"/>
        </w:trPr>
        <w:tc>
          <w:tcPr>
            <w:tcW w:w="534" w:type="dxa"/>
            <w:shd w:val="clear" w:color="auto" w:fill="CDD7FA"/>
          </w:tcPr>
          <w:p w:rsidR="009A18F4" w:rsidRPr="00F57D27" w:rsidRDefault="009A18F4" w:rsidP="00E74D90">
            <w:pPr>
              <w:rPr>
                <w:rFonts w:eastAsia="楷体_GB2312"/>
                <w:b/>
                <w:color w:val="003366"/>
                <w:sz w:val="24"/>
              </w:rPr>
            </w:pPr>
          </w:p>
        </w:tc>
        <w:tc>
          <w:tcPr>
            <w:tcW w:w="3354" w:type="dxa"/>
            <w:gridSpan w:val="3"/>
            <w:shd w:val="clear" w:color="auto" w:fill="CDD7FA"/>
          </w:tcPr>
          <w:p w:rsidR="009A18F4" w:rsidRPr="00F57D27" w:rsidRDefault="009A18F4" w:rsidP="00E74D90">
            <w:pPr>
              <w:spacing w:line="360" w:lineRule="auto"/>
              <w:rPr>
                <w:rFonts w:eastAsia="楷体_GB2312"/>
                <w:noProof/>
                <w:sz w:val="24"/>
              </w:rPr>
            </w:pPr>
          </w:p>
        </w:tc>
      </w:tr>
      <w:tr w:rsidR="009A18F4" w:rsidRPr="00F57D27" w:rsidTr="00E74D90">
        <w:trPr>
          <w:gridAfter w:val="1"/>
          <w:wAfter w:w="225" w:type="dxa"/>
          <w:trHeight w:hRule="exact" w:val="284"/>
        </w:trPr>
        <w:tc>
          <w:tcPr>
            <w:tcW w:w="534" w:type="dxa"/>
            <w:shd w:val="clear" w:color="auto" w:fill="CDD7FA"/>
          </w:tcPr>
          <w:p w:rsidR="009A18F4" w:rsidRPr="00F57D27" w:rsidRDefault="009A18F4" w:rsidP="00E74D90">
            <w:pPr>
              <w:rPr>
                <w:rFonts w:eastAsia="楷体_GB2312"/>
                <w:b/>
                <w:color w:val="003366"/>
                <w:sz w:val="24"/>
              </w:rPr>
            </w:pPr>
          </w:p>
          <w:p w:rsidR="009A18F4" w:rsidRPr="00F57D27" w:rsidRDefault="009A18F4" w:rsidP="00E74D90">
            <w:pPr>
              <w:rPr>
                <w:rFonts w:eastAsia="楷体_GB2312"/>
                <w:b/>
                <w:color w:val="003366"/>
                <w:sz w:val="24"/>
              </w:rPr>
            </w:pPr>
          </w:p>
          <w:p w:rsidR="009A18F4" w:rsidRPr="00F57D27" w:rsidRDefault="009A18F4" w:rsidP="00E74D90">
            <w:pPr>
              <w:rPr>
                <w:rFonts w:eastAsia="楷体_GB2312"/>
                <w:b/>
                <w:color w:val="003366"/>
                <w:sz w:val="24"/>
              </w:rPr>
            </w:pPr>
          </w:p>
          <w:p w:rsidR="009A18F4" w:rsidRPr="00F57D27" w:rsidRDefault="009A18F4" w:rsidP="00E74D90">
            <w:pPr>
              <w:rPr>
                <w:rFonts w:eastAsia="楷体_GB2312"/>
                <w:b/>
                <w:color w:val="003366"/>
                <w:sz w:val="24"/>
              </w:rPr>
            </w:pPr>
          </w:p>
        </w:tc>
        <w:tc>
          <w:tcPr>
            <w:tcW w:w="519" w:type="dxa"/>
            <w:shd w:val="clear" w:color="auto" w:fill="CDD7FA"/>
          </w:tcPr>
          <w:p w:rsidR="009A18F4" w:rsidRPr="00F57D27" w:rsidRDefault="009A18F4" w:rsidP="00E74D90">
            <w:pPr>
              <w:jc w:val="left"/>
              <w:rPr>
                <w:rFonts w:eastAsia="楷体_GB2312"/>
                <w:b/>
                <w:color w:val="003366"/>
                <w:sz w:val="24"/>
              </w:rPr>
            </w:pPr>
          </w:p>
        </w:tc>
        <w:tc>
          <w:tcPr>
            <w:tcW w:w="2835" w:type="dxa"/>
            <w:gridSpan w:val="2"/>
            <w:shd w:val="clear" w:color="auto" w:fill="CDD7FA"/>
          </w:tcPr>
          <w:p w:rsidR="009A18F4" w:rsidRPr="00F57D27" w:rsidRDefault="009A18F4" w:rsidP="00E74D90">
            <w:pPr>
              <w:rPr>
                <w:rFonts w:eastAsia="楷体_GB2312"/>
                <w:b/>
                <w:color w:val="003366"/>
                <w:sz w:val="24"/>
              </w:rPr>
            </w:pPr>
          </w:p>
        </w:tc>
      </w:tr>
      <w:tr w:rsidR="009A18F4" w:rsidRPr="00F57D27" w:rsidTr="00E74D90">
        <w:trPr>
          <w:gridAfter w:val="1"/>
          <w:wAfter w:w="225" w:type="dxa"/>
          <w:trHeight w:hRule="exact" w:val="284"/>
        </w:trPr>
        <w:tc>
          <w:tcPr>
            <w:tcW w:w="534" w:type="dxa"/>
            <w:shd w:val="clear" w:color="auto" w:fill="CDD7FA"/>
          </w:tcPr>
          <w:p w:rsidR="009A18F4" w:rsidRPr="00F57D27" w:rsidRDefault="009A18F4" w:rsidP="00E74D90">
            <w:pPr>
              <w:rPr>
                <w:rFonts w:eastAsia="楷体_GB2312"/>
                <w:b/>
                <w:color w:val="003366"/>
                <w:sz w:val="24"/>
              </w:rPr>
            </w:pPr>
          </w:p>
        </w:tc>
        <w:tc>
          <w:tcPr>
            <w:tcW w:w="519" w:type="dxa"/>
            <w:shd w:val="clear" w:color="auto" w:fill="CDD7FA"/>
          </w:tcPr>
          <w:p w:rsidR="009A18F4" w:rsidRPr="00F57D27" w:rsidRDefault="009A18F4" w:rsidP="00E74D90">
            <w:pPr>
              <w:jc w:val="left"/>
              <w:rPr>
                <w:rFonts w:eastAsia="楷体_GB2312"/>
                <w:b/>
                <w:color w:val="003366"/>
                <w:sz w:val="24"/>
              </w:rPr>
            </w:pPr>
          </w:p>
        </w:tc>
        <w:tc>
          <w:tcPr>
            <w:tcW w:w="2835" w:type="dxa"/>
            <w:gridSpan w:val="2"/>
            <w:shd w:val="clear" w:color="auto" w:fill="CDD7FA"/>
          </w:tcPr>
          <w:p w:rsidR="009A18F4" w:rsidRPr="00F57D27" w:rsidRDefault="009A18F4" w:rsidP="00E74D90">
            <w:pPr>
              <w:rPr>
                <w:rFonts w:eastAsia="楷体_GB2312"/>
                <w:b/>
                <w:color w:val="003366"/>
                <w:sz w:val="24"/>
              </w:rPr>
            </w:pPr>
          </w:p>
        </w:tc>
      </w:tr>
      <w:tr w:rsidR="009A18F4" w:rsidRPr="00F57D27" w:rsidTr="00E74D90">
        <w:trPr>
          <w:gridAfter w:val="1"/>
          <w:wAfter w:w="225" w:type="dxa"/>
          <w:trHeight w:hRule="exact" w:val="284"/>
        </w:trPr>
        <w:tc>
          <w:tcPr>
            <w:tcW w:w="534" w:type="dxa"/>
            <w:shd w:val="clear" w:color="auto" w:fill="CDD7FA"/>
          </w:tcPr>
          <w:p w:rsidR="009A18F4" w:rsidRPr="00F57D27" w:rsidRDefault="009A18F4" w:rsidP="00E74D90">
            <w:pPr>
              <w:rPr>
                <w:rFonts w:eastAsia="楷体_GB2312"/>
                <w:b/>
                <w:color w:val="003366"/>
                <w:sz w:val="24"/>
              </w:rPr>
            </w:pPr>
          </w:p>
        </w:tc>
        <w:tc>
          <w:tcPr>
            <w:tcW w:w="519" w:type="dxa"/>
            <w:shd w:val="clear" w:color="auto" w:fill="CDD7FA"/>
          </w:tcPr>
          <w:p w:rsidR="009A18F4" w:rsidRPr="00F57D27" w:rsidRDefault="009A18F4" w:rsidP="00E74D90">
            <w:pPr>
              <w:jc w:val="left"/>
              <w:rPr>
                <w:rFonts w:eastAsia="楷体_GB2312"/>
                <w:b/>
                <w:color w:val="003366"/>
                <w:sz w:val="24"/>
              </w:rPr>
            </w:pPr>
          </w:p>
        </w:tc>
        <w:tc>
          <w:tcPr>
            <w:tcW w:w="2835" w:type="dxa"/>
            <w:gridSpan w:val="2"/>
            <w:shd w:val="clear" w:color="auto" w:fill="CDD7FA"/>
          </w:tcPr>
          <w:p w:rsidR="009A18F4" w:rsidRPr="00F57D27" w:rsidRDefault="009A18F4" w:rsidP="00E74D90">
            <w:pPr>
              <w:rPr>
                <w:rFonts w:eastAsia="楷体_GB2312"/>
                <w:b/>
                <w:color w:val="003366"/>
                <w:sz w:val="24"/>
              </w:rPr>
            </w:pPr>
          </w:p>
        </w:tc>
      </w:tr>
      <w:tr w:rsidR="009A18F4" w:rsidRPr="00F57D27" w:rsidTr="00E74D90">
        <w:trPr>
          <w:gridAfter w:val="1"/>
          <w:wAfter w:w="225" w:type="dxa"/>
          <w:trHeight w:hRule="exact" w:val="80"/>
        </w:trPr>
        <w:tc>
          <w:tcPr>
            <w:tcW w:w="534" w:type="dxa"/>
            <w:shd w:val="clear" w:color="auto" w:fill="CDD7FA"/>
          </w:tcPr>
          <w:p w:rsidR="009A18F4" w:rsidRPr="00F57D27" w:rsidRDefault="009A18F4" w:rsidP="00E74D90">
            <w:pPr>
              <w:rPr>
                <w:rFonts w:eastAsia="楷体_GB2312"/>
                <w:b/>
                <w:color w:val="003366"/>
                <w:sz w:val="24"/>
              </w:rPr>
            </w:pPr>
          </w:p>
        </w:tc>
        <w:tc>
          <w:tcPr>
            <w:tcW w:w="3354" w:type="dxa"/>
            <w:gridSpan w:val="3"/>
            <w:shd w:val="clear" w:color="auto" w:fill="CDD7FA"/>
          </w:tcPr>
          <w:p w:rsidR="009A18F4" w:rsidRPr="00F57D27" w:rsidRDefault="009A18F4" w:rsidP="00E74D90">
            <w:pPr>
              <w:jc w:val="left"/>
              <w:rPr>
                <w:rFonts w:eastAsia="楷体_GB2312"/>
                <w:b/>
                <w:color w:val="003366"/>
                <w:sz w:val="24"/>
              </w:rPr>
            </w:pPr>
          </w:p>
        </w:tc>
      </w:tr>
      <w:tr w:rsidR="009A18F4" w:rsidRPr="00F57D27" w:rsidTr="00E74D90">
        <w:trPr>
          <w:trHeight w:hRule="exact" w:val="284"/>
        </w:trPr>
        <w:tc>
          <w:tcPr>
            <w:tcW w:w="534" w:type="dxa"/>
          </w:tcPr>
          <w:p w:rsidR="009A18F4" w:rsidRPr="00F57D27" w:rsidRDefault="009A18F4" w:rsidP="00E74D90">
            <w:pPr>
              <w:rPr>
                <w:rFonts w:eastAsia="楷体_GB2312"/>
                <w:b/>
                <w:color w:val="003366"/>
                <w:sz w:val="24"/>
              </w:rPr>
            </w:pPr>
          </w:p>
        </w:tc>
        <w:tc>
          <w:tcPr>
            <w:tcW w:w="519" w:type="dxa"/>
          </w:tcPr>
          <w:p w:rsidR="009A18F4" w:rsidRPr="00F57D27" w:rsidRDefault="009A18F4" w:rsidP="00E74D90">
            <w:pPr>
              <w:jc w:val="left"/>
              <w:rPr>
                <w:rFonts w:eastAsia="楷体_GB2312"/>
                <w:b/>
                <w:color w:val="003366"/>
                <w:sz w:val="24"/>
              </w:rPr>
            </w:pPr>
          </w:p>
        </w:tc>
        <w:tc>
          <w:tcPr>
            <w:tcW w:w="3060" w:type="dxa"/>
            <w:gridSpan w:val="3"/>
          </w:tcPr>
          <w:p w:rsidR="009A18F4" w:rsidRPr="00F57D27" w:rsidRDefault="009A18F4" w:rsidP="00E74D90">
            <w:pPr>
              <w:rPr>
                <w:rFonts w:eastAsia="楷体_GB2312"/>
                <w:b/>
                <w:color w:val="003366"/>
                <w:sz w:val="24"/>
              </w:rPr>
            </w:pPr>
          </w:p>
        </w:tc>
      </w:tr>
      <w:tr w:rsidR="009A18F4" w:rsidRPr="00F57D27" w:rsidTr="00E74D90">
        <w:trPr>
          <w:gridAfter w:val="1"/>
          <w:wAfter w:w="225" w:type="dxa"/>
          <w:trHeight w:hRule="exact" w:val="284"/>
        </w:trPr>
        <w:tc>
          <w:tcPr>
            <w:tcW w:w="534" w:type="dxa"/>
          </w:tcPr>
          <w:p w:rsidR="009A18F4" w:rsidRPr="00F57D27" w:rsidRDefault="009A18F4" w:rsidP="00E74D90">
            <w:pPr>
              <w:rPr>
                <w:rFonts w:eastAsia="楷体_GB2312"/>
                <w:b/>
                <w:color w:val="003366"/>
                <w:sz w:val="24"/>
              </w:rPr>
            </w:pPr>
          </w:p>
        </w:tc>
        <w:tc>
          <w:tcPr>
            <w:tcW w:w="3354" w:type="dxa"/>
            <w:gridSpan w:val="3"/>
          </w:tcPr>
          <w:p w:rsidR="009A18F4" w:rsidRPr="00F57D27" w:rsidRDefault="009A18F4" w:rsidP="00E74D90">
            <w:pPr>
              <w:jc w:val="center"/>
              <w:rPr>
                <w:rFonts w:eastAsia="黑体"/>
                <w:color w:val="003366"/>
                <w:sz w:val="24"/>
              </w:rPr>
            </w:pPr>
          </w:p>
        </w:tc>
      </w:tr>
      <w:tr w:rsidR="009A18F4" w:rsidRPr="00F57D27" w:rsidTr="00E74D90">
        <w:trPr>
          <w:gridAfter w:val="1"/>
          <w:wAfter w:w="225" w:type="dxa"/>
          <w:trHeight w:val="457"/>
        </w:trPr>
        <w:tc>
          <w:tcPr>
            <w:tcW w:w="534" w:type="dxa"/>
          </w:tcPr>
          <w:p w:rsidR="009A18F4" w:rsidRPr="00D82E82" w:rsidRDefault="009A18F4" w:rsidP="00E74D90">
            <w:pPr>
              <w:rPr>
                <w:rFonts w:eastAsia="楷体_GB2312"/>
                <w:b/>
                <w:color w:val="003366"/>
              </w:rPr>
            </w:pPr>
          </w:p>
        </w:tc>
        <w:tc>
          <w:tcPr>
            <w:tcW w:w="3354" w:type="dxa"/>
            <w:gridSpan w:val="3"/>
          </w:tcPr>
          <w:p w:rsidR="009A18F4" w:rsidRPr="002D6491" w:rsidRDefault="009A18F4" w:rsidP="007B0849">
            <w:pPr>
              <w:spacing w:line="360" w:lineRule="auto"/>
              <w:ind w:left="-288" w:firstLineChars="150" w:firstLine="271"/>
              <w:jc w:val="left"/>
              <w:rPr>
                <w:rFonts w:eastAsia="楷体_GB2312"/>
                <w:b/>
                <w:color w:val="003366"/>
                <w:szCs w:val="21"/>
              </w:rPr>
            </w:pPr>
            <w:r w:rsidRPr="002D6491">
              <w:rPr>
                <w:rFonts w:eastAsia="楷体_GB2312" w:hint="eastAsia"/>
                <w:b/>
                <w:color w:val="003366"/>
                <w:sz w:val="18"/>
                <w:szCs w:val="18"/>
              </w:rPr>
              <w:t>2015</w:t>
            </w:r>
            <w:r w:rsidRPr="002D6491">
              <w:rPr>
                <w:rFonts w:eastAsia="楷体_GB2312" w:hint="eastAsia"/>
                <w:b/>
                <w:color w:val="003366"/>
                <w:sz w:val="18"/>
                <w:szCs w:val="18"/>
              </w:rPr>
              <w:t>年</w:t>
            </w:r>
            <w:r w:rsidR="007B0849">
              <w:rPr>
                <w:rFonts w:eastAsia="楷体_GB2312" w:hint="eastAsia"/>
                <w:b/>
                <w:color w:val="003366"/>
                <w:sz w:val="18"/>
                <w:szCs w:val="18"/>
              </w:rPr>
              <w:t>6</w:t>
            </w:r>
            <w:r w:rsidRPr="002D6491">
              <w:rPr>
                <w:rFonts w:eastAsia="楷体_GB2312" w:hint="eastAsia"/>
                <w:b/>
                <w:color w:val="003366"/>
                <w:sz w:val="18"/>
                <w:szCs w:val="18"/>
              </w:rPr>
              <w:t>月基金业绩统计分布</w:t>
            </w:r>
          </w:p>
        </w:tc>
      </w:tr>
      <w:tr w:rsidR="009A18F4" w:rsidRPr="00F57D27" w:rsidTr="00E74D90">
        <w:trPr>
          <w:gridAfter w:val="1"/>
          <w:wAfter w:w="225" w:type="dxa"/>
          <w:trHeight w:val="284"/>
        </w:trPr>
        <w:tc>
          <w:tcPr>
            <w:tcW w:w="534" w:type="dxa"/>
          </w:tcPr>
          <w:p w:rsidR="009A18F4" w:rsidRPr="00F57D27" w:rsidRDefault="009A18F4" w:rsidP="00E74D90">
            <w:pPr>
              <w:rPr>
                <w:rFonts w:eastAsia="楷体_GB2312"/>
                <w:b/>
                <w:color w:val="003366"/>
                <w:sz w:val="24"/>
              </w:rPr>
            </w:pPr>
          </w:p>
          <w:p w:rsidR="009A18F4" w:rsidRPr="00F57D27" w:rsidRDefault="009A18F4" w:rsidP="00E74D90">
            <w:pPr>
              <w:rPr>
                <w:rFonts w:eastAsia="楷体_GB2312"/>
                <w:b/>
                <w:color w:val="003366"/>
                <w:sz w:val="24"/>
              </w:rPr>
            </w:pPr>
          </w:p>
          <w:p w:rsidR="009A18F4" w:rsidRPr="00F57D27" w:rsidRDefault="009A18F4" w:rsidP="00E74D90">
            <w:pPr>
              <w:rPr>
                <w:rFonts w:eastAsia="楷体_GB2312"/>
                <w:b/>
                <w:color w:val="003366"/>
                <w:sz w:val="24"/>
              </w:rPr>
            </w:pPr>
          </w:p>
        </w:tc>
        <w:tc>
          <w:tcPr>
            <w:tcW w:w="3354" w:type="dxa"/>
            <w:gridSpan w:val="3"/>
            <w:vAlign w:val="center"/>
          </w:tcPr>
          <w:p w:rsidR="009A18F4" w:rsidRPr="00CD7632" w:rsidRDefault="009A18F4" w:rsidP="00E74D90">
            <w:pPr>
              <w:ind w:leftChars="-51" w:rightChars="34" w:right="71" w:hangingChars="51" w:hanging="107"/>
              <w:rPr>
                <w:noProof/>
              </w:rPr>
            </w:pPr>
            <w:r>
              <w:rPr>
                <w:noProof/>
              </w:rPr>
              <w:drawing>
                <wp:inline distT="0" distB="0" distL="0" distR="0">
                  <wp:extent cx="1992630" cy="1466215"/>
                  <wp:effectExtent l="19050" t="0" r="762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cstate="print"/>
                          <a:srcRect/>
                          <a:stretch>
                            <a:fillRect/>
                          </a:stretch>
                        </pic:blipFill>
                        <pic:spPr bwMode="auto">
                          <a:xfrm>
                            <a:off x="0" y="0"/>
                            <a:ext cx="1992630" cy="1466215"/>
                          </a:xfrm>
                          <a:prstGeom prst="rect">
                            <a:avLst/>
                          </a:prstGeom>
                          <a:noFill/>
                          <a:ln w="9525">
                            <a:noFill/>
                            <a:miter lim="800000"/>
                            <a:headEnd/>
                            <a:tailEnd/>
                          </a:ln>
                        </pic:spPr>
                      </pic:pic>
                    </a:graphicData>
                  </a:graphic>
                </wp:inline>
              </w:drawing>
            </w:r>
          </w:p>
        </w:tc>
      </w:tr>
      <w:tr w:rsidR="009A18F4" w:rsidRPr="00F57D27" w:rsidTr="00E74D90">
        <w:trPr>
          <w:gridAfter w:val="1"/>
          <w:wAfter w:w="225" w:type="dxa"/>
          <w:trHeight w:val="284"/>
        </w:trPr>
        <w:tc>
          <w:tcPr>
            <w:tcW w:w="534" w:type="dxa"/>
          </w:tcPr>
          <w:p w:rsidR="009A18F4" w:rsidRPr="00F57D27" w:rsidRDefault="009A18F4" w:rsidP="00E74D90">
            <w:pPr>
              <w:rPr>
                <w:rFonts w:eastAsia="楷体_GB2312"/>
                <w:b/>
                <w:color w:val="003366"/>
                <w:sz w:val="24"/>
              </w:rPr>
            </w:pPr>
          </w:p>
        </w:tc>
        <w:tc>
          <w:tcPr>
            <w:tcW w:w="3354" w:type="dxa"/>
            <w:gridSpan w:val="3"/>
          </w:tcPr>
          <w:p w:rsidR="009A18F4" w:rsidRPr="00CD7632" w:rsidRDefault="009A18F4" w:rsidP="00E74D90">
            <w:pPr>
              <w:rPr>
                <w:rFonts w:eastAsia="楷体_GB2312"/>
                <w:color w:val="003366"/>
                <w:sz w:val="18"/>
                <w:szCs w:val="18"/>
              </w:rPr>
            </w:pPr>
            <w:r w:rsidRPr="00CD7632">
              <w:rPr>
                <w:rFonts w:eastAsia="楷体_GB2312" w:hint="eastAsia"/>
                <w:color w:val="003366"/>
                <w:sz w:val="18"/>
                <w:szCs w:val="18"/>
              </w:rPr>
              <w:t>注：不包括结构化份额</w:t>
            </w:r>
          </w:p>
          <w:p w:rsidR="009A18F4" w:rsidRPr="00CD7632" w:rsidRDefault="009A18F4" w:rsidP="00E74D90">
            <w:pPr>
              <w:rPr>
                <w:rFonts w:eastAsia="楷体_GB2312"/>
                <w:b/>
                <w:color w:val="003366"/>
              </w:rPr>
            </w:pPr>
          </w:p>
          <w:p w:rsidR="009A18F4" w:rsidRPr="00CD7632" w:rsidRDefault="009A18F4" w:rsidP="00E74D90">
            <w:pPr>
              <w:rPr>
                <w:rFonts w:eastAsia="楷体_GB2312"/>
                <w:b/>
                <w:color w:val="003366"/>
              </w:rPr>
            </w:pPr>
            <w:r w:rsidRPr="00CD7632">
              <w:rPr>
                <w:rFonts w:eastAsia="楷体_GB2312" w:hint="eastAsia"/>
                <w:b/>
                <w:color w:val="003366"/>
              </w:rPr>
              <w:t>上海证券基金评价研究中心</w:t>
            </w:r>
          </w:p>
          <w:p w:rsidR="009A18F4" w:rsidRPr="00CD7632" w:rsidRDefault="009A18F4" w:rsidP="00E74D90">
            <w:pPr>
              <w:rPr>
                <w:rFonts w:eastAsia="楷体_GB2312"/>
                <w:b/>
                <w:color w:val="003366"/>
              </w:rPr>
            </w:pPr>
            <w:r w:rsidRPr="00CD7632">
              <w:rPr>
                <w:rFonts w:eastAsia="楷体_GB2312" w:hint="eastAsia"/>
                <w:b/>
                <w:color w:val="003366"/>
              </w:rPr>
              <w:t>刘亦千</w:t>
            </w:r>
          </w:p>
          <w:p w:rsidR="009A18F4" w:rsidRPr="00CD7632" w:rsidRDefault="009A18F4" w:rsidP="00E74D90">
            <w:pPr>
              <w:rPr>
                <w:rFonts w:eastAsia="楷体_GB2312"/>
                <w:color w:val="003366"/>
              </w:rPr>
            </w:pPr>
            <w:r w:rsidRPr="00CD7632">
              <w:rPr>
                <w:rFonts w:eastAsia="楷体_GB2312" w:hint="eastAsia"/>
                <w:color w:val="003366"/>
              </w:rPr>
              <w:t>执业证书编号：</w:t>
            </w:r>
            <w:r w:rsidRPr="00CD7632">
              <w:rPr>
                <w:rFonts w:eastAsia="楷体_GB2312"/>
                <w:b/>
                <w:color w:val="003366"/>
                <w:sz w:val="24"/>
              </w:rPr>
              <w:t>S0870511040001</w:t>
            </w:r>
          </w:p>
        </w:tc>
      </w:tr>
      <w:tr w:rsidR="009A18F4" w:rsidRPr="00F57D27" w:rsidTr="00E74D90">
        <w:trPr>
          <w:gridAfter w:val="1"/>
          <w:wAfter w:w="225" w:type="dxa"/>
          <w:trHeight w:val="284"/>
        </w:trPr>
        <w:tc>
          <w:tcPr>
            <w:tcW w:w="534" w:type="dxa"/>
          </w:tcPr>
          <w:p w:rsidR="009A18F4" w:rsidRPr="00F57D27" w:rsidRDefault="009A18F4" w:rsidP="00E74D90">
            <w:pPr>
              <w:rPr>
                <w:rFonts w:eastAsia="楷体_GB2312"/>
                <w:b/>
                <w:color w:val="003366"/>
                <w:sz w:val="24"/>
              </w:rPr>
            </w:pPr>
          </w:p>
        </w:tc>
        <w:tc>
          <w:tcPr>
            <w:tcW w:w="3354" w:type="dxa"/>
            <w:gridSpan w:val="3"/>
          </w:tcPr>
          <w:p w:rsidR="009A18F4" w:rsidRPr="00D82E82" w:rsidRDefault="009A18F4" w:rsidP="00E74D90">
            <w:pPr>
              <w:rPr>
                <w:rFonts w:eastAsia="楷体_GB2312"/>
                <w:b/>
                <w:color w:val="003366"/>
              </w:rPr>
            </w:pPr>
            <w:r w:rsidRPr="00F95DC4">
              <w:rPr>
                <w:rFonts w:eastAsia="楷体_GB2312"/>
                <w:b/>
                <w:color w:val="003366"/>
                <w:sz w:val="24"/>
              </w:rPr>
              <w:t>021-</w:t>
            </w:r>
            <w:r w:rsidRPr="00F95DC4">
              <w:rPr>
                <w:rFonts w:eastAsia="楷体_GB2312" w:hint="eastAsia"/>
                <w:b/>
                <w:color w:val="003366"/>
                <w:sz w:val="24"/>
              </w:rPr>
              <w:t>53519888</w:t>
            </w:r>
            <w:r w:rsidRPr="00F95DC4">
              <w:rPr>
                <w:rFonts w:hint="eastAsia"/>
              </w:rPr>
              <w:t>-</w:t>
            </w:r>
            <w:r w:rsidRPr="00F95DC4">
              <w:rPr>
                <w:rFonts w:eastAsia="楷体_GB2312" w:hint="eastAsia"/>
                <w:b/>
                <w:color w:val="003366"/>
                <w:sz w:val="24"/>
              </w:rPr>
              <w:t>1988</w:t>
            </w:r>
          </w:p>
        </w:tc>
      </w:tr>
      <w:tr w:rsidR="009A18F4" w:rsidRPr="00F57D27" w:rsidTr="00E74D90">
        <w:trPr>
          <w:gridAfter w:val="1"/>
          <w:wAfter w:w="225" w:type="dxa"/>
          <w:trHeight w:val="284"/>
        </w:trPr>
        <w:tc>
          <w:tcPr>
            <w:tcW w:w="534" w:type="dxa"/>
          </w:tcPr>
          <w:p w:rsidR="009A18F4" w:rsidRPr="00F57D27" w:rsidRDefault="009A18F4" w:rsidP="00E74D90">
            <w:pPr>
              <w:rPr>
                <w:rFonts w:eastAsia="楷体_GB2312"/>
                <w:b/>
                <w:color w:val="003366"/>
                <w:sz w:val="24"/>
              </w:rPr>
            </w:pPr>
          </w:p>
        </w:tc>
        <w:tc>
          <w:tcPr>
            <w:tcW w:w="3354" w:type="dxa"/>
            <w:gridSpan w:val="3"/>
          </w:tcPr>
          <w:p w:rsidR="009A18F4" w:rsidRDefault="009A18F4" w:rsidP="00E74D90">
            <w:r w:rsidRPr="00FC770C">
              <w:rPr>
                <w:rFonts w:eastAsia="楷体_GB2312" w:hint="eastAsia"/>
                <w:b/>
                <w:bCs/>
                <w:color w:val="003365"/>
                <w:kern w:val="0"/>
                <w:sz w:val="24"/>
              </w:rPr>
              <w:t>Liuyiqian</w:t>
            </w:r>
            <w:r w:rsidRPr="00FC770C">
              <w:rPr>
                <w:rFonts w:eastAsia="楷体_GB2312"/>
                <w:b/>
                <w:bCs/>
                <w:color w:val="003365"/>
                <w:kern w:val="0"/>
                <w:sz w:val="24"/>
              </w:rPr>
              <w:t>@</w:t>
            </w:r>
            <w:r>
              <w:rPr>
                <w:rFonts w:eastAsia="楷体_GB2312" w:hint="eastAsia"/>
                <w:b/>
                <w:bCs/>
                <w:color w:val="003365"/>
                <w:kern w:val="0"/>
                <w:sz w:val="24"/>
              </w:rPr>
              <w:t>shzq</w:t>
            </w:r>
            <w:r w:rsidRPr="00FC770C">
              <w:rPr>
                <w:rFonts w:eastAsia="楷体_GB2312"/>
                <w:b/>
                <w:bCs/>
                <w:color w:val="003365"/>
                <w:kern w:val="0"/>
                <w:sz w:val="24"/>
              </w:rPr>
              <w:t>.com</w:t>
            </w:r>
          </w:p>
          <w:p w:rsidR="009A18F4" w:rsidRPr="00F57D27" w:rsidRDefault="009A18F4" w:rsidP="00E74D90">
            <w:pPr>
              <w:rPr>
                <w:rFonts w:eastAsia="楷体_GB2312"/>
                <w:b/>
                <w:color w:val="003366"/>
                <w:sz w:val="24"/>
              </w:rPr>
            </w:pPr>
          </w:p>
        </w:tc>
      </w:tr>
      <w:tr w:rsidR="009A18F4" w:rsidRPr="00F57D27" w:rsidTr="00E74D90">
        <w:trPr>
          <w:gridAfter w:val="1"/>
          <w:wAfter w:w="225" w:type="dxa"/>
          <w:trHeight w:val="284"/>
        </w:trPr>
        <w:tc>
          <w:tcPr>
            <w:tcW w:w="534" w:type="dxa"/>
          </w:tcPr>
          <w:p w:rsidR="009A18F4" w:rsidRPr="00F57D27" w:rsidRDefault="009A18F4" w:rsidP="00E74D90">
            <w:pPr>
              <w:rPr>
                <w:rFonts w:eastAsia="楷体_GB2312"/>
                <w:b/>
                <w:color w:val="003366"/>
                <w:sz w:val="24"/>
              </w:rPr>
            </w:pPr>
          </w:p>
          <w:p w:rsidR="009A18F4" w:rsidRPr="00F57D27" w:rsidRDefault="009A18F4" w:rsidP="00E74D90">
            <w:pPr>
              <w:rPr>
                <w:rFonts w:eastAsia="楷体_GB2312"/>
                <w:b/>
                <w:color w:val="003366"/>
                <w:sz w:val="24"/>
              </w:rPr>
            </w:pPr>
          </w:p>
          <w:p w:rsidR="009A18F4" w:rsidRPr="00F57D27" w:rsidRDefault="009A18F4" w:rsidP="00E74D90">
            <w:pPr>
              <w:rPr>
                <w:rFonts w:eastAsia="楷体_GB2312"/>
                <w:b/>
                <w:color w:val="003366"/>
                <w:sz w:val="24"/>
              </w:rPr>
            </w:pPr>
          </w:p>
        </w:tc>
        <w:tc>
          <w:tcPr>
            <w:tcW w:w="3354" w:type="dxa"/>
            <w:gridSpan w:val="3"/>
          </w:tcPr>
          <w:p w:rsidR="009A18F4" w:rsidRPr="0077785C" w:rsidRDefault="009A18F4" w:rsidP="00E74D90">
            <w:pPr>
              <w:rPr>
                <w:rFonts w:eastAsia="楷体_GB2312"/>
                <w:color w:val="003366"/>
                <w:sz w:val="24"/>
              </w:rPr>
            </w:pPr>
          </w:p>
        </w:tc>
      </w:tr>
      <w:tr w:rsidR="009A18F4" w:rsidRPr="00F57D27" w:rsidTr="00E74D90">
        <w:trPr>
          <w:gridAfter w:val="1"/>
          <w:wAfter w:w="225" w:type="dxa"/>
          <w:trHeight w:val="284"/>
        </w:trPr>
        <w:tc>
          <w:tcPr>
            <w:tcW w:w="534" w:type="dxa"/>
          </w:tcPr>
          <w:p w:rsidR="009A18F4" w:rsidRPr="00F57D27" w:rsidRDefault="009A18F4" w:rsidP="00E74D90">
            <w:pPr>
              <w:rPr>
                <w:rFonts w:eastAsia="楷体_GB2312"/>
                <w:b/>
                <w:color w:val="003366"/>
                <w:sz w:val="24"/>
              </w:rPr>
            </w:pPr>
          </w:p>
        </w:tc>
        <w:tc>
          <w:tcPr>
            <w:tcW w:w="3354" w:type="dxa"/>
            <w:gridSpan w:val="3"/>
          </w:tcPr>
          <w:tbl>
            <w:tblPr>
              <w:tblpPr w:leftFromText="180" w:rightFromText="180" w:vertAnchor="text" w:horzAnchor="page" w:tblpX="37" w:tblpY="-2806"/>
              <w:tblW w:w="3888" w:type="dxa"/>
              <w:shd w:val="clear" w:color="auto" w:fill="E0E0E0"/>
              <w:tblLayout w:type="fixed"/>
              <w:tblLook w:val="01E0"/>
            </w:tblPr>
            <w:tblGrid>
              <w:gridCol w:w="3420"/>
              <w:gridCol w:w="468"/>
            </w:tblGrid>
            <w:tr w:rsidR="009A18F4" w:rsidRPr="00F57D27" w:rsidTr="00E74D90">
              <w:trPr>
                <w:trHeight w:hRule="exact" w:val="284"/>
              </w:trPr>
              <w:tc>
                <w:tcPr>
                  <w:tcW w:w="3888" w:type="dxa"/>
                  <w:gridSpan w:val="2"/>
                </w:tcPr>
                <w:p w:rsidR="009A18F4" w:rsidRPr="00B21A03" w:rsidRDefault="009A18F4" w:rsidP="00E74D90">
                  <w:pPr>
                    <w:pStyle w:val="a8"/>
                    <w:rPr>
                      <w:rFonts w:hAnsi="宋体" w:cs="宋体"/>
                    </w:rPr>
                  </w:pPr>
                  <w:r w:rsidRPr="00F57D27">
                    <w:rPr>
                      <w:rFonts w:eastAsia="黑体" w:hint="eastAsia"/>
                      <w:b/>
                      <w:color w:val="003366"/>
                      <w:sz w:val="24"/>
                    </w:rPr>
                    <w:t>报告</w:t>
                  </w:r>
                  <w:r w:rsidRPr="00F57D27">
                    <w:rPr>
                      <w:rFonts w:eastAsia="黑体"/>
                      <w:b/>
                      <w:color w:val="003366"/>
                      <w:sz w:val="24"/>
                    </w:rPr>
                    <w:t>日期</w:t>
                  </w:r>
                  <w:r w:rsidRPr="00F57D27">
                    <w:rPr>
                      <w:rFonts w:eastAsia="黑体" w:hint="eastAsia"/>
                      <w:b/>
                      <w:color w:val="003366"/>
                      <w:sz w:val="24"/>
                    </w:rPr>
                    <w:t>：</w:t>
                  </w:r>
                  <w:r w:rsidRPr="00B21A03">
                    <w:rPr>
                      <w:rFonts w:hAnsi="宋体" w:cs="宋体"/>
                    </w:rPr>
                    <w:t>201</w:t>
                  </w:r>
                  <w:r>
                    <w:rPr>
                      <w:rFonts w:hAnsi="宋体" w:cs="宋体" w:hint="eastAsia"/>
                    </w:rPr>
                    <w:t>5</w:t>
                  </w:r>
                  <w:r w:rsidRPr="00B21A03">
                    <w:rPr>
                      <w:rFonts w:hAnsi="宋体" w:cs="宋体"/>
                    </w:rPr>
                    <w:t>年</w:t>
                  </w:r>
                  <w:r w:rsidR="00144F30">
                    <w:rPr>
                      <w:rFonts w:hAnsi="宋体" w:cs="宋体" w:hint="eastAsia"/>
                    </w:rPr>
                    <w:t>6</w:t>
                  </w:r>
                  <w:r w:rsidRPr="00B21A03">
                    <w:rPr>
                      <w:rFonts w:hAnsi="宋体" w:cs="宋体"/>
                    </w:rPr>
                    <w:t>月</w:t>
                  </w:r>
                  <w:r>
                    <w:rPr>
                      <w:rFonts w:hAnsi="宋体" w:cs="宋体" w:hint="eastAsia"/>
                    </w:rPr>
                    <w:t>2</w:t>
                  </w:r>
                  <w:r w:rsidR="00144F30">
                    <w:rPr>
                      <w:rFonts w:hAnsi="宋体" w:cs="宋体" w:hint="eastAsia"/>
                    </w:rPr>
                    <w:t>6</w:t>
                  </w:r>
                  <w:r w:rsidRPr="00B21A03">
                    <w:rPr>
                      <w:rFonts w:hAnsi="宋体" w:cs="宋体"/>
                    </w:rPr>
                    <w:t>日</w:t>
                  </w:r>
                </w:p>
                <w:p w:rsidR="009A18F4" w:rsidRPr="00F57D27" w:rsidRDefault="009A18F4" w:rsidP="00E74D90">
                  <w:pPr>
                    <w:jc w:val="left"/>
                    <w:rPr>
                      <w:rFonts w:eastAsia="楷体_GB2312"/>
                      <w:color w:val="003366"/>
                      <w:sz w:val="24"/>
                    </w:rPr>
                  </w:pPr>
                </w:p>
              </w:tc>
            </w:tr>
            <w:tr w:rsidR="009A18F4" w:rsidRPr="00F57D27" w:rsidTr="00E74D90">
              <w:trPr>
                <w:gridAfter w:val="1"/>
                <w:wAfter w:w="468" w:type="dxa"/>
                <w:trHeight w:hRule="exact" w:val="284"/>
              </w:trPr>
              <w:tc>
                <w:tcPr>
                  <w:tcW w:w="3420" w:type="dxa"/>
                </w:tcPr>
                <w:p w:rsidR="009A18F4" w:rsidRPr="00F57D27" w:rsidRDefault="009A18F4" w:rsidP="00E74D90">
                  <w:pPr>
                    <w:rPr>
                      <w:rFonts w:eastAsia="楷体_GB2312"/>
                      <w:sz w:val="24"/>
                    </w:rPr>
                  </w:pPr>
                </w:p>
              </w:tc>
            </w:tr>
            <w:tr w:rsidR="009A18F4" w:rsidRPr="00F57D27" w:rsidTr="00E74D90">
              <w:trPr>
                <w:gridAfter w:val="1"/>
                <w:wAfter w:w="468" w:type="dxa"/>
                <w:trHeight w:hRule="exact" w:val="284"/>
              </w:trPr>
              <w:tc>
                <w:tcPr>
                  <w:tcW w:w="3420" w:type="dxa"/>
                </w:tcPr>
                <w:p w:rsidR="009A18F4" w:rsidRPr="00F57D27" w:rsidRDefault="009A18F4" w:rsidP="00E74D90">
                  <w:pPr>
                    <w:rPr>
                      <w:rFonts w:ascii="黑体" w:eastAsia="黑体"/>
                      <w:b/>
                      <w:color w:val="003366"/>
                      <w:sz w:val="24"/>
                    </w:rPr>
                  </w:pPr>
                  <w:r w:rsidRPr="00F57D27">
                    <w:rPr>
                      <w:rFonts w:eastAsia="黑体" w:hint="eastAsia"/>
                      <w:b/>
                      <w:color w:val="003366"/>
                      <w:sz w:val="24"/>
                    </w:rPr>
                    <w:t>报告编号：</w:t>
                  </w:r>
                </w:p>
              </w:tc>
            </w:tr>
            <w:tr w:rsidR="009A18F4" w:rsidRPr="00F57D27" w:rsidTr="00E74D90">
              <w:trPr>
                <w:gridAfter w:val="1"/>
                <w:wAfter w:w="468" w:type="dxa"/>
                <w:trHeight w:hRule="exact" w:val="284"/>
              </w:trPr>
              <w:tc>
                <w:tcPr>
                  <w:tcW w:w="3420" w:type="dxa"/>
                </w:tcPr>
                <w:p w:rsidR="009A18F4" w:rsidRPr="00F57D27" w:rsidRDefault="009A18F4" w:rsidP="00E74D90">
                  <w:pPr>
                    <w:rPr>
                      <w:rFonts w:eastAsia="楷体_GB2312"/>
                      <w:b/>
                      <w:color w:val="003366"/>
                      <w:sz w:val="24"/>
                    </w:rPr>
                  </w:pPr>
                </w:p>
              </w:tc>
            </w:tr>
            <w:tr w:rsidR="009A18F4" w:rsidRPr="00F57D27" w:rsidTr="00E74D90">
              <w:trPr>
                <w:gridAfter w:val="1"/>
                <w:wAfter w:w="468" w:type="dxa"/>
                <w:trHeight w:hRule="exact" w:val="284"/>
              </w:trPr>
              <w:tc>
                <w:tcPr>
                  <w:tcW w:w="3420" w:type="dxa"/>
                </w:tcPr>
                <w:p w:rsidR="009A18F4" w:rsidRPr="00F57D27" w:rsidRDefault="009A18F4" w:rsidP="00E74D90">
                  <w:pPr>
                    <w:rPr>
                      <w:rFonts w:ascii="黑体" w:eastAsia="黑体"/>
                      <w:b/>
                      <w:color w:val="003366"/>
                      <w:sz w:val="24"/>
                    </w:rPr>
                  </w:pPr>
                  <w:r w:rsidRPr="00F57D27">
                    <w:rPr>
                      <w:rFonts w:eastAsia="黑体" w:hint="eastAsia"/>
                      <w:b/>
                      <w:color w:val="003366"/>
                      <w:sz w:val="24"/>
                    </w:rPr>
                    <w:t>相关报告：</w:t>
                  </w:r>
                </w:p>
              </w:tc>
            </w:tr>
            <w:tr w:rsidR="009A18F4" w:rsidRPr="00F57D27" w:rsidTr="00E74D90">
              <w:trPr>
                <w:gridAfter w:val="1"/>
                <w:wAfter w:w="468" w:type="dxa"/>
                <w:trHeight w:hRule="exact" w:val="2396"/>
              </w:trPr>
              <w:tc>
                <w:tcPr>
                  <w:tcW w:w="3420" w:type="dxa"/>
                </w:tcPr>
                <w:p w:rsidR="009A18F4" w:rsidRPr="00401025" w:rsidRDefault="009A18F4" w:rsidP="00E74D90">
                  <w:pPr>
                    <w:rPr>
                      <w:rFonts w:eastAsia="楷体_GB2312"/>
                      <w:sz w:val="18"/>
                      <w:szCs w:val="18"/>
                    </w:rPr>
                  </w:pPr>
                  <w:r w:rsidRPr="00D775C1">
                    <w:rPr>
                      <w:rFonts w:eastAsia="楷体_GB2312" w:hint="eastAsia"/>
                      <w:sz w:val="18"/>
                      <w:szCs w:val="18"/>
                    </w:rPr>
                    <w:t>2</w:t>
                  </w:r>
                  <w:r w:rsidRPr="00607E19">
                    <w:rPr>
                      <w:rFonts w:eastAsia="楷体_GB2312" w:hint="eastAsia"/>
                      <w:sz w:val="18"/>
                      <w:szCs w:val="18"/>
                    </w:rPr>
                    <w:t>015</w:t>
                  </w:r>
                  <w:r w:rsidRPr="00607E19">
                    <w:rPr>
                      <w:rFonts w:eastAsia="楷体_GB2312" w:hint="eastAsia"/>
                      <w:sz w:val="18"/>
                      <w:szCs w:val="18"/>
                    </w:rPr>
                    <w:t>年</w:t>
                  </w:r>
                  <w:r w:rsidR="00572523">
                    <w:rPr>
                      <w:rFonts w:eastAsia="楷体_GB2312" w:hint="eastAsia"/>
                      <w:sz w:val="18"/>
                      <w:szCs w:val="18"/>
                    </w:rPr>
                    <w:t>6</w:t>
                  </w:r>
                  <w:r w:rsidRPr="00607E19">
                    <w:rPr>
                      <w:rFonts w:eastAsia="楷体_GB2312" w:hint="eastAsia"/>
                      <w:sz w:val="18"/>
                      <w:szCs w:val="18"/>
                    </w:rPr>
                    <w:t>月基金投资策略：</w:t>
                  </w:r>
                  <w:r w:rsidR="00572523" w:rsidRPr="00572523">
                    <w:rPr>
                      <w:rFonts w:eastAsia="楷体_GB2312" w:hint="eastAsia"/>
                      <w:sz w:val="18"/>
                      <w:szCs w:val="18"/>
                    </w:rPr>
                    <w:t>短期趋于疯狂，继续顺政策观投资配置基金</w:t>
                  </w:r>
                </w:p>
                <w:p w:rsidR="009A18F4" w:rsidRPr="00E524A0" w:rsidRDefault="00572523" w:rsidP="00E74D90">
                  <w:pPr>
                    <w:rPr>
                      <w:rFonts w:eastAsia="楷体_GB2312"/>
                      <w:sz w:val="18"/>
                      <w:szCs w:val="18"/>
                    </w:rPr>
                  </w:pPr>
                  <w:r w:rsidRPr="00607E19">
                    <w:rPr>
                      <w:rFonts w:eastAsia="楷体_GB2312" w:hint="eastAsia"/>
                      <w:sz w:val="18"/>
                      <w:szCs w:val="18"/>
                    </w:rPr>
                    <w:t>015</w:t>
                  </w:r>
                  <w:r w:rsidRPr="00607E19">
                    <w:rPr>
                      <w:rFonts w:eastAsia="楷体_GB2312" w:hint="eastAsia"/>
                      <w:sz w:val="18"/>
                      <w:szCs w:val="18"/>
                    </w:rPr>
                    <w:t>年</w:t>
                  </w:r>
                  <w:r>
                    <w:rPr>
                      <w:rFonts w:eastAsia="楷体_GB2312" w:hint="eastAsia"/>
                      <w:sz w:val="18"/>
                      <w:szCs w:val="18"/>
                    </w:rPr>
                    <w:t>5</w:t>
                  </w:r>
                  <w:r w:rsidRPr="00607E19">
                    <w:rPr>
                      <w:rFonts w:eastAsia="楷体_GB2312" w:hint="eastAsia"/>
                      <w:sz w:val="18"/>
                      <w:szCs w:val="18"/>
                    </w:rPr>
                    <w:t>月基金投资策略：</w:t>
                  </w:r>
                  <w:r w:rsidRPr="00401025">
                    <w:rPr>
                      <w:rFonts w:eastAsia="楷体_GB2312" w:hint="eastAsia"/>
                      <w:sz w:val="18"/>
                      <w:szCs w:val="18"/>
                    </w:rPr>
                    <w:t>四大风险或破坏向上趋势，基金配置长期顺政策短期观投资</w:t>
                  </w:r>
                  <w:r w:rsidR="009A18F4">
                    <w:rPr>
                      <w:rFonts w:eastAsia="楷体_GB2312" w:hint="eastAsia"/>
                      <w:sz w:val="18"/>
                      <w:szCs w:val="18"/>
                    </w:rPr>
                    <w:t>。</w:t>
                  </w:r>
                </w:p>
                <w:p w:rsidR="009A18F4" w:rsidRPr="00060998" w:rsidRDefault="009A18F4" w:rsidP="00E74D90">
                  <w:pPr>
                    <w:rPr>
                      <w:rFonts w:eastAsia="楷体_GB2312"/>
                      <w:sz w:val="18"/>
                      <w:szCs w:val="18"/>
                    </w:rPr>
                  </w:pPr>
                </w:p>
                <w:p w:rsidR="009A18F4" w:rsidRPr="00E44B3F" w:rsidRDefault="009A18F4" w:rsidP="00E74D90">
                  <w:pPr>
                    <w:rPr>
                      <w:rFonts w:eastAsia="楷体_GB2312"/>
                      <w:sz w:val="18"/>
                      <w:szCs w:val="18"/>
                    </w:rPr>
                  </w:pPr>
                </w:p>
                <w:p w:rsidR="009A18F4" w:rsidRPr="00734602" w:rsidRDefault="009A18F4" w:rsidP="00E74D90">
                  <w:pPr>
                    <w:rPr>
                      <w:rFonts w:eastAsia="黑体"/>
                      <w:b/>
                      <w:color w:val="003366"/>
                      <w:sz w:val="24"/>
                    </w:rPr>
                  </w:pPr>
                </w:p>
              </w:tc>
            </w:tr>
          </w:tbl>
          <w:p w:rsidR="009A18F4" w:rsidRPr="00F57D27" w:rsidRDefault="009A18F4" w:rsidP="00E74D90">
            <w:pPr>
              <w:rPr>
                <w:rFonts w:eastAsia="楷体_GB2312"/>
                <w:b/>
                <w:color w:val="003366"/>
                <w:sz w:val="28"/>
                <w:szCs w:val="28"/>
              </w:rPr>
            </w:pPr>
          </w:p>
        </w:tc>
      </w:tr>
    </w:tbl>
    <w:p w:rsidR="009A18F4" w:rsidRPr="00A054FE" w:rsidRDefault="009A18F4" w:rsidP="009A18F4">
      <w:pPr>
        <w:numPr>
          <w:ilvl w:val="0"/>
          <w:numId w:val="2"/>
        </w:numPr>
        <w:spacing w:line="360" w:lineRule="auto"/>
        <w:rPr>
          <w:rFonts w:ascii="黑体" w:eastAsia="黑体" w:hAnsi="宋体"/>
          <w:b/>
          <w:color w:val="003366"/>
          <w:sz w:val="24"/>
        </w:rPr>
      </w:pPr>
      <w:r>
        <w:rPr>
          <w:rFonts w:ascii="黑体" w:eastAsia="黑体" w:hAnsi="宋体"/>
          <w:b/>
          <w:noProof/>
          <w:color w:val="003366"/>
          <w:sz w:val="24"/>
        </w:rPr>
        <w:pict>
          <v:shape id="_x0000_s1026" type="#_x0000_t202" style="position:absolute;left:0;text-align:left;margin-left:-54pt;margin-top:-171.6pt;width:422.85pt;height:153.1pt;z-index:251660288;mso-position-horizontal-relative:text;mso-position-vertical-relative:text" fillcolor="#00326e" stroked="f">
            <v:textbox style="mso-next-textbox:#_x0000_s1026">
              <w:txbxContent>
                <w:p w:rsidR="009A18F4" w:rsidRPr="00C2401C" w:rsidRDefault="009A18F4" w:rsidP="009A18F4">
                  <w:pPr>
                    <w:rPr>
                      <w:rFonts w:ascii="宋体-18030" w:eastAsia="宋体-18030" w:hAnsi="宋体-18030" w:cs="宋体-18030"/>
                      <w:szCs w:val="21"/>
                    </w:rPr>
                  </w:pPr>
                </w:p>
                <w:p w:rsidR="009A18F4" w:rsidRPr="00C2401C" w:rsidRDefault="009A18F4" w:rsidP="009A18F4">
                  <w:pPr>
                    <w:jc w:val="right"/>
                    <w:rPr>
                      <w:rFonts w:ascii="宋体-18030" w:eastAsia="宋体-18030" w:hAnsi="宋体-18030" w:cs="宋体-18030"/>
                      <w:b/>
                      <w:szCs w:val="21"/>
                    </w:rPr>
                  </w:pPr>
                </w:p>
                <w:p w:rsidR="009A18F4" w:rsidRPr="00C2401C" w:rsidRDefault="009A18F4" w:rsidP="009A18F4">
                  <w:pPr>
                    <w:rPr>
                      <w:rFonts w:ascii="宋体-18030" w:eastAsia="宋体-18030" w:hAnsi="宋体-18030" w:cs="宋体-18030"/>
                      <w:szCs w:val="21"/>
                    </w:rPr>
                  </w:pPr>
                </w:p>
                <w:p w:rsidR="009A18F4" w:rsidRPr="00C2401C" w:rsidRDefault="009A18F4" w:rsidP="009A18F4">
                  <w:pPr>
                    <w:rPr>
                      <w:rFonts w:ascii="宋体-18030" w:eastAsia="宋体-18030" w:hAnsi="宋体-18030" w:cs="宋体-18030"/>
                      <w:szCs w:val="21"/>
                    </w:rPr>
                  </w:pPr>
                </w:p>
                <w:p w:rsidR="009A18F4" w:rsidRDefault="00B0557D" w:rsidP="009A18F4">
                  <w:pPr>
                    <w:spacing w:beforeLines="150" w:afterLines="100"/>
                    <w:ind w:right="147"/>
                    <w:jc w:val="right"/>
                    <w:rPr>
                      <w:rFonts w:ascii="黑体" w:eastAsia="黑体" w:hAnsi="宋体" w:cs="宋体-18030"/>
                      <w:b/>
                      <w:color w:val="FFFFFF"/>
                      <w:sz w:val="30"/>
                      <w:szCs w:val="30"/>
                    </w:rPr>
                  </w:pPr>
                  <w:r w:rsidRPr="00B0557D">
                    <w:rPr>
                      <w:rFonts w:ascii="黑体" w:eastAsia="黑体" w:hAnsi="宋体" w:cs="宋体-18030" w:hint="eastAsia"/>
                      <w:b/>
                      <w:color w:val="FFFFFF"/>
                      <w:sz w:val="30"/>
                      <w:szCs w:val="30"/>
                    </w:rPr>
                    <w:t>踩踏加码震荡</w:t>
                  </w:r>
                  <w:r w:rsidR="009A18F4" w:rsidRPr="00C656AF">
                    <w:rPr>
                      <w:rFonts w:ascii="黑体" w:eastAsia="黑体" w:hAnsi="宋体" w:cs="宋体-18030" w:hint="eastAsia"/>
                      <w:b/>
                      <w:color w:val="FFFFFF"/>
                      <w:sz w:val="30"/>
                      <w:szCs w:val="30"/>
                    </w:rPr>
                    <w:t>，</w:t>
                  </w:r>
                  <w:r w:rsidR="00CA3EB0">
                    <w:rPr>
                      <w:rFonts w:ascii="黑体" w:eastAsia="黑体" w:hAnsi="宋体" w:cs="宋体-18030" w:hint="eastAsia"/>
                      <w:b/>
                      <w:color w:val="FFFFFF"/>
                      <w:sz w:val="30"/>
                      <w:szCs w:val="30"/>
                    </w:rPr>
                    <w:t>配置</w:t>
                  </w:r>
                  <w:r w:rsidR="00CA3EB0" w:rsidRPr="00CA3EB0">
                    <w:rPr>
                      <w:rFonts w:ascii="黑体" w:eastAsia="黑体" w:hAnsi="宋体" w:cs="宋体-18030" w:hint="eastAsia"/>
                      <w:b/>
                      <w:color w:val="FFFFFF"/>
                      <w:sz w:val="30"/>
                      <w:szCs w:val="30"/>
                    </w:rPr>
                    <w:t>均衡谨慎</w:t>
                  </w:r>
                </w:p>
                <w:p w:rsidR="009A18F4" w:rsidRPr="004E3270" w:rsidRDefault="009A18F4" w:rsidP="009A18F4">
                  <w:pPr>
                    <w:wordWrap w:val="0"/>
                    <w:jc w:val="right"/>
                    <w:rPr>
                      <w:rFonts w:ascii="楷体_GB2312" w:eastAsia="楷体_GB2312"/>
                      <w:b/>
                      <w:szCs w:val="21"/>
                    </w:rPr>
                  </w:pPr>
                  <w:r>
                    <w:rPr>
                      <w:rFonts w:ascii="楷体_GB2312" w:eastAsia="楷体_GB2312" w:hint="eastAsia"/>
                      <w:b/>
                      <w:szCs w:val="21"/>
                    </w:rPr>
                    <w:t>--</w:t>
                  </w:r>
                  <w:r w:rsidRPr="004E62DA">
                    <w:rPr>
                      <w:rFonts w:hint="eastAsia"/>
                    </w:rPr>
                    <w:t xml:space="preserve"> </w:t>
                  </w:r>
                  <w:r>
                    <w:rPr>
                      <w:rFonts w:ascii="楷体_GB2312" w:eastAsia="楷体_GB2312" w:hint="eastAsia"/>
                      <w:b/>
                      <w:szCs w:val="21"/>
                    </w:rPr>
                    <w:t>2015</w:t>
                  </w:r>
                  <w:r w:rsidRPr="004E62DA">
                    <w:rPr>
                      <w:rFonts w:ascii="楷体_GB2312" w:eastAsia="楷体_GB2312" w:hint="eastAsia"/>
                      <w:b/>
                      <w:szCs w:val="21"/>
                    </w:rPr>
                    <w:t>年</w:t>
                  </w:r>
                  <w:r w:rsidR="00CA3EB0">
                    <w:rPr>
                      <w:rFonts w:ascii="楷体_GB2312" w:eastAsia="楷体_GB2312" w:hint="eastAsia"/>
                      <w:b/>
                      <w:szCs w:val="21"/>
                    </w:rPr>
                    <w:t>7</w:t>
                  </w:r>
                  <w:r>
                    <w:rPr>
                      <w:rFonts w:ascii="楷体_GB2312" w:eastAsia="楷体_GB2312" w:hint="eastAsia"/>
                      <w:b/>
                      <w:szCs w:val="21"/>
                    </w:rPr>
                    <w:t>月基</w:t>
                  </w:r>
                  <w:r w:rsidRPr="004E62DA">
                    <w:rPr>
                      <w:rFonts w:ascii="楷体_GB2312" w:eastAsia="楷体_GB2312" w:hint="eastAsia"/>
                      <w:b/>
                      <w:szCs w:val="21"/>
                    </w:rPr>
                    <w:t>金投资策略</w:t>
                  </w:r>
                  <w:r>
                    <w:rPr>
                      <w:rFonts w:ascii="楷体_GB2312" w:eastAsia="楷体_GB2312" w:hint="eastAsia"/>
                      <w:b/>
                      <w:szCs w:val="21"/>
                    </w:rPr>
                    <w:t xml:space="preserve">   </w:t>
                  </w:r>
                </w:p>
                <w:p w:rsidR="009A18F4" w:rsidRPr="00AF7DC8" w:rsidRDefault="009A18F4" w:rsidP="009A18F4">
                  <w:pPr>
                    <w:spacing w:line="360" w:lineRule="auto"/>
                    <w:jc w:val="center"/>
                    <w:rPr>
                      <w:rFonts w:ascii="黑体" w:eastAsia="黑体" w:hAnsi="宋体" w:cs="宋体-18030"/>
                      <w:b/>
                      <w:color w:val="FFFFFF"/>
                      <w:sz w:val="30"/>
                      <w:szCs w:val="30"/>
                    </w:rPr>
                  </w:pPr>
                </w:p>
              </w:txbxContent>
            </v:textbox>
          </v:shape>
        </w:pict>
      </w:r>
      <w:r w:rsidRPr="00A054FE">
        <w:rPr>
          <w:rFonts w:ascii="黑体" w:eastAsia="黑体" w:hAnsi="宋体" w:hint="eastAsia"/>
          <w:b/>
          <w:color w:val="003366"/>
          <w:sz w:val="24"/>
        </w:rPr>
        <w:t>主要观点：</w:t>
      </w:r>
    </w:p>
    <w:p w:rsidR="009A18F4" w:rsidRDefault="00B0557D" w:rsidP="009A18F4">
      <w:pPr>
        <w:numPr>
          <w:ilvl w:val="0"/>
          <w:numId w:val="2"/>
        </w:numPr>
        <w:spacing w:beforeLines="50" w:afterLines="50"/>
        <w:rPr>
          <w:rFonts w:ascii="黑体" w:eastAsia="黑体" w:hAnsi="宋体-18030" w:cs="宋体-18030"/>
          <w:b/>
          <w:bCs/>
          <w:color w:val="003366"/>
          <w:kern w:val="44"/>
          <w:szCs w:val="21"/>
        </w:rPr>
      </w:pPr>
      <w:r w:rsidRPr="00B0557D">
        <w:rPr>
          <w:rFonts w:ascii="黑体" w:eastAsia="黑体" w:hAnsi="宋体-18030" w:cs="宋体-18030" w:hint="eastAsia"/>
          <w:b/>
          <w:bCs/>
          <w:color w:val="003366"/>
          <w:kern w:val="44"/>
          <w:szCs w:val="21"/>
        </w:rPr>
        <w:t>降息不同于前，踩踏加码震荡</w:t>
      </w:r>
    </w:p>
    <w:p w:rsidR="009A18F4" w:rsidRDefault="009A18F4" w:rsidP="009A18F4">
      <w:pPr>
        <w:ind w:firstLine="420"/>
        <w:rPr>
          <w:rFonts w:ascii="楷体_GB2312" w:eastAsia="楷体_GB2312" w:hAnsi="宋体" w:cs="宋体"/>
          <w:kern w:val="0"/>
          <w:szCs w:val="21"/>
        </w:rPr>
      </w:pPr>
      <w:r w:rsidRPr="009B1698">
        <w:rPr>
          <w:rFonts w:ascii="楷体_GB2312" w:eastAsia="楷体_GB2312" w:hAnsi="宋体" w:cs="宋体" w:hint="eastAsia"/>
          <w:kern w:val="0"/>
          <w:szCs w:val="21"/>
        </w:rPr>
        <w:t>希腊因债务危机导致的退欧可能再度威胁欧元区经济稳定</w:t>
      </w:r>
      <w:r>
        <w:rPr>
          <w:rFonts w:ascii="楷体_GB2312" w:eastAsia="楷体_GB2312" w:hAnsi="宋体" w:cs="宋体" w:hint="eastAsia"/>
          <w:kern w:val="0"/>
          <w:szCs w:val="21"/>
        </w:rPr>
        <w:t>，美国经济回稳强化加息</w:t>
      </w:r>
      <w:r w:rsidRPr="009B1698">
        <w:rPr>
          <w:rFonts w:ascii="楷体_GB2312" w:eastAsia="楷体_GB2312" w:hAnsi="宋体" w:cs="宋体" w:hint="eastAsia"/>
          <w:kern w:val="0"/>
          <w:szCs w:val="21"/>
        </w:rPr>
        <w:t>预期，从而动荡全球股市表现</w:t>
      </w:r>
      <w:r>
        <w:rPr>
          <w:rFonts w:ascii="楷体_GB2312" w:eastAsia="楷体_GB2312" w:hAnsi="宋体" w:cs="宋体" w:hint="eastAsia"/>
          <w:kern w:val="0"/>
          <w:szCs w:val="21"/>
        </w:rPr>
        <w:t>。</w:t>
      </w:r>
    </w:p>
    <w:p w:rsidR="009A18F4" w:rsidRPr="00661347" w:rsidRDefault="009A18F4" w:rsidP="009A18F4">
      <w:pPr>
        <w:ind w:firstLine="420"/>
        <w:rPr>
          <w:rFonts w:ascii="楷体_GB2312" w:eastAsia="楷体_GB2312" w:hAnsi="宋体" w:cs="宋体"/>
          <w:kern w:val="0"/>
          <w:szCs w:val="21"/>
        </w:rPr>
      </w:pPr>
      <w:r w:rsidRPr="009B1698">
        <w:rPr>
          <w:rFonts w:ascii="楷体_GB2312" w:eastAsia="楷体_GB2312" w:hAnsi="宋体" w:cs="宋体" w:hint="eastAsia"/>
          <w:kern w:val="0"/>
          <w:szCs w:val="21"/>
        </w:rPr>
        <w:t>中国经济未见起色</w:t>
      </w:r>
      <w:r>
        <w:rPr>
          <w:rFonts w:ascii="楷体_GB2312" w:eastAsia="楷体_GB2312" w:hAnsi="宋体" w:cs="宋体" w:hint="eastAsia"/>
          <w:kern w:val="0"/>
          <w:szCs w:val="21"/>
        </w:rPr>
        <w:t>，积极宽松政策再度加码，有望对短期股市形成一定支撑。当前管理层呵护股市态度转变和政策放松力度削弱的预期均被证伪，但</w:t>
      </w:r>
      <w:r w:rsidR="00661347" w:rsidRPr="00661347">
        <w:rPr>
          <w:rFonts w:ascii="楷体_GB2312" w:eastAsia="楷体_GB2312" w:hAnsi="宋体" w:cs="宋体" w:hint="eastAsia"/>
          <w:kern w:val="0"/>
          <w:szCs w:val="21"/>
        </w:rPr>
        <w:t>亏钱效应</w:t>
      </w:r>
      <w:r w:rsidR="00661347">
        <w:rPr>
          <w:rFonts w:ascii="楷体_GB2312" w:eastAsia="楷体_GB2312" w:hAnsi="宋体" w:cs="宋体" w:hint="eastAsia"/>
          <w:kern w:val="0"/>
          <w:szCs w:val="21"/>
        </w:rPr>
        <w:t>引发的</w:t>
      </w:r>
      <w:r w:rsidR="00661347" w:rsidRPr="00661347">
        <w:rPr>
          <w:rFonts w:ascii="楷体_GB2312" w:eastAsia="楷体_GB2312" w:hAnsi="宋体" w:cs="宋体" w:hint="eastAsia"/>
          <w:kern w:val="0"/>
          <w:szCs w:val="21"/>
        </w:rPr>
        <w:t>普遍性降杠杆</w:t>
      </w:r>
      <w:r w:rsidR="00661347">
        <w:rPr>
          <w:rFonts w:ascii="楷体_GB2312" w:eastAsia="楷体_GB2312" w:hAnsi="宋体" w:cs="宋体" w:hint="eastAsia"/>
          <w:kern w:val="0"/>
          <w:szCs w:val="21"/>
        </w:rPr>
        <w:t>、降仓位</w:t>
      </w:r>
      <w:r w:rsidR="00661347" w:rsidRPr="00661347">
        <w:rPr>
          <w:rFonts w:ascii="楷体_GB2312" w:eastAsia="楷体_GB2312" w:hAnsi="宋体" w:cs="宋体" w:hint="eastAsia"/>
          <w:kern w:val="0"/>
          <w:szCs w:val="21"/>
        </w:rPr>
        <w:t>行为将导致股市资金流入受阻，踩踏行为或将压制7月股市继续大幅震荡，但不会出现如同6月下半月股灾式的回落。经过一段时间的筑实之后，市场有望继续重拾抬势。</w:t>
      </w:r>
    </w:p>
    <w:p w:rsidR="009A18F4" w:rsidRDefault="00B0557D" w:rsidP="009A18F4">
      <w:pPr>
        <w:numPr>
          <w:ilvl w:val="0"/>
          <w:numId w:val="2"/>
        </w:numPr>
        <w:spacing w:beforeLines="50" w:afterLines="50"/>
        <w:rPr>
          <w:rFonts w:ascii="黑体" w:eastAsia="黑体" w:hAnsi="宋体-18030" w:cs="宋体-18030"/>
          <w:b/>
          <w:bCs/>
          <w:color w:val="003366"/>
          <w:kern w:val="44"/>
          <w:szCs w:val="21"/>
        </w:rPr>
      </w:pPr>
      <w:r w:rsidRPr="00B0557D">
        <w:rPr>
          <w:rFonts w:ascii="黑体" w:eastAsia="黑体" w:hAnsi="宋体-18030" w:cs="宋体-18030" w:hint="eastAsia"/>
          <w:b/>
          <w:bCs/>
          <w:color w:val="003366"/>
          <w:kern w:val="44"/>
          <w:szCs w:val="21"/>
        </w:rPr>
        <w:t>配置均衡谨慎、顺政策关注主板基金</w:t>
      </w:r>
    </w:p>
    <w:p w:rsidR="009A18F4" w:rsidRDefault="00661347" w:rsidP="009A18F4">
      <w:pPr>
        <w:ind w:firstLine="420"/>
        <w:rPr>
          <w:rFonts w:ascii="楷体_GB2312" w:eastAsia="楷体_GB2312" w:hAnsi="宋体" w:cs="宋体"/>
          <w:kern w:val="0"/>
          <w:szCs w:val="21"/>
        </w:rPr>
      </w:pPr>
      <w:r w:rsidRPr="00CE2E5B">
        <w:rPr>
          <w:rFonts w:ascii="楷体_GB2312" w:eastAsia="楷体_GB2312" w:hAnsi="宋体" w:cs="宋体" w:hint="eastAsia"/>
          <w:kern w:val="0"/>
          <w:szCs w:val="21"/>
        </w:rPr>
        <w:t>短期内投资者适当谨慎，配置继续转向均衡，高风险投资者适当回避规模过小、持有人归于集中或投资股票过于集中小市值股票等流动性较差</w:t>
      </w:r>
      <w:r w:rsidR="001B44DF">
        <w:rPr>
          <w:rFonts w:ascii="楷体_GB2312" w:eastAsia="楷体_GB2312" w:hAnsi="宋体" w:cs="宋体" w:hint="eastAsia"/>
          <w:kern w:val="0"/>
          <w:szCs w:val="21"/>
        </w:rPr>
        <w:t>品种</w:t>
      </w:r>
      <w:r w:rsidRPr="00CE2E5B">
        <w:rPr>
          <w:rFonts w:ascii="楷体_GB2312" w:eastAsia="楷体_GB2312" w:hAnsi="宋体" w:cs="宋体" w:hint="eastAsia"/>
          <w:kern w:val="0"/>
          <w:szCs w:val="21"/>
        </w:rPr>
        <w:t>的基金产品，建议中低风险投资者维持较低权益型基金配置比例，等待市场</w:t>
      </w:r>
      <w:r>
        <w:rPr>
          <w:rFonts w:ascii="楷体_GB2312" w:eastAsia="楷体_GB2312" w:hAnsi="宋体" w:cs="宋体" w:hint="eastAsia"/>
          <w:kern w:val="0"/>
          <w:szCs w:val="21"/>
        </w:rPr>
        <w:t>筑实之后再做投资决策</w:t>
      </w:r>
      <w:r w:rsidR="009A18F4">
        <w:rPr>
          <w:rFonts w:ascii="楷体_GB2312" w:eastAsia="楷体_GB2312" w:hAnsi="宋体" w:cs="宋体" w:hint="eastAsia"/>
          <w:color w:val="000000"/>
          <w:kern w:val="0"/>
          <w:szCs w:val="21"/>
        </w:rPr>
        <w:t>。</w:t>
      </w:r>
    </w:p>
    <w:p w:rsidR="009A18F4" w:rsidRDefault="009A18F4" w:rsidP="009A18F4">
      <w:pPr>
        <w:ind w:firstLine="420"/>
        <w:rPr>
          <w:rFonts w:ascii="楷体_GB2312" w:eastAsia="楷体_GB2312" w:hAnsi="宋体" w:cs="宋体"/>
          <w:kern w:val="0"/>
          <w:szCs w:val="21"/>
        </w:rPr>
      </w:pPr>
      <w:r w:rsidRPr="00946743">
        <w:rPr>
          <w:rFonts w:ascii="楷体_GB2312" w:eastAsia="楷体_GB2312" w:hAnsi="宋体" w:cs="宋体" w:hint="eastAsia"/>
          <w:kern w:val="0"/>
          <w:szCs w:val="21"/>
        </w:rPr>
        <w:t>权益类基金方面，</w:t>
      </w:r>
      <w:r>
        <w:rPr>
          <w:rFonts w:ascii="楷体_GB2312" w:eastAsia="楷体_GB2312" w:hAnsi="宋体" w:cs="宋体" w:hint="eastAsia"/>
          <w:kern w:val="0"/>
          <w:szCs w:val="21"/>
        </w:rPr>
        <w:t>建</w:t>
      </w:r>
      <w:r w:rsidR="007F5B42">
        <w:rPr>
          <w:rFonts w:ascii="楷体_GB2312" w:eastAsia="楷体_GB2312" w:hAnsi="宋体" w:cs="宋体" w:hint="eastAsia"/>
          <w:kern w:val="0"/>
          <w:szCs w:val="21"/>
        </w:rPr>
        <w:t>议投资者沿着政策刺激方向，重点把握政策主题基金的短期机会。</w:t>
      </w:r>
      <w:r>
        <w:rPr>
          <w:rFonts w:ascii="楷体_GB2312" w:eastAsia="楷体_GB2312" w:hAnsi="宋体" w:cs="宋体" w:hint="eastAsia"/>
          <w:kern w:val="0"/>
          <w:szCs w:val="21"/>
        </w:rPr>
        <w:t>重点关注重仓水电、基建、金属、交运设备</w:t>
      </w:r>
      <w:r w:rsidRPr="00422254">
        <w:rPr>
          <w:rFonts w:ascii="楷体_GB2312" w:eastAsia="楷体_GB2312" w:hAnsi="宋体" w:cs="宋体" w:hint="eastAsia"/>
          <w:kern w:val="0"/>
          <w:szCs w:val="21"/>
        </w:rPr>
        <w:t>、工程机械等</w:t>
      </w:r>
      <w:r>
        <w:rPr>
          <w:rFonts w:ascii="楷体_GB2312" w:eastAsia="楷体_GB2312" w:hAnsi="宋体" w:cs="宋体" w:hint="eastAsia"/>
          <w:kern w:val="0"/>
          <w:szCs w:val="21"/>
        </w:rPr>
        <w:t>低估值低市净率的顺周期蓝筹板块的绩优基金；</w:t>
      </w:r>
      <w:r w:rsidR="007F5B42">
        <w:rPr>
          <w:rFonts w:ascii="楷体_GB2312" w:eastAsia="楷体_GB2312" w:hAnsi="宋体" w:cs="宋体" w:hint="eastAsia"/>
          <w:kern w:val="0"/>
          <w:szCs w:val="21"/>
        </w:rPr>
        <w:t>以及</w:t>
      </w:r>
      <w:r>
        <w:rPr>
          <w:rFonts w:ascii="楷体_GB2312" w:eastAsia="楷体_GB2312" w:hAnsi="宋体" w:cs="宋体" w:hint="eastAsia"/>
          <w:kern w:val="0"/>
          <w:szCs w:val="21"/>
        </w:rPr>
        <w:t>国企改革主题基金。建议继续兑现创业板基金收益，配置重心转向主要投资流动性更好的主板市场的绩优基金。</w:t>
      </w:r>
    </w:p>
    <w:p w:rsidR="009A18F4" w:rsidRPr="00946743" w:rsidRDefault="009A18F4" w:rsidP="009A18F4">
      <w:pPr>
        <w:ind w:firstLine="420"/>
        <w:rPr>
          <w:rFonts w:ascii="楷体_GB2312" w:eastAsia="楷体_GB2312" w:hAnsi="宋体" w:cs="宋体"/>
          <w:kern w:val="0"/>
          <w:szCs w:val="21"/>
        </w:rPr>
      </w:pPr>
      <w:r w:rsidRPr="00946743">
        <w:rPr>
          <w:rFonts w:ascii="楷体_GB2312" w:eastAsia="楷体_GB2312" w:hAnsi="宋体" w:cs="宋体" w:hint="eastAsia"/>
          <w:kern w:val="0"/>
          <w:szCs w:val="21"/>
        </w:rPr>
        <w:t>固定收益率基金方面，</w:t>
      </w:r>
      <w:r w:rsidRPr="00A84564">
        <w:rPr>
          <w:rFonts w:ascii="楷体_GB2312" w:eastAsia="楷体_GB2312" w:hAnsi="宋体" w:cs="宋体" w:hint="eastAsia"/>
          <w:kern w:val="0"/>
          <w:szCs w:val="21"/>
        </w:rPr>
        <w:t>建议低风险投资者</w:t>
      </w:r>
      <w:r w:rsidR="007F5B42">
        <w:rPr>
          <w:rFonts w:ascii="楷体_GB2312" w:eastAsia="楷体_GB2312" w:hAnsi="宋体" w:cs="宋体" w:hint="eastAsia"/>
          <w:kern w:val="0"/>
          <w:szCs w:val="21"/>
        </w:rPr>
        <w:t>继续</w:t>
      </w:r>
      <w:r w:rsidRPr="00A84564">
        <w:rPr>
          <w:rFonts w:ascii="楷体_GB2312" w:eastAsia="楷体_GB2312" w:hAnsi="宋体" w:cs="宋体" w:hint="eastAsia"/>
          <w:kern w:val="0"/>
          <w:szCs w:val="21"/>
        </w:rPr>
        <w:t>加码</w:t>
      </w:r>
      <w:r>
        <w:rPr>
          <w:rFonts w:ascii="楷体_GB2312" w:eastAsia="楷体_GB2312" w:hAnsi="宋体" w:cs="宋体" w:hint="eastAsia"/>
          <w:kern w:val="0"/>
          <w:szCs w:val="21"/>
        </w:rPr>
        <w:t>投资</w:t>
      </w:r>
      <w:r w:rsidRPr="00A84564">
        <w:rPr>
          <w:rFonts w:ascii="楷体_GB2312" w:eastAsia="楷体_GB2312" w:hAnsi="宋体" w:cs="宋体" w:hint="eastAsia"/>
          <w:kern w:val="0"/>
          <w:szCs w:val="21"/>
        </w:rPr>
        <w:t>债券型基金</w:t>
      </w:r>
      <w:r>
        <w:rPr>
          <w:rFonts w:ascii="楷体_GB2312" w:eastAsia="楷体_GB2312" w:hAnsi="宋体" w:cs="宋体" w:hint="eastAsia"/>
          <w:kern w:val="0"/>
          <w:szCs w:val="21"/>
        </w:rPr>
        <w:t>优先</w:t>
      </w:r>
      <w:r w:rsidRPr="00173734">
        <w:rPr>
          <w:rFonts w:ascii="楷体_GB2312" w:eastAsia="楷体_GB2312" w:hAnsi="宋体" w:cs="宋体" w:hint="eastAsia"/>
          <w:kern w:val="0"/>
          <w:szCs w:val="21"/>
        </w:rPr>
        <w:t>配置重仓期限偏向中长期、债券评级偏向低评级的债券型基金</w:t>
      </w:r>
      <w:r w:rsidRPr="00946743">
        <w:rPr>
          <w:rFonts w:ascii="楷体_GB2312" w:eastAsia="楷体_GB2312" w:hAnsi="宋体" w:cs="宋体" w:hint="eastAsia"/>
          <w:kern w:val="0"/>
          <w:szCs w:val="21"/>
        </w:rPr>
        <w:t>。</w:t>
      </w:r>
    </w:p>
    <w:p w:rsidR="009A18F4" w:rsidRPr="007F5B42" w:rsidRDefault="009A18F4" w:rsidP="009A18F4">
      <w:pPr>
        <w:ind w:firstLine="420"/>
        <w:rPr>
          <w:rFonts w:ascii="楷体_GB2312" w:eastAsia="楷体_GB2312" w:hAnsi="宋体" w:cs="宋体"/>
          <w:kern w:val="0"/>
          <w:szCs w:val="21"/>
        </w:rPr>
      </w:pPr>
      <w:r w:rsidRPr="008A55AF">
        <w:rPr>
          <w:rFonts w:ascii="楷体_GB2312" w:eastAsia="楷体_GB2312" w:hAnsi="宋体" w:cs="宋体" w:hint="eastAsia"/>
          <w:kern w:val="0"/>
          <w:szCs w:val="21"/>
        </w:rPr>
        <w:t>QDII方面，</w:t>
      </w:r>
      <w:r>
        <w:rPr>
          <w:rFonts w:ascii="楷体_GB2312" w:eastAsia="楷体_GB2312" w:hAnsi="宋体" w:cs="宋体" w:hint="eastAsia"/>
          <w:kern w:val="0"/>
          <w:szCs w:val="21"/>
        </w:rPr>
        <w:t>建议</w:t>
      </w:r>
      <w:r w:rsidR="007F5B42">
        <w:rPr>
          <w:rFonts w:ascii="楷体_GB2312" w:eastAsia="楷体_GB2312" w:hAnsi="宋体" w:cs="宋体" w:hint="eastAsia"/>
          <w:kern w:val="0"/>
          <w:szCs w:val="21"/>
        </w:rPr>
        <w:t>中性配置欧元区、美国股票QDII，低配香港股票QDII，高配日本股票QDII和美国REITs-QDII，</w:t>
      </w:r>
      <w:r w:rsidR="007F5B42" w:rsidRPr="00E06921">
        <w:rPr>
          <w:rFonts w:ascii="楷体_GB2312" w:eastAsia="楷体_GB2312" w:hAnsi="宋体" w:cs="宋体" w:hint="eastAsia"/>
          <w:kern w:val="0"/>
          <w:szCs w:val="21"/>
        </w:rPr>
        <w:t>适当回避受累全球疲软的大宗商品QDII</w:t>
      </w:r>
      <w:r w:rsidR="007F5B42">
        <w:rPr>
          <w:rFonts w:ascii="楷体_GB2312" w:eastAsia="楷体_GB2312" w:hAnsi="宋体" w:cs="宋体" w:hint="eastAsia"/>
          <w:kern w:val="0"/>
          <w:szCs w:val="21"/>
        </w:rPr>
        <w:t>，积极关注黄金QDII交易性机会，</w:t>
      </w:r>
      <w:r w:rsidR="007F5B42" w:rsidRPr="00E06921">
        <w:rPr>
          <w:rFonts w:ascii="楷体_GB2312" w:eastAsia="楷体_GB2312" w:hAnsi="宋体" w:cs="宋体" w:hint="eastAsia"/>
          <w:kern w:val="0"/>
          <w:szCs w:val="21"/>
        </w:rPr>
        <w:t>长期投资者高风险投资者可以从逆向投资的角度出发逐步布局大宗商品QDII</w:t>
      </w:r>
      <w:r w:rsidRPr="008A55AF">
        <w:rPr>
          <w:rFonts w:ascii="楷体_GB2312" w:eastAsia="楷体_GB2312" w:hAnsi="宋体" w:cs="宋体" w:hint="eastAsia"/>
          <w:kern w:val="0"/>
          <w:szCs w:val="21"/>
        </w:rPr>
        <w:t>。</w:t>
      </w:r>
    </w:p>
    <w:p w:rsidR="009A18F4" w:rsidRPr="00C1375D" w:rsidRDefault="009A18F4" w:rsidP="009A18F4">
      <w:pPr>
        <w:numPr>
          <w:ilvl w:val="0"/>
          <w:numId w:val="2"/>
        </w:numPr>
        <w:spacing w:beforeLines="50" w:afterLines="50"/>
        <w:rPr>
          <w:rFonts w:ascii="楷体_GB2312" w:eastAsia="楷体_GB2312" w:hAnsi="宋体" w:cs="宋体"/>
          <w:kern w:val="0"/>
          <w:szCs w:val="21"/>
        </w:rPr>
      </w:pPr>
      <w:r w:rsidRPr="00C1375D">
        <w:rPr>
          <w:rFonts w:ascii="黑体" w:eastAsia="黑体" w:hAnsi="宋体-18030" w:cs="宋体-18030" w:hint="eastAsia"/>
          <w:b/>
          <w:bCs/>
          <w:color w:val="003366"/>
          <w:kern w:val="44"/>
          <w:szCs w:val="21"/>
        </w:rPr>
        <w:t>本期组合推荐如下</w:t>
      </w:r>
    </w:p>
    <w:tbl>
      <w:tblPr>
        <w:tblW w:w="5000" w:type="pct"/>
        <w:jc w:val="center"/>
        <w:tblLook w:val="0000"/>
      </w:tblPr>
      <w:tblGrid>
        <w:gridCol w:w="2007"/>
        <w:gridCol w:w="578"/>
        <w:gridCol w:w="222"/>
        <w:gridCol w:w="1611"/>
        <w:gridCol w:w="578"/>
        <w:gridCol w:w="222"/>
        <w:gridCol w:w="939"/>
        <w:gridCol w:w="578"/>
      </w:tblGrid>
      <w:tr w:rsidR="009A18F4" w:rsidRPr="005B5148" w:rsidTr="00E74D90">
        <w:trPr>
          <w:trHeight w:val="285"/>
          <w:jc w:val="center"/>
        </w:trPr>
        <w:tc>
          <w:tcPr>
            <w:tcW w:w="1919" w:type="pct"/>
            <w:gridSpan w:val="2"/>
            <w:tcBorders>
              <w:top w:val="single" w:sz="4" w:space="0" w:color="auto"/>
              <w:left w:val="single" w:sz="4" w:space="0" w:color="auto"/>
              <w:right w:val="single" w:sz="4" w:space="0" w:color="000000"/>
            </w:tcBorders>
            <w:shd w:val="clear" w:color="auto" w:fill="0000FF"/>
            <w:noWrap/>
            <w:vAlign w:val="bottom"/>
          </w:tcPr>
          <w:p w:rsidR="009A18F4" w:rsidRPr="00604445" w:rsidRDefault="009A18F4" w:rsidP="00E74D90">
            <w:pPr>
              <w:widowControl/>
              <w:jc w:val="center"/>
              <w:rPr>
                <w:rFonts w:ascii="宋体" w:hAnsi="宋体" w:cs="宋体"/>
                <w:b/>
                <w:color w:val="FFFFFF"/>
                <w:kern w:val="0"/>
                <w:sz w:val="18"/>
                <w:szCs w:val="18"/>
              </w:rPr>
            </w:pPr>
            <w:r>
              <w:rPr>
                <w:rFonts w:ascii="楷体_GB2312" w:eastAsia="楷体_GB2312" w:hAnsi="宋体" w:cs="宋体"/>
                <w:kern w:val="0"/>
                <w:szCs w:val="21"/>
              </w:rPr>
              <w:t xml:space="preserve"> </w:t>
            </w:r>
            <w:r w:rsidRPr="00604445">
              <w:rPr>
                <w:rFonts w:ascii="宋体" w:hAnsi="宋体" w:cs="宋体" w:hint="eastAsia"/>
                <w:b/>
                <w:color w:val="FFFFFF"/>
                <w:kern w:val="0"/>
                <w:sz w:val="18"/>
                <w:szCs w:val="18"/>
              </w:rPr>
              <w:t>积极型组合</w:t>
            </w:r>
          </w:p>
        </w:tc>
        <w:tc>
          <w:tcPr>
            <w:tcW w:w="16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9A18F4" w:rsidRPr="005B5148" w:rsidRDefault="009A18F4" w:rsidP="00E74D90">
            <w:pPr>
              <w:widowControl/>
              <w:jc w:val="center"/>
              <w:rPr>
                <w:rFonts w:ascii="宋体" w:hAnsi="宋体" w:cs="宋体"/>
                <w:kern w:val="0"/>
                <w:sz w:val="18"/>
                <w:szCs w:val="18"/>
              </w:rPr>
            </w:pPr>
          </w:p>
        </w:tc>
        <w:tc>
          <w:tcPr>
            <w:tcW w:w="1625" w:type="pct"/>
            <w:gridSpan w:val="2"/>
            <w:tcBorders>
              <w:top w:val="single" w:sz="4" w:space="0" w:color="auto"/>
              <w:left w:val="single" w:sz="4" w:space="0" w:color="auto"/>
              <w:right w:val="single" w:sz="4" w:space="0" w:color="000000"/>
            </w:tcBorders>
            <w:shd w:val="clear" w:color="auto" w:fill="0000FF"/>
            <w:noWrap/>
            <w:vAlign w:val="bottom"/>
          </w:tcPr>
          <w:p w:rsidR="009A18F4" w:rsidRPr="00604445" w:rsidRDefault="009A18F4" w:rsidP="00E74D90">
            <w:pPr>
              <w:widowControl/>
              <w:jc w:val="center"/>
              <w:rPr>
                <w:rFonts w:ascii="宋体" w:hAnsi="宋体" w:cs="宋体"/>
                <w:b/>
                <w:color w:val="FFFFFF"/>
                <w:kern w:val="0"/>
                <w:sz w:val="18"/>
                <w:szCs w:val="18"/>
              </w:rPr>
            </w:pPr>
            <w:r w:rsidRPr="00604445">
              <w:rPr>
                <w:rFonts w:ascii="宋体" w:hAnsi="宋体" w:cs="宋体" w:hint="eastAsia"/>
                <w:b/>
                <w:color w:val="FFFFFF"/>
                <w:kern w:val="0"/>
                <w:sz w:val="18"/>
                <w:szCs w:val="18"/>
              </w:rPr>
              <w:t>平衡型组合</w:t>
            </w:r>
          </w:p>
        </w:tc>
        <w:tc>
          <w:tcPr>
            <w:tcW w:w="165"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9A18F4" w:rsidRPr="005B5148" w:rsidRDefault="009A18F4" w:rsidP="00E74D90">
            <w:pPr>
              <w:widowControl/>
              <w:jc w:val="center"/>
              <w:rPr>
                <w:rFonts w:ascii="宋体" w:hAnsi="宋体" w:cs="宋体"/>
                <w:kern w:val="0"/>
                <w:sz w:val="18"/>
                <w:szCs w:val="18"/>
              </w:rPr>
            </w:pPr>
          </w:p>
        </w:tc>
        <w:tc>
          <w:tcPr>
            <w:tcW w:w="1126" w:type="pct"/>
            <w:gridSpan w:val="2"/>
            <w:tcBorders>
              <w:top w:val="single" w:sz="4" w:space="0" w:color="auto"/>
              <w:left w:val="single" w:sz="4" w:space="0" w:color="auto"/>
              <w:right w:val="single" w:sz="4" w:space="0" w:color="000000"/>
            </w:tcBorders>
            <w:shd w:val="clear" w:color="auto" w:fill="0000FF"/>
            <w:noWrap/>
            <w:vAlign w:val="bottom"/>
          </w:tcPr>
          <w:p w:rsidR="009A18F4" w:rsidRPr="00604445" w:rsidRDefault="009A18F4" w:rsidP="00E74D90">
            <w:pPr>
              <w:widowControl/>
              <w:jc w:val="center"/>
              <w:rPr>
                <w:rFonts w:ascii="宋体" w:hAnsi="宋体" w:cs="宋体"/>
                <w:b/>
                <w:color w:val="FFFFFF"/>
                <w:kern w:val="0"/>
                <w:sz w:val="18"/>
                <w:szCs w:val="18"/>
              </w:rPr>
            </w:pPr>
            <w:r w:rsidRPr="00604445">
              <w:rPr>
                <w:rFonts w:ascii="宋体" w:hAnsi="宋体" w:cs="宋体" w:hint="eastAsia"/>
                <w:b/>
                <w:color w:val="FFFFFF"/>
                <w:kern w:val="0"/>
                <w:sz w:val="18"/>
                <w:szCs w:val="18"/>
              </w:rPr>
              <w:t>稳定型组合</w:t>
            </w:r>
          </w:p>
        </w:tc>
      </w:tr>
      <w:tr w:rsidR="009A18F4" w:rsidRPr="005B5148" w:rsidTr="00E74D90">
        <w:trPr>
          <w:trHeight w:val="285"/>
          <w:jc w:val="center"/>
        </w:trPr>
        <w:tc>
          <w:tcPr>
            <w:tcW w:w="1490" w:type="pct"/>
            <w:tcBorders>
              <w:top w:val="nil"/>
              <w:bottom w:val="single" w:sz="8" w:space="0" w:color="auto"/>
              <w:right w:val="single" w:sz="8" w:space="0" w:color="auto"/>
            </w:tcBorders>
            <w:shd w:val="clear" w:color="auto" w:fill="D9D9D9"/>
            <w:noWrap/>
            <w:vAlign w:val="bottom"/>
          </w:tcPr>
          <w:p w:rsidR="009A18F4" w:rsidRPr="005B5148" w:rsidRDefault="009A18F4" w:rsidP="00E74D90">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29" w:type="pct"/>
            <w:tcBorders>
              <w:top w:val="nil"/>
              <w:left w:val="single" w:sz="8" w:space="0" w:color="auto"/>
              <w:bottom w:val="single" w:sz="8" w:space="0" w:color="auto"/>
              <w:right w:val="single" w:sz="8" w:space="0" w:color="auto"/>
            </w:tcBorders>
            <w:shd w:val="clear" w:color="auto" w:fill="D9D9D9"/>
            <w:noWrap/>
            <w:vAlign w:val="bottom"/>
          </w:tcPr>
          <w:p w:rsidR="009A18F4" w:rsidRPr="005B5148" w:rsidRDefault="009A18F4" w:rsidP="00E74D90">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c>
          <w:tcPr>
            <w:tcW w:w="165" w:type="pct"/>
            <w:vMerge/>
            <w:tcBorders>
              <w:top w:val="single" w:sz="4" w:space="0" w:color="auto"/>
              <w:left w:val="single" w:sz="8" w:space="0" w:color="auto"/>
              <w:bottom w:val="single" w:sz="4" w:space="0" w:color="000000"/>
            </w:tcBorders>
            <w:vAlign w:val="center"/>
          </w:tcPr>
          <w:p w:rsidR="009A18F4" w:rsidRPr="005B5148" w:rsidRDefault="009A18F4" w:rsidP="00E74D90">
            <w:pPr>
              <w:widowControl/>
              <w:jc w:val="left"/>
              <w:rPr>
                <w:rFonts w:ascii="宋体" w:hAnsi="宋体" w:cs="宋体"/>
                <w:kern w:val="0"/>
                <w:sz w:val="18"/>
                <w:szCs w:val="18"/>
              </w:rPr>
            </w:pPr>
          </w:p>
        </w:tc>
        <w:tc>
          <w:tcPr>
            <w:tcW w:w="1196" w:type="pct"/>
            <w:tcBorders>
              <w:bottom w:val="single" w:sz="8" w:space="0" w:color="auto"/>
              <w:right w:val="single" w:sz="8" w:space="0" w:color="auto"/>
            </w:tcBorders>
            <w:shd w:val="clear" w:color="auto" w:fill="D9D9D9"/>
            <w:noWrap/>
            <w:vAlign w:val="bottom"/>
          </w:tcPr>
          <w:p w:rsidR="009A18F4" w:rsidRPr="005B5148" w:rsidRDefault="009A18F4" w:rsidP="00E74D90">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29" w:type="pct"/>
            <w:tcBorders>
              <w:left w:val="single" w:sz="8" w:space="0" w:color="auto"/>
              <w:bottom w:val="single" w:sz="8" w:space="0" w:color="auto"/>
              <w:right w:val="single" w:sz="8" w:space="0" w:color="auto"/>
            </w:tcBorders>
            <w:shd w:val="clear" w:color="auto" w:fill="D9D9D9"/>
            <w:noWrap/>
            <w:vAlign w:val="bottom"/>
          </w:tcPr>
          <w:p w:rsidR="009A18F4" w:rsidRPr="005B5148" w:rsidRDefault="009A18F4" w:rsidP="00E74D90">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c>
          <w:tcPr>
            <w:tcW w:w="165" w:type="pct"/>
            <w:vMerge/>
            <w:tcBorders>
              <w:top w:val="single" w:sz="4" w:space="0" w:color="auto"/>
              <w:left w:val="single" w:sz="8" w:space="0" w:color="auto"/>
              <w:bottom w:val="single" w:sz="4" w:space="0" w:color="000000"/>
            </w:tcBorders>
            <w:vAlign w:val="center"/>
          </w:tcPr>
          <w:p w:rsidR="009A18F4" w:rsidRPr="005B5148" w:rsidRDefault="009A18F4" w:rsidP="00E74D90">
            <w:pPr>
              <w:widowControl/>
              <w:jc w:val="left"/>
              <w:rPr>
                <w:rFonts w:ascii="宋体" w:hAnsi="宋体" w:cs="宋体"/>
                <w:kern w:val="0"/>
                <w:sz w:val="18"/>
                <w:szCs w:val="18"/>
              </w:rPr>
            </w:pPr>
          </w:p>
        </w:tc>
        <w:tc>
          <w:tcPr>
            <w:tcW w:w="697" w:type="pct"/>
            <w:tcBorders>
              <w:bottom w:val="single" w:sz="8" w:space="0" w:color="auto"/>
              <w:right w:val="single" w:sz="8" w:space="0" w:color="auto"/>
            </w:tcBorders>
            <w:shd w:val="clear" w:color="auto" w:fill="D9D9D9"/>
            <w:noWrap/>
            <w:vAlign w:val="bottom"/>
          </w:tcPr>
          <w:p w:rsidR="009A18F4" w:rsidRPr="005B5148" w:rsidRDefault="009A18F4" w:rsidP="00E74D90">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29" w:type="pct"/>
            <w:tcBorders>
              <w:left w:val="single" w:sz="8" w:space="0" w:color="auto"/>
              <w:bottom w:val="single" w:sz="8" w:space="0" w:color="auto"/>
              <w:right w:val="single" w:sz="8" w:space="0" w:color="auto"/>
            </w:tcBorders>
            <w:shd w:val="clear" w:color="auto" w:fill="D9D9D9"/>
            <w:noWrap/>
            <w:vAlign w:val="bottom"/>
          </w:tcPr>
          <w:p w:rsidR="009A18F4" w:rsidRPr="005B5148" w:rsidRDefault="009A18F4" w:rsidP="00E74D90">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r>
      <w:tr w:rsidR="009A18F4" w:rsidRPr="005B5148" w:rsidTr="00E74D90">
        <w:trPr>
          <w:trHeight w:val="285"/>
          <w:jc w:val="center"/>
        </w:trPr>
        <w:tc>
          <w:tcPr>
            <w:tcW w:w="1490" w:type="pct"/>
            <w:tcBorders>
              <w:top w:val="single" w:sz="8" w:space="0" w:color="auto"/>
              <w:left w:val="single" w:sz="4" w:space="0" w:color="auto"/>
              <w:bottom w:val="single" w:sz="4" w:space="0" w:color="auto"/>
              <w:right w:val="single" w:sz="4" w:space="0" w:color="auto"/>
            </w:tcBorders>
            <w:shd w:val="clear" w:color="auto" w:fill="auto"/>
            <w:noWrap/>
            <w:vAlign w:val="bottom"/>
          </w:tcPr>
          <w:p w:rsidR="009A18F4" w:rsidRPr="007F5B42" w:rsidRDefault="009A18F4" w:rsidP="00E74D90">
            <w:pPr>
              <w:jc w:val="center"/>
              <w:rPr>
                <w:rFonts w:ascii="Arial" w:hAnsi="Arial" w:cs="Arial"/>
                <w:sz w:val="16"/>
                <w:szCs w:val="16"/>
              </w:rPr>
            </w:pPr>
            <w:r>
              <w:rPr>
                <w:rFonts w:ascii="Arial" w:hAnsi="Arial" w:cs="Arial"/>
                <w:sz w:val="16"/>
                <w:szCs w:val="16"/>
              </w:rPr>
              <w:t>信诚精萃成长</w:t>
            </w:r>
          </w:p>
        </w:tc>
        <w:tc>
          <w:tcPr>
            <w:tcW w:w="429" w:type="pct"/>
            <w:tcBorders>
              <w:top w:val="single" w:sz="8" w:space="0" w:color="auto"/>
              <w:left w:val="nil"/>
              <w:bottom w:val="single" w:sz="4" w:space="0" w:color="auto"/>
              <w:right w:val="single" w:sz="4" w:space="0" w:color="auto"/>
            </w:tcBorders>
            <w:shd w:val="clear" w:color="auto" w:fill="auto"/>
            <w:noWrap/>
            <w:vAlign w:val="bottom"/>
          </w:tcPr>
          <w:p w:rsidR="009A18F4" w:rsidRPr="007F5B42" w:rsidRDefault="009A18F4" w:rsidP="00E74D90">
            <w:pPr>
              <w:widowControl/>
              <w:jc w:val="center"/>
              <w:rPr>
                <w:rFonts w:ascii="Arial" w:hAnsi="Arial" w:cs="Arial"/>
                <w:sz w:val="16"/>
                <w:szCs w:val="16"/>
              </w:rPr>
            </w:pPr>
            <w:r w:rsidRPr="007F5B42">
              <w:rPr>
                <w:rFonts w:ascii="Arial" w:hAnsi="Arial" w:cs="Arial" w:hint="eastAsia"/>
                <w:sz w:val="16"/>
                <w:szCs w:val="16"/>
              </w:rPr>
              <w:t>30%</w:t>
            </w:r>
          </w:p>
        </w:tc>
        <w:tc>
          <w:tcPr>
            <w:tcW w:w="165" w:type="pct"/>
            <w:vMerge/>
            <w:tcBorders>
              <w:top w:val="single" w:sz="8" w:space="0" w:color="auto"/>
              <w:left w:val="single" w:sz="4" w:space="0" w:color="auto"/>
              <w:bottom w:val="single" w:sz="4" w:space="0" w:color="000000"/>
              <w:right w:val="single" w:sz="4" w:space="0" w:color="auto"/>
            </w:tcBorders>
            <w:vAlign w:val="center"/>
          </w:tcPr>
          <w:p w:rsidR="009A18F4" w:rsidRPr="007F5B42" w:rsidRDefault="009A18F4" w:rsidP="00E74D90">
            <w:pPr>
              <w:widowControl/>
              <w:jc w:val="left"/>
              <w:rPr>
                <w:rFonts w:ascii="Arial" w:hAnsi="Arial" w:cs="Arial"/>
                <w:sz w:val="16"/>
                <w:szCs w:val="16"/>
              </w:rPr>
            </w:pPr>
          </w:p>
        </w:tc>
        <w:tc>
          <w:tcPr>
            <w:tcW w:w="1196" w:type="pct"/>
            <w:tcBorders>
              <w:top w:val="single" w:sz="8" w:space="0" w:color="auto"/>
              <w:left w:val="nil"/>
              <w:bottom w:val="single" w:sz="4" w:space="0" w:color="auto"/>
              <w:right w:val="single" w:sz="4" w:space="0" w:color="auto"/>
            </w:tcBorders>
            <w:shd w:val="clear" w:color="auto" w:fill="auto"/>
            <w:noWrap/>
            <w:vAlign w:val="bottom"/>
          </w:tcPr>
          <w:p w:rsidR="009A18F4" w:rsidRPr="007F5B42" w:rsidRDefault="009A18F4" w:rsidP="00E74D90">
            <w:pPr>
              <w:jc w:val="center"/>
              <w:rPr>
                <w:rFonts w:ascii="Arial" w:hAnsi="Arial" w:cs="Arial"/>
                <w:sz w:val="16"/>
                <w:szCs w:val="16"/>
              </w:rPr>
            </w:pPr>
            <w:r>
              <w:rPr>
                <w:rFonts w:ascii="Arial" w:hAnsi="Arial" w:cs="Arial"/>
                <w:sz w:val="16"/>
                <w:szCs w:val="16"/>
              </w:rPr>
              <w:t>信诚精萃成长</w:t>
            </w:r>
          </w:p>
        </w:tc>
        <w:tc>
          <w:tcPr>
            <w:tcW w:w="429" w:type="pct"/>
            <w:tcBorders>
              <w:top w:val="single" w:sz="8" w:space="0" w:color="auto"/>
              <w:left w:val="nil"/>
              <w:bottom w:val="single" w:sz="4" w:space="0" w:color="auto"/>
              <w:right w:val="single" w:sz="4" w:space="0" w:color="auto"/>
            </w:tcBorders>
            <w:shd w:val="clear" w:color="auto" w:fill="auto"/>
            <w:noWrap/>
            <w:vAlign w:val="bottom"/>
          </w:tcPr>
          <w:p w:rsidR="009A18F4" w:rsidRPr="007F5B42" w:rsidRDefault="009A18F4" w:rsidP="00E74D90">
            <w:pPr>
              <w:widowControl/>
              <w:jc w:val="center"/>
              <w:rPr>
                <w:rFonts w:ascii="Arial" w:hAnsi="Arial" w:cs="Arial"/>
                <w:sz w:val="16"/>
                <w:szCs w:val="16"/>
              </w:rPr>
            </w:pPr>
            <w:r w:rsidRPr="007F5B42">
              <w:rPr>
                <w:rFonts w:ascii="Arial" w:hAnsi="Arial" w:cs="Arial" w:hint="eastAsia"/>
                <w:sz w:val="16"/>
                <w:szCs w:val="16"/>
              </w:rPr>
              <w:t>20%</w:t>
            </w:r>
          </w:p>
        </w:tc>
        <w:tc>
          <w:tcPr>
            <w:tcW w:w="165" w:type="pct"/>
            <w:vMerge/>
            <w:tcBorders>
              <w:top w:val="single" w:sz="8" w:space="0" w:color="auto"/>
              <w:left w:val="single" w:sz="4" w:space="0" w:color="auto"/>
              <w:bottom w:val="single" w:sz="4" w:space="0" w:color="000000"/>
              <w:right w:val="single" w:sz="4" w:space="0" w:color="auto"/>
            </w:tcBorders>
            <w:vAlign w:val="center"/>
          </w:tcPr>
          <w:p w:rsidR="009A18F4" w:rsidRPr="007F5B42" w:rsidRDefault="009A18F4" w:rsidP="00E74D90">
            <w:pPr>
              <w:widowControl/>
              <w:jc w:val="left"/>
              <w:rPr>
                <w:rFonts w:ascii="Arial" w:hAnsi="Arial" w:cs="Arial"/>
                <w:sz w:val="16"/>
                <w:szCs w:val="16"/>
              </w:rPr>
            </w:pPr>
          </w:p>
        </w:tc>
        <w:tc>
          <w:tcPr>
            <w:tcW w:w="697" w:type="pct"/>
            <w:tcBorders>
              <w:top w:val="single" w:sz="8" w:space="0" w:color="auto"/>
              <w:left w:val="nil"/>
              <w:bottom w:val="single" w:sz="4" w:space="0" w:color="auto"/>
              <w:right w:val="single" w:sz="4" w:space="0" w:color="auto"/>
            </w:tcBorders>
            <w:shd w:val="clear" w:color="auto" w:fill="auto"/>
            <w:noWrap/>
            <w:vAlign w:val="bottom"/>
          </w:tcPr>
          <w:p w:rsidR="009A18F4" w:rsidRPr="007F5B42" w:rsidRDefault="009A18F4" w:rsidP="00E74D90">
            <w:pPr>
              <w:jc w:val="center"/>
              <w:rPr>
                <w:rFonts w:ascii="Arial" w:hAnsi="Arial" w:cs="Arial"/>
                <w:sz w:val="16"/>
                <w:szCs w:val="16"/>
              </w:rPr>
            </w:pPr>
            <w:r w:rsidRPr="007F5B42">
              <w:rPr>
                <w:rFonts w:ascii="Arial" w:hAnsi="Arial" w:cs="Arial" w:hint="eastAsia"/>
                <w:sz w:val="16"/>
                <w:szCs w:val="16"/>
              </w:rPr>
              <w:t>宝盈收益</w:t>
            </w:r>
          </w:p>
        </w:tc>
        <w:tc>
          <w:tcPr>
            <w:tcW w:w="429" w:type="pct"/>
            <w:tcBorders>
              <w:top w:val="single" w:sz="8" w:space="0" w:color="auto"/>
              <w:left w:val="nil"/>
              <w:bottom w:val="single" w:sz="4" w:space="0" w:color="auto"/>
              <w:right w:val="single" w:sz="4" w:space="0" w:color="auto"/>
            </w:tcBorders>
            <w:shd w:val="clear" w:color="auto" w:fill="auto"/>
            <w:noWrap/>
            <w:vAlign w:val="bottom"/>
          </w:tcPr>
          <w:p w:rsidR="009A18F4" w:rsidRPr="007F5B42" w:rsidRDefault="009A18F4" w:rsidP="00E74D90">
            <w:pPr>
              <w:widowControl/>
              <w:jc w:val="center"/>
              <w:rPr>
                <w:rFonts w:ascii="Arial" w:hAnsi="Arial" w:cs="Arial"/>
                <w:sz w:val="16"/>
                <w:szCs w:val="16"/>
              </w:rPr>
            </w:pPr>
            <w:r w:rsidRPr="007F5B42">
              <w:rPr>
                <w:rFonts w:ascii="Arial" w:hAnsi="Arial" w:cs="Arial" w:hint="eastAsia"/>
                <w:sz w:val="16"/>
                <w:szCs w:val="16"/>
              </w:rPr>
              <w:t>30%</w:t>
            </w:r>
          </w:p>
        </w:tc>
      </w:tr>
      <w:tr w:rsidR="009A18F4" w:rsidRPr="005B5148" w:rsidTr="00E74D90">
        <w:trPr>
          <w:trHeight w:val="285"/>
          <w:jc w:val="center"/>
        </w:trPr>
        <w:tc>
          <w:tcPr>
            <w:tcW w:w="1490" w:type="pct"/>
            <w:tcBorders>
              <w:top w:val="nil"/>
              <w:left w:val="single" w:sz="4" w:space="0" w:color="auto"/>
              <w:bottom w:val="single" w:sz="4" w:space="0" w:color="auto"/>
              <w:right w:val="single" w:sz="4" w:space="0" w:color="auto"/>
            </w:tcBorders>
            <w:shd w:val="clear" w:color="auto" w:fill="auto"/>
            <w:noWrap/>
            <w:vAlign w:val="bottom"/>
          </w:tcPr>
          <w:p w:rsidR="009A18F4" w:rsidRPr="007F5B42" w:rsidRDefault="009A18F4" w:rsidP="00E74D90">
            <w:pPr>
              <w:jc w:val="center"/>
              <w:rPr>
                <w:rFonts w:ascii="Arial" w:hAnsi="Arial" w:cs="Arial"/>
                <w:sz w:val="16"/>
                <w:szCs w:val="16"/>
              </w:rPr>
            </w:pPr>
            <w:r w:rsidRPr="007F5B42">
              <w:rPr>
                <w:rFonts w:ascii="Arial" w:hAnsi="Arial" w:cs="Arial" w:hint="eastAsia"/>
                <w:sz w:val="16"/>
                <w:szCs w:val="16"/>
              </w:rPr>
              <w:t>添富价值</w:t>
            </w:r>
          </w:p>
        </w:tc>
        <w:tc>
          <w:tcPr>
            <w:tcW w:w="429" w:type="pct"/>
            <w:tcBorders>
              <w:top w:val="nil"/>
              <w:left w:val="nil"/>
              <w:bottom w:val="single" w:sz="4" w:space="0" w:color="auto"/>
              <w:right w:val="single" w:sz="4" w:space="0" w:color="auto"/>
            </w:tcBorders>
            <w:shd w:val="clear" w:color="auto" w:fill="auto"/>
            <w:noWrap/>
            <w:vAlign w:val="bottom"/>
          </w:tcPr>
          <w:p w:rsidR="009A18F4" w:rsidRPr="007F5B42" w:rsidRDefault="009A18F4" w:rsidP="00E74D90">
            <w:pPr>
              <w:widowControl/>
              <w:jc w:val="center"/>
              <w:rPr>
                <w:rFonts w:ascii="Arial" w:hAnsi="Arial" w:cs="Arial"/>
                <w:sz w:val="16"/>
                <w:szCs w:val="16"/>
              </w:rPr>
            </w:pPr>
            <w:r w:rsidRPr="007F5B42">
              <w:rPr>
                <w:rFonts w:ascii="Arial" w:hAnsi="Arial" w:cs="Arial" w:hint="eastAsia"/>
                <w:sz w:val="16"/>
                <w:szCs w:val="16"/>
              </w:rPr>
              <w:t>40%</w:t>
            </w:r>
          </w:p>
        </w:tc>
        <w:tc>
          <w:tcPr>
            <w:tcW w:w="165" w:type="pct"/>
            <w:vMerge/>
            <w:tcBorders>
              <w:top w:val="single" w:sz="4" w:space="0" w:color="auto"/>
              <w:left w:val="single" w:sz="4" w:space="0" w:color="auto"/>
              <w:bottom w:val="single" w:sz="4" w:space="0" w:color="000000"/>
              <w:right w:val="single" w:sz="4" w:space="0" w:color="auto"/>
            </w:tcBorders>
            <w:vAlign w:val="center"/>
          </w:tcPr>
          <w:p w:rsidR="009A18F4" w:rsidRPr="007F5B42" w:rsidRDefault="009A18F4" w:rsidP="00E74D90">
            <w:pPr>
              <w:widowControl/>
              <w:jc w:val="left"/>
              <w:rPr>
                <w:rFonts w:ascii="Arial" w:hAnsi="Arial" w:cs="Arial"/>
                <w:sz w:val="16"/>
                <w:szCs w:val="16"/>
              </w:rPr>
            </w:pPr>
          </w:p>
        </w:tc>
        <w:tc>
          <w:tcPr>
            <w:tcW w:w="1196" w:type="pct"/>
            <w:tcBorders>
              <w:top w:val="nil"/>
              <w:left w:val="nil"/>
              <w:bottom w:val="single" w:sz="4" w:space="0" w:color="auto"/>
              <w:right w:val="single" w:sz="4" w:space="0" w:color="auto"/>
            </w:tcBorders>
            <w:shd w:val="clear" w:color="auto" w:fill="auto"/>
            <w:noWrap/>
            <w:vAlign w:val="bottom"/>
          </w:tcPr>
          <w:p w:rsidR="009A18F4" w:rsidRPr="007F5B42" w:rsidRDefault="009A18F4" w:rsidP="00E74D90">
            <w:pPr>
              <w:jc w:val="center"/>
              <w:rPr>
                <w:rFonts w:ascii="Arial" w:hAnsi="Arial" w:cs="Arial"/>
                <w:sz w:val="16"/>
                <w:szCs w:val="16"/>
              </w:rPr>
            </w:pPr>
            <w:r w:rsidRPr="007F5B42">
              <w:rPr>
                <w:rFonts w:ascii="Arial" w:hAnsi="Arial" w:cs="Arial" w:hint="eastAsia"/>
                <w:sz w:val="16"/>
                <w:szCs w:val="16"/>
              </w:rPr>
              <w:t>添富价值</w:t>
            </w:r>
          </w:p>
        </w:tc>
        <w:tc>
          <w:tcPr>
            <w:tcW w:w="429" w:type="pct"/>
            <w:tcBorders>
              <w:top w:val="nil"/>
              <w:left w:val="nil"/>
              <w:bottom w:val="single" w:sz="4" w:space="0" w:color="auto"/>
              <w:right w:val="single" w:sz="4" w:space="0" w:color="auto"/>
            </w:tcBorders>
            <w:shd w:val="clear" w:color="auto" w:fill="auto"/>
            <w:noWrap/>
            <w:vAlign w:val="bottom"/>
          </w:tcPr>
          <w:p w:rsidR="009A18F4" w:rsidRPr="007F5B42" w:rsidRDefault="007F5B42" w:rsidP="00E74D90">
            <w:pPr>
              <w:widowControl/>
              <w:jc w:val="center"/>
              <w:rPr>
                <w:rFonts w:ascii="Arial" w:hAnsi="Arial" w:cs="Arial"/>
                <w:sz w:val="16"/>
                <w:szCs w:val="16"/>
              </w:rPr>
            </w:pPr>
            <w:r>
              <w:rPr>
                <w:rFonts w:ascii="Arial" w:hAnsi="Arial" w:cs="Arial" w:hint="eastAsia"/>
                <w:sz w:val="16"/>
                <w:szCs w:val="16"/>
              </w:rPr>
              <w:t>3</w:t>
            </w:r>
            <w:r w:rsidR="009A18F4" w:rsidRPr="007F5B42">
              <w:rPr>
                <w:rFonts w:ascii="Arial" w:hAnsi="Arial" w:cs="Arial" w:hint="eastAsia"/>
                <w:sz w:val="16"/>
                <w:szCs w:val="16"/>
              </w:rPr>
              <w:t>0%</w:t>
            </w:r>
          </w:p>
        </w:tc>
        <w:tc>
          <w:tcPr>
            <w:tcW w:w="165" w:type="pct"/>
            <w:vMerge/>
            <w:tcBorders>
              <w:top w:val="single" w:sz="4" w:space="0" w:color="auto"/>
              <w:left w:val="single" w:sz="4" w:space="0" w:color="auto"/>
              <w:bottom w:val="single" w:sz="4" w:space="0" w:color="000000"/>
              <w:right w:val="single" w:sz="4" w:space="0" w:color="auto"/>
            </w:tcBorders>
            <w:vAlign w:val="center"/>
          </w:tcPr>
          <w:p w:rsidR="009A18F4" w:rsidRPr="007F5B42" w:rsidRDefault="009A18F4" w:rsidP="00E74D90">
            <w:pPr>
              <w:widowControl/>
              <w:jc w:val="left"/>
              <w:rPr>
                <w:rFonts w:ascii="Arial" w:hAnsi="Arial" w:cs="Arial"/>
                <w:sz w:val="16"/>
                <w:szCs w:val="16"/>
              </w:rPr>
            </w:pPr>
          </w:p>
        </w:tc>
        <w:tc>
          <w:tcPr>
            <w:tcW w:w="697" w:type="pct"/>
            <w:tcBorders>
              <w:top w:val="nil"/>
              <w:left w:val="nil"/>
              <w:bottom w:val="single" w:sz="4" w:space="0" w:color="auto"/>
              <w:right w:val="single" w:sz="4" w:space="0" w:color="auto"/>
            </w:tcBorders>
            <w:shd w:val="clear" w:color="auto" w:fill="auto"/>
            <w:noWrap/>
            <w:vAlign w:val="bottom"/>
          </w:tcPr>
          <w:p w:rsidR="009A18F4" w:rsidRPr="007F5B42" w:rsidRDefault="009A18F4" w:rsidP="00E74D90">
            <w:pPr>
              <w:jc w:val="center"/>
              <w:rPr>
                <w:rFonts w:ascii="Arial" w:hAnsi="Arial" w:cs="Arial"/>
                <w:sz w:val="16"/>
                <w:szCs w:val="16"/>
              </w:rPr>
            </w:pPr>
            <w:r w:rsidRPr="007F5B42">
              <w:rPr>
                <w:rFonts w:ascii="Arial" w:hAnsi="Arial" w:cs="Arial" w:hint="eastAsia"/>
                <w:sz w:val="16"/>
                <w:szCs w:val="16"/>
              </w:rPr>
              <w:t>华夏现金</w:t>
            </w:r>
          </w:p>
        </w:tc>
        <w:tc>
          <w:tcPr>
            <w:tcW w:w="429" w:type="pct"/>
            <w:tcBorders>
              <w:top w:val="nil"/>
              <w:left w:val="nil"/>
              <w:bottom w:val="single" w:sz="4" w:space="0" w:color="auto"/>
              <w:right w:val="single" w:sz="4" w:space="0" w:color="auto"/>
            </w:tcBorders>
            <w:shd w:val="clear" w:color="auto" w:fill="auto"/>
            <w:noWrap/>
            <w:vAlign w:val="bottom"/>
          </w:tcPr>
          <w:p w:rsidR="009A18F4" w:rsidRPr="007F5B42" w:rsidRDefault="009A18F4" w:rsidP="00E74D90">
            <w:pPr>
              <w:widowControl/>
              <w:jc w:val="center"/>
              <w:rPr>
                <w:rFonts w:ascii="Arial" w:hAnsi="Arial" w:cs="Arial"/>
                <w:sz w:val="16"/>
                <w:szCs w:val="16"/>
              </w:rPr>
            </w:pPr>
            <w:r w:rsidRPr="007F5B42">
              <w:rPr>
                <w:rFonts w:ascii="Arial" w:hAnsi="Arial" w:cs="Arial" w:hint="eastAsia"/>
                <w:sz w:val="16"/>
                <w:szCs w:val="16"/>
              </w:rPr>
              <w:t>35%</w:t>
            </w:r>
          </w:p>
        </w:tc>
      </w:tr>
      <w:tr w:rsidR="009A18F4" w:rsidRPr="005B5148" w:rsidTr="00E74D90">
        <w:trPr>
          <w:trHeight w:val="285"/>
          <w:jc w:val="center"/>
        </w:trPr>
        <w:tc>
          <w:tcPr>
            <w:tcW w:w="1490" w:type="pct"/>
            <w:tcBorders>
              <w:top w:val="nil"/>
              <w:left w:val="single" w:sz="4" w:space="0" w:color="auto"/>
              <w:bottom w:val="single" w:sz="4" w:space="0" w:color="auto"/>
              <w:right w:val="single" w:sz="4" w:space="0" w:color="auto"/>
            </w:tcBorders>
            <w:shd w:val="clear" w:color="auto" w:fill="auto"/>
            <w:noWrap/>
            <w:vAlign w:val="bottom"/>
          </w:tcPr>
          <w:p w:rsidR="009A18F4" w:rsidRPr="007F5B42" w:rsidRDefault="009A18F4" w:rsidP="00E74D90">
            <w:pPr>
              <w:jc w:val="center"/>
              <w:rPr>
                <w:rFonts w:ascii="Arial" w:hAnsi="Arial" w:cs="Arial"/>
                <w:sz w:val="16"/>
                <w:szCs w:val="16"/>
              </w:rPr>
            </w:pPr>
            <w:r w:rsidRPr="007F5B42">
              <w:rPr>
                <w:rFonts w:ascii="Arial" w:hAnsi="Arial" w:cs="Arial" w:hint="eastAsia"/>
                <w:sz w:val="16"/>
                <w:szCs w:val="16"/>
              </w:rPr>
              <w:t>新华钻石品质</w:t>
            </w:r>
          </w:p>
        </w:tc>
        <w:tc>
          <w:tcPr>
            <w:tcW w:w="429" w:type="pct"/>
            <w:tcBorders>
              <w:top w:val="nil"/>
              <w:left w:val="nil"/>
              <w:bottom w:val="single" w:sz="4" w:space="0" w:color="auto"/>
              <w:right w:val="single" w:sz="4" w:space="0" w:color="auto"/>
            </w:tcBorders>
            <w:shd w:val="clear" w:color="auto" w:fill="auto"/>
            <w:noWrap/>
            <w:vAlign w:val="bottom"/>
          </w:tcPr>
          <w:p w:rsidR="009A18F4" w:rsidRPr="007F5B42" w:rsidRDefault="009A18F4" w:rsidP="00E74D90">
            <w:pPr>
              <w:widowControl/>
              <w:jc w:val="center"/>
              <w:rPr>
                <w:rFonts w:ascii="Arial" w:hAnsi="Arial" w:cs="Arial"/>
                <w:sz w:val="16"/>
                <w:szCs w:val="16"/>
              </w:rPr>
            </w:pPr>
            <w:r w:rsidRPr="007F5B42">
              <w:rPr>
                <w:rFonts w:ascii="Arial" w:hAnsi="Arial" w:cs="Arial" w:hint="eastAsia"/>
                <w:sz w:val="16"/>
                <w:szCs w:val="16"/>
              </w:rPr>
              <w:t>30%</w:t>
            </w:r>
          </w:p>
        </w:tc>
        <w:tc>
          <w:tcPr>
            <w:tcW w:w="165" w:type="pct"/>
            <w:vMerge/>
            <w:tcBorders>
              <w:top w:val="single" w:sz="4" w:space="0" w:color="auto"/>
              <w:left w:val="single" w:sz="4" w:space="0" w:color="auto"/>
              <w:bottom w:val="single" w:sz="4" w:space="0" w:color="000000"/>
              <w:right w:val="single" w:sz="4" w:space="0" w:color="auto"/>
            </w:tcBorders>
            <w:vAlign w:val="center"/>
          </w:tcPr>
          <w:p w:rsidR="009A18F4" w:rsidRPr="007F5B42" w:rsidRDefault="009A18F4" w:rsidP="00E74D90">
            <w:pPr>
              <w:widowControl/>
              <w:jc w:val="left"/>
              <w:rPr>
                <w:rFonts w:ascii="Arial" w:hAnsi="Arial" w:cs="Arial"/>
                <w:sz w:val="16"/>
                <w:szCs w:val="16"/>
              </w:rPr>
            </w:pPr>
          </w:p>
        </w:tc>
        <w:tc>
          <w:tcPr>
            <w:tcW w:w="1196" w:type="pct"/>
            <w:tcBorders>
              <w:top w:val="nil"/>
              <w:left w:val="nil"/>
              <w:bottom w:val="single" w:sz="4" w:space="0" w:color="auto"/>
              <w:right w:val="single" w:sz="4" w:space="0" w:color="auto"/>
            </w:tcBorders>
            <w:shd w:val="clear" w:color="auto" w:fill="auto"/>
            <w:noWrap/>
            <w:vAlign w:val="bottom"/>
          </w:tcPr>
          <w:p w:rsidR="009A18F4" w:rsidRPr="007F5B42" w:rsidRDefault="009A18F4" w:rsidP="00E74D90">
            <w:pPr>
              <w:jc w:val="center"/>
              <w:rPr>
                <w:rFonts w:ascii="Arial" w:hAnsi="Arial" w:cs="Arial"/>
                <w:sz w:val="16"/>
                <w:szCs w:val="16"/>
              </w:rPr>
            </w:pPr>
            <w:r w:rsidRPr="007F5B42">
              <w:rPr>
                <w:rFonts w:ascii="Arial" w:hAnsi="Arial" w:cs="Arial" w:hint="eastAsia"/>
                <w:sz w:val="16"/>
                <w:szCs w:val="16"/>
              </w:rPr>
              <w:t>宝盈收益</w:t>
            </w:r>
          </w:p>
        </w:tc>
        <w:tc>
          <w:tcPr>
            <w:tcW w:w="429" w:type="pct"/>
            <w:tcBorders>
              <w:top w:val="nil"/>
              <w:left w:val="nil"/>
              <w:bottom w:val="single" w:sz="4" w:space="0" w:color="auto"/>
              <w:right w:val="single" w:sz="4" w:space="0" w:color="auto"/>
            </w:tcBorders>
            <w:shd w:val="clear" w:color="auto" w:fill="auto"/>
            <w:noWrap/>
            <w:vAlign w:val="bottom"/>
          </w:tcPr>
          <w:p w:rsidR="009A18F4" w:rsidRPr="007F5B42" w:rsidRDefault="007F5B42" w:rsidP="00E74D90">
            <w:pPr>
              <w:widowControl/>
              <w:jc w:val="center"/>
              <w:rPr>
                <w:rFonts w:ascii="Arial" w:hAnsi="Arial" w:cs="Arial"/>
                <w:sz w:val="16"/>
                <w:szCs w:val="16"/>
              </w:rPr>
            </w:pPr>
            <w:r>
              <w:rPr>
                <w:rFonts w:ascii="Arial" w:hAnsi="Arial" w:cs="Arial" w:hint="eastAsia"/>
                <w:sz w:val="16"/>
                <w:szCs w:val="16"/>
              </w:rPr>
              <w:t>5</w:t>
            </w:r>
            <w:r w:rsidR="009A18F4" w:rsidRPr="007F5B42">
              <w:rPr>
                <w:rFonts w:ascii="Arial" w:hAnsi="Arial" w:cs="Arial" w:hint="eastAsia"/>
                <w:sz w:val="16"/>
                <w:szCs w:val="16"/>
              </w:rPr>
              <w:t>0%</w:t>
            </w:r>
          </w:p>
        </w:tc>
        <w:tc>
          <w:tcPr>
            <w:tcW w:w="165" w:type="pct"/>
            <w:vMerge/>
            <w:tcBorders>
              <w:top w:val="single" w:sz="4" w:space="0" w:color="auto"/>
              <w:left w:val="single" w:sz="4" w:space="0" w:color="auto"/>
              <w:bottom w:val="single" w:sz="4" w:space="0" w:color="000000"/>
              <w:right w:val="single" w:sz="4" w:space="0" w:color="auto"/>
            </w:tcBorders>
            <w:vAlign w:val="center"/>
          </w:tcPr>
          <w:p w:rsidR="009A18F4" w:rsidRPr="007F5B42" w:rsidRDefault="009A18F4" w:rsidP="00E74D90">
            <w:pPr>
              <w:widowControl/>
              <w:jc w:val="left"/>
              <w:rPr>
                <w:rFonts w:ascii="Arial" w:hAnsi="Arial" w:cs="Arial"/>
                <w:sz w:val="16"/>
                <w:szCs w:val="16"/>
              </w:rPr>
            </w:pPr>
          </w:p>
        </w:tc>
        <w:tc>
          <w:tcPr>
            <w:tcW w:w="697" w:type="pct"/>
            <w:tcBorders>
              <w:top w:val="nil"/>
              <w:left w:val="nil"/>
              <w:bottom w:val="single" w:sz="4" w:space="0" w:color="auto"/>
              <w:right w:val="single" w:sz="4" w:space="0" w:color="auto"/>
            </w:tcBorders>
            <w:shd w:val="clear" w:color="auto" w:fill="auto"/>
            <w:noWrap/>
            <w:vAlign w:val="bottom"/>
          </w:tcPr>
          <w:p w:rsidR="009A18F4" w:rsidRPr="007F5B42" w:rsidRDefault="009A18F4" w:rsidP="00E74D90">
            <w:pPr>
              <w:jc w:val="center"/>
              <w:rPr>
                <w:rFonts w:ascii="Arial" w:hAnsi="Arial" w:cs="Arial"/>
                <w:sz w:val="16"/>
                <w:szCs w:val="16"/>
              </w:rPr>
            </w:pPr>
            <w:r w:rsidRPr="007F5B42">
              <w:rPr>
                <w:rFonts w:ascii="Arial" w:hAnsi="Arial" w:cs="Arial" w:hint="eastAsia"/>
                <w:sz w:val="16"/>
                <w:szCs w:val="16"/>
              </w:rPr>
              <w:t>广发货币</w:t>
            </w:r>
          </w:p>
        </w:tc>
        <w:tc>
          <w:tcPr>
            <w:tcW w:w="429" w:type="pct"/>
            <w:tcBorders>
              <w:top w:val="nil"/>
              <w:left w:val="nil"/>
              <w:bottom w:val="single" w:sz="4" w:space="0" w:color="auto"/>
              <w:right w:val="single" w:sz="4" w:space="0" w:color="auto"/>
            </w:tcBorders>
            <w:shd w:val="clear" w:color="auto" w:fill="auto"/>
            <w:noWrap/>
            <w:vAlign w:val="bottom"/>
          </w:tcPr>
          <w:p w:rsidR="009A18F4" w:rsidRPr="007F5B42" w:rsidRDefault="009A18F4" w:rsidP="00E74D90">
            <w:pPr>
              <w:widowControl/>
              <w:jc w:val="center"/>
              <w:rPr>
                <w:rFonts w:ascii="Arial" w:hAnsi="Arial" w:cs="Arial"/>
                <w:sz w:val="16"/>
                <w:szCs w:val="16"/>
              </w:rPr>
            </w:pPr>
            <w:r w:rsidRPr="007F5B42">
              <w:rPr>
                <w:rFonts w:ascii="Arial" w:hAnsi="Arial" w:cs="Arial" w:hint="eastAsia"/>
                <w:sz w:val="16"/>
                <w:szCs w:val="16"/>
              </w:rPr>
              <w:t>35%</w:t>
            </w:r>
          </w:p>
        </w:tc>
      </w:tr>
    </w:tbl>
    <w:p w:rsidR="009A18F4" w:rsidRPr="000B4882" w:rsidRDefault="009A18F4" w:rsidP="009A18F4">
      <w:pPr>
        <w:ind w:firstLine="420"/>
        <w:rPr>
          <w:rFonts w:ascii="楷体_GB2312" w:eastAsia="楷体_GB2312"/>
          <w:noProof/>
          <w:color w:val="000000"/>
        </w:rPr>
        <w:sectPr w:rsidR="009A18F4" w:rsidRPr="000B4882" w:rsidSect="009A0C03">
          <w:headerReference w:type="default" r:id="rId7"/>
          <w:footerReference w:type="even" r:id="rId8"/>
          <w:footerReference w:type="default" r:id="rId9"/>
          <w:pgSz w:w="11906" w:h="16838"/>
          <w:pgMar w:top="3402" w:right="851" w:bottom="1418" w:left="4536" w:header="851" w:footer="992" w:gutter="0"/>
          <w:cols w:space="425"/>
          <w:docGrid w:type="lines" w:linePitch="312"/>
        </w:sectPr>
      </w:pPr>
    </w:p>
    <w:p w:rsidR="009A18F4" w:rsidRPr="007C1C3D" w:rsidRDefault="009A18F4" w:rsidP="009A18F4">
      <w:pPr>
        <w:spacing w:beforeLines="100" w:afterLines="50"/>
        <w:ind w:firstLineChars="1000" w:firstLine="2811"/>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lastRenderedPageBreak/>
        <w:t>一、</w:t>
      </w:r>
      <w:r w:rsidRPr="007C1C3D">
        <w:rPr>
          <w:rFonts w:ascii="黑体" w:eastAsia="黑体" w:hAnsi="宋体-18030" w:cs="宋体-18030" w:hint="eastAsia"/>
          <w:b/>
          <w:bCs/>
          <w:color w:val="000000"/>
          <w:kern w:val="44"/>
          <w:sz w:val="28"/>
          <w:szCs w:val="28"/>
        </w:rPr>
        <w:t xml:space="preserve">基金投资策略 </w:t>
      </w:r>
    </w:p>
    <w:p w:rsidR="009A18F4" w:rsidRPr="00C17FBC" w:rsidRDefault="009A18F4" w:rsidP="009A18F4">
      <w:pPr>
        <w:spacing w:beforeLines="100" w:afterLines="50"/>
        <w:ind w:leftChars="1350" w:left="2835" w:firstLineChars="196" w:firstLine="472"/>
        <w:rPr>
          <w:rFonts w:ascii="黑体" w:eastAsia="黑体" w:hAnsi="宋体-18030" w:cs="宋体-18030"/>
          <w:b/>
          <w:bCs/>
          <w:color w:val="003366"/>
          <w:kern w:val="44"/>
          <w:sz w:val="24"/>
        </w:rPr>
      </w:pPr>
      <w:r w:rsidRPr="00C17FBC">
        <w:rPr>
          <w:rFonts w:ascii="黑体" w:eastAsia="黑体" w:hAnsi="宋体-18030" w:cs="宋体-18030" w:hint="eastAsia"/>
          <w:b/>
          <w:bCs/>
          <w:color w:val="003366"/>
          <w:kern w:val="44"/>
          <w:sz w:val="24"/>
        </w:rPr>
        <w:t>（一）基础市场分析：</w:t>
      </w:r>
      <w:r>
        <w:rPr>
          <w:rFonts w:ascii="黑体" w:eastAsia="黑体" w:hAnsi="宋体-18030" w:cs="宋体-18030" w:hint="eastAsia"/>
          <w:b/>
          <w:bCs/>
          <w:color w:val="003366"/>
          <w:kern w:val="44"/>
          <w:sz w:val="24"/>
        </w:rPr>
        <w:t>降息不同于前，踩踏加码震荡</w:t>
      </w:r>
    </w:p>
    <w:p w:rsidR="009A18F4" w:rsidRPr="009B1698" w:rsidRDefault="009A18F4" w:rsidP="009A18F4">
      <w:pPr>
        <w:ind w:leftChars="1350" w:left="2835" w:firstLineChars="202" w:firstLine="424"/>
        <w:rPr>
          <w:rFonts w:ascii="楷体_GB2312" w:eastAsia="楷体_GB2312" w:hAnsi="宋体" w:cs="宋体" w:hint="eastAsia"/>
          <w:kern w:val="0"/>
          <w:szCs w:val="21"/>
        </w:rPr>
      </w:pPr>
      <w:r w:rsidRPr="009B1698">
        <w:rPr>
          <w:rFonts w:ascii="楷体_GB2312" w:eastAsia="楷体_GB2312" w:hAnsi="宋体" w:cs="宋体" w:hint="eastAsia"/>
          <w:kern w:val="0"/>
          <w:szCs w:val="21"/>
        </w:rPr>
        <w:t>6月欧洲央行的量化宽松措施和低油价继续积极推动欧元区经济走向复苏，但希腊因债务危机导致的退欧可能再度威胁欧元区经济稳定，市场对其的担忧已经蔓延至德国这一最大欧洲经济体。美国随着对美元企业调整消化、恶劣天气结束以及美元短期走弱，经济重现增长动力，就业市场持续乐观、</w:t>
      </w:r>
      <w:r w:rsidR="001638F6">
        <w:rPr>
          <w:rFonts w:ascii="楷体_GB2312" w:eastAsia="楷体_GB2312" w:hAnsi="宋体" w:cs="宋体" w:hint="eastAsia"/>
          <w:kern w:val="0"/>
          <w:szCs w:val="21"/>
        </w:rPr>
        <w:t>房地产市场走暖和消费支出增长均表明美国经济稳定向好，但相应加息</w:t>
      </w:r>
      <w:r w:rsidRPr="009B1698">
        <w:rPr>
          <w:rFonts w:ascii="楷体_GB2312" w:eastAsia="楷体_GB2312" w:hAnsi="宋体" w:cs="宋体" w:hint="eastAsia"/>
          <w:kern w:val="0"/>
          <w:szCs w:val="21"/>
        </w:rPr>
        <w:t>预期得以强化，从而动荡全球股市。</w:t>
      </w:r>
    </w:p>
    <w:p w:rsidR="009A18F4" w:rsidRPr="009B1698" w:rsidRDefault="009A18F4" w:rsidP="009A18F4">
      <w:pPr>
        <w:ind w:leftChars="1350" w:left="2835" w:firstLineChars="202" w:firstLine="424"/>
        <w:rPr>
          <w:rFonts w:ascii="楷体_GB2312" w:eastAsia="楷体_GB2312" w:hAnsi="宋体" w:cs="宋体" w:hint="eastAsia"/>
          <w:kern w:val="0"/>
          <w:szCs w:val="21"/>
        </w:rPr>
      </w:pPr>
      <w:r w:rsidRPr="009B1698">
        <w:rPr>
          <w:rFonts w:ascii="楷体_GB2312" w:eastAsia="楷体_GB2312" w:hAnsi="宋体" w:cs="宋体" w:hint="eastAsia"/>
          <w:kern w:val="0"/>
          <w:szCs w:val="21"/>
        </w:rPr>
        <w:t>中国经济未见起色，投资和消费均不及预期，地产量升价跌整体维持疲软，工业生产总值和工业利润增速放缓表明实体经济艰难。弱经济</w:t>
      </w:r>
      <w:r>
        <w:rPr>
          <w:rFonts w:ascii="楷体_GB2312" w:eastAsia="楷体_GB2312" w:hAnsi="宋体" w:cs="宋体" w:hint="eastAsia"/>
          <w:kern w:val="0"/>
          <w:szCs w:val="21"/>
        </w:rPr>
        <w:t>将</w:t>
      </w:r>
      <w:r w:rsidRPr="009B1698">
        <w:rPr>
          <w:rFonts w:ascii="楷体_GB2312" w:eastAsia="楷体_GB2312" w:hAnsi="宋体" w:cs="宋体" w:hint="eastAsia"/>
          <w:kern w:val="0"/>
          <w:szCs w:val="21"/>
        </w:rPr>
        <w:t>倒逼政策制定者</w:t>
      </w:r>
      <w:r>
        <w:rPr>
          <w:rFonts w:ascii="楷体_GB2312" w:eastAsia="楷体_GB2312" w:hAnsi="宋体" w:cs="宋体" w:hint="eastAsia"/>
          <w:kern w:val="0"/>
          <w:szCs w:val="21"/>
        </w:rPr>
        <w:t>出台更大力度的</w:t>
      </w:r>
      <w:r w:rsidRPr="009B1698">
        <w:rPr>
          <w:rFonts w:ascii="楷体_GB2312" w:eastAsia="楷体_GB2312" w:hAnsi="宋体" w:cs="宋体" w:hint="eastAsia"/>
          <w:kern w:val="0"/>
          <w:szCs w:val="21"/>
        </w:rPr>
        <w:t>宽松</w:t>
      </w:r>
      <w:r>
        <w:rPr>
          <w:rFonts w:ascii="楷体_GB2312" w:eastAsia="楷体_GB2312" w:hAnsi="宋体" w:cs="宋体" w:hint="eastAsia"/>
          <w:kern w:val="0"/>
          <w:szCs w:val="21"/>
        </w:rPr>
        <w:t>措施。同时第二批地方债置换已展开，资产置换计划的顺利进行需要更大力度的宽松货币政策来确保。鉴于此，6月以来积极财政政策不断推出，6月27日央行同时降准降息为经济护航，这也有望对短期股市形成一定支撑。</w:t>
      </w:r>
      <w:r w:rsidRPr="009B1698">
        <w:rPr>
          <w:rFonts w:ascii="楷体_GB2312" w:eastAsia="楷体_GB2312" w:hAnsi="宋体" w:cs="宋体" w:hint="eastAsia"/>
          <w:kern w:val="0"/>
          <w:szCs w:val="21"/>
        </w:rPr>
        <w:t xml:space="preserve"> </w:t>
      </w:r>
    </w:p>
    <w:p w:rsidR="009A18F4" w:rsidRDefault="005613BF" w:rsidP="009A18F4">
      <w:pPr>
        <w:ind w:leftChars="1350" w:left="2835" w:firstLineChars="202" w:firstLine="424"/>
        <w:rPr>
          <w:rFonts w:ascii="楷体_GB2312" w:eastAsia="楷体_GB2312" w:hAnsi="宋体" w:cs="宋体" w:hint="eastAsia"/>
          <w:kern w:val="0"/>
          <w:szCs w:val="21"/>
        </w:rPr>
      </w:pPr>
      <w:r>
        <w:rPr>
          <w:rFonts w:ascii="楷体_GB2312" w:eastAsia="楷体_GB2312" w:hAnsi="宋体" w:cs="宋体" w:hint="eastAsia"/>
          <w:kern w:val="0"/>
          <w:szCs w:val="21"/>
        </w:rPr>
        <w:t>如我们上期所述；“</w:t>
      </w:r>
      <w:r w:rsidR="009A18F4" w:rsidRPr="00B04532">
        <w:rPr>
          <w:rFonts w:ascii="楷体_GB2312" w:eastAsia="楷体_GB2312" w:hAnsi="宋体" w:cs="宋体" w:hint="eastAsia"/>
          <w:kern w:val="0"/>
          <w:szCs w:val="21"/>
        </w:rPr>
        <w:t>持续上涨带来的风险积累使得市场的根基变得脆弱，股市资金流入放缓、政策放松预期削弱、管理层呵护股市态度转变、IPO注册制进度超预期均可能成为改变市场趋势的变量，如果市场调整来临，其调整的压力将前所未有，投资者应当对此提高警惕。</w:t>
      </w:r>
      <w:r>
        <w:rPr>
          <w:rFonts w:ascii="楷体_GB2312" w:eastAsia="楷体_GB2312" w:hAnsi="宋体" w:cs="宋体" w:hint="eastAsia"/>
          <w:kern w:val="0"/>
          <w:szCs w:val="21"/>
        </w:rPr>
        <w:t>”</w:t>
      </w:r>
    </w:p>
    <w:p w:rsidR="009A18F4" w:rsidRDefault="009A18F4" w:rsidP="009A18F4">
      <w:pPr>
        <w:ind w:leftChars="1350" w:left="2835" w:firstLineChars="202" w:firstLine="424"/>
        <w:rPr>
          <w:rFonts w:ascii="楷体_GB2312" w:eastAsia="楷体_GB2312" w:hAnsi="宋体" w:cs="宋体" w:hint="eastAsia"/>
          <w:kern w:val="0"/>
          <w:szCs w:val="21"/>
        </w:rPr>
      </w:pPr>
      <w:r>
        <w:rPr>
          <w:rFonts w:ascii="楷体_GB2312" w:eastAsia="楷体_GB2312" w:hAnsi="宋体" w:cs="宋体" w:hint="eastAsia"/>
          <w:kern w:val="0"/>
          <w:szCs w:val="21"/>
        </w:rPr>
        <w:t>6月中旬以来，由于打压灰色杠杆和逆回购操作引发市场对股市资金流入、管理层呵护股市态度、政策放松力度均产生担忧，杠杆牛市带来的调整深度也将如我们预期将前所未有，但从目前形势来看，管理层呵护股市态度转变和政策放松力度削弱的预期均被证伪。</w:t>
      </w:r>
    </w:p>
    <w:p w:rsidR="009A18F4" w:rsidRPr="005F3B88" w:rsidRDefault="009A18F4" w:rsidP="009A18F4">
      <w:pPr>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但本次降息不同于前，市场情绪已经发生变化，近期亏钱效应将导致市场参与者重新审视其风险偏好，普遍性降杠杆行为将导致股市资金流入受阻，踩踏行为或将压制7月股市继续大幅震荡，但不会出现如同6</w:t>
      </w:r>
      <w:r w:rsidR="005A62A2">
        <w:rPr>
          <w:rFonts w:ascii="楷体_GB2312" w:eastAsia="楷体_GB2312" w:hAnsi="宋体" w:cs="宋体" w:hint="eastAsia"/>
          <w:kern w:val="0"/>
          <w:szCs w:val="21"/>
        </w:rPr>
        <w:t>月下半月股灾式</w:t>
      </w:r>
      <w:r>
        <w:rPr>
          <w:rFonts w:ascii="楷体_GB2312" w:eastAsia="楷体_GB2312" w:hAnsi="宋体" w:cs="宋体" w:hint="eastAsia"/>
          <w:kern w:val="0"/>
          <w:szCs w:val="21"/>
        </w:rPr>
        <w:t>回落。经过一段时间的筑实之后，市场有望继续重拾抬势。</w:t>
      </w:r>
    </w:p>
    <w:p w:rsidR="009A18F4" w:rsidRDefault="009A18F4" w:rsidP="009A18F4">
      <w:pPr>
        <w:ind w:leftChars="1350" w:left="2835" w:firstLineChars="202" w:firstLine="487"/>
        <w:rPr>
          <w:rFonts w:ascii="黑体" w:eastAsia="黑体" w:hAnsi="宋体-18030" w:cs="宋体-18030" w:hint="eastAsia"/>
          <w:b/>
          <w:bCs/>
          <w:color w:val="003366"/>
          <w:kern w:val="44"/>
          <w:sz w:val="24"/>
        </w:rPr>
      </w:pPr>
    </w:p>
    <w:p w:rsidR="009A18F4" w:rsidRPr="00C17FBC" w:rsidRDefault="009A18F4" w:rsidP="009A18F4">
      <w:pPr>
        <w:ind w:leftChars="1350" w:left="2835" w:firstLineChars="202" w:firstLine="487"/>
        <w:rPr>
          <w:rFonts w:ascii="黑体" w:eastAsia="黑体" w:hAnsi="宋体-18030" w:cs="宋体-18030"/>
          <w:b/>
          <w:bCs/>
          <w:color w:val="003366"/>
          <w:kern w:val="44"/>
          <w:sz w:val="24"/>
        </w:rPr>
      </w:pPr>
      <w:r w:rsidRPr="00C17FBC">
        <w:rPr>
          <w:rFonts w:ascii="黑体" w:eastAsia="黑体" w:hAnsi="宋体-18030" w:cs="宋体-18030" w:hint="eastAsia"/>
          <w:b/>
          <w:bCs/>
          <w:color w:val="003366"/>
          <w:kern w:val="44"/>
          <w:sz w:val="24"/>
        </w:rPr>
        <w:t>（二）基金投资策略：</w:t>
      </w:r>
      <w:r>
        <w:rPr>
          <w:rFonts w:ascii="黑体" w:eastAsia="黑体" w:hAnsi="宋体-18030" w:cs="宋体-18030" w:hint="eastAsia"/>
          <w:b/>
          <w:bCs/>
          <w:color w:val="003366"/>
          <w:kern w:val="44"/>
          <w:sz w:val="24"/>
        </w:rPr>
        <w:t>配置均衡谨慎、顺政策关注主板基金</w:t>
      </w:r>
    </w:p>
    <w:p w:rsidR="009A18F4" w:rsidRPr="00CE2E5B" w:rsidRDefault="00F75E77" w:rsidP="009A18F4">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综上观点</w:t>
      </w:r>
      <w:r w:rsidR="009A18F4" w:rsidRPr="00CE2E5B">
        <w:rPr>
          <w:rFonts w:ascii="楷体_GB2312" w:eastAsia="楷体_GB2312" w:hAnsi="宋体" w:cs="宋体" w:hint="eastAsia"/>
          <w:kern w:val="0"/>
          <w:szCs w:val="21"/>
        </w:rPr>
        <w:t>，</w:t>
      </w:r>
      <w:r>
        <w:rPr>
          <w:rFonts w:ascii="楷体_GB2312" w:eastAsia="楷体_GB2312" w:hAnsi="宋体" w:cs="宋体" w:hint="eastAsia"/>
          <w:kern w:val="0"/>
          <w:szCs w:val="21"/>
        </w:rPr>
        <w:t>我们</w:t>
      </w:r>
      <w:r w:rsidR="009A18F4" w:rsidRPr="00CE2E5B">
        <w:rPr>
          <w:rFonts w:ascii="楷体_GB2312" w:eastAsia="楷体_GB2312" w:hAnsi="宋体" w:cs="宋体" w:hint="eastAsia"/>
          <w:kern w:val="0"/>
          <w:szCs w:val="21"/>
        </w:rPr>
        <w:t>建议短期内投资者适当谨慎，配置继续转向均衡，高风险投资者适当回避规模过小、持有人归于集中或投资股票过于集中小市值股票等流动性</w:t>
      </w:r>
      <w:r w:rsidR="001B44DF">
        <w:rPr>
          <w:rFonts w:ascii="楷体_GB2312" w:eastAsia="楷体_GB2312" w:hAnsi="宋体" w:cs="宋体" w:hint="eastAsia"/>
          <w:kern w:val="0"/>
          <w:szCs w:val="21"/>
        </w:rPr>
        <w:t>较差品种的基金</w:t>
      </w:r>
      <w:r w:rsidR="009A18F4" w:rsidRPr="00CE2E5B">
        <w:rPr>
          <w:rFonts w:ascii="楷体_GB2312" w:eastAsia="楷体_GB2312" w:hAnsi="宋体" w:cs="宋体" w:hint="eastAsia"/>
          <w:kern w:val="0"/>
          <w:szCs w:val="21"/>
        </w:rPr>
        <w:t>产品，建议中低风险投资者维持较低权益型基金配置比例，等待市场</w:t>
      </w:r>
      <w:r w:rsidR="009A18F4">
        <w:rPr>
          <w:rFonts w:ascii="楷体_GB2312" w:eastAsia="楷体_GB2312" w:hAnsi="宋体" w:cs="宋体" w:hint="eastAsia"/>
          <w:kern w:val="0"/>
          <w:szCs w:val="21"/>
        </w:rPr>
        <w:t>筑实之后再做投资决策</w:t>
      </w:r>
      <w:r w:rsidR="009A18F4" w:rsidRPr="00CE2E5B">
        <w:rPr>
          <w:rFonts w:ascii="楷体_GB2312" w:eastAsia="楷体_GB2312" w:hAnsi="宋体" w:cs="宋体" w:hint="eastAsia"/>
          <w:kern w:val="0"/>
          <w:szCs w:val="21"/>
        </w:rPr>
        <w:t>。</w:t>
      </w:r>
    </w:p>
    <w:p w:rsidR="009A18F4" w:rsidRDefault="009A18F4" w:rsidP="009A18F4">
      <w:pPr>
        <w:spacing w:beforeLines="50"/>
        <w:ind w:leftChars="1350" w:left="2835" w:firstLineChars="202" w:firstLine="426"/>
        <w:rPr>
          <w:rFonts w:ascii="楷体_GB2312" w:eastAsia="楷体_GB2312" w:hAnsi="宋体" w:cs="宋体"/>
          <w:kern w:val="0"/>
          <w:szCs w:val="21"/>
        </w:rPr>
      </w:pPr>
      <w:r w:rsidRPr="005B48C1">
        <w:rPr>
          <w:rFonts w:ascii="楷体_GB2312" w:eastAsia="楷体_GB2312" w:hAnsi="宋体" w:cs="宋体" w:hint="eastAsia"/>
          <w:b/>
          <w:kern w:val="0"/>
          <w:szCs w:val="21"/>
        </w:rPr>
        <w:t>权益基金方面，</w:t>
      </w:r>
      <w:r>
        <w:rPr>
          <w:rFonts w:ascii="楷体_GB2312" w:eastAsia="楷体_GB2312" w:hAnsi="宋体" w:cs="宋体" w:hint="eastAsia"/>
          <w:kern w:val="0"/>
          <w:szCs w:val="21"/>
        </w:rPr>
        <w:t>我们维持前期判断，</w:t>
      </w:r>
      <w:r w:rsidRPr="00C85FDA">
        <w:rPr>
          <w:rFonts w:ascii="楷体_GB2312" w:eastAsia="楷体_GB2312" w:hAnsi="宋体" w:cs="宋体" w:hint="eastAsia"/>
          <w:kern w:val="0"/>
          <w:szCs w:val="21"/>
        </w:rPr>
        <w:t>当前的市场行情基本</w:t>
      </w:r>
      <w:r>
        <w:rPr>
          <w:rFonts w:ascii="楷体_GB2312" w:eastAsia="楷体_GB2312" w:hAnsi="宋体" w:cs="宋体" w:hint="eastAsia"/>
          <w:kern w:val="0"/>
          <w:szCs w:val="21"/>
        </w:rPr>
        <w:t>由</w:t>
      </w:r>
      <w:r w:rsidRPr="00FB5C85">
        <w:rPr>
          <w:rFonts w:ascii="楷体_GB2312" w:eastAsia="楷体_GB2312" w:hAnsi="宋体" w:cs="宋体" w:hint="eastAsia"/>
          <w:kern w:val="0"/>
          <w:szCs w:val="21"/>
        </w:rPr>
        <w:t>政策</w:t>
      </w:r>
      <w:r>
        <w:rPr>
          <w:rFonts w:ascii="楷体_GB2312" w:eastAsia="楷体_GB2312" w:hAnsi="宋体" w:cs="宋体" w:hint="eastAsia"/>
          <w:kern w:val="0"/>
          <w:szCs w:val="21"/>
        </w:rPr>
        <w:t>主导，建议投资者沿着政策刺激方向，重点选择有利于政策实施的主题基金。具体来看，一方面经济低迷有望倒逼政府投资加速，建议投资者重点关注重仓水电、基建、金属、交运设备</w:t>
      </w:r>
      <w:r w:rsidRPr="00422254">
        <w:rPr>
          <w:rFonts w:ascii="楷体_GB2312" w:eastAsia="楷体_GB2312" w:hAnsi="宋体" w:cs="宋体" w:hint="eastAsia"/>
          <w:kern w:val="0"/>
          <w:szCs w:val="21"/>
        </w:rPr>
        <w:t>、工程机械等</w:t>
      </w:r>
      <w:r>
        <w:rPr>
          <w:rFonts w:ascii="楷体_GB2312" w:eastAsia="楷体_GB2312" w:hAnsi="宋体" w:cs="宋体" w:hint="eastAsia"/>
          <w:kern w:val="0"/>
          <w:szCs w:val="21"/>
        </w:rPr>
        <w:t>低估值低市净率的顺周期蓝筹板块的绩优基金将维持短期优势；另一方面随着政策落地加速，由政策引导的国企改革将继续为市场关注焦点，建议投资者重点</w:t>
      </w:r>
      <w:r>
        <w:rPr>
          <w:rFonts w:ascii="楷体_GB2312" w:eastAsia="楷体_GB2312" w:hAnsi="宋体" w:cs="宋体" w:hint="eastAsia"/>
          <w:kern w:val="0"/>
          <w:szCs w:val="21"/>
        </w:rPr>
        <w:lastRenderedPageBreak/>
        <w:t>关注相应主题基金。</w:t>
      </w:r>
      <w:r w:rsidRPr="004B4540">
        <w:rPr>
          <w:rFonts w:ascii="楷体_GB2312" w:eastAsia="楷体_GB2312" w:hAnsi="宋体" w:cs="宋体" w:hint="eastAsia"/>
          <w:kern w:val="0"/>
          <w:szCs w:val="21"/>
        </w:rPr>
        <w:t>从投资风格来看，仍然基于对市场结构性风险和股票流动性的担忧，建议投资者继续兑现创业板基金收益，配置重心转向主要投资流动性更好的主板市场的绩优基金。</w:t>
      </w:r>
    </w:p>
    <w:p w:rsidR="009A18F4" w:rsidRDefault="009A18F4" w:rsidP="009A18F4">
      <w:pPr>
        <w:spacing w:beforeLines="50"/>
        <w:ind w:leftChars="1350" w:left="2835" w:firstLineChars="202" w:firstLine="426"/>
        <w:rPr>
          <w:rFonts w:ascii="楷体_GB2312" w:eastAsia="楷体_GB2312" w:hAnsi="宋体" w:cs="宋体"/>
          <w:kern w:val="0"/>
          <w:szCs w:val="21"/>
        </w:rPr>
      </w:pPr>
      <w:r w:rsidRPr="001273CD">
        <w:rPr>
          <w:rFonts w:ascii="楷体_GB2312" w:eastAsia="楷体_GB2312" w:hAnsi="宋体" w:cs="宋体" w:hint="eastAsia"/>
          <w:b/>
          <w:kern w:val="0"/>
          <w:szCs w:val="21"/>
        </w:rPr>
        <w:t>固定收益基金方面，</w:t>
      </w:r>
      <w:r w:rsidRPr="00D7317B">
        <w:rPr>
          <w:rFonts w:ascii="楷体_GB2312" w:eastAsia="楷体_GB2312" w:hAnsi="宋体" w:cs="宋体" w:hint="eastAsia"/>
          <w:kern w:val="0"/>
          <w:szCs w:val="21"/>
        </w:rPr>
        <w:t>继续维持前期策略，在债</w:t>
      </w:r>
      <w:r w:rsidRPr="00CB5940">
        <w:rPr>
          <w:rFonts w:ascii="楷体_GB2312" w:eastAsia="楷体_GB2312" w:hAnsi="宋体" w:cs="宋体" w:hint="eastAsia"/>
          <w:kern w:val="0"/>
          <w:szCs w:val="21"/>
        </w:rPr>
        <w:t>务置换大背景下，</w:t>
      </w:r>
      <w:r>
        <w:rPr>
          <w:rFonts w:ascii="楷体_GB2312" w:eastAsia="楷体_GB2312" w:hAnsi="宋体" w:cs="宋体" w:hint="eastAsia"/>
          <w:kern w:val="0"/>
          <w:szCs w:val="21"/>
        </w:rPr>
        <w:t>维持较低的利率有助于政府获得低成本的发展资金，更加符合政府利益，极为宽松的流动性助推债市的牛市行情仍未结束，其中长期券种随着短期券种收益率下行的可能性加大，建议低风险投资者继续加码</w:t>
      </w:r>
      <w:r w:rsidRPr="00FB4068">
        <w:rPr>
          <w:rFonts w:ascii="楷体_GB2312" w:eastAsia="楷体_GB2312" w:hAnsi="宋体" w:cs="宋体" w:hint="eastAsia"/>
          <w:kern w:val="0"/>
          <w:szCs w:val="21"/>
        </w:rPr>
        <w:t>债券型基金。在配置品种上，侧重配置重仓期限偏向中长期、债券评级偏向低评级的债券型基金。</w:t>
      </w:r>
    </w:p>
    <w:p w:rsidR="009A18F4" w:rsidRPr="00173734" w:rsidRDefault="009A18F4" w:rsidP="009A18F4">
      <w:pPr>
        <w:ind w:leftChars="1350" w:left="2835" w:firstLineChars="202" w:firstLine="426"/>
        <w:rPr>
          <w:rFonts w:ascii="楷体_GB2312" w:eastAsia="楷体_GB2312" w:hAnsi="宋体" w:cs="宋体"/>
          <w:kern w:val="0"/>
          <w:szCs w:val="21"/>
        </w:rPr>
      </w:pPr>
      <w:r w:rsidRPr="00037583">
        <w:rPr>
          <w:rFonts w:ascii="楷体_GB2312" w:eastAsia="楷体_GB2312" w:hAnsi="宋体" w:cs="宋体" w:hint="eastAsia"/>
          <w:b/>
          <w:kern w:val="0"/>
          <w:szCs w:val="21"/>
        </w:rPr>
        <w:t>QDII方面，</w:t>
      </w:r>
      <w:r w:rsidRPr="00DF6974">
        <w:rPr>
          <w:rFonts w:ascii="楷体_GB2312" w:eastAsia="楷体_GB2312" w:hAnsi="宋体" w:cs="宋体" w:hint="eastAsia"/>
          <w:kern w:val="0"/>
          <w:szCs w:val="21"/>
        </w:rPr>
        <w:t>短期来看希腊的危机将持续动荡欧元区</w:t>
      </w:r>
      <w:r>
        <w:rPr>
          <w:rFonts w:ascii="楷体_GB2312" w:eastAsia="楷体_GB2312" w:hAnsi="宋体" w:cs="宋体" w:hint="eastAsia"/>
          <w:kern w:val="0"/>
          <w:szCs w:val="21"/>
        </w:rPr>
        <w:t>乃至美国市场</w:t>
      </w:r>
      <w:r w:rsidRPr="00DF6974">
        <w:rPr>
          <w:rFonts w:ascii="楷体_GB2312" w:eastAsia="楷体_GB2312" w:hAnsi="宋体" w:cs="宋体" w:hint="eastAsia"/>
          <w:kern w:val="0"/>
          <w:szCs w:val="21"/>
        </w:rPr>
        <w:t>金融市场稳定，香港市场在国内市场的带动下有望迎来调整，</w:t>
      </w:r>
      <w:r>
        <w:rPr>
          <w:rFonts w:ascii="楷体_GB2312" w:eastAsia="楷体_GB2312" w:hAnsi="宋体" w:cs="宋体" w:hint="eastAsia"/>
          <w:kern w:val="0"/>
          <w:szCs w:val="21"/>
        </w:rPr>
        <w:t>建议投资者中性配置欧元区、美国股票QDII，低配香港股票QDII，高配日本股票QDII和美国REITs-QDII。另类基金方面，</w:t>
      </w:r>
      <w:r w:rsidRPr="00E06921">
        <w:rPr>
          <w:rFonts w:ascii="楷体_GB2312" w:eastAsia="楷体_GB2312" w:hAnsi="宋体" w:cs="宋体" w:hint="eastAsia"/>
          <w:kern w:val="0"/>
          <w:szCs w:val="21"/>
        </w:rPr>
        <w:t>全球疲软继续施压大宗商品价格，建议继续适当回避受累全球疲软的大宗商品QDII</w:t>
      </w:r>
      <w:r>
        <w:rPr>
          <w:rFonts w:ascii="楷体_GB2312" w:eastAsia="楷体_GB2312" w:hAnsi="宋体" w:cs="宋体" w:hint="eastAsia"/>
          <w:kern w:val="0"/>
          <w:szCs w:val="21"/>
        </w:rPr>
        <w:t>，交易性投资者继续关注美元震荡给黄金等贵重金属QDII带来的交易性机会，</w:t>
      </w:r>
      <w:r w:rsidRPr="00E06921">
        <w:rPr>
          <w:rFonts w:ascii="楷体_GB2312" w:eastAsia="楷体_GB2312" w:hAnsi="宋体" w:cs="宋体" w:hint="eastAsia"/>
          <w:kern w:val="0"/>
          <w:szCs w:val="21"/>
        </w:rPr>
        <w:t>长期投资者和高风险投资者可以从逆向投资的角度出发逐步布局大宗商品QDII。</w:t>
      </w:r>
    </w:p>
    <w:p w:rsidR="009A18F4" w:rsidRPr="00E06921" w:rsidRDefault="009A18F4" w:rsidP="009A18F4">
      <w:pPr>
        <w:ind w:leftChars="1350" w:left="2835" w:firstLineChars="202" w:firstLine="424"/>
        <w:rPr>
          <w:rFonts w:ascii="楷体_GB2312" w:eastAsia="楷体_GB2312" w:hAnsi="宋体" w:cs="宋体" w:hint="eastAsia"/>
          <w:kern w:val="0"/>
          <w:szCs w:val="21"/>
        </w:rPr>
      </w:pPr>
    </w:p>
    <w:p w:rsidR="009A18F4" w:rsidRPr="005E4592" w:rsidRDefault="009A18F4" w:rsidP="009A18F4">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（三）基金组合推荐</w:t>
      </w:r>
    </w:p>
    <w:p w:rsidR="009A18F4" w:rsidRPr="00281D04" w:rsidRDefault="009A18F4" w:rsidP="009A18F4">
      <w:pPr>
        <w:spacing w:beforeLines="50"/>
        <w:ind w:leftChars="1350" w:left="2835" w:firstLineChars="202" w:firstLine="424"/>
        <w:rPr>
          <w:rFonts w:ascii="楷体_GB2312" w:eastAsia="楷体_GB2312" w:hAnsi="宋体" w:cs="宋体"/>
          <w:color w:val="000000"/>
          <w:kern w:val="0"/>
          <w:szCs w:val="21"/>
        </w:rPr>
      </w:pPr>
      <w:r w:rsidRPr="00281D04">
        <w:rPr>
          <w:rFonts w:ascii="楷体_GB2312" w:eastAsia="楷体_GB2312" w:hAnsi="宋体" w:cs="宋体" w:hint="eastAsia"/>
          <w:color w:val="000000"/>
          <w:kern w:val="0"/>
          <w:szCs w:val="21"/>
        </w:rPr>
        <w:t>具体到组合构建上，我们在</w:t>
      </w:r>
      <w:r>
        <w:rPr>
          <w:rFonts w:ascii="楷体_GB2312" w:eastAsia="楷体_GB2312" w:hAnsi="宋体" w:cs="宋体" w:hint="eastAsia"/>
          <w:color w:val="000000"/>
          <w:kern w:val="0"/>
          <w:szCs w:val="21"/>
        </w:rPr>
        <w:t>上述</w:t>
      </w:r>
      <w:r w:rsidRPr="00281D04">
        <w:rPr>
          <w:rFonts w:ascii="楷体_GB2312" w:eastAsia="楷体_GB2312" w:hAnsi="宋体" w:cs="宋体" w:hint="eastAsia"/>
          <w:color w:val="000000"/>
          <w:kern w:val="0"/>
          <w:szCs w:val="21"/>
        </w:rPr>
        <w:t>基金投资策略指引下，充分考虑投资品种流动性，并依据资产配置、行业结构、投资风格分散化原则，构建</w:t>
      </w:r>
      <w:r>
        <w:rPr>
          <w:rFonts w:ascii="楷体_GB2312" w:eastAsia="楷体_GB2312" w:hAnsi="宋体" w:cs="宋体" w:hint="eastAsia"/>
          <w:color w:val="000000"/>
          <w:kern w:val="0"/>
          <w:szCs w:val="21"/>
        </w:rPr>
        <w:t>三类</w:t>
      </w:r>
      <w:r w:rsidRPr="00281D04">
        <w:rPr>
          <w:rFonts w:ascii="楷体_GB2312" w:eastAsia="楷体_GB2312" w:hAnsi="宋体" w:cs="宋体" w:hint="eastAsia"/>
          <w:color w:val="000000"/>
          <w:kern w:val="0"/>
          <w:szCs w:val="21"/>
        </w:rPr>
        <w:t>投资组合以供投资参考，本期</w:t>
      </w:r>
      <w:r w:rsidRPr="001E1222">
        <w:rPr>
          <w:rFonts w:ascii="楷体_GB2312" w:eastAsia="楷体_GB2312" w:hAnsi="宋体" w:cs="宋体" w:hint="eastAsia"/>
          <w:color w:val="000000"/>
          <w:kern w:val="0"/>
          <w:szCs w:val="21"/>
        </w:rPr>
        <w:t>平衡型组合</w:t>
      </w:r>
      <w:r>
        <w:rPr>
          <w:rFonts w:ascii="楷体_GB2312" w:eastAsia="楷体_GB2312" w:hAnsi="宋体" w:cs="宋体" w:hint="eastAsia"/>
          <w:color w:val="000000"/>
          <w:kern w:val="0"/>
          <w:szCs w:val="21"/>
        </w:rPr>
        <w:t>有所调整，其中</w:t>
      </w:r>
      <w:r w:rsidRPr="00B07043">
        <w:rPr>
          <w:rFonts w:ascii="楷体_GB2312" w:eastAsia="楷体_GB2312" w:hAnsi="宋体" w:cs="宋体" w:hint="eastAsia"/>
          <w:color w:val="000000"/>
          <w:kern w:val="0"/>
          <w:szCs w:val="21"/>
        </w:rPr>
        <w:t>添富价值权重调整至30%、宝盈增强收益权重调整至50%。</w:t>
      </w:r>
      <w:r w:rsidRPr="003272C4">
        <w:rPr>
          <w:rFonts w:ascii="楷体_GB2312" w:eastAsia="楷体_GB2312" w:hAnsi="宋体" w:cs="宋体" w:hint="eastAsia"/>
          <w:color w:val="000000"/>
          <w:kern w:val="0"/>
          <w:szCs w:val="21"/>
        </w:rPr>
        <w:t>具体</w:t>
      </w:r>
      <w:r w:rsidRPr="00281D04">
        <w:rPr>
          <w:rFonts w:ascii="楷体_GB2312" w:eastAsia="楷体_GB2312" w:hAnsi="宋体" w:cs="宋体" w:hint="eastAsia"/>
          <w:color w:val="000000"/>
          <w:kern w:val="0"/>
          <w:szCs w:val="21"/>
        </w:rPr>
        <w:t>如下：</w:t>
      </w:r>
    </w:p>
    <w:p w:rsidR="009A18F4" w:rsidRPr="00E921CB" w:rsidRDefault="009A18F4" w:rsidP="009A18F4">
      <w:pPr>
        <w:spacing w:line="360" w:lineRule="auto"/>
        <w:ind w:left="4017" w:hangingChars="2223" w:hanging="4017"/>
        <w:jc w:val="center"/>
        <w:rPr>
          <w:rFonts w:ascii="楷体_GB2312" w:eastAsia="楷体_GB2312"/>
          <w:b/>
          <w:noProof/>
          <w:color w:val="000000"/>
        </w:rPr>
      </w:pPr>
      <w:r w:rsidRPr="00E921CB">
        <w:rPr>
          <w:rFonts w:ascii="楷体_GB2312" w:eastAsia="楷体_GB2312" w:hint="eastAsia"/>
          <w:b/>
          <w:color w:val="000000"/>
          <w:sz w:val="18"/>
          <w:szCs w:val="18"/>
        </w:rPr>
        <w:t>表1上海证券基金评价研究中心基金组合</w:t>
      </w:r>
    </w:p>
    <w:tbl>
      <w:tblPr>
        <w:tblW w:w="5000" w:type="pct"/>
        <w:jc w:val="center"/>
        <w:tblLook w:val="0000"/>
      </w:tblPr>
      <w:tblGrid>
        <w:gridCol w:w="2527"/>
        <w:gridCol w:w="815"/>
        <w:gridCol w:w="620"/>
        <w:gridCol w:w="1792"/>
        <w:gridCol w:w="752"/>
        <w:gridCol w:w="569"/>
        <w:gridCol w:w="1776"/>
        <w:gridCol w:w="720"/>
      </w:tblGrid>
      <w:tr w:rsidR="009A18F4" w:rsidRPr="00E921CB" w:rsidTr="00E74D90">
        <w:trPr>
          <w:trHeight w:val="285"/>
          <w:jc w:val="center"/>
        </w:trPr>
        <w:tc>
          <w:tcPr>
            <w:tcW w:w="1746" w:type="pct"/>
            <w:gridSpan w:val="2"/>
            <w:tcBorders>
              <w:top w:val="single" w:sz="4" w:space="0" w:color="auto"/>
              <w:left w:val="single" w:sz="4" w:space="0" w:color="auto"/>
              <w:right w:val="single" w:sz="4" w:space="0" w:color="000000"/>
            </w:tcBorders>
            <w:shd w:val="clear" w:color="auto" w:fill="0000FF"/>
            <w:noWrap/>
            <w:vAlign w:val="bottom"/>
          </w:tcPr>
          <w:p w:rsidR="009A18F4" w:rsidRPr="00E921CB" w:rsidRDefault="009A18F4" w:rsidP="00E74D90">
            <w:pPr>
              <w:widowControl/>
              <w:jc w:val="center"/>
              <w:rPr>
                <w:rFonts w:ascii="宋体" w:hAnsi="宋体" w:cs="宋体"/>
                <w:b/>
                <w:color w:val="FFFFFF"/>
                <w:kern w:val="0"/>
                <w:sz w:val="18"/>
                <w:szCs w:val="18"/>
              </w:rPr>
            </w:pPr>
            <w:r w:rsidRPr="00E921CB">
              <w:rPr>
                <w:rFonts w:ascii="宋体" w:hAnsi="宋体" w:cs="宋体" w:hint="eastAsia"/>
                <w:b/>
                <w:color w:val="FFFFFF"/>
                <w:kern w:val="0"/>
                <w:sz w:val="18"/>
                <w:szCs w:val="18"/>
              </w:rPr>
              <w:t>积极型组合</w:t>
            </w:r>
          </w:p>
        </w:tc>
        <w:tc>
          <w:tcPr>
            <w:tcW w:w="324"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9A18F4" w:rsidRPr="00E921CB" w:rsidRDefault="009A18F4" w:rsidP="00E74D90">
            <w:pPr>
              <w:widowControl/>
              <w:jc w:val="center"/>
              <w:rPr>
                <w:rFonts w:ascii="宋体" w:hAnsi="宋体" w:cs="宋体"/>
                <w:kern w:val="0"/>
                <w:sz w:val="18"/>
                <w:szCs w:val="18"/>
              </w:rPr>
            </w:pPr>
          </w:p>
        </w:tc>
        <w:tc>
          <w:tcPr>
            <w:tcW w:w="1329" w:type="pct"/>
            <w:gridSpan w:val="2"/>
            <w:tcBorders>
              <w:top w:val="single" w:sz="4" w:space="0" w:color="auto"/>
              <w:left w:val="single" w:sz="4" w:space="0" w:color="auto"/>
              <w:right w:val="single" w:sz="4" w:space="0" w:color="000000"/>
            </w:tcBorders>
            <w:shd w:val="clear" w:color="auto" w:fill="0000FF"/>
            <w:noWrap/>
            <w:vAlign w:val="bottom"/>
          </w:tcPr>
          <w:p w:rsidR="009A18F4" w:rsidRPr="00E921CB" w:rsidRDefault="009A18F4" w:rsidP="00E74D90">
            <w:pPr>
              <w:widowControl/>
              <w:jc w:val="center"/>
              <w:rPr>
                <w:rFonts w:ascii="宋体" w:hAnsi="宋体" w:cs="宋体"/>
                <w:b/>
                <w:color w:val="FFFFFF"/>
                <w:kern w:val="0"/>
                <w:sz w:val="18"/>
                <w:szCs w:val="18"/>
              </w:rPr>
            </w:pPr>
            <w:r w:rsidRPr="00E921CB">
              <w:rPr>
                <w:rFonts w:ascii="宋体" w:hAnsi="宋体" w:cs="宋体" w:hint="eastAsia"/>
                <w:b/>
                <w:color w:val="FFFFFF"/>
                <w:kern w:val="0"/>
                <w:sz w:val="18"/>
                <w:szCs w:val="18"/>
              </w:rPr>
              <w:t>平衡型组合</w:t>
            </w:r>
          </w:p>
        </w:tc>
        <w:tc>
          <w:tcPr>
            <w:tcW w:w="297"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9A18F4" w:rsidRPr="00E921CB" w:rsidRDefault="009A18F4" w:rsidP="00E74D90">
            <w:pPr>
              <w:widowControl/>
              <w:jc w:val="center"/>
              <w:rPr>
                <w:rFonts w:ascii="宋体" w:hAnsi="宋体" w:cs="宋体"/>
                <w:kern w:val="0"/>
                <w:sz w:val="18"/>
                <w:szCs w:val="18"/>
              </w:rPr>
            </w:pPr>
          </w:p>
        </w:tc>
        <w:tc>
          <w:tcPr>
            <w:tcW w:w="1304" w:type="pct"/>
            <w:gridSpan w:val="2"/>
            <w:tcBorders>
              <w:top w:val="single" w:sz="4" w:space="0" w:color="auto"/>
              <w:left w:val="single" w:sz="4" w:space="0" w:color="auto"/>
              <w:right w:val="single" w:sz="4" w:space="0" w:color="000000"/>
            </w:tcBorders>
            <w:shd w:val="clear" w:color="auto" w:fill="0000FF"/>
            <w:noWrap/>
            <w:vAlign w:val="bottom"/>
          </w:tcPr>
          <w:p w:rsidR="009A18F4" w:rsidRPr="00E921CB" w:rsidRDefault="009A18F4" w:rsidP="00E74D90">
            <w:pPr>
              <w:widowControl/>
              <w:jc w:val="center"/>
              <w:rPr>
                <w:rFonts w:ascii="宋体" w:hAnsi="宋体" w:cs="宋体"/>
                <w:b/>
                <w:color w:val="FFFFFF"/>
                <w:kern w:val="0"/>
                <w:sz w:val="18"/>
                <w:szCs w:val="18"/>
              </w:rPr>
            </w:pPr>
            <w:r w:rsidRPr="00E921CB">
              <w:rPr>
                <w:rFonts w:ascii="宋体" w:hAnsi="宋体" w:cs="宋体" w:hint="eastAsia"/>
                <w:b/>
                <w:color w:val="FFFFFF"/>
                <w:kern w:val="0"/>
                <w:sz w:val="18"/>
                <w:szCs w:val="18"/>
              </w:rPr>
              <w:t>稳定型组合</w:t>
            </w:r>
          </w:p>
        </w:tc>
      </w:tr>
      <w:tr w:rsidR="009A18F4" w:rsidRPr="00E921CB" w:rsidTr="00E74D90">
        <w:trPr>
          <w:trHeight w:val="285"/>
          <w:jc w:val="center"/>
        </w:trPr>
        <w:tc>
          <w:tcPr>
            <w:tcW w:w="1320" w:type="pct"/>
            <w:tcBorders>
              <w:bottom w:val="single" w:sz="8" w:space="0" w:color="auto"/>
              <w:right w:val="single" w:sz="8" w:space="0" w:color="auto"/>
            </w:tcBorders>
            <w:shd w:val="clear" w:color="auto" w:fill="D9D9D9"/>
            <w:noWrap/>
            <w:vAlign w:val="bottom"/>
          </w:tcPr>
          <w:p w:rsidR="009A18F4" w:rsidRPr="00E921CB" w:rsidRDefault="009A18F4" w:rsidP="00E74D90">
            <w:pPr>
              <w:widowControl/>
              <w:jc w:val="center"/>
              <w:rPr>
                <w:rFonts w:ascii="宋体" w:hAnsi="宋体" w:cs="宋体"/>
                <w:b/>
                <w:kern w:val="0"/>
                <w:sz w:val="18"/>
                <w:szCs w:val="18"/>
              </w:rPr>
            </w:pPr>
            <w:r w:rsidRPr="00E921CB">
              <w:rPr>
                <w:rFonts w:ascii="宋体" w:hAnsi="宋体" w:cs="宋体" w:hint="eastAsia"/>
                <w:b/>
                <w:kern w:val="0"/>
                <w:sz w:val="18"/>
                <w:szCs w:val="18"/>
              </w:rPr>
              <w:t>样本基金</w:t>
            </w:r>
          </w:p>
        </w:tc>
        <w:tc>
          <w:tcPr>
            <w:tcW w:w="426" w:type="pct"/>
            <w:tcBorders>
              <w:left w:val="single" w:sz="8" w:space="0" w:color="auto"/>
              <w:bottom w:val="single" w:sz="8" w:space="0" w:color="auto"/>
              <w:right w:val="single" w:sz="8" w:space="0" w:color="auto"/>
            </w:tcBorders>
            <w:shd w:val="clear" w:color="auto" w:fill="D9D9D9"/>
            <w:noWrap/>
            <w:vAlign w:val="bottom"/>
          </w:tcPr>
          <w:p w:rsidR="009A18F4" w:rsidRPr="00E921CB" w:rsidRDefault="009A18F4" w:rsidP="00E74D90">
            <w:pPr>
              <w:widowControl/>
              <w:jc w:val="center"/>
              <w:rPr>
                <w:rFonts w:ascii="宋体" w:hAnsi="宋体" w:cs="宋体"/>
                <w:b/>
                <w:kern w:val="0"/>
                <w:sz w:val="18"/>
                <w:szCs w:val="18"/>
              </w:rPr>
            </w:pPr>
            <w:r w:rsidRPr="00E921CB">
              <w:rPr>
                <w:rFonts w:ascii="宋体" w:hAnsi="宋体" w:cs="宋体" w:hint="eastAsia"/>
                <w:b/>
                <w:kern w:val="0"/>
                <w:sz w:val="18"/>
                <w:szCs w:val="18"/>
              </w:rPr>
              <w:t>权重</w:t>
            </w:r>
          </w:p>
        </w:tc>
        <w:tc>
          <w:tcPr>
            <w:tcW w:w="324" w:type="pct"/>
            <w:vMerge/>
            <w:tcBorders>
              <w:top w:val="single" w:sz="4" w:space="0" w:color="auto"/>
              <w:left w:val="single" w:sz="8" w:space="0" w:color="auto"/>
              <w:bottom w:val="single" w:sz="4" w:space="0" w:color="000000"/>
            </w:tcBorders>
            <w:vAlign w:val="center"/>
          </w:tcPr>
          <w:p w:rsidR="009A18F4" w:rsidRPr="00E921CB" w:rsidRDefault="009A18F4" w:rsidP="00E74D90">
            <w:pPr>
              <w:widowControl/>
              <w:jc w:val="left"/>
              <w:rPr>
                <w:rFonts w:ascii="宋体" w:hAnsi="宋体" w:cs="宋体"/>
                <w:kern w:val="0"/>
                <w:sz w:val="18"/>
                <w:szCs w:val="18"/>
              </w:rPr>
            </w:pPr>
          </w:p>
        </w:tc>
        <w:tc>
          <w:tcPr>
            <w:tcW w:w="936" w:type="pct"/>
            <w:tcBorders>
              <w:bottom w:val="single" w:sz="8" w:space="0" w:color="auto"/>
              <w:right w:val="single" w:sz="8" w:space="0" w:color="auto"/>
            </w:tcBorders>
            <w:shd w:val="clear" w:color="auto" w:fill="D9D9D9"/>
            <w:noWrap/>
            <w:vAlign w:val="bottom"/>
          </w:tcPr>
          <w:p w:rsidR="009A18F4" w:rsidRPr="00E921CB" w:rsidRDefault="009A18F4" w:rsidP="00E74D90">
            <w:pPr>
              <w:widowControl/>
              <w:jc w:val="center"/>
              <w:rPr>
                <w:rFonts w:ascii="宋体" w:hAnsi="宋体" w:cs="宋体"/>
                <w:b/>
                <w:kern w:val="0"/>
                <w:sz w:val="18"/>
                <w:szCs w:val="18"/>
              </w:rPr>
            </w:pPr>
            <w:r w:rsidRPr="00E921CB">
              <w:rPr>
                <w:rFonts w:ascii="宋体" w:hAnsi="宋体" w:cs="宋体" w:hint="eastAsia"/>
                <w:b/>
                <w:kern w:val="0"/>
                <w:sz w:val="18"/>
                <w:szCs w:val="18"/>
              </w:rPr>
              <w:t>样本基金</w:t>
            </w:r>
          </w:p>
        </w:tc>
        <w:tc>
          <w:tcPr>
            <w:tcW w:w="393" w:type="pct"/>
            <w:tcBorders>
              <w:left w:val="single" w:sz="8" w:space="0" w:color="auto"/>
              <w:bottom w:val="single" w:sz="8" w:space="0" w:color="auto"/>
              <w:right w:val="single" w:sz="8" w:space="0" w:color="auto"/>
            </w:tcBorders>
            <w:shd w:val="clear" w:color="auto" w:fill="D9D9D9"/>
            <w:noWrap/>
            <w:vAlign w:val="bottom"/>
          </w:tcPr>
          <w:p w:rsidR="009A18F4" w:rsidRPr="00E921CB" w:rsidRDefault="009A18F4" w:rsidP="00E74D90">
            <w:pPr>
              <w:widowControl/>
              <w:jc w:val="center"/>
              <w:rPr>
                <w:rFonts w:ascii="宋体" w:hAnsi="宋体" w:cs="宋体"/>
                <w:b/>
                <w:kern w:val="0"/>
                <w:sz w:val="18"/>
                <w:szCs w:val="18"/>
              </w:rPr>
            </w:pPr>
            <w:r w:rsidRPr="00E921CB">
              <w:rPr>
                <w:rFonts w:ascii="宋体" w:hAnsi="宋体" w:cs="宋体" w:hint="eastAsia"/>
                <w:b/>
                <w:kern w:val="0"/>
                <w:sz w:val="18"/>
                <w:szCs w:val="18"/>
              </w:rPr>
              <w:t>权重</w:t>
            </w:r>
          </w:p>
        </w:tc>
        <w:tc>
          <w:tcPr>
            <w:tcW w:w="297" w:type="pct"/>
            <w:vMerge/>
            <w:tcBorders>
              <w:top w:val="single" w:sz="4" w:space="0" w:color="auto"/>
              <w:left w:val="single" w:sz="8" w:space="0" w:color="auto"/>
              <w:bottom w:val="single" w:sz="4" w:space="0" w:color="000000"/>
            </w:tcBorders>
            <w:vAlign w:val="center"/>
          </w:tcPr>
          <w:p w:rsidR="009A18F4" w:rsidRPr="00E921CB" w:rsidRDefault="009A18F4" w:rsidP="00E74D90">
            <w:pPr>
              <w:widowControl/>
              <w:jc w:val="left"/>
              <w:rPr>
                <w:rFonts w:ascii="宋体" w:hAnsi="宋体" w:cs="宋体"/>
                <w:kern w:val="0"/>
                <w:sz w:val="18"/>
                <w:szCs w:val="18"/>
              </w:rPr>
            </w:pPr>
          </w:p>
        </w:tc>
        <w:tc>
          <w:tcPr>
            <w:tcW w:w="928" w:type="pct"/>
            <w:tcBorders>
              <w:bottom w:val="single" w:sz="8" w:space="0" w:color="auto"/>
              <w:right w:val="single" w:sz="8" w:space="0" w:color="auto"/>
            </w:tcBorders>
            <w:shd w:val="clear" w:color="auto" w:fill="D9D9D9"/>
            <w:noWrap/>
            <w:vAlign w:val="bottom"/>
          </w:tcPr>
          <w:p w:rsidR="009A18F4" w:rsidRPr="00E921CB" w:rsidRDefault="009A18F4" w:rsidP="00E74D90">
            <w:pPr>
              <w:widowControl/>
              <w:jc w:val="center"/>
              <w:rPr>
                <w:rFonts w:ascii="宋体" w:hAnsi="宋体" w:cs="宋体"/>
                <w:b/>
                <w:kern w:val="0"/>
                <w:sz w:val="18"/>
                <w:szCs w:val="18"/>
              </w:rPr>
            </w:pPr>
            <w:r w:rsidRPr="00E921CB">
              <w:rPr>
                <w:rFonts w:ascii="宋体" w:hAnsi="宋体" w:cs="宋体" w:hint="eastAsia"/>
                <w:b/>
                <w:kern w:val="0"/>
                <w:sz w:val="18"/>
                <w:szCs w:val="18"/>
              </w:rPr>
              <w:t>样本基金</w:t>
            </w:r>
          </w:p>
        </w:tc>
        <w:tc>
          <w:tcPr>
            <w:tcW w:w="376" w:type="pct"/>
            <w:tcBorders>
              <w:left w:val="single" w:sz="8" w:space="0" w:color="auto"/>
              <w:bottom w:val="single" w:sz="8" w:space="0" w:color="auto"/>
              <w:right w:val="single" w:sz="8" w:space="0" w:color="auto"/>
            </w:tcBorders>
            <w:shd w:val="clear" w:color="auto" w:fill="D9D9D9"/>
            <w:noWrap/>
            <w:vAlign w:val="bottom"/>
          </w:tcPr>
          <w:p w:rsidR="009A18F4" w:rsidRPr="00E921CB" w:rsidRDefault="009A18F4" w:rsidP="00E74D90">
            <w:pPr>
              <w:widowControl/>
              <w:jc w:val="center"/>
              <w:rPr>
                <w:rFonts w:ascii="宋体" w:hAnsi="宋体" w:cs="宋体"/>
                <w:b/>
                <w:kern w:val="0"/>
                <w:sz w:val="18"/>
                <w:szCs w:val="18"/>
              </w:rPr>
            </w:pPr>
            <w:r w:rsidRPr="00E921CB">
              <w:rPr>
                <w:rFonts w:ascii="宋体" w:hAnsi="宋体" w:cs="宋体" w:hint="eastAsia"/>
                <w:b/>
                <w:kern w:val="0"/>
                <w:sz w:val="18"/>
                <w:szCs w:val="18"/>
              </w:rPr>
              <w:t>权重</w:t>
            </w:r>
          </w:p>
        </w:tc>
      </w:tr>
      <w:tr w:rsidR="009A18F4" w:rsidRPr="00E921CB" w:rsidTr="00E74D90">
        <w:trPr>
          <w:trHeight w:val="285"/>
          <w:jc w:val="center"/>
        </w:trPr>
        <w:tc>
          <w:tcPr>
            <w:tcW w:w="1320" w:type="pct"/>
            <w:tcBorders>
              <w:top w:val="single" w:sz="8" w:space="0" w:color="auto"/>
              <w:left w:val="single" w:sz="4" w:space="0" w:color="auto"/>
              <w:bottom w:val="single" w:sz="4" w:space="0" w:color="auto"/>
              <w:right w:val="single" w:sz="4" w:space="0" w:color="auto"/>
            </w:tcBorders>
            <w:shd w:val="clear" w:color="auto" w:fill="auto"/>
            <w:noWrap/>
            <w:vAlign w:val="bottom"/>
          </w:tcPr>
          <w:p w:rsidR="009A18F4" w:rsidRPr="007F4645" w:rsidRDefault="009A18F4" w:rsidP="00E74D90">
            <w:pPr>
              <w:jc w:val="center"/>
              <w:rPr>
                <w:sz w:val="18"/>
                <w:szCs w:val="18"/>
              </w:rPr>
            </w:pPr>
            <w:r w:rsidRPr="0083054E">
              <w:rPr>
                <w:sz w:val="18"/>
                <w:szCs w:val="18"/>
              </w:rPr>
              <w:t>信诚精萃成长</w:t>
            </w:r>
          </w:p>
        </w:tc>
        <w:tc>
          <w:tcPr>
            <w:tcW w:w="426" w:type="pct"/>
            <w:tcBorders>
              <w:top w:val="single" w:sz="8" w:space="0" w:color="auto"/>
              <w:left w:val="nil"/>
              <w:bottom w:val="single" w:sz="4" w:space="0" w:color="auto"/>
              <w:right w:val="single" w:sz="4" w:space="0" w:color="auto"/>
            </w:tcBorders>
            <w:shd w:val="clear" w:color="auto" w:fill="auto"/>
            <w:noWrap/>
            <w:vAlign w:val="bottom"/>
          </w:tcPr>
          <w:p w:rsidR="009A18F4" w:rsidRPr="007F4645" w:rsidRDefault="009A18F4" w:rsidP="00E74D90">
            <w:pPr>
              <w:jc w:val="center"/>
              <w:rPr>
                <w:sz w:val="18"/>
                <w:szCs w:val="18"/>
              </w:rPr>
            </w:pPr>
            <w:r>
              <w:rPr>
                <w:rFonts w:hint="eastAsia"/>
                <w:sz w:val="18"/>
                <w:szCs w:val="18"/>
              </w:rPr>
              <w:t>40%</w:t>
            </w:r>
          </w:p>
        </w:tc>
        <w:tc>
          <w:tcPr>
            <w:tcW w:w="324" w:type="pct"/>
            <w:vMerge/>
            <w:tcBorders>
              <w:top w:val="single" w:sz="8" w:space="0" w:color="auto"/>
              <w:left w:val="single" w:sz="4" w:space="0" w:color="auto"/>
              <w:bottom w:val="single" w:sz="4" w:space="0" w:color="000000"/>
              <w:right w:val="single" w:sz="4" w:space="0" w:color="auto"/>
            </w:tcBorders>
            <w:vAlign w:val="center"/>
          </w:tcPr>
          <w:p w:rsidR="009A18F4" w:rsidRPr="00E921CB" w:rsidRDefault="009A18F4" w:rsidP="00E74D90">
            <w:pPr>
              <w:widowControl/>
              <w:jc w:val="left"/>
              <w:rPr>
                <w:rFonts w:ascii="宋体" w:hAnsi="宋体" w:cs="宋体"/>
                <w:kern w:val="0"/>
                <w:sz w:val="18"/>
                <w:szCs w:val="18"/>
              </w:rPr>
            </w:pPr>
          </w:p>
        </w:tc>
        <w:tc>
          <w:tcPr>
            <w:tcW w:w="936" w:type="pct"/>
            <w:tcBorders>
              <w:top w:val="single" w:sz="8" w:space="0" w:color="auto"/>
              <w:left w:val="nil"/>
              <w:bottom w:val="single" w:sz="4" w:space="0" w:color="auto"/>
              <w:right w:val="single" w:sz="4" w:space="0" w:color="auto"/>
            </w:tcBorders>
            <w:shd w:val="clear" w:color="auto" w:fill="auto"/>
            <w:noWrap/>
            <w:vAlign w:val="bottom"/>
          </w:tcPr>
          <w:p w:rsidR="009A18F4" w:rsidRPr="007F4645" w:rsidRDefault="009A18F4" w:rsidP="00E74D90">
            <w:pPr>
              <w:jc w:val="center"/>
              <w:rPr>
                <w:sz w:val="18"/>
                <w:szCs w:val="18"/>
              </w:rPr>
            </w:pPr>
            <w:r w:rsidRPr="0083054E">
              <w:rPr>
                <w:sz w:val="18"/>
                <w:szCs w:val="18"/>
              </w:rPr>
              <w:t>信诚精萃成长</w:t>
            </w:r>
          </w:p>
        </w:tc>
        <w:tc>
          <w:tcPr>
            <w:tcW w:w="393" w:type="pct"/>
            <w:tcBorders>
              <w:top w:val="single" w:sz="8" w:space="0" w:color="auto"/>
              <w:left w:val="nil"/>
              <w:bottom w:val="single" w:sz="4" w:space="0" w:color="auto"/>
              <w:right w:val="single" w:sz="4" w:space="0" w:color="auto"/>
            </w:tcBorders>
            <w:shd w:val="clear" w:color="auto" w:fill="auto"/>
            <w:noWrap/>
            <w:vAlign w:val="bottom"/>
          </w:tcPr>
          <w:p w:rsidR="009A18F4" w:rsidRPr="00E921CB" w:rsidRDefault="009A18F4" w:rsidP="00E74D90">
            <w:pPr>
              <w:widowControl/>
              <w:jc w:val="center"/>
              <w:rPr>
                <w:rFonts w:ascii="宋体" w:hAnsi="宋体" w:cs="宋体"/>
                <w:kern w:val="0"/>
                <w:sz w:val="18"/>
                <w:szCs w:val="18"/>
              </w:rPr>
            </w:pPr>
            <w:r>
              <w:rPr>
                <w:rFonts w:hint="eastAsia"/>
                <w:sz w:val="18"/>
                <w:szCs w:val="18"/>
              </w:rPr>
              <w:t>20%</w:t>
            </w:r>
          </w:p>
        </w:tc>
        <w:tc>
          <w:tcPr>
            <w:tcW w:w="297" w:type="pct"/>
            <w:vMerge/>
            <w:tcBorders>
              <w:top w:val="single" w:sz="8" w:space="0" w:color="auto"/>
              <w:left w:val="single" w:sz="4" w:space="0" w:color="auto"/>
              <w:bottom w:val="single" w:sz="4" w:space="0" w:color="000000"/>
              <w:right w:val="single" w:sz="4" w:space="0" w:color="auto"/>
            </w:tcBorders>
            <w:vAlign w:val="center"/>
          </w:tcPr>
          <w:p w:rsidR="009A18F4" w:rsidRPr="00E921CB" w:rsidRDefault="009A18F4" w:rsidP="00E74D90">
            <w:pPr>
              <w:widowControl/>
              <w:jc w:val="left"/>
              <w:rPr>
                <w:rFonts w:ascii="宋体" w:hAnsi="宋体" w:cs="宋体"/>
                <w:kern w:val="0"/>
                <w:sz w:val="18"/>
                <w:szCs w:val="18"/>
              </w:rPr>
            </w:pPr>
          </w:p>
        </w:tc>
        <w:tc>
          <w:tcPr>
            <w:tcW w:w="928" w:type="pct"/>
            <w:tcBorders>
              <w:top w:val="single" w:sz="8" w:space="0" w:color="auto"/>
              <w:left w:val="nil"/>
              <w:bottom w:val="single" w:sz="4" w:space="0" w:color="auto"/>
              <w:right w:val="single" w:sz="4" w:space="0" w:color="auto"/>
            </w:tcBorders>
            <w:shd w:val="clear" w:color="auto" w:fill="auto"/>
            <w:noWrap/>
            <w:vAlign w:val="bottom"/>
          </w:tcPr>
          <w:p w:rsidR="009A18F4" w:rsidRDefault="009A18F4" w:rsidP="00E74D90">
            <w:pPr>
              <w:jc w:val="center"/>
              <w:rPr>
                <w:rFonts w:ascii="宋体" w:hAnsi="宋体" w:cs="宋体"/>
                <w:sz w:val="18"/>
                <w:szCs w:val="18"/>
              </w:rPr>
            </w:pPr>
            <w:r>
              <w:rPr>
                <w:rFonts w:hint="eastAsia"/>
                <w:sz w:val="18"/>
                <w:szCs w:val="18"/>
              </w:rPr>
              <w:t>宝盈增强收益</w:t>
            </w:r>
          </w:p>
        </w:tc>
        <w:tc>
          <w:tcPr>
            <w:tcW w:w="376" w:type="pct"/>
            <w:tcBorders>
              <w:top w:val="single" w:sz="8" w:space="0" w:color="auto"/>
              <w:left w:val="nil"/>
              <w:bottom w:val="single" w:sz="4" w:space="0" w:color="auto"/>
              <w:right w:val="single" w:sz="4" w:space="0" w:color="auto"/>
            </w:tcBorders>
            <w:shd w:val="clear" w:color="auto" w:fill="auto"/>
            <w:noWrap/>
            <w:vAlign w:val="bottom"/>
          </w:tcPr>
          <w:p w:rsidR="009A18F4" w:rsidRDefault="009A18F4" w:rsidP="00E74D90">
            <w:pPr>
              <w:jc w:val="center"/>
              <w:rPr>
                <w:rFonts w:ascii="宋体" w:hAnsi="宋体" w:cs="宋体"/>
                <w:sz w:val="18"/>
                <w:szCs w:val="18"/>
              </w:rPr>
            </w:pPr>
            <w:r>
              <w:rPr>
                <w:rFonts w:hint="eastAsia"/>
                <w:sz w:val="18"/>
                <w:szCs w:val="18"/>
              </w:rPr>
              <w:t>30%</w:t>
            </w:r>
          </w:p>
        </w:tc>
      </w:tr>
      <w:tr w:rsidR="009A18F4" w:rsidRPr="00E921CB" w:rsidTr="00E74D90">
        <w:trPr>
          <w:trHeight w:val="285"/>
          <w:jc w:val="center"/>
        </w:trPr>
        <w:tc>
          <w:tcPr>
            <w:tcW w:w="1320" w:type="pct"/>
            <w:tcBorders>
              <w:top w:val="nil"/>
              <w:left w:val="single" w:sz="4" w:space="0" w:color="auto"/>
              <w:bottom w:val="single" w:sz="4" w:space="0" w:color="auto"/>
              <w:right w:val="single" w:sz="4" w:space="0" w:color="auto"/>
            </w:tcBorders>
            <w:shd w:val="clear" w:color="auto" w:fill="auto"/>
            <w:noWrap/>
            <w:vAlign w:val="bottom"/>
          </w:tcPr>
          <w:p w:rsidR="009A18F4" w:rsidRPr="007F4645" w:rsidRDefault="009A18F4" w:rsidP="00E74D90">
            <w:pPr>
              <w:jc w:val="center"/>
              <w:rPr>
                <w:sz w:val="18"/>
                <w:szCs w:val="18"/>
              </w:rPr>
            </w:pPr>
            <w:r>
              <w:rPr>
                <w:rFonts w:hint="eastAsia"/>
                <w:sz w:val="18"/>
                <w:szCs w:val="18"/>
              </w:rPr>
              <w:t>添富价值</w:t>
            </w:r>
          </w:p>
        </w:tc>
        <w:tc>
          <w:tcPr>
            <w:tcW w:w="426" w:type="pct"/>
            <w:tcBorders>
              <w:top w:val="nil"/>
              <w:left w:val="nil"/>
              <w:bottom w:val="single" w:sz="4" w:space="0" w:color="auto"/>
              <w:right w:val="single" w:sz="4" w:space="0" w:color="auto"/>
            </w:tcBorders>
            <w:shd w:val="clear" w:color="auto" w:fill="auto"/>
            <w:noWrap/>
            <w:vAlign w:val="bottom"/>
          </w:tcPr>
          <w:p w:rsidR="009A18F4" w:rsidRPr="007F4645" w:rsidRDefault="009A18F4" w:rsidP="00E74D90">
            <w:pPr>
              <w:jc w:val="center"/>
              <w:rPr>
                <w:sz w:val="18"/>
                <w:szCs w:val="18"/>
              </w:rPr>
            </w:pPr>
            <w:r>
              <w:rPr>
                <w:rFonts w:hint="eastAsia"/>
                <w:sz w:val="18"/>
                <w:szCs w:val="18"/>
              </w:rPr>
              <w:t>40%</w:t>
            </w:r>
          </w:p>
        </w:tc>
        <w:tc>
          <w:tcPr>
            <w:tcW w:w="324" w:type="pct"/>
            <w:vMerge/>
            <w:tcBorders>
              <w:top w:val="single" w:sz="4" w:space="0" w:color="auto"/>
              <w:left w:val="single" w:sz="4" w:space="0" w:color="auto"/>
              <w:bottom w:val="single" w:sz="4" w:space="0" w:color="000000"/>
              <w:right w:val="single" w:sz="4" w:space="0" w:color="auto"/>
            </w:tcBorders>
            <w:vAlign w:val="center"/>
          </w:tcPr>
          <w:p w:rsidR="009A18F4" w:rsidRPr="00E921CB" w:rsidRDefault="009A18F4" w:rsidP="00E74D90">
            <w:pPr>
              <w:widowControl/>
              <w:jc w:val="left"/>
              <w:rPr>
                <w:rFonts w:ascii="宋体" w:hAnsi="宋体" w:cs="宋体"/>
                <w:kern w:val="0"/>
                <w:sz w:val="18"/>
                <w:szCs w:val="18"/>
              </w:rPr>
            </w:pPr>
          </w:p>
        </w:tc>
        <w:tc>
          <w:tcPr>
            <w:tcW w:w="936" w:type="pct"/>
            <w:tcBorders>
              <w:top w:val="nil"/>
              <w:left w:val="nil"/>
              <w:bottom w:val="single" w:sz="4" w:space="0" w:color="auto"/>
              <w:right w:val="single" w:sz="4" w:space="0" w:color="auto"/>
            </w:tcBorders>
            <w:shd w:val="clear" w:color="auto" w:fill="auto"/>
            <w:noWrap/>
            <w:vAlign w:val="bottom"/>
          </w:tcPr>
          <w:p w:rsidR="009A18F4" w:rsidRPr="007F4645" w:rsidRDefault="009A18F4" w:rsidP="00E74D90">
            <w:pPr>
              <w:jc w:val="center"/>
              <w:rPr>
                <w:sz w:val="18"/>
                <w:szCs w:val="18"/>
              </w:rPr>
            </w:pPr>
            <w:r>
              <w:rPr>
                <w:rFonts w:hint="eastAsia"/>
                <w:sz w:val="18"/>
                <w:szCs w:val="18"/>
              </w:rPr>
              <w:t>添富价值</w:t>
            </w:r>
          </w:p>
        </w:tc>
        <w:tc>
          <w:tcPr>
            <w:tcW w:w="393" w:type="pct"/>
            <w:tcBorders>
              <w:top w:val="nil"/>
              <w:left w:val="nil"/>
              <w:bottom w:val="single" w:sz="4" w:space="0" w:color="auto"/>
              <w:right w:val="single" w:sz="4" w:space="0" w:color="auto"/>
            </w:tcBorders>
            <w:shd w:val="clear" w:color="auto" w:fill="auto"/>
            <w:noWrap/>
            <w:vAlign w:val="bottom"/>
          </w:tcPr>
          <w:p w:rsidR="009A18F4" w:rsidRPr="00E921CB" w:rsidRDefault="009A18F4" w:rsidP="00E74D90">
            <w:pPr>
              <w:widowControl/>
              <w:jc w:val="center"/>
              <w:rPr>
                <w:rFonts w:ascii="宋体" w:hAnsi="宋体" w:cs="宋体"/>
                <w:kern w:val="0"/>
                <w:sz w:val="18"/>
                <w:szCs w:val="18"/>
              </w:rPr>
            </w:pPr>
            <w:r>
              <w:rPr>
                <w:rFonts w:hint="eastAsia"/>
                <w:sz w:val="18"/>
                <w:szCs w:val="18"/>
              </w:rPr>
              <w:t>30%</w:t>
            </w:r>
          </w:p>
        </w:tc>
        <w:tc>
          <w:tcPr>
            <w:tcW w:w="297" w:type="pct"/>
            <w:vMerge/>
            <w:tcBorders>
              <w:top w:val="single" w:sz="4" w:space="0" w:color="auto"/>
              <w:left w:val="single" w:sz="4" w:space="0" w:color="auto"/>
              <w:bottom w:val="single" w:sz="4" w:space="0" w:color="000000"/>
              <w:right w:val="single" w:sz="4" w:space="0" w:color="auto"/>
            </w:tcBorders>
            <w:vAlign w:val="center"/>
          </w:tcPr>
          <w:p w:rsidR="009A18F4" w:rsidRPr="00E921CB" w:rsidRDefault="009A18F4" w:rsidP="00E74D90">
            <w:pPr>
              <w:widowControl/>
              <w:jc w:val="left"/>
              <w:rPr>
                <w:rFonts w:ascii="宋体" w:hAnsi="宋体" w:cs="宋体"/>
                <w:kern w:val="0"/>
                <w:sz w:val="18"/>
                <w:szCs w:val="18"/>
              </w:rPr>
            </w:pPr>
          </w:p>
        </w:tc>
        <w:tc>
          <w:tcPr>
            <w:tcW w:w="928" w:type="pct"/>
            <w:tcBorders>
              <w:top w:val="nil"/>
              <w:left w:val="nil"/>
              <w:bottom w:val="single" w:sz="4" w:space="0" w:color="auto"/>
              <w:right w:val="single" w:sz="4" w:space="0" w:color="auto"/>
            </w:tcBorders>
            <w:shd w:val="clear" w:color="auto" w:fill="auto"/>
            <w:noWrap/>
            <w:vAlign w:val="bottom"/>
          </w:tcPr>
          <w:p w:rsidR="009A18F4" w:rsidRDefault="009A18F4" w:rsidP="00E74D90">
            <w:pPr>
              <w:jc w:val="center"/>
              <w:rPr>
                <w:rFonts w:ascii="宋体" w:hAnsi="宋体" w:cs="宋体"/>
                <w:sz w:val="18"/>
                <w:szCs w:val="18"/>
              </w:rPr>
            </w:pPr>
            <w:r>
              <w:rPr>
                <w:rFonts w:hint="eastAsia"/>
                <w:sz w:val="18"/>
                <w:szCs w:val="18"/>
              </w:rPr>
              <w:t>华夏现金</w:t>
            </w:r>
          </w:p>
        </w:tc>
        <w:tc>
          <w:tcPr>
            <w:tcW w:w="376" w:type="pct"/>
            <w:tcBorders>
              <w:top w:val="nil"/>
              <w:left w:val="nil"/>
              <w:bottom w:val="single" w:sz="4" w:space="0" w:color="auto"/>
              <w:right w:val="single" w:sz="4" w:space="0" w:color="auto"/>
            </w:tcBorders>
            <w:shd w:val="clear" w:color="auto" w:fill="auto"/>
            <w:noWrap/>
            <w:vAlign w:val="bottom"/>
          </w:tcPr>
          <w:p w:rsidR="009A18F4" w:rsidRDefault="009A18F4" w:rsidP="00E74D90">
            <w:pPr>
              <w:jc w:val="center"/>
              <w:rPr>
                <w:rFonts w:ascii="宋体" w:hAnsi="宋体" w:cs="宋体"/>
                <w:sz w:val="18"/>
                <w:szCs w:val="18"/>
              </w:rPr>
            </w:pPr>
            <w:r>
              <w:rPr>
                <w:rFonts w:hint="eastAsia"/>
                <w:sz w:val="18"/>
                <w:szCs w:val="18"/>
              </w:rPr>
              <w:t>35%</w:t>
            </w:r>
          </w:p>
        </w:tc>
      </w:tr>
      <w:tr w:rsidR="009A18F4" w:rsidRPr="005B5148" w:rsidTr="00E74D90">
        <w:trPr>
          <w:trHeight w:val="285"/>
          <w:jc w:val="center"/>
        </w:trPr>
        <w:tc>
          <w:tcPr>
            <w:tcW w:w="1320" w:type="pct"/>
            <w:tcBorders>
              <w:top w:val="nil"/>
              <w:left w:val="single" w:sz="4" w:space="0" w:color="auto"/>
              <w:bottom w:val="single" w:sz="4" w:space="0" w:color="auto"/>
              <w:right w:val="single" w:sz="4" w:space="0" w:color="auto"/>
            </w:tcBorders>
            <w:shd w:val="clear" w:color="auto" w:fill="auto"/>
            <w:noWrap/>
            <w:vAlign w:val="bottom"/>
          </w:tcPr>
          <w:p w:rsidR="009A18F4" w:rsidRPr="007F4645" w:rsidRDefault="009A18F4" w:rsidP="00E74D90">
            <w:pPr>
              <w:jc w:val="center"/>
              <w:rPr>
                <w:sz w:val="18"/>
                <w:szCs w:val="18"/>
              </w:rPr>
            </w:pPr>
            <w:r w:rsidRPr="00CF6E4C">
              <w:rPr>
                <w:rFonts w:hint="eastAsia"/>
                <w:sz w:val="18"/>
                <w:szCs w:val="18"/>
              </w:rPr>
              <w:t>新华钻石品质</w:t>
            </w:r>
          </w:p>
        </w:tc>
        <w:tc>
          <w:tcPr>
            <w:tcW w:w="426" w:type="pct"/>
            <w:tcBorders>
              <w:top w:val="nil"/>
              <w:left w:val="nil"/>
              <w:bottom w:val="single" w:sz="4" w:space="0" w:color="auto"/>
              <w:right w:val="single" w:sz="4" w:space="0" w:color="auto"/>
            </w:tcBorders>
            <w:shd w:val="clear" w:color="auto" w:fill="auto"/>
            <w:noWrap/>
            <w:vAlign w:val="bottom"/>
          </w:tcPr>
          <w:p w:rsidR="009A18F4" w:rsidRPr="007F4645" w:rsidRDefault="009A18F4" w:rsidP="00E74D90">
            <w:pPr>
              <w:jc w:val="center"/>
              <w:rPr>
                <w:sz w:val="18"/>
                <w:szCs w:val="18"/>
              </w:rPr>
            </w:pPr>
            <w:r>
              <w:rPr>
                <w:rFonts w:hint="eastAsia"/>
                <w:sz w:val="18"/>
                <w:szCs w:val="18"/>
              </w:rPr>
              <w:t>20%</w:t>
            </w:r>
          </w:p>
        </w:tc>
        <w:tc>
          <w:tcPr>
            <w:tcW w:w="324" w:type="pct"/>
            <w:vMerge/>
            <w:tcBorders>
              <w:top w:val="single" w:sz="4" w:space="0" w:color="auto"/>
              <w:left w:val="single" w:sz="4" w:space="0" w:color="auto"/>
              <w:bottom w:val="single" w:sz="4" w:space="0" w:color="000000"/>
              <w:right w:val="single" w:sz="4" w:space="0" w:color="auto"/>
            </w:tcBorders>
            <w:vAlign w:val="center"/>
          </w:tcPr>
          <w:p w:rsidR="009A18F4" w:rsidRPr="00E921CB" w:rsidRDefault="009A18F4" w:rsidP="00E74D90">
            <w:pPr>
              <w:widowControl/>
              <w:jc w:val="left"/>
              <w:rPr>
                <w:rFonts w:ascii="宋体" w:hAnsi="宋体" w:cs="宋体"/>
                <w:kern w:val="0"/>
                <w:sz w:val="18"/>
                <w:szCs w:val="18"/>
              </w:rPr>
            </w:pPr>
          </w:p>
        </w:tc>
        <w:tc>
          <w:tcPr>
            <w:tcW w:w="936" w:type="pct"/>
            <w:tcBorders>
              <w:top w:val="nil"/>
              <w:left w:val="nil"/>
              <w:bottom w:val="single" w:sz="4" w:space="0" w:color="auto"/>
              <w:right w:val="single" w:sz="4" w:space="0" w:color="auto"/>
            </w:tcBorders>
            <w:shd w:val="clear" w:color="auto" w:fill="auto"/>
            <w:noWrap/>
            <w:vAlign w:val="bottom"/>
          </w:tcPr>
          <w:p w:rsidR="009A18F4" w:rsidRPr="007F4645" w:rsidRDefault="009A18F4" w:rsidP="00E74D90">
            <w:pPr>
              <w:jc w:val="center"/>
              <w:rPr>
                <w:sz w:val="18"/>
                <w:szCs w:val="18"/>
              </w:rPr>
            </w:pPr>
            <w:r>
              <w:rPr>
                <w:rFonts w:hint="eastAsia"/>
                <w:sz w:val="18"/>
                <w:szCs w:val="18"/>
              </w:rPr>
              <w:t>宝盈增强收益</w:t>
            </w:r>
          </w:p>
        </w:tc>
        <w:tc>
          <w:tcPr>
            <w:tcW w:w="393" w:type="pct"/>
            <w:tcBorders>
              <w:top w:val="nil"/>
              <w:left w:val="nil"/>
              <w:bottom w:val="single" w:sz="4" w:space="0" w:color="auto"/>
              <w:right w:val="single" w:sz="4" w:space="0" w:color="auto"/>
            </w:tcBorders>
            <w:shd w:val="clear" w:color="auto" w:fill="auto"/>
            <w:noWrap/>
            <w:vAlign w:val="bottom"/>
          </w:tcPr>
          <w:p w:rsidR="009A18F4" w:rsidRPr="00E921CB" w:rsidRDefault="009A18F4" w:rsidP="00E74D90">
            <w:pPr>
              <w:widowControl/>
              <w:jc w:val="center"/>
              <w:rPr>
                <w:rFonts w:ascii="宋体" w:hAnsi="宋体" w:cs="宋体"/>
                <w:kern w:val="0"/>
                <w:sz w:val="18"/>
                <w:szCs w:val="18"/>
              </w:rPr>
            </w:pPr>
            <w:r>
              <w:rPr>
                <w:rFonts w:hint="eastAsia"/>
                <w:sz w:val="18"/>
                <w:szCs w:val="18"/>
              </w:rPr>
              <w:t>50%</w:t>
            </w:r>
          </w:p>
        </w:tc>
        <w:tc>
          <w:tcPr>
            <w:tcW w:w="297" w:type="pct"/>
            <w:vMerge/>
            <w:tcBorders>
              <w:top w:val="single" w:sz="4" w:space="0" w:color="auto"/>
              <w:left w:val="single" w:sz="4" w:space="0" w:color="auto"/>
              <w:bottom w:val="single" w:sz="4" w:space="0" w:color="000000"/>
              <w:right w:val="single" w:sz="4" w:space="0" w:color="auto"/>
            </w:tcBorders>
            <w:vAlign w:val="center"/>
          </w:tcPr>
          <w:p w:rsidR="009A18F4" w:rsidRPr="00E921CB" w:rsidRDefault="009A18F4" w:rsidP="00E74D90">
            <w:pPr>
              <w:widowControl/>
              <w:jc w:val="left"/>
              <w:rPr>
                <w:rFonts w:ascii="宋体" w:hAnsi="宋体" w:cs="宋体"/>
                <w:kern w:val="0"/>
                <w:sz w:val="18"/>
                <w:szCs w:val="18"/>
              </w:rPr>
            </w:pPr>
          </w:p>
        </w:tc>
        <w:tc>
          <w:tcPr>
            <w:tcW w:w="928" w:type="pct"/>
            <w:tcBorders>
              <w:top w:val="nil"/>
              <w:left w:val="nil"/>
              <w:bottom w:val="single" w:sz="4" w:space="0" w:color="auto"/>
              <w:right w:val="single" w:sz="4" w:space="0" w:color="auto"/>
            </w:tcBorders>
            <w:shd w:val="clear" w:color="auto" w:fill="auto"/>
            <w:noWrap/>
            <w:vAlign w:val="bottom"/>
          </w:tcPr>
          <w:p w:rsidR="009A18F4" w:rsidRDefault="009A18F4" w:rsidP="00E74D90">
            <w:pPr>
              <w:jc w:val="center"/>
              <w:rPr>
                <w:rFonts w:ascii="宋体" w:hAnsi="宋体" w:cs="宋体"/>
                <w:sz w:val="18"/>
                <w:szCs w:val="18"/>
              </w:rPr>
            </w:pPr>
            <w:r>
              <w:rPr>
                <w:rFonts w:hint="eastAsia"/>
                <w:sz w:val="18"/>
                <w:szCs w:val="18"/>
              </w:rPr>
              <w:t>广发货币</w:t>
            </w:r>
          </w:p>
        </w:tc>
        <w:tc>
          <w:tcPr>
            <w:tcW w:w="376" w:type="pct"/>
            <w:tcBorders>
              <w:top w:val="nil"/>
              <w:left w:val="nil"/>
              <w:bottom w:val="single" w:sz="4" w:space="0" w:color="auto"/>
              <w:right w:val="single" w:sz="4" w:space="0" w:color="auto"/>
            </w:tcBorders>
            <w:shd w:val="clear" w:color="auto" w:fill="auto"/>
            <w:noWrap/>
            <w:vAlign w:val="bottom"/>
          </w:tcPr>
          <w:p w:rsidR="009A18F4" w:rsidRDefault="009A18F4" w:rsidP="00E74D90">
            <w:pPr>
              <w:jc w:val="center"/>
              <w:rPr>
                <w:rFonts w:ascii="宋体" w:hAnsi="宋体" w:cs="宋体"/>
                <w:sz w:val="18"/>
                <w:szCs w:val="18"/>
              </w:rPr>
            </w:pPr>
            <w:r>
              <w:rPr>
                <w:rFonts w:hint="eastAsia"/>
                <w:sz w:val="18"/>
                <w:szCs w:val="18"/>
              </w:rPr>
              <w:t>35%</w:t>
            </w:r>
          </w:p>
        </w:tc>
      </w:tr>
    </w:tbl>
    <w:p w:rsidR="009A18F4" w:rsidRDefault="009A18F4" w:rsidP="009A18F4">
      <w:pPr>
        <w:rPr>
          <w:rFonts w:ascii="楷体_GB2312" w:eastAsia="楷体_GB2312"/>
          <w:noProof/>
          <w:color w:val="000000"/>
        </w:rPr>
      </w:pPr>
      <w:r w:rsidRPr="00156066">
        <w:rPr>
          <w:rFonts w:ascii="楷体_GB2312" w:eastAsia="楷体_GB2312" w:hint="eastAsia"/>
          <w:noProof/>
          <w:color w:val="000000"/>
        </w:rPr>
        <w:t>来源：上海证券基金评价研究中心</w:t>
      </w:r>
    </w:p>
    <w:p w:rsidR="009A18F4" w:rsidRPr="00144B03" w:rsidRDefault="009A18F4" w:rsidP="009A18F4">
      <w:pPr>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t>表2推荐基金基本情况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1"/>
        <w:gridCol w:w="756"/>
        <w:gridCol w:w="936"/>
        <w:gridCol w:w="849"/>
        <w:gridCol w:w="1903"/>
        <w:gridCol w:w="1903"/>
      </w:tblGrid>
      <w:tr w:rsidR="009A18F4" w:rsidRPr="002072D1" w:rsidTr="00E74D90">
        <w:trPr>
          <w:trHeight w:val="397"/>
          <w:tblHeader/>
          <w:jc w:val="center"/>
        </w:trPr>
        <w:tc>
          <w:tcPr>
            <w:tcW w:w="0" w:type="auto"/>
            <w:shd w:val="clear" w:color="auto" w:fill="0000FF"/>
            <w:noWrap/>
            <w:vAlign w:val="center"/>
          </w:tcPr>
          <w:p w:rsidR="009A18F4" w:rsidRPr="00604445" w:rsidRDefault="009A18F4" w:rsidP="00E74D90">
            <w:pPr>
              <w:keepLines/>
              <w:adjustRightInd w:val="0"/>
              <w:snapToGrid w:val="0"/>
              <w:jc w:val="center"/>
              <w:rPr>
                <w:rFonts w:ascii="楷体_GB2312" w:eastAsia="楷体_GB2312" w:hAnsi="宋体" w:cs="宋体"/>
                <w:b/>
                <w:bCs/>
                <w:color w:val="FFFFFF"/>
                <w:kern w:val="0"/>
                <w:szCs w:val="21"/>
              </w:rPr>
            </w:pPr>
            <w:bookmarkStart w:id="0" w:name="_Toc271023583"/>
            <w:r>
              <w:rPr>
                <w:rFonts w:ascii="楷体_GB2312" w:eastAsia="楷体_GB2312" w:hAnsi="宋体" w:cs="宋体" w:hint="eastAsia"/>
                <w:b/>
                <w:bCs/>
                <w:color w:val="FFFFFF"/>
                <w:kern w:val="0"/>
                <w:szCs w:val="21"/>
              </w:rPr>
              <w:t>基金名称</w:t>
            </w:r>
          </w:p>
        </w:tc>
        <w:tc>
          <w:tcPr>
            <w:tcW w:w="0" w:type="auto"/>
            <w:shd w:val="clear" w:color="auto" w:fill="0000FF"/>
            <w:vAlign w:val="center"/>
          </w:tcPr>
          <w:p w:rsidR="009A18F4" w:rsidRPr="00604445" w:rsidRDefault="009A18F4" w:rsidP="00E74D90">
            <w:pPr>
              <w:keepLines/>
              <w:adjustRightInd w:val="0"/>
              <w:snapToGrid w:val="0"/>
              <w:jc w:val="center"/>
              <w:rPr>
                <w:rFonts w:ascii="楷体_GB2312" w:eastAsia="楷体_GB2312" w:hAnsi="宋体" w:cs="宋体"/>
                <w:b/>
                <w:bCs/>
                <w:color w:val="FFFFFF"/>
                <w:kern w:val="0"/>
                <w:szCs w:val="21"/>
              </w:rPr>
            </w:pPr>
            <w:r>
              <w:rPr>
                <w:rFonts w:ascii="楷体_GB2312" w:eastAsia="楷体_GB2312" w:hAnsi="宋体" w:cs="宋体" w:hint="eastAsia"/>
                <w:b/>
                <w:bCs/>
                <w:color w:val="FFFFFF"/>
                <w:kern w:val="0"/>
                <w:szCs w:val="21"/>
              </w:rPr>
              <w:t>代码</w:t>
            </w:r>
          </w:p>
        </w:tc>
        <w:tc>
          <w:tcPr>
            <w:tcW w:w="0" w:type="auto"/>
            <w:shd w:val="clear" w:color="auto" w:fill="0000FF"/>
            <w:vAlign w:val="center"/>
          </w:tcPr>
          <w:p w:rsidR="009A18F4" w:rsidRPr="00604445" w:rsidRDefault="009A18F4" w:rsidP="00E74D90">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类型</w:t>
            </w:r>
          </w:p>
        </w:tc>
        <w:tc>
          <w:tcPr>
            <w:tcW w:w="0" w:type="auto"/>
            <w:shd w:val="clear" w:color="auto" w:fill="0000FF"/>
            <w:vAlign w:val="center"/>
          </w:tcPr>
          <w:p w:rsidR="009A18F4" w:rsidRPr="00604445" w:rsidRDefault="009A18F4" w:rsidP="00E74D90">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管理人</w:t>
            </w:r>
          </w:p>
        </w:tc>
        <w:tc>
          <w:tcPr>
            <w:tcW w:w="0" w:type="auto"/>
            <w:shd w:val="clear" w:color="auto" w:fill="0000FF"/>
            <w:vAlign w:val="center"/>
          </w:tcPr>
          <w:p w:rsidR="009A18F4" w:rsidRPr="00604445" w:rsidRDefault="009A18F4" w:rsidP="00E74D90">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上证</w:t>
            </w:r>
            <w:r>
              <w:rPr>
                <w:rFonts w:ascii="楷体_GB2312" w:eastAsia="楷体_GB2312" w:hAnsi="宋体" w:cs="宋体" w:hint="eastAsia"/>
                <w:b/>
                <w:bCs/>
                <w:color w:val="FFFFFF"/>
                <w:kern w:val="0"/>
                <w:szCs w:val="21"/>
              </w:rPr>
              <w:t>三年</w:t>
            </w:r>
            <w:r w:rsidRPr="00604445">
              <w:rPr>
                <w:rFonts w:ascii="楷体_GB2312" w:eastAsia="楷体_GB2312" w:hAnsi="宋体" w:cs="宋体" w:hint="eastAsia"/>
                <w:b/>
                <w:bCs/>
                <w:color w:val="FFFFFF"/>
                <w:kern w:val="0"/>
                <w:szCs w:val="21"/>
              </w:rPr>
              <w:t>综合评级</w:t>
            </w:r>
          </w:p>
        </w:tc>
        <w:tc>
          <w:tcPr>
            <w:tcW w:w="0" w:type="auto"/>
            <w:shd w:val="clear" w:color="auto" w:fill="0000FF"/>
            <w:vAlign w:val="center"/>
          </w:tcPr>
          <w:p w:rsidR="009A18F4" w:rsidRPr="00604445" w:rsidRDefault="009A18F4" w:rsidP="00E74D90">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上证</w:t>
            </w:r>
            <w:r>
              <w:rPr>
                <w:rFonts w:ascii="楷体_GB2312" w:eastAsia="楷体_GB2312" w:hAnsi="宋体" w:cs="宋体" w:hint="eastAsia"/>
                <w:b/>
                <w:bCs/>
                <w:color w:val="FFFFFF"/>
                <w:kern w:val="0"/>
                <w:szCs w:val="21"/>
              </w:rPr>
              <w:t>三年选证</w:t>
            </w:r>
            <w:r w:rsidRPr="00604445">
              <w:rPr>
                <w:rFonts w:ascii="楷体_GB2312" w:eastAsia="楷体_GB2312" w:hAnsi="宋体" w:cs="宋体" w:hint="eastAsia"/>
                <w:b/>
                <w:bCs/>
                <w:color w:val="FFFFFF"/>
                <w:kern w:val="0"/>
                <w:szCs w:val="21"/>
              </w:rPr>
              <w:t>评级</w:t>
            </w:r>
          </w:p>
        </w:tc>
      </w:tr>
      <w:tr w:rsidR="009A18F4" w:rsidRPr="002072D1" w:rsidTr="00E74D90">
        <w:trPr>
          <w:trHeight w:val="397"/>
          <w:jc w:val="center"/>
        </w:trPr>
        <w:tc>
          <w:tcPr>
            <w:tcW w:w="0" w:type="auto"/>
            <w:shd w:val="clear" w:color="auto" w:fill="auto"/>
            <w:vAlign w:val="center"/>
          </w:tcPr>
          <w:p w:rsidR="009A18F4" w:rsidRPr="00074847" w:rsidRDefault="009A18F4" w:rsidP="00E74D90">
            <w:pPr>
              <w:keepLines/>
              <w:adjustRightInd w:val="0"/>
              <w:snapToGrid w:val="0"/>
              <w:jc w:val="center"/>
              <w:rPr>
                <w:rFonts w:ascii="楷体_GB2312" w:eastAsia="楷体_GB2312" w:hAnsi="宋体" w:cs="宋体"/>
                <w:b/>
                <w:bCs/>
                <w:color w:val="0D0D0D"/>
                <w:kern w:val="0"/>
                <w:sz w:val="18"/>
                <w:szCs w:val="18"/>
              </w:rPr>
            </w:pPr>
            <w:r w:rsidRPr="0083054E">
              <w:rPr>
                <w:rFonts w:ascii="楷体_GB2312" w:eastAsia="楷体_GB2312" w:hAnsi="宋体" w:cs="宋体" w:hint="eastAsia"/>
                <w:b/>
                <w:bCs/>
                <w:color w:val="0D0D0D"/>
                <w:kern w:val="0"/>
                <w:sz w:val="18"/>
                <w:szCs w:val="18"/>
              </w:rPr>
              <w:t>信诚精萃成长</w:t>
            </w:r>
          </w:p>
        </w:tc>
        <w:tc>
          <w:tcPr>
            <w:tcW w:w="0" w:type="auto"/>
            <w:shd w:val="clear" w:color="auto" w:fill="auto"/>
            <w:vAlign w:val="center"/>
          </w:tcPr>
          <w:p w:rsidR="009A18F4" w:rsidRPr="00074847" w:rsidRDefault="009A18F4" w:rsidP="00E74D90">
            <w:pPr>
              <w:keepLines/>
              <w:adjustRightInd w:val="0"/>
              <w:snapToGrid w:val="0"/>
              <w:jc w:val="center"/>
              <w:rPr>
                <w:rFonts w:ascii="楷体_GB2312" w:eastAsia="楷体_GB2312" w:hAnsi="宋体" w:cs="宋体"/>
                <w:color w:val="0D0D0D"/>
                <w:kern w:val="0"/>
                <w:sz w:val="18"/>
                <w:szCs w:val="18"/>
              </w:rPr>
            </w:pPr>
            <w:r w:rsidRPr="0083054E">
              <w:rPr>
                <w:rFonts w:ascii="楷体_GB2312" w:eastAsia="楷体_GB2312" w:hAnsi="宋体" w:cs="宋体"/>
                <w:color w:val="0D0D0D"/>
                <w:kern w:val="0"/>
                <w:sz w:val="18"/>
                <w:szCs w:val="18"/>
              </w:rPr>
              <w:t>550002</w:t>
            </w:r>
          </w:p>
        </w:tc>
        <w:tc>
          <w:tcPr>
            <w:tcW w:w="0" w:type="auto"/>
            <w:vAlign w:val="center"/>
          </w:tcPr>
          <w:p w:rsidR="009A18F4" w:rsidRPr="00573CAD" w:rsidRDefault="009A18F4" w:rsidP="00E74D90">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hint="eastAsia"/>
                <w:color w:val="0D0D0D"/>
                <w:kern w:val="0"/>
                <w:sz w:val="18"/>
                <w:szCs w:val="18"/>
              </w:rPr>
              <w:t>股票型</w:t>
            </w:r>
          </w:p>
        </w:tc>
        <w:tc>
          <w:tcPr>
            <w:tcW w:w="0" w:type="auto"/>
            <w:vAlign w:val="center"/>
          </w:tcPr>
          <w:p w:rsidR="009A18F4" w:rsidRPr="00573CAD" w:rsidRDefault="009A18F4" w:rsidP="00E74D90">
            <w:pPr>
              <w:keepLines/>
              <w:adjustRightInd w:val="0"/>
              <w:snapToGrid w:val="0"/>
              <w:jc w:val="center"/>
              <w:rPr>
                <w:rFonts w:ascii="楷体_GB2312" w:eastAsia="楷体_GB2312" w:hAnsi="宋体" w:cs="宋体"/>
                <w:color w:val="0D0D0D"/>
                <w:kern w:val="0"/>
                <w:sz w:val="18"/>
                <w:szCs w:val="18"/>
              </w:rPr>
            </w:pPr>
            <w:r w:rsidRPr="0083054E">
              <w:rPr>
                <w:rFonts w:ascii="楷体_GB2312" w:eastAsia="楷体_GB2312" w:hAnsi="宋体" w:cs="宋体" w:hint="eastAsia"/>
                <w:color w:val="0D0D0D"/>
                <w:kern w:val="0"/>
                <w:sz w:val="18"/>
                <w:szCs w:val="18"/>
              </w:rPr>
              <w:t>信诚</w:t>
            </w:r>
          </w:p>
        </w:tc>
        <w:tc>
          <w:tcPr>
            <w:tcW w:w="0" w:type="auto"/>
            <w:shd w:val="clear" w:color="auto" w:fill="auto"/>
            <w:vAlign w:val="center"/>
          </w:tcPr>
          <w:p w:rsidR="009A18F4" w:rsidRPr="0083054E" w:rsidRDefault="009A18F4" w:rsidP="00E74D90">
            <w:pPr>
              <w:keepLines/>
              <w:adjustRightInd w:val="0"/>
              <w:snapToGrid w:val="0"/>
              <w:jc w:val="center"/>
              <w:rPr>
                <w:rFonts w:ascii="楷体_GB2312" w:eastAsia="楷体_GB2312" w:hAnsi="宋体" w:cs="宋体"/>
                <w:color w:val="FF0000"/>
                <w:kern w:val="0"/>
                <w:sz w:val="18"/>
                <w:szCs w:val="18"/>
              </w:rPr>
            </w:pPr>
            <w:r w:rsidRPr="00E34D68">
              <w:rPr>
                <w:rFonts w:ascii="楷体_GB2312" w:eastAsia="楷体_GB2312" w:hAnsi="宋体" w:cs="宋体" w:hint="eastAsia"/>
                <w:color w:val="FF0000"/>
                <w:kern w:val="0"/>
                <w:sz w:val="18"/>
                <w:szCs w:val="18"/>
              </w:rPr>
              <w:t>★★★</w:t>
            </w:r>
          </w:p>
        </w:tc>
        <w:tc>
          <w:tcPr>
            <w:tcW w:w="0" w:type="auto"/>
            <w:shd w:val="clear" w:color="auto" w:fill="auto"/>
            <w:vAlign w:val="center"/>
          </w:tcPr>
          <w:p w:rsidR="009A18F4" w:rsidRPr="0083054E" w:rsidRDefault="009A18F4" w:rsidP="00E74D90">
            <w:pPr>
              <w:keepLines/>
              <w:adjustRightInd w:val="0"/>
              <w:snapToGrid w:val="0"/>
              <w:jc w:val="center"/>
              <w:rPr>
                <w:rFonts w:ascii="楷体_GB2312" w:eastAsia="楷体_GB2312" w:hAnsi="宋体" w:cs="宋体"/>
                <w:color w:val="FF0000"/>
                <w:kern w:val="0"/>
                <w:sz w:val="18"/>
                <w:szCs w:val="18"/>
              </w:rPr>
            </w:pPr>
            <w:r w:rsidRPr="00E34D68">
              <w:rPr>
                <w:rFonts w:ascii="楷体_GB2312" w:eastAsia="楷体_GB2312" w:hAnsi="宋体" w:cs="宋体" w:hint="eastAsia"/>
                <w:color w:val="FF0000"/>
                <w:kern w:val="0"/>
                <w:sz w:val="18"/>
                <w:szCs w:val="18"/>
              </w:rPr>
              <w:t>★★★</w:t>
            </w:r>
          </w:p>
        </w:tc>
      </w:tr>
      <w:tr w:rsidR="009A18F4" w:rsidRPr="002072D1" w:rsidTr="00E74D90">
        <w:trPr>
          <w:trHeight w:val="397"/>
          <w:jc w:val="center"/>
        </w:trPr>
        <w:tc>
          <w:tcPr>
            <w:tcW w:w="0" w:type="auto"/>
            <w:shd w:val="clear" w:color="auto" w:fill="auto"/>
            <w:vAlign w:val="center"/>
          </w:tcPr>
          <w:p w:rsidR="009A18F4" w:rsidRPr="001941AC" w:rsidRDefault="009A18F4" w:rsidP="00E74D90">
            <w:pPr>
              <w:keepLines/>
              <w:adjustRightInd w:val="0"/>
              <w:snapToGrid w:val="0"/>
              <w:jc w:val="center"/>
              <w:rPr>
                <w:rFonts w:ascii="楷体_GB2312" w:eastAsia="楷体_GB2312" w:hAnsi="宋体" w:cs="宋体"/>
                <w:b/>
                <w:bCs/>
                <w:color w:val="0D0D0D"/>
                <w:kern w:val="0"/>
                <w:sz w:val="18"/>
                <w:szCs w:val="18"/>
              </w:rPr>
            </w:pPr>
            <w:r>
              <w:rPr>
                <w:rFonts w:ascii="楷体_GB2312" w:eastAsia="楷体_GB2312" w:hAnsi="宋体" w:cs="宋体" w:hint="eastAsia"/>
                <w:b/>
                <w:bCs/>
                <w:color w:val="0D0D0D"/>
                <w:kern w:val="0"/>
                <w:sz w:val="18"/>
                <w:szCs w:val="18"/>
              </w:rPr>
              <w:t>添富价值</w:t>
            </w:r>
          </w:p>
        </w:tc>
        <w:tc>
          <w:tcPr>
            <w:tcW w:w="0" w:type="auto"/>
            <w:shd w:val="clear" w:color="auto" w:fill="auto"/>
            <w:vAlign w:val="center"/>
          </w:tcPr>
          <w:p w:rsidR="009A18F4" w:rsidRPr="00573CAD" w:rsidRDefault="009A18F4" w:rsidP="00E74D90">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color w:val="0D0D0D"/>
                <w:kern w:val="0"/>
                <w:sz w:val="18"/>
                <w:szCs w:val="18"/>
              </w:rPr>
              <w:t>519069</w:t>
            </w:r>
          </w:p>
        </w:tc>
        <w:tc>
          <w:tcPr>
            <w:tcW w:w="0" w:type="auto"/>
            <w:vAlign w:val="center"/>
          </w:tcPr>
          <w:p w:rsidR="009A18F4" w:rsidRPr="00573CAD" w:rsidRDefault="009A18F4" w:rsidP="00E74D90">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hint="eastAsia"/>
                <w:color w:val="0D0D0D"/>
                <w:kern w:val="0"/>
                <w:sz w:val="18"/>
                <w:szCs w:val="18"/>
              </w:rPr>
              <w:t>股票型</w:t>
            </w:r>
          </w:p>
        </w:tc>
        <w:tc>
          <w:tcPr>
            <w:tcW w:w="0" w:type="auto"/>
            <w:vAlign w:val="center"/>
          </w:tcPr>
          <w:p w:rsidR="009A18F4" w:rsidRPr="00573CAD" w:rsidRDefault="009A18F4" w:rsidP="00E74D90">
            <w:pPr>
              <w:keepLines/>
              <w:adjustRightInd w:val="0"/>
              <w:snapToGrid w:val="0"/>
              <w:jc w:val="center"/>
              <w:rPr>
                <w:rFonts w:ascii="楷体_GB2312" w:eastAsia="楷体_GB2312" w:hAnsi="宋体" w:cs="宋体"/>
                <w:color w:val="0D0D0D"/>
                <w:kern w:val="0"/>
                <w:sz w:val="18"/>
                <w:szCs w:val="18"/>
              </w:rPr>
            </w:pPr>
            <w:r w:rsidRPr="00573CAD">
              <w:rPr>
                <w:rFonts w:ascii="楷体_GB2312" w:eastAsia="楷体_GB2312" w:hAnsi="宋体" w:cs="宋体" w:hint="eastAsia"/>
                <w:color w:val="0D0D0D"/>
                <w:kern w:val="0"/>
                <w:sz w:val="18"/>
                <w:szCs w:val="18"/>
              </w:rPr>
              <w:t>汇添富</w:t>
            </w:r>
          </w:p>
        </w:tc>
        <w:tc>
          <w:tcPr>
            <w:tcW w:w="0" w:type="auto"/>
            <w:shd w:val="clear" w:color="auto" w:fill="auto"/>
            <w:vAlign w:val="center"/>
          </w:tcPr>
          <w:p w:rsidR="009A18F4" w:rsidRPr="00A630FE" w:rsidRDefault="009A18F4" w:rsidP="00E74D90">
            <w:pPr>
              <w:keepLines/>
              <w:adjustRightInd w:val="0"/>
              <w:snapToGrid w:val="0"/>
              <w:jc w:val="center"/>
              <w:rPr>
                <w:rFonts w:ascii="楷体_GB2312" w:eastAsia="楷体_GB2312" w:hAnsi="宋体" w:cs="宋体"/>
                <w:color w:val="FF0000"/>
                <w:kern w:val="0"/>
                <w:sz w:val="18"/>
                <w:szCs w:val="18"/>
              </w:rPr>
            </w:pPr>
            <w:r w:rsidRPr="00A630FE">
              <w:rPr>
                <w:rFonts w:ascii="楷体_GB2312" w:eastAsia="楷体_GB2312" w:hAnsi="宋体" w:cs="宋体" w:hint="eastAsia"/>
                <w:color w:val="FF0000"/>
                <w:kern w:val="0"/>
                <w:sz w:val="18"/>
                <w:szCs w:val="18"/>
              </w:rPr>
              <w:t>★★★★★</w:t>
            </w:r>
          </w:p>
        </w:tc>
        <w:tc>
          <w:tcPr>
            <w:tcW w:w="0" w:type="auto"/>
            <w:shd w:val="clear" w:color="auto" w:fill="auto"/>
            <w:vAlign w:val="center"/>
          </w:tcPr>
          <w:p w:rsidR="009A18F4" w:rsidRPr="00A630FE" w:rsidRDefault="009A18F4" w:rsidP="00E74D90">
            <w:pPr>
              <w:keepLines/>
              <w:adjustRightInd w:val="0"/>
              <w:snapToGrid w:val="0"/>
              <w:jc w:val="center"/>
              <w:rPr>
                <w:rFonts w:ascii="楷体_GB2312" w:eastAsia="楷体_GB2312" w:hAnsi="宋体" w:cs="宋体"/>
                <w:color w:val="FF0000"/>
                <w:kern w:val="0"/>
                <w:sz w:val="18"/>
                <w:szCs w:val="18"/>
              </w:rPr>
            </w:pPr>
            <w:r w:rsidRPr="00A630FE">
              <w:rPr>
                <w:rFonts w:ascii="楷体_GB2312" w:eastAsia="楷体_GB2312" w:hAnsi="宋体" w:cs="宋体" w:hint="eastAsia"/>
                <w:color w:val="FF0000"/>
                <w:kern w:val="0"/>
                <w:sz w:val="18"/>
                <w:szCs w:val="18"/>
              </w:rPr>
              <w:t>★★★★★</w:t>
            </w:r>
          </w:p>
        </w:tc>
      </w:tr>
      <w:tr w:rsidR="009A18F4" w:rsidRPr="002072D1" w:rsidTr="00E74D90">
        <w:trPr>
          <w:trHeight w:val="397"/>
          <w:jc w:val="center"/>
        </w:trPr>
        <w:tc>
          <w:tcPr>
            <w:tcW w:w="0" w:type="auto"/>
            <w:shd w:val="clear" w:color="auto" w:fill="auto"/>
            <w:vAlign w:val="bottom"/>
          </w:tcPr>
          <w:p w:rsidR="009A18F4" w:rsidRPr="007F4645" w:rsidRDefault="009A18F4" w:rsidP="00E74D90">
            <w:pPr>
              <w:jc w:val="center"/>
              <w:rPr>
                <w:sz w:val="18"/>
                <w:szCs w:val="18"/>
              </w:rPr>
            </w:pPr>
            <w:r w:rsidRPr="00985A3F">
              <w:rPr>
                <w:rFonts w:ascii="楷体_GB2312" w:eastAsia="楷体_GB2312" w:hAnsi="宋体" w:cs="宋体" w:hint="eastAsia"/>
                <w:b/>
                <w:color w:val="000000" w:themeColor="text1"/>
                <w:kern w:val="0"/>
                <w:szCs w:val="21"/>
              </w:rPr>
              <w:t>新华钻石品质</w:t>
            </w:r>
          </w:p>
        </w:tc>
        <w:tc>
          <w:tcPr>
            <w:tcW w:w="0" w:type="auto"/>
            <w:shd w:val="clear" w:color="auto" w:fill="auto"/>
            <w:vAlign w:val="center"/>
          </w:tcPr>
          <w:p w:rsidR="009A18F4" w:rsidRPr="001941AC" w:rsidRDefault="009A18F4" w:rsidP="00E74D90">
            <w:pPr>
              <w:keepLines/>
              <w:adjustRightInd w:val="0"/>
              <w:snapToGrid w:val="0"/>
              <w:jc w:val="center"/>
              <w:rPr>
                <w:rFonts w:ascii="楷体_GB2312" w:eastAsia="楷体_GB2312" w:hAnsi="宋体" w:cs="宋体"/>
                <w:color w:val="0D0D0D"/>
                <w:kern w:val="0"/>
                <w:sz w:val="18"/>
                <w:szCs w:val="18"/>
              </w:rPr>
            </w:pPr>
            <w:r w:rsidRPr="00CF6E4C">
              <w:rPr>
                <w:rFonts w:ascii="楷体_GB2312" w:eastAsia="楷体_GB2312" w:hAnsi="宋体" w:cs="宋体"/>
                <w:color w:val="0D0D0D"/>
                <w:kern w:val="0"/>
                <w:sz w:val="18"/>
                <w:szCs w:val="18"/>
              </w:rPr>
              <w:t>519093</w:t>
            </w:r>
          </w:p>
        </w:tc>
        <w:tc>
          <w:tcPr>
            <w:tcW w:w="0" w:type="auto"/>
            <w:vAlign w:val="center"/>
          </w:tcPr>
          <w:p w:rsidR="009A18F4" w:rsidRPr="001941AC" w:rsidRDefault="009A18F4" w:rsidP="00E74D90">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股票型</w:t>
            </w:r>
          </w:p>
        </w:tc>
        <w:tc>
          <w:tcPr>
            <w:tcW w:w="0" w:type="auto"/>
            <w:vAlign w:val="center"/>
          </w:tcPr>
          <w:p w:rsidR="009A18F4" w:rsidRPr="001941AC" w:rsidRDefault="009A18F4" w:rsidP="00E74D90">
            <w:pPr>
              <w:keepLines/>
              <w:adjustRightInd w:val="0"/>
              <w:snapToGrid w:val="0"/>
              <w:jc w:val="center"/>
              <w:rPr>
                <w:rFonts w:ascii="楷体_GB2312" w:eastAsia="楷体_GB2312" w:hAnsi="宋体" w:cs="宋体"/>
                <w:color w:val="0D0D0D"/>
                <w:kern w:val="0"/>
                <w:sz w:val="18"/>
                <w:szCs w:val="18"/>
              </w:rPr>
            </w:pPr>
            <w:r w:rsidRPr="00CF6E4C">
              <w:rPr>
                <w:rFonts w:ascii="楷体_GB2312" w:eastAsia="楷体_GB2312" w:hAnsi="宋体" w:cs="宋体" w:hint="eastAsia"/>
                <w:color w:val="0D0D0D"/>
                <w:kern w:val="0"/>
                <w:sz w:val="18"/>
                <w:szCs w:val="18"/>
              </w:rPr>
              <w:t>新华</w:t>
            </w:r>
          </w:p>
        </w:tc>
        <w:tc>
          <w:tcPr>
            <w:tcW w:w="0" w:type="auto"/>
            <w:shd w:val="clear" w:color="auto" w:fill="auto"/>
            <w:vAlign w:val="center"/>
          </w:tcPr>
          <w:p w:rsidR="009A18F4" w:rsidRPr="0033677C" w:rsidRDefault="009A18F4" w:rsidP="00E74D90">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p>
        </w:tc>
        <w:tc>
          <w:tcPr>
            <w:tcW w:w="0" w:type="auto"/>
            <w:shd w:val="clear" w:color="auto" w:fill="auto"/>
            <w:vAlign w:val="center"/>
          </w:tcPr>
          <w:p w:rsidR="009A18F4" w:rsidRPr="0033677C" w:rsidRDefault="009A18F4" w:rsidP="00E74D90">
            <w:pPr>
              <w:keepLines/>
              <w:adjustRightInd w:val="0"/>
              <w:snapToGrid w:val="0"/>
              <w:jc w:val="center"/>
              <w:rPr>
                <w:rFonts w:ascii="楷体_GB2312" w:eastAsia="楷体_GB2312" w:hAnsi="宋体" w:cs="宋体"/>
                <w:color w:val="000000"/>
                <w:kern w:val="0"/>
                <w:sz w:val="18"/>
                <w:szCs w:val="18"/>
              </w:rPr>
            </w:pPr>
            <w:r w:rsidRPr="004B0A06">
              <w:rPr>
                <w:rFonts w:ascii="楷体_GB2312" w:eastAsia="楷体_GB2312" w:hAnsi="宋体" w:cs="宋体" w:hint="eastAsia"/>
                <w:color w:val="FF0000"/>
                <w:kern w:val="0"/>
                <w:sz w:val="18"/>
                <w:szCs w:val="18"/>
              </w:rPr>
              <w:t>★★★★★</w:t>
            </w:r>
          </w:p>
        </w:tc>
      </w:tr>
      <w:tr w:rsidR="009A18F4" w:rsidRPr="002072D1" w:rsidTr="00E74D90">
        <w:trPr>
          <w:trHeight w:val="397"/>
          <w:jc w:val="center"/>
        </w:trPr>
        <w:tc>
          <w:tcPr>
            <w:tcW w:w="0" w:type="auto"/>
            <w:shd w:val="clear" w:color="auto" w:fill="auto"/>
            <w:vAlign w:val="center"/>
          </w:tcPr>
          <w:p w:rsidR="009A18F4" w:rsidRPr="001941AC" w:rsidRDefault="009A18F4" w:rsidP="00E74D90">
            <w:pPr>
              <w:keepLines/>
              <w:adjustRightInd w:val="0"/>
              <w:snapToGrid w:val="0"/>
              <w:jc w:val="center"/>
              <w:rPr>
                <w:rFonts w:ascii="楷体_GB2312" w:eastAsia="楷体_GB2312" w:hAnsi="宋体" w:cs="宋体"/>
                <w:b/>
                <w:bCs/>
                <w:color w:val="0D0D0D"/>
                <w:kern w:val="0"/>
                <w:sz w:val="18"/>
                <w:szCs w:val="18"/>
              </w:rPr>
            </w:pPr>
            <w:r w:rsidRPr="00564376">
              <w:rPr>
                <w:rFonts w:ascii="楷体_GB2312" w:eastAsia="楷体_GB2312" w:hAnsi="宋体" w:cs="宋体" w:hint="eastAsia"/>
                <w:b/>
                <w:bCs/>
                <w:color w:val="0D0D0D"/>
                <w:kern w:val="0"/>
                <w:sz w:val="18"/>
                <w:szCs w:val="18"/>
              </w:rPr>
              <w:t>宝盈</w:t>
            </w:r>
            <w:r>
              <w:rPr>
                <w:rFonts w:ascii="楷体_GB2312" w:eastAsia="楷体_GB2312" w:hAnsi="宋体" w:cs="宋体" w:hint="eastAsia"/>
                <w:b/>
                <w:bCs/>
                <w:color w:val="0D0D0D"/>
                <w:kern w:val="0"/>
                <w:sz w:val="18"/>
                <w:szCs w:val="18"/>
              </w:rPr>
              <w:t>增强</w:t>
            </w:r>
            <w:r w:rsidRPr="00564376">
              <w:rPr>
                <w:rFonts w:ascii="楷体_GB2312" w:eastAsia="楷体_GB2312" w:hAnsi="宋体" w:cs="宋体" w:hint="eastAsia"/>
                <w:b/>
                <w:bCs/>
                <w:color w:val="0D0D0D"/>
                <w:kern w:val="0"/>
                <w:sz w:val="18"/>
                <w:szCs w:val="18"/>
              </w:rPr>
              <w:t>收益</w:t>
            </w:r>
          </w:p>
        </w:tc>
        <w:tc>
          <w:tcPr>
            <w:tcW w:w="0" w:type="auto"/>
            <w:shd w:val="clear" w:color="auto" w:fill="auto"/>
            <w:vAlign w:val="center"/>
          </w:tcPr>
          <w:p w:rsidR="009A18F4" w:rsidRPr="001941AC" w:rsidRDefault="009A18F4" w:rsidP="00E74D90">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213007</w:t>
            </w:r>
          </w:p>
        </w:tc>
        <w:tc>
          <w:tcPr>
            <w:tcW w:w="0" w:type="auto"/>
            <w:vAlign w:val="center"/>
          </w:tcPr>
          <w:p w:rsidR="009A18F4" w:rsidRPr="001941AC" w:rsidRDefault="009A18F4" w:rsidP="00E74D90">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债券型</w:t>
            </w:r>
          </w:p>
        </w:tc>
        <w:tc>
          <w:tcPr>
            <w:tcW w:w="0" w:type="auto"/>
            <w:vAlign w:val="center"/>
          </w:tcPr>
          <w:p w:rsidR="009A18F4" w:rsidRPr="001941AC" w:rsidRDefault="009A18F4" w:rsidP="00E74D90">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宝盈</w:t>
            </w:r>
          </w:p>
        </w:tc>
        <w:tc>
          <w:tcPr>
            <w:tcW w:w="0" w:type="auto"/>
            <w:shd w:val="clear" w:color="auto" w:fill="auto"/>
            <w:vAlign w:val="center"/>
          </w:tcPr>
          <w:p w:rsidR="009A18F4" w:rsidRPr="0033677C" w:rsidRDefault="009A18F4" w:rsidP="00E74D90">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p>
        </w:tc>
        <w:tc>
          <w:tcPr>
            <w:tcW w:w="0" w:type="auto"/>
            <w:shd w:val="clear" w:color="auto" w:fill="auto"/>
            <w:vAlign w:val="center"/>
          </w:tcPr>
          <w:p w:rsidR="009A18F4" w:rsidRPr="0033677C" w:rsidRDefault="009A18F4" w:rsidP="00E74D90">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p>
        </w:tc>
      </w:tr>
      <w:tr w:rsidR="009A18F4" w:rsidRPr="003F3857" w:rsidTr="00E74D90">
        <w:trPr>
          <w:trHeight w:val="397"/>
          <w:jc w:val="center"/>
        </w:trPr>
        <w:tc>
          <w:tcPr>
            <w:tcW w:w="0" w:type="auto"/>
            <w:shd w:val="clear" w:color="auto" w:fill="auto"/>
            <w:vAlign w:val="center"/>
          </w:tcPr>
          <w:p w:rsidR="009A18F4" w:rsidRPr="001941AC" w:rsidRDefault="009A18F4" w:rsidP="00E74D90">
            <w:pPr>
              <w:keepLines/>
              <w:adjustRightInd w:val="0"/>
              <w:snapToGrid w:val="0"/>
              <w:jc w:val="center"/>
              <w:rPr>
                <w:rFonts w:ascii="楷体_GB2312" w:eastAsia="楷体_GB2312" w:hAnsi="宋体" w:cs="宋体"/>
                <w:b/>
                <w:bCs/>
                <w:color w:val="0D0D0D"/>
                <w:kern w:val="0"/>
                <w:sz w:val="18"/>
                <w:szCs w:val="18"/>
              </w:rPr>
            </w:pPr>
            <w:r w:rsidRPr="001941AC">
              <w:rPr>
                <w:rFonts w:ascii="楷体_GB2312" w:eastAsia="楷体_GB2312" w:hAnsi="宋体" w:cs="宋体" w:hint="eastAsia"/>
                <w:b/>
                <w:bCs/>
                <w:color w:val="0D0D0D"/>
                <w:kern w:val="0"/>
                <w:sz w:val="18"/>
                <w:szCs w:val="18"/>
              </w:rPr>
              <w:t>华夏现金</w:t>
            </w:r>
          </w:p>
        </w:tc>
        <w:tc>
          <w:tcPr>
            <w:tcW w:w="0" w:type="auto"/>
            <w:shd w:val="clear" w:color="auto" w:fill="auto"/>
            <w:vAlign w:val="center"/>
          </w:tcPr>
          <w:p w:rsidR="009A18F4" w:rsidRPr="001941AC" w:rsidRDefault="009A18F4" w:rsidP="00E74D90">
            <w:pPr>
              <w:keepLines/>
              <w:adjustRightInd w:val="0"/>
              <w:snapToGrid w:val="0"/>
              <w:jc w:val="center"/>
              <w:rPr>
                <w:rFonts w:ascii="楷体_GB2312" w:eastAsia="楷体_GB2312" w:hAnsi="宋体" w:cs="宋体"/>
                <w:color w:val="0D0D0D"/>
                <w:kern w:val="0"/>
                <w:sz w:val="18"/>
                <w:szCs w:val="18"/>
              </w:rPr>
            </w:pPr>
            <w:r w:rsidRPr="008C0ECC">
              <w:rPr>
                <w:rFonts w:ascii="楷体_GB2312" w:eastAsia="楷体_GB2312" w:hAnsi="宋体" w:cs="宋体"/>
                <w:color w:val="0D0D0D"/>
                <w:kern w:val="0"/>
                <w:sz w:val="18"/>
                <w:szCs w:val="18"/>
              </w:rPr>
              <w:t>003003</w:t>
            </w:r>
          </w:p>
        </w:tc>
        <w:tc>
          <w:tcPr>
            <w:tcW w:w="0" w:type="auto"/>
            <w:vAlign w:val="center"/>
          </w:tcPr>
          <w:p w:rsidR="009A18F4" w:rsidRPr="001941AC" w:rsidRDefault="009A18F4" w:rsidP="00E74D90">
            <w:pPr>
              <w:keepLines/>
              <w:adjustRightInd w:val="0"/>
              <w:snapToGrid w:val="0"/>
              <w:jc w:val="center"/>
              <w:rPr>
                <w:rFonts w:ascii="楷体_GB2312" w:eastAsia="楷体_GB2312" w:hAnsi="宋体" w:cs="宋体"/>
                <w:color w:val="0D0D0D"/>
                <w:kern w:val="0"/>
                <w:sz w:val="18"/>
                <w:szCs w:val="18"/>
              </w:rPr>
            </w:pPr>
            <w:r w:rsidRPr="001941AC">
              <w:rPr>
                <w:rFonts w:ascii="楷体_GB2312" w:eastAsia="楷体_GB2312" w:hAnsi="宋体" w:cs="宋体" w:hint="eastAsia"/>
                <w:color w:val="0D0D0D"/>
                <w:kern w:val="0"/>
                <w:sz w:val="18"/>
                <w:szCs w:val="18"/>
              </w:rPr>
              <w:t>货币市场</w:t>
            </w:r>
          </w:p>
        </w:tc>
        <w:tc>
          <w:tcPr>
            <w:tcW w:w="0" w:type="auto"/>
            <w:vAlign w:val="center"/>
          </w:tcPr>
          <w:p w:rsidR="009A18F4" w:rsidRPr="001941AC" w:rsidRDefault="009A18F4" w:rsidP="00E74D90">
            <w:pPr>
              <w:keepLines/>
              <w:adjustRightInd w:val="0"/>
              <w:snapToGrid w:val="0"/>
              <w:jc w:val="center"/>
              <w:rPr>
                <w:rFonts w:ascii="楷体_GB2312" w:eastAsia="楷体_GB2312" w:hAnsi="宋体" w:cs="宋体"/>
                <w:color w:val="0D0D0D"/>
                <w:kern w:val="0"/>
                <w:sz w:val="18"/>
                <w:szCs w:val="18"/>
              </w:rPr>
            </w:pPr>
            <w:r w:rsidRPr="001941AC">
              <w:rPr>
                <w:rFonts w:ascii="楷体_GB2312" w:eastAsia="楷体_GB2312" w:hAnsi="宋体" w:cs="宋体" w:hint="eastAsia"/>
                <w:color w:val="0D0D0D"/>
                <w:kern w:val="0"/>
                <w:sz w:val="18"/>
                <w:szCs w:val="18"/>
              </w:rPr>
              <w:t>华夏</w:t>
            </w:r>
          </w:p>
        </w:tc>
        <w:tc>
          <w:tcPr>
            <w:tcW w:w="0" w:type="auto"/>
            <w:shd w:val="clear" w:color="auto" w:fill="auto"/>
            <w:vAlign w:val="center"/>
          </w:tcPr>
          <w:p w:rsidR="009A18F4" w:rsidRPr="003F3857" w:rsidRDefault="009A18F4" w:rsidP="00E74D90">
            <w:pPr>
              <w:keepLines/>
              <w:adjustRightInd w:val="0"/>
              <w:snapToGrid w:val="0"/>
              <w:jc w:val="center"/>
              <w:rPr>
                <w:rFonts w:ascii="楷体_GB2312" w:eastAsia="楷体_GB2312" w:hAnsi="宋体" w:cs="宋体"/>
                <w:b/>
                <w:bCs/>
                <w:color w:val="0D0D0D"/>
                <w:kern w:val="0"/>
                <w:sz w:val="18"/>
                <w:szCs w:val="18"/>
              </w:rPr>
            </w:pPr>
            <w:r w:rsidRPr="0033677C">
              <w:rPr>
                <w:rFonts w:ascii="楷体_GB2312" w:eastAsia="楷体_GB2312" w:hAnsi="宋体" w:cs="宋体" w:hint="eastAsia"/>
                <w:color w:val="000000"/>
                <w:kern w:val="0"/>
                <w:sz w:val="18"/>
                <w:szCs w:val="18"/>
              </w:rPr>
              <w:t>—</w:t>
            </w:r>
            <w:r w:rsidRPr="003F3857">
              <w:rPr>
                <w:rFonts w:ascii="楷体_GB2312" w:eastAsia="楷体_GB2312" w:hAnsi="宋体" w:cs="宋体" w:hint="eastAsia"/>
                <w:b/>
                <w:bCs/>
                <w:color w:val="0D0D0D"/>
                <w:kern w:val="0"/>
                <w:sz w:val="18"/>
                <w:szCs w:val="18"/>
              </w:rPr>
              <w:t>—</w:t>
            </w:r>
          </w:p>
        </w:tc>
        <w:tc>
          <w:tcPr>
            <w:tcW w:w="0" w:type="auto"/>
            <w:shd w:val="clear" w:color="auto" w:fill="auto"/>
            <w:vAlign w:val="center"/>
          </w:tcPr>
          <w:p w:rsidR="009A18F4" w:rsidRPr="003F3857" w:rsidRDefault="009A18F4" w:rsidP="00E74D90">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r>
      <w:tr w:rsidR="009A18F4" w:rsidRPr="003F3857" w:rsidTr="00E74D90">
        <w:trPr>
          <w:trHeight w:val="397"/>
          <w:jc w:val="center"/>
        </w:trPr>
        <w:tc>
          <w:tcPr>
            <w:tcW w:w="0" w:type="auto"/>
            <w:shd w:val="clear" w:color="auto" w:fill="auto"/>
            <w:vAlign w:val="center"/>
          </w:tcPr>
          <w:p w:rsidR="009A18F4" w:rsidRPr="001941AC" w:rsidRDefault="009A18F4" w:rsidP="00E74D90">
            <w:pPr>
              <w:keepLines/>
              <w:adjustRightInd w:val="0"/>
              <w:snapToGrid w:val="0"/>
              <w:jc w:val="center"/>
              <w:rPr>
                <w:rFonts w:ascii="楷体_GB2312" w:eastAsia="楷体_GB2312" w:hAnsi="宋体" w:cs="宋体"/>
                <w:b/>
                <w:bCs/>
                <w:color w:val="0D0D0D"/>
                <w:kern w:val="0"/>
                <w:sz w:val="18"/>
                <w:szCs w:val="18"/>
              </w:rPr>
            </w:pPr>
            <w:r w:rsidRPr="001941AC">
              <w:rPr>
                <w:rFonts w:ascii="楷体_GB2312" w:eastAsia="楷体_GB2312" w:hAnsi="宋体" w:cs="宋体" w:hint="eastAsia"/>
                <w:b/>
                <w:bCs/>
                <w:color w:val="0D0D0D"/>
                <w:kern w:val="0"/>
                <w:sz w:val="18"/>
                <w:szCs w:val="18"/>
              </w:rPr>
              <w:t>广发货币B</w:t>
            </w:r>
          </w:p>
        </w:tc>
        <w:tc>
          <w:tcPr>
            <w:tcW w:w="0" w:type="auto"/>
            <w:shd w:val="clear" w:color="auto" w:fill="auto"/>
            <w:vAlign w:val="center"/>
          </w:tcPr>
          <w:p w:rsidR="009A18F4" w:rsidRPr="003F3857" w:rsidRDefault="009A18F4" w:rsidP="00E74D90">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color w:val="0D0D0D"/>
                <w:kern w:val="0"/>
                <w:sz w:val="18"/>
                <w:szCs w:val="18"/>
              </w:rPr>
              <w:t>270014</w:t>
            </w:r>
          </w:p>
        </w:tc>
        <w:tc>
          <w:tcPr>
            <w:tcW w:w="0" w:type="auto"/>
            <w:vAlign w:val="center"/>
          </w:tcPr>
          <w:p w:rsidR="009A18F4" w:rsidRPr="003F3857" w:rsidRDefault="009A18F4" w:rsidP="00E74D90">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hint="eastAsia"/>
                <w:color w:val="0D0D0D"/>
                <w:kern w:val="0"/>
                <w:sz w:val="18"/>
                <w:szCs w:val="18"/>
              </w:rPr>
              <w:t>货币市场</w:t>
            </w:r>
          </w:p>
        </w:tc>
        <w:tc>
          <w:tcPr>
            <w:tcW w:w="0" w:type="auto"/>
            <w:vAlign w:val="center"/>
          </w:tcPr>
          <w:p w:rsidR="009A18F4" w:rsidRPr="003F3857" w:rsidRDefault="009A18F4" w:rsidP="00E74D90">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hint="eastAsia"/>
                <w:color w:val="0D0D0D"/>
                <w:kern w:val="0"/>
                <w:sz w:val="18"/>
                <w:szCs w:val="18"/>
              </w:rPr>
              <w:t>广发</w:t>
            </w:r>
          </w:p>
        </w:tc>
        <w:tc>
          <w:tcPr>
            <w:tcW w:w="0" w:type="auto"/>
            <w:shd w:val="clear" w:color="auto" w:fill="auto"/>
            <w:vAlign w:val="center"/>
          </w:tcPr>
          <w:p w:rsidR="009A18F4" w:rsidRPr="003F3857" w:rsidRDefault="009A18F4" w:rsidP="00E74D90">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c>
          <w:tcPr>
            <w:tcW w:w="0" w:type="auto"/>
            <w:shd w:val="clear" w:color="auto" w:fill="auto"/>
            <w:vAlign w:val="center"/>
          </w:tcPr>
          <w:p w:rsidR="009A18F4" w:rsidRPr="003F3857" w:rsidRDefault="009A18F4" w:rsidP="00E74D90">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r>
    </w:tbl>
    <w:bookmarkEnd w:id="0"/>
    <w:p w:rsidR="009A18F4" w:rsidRDefault="009A18F4" w:rsidP="009A18F4">
      <w:pPr>
        <w:keepLines/>
        <w:adjustRightInd w:val="0"/>
        <w:snapToGrid w:val="0"/>
        <w:ind w:firstLineChars="300" w:firstLine="630"/>
        <w:rPr>
          <w:rFonts w:ascii="楷体_GB2312" w:eastAsia="楷体_GB2312"/>
          <w:noProof/>
        </w:rPr>
      </w:pPr>
      <w:r>
        <w:rPr>
          <w:rFonts w:ascii="楷体_GB2312" w:eastAsia="楷体_GB2312" w:hint="eastAsia"/>
          <w:noProof/>
        </w:rPr>
        <w:t>来源：</w:t>
      </w:r>
      <w:r w:rsidRPr="003D6908">
        <w:rPr>
          <w:rFonts w:ascii="楷体_GB2312" w:eastAsia="楷体_GB2312" w:hint="eastAsia"/>
          <w:noProof/>
        </w:rPr>
        <w:t>wind上海证券基金评价研究中心</w:t>
      </w:r>
      <w:r>
        <w:rPr>
          <w:rFonts w:ascii="楷体_GB2312" w:eastAsia="楷体_GB2312" w:hint="eastAsia"/>
          <w:noProof/>
        </w:rPr>
        <w:t>。</w:t>
      </w:r>
    </w:p>
    <w:p w:rsidR="009A18F4" w:rsidRPr="00EF6A3A" w:rsidRDefault="009A18F4" w:rsidP="009A18F4">
      <w:pPr>
        <w:spacing w:beforeLines="100" w:afterLines="50"/>
        <w:ind w:leftChars="1350" w:left="2835" w:firstLineChars="196" w:firstLine="472"/>
        <w:rPr>
          <w:rFonts w:ascii="黑体" w:eastAsia="黑体" w:hAnsi="宋体-18030" w:cs="宋体-18030"/>
          <w:b/>
          <w:bCs/>
          <w:color w:val="003366"/>
          <w:kern w:val="44"/>
          <w:sz w:val="24"/>
        </w:rPr>
      </w:pPr>
      <w:r w:rsidRPr="00EF6A3A">
        <w:rPr>
          <w:rFonts w:ascii="黑体" w:eastAsia="黑体" w:hAnsi="宋体-18030" w:cs="宋体-18030" w:hint="eastAsia"/>
          <w:b/>
          <w:bCs/>
          <w:color w:val="003366"/>
          <w:kern w:val="44"/>
          <w:sz w:val="24"/>
        </w:rPr>
        <w:lastRenderedPageBreak/>
        <w:t>组合定位：</w:t>
      </w:r>
    </w:p>
    <w:p w:rsidR="009A18F4" w:rsidRPr="00236C83" w:rsidRDefault="009A18F4" w:rsidP="009A18F4">
      <w:pPr>
        <w:ind w:leftChars="1350" w:left="2835" w:firstLineChars="202" w:firstLine="426"/>
        <w:rPr>
          <w:rFonts w:ascii="楷体_GB2312" w:eastAsia="楷体_GB2312"/>
          <w:color w:val="000000"/>
        </w:rPr>
      </w:pPr>
      <w:r w:rsidRPr="00067323">
        <w:rPr>
          <w:rFonts w:ascii="楷体_GB2312" w:eastAsia="楷体_GB2312" w:hint="eastAsia"/>
          <w:b/>
          <w:color w:val="000000"/>
        </w:rPr>
        <w:t>积极型组合</w:t>
      </w:r>
      <w:r>
        <w:rPr>
          <w:rFonts w:ascii="楷体_GB2312" w:eastAsia="楷体_GB2312" w:hint="eastAsia"/>
          <w:color w:val="000000"/>
        </w:rPr>
        <w:t>适合风险承受能力较高，缺乏充分时间、</w:t>
      </w:r>
      <w:r w:rsidRPr="00236C83">
        <w:rPr>
          <w:rFonts w:ascii="楷体_GB2312" w:eastAsia="楷体_GB2312" w:hint="eastAsia"/>
          <w:color w:val="000000"/>
        </w:rPr>
        <w:t>经历</w:t>
      </w:r>
      <w:r>
        <w:rPr>
          <w:rFonts w:ascii="楷体_GB2312" w:eastAsia="楷体_GB2312" w:hint="eastAsia"/>
          <w:color w:val="000000"/>
        </w:rPr>
        <w:t>或投资技能</w:t>
      </w:r>
      <w:r w:rsidRPr="00236C83">
        <w:rPr>
          <w:rFonts w:ascii="楷体_GB2312" w:eastAsia="楷体_GB2312" w:hint="eastAsia"/>
          <w:color w:val="000000"/>
        </w:rPr>
        <w:t>，侧重维持长期充分投资，愿意在承担高风险的基础上追求高收益的投资者，建议</w:t>
      </w:r>
      <w:r>
        <w:rPr>
          <w:rFonts w:ascii="楷体_GB2312" w:eastAsia="楷体_GB2312" w:hint="eastAsia"/>
          <w:color w:val="000000"/>
        </w:rPr>
        <w:t>家庭负担或</w:t>
      </w:r>
      <w:r w:rsidRPr="00236C83">
        <w:rPr>
          <w:rFonts w:ascii="楷体_GB2312" w:eastAsia="楷体_GB2312" w:hint="eastAsia"/>
          <w:color w:val="000000"/>
        </w:rPr>
        <w:t>家庭负担不高的高风险偏好者参与。</w:t>
      </w:r>
    </w:p>
    <w:p w:rsidR="009A18F4" w:rsidRPr="00236C83" w:rsidRDefault="009A18F4" w:rsidP="009A18F4">
      <w:pPr>
        <w:ind w:leftChars="1350" w:left="2835" w:firstLineChars="202" w:firstLine="426"/>
        <w:rPr>
          <w:rFonts w:ascii="楷体_GB2312" w:eastAsia="楷体_GB2312"/>
          <w:color w:val="000000"/>
        </w:rPr>
      </w:pPr>
      <w:r w:rsidRPr="00067323">
        <w:rPr>
          <w:rFonts w:ascii="楷体_GB2312" w:eastAsia="楷体_GB2312" w:hint="eastAsia"/>
          <w:b/>
          <w:color w:val="000000"/>
        </w:rPr>
        <w:t>平衡</w:t>
      </w:r>
      <w:r>
        <w:rPr>
          <w:rFonts w:ascii="楷体_GB2312" w:eastAsia="楷体_GB2312" w:hint="eastAsia"/>
          <w:b/>
          <w:color w:val="000000"/>
        </w:rPr>
        <w:t>型</w:t>
      </w:r>
      <w:r w:rsidRPr="00067323">
        <w:rPr>
          <w:rFonts w:ascii="楷体_GB2312" w:eastAsia="楷体_GB2312" w:hint="eastAsia"/>
          <w:b/>
          <w:color w:val="000000"/>
        </w:rPr>
        <w:t>组合</w:t>
      </w:r>
      <w:r w:rsidRPr="00236C83">
        <w:rPr>
          <w:rFonts w:ascii="楷体_GB2312" w:eastAsia="楷体_GB2312" w:hint="eastAsia"/>
          <w:color w:val="000000"/>
        </w:rPr>
        <w:t>适合有一定风险承受能力，</w:t>
      </w:r>
      <w:r>
        <w:rPr>
          <w:rFonts w:ascii="楷体_GB2312" w:eastAsia="楷体_GB2312" w:hint="eastAsia"/>
          <w:color w:val="000000"/>
        </w:rPr>
        <w:t>缺乏充分时间、</w:t>
      </w:r>
      <w:r w:rsidRPr="00236C83">
        <w:rPr>
          <w:rFonts w:ascii="楷体_GB2312" w:eastAsia="楷体_GB2312" w:hint="eastAsia"/>
          <w:color w:val="000000"/>
        </w:rPr>
        <w:t>经历</w:t>
      </w:r>
      <w:r>
        <w:rPr>
          <w:rFonts w:ascii="楷体_GB2312" w:eastAsia="楷体_GB2312" w:hint="eastAsia"/>
          <w:color w:val="000000"/>
        </w:rPr>
        <w:t>或投资技能</w:t>
      </w:r>
      <w:r w:rsidRPr="00236C83">
        <w:rPr>
          <w:rFonts w:ascii="楷体_GB2312" w:eastAsia="楷体_GB2312" w:hint="eastAsia"/>
          <w:color w:val="000000"/>
        </w:rPr>
        <w:t>，侧重维持长期充分投资，愿意在承担较高风险的基础上追求相对稳健的投资者，建议</w:t>
      </w:r>
      <w:r>
        <w:rPr>
          <w:rFonts w:ascii="楷体_GB2312" w:eastAsia="楷体_GB2312" w:hint="eastAsia"/>
          <w:color w:val="000000"/>
        </w:rPr>
        <w:t>无</w:t>
      </w:r>
      <w:r w:rsidRPr="00236C83">
        <w:rPr>
          <w:rFonts w:ascii="楷体_GB2312" w:eastAsia="楷体_GB2312" w:hint="eastAsia"/>
          <w:color w:val="000000"/>
        </w:rPr>
        <w:t>家庭负担</w:t>
      </w:r>
      <w:r>
        <w:rPr>
          <w:rFonts w:ascii="楷体_GB2312" w:eastAsia="楷体_GB2312" w:hint="eastAsia"/>
          <w:color w:val="000000"/>
        </w:rPr>
        <w:t>不太高</w:t>
      </w:r>
      <w:r w:rsidRPr="00236C83">
        <w:rPr>
          <w:rFonts w:ascii="楷体_GB2312" w:eastAsia="楷体_GB2312" w:hint="eastAsia"/>
          <w:color w:val="000000"/>
        </w:rPr>
        <w:t>的中等风险偏好者参与。</w:t>
      </w:r>
    </w:p>
    <w:p w:rsidR="009A18F4" w:rsidRDefault="009A18F4" w:rsidP="009A18F4">
      <w:pPr>
        <w:ind w:leftChars="1350" w:left="2835" w:firstLineChars="202" w:firstLine="426"/>
        <w:rPr>
          <w:rFonts w:ascii="楷体_GB2312" w:eastAsia="楷体_GB2312"/>
          <w:color w:val="000000"/>
        </w:rPr>
      </w:pPr>
      <w:r w:rsidRPr="00067323">
        <w:rPr>
          <w:rFonts w:ascii="楷体_GB2312" w:eastAsia="楷体_GB2312" w:hint="eastAsia"/>
          <w:b/>
          <w:color w:val="000000"/>
        </w:rPr>
        <w:t>稳定型组合</w:t>
      </w:r>
      <w:r w:rsidRPr="00236C83">
        <w:rPr>
          <w:rFonts w:ascii="楷体_GB2312" w:eastAsia="楷体_GB2312" w:hint="eastAsia"/>
          <w:color w:val="000000"/>
        </w:rPr>
        <w:t>适合有风险承受能力较低，</w:t>
      </w:r>
      <w:r>
        <w:rPr>
          <w:rFonts w:ascii="楷体_GB2312" w:eastAsia="楷体_GB2312" w:hint="eastAsia"/>
          <w:color w:val="000000"/>
        </w:rPr>
        <w:t>缺乏充分时间、</w:t>
      </w:r>
      <w:r w:rsidRPr="00236C83">
        <w:rPr>
          <w:rFonts w:ascii="楷体_GB2312" w:eastAsia="楷体_GB2312" w:hint="eastAsia"/>
          <w:color w:val="000000"/>
        </w:rPr>
        <w:t>经历</w:t>
      </w:r>
      <w:r>
        <w:rPr>
          <w:rFonts w:ascii="楷体_GB2312" w:eastAsia="楷体_GB2312" w:hint="eastAsia"/>
          <w:color w:val="000000"/>
        </w:rPr>
        <w:t>或投资技能</w:t>
      </w:r>
      <w:r w:rsidRPr="00236C83">
        <w:rPr>
          <w:rFonts w:ascii="楷体_GB2312" w:eastAsia="楷体_GB2312" w:hint="eastAsia"/>
          <w:color w:val="000000"/>
        </w:rPr>
        <w:t>，侧重维持长期投资，期望在严格控制风险的基础上实现稳健增值</w:t>
      </w:r>
      <w:r>
        <w:rPr>
          <w:rFonts w:ascii="楷体_GB2312" w:eastAsia="楷体_GB2312" w:hint="eastAsia"/>
          <w:color w:val="000000"/>
        </w:rPr>
        <w:t>、并对资产流动性有较高要求</w:t>
      </w:r>
      <w:r w:rsidRPr="00236C83">
        <w:rPr>
          <w:rFonts w:ascii="楷体_GB2312" w:eastAsia="楷体_GB2312" w:hint="eastAsia"/>
          <w:color w:val="000000"/>
        </w:rPr>
        <w:t>的投资者，建议</w:t>
      </w:r>
      <w:r>
        <w:rPr>
          <w:rFonts w:ascii="楷体_GB2312" w:eastAsia="楷体_GB2312" w:hint="eastAsia"/>
          <w:color w:val="000000"/>
        </w:rPr>
        <w:t>难以承担较大幅度亏损</w:t>
      </w:r>
      <w:r w:rsidRPr="00236C83">
        <w:rPr>
          <w:rFonts w:ascii="楷体_GB2312" w:eastAsia="楷体_GB2312" w:hint="eastAsia"/>
          <w:color w:val="000000"/>
        </w:rPr>
        <w:t>的低等风险偏好者参与。</w:t>
      </w:r>
    </w:p>
    <w:p w:rsidR="009A18F4" w:rsidRPr="00EF6A3A" w:rsidRDefault="009A18F4" w:rsidP="009A18F4">
      <w:pPr>
        <w:spacing w:beforeLines="100" w:afterLines="50"/>
        <w:ind w:leftChars="1350" w:left="2835" w:firstLineChars="196" w:firstLine="472"/>
        <w:rPr>
          <w:rFonts w:ascii="黑体" w:eastAsia="黑体" w:hAnsi="宋体-18030" w:cs="宋体-18030"/>
          <w:b/>
          <w:bCs/>
          <w:color w:val="003366"/>
          <w:kern w:val="44"/>
          <w:sz w:val="24"/>
        </w:rPr>
      </w:pPr>
      <w:r w:rsidRPr="00EF6A3A">
        <w:rPr>
          <w:rFonts w:ascii="黑体" w:eastAsia="黑体" w:hAnsi="宋体-18030" w:cs="宋体-18030" w:hint="eastAsia"/>
          <w:b/>
          <w:bCs/>
          <w:color w:val="003366"/>
          <w:kern w:val="44"/>
          <w:sz w:val="24"/>
        </w:rPr>
        <w:t>基金点评：</w:t>
      </w:r>
    </w:p>
    <w:p w:rsidR="009A18F4" w:rsidRPr="000E2698" w:rsidRDefault="009A18F4" w:rsidP="009A18F4">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添富价值：</w:t>
      </w:r>
      <w:r w:rsidRPr="000E2698">
        <w:rPr>
          <w:rFonts w:ascii="楷体_GB2312" w:eastAsia="楷体_GB2312" w:hAnsi="宋体" w:cs="宋体" w:hint="eastAsia"/>
          <w:color w:val="000000" w:themeColor="text1"/>
          <w:kern w:val="0"/>
          <w:szCs w:val="21"/>
        </w:rPr>
        <w:t>该基金保持充分投资，行业结构调整灵活，对市场结构性机会把握能力出色，选证能力和综合评级均获最高五星评级。基金经理稳定，投资风格和策略延续性强，历史管理绩效出色且稳定性强。</w:t>
      </w:r>
    </w:p>
    <w:p w:rsidR="009A18F4" w:rsidRPr="00955FE5" w:rsidRDefault="009A18F4" w:rsidP="009A18F4">
      <w:pPr>
        <w:spacing w:beforeLines="50"/>
        <w:ind w:leftChars="1350" w:left="2835" w:firstLineChars="202" w:firstLine="426"/>
        <w:rPr>
          <w:rFonts w:ascii="楷体_GB2312" w:eastAsia="楷体_GB2312" w:hAnsi="宋体" w:cs="宋体"/>
          <w:color w:val="000000" w:themeColor="text1"/>
          <w:kern w:val="0"/>
          <w:szCs w:val="21"/>
          <w:highlight w:val="yellow"/>
        </w:rPr>
      </w:pPr>
      <w:r w:rsidRPr="0083054E">
        <w:rPr>
          <w:rFonts w:ascii="楷体_GB2312" w:eastAsia="楷体_GB2312" w:hAnsi="宋体" w:cs="宋体" w:hint="eastAsia"/>
          <w:b/>
          <w:color w:val="000000" w:themeColor="text1"/>
          <w:kern w:val="0"/>
          <w:szCs w:val="21"/>
        </w:rPr>
        <w:t>信诚</w:t>
      </w:r>
      <w:r w:rsidRPr="00115E71">
        <w:rPr>
          <w:rFonts w:ascii="楷体_GB2312" w:eastAsia="楷体_GB2312" w:hAnsi="宋体" w:cs="宋体" w:hint="eastAsia"/>
          <w:b/>
          <w:color w:val="000000" w:themeColor="text1"/>
          <w:kern w:val="0"/>
          <w:szCs w:val="21"/>
        </w:rPr>
        <w:t>精萃成长</w:t>
      </w:r>
      <w:r w:rsidRPr="00115E71">
        <w:rPr>
          <w:rFonts w:ascii="楷体_GB2312" w:eastAsia="楷体_GB2312" w:hAnsi="宋体" w:cs="宋体" w:hint="eastAsia"/>
          <w:color w:val="000000" w:themeColor="text1"/>
          <w:kern w:val="0"/>
          <w:szCs w:val="21"/>
        </w:rPr>
        <w:t>：</w:t>
      </w:r>
      <w:r w:rsidRPr="0083054E">
        <w:rPr>
          <w:rFonts w:ascii="楷体_GB2312" w:eastAsia="楷体_GB2312" w:hAnsi="宋体" w:cs="宋体" w:hint="eastAsia"/>
          <w:color w:val="000000" w:themeColor="text1"/>
          <w:kern w:val="0"/>
          <w:szCs w:val="21"/>
        </w:rPr>
        <w:t>信诚精萃成长</w:t>
      </w:r>
      <w:r w:rsidRPr="00A05B7E">
        <w:rPr>
          <w:rFonts w:ascii="楷体_GB2312" w:eastAsia="楷体_GB2312" w:hAnsi="宋体" w:cs="宋体" w:hint="eastAsia"/>
          <w:color w:val="000000" w:themeColor="text1"/>
          <w:kern w:val="0"/>
          <w:szCs w:val="21"/>
        </w:rPr>
        <w:t>投资风格侧重大盘，</w:t>
      </w:r>
      <w:r>
        <w:rPr>
          <w:rFonts w:ascii="楷体_GB2312" w:eastAsia="楷体_GB2312" w:hAnsi="宋体" w:cs="宋体" w:hint="eastAsia"/>
          <w:color w:val="000000" w:themeColor="text1"/>
          <w:kern w:val="0"/>
          <w:szCs w:val="21"/>
        </w:rPr>
        <w:t>投资较为积极，风险收益定位较高，</w:t>
      </w:r>
      <w:r w:rsidRPr="00A05B7E">
        <w:rPr>
          <w:rFonts w:ascii="楷体_GB2312" w:eastAsia="楷体_GB2312" w:hAnsi="宋体" w:cs="宋体" w:hint="eastAsia"/>
          <w:color w:val="000000" w:themeColor="text1"/>
          <w:kern w:val="0"/>
          <w:szCs w:val="21"/>
        </w:rPr>
        <w:t>产品优势在于择时能力出众。基金在2015年一季度末侧重配置</w:t>
      </w:r>
      <w:r w:rsidRPr="009F5078">
        <w:rPr>
          <w:rFonts w:ascii="楷体_GB2312" w:eastAsia="楷体_GB2312" w:hAnsi="宋体" w:cs="宋体" w:hint="eastAsia"/>
          <w:color w:val="000000" w:themeColor="text1"/>
          <w:kern w:val="0"/>
          <w:szCs w:val="21"/>
        </w:rPr>
        <w:t>航空、有色</w:t>
      </w:r>
      <w:r w:rsidRPr="00A05B7E">
        <w:rPr>
          <w:rFonts w:ascii="楷体_GB2312" w:eastAsia="楷体_GB2312" w:hAnsi="宋体" w:cs="宋体" w:hint="eastAsia"/>
          <w:color w:val="000000" w:themeColor="text1"/>
          <w:kern w:val="0"/>
          <w:szCs w:val="21"/>
        </w:rPr>
        <w:t>，</w:t>
      </w:r>
      <w:r>
        <w:rPr>
          <w:rFonts w:ascii="楷体_GB2312" w:eastAsia="楷体_GB2312" w:hAnsi="宋体" w:cs="宋体" w:hint="eastAsia"/>
          <w:color w:val="000000" w:themeColor="text1"/>
          <w:kern w:val="0"/>
          <w:szCs w:val="21"/>
        </w:rPr>
        <w:t>在一定程度上符合</w:t>
      </w:r>
      <w:r w:rsidRPr="00A05B7E">
        <w:rPr>
          <w:rFonts w:ascii="楷体_GB2312" w:eastAsia="楷体_GB2312" w:hAnsi="宋体" w:cs="宋体" w:hint="eastAsia"/>
          <w:color w:val="000000" w:themeColor="text1"/>
          <w:kern w:val="0"/>
          <w:szCs w:val="21"/>
        </w:rPr>
        <w:t>投资策略所的方向。</w:t>
      </w:r>
    </w:p>
    <w:p w:rsidR="009A18F4" w:rsidRPr="00497B4B" w:rsidRDefault="009A18F4" w:rsidP="009A18F4">
      <w:pPr>
        <w:spacing w:beforeLines="50"/>
        <w:ind w:leftChars="1350" w:left="2835" w:firstLineChars="202" w:firstLine="426"/>
        <w:rPr>
          <w:rFonts w:ascii="楷体_GB2312" w:eastAsia="楷体_GB2312" w:hAnsi="宋体" w:cs="宋体"/>
          <w:color w:val="000000" w:themeColor="text1"/>
          <w:kern w:val="0"/>
          <w:szCs w:val="21"/>
        </w:rPr>
      </w:pPr>
      <w:r w:rsidRPr="00985A3F">
        <w:rPr>
          <w:rFonts w:ascii="楷体_GB2312" w:eastAsia="楷体_GB2312" w:hAnsi="宋体" w:cs="宋体" w:hint="eastAsia"/>
          <w:b/>
          <w:color w:val="000000" w:themeColor="text1"/>
          <w:kern w:val="0"/>
          <w:szCs w:val="21"/>
        </w:rPr>
        <w:t>新华钻石品质</w:t>
      </w:r>
      <w:r w:rsidRPr="00985A3F">
        <w:rPr>
          <w:rFonts w:ascii="楷体_GB2312" w:eastAsia="楷体_GB2312" w:hAnsi="宋体" w:cs="宋体" w:hint="eastAsia"/>
          <w:color w:val="000000" w:themeColor="text1"/>
          <w:kern w:val="0"/>
          <w:szCs w:val="21"/>
        </w:rPr>
        <w:t>：该基金专注选股且选股能力突出</w:t>
      </w:r>
      <w:r>
        <w:rPr>
          <w:rFonts w:ascii="楷体_GB2312" w:eastAsia="楷体_GB2312" w:hAnsi="宋体" w:cs="宋体" w:hint="eastAsia"/>
          <w:color w:val="000000" w:themeColor="text1"/>
          <w:kern w:val="0"/>
          <w:szCs w:val="21"/>
        </w:rPr>
        <w:t>，</w:t>
      </w:r>
      <w:r w:rsidRPr="00985A3F">
        <w:rPr>
          <w:rFonts w:ascii="楷体_GB2312" w:eastAsia="楷体_GB2312" w:hAnsi="宋体" w:cs="宋体" w:hint="eastAsia"/>
          <w:color w:val="000000" w:themeColor="text1"/>
          <w:kern w:val="0"/>
          <w:szCs w:val="21"/>
        </w:rPr>
        <w:t>投注标的兼顾稳定价值性和高质量成长性</w:t>
      </w:r>
      <w:r>
        <w:rPr>
          <w:rFonts w:ascii="楷体_GB2312" w:eastAsia="楷体_GB2312" w:hAnsi="宋体" w:cs="宋体" w:hint="eastAsia"/>
          <w:color w:val="000000" w:themeColor="text1"/>
          <w:kern w:val="0"/>
          <w:szCs w:val="21"/>
        </w:rPr>
        <w:t>，</w:t>
      </w:r>
      <w:r w:rsidRPr="00985A3F">
        <w:rPr>
          <w:rFonts w:ascii="楷体_GB2312" w:eastAsia="楷体_GB2312" w:hAnsi="宋体" w:cs="宋体" w:hint="eastAsia"/>
          <w:color w:val="000000" w:themeColor="text1"/>
          <w:kern w:val="0"/>
          <w:szCs w:val="21"/>
        </w:rPr>
        <w:t>投资风格</w:t>
      </w:r>
      <w:r>
        <w:rPr>
          <w:rFonts w:ascii="楷体_GB2312" w:eastAsia="楷体_GB2312" w:hAnsi="宋体" w:cs="宋体" w:hint="eastAsia"/>
          <w:color w:val="000000" w:themeColor="text1"/>
          <w:kern w:val="0"/>
          <w:szCs w:val="21"/>
        </w:rPr>
        <w:t>侧重大盘平衡型，</w:t>
      </w:r>
      <w:r w:rsidRPr="00985A3F">
        <w:rPr>
          <w:rFonts w:ascii="楷体_GB2312" w:eastAsia="楷体_GB2312" w:hAnsi="宋体" w:cs="宋体" w:hint="eastAsia"/>
          <w:color w:val="000000" w:themeColor="text1"/>
          <w:kern w:val="0"/>
          <w:szCs w:val="21"/>
        </w:rPr>
        <w:t>组合风险控制有利，组合管理水平高于市场平均水平</w:t>
      </w:r>
      <w:r>
        <w:rPr>
          <w:rFonts w:ascii="楷体_GB2312" w:eastAsia="楷体_GB2312" w:hAnsi="宋体" w:cs="宋体" w:hint="eastAsia"/>
          <w:color w:val="000000" w:themeColor="text1"/>
          <w:kern w:val="0"/>
          <w:szCs w:val="21"/>
        </w:rPr>
        <w:t>，</w:t>
      </w:r>
      <w:r w:rsidRPr="00985A3F">
        <w:rPr>
          <w:rFonts w:ascii="楷体_GB2312" w:eastAsia="楷体_GB2312" w:hAnsi="宋体" w:cs="宋体" w:hint="eastAsia"/>
          <w:color w:val="000000" w:themeColor="text1"/>
          <w:kern w:val="0"/>
          <w:szCs w:val="21"/>
        </w:rPr>
        <w:t>长期业绩优于短期</w:t>
      </w:r>
      <w:r>
        <w:rPr>
          <w:rFonts w:ascii="楷体_GB2312" w:eastAsia="楷体_GB2312" w:hAnsi="宋体" w:cs="宋体" w:hint="eastAsia"/>
          <w:color w:val="000000" w:themeColor="text1"/>
          <w:kern w:val="0"/>
          <w:szCs w:val="21"/>
        </w:rPr>
        <w:t>，</w:t>
      </w:r>
      <w:r w:rsidRPr="00985A3F">
        <w:rPr>
          <w:rFonts w:ascii="楷体_GB2312" w:eastAsia="楷体_GB2312" w:hAnsi="宋体" w:cs="宋体" w:hint="eastAsia"/>
          <w:color w:val="000000" w:themeColor="text1"/>
          <w:kern w:val="0"/>
          <w:szCs w:val="21"/>
        </w:rPr>
        <w:t>基金经理稳定</w:t>
      </w:r>
      <w:r>
        <w:rPr>
          <w:rFonts w:ascii="楷体_GB2312" w:eastAsia="楷体_GB2312" w:hAnsi="宋体" w:cs="宋体" w:hint="eastAsia"/>
          <w:color w:val="000000" w:themeColor="text1"/>
          <w:kern w:val="0"/>
          <w:szCs w:val="21"/>
        </w:rPr>
        <w:t>。</w:t>
      </w:r>
    </w:p>
    <w:p w:rsidR="009A18F4" w:rsidRPr="00A46E4C" w:rsidRDefault="009A18F4" w:rsidP="009A18F4">
      <w:pPr>
        <w:spacing w:beforeLines="50"/>
        <w:ind w:leftChars="1350" w:left="2835" w:firstLineChars="202" w:firstLine="426"/>
        <w:rPr>
          <w:rFonts w:ascii="楷体_GB2312" w:eastAsia="楷体_GB2312" w:hAnsi="宋体" w:cs="宋体"/>
          <w:color w:val="000000" w:themeColor="text1"/>
          <w:kern w:val="0"/>
          <w:szCs w:val="21"/>
        </w:rPr>
      </w:pPr>
      <w:r>
        <w:rPr>
          <w:rFonts w:ascii="楷体_GB2312" w:eastAsia="楷体_GB2312" w:hAnsi="宋体" w:cs="宋体" w:hint="eastAsia"/>
          <w:b/>
          <w:color w:val="000000" w:themeColor="text1"/>
          <w:kern w:val="0"/>
          <w:szCs w:val="21"/>
        </w:rPr>
        <w:t>宝盈增强收益</w:t>
      </w:r>
      <w:r w:rsidRPr="000E2698">
        <w:rPr>
          <w:rFonts w:ascii="楷体_GB2312" w:eastAsia="楷体_GB2312" w:hAnsi="宋体" w:cs="宋体" w:hint="eastAsia"/>
          <w:b/>
          <w:color w:val="000000" w:themeColor="text1"/>
          <w:kern w:val="0"/>
          <w:szCs w:val="21"/>
        </w:rPr>
        <w:t>：</w:t>
      </w:r>
      <w:r>
        <w:rPr>
          <w:rFonts w:ascii="楷体_GB2312" w:eastAsia="楷体_GB2312" w:hAnsi="宋体" w:cs="宋体" w:hint="eastAsia"/>
          <w:color w:val="000000" w:themeColor="text1"/>
          <w:kern w:val="0"/>
          <w:szCs w:val="21"/>
        </w:rPr>
        <w:t>该基金定位二级债基，但在超过5年的运作历史中体现出相对谨慎的投资风格，其风险管理水平较高，长期业绩出众，基金经理稳定，其良好获益能力有望得以延续。</w:t>
      </w:r>
    </w:p>
    <w:p w:rsidR="009A18F4" w:rsidRPr="000E2698" w:rsidRDefault="009A18F4" w:rsidP="009A18F4">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华夏现金：</w:t>
      </w:r>
      <w:r w:rsidRPr="000E2698">
        <w:rPr>
          <w:rFonts w:ascii="楷体_GB2312" w:eastAsia="楷体_GB2312" w:hAnsi="宋体" w:cs="宋体" w:hint="eastAsia"/>
          <w:color w:val="000000" w:themeColor="text1"/>
          <w:kern w:val="0"/>
          <w:szCs w:val="21"/>
        </w:rPr>
        <w:t>基金设立于</w:t>
      </w:r>
      <w:r>
        <w:rPr>
          <w:rFonts w:ascii="楷体_GB2312" w:eastAsia="楷体_GB2312" w:hAnsi="宋体" w:cs="宋体" w:hint="eastAsia"/>
          <w:color w:val="000000" w:themeColor="text1"/>
          <w:kern w:val="0"/>
          <w:szCs w:val="21"/>
        </w:rPr>
        <w:t>20</w:t>
      </w:r>
      <w:r w:rsidRPr="000E2698">
        <w:rPr>
          <w:rFonts w:ascii="楷体_GB2312" w:eastAsia="楷体_GB2312" w:hAnsi="宋体" w:cs="宋体" w:hint="eastAsia"/>
          <w:color w:val="000000" w:themeColor="text1"/>
          <w:kern w:val="0"/>
          <w:szCs w:val="21"/>
        </w:rPr>
        <w:t>04年4月，</w:t>
      </w:r>
      <w:r w:rsidRPr="004474F8">
        <w:rPr>
          <w:rFonts w:ascii="楷体_GB2312" w:eastAsia="楷体_GB2312" w:hAnsi="宋体" w:cs="宋体" w:hint="eastAsia"/>
          <w:color w:val="000000" w:themeColor="text1"/>
          <w:kern w:val="0"/>
          <w:szCs w:val="21"/>
        </w:rPr>
        <w:t>截至201</w:t>
      </w:r>
      <w:r>
        <w:rPr>
          <w:rFonts w:ascii="楷体_GB2312" w:eastAsia="楷体_GB2312" w:hAnsi="宋体" w:cs="宋体" w:hint="eastAsia"/>
          <w:color w:val="000000" w:themeColor="text1"/>
          <w:kern w:val="0"/>
          <w:szCs w:val="21"/>
        </w:rPr>
        <w:t>5</w:t>
      </w:r>
      <w:r w:rsidRPr="004474F8">
        <w:rPr>
          <w:rFonts w:ascii="楷体_GB2312" w:eastAsia="楷体_GB2312" w:hAnsi="宋体" w:cs="宋体" w:hint="eastAsia"/>
          <w:color w:val="000000" w:themeColor="text1"/>
          <w:kern w:val="0"/>
          <w:szCs w:val="21"/>
        </w:rPr>
        <w:t>年</w:t>
      </w:r>
      <w:r>
        <w:rPr>
          <w:rFonts w:ascii="楷体_GB2312" w:eastAsia="楷体_GB2312" w:hAnsi="宋体" w:cs="宋体" w:hint="eastAsia"/>
          <w:color w:val="000000" w:themeColor="text1"/>
          <w:kern w:val="0"/>
          <w:szCs w:val="21"/>
        </w:rPr>
        <w:t>一季度</w:t>
      </w:r>
      <w:r w:rsidRPr="004474F8">
        <w:rPr>
          <w:rFonts w:ascii="楷体_GB2312" w:eastAsia="楷体_GB2312" w:hAnsi="宋体" w:cs="宋体" w:hint="eastAsia"/>
          <w:color w:val="000000" w:themeColor="text1"/>
          <w:kern w:val="0"/>
          <w:szCs w:val="21"/>
        </w:rPr>
        <w:t>季度末基金份额合计</w:t>
      </w:r>
      <w:r w:rsidRPr="00215361">
        <w:rPr>
          <w:rFonts w:ascii="楷体_GB2312" w:eastAsia="楷体_GB2312" w:hAnsi="宋体" w:cs="宋体"/>
          <w:color w:val="000000" w:themeColor="text1"/>
          <w:kern w:val="0"/>
          <w:szCs w:val="21"/>
        </w:rPr>
        <w:t>735</w:t>
      </w:r>
      <w:r w:rsidRPr="004474F8">
        <w:rPr>
          <w:rFonts w:ascii="楷体_GB2312" w:eastAsia="楷体_GB2312" w:hAnsi="宋体" w:cs="宋体" w:hint="eastAsia"/>
          <w:color w:val="000000" w:themeColor="text1"/>
          <w:kern w:val="0"/>
          <w:szCs w:val="21"/>
        </w:rPr>
        <w:t>亿份</w:t>
      </w:r>
      <w:r w:rsidRPr="000E2698">
        <w:rPr>
          <w:rFonts w:ascii="楷体_GB2312" w:eastAsia="楷体_GB2312" w:hAnsi="宋体" w:cs="宋体" w:hint="eastAsia"/>
          <w:color w:val="000000" w:themeColor="text1"/>
          <w:kern w:val="0"/>
          <w:szCs w:val="21"/>
        </w:rPr>
        <w:t>，属于市场中规模最大的货币市场基金之一，流动性较好，历史管理业绩优秀。基金经理曲波管理该基金超过</w:t>
      </w:r>
      <w:r>
        <w:rPr>
          <w:rFonts w:ascii="楷体_GB2312" w:eastAsia="楷体_GB2312" w:hAnsi="宋体" w:cs="宋体" w:hint="eastAsia"/>
          <w:color w:val="000000" w:themeColor="text1"/>
          <w:kern w:val="0"/>
          <w:szCs w:val="21"/>
        </w:rPr>
        <w:t>7</w:t>
      </w:r>
      <w:r w:rsidRPr="000E2698">
        <w:rPr>
          <w:rFonts w:ascii="楷体_GB2312" w:eastAsia="楷体_GB2312" w:hAnsi="宋体" w:cs="宋体" w:hint="eastAsia"/>
          <w:color w:val="000000" w:themeColor="text1"/>
          <w:kern w:val="0"/>
          <w:szCs w:val="21"/>
        </w:rPr>
        <w:t>年，经验丰富。</w:t>
      </w:r>
    </w:p>
    <w:p w:rsidR="009A18F4" w:rsidRPr="000E2698" w:rsidRDefault="009A18F4" w:rsidP="009A18F4">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广发货币：</w:t>
      </w:r>
      <w:r w:rsidRPr="000E2698">
        <w:rPr>
          <w:rFonts w:ascii="楷体_GB2312" w:eastAsia="楷体_GB2312" w:hAnsi="宋体" w:cs="宋体" w:hint="eastAsia"/>
          <w:color w:val="000000" w:themeColor="text1"/>
          <w:kern w:val="0"/>
          <w:szCs w:val="21"/>
        </w:rPr>
        <w:t>基金设立于</w:t>
      </w:r>
      <w:r>
        <w:rPr>
          <w:rFonts w:ascii="楷体_GB2312" w:eastAsia="楷体_GB2312" w:hAnsi="宋体" w:cs="宋体" w:hint="eastAsia"/>
          <w:color w:val="000000" w:themeColor="text1"/>
          <w:kern w:val="0"/>
          <w:szCs w:val="21"/>
        </w:rPr>
        <w:t>20</w:t>
      </w:r>
      <w:r w:rsidRPr="000E2698">
        <w:rPr>
          <w:rFonts w:ascii="楷体_GB2312" w:eastAsia="楷体_GB2312" w:hAnsi="宋体" w:cs="宋体" w:hint="eastAsia"/>
          <w:color w:val="000000" w:themeColor="text1"/>
          <w:kern w:val="0"/>
          <w:szCs w:val="21"/>
        </w:rPr>
        <w:t>05年5月，</w:t>
      </w:r>
      <w:r w:rsidRPr="004474F8">
        <w:rPr>
          <w:rFonts w:ascii="楷体_GB2312" w:eastAsia="楷体_GB2312" w:hAnsi="宋体" w:cs="宋体" w:hint="eastAsia"/>
          <w:color w:val="000000" w:themeColor="text1"/>
          <w:kern w:val="0"/>
          <w:szCs w:val="21"/>
        </w:rPr>
        <w:t>截至201</w:t>
      </w:r>
      <w:r>
        <w:rPr>
          <w:rFonts w:ascii="楷体_GB2312" w:eastAsia="楷体_GB2312" w:hAnsi="宋体" w:cs="宋体" w:hint="eastAsia"/>
          <w:color w:val="000000" w:themeColor="text1"/>
          <w:kern w:val="0"/>
          <w:szCs w:val="21"/>
        </w:rPr>
        <w:t>5</w:t>
      </w:r>
      <w:r w:rsidRPr="004474F8">
        <w:rPr>
          <w:rFonts w:ascii="楷体_GB2312" w:eastAsia="楷体_GB2312" w:hAnsi="宋体" w:cs="宋体" w:hint="eastAsia"/>
          <w:color w:val="000000" w:themeColor="text1"/>
          <w:kern w:val="0"/>
          <w:szCs w:val="21"/>
        </w:rPr>
        <w:t>年</w:t>
      </w:r>
      <w:r>
        <w:rPr>
          <w:rFonts w:ascii="楷体_GB2312" w:eastAsia="楷体_GB2312" w:hAnsi="宋体" w:cs="宋体" w:hint="eastAsia"/>
          <w:color w:val="000000" w:themeColor="text1"/>
          <w:kern w:val="0"/>
          <w:szCs w:val="21"/>
        </w:rPr>
        <w:t>一季度</w:t>
      </w:r>
      <w:r w:rsidRPr="004474F8">
        <w:rPr>
          <w:rFonts w:ascii="楷体_GB2312" w:eastAsia="楷体_GB2312" w:hAnsi="宋体" w:cs="宋体" w:hint="eastAsia"/>
          <w:color w:val="000000" w:themeColor="text1"/>
          <w:kern w:val="0"/>
          <w:szCs w:val="21"/>
        </w:rPr>
        <w:t>季度末</w:t>
      </w:r>
      <w:r w:rsidRPr="000E2698">
        <w:rPr>
          <w:rFonts w:ascii="楷体_GB2312" w:eastAsia="楷体_GB2312" w:hAnsi="宋体" w:cs="宋体" w:hint="eastAsia"/>
          <w:color w:val="000000" w:themeColor="text1"/>
          <w:kern w:val="0"/>
          <w:szCs w:val="21"/>
        </w:rPr>
        <w:t>基金A、B份额合计</w:t>
      </w:r>
      <w:r>
        <w:rPr>
          <w:rFonts w:ascii="楷体_GB2312" w:eastAsia="楷体_GB2312" w:hAnsi="宋体" w:cs="宋体" w:hint="eastAsia"/>
          <w:color w:val="000000" w:themeColor="text1"/>
          <w:kern w:val="0"/>
          <w:szCs w:val="21"/>
        </w:rPr>
        <w:t>541</w:t>
      </w:r>
      <w:r w:rsidRPr="004474F8">
        <w:rPr>
          <w:rFonts w:ascii="楷体_GB2312" w:eastAsia="楷体_GB2312" w:hAnsi="宋体" w:cs="宋体" w:hint="eastAsia"/>
          <w:color w:val="000000" w:themeColor="text1"/>
          <w:kern w:val="0"/>
          <w:szCs w:val="21"/>
        </w:rPr>
        <w:t>亿份</w:t>
      </w:r>
      <w:r>
        <w:rPr>
          <w:rFonts w:ascii="楷体_GB2312" w:eastAsia="楷体_GB2312" w:hAnsi="宋体" w:cs="宋体" w:hint="eastAsia"/>
          <w:color w:val="000000" w:themeColor="text1"/>
          <w:kern w:val="0"/>
          <w:szCs w:val="21"/>
        </w:rPr>
        <w:t>，规模较为稳定，</w:t>
      </w:r>
      <w:r w:rsidRPr="000E2698">
        <w:rPr>
          <w:rFonts w:ascii="楷体_GB2312" w:eastAsia="楷体_GB2312" w:hAnsi="宋体" w:cs="宋体" w:hint="eastAsia"/>
          <w:color w:val="000000" w:themeColor="text1"/>
          <w:kern w:val="0"/>
          <w:szCs w:val="21"/>
        </w:rPr>
        <w:t>流动性较好</w:t>
      </w:r>
      <w:r>
        <w:rPr>
          <w:rFonts w:ascii="楷体_GB2312" w:eastAsia="楷体_GB2312" w:hAnsi="宋体" w:cs="宋体" w:hint="eastAsia"/>
          <w:color w:val="000000" w:themeColor="text1"/>
          <w:kern w:val="0"/>
          <w:szCs w:val="21"/>
        </w:rPr>
        <w:t>。基金</w:t>
      </w:r>
      <w:r w:rsidRPr="000E2698">
        <w:rPr>
          <w:rFonts w:ascii="楷体_GB2312" w:eastAsia="楷体_GB2312" w:hAnsi="宋体" w:cs="宋体" w:hint="eastAsia"/>
          <w:color w:val="000000" w:themeColor="text1"/>
          <w:kern w:val="0"/>
          <w:szCs w:val="21"/>
        </w:rPr>
        <w:t>历史管理业绩优秀，</w:t>
      </w:r>
      <w:r>
        <w:rPr>
          <w:rFonts w:ascii="楷体_GB2312" w:eastAsia="楷体_GB2312" w:hAnsi="宋体" w:cs="宋体" w:hint="eastAsia"/>
          <w:color w:val="000000" w:themeColor="text1"/>
          <w:kern w:val="0"/>
          <w:szCs w:val="21"/>
        </w:rPr>
        <w:t>2014年以来年度回报率基本保持在4.4%以上高位水平，持续超越同类平均水平</w:t>
      </w:r>
      <w:r w:rsidRPr="000E2698">
        <w:rPr>
          <w:rFonts w:ascii="楷体_GB2312" w:eastAsia="楷体_GB2312" w:hAnsi="宋体" w:cs="宋体" w:hint="eastAsia"/>
          <w:color w:val="000000" w:themeColor="text1"/>
          <w:kern w:val="0"/>
          <w:szCs w:val="21"/>
        </w:rPr>
        <w:t>。</w:t>
      </w:r>
    </w:p>
    <w:p w:rsidR="009A18F4" w:rsidRPr="00715274" w:rsidRDefault="009A18F4" w:rsidP="009A18F4">
      <w:pPr>
        <w:pageBreakBefore/>
        <w:ind w:firstLineChars="1000" w:firstLine="2811"/>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lastRenderedPageBreak/>
        <w:t>二、</w:t>
      </w:r>
      <w:r w:rsidRPr="00715274">
        <w:rPr>
          <w:rFonts w:ascii="黑体" w:eastAsia="黑体" w:hAnsi="宋体-18030" w:cs="宋体-18030" w:hint="eastAsia"/>
          <w:b/>
          <w:bCs/>
          <w:color w:val="000000"/>
          <w:kern w:val="44"/>
          <w:sz w:val="28"/>
          <w:szCs w:val="28"/>
        </w:rPr>
        <w:t>市场回顾</w:t>
      </w:r>
    </w:p>
    <w:p w:rsidR="009A18F4" w:rsidRPr="005E4592" w:rsidRDefault="009A18F4" w:rsidP="009A18F4">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（一）基础市场回顾：</w:t>
      </w:r>
      <w:r>
        <w:rPr>
          <w:rFonts w:ascii="黑体" w:eastAsia="黑体" w:hAnsi="宋体-18030" w:cs="宋体-18030" w:hint="eastAsia"/>
          <w:b/>
          <w:bCs/>
          <w:color w:val="003366"/>
          <w:kern w:val="44"/>
          <w:sz w:val="24"/>
        </w:rPr>
        <w:t>市场</w:t>
      </w:r>
      <w:r w:rsidRPr="00EB1F18">
        <w:rPr>
          <w:rFonts w:ascii="黑体" w:eastAsia="黑体" w:hAnsi="宋体-18030" w:cs="宋体-18030" w:hint="eastAsia"/>
          <w:b/>
          <w:bCs/>
          <w:color w:val="003366"/>
          <w:kern w:val="44"/>
          <w:sz w:val="24"/>
        </w:rPr>
        <w:t>高举高走</w:t>
      </w:r>
      <w:r>
        <w:rPr>
          <w:rFonts w:ascii="黑体" w:eastAsia="黑体" w:hAnsi="宋体-18030" w:cs="宋体-18030" w:hint="eastAsia"/>
          <w:b/>
          <w:bCs/>
          <w:color w:val="003366"/>
          <w:kern w:val="44"/>
          <w:sz w:val="24"/>
        </w:rPr>
        <w:t>，</w:t>
      </w:r>
      <w:r w:rsidRPr="00EB1F18">
        <w:rPr>
          <w:rFonts w:ascii="黑体" w:eastAsia="黑体" w:hAnsi="宋体-18030" w:cs="宋体-18030" w:hint="eastAsia"/>
          <w:b/>
          <w:bCs/>
          <w:color w:val="003366"/>
          <w:kern w:val="44"/>
          <w:sz w:val="24"/>
        </w:rPr>
        <w:t>大蓝筹板块表现尤为强劲</w:t>
      </w:r>
    </w:p>
    <w:p w:rsidR="009A18F4" w:rsidRDefault="009A18F4" w:rsidP="009A18F4">
      <w:pPr>
        <w:spacing w:beforeLines="50"/>
        <w:ind w:leftChars="1350" w:left="2835" w:firstLineChars="202" w:firstLine="424"/>
        <w:rPr>
          <w:rFonts w:ascii="楷体_GB2312" w:eastAsia="楷体_GB2312" w:hAnsi="宋体" w:cs="宋体" w:hint="eastAsia"/>
          <w:kern w:val="0"/>
          <w:szCs w:val="21"/>
        </w:rPr>
      </w:pPr>
      <w:r>
        <w:rPr>
          <w:rFonts w:ascii="楷体_GB2312" w:eastAsia="楷体_GB2312" w:hAnsi="宋体" w:cs="宋体" w:hint="eastAsia"/>
          <w:kern w:val="0"/>
          <w:szCs w:val="21"/>
        </w:rPr>
        <w:t>2015年6</w:t>
      </w:r>
      <w:r w:rsidRPr="008326EB">
        <w:rPr>
          <w:rFonts w:ascii="楷体_GB2312" w:eastAsia="楷体_GB2312" w:hAnsi="宋体" w:cs="宋体" w:hint="eastAsia"/>
          <w:kern w:val="0"/>
          <w:szCs w:val="21"/>
        </w:rPr>
        <w:t>月</w:t>
      </w:r>
      <w:r>
        <w:rPr>
          <w:rFonts w:ascii="楷体_GB2312" w:eastAsia="楷体_GB2312" w:hAnsi="宋体" w:cs="宋体" w:hint="eastAsia"/>
          <w:kern w:val="0"/>
          <w:szCs w:val="21"/>
        </w:rPr>
        <w:t>在上半月继续冲高后突然断崖式下跌，6月15日至26日短短9个交易日上证指数下挫</w:t>
      </w:r>
      <w:r w:rsidRPr="005310FF">
        <w:rPr>
          <w:rFonts w:ascii="楷体_GB2312" w:eastAsia="楷体_GB2312" w:hAnsi="宋体" w:cs="宋体"/>
          <w:kern w:val="0"/>
          <w:szCs w:val="21"/>
        </w:rPr>
        <w:t>18.84</w:t>
      </w:r>
      <w:r>
        <w:rPr>
          <w:rFonts w:ascii="楷体_GB2312" w:eastAsia="楷体_GB2312" w:hAnsi="宋体" w:cs="宋体" w:hint="eastAsia"/>
          <w:kern w:val="0"/>
          <w:szCs w:val="21"/>
        </w:rPr>
        <w:t>%，深圳综指下挫</w:t>
      </w:r>
      <w:r w:rsidRPr="005310FF">
        <w:rPr>
          <w:rFonts w:ascii="楷体_GB2312" w:eastAsia="楷体_GB2312" w:hAnsi="宋体" w:cs="宋体"/>
          <w:kern w:val="0"/>
          <w:szCs w:val="21"/>
        </w:rPr>
        <w:t>20.30</w:t>
      </w:r>
      <w:r>
        <w:rPr>
          <w:rFonts w:ascii="楷体_GB2312" w:eastAsia="楷体_GB2312" w:hAnsi="宋体" w:cs="宋体" w:hint="eastAsia"/>
          <w:kern w:val="0"/>
          <w:szCs w:val="21"/>
        </w:rPr>
        <w:t>%。截至6月26日单月</w:t>
      </w:r>
      <w:r w:rsidRPr="008326EB">
        <w:rPr>
          <w:rFonts w:ascii="楷体_GB2312" w:eastAsia="楷体_GB2312" w:hAnsi="宋体" w:cs="宋体" w:hint="eastAsia"/>
          <w:kern w:val="0"/>
          <w:szCs w:val="21"/>
        </w:rPr>
        <w:t>上证指数</w:t>
      </w:r>
      <w:r>
        <w:rPr>
          <w:rFonts w:ascii="楷体_GB2312" w:eastAsia="楷体_GB2312" w:hAnsi="宋体" w:cs="宋体" w:hint="eastAsia"/>
          <w:kern w:val="0"/>
          <w:szCs w:val="21"/>
        </w:rPr>
        <w:t>下跌</w:t>
      </w:r>
      <w:r w:rsidRPr="004E63E4">
        <w:rPr>
          <w:rFonts w:ascii="楷体_GB2312" w:eastAsia="楷体_GB2312" w:hAnsi="宋体" w:cs="宋体"/>
          <w:kern w:val="0"/>
          <w:szCs w:val="21"/>
        </w:rPr>
        <w:t>9.08</w:t>
      </w:r>
      <w:r>
        <w:rPr>
          <w:rFonts w:ascii="楷体_GB2312" w:eastAsia="楷体_GB2312" w:hAnsi="宋体" w:cs="宋体" w:hint="eastAsia"/>
          <w:kern w:val="0"/>
          <w:szCs w:val="21"/>
        </w:rPr>
        <w:t>%、深圳综指下跌</w:t>
      </w:r>
      <w:r w:rsidRPr="004E63E4">
        <w:rPr>
          <w:rFonts w:ascii="楷体_GB2312" w:eastAsia="楷体_GB2312" w:hAnsi="宋体" w:cs="宋体"/>
          <w:kern w:val="0"/>
          <w:szCs w:val="21"/>
        </w:rPr>
        <w:t>10.39</w:t>
      </w:r>
      <w:r>
        <w:rPr>
          <w:rFonts w:ascii="楷体_GB2312" w:eastAsia="楷体_GB2312" w:hAnsi="宋体" w:cs="宋体" w:hint="eastAsia"/>
          <w:kern w:val="0"/>
          <w:szCs w:val="21"/>
        </w:rPr>
        <w:t>%，为近一年唯一整体大幅下跌月份。</w:t>
      </w:r>
    </w:p>
    <w:tbl>
      <w:tblPr>
        <w:tblW w:w="9781" w:type="dxa"/>
        <w:tblInd w:w="-34" w:type="dxa"/>
        <w:tblLayout w:type="fixed"/>
        <w:tblLook w:val="04A0"/>
      </w:tblPr>
      <w:tblGrid>
        <w:gridCol w:w="4820"/>
        <w:gridCol w:w="142"/>
        <w:gridCol w:w="4819"/>
      </w:tblGrid>
      <w:tr w:rsidR="009A18F4" w:rsidRPr="00051DF8" w:rsidTr="00E74D90">
        <w:tc>
          <w:tcPr>
            <w:tcW w:w="4962" w:type="dxa"/>
            <w:gridSpan w:val="2"/>
            <w:tcBorders>
              <w:bottom w:val="single" w:sz="4" w:space="0" w:color="FF0000"/>
            </w:tcBorders>
          </w:tcPr>
          <w:p w:rsidR="009A18F4" w:rsidRPr="00144B03" w:rsidRDefault="009A18F4" w:rsidP="00E74D90">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Pr>
                <w:rFonts w:ascii="楷体_GB2312" w:eastAsia="楷体_GB2312" w:hint="eastAsia"/>
                <w:b/>
                <w:color w:val="000000"/>
                <w:sz w:val="18"/>
                <w:szCs w:val="18"/>
              </w:rPr>
              <w:t>1</w:t>
            </w:r>
            <w:r w:rsidRPr="00144B03">
              <w:rPr>
                <w:rFonts w:ascii="楷体_GB2312" w:eastAsia="楷体_GB2312" w:hint="eastAsia"/>
                <w:b/>
                <w:color w:val="000000"/>
                <w:sz w:val="18"/>
                <w:szCs w:val="18"/>
              </w:rPr>
              <w:t>、本月沪深两市累计涨幅（%）</w:t>
            </w:r>
          </w:p>
        </w:tc>
        <w:tc>
          <w:tcPr>
            <w:tcW w:w="4819" w:type="dxa"/>
            <w:tcBorders>
              <w:bottom w:val="single" w:sz="4" w:space="0" w:color="FF0000"/>
            </w:tcBorders>
          </w:tcPr>
          <w:p w:rsidR="009A18F4" w:rsidRPr="00144B03" w:rsidRDefault="009A18F4" w:rsidP="00E74D90">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Pr>
                <w:rFonts w:ascii="楷体_GB2312" w:eastAsia="楷体_GB2312" w:hint="eastAsia"/>
                <w:b/>
                <w:color w:val="000000"/>
                <w:sz w:val="18"/>
                <w:szCs w:val="18"/>
              </w:rPr>
              <w:t>2</w:t>
            </w:r>
            <w:r w:rsidRPr="00144B03">
              <w:rPr>
                <w:rFonts w:ascii="楷体_GB2312" w:eastAsia="楷体_GB2312" w:hint="eastAsia"/>
                <w:b/>
                <w:color w:val="000000"/>
                <w:sz w:val="18"/>
                <w:szCs w:val="18"/>
              </w:rPr>
              <w:t>、最近12月沪深两市涨跌幅（%）</w:t>
            </w:r>
          </w:p>
        </w:tc>
      </w:tr>
      <w:tr w:rsidR="009A18F4" w:rsidRPr="00B22D95" w:rsidTr="00E74D90">
        <w:tc>
          <w:tcPr>
            <w:tcW w:w="4820" w:type="dxa"/>
            <w:tcBorders>
              <w:top w:val="single" w:sz="4" w:space="0" w:color="FF0000"/>
              <w:bottom w:val="single" w:sz="4" w:space="0" w:color="FF0000"/>
            </w:tcBorders>
          </w:tcPr>
          <w:p w:rsidR="009A18F4" w:rsidRPr="00B22D95" w:rsidRDefault="009A18F4" w:rsidP="00E74D90">
            <w:pPr>
              <w:spacing w:line="360" w:lineRule="auto"/>
              <w:ind w:leftChars="16" w:left="34"/>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924175" cy="1828800"/>
                  <wp:effectExtent l="19050" t="0" r="952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924175" cy="1828800"/>
                          </a:xfrm>
                          <a:prstGeom prst="rect">
                            <a:avLst/>
                          </a:prstGeom>
                          <a:noFill/>
                          <a:ln w="9525">
                            <a:noFill/>
                            <a:miter lim="800000"/>
                            <a:headEnd/>
                            <a:tailEnd/>
                          </a:ln>
                        </pic:spPr>
                      </pic:pic>
                    </a:graphicData>
                  </a:graphic>
                </wp:inline>
              </w:drawing>
            </w:r>
          </w:p>
        </w:tc>
        <w:tc>
          <w:tcPr>
            <w:tcW w:w="4961" w:type="dxa"/>
            <w:gridSpan w:val="2"/>
            <w:tcBorders>
              <w:top w:val="single" w:sz="4" w:space="0" w:color="FF0000"/>
              <w:bottom w:val="single" w:sz="4" w:space="0" w:color="FF0000"/>
            </w:tcBorders>
          </w:tcPr>
          <w:p w:rsidR="009A18F4" w:rsidRPr="00B22D95" w:rsidRDefault="009A18F4" w:rsidP="00E74D90">
            <w:pPr>
              <w:spacing w:line="360" w:lineRule="auto"/>
              <w:ind w:left="1" w:firstLineChars="18" w:firstLine="32"/>
              <w:jc w:val="left"/>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3008821" cy="1906437"/>
                  <wp:effectExtent l="19050" t="0" r="1079"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3010535" cy="1907523"/>
                          </a:xfrm>
                          <a:prstGeom prst="rect">
                            <a:avLst/>
                          </a:prstGeom>
                          <a:noFill/>
                          <a:ln w="9525">
                            <a:noFill/>
                            <a:miter lim="800000"/>
                            <a:headEnd/>
                            <a:tailEnd/>
                          </a:ln>
                        </pic:spPr>
                      </pic:pic>
                    </a:graphicData>
                  </a:graphic>
                </wp:inline>
              </w:drawing>
            </w:r>
          </w:p>
        </w:tc>
      </w:tr>
    </w:tbl>
    <w:p w:rsidR="009A18F4" w:rsidRPr="00690811" w:rsidRDefault="009A18F4" w:rsidP="009A18F4">
      <w:pPr>
        <w:rPr>
          <w:rFonts w:ascii="楷体_GB2312" w:eastAsia="楷体_GB2312"/>
          <w:noProof/>
          <w:color w:val="000000"/>
          <w:sz w:val="18"/>
          <w:szCs w:val="18"/>
        </w:rPr>
      </w:pPr>
      <w:r w:rsidRPr="00690811">
        <w:rPr>
          <w:rFonts w:ascii="楷体_GB2312" w:eastAsia="楷体_GB2312" w:hint="eastAsia"/>
          <w:noProof/>
          <w:color w:val="000000"/>
          <w:sz w:val="18"/>
          <w:szCs w:val="18"/>
        </w:rPr>
        <w:t>来源：wind，上海证券基金评价研究中心</w:t>
      </w:r>
    </w:p>
    <w:p w:rsidR="009A18F4" w:rsidRPr="00690811" w:rsidRDefault="009A18F4" w:rsidP="009A18F4">
      <w:pPr>
        <w:rPr>
          <w:rFonts w:ascii="楷体_GB2312" w:eastAsia="楷体_GB2312"/>
          <w:noProof/>
          <w:color w:val="000000"/>
          <w:sz w:val="18"/>
          <w:szCs w:val="18"/>
        </w:rPr>
      </w:pPr>
      <w:r w:rsidRPr="00690811">
        <w:rPr>
          <w:rFonts w:ascii="楷体_GB2312" w:eastAsia="楷体_GB2312" w:hint="eastAsia"/>
          <w:noProof/>
          <w:color w:val="000000"/>
          <w:sz w:val="18"/>
          <w:szCs w:val="18"/>
        </w:rPr>
        <w:t>注：数据截至2015年4月28日，以下同</w:t>
      </w:r>
    </w:p>
    <w:p w:rsidR="009A18F4" w:rsidRPr="00ED64C7" w:rsidRDefault="009A18F4" w:rsidP="009A18F4">
      <w:pPr>
        <w:spacing w:beforeLines="50"/>
        <w:ind w:leftChars="1350" w:left="2835" w:firstLineChars="202" w:firstLine="424"/>
        <w:rPr>
          <w:rFonts w:ascii="楷体_GB2312" w:eastAsia="楷体_GB2312" w:hAnsi="宋体" w:cs="宋体"/>
          <w:kern w:val="0"/>
          <w:szCs w:val="21"/>
        </w:rPr>
      </w:pPr>
      <w:r w:rsidRPr="00A429C3">
        <w:rPr>
          <w:rFonts w:ascii="楷体_GB2312" w:eastAsia="楷体_GB2312" w:hAnsi="宋体" w:cs="宋体" w:hint="eastAsia"/>
          <w:kern w:val="0"/>
          <w:szCs w:val="21"/>
        </w:rPr>
        <w:t>市场</w:t>
      </w:r>
      <w:r>
        <w:rPr>
          <w:rFonts w:ascii="楷体_GB2312" w:eastAsia="楷体_GB2312" w:hAnsi="宋体" w:cs="宋体" w:hint="eastAsia"/>
          <w:kern w:val="0"/>
          <w:szCs w:val="21"/>
        </w:rPr>
        <w:t>整体普跌，仅小盘低市盈率板块跌幅相对弱，高市盈率指数大</w:t>
      </w:r>
      <w:r w:rsidR="00013019">
        <w:rPr>
          <w:rFonts w:ascii="楷体_GB2312" w:eastAsia="楷体_GB2312" w:hAnsi="宋体" w:cs="宋体" w:hint="eastAsia"/>
          <w:kern w:val="0"/>
          <w:szCs w:val="21"/>
        </w:rPr>
        <w:t>跌</w:t>
      </w:r>
      <w:r>
        <w:rPr>
          <w:rFonts w:ascii="楷体_GB2312" w:eastAsia="楷体_GB2312" w:hAnsi="宋体" w:cs="宋体" w:hint="eastAsia"/>
          <w:kern w:val="0"/>
          <w:szCs w:val="21"/>
        </w:rPr>
        <w:t>12.11%，大盘指数大</w:t>
      </w:r>
      <w:r w:rsidR="00013019">
        <w:rPr>
          <w:rFonts w:ascii="楷体_GB2312" w:eastAsia="楷体_GB2312" w:hAnsi="宋体" w:cs="宋体" w:hint="eastAsia"/>
          <w:kern w:val="0"/>
          <w:szCs w:val="21"/>
        </w:rPr>
        <w:t>跌</w:t>
      </w:r>
      <w:r>
        <w:rPr>
          <w:rFonts w:ascii="楷体_GB2312" w:eastAsia="楷体_GB2312" w:hAnsi="宋体" w:cs="宋体" w:hint="eastAsia"/>
          <w:kern w:val="0"/>
          <w:szCs w:val="21"/>
        </w:rPr>
        <w:t>10.72</w:t>
      </w:r>
      <w:r w:rsidR="00013019">
        <w:rPr>
          <w:rFonts w:ascii="楷体_GB2312" w:eastAsia="楷体_GB2312" w:hAnsi="宋体" w:cs="宋体" w:hint="eastAsia"/>
          <w:kern w:val="0"/>
          <w:szCs w:val="21"/>
        </w:rPr>
        <w:t>%</w:t>
      </w:r>
      <w:r>
        <w:rPr>
          <w:rFonts w:ascii="楷体_GB2312" w:eastAsia="楷体_GB2312" w:hAnsi="宋体" w:cs="宋体" w:hint="eastAsia"/>
          <w:kern w:val="0"/>
          <w:szCs w:val="21"/>
        </w:rPr>
        <w:t>，分别领跌与估值风格指数和规模风格指数。分行业来看，截至26日仅钢铁</w:t>
      </w:r>
      <w:r w:rsidRPr="00A429C3">
        <w:rPr>
          <w:rFonts w:ascii="楷体_GB2312" w:eastAsia="楷体_GB2312" w:hAnsi="宋体" w:cs="宋体" w:hint="eastAsia"/>
          <w:kern w:val="0"/>
          <w:szCs w:val="21"/>
        </w:rPr>
        <w:t>、</w:t>
      </w:r>
      <w:r w:rsidRPr="008A0AB4">
        <w:rPr>
          <w:rFonts w:ascii="楷体_GB2312" w:eastAsia="楷体_GB2312" w:hAnsi="宋体" w:cs="宋体" w:hint="eastAsia"/>
          <w:kern w:val="0"/>
          <w:szCs w:val="21"/>
        </w:rPr>
        <w:t>公用事业</w:t>
      </w:r>
      <w:r w:rsidRPr="00A429C3">
        <w:rPr>
          <w:rFonts w:ascii="楷体_GB2312" w:eastAsia="楷体_GB2312" w:hAnsi="宋体" w:cs="宋体" w:hint="eastAsia"/>
          <w:kern w:val="0"/>
          <w:szCs w:val="21"/>
        </w:rPr>
        <w:t>、</w:t>
      </w:r>
      <w:r w:rsidRPr="008A0AB4">
        <w:rPr>
          <w:rFonts w:ascii="楷体_GB2312" w:eastAsia="楷体_GB2312" w:hAnsi="宋体" w:cs="宋体" w:hint="eastAsia"/>
          <w:kern w:val="0"/>
          <w:szCs w:val="21"/>
        </w:rPr>
        <w:t>采掘</w:t>
      </w:r>
      <w:r>
        <w:rPr>
          <w:rFonts w:ascii="楷体_GB2312" w:eastAsia="楷体_GB2312" w:hAnsi="宋体" w:cs="宋体" w:hint="eastAsia"/>
          <w:kern w:val="0"/>
          <w:szCs w:val="21"/>
        </w:rPr>
        <w:t>没有下跌，创业板块跌势领先，</w:t>
      </w:r>
      <w:r w:rsidRPr="008A0AB4">
        <w:rPr>
          <w:rFonts w:ascii="楷体_GB2312" w:eastAsia="楷体_GB2312" w:hAnsi="宋体" w:cs="宋体" w:hint="eastAsia"/>
          <w:kern w:val="0"/>
          <w:szCs w:val="21"/>
        </w:rPr>
        <w:t>计算机</w:t>
      </w:r>
      <w:r>
        <w:rPr>
          <w:rFonts w:ascii="楷体_GB2312" w:eastAsia="楷体_GB2312" w:hAnsi="宋体" w:cs="宋体" w:hint="eastAsia"/>
          <w:kern w:val="0"/>
          <w:szCs w:val="21"/>
        </w:rPr>
        <w:t>、</w:t>
      </w:r>
      <w:r w:rsidRPr="008A0AB4">
        <w:rPr>
          <w:rFonts w:ascii="楷体_GB2312" w:eastAsia="楷体_GB2312" w:hAnsi="宋体" w:cs="宋体" w:hint="eastAsia"/>
          <w:kern w:val="0"/>
          <w:szCs w:val="21"/>
        </w:rPr>
        <w:t>传媒</w:t>
      </w:r>
      <w:r>
        <w:rPr>
          <w:rFonts w:ascii="楷体_GB2312" w:eastAsia="楷体_GB2312" w:hAnsi="宋体" w:cs="宋体" w:hint="eastAsia"/>
          <w:kern w:val="0"/>
          <w:szCs w:val="21"/>
        </w:rPr>
        <w:t>、</w:t>
      </w:r>
      <w:r w:rsidRPr="008A0AB4">
        <w:rPr>
          <w:rFonts w:ascii="楷体_GB2312" w:eastAsia="楷体_GB2312" w:hAnsi="宋体" w:cs="宋体" w:hint="eastAsia"/>
          <w:kern w:val="0"/>
          <w:szCs w:val="21"/>
        </w:rPr>
        <w:t>机械设备</w:t>
      </w:r>
      <w:r>
        <w:rPr>
          <w:rFonts w:ascii="楷体_GB2312" w:eastAsia="楷体_GB2312" w:hAnsi="宋体" w:cs="宋体" w:hint="eastAsia"/>
          <w:kern w:val="0"/>
          <w:szCs w:val="21"/>
        </w:rPr>
        <w:t>、</w:t>
      </w:r>
      <w:r w:rsidRPr="00BD7891">
        <w:rPr>
          <w:rFonts w:ascii="楷体_GB2312" w:eastAsia="楷体_GB2312" w:hAnsi="宋体" w:cs="宋体" w:hint="eastAsia"/>
          <w:kern w:val="0"/>
          <w:szCs w:val="21"/>
        </w:rPr>
        <w:t>通信</w:t>
      </w:r>
      <w:r>
        <w:rPr>
          <w:rFonts w:ascii="楷体_GB2312" w:eastAsia="楷体_GB2312" w:hAnsi="宋体" w:cs="宋体" w:hint="eastAsia"/>
          <w:kern w:val="0"/>
          <w:szCs w:val="21"/>
        </w:rPr>
        <w:t>、</w:t>
      </w:r>
      <w:r w:rsidRPr="00BD7891">
        <w:rPr>
          <w:rFonts w:ascii="楷体_GB2312" w:eastAsia="楷体_GB2312" w:hAnsi="宋体" w:cs="宋体" w:hint="eastAsia"/>
          <w:kern w:val="0"/>
          <w:szCs w:val="21"/>
        </w:rPr>
        <w:t>建筑装饰</w:t>
      </w:r>
      <w:r>
        <w:rPr>
          <w:rFonts w:ascii="楷体_GB2312" w:eastAsia="楷体_GB2312" w:hAnsi="宋体" w:cs="宋体" w:hint="eastAsia"/>
          <w:kern w:val="0"/>
          <w:szCs w:val="21"/>
        </w:rPr>
        <w:t>分别以</w:t>
      </w:r>
      <w:r w:rsidRPr="00BD7891">
        <w:rPr>
          <w:rFonts w:ascii="楷体_GB2312" w:eastAsia="楷体_GB2312" w:hAnsi="宋体" w:cs="宋体"/>
          <w:kern w:val="0"/>
          <w:szCs w:val="21"/>
        </w:rPr>
        <w:t>-19.61</w:t>
      </w:r>
      <w:r w:rsidRPr="00A429C3">
        <w:rPr>
          <w:rFonts w:ascii="楷体_GB2312" w:eastAsia="楷体_GB2312" w:hAnsi="宋体" w:cs="宋体" w:hint="eastAsia"/>
          <w:kern w:val="0"/>
          <w:szCs w:val="21"/>
        </w:rPr>
        <w:t>%、</w:t>
      </w:r>
      <w:r w:rsidRPr="00BD7891">
        <w:rPr>
          <w:rFonts w:ascii="楷体_GB2312" w:eastAsia="楷体_GB2312" w:hAnsi="宋体" w:cs="宋体"/>
          <w:kern w:val="0"/>
          <w:szCs w:val="21"/>
        </w:rPr>
        <w:t>-18.36</w:t>
      </w:r>
      <w:r w:rsidRPr="00A429C3">
        <w:rPr>
          <w:rFonts w:ascii="楷体_GB2312" w:eastAsia="楷体_GB2312" w:hAnsi="宋体" w:cs="宋体" w:hint="eastAsia"/>
          <w:kern w:val="0"/>
          <w:szCs w:val="21"/>
        </w:rPr>
        <w:t>%、</w:t>
      </w:r>
      <w:r w:rsidRPr="00BD7891">
        <w:rPr>
          <w:rFonts w:ascii="楷体_GB2312" w:eastAsia="楷体_GB2312" w:hAnsi="宋体" w:cs="宋体"/>
          <w:kern w:val="0"/>
          <w:szCs w:val="21"/>
        </w:rPr>
        <w:t>-16.68</w:t>
      </w:r>
      <w:r w:rsidRPr="00A429C3">
        <w:rPr>
          <w:rFonts w:ascii="楷体_GB2312" w:eastAsia="楷体_GB2312" w:hAnsi="宋体" w:cs="宋体" w:hint="eastAsia"/>
          <w:kern w:val="0"/>
          <w:szCs w:val="21"/>
        </w:rPr>
        <w:t>%、</w:t>
      </w:r>
      <w:r w:rsidRPr="00BD7891">
        <w:rPr>
          <w:rFonts w:ascii="楷体_GB2312" w:eastAsia="楷体_GB2312" w:hAnsi="宋体" w:cs="宋体"/>
          <w:kern w:val="0"/>
          <w:szCs w:val="21"/>
        </w:rPr>
        <w:t>-16.14</w:t>
      </w:r>
      <w:r w:rsidRPr="00A429C3">
        <w:rPr>
          <w:rFonts w:ascii="楷体_GB2312" w:eastAsia="楷体_GB2312" w:hAnsi="宋体" w:cs="宋体" w:hint="eastAsia"/>
          <w:kern w:val="0"/>
          <w:szCs w:val="21"/>
        </w:rPr>
        <w:t>%、</w:t>
      </w:r>
      <w:r w:rsidRPr="00BD7891">
        <w:rPr>
          <w:rFonts w:ascii="楷体_GB2312" w:eastAsia="楷体_GB2312" w:hAnsi="宋体" w:cs="宋体"/>
          <w:kern w:val="0"/>
          <w:szCs w:val="21"/>
        </w:rPr>
        <w:t>-15.53</w:t>
      </w:r>
      <w:r w:rsidRPr="00A429C3">
        <w:rPr>
          <w:rFonts w:ascii="楷体_GB2312" w:eastAsia="楷体_GB2312" w:hAnsi="宋体" w:cs="宋体" w:hint="eastAsia"/>
          <w:kern w:val="0"/>
          <w:szCs w:val="21"/>
        </w:rPr>
        <w:t>%</w:t>
      </w:r>
      <w:r>
        <w:rPr>
          <w:rFonts w:ascii="楷体_GB2312" w:eastAsia="楷体_GB2312" w:hAnsi="宋体" w:cs="宋体" w:hint="eastAsia"/>
          <w:kern w:val="0"/>
          <w:szCs w:val="21"/>
        </w:rPr>
        <w:t>的单月表现领跌各行业指数。</w:t>
      </w:r>
    </w:p>
    <w:tbl>
      <w:tblPr>
        <w:tblW w:w="9356" w:type="dxa"/>
        <w:tblInd w:w="-34" w:type="dxa"/>
        <w:tblLayout w:type="fixed"/>
        <w:tblLook w:val="04A0"/>
      </w:tblPr>
      <w:tblGrid>
        <w:gridCol w:w="4678"/>
        <w:gridCol w:w="142"/>
        <w:gridCol w:w="4536"/>
      </w:tblGrid>
      <w:tr w:rsidR="009A18F4" w:rsidRPr="00A429C3" w:rsidTr="00E74D90">
        <w:tc>
          <w:tcPr>
            <w:tcW w:w="4820" w:type="dxa"/>
            <w:gridSpan w:val="2"/>
            <w:tcBorders>
              <w:bottom w:val="single" w:sz="4" w:space="0" w:color="FF0000"/>
            </w:tcBorders>
          </w:tcPr>
          <w:p w:rsidR="009A18F4" w:rsidRPr="00A429C3" w:rsidRDefault="009A18F4" w:rsidP="00E74D90">
            <w:pPr>
              <w:spacing w:line="360" w:lineRule="auto"/>
              <w:ind w:left="33" w:hangingChars="18" w:hanging="33"/>
              <w:jc w:val="left"/>
              <w:rPr>
                <w:rFonts w:ascii="楷体_GB2312" w:eastAsia="楷体_GB2312"/>
                <w:b/>
                <w:color w:val="000000"/>
                <w:sz w:val="18"/>
                <w:szCs w:val="18"/>
              </w:rPr>
            </w:pPr>
            <w:r w:rsidRPr="00A429C3">
              <w:rPr>
                <w:rFonts w:ascii="楷体_GB2312" w:eastAsia="楷体_GB2312" w:hint="eastAsia"/>
                <w:b/>
                <w:color w:val="000000"/>
                <w:sz w:val="18"/>
                <w:szCs w:val="18"/>
              </w:rPr>
              <w:t>图3、本月申万市场风格指数涨跌幅（%）</w:t>
            </w:r>
          </w:p>
        </w:tc>
        <w:tc>
          <w:tcPr>
            <w:tcW w:w="4536" w:type="dxa"/>
            <w:tcBorders>
              <w:bottom w:val="single" w:sz="4" w:space="0" w:color="FF0000"/>
            </w:tcBorders>
          </w:tcPr>
          <w:p w:rsidR="009A18F4" w:rsidRPr="00A429C3" w:rsidRDefault="009A18F4" w:rsidP="00E74D90">
            <w:pPr>
              <w:spacing w:line="360" w:lineRule="auto"/>
              <w:ind w:left="4017" w:hangingChars="2223" w:hanging="4017"/>
              <w:jc w:val="left"/>
              <w:rPr>
                <w:rFonts w:ascii="楷体_GB2312" w:eastAsia="楷体_GB2312"/>
                <w:b/>
                <w:color w:val="000000"/>
                <w:sz w:val="18"/>
                <w:szCs w:val="18"/>
              </w:rPr>
            </w:pPr>
            <w:r w:rsidRPr="00A429C3">
              <w:rPr>
                <w:rFonts w:ascii="楷体_GB2312" w:eastAsia="楷体_GB2312" w:hint="eastAsia"/>
                <w:b/>
                <w:color w:val="000000"/>
                <w:sz w:val="18"/>
                <w:szCs w:val="18"/>
              </w:rPr>
              <w:t>图4、本月申万行业指数涨跌幅（%）</w:t>
            </w:r>
          </w:p>
        </w:tc>
      </w:tr>
      <w:tr w:rsidR="009A18F4" w:rsidRPr="00A429C3" w:rsidTr="00E74D90">
        <w:tc>
          <w:tcPr>
            <w:tcW w:w="4678" w:type="dxa"/>
            <w:tcBorders>
              <w:top w:val="single" w:sz="4" w:space="0" w:color="FF0000"/>
              <w:bottom w:val="single" w:sz="4" w:space="0" w:color="FF0000"/>
            </w:tcBorders>
          </w:tcPr>
          <w:p w:rsidR="009A18F4" w:rsidRPr="00A429C3" w:rsidRDefault="009A18F4" w:rsidP="00E74D90">
            <w:pPr>
              <w:spacing w:line="360" w:lineRule="auto"/>
              <w:ind w:leftChars="16" w:left="34"/>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27404" cy="1716657"/>
                  <wp:effectExtent l="19050" t="0" r="0" b="0"/>
                  <wp:docPr id="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srcRect/>
                          <a:stretch>
                            <a:fillRect/>
                          </a:stretch>
                        </pic:blipFill>
                        <pic:spPr bwMode="auto">
                          <a:xfrm>
                            <a:off x="0" y="0"/>
                            <a:ext cx="2829560" cy="1717966"/>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9A18F4" w:rsidRPr="00A429C3" w:rsidRDefault="009A18F4" w:rsidP="00E74D90">
            <w:pPr>
              <w:spacing w:line="360" w:lineRule="auto"/>
              <w:ind w:left="1" w:firstLineChars="18" w:firstLine="32"/>
              <w:jc w:val="right"/>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29560" cy="1819910"/>
                  <wp:effectExtent l="19050" t="0" r="889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srcRect/>
                          <a:stretch>
                            <a:fillRect/>
                          </a:stretch>
                        </pic:blipFill>
                        <pic:spPr bwMode="auto">
                          <a:xfrm>
                            <a:off x="0" y="0"/>
                            <a:ext cx="2829560" cy="1819910"/>
                          </a:xfrm>
                          <a:prstGeom prst="rect">
                            <a:avLst/>
                          </a:prstGeom>
                          <a:noFill/>
                          <a:ln w="9525">
                            <a:noFill/>
                            <a:miter lim="800000"/>
                            <a:headEnd/>
                            <a:tailEnd/>
                          </a:ln>
                        </pic:spPr>
                      </pic:pic>
                    </a:graphicData>
                  </a:graphic>
                </wp:inline>
              </w:drawing>
            </w:r>
          </w:p>
        </w:tc>
      </w:tr>
    </w:tbl>
    <w:p w:rsidR="009A18F4" w:rsidRPr="00690811" w:rsidRDefault="009A18F4" w:rsidP="009A18F4">
      <w:pPr>
        <w:rPr>
          <w:rFonts w:ascii="楷体_GB2312" w:eastAsia="楷体_GB2312"/>
          <w:noProof/>
          <w:color w:val="000000"/>
          <w:sz w:val="18"/>
          <w:szCs w:val="18"/>
        </w:rPr>
      </w:pPr>
      <w:r w:rsidRPr="00690811">
        <w:rPr>
          <w:rFonts w:ascii="楷体_GB2312" w:eastAsia="楷体_GB2312" w:hint="eastAsia"/>
          <w:noProof/>
          <w:color w:val="000000"/>
          <w:sz w:val="18"/>
          <w:szCs w:val="18"/>
        </w:rPr>
        <w:t>来源：wind，上海证券基金评价研究中心</w:t>
      </w:r>
    </w:p>
    <w:p w:rsidR="009A18F4" w:rsidRPr="002F60C7" w:rsidRDefault="009A18F4" w:rsidP="009A18F4">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债券市场表现较为稳健，债市收益率曲线平坦化小幅下行，信用利差继续略有收窄。从价格指数表现来看，中证全债单月上涨</w:t>
      </w:r>
      <w:r w:rsidRPr="0016275D">
        <w:rPr>
          <w:rFonts w:ascii="楷体_GB2312" w:eastAsia="楷体_GB2312" w:hAnsi="宋体" w:cs="宋体"/>
          <w:kern w:val="0"/>
          <w:szCs w:val="21"/>
        </w:rPr>
        <w:t>0.35</w:t>
      </w:r>
      <w:r>
        <w:rPr>
          <w:rFonts w:ascii="楷体_GB2312" w:eastAsia="楷体_GB2312" w:hAnsi="宋体" w:cs="宋体" w:hint="eastAsia"/>
          <w:kern w:val="0"/>
          <w:szCs w:val="21"/>
        </w:rPr>
        <w:t>%，中信可转债指数受正股调整而大跌</w:t>
      </w:r>
      <w:r w:rsidRPr="0016275D">
        <w:rPr>
          <w:rFonts w:ascii="楷体_GB2312" w:eastAsia="楷体_GB2312" w:hAnsi="宋体" w:cs="宋体"/>
          <w:kern w:val="0"/>
          <w:szCs w:val="21"/>
        </w:rPr>
        <w:t>28.61</w:t>
      </w:r>
      <w:r>
        <w:rPr>
          <w:rFonts w:ascii="楷体_GB2312" w:eastAsia="楷体_GB2312" w:hAnsi="宋体" w:cs="宋体" w:hint="eastAsia"/>
          <w:kern w:val="0"/>
          <w:szCs w:val="21"/>
        </w:rPr>
        <w:t>%，跌幅历史罕见。</w:t>
      </w:r>
      <w:r w:rsidRPr="00B63F55">
        <w:rPr>
          <w:rFonts w:ascii="楷体_GB2312" w:eastAsia="楷体_GB2312" w:hAnsi="宋体" w:cs="宋体" w:hint="eastAsia"/>
          <w:kern w:val="0"/>
          <w:szCs w:val="21"/>
        </w:rPr>
        <w:t>国债</w:t>
      </w:r>
      <w:r>
        <w:rPr>
          <w:rFonts w:ascii="楷体_GB2312" w:eastAsia="楷体_GB2312" w:hAnsi="宋体" w:cs="宋体" w:hint="eastAsia"/>
          <w:kern w:val="0"/>
          <w:szCs w:val="21"/>
        </w:rPr>
        <w:t>收益长期</w:t>
      </w:r>
      <w:r>
        <w:rPr>
          <w:rFonts w:ascii="楷体_GB2312" w:eastAsia="楷体_GB2312" w:hAnsi="宋体" w:cs="宋体" w:hint="eastAsia"/>
          <w:kern w:val="0"/>
          <w:szCs w:val="21"/>
        </w:rPr>
        <w:lastRenderedPageBreak/>
        <w:t>券种收益率回落而小幅上涨</w:t>
      </w:r>
      <w:r w:rsidRPr="00C8523A">
        <w:rPr>
          <w:rFonts w:ascii="楷体_GB2312" w:eastAsia="楷体_GB2312" w:hAnsi="宋体" w:cs="宋体"/>
          <w:kern w:val="0"/>
          <w:szCs w:val="21"/>
        </w:rPr>
        <w:t>0.38</w:t>
      </w:r>
      <w:r>
        <w:rPr>
          <w:rFonts w:ascii="楷体_GB2312" w:eastAsia="楷体_GB2312" w:hAnsi="宋体" w:cs="宋体" w:hint="eastAsia"/>
          <w:kern w:val="0"/>
          <w:szCs w:val="21"/>
        </w:rPr>
        <w:t>%，中证公司债、中证企业债指数分别上涨</w:t>
      </w:r>
      <w:r w:rsidRPr="00C8523A">
        <w:rPr>
          <w:rFonts w:ascii="楷体_GB2312" w:eastAsia="楷体_GB2312" w:hAnsi="宋体" w:cs="宋体"/>
          <w:kern w:val="0"/>
          <w:szCs w:val="21"/>
        </w:rPr>
        <w:t>0.26</w:t>
      </w:r>
      <w:r w:rsidRPr="00A429C3">
        <w:rPr>
          <w:rFonts w:ascii="楷体_GB2312" w:eastAsia="楷体_GB2312" w:hAnsi="宋体" w:cs="宋体" w:hint="eastAsia"/>
          <w:kern w:val="0"/>
          <w:szCs w:val="21"/>
        </w:rPr>
        <w:t>%、</w:t>
      </w:r>
      <w:r w:rsidRPr="00C8523A">
        <w:rPr>
          <w:rFonts w:ascii="楷体_GB2312" w:eastAsia="楷体_GB2312" w:hAnsi="宋体" w:cs="宋体"/>
          <w:kern w:val="0"/>
          <w:szCs w:val="21"/>
        </w:rPr>
        <w:t>0.55</w:t>
      </w:r>
      <w:r>
        <w:rPr>
          <w:rFonts w:ascii="楷体_GB2312" w:eastAsia="楷体_GB2312" w:hAnsi="宋体" w:cs="宋体" w:hint="eastAsia"/>
          <w:kern w:val="0"/>
          <w:szCs w:val="21"/>
        </w:rPr>
        <w:t>%。</w:t>
      </w:r>
    </w:p>
    <w:p w:rsidR="009A18F4" w:rsidRPr="00690CC4" w:rsidRDefault="009A18F4" w:rsidP="009A18F4">
      <w:pPr>
        <w:spacing w:beforeLines="100" w:afterLines="50"/>
        <w:ind w:leftChars="1350" w:left="2835" w:firstLineChars="196" w:firstLine="472"/>
        <w:rPr>
          <w:rFonts w:ascii="黑体" w:eastAsia="黑体" w:hAnsi="宋体-18030" w:cs="宋体-18030"/>
          <w:b/>
          <w:bCs/>
          <w:color w:val="003366"/>
          <w:kern w:val="44"/>
          <w:sz w:val="24"/>
        </w:rPr>
      </w:pPr>
      <w:r w:rsidRPr="00690CC4">
        <w:rPr>
          <w:rFonts w:ascii="黑体" w:eastAsia="黑体" w:hAnsi="宋体-18030" w:cs="宋体-18030" w:hint="eastAsia"/>
          <w:b/>
          <w:bCs/>
          <w:color w:val="003366"/>
          <w:kern w:val="44"/>
          <w:sz w:val="24"/>
        </w:rPr>
        <w:t>（二）基金市场回顾：</w:t>
      </w:r>
      <w:r>
        <w:rPr>
          <w:rFonts w:ascii="黑体" w:eastAsia="黑体" w:hAnsi="宋体-18030" w:cs="宋体-18030" w:hint="eastAsia"/>
          <w:b/>
          <w:bCs/>
          <w:color w:val="003366"/>
          <w:kern w:val="44"/>
          <w:sz w:val="24"/>
        </w:rPr>
        <w:t>基金整体上行</w:t>
      </w:r>
      <w:r w:rsidRPr="00690CC4">
        <w:rPr>
          <w:rFonts w:ascii="黑体" w:eastAsia="黑体" w:hAnsi="宋体-18030" w:cs="宋体-18030" w:hint="eastAsia"/>
          <w:b/>
          <w:bCs/>
          <w:color w:val="003366"/>
          <w:kern w:val="44"/>
          <w:sz w:val="24"/>
        </w:rPr>
        <w:t>，主要类型基金连续1</w:t>
      </w:r>
      <w:r>
        <w:rPr>
          <w:rFonts w:ascii="黑体" w:eastAsia="黑体" w:hAnsi="宋体-18030" w:cs="宋体-18030" w:hint="eastAsia"/>
          <w:b/>
          <w:bCs/>
          <w:color w:val="003366"/>
          <w:kern w:val="44"/>
          <w:sz w:val="24"/>
        </w:rPr>
        <w:t>2</w:t>
      </w:r>
      <w:r w:rsidRPr="00690CC4">
        <w:rPr>
          <w:rFonts w:ascii="黑体" w:eastAsia="黑体" w:hAnsi="宋体-18030" w:cs="宋体-18030" w:hint="eastAsia"/>
          <w:b/>
          <w:bCs/>
          <w:color w:val="003366"/>
          <w:kern w:val="44"/>
          <w:sz w:val="24"/>
        </w:rPr>
        <w:t>个月</w:t>
      </w:r>
      <w:r>
        <w:rPr>
          <w:rFonts w:ascii="黑体" w:eastAsia="黑体" w:hAnsi="宋体-18030" w:cs="宋体-18030" w:hint="eastAsia"/>
          <w:b/>
          <w:bCs/>
          <w:color w:val="003366"/>
          <w:kern w:val="44"/>
          <w:sz w:val="24"/>
        </w:rPr>
        <w:t>以上</w:t>
      </w:r>
      <w:r w:rsidRPr="00690CC4">
        <w:rPr>
          <w:rFonts w:ascii="黑体" w:eastAsia="黑体" w:hAnsi="宋体-18030" w:cs="宋体-18030" w:hint="eastAsia"/>
          <w:b/>
          <w:bCs/>
          <w:color w:val="003366"/>
          <w:kern w:val="44"/>
          <w:sz w:val="24"/>
        </w:rPr>
        <w:t>实现正收益</w:t>
      </w:r>
    </w:p>
    <w:p w:rsidR="009A18F4" w:rsidRDefault="009A18F4" w:rsidP="009A18F4">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截至</w:t>
      </w:r>
      <w:r w:rsidRPr="00690CC4">
        <w:rPr>
          <w:rFonts w:ascii="楷体_GB2312" w:eastAsia="楷体_GB2312" w:hAnsi="宋体" w:cs="宋体" w:hint="eastAsia"/>
          <w:kern w:val="0"/>
          <w:szCs w:val="21"/>
        </w:rPr>
        <w:t>2015年</w:t>
      </w:r>
      <w:r>
        <w:rPr>
          <w:rFonts w:ascii="楷体_GB2312" w:eastAsia="楷体_GB2312" w:hAnsi="宋体" w:cs="宋体" w:hint="eastAsia"/>
          <w:kern w:val="0"/>
          <w:szCs w:val="21"/>
        </w:rPr>
        <w:t>6</w:t>
      </w:r>
      <w:r w:rsidRPr="00690CC4">
        <w:rPr>
          <w:rFonts w:ascii="楷体_GB2312" w:eastAsia="楷体_GB2312" w:hAnsi="宋体" w:cs="宋体" w:hint="eastAsia"/>
          <w:kern w:val="0"/>
          <w:szCs w:val="21"/>
        </w:rPr>
        <w:t>月</w:t>
      </w:r>
      <w:r>
        <w:rPr>
          <w:rFonts w:ascii="楷体_GB2312" w:eastAsia="楷体_GB2312" w:hAnsi="宋体" w:cs="宋体" w:hint="eastAsia"/>
          <w:kern w:val="0"/>
          <w:szCs w:val="21"/>
        </w:rPr>
        <w:t>26日</w:t>
      </w:r>
      <w:r w:rsidRPr="00690CC4">
        <w:rPr>
          <w:rFonts w:ascii="楷体_GB2312" w:eastAsia="楷体_GB2312" w:hAnsi="宋体" w:cs="宋体" w:hint="eastAsia"/>
          <w:kern w:val="0"/>
          <w:szCs w:val="21"/>
        </w:rPr>
        <w:t>各类型基金</w:t>
      </w:r>
      <w:r>
        <w:rPr>
          <w:rFonts w:ascii="楷体_GB2312" w:eastAsia="楷体_GB2312" w:hAnsi="宋体" w:cs="宋体" w:hint="eastAsia"/>
          <w:kern w:val="0"/>
          <w:szCs w:val="21"/>
        </w:rPr>
        <w:t>除了货币市场基金外</w:t>
      </w:r>
      <w:r w:rsidRPr="00690CC4">
        <w:rPr>
          <w:rFonts w:ascii="楷体_GB2312" w:eastAsia="楷体_GB2312" w:hAnsi="宋体" w:cs="宋体" w:hint="eastAsia"/>
          <w:kern w:val="0"/>
          <w:szCs w:val="21"/>
        </w:rPr>
        <w:t>整体业绩</w:t>
      </w:r>
      <w:r>
        <w:rPr>
          <w:rFonts w:ascii="楷体_GB2312" w:eastAsia="楷体_GB2312" w:hAnsi="宋体" w:cs="宋体" w:hint="eastAsia"/>
          <w:kern w:val="0"/>
          <w:szCs w:val="21"/>
        </w:rPr>
        <w:t>大幅回落</w:t>
      </w:r>
      <w:r w:rsidRPr="00690CC4">
        <w:rPr>
          <w:rFonts w:ascii="楷体_GB2312" w:eastAsia="楷体_GB2312" w:hAnsi="宋体" w:cs="宋体" w:hint="eastAsia"/>
          <w:kern w:val="0"/>
          <w:szCs w:val="21"/>
        </w:rPr>
        <w:t>，</w:t>
      </w:r>
      <w:r>
        <w:rPr>
          <w:rFonts w:ascii="楷体_GB2312" w:eastAsia="楷体_GB2312" w:hAnsi="宋体" w:cs="宋体" w:hint="eastAsia"/>
          <w:kern w:val="0"/>
          <w:szCs w:val="21"/>
        </w:rPr>
        <w:t>其中</w:t>
      </w:r>
      <w:r w:rsidRPr="00690CC4">
        <w:rPr>
          <w:rFonts w:ascii="楷体_GB2312" w:eastAsia="楷体_GB2312" w:hAnsi="宋体" w:cs="宋体" w:hint="eastAsia"/>
          <w:kern w:val="0"/>
          <w:szCs w:val="21"/>
        </w:rPr>
        <w:t>股票型基金和</w:t>
      </w:r>
      <w:r>
        <w:rPr>
          <w:rFonts w:ascii="楷体_GB2312" w:eastAsia="楷体_GB2312" w:hAnsi="宋体" w:cs="宋体" w:hint="eastAsia"/>
          <w:kern w:val="0"/>
          <w:szCs w:val="21"/>
        </w:rPr>
        <w:t>股指型</w:t>
      </w:r>
      <w:r w:rsidRPr="00690CC4">
        <w:rPr>
          <w:rFonts w:ascii="楷体_GB2312" w:eastAsia="楷体_GB2312" w:hAnsi="宋体" w:cs="宋体" w:hint="eastAsia"/>
          <w:kern w:val="0"/>
          <w:szCs w:val="21"/>
        </w:rPr>
        <w:t>基金</w:t>
      </w:r>
      <w:r>
        <w:rPr>
          <w:rFonts w:ascii="楷体_GB2312" w:eastAsia="楷体_GB2312" w:hAnsi="宋体" w:cs="宋体" w:hint="eastAsia"/>
          <w:kern w:val="0"/>
          <w:szCs w:val="21"/>
        </w:rPr>
        <w:t>结束</w:t>
      </w:r>
      <w:r w:rsidRPr="00690CC4">
        <w:rPr>
          <w:rFonts w:ascii="楷体_GB2312" w:eastAsia="楷体_GB2312" w:hAnsi="宋体" w:cs="宋体" w:hint="eastAsia"/>
          <w:kern w:val="0"/>
          <w:szCs w:val="21"/>
        </w:rPr>
        <w:t>连续1</w:t>
      </w:r>
      <w:r>
        <w:rPr>
          <w:rFonts w:ascii="楷体_GB2312" w:eastAsia="楷体_GB2312" w:hAnsi="宋体" w:cs="宋体" w:hint="eastAsia"/>
          <w:kern w:val="0"/>
          <w:szCs w:val="21"/>
        </w:rPr>
        <w:t>3</w:t>
      </w:r>
      <w:r w:rsidRPr="00690CC4">
        <w:rPr>
          <w:rFonts w:ascii="楷体_GB2312" w:eastAsia="楷体_GB2312" w:hAnsi="宋体" w:cs="宋体" w:hint="eastAsia"/>
          <w:kern w:val="0"/>
          <w:szCs w:val="21"/>
        </w:rPr>
        <w:t>个月</w:t>
      </w:r>
      <w:r>
        <w:rPr>
          <w:rFonts w:ascii="楷体_GB2312" w:eastAsia="楷体_GB2312" w:hAnsi="宋体" w:cs="宋体" w:hint="eastAsia"/>
          <w:kern w:val="0"/>
          <w:szCs w:val="21"/>
        </w:rPr>
        <w:t>的</w:t>
      </w:r>
      <w:r w:rsidRPr="00690CC4">
        <w:rPr>
          <w:rFonts w:ascii="楷体_GB2312" w:eastAsia="楷体_GB2312" w:hAnsi="宋体" w:cs="宋体" w:hint="eastAsia"/>
          <w:kern w:val="0"/>
          <w:szCs w:val="21"/>
        </w:rPr>
        <w:t>正</w:t>
      </w:r>
      <w:r>
        <w:rPr>
          <w:rFonts w:ascii="楷体_GB2312" w:eastAsia="楷体_GB2312" w:hAnsi="宋体" w:cs="宋体" w:hint="eastAsia"/>
          <w:kern w:val="0"/>
          <w:szCs w:val="21"/>
        </w:rPr>
        <w:t>收益</w:t>
      </w:r>
      <w:r w:rsidRPr="00690CC4">
        <w:rPr>
          <w:rFonts w:ascii="楷体_GB2312" w:eastAsia="楷体_GB2312" w:hAnsi="宋体" w:cs="宋体" w:hint="eastAsia"/>
          <w:kern w:val="0"/>
          <w:szCs w:val="21"/>
        </w:rPr>
        <w:t>，</w:t>
      </w:r>
      <w:r>
        <w:rPr>
          <w:rFonts w:ascii="楷体_GB2312" w:eastAsia="楷体_GB2312" w:hAnsi="宋体" w:cs="宋体" w:hint="eastAsia"/>
          <w:kern w:val="0"/>
          <w:szCs w:val="21"/>
        </w:rPr>
        <w:t>以13.50%、10.42%的平均跌幅领跌各类型基金，跌幅甚至超越沪深两市。混合型基金平均下跌6.86%，跌幅不及沪深两市。债券型基金在股票和可转债的巨幅下跌之后整体亏损2.31%，在此我们在此</w:t>
      </w:r>
      <w:r w:rsidR="00312345">
        <w:rPr>
          <w:rFonts w:ascii="楷体_GB2312" w:eastAsia="楷体_GB2312" w:hAnsi="宋体" w:cs="宋体" w:hint="eastAsia"/>
          <w:kern w:val="0"/>
          <w:szCs w:val="21"/>
        </w:rPr>
        <w:t>政策</w:t>
      </w:r>
      <w:r>
        <w:rPr>
          <w:rFonts w:ascii="楷体_GB2312" w:eastAsia="楷体_GB2312" w:hAnsi="宋体" w:cs="宋体" w:hint="eastAsia"/>
          <w:kern w:val="0"/>
          <w:szCs w:val="21"/>
        </w:rPr>
        <w:t>呼吁将可转债基金调整分类为混合型基金，并约束债券型基金的可转债投资比例。QDII受累香港和全球市场的疲软整体下挫3.19%。</w:t>
      </w:r>
    </w:p>
    <w:tbl>
      <w:tblPr>
        <w:tblW w:w="6521" w:type="dxa"/>
        <w:tblInd w:w="2943" w:type="dxa"/>
        <w:tblLayout w:type="fixed"/>
        <w:tblLook w:val="04A0"/>
      </w:tblPr>
      <w:tblGrid>
        <w:gridCol w:w="6521"/>
      </w:tblGrid>
      <w:tr w:rsidR="009A18F4" w:rsidRPr="00F15A8A" w:rsidTr="00E74D90">
        <w:tc>
          <w:tcPr>
            <w:tcW w:w="6521" w:type="dxa"/>
            <w:tcBorders>
              <w:bottom w:val="single" w:sz="4" w:space="0" w:color="FF0000"/>
            </w:tcBorders>
          </w:tcPr>
          <w:p w:rsidR="009A18F4" w:rsidRPr="00F15A8A" w:rsidRDefault="009A18F4" w:rsidP="00E74D90">
            <w:pPr>
              <w:spacing w:line="360" w:lineRule="auto"/>
              <w:jc w:val="left"/>
              <w:rPr>
                <w:rFonts w:ascii="楷体_GB2312" w:eastAsia="楷体_GB2312"/>
                <w:b/>
                <w:color w:val="000000"/>
                <w:sz w:val="18"/>
                <w:szCs w:val="18"/>
              </w:rPr>
            </w:pPr>
            <w:r w:rsidRPr="00F15A8A">
              <w:rPr>
                <w:rFonts w:ascii="楷体_GB2312" w:eastAsia="楷体_GB2312" w:hint="eastAsia"/>
                <w:b/>
                <w:color w:val="000000"/>
                <w:sz w:val="18"/>
                <w:szCs w:val="18"/>
              </w:rPr>
              <w:t>图7、本月各类型基金</w:t>
            </w:r>
            <w:r>
              <w:rPr>
                <w:rFonts w:ascii="楷体_GB2312" w:eastAsia="楷体_GB2312" w:hint="eastAsia"/>
                <w:b/>
                <w:color w:val="000000"/>
                <w:sz w:val="18"/>
                <w:szCs w:val="18"/>
              </w:rPr>
              <w:t>简单</w:t>
            </w:r>
            <w:r w:rsidRPr="00F15A8A">
              <w:rPr>
                <w:rFonts w:ascii="楷体_GB2312" w:eastAsia="楷体_GB2312" w:hint="eastAsia"/>
                <w:b/>
                <w:color w:val="000000"/>
                <w:sz w:val="18"/>
                <w:szCs w:val="18"/>
              </w:rPr>
              <w:t>平均表现</w:t>
            </w:r>
          </w:p>
        </w:tc>
      </w:tr>
      <w:tr w:rsidR="009A18F4" w:rsidRPr="00F15A8A" w:rsidTr="00E74D90">
        <w:trPr>
          <w:trHeight w:val="3184"/>
        </w:trPr>
        <w:tc>
          <w:tcPr>
            <w:tcW w:w="6521" w:type="dxa"/>
            <w:tcBorders>
              <w:top w:val="single" w:sz="4" w:space="0" w:color="FF0000"/>
              <w:bottom w:val="single" w:sz="4" w:space="0" w:color="FF0000"/>
            </w:tcBorders>
          </w:tcPr>
          <w:p w:rsidR="009A18F4" w:rsidRPr="00F15A8A" w:rsidRDefault="009A18F4" w:rsidP="00E74D90">
            <w:pPr>
              <w:spacing w:line="360" w:lineRule="auto"/>
              <w:jc w:val="center"/>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3795395" cy="2605405"/>
                  <wp:effectExtent l="1905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cstate="print"/>
                          <a:srcRect/>
                          <a:stretch>
                            <a:fillRect/>
                          </a:stretch>
                        </pic:blipFill>
                        <pic:spPr bwMode="auto">
                          <a:xfrm>
                            <a:off x="0" y="0"/>
                            <a:ext cx="3795395" cy="2605405"/>
                          </a:xfrm>
                          <a:prstGeom prst="rect">
                            <a:avLst/>
                          </a:prstGeom>
                          <a:noFill/>
                          <a:ln w="9525">
                            <a:noFill/>
                            <a:miter lim="800000"/>
                            <a:headEnd/>
                            <a:tailEnd/>
                          </a:ln>
                        </pic:spPr>
                      </pic:pic>
                    </a:graphicData>
                  </a:graphic>
                </wp:inline>
              </w:drawing>
            </w:r>
          </w:p>
        </w:tc>
      </w:tr>
      <w:tr w:rsidR="009A18F4" w:rsidRPr="005059AD" w:rsidTr="00E74D90">
        <w:tc>
          <w:tcPr>
            <w:tcW w:w="6521" w:type="dxa"/>
            <w:tcBorders>
              <w:top w:val="single" w:sz="4" w:space="0" w:color="FF0000"/>
            </w:tcBorders>
          </w:tcPr>
          <w:p w:rsidR="009A18F4" w:rsidRPr="00690811" w:rsidRDefault="009A18F4" w:rsidP="00E74D90">
            <w:pPr>
              <w:rPr>
                <w:rFonts w:ascii="楷体_GB2312" w:eastAsia="楷体_GB2312"/>
                <w:noProof/>
                <w:color w:val="000000"/>
                <w:sz w:val="18"/>
                <w:szCs w:val="18"/>
              </w:rPr>
            </w:pPr>
            <w:r w:rsidRPr="00690811">
              <w:rPr>
                <w:rFonts w:ascii="楷体_GB2312" w:eastAsia="楷体_GB2312" w:hint="eastAsia"/>
                <w:noProof/>
                <w:color w:val="000000"/>
                <w:sz w:val="18"/>
                <w:szCs w:val="18"/>
              </w:rPr>
              <w:t>来源：wind 上海证券基金评价研究中心（截止2015年</w:t>
            </w:r>
            <w:r>
              <w:rPr>
                <w:rFonts w:ascii="楷体_GB2312" w:eastAsia="楷体_GB2312" w:hint="eastAsia"/>
                <w:noProof/>
                <w:color w:val="000000"/>
                <w:sz w:val="18"/>
                <w:szCs w:val="18"/>
              </w:rPr>
              <w:t>6</w:t>
            </w:r>
            <w:r w:rsidRPr="00690811">
              <w:rPr>
                <w:rFonts w:ascii="楷体_GB2312" w:eastAsia="楷体_GB2312" w:hint="eastAsia"/>
                <w:noProof/>
                <w:color w:val="000000"/>
                <w:sz w:val="18"/>
                <w:szCs w:val="18"/>
              </w:rPr>
              <w:t>月</w:t>
            </w:r>
            <w:r>
              <w:rPr>
                <w:rFonts w:ascii="楷体_GB2312" w:eastAsia="楷体_GB2312" w:hint="eastAsia"/>
                <w:noProof/>
                <w:color w:val="000000"/>
                <w:sz w:val="18"/>
                <w:szCs w:val="18"/>
              </w:rPr>
              <w:t>26</w:t>
            </w:r>
            <w:r w:rsidRPr="00690811">
              <w:rPr>
                <w:rFonts w:ascii="楷体_GB2312" w:eastAsia="楷体_GB2312" w:hint="eastAsia"/>
                <w:noProof/>
                <w:color w:val="000000"/>
                <w:sz w:val="18"/>
                <w:szCs w:val="18"/>
              </w:rPr>
              <w:t>日）</w:t>
            </w:r>
          </w:p>
          <w:p w:rsidR="009A18F4" w:rsidRPr="005059AD" w:rsidRDefault="009A18F4" w:rsidP="00E74D90">
            <w:pPr>
              <w:rPr>
                <w:rFonts w:ascii="楷体_GB2312" w:eastAsia="楷体_GB2312"/>
                <w:i/>
                <w:color w:val="000000"/>
                <w:sz w:val="18"/>
                <w:szCs w:val="18"/>
              </w:rPr>
            </w:pPr>
            <w:r w:rsidRPr="00690811">
              <w:rPr>
                <w:rFonts w:ascii="楷体_GB2312" w:eastAsia="楷体_GB2312" w:hint="eastAsia"/>
                <w:noProof/>
                <w:color w:val="000000"/>
                <w:sz w:val="18"/>
                <w:szCs w:val="18"/>
              </w:rPr>
              <w:t>注：QDII基金的业绩公布存在一定时滞，部分产品业绩有所偏差</w:t>
            </w:r>
          </w:p>
        </w:tc>
      </w:tr>
    </w:tbl>
    <w:p w:rsidR="009A18F4" w:rsidRPr="005E4592" w:rsidRDefault="009A18F4" w:rsidP="009A18F4">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（三）</w:t>
      </w:r>
      <w:r>
        <w:rPr>
          <w:rFonts w:ascii="黑体" w:eastAsia="黑体" w:hAnsi="宋体-18030" w:cs="宋体-18030" w:hint="eastAsia"/>
          <w:b/>
          <w:bCs/>
          <w:color w:val="003366"/>
          <w:kern w:val="44"/>
          <w:sz w:val="24"/>
        </w:rPr>
        <w:t>市场信息和数据解读</w:t>
      </w:r>
    </w:p>
    <w:p w:rsidR="009A18F4" w:rsidRPr="002A0EBD" w:rsidRDefault="009A18F4" w:rsidP="009A18F4">
      <w:pPr>
        <w:spacing w:beforeLines="50"/>
        <w:ind w:leftChars="1350" w:left="2835" w:firstLineChars="202" w:firstLine="424"/>
        <w:rPr>
          <w:rFonts w:ascii="楷体_GB2312" w:eastAsia="楷体_GB2312" w:hAnsi="宋体" w:cs="宋体" w:hint="eastAsia"/>
          <w:kern w:val="0"/>
          <w:szCs w:val="21"/>
        </w:rPr>
      </w:pPr>
      <w:r w:rsidRPr="002A0EBD">
        <w:rPr>
          <w:rFonts w:ascii="楷体_GB2312" w:eastAsia="楷体_GB2312" w:hAnsi="宋体" w:cs="宋体" w:hint="eastAsia"/>
          <w:kern w:val="0"/>
          <w:szCs w:val="21"/>
        </w:rPr>
        <w:t>2015年6月欧元区资产购买稳步进行并初见成效，欧盟统计局6月17日公布的数据确认</w:t>
      </w:r>
      <w:hyperlink r:id="rId15" w:tgtFrame="_blank" w:history="1">
        <w:r w:rsidRPr="002A0EBD">
          <w:rPr>
            <w:rFonts w:ascii="楷体_GB2312" w:eastAsia="楷体_GB2312" w:hAnsi="宋体" w:cs="宋体" w:hint="eastAsia"/>
            <w:kern w:val="0"/>
            <w:szCs w:val="21"/>
          </w:rPr>
          <w:t>欧元区</w:t>
        </w:r>
      </w:hyperlink>
      <w:r w:rsidRPr="002A0EBD">
        <w:rPr>
          <w:rFonts w:ascii="楷体_GB2312" w:eastAsia="楷体_GB2312" w:hAnsi="宋体" w:cs="宋体" w:hint="eastAsia"/>
          <w:kern w:val="0"/>
          <w:szCs w:val="21"/>
        </w:rPr>
        <w:t>5月通胀率上升0.3%，但随着希腊接近偿还</w:t>
      </w:r>
      <w:hyperlink r:id="rId16" w:tgtFrame="_blank" w:history="1">
        <w:r w:rsidRPr="002A0EBD">
          <w:rPr>
            <w:rFonts w:ascii="楷体_GB2312" w:eastAsia="楷体_GB2312" w:hAnsi="宋体" w:cs="宋体" w:hint="eastAsia"/>
            <w:kern w:val="0"/>
            <w:szCs w:val="21"/>
          </w:rPr>
          <w:t>IMF</w:t>
        </w:r>
      </w:hyperlink>
      <w:r w:rsidRPr="002A0EBD">
        <w:rPr>
          <w:rFonts w:ascii="楷体_GB2312" w:eastAsia="楷体_GB2312" w:hAnsi="宋体" w:cs="宋体" w:hint="eastAsia"/>
          <w:kern w:val="0"/>
          <w:szCs w:val="21"/>
        </w:rPr>
        <w:t>债务的日子6月30日来临，希腊违约导致退欧的可能大幅增加，威胁欧元区乃至全球经济和金融市场稳定，</w:t>
      </w:r>
      <w:hyperlink r:id="rId17" w:tgtFrame="_blank" w:history="1">
        <w:r w:rsidRPr="002A0EBD">
          <w:rPr>
            <w:rFonts w:ascii="楷体_GB2312" w:eastAsia="楷体_GB2312" w:hAnsi="宋体" w:cs="宋体" w:hint="eastAsia"/>
            <w:kern w:val="0"/>
            <w:szCs w:val="21"/>
          </w:rPr>
          <w:t>德国</w:t>
        </w:r>
      </w:hyperlink>
      <w:r w:rsidRPr="002A0EBD">
        <w:rPr>
          <w:rFonts w:ascii="楷体_GB2312" w:eastAsia="楷体_GB2312" w:hAnsi="宋体" w:cs="宋体" w:hint="eastAsia"/>
          <w:kern w:val="0"/>
          <w:szCs w:val="21"/>
        </w:rPr>
        <w:t>智库IFO的数据显示德国6月IFO商业景气指数下降至107.4，连续第二个月下滑</w:t>
      </w:r>
      <w:r w:rsidR="00312345">
        <w:rPr>
          <w:rFonts w:ascii="楷体_GB2312" w:eastAsia="楷体_GB2312" w:hAnsi="宋体" w:cs="宋体" w:hint="eastAsia"/>
          <w:kern w:val="0"/>
          <w:szCs w:val="21"/>
        </w:rPr>
        <w:t>；</w:t>
      </w:r>
      <w:r w:rsidRPr="002A0EBD">
        <w:rPr>
          <w:rFonts w:ascii="楷体_GB2312" w:eastAsia="楷体_GB2312" w:hAnsi="宋体" w:cs="宋体" w:hint="eastAsia"/>
          <w:kern w:val="0"/>
          <w:szCs w:val="21"/>
        </w:rPr>
        <w:t>欧盟委员会6月29日</w:t>
      </w:r>
      <w:r w:rsidR="00312345">
        <w:rPr>
          <w:rFonts w:ascii="楷体_GB2312" w:eastAsia="楷体_GB2312" w:hAnsi="宋体" w:cs="宋体" w:hint="eastAsia"/>
          <w:kern w:val="0"/>
          <w:szCs w:val="21"/>
        </w:rPr>
        <w:t>的</w:t>
      </w:r>
      <w:r w:rsidRPr="002A0EBD">
        <w:rPr>
          <w:rFonts w:ascii="楷体_GB2312" w:eastAsia="楷体_GB2312" w:hAnsi="宋体" w:cs="宋体" w:hint="eastAsia"/>
          <w:kern w:val="0"/>
          <w:szCs w:val="21"/>
        </w:rPr>
        <w:t>数据显示欧元区6月经济景气指数从上月的103.8降至103.5，出现意外下滑</w:t>
      </w:r>
      <w:r w:rsidR="00312345">
        <w:rPr>
          <w:rFonts w:ascii="楷体_GB2312" w:eastAsia="楷体_GB2312" w:hAnsi="宋体" w:cs="宋体" w:hint="eastAsia"/>
          <w:kern w:val="0"/>
          <w:szCs w:val="21"/>
        </w:rPr>
        <w:t>；这表明</w:t>
      </w:r>
      <w:r w:rsidRPr="002A0EBD">
        <w:rPr>
          <w:rFonts w:ascii="楷体_GB2312" w:eastAsia="楷体_GB2312" w:hAnsi="宋体" w:cs="宋体" w:hint="eastAsia"/>
          <w:kern w:val="0"/>
          <w:szCs w:val="21"/>
        </w:rPr>
        <w:t>表明希腊的危机已经影响到整个欧元区，甚至包括德国这一最大欧洲经济体。</w:t>
      </w:r>
    </w:p>
    <w:p w:rsidR="009A18F4" w:rsidRDefault="009A18F4" w:rsidP="009A18F4">
      <w:pPr>
        <w:spacing w:beforeLines="50"/>
        <w:ind w:leftChars="1350" w:left="2835" w:firstLineChars="202" w:firstLine="424"/>
        <w:rPr>
          <w:rFonts w:ascii="楷体_GB2312" w:eastAsia="楷体_GB2312" w:hAnsi="宋体" w:cs="宋体" w:hint="eastAsia"/>
          <w:kern w:val="0"/>
          <w:szCs w:val="21"/>
        </w:rPr>
      </w:pPr>
      <w:r w:rsidRPr="008E1CB8">
        <w:rPr>
          <w:rFonts w:ascii="楷体_GB2312" w:eastAsia="楷体_GB2312" w:hAnsi="宋体" w:cs="宋体" w:hint="eastAsia"/>
          <w:kern w:val="0"/>
          <w:szCs w:val="21"/>
        </w:rPr>
        <w:t>美国经济</w:t>
      </w:r>
      <w:r>
        <w:rPr>
          <w:rFonts w:ascii="楷体_GB2312" w:eastAsia="楷体_GB2312" w:hAnsi="宋体" w:cs="宋体" w:hint="eastAsia"/>
          <w:kern w:val="0"/>
          <w:szCs w:val="21"/>
        </w:rPr>
        <w:t>在短期受挫之后重新赢得增长动力，消费、就业和房地产市场均整体向好。</w:t>
      </w:r>
      <w:r w:rsidRPr="000E60C3">
        <w:rPr>
          <w:rFonts w:ascii="楷体_GB2312" w:eastAsia="楷体_GB2312" w:hAnsi="宋体" w:cs="宋体" w:hint="eastAsia"/>
          <w:kern w:val="0"/>
          <w:szCs w:val="21"/>
        </w:rPr>
        <w:t>6月25日</w:t>
      </w:r>
      <w:hyperlink r:id="rId18" w:tgtFrame="_blank" w:history="1">
        <w:r w:rsidRPr="000E60C3">
          <w:rPr>
            <w:rFonts w:ascii="楷体_GB2312" w:eastAsia="楷体_GB2312" w:hAnsi="宋体" w:cs="宋体" w:hint="eastAsia"/>
            <w:kern w:val="0"/>
            <w:szCs w:val="21"/>
          </w:rPr>
          <w:t>美国</w:t>
        </w:r>
      </w:hyperlink>
      <w:r w:rsidRPr="000E60C3">
        <w:rPr>
          <w:rFonts w:ascii="楷体_GB2312" w:eastAsia="楷体_GB2312" w:hAnsi="宋体" w:cs="宋体" w:hint="eastAsia"/>
          <w:kern w:val="0"/>
          <w:szCs w:val="21"/>
        </w:rPr>
        <w:t>商务部数据显示5月美国个人支出月率上升0.9%，创2009年8月来最大增幅</w:t>
      </w:r>
      <w:r w:rsidR="00312345">
        <w:rPr>
          <w:rFonts w:ascii="楷体_GB2312" w:eastAsia="楷体_GB2312" w:hAnsi="宋体" w:cs="宋体" w:hint="eastAsia"/>
          <w:kern w:val="0"/>
          <w:szCs w:val="21"/>
        </w:rPr>
        <w:t>；</w:t>
      </w:r>
      <w:hyperlink r:id="rId19" w:tgtFrame="_blank" w:history="1">
        <w:r w:rsidRPr="000E60C3">
          <w:rPr>
            <w:rFonts w:ascii="楷体_GB2312" w:eastAsia="楷体_GB2312" w:hAnsi="宋体" w:cs="宋体" w:hint="eastAsia"/>
            <w:kern w:val="0"/>
            <w:szCs w:val="21"/>
          </w:rPr>
          <w:t>美国</w:t>
        </w:r>
      </w:hyperlink>
      <w:r w:rsidRPr="000E60C3">
        <w:rPr>
          <w:rFonts w:ascii="楷体_GB2312" w:eastAsia="楷体_GB2312" w:hAnsi="宋体" w:cs="宋体" w:hint="eastAsia"/>
          <w:kern w:val="0"/>
          <w:szCs w:val="21"/>
        </w:rPr>
        <w:t>劳工部的数据显示美国6</w:t>
      </w:r>
      <w:r w:rsidRPr="000E60C3">
        <w:rPr>
          <w:rFonts w:ascii="楷体_GB2312" w:eastAsia="楷体_GB2312" w:hAnsi="宋体" w:cs="宋体" w:hint="eastAsia"/>
          <w:kern w:val="0"/>
          <w:szCs w:val="21"/>
        </w:rPr>
        <w:lastRenderedPageBreak/>
        <w:t>月20日当周初请失业金人数增加0.3万，至27.1</w:t>
      </w:r>
      <w:r w:rsidR="00312345">
        <w:rPr>
          <w:rFonts w:ascii="楷体_GB2312" w:eastAsia="楷体_GB2312" w:hAnsi="宋体" w:cs="宋体" w:hint="eastAsia"/>
          <w:kern w:val="0"/>
          <w:szCs w:val="21"/>
        </w:rPr>
        <w:t>万，</w:t>
      </w:r>
      <w:r w:rsidRPr="000E60C3">
        <w:rPr>
          <w:rFonts w:ascii="楷体_GB2312" w:eastAsia="楷体_GB2312" w:hAnsi="宋体" w:cs="宋体" w:hint="eastAsia"/>
          <w:kern w:val="0"/>
          <w:szCs w:val="21"/>
        </w:rPr>
        <w:t>连续第16周低于30万人心理关口</w:t>
      </w:r>
      <w:r w:rsidR="00312345">
        <w:rPr>
          <w:rFonts w:ascii="楷体_GB2312" w:eastAsia="楷体_GB2312" w:hAnsi="宋体" w:cs="宋体" w:hint="eastAsia"/>
          <w:kern w:val="0"/>
          <w:szCs w:val="21"/>
        </w:rPr>
        <w:t>；</w:t>
      </w:r>
      <w:r w:rsidRPr="00C172BA">
        <w:rPr>
          <w:rFonts w:ascii="楷体_GB2312" w:eastAsia="楷体_GB2312" w:hAnsi="宋体" w:cs="宋体" w:hint="eastAsia"/>
          <w:kern w:val="0"/>
          <w:szCs w:val="21"/>
        </w:rPr>
        <w:t>6月29日全美地产经纪商协会(NAR)的数据显示，</w:t>
      </w:r>
      <w:hyperlink r:id="rId20" w:tgtFrame="_blank" w:history="1">
        <w:r w:rsidRPr="00C172BA">
          <w:rPr>
            <w:rFonts w:ascii="楷体_GB2312" w:eastAsia="楷体_GB2312" w:hAnsi="宋体" w:cs="宋体" w:hint="eastAsia"/>
            <w:kern w:val="0"/>
            <w:szCs w:val="21"/>
          </w:rPr>
          <w:t>美国</w:t>
        </w:r>
      </w:hyperlink>
      <w:r w:rsidRPr="00C172BA">
        <w:rPr>
          <w:rFonts w:ascii="楷体_GB2312" w:eastAsia="楷体_GB2312" w:hAnsi="宋体" w:cs="宋体" w:hint="eastAsia"/>
          <w:kern w:val="0"/>
          <w:szCs w:val="21"/>
        </w:rPr>
        <w:t>5月成屋签约销售</w:t>
      </w:r>
      <w:r w:rsidRPr="000E60C3">
        <w:rPr>
          <w:rFonts w:ascii="楷体_GB2312" w:eastAsia="楷体_GB2312" w:hAnsi="宋体" w:cs="宋体" w:hint="eastAsia"/>
          <w:kern w:val="0"/>
          <w:szCs w:val="21"/>
        </w:rPr>
        <w:t>销售指数达112.6，</w:t>
      </w:r>
      <w:r w:rsidRPr="00C172BA">
        <w:rPr>
          <w:rFonts w:ascii="楷体_GB2312" w:eastAsia="楷体_GB2312" w:hAnsi="宋体" w:cs="宋体" w:hint="eastAsia"/>
          <w:kern w:val="0"/>
          <w:szCs w:val="21"/>
        </w:rPr>
        <w:t>创下9年多来最高水平。</w:t>
      </w:r>
    </w:p>
    <w:p w:rsidR="009A18F4" w:rsidRDefault="009A18F4" w:rsidP="009A18F4">
      <w:pPr>
        <w:spacing w:beforeLines="50"/>
        <w:ind w:leftChars="1350" w:left="2835" w:firstLineChars="202" w:firstLine="424"/>
        <w:rPr>
          <w:rFonts w:ascii="楷体_GB2312" w:eastAsia="楷体_GB2312" w:hAnsi="宋体" w:cs="宋体" w:hint="eastAsia"/>
          <w:kern w:val="0"/>
          <w:szCs w:val="21"/>
        </w:rPr>
      </w:pPr>
      <w:r w:rsidRPr="00BB1EF4">
        <w:rPr>
          <w:rFonts w:ascii="楷体_GB2312" w:eastAsia="楷体_GB2312" w:hAnsi="宋体" w:cs="宋体" w:hint="eastAsia"/>
          <w:kern w:val="0"/>
          <w:szCs w:val="21"/>
        </w:rPr>
        <w:t>中国经济增长</w:t>
      </w:r>
      <w:r>
        <w:rPr>
          <w:rFonts w:ascii="楷体_GB2312" w:eastAsia="楷体_GB2312" w:hAnsi="宋体" w:cs="宋体" w:hint="eastAsia"/>
          <w:kern w:val="0"/>
          <w:szCs w:val="21"/>
        </w:rPr>
        <w:t>下行压力增大</w:t>
      </w:r>
      <w:r w:rsidRPr="00BB1EF4">
        <w:rPr>
          <w:rFonts w:ascii="楷体_GB2312" w:eastAsia="楷体_GB2312" w:hAnsi="宋体" w:cs="宋体" w:hint="eastAsia"/>
          <w:kern w:val="0"/>
          <w:szCs w:val="21"/>
        </w:rPr>
        <w:t>，</w:t>
      </w:r>
      <w:r w:rsidRPr="00CB1296">
        <w:rPr>
          <w:rFonts w:ascii="楷体_GB2312" w:eastAsia="楷体_GB2312" w:hAnsi="宋体" w:cs="宋体" w:hint="eastAsia"/>
          <w:kern w:val="0"/>
          <w:szCs w:val="21"/>
        </w:rPr>
        <w:t>国家统计局6月11日数据显示5月社会消费品零售总额24195亿元，同比名义增长10.1%，仍处于历史低位水平；1-5月份全国固定资产投资（不含农户）171245亿元，同比名义增长11.4%，增速比1-4月回落0.6个百分点</w:t>
      </w:r>
      <w:r>
        <w:rPr>
          <w:rFonts w:ascii="楷体_GB2312" w:eastAsia="楷体_GB2312" w:hAnsi="宋体" w:cs="宋体" w:hint="eastAsia"/>
          <w:kern w:val="0"/>
          <w:szCs w:val="21"/>
        </w:rPr>
        <w:t>；</w:t>
      </w:r>
      <w:r w:rsidRPr="00747759">
        <w:rPr>
          <w:rFonts w:ascii="楷体_GB2312" w:eastAsia="楷体_GB2312" w:hAnsi="宋体" w:cs="宋体" w:hint="eastAsia"/>
          <w:kern w:val="0"/>
          <w:szCs w:val="21"/>
        </w:rPr>
        <w:t>1-5月全国房地产开发投资32292亿元，同比增长5.1%，增速比1-4月份回落0.9个百分点</w:t>
      </w:r>
      <w:r w:rsidR="00525209">
        <w:rPr>
          <w:rFonts w:ascii="楷体_GB2312" w:eastAsia="楷体_GB2312" w:hAnsi="宋体" w:cs="宋体" w:hint="eastAsia"/>
          <w:kern w:val="0"/>
          <w:szCs w:val="21"/>
        </w:rPr>
        <w:t>；</w:t>
      </w:r>
      <w:r w:rsidRPr="00747759">
        <w:rPr>
          <w:rFonts w:ascii="楷体_GB2312" w:eastAsia="楷体_GB2312" w:hAnsi="宋体" w:cs="宋体" w:hint="eastAsia"/>
          <w:kern w:val="0"/>
          <w:szCs w:val="21"/>
        </w:rPr>
        <w:t>全国商品房销售面积35996万平方米，同比下降0.2%</w:t>
      </w:r>
      <w:r w:rsidRPr="00CB1296">
        <w:rPr>
          <w:rFonts w:ascii="楷体_GB2312" w:eastAsia="楷体_GB2312" w:hAnsi="宋体" w:cs="宋体" w:hint="eastAsia"/>
          <w:kern w:val="0"/>
          <w:szCs w:val="21"/>
        </w:rPr>
        <w:t>。6月18日数据显示70个大中城市新建商品住宅有43个价格下降；6月28日数据显示，1-5月全国规模以上工业企业实现利润总额22547.6亿元，同比下降0.8%。</w:t>
      </w:r>
    </w:p>
    <w:p w:rsidR="009A18F4" w:rsidRPr="00816D44" w:rsidRDefault="009A18F4" w:rsidP="009A18F4">
      <w:pPr>
        <w:spacing w:beforeLines="50"/>
        <w:ind w:leftChars="1350" w:left="2835" w:firstLineChars="202" w:firstLine="568"/>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t>三、组合业绩回顾</w:t>
      </w:r>
    </w:p>
    <w:p w:rsidR="009A18F4" w:rsidRPr="001E12CF" w:rsidRDefault="009A18F4" w:rsidP="009A18F4">
      <w:pPr>
        <w:ind w:leftChars="1350" w:left="2835" w:firstLine="420"/>
        <w:rPr>
          <w:rFonts w:ascii="楷体_GB2312" w:eastAsia="楷体_GB2312"/>
          <w:noProof/>
          <w:color w:val="000000" w:themeColor="text1"/>
        </w:rPr>
      </w:pPr>
      <w:r w:rsidRPr="00DA1BEC">
        <w:rPr>
          <w:rFonts w:ascii="楷体_GB2312" w:eastAsia="楷体_GB2312" w:hint="eastAsia"/>
          <w:noProof/>
          <w:color w:val="000000" w:themeColor="text1"/>
        </w:rPr>
        <w:t>自2011年2月以来，截至2015年</w:t>
      </w:r>
      <w:r>
        <w:rPr>
          <w:rFonts w:ascii="楷体_GB2312" w:eastAsia="楷体_GB2312" w:hint="eastAsia"/>
          <w:noProof/>
          <w:color w:val="000000" w:themeColor="text1"/>
        </w:rPr>
        <w:t>6</w:t>
      </w:r>
      <w:r w:rsidRPr="00DA1BEC">
        <w:rPr>
          <w:rFonts w:ascii="楷体_GB2312" w:eastAsia="楷体_GB2312" w:hint="eastAsia"/>
          <w:noProof/>
          <w:color w:val="000000" w:themeColor="text1"/>
        </w:rPr>
        <w:t>月2</w:t>
      </w:r>
      <w:r>
        <w:rPr>
          <w:rFonts w:ascii="楷体_GB2312" w:eastAsia="楷体_GB2312" w:hint="eastAsia"/>
          <w:noProof/>
          <w:color w:val="000000" w:themeColor="text1"/>
        </w:rPr>
        <w:t>6</w:t>
      </w:r>
      <w:r w:rsidRPr="00DA1BEC">
        <w:rPr>
          <w:rFonts w:ascii="楷体_GB2312" w:eastAsia="楷体_GB2312" w:hint="eastAsia"/>
          <w:noProof/>
          <w:color w:val="000000" w:themeColor="text1"/>
        </w:rPr>
        <w:t>日上证指数上涨</w:t>
      </w:r>
      <w:r w:rsidRPr="007C70C9">
        <w:rPr>
          <w:rFonts w:ascii="楷体_GB2312" w:eastAsia="楷体_GB2312"/>
          <w:noProof/>
          <w:color w:val="000000" w:themeColor="text1"/>
        </w:rPr>
        <w:t>50.24</w:t>
      </w:r>
      <w:r>
        <w:rPr>
          <w:rFonts w:ascii="楷体_GB2312" w:eastAsia="楷体_GB2312" w:hint="eastAsia"/>
          <w:noProof/>
          <w:color w:val="000000" w:themeColor="text1"/>
        </w:rPr>
        <w:t>%、深圳综指上涨</w:t>
      </w:r>
      <w:r w:rsidRPr="007C70C9">
        <w:rPr>
          <w:rFonts w:ascii="楷体_GB2312" w:eastAsia="楷体_GB2312"/>
          <w:noProof/>
          <w:color w:val="000000" w:themeColor="text1"/>
        </w:rPr>
        <w:t>108.99</w:t>
      </w:r>
      <w:r>
        <w:rPr>
          <w:rFonts w:ascii="楷体_GB2312" w:eastAsia="楷体_GB2312" w:hint="eastAsia"/>
          <w:noProof/>
          <w:color w:val="000000" w:themeColor="text1"/>
        </w:rPr>
        <w:t>%</w:t>
      </w:r>
      <w:r w:rsidRPr="00DA1BEC">
        <w:rPr>
          <w:rFonts w:ascii="楷体_GB2312" w:eastAsia="楷体_GB2312" w:hint="eastAsia"/>
          <w:noProof/>
          <w:color w:val="000000" w:themeColor="text1"/>
        </w:rPr>
        <w:t>。上海证券三个风险等级组合</w:t>
      </w:r>
      <w:r>
        <w:rPr>
          <w:rFonts w:ascii="楷体_GB2312" w:eastAsia="楷体_GB2312" w:hint="eastAsia"/>
          <w:noProof/>
          <w:color w:val="000000" w:themeColor="text1"/>
        </w:rPr>
        <w:t>全线超越业绩比较基准，实现良好收益。具体来看，</w:t>
      </w:r>
      <w:r w:rsidRPr="00DA1BEC">
        <w:rPr>
          <w:rFonts w:ascii="楷体_GB2312" w:eastAsia="楷体_GB2312" w:hint="eastAsia"/>
          <w:noProof/>
          <w:color w:val="000000" w:themeColor="text1"/>
        </w:rPr>
        <w:t>积极型、平衡型、稳健型累计分别上涨</w:t>
      </w:r>
      <w:r w:rsidRPr="001E12CF">
        <w:rPr>
          <w:rFonts w:ascii="楷体_GB2312" w:eastAsia="楷体_GB2312"/>
          <w:b/>
          <w:noProof/>
          <w:color w:val="000000" w:themeColor="text1"/>
        </w:rPr>
        <w:t>157.93%</w:t>
      </w:r>
      <w:r>
        <w:rPr>
          <w:rFonts w:ascii="楷体_GB2312" w:eastAsia="楷体_GB2312" w:hint="eastAsia"/>
          <w:b/>
          <w:noProof/>
          <w:color w:val="000000" w:themeColor="text1"/>
        </w:rPr>
        <w:t>、</w:t>
      </w:r>
      <w:r w:rsidRPr="001E12CF">
        <w:rPr>
          <w:rFonts w:ascii="楷体_GB2312" w:eastAsia="楷体_GB2312"/>
          <w:b/>
          <w:noProof/>
          <w:color w:val="000000" w:themeColor="text1"/>
        </w:rPr>
        <w:t>103.64%</w:t>
      </w:r>
      <w:r>
        <w:rPr>
          <w:rFonts w:ascii="楷体_GB2312" w:eastAsia="楷体_GB2312" w:hint="eastAsia"/>
          <w:b/>
          <w:noProof/>
          <w:color w:val="000000" w:themeColor="text1"/>
        </w:rPr>
        <w:t>、</w:t>
      </w:r>
      <w:r>
        <w:rPr>
          <w:rFonts w:ascii="楷体_GB2312" w:eastAsia="楷体_GB2312"/>
          <w:b/>
          <w:noProof/>
          <w:color w:val="000000" w:themeColor="text1"/>
        </w:rPr>
        <w:t>25.93</w:t>
      </w:r>
      <w:r w:rsidRPr="00A839BE">
        <w:rPr>
          <w:rFonts w:ascii="楷体_GB2312" w:eastAsia="楷体_GB2312"/>
          <w:b/>
          <w:noProof/>
          <w:color w:val="000000" w:themeColor="text1"/>
        </w:rPr>
        <w:t>%</w:t>
      </w:r>
      <w:r w:rsidRPr="00DA1BEC">
        <w:rPr>
          <w:rFonts w:ascii="楷体_GB2312" w:eastAsia="楷体_GB2312" w:hint="eastAsia"/>
          <w:noProof/>
          <w:color w:val="000000" w:themeColor="text1"/>
        </w:rPr>
        <w:t>，分别超越相应基准</w:t>
      </w:r>
      <w:r>
        <w:rPr>
          <w:rFonts w:ascii="楷体_GB2312" w:eastAsia="楷体_GB2312"/>
          <w:b/>
          <w:noProof/>
          <w:color w:val="000000" w:themeColor="text1"/>
        </w:rPr>
        <w:t>87.05</w:t>
      </w:r>
      <w:r>
        <w:rPr>
          <w:rFonts w:ascii="楷体_GB2312" w:eastAsia="楷体_GB2312" w:hint="eastAsia"/>
          <w:b/>
          <w:noProof/>
          <w:color w:val="000000" w:themeColor="text1"/>
        </w:rPr>
        <w:t>、</w:t>
      </w:r>
      <w:r>
        <w:rPr>
          <w:rFonts w:ascii="楷体_GB2312" w:eastAsia="楷体_GB2312"/>
          <w:b/>
          <w:noProof/>
          <w:color w:val="000000" w:themeColor="text1"/>
        </w:rPr>
        <w:t>50.08</w:t>
      </w:r>
      <w:r>
        <w:rPr>
          <w:rFonts w:ascii="楷体_GB2312" w:eastAsia="楷体_GB2312" w:hint="eastAsia"/>
          <w:b/>
          <w:noProof/>
          <w:color w:val="000000" w:themeColor="text1"/>
        </w:rPr>
        <w:t>、</w:t>
      </w:r>
      <w:r w:rsidRPr="001E12CF">
        <w:rPr>
          <w:rFonts w:ascii="楷体_GB2312" w:eastAsia="楷体_GB2312"/>
          <w:b/>
          <w:noProof/>
          <w:color w:val="000000" w:themeColor="text1"/>
        </w:rPr>
        <w:t>11.62</w:t>
      </w:r>
      <w:r w:rsidRPr="00DA1BEC">
        <w:rPr>
          <w:rFonts w:ascii="楷体_GB2312" w:eastAsia="楷体_GB2312" w:hint="eastAsia"/>
          <w:noProof/>
          <w:color w:val="000000" w:themeColor="text1"/>
        </w:rPr>
        <w:t>个百分点。2015年</w:t>
      </w:r>
      <w:r>
        <w:rPr>
          <w:rFonts w:ascii="楷体_GB2312" w:eastAsia="楷体_GB2312" w:hint="eastAsia"/>
          <w:noProof/>
          <w:color w:val="000000" w:themeColor="text1"/>
        </w:rPr>
        <w:t>6</w:t>
      </w:r>
      <w:r w:rsidRPr="00DA1BEC">
        <w:rPr>
          <w:rFonts w:ascii="楷体_GB2312" w:eastAsia="楷体_GB2312" w:hint="eastAsia"/>
          <w:noProof/>
          <w:color w:val="000000" w:themeColor="text1"/>
        </w:rPr>
        <w:t>月，</w:t>
      </w:r>
      <w:r>
        <w:rPr>
          <w:rFonts w:ascii="楷体_GB2312" w:eastAsia="楷体_GB2312" w:hint="eastAsia"/>
          <w:noProof/>
          <w:color w:val="000000" w:themeColor="text1"/>
        </w:rPr>
        <w:t>受累股指断崖式下跌，</w:t>
      </w:r>
      <w:r w:rsidRPr="00DA1BEC">
        <w:rPr>
          <w:rFonts w:ascii="楷体_GB2312" w:eastAsia="楷体_GB2312" w:hint="eastAsia"/>
          <w:noProof/>
          <w:color w:val="000000" w:themeColor="text1"/>
        </w:rPr>
        <w:t>上海证券旗下基金组合全部</w:t>
      </w:r>
      <w:r>
        <w:rPr>
          <w:rFonts w:ascii="楷体_GB2312" w:eastAsia="楷体_GB2312" w:hint="eastAsia"/>
          <w:noProof/>
          <w:color w:val="000000" w:themeColor="text1"/>
        </w:rPr>
        <w:t>亏损</w:t>
      </w:r>
      <w:r w:rsidRPr="00DA1BEC">
        <w:rPr>
          <w:rFonts w:ascii="楷体_GB2312" w:eastAsia="楷体_GB2312" w:hint="eastAsia"/>
          <w:noProof/>
          <w:color w:val="000000" w:themeColor="text1"/>
        </w:rPr>
        <w:t>，</w:t>
      </w:r>
      <w:r>
        <w:rPr>
          <w:rFonts w:ascii="楷体_GB2312" w:eastAsia="楷体_GB2312" w:hint="eastAsia"/>
          <w:noProof/>
          <w:color w:val="000000" w:themeColor="text1"/>
        </w:rPr>
        <w:t>其中</w:t>
      </w:r>
      <w:r w:rsidRPr="00DA1BEC">
        <w:rPr>
          <w:rFonts w:ascii="楷体_GB2312" w:eastAsia="楷体_GB2312" w:hint="eastAsia"/>
          <w:noProof/>
          <w:color w:val="000000" w:themeColor="text1"/>
        </w:rPr>
        <w:t>积极型</w:t>
      </w:r>
      <w:r>
        <w:rPr>
          <w:rFonts w:ascii="楷体_GB2312" w:eastAsia="楷体_GB2312" w:hint="eastAsia"/>
          <w:noProof/>
          <w:color w:val="000000" w:themeColor="text1"/>
        </w:rPr>
        <w:t>、</w:t>
      </w:r>
      <w:r w:rsidRPr="00DA1BEC">
        <w:rPr>
          <w:rFonts w:ascii="楷体_GB2312" w:eastAsia="楷体_GB2312" w:hint="eastAsia"/>
          <w:noProof/>
          <w:color w:val="000000" w:themeColor="text1"/>
        </w:rPr>
        <w:t>平衡型组合</w:t>
      </w:r>
      <w:r>
        <w:rPr>
          <w:rFonts w:ascii="楷体_GB2312" w:eastAsia="楷体_GB2312" w:hint="eastAsia"/>
          <w:noProof/>
          <w:color w:val="000000" w:themeColor="text1"/>
        </w:rPr>
        <w:t>分别下跌</w:t>
      </w:r>
      <w:r w:rsidRPr="001E12CF">
        <w:rPr>
          <w:rFonts w:ascii="楷体_GB2312" w:eastAsia="楷体_GB2312"/>
          <w:noProof/>
          <w:color w:val="000000" w:themeColor="text1"/>
        </w:rPr>
        <w:t>6.75</w:t>
      </w:r>
      <w:r>
        <w:rPr>
          <w:rFonts w:ascii="楷体_GB2312" w:eastAsia="楷体_GB2312" w:hint="eastAsia"/>
          <w:noProof/>
          <w:color w:val="000000" w:themeColor="text1"/>
        </w:rPr>
        <w:t>、</w:t>
      </w:r>
      <w:r w:rsidRPr="001E12CF">
        <w:rPr>
          <w:rFonts w:ascii="楷体_GB2312" w:eastAsia="楷体_GB2312"/>
          <w:noProof/>
          <w:color w:val="000000" w:themeColor="text1"/>
        </w:rPr>
        <w:t>4.73%</w:t>
      </w:r>
      <w:r>
        <w:rPr>
          <w:rFonts w:ascii="楷体_GB2312" w:eastAsia="楷体_GB2312" w:hint="eastAsia"/>
          <w:noProof/>
          <w:color w:val="000000" w:themeColor="text1"/>
        </w:rPr>
        <w:t>，但大幅超越业绩比较基准和市场整体表现，体现出良好的风险控制水平，这应当归因于我们在之前就对跌幅最大的创业板进行回避</w:t>
      </w:r>
      <w:r w:rsidRPr="00DA1BEC">
        <w:rPr>
          <w:rFonts w:ascii="楷体_GB2312" w:eastAsia="楷体_GB2312" w:hint="eastAsia"/>
          <w:noProof/>
          <w:color w:val="000000" w:themeColor="text1"/>
        </w:rPr>
        <w:t>。</w:t>
      </w:r>
    </w:p>
    <w:p w:rsidR="009A18F4" w:rsidRPr="00144B03" w:rsidRDefault="009A18F4" w:rsidP="009A18F4">
      <w:pPr>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t>表3 组合业绩回顾</w:t>
      </w:r>
    </w:p>
    <w:tbl>
      <w:tblPr>
        <w:tblW w:w="5000" w:type="pct"/>
        <w:tblLook w:val="04A0"/>
      </w:tblPr>
      <w:tblGrid>
        <w:gridCol w:w="1366"/>
        <w:gridCol w:w="1366"/>
        <w:gridCol w:w="1367"/>
        <w:gridCol w:w="1369"/>
        <w:gridCol w:w="1367"/>
        <w:gridCol w:w="1367"/>
        <w:gridCol w:w="1369"/>
      </w:tblGrid>
      <w:tr w:rsidR="009A18F4" w:rsidRPr="00BD1E88" w:rsidTr="00E74D90">
        <w:trPr>
          <w:trHeight w:val="285"/>
        </w:trPr>
        <w:tc>
          <w:tcPr>
            <w:tcW w:w="714" w:type="pct"/>
            <w:vMerge w:val="restart"/>
            <w:tcBorders>
              <w:top w:val="single" w:sz="8" w:space="0" w:color="auto"/>
              <w:left w:val="single" w:sz="8" w:space="0" w:color="auto"/>
              <w:bottom w:val="single" w:sz="8" w:space="0" w:color="000000"/>
              <w:right w:val="single" w:sz="8" w:space="0" w:color="auto"/>
            </w:tcBorders>
            <w:shd w:val="clear" w:color="000000" w:fill="666699"/>
            <w:noWrap/>
            <w:vAlign w:val="bottom"/>
            <w:hideMark/>
          </w:tcPr>
          <w:p w:rsidR="009A18F4" w:rsidRPr="00BD1E88" w:rsidRDefault="009A18F4" w:rsidP="00E74D90">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组合类型</w:t>
            </w:r>
          </w:p>
        </w:tc>
        <w:tc>
          <w:tcPr>
            <w:tcW w:w="2143" w:type="pct"/>
            <w:gridSpan w:val="3"/>
            <w:tcBorders>
              <w:top w:val="nil"/>
              <w:left w:val="nil"/>
              <w:bottom w:val="nil"/>
              <w:right w:val="single" w:sz="8" w:space="0" w:color="000000"/>
            </w:tcBorders>
            <w:shd w:val="clear" w:color="000000" w:fill="666699"/>
            <w:noWrap/>
            <w:vAlign w:val="bottom"/>
            <w:hideMark/>
          </w:tcPr>
          <w:p w:rsidR="009A18F4" w:rsidRPr="00BD1E88" w:rsidRDefault="009A18F4" w:rsidP="00E74D90">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201</w:t>
            </w:r>
            <w:r>
              <w:rPr>
                <w:rFonts w:ascii="楷体_GB2312" w:eastAsia="楷体_GB2312" w:hAnsi="宋体" w:cs="宋体" w:hint="eastAsia"/>
                <w:b/>
                <w:bCs/>
                <w:color w:val="FFFFFF"/>
                <w:kern w:val="0"/>
                <w:szCs w:val="21"/>
              </w:rPr>
              <w:t>5</w:t>
            </w:r>
            <w:r w:rsidRPr="00BD1E88">
              <w:rPr>
                <w:rFonts w:ascii="楷体_GB2312" w:eastAsia="楷体_GB2312" w:hAnsi="宋体" w:cs="宋体" w:hint="eastAsia"/>
                <w:b/>
                <w:bCs/>
                <w:color w:val="FFFFFF"/>
                <w:kern w:val="0"/>
                <w:szCs w:val="21"/>
              </w:rPr>
              <w:t>年</w:t>
            </w:r>
            <w:r>
              <w:rPr>
                <w:rFonts w:ascii="楷体_GB2312" w:eastAsia="楷体_GB2312" w:hAnsi="宋体" w:cs="宋体" w:hint="eastAsia"/>
                <w:b/>
                <w:bCs/>
                <w:color w:val="FFFFFF"/>
                <w:kern w:val="0"/>
                <w:szCs w:val="21"/>
              </w:rPr>
              <w:t>6</w:t>
            </w:r>
            <w:r w:rsidRPr="00BD1E88">
              <w:rPr>
                <w:rFonts w:ascii="楷体_GB2312" w:eastAsia="楷体_GB2312" w:hAnsi="宋体" w:cs="宋体" w:hint="eastAsia"/>
                <w:b/>
                <w:bCs/>
                <w:color w:val="FFFFFF"/>
                <w:kern w:val="0"/>
                <w:szCs w:val="21"/>
              </w:rPr>
              <w:t>月</w:t>
            </w:r>
          </w:p>
        </w:tc>
        <w:tc>
          <w:tcPr>
            <w:tcW w:w="2143" w:type="pct"/>
            <w:gridSpan w:val="3"/>
            <w:tcBorders>
              <w:top w:val="nil"/>
              <w:left w:val="nil"/>
              <w:bottom w:val="nil"/>
              <w:right w:val="nil"/>
            </w:tcBorders>
            <w:shd w:val="clear" w:color="000000" w:fill="666699"/>
            <w:noWrap/>
            <w:vAlign w:val="bottom"/>
            <w:hideMark/>
          </w:tcPr>
          <w:p w:rsidR="009A18F4" w:rsidRPr="00BD1E88" w:rsidRDefault="009A18F4" w:rsidP="00E74D90">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组合设立以来</w:t>
            </w:r>
          </w:p>
        </w:tc>
      </w:tr>
      <w:tr w:rsidR="009A18F4" w:rsidRPr="00BD1E88" w:rsidTr="00E74D90">
        <w:trPr>
          <w:trHeight w:val="300"/>
        </w:trPr>
        <w:tc>
          <w:tcPr>
            <w:tcW w:w="714" w:type="pct"/>
            <w:vMerge/>
            <w:tcBorders>
              <w:top w:val="single" w:sz="8" w:space="0" w:color="auto"/>
              <w:left w:val="single" w:sz="8" w:space="0" w:color="auto"/>
              <w:bottom w:val="single" w:sz="8" w:space="0" w:color="000000"/>
              <w:right w:val="single" w:sz="8" w:space="0" w:color="auto"/>
            </w:tcBorders>
            <w:vAlign w:val="center"/>
            <w:hideMark/>
          </w:tcPr>
          <w:p w:rsidR="009A18F4" w:rsidRPr="00BD1E88" w:rsidRDefault="009A18F4" w:rsidP="00E74D90">
            <w:pPr>
              <w:widowControl/>
              <w:jc w:val="left"/>
              <w:rPr>
                <w:rFonts w:ascii="楷体_GB2312" w:eastAsia="楷体_GB2312" w:hAnsi="宋体" w:cs="宋体"/>
                <w:b/>
                <w:bCs/>
                <w:color w:val="FFFFFF"/>
                <w:kern w:val="0"/>
                <w:szCs w:val="21"/>
              </w:rPr>
            </w:pP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E74D90">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E74D90">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9A18F4" w:rsidRPr="00BD1E88" w:rsidRDefault="009A18F4" w:rsidP="00E74D90">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E74D90">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E74D90">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9A18F4" w:rsidRPr="00BD1E88" w:rsidRDefault="009A18F4" w:rsidP="00E74D90">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r>
      <w:tr w:rsidR="009A18F4" w:rsidRPr="00BD1E88" w:rsidTr="00E74D90">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A18F4" w:rsidRPr="00BD1E88" w:rsidRDefault="009A18F4" w:rsidP="00E74D90">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积极型</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F8674B" w:rsidRDefault="009A18F4" w:rsidP="00E74D90">
            <w:pPr>
              <w:jc w:val="center"/>
              <w:rPr>
                <w:color w:val="FF0000"/>
              </w:rPr>
            </w:pPr>
            <w:r w:rsidRPr="00F8674B">
              <w:rPr>
                <w:rFonts w:hint="eastAsia"/>
                <w:color w:val="FF0000"/>
              </w:rPr>
              <w:t>-6.75%</w:t>
            </w:r>
          </w:p>
        </w:tc>
        <w:tc>
          <w:tcPr>
            <w:tcW w:w="714" w:type="pct"/>
            <w:tcBorders>
              <w:top w:val="nil"/>
              <w:left w:val="nil"/>
              <w:bottom w:val="single" w:sz="8" w:space="0" w:color="auto"/>
              <w:right w:val="single" w:sz="8" w:space="0" w:color="auto"/>
            </w:tcBorders>
            <w:shd w:val="clear" w:color="auto" w:fill="auto"/>
            <w:noWrap/>
            <w:vAlign w:val="center"/>
            <w:hideMark/>
          </w:tcPr>
          <w:p w:rsidR="009A18F4" w:rsidRPr="00F8674B" w:rsidRDefault="009A18F4" w:rsidP="00E74D90">
            <w:pPr>
              <w:jc w:val="center"/>
              <w:rPr>
                <w:color w:val="FF0000"/>
              </w:rPr>
            </w:pPr>
            <w:r w:rsidRPr="00F8674B">
              <w:rPr>
                <w:rFonts w:hint="eastAsia"/>
                <w:color w:val="FF0000"/>
              </w:rPr>
              <w:t>-12.17%</w:t>
            </w:r>
          </w:p>
        </w:tc>
        <w:tc>
          <w:tcPr>
            <w:tcW w:w="715" w:type="pct"/>
            <w:tcBorders>
              <w:top w:val="nil"/>
              <w:left w:val="nil"/>
              <w:bottom w:val="single" w:sz="8" w:space="0" w:color="auto"/>
              <w:right w:val="single" w:sz="8" w:space="0" w:color="auto"/>
            </w:tcBorders>
            <w:shd w:val="clear" w:color="auto" w:fill="auto"/>
            <w:noWrap/>
            <w:hideMark/>
          </w:tcPr>
          <w:p w:rsidR="009A18F4" w:rsidRPr="00F8674B" w:rsidRDefault="009A18F4" w:rsidP="00E74D90">
            <w:pPr>
              <w:jc w:val="center"/>
              <w:rPr>
                <w:color w:val="0D0D0D"/>
              </w:rPr>
            </w:pPr>
            <w:r w:rsidRPr="00F8674B">
              <w:rPr>
                <w:color w:val="0D0D0D"/>
              </w:rPr>
              <w:t>5.42%</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F8674B" w:rsidRDefault="009A18F4" w:rsidP="00E74D90">
            <w:pPr>
              <w:jc w:val="center"/>
              <w:rPr>
                <w:color w:val="0D0D0D"/>
              </w:rPr>
            </w:pPr>
            <w:r>
              <w:rPr>
                <w:rFonts w:hint="eastAsia"/>
                <w:color w:val="0D0D0D"/>
              </w:rPr>
              <w:t>157.93%</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F8674B" w:rsidRDefault="009A18F4" w:rsidP="00E74D90">
            <w:pPr>
              <w:jc w:val="center"/>
              <w:rPr>
                <w:color w:val="0D0D0D"/>
              </w:rPr>
            </w:pPr>
            <w:r>
              <w:rPr>
                <w:rFonts w:hint="eastAsia"/>
                <w:color w:val="0D0D0D"/>
              </w:rPr>
              <w:t>70.88%</w:t>
            </w:r>
          </w:p>
        </w:tc>
        <w:tc>
          <w:tcPr>
            <w:tcW w:w="715" w:type="pct"/>
            <w:tcBorders>
              <w:top w:val="nil"/>
              <w:left w:val="nil"/>
              <w:bottom w:val="single" w:sz="8" w:space="0" w:color="auto"/>
              <w:right w:val="single" w:sz="8" w:space="0" w:color="auto"/>
            </w:tcBorders>
            <w:shd w:val="clear" w:color="auto" w:fill="auto"/>
            <w:noWrap/>
            <w:hideMark/>
          </w:tcPr>
          <w:p w:rsidR="009A18F4" w:rsidRPr="00F8674B" w:rsidRDefault="009A18F4" w:rsidP="00E74D90">
            <w:pPr>
              <w:jc w:val="center"/>
              <w:rPr>
                <w:color w:val="0D0D0D"/>
              </w:rPr>
            </w:pPr>
            <w:r w:rsidRPr="00F8674B">
              <w:rPr>
                <w:color w:val="0D0D0D"/>
              </w:rPr>
              <w:t>87.05%</w:t>
            </w:r>
          </w:p>
        </w:tc>
      </w:tr>
      <w:tr w:rsidR="009A18F4" w:rsidRPr="00BD1E88" w:rsidTr="00E74D90">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A18F4" w:rsidRPr="00BD1E88" w:rsidRDefault="009A18F4" w:rsidP="00E74D90">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平衡型</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F8674B" w:rsidRDefault="009A18F4" w:rsidP="00E74D90">
            <w:pPr>
              <w:jc w:val="center"/>
              <w:rPr>
                <w:color w:val="FF0000"/>
              </w:rPr>
            </w:pPr>
            <w:r w:rsidRPr="00F8674B">
              <w:rPr>
                <w:rFonts w:hint="eastAsia"/>
                <w:color w:val="FF0000"/>
              </w:rPr>
              <w:t>-4.73%</w:t>
            </w:r>
          </w:p>
        </w:tc>
        <w:tc>
          <w:tcPr>
            <w:tcW w:w="714" w:type="pct"/>
            <w:tcBorders>
              <w:top w:val="nil"/>
              <w:left w:val="nil"/>
              <w:bottom w:val="single" w:sz="8" w:space="0" w:color="auto"/>
              <w:right w:val="single" w:sz="8" w:space="0" w:color="auto"/>
            </w:tcBorders>
            <w:shd w:val="clear" w:color="auto" w:fill="auto"/>
            <w:noWrap/>
            <w:vAlign w:val="center"/>
            <w:hideMark/>
          </w:tcPr>
          <w:p w:rsidR="009A18F4" w:rsidRPr="00F8674B" w:rsidRDefault="009A18F4" w:rsidP="00E74D90">
            <w:pPr>
              <w:jc w:val="center"/>
              <w:rPr>
                <w:color w:val="FF0000"/>
              </w:rPr>
            </w:pPr>
            <w:r w:rsidRPr="00F8674B">
              <w:rPr>
                <w:rFonts w:hint="eastAsia"/>
                <w:color w:val="FF0000"/>
              </w:rPr>
              <w:t>-7.01%</w:t>
            </w:r>
          </w:p>
        </w:tc>
        <w:tc>
          <w:tcPr>
            <w:tcW w:w="715" w:type="pct"/>
            <w:tcBorders>
              <w:top w:val="nil"/>
              <w:left w:val="nil"/>
              <w:bottom w:val="single" w:sz="8" w:space="0" w:color="auto"/>
              <w:right w:val="single" w:sz="8" w:space="0" w:color="auto"/>
            </w:tcBorders>
            <w:shd w:val="clear" w:color="auto" w:fill="auto"/>
            <w:noWrap/>
            <w:hideMark/>
          </w:tcPr>
          <w:p w:rsidR="009A18F4" w:rsidRPr="00F8674B" w:rsidRDefault="009A18F4" w:rsidP="00E74D90">
            <w:pPr>
              <w:jc w:val="center"/>
              <w:rPr>
                <w:color w:val="0D0D0D"/>
              </w:rPr>
            </w:pPr>
            <w:r w:rsidRPr="00F8674B">
              <w:rPr>
                <w:color w:val="0D0D0D"/>
              </w:rPr>
              <w:t>2.28%</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F8674B" w:rsidRDefault="009A18F4" w:rsidP="00E74D90">
            <w:pPr>
              <w:jc w:val="center"/>
              <w:rPr>
                <w:color w:val="0D0D0D"/>
              </w:rPr>
            </w:pPr>
            <w:r>
              <w:rPr>
                <w:rFonts w:hint="eastAsia"/>
                <w:color w:val="0D0D0D"/>
              </w:rPr>
              <w:t>103.64%</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F8674B" w:rsidRDefault="009A18F4" w:rsidP="00E74D90">
            <w:pPr>
              <w:jc w:val="center"/>
              <w:rPr>
                <w:color w:val="0D0D0D"/>
              </w:rPr>
            </w:pPr>
            <w:r>
              <w:rPr>
                <w:rFonts w:hint="eastAsia"/>
                <w:color w:val="0D0D0D"/>
              </w:rPr>
              <w:t>53.56%</w:t>
            </w:r>
          </w:p>
        </w:tc>
        <w:tc>
          <w:tcPr>
            <w:tcW w:w="715" w:type="pct"/>
            <w:tcBorders>
              <w:top w:val="nil"/>
              <w:left w:val="nil"/>
              <w:bottom w:val="single" w:sz="8" w:space="0" w:color="auto"/>
              <w:right w:val="single" w:sz="8" w:space="0" w:color="auto"/>
            </w:tcBorders>
            <w:shd w:val="clear" w:color="auto" w:fill="auto"/>
            <w:noWrap/>
            <w:hideMark/>
          </w:tcPr>
          <w:p w:rsidR="009A18F4" w:rsidRPr="00F8674B" w:rsidRDefault="009A18F4" w:rsidP="00E74D90">
            <w:pPr>
              <w:jc w:val="center"/>
              <w:rPr>
                <w:color w:val="0D0D0D"/>
              </w:rPr>
            </w:pPr>
            <w:r w:rsidRPr="00F8674B">
              <w:rPr>
                <w:color w:val="0D0D0D"/>
              </w:rPr>
              <w:t>50.08%</w:t>
            </w:r>
          </w:p>
        </w:tc>
      </w:tr>
      <w:tr w:rsidR="009A18F4" w:rsidRPr="00BD1E88" w:rsidTr="00E74D90">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A18F4" w:rsidRPr="00BD1E88" w:rsidRDefault="009A18F4" w:rsidP="00E74D90">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稳健型</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F8674B" w:rsidRDefault="009A18F4" w:rsidP="00E74D90">
            <w:pPr>
              <w:jc w:val="center"/>
              <w:rPr>
                <w:color w:val="0D0D0D"/>
              </w:rPr>
            </w:pPr>
            <w:r w:rsidRPr="00F8674B">
              <w:rPr>
                <w:rFonts w:hint="eastAsia"/>
                <w:color w:val="FF0000"/>
              </w:rPr>
              <w:t>-0.08%</w:t>
            </w:r>
          </w:p>
        </w:tc>
        <w:tc>
          <w:tcPr>
            <w:tcW w:w="714" w:type="pct"/>
            <w:tcBorders>
              <w:top w:val="nil"/>
              <w:left w:val="nil"/>
              <w:bottom w:val="single" w:sz="8" w:space="0" w:color="auto"/>
              <w:right w:val="single" w:sz="8" w:space="0" w:color="auto"/>
            </w:tcBorders>
            <w:shd w:val="clear" w:color="auto" w:fill="auto"/>
            <w:noWrap/>
            <w:vAlign w:val="center"/>
            <w:hideMark/>
          </w:tcPr>
          <w:p w:rsidR="009A18F4" w:rsidRPr="00F8674B" w:rsidRDefault="009A18F4" w:rsidP="00E74D90">
            <w:pPr>
              <w:jc w:val="center"/>
              <w:rPr>
                <w:color w:val="0D0D0D"/>
              </w:rPr>
            </w:pPr>
            <w:r w:rsidRPr="00F8674B">
              <w:rPr>
                <w:rFonts w:hint="eastAsia"/>
                <w:color w:val="0D0D0D"/>
              </w:rPr>
              <w:t>0.18%</w:t>
            </w:r>
          </w:p>
        </w:tc>
        <w:tc>
          <w:tcPr>
            <w:tcW w:w="715" w:type="pct"/>
            <w:tcBorders>
              <w:top w:val="nil"/>
              <w:left w:val="nil"/>
              <w:bottom w:val="single" w:sz="8" w:space="0" w:color="auto"/>
              <w:right w:val="single" w:sz="8" w:space="0" w:color="auto"/>
            </w:tcBorders>
            <w:shd w:val="clear" w:color="auto" w:fill="auto"/>
            <w:noWrap/>
            <w:hideMark/>
          </w:tcPr>
          <w:p w:rsidR="009A18F4" w:rsidRPr="00F8674B" w:rsidRDefault="009A18F4" w:rsidP="00E74D90">
            <w:pPr>
              <w:jc w:val="center"/>
              <w:rPr>
                <w:color w:val="FF0000"/>
              </w:rPr>
            </w:pPr>
            <w:r w:rsidRPr="00F8674B">
              <w:rPr>
                <w:color w:val="FF0000"/>
              </w:rPr>
              <w:t>-0.26%</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F8674B" w:rsidRDefault="009A18F4" w:rsidP="00E74D90">
            <w:pPr>
              <w:jc w:val="center"/>
              <w:rPr>
                <w:color w:val="0D0D0D"/>
              </w:rPr>
            </w:pPr>
            <w:r>
              <w:rPr>
                <w:rFonts w:hint="eastAsia"/>
                <w:color w:val="0D0D0D"/>
              </w:rPr>
              <w:t>25.93%</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F8674B" w:rsidRDefault="009A18F4" w:rsidP="00E74D90">
            <w:pPr>
              <w:jc w:val="center"/>
              <w:rPr>
                <w:color w:val="0D0D0D"/>
              </w:rPr>
            </w:pPr>
            <w:r>
              <w:rPr>
                <w:rFonts w:hint="eastAsia"/>
                <w:color w:val="0D0D0D"/>
              </w:rPr>
              <w:t>14.31%</w:t>
            </w:r>
          </w:p>
        </w:tc>
        <w:tc>
          <w:tcPr>
            <w:tcW w:w="715" w:type="pct"/>
            <w:tcBorders>
              <w:top w:val="nil"/>
              <w:left w:val="nil"/>
              <w:bottom w:val="single" w:sz="8" w:space="0" w:color="auto"/>
              <w:right w:val="single" w:sz="8" w:space="0" w:color="auto"/>
            </w:tcBorders>
            <w:shd w:val="clear" w:color="auto" w:fill="auto"/>
            <w:noWrap/>
            <w:hideMark/>
          </w:tcPr>
          <w:p w:rsidR="009A18F4" w:rsidRPr="00F8674B" w:rsidRDefault="009A18F4" w:rsidP="00E74D90">
            <w:pPr>
              <w:jc w:val="center"/>
              <w:rPr>
                <w:color w:val="0D0D0D"/>
              </w:rPr>
            </w:pPr>
            <w:r w:rsidRPr="00F8674B">
              <w:rPr>
                <w:color w:val="0D0D0D"/>
              </w:rPr>
              <w:t>11.62%</w:t>
            </w:r>
          </w:p>
        </w:tc>
      </w:tr>
      <w:tr w:rsidR="009A18F4" w:rsidRPr="00BD1E88" w:rsidTr="00E74D90">
        <w:trPr>
          <w:trHeight w:val="285"/>
        </w:trPr>
        <w:tc>
          <w:tcPr>
            <w:tcW w:w="714" w:type="pct"/>
            <w:vMerge w:val="restart"/>
            <w:tcBorders>
              <w:top w:val="nil"/>
              <w:left w:val="single" w:sz="8" w:space="0" w:color="auto"/>
              <w:bottom w:val="single" w:sz="8" w:space="0" w:color="000000"/>
              <w:right w:val="single" w:sz="8" w:space="0" w:color="auto"/>
            </w:tcBorders>
            <w:shd w:val="clear" w:color="000000" w:fill="666699"/>
            <w:noWrap/>
            <w:vAlign w:val="bottom"/>
            <w:hideMark/>
          </w:tcPr>
          <w:p w:rsidR="009A18F4" w:rsidRPr="00BD1E88" w:rsidRDefault="009A18F4" w:rsidP="00E74D90">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组合类型</w:t>
            </w:r>
          </w:p>
        </w:tc>
        <w:tc>
          <w:tcPr>
            <w:tcW w:w="2143" w:type="pct"/>
            <w:gridSpan w:val="3"/>
            <w:tcBorders>
              <w:top w:val="nil"/>
              <w:left w:val="nil"/>
              <w:bottom w:val="nil"/>
              <w:right w:val="single" w:sz="8" w:space="0" w:color="000000"/>
            </w:tcBorders>
            <w:shd w:val="clear" w:color="000000" w:fill="666699"/>
            <w:noWrap/>
            <w:vAlign w:val="bottom"/>
            <w:hideMark/>
          </w:tcPr>
          <w:p w:rsidR="009A18F4" w:rsidRPr="00BD1E88" w:rsidRDefault="009A18F4" w:rsidP="00E74D90">
            <w:pPr>
              <w:widowControl/>
              <w:jc w:val="center"/>
              <w:rPr>
                <w:rFonts w:ascii="楷体_GB2312" w:eastAsia="楷体_GB2312" w:hAnsi="宋体" w:cs="宋体"/>
                <w:b/>
                <w:bCs/>
                <w:color w:val="FFFFFF"/>
                <w:kern w:val="0"/>
                <w:szCs w:val="21"/>
              </w:rPr>
            </w:pPr>
            <w:r>
              <w:rPr>
                <w:rFonts w:ascii="楷体_GB2312" w:eastAsia="楷体_GB2312" w:hAnsi="宋体" w:cs="宋体" w:hint="eastAsia"/>
                <w:b/>
                <w:bCs/>
                <w:color w:val="FFFFFF"/>
                <w:kern w:val="0"/>
                <w:szCs w:val="21"/>
              </w:rPr>
              <w:t>2014年</w:t>
            </w:r>
            <w:r w:rsidRPr="00BD1E88">
              <w:rPr>
                <w:rFonts w:ascii="楷体_GB2312" w:eastAsia="楷体_GB2312" w:hAnsi="宋体" w:cs="宋体" w:hint="eastAsia"/>
                <w:b/>
                <w:bCs/>
                <w:color w:val="FFFFFF"/>
                <w:kern w:val="0"/>
                <w:szCs w:val="21"/>
              </w:rPr>
              <w:t>全年</w:t>
            </w:r>
          </w:p>
        </w:tc>
        <w:tc>
          <w:tcPr>
            <w:tcW w:w="2143" w:type="pct"/>
            <w:gridSpan w:val="3"/>
            <w:tcBorders>
              <w:top w:val="nil"/>
              <w:left w:val="nil"/>
              <w:bottom w:val="nil"/>
              <w:right w:val="nil"/>
            </w:tcBorders>
            <w:shd w:val="clear" w:color="000000" w:fill="666699"/>
            <w:noWrap/>
            <w:vAlign w:val="bottom"/>
            <w:hideMark/>
          </w:tcPr>
          <w:p w:rsidR="009A18F4" w:rsidRPr="00BD1E88" w:rsidRDefault="009A18F4" w:rsidP="00E74D90">
            <w:pPr>
              <w:widowControl/>
              <w:jc w:val="center"/>
              <w:rPr>
                <w:rFonts w:ascii="楷体_GB2312" w:eastAsia="楷体_GB2312" w:hAnsi="宋体" w:cs="宋体"/>
                <w:b/>
                <w:bCs/>
                <w:color w:val="FFFFFF"/>
                <w:kern w:val="0"/>
                <w:szCs w:val="21"/>
              </w:rPr>
            </w:pPr>
            <w:r>
              <w:rPr>
                <w:rFonts w:ascii="楷体_GB2312" w:eastAsia="楷体_GB2312" w:hAnsi="宋体" w:cs="宋体" w:hint="eastAsia"/>
                <w:b/>
                <w:bCs/>
                <w:color w:val="FFFFFF"/>
                <w:kern w:val="0"/>
                <w:szCs w:val="21"/>
              </w:rPr>
              <w:t>2013年全年</w:t>
            </w:r>
          </w:p>
        </w:tc>
      </w:tr>
      <w:tr w:rsidR="009A18F4" w:rsidRPr="00BD1E88" w:rsidTr="00E74D90">
        <w:trPr>
          <w:trHeight w:val="300"/>
        </w:trPr>
        <w:tc>
          <w:tcPr>
            <w:tcW w:w="714" w:type="pct"/>
            <w:vMerge/>
            <w:tcBorders>
              <w:top w:val="nil"/>
              <w:left w:val="single" w:sz="8" w:space="0" w:color="auto"/>
              <w:bottom w:val="single" w:sz="8" w:space="0" w:color="000000"/>
              <w:right w:val="single" w:sz="8" w:space="0" w:color="auto"/>
            </w:tcBorders>
            <w:vAlign w:val="center"/>
            <w:hideMark/>
          </w:tcPr>
          <w:p w:rsidR="009A18F4" w:rsidRPr="00BD1E88" w:rsidRDefault="009A18F4" w:rsidP="00E74D90">
            <w:pPr>
              <w:widowControl/>
              <w:jc w:val="left"/>
              <w:rPr>
                <w:rFonts w:ascii="楷体_GB2312" w:eastAsia="楷体_GB2312" w:hAnsi="宋体" w:cs="宋体"/>
                <w:b/>
                <w:bCs/>
                <w:color w:val="FFFFFF"/>
                <w:kern w:val="0"/>
                <w:szCs w:val="21"/>
              </w:rPr>
            </w:pP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E74D90">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E74D90">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9A18F4" w:rsidRPr="00BD1E88" w:rsidRDefault="009A18F4" w:rsidP="00E74D90">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E74D90">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E74D90">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9A18F4" w:rsidRPr="00BD1E88" w:rsidRDefault="009A18F4" w:rsidP="00E74D90">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r>
      <w:tr w:rsidR="009A18F4" w:rsidRPr="00BD1E88" w:rsidTr="00E74D90">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A18F4" w:rsidRPr="00BD1E88" w:rsidRDefault="009A18F4" w:rsidP="00E74D90">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积极型</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18F4" w:rsidRDefault="009A18F4" w:rsidP="00E74D90">
            <w:pPr>
              <w:jc w:val="center"/>
              <w:rPr>
                <w:rFonts w:ascii="宋体" w:hAnsi="宋体" w:cs="宋体"/>
                <w:color w:val="0D0D0D"/>
                <w:sz w:val="24"/>
              </w:rPr>
            </w:pPr>
            <w:r>
              <w:rPr>
                <w:rFonts w:hint="eastAsia"/>
                <w:color w:val="0D0D0D"/>
              </w:rPr>
              <w:t>54.94%</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rsidR="009A18F4" w:rsidRDefault="009A18F4" w:rsidP="00E74D90">
            <w:pPr>
              <w:jc w:val="center"/>
              <w:rPr>
                <w:rFonts w:ascii="宋体" w:hAnsi="宋体" w:cs="宋体"/>
                <w:color w:val="0D0D0D"/>
                <w:sz w:val="24"/>
              </w:rPr>
            </w:pPr>
            <w:r>
              <w:rPr>
                <w:rFonts w:hint="eastAsia"/>
                <w:color w:val="0D0D0D"/>
              </w:rPr>
              <w:t>21.76%</w:t>
            </w:r>
          </w:p>
        </w:tc>
        <w:tc>
          <w:tcPr>
            <w:tcW w:w="715" w:type="pct"/>
            <w:tcBorders>
              <w:top w:val="nil"/>
              <w:left w:val="nil"/>
              <w:bottom w:val="single" w:sz="8" w:space="0" w:color="auto"/>
              <w:right w:val="single" w:sz="8" w:space="0" w:color="auto"/>
            </w:tcBorders>
            <w:shd w:val="clear" w:color="auto" w:fill="auto"/>
            <w:noWrap/>
            <w:vAlign w:val="bottom"/>
            <w:hideMark/>
          </w:tcPr>
          <w:p w:rsidR="009A18F4" w:rsidRPr="003F21CF" w:rsidRDefault="009A18F4" w:rsidP="00E74D90">
            <w:pPr>
              <w:jc w:val="center"/>
              <w:rPr>
                <w:b/>
                <w:i/>
                <w:color w:val="0D0D0D"/>
              </w:rPr>
            </w:pPr>
            <w:r w:rsidRPr="003F21CF">
              <w:rPr>
                <w:rFonts w:hint="eastAsia"/>
                <w:b/>
                <w:i/>
                <w:color w:val="0D0D0D"/>
              </w:rPr>
              <w:t>28.08%</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5A3EE9" w:rsidRDefault="009A18F4" w:rsidP="00E74D90">
            <w:pPr>
              <w:jc w:val="center"/>
              <w:rPr>
                <w:i/>
                <w:color w:val="0D0D0D"/>
              </w:rPr>
            </w:pPr>
            <w:r w:rsidRPr="002D0839">
              <w:rPr>
                <w:rFonts w:hint="eastAsia"/>
                <w:i/>
                <w:color w:val="0D0D0D"/>
              </w:rPr>
              <w:t>30.22%</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2D0839" w:rsidRDefault="009A18F4" w:rsidP="00E74D90">
            <w:pPr>
              <w:jc w:val="center"/>
              <w:rPr>
                <w:rFonts w:ascii="宋体" w:hAnsi="宋体" w:cs="宋体"/>
                <w:i/>
                <w:color w:val="0D0D0D"/>
                <w:sz w:val="24"/>
              </w:rPr>
            </w:pPr>
            <w:r w:rsidRPr="002D0839">
              <w:rPr>
                <w:rFonts w:hint="eastAsia"/>
                <w:i/>
                <w:color w:val="0D0D0D"/>
              </w:rPr>
              <w:t>12.99%</w:t>
            </w:r>
          </w:p>
        </w:tc>
        <w:tc>
          <w:tcPr>
            <w:tcW w:w="715" w:type="pct"/>
            <w:tcBorders>
              <w:top w:val="nil"/>
              <w:left w:val="nil"/>
              <w:bottom w:val="single" w:sz="8" w:space="0" w:color="auto"/>
              <w:right w:val="single" w:sz="8" w:space="0" w:color="auto"/>
            </w:tcBorders>
            <w:shd w:val="clear" w:color="auto" w:fill="auto"/>
            <w:noWrap/>
            <w:vAlign w:val="bottom"/>
            <w:hideMark/>
          </w:tcPr>
          <w:p w:rsidR="009A18F4" w:rsidRPr="002D0839" w:rsidRDefault="009A18F4" w:rsidP="00E74D90">
            <w:pPr>
              <w:jc w:val="center"/>
              <w:rPr>
                <w:rFonts w:ascii="宋体" w:hAnsi="宋体" w:cs="宋体"/>
                <w:b/>
                <w:i/>
                <w:color w:val="0D0D0D"/>
                <w:sz w:val="24"/>
              </w:rPr>
            </w:pPr>
            <w:r w:rsidRPr="002D0839">
              <w:rPr>
                <w:rFonts w:hint="eastAsia"/>
                <w:b/>
                <w:i/>
                <w:color w:val="0D0D0D"/>
              </w:rPr>
              <w:t>15.93%</w:t>
            </w:r>
          </w:p>
        </w:tc>
      </w:tr>
      <w:tr w:rsidR="009A18F4" w:rsidRPr="00BD1E88" w:rsidTr="00E74D90">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A18F4" w:rsidRPr="00BD1E88" w:rsidRDefault="009A18F4" w:rsidP="00E74D90">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平衡型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9A18F4" w:rsidRDefault="009A18F4" w:rsidP="00E74D90">
            <w:pPr>
              <w:jc w:val="center"/>
              <w:rPr>
                <w:rFonts w:ascii="宋体" w:hAnsi="宋体" w:cs="宋体"/>
                <w:color w:val="0D0D0D"/>
                <w:sz w:val="24"/>
              </w:rPr>
            </w:pPr>
            <w:r>
              <w:rPr>
                <w:rFonts w:hint="eastAsia"/>
                <w:color w:val="0D0D0D"/>
              </w:rPr>
              <w:t>30.92%</w:t>
            </w:r>
          </w:p>
        </w:tc>
        <w:tc>
          <w:tcPr>
            <w:tcW w:w="714" w:type="pct"/>
            <w:tcBorders>
              <w:top w:val="nil"/>
              <w:left w:val="nil"/>
              <w:bottom w:val="single" w:sz="4" w:space="0" w:color="auto"/>
              <w:right w:val="single" w:sz="4" w:space="0" w:color="auto"/>
            </w:tcBorders>
            <w:shd w:val="clear" w:color="auto" w:fill="auto"/>
            <w:noWrap/>
            <w:vAlign w:val="bottom"/>
            <w:hideMark/>
          </w:tcPr>
          <w:p w:rsidR="009A18F4" w:rsidRDefault="009A18F4" w:rsidP="00E74D90">
            <w:pPr>
              <w:jc w:val="center"/>
              <w:rPr>
                <w:rFonts w:ascii="宋体" w:hAnsi="宋体" w:cs="宋体"/>
                <w:color w:val="0D0D0D"/>
                <w:sz w:val="24"/>
              </w:rPr>
            </w:pPr>
            <w:r>
              <w:rPr>
                <w:rFonts w:hint="eastAsia"/>
                <w:color w:val="0D0D0D"/>
              </w:rPr>
              <w:t>20.21%</w:t>
            </w:r>
          </w:p>
        </w:tc>
        <w:tc>
          <w:tcPr>
            <w:tcW w:w="715" w:type="pct"/>
            <w:tcBorders>
              <w:top w:val="nil"/>
              <w:left w:val="nil"/>
              <w:bottom w:val="single" w:sz="8" w:space="0" w:color="auto"/>
              <w:right w:val="single" w:sz="8" w:space="0" w:color="auto"/>
            </w:tcBorders>
            <w:shd w:val="clear" w:color="auto" w:fill="auto"/>
            <w:noWrap/>
            <w:vAlign w:val="bottom"/>
            <w:hideMark/>
          </w:tcPr>
          <w:p w:rsidR="009A18F4" w:rsidRPr="003F21CF" w:rsidRDefault="009A18F4" w:rsidP="00E74D90">
            <w:pPr>
              <w:jc w:val="center"/>
              <w:rPr>
                <w:b/>
                <w:i/>
                <w:color w:val="0D0D0D"/>
              </w:rPr>
            </w:pPr>
            <w:r w:rsidRPr="003F21CF">
              <w:rPr>
                <w:rFonts w:hint="eastAsia"/>
                <w:b/>
                <w:i/>
                <w:color w:val="0D0D0D"/>
              </w:rPr>
              <w:t>9.02%</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5A3EE9" w:rsidRDefault="009A18F4" w:rsidP="00E74D90">
            <w:pPr>
              <w:jc w:val="center"/>
              <w:rPr>
                <w:i/>
                <w:color w:val="0D0D0D"/>
              </w:rPr>
            </w:pPr>
            <w:r w:rsidRPr="002D0839">
              <w:rPr>
                <w:rFonts w:hint="eastAsia"/>
                <w:i/>
                <w:color w:val="0D0D0D"/>
              </w:rPr>
              <w:t>9.98%</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2D0839" w:rsidRDefault="009A18F4" w:rsidP="00E74D90">
            <w:pPr>
              <w:jc w:val="center"/>
              <w:rPr>
                <w:rFonts w:ascii="宋体" w:hAnsi="宋体" w:cs="宋体"/>
                <w:i/>
                <w:color w:val="0D0D0D"/>
                <w:sz w:val="24"/>
              </w:rPr>
            </w:pPr>
            <w:r w:rsidRPr="002D0839">
              <w:rPr>
                <w:rFonts w:hint="eastAsia"/>
                <w:i/>
                <w:color w:val="0D0D0D"/>
              </w:rPr>
              <w:t>8.27%</w:t>
            </w:r>
          </w:p>
        </w:tc>
        <w:tc>
          <w:tcPr>
            <w:tcW w:w="715" w:type="pct"/>
            <w:tcBorders>
              <w:top w:val="nil"/>
              <w:left w:val="nil"/>
              <w:bottom w:val="single" w:sz="8" w:space="0" w:color="auto"/>
              <w:right w:val="single" w:sz="8" w:space="0" w:color="auto"/>
            </w:tcBorders>
            <w:shd w:val="clear" w:color="auto" w:fill="auto"/>
            <w:noWrap/>
            <w:vAlign w:val="bottom"/>
            <w:hideMark/>
          </w:tcPr>
          <w:p w:rsidR="009A18F4" w:rsidRPr="002D0839" w:rsidRDefault="009A18F4" w:rsidP="00E74D90">
            <w:pPr>
              <w:jc w:val="center"/>
              <w:rPr>
                <w:rFonts w:ascii="宋体" w:hAnsi="宋体" w:cs="宋体"/>
                <w:b/>
                <w:i/>
                <w:color w:val="0D0D0D"/>
                <w:sz w:val="24"/>
              </w:rPr>
            </w:pPr>
            <w:r w:rsidRPr="002D0839">
              <w:rPr>
                <w:rFonts w:hint="eastAsia"/>
                <w:b/>
                <w:i/>
                <w:color w:val="0D0D0D"/>
              </w:rPr>
              <w:t>1.49%</w:t>
            </w:r>
          </w:p>
        </w:tc>
      </w:tr>
      <w:tr w:rsidR="009A18F4" w:rsidRPr="00BD1E88" w:rsidTr="00E74D90">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A18F4" w:rsidRPr="00BD1E88" w:rsidRDefault="009A18F4" w:rsidP="00E74D90">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稳健型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9A18F4" w:rsidRDefault="009A18F4" w:rsidP="00E74D90">
            <w:pPr>
              <w:jc w:val="center"/>
              <w:rPr>
                <w:rFonts w:ascii="宋体" w:hAnsi="宋体" w:cs="宋体"/>
                <w:color w:val="0D0D0D"/>
                <w:sz w:val="24"/>
              </w:rPr>
            </w:pPr>
            <w:r>
              <w:rPr>
                <w:rFonts w:hint="eastAsia"/>
                <w:color w:val="0D0D0D"/>
              </w:rPr>
              <w:t>8.23%</w:t>
            </w:r>
          </w:p>
        </w:tc>
        <w:tc>
          <w:tcPr>
            <w:tcW w:w="714" w:type="pct"/>
            <w:tcBorders>
              <w:top w:val="nil"/>
              <w:left w:val="nil"/>
              <w:bottom w:val="single" w:sz="4" w:space="0" w:color="auto"/>
              <w:right w:val="single" w:sz="4" w:space="0" w:color="auto"/>
            </w:tcBorders>
            <w:shd w:val="clear" w:color="auto" w:fill="auto"/>
            <w:noWrap/>
            <w:vAlign w:val="bottom"/>
            <w:hideMark/>
          </w:tcPr>
          <w:p w:rsidR="009A18F4" w:rsidRDefault="009A18F4" w:rsidP="00E74D90">
            <w:pPr>
              <w:jc w:val="center"/>
              <w:rPr>
                <w:rFonts w:ascii="宋体" w:hAnsi="宋体" w:cs="宋体"/>
                <w:color w:val="0D0D0D"/>
                <w:sz w:val="24"/>
              </w:rPr>
            </w:pPr>
            <w:r>
              <w:rPr>
                <w:rFonts w:hint="eastAsia"/>
                <w:color w:val="0D0D0D"/>
              </w:rPr>
              <w:t>3.05%</w:t>
            </w:r>
          </w:p>
        </w:tc>
        <w:tc>
          <w:tcPr>
            <w:tcW w:w="715" w:type="pct"/>
            <w:tcBorders>
              <w:top w:val="nil"/>
              <w:left w:val="nil"/>
              <w:bottom w:val="single" w:sz="8" w:space="0" w:color="auto"/>
              <w:right w:val="single" w:sz="8" w:space="0" w:color="auto"/>
            </w:tcBorders>
            <w:shd w:val="clear" w:color="auto" w:fill="auto"/>
            <w:noWrap/>
            <w:vAlign w:val="bottom"/>
            <w:hideMark/>
          </w:tcPr>
          <w:p w:rsidR="009A18F4" w:rsidRPr="003F21CF" w:rsidRDefault="009A18F4" w:rsidP="00E74D90">
            <w:pPr>
              <w:jc w:val="center"/>
              <w:rPr>
                <w:b/>
                <w:i/>
                <w:color w:val="0D0D0D"/>
              </w:rPr>
            </w:pPr>
            <w:r w:rsidRPr="003F21CF">
              <w:rPr>
                <w:rFonts w:hint="eastAsia"/>
                <w:b/>
                <w:i/>
                <w:color w:val="0D0D0D"/>
              </w:rPr>
              <w:t>5.04%</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9A18F4" w:rsidRPr="005A3EE9" w:rsidRDefault="009A18F4" w:rsidP="00E74D90">
            <w:pPr>
              <w:jc w:val="center"/>
              <w:rPr>
                <w:i/>
                <w:color w:val="0D0D0D"/>
              </w:rPr>
            </w:pPr>
            <w:r w:rsidRPr="002D0839">
              <w:rPr>
                <w:rFonts w:hint="eastAsia"/>
                <w:i/>
                <w:color w:val="0D0D0D"/>
              </w:rPr>
              <w:t>2.96%</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9A18F4" w:rsidRPr="002D0839" w:rsidRDefault="009A18F4" w:rsidP="00E74D90">
            <w:pPr>
              <w:jc w:val="center"/>
              <w:rPr>
                <w:rFonts w:ascii="宋体" w:hAnsi="宋体" w:cs="宋体"/>
                <w:i/>
                <w:color w:val="0D0D0D"/>
                <w:sz w:val="24"/>
              </w:rPr>
            </w:pPr>
            <w:r w:rsidRPr="002D0839">
              <w:rPr>
                <w:rFonts w:hint="eastAsia"/>
                <w:i/>
                <w:color w:val="0D0D0D"/>
              </w:rPr>
              <w:t>3.08%</w:t>
            </w:r>
          </w:p>
        </w:tc>
        <w:tc>
          <w:tcPr>
            <w:tcW w:w="715" w:type="pct"/>
            <w:tcBorders>
              <w:top w:val="single" w:sz="8" w:space="0" w:color="auto"/>
              <w:left w:val="nil"/>
              <w:bottom w:val="single" w:sz="8" w:space="0" w:color="auto"/>
              <w:right w:val="single" w:sz="8" w:space="0" w:color="auto"/>
            </w:tcBorders>
            <w:shd w:val="clear" w:color="auto" w:fill="auto"/>
            <w:noWrap/>
            <w:vAlign w:val="bottom"/>
            <w:hideMark/>
          </w:tcPr>
          <w:p w:rsidR="009A18F4" w:rsidRPr="002D0839" w:rsidRDefault="009A18F4" w:rsidP="00E74D90">
            <w:pPr>
              <w:jc w:val="center"/>
              <w:rPr>
                <w:rFonts w:ascii="宋体" w:hAnsi="宋体" w:cs="宋体"/>
                <w:b/>
                <w:i/>
                <w:color w:val="0D0D0D"/>
                <w:sz w:val="24"/>
              </w:rPr>
            </w:pPr>
            <w:r w:rsidRPr="002D0839">
              <w:rPr>
                <w:rFonts w:hint="eastAsia"/>
                <w:b/>
                <w:i/>
                <w:color w:val="FF0000"/>
              </w:rPr>
              <w:t>-0.12%</w:t>
            </w:r>
          </w:p>
        </w:tc>
      </w:tr>
      <w:tr w:rsidR="009A18F4" w:rsidRPr="00BD1E88" w:rsidTr="00E74D90">
        <w:trPr>
          <w:trHeight w:val="285"/>
        </w:trPr>
        <w:tc>
          <w:tcPr>
            <w:tcW w:w="714" w:type="pct"/>
            <w:vMerge w:val="restart"/>
            <w:tcBorders>
              <w:top w:val="nil"/>
              <w:left w:val="single" w:sz="8" w:space="0" w:color="auto"/>
              <w:bottom w:val="single" w:sz="8" w:space="0" w:color="000000"/>
              <w:right w:val="single" w:sz="8" w:space="0" w:color="auto"/>
            </w:tcBorders>
            <w:shd w:val="clear" w:color="000000" w:fill="666699"/>
            <w:noWrap/>
            <w:vAlign w:val="bottom"/>
            <w:hideMark/>
          </w:tcPr>
          <w:p w:rsidR="009A18F4" w:rsidRPr="00BD1E88" w:rsidRDefault="009A18F4" w:rsidP="00E74D90">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组合类型</w:t>
            </w:r>
          </w:p>
        </w:tc>
        <w:tc>
          <w:tcPr>
            <w:tcW w:w="2143" w:type="pct"/>
            <w:gridSpan w:val="3"/>
            <w:tcBorders>
              <w:top w:val="nil"/>
              <w:left w:val="nil"/>
              <w:bottom w:val="nil"/>
              <w:right w:val="single" w:sz="8" w:space="0" w:color="000000"/>
            </w:tcBorders>
            <w:shd w:val="clear" w:color="000000" w:fill="666699"/>
            <w:noWrap/>
            <w:vAlign w:val="bottom"/>
            <w:hideMark/>
          </w:tcPr>
          <w:p w:rsidR="009A18F4" w:rsidRPr="00BD1E88" w:rsidRDefault="009A18F4" w:rsidP="00E74D90">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2012年全年</w:t>
            </w:r>
          </w:p>
        </w:tc>
        <w:tc>
          <w:tcPr>
            <w:tcW w:w="2143" w:type="pct"/>
            <w:gridSpan w:val="3"/>
            <w:tcBorders>
              <w:top w:val="nil"/>
              <w:left w:val="nil"/>
              <w:bottom w:val="nil"/>
              <w:right w:val="nil"/>
            </w:tcBorders>
            <w:shd w:val="clear" w:color="000000" w:fill="666699"/>
            <w:noWrap/>
            <w:vAlign w:val="bottom"/>
            <w:hideMark/>
          </w:tcPr>
          <w:p w:rsidR="009A18F4" w:rsidRPr="00BD1E88" w:rsidRDefault="009A18F4" w:rsidP="00E74D90">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2011年2月至2011年1</w:t>
            </w:r>
            <w:r>
              <w:rPr>
                <w:rFonts w:ascii="楷体_GB2312" w:eastAsia="楷体_GB2312" w:hAnsi="宋体" w:cs="宋体" w:hint="eastAsia"/>
                <w:b/>
                <w:bCs/>
                <w:color w:val="FFFFFF"/>
                <w:kern w:val="0"/>
                <w:szCs w:val="21"/>
              </w:rPr>
              <w:t>2</w:t>
            </w:r>
            <w:r w:rsidRPr="00BD1E88">
              <w:rPr>
                <w:rFonts w:ascii="楷体_GB2312" w:eastAsia="楷体_GB2312" w:hAnsi="宋体" w:cs="宋体" w:hint="eastAsia"/>
                <w:b/>
                <w:bCs/>
                <w:color w:val="FFFFFF"/>
                <w:kern w:val="0"/>
                <w:szCs w:val="21"/>
              </w:rPr>
              <w:t>月</w:t>
            </w:r>
          </w:p>
        </w:tc>
      </w:tr>
      <w:tr w:rsidR="009A18F4" w:rsidRPr="00BD1E88" w:rsidTr="00E74D90">
        <w:trPr>
          <w:trHeight w:val="300"/>
        </w:trPr>
        <w:tc>
          <w:tcPr>
            <w:tcW w:w="714" w:type="pct"/>
            <w:vMerge/>
            <w:tcBorders>
              <w:top w:val="nil"/>
              <w:left w:val="single" w:sz="8" w:space="0" w:color="auto"/>
              <w:bottom w:val="single" w:sz="8" w:space="0" w:color="000000"/>
              <w:right w:val="single" w:sz="8" w:space="0" w:color="auto"/>
            </w:tcBorders>
            <w:vAlign w:val="center"/>
            <w:hideMark/>
          </w:tcPr>
          <w:p w:rsidR="009A18F4" w:rsidRPr="00BD1E88" w:rsidRDefault="009A18F4" w:rsidP="00E74D90">
            <w:pPr>
              <w:widowControl/>
              <w:jc w:val="left"/>
              <w:rPr>
                <w:rFonts w:ascii="楷体_GB2312" w:eastAsia="楷体_GB2312" w:hAnsi="宋体" w:cs="宋体"/>
                <w:b/>
                <w:bCs/>
                <w:color w:val="FFFFFF"/>
                <w:kern w:val="0"/>
                <w:szCs w:val="21"/>
              </w:rPr>
            </w:pP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E74D90">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E74D90">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9A18F4" w:rsidRPr="00BD1E88" w:rsidRDefault="009A18F4" w:rsidP="00E74D90">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E74D90">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9A18F4" w:rsidRPr="00BD1E88" w:rsidRDefault="009A18F4" w:rsidP="00E74D90">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9A18F4" w:rsidRPr="00BD1E88" w:rsidRDefault="009A18F4" w:rsidP="00E74D90">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r>
      <w:tr w:rsidR="009A18F4" w:rsidRPr="007E4F1C" w:rsidTr="00E74D90">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A18F4" w:rsidRPr="00BD1E88" w:rsidRDefault="009A18F4" w:rsidP="00E74D90">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积极型</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18F4" w:rsidRPr="007E4F1C" w:rsidRDefault="009A18F4" w:rsidP="00E74D90">
            <w:pPr>
              <w:jc w:val="center"/>
              <w:rPr>
                <w:rFonts w:ascii="宋体" w:hAnsi="宋体" w:cs="宋体"/>
                <w:i/>
                <w:color w:val="0D0D0D"/>
                <w:szCs w:val="21"/>
              </w:rPr>
            </w:pPr>
            <w:r w:rsidRPr="007E4F1C">
              <w:rPr>
                <w:rFonts w:hint="eastAsia"/>
                <w:i/>
                <w:color w:val="0D0D0D"/>
                <w:szCs w:val="21"/>
              </w:rPr>
              <w:t>7.57%</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rsidR="009A18F4" w:rsidRPr="007E4F1C" w:rsidRDefault="009A18F4" w:rsidP="00E74D90">
            <w:pPr>
              <w:jc w:val="center"/>
              <w:rPr>
                <w:rFonts w:ascii="宋体" w:hAnsi="宋体" w:cs="宋体"/>
                <w:i/>
                <w:color w:val="0D0D0D"/>
                <w:szCs w:val="21"/>
              </w:rPr>
            </w:pPr>
            <w:r w:rsidRPr="007E4F1C">
              <w:rPr>
                <w:rFonts w:hint="eastAsia"/>
                <w:i/>
                <w:color w:val="0D0D0D"/>
                <w:szCs w:val="21"/>
              </w:rPr>
              <w:t>4.95%</w:t>
            </w:r>
          </w:p>
        </w:tc>
        <w:tc>
          <w:tcPr>
            <w:tcW w:w="715" w:type="pct"/>
            <w:tcBorders>
              <w:top w:val="nil"/>
              <w:left w:val="nil"/>
              <w:bottom w:val="single" w:sz="8" w:space="0" w:color="auto"/>
              <w:right w:val="single" w:sz="8" w:space="0" w:color="auto"/>
            </w:tcBorders>
            <w:shd w:val="clear" w:color="auto" w:fill="auto"/>
            <w:noWrap/>
            <w:vAlign w:val="bottom"/>
            <w:hideMark/>
          </w:tcPr>
          <w:p w:rsidR="009A18F4" w:rsidRPr="007E4F1C" w:rsidRDefault="009A18F4" w:rsidP="00E74D90">
            <w:pPr>
              <w:jc w:val="center"/>
              <w:rPr>
                <w:rFonts w:ascii="宋体" w:hAnsi="宋体" w:cs="宋体"/>
                <w:b/>
                <w:i/>
                <w:color w:val="0D0D0D"/>
                <w:szCs w:val="21"/>
              </w:rPr>
            </w:pPr>
            <w:r w:rsidRPr="007E4F1C">
              <w:rPr>
                <w:rFonts w:hint="eastAsia"/>
                <w:b/>
                <w:i/>
                <w:color w:val="0D0D0D"/>
                <w:szCs w:val="21"/>
              </w:rPr>
              <w:t>2.43%</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7E4F1C" w:rsidRDefault="009A18F4" w:rsidP="00E74D90">
            <w:pPr>
              <w:jc w:val="center"/>
              <w:rPr>
                <w:rFonts w:ascii="宋体" w:hAnsi="宋体" w:cs="宋体"/>
                <w:i/>
                <w:color w:val="0D0D0D"/>
                <w:szCs w:val="21"/>
              </w:rPr>
            </w:pPr>
            <w:r w:rsidRPr="007E4F1C">
              <w:rPr>
                <w:rFonts w:hint="eastAsia"/>
                <w:i/>
                <w:color w:val="FF0000"/>
                <w:szCs w:val="21"/>
              </w:rPr>
              <w:t>-14.96%</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7E4F1C" w:rsidRDefault="009A18F4" w:rsidP="00E74D90">
            <w:pPr>
              <w:jc w:val="center"/>
              <w:rPr>
                <w:rFonts w:ascii="宋体" w:hAnsi="宋体" w:cs="宋体"/>
                <w:i/>
                <w:color w:val="0D0D0D"/>
                <w:szCs w:val="21"/>
              </w:rPr>
            </w:pPr>
            <w:r w:rsidRPr="007E4F1C">
              <w:rPr>
                <w:rFonts w:hint="eastAsia"/>
                <w:i/>
                <w:color w:val="FF0000"/>
                <w:szCs w:val="21"/>
              </w:rPr>
              <w:t>-19.25%</w:t>
            </w:r>
          </w:p>
        </w:tc>
        <w:tc>
          <w:tcPr>
            <w:tcW w:w="715" w:type="pct"/>
            <w:tcBorders>
              <w:top w:val="nil"/>
              <w:left w:val="nil"/>
              <w:bottom w:val="single" w:sz="8" w:space="0" w:color="auto"/>
              <w:right w:val="single" w:sz="8" w:space="0" w:color="auto"/>
            </w:tcBorders>
            <w:shd w:val="clear" w:color="auto" w:fill="auto"/>
            <w:noWrap/>
            <w:hideMark/>
          </w:tcPr>
          <w:p w:rsidR="009A18F4" w:rsidRPr="007E4F1C" w:rsidRDefault="009A18F4" w:rsidP="00E74D90">
            <w:pPr>
              <w:jc w:val="center"/>
              <w:rPr>
                <w:b/>
                <w:i/>
                <w:color w:val="0D0D0D"/>
                <w:szCs w:val="21"/>
              </w:rPr>
            </w:pPr>
            <w:r w:rsidRPr="007E4F1C">
              <w:rPr>
                <w:b/>
                <w:i/>
                <w:color w:val="0D0D0D"/>
                <w:szCs w:val="21"/>
              </w:rPr>
              <w:t>4.29%</w:t>
            </w:r>
          </w:p>
        </w:tc>
      </w:tr>
      <w:tr w:rsidR="009A18F4" w:rsidRPr="007E4F1C" w:rsidTr="00E74D90">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A18F4" w:rsidRPr="00BD1E88" w:rsidRDefault="009A18F4" w:rsidP="00E74D90">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平衡型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9A18F4" w:rsidRPr="007E4F1C" w:rsidRDefault="009A18F4" w:rsidP="00E74D90">
            <w:pPr>
              <w:jc w:val="center"/>
              <w:rPr>
                <w:rFonts w:ascii="宋体" w:hAnsi="宋体" w:cs="宋体"/>
                <w:i/>
                <w:color w:val="0D0D0D"/>
                <w:szCs w:val="21"/>
              </w:rPr>
            </w:pPr>
            <w:r w:rsidRPr="007E4F1C">
              <w:rPr>
                <w:rFonts w:hint="eastAsia"/>
                <w:i/>
                <w:color w:val="0D0D0D"/>
                <w:szCs w:val="21"/>
              </w:rPr>
              <w:t>11.89%</w:t>
            </w:r>
          </w:p>
        </w:tc>
        <w:tc>
          <w:tcPr>
            <w:tcW w:w="714" w:type="pct"/>
            <w:tcBorders>
              <w:top w:val="nil"/>
              <w:left w:val="nil"/>
              <w:bottom w:val="single" w:sz="4" w:space="0" w:color="auto"/>
              <w:right w:val="single" w:sz="4" w:space="0" w:color="auto"/>
            </w:tcBorders>
            <w:shd w:val="clear" w:color="auto" w:fill="auto"/>
            <w:noWrap/>
            <w:vAlign w:val="bottom"/>
            <w:hideMark/>
          </w:tcPr>
          <w:p w:rsidR="009A18F4" w:rsidRPr="007E4F1C" w:rsidRDefault="009A18F4" w:rsidP="00E74D90">
            <w:pPr>
              <w:jc w:val="center"/>
              <w:rPr>
                <w:rFonts w:ascii="宋体" w:hAnsi="宋体" w:cs="宋体"/>
                <w:i/>
                <w:color w:val="0D0D0D"/>
                <w:szCs w:val="21"/>
              </w:rPr>
            </w:pPr>
            <w:r w:rsidRPr="007E4F1C">
              <w:rPr>
                <w:rFonts w:hint="eastAsia"/>
                <w:i/>
                <w:color w:val="0D0D0D"/>
                <w:szCs w:val="21"/>
              </w:rPr>
              <w:t>6.28%</w:t>
            </w:r>
          </w:p>
        </w:tc>
        <w:tc>
          <w:tcPr>
            <w:tcW w:w="715" w:type="pct"/>
            <w:tcBorders>
              <w:top w:val="nil"/>
              <w:left w:val="nil"/>
              <w:bottom w:val="single" w:sz="8" w:space="0" w:color="auto"/>
              <w:right w:val="single" w:sz="8" w:space="0" w:color="auto"/>
            </w:tcBorders>
            <w:shd w:val="clear" w:color="auto" w:fill="auto"/>
            <w:noWrap/>
            <w:vAlign w:val="bottom"/>
            <w:hideMark/>
          </w:tcPr>
          <w:p w:rsidR="009A18F4" w:rsidRPr="007E4F1C" w:rsidRDefault="009A18F4" w:rsidP="00E74D90">
            <w:pPr>
              <w:jc w:val="center"/>
              <w:rPr>
                <w:rFonts w:ascii="宋体" w:hAnsi="宋体" w:cs="宋体"/>
                <w:b/>
                <w:i/>
                <w:color w:val="0D0D0D"/>
                <w:szCs w:val="21"/>
              </w:rPr>
            </w:pPr>
            <w:r w:rsidRPr="007E4F1C">
              <w:rPr>
                <w:rFonts w:hint="eastAsia"/>
                <w:b/>
                <w:i/>
                <w:color w:val="0D0D0D"/>
                <w:szCs w:val="21"/>
              </w:rPr>
              <w:t>5.19%</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7E4F1C" w:rsidRDefault="009A18F4" w:rsidP="00E74D90">
            <w:pPr>
              <w:jc w:val="center"/>
              <w:rPr>
                <w:rFonts w:ascii="宋体" w:hAnsi="宋体" w:cs="宋体"/>
                <w:i/>
                <w:color w:val="0D0D0D"/>
                <w:szCs w:val="21"/>
              </w:rPr>
            </w:pPr>
            <w:r w:rsidRPr="007E4F1C">
              <w:rPr>
                <w:rFonts w:hint="eastAsia"/>
                <w:i/>
                <w:color w:val="FF0000"/>
                <w:szCs w:val="21"/>
              </w:rPr>
              <w:t>-6.50%</w:t>
            </w:r>
          </w:p>
        </w:tc>
        <w:tc>
          <w:tcPr>
            <w:tcW w:w="714" w:type="pct"/>
            <w:tcBorders>
              <w:top w:val="nil"/>
              <w:left w:val="nil"/>
              <w:bottom w:val="single" w:sz="8" w:space="0" w:color="auto"/>
              <w:right w:val="single" w:sz="8" w:space="0" w:color="auto"/>
            </w:tcBorders>
            <w:shd w:val="clear" w:color="auto" w:fill="auto"/>
            <w:noWrap/>
            <w:vAlign w:val="bottom"/>
            <w:hideMark/>
          </w:tcPr>
          <w:p w:rsidR="009A18F4" w:rsidRPr="007E4F1C" w:rsidRDefault="009A18F4" w:rsidP="00E74D90">
            <w:pPr>
              <w:jc w:val="center"/>
              <w:rPr>
                <w:rFonts w:ascii="宋体" w:hAnsi="宋体" w:cs="宋体"/>
                <w:i/>
                <w:color w:val="0D0D0D"/>
                <w:szCs w:val="21"/>
              </w:rPr>
            </w:pPr>
            <w:r w:rsidRPr="007E4F1C">
              <w:rPr>
                <w:rFonts w:hint="eastAsia"/>
                <w:i/>
                <w:color w:val="FF0000"/>
                <w:szCs w:val="21"/>
              </w:rPr>
              <w:t>-10.95%</w:t>
            </w:r>
          </w:p>
        </w:tc>
        <w:tc>
          <w:tcPr>
            <w:tcW w:w="715" w:type="pct"/>
            <w:tcBorders>
              <w:top w:val="nil"/>
              <w:left w:val="nil"/>
              <w:bottom w:val="single" w:sz="8" w:space="0" w:color="auto"/>
              <w:right w:val="single" w:sz="8" w:space="0" w:color="auto"/>
            </w:tcBorders>
            <w:shd w:val="clear" w:color="auto" w:fill="auto"/>
            <w:noWrap/>
            <w:hideMark/>
          </w:tcPr>
          <w:p w:rsidR="009A18F4" w:rsidRPr="007E4F1C" w:rsidRDefault="009A18F4" w:rsidP="00E74D90">
            <w:pPr>
              <w:jc w:val="center"/>
              <w:rPr>
                <w:b/>
                <w:i/>
                <w:color w:val="0D0D0D"/>
                <w:szCs w:val="21"/>
              </w:rPr>
            </w:pPr>
            <w:r w:rsidRPr="007E4F1C">
              <w:rPr>
                <w:b/>
                <w:i/>
                <w:color w:val="0D0D0D"/>
                <w:szCs w:val="21"/>
              </w:rPr>
              <w:t>4.45%</w:t>
            </w:r>
          </w:p>
        </w:tc>
      </w:tr>
      <w:tr w:rsidR="009A18F4" w:rsidRPr="007E4F1C" w:rsidTr="00E74D90">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9A18F4" w:rsidRPr="00BD1E88" w:rsidRDefault="009A18F4" w:rsidP="00E74D90">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稳健型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9A18F4" w:rsidRPr="007E4F1C" w:rsidRDefault="009A18F4" w:rsidP="00E74D90">
            <w:pPr>
              <w:jc w:val="center"/>
              <w:rPr>
                <w:rFonts w:ascii="宋体" w:hAnsi="宋体" w:cs="宋体"/>
                <w:i/>
                <w:color w:val="0D0D0D"/>
                <w:szCs w:val="21"/>
              </w:rPr>
            </w:pPr>
            <w:r w:rsidRPr="007E4F1C">
              <w:rPr>
                <w:rFonts w:hint="eastAsia"/>
                <w:i/>
                <w:color w:val="0D0D0D"/>
                <w:szCs w:val="21"/>
              </w:rPr>
              <w:t>4.70%</w:t>
            </w:r>
          </w:p>
        </w:tc>
        <w:tc>
          <w:tcPr>
            <w:tcW w:w="714" w:type="pct"/>
            <w:tcBorders>
              <w:top w:val="nil"/>
              <w:left w:val="nil"/>
              <w:bottom w:val="single" w:sz="4" w:space="0" w:color="auto"/>
              <w:right w:val="single" w:sz="4" w:space="0" w:color="auto"/>
            </w:tcBorders>
            <w:shd w:val="clear" w:color="auto" w:fill="auto"/>
            <w:noWrap/>
            <w:vAlign w:val="bottom"/>
            <w:hideMark/>
          </w:tcPr>
          <w:p w:rsidR="009A18F4" w:rsidRPr="007E4F1C" w:rsidRDefault="009A18F4" w:rsidP="00E74D90">
            <w:pPr>
              <w:jc w:val="center"/>
              <w:rPr>
                <w:rFonts w:ascii="宋体" w:hAnsi="宋体" w:cs="宋体"/>
                <w:i/>
                <w:color w:val="0D0D0D"/>
                <w:szCs w:val="21"/>
              </w:rPr>
            </w:pPr>
            <w:r w:rsidRPr="007E4F1C">
              <w:rPr>
                <w:rFonts w:hint="eastAsia"/>
                <w:i/>
                <w:color w:val="0D0D0D"/>
                <w:szCs w:val="21"/>
              </w:rPr>
              <w:t>3.34%</w:t>
            </w:r>
          </w:p>
        </w:tc>
        <w:tc>
          <w:tcPr>
            <w:tcW w:w="715" w:type="pct"/>
            <w:tcBorders>
              <w:top w:val="nil"/>
              <w:left w:val="nil"/>
              <w:bottom w:val="single" w:sz="8" w:space="0" w:color="auto"/>
              <w:right w:val="single" w:sz="8" w:space="0" w:color="auto"/>
            </w:tcBorders>
            <w:shd w:val="clear" w:color="auto" w:fill="auto"/>
            <w:noWrap/>
            <w:vAlign w:val="bottom"/>
            <w:hideMark/>
          </w:tcPr>
          <w:p w:rsidR="009A18F4" w:rsidRPr="007E4F1C" w:rsidRDefault="009A18F4" w:rsidP="00E74D90">
            <w:pPr>
              <w:jc w:val="center"/>
              <w:rPr>
                <w:rFonts w:ascii="宋体" w:hAnsi="宋体" w:cs="宋体"/>
                <w:b/>
                <w:i/>
                <w:color w:val="0D0D0D"/>
                <w:szCs w:val="21"/>
              </w:rPr>
            </w:pPr>
            <w:r w:rsidRPr="007E4F1C">
              <w:rPr>
                <w:rFonts w:hint="eastAsia"/>
                <w:b/>
                <w:i/>
                <w:color w:val="0D0D0D"/>
                <w:szCs w:val="21"/>
              </w:rPr>
              <w:t>1.32%</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9A18F4" w:rsidRPr="007E4F1C" w:rsidRDefault="009A18F4" w:rsidP="00E74D90">
            <w:pPr>
              <w:jc w:val="center"/>
              <w:rPr>
                <w:rFonts w:ascii="宋体" w:hAnsi="宋体" w:cs="宋体"/>
                <w:i/>
                <w:color w:val="0D0D0D"/>
                <w:szCs w:val="21"/>
              </w:rPr>
            </w:pPr>
            <w:r w:rsidRPr="007E4F1C">
              <w:rPr>
                <w:rFonts w:hint="eastAsia"/>
                <w:i/>
                <w:color w:val="0D0D0D"/>
                <w:szCs w:val="21"/>
              </w:rPr>
              <w:t>3.24%</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9A18F4" w:rsidRPr="007E4F1C" w:rsidRDefault="009A18F4" w:rsidP="00E74D90">
            <w:pPr>
              <w:jc w:val="center"/>
              <w:rPr>
                <w:rFonts w:ascii="宋体" w:hAnsi="宋体" w:cs="宋体"/>
                <w:i/>
                <w:color w:val="0D0D0D"/>
                <w:szCs w:val="21"/>
              </w:rPr>
            </w:pPr>
            <w:r w:rsidRPr="007E4F1C">
              <w:rPr>
                <w:rFonts w:hint="eastAsia"/>
                <w:i/>
                <w:color w:val="0D0D0D"/>
                <w:szCs w:val="21"/>
              </w:rPr>
              <w:t>3.18%</w:t>
            </w:r>
          </w:p>
        </w:tc>
        <w:tc>
          <w:tcPr>
            <w:tcW w:w="715" w:type="pct"/>
            <w:tcBorders>
              <w:top w:val="single" w:sz="8" w:space="0" w:color="auto"/>
              <w:left w:val="nil"/>
              <w:bottom w:val="single" w:sz="8" w:space="0" w:color="auto"/>
              <w:right w:val="single" w:sz="8" w:space="0" w:color="auto"/>
            </w:tcBorders>
            <w:shd w:val="clear" w:color="auto" w:fill="auto"/>
            <w:noWrap/>
            <w:hideMark/>
          </w:tcPr>
          <w:p w:rsidR="009A18F4" w:rsidRPr="007E4F1C" w:rsidRDefault="009A18F4" w:rsidP="00E74D90">
            <w:pPr>
              <w:jc w:val="center"/>
              <w:rPr>
                <w:b/>
                <w:i/>
                <w:color w:val="0D0D0D"/>
                <w:szCs w:val="21"/>
              </w:rPr>
            </w:pPr>
            <w:r w:rsidRPr="007E4F1C">
              <w:rPr>
                <w:b/>
                <w:i/>
                <w:color w:val="0D0D0D"/>
                <w:szCs w:val="21"/>
              </w:rPr>
              <w:t>0.06%</w:t>
            </w:r>
          </w:p>
        </w:tc>
      </w:tr>
    </w:tbl>
    <w:p w:rsidR="009A18F4" w:rsidRPr="00690811" w:rsidRDefault="009A18F4" w:rsidP="009A18F4">
      <w:pPr>
        <w:rPr>
          <w:rFonts w:ascii="楷体_GB2312" w:eastAsia="楷体_GB2312"/>
          <w:noProof/>
          <w:color w:val="000000"/>
          <w:sz w:val="18"/>
          <w:szCs w:val="18"/>
        </w:rPr>
      </w:pPr>
      <w:r w:rsidRPr="00690811">
        <w:rPr>
          <w:rFonts w:ascii="楷体_GB2312" w:eastAsia="楷体_GB2312" w:hint="eastAsia"/>
          <w:noProof/>
          <w:color w:val="000000"/>
          <w:sz w:val="18"/>
          <w:szCs w:val="18"/>
        </w:rPr>
        <w:t>注1：组合于2011年2月1日设立，数据截至2015年</w:t>
      </w:r>
      <w:r>
        <w:rPr>
          <w:rFonts w:ascii="楷体_GB2312" w:eastAsia="楷体_GB2312" w:hint="eastAsia"/>
          <w:noProof/>
          <w:color w:val="000000"/>
          <w:sz w:val="18"/>
          <w:szCs w:val="18"/>
        </w:rPr>
        <w:t>6</w:t>
      </w:r>
      <w:r w:rsidRPr="00690811">
        <w:rPr>
          <w:rFonts w:ascii="楷体_GB2312" w:eastAsia="楷体_GB2312" w:hint="eastAsia"/>
          <w:noProof/>
          <w:color w:val="000000"/>
          <w:sz w:val="18"/>
          <w:szCs w:val="18"/>
        </w:rPr>
        <w:t>月2</w:t>
      </w:r>
      <w:r>
        <w:rPr>
          <w:rFonts w:ascii="楷体_GB2312" w:eastAsia="楷体_GB2312" w:hint="eastAsia"/>
          <w:noProof/>
          <w:color w:val="000000"/>
          <w:sz w:val="18"/>
          <w:szCs w:val="18"/>
        </w:rPr>
        <w:t>6</w:t>
      </w:r>
      <w:r w:rsidRPr="00690811">
        <w:rPr>
          <w:rFonts w:ascii="楷体_GB2312" w:eastAsia="楷体_GB2312" w:hint="eastAsia"/>
          <w:noProof/>
          <w:color w:val="000000"/>
          <w:sz w:val="18"/>
          <w:szCs w:val="18"/>
        </w:rPr>
        <w:t>日</w:t>
      </w:r>
    </w:p>
    <w:p w:rsidR="009A18F4" w:rsidRPr="00690811" w:rsidRDefault="009A18F4" w:rsidP="009A18F4">
      <w:pPr>
        <w:rPr>
          <w:rFonts w:ascii="楷体_GB2312" w:eastAsia="楷体_GB2312"/>
          <w:noProof/>
          <w:color w:val="000000"/>
          <w:sz w:val="18"/>
          <w:szCs w:val="18"/>
        </w:rPr>
      </w:pPr>
      <w:r w:rsidRPr="00690811">
        <w:rPr>
          <w:rFonts w:ascii="楷体_GB2312" w:eastAsia="楷体_GB2312" w:hint="eastAsia"/>
          <w:noProof/>
          <w:color w:val="000000"/>
          <w:sz w:val="18"/>
          <w:szCs w:val="18"/>
        </w:rPr>
        <w:t>注2：历史组合及调整情况请联系上海证券</w:t>
      </w:r>
    </w:p>
    <w:p w:rsidR="009A18F4" w:rsidRPr="0039146B" w:rsidRDefault="009A18F4" w:rsidP="009A18F4">
      <w:pPr>
        <w:rPr>
          <w:rFonts w:ascii="楷体_GB2312" w:eastAsia="楷体_GB2312"/>
          <w:b/>
          <w:noProof/>
          <w:color w:val="000000"/>
          <w:sz w:val="18"/>
          <w:szCs w:val="18"/>
        </w:rPr>
      </w:pPr>
      <w:r w:rsidRPr="0039146B">
        <w:rPr>
          <w:rFonts w:ascii="楷体_GB2312" w:eastAsia="楷体_GB2312" w:hint="eastAsia"/>
          <w:b/>
          <w:noProof/>
          <w:color w:val="000000"/>
          <w:sz w:val="18"/>
          <w:szCs w:val="18"/>
        </w:rPr>
        <w:t>注3：2015年起，上海证券基金推荐组合中的积极型组合和平衡型业绩比较基准</w:t>
      </w:r>
      <w:r>
        <w:rPr>
          <w:rFonts w:ascii="楷体_GB2312" w:eastAsia="楷体_GB2312" w:hint="eastAsia"/>
          <w:b/>
          <w:noProof/>
          <w:color w:val="000000"/>
          <w:sz w:val="18"/>
          <w:szCs w:val="18"/>
        </w:rPr>
        <w:t>有所调整</w:t>
      </w:r>
    </w:p>
    <w:p w:rsidR="009A18F4" w:rsidRPr="00960590" w:rsidRDefault="009A18F4" w:rsidP="009A18F4">
      <w:pPr>
        <w:rPr>
          <w:rFonts w:ascii="楷体_GB2312" w:eastAsia="楷体_GB2312"/>
          <w:noProof/>
        </w:rPr>
      </w:pPr>
      <w:r w:rsidRPr="00960590">
        <w:rPr>
          <w:rFonts w:ascii="楷体_GB2312" w:eastAsia="楷体_GB2312" w:hint="eastAsia"/>
          <w:noProof/>
        </w:rPr>
        <w:t>积极型组合</w:t>
      </w:r>
      <w:r>
        <w:rPr>
          <w:rFonts w:ascii="楷体_GB2312" w:eastAsia="楷体_GB2312" w:hint="eastAsia"/>
          <w:noProof/>
        </w:rPr>
        <w:t>：</w:t>
      </w:r>
      <w:r w:rsidRPr="00826FC1">
        <w:rPr>
          <w:rFonts w:ascii="楷体_GB2312" w:eastAsia="楷体_GB2312" w:hint="eastAsia"/>
          <w:noProof/>
        </w:rPr>
        <w:t>中国股基指数</w:t>
      </w:r>
      <w:r>
        <w:rPr>
          <w:rFonts w:ascii="楷体_GB2312" w:eastAsia="楷体_GB2312" w:hint="eastAsia"/>
          <w:noProof/>
        </w:rPr>
        <w:t>60%+</w:t>
      </w:r>
      <w:r w:rsidRPr="00826FC1">
        <w:rPr>
          <w:rFonts w:ascii="楷体_GB2312" w:eastAsia="楷体_GB2312" w:hint="eastAsia"/>
          <w:noProof/>
        </w:rPr>
        <w:t>中国混基指数</w:t>
      </w:r>
      <w:r>
        <w:rPr>
          <w:rFonts w:ascii="楷体_GB2312" w:eastAsia="楷体_GB2312" w:hint="eastAsia"/>
          <w:noProof/>
        </w:rPr>
        <w:t>40%(原基准：</w:t>
      </w:r>
      <w:r w:rsidRPr="00960590">
        <w:rPr>
          <w:rFonts w:ascii="楷体_GB2312" w:eastAsia="楷体_GB2312" w:hint="eastAsia"/>
          <w:noProof/>
        </w:rPr>
        <w:t>主动投资偏股型基金</w:t>
      </w:r>
      <w:r>
        <w:rPr>
          <w:rFonts w:ascii="楷体_GB2312" w:eastAsia="楷体_GB2312" w:hint="eastAsia"/>
          <w:noProof/>
        </w:rPr>
        <w:t>简单平均收益率)；</w:t>
      </w:r>
    </w:p>
    <w:p w:rsidR="009A18F4" w:rsidRPr="00826FC1" w:rsidRDefault="009A18F4" w:rsidP="009A18F4">
      <w:pPr>
        <w:rPr>
          <w:rFonts w:ascii="楷体_GB2312" w:eastAsia="楷体_GB2312"/>
          <w:noProof/>
        </w:rPr>
      </w:pPr>
      <w:r w:rsidRPr="00960590">
        <w:rPr>
          <w:rFonts w:ascii="楷体_GB2312" w:eastAsia="楷体_GB2312" w:hint="eastAsia"/>
          <w:noProof/>
        </w:rPr>
        <w:t>平衡型</w:t>
      </w:r>
      <w:r>
        <w:rPr>
          <w:rFonts w:ascii="楷体_GB2312" w:eastAsia="楷体_GB2312" w:hint="eastAsia"/>
          <w:noProof/>
        </w:rPr>
        <w:t>组合：</w:t>
      </w:r>
      <w:r w:rsidRPr="00826FC1">
        <w:rPr>
          <w:rFonts w:ascii="楷体_GB2312" w:eastAsia="楷体_GB2312" w:hint="eastAsia"/>
          <w:noProof/>
        </w:rPr>
        <w:t>中国股基指数</w:t>
      </w:r>
      <w:r>
        <w:rPr>
          <w:rFonts w:ascii="楷体_GB2312" w:eastAsia="楷体_GB2312" w:hint="eastAsia"/>
          <w:noProof/>
        </w:rPr>
        <w:t>30%+</w:t>
      </w:r>
      <w:r w:rsidRPr="00826FC1">
        <w:rPr>
          <w:rFonts w:ascii="楷体_GB2312" w:eastAsia="楷体_GB2312" w:hint="eastAsia"/>
          <w:noProof/>
        </w:rPr>
        <w:t>中国混基指数</w:t>
      </w:r>
      <w:r>
        <w:rPr>
          <w:rFonts w:ascii="楷体_GB2312" w:eastAsia="楷体_GB2312" w:hint="eastAsia"/>
          <w:noProof/>
        </w:rPr>
        <w:t>20%+</w:t>
      </w:r>
      <w:r w:rsidRPr="004D17B6">
        <w:rPr>
          <w:rFonts w:ascii="楷体_GB2312" w:eastAsia="楷体_GB2312" w:hint="eastAsia"/>
          <w:noProof/>
        </w:rPr>
        <w:t>中国债基指数</w:t>
      </w:r>
      <w:r>
        <w:rPr>
          <w:rFonts w:ascii="楷体_GB2312" w:eastAsia="楷体_GB2312" w:hint="eastAsia"/>
          <w:noProof/>
        </w:rPr>
        <w:t>50%（原基准：</w:t>
      </w:r>
      <w:r w:rsidRPr="00960590">
        <w:rPr>
          <w:rFonts w:ascii="楷体_GB2312" w:eastAsia="楷体_GB2312" w:hint="eastAsia"/>
          <w:noProof/>
        </w:rPr>
        <w:t>50%主动投资偏股型基</w:t>
      </w:r>
      <w:r w:rsidRPr="00960590">
        <w:rPr>
          <w:rFonts w:ascii="楷体_GB2312" w:eastAsia="楷体_GB2312" w:hint="eastAsia"/>
          <w:noProof/>
        </w:rPr>
        <w:lastRenderedPageBreak/>
        <w:t>金+50%债券型基金</w:t>
      </w:r>
      <w:r>
        <w:rPr>
          <w:rFonts w:ascii="楷体_GB2312" w:eastAsia="楷体_GB2312" w:hint="eastAsia"/>
          <w:noProof/>
        </w:rPr>
        <w:t>）；</w:t>
      </w:r>
    </w:p>
    <w:p w:rsidR="009A18F4" w:rsidRDefault="009A18F4" w:rsidP="009A18F4">
      <w:pPr>
        <w:rPr>
          <w:rFonts w:ascii="楷体_GB2312" w:eastAsia="楷体_GB2312"/>
          <w:noProof/>
        </w:rPr>
      </w:pPr>
      <w:r w:rsidRPr="00960590">
        <w:rPr>
          <w:rFonts w:ascii="楷体_GB2312" w:eastAsia="楷体_GB2312" w:hint="eastAsia"/>
          <w:noProof/>
        </w:rPr>
        <w:t>稳健型</w:t>
      </w:r>
      <w:r>
        <w:rPr>
          <w:rFonts w:ascii="楷体_GB2312" w:eastAsia="楷体_GB2312" w:hint="eastAsia"/>
          <w:noProof/>
        </w:rPr>
        <w:t>组合：</w:t>
      </w:r>
      <w:r w:rsidRPr="00960590">
        <w:rPr>
          <w:rFonts w:ascii="楷体_GB2312" w:eastAsia="楷体_GB2312" w:hint="eastAsia"/>
          <w:noProof/>
        </w:rPr>
        <w:t>一年定期存款利率</w:t>
      </w:r>
      <w:r>
        <w:rPr>
          <w:rFonts w:ascii="楷体_GB2312" w:eastAsia="楷体_GB2312" w:hint="eastAsia"/>
          <w:noProof/>
        </w:rPr>
        <w:t>。</w:t>
      </w:r>
    </w:p>
    <w:p w:rsidR="009A18F4" w:rsidRPr="00394675" w:rsidRDefault="009A18F4" w:rsidP="009A18F4">
      <w:pPr>
        <w:pageBreakBefore/>
        <w:spacing w:line="400" w:lineRule="exact"/>
        <w:jc w:val="left"/>
        <w:rPr>
          <w:rFonts w:eastAsia="楷体_GB2312"/>
          <w:b/>
          <w:bCs/>
          <w:color w:val="003366"/>
          <w:szCs w:val="21"/>
        </w:rPr>
      </w:pPr>
      <w:r w:rsidRPr="00394675">
        <w:rPr>
          <w:rFonts w:eastAsia="楷体_GB2312"/>
          <w:b/>
          <w:bCs/>
          <w:color w:val="003366"/>
          <w:szCs w:val="21"/>
        </w:rPr>
        <w:lastRenderedPageBreak/>
        <w:t>分析师承诺</w:t>
      </w:r>
    </w:p>
    <w:p w:rsidR="009A18F4" w:rsidRPr="00394675" w:rsidRDefault="009A18F4" w:rsidP="009A18F4">
      <w:pPr>
        <w:spacing w:beforeLines="50"/>
        <w:rPr>
          <w:rFonts w:eastAsia="楷体_GB2312"/>
          <w:sz w:val="18"/>
          <w:szCs w:val="18"/>
        </w:rPr>
      </w:pPr>
      <w:r w:rsidRPr="00394675">
        <w:rPr>
          <w:rFonts w:eastAsia="楷体_GB2312"/>
          <w:sz w:val="18"/>
          <w:szCs w:val="18"/>
        </w:rPr>
        <w:t>分析师</w:t>
      </w:r>
      <w:r>
        <w:rPr>
          <w:rFonts w:eastAsia="楷体_GB2312" w:hint="eastAsia"/>
          <w:sz w:val="18"/>
          <w:szCs w:val="18"/>
        </w:rPr>
        <w:t xml:space="preserve"> </w:t>
      </w:r>
      <w:r>
        <w:rPr>
          <w:rFonts w:eastAsia="楷体_GB2312" w:hint="eastAsia"/>
          <w:sz w:val="18"/>
          <w:szCs w:val="18"/>
        </w:rPr>
        <w:t>刘亦千</w:t>
      </w:r>
    </w:p>
    <w:p w:rsidR="009A18F4" w:rsidRPr="00653644" w:rsidRDefault="009A18F4" w:rsidP="009A18F4">
      <w:pPr>
        <w:spacing w:line="300" w:lineRule="exact"/>
        <w:rPr>
          <w:rFonts w:ascii="楷体_GB2312" w:eastAsia="楷体_GB2312"/>
          <w:color w:val="000000"/>
          <w:sz w:val="18"/>
          <w:szCs w:val="18"/>
        </w:rPr>
      </w:pPr>
      <w:r w:rsidRPr="00653644">
        <w:rPr>
          <w:rFonts w:ascii="楷体_GB2312" w:eastAsia="楷体_GB2312" w:hint="eastAsia"/>
          <w:color w:val="000000"/>
          <w:sz w:val="18"/>
          <w:szCs w:val="18"/>
        </w:rPr>
        <w:t>本人</w:t>
      </w:r>
      <w:r>
        <w:rPr>
          <w:rFonts w:ascii="楷体_GB2312" w:eastAsia="楷体_GB2312" w:hint="eastAsia"/>
          <w:color w:val="000000"/>
          <w:sz w:val="18"/>
          <w:szCs w:val="18"/>
        </w:rPr>
        <w:t>以勤勉尽责的职业态度，独立、客观地出具本报告。本报告依据公开的信息来源，力求清晰、准确地反映分析师的研究观点。此外，本人薪酬的任何部分过去不曾与、现在不与、未来也将不会与本报告中的具体推荐意见或观点直接或间接相关。</w:t>
      </w:r>
    </w:p>
    <w:p w:rsidR="009A18F4" w:rsidRDefault="009A18F4" w:rsidP="009A18F4">
      <w:pPr>
        <w:spacing w:line="400" w:lineRule="exact"/>
        <w:jc w:val="left"/>
        <w:rPr>
          <w:rFonts w:ascii="楷体_GB2312" w:eastAsia="楷体_GB2312" w:hAnsi="Arial" w:cs="Arial"/>
          <w:b/>
          <w:bCs/>
          <w:color w:val="FF6600"/>
          <w:szCs w:val="21"/>
        </w:rPr>
      </w:pPr>
    </w:p>
    <w:p w:rsidR="009A18F4" w:rsidRDefault="009A18F4" w:rsidP="009A18F4">
      <w:pPr>
        <w:spacing w:line="400" w:lineRule="exact"/>
        <w:jc w:val="left"/>
        <w:rPr>
          <w:rFonts w:ascii="楷体_GB2312" w:eastAsia="楷体_GB2312" w:hAnsi="Arial" w:cs="Arial"/>
          <w:b/>
          <w:bCs/>
          <w:color w:val="003366"/>
          <w:szCs w:val="21"/>
        </w:rPr>
      </w:pPr>
      <w:r>
        <w:rPr>
          <w:rFonts w:ascii="楷体_GB2312" w:eastAsia="楷体_GB2312" w:hAnsi="Arial" w:cs="Arial" w:hint="eastAsia"/>
          <w:b/>
          <w:bCs/>
          <w:color w:val="003366"/>
          <w:szCs w:val="21"/>
        </w:rPr>
        <w:t>公司业务资格说明</w:t>
      </w:r>
    </w:p>
    <w:p w:rsidR="009A18F4" w:rsidRPr="00867DF5" w:rsidRDefault="009A18F4" w:rsidP="009A18F4">
      <w:pPr>
        <w:spacing w:line="400" w:lineRule="exact"/>
        <w:jc w:val="left"/>
        <w:rPr>
          <w:rFonts w:ascii="楷体_GB2312" w:eastAsia="楷体_GB2312"/>
          <w:color w:val="000000"/>
          <w:sz w:val="18"/>
          <w:szCs w:val="18"/>
        </w:rPr>
      </w:pPr>
      <w:r w:rsidRPr="00867DF5">
        <w:rPr>
          <w:rFonts w:ascii="楷体_GB2312" w:eastAsia="楷体_GB2312" w:hint="eastAsia"/>
          <w:color w:val="000000"/>
          <w:sz w:val="18"/>
          <w:szCs w:val="18"/>
        </w:rPr>
        <w:t>本公司具备证券投资咨询业务资格，是具备协会会员资格的基金评价机构</w:t>
      </w:r>
      <w:r>
        <w:rPr>
          <w:rFonts w:ascii="楷体_GB2312" w:eastAsia="楷体_GB2312" w:hint="eastAsia"/>
          <w:color w:val="000000"/>
          <w:sz w:val="18"/>
          <w:szCs w:val="18"/>
        </w:rPr>
        <w:t>。</w:t>
      </w:r>
    </w:p>
    <w:p w:rsidR="009A18F4" w:rsidRDefault="009A18F4" w:rsidP="009A18F4">
      <w:pPr>
        <w:spacing w:line="400" w:lineRule="exact"/>
        <w:jc w:val="left"/>
        <w:rPr>
          <w:rFonts w:ascii="楷体_GB2312" w:eastAsia="楷体_GB2312" w:hAnsi="Arial" w:cs="Arial"/>
          <w:b/>
          <w:bCs/>
          <w:color w:val="003366"/>
          <w:szCs w:val="21"/>
        </w:rPr>
      </w:pPr>
    </w:p>
    <w:p w:rsidR="009A18F4" w:rsidRPr="008F1970" w:rsidRDefault="009A18F4" w:rsidP="009A18F4">
      <w:pPr>
        <w:spacing w:line="400" w:lineRule="exact"/>
        <w:jc w:val="left"/>
        <w:rPr>
          <w:rFonts w:ascii="楷体_GB2312" w:eastAsia="楷体_GB2312" w:hAnsi="Arial" w:cs="Arial"/>
          <w:b/>
          <w:bCs/>
          <w:color w:val="003366"/>
          <w:szCs w:val="21"/>
        </w:rPr>
      </w:pPr>
      <w:r>
        <w:rPr>
          <w:rFonts w:ascii="楷体_GB2312" w:eastAsia="楷体_GB2312" w:hAnsi="Arial" w:cs="Arial" w:hint="eastAsia"/>
          <w:b/>
          <w:bCs/>
          <w:color w:val="003366"/>
          <w:szCs w:val="21"/>
        </w:rPr>
        <w:t>重要声明</w:t>
      </w:r>
    </w:p>
    <w:p w:rsidR="009A18F4" w:rsidRPr="00427DD5" w:rsidRDefault="009A18F4" w:rsidP="009A18F4">
      <w:pPr>
        <w:spacing w:line="300" w:lineRule="exact"/>
        <w:rPr>
          <w:rFonts w:ascii="楷体_GB2312" w:eastAsia="楷体_GB2312"/>
          <w:color w:val="000000"/>
          <w:sz w:val="18"/>
          <w:szCs w:val="18"/>
        </w:rPr>
      </w:pPr>
      <w:r w:rsidRPr="00427DD5">
        <w:rPr>
          <w:rFonts w:ascii="楷体_GB2312" w:eastAsia="楷体_GB2312" w:hint="eastAsia"/>
          <w:color w:val="000000"/>
          <w:sz w:val="18"/>
          <w:szCs w:val="18"/>
        </w:rPr>
        <w:t>本报告中的信息均来源于已公开的资料，我公司对这些信息的准确性及完整性不作任何保证，不保证该信息未经任何更新，也不保证本公司作出的任何建议不会发生任何变更。在任何情况下，报告中的信息或所表达的意见并不构成所述证券买卖的出价或询价。在任何情况下，我公司不就本报告中的任何内容对任何投资作出任何形式的担保。我公司及其关联机构可能会持有报告中提到的公司所发行的证券并进行交易，还可能为这些公司提供或争取提供投资银行或财务顾问服务。业绩表现数据仅代表过去的表现，不保证未来结果。投资收益和本金将随市场波动，当出售证券资产时可能发生损益。当前的表现可能会高于或低于那时引用的数据。</w:t>
      </w:r>
    </w:p>
    <w:p w:rsidR="009A18F4" w:rsidRPr="00427DD5" w:rsidRDefault="009A18F4" w:rsidP="009A18F4">
      <w:pPr>
        <w:spacing w:line="300" w:lineRule="exact"/>
        <w:rPr>
          <w:rFonts w:ascii="楷体_GB2312" w:eastAsia="楷体_GB2312"/>
          <w:sz w:val="18"/>
          <w:szCs w:val="18"/>
        </w:rPr>
      </w:pPr>
      <w:r w:rsidRPr="00427DD5">
        <w:rPr>
          <w:rFonts w:ascii="楷体_GB2312" w:eastAsia="楷体_GB2312" w:hint="eastAsia"/>
          <w:color w:val="000000"/>
          <w:sz w:val="18"/>
          <w:szCs w:val="18"/>
        </w:rPr>
        <w:t>本报告版权归上海证券有限责任公司所有。未获得上海证券有限责任公司事先书面授权，任何人不得对本报告进行任何形式的发布、复制。如遵循原文本意地引用、刊发，需注明出处为“上海证券基金评价研究中心”。</w:t>
      </w:r>
    </w:p>
    <w:p w:rsidR="009A18F4" w:rsidRPr="00693B26" w:rsidRDefault="009A18F4" w:rsidP="009A18F4">
      <w:pPr>
        <w:spacing w:line="300" w:lineRule="exact"/>
        <w:rPr>
          <w:rFonts w:ascii="楷体_GB2312" w:eastAsia="楷体_GB2312"/>
          <w:sz w:val="18"/>
          <w:szCs w:val="18"/>
        </w:rPr>
      </w:pPr>
    </w:p>
    <w:p w:rsidR="009A18F4" w:rsidRDefault="009A18F4" w:rsidP="009A18F4">
      <w:pPr>
        <w:spacing w:line="400" w:lineRule="exact"/>
        <w:jc w:val="left"/>
        <w:rPr>
          <w:rFonts w:ascii="楷体_GB2312" w:eastAsia="楷体_GB2312" w:hAnsi="Arial" w:cs="Arial"/>
          <w:b/>
          <w:bCs/>
          <w:color w:val="FF6600"/>
          <w:szCs w:val="21"/>
        </w:rPr>
      </w:pPr>
    </w:p>
    <w:p w:rsidR="009A18F4" w:rsidRDefault="009A18F4" w:rsidP="009A18F4">
      <w:pPr>
        <w:spacing w:line="400" w:lineRule="exact"/>
        <w:jc w:val="left"/>
        <w:rPr>
          <w:rFonts w:ascii="楷体_GB2312" w:eastAsia="楷体_GB2312" w:hAnsi="Arial" w:cs="Arial"/>
          <w:b/>
          <w:bCs/>
          <w:color w:val="FF6600"/>
          <w:szCs w:val="21"/>
        </w:rPr>
      </w:pPr>
    </w:p>
    <w:p w:rsidR="009A18F4" w:rsidRDefault="009A18F4" w:rsidP="009A18F4">
      <w:pPr>
        <w:spacing w:line="400" w:lineRule="exact"/>
        <w:jc w:val="left"/>
        <w:rPr>
          <w:rFonts w:ascii="楷体_GB2312" w:eastAsia="楷体_GB2312" w:hAnsi="Arial" w:cs="Arial"/>
          <w:b/>
          <w:bCs/>
          <w:color w:val="FF6600"/>
          <w:szCs w:val="21"/>
        </w:rPr>
      </w:pPr>
    </w:p>
    <w:p w:rsidR="009A18F4" w:rsidRDefault="009A18F4" w:rsidP="009A18F4">
      <w:pPr>
        <w:spacing w:line="400" w:lineRule="exact"/>
        <w:jc w:val="left"/>
        <w:rPr>
          <w:rFonts w:ascii="楷体_GB2312" w:eastAsia="楷体_GB2312" w:hAnsi="Arial" w:cs="Arial"/>
          <w:b/>
          <w:bCs/>
          <w:color w:val="FF6600"/>
          <w:szCs w:val="21"/>
        </w:rPr>
      </w:pPr>
    </w:p>
    <w:p w:rsidR="009A18F4" w:rsidRDefault="009A18F4" w:rsidP="009A18F4">
      <w:pPr>
        <w:spacing w:line="400" w:lineRule="exact"/>
        <w:jc w:val="left"/>
        <w:rPr>
          <w:rFonts w:ascii="楷体_GB2312" w:eastAsia="楷体_GB2312" w:hAnsi="Arial" w:cs="Arial"/>
          <w:b/>
          <w:bCs/>
          <w:color w:val="FF6600"/>
          <w:szCs w:val="21"/>
        </w:rPr>
      </w:pPr>
    </w:p>
    <w:p w:rsidR="009A18F4" w:rsidRDefault="009A18F4" w:rsidP="009A18F4">
      <w:pPr>
        <w:spacing w:line="400" w:lineRule="exact"/>
        <w:jc w:val="left"/>
        <w:rPr>
          <w:rFonts w:ascii="楷体_GB2312" w:eastAsia="楷体_GB2312" w:hAnsi="Arial" w:cs="Arial"/>
          <w:b/>
          <w:bCs/>
          <w:color w:val="FF6600"/>
          <w:szCs w:val="21"/>
        </w:rPr>
      </w:pPr>
    </w:p>
    <w:p w:rsidR="009A18F4" w:rsidRDefault="009A18F4" w:rsidP="009A18F4">
      <w:pPr>
        <w:spacing w:line="400" w:lineRule="exact"/>
        <w:jc w:val="left"/>
        <w:rPr>
          <w:rFonts w:ascii="楷体_GB2312" w:eastAsia="楷体_GB2312" w:hAnsi="Arial" w:cs="Arial"/>
          <w:b/>
          <w:bCs/>
          <w:color w:val="FF6600"/>
          <w:szCs w:val="21"/>
        </w:rPr>
      </w:pPr>
    </w:p>
    <w:p w:rsidR="009A18F4" w:rsidRDefault="009A18F4" w:rsidP="009A18F4">
      <w:pPr>
        <w:spacing w:line="400" w:lineRule="exact"/>
        <w:jc w:val="left"/>
        <w:rPr>
          <w:rFonts w:ascii="楷体_GB2312" w:eastAsia="楷体_GB2312" w:hAnsi="Arial" w:cs="Arial"/>
          <w:b/>
          <w:bCs/>
          <w:color w:val="FF6600"/>
          <w:szCs w:val="21"/>
        </w:rPr>
      </w:pPr>
    </w:p>
    <w:p w:rsidR="0037247A" w:rsidRPr="009A18F4" w:rsidRDefault="0037247A"/>
    <w:sectPr w:rsidR="0037247A" w:rsidRPr="009A18F4" w:rsidSect="00362A1B">
      <w:headerReference w:type="default" r:id="rId21"/>
      <w:pgSz w:w="11906" w:h="16838"/>
      <w:pgMar w:top="1418" w:right="1133" w:bottom="1418"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宋体-18030">
    <w:altName w:val="宋体"/>
    <w:charset w:val="86"/>
    <w:family w:val="modern"/>
    <w:pitch w:val="fixed"/>
    <w:sig w:usb0="800022A7" w:usb1="880F3C78" w:usb2="000A005E"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BBD" w:rsidRDefault="00253BBC" w:rsidP="009A0C03">
    <w:pPr>
      <w:pStyle w:val="a5"/>
      <w:framePr w:wrap="around" w:vAnchor="text" w:hAnchor="margin" w:xAlign="right" w:y="1"/>
      <w:rPr>
        <w:rStyle w:val="a7"/>
      </w:rPr>
    </w:pPr>
    <w:r>
      <w:rPr>
        <w:rStyle w:val="a7"/>
        <w:noProof/>
      </w:rPr>
      <w:t>1</w:t>
    </w:r>
  </w:p>
  <w:p w:rsidR="00EF3BBD" w:rsidRDefault="00253BBC" w:rsidP="009A0C0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BBD" w:rsidRDefault="00253BBC" w:rsidP="009A0C03">
    <w:pPr>
      <w:pStyle w:val="a5"/>
      <w:ind w:right="360"/>
    </w:pPr>
    <w:r>
      <w:rPr>
        <w:noProof/>
      </w:rPr>
      <w:pict>
        <v:shapetype id="_x0000_t202" coordsize="21600,21600" o:spt="202" path="m,l,21600r21600,l21600,xe">
          <v:stroke joinstyle="miter"/>
          <v:path gradientshapeok="t" o:connecttype="rect"/>
        </v:shapetype>
        <v:shape id="_x0000_s2049" type="#_x0000_t202" style="position:absolute;margin-left:28.8pt;margin-top:772.9pt;width:513.45pt;height:18pt;z-index:251660288;mso-position-horizontal-relative:page;mso-position-vertical-relative:page" filled="f" stroked="f">
          <v:textbox style="mso-next-textbox:#_x0000_s2049" inset="0,0,0,0">
            <w:txbxContent>
              <w:p w:rsidR="00EF3BBD" w:rsidRPr="00310D17" w:rsidRDefault="00253BBC" w:rsidP="009A0C03">
                <w:pPr>
                  <w:pBdr>
                    <w:top w:val="single" w:sz="4" w:space="3" w:color="auto"/>
                  </w:pBdr>
                  <w:topLinePunct/>
                  <w:spacing w:line="200" w:lineRule="exact"/>
                  <w:rPr>
                    <w:rFonts w:ascii="楷体_GB2312" w:eastAsia="楷体_GB2312"/>
                    <w:color w:val="003366"/>
                    <w:szCs w:val="21"/>
                  </w:rPr>
                </w:pPr>
                <w:r w:rsidRPr="00FB139B">
                  <w:rPr>
                    <w:rFonts w:ascii="楷体_GB2312" w:eastAsia="楷体_GB2312" w:hint="eastAsia"/>
                    <w:b/>
                    <w:color w:val="003366"/>
                    <w:szCs w:val="21"/>
                  </w:rPr>
                  <w:t>重要提示：</w:t>
                </w:r>
                <w:r w:rsidRPr="00EF283B">
                  <w:rPr>
                    <w:rFonts w:ascii="楷体_GB2312" w:eastAsia="楷体_GB2312" w:hint="eastAsia"/>
                    <w:b/>
                    <w:color w:val="003366"/>
                    <w:szCs w:val="21"/>
                  </w:rPr>
                  <w:t>请务必阅读尾页分析师承诺和免责条款</w:t>
                </w:r>
                <w:r>
                  <w:rPr>
                    <w:rFonts w:ascii="楷体_GB2312" w:eastAsia="楷体_GB2312" w:hint="eastAsia"/>
                    <w:b/>
                    <w:color w:val="003366"/>
                    <w:szCs w:val="21"/>
                  </w:rPr>
                  <w:t xml:space="preserve">                                                   </w:t>
                </w:r>
                <w:r w:rsidRPr="00310D17">
                  <w:rPr>
                    <w:rFonts w:ascii="楷体_GB2312" w:eastAsia="楷体_GB2312"/>
                    <w:color w:val="003366"/>
                    <w:szCs w:val="21"/>
                  </w:rPr>
                  <w:fldChar w:fldCharType="begin"/>
                </w:r>
                <w:r w:rsidRPr="00310D17">
                  <w:rPr>
                    <w:rFonts w:ascii="楷体_GB2312" w:eastAsia="楷体_GB2312"/>
                    <w:color w:val="003366"/>
                    <w:szCs w:val="21"/>
                  </w:rPr>
                  <w:instrText xml:space="preserve"> PAGE   \* MERGEFORMAT</w:instrText>
                </w:r>
                <w:r w:rsidRPr="00310D17">
                  <w:rPr>
                    <w:rFonts w:ascii="楷体_GB2312" w:eastAsia="楷体_GB2312"/>
                    <w:color w:val="003366"/>
                    <w:szCs w:val="21"/>
                  </w:rPr>
                  <w:instrText xml:space="preserve"> </w:instrText>
                </w:r>
                <w:r w:rsidRPr="00310D17">
                  <w:rPr>
                    <w:rFonts w:ascii="楷体_GB2312" w:eastAsia="楷体_GB2312"/>
                    <w:color w:val="003366"/>
                    <w:szCs w:val="21"/>
                  </w:rPr>
                  <w:fldChar w:fldCharType="separate"/>
                </w:r>
                <w:r w:rsidR="005613BF" w:rsidRPr="005613BF">
                  <w:rPr>
                    <w:rFonts w:ascii="楷体_GB2312" w:eastAsia="楷体_GB2312"/>
                    <w:noProof/>
                    <w:color w:val="003366"/>
                    <w:szCs w:val="21"/>
                    <w:lang w:val="zh-CN"/>
                  </w:rPr>
                  <w:t>4</w:t>
                </w:r>
                <w:r w:rsidRPr="00310D17">
                  <w:rPr>
                    <w:rFonts w:ascii="楷体_GB2312" w:eastAsia="楷体_GB2312"/>
                    <w:color w:val="003366"/>
                    <w:szCs w:val="21"/>
                  </w:rPr>
                  <w:fldChar w:fldCharType="end"/>
                </w:r>
              </w:p>
            </w:txbxContent>
          </v:textbox>
          <w10:wrap anchorx="page" anchory="pag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BBD" w:rsidRPr="0010121A" w:rsidRDefault="00253BBC">
    <w:pPr>
      <w:pStyle w:val="a4"/>
      <w:rPr>
        <w:rFonts w:ascii="楷体_GB2312" w:eastAsia="楷体_GB2312"/>
        <w:b/>
        <w:color w:val="333399"/>
        <w:sz w:val="21"/>
        <w:szCs w:val="21"/>
      </w:rPr>
    </w:pPr>
    <w:r>
      <w:rPr>
        <w:rFonts w:ascii="楷体_GB2312" w:eastAsia="楷体_GB2312" w:hint="eastAsia"/>
        <w:b/>
        <w:color w:val="333399"/>
        <w:sz w:val="21"/>
        <w:szCs w:val="21"/>
      </w:rPr>
      <w:t xml:space="preserve">                                                   </w:t>
    </w:r>
    <w:r>
      <w:rPr>
        <w:rFonts w:ascii="楷体_GB2312" w:eastAsia="楷体_GB2312" w:hint="eastAsia"/>
        <w:b/>
        <w:color w:val="333399"/>
        <w:sz w:val="21"/>
        <w:szCs w:val="21"/>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BBD" w:rsidRPr="00935FC9" w:rsidRDefault="00253BBC" w:rsidP="00CE0CE6">
    <w:pPr>
      <w:pStyle w:val="a4"/>
      <w:jc w:val="left"/>
      <w:rPr>
        <w:rFonts w:ascii="楷体_GB2312" w:eastAsia="楷体_GB2312"/>
        <w:b/>
        <w:color w:val="333399"/>
        <w:sz w:val="24"/>
        <w:szCs w:val="24"/>
      </w:rPr>
    </w:pPr>
    <w:r w:rsidRPr="00E67FE5">
      <w:rPr>
        <w:rFonts w:ascii="楷体_GB2312" w:eastAsia="楷体_GB2312"/>
        <w:b/>
        <w:noProof/>
        <w:color w:val="003366"/>
        <w:sz w:val="21"/>
        <w:szCs w:val="21"/>
      </w:rPr>
      <w:pict>
        <v:line id="_x0000_s2051" style="position:absolute;z-index:251661312" from="70.1pt,20.55pt" to="459pt,20.55pt" strokecolor="#036" strokeweight="1.5pt"/>
      </w:pict>
    </w:r>
    <w:r>
      <w:rPr>
        <w:rFonts w:ascii="楷体_GB2312" w:eastAsia="楷体_GB2312" w:hint="eastAsia"/>
        <w:b/>
        <w:noProof/>
        <w:color w:val="003366"/>
        <w:sz w:val="21"/>
        <w:szCs w:val="21"/>
      </w:rPr>
      <w:drawing>
        <wp:inline distT="0" distB="0" distL="0" distR="0">
          <wp:extent cx="905510" cy="241300"/>
          <wp:effectExtent l="19050" t="0" r="8890" b="0"/>
          <wp:docPr id="9" name="图片 9" descr="yem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emei"/>
                  <pic:cNvPicPr>
                    <a:picLocks noChangeAspect="1" noChangeArrowheads="1"/>
                  </pic:cNvPicPr>
                </pic:nvPicPr>
                <pic:blipFill>
                  <a:blip r:embed="rId1"/>
                  <a:srcRect/>
                  <a:stretch>
                    <a:fillRect/>
                  </a:stretch>
                </pic:blipFill>
                <pic:spPr bwMode="auto">
                  <a:xfrm>
                    <a:off x="0" y="0"/>
                    <a:ext cx="905510" cy="241300"/>
                  </a:xfrm>
                  <a:prstGeom prst="rect">
                    <a:avLst/>
                  </a:prstGeom>
                  <a:noFill/>
                  <a:ln w="9525">
                    <a:noFill/>
                    <a:miter lim="800000"/>
                    <a:headEnd/>
                    <a:tailEnd/>
                  </a:ln>
                </pic:spPr>
              </pic:pic>
            </a:graphicData>
          </a:graphic>
        </wp:inline>
      </w:drawing>
    </w:r>
    <w:r w:rsidRPr="00E67FE5">
      <w:rPr>
        <w:rFonts w:ascii="楷体_GB2312" w:eastAsia="楷体_GB2312"/>
        <w:b/>
        <w:noProof/>
        <w:color w:val="333399"/>
        <w:sz w:val="21"/>
        <w:szCs w:val="21"/>
      </w:rPr>
      <w:pict>
        <v:shapetype id="_x0000_t202" coordsize="21600,21600" o:spt="202" path="m,l,21600r21600,l21600,xe">
          <v:stroke joinstyle="miter"/>
          <v:path gradientshapeok="t" o:connecttype="rect"/>
        </v:shapetype>
        <v:shape id="_x0000_s2050" type="#_x0000_t202" style="position:absolute;margin-left:-189pt;margin-top:-2.85pt;width:89.25pt;height:30.1pt;z-index:251660288;mso-wrap-style:none;mso-position-horizontal-relative:text;mso-position-vertical-relative:text" stroked="f">
          <v:textbox style="mso-next-textbox:#_x0000_s2050;mso-fit-shape-to-text:t">
            <w:txbxContent>
              <w:p w:rsidR="00EF3BBD" w:rsidRDefault="00253BBC">
                <w:r>
                  <w:rPr>
                    <w:noProof/>
                  </w:rPr>
                  <w:drawing>
                    <wp:inline distT="0" distB="0" distL="0" distR="0">
                      <wp:extent cx="948690" cy="293370"/>
                      <wp:effectExtent l="19050" t="0" r="381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srcRect/>
                              <a:stretch>
                                <a:fillRect/>
                              </a:stretch>
                            </pic:blipFill>
                            <pic:spPr bwMode="auto">
                              <a:xfrm>
                                <a:off x="0" y="0"/>
                                <a:ext cx="948690" cy="293370"/>
                              </a:xfrm>
                              <a:prstGeom prst="rect">
                                <a:avLst/>
                              </a:prstGeom>
                              <a:noFill/>
                              <a:ln w="9525">
                                <a:noFill/>
                                <a:miter lim="800000"/>
                                <a:headEnd/>
                                <a:tailEnd/>
                              </a:ln>
                            </pic:spPr>
                          </pic:pic>
                        </a:graphicData>
                      </a:graphic>
                    </wp:inline>
                  </w:drawing>
                </w:r>
              </w:p>
            </w:txbxContent>
          </v:textbox>
        </v:shape>
      </w:pict>
    </w:r>
    <w:r>
      <w:rPr>
        <w:rFonts w:ascii="楷体_GB2312" w:eastAsia="楷体_GB2312" w:hint="eastAsia"/>
        <w:b/>
        <w:color w:val="333399"/>
        <w:sz w:val="21"/>
        <w:szCs w:val="21"/>
      </w:rPr>
      <w:t xml:space="preserve"> </w:t>
    </w:r>
    <w:r w:rsidRPr="00935FC9">
      <w:rPr>
        <w:rFonts w:ascii="楷体_GB2312" w:eastAsia="楷体_GB2312" w:hint="eastAsia"/>
        <w:b/>
        <w:color w:val="333399"/>
        <w:sz w:val="24"/>
        <w:szCs w:val="24"/>
      </w:rPr>
      <w:t xml:space="preserve">   </w:t>
    </w:r>
    <w:r>
      <w:rPr>
        <w:rFonts w:ascii="楷体_GB2312" w:eastAsia="楷体_GB2312" w:hint="eastAsia"/>
        <w:b/>
        <w:color w:val="333399"/>
        <w:sz w:val="24"/>
        <w:szCs w:val="24"/>
      </w:rPr>
      <w:t xml:space="preserve">         </w:t>
    </w:r>
    <w:r w:rsidRPr="00935FC9">
      <w:rPr>
        <w:rFonts w:ascii="楷体_GB2312" w:eastAsia="楷体_GB2312" w:hint="eastAsia"/>
        <w:b/>
        <w:color w:val="333399"/>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C6173"/>
    <w:multiLevelType w:val="hybridMultilevel"/>
    <w:tmpl w:val="03680652"/>
    <w:lvl w:ilvl="0" w:tplc="B3C40B68">
      <w:start w:val="1"/>
      <w:numFmt w:val="japaneseCounting"/>
      <w:lvlText w:val="%1、"/>
      <w:lvlJc w:val="left"/>
      <w:pPr>
        <w:tabs>
          <w:tab w:val="num" w:pos="3555"/>
        </w:tabs>
        <w:ind w:left="3555" w:hanging="72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1">
    <w:nsid w:val="293D56C2"/>
    <w:multiLevelType w:val="multilevel"/>
    <w:tmpl w:val="03680652"/>
    <w:lvl w:ilvl="0">
      <w:start w:val="1"/>
      <w:numFmt w:val="japaneseCounting"/>
      <w:lvlText w:val="%1、"/>
      <w:lvlJc w:val="left"/>
      <w:pPr>
        <w:tabs>
          <w:tab w:val="num" w:pos="3555"/>
        </w:tabs>
        <w:ind w:left="3555" w:hanging="720"/>
      </w:pPr>
      <w:rPr>
        <w:rFonts w:hint="default"/>
      </w:rPr>
    </w:lvl>
    <w:lvl w:ilvl="1">
      <w:start w:val="1"/>
      <w:numFmt w:val="lowerLetter"/>
      <w:lvlText w:val="%2)"/>
      <w:lvlJc w:val="left"/>
      <w:pPr>
        <w:tabs>
          <w:tab w:val="num" w:pos="3675"/>
        </w:tabs>
        <w:ind w:left="3675" w:hanging="420"/>
      </w:pPr>
    </w:lvl>
    <w:lvl w:ilvl="2">
      <w:start w:val="1"/>
      <w:numFmt w:val="lowerRoman"/>
      <w:lvlText w:val="%3."/>
      <w:lvlJc w:val="right"/>
      <w:pPr>
        <w:tabs>
          <w:tab w:val="num" w:pos="4095"/>
        </w:tabs>
        <w:ind w:left="4095" w:hanging="420"/>
      </w:pPr>
    </w:lvl>
    <w:lvl w:ilvl="3">
      <w:start w:val="1"/>
      <w:numFmt w:val="decimal"/>
      <w:lvlText w:val="%4."/>
      <w:lvlJc w:val="left"/>
      <w:pPr>
        <w:tabs>
          <w:tab w:val="num" w:pos="4515"/>
        </w:tabs>
        <w:ind w:left="4515" w:hanging="420"/>
      </w:pPr>
    </w:lvl>
    <w:lvl w:ilvl="4">
      <w:start w:val="1"/>
      <w:numFmt w:val="lowerLetter"/>
      <w:lvlText w:val="%5)"/>
      <w:lvlJc w:val="left"/>
      <w:pPr>
        <w:tabs>
          <w:tab w:val="num" w:pos="4935"/>
        </w:tabs>
        <w:ind w:left="4935" w:hanging="420"/>
      </w:pPr>
    </w:lvl>
    <w:lvl w:ilvl="5">
      <w:start w:val="1"/>
      <w:numFmt w:val="lowerRoman"/>
      <w:lvlText w:val="%6."/>
      <w:lvlJc w:val="right"/>
      <w:pPr>
        <w:tabs>
          <w:tab w:val="num" w:pos="5355"/>
        </w:tabs>
        <w:ind w:left="5355" w:hanging="420"/>
      </w:pPr>
    </w:lvl>
    <w:lvl w:ilvl="6">
      <w:start w:val="1"/>
      <w:numFmt w:val="decimal"/>
      <w:lvlText w:val="%7."/>
      <w:lvlJc w:val="left"/>
      <w:pPr>
        <w:tabs>
          <w:tab w:val="num" w:pos="5775"/>
        </w:tabs>
        <w:ind w:left="5775" w:hanging="420"/>
      </w:pPr>
    </w:lvl>
    <w:lvl w:ilvl="7">
      <w:start w:val="1"/>
      <w:numFmt w:val="lowerLetter"/>
      <w:lvlText w:val="%8)"/>
      <w:lvlJc w:val="left"/>
      <w:pPr>
        <w:tabs>
          <w:tab w:val="num" w:pos="6195"/>
        </w:tabs>
        <w:ind w:left="6195" w:hanging="420"/>
      </w:pPr>
    </w:lvl>
    <w:lvl w:ilvl="8">
      <w:start w:val="1"/>
      <w:numFmt w:val="lowerRoman"/>
      <w:lvlText w:val="%9."/>
      <w:lvlJc w:val="right"/>
      <w:pPr>
        <w:tabs>
          <w:tab w:val="num" w:pos="6615"/>
        </w:tabs>
        <w:ind w:left="6615" w:hanging="420"/>
      </w:pPr>
    </w:lvl>
  </w:abstractNum>
  <w:abstractNum w:abstractNumId="2">
    <w:nsid w:val="2A070CE6"/>
    <w:multiLevelType w:val="hybridMultilevel"/>
    <w:tmpl w:val="03680652"/>
    <w:lvl w:ilvl="0" w:tplc="B3C40B68">
      <w:start w:val="1"/>
      <w:numFmt w:val="japaneseCounting"/>
      <w:pStyle w:val="ParaChar"/>
      <w:lvlText w:val="%1、"/>
      <w:lvlJc w:val="left"/>
      <w:pPr>
        <w:tabs>
          <w:tab w:val="num" w:pos="3555"/>
        </w:tabs>
        <w:ind w:left="3555" w:hanging="72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3">
    <w:nsid w:val="31E25EFD"/>
    <w:multiLevelType w:val="hybridMultilevel"/>
    <w:tmpl w:val="A90A8370"/>
    <w:lvl w:ilvl="0" w:tplc="63787446">
      <w:start w:val="1"/>
      <w:numFmt w:val="bullet"/>
      <w:lvlText w:val=""/>
      <w:lvlJc w:val="left"/>
      <w:pPr>
        <w:tabs>
          <w:tab w:val="num" w:pos="420"/>
        </w:tabs>
        <w:ind w:left="420" w:hanging="420"/>
      </w:pPr>
      <w:rPr>
        <w:rFonts w:ascii="Wingdings" w:hAnsi="Wingdings" w:hint="default"/>
        <w:color w:val="003366"/>
      </w:rPr>
    </w:lvl>
    <w:lvl w:ilvl="1" w:tplc="318E7592" w:tentative="1">
      <w:start w:val="1"/>
      <w:numFmt w:val="bullet"/>
      <w:lvlText w:val=""/>
      <w:lvlJc w:val="left"/>
      <w:pPr>
        <w:tabs>
          <w:tab w:val="num" w:pos="840"/>
        </w:tabs>
        <w:ind w:left="840" w:hanging="420"/>
      </w:pPr>
      <w:rPr>
        <w:rFonts w:ascii="Wingdings" w:hAnsi="Wingdings" w:hint="default"/>
      </w:rPr>
    </w:lvl>
    <w:lvl w:ilvl="2" w:tplc="DB9447D4" w:tentative="1">
      <w:start w:val="1"/>
      <w:numFmt w:val="bullet"/>
      <w:lvlText w:val=""/>
      <w:lvlJc w:val="left"/>
      <w:pPr>
        <w:tabs>
          <w:tab w:val="num" w:pos="1260"/>
        </w:tabs>
        <w:ind w:left="1260" w:hanging="420"/>
      </w:pPr>
      <w:rPr>
        <w:rFonts w:ascii="Wingdings" w:hAnsi="Wingdings" w:hint="default"/>
      </w:rPr>
    </w:lvl>
    <w:lvl w:ilvl="3" w:tplc="EF2866D2" w:tentative="1">
      <w:start w:val="1"/>
      <w:numFmt w:val="bullet"/>
      <w:lvlText w:val=""/>
      <w:lvlJc w:val="left"/>
      <w:pPr>
        <w:tabs>
          <w:tab w:val="num" w:pos="1680"/>
        </w:tabs>
        <w:ind w:left="1680" w:hanging="420"/>
      </w:pPr>
      <w:rPr>
        <w:rFonts w:ascii="Wingdings" w:hAnsi="Wingdings" w:hint="default"/>
      </w:rPr>
    </w:lvl>
    <w:lvl w:ilvl="4" w:tplc="0E56385C" w:tentative="1">
      <w:start w:val="1"/>
      <w:numFmt w:val="bullet"/>
      <w:lvlText w:val=""/>
      <w:lvlJc w:val="left"/>
      <w:pPr>
        <w:tabs>
          <w:tab w:val="num" w:pos="2100"/>
        </w:tabs>
        <w:ind w:left="2100" w:hanging="420"/>
      </w:pPr>
      <w:rPr>
        <w:rFonts w:ascii="Wingdings" w:hAnsi="Wingdings" w:hint="default"/>
      </w:rPr>
    </w:lvl>
    <w:lvl w:ilvl="5" w:tplc="79AC2510" w:tentative="1">
      <w:start w:val="1"/>
      <w:numFmt w:val="bullet"/>
      <w:lvlText w:val=""/>
      <w:lvlJc w:val="left"/>
      <w:pPr>
        <w:tabs>
          <w:tab w:val="num" w:pos="2520"/>
        </w:tabs>
        <w:ind w:left="2520" w:hanging="420"/>
      </w:pPr>
      <w:rPr>
        <w:rFonts w:ascii="Wingdings" w:hAnsi="Wingdings" w:hint="default"/>
      </w:rPr>
    </w:lvl>
    <w:lvl w:ilvl="6" w:tplc="505EA050" w:tentative="1">
      <w:start w:val="1"/>
      <w:numFmt w:val="bullet"/>
      <w:lvlText w:val=""/>
      <w:lvlJc w:val="left"/>
      <w:pPr>
        <w:tabs>
          <w:tab w:val="num" w:pos="2940"/>
        </w:tabs>
        <w:ind w:left="2940" w:hanging="420"/>
      </w:pPr>
      <w:rPr>
        <w:rFonts w:ascii="Wingdings" w:hAnsi="Wingdings" w:hint="default"/>
      </w:rPr>
    </w:lvl>
    <w:lvl w:ilvl="7" w:tplc="B9D00E26" w:tentative="1">
      <w:start w:val="1"/>
      <w:numFmt w:val="bullet"/>
      <w:lvlText w:val=""/>
      <w:lvlJc w:val="left"/>
      <w:pPr>
        <w:tabs>
          <w:tab w:val="num" w:pos="3360"/>
        </w:tabs>
        <w:ind w:left="3360" w:hanging="420"/>
      </w:pPr>
      <w:rPr>
        <w:rFonts w:ascii="Wingdings" w:hAnsi="Wingdings" w:hint="default"/>
      </w:rPr>
    </w:lvl>
    <w:lvl w:ilvl="8" w:tplc="16A63F48" w:tentative="1">
      <w:start w:val="1"/>
      <w:numFmt w:val="bullet"/>
      <w:lvlText w:val=""/>
      <w:lvlJc w:val="left"/>
      <w:pPr>
        <w:tabs>
          <w:tab w:val="num" w:pos="3780"/>
        </w:tabs>
        <w:ind w:left="3780" w:hanging="420"/>
      </w:pPr>
      <w:rPr>
        <w:rFonts w:ascii="Wingdings" w:hAnsi="Wingdings" w:hint="default"/>
      </w:rPr>
    </w:lvl>
  </w:abstractNum>
  <w:abstractNum w:abstractNumId="4">
    <w:nsid w:val="45F20624"/>
    <w:multiLevelType w:val="hybridMultilevel"/>
    <w:tmpl w:val="EEAE34C4"/>
    <w:lvl w:ilvl="0" w:tplc="F6EA0C6C">
      <w:numFmt w:val="bullet"/>
      <w:lvlText w:val="★"/>
      <w:lvlJc w:val="left"/>
      <w:pPr>
        <w:ind w:left="360" w:hanging="360"/>
      </w:pPr>
      <w:rPr>
        <w:rFonts w:ascii="楷体_GB2312" w:eastAsia="楷体_GB2312" w:hAnsi="宋体" w:cs="宋体" w:hint="eastAsia"/>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A5E3680"/>
    <w:multiLevelType w:val="hybridMultilevel"/>
    <w:tmpl w:val="8976F2B8"/>
    <w:lvl w:ilvl="0" w:tplc="3BAA5164">
      <w:start w:val="1"/>
      <w:numFmt w:val="bullet"/>
      <w:pStyle w:val="a"/>
      <w:lvlText w:val=""/>
      <w:lvlJc w:val="left"/>
      <w:pPr>
        <w:tabs>
          <w:tab w:val="num" w:pos="420"/>
        </w:tabs>
        <w:ind w:left="420" w:hanging="420"/>
      </w:pPr>
      <w:rPr>
        <w:rFonts w:ascii="Wingdings" w:hAnsi="Wingdings" w:hint="default"/>
        <w:color w:val="FF6600"/>
      </w:rPr>
    </w:lvl>
    <w:lvl w:ilvl="1" w:tplc="04090003" w:tentative="1">
      <w:start w:val="1"/>
      <w:numFmt w:val="bullet"/>
      <w:lvlText w:val=""/>
      <w:lvlJc w:val="left"/>
      <w:pPr>
        <w:tabs>
          <w:tab w:val="num" w:pos="630"/>
        </w:tabs>
        <w:ind w:left="630" w:hanging="420"/>
      </w:pPr>
      <w:rPr>
        <w:rFonts w:ascii="Wingdings" w:hAnsi="Wingdings" w:hint="default"/>
      </w:rPr>
    </w:lvl>
    <w:lvl w:ilvl="2" w:tplc="04090005"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3" w:tentative="1">
      <w:start w:val="1"/>
      <w:numFmt w:val="bullet"/>
      <w:lvlText w:val=""/>
      <w:lvlJc w:val="left"/>
      <w:pPr>
        <w:tabs>
          <w:tab w:val="num" w:pos="1890"/>
        </w:tabs>
        <w:ind w:left="1890" w:hanging="420"/>
      </w:pPr>
      <w:rPr>
        <w:rFonts w:ascii="Wingdings" w:hAnsi="Wingdings" w:hint="default"/>
      </w:rPr>
    </w:lvl>
    <w:lvl w:ilvl="5" w:tplc="04090005"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3" w:tentative="1">
      <w:start w:val="1"/>
      <w:numFmt w:val="bullet"/>
      <w:lvlText w:val=""/>
      <w:lvlJc w:val="left"/>
      <w:pPr>
        <w:tabs>
          <w:tab w:val="num" w:pos="3150"/>
        </w:tabs>
        <w:ind w:left="3150" w:hanging="420"/>
      </w:pPr>
      <w:rPr>
        <w:rFonts w:ascii="Wingdings" w:hAnsi="Wingdings" w:hint="default"/>
      </w:rPr>
    </w:lvl>
    <w:lvl w:ilvl="8" w:tplc="04090005" w:tentative="1">
      <w:start w:val="1"/>
      <w:numFmt w:val="bullet"/>
      <w:lvlText w:val=""/>
      <w:lvlJc w:val="left"/>
      <w:pPr>
        <w:tabs>
          <w:tab w:val="num" w:pos="3570"/>
        </w:tabs>
        <w:ind w:left="3570" w:hanging="420"/>
      </w:pPr>
      <w:rPr>
        <w:rFonts w:ascii="Wingdings" w:hAnsi="Wingdings" w:hint="default"/>
      </w:rPr>
    </w:lvl>
  </w:abstractNum>
  <w:abstractNum w:abstractNumId="6">
    <w:nsid w:val="7E1A10C2"/>
    <w:multiLevelType w:val="hybridMultilevel"/>
    <w:tmpl w:val="33A219AA"/>
    <w:lvl w:ilvl="0" w:tplc="A38A7AD4">
      <w:start w:val="1"/>
      <w:numFmt w:val="bullet"/>
      <w:lvlText w:val=""/>
      <w:lvlJc w:val="left"/>
      <w:pPr>
        <w:tabs>
          <w:tab w:val="num" w:pos="425"/>
        </w:tabs>
        <w:ind w:left="425" w:hanging="425"/>
      </w:pPr>
      <w:rPr>
        <w:rFonts w:ascii="Wingdings" w:hAnsi="Wingdings" w:hint="default"/>
        <w:color w:val="003366"/>
      </w:rPr>
    </w:lvl>
    <w:lvl w:ilvl="1" w:tplc="9A60056E" w:tentative="1">
      <w:start w:val="1"/>
      <w:numFmt w:val="bullet"/>
      <w:lvlText w:val=""/>
      <w:lvlJc w:val="left"/>
      <w:pPr>
        <w:tabs>
          <w:tab w:val="num" w:pos="840"/>
        </w:tabs>
        <w:ind w:left="840" w:hanging="420"/>
      </w:pPr>
      <w:rPr>
        <w:rFonts w:ascii="Wingdings" w:hAnsi="Wingdings" w:hint="default"/>
      </w:rPr>
    </w:lvl>
    <w:lvl w:ilvl="2" w:tplc="8BEC58DE" w:tentative="1">
      <w:start w:val="1"/>
      <w:numFmt w:val="bullet"/>
      <w:lvlText w:val=""/>
      <w:lvlJc w:val="left"/>
      <w:pPr>
        <w:tabs>
          <w:tab w:val="num" w:pos="1260"/>
        </w:tabs>
        <w:ind w:left="1260" w:hanging="420"/>
      </w:pPr>
      <w:rPr>
        <w:rFonts w:ascii="Wingdings" w:hAnsi="Wingdings" w:hint="default"/>
      </w:rPr>
    </w:lvl>
    <w:lvl w:ilvl="3" w:tplc="C9B83B34" w:tentative="1">
      <w:start w:val="1"/>
      <w:numFmt w:val="bullet"/>
      <w:lvlText w:val=""/>
      <w:lvlJc w:val="left"/>
      <w:pPr>
        <w:tabs>
          <w:tab w:val="num" w:pos="1680"/>
        </w:tabs>
        <w:ind w:left="1680" w:hanging="420"/>
      </w:pPr>
      <w:rPr>
        <w:rFonts w:ascii="Wingdings" w:hAnsi="Wingdings" w:hint="default"/>
      </w:rPr>
    </w:lvl>
    <w:lvl w:ilvl="4" w:tplc="C64E2148" w:tentative="1">
      <w:start w:val="1"/>
      <w:numFmt w:val="bullet"/>
      <w:lvlText w:val=""/>
      <w:lvlJc w:val="left"/>
      <w:pPr>
        <w:tabs>
          <w:tab w:val="num" w:pos="2100"/>
        </w:tabs>
        <w:ind w:left="2100" w:hanging="420"/>
      </w:pPr>
      <w:rPr>
        <w:rFonts w:ascii="Wingdings" w:hAnsi="Wingdings" w:hint="default"/>
      </w:rPr>
    </w:lvl>
    <w:lvl w:ilvl="5" w:tplc="2A5C8172" w:tentative="1">
      <w:start w:val="1"/>
      <w:numFmt w:val="bullet"/>
      <w:lvlText w:val=""/>
      <w:lvlJc w:val="left"/>
      <w:pPr>
        <w:tabs>
          <w:tab w:val="num" w:pos="2520"/>
        </w:tabs>
        <w:ind w:left="2520" w:hanging="420"/>
      </w:pPr>
      <w:rPr>
        <w:rFonts w:ascii="Wingdings" w:hAnsi="Wingdings" w:hint="default"/>
      </w:rPr>
    </w:lvl>
    <w:lvl w:ilvl="6" w:tplc="88B4F5E0" w:tentative="1">
      <w:start w:val="1"/>
      <w:numFmt w:val="bullet"/>
      <w:lvlText w:val=""/>
      <w:lvlJc w:val="left"/>
      <w:pPr>
        <w:tabs>
          <w:tab w:val="num" w:pos="2940"/>
        </w:tabs>
        <w:ind w:left="2940" w:hanging="420"/>
      </w:pPr>
      <w:rPr>
        <w:rFonts w:ascii="Wingdings" w:hAnsi="Wingdings" w:hint="default"/>
      </w:rPr>
    </w:lvl>
    <w:lvl w:ilvl="7" w:tplc="17E63E7E" w:tentative="1">
      <w:start w:val="1"/>
      <w:numFmt w:val="bullet"/>
      <w:lvlText w:val=""/>
      <w:lvlJc w:val="left"/>
      <w:pPr>
        <w:tabs>
          <w:tab w:val="num" w:pos="3360"/>
        </w:tabs>
        <w:ind w:left="3360" w:hanging="420"/>
      </w:pPr>
      <w:rPr>
        <w:rFonts w:ascii="Wingdings" w:hAnsi="Wingdings" w:hint="default"/>
      </w:rPr>
    </w:lvl>
    <w:lvl w:ilvl="8" w:tplc="D2520B0C"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6"/>
  </w:num>
  <w:num w:numId="3">
    <w:abstractNumId w:val="2"/>
  </w:num>
  <w:num w:numId="4">
    <w:abstractNumId w:val="1"/>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compat>
    <w:spaceForUL/>
    <w:balanceSingleByteDoubleByteWidth/>
    <w:doNotLeaveBackslashAlone/>
    <w:ulTrailSpace/>
    <w:doNotExpandShiftReturn/>
    <w:adjustLineHeightInTable/>
    <w:useFELayout/>
  </w:compat>
  <w:rsids>
    <w:rsidRoot w:val="009A18F4"/>
    <w:rsid w:val="00013019"/>
    <w:rsid w:val="00144F30"/>
    <w:rsid w:val="001638F6"/>
    <w:rsid w:val="001B44DF"/>
    <w:rsid w:val="00253BBC"/>
    <w:rsid w:val="00312345"/>
    <w:rsid w:val="0037247A"/>
    <w:rsid w:val="00525209"/>
    <w:rsid w:val="005613BF"/>
    <w:rsid w:val="00572523"/>
    <w:rsid w:val="005A62A2"/>
    <w:rsid w:val="00661347"/>
    <w:rsid w:val="007B0849"/>
    <w:rsid w:val="007F5B42"/>
    <w:rsid w:val="00914F6A"/>
    <w:rsid w:val="009A18F4"/>
    <w:rsid w:val="00B0557D"/>
    <w:rsid w:val="00CA3EB0"/>
    <w:rsid w:val="00E05745"/>
    <w:rsid w:val="00F75E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18F4"/>
    <w:pPr>
      <w:widowControl w:val="0"/>
      <w:jc w:val="both"/>
    </w:pPr>
    <w:rPr>
      <w:rFonts w:ascii="Times New Roman" w:eastAsia="宋体" w:hAnsi="Times New Roman" w:cs="Times New Roman"/>
      <w:szCs w:val="24"/>
    </w:rPr>
  </w:style>
  <w:style w:type="paragraph" w:styleId="1">
    <w:name w:val="heading 1"/>
    <w:basedOn w:val="a0"/>
    <w:next w:val="a0"/>
    <w:link w:val="1Char"/>
    <w:qFormat/>
    <w:rsid w:val="009A18F4"/>
    <w:pPr>
      <w:keepNext/>
      <w:keepLines/>
      <w:spacing w:before="340" w:after="330" w:line="578" w:lineRule="auto"/>
      <w:outlineLvl w:val="0"/>
    </w:pPr>
    <w:rPr>
      <w:b/>
      <w:bCs/>
      <w:kern w:val="44"/>
      <w:sz w:val="44"/>
      <w:szCs w:val="44"/>
    </w:rPr>
  </w:style>
  <w:style w:type="paragraph" w:styleId="2">
    <w:name w:val="heading 2"/>
    <w:basedOn w:val="a0"/>
    <w:next w:val="a0"/>
    <w:link w:val="2Char"/>
    <w:qFormat/>
    <w:rsid w:val="009A18F4"/>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
    <w:semiHidden/>
    <w:unhideWhenUsed/>
    <w:qFormat/>
    <w:rsid w:val="009A18F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9A18F4"/>
    <w:rPr>
      <w:rFonts w:ascii="Times New Roman" w:eastAsia="宋体" w:hAnsi="Times New Roman" w:cs="Times New Roman"/>
      <w:b/>
      <w:bCs/>
      <w:kern w:val="44"/>
      <w:sz w:val="44"/>
      <w:szCs w:val="44"/>
    </w:rPr>
  </w:style>
  <w:style w:type="character" w:customStyle="1" w:styleId="2Char">
    <w:name w:val="标题 2 Char"/>
    <w:basedOn w:val="a1"/>
    <w:link w:val="2"/>
    <w:rsid w:val="009A18F4"/>
    <w:rPr>
      <w:rFonts w:ascii="Arial" w:eastAsia="黑体" w:hAnsi="Arial" w:cs="Times New Roman"/>
      <w:b/>
      <w:bCs/>
      <w:sz w:val="32"/>
      <w:szCs w:val="32"/>
    </w:rPr>
  </w:style>
  <w:style w:type="character" w:customStyle="1" w:styleId="3Char">
    <w:name w:val="标题 3 Char"/>
    <w:basedOn w:val="a1"/>
    <w:link w:val="3"/>
    <w:semiHidden/>
    <w:rsid w:val="009A18F4"/>
    <w:rPr>
      <w:rFonts w:ascii="Times New Roman" w:eastAsia="宋体" w:hAnsi="Times New Roman" w:cs="Times New Roman"/>
      <w:b/>
      <w:bCs/>
      <w:sz w:val="32"/>
      <w:szCs w:val="32"/>
    </w:rPr>
  </w:style>
  <w:style w:type="paragraph" w:styleId="a4">
    <w:name w:val="header"/>
    <w:basedOn w:val="a0"/>
    <w:link w:val="Char"/>
    <w:uiPriority w:val="99"/>
    <w:rsid w:val="009A18F4"/>
    <w:pPr>
      <w:tabs>
        <w:tab w:val="center" w:pos="4153"/>
        <w:tab w:val="right" w:pos="8306"/>
      </w:tabs>
      <w:snapToGrid w:val="0"/>
      <w:jc w:val="center"/>
    </w:pPr>
    <w:rPr>
      <w:sz w:val="18"/>
      <w:szCs w:val="18"/>
    </w:rPr>
  </w:style>
  <w:style w:type="character" w:customStyle="1" w:styleId="Char">
    <w:name w:val="页眉 Char"/>
    <w:basedOn w:val="a1"/>
    <w:link w:val="a4"/>
    <w:uiPriority w:val="99"/>
    <w:rsid w:val="009A18F4"/>
    <w:rPr>
      <w:rFonts w:ascii="Times New Roman" w:eastAsia="宋体" w:hAnsi="Times New Roman" w:cs="Times New Roman"/>
      <w:sz w:val="18"/>
      <w:szCs w:val="18"/>
    </w:rPr>
  </w:style>
  <w:style w:type="paragraph" w:styleId="a5">
    <w:name w:val="footer"/>
    <w:basedOn w:val="a0"/>
    <w:link w:val="Char0"/>
    <w:uiPriority w:val="99"/>
    <w:rsid w:val="009A18F4"/>
    <w:pPr>
      <w:tabs>
        <w:tab w:val="center" w:pos="4153"/>
        <w:tab w:val="right" w:pos="8306"/>
      </w:tabs>
      <w:snapToGrid w:val="0"/>
      <w:jc w:val="left"/>
    </w:pPr>
    <w:rPr>
      <w:sz w:val="18"/>
      <w:szCs w:val="18"/>
    </w:rPr>
  </w:style>
  <w:style w:type="character" w:customStyle="1" w:styleId="Char0">
    <w:name w:val="页脚 Char"/>
    <w:basedOn w:val="a1"/>
    <w:link w:val="a5"/>
    <w:uiPriority w:val="99"/>
    <w:rsid w:val="009A18F4"/>
    <w:rPr>
      <w:rFonts w:ascii="Times New Roman" w:eastAsia="宋体" w:hAnsi="Times New Roman" w:cs="Times New Roman"/>
      <w:sz w:val="18"/>
      <w:szCs w:val="18"/>
    </w:rPr>
  </w:style>
  <w:style w:type="paragraph" w:customStyle="1" w:styleId="a6">
    <w:name w:val="内正文"/>
    <w:basedOn w:val="a0"/>
    <w:rsid w:val="009A18F4"/>
    <w:pPr>
      <w:spacing w:after="156" w:line="360" w:lineRule="exact"/>
      <w:ind w:left="2835"/>
    </w:pPr>
    <w:rPr>
      <w:rFonts w:ascii="宋体" w:hAnsi="宋体"/>
      <w:szCs w:val="21"/>
    </w:rPr>
  </w:style>
  <w:style w:type="character" w:styleId="a7">
    <w:name w:val="page number"/>
    <w:basedOn w:val="a1"/>
    <w:rsid w:val="009A18F4"/>
  </w:style>
  <w:style w:type="paragraph" w:styleId="a8">
    <w:name w:val="Plain Text"/>
    <w:basedOn w:val="a0"/>
    <w:link w:val="Char1"/>
    <w:uiPriority w:val="99"/>
    <w:unhideWhenUsed/>
    <w:rsid w:val="009A18F4"/>
    <w:rPr>
      <w:rFonts w:ascii="宋体" w:hAnsi="Courier New" w:cs="Courier New"/>
      <w:szCs w:val="21"/>
    </w:rPr>
  </w:style>
  <w:style w:type="character" w:customStyle="1" w:styleId="Char1">
    <w:name w:val="纯文本 Char"/>
    <w:basedOn w:val="a1"/>
    <w:link w:val="a8"/>
    <w:uiPriority w:val="99"/>
    <w:rsid w:val="009A18F4"/>
    <w:rPr>
      <w:rFonts w:ascii="宋体" w:eastAsia="宋体" w:hAnsi="Courier New" w:cs="Courier New"/>
      <w:szCs w:val="21"/>
    </w:rPr>
  </w:style>
  <w:style w:type="table" w:customStyle="1" w:styleId="10">
    <w:name w:val="浅色底纹1"/>
    <w:basedOn w:val="a2"/>
    <w:uiPriority w:val="60"/>
    <w:rsid w:val="009A18F4"/>
    <w:rPr>
      <w:rFonts w:ascii="Calibri" w:eastAsia="宋体" w:hAnsi="Calibri" w:cs="Times New Roman"/>
      <w:color w:val="000000"/>
      <w:kern w:val="0"/>
      <w:sz w:val="20"/>
      <w:szCs w:val="20"/>
    </w:rPr>
    <w:tblPr>
      <w:tblStyleRowBandSize w:val="1"/>
      <w:tblStyleColBandSize w:val="1"/>
      <w:tblInd w:w="0" w:type="dxa"/>
      <w:tblBorders>
        <w:top w:val="single" w:sz="8" w:space="0" w:color="FF0000"/>
        <w:bottom w:val="single" w:sz="8" w:space="0" w:color="FF0000"/>
      </w:tblBorders>
      <w:tblCellMar>
        <w:top w:w="0" w:type="dxa"/>
        <w:left w:w="108" w:type="dxa"/>
        <w:bottom w:w="0" w:type="dxa"/>
        <w:right w:w="108" w:type="dxa"/>
      </w:tblCellMar>
    </w:tblPr>
    <w:tblStylePr w:type="firstRow">
      <w:pPr>
        <w:spacing w:before="0" w:after="0" w:line="240" w:lineRule="auto"/>
      </w:pPr>
      <w:rPr>
        <w:b w:val="0"/>
        <w:bCs/>
      </w:rPr>
      <w:tblPr/>
      <w:tcPr>
        <w:tcBorders>
          <w:top w:val="single" w:sz="8" w:space="0" w:color="FF0000"/>
          <w:left w:val="nil"/>
          <w:bottom w:val="single" w:sz="8" w:space="0" w:color="FF0000"/>
          <w:right w:val="nil"/>
          <w:insideH w:val="nil"/>
          <w:insideV w:val="nil"/>
        </w:tcBorders>
      </w:tcPr>
    </w:tblStylePr>
    <w:tblStylePr w:type="lastRow">
      <w:pPr>
        <w:spacing w:before="0" w:after="0" w:line="240" w:lineRule="auto"/>
      </w:pPr>
      <w:rPr>
        <w:b w:val="0"/>
        <w:bCs/>
      </w:rPr>
      <w:tblPr/>
      <w:tcPr>
        <w:tcBorders>
          <w:top w:val="single" w:sz="8" w:space="0" w:color="FF0000"/>
          <w:left w:val="nil"/>
          <w:bottom w:val="single" w:sz="8" w:space="0" w:color="FF0000"/>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9">
    <w:name w:val="Balloon Text"/>
    <w:basedOn w:val="a0"/>
    <w:link w:val="Char2"/>
    <w:uiPriority w:val="99"/>
    <w:unhideWhenUsed/>
    <w:rsid w:val="009A18F4"/>
    <w:rPr>
      <w:rFonts w:ascii="Calibri" w:hAnsi="Calibri"/>
      <w:sz w:val="18"/>
      <w:szCs w:val="18"/>
    </w:rPr>
  </w:style>
  <w:style w:type="character" w:customStyle="1" w:styleId="Char2">
    <w:name w:val="批注框文本 Char"/>
    <w:basedOn w:val="a1"/>
    <w:link w:val="a9"/>
    <w:uiPriority w:val="99"/>
    <w:rsid w:val="009A18F4"/>
    <w:rPr>
      <w:rFonts w:ascii="Calibri" w:eastAsia="宋体" w:hAnsi="Calibri" w:cs="Times New Roman"/>
      <w:sz w:val="18"/>
      <w:szCs w:val="18"/>
    </w:rPr>
  </w:style>
  <w:style w:type="paragraph" w:customStyle="1" w:styleId="ParaChar">
    <w:name w:val="默认段落字体 Para Char"/>
    <w:basedOn w:val="a0"/>
    <w:autoRedefine/>
    <w:rsid w:val="009A18F4"/>
    <w:pPr>
      <w:numPr>
        <w:numId w:val="3"/>
      </w:numPr>
    </w:pPr>
    <w:rPr>
      <w:sz w:val="24"/>
    </w:rPr>
  </w:style>
  <w:style w:type="character" w:customStyle="1" w:styleId="apple-style-span">
    <w:name w:val="apple-style-span"/>
    <w:basedOn w:val="a1"/>
    <w:rsid w:val="009A18F4"/>
  </w:style>
  <w:style w:type="paragraph" w:styleId="aa">
    <w:name w:val="footnote text"/>
    <w:basedOn w:val="a0"/>
    <w:link w:val="Char3"/>
    <w:semiHidden/>
    <w:rsid w:val="009A18F4"/>
    <w:pPr>
      <w:snapToGrid w:val="0"/>
      <w:jc w:val="left"/>
    </w:pPr>
    <w:rPr>
      <w:sz w:val="18"/>
      <w:szCs w:val="18"/>
    </w:rPr>
  </w:style>
  <w:style w:type="character" w:customStyle="1" w:styleId="Char3">
    <w:name w:val="脚注文本 Char"/>
    <w:basedOn w:val="a1"/>
    <w:link w:val="aa"/>
    <w:semiHidden/>
    <w:rsid w:val="009A18F4"/>
    <w:rPr>
      <w:rFonts w:ascii="Times New Roman" w:eastAsia="宋体" w:hAnsi="Times New Roman" w:cs="Times New Roman"/>
      <w:sz w:val="18"/>
      <w:szCs w:val="18"/>
    </w:rPr>
  </w:style>
  <w:style w:type="character" w:styleId="ab">
    <w:name w:val="footnote reference"/>
    <w:basedOn w:val="a1"/>
    <w:semiHidden/>
    <w:rsid w:val="009A18F4"/>
    <w:rPr>
      <w:vertAlign w:val="superscript"/>
    </w:rPr>
  </w:style>
  <w:style w:type="paragraph" w:customStyle="1" w:styleId="a">
    <w:name w:val="封面正文"/>
    <w:basedOn w:val="a0"/>
    <w:rsid w:val="009A18F4"/>
    <w:pPr>
      <w:numPr>
        <w:numId w:val="5"/>
      </w:numPr>
      <w:spacing w:afterLines="50" w:line="300" w:lineRule="exact"/>
    </w:pPr>
    <w:rPr>
      <w:rFonts w:ascii="Arial" w:eastAsia="黑体" w:hAnsi="Arial"/>
      <w:b/>
      <w:sz w:val="18"/>
      <w:szCs w:val="21"/>
    </w:rPr>
  </w:style>
  <w:style w:type="character" w:styleId="ac">
    <w:name w:val="Hyperlink"/>
    <w:basedOn w:val="a1"/>
    <w:rsid w:val="009A18F4"/>
    <w:rPr>
      <w:color w:val="0000FF"/>
      <w:u w:val="single"/>
    </w:rPr>
  </w:style>
  <w:style w:type="paragraph" w:styleId="ad">
    <w:name w:val="Date"/>
    <w:basedOn w:val="a0"/>
    <w:next w:val="a0"/>
    <w:link w:val="Char4"/>
    <w:rsid w:val="009A18F4"/>
    <w:pPr>
      <w:ind w:leftChars="2500" w:left="100"/>
    </w:pPr>
  </w:style>
  <w:style w:type="character" w:customStyle="1" w:styleId="Char4">
    <w:name w:val="日期 Char"/>
    <w:basedOn w:val="a1"/>
    <w:link w:val="ad"/>
    <w:rsid w:val="009A18F4"/>
    <w:rPr>
      <w:rFonts w:ascii="Times New Roman" w:eastAsia="宋体" w:hAnsi="Times New Roman" w:cs="Times New Roman"/>
      <w:szCs w:val="24"/>
    </w:rPr>
  </w:style>
  <w:style w:type="character" w:customStyle="1" w:styleId="apple-converted-space">
    <w:name w:val="apple-converted-space"/>
    <w:basedOn w:val="a1"/>
    <w:rsid w:val="009A18F4"/>
  </w:style>
  <w:style w:type="character" w:styleId="ae">
    <w:name w:val="Strong"/>
    <w:basedOn w:val="a1"/>
    <w:uiPriority w:val="22"/>
    <w:qFormat/>
    <w:rsid w:val="009A18F4"/>
    <w:rPr>
      <w:b/>
      <w:bCs/>
    </w:rPr>
  </w:style>
  <w:style w:type="character" w:styleId="af">
    <w:name w:val="Emphasis"/>
    <w:basedOn w:val="a1"/>
    <w:uiPriority w:val="20"/>
    <w:qFormat/>
    <w:rsid w:val="009A18F4"/>
    <w:rPr>
      <w:i/>
      <w:iCs/>
    </w:rPr>
  </w:style>
  <w:style w:type="character" w:customStyle="1" w:styleId="fsheadcode1">
    <w:name w:val="fs_head_code1"/>
    <w:basedOn w:val="a1"/>
    <w:rsid w:val="009A18F4"/>
  </w:style>
  <w:style w:type="paragraph" w:styleId="af0">
    <w:name w:val="List Paragraph"/>
    <w:basedOn w:val="a0"/>
    <w:uiPriority w:val="34"/>
    <w:qFormat/>
    <w:rsid w:val="009A18F4"/>
    <w:pPr>
      <w:ind w:firstLineChars="200" w:firstLine="420"/>
    </w:pPr>
  </w:style>
  <w:style w:type="paragraph" w:styleId="af1">
    <w:name w:val="No Spacing"/>
    <w:link w:val="Char5"/>
    <w:uiPriority w:val="1"/>
    <w:qFormat/>
    <w:rsid w:val="009A18F4"/>
    <w:rPr>
      <w:kern w:val="0"/>
      <w:sz w:val="22"/>
    </w:rPr>
  </w:style>
  <w:style w:type="character" w:customStyle="1" w:styleId="Char5">
    <w:name w:val="无间隔 Char"/>
    <w:basedOn w:val="a1"/>
    <w:link w:val="af1"/>
    <w:uiPriority w:val="1"/>
    <w:rsid w:val="009A18F4"/>
    <w:rPr>
      <w:kern w:val="0"/>
      <w:sz w:val="22"/>
    </w:rPr>
  </w:style>
  <w:style w:type="paragraph" w:customStyle="1" w:styleId="Default">
    <w:name w:val="Default"/>
    <w:rsid w:val="009A18F4"/>
    <w:pPr>
      <w:widowControl w:val="0"/>
      <w:autoSpaceDE w:val="0"/>
      <w:autoSpaceDN w:val="0"/>
      <w:adjustRightInd w:val="0"/>
    </w:pPr>
    <w:rPr>
      <w:rFonts w:ascii="宋体" w:eastAsia="宋体" w:hAnsi="Times New Roman" w:cs="宋体"/>
      <w:color w:val="000000"/>
      <w:kern w:val="0"/>
      <w:sz w:val="24"/>
      <w:szCs w:val="24"/>
    </w:rPr>
  </w:style>
  <w:style w:type="character" w:styleId="af2">
    <w:name w:val="FollowedHyperlink"/>
    <w:basedOn w:val="a1"/>
    <w:rsid w:val="009A18F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hyperlink" Target="http://news.fx678.com/news/keywords/mg.shtml"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hyperlink" Target="http://news.fx678.com/news/keywords/df.shtml" TargetMode="External"/><Relationship Id="rId2" Type="http://schemas.openxmlformats.org/officeDocument/2006/relationships/styles" Target="styles.xml"/><Relationship Id="rId16" Type="http://schemas.openxmlformats.org/officeDocument/2006/relationships/hyperlink" Target="http://news.fx678.com/news/keywords/imf.shtml" TargetMode="External"/><Relationship Id="rId20" Type="http://schemas.openxmlformats.org/officeDocument/2006/relationships/hyperlink" Target="http://news.fx678.com/news/keywords/mg.s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http://news.fx678.com/news/keywords/oyq.shtml"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news.fx678.com/news/keywords/mg.shtm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7.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1182</Words>
  <Characters>6744</Characters>
  <Application>Microsoft Office Word</Application>
  <DocSecurity>0</DocSecurity>
  <Lines>56</Lines>
  <Paragraphs>15</Paragraphs>
  <ScaleCrop>false</ScaleCrop>
  <Company>SHSC</Company>
  <LinksUpToDate>false</LinksUpToDate>
  <CharactersWithSpaces>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刘亦千:</dc:creator>
  <cp:keywords/>
  <dc:description/>
  <cp:lastModifiedBy>刘亦千:</cp:lastModifiedBy>
  <cp:revision>4</cp:revision>
  <cp:lastPrinted>2015-06-30T02:51:00Z</cp:lastPrinted>
  <dcterms:created xsi:type="dcterms:W3CDTF">2015-06-30T02:51:00Z</dcterms:created>
  <dcterms:modified xsi:type="dcterms:W3CDTF">2015-06-30T02:54:00Z</dcterms:modified>
</cp:coreProperties>
</file>