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BF0"/>
  <w:body>
    <w:p w:rsidR="0090542D" w:rsidRDefault="00C85D91" w:rsidP="00B80CE3">
      <w:pPr>
        <w:ind w:right="600" w:firstLineChars="4650" w:firstLine="8370"/>
        <w:rPr>
          <w:rFonts w:eastAsia="黑体" w:cs="Arial"/>
          <w:sz w:val="30"/>
          <w:szCs w:val="52"/>
        </w:rPr>
      </w:pPr>
      <w:r>
        <w:rPr>
          <w:noProof/>
        </w:rPr>
        <w:pict>
          <v:shapetype id="_x0000_t202" coordsize="21600,21600" o:spt="202" path="m,l,21600r21600,l21600,xe">
            <v:stroke joinstyle="miter"/>
            <v:path gradientshapeok="t" o:connecttype="rect"/>
          </v:shapetype>
          <v:shape id="Text Box 340" o:spid="_x0000_s1034" type="#_x0000_t202" style="position:absolute;left:0;text-align:left;margin-left:456.65pt;margin-top:41.1pt;width:117.3pt;height:23.25pt;z-index:2516720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" filled="f" fillcolor="blue" stroked="f" strokecolor="blue">
            <v:textbox>
              <w:txbxContent>
                <w:p w:rsidR="00461CBE" w:rsidRPr="00EE31AB" w:rsidRDefault="00461CBE" w:rsidP="00EE31AB">
                  <w:pPr>
                    <w:jc w:val="right"/>
                    <w:rPr>
                      <w:sz w:val="15"/>
                      <w:szCs w:val="15"/>
                    </w:rPr>
                  </w:pPr>
                  <w:r>
                    <w:rPr>
                      <w:rFonts w:ascii="楷体_GB2312" w:hint="eastAsia"/>
                      <w:sz w:val="15"/>
                      <w:szCs w:val="15"/>
                    </w:rPr>
                    <w:t>证券研究报告</w:t>
                  </w:r>
                </w:p>
              </w:txbxContent>
            </v:textbox>
            <w10:wrap anchorx="page" anchory="page"/>
          </v:shape>
        </w:pict>
      </w:r>
      <w:r>
        <w:rPr>
          <w:noProof/>
        </w:rPr>
        <w:pict>
          <v:shape id="Text Box 336" o:spid="_x0000_s1033" type="#_x0000_t202" style="position:absolute;left:0;text-align:left;margin-left:15.3pt;margin-top:49.15pt;width:409.2pt;height:25.5pt;z-index:2516689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" filled="f" fillcolor="blue" stroked="f" strokecolor="blue">
            <v:textbox>
              <w:txbxContent>
                <w:p w:rsidR="00461CBE" w:rsidRPr="00AE6908" w:rsidRDefault="00461CBE">
                  <w:pPr>
                    <w:rPr>
                      <w:rFonts w:ascii="楷体_GB2312"/>
                      <w:b/>
                      <w:sz w:val="30"/>
                      <w:szCs w:val="30"/>
                    </w:rPr>
                  </w:pPr>
                  <w:bookmarkStart w:id="0" w:name="title"/>
                  <w:r>
                    <w:rPr>
                      <w:rFonts w:ascii="楷体_GB2312" w:hint="eastAsia"/>
                      <w:b/>
                      <w:sz w:val="30"/>
                      <w:szCs w:val="30"/>
                    </w:rPr>
                    <w:t>2015</w:t>
                  </w:r>
                  <w:r>
                    <w:rPr>
                      <w:rFonts w:ascii="楷体_GB2312" w:hint="eastAsia"/>
                      <w:b/>
                      <w:sz w:val="30"/>
                      <w:szCs w:val="30"/>
                    </w:rPr>
                    <w:t>年</w:t>
                  </w:r>
                  <w:r w:rsidR="00B660C2">
                    <w:rPr>
                      <w:rFonts w:ascii="楷体_GB2312" w:hint="eastAsia"/>
                      <w:b/>
                      <w:sz w:val="30"/>
                      <w:szCs w:val="30"/>
                    </w:rPr>
                    <w:t>6</w:t>
                  </w:r>
                  <w:r>
                    <w:rPr>
                      <w:rFonts w:ascii="楷体_GB2312" w:hint="eastAsia"/>
                      <w:b/>
                      <w:sz w:val="30"/>
                      <w:szCs w:val="30"/>
                    </w:rPr>
                    <w:t>月权益类基金投资策略报告</w:t>
                  </w:r>
                  <w:bookmarkEnd w:id="0"/>
                </w:p>
              </w:txbxContent>
            </v:textbox>
            <w10:wrap anchorx="page" anchory="page"/>
          </v:shape>
        </w:pict>
      </w:r>
      <w:r>
        <w:rPr>
          <w:noProof/>
        </w:rPr>
        <w:pict>
          <v:shape id="Text Box 335" o:spid="_x0000_s1032" type="#_x0000_t202" style="position:absolute;left:0;text-align:left;margin-left:15.3pt;margin-top:15.6pt;width:370.25pt;height:21.55pt;z-index:2516679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" filled="f" fillcolor="blue" stroked="f" strokecolor="blue">
            <v:textbox>
              <w:txbxContent>
                <w:bookmarkStart w:id="1" w:name="reportDate"/>
                <w:p w:rsidR="00461CBE" w:rsidRDefault="00C85D91" w:rsidP="00832F33">
                  <w:pPr>
                    <w:jc w:val="left"/>
                  </w:pPr>
                  <w:sdt>
                    <w:sdtPr>
                      <w:rPr>
                        <w:rFonts w:eastAsia="黑体" w:cs="Arial" w:hint="eastAsia"/>
                        <w:b/>
                        <w:sz w:val="21"/>
                        <w:szCs w:val="21"/>
                      </w:rPr>
                      <w:alias w:val="报告日期"/>
                      <w:tag w:val="BDCONTENTCONTROL_5c179c93-3177-4ab7-ae62-1dc3677fa3d8"/>
                      <w:id w:val="3936421"/>
                      <w:placeholder>
                        <w:docPart w:val="8687435D707B460A87CE2C865C416FC3"/>
                      </w:placeholder>
                      <w:text/>
                    </w:sdtPr>
                    <w:sdtEndPr/>
                    <w:sdtContent>
                      <w:r w:rsidR="00B1372D">
                        <w:rPr>
                          <w:rFonts w:eastAsia="黑体" w:cs="Arial" w:hint="eastAsia"/>
                          <w:b/>
                          <w:sz w:val="21"/>
                          <w:szCs w:val="21"/>
                        </w:rPr>
                        <w:t>2015</w:t>
                      </w:r>
                      <w:r w:rsidR="00B1372D">
                        <w:rPr>
                          <w:rFonts w:eastAsia="黑体" w:cs="Arial" w:hint="eastAsia"/>
                          <w:b/>
                          <w:sz w:val="21"/>
                          <w:szCs w:val="21"/>
                        </w:rPr>
                        <w:t>年</w:t>
                      </w:r>
                      <w:r w:rsidR="00B1372D">
                        <w:rPr>
                          <w:rFonts w:eastAsia="黑体" w:cs="Arial" w:hint="eastAsia"/>
                          <w:b/>
                          <w:sz w:val="21"/>
                          <w:szCs w:val="21"/>
                        </w:rPr>
                        <w:t>06</w:t>
                      </w:r>
                      <w:r w:rsidR="00B1372D">
                        <w:rPr>
                          <w:rFonts w:eastAsia="黑体" w:cs="Arial" w:hint="eastAsia"/>
                          <w:b/>
                          <w:sz w:val="21"/>
                          <w:szCs w:val="21"/>
                        </w:rPr>
                        <w:t>月</w:t>
                      </w:r>
                      <w:r w:rsidR="00B1372D">
                        <w:rPr>
                          <w:rFonts w:eastAsia="黑体" w:cs="Arial" w:hint="eastAsia"/>
                          <w:b/>
                          <w:sz w:val="21"/>
                          <w:szCs w:val="21"/>
                        </w:rPr>
                        <w:t>01</w:t>
                      </w:r>
                      <w:r w:rsidR="00B1372D">
                        <w:rPr>
                          <w:rFonts w:eastAsia="黑体" w:cs="Arial" w:hint="eastAsia"/>
                          <w:b/>
                          <w:sz w:val="21"/>
                          <w:szCs w:val="21"/>
                        </w:rPr>
                        <w:t>日</w:t>
                      </w:r>
                    </w:sdtContent>
                  </w:sdt>
                  <w:bookmarkEnd w:id="1"/>
                </w:p>
              </w:txbxContent>
            </v:textbox>
            <w10:wrap anchorx="page" anchory="page"/>
          </v:shape>
        </w:pict>
      </w:r>
      <w:r>
        <w:rPr>
          <w:noProof/>
        </w:rPr>
        <w:pict>
          <v:rect id="Rectangle 406" o:spid="_x0000_s1031" style="position:absolute;left:0;text-align:left;margin-left:416.25pt;margin-top:-30.75pt;width:124.5pt;height:16.5pt;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" filled="f" stroked="f" strokecolor="#339">
            <v:textbox>
              <w:txbxContent>
                <w:p w:rsidR="00461CBE" w:rsidRPr="00EC07DB" w:rsidRDefault="00461CBE" w:rsidP="00865BF6">
                  <w:pPr>
                    <w:jc w:val="right"/>
                    <w:rPr>
                      <w:sz w:val="15"/>
                      <w:szCs w:val="15"/>
                    </w:rPr>
                  </w:pPr>
                </w:p>
              </w:txbxContent>
            </v:textbox>
            <w10:anchorlock/>
          </v:rect>
        </w:pict>
      </w:r>
      <w:r>
        <w:rPr>
          <w:noProof/>
        </w:rPr>
        <w:pict>
          <v:shape id="Text Box 405" o:spid="_x0000_s1030" type="#_x0000_t202" style="position:absolute;left:0;text-align:left;margin-left:414.3pt;margin-top:15.6pt;width:128.45pt;height:34.3pt;z-index:251665920;visibility:visible;mso-wrap-style:non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" filled="f" stroked="f">
            <v:textbox>
              <w:txbxContent>
                <w:p w:rsidR="00461CBE" w:rsidRPr="00E17DD1" w:rsidRDefault="00461CBE" w:rsidP="00865BF6">
                  <w:r>
                    <w:rPr>
                      <w:noProof/>
                    </w:rPr>
                    <w:drawing>
                      <wp:inline distT="0" distB="0" distL="0" distR="0">
                        <wp:extent cx="1438275" cy="352425"/>
                        <wp:effectExtent l="0" t="0" r="9525" b="9525"/>
                        <wp:docPr id="7" name="图片 3" descr="未命名的-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未命名的-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8275" cy="352425"/>
                                </a:xfrm>
                                <a:prstGeom prst="rect">
                                  <a:avLst/>
                                </a:prstGeom>
                                <a:noFill/>
                                <a:ln>
                                  <a:noFill/>
                                </a:ln>
                              </pic:spPr>
                            </pic:pic>
                          </a:graphicData>
                        </a:graphic>
                      </wp:inline>
                    </w:drawing>
                  </w:r>
                </w:p>
              </w:txbxContent>
            </v:textbox>
            <w10:wrap anchory="page"/>
            <w10:anchorlock/>
          </v:shape>
        </w:pict>
      </w:r>
      <w:r>
        <w:rPr>
          <w:noProof/>
        </w:rPr>
        <w:pict>
          <v:rect id="lastSuggestion" o:spid="_x0000_s1029" style="position:absolute;left:0;text-align:left;margin-left:299.1pt;margin-top:12.75pt;width:86.55pt;height:25.65pt;z-index:251655680;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" filled="f" stroked="f" strokecolor="#339">
            <v:textbox>
              <w:txbxContent>
                <w:p w:rsidR="00461CBE" w:rsidRPr="00FE4B43" w:rsidRDefault="00461CBE" w:rsidP="006449BF">
                  <w:pPr>
                    <w:rPr>
                      <w:b/>
                      <w:sz w:val="24"/>
                      <w:szCs w:val="24"/>
                    </w:rPr>
                  </w:pPr>
                  <w:bookmarkStart w:id="2" w:name="lastInvestSuggestion"/>
                  <w:r>
                    <w:rPr>
                      <w:rFonts w:hint="eastAsia"/>
                      <w:b/>
                      <w:sz w:val="24"/>
                      <w:szCs w:val="24"/>
                    </w:rPr>
                    <w:t>买入</w:t>
                  </w:r>
                  <w:bookmarkEnd w:id="2"/>
                </w:p>
              </w:txbxContent>
            </v:textbox>
          </v:rect>
        </w:pict>
      </w:r>
    </w:p>
    <w:p w:rsidR="0090542D" w:rsidRDefault="00C85D91">
      <w:pPr>
        <w:jc w:val="right"/>
        <w:rPr>
          <w:rFonts w:eastAsia="黑体" w:cs="Arial"/>
          <w:sz w:val="30"/>
          <w:szCs w:val="52"/>
        </w:rPr>
      </w:pPr>
      <w:r>
        <w:rPr>
          <w:noProof/>
        </w:rPr>
        <w:pict>
          <v:shape id="Text Box 338" o:spid="_x0000_s1028" type="#_x0000_t202" style="position:absolute;left:0;text-align:left;margin-left:341.25pt;margin-top:98.35pt;width:228.75pt;height:22.1pt;z-index:2516710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" filled="f" fillcolor="blue" stroked="f" strokecolor="blue">
            <v:textbox>
              <w:txbxContent>
                <w:p w:rsidR="00461CBE" w:rsidRDefault="00C85D91" w:rsidP="00F30157">
                  <w:pPr>
                    <w:jc w:val="right"/>
                  </w:pPr>
                  <w:sdt>
                    <w:sdtPr>
                      <w:rPr>
                        <w:rFonts w:hint="eastAsia"/>
                        <w:b/>
                        <w:sz w:val="24"/>
                        <w:szCs w:val="24"/>
                      </w:rPr>
                      <w:alias w:val="报告类型"/>
                      <w:tag w:val="BDCONTENTCONTROL_84bd61de-94b7-4c7c-8f81-60dfebe1887e"/>
                      <w:id w:val="1634203798"/>
                      <w:placeholder>
                        <w:docPart w:val="7F29D4D5E8E24F59BD68F12D2835B3E6"/>
                      </w:placeholder>
                      <w:text/>
                    </w:sdtPr>
                    <w:sdtEndPr/>
                    <w:sdtContent>
                      <w:r w:rsidR="00B1372D">
                        <w:rPr>
                          <w:rFonts w:hint="eastAsia"/>
                          <w:b/>
                          <w:sz w:val="24"/>
                          <w:szCs w:val="24"/>
                        </w:rPr>
                        <w:t>基金投资策略报告</w:t>
                      </w:r>
                    </w:sdtContent>
                  </w:sdt>
                </w:p>
              </w:txbxContent>
            </v:textbox>
            <w10:wrap anchorx="page" anchory="page"/>
          </v:shape>
        </w:pict>
      </w:r>
    </w:p>
    <w:p w:rsidR="0090542D" w:rsidRDefault="00C85D91">
      <w:pPr>
        <w:jc w:val="right"/>
        <w:rPr>
          <w:rFonts w:eastAsia="黑体" w:cs="Arial"/>
          <w:sz w:val="30"/>
          <w:szCs w:val="52"/>
        </w:rPr>
      </w:pPr>
      <w:r>
        <w:rPr>
          <w:noProof/>
        </w:rPr>
        <w:pict>
          <v:line id="Line 335" o:spid="_x0000_s1027" style="position:absolute;left:0;text-align:left;z-index:251653632;visibility:visible;mso-wrap-distance-top:-3e-5mm;mso-wrap-distance-bottom:-3e-5mm" from="-31.8pt,12.65pt" to="565.2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" strokecolor="#00a0e9" strokeweight=".94pt"/>
        </w:pict>
      </w:r>
    </w:p>
    <w:p w:rsidR="00EB010E" w:rsidRDefault="00EB010E">
      <w:pPr>
        <w:jc w:val="right"/>
        <w:rPr>
          <w:rFonts w:eastAsia="黑体" w:cs="Arial"/>
          <w:sz w:val="30"/>
          <w:szCs w:val="52"/>
        </w:rPr>
      </w:pPr>
    </w:p>
    <w:tbl>
      <w:tblPr>
        <w:tblStyle w:val="af"/>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59"/>
        <w:gridCol w:w="7568"/>
      </w:tblGrid>
      <w:tr w:rsidR="00EB010E" w:rsidTr="003A7A25">
        <w:trPr>
          <w:trHeight w:val="12531"/>
        </w:trPr>
        <w:tc>
          <w:tcPr>
            <w:tcW w:w="3459" w:type="dxa"/>
            <w:tcMar>
              <w:top w:w="28" w:type="dxa"/>
              <w:left w:w="0" w:type="dxa"/>
              <w:right w:w="108" w:type="dxa"/>
            </w:tcMar>
          </w:tcPr>
          <w:p w:rsidR="00351D32" w:rsidRDefault="00351D32" w:rsidP="00351D32">
            <w:pPr>
              <w:spacing w:line="14" w:lineRule="exact"/>
            </w:pPr>
          </w:p>
          <w:p w:rsidR="000E6AE0" w:rsidRDefault="000E6AE0" w:rsidP="00F51EB7">
            <w:pPr>
              <w:pStyle w:val="a6"/>
              <w:widowControl/>
              <w:pBdr>
                <w:bottom w:val="none" w:sz="0" w:space="0" w:color="auto"/>
              </w:pBdr>
              <w:tabs>
                <w:tab w:val="clear" w:pos="4153"/>
                <w:tab w:val="clear" w:pos="8306"/>
              </w:tabs>
              <w:snapToGrid/>
              <w:ind w:rightChars="300" w:right="540"/>
              <w:jc w:val="both"/>
              <w:rPr>
                <w:sz w:val="21"/>
              </w:rPr>
            </w:pPr>
          </w:p>
          <w:p w:rsidR="00F51EB7" w:rsidRDefault="00F51EB7" w:rsidP="00F51EB7">
            <w:pPr>
              <w:pStyle w:val="a6"/>
              <w:widowControl/>
              <w:pBdr>
                <w:bottom w:val="none" w:sz="0" w:space="0" w:color="auto"/>
              </w:pBdr>
              <w:tabs>
                <w:tab w:val="clear" w:pos="4153"/>
                <w:tab w:val="clear" w:pos="8306"/>
              </w:tabs>
              <w:snapToGrid/>
              <w:ind w:rightChars="300" w:right="540"/>
              <w:jc w:val="both"/>
              <w:rPr>
                <w:sz w:val="21"/>
              </w:rPr>
            </w:pPr>
          </w:p>
          <w:p w:rsidR="00F51EB7" w:rsidRDefault="00F51EB7" w:rsidP="00F51EB7">
            <w:pPr>
              <w:pStyle w:val="a6"/>
              <w:widowControl/>
              <w:pBdr>
                <w:bottom w:val="none" w:sz="0" w:space="0" w:color="auto"/>
              </w:pBdr>
              <w:tabs>
                <w:tab w:val="clear" w:pos="4153"/>
                <w:tab w:val="clear" w:pos="8306"/>
              </w:tabs>
              <w:snapToGrid/>
              <w:ind w:rightChars="300" w:right="540"/>
              <w:jc w:val="both"/>
              <w:rPr>
                <w:sz w:val="21"/>
              </w:rPr>
            </w:pPr>
          </w:p>
          <w:p w:rsidR="00F51EB7" w:rsidRDefault="00F51EB7" w:rsidP="00F51EB7">
            <w:pPr>
              <w:pStyle w:val="a6"/>
              <w:widowControl/>
              <w:pBdr>
                <w:bottom w:val="none" w:sz="0" w:space="0" w:color="auto"/>
              </w:pBdr>
              <w:tabs>
                <w:tab w:val="clear" w:pos="4153"/>
                <w:tab w:val="clear" w:pos="8306"/>
              </w:tabs>
              <w:snapToGrid/>
              <w:ind w:rightChars="300" w:right="540"/>
              <w:jc w:val="both"/>
              <w:rPr>
                <w:sz w:val="21"/>
              </w:rPr>
            </w:pPr>
          </w:p>
          <w:p w:rsidR="00F51EB7" w:rsidRDefault="00F51EB7" w:rsidP="00F51EB7">
            <w:pPr>
              <w:pStyle w:val="a6"/>
              <w:widowControl/>
              <w:pBdr>
                <w:bottom w:val="none" w:sz="0" w:space="0" w:color="auto"/>
              </w:pBdr>
              <w:tabs>
                <w:tab w:val="clear" w:pos="4153"/>
                <w:tab w:val="clear" w:pos="8306"/>
              </w:tabs>
              <w:snapToGrid/>
              <w:ind w:rightChars="300" w:right="540"/>
              <w:jc w:val="both"/>
              <w:rPr>
                <w:sz w:val="21"/>
              </w:rPr>
            </w:pPr>
          </w:p>
          <w:p w:rsidR="00F51EB7" w:rsidRDefault="00F51EB7" w:rsidP="00F51EB7">
            <w:pPr>
              <w:pStyle w:val="a6"/>
              <w:widowControl/>
              <w:pBdr>
                <w:bottom w:val="none" w:sz="0" w:space="0" w:color="auto"/>
              </w:pBdr>
              <w:tabs>
                <w:tab w:val="clear" w:pos="4153"/>
                <w:tab w:val="clear" w:pos="8306"/>
              </w:tabs>
              <w:snapToGrid/>
              <w:ind w:rightChars="300" w:right="540"/>
              <w:jc w:val="both"/>
              <w:rPr>
                <w:sz w:val="21"/>
              </w:rPr>
            </w:pPr>
          </w:p>
          <w:p w:rsidR="00F51EB7" w:rsidRPr="00F224E2" w:rsidRDefault="00F51EB7" w:rsidP="00F51EB7">
            <w:pPr>
              <w:pStyle w:val="a6"/>
              <w:widowControl/>
              <w:pBdr>
                <w:bottom w:val="none" w:sz="0" w:space="0" w:color="auto"/>
              </w:pBdr>
              <w:tabs>
                <w:tab w:val="clear" w:pos="4153"/>
                <w:tab w:val="clear" w:pos="8306"/>
              </w:tabs>
              <w:snapToGrid/>
              <w:ind w:rightChars="300" w:right="540"/>
              <w:jc w:val="both"/>
              <w:rPr>
                <w:sz w:val="21"/>
              </w:rPr>
            </w:pPr>
          </w:p>
          <w:p w:rsidR="008D4BDD" w:rsidRPr="000E6AE0" w:rsidRDefault="008D4BDD" w:rsidP="000E6AE0">
            <w:pPr>
              <w:ind w:rightChars="300" w:right="540"/>
            </w:pPr>
          </w:p>
          <w:p w:rsidR="00F72FA2" w:rsidRDefault="00F72FA2" w:rsidP="000E6AE0">
            <w:pPr>
              <w:ind w:rightChars="300" w:right="540"/>
              <w:jc w:val="left"/>
              <w:rPr>
                <w:rFonts w:eastAsia="黑体" w:cs="Arial"/>
                <w:sz w:val="30"/>
                <w:szCs w:val="52"/>
              </w:rPr>
            </w:pPr>
          </w:p>
          <w:p w:rsidR="000E6AE0" w:rsidRDefault="000E6AE0" w:rsidP="000E6AE0">
            <w:pPr>
              <w:ind w:rightChars="300" w:right="540"/>
              <w:jc w:val="left"/>
              <w:rPr>
                <w:rFonts w:eastAsia="黑体" w:cs="Arial"/>
                <w:sz w:val="30"/>
                <w:szCs w:val="52"/>
              </w:rPr>
            </w:pPr>
          </w:p>
          <w:p w:rsidR="000E6AE0" w:rsidRDefault="000E6AE0" w:rsidP="000E6AE0">
            <w:pPr>
              <w:ind w:rightChars="300" w:right="540"/>
              <w:jc w:val="left"/>
              <w:rPr>
                <w:rFonts w:eastAsia="黑体" w:cs="Arial"/>
                <w:sz w:val="30"/>
                <w:szCs w:val="52"/>
              </w:rPr>
            </w:pPr>
          </w:p>
          <w:p w:rsidR="000E6AE0" w:rsidRDefault="000E6AE0" w:rsidP="000E6AE0">
            <w:pPr>
              <w:ind w:rightChars="300" w:right="540"/>
              <w:jc w:val="left"/>
              <w:rPr>
                <w:rFonts w:eastAsia="黑体" w:cs="Arial"/>
                <w:sz w:val="30"/>
                <w:szCs w:val="52"/>
              </w:rPr>
            </w:pPr>
          </w:p>
          <w:sdt>
            <w:sdtPr>
              <w:rPr>
                <w:rFonts w:eastAsia="黑体" w:cs="Arial"/>
                <w:sz w:val="30"/>
                <w:szCs w:val="52"/>
              </w:rPr>
              <w:alias w:val="专题相关报告万能版"/>
              <w:tag w:val="BDCONTENTCONTROL_0694d7ec-429e-443a-8333-6c91828fed93"/>
              <w:id w:val="-68895231"/>
              <w:placeholder>
                <w:docPart w:val="EE93CA264701430E92960E75BB2BDC3B"/>
              </w:placeholder>
            </w:sdtPr>
            <w:sdtEndPr/>
            <w:sdtContent>
              <w:p w:rsidR="00A05AC0" w:rsidRDefault="00A05AC0" w:rsidP="00A05AC0">
                <w:pPr>
                  <w:spacing w:line="14" w:lineRule="exact"/>
                  <w:ind w:rightChars="300" w:right="540"/>
                  <w:jc w:val="left"/>
                  <w:rPr>
                    <w:rFonts w:eastAsia="黑体" w:cs="Arial"/>
                    <w:sz w:val="30"/>
                    <w:szCs w:val="52"/>
                  </w:rPr>
                </w:pPr>
              </w:p>
              <w:tbl>
                <w:tblPr>
                  <w:tblW w:w="3368" w:type="dxa"/>
                  <w:tblLayout w:type="fixed"/>
                  <w:tblLook w:val="0000" w:firstRow="0" w:lastRow="0" w:firstColumn="0" w:lastColumn="0" w:noHBand="0" w:noVBand="0"/>
                </w:tblPr>
                <w:tblGrid>
                  <w:gridCol w:w="3368"/>
                </w:tblGrid>
                <w:tr w:rsidR="00A05AC0" w:rsidTr="004F7C74">
                  <w:trPr>
                    <w:trHeight w:val="510"/>
                  </w:trPr>
                  <w:tc>
                    <w:tcPr>
                      <w:tcW w:w="3368" w:type="dxa"/>
                      <w:vAlign w:val="bottom"/>
                    </w:tcPr>
                    <w:p w:rsidR="00A05AC0" w:rsidRPr="00A05AC0" w:rsidRDefault="00A05AC0" w:rsidP="004F7C74">
                      <w:pPr>
                        <w:ind w:rightChars="300" w:right="540"/>
                        <w:rPr>
                          <w:rFonts w:ascii="楷体_GB2312" w:cs="Arial"/>
                          <w:b/>
                          <w:sz w:val="21"/>
                          <w:szCs w:val="21"/>
                        </w:rPr>
                      </w:pPr>
                    </w:p>
                  </w:tc>
                </w:tr>
                <w:tr w:rsidR="00A05AC0" w:rsidTr="004F7C74">
                  <w:trPr>
                    <w:trHeight w:val="510"/>
                  </w:trPr>
                  <w:tc>
                    <w:tcPr>
                      <w:tcW w:w="3368" w:type="dxa"/>
                      <w:vAlign w:val="bottom"/>
                    </w:tcPr>
                    <w:p w:rsidR="00A05AC0" w:rsidRPr="00A05AC0" w:rsidRDefault="00A05AC0" w:rsidP="004F7C74">
                      <w:pPr>
                        <w:ind w:rightChars="300" w:right="540"/>
                        <w:rPr>
                          <w:rFonts w:cs="Arial"/>
                          <w:szCs w:val="52"/>
                        </w:rPr>
                      </w:pPr>
                    </w:p>
                  </w:tc>
                </w:tr>
                <w:tr w:rsidR="00A05AC0" w:rsidTr="004F7C74">
                  <w:trPr>
                    <w:trHeight w:val="510"/>
                  </w:trPr>
                  <w:tc>
                    <w:tcPr>
                      <w:tcW w:w="3368" w:type="dxa"/>
                      <w:vAlign w:val="bottom"/>
                    </w:tcPr>
                    <w:p w:rsidR="00A05AC0" w:rsidRPr="00A05AC0" w:rsidRDefault="00A05AC0" w:rsidP="004F7C74">
                      <w:pPr>
                        <w:ind w:rightChars="300" w:right="540"/>
                        <w:rPr>
                          <w:rFonts w:cs="Arial"/>
                          <w:szCs w:val="52"/>
                        </w:rPr>
                      </w:pPr>
                    </w:p>
                  </w:tc>
                </w:tr>
                <w:tr w:rsidR="00A05AC0" w:rsidTr="004F7C74">
                  <w:trPr>
                    <w:trHeight w:val="510"/>
                  </w:trPr>
                  <w:tc>
                    <w:tcPr>
                      <w:tcW w:w="3368" w:type="dxa"/>
                      <w:vAlign w:val="bottom"/>
                    </w:tcPr>
                    <w:p w:rsidR="00A05AC0" w:rsidRPr="00A05AC0" w:rsidRDefault="00A05AC0" w:rsidP="004F7C74">
                      <w:pPr>
                        <w:ind w:rightChars="300" w:right="540"/>
                        <w:rPr>
                          <w:rFonts w:cs="Arial"/>
                          <w:szCs w:val="52"/>
                        </w:rPr>
                      </w:pPr>
                    </w:p>
                  </w:tc>
                </w:tr>
                <w:tr w:rsidR="00A05AC0" w:rsidTr="004F7C74">
                  <w:trPr>
                    <w:trHeight w:val="510"/>
                  </w:trPr>
                  <w:tc>
                    <w:tcPr>
                      <w:tcW w:w="3368" w:type="dxa"/>
                      <w:vAlign w:val="bottom"/>
                    </w:tcPr>
                    <w:p w:rsidR="00A05AC0" w:rsidRPr="00A05AC0" w:rsidRDefault="00A05AC0" w:rsidP="004F7C74">
                      <w:pPr>
                        <w:ind w:rightChars="300" w:right="540"/>
                        <w:rPr>
                          <w:rFonts w:cs="Arial"/>
                          <w:szCs w:val="52"/>
                        </w:rPr>
                      </w:pPr>
                    </w:p>
                  </w:tc>
                </w:tr>
                <w:tr w:rsidR="00626F55" w:rsidTr="004F7C74">
                  <w:trPr>
                    <w:trHeight w:val="510"/>
                  </w:trPr>
                  <w:tc>
                    <w:tcPr>
                      <w:tcW w:w="3368" w:type="dxa"/>
                      <w:vAlign w:val="bottom"/>
                    </w:tcPr>
                    <w:p w:rsidR="00626F55" w:rsidRPr="00A05AC0" w:rsidRDefault="00626F55" w:rsidP="004F7C74">
                      <w:pPr>
                        <w:ind w:rightChars="300" w:right="540"/>
                        <w:rPr>
                          <w:rFonts w:cs="Arial"/>
                          <w:szCs w:val="52"/>
                        </w:rPr>
                      </w:pPr>
                    </w:p>
                  </w:tc>
                </w:tr>
              </w:tbl>
              <w:p w:rsidR="000E6AE0" w:rsidRDefault="00C85D91" w:rsidP="00A05AC0">
                <w:pPr>
                  <w:spacing w:line="14" w:lineRule="exact"/>
                  <w:ind w:rightChars="300" w:right="540"/>
                  <w:jc w:val="left"/>
                  <w:rPr>
                    <w:rFonts w:eastAsia="黑体" w:cs="Arial"/>
                    <w:sz w:val="30"/>
                    <w:szCs w:val="52"/>
                  </w:rPr>
                </w:pPr>
              </w:p>
            </w:sdtContent>
          </w:sdt>
          <w:p w:rsidR="000E6AE0" w:rsidRDefault="000E6AE0" w:rsidP="000E6AE0">
            <w:pPr>
              <w:ind w:rightChars="300" w:right="540"/>
              <w:jc w:val="left"/>
              <w:rPr>
                <w:rFonts w:eastAsia="黑体" w:cs="Arial"/>
                <w:sz w:val="30"/>
                <w:szCs w:val="52"/>
              </w:rPr>
            </w:pPr>
          </w:p>
          <w:p w:rsidR="000E6AE0" w:rsidRDefault="000E6AE0" w:rsidP="00AA352E">
            <w:pPr>
              <w:jc w:val="left"/>
              <w:rPr>
                <w:rFonts w:eastAsia="黑体" w:cs="Arial"/>
                <w:sz w:val="30"/>
                <w:szCs w:val="52"/>
              </w:rPr>
            </w:pPr>
          </w:p>
          <w:p w:rsidR="00A05AC0" w:rsidRDefault="00A05AC0" w:rsidP="00AA352E">
            <w:pPr>
              <w:jc w:val="left"/>
              <w:rPr>
                <w:rFonts w:eastAsia="黑体" w:cs="Arial"/>
                <w:sz w:val="30"/>
                <w:szCs w:val="52"/>
              </w:rPr>
            </w:pPr>
          </w:p>
          <w:p w:rsidR="009562F7" w:rsidRDefault="009562F7" w:rsidP="00AA352E">
            <w:pPr>
              <w:jc w:val="left"/>
              <w:rPr>
                <w:rFonts w:eastAsia="黑体" w:cs="Arial"/>
                <w:sz w:val="30"/>
                <w:szCs w:val="52"/>
              </w:rPr>
            </w:pPr>
          </w:p>
          <w:p w:rsidR="000E6AE0" w:rsidRDefault="000E6AE0" w:rsidP="00AA352E">
            <w:pPr>
              <w:jc w:val="left"/>
              <w:rPr>
                <w:rFonts w:eastAsia="黑体" w:cs="Arial"/>
                <w:sz w:val="30"/>
                <w:szCs w:val="52"/>
              </w:rPr>
            </w:pPr>
          </w:p>
          <w:p w:rsidR="000E6AE0" w:rsidRDefault="000E6AE0" w:rsidP="00AA352E">
            <w:pPr>
              <w:jc w:val="left"/>
              <w:rPr>
                <w:rFonts w:eastAsia="黑体" w:cs="Arial"/>
                <w:sz w:val="30"/>
                <w:szCs w:val="52"/>
              </w:rPr>
            </w:pPr>
          </w:p>
          <w:p w:rsidR="00D2211C" w:rsidRPr="008D4BDD" w:rsidRDefault="00D2211C" w:rsidP="00AA352E">
            <w:pPr>
              <w:jc w:val="left"/>
              <w:rPr>
                <w:rFonts w:eastAsia="黑体" w:cs="Arial"/>
                <w:sz w:val="30"/>
                <w:szCs w:val="52"/>
              </w:rPr>
            </w:pPr>
          </w:p>
          <w:tbl>
            <w:tblPr>
              <w:tblStyle w:val="af"/>
              <w:tblW w:w="3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58"/>
            </w:tblGrid>
            <w:tr w:rsidR="00D62C60" w:rsidTr="00A50B9B">
              <w:trPr>
                <w:trHeight w:val="2665"/>
              </w:trPr>
              <w:tc>
                <w:tcPr>
                  <w:tcW w:w="3458" w:type="dxa"/>
                  <w:tcMar>
                    <w:left w:w="57" w:type="dxa"/>
                    <w:right w:w="0" w:type="dxa"/>
                  </w:tcMar>
                  <w:vAlign w:val="bottom"/>
                </w:tcPr>
                <w:p w:rsidR="00D62C60" w:rsidRDefault="00D62C60" w:rsidP="00B632AD">
                  <w:pPr>
                    <w:rPr>
                      <w:rFonts w:ascii="楷体_GB2312"/>
                      <w:b/>
                      <w:sz w:val="21"/>
                      <w:szCs w:val="21"/>
                    </w:rPr>
                  </w:pPr>
                </w:p>
                <w:sdt>
                  <w:sdtPr>
                    <w:rPr>
                      <w:rFonts w:hint="eastAsia"/>
                    </w:rPr>
                    <w:alias w:val="作者展示"/>
                    <w:tag w:val="BDCONTENTCONTROL_3df14c52-472a-44c1-9e63-51d70c06bfcd"/>
                    <w:id w:val="1476954864"/>
                    <w:placeholder>
                      <w:docPart w:val="BE343C0A3357424294F39F680051F9AF"/>
                    </w:placeholder>
                  </w:sdtPr>
                  <w:sdtEndPr/>
                  <w:sdtContent>
                    <w:p w:rsidR="00B632AD" w:rsidRPr="00B632AD" w:rsidRDefault="00B632AD" w:rsidP="00B632AD">
                      <w:pPr>
                        <w:spacing w:line="14" w:lineRule="exact"/>
                      </w:pPr>
                    </w:p>
                    <w:tbl>
                      <w:tblPr>
                        <w:tblW w:w="3458" w:type="dxa"/>
                        <w:tblLayout w:type="fixed"/>
                        <w:tblCellMar>
                          <w:left w:w="0" w:type="dxa"/>
                          <w:right w:w="0" w:type="dxa"/>
                        </w:tblCellMar>
                        <w:tblLook w:val="0000" w:firstRow="0" w:lastRow="0" w:firstColumn="0" w:lastColumn="0" w:noHBand="0" w:noVBand="0"/>
                      </w:tblPr>
                      <w:tblGrid>
                        <w:gridCol w:w="850"/>
                        <w:gridCol w:w="2608"/>
                      </w:tblGrid>
                      <w:tr w:rsidR="00FE5CF4" w:rsidTr="00FE5CF4">
                        <w:trPr>
                          <w:trHeight w:val="567"/>
                        </w:trPr>
                        <w:tc>
                          <w:tcPr>
                            <w:tcW w:w="1229" w:type="pct"/>
                            <w:tcMar>
                              <w:left w:w="0" w:type="dxa"/>
                              <w:right w:w="28" w:type="dxa"/>
                            </w:tcMar>
                          </w:tcPr>
                          <w:p w:rsidR="00FE5CF4" w:rsidRPr="007A4B1B" w:rsidRDefault="00B1372D" w:rsidP="00DB75E4">
                            <w:pPr>
                              <w:pStyle w:val="GJReportFirPageAuthorName"/>
                            </w:pPr>
                            <w:r>
                              <w:rPr>
                                <w:rFonts w:hint="eastAsia"/>
                              </w:rPr>
                              <w:t>王聃聃</w:t>
                            </w:r>
                          </w:p>
                        </w:tc>
                        <w:tc>
                          <w:tcPr>
                            <w:tcW w:w="3771" w:type="pct"/>
                            <w:tcMar>
                              <w:left w:w="0" w:type="dxa"/>
                              <w:right w:w="28" w:type="dxa"/>
                            </w:tcMar>
                          </w:tcPr>
                          <w:p w:rsidR="00FE5CF4" w:rsidRPr="007A4B1B" w:rsidRDefault="00FE5CF4" w:rsidP="00B1372D">
                            <w:pPr>
                              <w:pStyle w:val="GJReportFirPageAuthorEmail"/>
                            </w:pPr>
                          </w:p>
                        </w:tc>
                      </w:tr>
                    </w:tbl>
                    <w:p w:rsidR="00B632AD" w:rsidRPr="006E3D11" w:rsidRDefault="00C85D91" w:rsidP="00B1372D">
                      <w:pPr>
                        <w:spacing w:line="14" w:lineRule="exact"/>
                      </w:pPr>
                    </w:p>
                  </w:sdtContent>
                </w:sdt>
              </w:tc>
            </w:tr>
          </w:tbl>
          <w:p w:rsidR="008D4BDD" w:rsidRPr="008D4BDD" w:rsidRDefault="008D4BDD" w:rsidP="00D62C60">
            <w:pPr>
              <w:jc w:val="left"/>
              <w:rPr>
                <w:rFonts w:eastAsia="黑体" w:cs="Arial"/>
                <w:sz w:val="30"/>
                <w:szCs w:val="52"/>
              </w:rPr>
            </w:pPr>
          </w:p>
        </w:tc>
        <w:tc>
          <w:tcPr>
            <w:tcW w:w="7568" w:type="dxa"/>
            <w:tcMar>
              <w:top w:w="28" w:type="dxa"/>
              <w:left w:w="108" w:type="dxa"/>
              <w:right w:w="28" w:type="dxa"/>
            </w:tcMar>
          </w:tcPr>
          <w:sdt>
            <w:sdtPr>
              <w:rPr>
                <w:rFonts w:ascii="楷体_GB2312" w:hint="eastAsia"/>
                <w:b/>
                <w:bCs/>
                <w:sz w:val="36"/>
                <w:szCs w:val="36"/>
              </w:rPr>
              <w:alias w:val="副标题"/>
              <w:tag w:val="BDCONTENTCONTROL_AUTO_SAVE_SubTitle"/>
              <w:id w:val="-642272724"/>
              <w:lock w:val="sdtLocked"/>
              <w:placeholder>
                <w:docPart w:val="BE343C0A3357424294F39F680051F9AF"/>
              </w:placeholder>
            </w:sdtPr>
            <w:sdtEndPr/>
            <w:sdtContent>
              <w:p w:rsidR="00962AD2" w:rsidRDefault="00F34FC7" w:rsidP="00AA352E">
                <w:pPr>
                  <w:ind w:rightChars="13" w:right="23"/>
                  <w:jc w:val="center"/>
                  <w:rPr>
                    <w:rFonts w:ascii="楷体_GB2312"/>
                    <w:b/>
                    <w:bCs/>
                    <w:sz w:val="36"/>
                    <w:szCs w:val="36"/>
                  </w:rPr>
                </w:pPr>
                <w:r w:rsidRPr="00F34FC7">
                  <w:rPr>
                    <w:rFonts w:ascii="楷体_GB2312" w:hint="eastAsia"/>
                    <w:b/>
                    <w:bCs/>
                    <w:sz w:val="36"/>
                    <w:szCs w:val="36"/>
                  </w:rPr>
                  <w:t>短期波折难免，</w:t>
                </w:r>
                <w:r w:rsidR="0089514D">
                  <w:rPr>
                    <w:rFonts w:ascii="楷体_GB2312" w:hint="eastAsia"/>
                    <w:b/>
                    <w:bCs/>
                    <w:sz w:val="36"/>
                    <w:szCs w:val="36"/>
                  </w:rPr>
                  <w:t>改善组合结构</w:t>
                </w:r>
              </w:p>
            </w:sdtContent>
          </w:sdt>
          <w:p w:rsidR="00962AD2" w:rsidRPr="00BD4986" w:rsidRDefault="00962AD2" w:rsidP="00AA352E">
            <w:pPr>
              <w:jc w:val="left"/>
              <w:rPr>
                <w:rFonts w:eastAsia="黑体" w:cs="Arial"/>
                <w:sz w:val="30"/>
                <w:szCs w:val="52"/>
              </w:rPr>
            </w:pPr>
          </w:p>
          <w:sdt>
            <w:sdtPr>
              <w:rPr>
                <w:rFonts w:cs="Arial"/>
                <w:b/>
                <w:sz w:val="24"/>
                <w:szCs w:val="24"/>
              </w:rPr>
              <w:alias w:val="摘要"/>
              <w:tag w:val="BDCONTENTCONTROL_AUTO_SAVE_Summary"/>
              <w:id w:val="1939021410"/>
              <w:lock w:val="sdtLocked"/>
              <w:placeholder>
                <w:docPart w:val="BE343C0A3357424294F39F680051F9AF"/>
              </w:placeholder>
            </w:sdtPr>
            <w:sdtEndPr>
              <w:rPr>
                <w:rFonts w:cs="Times New Roman"/>
                <w:b w:val="0"/>
                <w:sz w:val="21"/>
                <w:szCs w:val="21"/>
              </w:rPr>
            </w:sdtEndPr>
            <w:sdtContent>
              <w:p w:rsidR="00EE1CC3" w:rsidRPr="00B00136" w:rsidRDefault="00EE1CC3" w:rsidP="00EE1CC3">
                <w:pPr>
                  <w:pStyle w:val="a0"/>
                  <w:spacing w:line="240" w:lineRule="auto"/>
                  <w:ind w:left="0" w:rightChars="12" w:right="22"/>
                  <w:jc w:val="left"/>
                  <w:rPr>
                    <w:b/>
                    <w:bCs/>
                    <w:color w:val="auto"/>
                    <w:sz w:val="24"/>
                  </w:rPr>
                </w:pPr>
                <w:r w:rsidRPr="00B00136">
                  <w:rPr>
                    <w:rFonts w:hint="eastAsia"/>
                    <w:b/>
                    <w:bCs/>
                    <w:color w:val="auto"/>
                    <w:sz w:val="24"/>
                  </w:rPr>
                  <w:t>投资策略</w:t>
                </w:r>
              </w:p>
              <w:p w:rsidR="00EE1CC3" w:rsidRPr="00B00136" w:rsidRDefault="00F37C19" w:rsidP="00EE1CC3">
                <w:pPr>
                  <w:pStyle w:val="a0"/>
                  <w:numPr>
                    <w:ilvl w:val="0"/>
                    <w:numId w:val="33"/>
                  </w:numPr>
                  <w:spacing w:line="240" w:lineRule="auto"/>
                  <w:ind w:rightChars="12" w:right="22"/>
                  <w:rPr>
                    <w:rFonts w:ascii="楷体_GB2312"/>
                    <w:color w:val="auto"/>
                  </w:rPr>
                </w:pPr>
                <w:r w:rsidRPr="00F37C19">
                  <w:rPr>
                    <w:rFonts w:ascii="楷体_GB2312" w:hint="eastAsia"/>
                    <w:color w:val="auto"/>
                  </w:rPr>
                  <w:t>就短期来看，经济下行压力依然存在，在经济数据尚未见底前，</w:t>
                </w:r>
                <w:proofErr w:type="gramStart"/>
                <w:r w:rsidRPr="00F37C19">
                  <w:rPr>
                    <w:rFonts w:ascii="楷体_GB2312" w:hint="eastAsia"/>
                    <w:color w:val="auto"/>
                  </w:rPr>
                  <w:t>稳增长</w:t>
                </w:r>
                <w:proofErr w:type="gramEnd"/>
                <w:r w:rsidRPr="00F37C19">
                  <w:rPr>
                    <w:rFonts w:ascii="楷体_GB2312" w:hint="eastAsia"/>
                    <w:color w:val="auto"/>
                  </w:rPr>
                  <w:t>的政策措施和力度仍然值得期待。与此同时资金面宽松的格局未发生变化，除了资金利率的下行，内地与相关基金互认也有助</w:t>
                </w:r>
                <w:r w:rsidRPr="00F37C19">
                  <w:rPr>
                    <w:rFonts w:ascii="楷体_GB2312"/>
                    <w:color w:val="auto"/>
                  </w:rPr>
                  <w:t>A</w:t>
                </w:r>
                <w:r w:rsidRPr="00F37C19">
                  <w:rPr>
                    <w:rFonts w:ascii="楷体_GB2312" w:hint="eastAsia"/>
                    <w:color w:val="auto"/>
                  </w:rPr>
                  <w:t>股国际化，同时从公</w:t>
                </w:r>
                <w:proofErr w:type="gramStart"/>
                <w:r w:rsidRPr="00F37C19">
                  <w:rPr>
                    <w:rFonts w:ascii="楷体_GB2312" w:hint="eastAsia"/>
                    <w:color w:val="auto"/>
                  </w:rPr>
                  <w:t>募基金</w:t>
                </w:r>
                <w:proofErr w:type="gramEnd"/>
                <w:r w:rsidRPr="00F37C19">
                  <w:rPr>
                    <w:rFonts w:ascii="楷体_GB2312" w:hint="eastAsia"/>
                    <w:color w:val="auto"/>
                  </w:rPr>
                  <w:t>近期的发行来看，动辄百亿的募集规模也有助于增量资金的加速入市。但需要注意的是，在市场快速上行的背景下，证监会也在通过加快股票供给、持续加强对市场违规事件的调查来调节市场运行节奏，短期来看政策及消息面对</w:t>
                </w:r>
                <w:r w:rsidRPr="00F37C19">
                  <w:rPr>
                    <w:rFonts w:ascii="楷体_GB2312"/>
                    <w:color w:val="auto"/>
                  </w:rPr>
                  <w:t xml:space="preserve">A </w:t>
                </w:r>
                <w:r w:rsidRPr="00F37C19">
                  <w:rPr>
                    <w:rFonts w:ascii="楷体_GB2312" w:hint="eastAsia"/>
                    <w:color w:val="auto"/>
                  </w:rPr>
                  <w:t>股市场的调控及扰动加大，也对短期市场情绪以及增量资金入市起到一定的抑制作用，尤其是今年以来涨幅较大的创业板，尽管代表经济结构转型的创业板具有广阔的发展前景以及政策支持，但也需防范市场局部震荡风险，尤其是需要规避无业绩支撑短期涨幅过高的个股。</w:t>
                </w:r>
              </w:p>
              <w:p w:rsidR="00EE1CC3" w:rsidRPr="00B00136" w:rsidRDefault="00F37C19" w:rsidP="00EE1CC3">
                <w:pPr>
                  <w:pStyle w:val="a0"/>
                  <w:widowControl/>
                  <w:numPr>
                    <w:ilvl w:val="0"/>
                    <w:numId w:val="33"/>
                  </w:numPr>
                  <w:spacing w:line="240" w:lineRule="auto"/>
                  <w:ind w:rightChars="12" w:right="22"/>
                  <w:jc w:val="left"/>
                </w:pPr>
                <w:r w:rsidRPr="00F37C19">
                  <w:rPr>
                    <w:rFonts w:ascii="楷体_GB2312" w:hint="eastAsia"/>
                    <w:color w:val="auto"/>
                  </w:rPr>
                  <w:t>市场自身调节以及消息面的扰动使得震荡风险、尤其是结构性风险加剧，基金组合仍需要从组合结构角度增强安全边际、防患于未然，但牛市中短期波折难免，维系牛市格局的基础仍没有发生改变，尚不必进行大类资产配置的调整。在具体的产品选择上，我们延续上一期的建议，重点关注以下几个方面，首先，关注持股与同业交叉较少</w:t>
                </w:r>
                <w:proofErr w:type="gramStart"/>
                <w:r w:rsidRPr="00F37C19">
                  <w:rPr>
                    <w:rFonts w:ascii="楷体_GB2312" w:hint="eastAsia"/>
                    <w:color w:val="auto"/>
                  </w:rPr>
                  <w:t>且选股能力</w:t>
                </w:r>
                <w:proofErr w:type="gramEnd"/>
                <w:r w:rsidRPr="00F37C19">
                  <w:rPr>
                    <w:rFonts w:ascii="楷体_GB2312" w:hint="eastAsia"/>
                    <w:color w:val="auto"/>
                  </w:rPr>
                  <w:t>突出的产品，规避局部热点板块的回撤甚至踩踏</w:t>
                </w:r>
                <w:bookmarkStart w:id="3" w:name="_GoBack"/>
                <w:bookmarkEnd w:id="3"/>
                <w:r w:rsidRPr="00F37C19">
                  <w:rPr>
                    <w:rFonts w:ascii="楷体_GB2312" w:hint="eastAsia"/>
                    <w:color w:val="auto"/>
                  </w:rPr>
                  <w:t>风险，事实来看今年以来仍有基金通过持有相对冷门的个股实现了突出的管理业绩，其当下较好的风险收益配比优势值得继续关注；其次，结合基金重仓股平均估值水平以及历史投资风格,选择选</w:t>
                </w:r>
                <w:proofErr w:type="gramStart"/>
                <w:r w:rsidRPr="00F37C19">
                  <w:rPr>
                    <w:rFonts w:ascii="楷体_GB2312" w:hint="eastAsia"/>
                    <w:color w:val="auto"/>
                  </w:rPr>
                  <w:t>股风格</w:t>
                </w:r>
                <w:proofErr w:type="gramEnd"/>
                <w:r w:rsidRPr="00F37C19">
                  <w:rPr>
                    <w:rFonts w:ascii="楷体_GB2312" w:hint="eastAsia"/>
                    <w:color w:val="auto"/>
                  </w:rPr>
                  <w:t>稳健尤其是立足中长期投资的价值型基金，适当规避局部结构性估值风险；第三，优选灵活型产品进行配置，把握市场波动节奏和投资机会的切换。</w:t>
                </w:r>
              </w:p>
              <w:p w:rsidR="00EE1CC3" w:rsidRPr="00B00136" w:rsidRDefault="00EE1CC3" w:rsidP="00EE1CC3">
                <w:pPr>
                  <w:pStyle w:val="a0"/>
                  <w:widowControl/>
                  <w:numPr>
                    <w:ilvl w:val="0"/>
                    <w:numId w:val="33"/>
                  </w:numPr>
                  <w:spacing w:line="240" w:lineRule="auto"/>
                  <w:ind w:rightChars="12" w:right="22"/>
                  <w:jc w:val="left"/>
                </w:pPr>
                <w:r w:rsidRPr="00B00136">
                  <w:rPr>
                    <w:rFonts w:hint="eastAsia"/>
                    <w:color w:val="auto"/>
                  </w:rPr>
                  <w:t>对于</w:t>
                </w:r>
                <w:r w:rsidRPr="00B00136">
                  <w:rPr>
                    <w:rFonts w:hint="eastAsia"/>
                    <w:color w:val="auto"/>
                  </w:rPr>
                  <w:t>2015</w:t>
                </w:r>
                <w:r w:rsidRPr="00B00136">
                  <w:rPr>
                    <w:rFonts w:hint="eastAsia"/>
                    <w:color w:val="auto"/>
                  </w:rPr>
                  <w:t>年</w:t>
                </w:r>
                <w:r w:rsidRPr="00B00136">
                  <w:rPr>
                    <w:rFonts w:hint="eastAsia"/>
                    <w:color w:val="auto"/>
                  </w:rPr>
                  <w:t>0</w:t>
                </w:r>
                <w:r w:rsidR="00F34FC7">
                  <w:rPr>
                    <w:rFonts w:hint="eastAsia"/>
                    <w:color w:val="auto"/>
                  </w:rPr>
                  <w:t>6</w:t>
                </w:r>
                <w:r w:rsidRPr="00B00136">
                  <w:rPr>
                    <w:rFonts w:hint="eastAsia"/>
                    <w:color w:val="auto"/>
                  </w:rPr>
                  <w:t>月的基金组合：</w:t>
                </w:r>
              </w:p>
              <w:p w:rsidR="00EE1CC3" w:rsidRPr="004A4CDA" w:rsidRDefault="00F34FC7" w:rsidP="009722C9">
                <w:pPr>
                  <w:pStyle w:val="a0"/>
                  <w:widowControl/>
                  <w:numPr>
                    <w:ilvl w:val="0"/>
                    <w:numId w:val="34"/>
                  </w:numPr>
                  <w:spacing w:line="240" w:lineRule="auto"/>
                  <w:ind w:rightChars="12" w:right="22"/>
                  <w:jc w:val="left"/>
                  <w:rPr>
                    <w:color w:val="auto"/>
                  </w:rPr>
                </w:pPr>
                <w:r w:rsidRPr="00F34FC7">
                  <w:rPr>
                    <w:rFonts w:hint="eastAsia"/>
                    <w:color w:val="auto"/>
                  </w:rPr>
                  <w:t>本月进攻性组合调入嘉实领先成长。组合适当侧重平衡型以及灵活型产品，整体风格相对稳健。其中，光大配置相对均衡，风险收益配比较好，且具备较强的选股能力；广发行业侧重中游制造业，基金经理注重灵活操作；大</w:t>
                </w:r>
                <w:proofErr w:type="gramStart"/>
                <w:r w:rsidRPr="00F34FC7">
                  <w:rPr>
                    <w:rFonts w:hint="eastAsia"/>
                    <w:color w:val="auto"/>
                  </w:rPr>
                  <w:t>摩主题</w:t>
                </w:r>
                <w:proofErr w:type="gramEnd"/>
                <w:r w:rsidRPr="00F34FC7">
                  <w:rPr>
                    <w:rFonts w:hint="eastAsia"/>
                    <w:color w:val="auto"/>
                  </w:rPr>
                  <w:t>对主题投资以及市场热点有不错的把握；嘉实领先</w:t>
                </w:r>
                <w:proofErr w:type="gramStart"/>
                <w:r w:rsidRPr="00F34FC7">
                  <w:rPr>
                    <w:rFonts w:hint="eastAsia"/>
                    <w:color w:val="auto"/>
                  </w:rPr>
                  <w:t>侧重低</w:t>
                </w:r>
                <w:proofErr w:type="gramEnd"/>
                <w:r w:rsidRPr="00F34FC7">
                  <w:rPr>
                    <w:rFonts w:hint="eastAsia"/>
                    <w:color w:val="auto"/>
                  </w:rPr>
                  <w:t>估值成长股，基金经理风格相对稳健且注重中长期选</w:t>
                </w:r>
                <w:r>
                  <w:rPr>
                    <w:rFonts w:hint="eastAsia"/>
                    <w:color w:val="auto"/>
                  </w:rPr>
                  <w:t>股收益；宝盈策略在个股自下而上的把握以及前瞻性布局上均具备优势</w:t>
                </w:r>
                <w:r w:rsidR="00EE1CC3" w:rsidRPr="00B00136">
                  <w:rPr>
                    <w:rFonts w:hint="eastAsia"/>
                    <w:color w:val="auto"/>
                  </w:rPr>
                  <w:t>；</w:t>
                </w:r>
              </w:p>
              <w:p w:rsidR="00EE1CC3" w:rsidRPr="00B00136" w:rsidRDefault="00F34FC7" w:rsidP="004A4CDA">
                <w:pPr>
                  <w:pStyle w:val="a0"/>
                  <w:widowControl/>
                  <w:numPr>
                    <w:ilvl w:val="0"/>
                    <w:numId w:val="34"/>
                  </w:numPr>
                  <w:spacing w:line="240" w:lineRule="auto"/>
                  <w:ind w:rightChars="12" w:right="22"/>
                  <w:jc w:val="left"/>
                  <w:rPr>
                    <w:color w:val="auto"/>
                  </w:rPr>
                </w:pPr>
                <w:r w:rsidRPr="00F34FC7">
                  <w:rPr>
                    <w:rFonts w:hint="eastAsia"/>
                    <w:color w:val="auto"/>
                  </w:rPr>
                  <w:t>防御型组合本月不进行调整，组合风格相对</w:t>
                </w:r>
                <w:proofErr w:type="gramStart"/>
                <w:r w:rsidRPr="00F34FC7">
                  <w:rPr>
                    <w:rFonts w:hint="eastAsia"/>
                    <w:color w:val="auto"/>
                  </w:rPr>
                  <w:t>侧重低</w:t>
                </w:r>
                <w:proofErr w:type="gramEnd"/>
                <w:r w:rsidRPr="00F34FC7">
                  <w:rPr>
                    <w:rFonts w:hint="eastAsia"/>
                    <w:color w:val="auto"/>
                  </w:rPr>
                  <w:t>估值价值类股票，权益类资产的配置比例为标配。组合内华安逆向的投资较为灵活，对风格轮动、行业轮动以及主题轮动有不错的把握；嘉实领先</w:t>
                </w:r>
                <w:proofErr w:type="gramStart"/>
                <w:r w:rsidRPr="00F34FC7">
                  <w:rPr>
                    <w:rFonts w:hint="eastAsia"/>
                    <w:color w:val="auto"/>
                  </w:rPr>
                  <w:t>侧重低</w:t>
                </w:r>
                <w:proofErr w:type="gramEnd"/>
                <w:r w:rsidRPr="00F34FC7">
                  <w:rPr>
                    <w:rFonts w:hint="eastAsia"/>
                    <w:color w:val="auto"/>
                  </w:rPr>
                  <w:t>估值成长股，基金经理风格相对稳健且注重中长期选股收益；富国天成股票</w:t>
                </w:r>
                <w:proofErr w:type="gramStart"/>
                <w:r w:rsidRPr="00F34FC7">
                  <w:rPr>
                    <w:rFonts w:hint="eastAsia"/>
                    <w:color w:val="auto"/>
                  </w:rPr>
                  <w:t>仓位</w:t>
                </w:r>
                <w:proofErr w:type="gramEnd"/>
                <w:r w:rsidRPr="00F34FC7">
                  <w:rPr>
                    <w:rFonts w:hint="eastAsia"/>
                    <w:color w:val="auto"/>
                  </w:rPr>
                  <w:t>适中，风险控制能力较强，侧重稳健成长类风格股票和低估值蓝筹股；此外，两只债券型基金占据</w:t>
                </w:r>
                <w:r w:rsidRPr="00F34FC7">
                  <w:rPr>
                    <w:rFonts w:hint="eastAsia"/>
                    <w:color w:val="auto"/>
                  </w:rPr>
                  <w:t>40%</w:t>
                </w:r>
                <w:r w:rsidRPr="00F34FC7">
                  <w:rPr>
                    <w:rFonts w:hint="eastAsia"/>
                    <w:color w:val="auto"/>
                  </w:rPr>
                  <w:t>的比例作为防御部分的配置</w:t>
                </w:r>
                <w:r w:rsidR="00EE1CC3" w:rsidRPr="00B00136">
                  <w:rPr>
                    <w:rFonts w:hint="eastAsia"/>
                    <w:color w:val="auto"/>
                  </w:rPr>
                  <w:t>；</w:t>
                </w:r>
              </w:p>
              <w:p w:rsidR="00BC7E24" w:rsidRPr="005A4767" w:rsidRDefault="00F34FC7" w:rsidP="000D3417">
                <w:pPr>
                  <w:pStyle w:val="a0"/>
                  <w:widowControl/>
                  <w:numPr>
                    <w:ilvl w:val="0"/>
                    <w:numId w:val="34"/>
                  </w:numPr>
                  <w:ind w:rightChars="95" w:right="171"/>
                </w:pPr>
                <w:r w:rsidRPr="00F34FC7">
                  <w:rPr>
                    <w:rFonts w:hint="eastAsia"/>
                  </w:rPr>
                  <w:t>作为灵活配置型组合，短期从控制风险的角度，仍保持</w:t>
                </w:r>
                <w:r w:rsidR="000D3417">
                  <w:rPr>
                    <w:rFonts w:hint="eastAsia"/>
                  </w:rPr>
                  <w:t>中性</w:t>
                </w:r>
                <w:r w:rsidRPr="00F34FC7">
                  <w:rPr>
                    <w:rFonts w:hint="eastAsia"/>
                  </w:rPr>
                  <w:t>的权益类产品的配置，组合内权益类产品比例为</w:t>
                </w:r>
                <w:r w:rsidRPr="00F34FC7">
                  <w:rPr>
                    <w:rFonts w:hint="eastAsia"/>
                  </w:rPr>
                  <w:t>50%</w:t>
                </w:r>
                <w:r w:rsidRPr="00F34FC7">
                  <w:rPr>
                    <w:rFonts w:hint="eastAsia"/>
                  </w:rPr>
                  <w:t>，权益类基金关注</w:t>
                </w:r>
                <w:proofErr w:type="gramStart"/>
                <w:r w:rsidRPr="00F34FC7">
                  <w:rPr>
                    <w:rFonts w:hint="eastAsia"/>
                  </w:rPr>
                  <w:t>添富价值</w:t>
                </w:r>
                <w:proofErr w:type="gramEnd"/>
                <w:r w:rsidRPr="00F34FC7">
                  <w:rPr>
                    <w:rFonts w:hint="eastAsia"/>
                  </w:rPr>
                  <w:t>和</w:t>
                </w:r>
                <w:proofErr w:type="gramStart"/>
                <w:r w:rsidRPr="00F34FC7">
                  <w:rPr>
                    <w:rFonts w:hint="eastAsia"/>
                  </w:rPr>
                  <w:t>大摩多因子</w:t>
                </w:r>
                <w:proofErr w:type="gramEnd"/>
                <w:r w:rsidRPr="00F34FC7">
                  <w:rPr>
                    <w:rFonts w:hint="eastAsia"/>
                  </w:rPr>
                  <w:t>策略。</w:t>
                </w:r>
                <w:proofErr w:type="gramStart"/>
                <w:r w:rsidRPr="00F34FC7">
                  <w:rPr>
                    <w:rFonts w:hint="eastAsia"/>
                  </w:rPr>
                  <w:t>添富价值</w:t>
                </w:r>
                <w:proofErr w:type="gramEnd"/>
                <w:r w:rsidRPr="00F34FC7">
                  <w:rPr>
                    <w:rFonts w:hint="eastAsia"/>
                  </w:rPr>
                  <w:t>重点挖掘低估值板块以及“以时间换空间”的价值投资方法，获取中长期业绩的稳定性；</w:t>
                </w:r>
                <w:proofErr w:type="gramStart"/>
                <w:r w:rsidRPr="00F34FC7">
                  <w:rPr>
                    <w:rFonts w:hint="eastAsia"/>
                  </w:rPr>
                  <w:t>大摩多因子</w:t>
                </w:r>
                <w:proofErr w:type="gramEnd"/>
                <w:r w:rsidRPr="00F34FC7">
                  <w:rPr>
                    <w:rFonts w:hint="eastAsia"/>
                  </w:rPr>
                  <w:t>策略采用多因子量化投资的方式，无论是收益还是风险控制都取得不错的效果</w:t>
                </w:r>
                <w:r w:rsidR="004A4CDA">
                  <w:rPr>
                    <w:rFonts w:hint="eastAsia"/>
                  </w:rPr>
                  <w:t>。</w:t>
                </w:r>
              </w:p>
            </w:sdtContent>
          </w:sdt>
        </w:tc>
      </w:tr>
    </w:tbl>
    <w:p w:rsidR="00EE1CC3" w:rsidRPr="00B00136" w:rsidRDefault="00EE1CC3" w:rsidP="00EE1CC3">
      <w:pPr>
        <w:pStyle w:val="14"/>
        <w:ind w:leftChars="1890"/>
        <w:rPr>
          <w:color w:val="auto"/>
        </w:rPr>
      </w:pPr>
      <w:r w:rsidRPr="00B00136">
        <w:rPr>
          <w:rFonts w:hint="eastAsia"/>
          <w:bCs w:val="0"/>
          <w:color w:val="auto"/>
        </w:rPr>
        <w:lastRenderedPageBreak/>
        <w:t>2015</w:t>
      </w:r>
      <w:r w:rsidRPr="00B00136">
        <w:rPr>
          <w:rFonts w:hint="eastAsia"/>
          <w:bCs w:val="0"/>
          <w:color w:val="auto"/>
        </w:rPr>
        <w:t>年</w:t>
      </w:r>
      <w:r w:rsidRPr="00B00136">
        <w:rPr>
          <w:rFonts w:hint="eastAsia"/>
          <w:bCs w:val="0"/>
          <w:color w:val="auto"/>
        </w:rPr>
        <w:t>0</w:t>
      </w:r>
      <w:r w:rsidR="00925F78">
        <w:rPr>
          <w:rFonts w:hint="eastAsia"/>
          <w:bCs w:val="0"/>
          <w:color w:val="auto"/>
        </w:rPr>
        <w:t>6</w:t>
      </w:r>
      <w:r w:rsidRPr="00B00136">
        <w:rPr>
          <w:rFonts w:hint="eastAsia"/>
          <w:bCs w:val="0"/>
          <w:color w:val="auto"/>
        </w:rPr>
        <w:t>月组合推荐（“</w:t>
      </w:r>
      <w:r w:rsidRPr="00B00136">
        <w:rPr>
          <w:rFonts w:hint="eastAsia"/>
          <w:color w:val="auto"/>
        </w:rPr>
        <w:t>★”</w:t>
      </w:r>
      <w:r w:rsidRPr="00B00136">
        <w:rPr>
          <w:rFonts w:hint="eastAsia"/>
          <w:bCs w:val="0"/>
          <w:color w:val="auto"/>
        </w:rPr>
        <w:t>为重点推荐的组合和产品）</w:t>
      </w:r>
    </w:p>
    <w:tbl>
      <w:tblPr>
        <w:tblW w:w="7371" w:type="dxa"/>
        <w:tblInd w:w="3402" w:type="dxa"/>
        <w:tblBorders>
          <w:top w:val="single" w:sz="4" w:space="0" w:color="00B0F0"/>
          <w:bottom w:val="single" w:sz="4" w:space="0" w:color="00B0F0"/>
          <w:insideH w:val="single" w:sz="4" w:space="0" w:color="00B0F0"/>
        </w:tblBorders>
        <w:tblLayout w:type="fixed"/>
        <w:tblCellMar>
          <w:left w:w="0" w:type="dxa"/>
          <w:right w:w="0" w:type="dxa"/>
        </w:tblCellMar>
        <w:tblLook w:val="0000" w:firstRow="0" w:lastRow="0" w:firstColumn="0" w:lastColumn="0" w:noHBand="0" w:noVBand="0"/>
      </w:tblPr>
      <w:tblGrid>
        <w:gridCol w:w="1190"/>
        <w:gridCol w:w="1645"/>
        <w:gridCol w:w="737"/>
        <w:gridCol w:w="227"/>
        <w:gridCol w:w="1190"/>
        <w:gridCol w:w="1674"/>
        <w:gridCol w:w="708"/>
      </w:tblGrid>
      <w:tr w:rsidR="00EE1CC3" w:rsidRPr="000C2B2D" w:rsidTr="00735BBD">
        <w:trPr>
          <w:cantSplit/>
          <w:trHeight w:val="340"/>
        </w:trPr>
        <w:tc>
          <w:tcPr>
            <w:tcW w:w="3572" w:type="dxa"/>
            <w:gridSpan w:val="3"/>
            <w:tcBorders>
              <w:top w:val="single" w:sz="4" w:space="0" w:color="00B0F0"/>
            </w:tcBorders>
            <w:shd w:val="clear" w:color="auto" w:fill="auto"/>
            <w:vAlign w:val="center"/>
          </w:tcPr>
          <w:p w:rsidR="00EE1CC3" w:rsidRPr="000F1DC9" w:rsidRDefault="00EE1CC3" w:rsidP="00735BBD">
            <w:pPr>
              <w:pStyle w:val="SubTitleLargeTable"/>
              <w:pBdr>
                <w:top w:val="none" w:sz="0" w:space="0" w:color="auto"/>
              </w:pBdr>
              <w:rPr>
                <w:rFonts w:ascii="楷体_GB2312"/>
                <w:b w:val="0"/>
                <w:lang w:val="en-US"/>
              </w:rPr>
            </w:pPr>
            <w:bookmarkStart w:id="4" w:name="_Toc97695484"/>
            <w:bookmarkStart w:id="5" w:name="_Toc97962176"/>
            <w:bookmarkStart w:id="6" w:name="_Toc97962701"/>
            <w:bookmarkStart w:id="7" w:name="_Toc97962927"/>
            <w:bookmarkStart w:id="8" w:name="_Toc97963271"/>
            <w:bookmarkStart w:id="9" w:name="_Toc97979428"/>
            <w:bookmarkStart w:id="10" w:name="_Toc97981654"/>
            <w:bookmarkStart w:id="11" w:name="_Toc97986072"/>
            <w:bookmarkStart w:id="12" w:name="_Toc239840635"/>
            <w:r>
              <w:rPr>
                <w:rFonts w:hint="eastAsia"/>
                <w:lang w:val="en-US"/>
              </w:rPr>
              <w:t>进攻型组合</w:t>
            </w:r>
          </w:p>
        </w:tc>
        <w:tc>
          <w:tcPr>
            <w:tcW w:w="227" w:type="dxa"/>
            <w:tcBorders>
              <w:top w:val="single" w:sz="4" w:space="0" w:color="00B0F0"/>
            </w:tcBorders>
            <w:shd w:val="clear" w:color="auto" w:fill="auto"/>
            <w:vAlign w:val="center"/>
          </w:tcPr>
          <w:p w:rsidR="00EE1CC3" w:rsidRPr="001309A1" w:rsidRDefault="00EE1CC3" w:rsidP="00735BBD">
            <w:pPr>
              <w:pStyle w:val="SubTitleLargeTable"/>
              <w:pBdr>
                <w:top w:val="none" w:sz="0" w:space="0" w:color="auto"/>
              </w:pBdr>
              <w:rPr>
                <w:lang w:val="en-US"/>
              </w:rPr>
            </w:pPr>
          </w:p>
        </w:tc>
        <w:tc>
          <w:tcPr>
            <w:tcW w:w="3572" w:type="dxa"/>
            <w:gridSpan w:val="3"/>
            <w:tcBorders>
              <w:top w:val="single" w:sz="4" w:space="0" w:color="00B0F0"/>
            </w:tcBorders>
            <w:shd w:val="clear" w:color="auto" w:fill="auto"/>
            <w:vAlign w:val="center"/>
          </w:tcPr>
          <w:p w:rsidR="00EE1CC3" w:rsidRPr="001309A1" w:rsidRDefault="00EE1CC3" w:rsidP="00735BBD">
            <w:pPr>
              <w:pStyle w:val="SubTitleLargeTable"/>
              <w:pBdr>
                <w:top w:val="none" w:sz="0" w:space="0" w:color="auto"/>
              </w:pBdr>
              <w:rPr>
                <w:lang w:val="en-US"/>
              </w:rPr>
            </w:pPr>
            <w:r>
              <w:rPr>
                <w:rFonts w:hint="eastAsia"/>
                <w:lang w:val="en-US"/>
              </w:rPr>
              <w:t>防御型组合</w:t>
            </w:r>
            <w:r w:rsidR="00910601" w:rsidRPr="00781B63">
              <w:rPr>
                <w:rFonts w:ascii="楷体_GB2312" w:hAnsi="楷体" w:hint="eastAsia"/>
                <w:szCs w:val="18"/>
              </w:rPr>
              <w:t>★</w:t>
            </w:r>
          </w:p>
        </w:tc>
      </w:tr>
      <w:tr w:rsidR="00EE1CC3" w:rsidRPr="000C2B2D" w:rsidTr="00735BBD">
        <w:trPr>
          <w:cantSplit/>
          <w:trHeight w:val="340"/>
        </w:trPr>
        <w:tc>
          <w:tcPr>
            <w:tcW w:w="1190" w:type="dxa"/>
            <w:tcBorders>
              <w:top w:val="single" w:sz="4" w:space="0" w:color="00B0F0"/>
            </w:tcBorders>
            <w:shd w:val="clear" w:color="auto" w:fill="auto"/>
            <w:vAlign w:val="center"/>
          </w:tcPr>
          <w:p w:rsidR="00EE1CC3" w:rsidRPr="000F1DC9" w:rsidRDefault="00EE1CC3" w:rsidP="00735BBD">
            <w:pPr>
              <w:jc w:val="center"/>
              <w:rPr>
                <w:rFonts w:ascii="楷体_GB2312"/>
                <w:b/>
              </w:rPr>
            </w:pPr>
            <w:r w:rsidRPr="000F1DC9">
              <w:rPr>
                <w:rFonts w:ascii="楷体_GB2312" w:hint="eastAsia"/>
                <w:b/>
              </w:rPr>
              <w:t>基金名称</w:t>
            </w:r>
          </w:p>
        </w:tc>
        <w:tc>
          <w:tcPr>
            <w:tcW w:w="1645" w:type="dxa"/>
            <w:tcBorders>
              <w:top w:val="single" w:sz="4" w:space="0" w:color="00B0F0"/>
            </w:tcBorders>
            <w:shd w:val="clear" w:color="auto" w:fill="auto"/>
            <w:vAlign w:val="center"/>
          </w:tcPr>
          <w:p w:rsidR="00EE1CC3" w:rsidRPr="000F1DC9" w:rsidRDefault="00EE1CC3" w:rsidP="00735BBD">
            <w:pPr>
              <w:jc w:val="center"/>
              <w:rPr>
                <w:rFonts w:ascii="楷体_GB2312"/>
                <w:b/>
              </w:rPr>
            </w:pPr>
            <w:r w:rsidRPr="000F1DC9">
              <w:rPr>
                <w:rFonts w:ascii="楷体_GB2312" w:hint="eastAsia"/>
                <w:b/>
              </w:rPr>
              <w:t>基金类型</w:t>
            </w:r>
          </w:p>
        </w:tc>
        <w:tc>
          <w:tcPr>
            <w:tcW w:w="737" w:type="dxa"/>
            <w:tcBorders>
              <w:top w:val="single" w:sz="4" w:space="0" w:color="00B0F0"/>
            </w:tcBorders>
            <w:shd w:val="clear" w:color="auto" w:fill="auto"/>
            <w:vAlign w:val="center"/>
          </w:tcPr>
          <w:p w:rsidR="00EE1CC3" w:rsidRPr="000F1DC9" w:rsidRDefault="00EE1CC3" w:rsidP="00735BBD">
            <w:pPr>
              <w:jc w:val="center"/>
              <w:rPr>
                <w:rFonts w:ascii="楷体_GB2312"/>
                <w:b/>
              </w:rPr>
            </w:pPr>
            <w:r w:rsidRPr="000F1DC9">
              <w:rPr>
                <w:rFonts w:ascii="楷体_GB2312" w:hint="eastAsia"/>
                <w:b/>
              </w:rPr>
              <w:t>权重</w:t>
            </w:r>
          </w:p>
        </w:tc>
        <w:tc>
          <w:tcPr>
            <w:tcW w:w="227" w:type="dxa"/>
            <w:vMerge w:val="restart"/>
            <w:tcBorders>
              <w:top w:val="single" w:sz="4" w:space="0" w:color="00B0F0"/>
            </w:tcBorders>
            <w:shd w:val="clear" w:color="auto" w:fill="auto"/>
            <w:vAlign w:val="center"/>
          </w:tcPr>
          <w:p w:rsidR="00EE1CC3" w:rsidRPr="000F1DC9" w:rsidRDefault="00EE1CC3" w:rsidP="00735BBD">
            <w:pPr>
              <w:jc w:val="center"/>
              <w:rPr>
                <w:rFonts w:ascii="楷体_GB2312"/>
                <w:b/>
              </w:rPr>
            </w:pPr>
          </w:p>
        </w:tc>
        <w:tc>
          <w:tcPr>
            <w:tcW w:w="1190" w:type="dxa"/>
            <w:tcBorders>
              <w:top w:val="single" w:sz="4" w:space="0" w:color="00B0F0"/>
            </w:tcBorders>
            <w:shd w:val="clear" w:color="auto" w:fill="auto"/>
            <w:vAlign w:val="center"/>
          </w:tcPr>
          <w:p w:rsidR="00EE1CC3" w:rsidRPr="000F1DC9" w:rsidRDefault="00EE1CC3" w:rsidP="00735BBD">
            <w:pPr>
              <w:jc w:val="center"/>
              <w:rPr>
                <w:rFonts w:ascii="楷体_GB2312"/>
                <w:b/>
              </w:rPr>
            </w:pPr>
            <w:r w:rsidRPr="000F1DC9">
              <w:rPr>
                <w:rFonts w:ascii="楷体_GB2312" w:hint="eastAsia"/>
                <w:b/>
              </w:rPr>
              <w:t>基金名称</w:t>
            </w:r>
          </w:p>
        </w:tc>
        <w:tc>
          <w:tcPr>
            <w:tcW w:w="1674" w:type="dxa"/>
            <w:tcBorders>
              <w:top w:val="single" w:sz="4" w:space="0" w:color="00B0F0"/>
            </w:tcBorders>
            <w:shd w:val="clear" w:color="auto" w:fill="auto"/>
            <w:vAlign w:val="center"/>
          </w:tcPr>
          <w:p w:rsidR="00EE1CC3" w:rsidRPr="000F1DC9" w:rsidRDefault="00EE1CC3" w:rsidP="00735BBD">
            <w:pPr>
              <w:jc w:val="center"/>
              <w:rPr>
                <w:rFonts w:ascii="楷体_GB2312"/>
                <w:b/>
              </w:rPr>
            </w:pPr>
            <w:r w:rsidRPr="000F1DC9">
              <w:rPr>
                <w:rFonts w:ascii="楷体_GB2312" w:hint="eastAsia"/>
                <w:b/>
              </w:rPr>
              <w:t>基金类型</w:t>
            </w:r>
          </w:p>
        </w:tc>
        <w:tc>
          <w:tcPr>
            <w:tcW w:w="708" w:type="dxa"/>
            <w:tcBorders>
              <w:top w:val="single" w:sz="4" w:space="0" w:color="00B0F0"/>
            </w:tcBorders>
            <w:shd w:val="clear" w:color="auto" w:fill="auto"/>
            <w:vAlign w:val="center"/>
          </w:tcPr>
          <w:p w:rsidR="00EE1CC3" w:rsidRPr="000F1DC9" w:rsidRDefault="00EE1CC3" w:rsidP="00735BBD">
            <w:pPr>
              <w:jc w:val="center"/>
              <w:rPr>
                <w:rFonts w:ascii="楷体_GB2312"/>
                <w:b/>
              </w:rPr>
            </w:pPr>
            <w:r w:rsidRPr="000F1DC9">
              <w:rPr>
                <w:rFonts w:ascii="楷体_GB2312" w:hint="eastAsia"/>
                <w:b/>
              </w:rPr>
              <w:t>权重</w:t>
            </w:r>
          </w:p>
        </w:tc>
      </w:tr>
      <w:tr w:rsidR="00EE1CC3" w:rsidRPr="00A86F8F" w:rsidTr="00735BBD">
        <w:trPr>
          <w:cantSplit/>
          <w:trHeight w:val="340"/>
        </w:trPr>
        <w:tc>
          <w:tcPr>
            <w:tcW w:w="1190" w:type="dxa"/>
            <w:shd w:val="clear" w:color="auto" w:fill="auto"/>
            <w:vAlign w:val="center"/>
          </w:tcPr>
          <w:p w:rsidR="00EE1CC3" w:rsidRPr="00781B63" w:rsidRDefault="00EE1CC3" w:rsidP="00735BBD">
            <w:pPr>
              <w:jc w:val="center"/>
              <w:rPr>
                <w:rFonts w:ascii="楷体_GB2312" w:hAnsi="楷体"/>
                <w:szCs w:val="18"/>
              </w:rPr>
            </w:pPr>
            <w:r w:rsidRPr="00781B63">
              <w:rPr>
                <w:rFonts w:ascii="楷体_GB2312" w:hAnsi="楷体" w:hint="eastAsia"/>
                <w:szCs w:val="18"/>
              </w:rPr>
              <w:t>光大配置</w:t>
            </w:r>
          </w:p>
        </w:tc>
        <w:tc>
          <w:tcPr>
            <w:tcW w:w="1645" w:type="dxa"/>
            <w:shd w:val="clear" w:color="auto" w:fill="auto"/>
            <w:vAlign w:val="center"/>
          </w:tcPr>
          <w:p w:rsidR="00EE1CC3" w:rsidRPr="00781B63" w:rsidRDefault="00EE1CC3" w:rsidP="00735BBD">
            <w:pPr>
              <w:jc w:val="center"/>
              <w:rPr>
                <w:rFonts w:ascii="楷体_GB2312" w:hAnsi="楷体"/>
                <w:szCs w:val="18"/>
              </w:rPr>
            </w:pPr>
            <w:r w:rsidRPr="00781B63">
              <w:rPr>
                <w:rFonts w:ascii="楷体_GB2312" w:hAnsi="楷体" w:hint="eastAsia"/>
                <w:szCs w:val="18"/>
              </w:rPr>
              <w:t>混合-灵活配置型</w:t>
            </w:r>
          </w:p>
        </w:tc>
        <w:tc>
          <w:tcPr>
            <w:tcW w:w="737" w:type="dxa"/>
            <w:shd w:val="clear" w:color="auto" w:fill="auto"/>
            <w:vAlign w:val="center"/>
          </w:tcPr>
          <w:p w:rsidR="00EE1CC3" w:rsidRPr="00505E91" w:rsidRDefault="00EE1CC3" w:rsidP="00735BBD">
            <w:pPr>
              <w:jc w:val="center"/>
              <w:rPr>
                <w:rFonts w:ascii="楷体_GB2312" w:hAnsi="宋体"/>
                <w:szCs w:val="18"/>
              </w:rPr>
            </w:pPr>
            <w:r w:rsidRPr="00505E91">
              <w:rPr>
                <w:rFonts w:ascii="楷体_GB2312" w:hAnsi="宋体" w:hint="eastAsia"/>
                <w:szCs w:val="18"/>
              </w:rPr>
              <w:t>20%</w:t>
            </w:r>
          </w:p>
        </w:tc>
        <w:tc>
          <w:tcPr>
            <w:tcW w:w="227" w:type="dxa"/>
            <w:vMerge/>
            <w:shd w:val="clear" w:color="auto" w:fill="auto"/>
            <w:vAlign w:val="center"/>
          </w:tcPr>
          <w:p w:rsidR="00EE1CC3" w:rsidRPr="00505E91" w:rsidRDefault="00EE1CC3" w:rsidP="00735BBD">
            <w:pPr>
              <w:jc w:val="center"/>
              <w:rPr>
                <w:rFonts w:ascii="楷体_GB2312"/>
                <w:szCs w:val="18"/>
              </w:rPr>
            </w:pPr>
          </w:p>
        </w:tc>
        <w:tc>
          <w:tcPr>
            <w:tcW w:w="1190" w:type="dxa"/>
            <w:shd w:val="clear" w:color="auto" w:fill="auto"/>
            <w:vAlign w:val="center"/>
          </w:tcPr>
          <w:p w:rsidR="00EE1CC3" w:rsidRPr="00781B63" w:rsidRDefault="00EE1CC3" w:rsidP="00735BBD">
            <w:pPr>
              <w:jc w:val="center"/>
              <w:rPr>
                <w:rFonts w:ascii="楷体_GB2312" w:hAnsi="楷体"/>
                <w:szCs w:val="18"/>
              </w:rPr>
            </w:pPr>
            <w:r w:rsidRPr="00781B63">
              <w:rPr>
                <w:rFonts w:ascii="楷体_GB2312" w:hAnsi="楷体" w:hint="eastAsia"/>
                <w:szCs w:val="18"/>
              </w:rPr>
              <w:t>华安逆向</w:t>
            </w:r>
          </w:p>
        </w:tc>
        <w:tc>
          <w:tcPr>
            <w:tcW w:w="1674" w:type="dxa"/>
            <w:shd w:val="clear" w:color="auto" w:fill="auto"/>
            <w:vAlign w:val="center"/>
          </w:tcPr>
          <w:p w:rsidR="00EE1CC3" w:rsidRPr="00781B63" w:rsidRDefault="00EE1CC3" w:rsidP="00735BBD">
            <w:pPr>
              <w:jc w:val="center"/>
              <w:rPr>
                <w:rFonts w:ascii="楷体_GB2312" w:hAnsi="楷体"/>
                <w:szCs w:val="18"/>
              </w:rPr>
            </w:pPr>
            <w:r w:rsidRPr="00781B63">
              <w:rPr>
                <w:rFonts w:ascii="楷体_GB2312" w:hAnsi="楷体" w:hint="eastAsia"/>
                <w:szCs w:val="18"/>
              </w:rPr>
              <w:t>股票型</w:t>
            </w:r>
          </w:p>
        </w:tc>
        <w:tc>
          <w:tcPr>
            <w:tcW w:w="708" w:type="dxa"/>
            <w:shd w:val="clear" w:color="auto" w:fill="auto"/>
            <w:vAlign w:val="center"/>
          </w:tcPr>
          <w:p w:rsidR="00EE1CC3" w:rsidRPr="00505E91" w:rsidRDefault="00EE1CC3" w:rsidP="00597BE8">
            <w:pPr>
              <w:jc w:val="center"/>
              <w:rPr>
                <w:rFonts w:ascii="楷体_GB2312" w:hAnsi="宋体"/>
                <w:bCs/>
                <w:szCs w:val="18"/>
              </w:rPr>
            </w:pPr>
            <w:r w:rsidRPr="00505E91">
              <w:rPr>
                <w:rFonts w:ascii="楷体_GB2312" w:hAnsi="宋体" w:hint="eastAsia"/>
                <w:bCs/>
                <w:szCs w:val="18"/>
              </w:rPr>
              <w:t>2</w:t>
            </w:r>
            <w:r w:rsidR="00910601">
              <w:rPr>
                <w:rFonts w:ascii="楷体_GB2312" w:hAnsi="宋体" w:hint="eastAsia"/>
                <w:bCs/>
                <w:szCs w:val="18"/>
              </w:rPr>
              <w:t>0</w:t>
            </w:r>
            <w:r w:rsidRPr="00505E91">
              <w:rPr>
                <w:rFonts w:ascii="楷体_GB2312" w:hAnsi="宋体" w:hint="eastAsia"/>
                <w:bCs/>
                <w:szCs w:val="18"/>
              </w:rPr>
              <w:t>%</w:t>
            </w:r>
          </w:p>
        </w:tc>
      </w:tr>
      <w:tr w:rsidR="00937378" w:rsidRPr="00A86F8F" w:rsidTr="00735BBD">
        <w:trPr>
          <w:cantSplit/>
          <w:trHeight w:val="340"/>
        </w:trPr>
        <w:tc>
          <w:tcPr>
            <w:tcW w:w="1190" w:type="dxa"/>
            <w:shd w:val="clear" w:color="auto" w:fill="auto"/>
            <w:vAlign w:val="center"/>
          </w:tcPr>
          <w:p w:rsidR="00937378" w:rsidRPr="00781B63" w:rsidRDefault="00116EEB" w:rsidP="00937378">
            <w:pPr>
              <w:jc w:val="center"/>
              <w:rPr>
                <w:rFonts w:ascii="楷体_GB2312" w:hAnsi="楷体"/>
                <w:szCs w:val="18"/>
              </w:rPr>
            </w:pPr>
            <w:r w:rsidRPr="00116EEB">
              <w:rPr>
                <w:rFonts w:ascii="楷体_GB2312" w:hAnsi="楷体" w:hint="eastAsia"/>
                <w:szCs w:val="18"/>
              </w:rPr>
              <w:t>★嘉实领先成长</w:t>
            </w:r>
          </w:p>
        </w:tc>
        <w:tc>
          <w:tcPr>
            <w:tcW w:w="1645" w:type="dxa"/>
            <w:shd w:val="clear" w:color="auto" w:fill="auto"/>
            <w:vAlign w:val="center"/>
          </w:tcPr>
          <w:p w:rsidR="00937378" w:rsidRPr="00781B63" w:rsidRDefault="00937378" w:rsidP="00937378">
            <w:pPr>
              <w:jc w:val="center"/>
              <w:rPr>
                <w:rFonts w:ascii="楷体_GB2312" w:hAnsi="楷体"/>
                <w:szCs w:val="18"/>
              </w:rPr>
            </w:pPr>
            <w:r w:rsidRPr="00781B63">
              <w:rPr>
                <w:rFonts w:ascii="楷体_GB2312" w:hAnsi="楷体" w:hint="eastAsia"/>
                <w:szCs w:val="18"/>
              </w:rPr>
              <w:t>股票型</w:t>
            </w:r>
          </w:p>
        </w:tc>
        <w:tc>
          <w:tcPr>
            <w:tcW w:w="737" w:type="dxa"/>
            <w:shd w:val="clear" w:color="auto" w:fill="auto"/>
            <w:vAlign w:val="center"/>
          </w:tcPr>
          <w:p w:rsidR="00937378" w:rsidRPr="00505E91" w:rsidRDefault="00937378" w:rsidP="00937378">
            <w:pPr>
              <w:jc w:val="center"/>
              <w:rPr>
                <w:rFonts w:ascii="楷体_GB2312" w:hAnsi="宋体"/>
                <w:szCs w:val="18"/>
              </w:rPr>
            </w:pPr>
            <w:r w:rsidRPr="00505E91">
              <w:rPr>
                <w:rFonts w:ascii="楷体_GB2312" w:hAnsi="宋体" w:hint="eastAsia"/>
                <w:szCs w:val="18"/>
              </w:rPr>
              <w:t>20%</w:t>
            </w:r>
          </w:p>
        </w:tc>
        <w:tc>
          <w:tcPr>
            <w:tcW w:w="227" w:type="dxa"/>
            <w:vMerge/>
            <w:shd w:val="clear" w:color="auto" w:fill="auto"/>
            <w:vAlign w:val="center"/>
          </w:tcPr>
          <w:p w:rsidR="00937378" w:rsidRPr="00505E91" w:rsidRDefault="00937378" w:rsidP="00937378">
            <w:pPr>
              <w:jc w:val="center"/>
              <w:rPr>
                <w:rFonts w:ascii="楷体_GB2312"/>
                <w:szCs w:val="18"/>
              </w:rPr>
            </w:pPr>
          </w:p>
        </w:tc>
        <w:tc>
          <w:tcPr>
            <w:tcW w:w="1190" w:type="dxa"/>
            <w:shd w:val="clear" w:color="auto" w:fill="auto"/>
            <w:vAlign w:val="center"/>
          </w:tcPr>
          <w:p w:rsidR="00937378" w:rsidRPr="00937378" w:rsidRDefault="00910601" w:rsidP="00937378">
            <w:pPr>
              <w:jc w:val="center"/>
              <w:rPr>
                <w:rFonts w:ascii="楷体_GB2312" w:hAnsi="楷体"/>
                <w:szCs w:val="18"/>
              </w:rPr>
            </w:pPr>
            <w:r>
              <w:rPr>
                <w:rFonts w:ascii="楷体_GB2312" w:hAnsi="楷体" w:hint="eastAsia"/>
                <w:szCs w:val="18"/>
              </w:rPr>
              <w:t>富国天成</w:t>
            </w:r>
          </w:p>
        </w:tc>
        <w:tc>
          <w:tcPr>
            <w:tcW w:w="1674" w:type="dxa"/>
            <w:shd w:val="clear" w:color="auto" w:fill="auto"/>
            <w:vAlign w:val="center"/>
          </w:tcPr>
          <w:p w:rsidR="00937378" w:rsidRPr="00937378" w:rsidRDefault="00910601" w:rsidP="00937378">
            <w:pPr>
              <w:jc w:val="center"/>
              <w:rPr>
                <w:rFonts w:ascii="楷体_GB2312" w:hAnsi="楷体"/>
                <w:szCs w:val="18"/>
              </w:rPr>
            </w:pPr>
            <w:r w:rsidRPr="00781B63">
              <w:rPr>
                <w:rFonts w:ascii="楷体_GB2312" w:hAnsi="楷体" w:hint="eastAsia"/>
                <w:szCs w:val="18"/>
              </w:rPr>
              <w:t>混合-灵活配置型</w:t>
            </w:r>
          </w:p>
        </w:tc>
        <w:tc>
          <w:tcPr>
            <w:tcW w:w="708" w:type="dxa"/>
            <w:shd w:val="clear" w:color="auto" w:fill="auto"/>
            <w:vAlign w:val="center"/>
          </w:tcPr>
          <w:p w:rsidR="00937378" w:rsidRPr="00505E91" w:rsidRDefault="00910601" w:rsidP="00937378">
            <w:pPr>
              <w:jc w:val="center"/>
              <w:rPr>
                <w:rFonts w:ascii="楷体_GB2312" w:hAnsi="宋体"/>
                <w:bCs/>
                <w:szCs w:val="18"/>
              </w:rPr>
            </w:pPr>
            <w:r w:rsidRPr="00505E91">
              <w:rPr>
                <w:rFonts w:ascii="楷体_GB2312" w:hAnsi="宋体" w:hint="eastAsia"/>
                <w:bCs/>
                <w:szCs w:val="18"/>
              </w:rPr>
              <w:t>2</w:t>
            </w:r>
            <w:r>
              <w:rPr>
                <w:rFonts w:ascii="楷体_GB2312" w:hAnsi="宋体" w:hint="eastAsia"/>
                <w:bCs/>
                <w:szCs w:val="18"/>
              </w:rPr>
              <w:t>0%</w:t>
            </w:r>
          </w:p>
        </w:tc>
      </w:tr>
      <w:tr w:rsidR="00937378" w:rsidRPr="00A86F8F" w:rsidTr="00735BBD">
        <w:trPr>
          <w:cantSplit/>
          <w:trHeight w:val="340"/>
        </w:trPr>
        <w:tc>
          <w:tcPr>
            <w:tcW w:w="1190" w:type="dxa"/>
            <w:shd w:val="clear" w:color="auto" w:fill="auto"/>
            <w:vAlign w:val="center"/>
          </w:tcPr>
          <w:p w:rsidR="00937378" w:rsidRPr="00781B63" w:rsidRDefault="00937378" w:rsidP="00937378">
            <w:pPr>
              <w:jc w:val="center"/>
              <w:rPr>
                <w:rFonts w:ascii="楷体_GB2312" w:hAnsi="楷体"/>
                <w:szCs w:val="18"/>
              </w:rPr>
            </w:pPr>
            <w:r w:rsidRPr="00781B63">
              <w:rPr>
                <w:rFonts w:ascii="楷体_GB2312" w:hAnsi="楷体" w:hint="eastAsia"/>
                <w:szCs w:val="18"/>
              </w:rPr>
              <w:t>大</w:t>
            </w:r>
            <w:proofErr w:type="gramStart"/>
            <w:r w:rsidRPr="00781B63">
              <w:rPr>
                <w:rFonts w:ascii="楷体_GB2312" w:hAnsi="楷体" w:hint="eastAsia"/>
                <w:szCs w:val="18"/>
              </w:rPr>
              <w:t>摩主题</w:t>
            </w:r>
            <w:proofErr w:type="gramEnd"/>
          </w:p>
        </w:tc>
        <w:tc>
          <w:tcPr>
            <w:tcW w:w="1645" w:type="dxa"/>
            <w:shd w:val="clear" w:color="auto" w:fill="auto"/>
            <w:vAlign w:val="center"/>
          </w:tcPr>
          <w:p w:rsidR="00937378" w:rsidRPr="00781B63" w:rsidRDefault="00937378" w:rsidP="00937378">
            <w:pPr>
              <w:jc w:val="center"/>
              <w:rPr>
                <w:rFonts w:ascii="楷体_GB2312" w:hAnsi="楷体"/>
                <w:szCs w:val="18"/>
              </w:rPr>
            </w:pPr>
            <w:r w:rsidRPr="00781B63">
              <w:rPr>
                <w:rFonts w:ascii="楷体_GB2312" w:hAnsi="楷体" w:hint="eastAsia"/>
                <w:szCs w:val="18"/>
              </w:rPr>
              <w:t>股票型</w:t>
            </w:r>
          </w:p>
        </w:tc>
        <w:tc>
          <w:tcPr>
            <w:tcW w:w="737" w:type="dxa"/>
            <w:shd w:val="clear" w:color="auto" w:fill="auto"/>
            <w:vAlign w:val="center"/>
          </w:tcPr>
          <w:p w:rsidR="00937378" w:rsidRPr="00505E91" w:rsidRDefault="00937378" w:rsidP="00937378">
            <w:pPr>
              <w:jc w:val="center"/>
              <w:rPr>
                <w:rFonts w:ascii="楷体_GB2312" w:hAnsi="宋体"/>
                <w:szCs w:val="18"/>
              </w:rPr>
            </w:pPr>
            <w:r w:rsidRPr="00505E91">
              <w:rPr>
                <w:rFonts w:ascii="楷体_GB2312" w:hAnsi="宋体" w:hint="eastAsia"/>
                <w:szCs w:val="18"/>
              </w:rPr>
              <w:t>20%</w:t>
            </w:r>
          </w:p>
        </w:tc>
        <w:tc>
          <w:tcPr>
            <w:tcW w:w="227" w:type="dxa"/>
            <w:vMerge/>
            <w:shd w:val="clear" w:color="auto" w:fill="auto"/>
            <w:vAlign w:val="center"/>
          </w:tcPr>
          <w:p w:rsidR="00937378" w:rsidRPr="00505E91" w:rsidRDefault="00937378" w:rsidP="00937378">
            <w:pPr>
              <w:jc w:val="center"/>
              <w:rPr>
                <w:rFonts w:ascii="楷体_GB2312"/>
                <w:szCs w:val="18"/>
              </w:rPr>
            </w:pPr>
          </w:p>
        </w:tc>
        <w:tc>
          <w:tcPr>
            <w:tcW w:w="1190" w:type="dxa"/>
            <w:shd w:val="clear" w:color="auto" w:fill="auto"/>
            <w:vAlign w:val="center"/>
          </w:tcPr>
          <w:p w:rsidR="00937378" w:rsidRPr="00937378" w:rsidRDefault="00910601" w:rsidP="00937378">
            <w:pPr>
              <w:jc w:val="center"/>
              <w:rPr>
                <w:rFonts w:ascii="楷体_GB2312" w:hAnsi="楷体"/>
                <w:szCs w:val="18"/>
              </w:rPr>
            </w:pPr>
            <w:r w:rsidRPr="00781B63">
              <w:rPr>
                <w:rFonts w:ascii="楷体_GB2312" w:hAnsi="楷体" w:hint="eastAsia"/>
                <w:szCs w:val="18"/>
              </w:rPr>
              <w:t>★</w:t>
            </w:r>
            <w:r w:rsidRPr="00910601">
              <w:rPr>
                <w:rFonts w:ascii="楷体_GB2312" w:hAnsi="楷体" w:hint="eastAsia"/>
                <w:szCs w:val="18"/>
              </w:rPr>
              <w:t>嘉实领先</w:t>
            </w:r>
            <w:r w:rsidR="00116EEB">
              <w:rPr>
                <w:rFonts w:ascii="楷体_GB2312" w:hAnsi="楷体" w:hint="eastAsia"/>
                <w:szCs w:val="18"/>
              </w:rPr>
              <w:t>成长</w:t>
            </w:r>
          </w:p>
        </w:tc>
        <w:tc>
          <w:tcPr>
            <w:tcW w:w="1674" w:type="dxa"/>
            <w:shd w:val="clear" w:color="auto" w:fill="auto"/>
            <w:vAlign w:val="center"/>
          </w:tcPr>
          <w:p w:rsidR="00937378" w:rsidRPr="00937378" w:rsidRDefault="00937378" w:rsidP="00937378">
            <w:pPr>
              <w:jc w:val="center"/>
              <w:rPr>
                <w:rFonts w:ascii="楷体_GB2312" w:hAnsi="楷体"/>
                <w:szCs w:val="18"/>
              </w:rPr>
            </w:pPr>
            <w:r w:rsidRPr="00937378">
              <w:rPr>
                <w:rFonts w:ascii="楷体_GB2312" w:hAnsi="楷体" w:hint="eastAsia"/>
                <w:szCs w:val="18"/>
              </w:rPr>
              <w:t>股票型</w:t>
            </w:r>
          </w:p>
        </w:tc>
        <w:tc>
          <w:tcPr>
            <w:tcW w:w="708" w:type="dxa"/>
            <w:shd w:val="clear" w:color="auto" w:fill="auto"/>
            <w:vAlign w:val="center"/>
          </w:tcPr>
          <w:p w:rsidR="00937378" w:rsidRPr="00505E91" w:rsidRDefault="00910601" w:rsidP="00597BE8">
            <w:pPr>
              <w:jc w:val="center"/>
              <w:rPr>
                <w:rFonts w:ascii="楷体_GB2312" w:hAnsi="宋体"/>
                <w:bCs/>
                <w:szCs w:val="18"/>
              </w:rPr>
            </w:pPr>
            <w:r>
              <w:rPr>
                <w:rFonts w:ascii="楷体_GB2312" w:hAnsi="宋体" w:hint="eastAsia"/>
                <w:bCs/>
                <w:szCs w:val="18"/>
              </w:rPr>
              <w:t>20</w:t>
            </w:r>
            <w:r w:rsidR="00937378" w:rsidRPr="00505E91">
              <w:rPr>
                <w:rFonts w:ascii="楷体_GB2312" w:hAnsi="宋体" w:hint="eastAsia"/>
                <w:bCs/>
                <w:szCs w:val="18"/>
              </w:rPr>
              <w:t>%</w:t>
            </w:r>
          </w:p>
        </w:tc>
      </w:tr>
      <w:tr w:rsidR="00EE1CC3" w:rsidRPr="00A86F8F" w:rsidTr="00735BBD">
        <w:trPr>
          <w:cantSplit/>
          <w:trHeight w:val="340"/>
        </w:trPr>
        <w:tc>
          <w:tcPr>
            <w:tcW w:w="1190" w:type="dxa"/>
            <w:shd w:val="clear" w:color="auto" w:fill="auto"/>
            <w:vAlign w:val="center"/>
          </w:tcPr>
          <w:p w:rsidR="00EE1CC3" w:rsidRPr="00781B63" w:rsidRDefault="00EE1CC3" w:rsidP="00735BBD">
            <w:pPr>
              <w:jc w:val="center"/>
              <w:rPr>
                <w:rFonts w:ascii="楷体_GB2312" w:hAnsi="楷体"/>
                <w:szCs w:val="18"/>
              </w:rPr>
            </w:pPr>
            <w:r>
              <w:rPr>
                <w:rFonts w:ascii="楷体_GB2312" w:hAnsi="楷体" w:hint="eastAsia"/>
                <w:szCs w:val="18"/>
              </w:rPr>
              <w:t>宝盈策略</w:t>
            </w:r>
          </w:p>
        </w:tc>
        <w:tc>
          <w:tcPr>
            <w:tcW w:w="1645" w:type="dxa"/>
            <w:shd w:val="clear" w:color="auto" w:fill="auto"/>
            <w:vAlign w:val="center"/>
          </w:tcPr>
          <w:p w:rsidR="00EE1CC3" w:rsidRPr="00781B63" w:rsidRDefault="00EE1CC3" w:rsidP="00735BBD">
            <w:pPr>
              <w:jc w:val="center"/>
              <w:rPr>
                <w:rFonts w:ascii="楷体_GB2312" w:hAnsi="楷体"/>
                <w:szCs w:val="18"/>
              </w:rPr>
            </w:pPr>
            <w:r w:rsidRPr="00781B63">
              <w:rPr>
                <w:rFonts w:ascii="楷体_GB2312" w:hAnsi="楷体" w:hint="eastAsia"/>
                <w:szCs w:val="18"/>
              </w:rPr>
              <w:t>股票型</w:t>
            </w:r>
          </w:p>
        </w:tc>
        <w:tc>
          <w:tcPr>
            <w:tcW w:w="737" w:type="dxa"/>
            <w:shd w:val="clear" w:color="auto" w:fill="auto"/>
            <w:vAlign w:val="center"/>
          </w:tcPr>
          <w:p w:rsidR="00EE1CC3" w:rsidRPr="00505E91" w:rsidRDefault="00EE1CC3" w:rsidP="00735BBD">
            <w:pPr>
              <w:jc w:val="center"/>
              <w:rPr>
                <w:rFonts w:ascii="楷体_GB2312" w:hAnsi="宋体"/>
                <w:szCs w:val="18"/>
              </w:rPr>
            </w:pPr>
            <w:r w:rsidRPr="00505E91">
              <w:rPr>
                <w:rFonts w:ascii="楷体_GB2312" w:hAnsi="宋体" w:hint="eastAsia"/>
                <w:szCs w:val="18"/>
              </w:rPr>
              <w:t>20%</w:t>
            </w:r>
          </w:p>
        </w:tc>
        <w:tc>
          <w:tcPr>
            <w:tcW w:w="227" w:type="dxa"/>
            <w:vMerge/>
            <w:shd w:val="clear" w:color="auto" w:fill="auto"/>
            <w:vAlign w:val="center"/>
          </w:tcPr>
          <w:p w:rsidR="00EE1CC3" w:rsidRPr="00505E91" w:rsidRDefault="00EE1CC3" w:rsidP="00735BBD">
            <w:pPr>
              <w:jc w:val="center"/>
              <w:rPr>
                <w:rFonts w:ascii="楷体_GB2312"/>
                <w:szCs w:val="18"/>
              </w:rPr>
            </w:pPr>
          </w:p>
        </w:tc>
        <w:tc>
          <w:tcPr>
            <w:tcW w:w="1190" w:type="dxa"/>
            <w:shd w:val="clear" w:color="auto" w:fill="auto"/>
            <w:vAlign w:val="center"/>
          </w:tcPr>
          <w:p w:rsidR="00EE1CC3" w:rsidRPr="00781B63" w:rsidRDefault="00EE1CC3" w:rsidP="00735BBD">
            <w:pPr>
              <w:jc w:val="center"/>
              <w:rPr>
                <w:rFonts w:ascii="楷体_GB2312" w:hAnsi="楷体"/>
                <w:szCs w:val="18"/>
              </w:rPr>
            </w:pPr>
            <w:r w:rsidRPr="00781B63">
              <w:rPr>
                <w:rFonts w:ascii="楷体_GB2312" w:hAnsi="楷体" w:hint="eastAsia"/>
                <w:szCs w:val="18"/>
              </w:rPr>
              <w:t>招商收益</w:t>
            </w:r>
          </w:p>
        </w:tc>
        <w:tc>
          <w:tcPr>
            <w:tcW w:w="1674" w:type="dxa"/>
            <w:shd w:val="clear" w:color="auto" w:fill="auto"/>
            <w:vAlign w:val="center"/>
          </w:tcPr>
          <w:p w:rsidR="00EE1CC3" w:rsidRPr="00781B63" w:rsidRDefault="00EE1CC3" w:rsidP="00735BBD">
            <w:pPr>
              <w:jc w:val="center"/>
              <w:rPr>
                <w:rFonts w:ascii="楷体_GB2312" w:hAnsi="楷体"/>
                <w:szCs w:val="18"/>
              </w:rPr>
            </w:pPr>
            <w:r w:rsidRPr="00781B63">
              <w:rPr>
                <w:rFonts w:ascii="楷体_GB2312" w:hAnsi="楷体" w:hint="eastAsia"/>
                <w:szCs w:val="18"/>
              </w:rPr>
              <w:t>债券</w:t>
            </w:r>
            <w:r w:rsidRPr="00781B63">
              <w:rPr>
                <w:rFonts w:ascii="楷体_GB2312" w:hAnsi="楷体"/>
                <w:szCs w:val="18"/>
              </w:rPr>
              <w:t>-</w:t>
            </w:r>
            <w:r w:rsidRPr="00781B63">
              <w:rPr>
                <w:rFonts w:ascii="楷体_GB2312" w:hAnsi="楷体" w:hint="eastAsia"/>
                <w:szCs w:val="18"/>
              </w:rPr>
              <w:t>新股申购型</w:t>
            </w:r>
          </w:p>
        </w:tc>
        <w:tc>
          <w:tcPr>
            <w:tcW w:w="708" w:type="dxa"/>
            <w:shd w:val="clear" w:color="auto" w:fill="auto"/>
            <w:vAlign w:val="center"/>
          </w:tcPr>
          <w:p w:rsidR="00EE1CC3" w:rsidRPr="00505E91" w:rsidRDefault="00910601" w:rsidP="00735BBD">
            <w:pPr>
              <w:jc w:val="center"/>
              <w:rPr>
                <w:rFonts w:ascii="楷体_GB2312" w:hAnsi="宋体"/>
                <w:bCs/>
                <w:szCs w:val="18"/>
              </w:rPr>
            </w:pPr>
            <w:r>
              <w:rPr>
                <w:rFonts w:ascii="楷体_GB2312" w:hAnsi="宋体" w:hint="eastAsia"/>
                <w:bCs/>
                <w:szCs w:val="18"/>
              </w:rPr>
              <w:t>20</w:t>
            </w:r>
            <w:r w:rsidR="00EE1CC3" w:rsidRPr="00505E91">
              <w:rPr>
                <w:rFonts w:ascii="楷体_GB2312" w:hAnsi="宋体" w:hint="eastAsia"/>
                <w:bCs/>
                <w:szCs w:val="18"/>
              </w:rPr>
              <w:t>%</w:t>
            </w:r>
          </w:p>
        </w:tc>
      </w:tr>
      <w:tr w:rsidR="00EE1CC3" w:rsidRPr="00A86F8F" w:rsidTr="00735BBD">
        <w:trPr>
          <w:cantSplit/>
          <w:trHeight w:val="340"/>
        </w:trPr>
        <w:tc>
          <w:tcPr>
            <w:tcW w:w="1190" w:type="dxa"/>
            <w:shd w:val="clear" w:color="auto" w:fill="auto"/>
            <w:vAlign w:val="center"/>
          </w:tcPr>
          <w:p w:rsidR="00EE1CC3" w:rsidRPr="00781B63" w:rsidRDefault="00937378" w:rsidP="00735BBD">
            <w:pPr>
              <w:jc w:val="center"/>
              <w:rPr>
                <w:rFonts w:ascii="楷体_GB2312" w:hAnsi="楷体"/>
                <w:szCs w:val="18"/>
              </w:rPr>
            </w:pPr>
            <w:r w:rsidRPr="00937378">
              <w:rPr>
                <w:rFonts w:ascii="楷体_GB2312" w:hAnsi="楷体" w:hint="eastAsia"/>
                <w:szCs w:val="18"/>
              </w:rPr>
              <w:t>广发行业</w:t>
            </w:r>
          </w:p>
        </w:tc>
        <w:tc>
          <w:tcPr>
            <w:tcW w:w="1645" w:type="dxa"/>
            <w:shd w:val="clear" w:color="auto" w:fill="auto"/>
            <w:vAlign w:val="center"/>
          </w:tcPr>
          <w:p w:rsidR="00EE1CC3" w:rsidRPr="00781B63" w:rsidRDefault="00EE1CC3" w:rsidP="00735BBD">
            <w:pPr>
              <w:jc w:val="center"/>
              <w:rPr>
                <w:rFonts w:ascii="楷体_GB2312" w:hAnsi="楷体"/>
                <w:szCs w:val="18"/>
              </w:rPr>
            </w:pPr>
            <w:r w:rsidRPr="00781B63">
              <w:rPr>
                <w:rFonts w:ascii="楷体_GB2312" w:hAnsi="楷体" w:hint="eastAsia"/>
                <w:szCs w:val="18"/>
              </w:rPr>
              <w:t>股票型</w:t>
            </w:r>
          </w:p>
        </w:tc>
        <w:tc>
          <w:tcPr>
            <w:tcW w:w="737" w:type="dxa"/>
            <w:shd w:val="clear" w:color="auto" w:fill="auto"/>
            <w:vAlign w:val="center"/>
          </w:tcPr>
          <w:p w:rsidR="00EE1CC3" w:rsidRPr="00505E91" w:rsidRDefault="00EE1CC3" w:rsidP="00735BBD">
            <w:pPr>
              <w:jc w:val="center"/>
              <w:rPr>
                <w:rFonts w:ascii="楷体_GB2312" w:hAnsi="宋体"/>
                <w:szCs w:val="18"/>
              </w:rPr>
            </w:pPr>
            <w:r w:rsidRPr="00505E91">
              <w:rPr>
                <w:rFonts w:ascii="楷体_GB2312" w:hAnsi="宋体" w:hint="eastAsia"/>
                <w:szCs w:val="18"/>
              </w:rPr>
              <w:t>20%</w:t>
            </w:r>
          </w:p>
        </w:tc>
        <w:tc>
          <w:tcPr>
            <w:tcW w:w="227" w:type="dxa"/>
            <w:vMerge/>
            <w:shd w:val="clear" w:color="auto" w:fill="auto"/>
            <w:vAlign w:val="center"/>
          </w:tcPr>
          <w:p w:rsidR="00EE1CC3" w:rsidRPr="00505E91" w:rsidRDefault="00EE1CC3" w:rsidP="00735BBD">
            <w:pPr>
              <w:jc w:val="center"/>
              <w:rPr>
                <w:rFonts w:ascii="楷体_GB2312"/>
                <w:szCs w:val="18"/>
              </w:rPr>
            </w:pPr>
          </w:p>
        </w:tc>
        <w:tc>
          <w:tcPr>
            <w:tcW w:w="1190" w:type="dxa"/>
            <w:shd w:val="clear" w:color="auto" w:fill="auto"/>
            <w:vAlign w:val="center"/>
          </w:tcPr>
          <w:p w:rsidR="00EE1CC3" w:rsidRPr="00781B63" w:rsidRDefault="00EE1CC3" w:rsidP="00735BBD">
            <w:pPr>
              <w:jc w:val="center"/>
              <w:rPr>
                <w:rFonts w:ascii="楷体_GB2312" w:hAnsi="楷体"/>
                <w:szCs w:val="18"/>
              </w:rPr>
            </w:pPr>
            <w:r w:rsidRPr="00781B63">
              <w:rPr>
                <w:rFonts w:ascii="楷体_GB2312" w:hAnsi="楷体" w:hint="eastAsia"/>
                <w:szCs w:val="18"/>
              </w:rPr>
              <w:t>南方多利</w:t>
            </w:r>
          </w:p>
        </w:tc>
        <w:tc>
          <w:tcPr>
            <w:tcW w:w="1674" w:type="dxa"/>
            <w:shd w:val="clear" w:color="auto" w:fill="auto"/>
            <w:vAlign w:val="center"/>
          </w:tcPr>
          <w:p w:rsidR="00EE1CC3" w:rsidRPr="00781B63" w:rsidRDefault="00EE1CC3" w:rsidP="00735BBD">
            <w:pPr>
              <w:jc w:val="center"/>
              <w:rPr>
                <w:rFonts w:ascii="楷体_GB2312" w:hAnsi="楷体"/>
                <w:szCs w:val="18"/>
              </w:rPr>
            </w:pPr>
            <w:r w:rsidRPr="00781B63">
              <w:rPr>
                <w:rFonts w:ascii="楷体_GB2312" w:hAnsi="楷体" w:hint="eastAsia"/>
                <w:szCs w:val="18"/>
              </w:rPr>
              <w:t>债券</w:t>
            </w:r>
            <w:r w:rsidRPr="00781B63">
              <w:rPr>
                <w:rFonts w:ascii="楷体_GB2312" w:hAnsi="楷体"/>
                <w:szCs w:val="18"/>
              </w:rPr>
              <w:t>-</w:t>
            </w:r>
            <w:r w:rsidRPr="00781B63">
              <w:rPr>
                <w:rFonts w:ascii="楷体_GB2312" w:hAnsi="楷体" w:hint="eastAsia"/>
                <w:szCs w:val="18"/>
              </w:rPr>
              <w:t>新股申购型</w:t>
            </w:r>
          </w:p>
        </w:tc>
        <w:tc>
          <w:tcPr>
            <w:tcW w:w="708" w:type="dxa"/>
            <w:shd w:val="clear" w:color="auto" w:fill="auto"/>
            <w:vAlign w:val="center"/>
          </w:tcPr>
          <w:p w:rsidR="00EE1CC3" w:rsidRPr="00505E91" w:rsidRDefault="00910601" w:rsidP="00735BBD">
            <w:pPr>
              <w:jc w:val="center"/>
              <w:rPr>
                <w:rFonts w:ascii="楷体_GB2312" w:hAnsi="宋体"/>
                <w:bCs/>
                <w:szCs w:val="18"/>
              </w:rPr>
            </w:pPr>
            <w:r>
              <w:rPr>
                <w:rFonts w:ascii="楷体_GB2312" w:hAnsi="宋体" w:hint="eastAsia"/>
                <w:bCs/>
                <w:szCs w:val="18"/>
              </w:rPr>
              <w:t>20</w:t>
            </w:r>
            <w:r w:rsidR="00EE1CC3" w:rsidRPr="00505E91">
              <w:rPr>
                <w:rFonts w:ascii="楷体_GB2312" w:hAnsi="宋体" w:hint="eastAsia"/>
                <w:bCs/>
                <w:szCs w:val="18"/>
              </w:rPr>
              <w:t>%</w:t>
            </w:r>
          </w:p>
        </w:tc>
      </w:tr>
    </w:tbl>
    <w:p w:rsidR="00EE1CC3" w:rsidRPr="00A86F8F" w:rsidRDefault="00EE1CC3" w:rsidP="00EE1CC3">
      <w:pPr>
        <w:pStyle w:val="FootnoteNoline"/>
        <w:spacing w:before="0" w:after="0"/>
        <w:rPr>
          <w:color w:val="auto"/>
          <w:sz w:val="10"/>
          <w:szCs w:val="10"/>
        </w:rPr>
      </w:pPr>
    </w:p>
    <w:tbl>
      <w:tblPr>
        <w:tblW w:w="7371" w:type="dxa"/>
        <w:tblInd w:w="3402" w:type="dxa"/>
        <w:tblBorders>
          <w:top w:val="single" w:sz="4" w:space="0" w:color="00B0F0"/>
          <w:bottom w:val="single" w:sz="4" w:space="0" w:color="00B0F0"/>
          <w:insideH w:val="single" w:sz="4" w:space="0" w:color="00B0F0"/>
        </w:tblBorders>
        <w:tblLayout w:type="fixed"/>
        <w:tblCellMar>
          <w:left w:w="0" w:type="dxa"/>
          <w:right w:w="0" w:type="dxa"/>
        </w:tblCellMar>
        <w:tblLook w:val="0000" w:firstRow="0" w:lastRow="0" w:firstColumn="0" w:lastColumn="0" w:noHBand="0" w:noVBand="0"/>
      </w:tblPr>
      <w:tblGrid>
        <w:gridCol w:w="1276"/>
        <w:gridCol w:w="1559"/>
        <w:gridCol w:w="737"/>
        <w:gridCol w:w="227"/>
        <w:gridCol w:w="1190"/>
        <w:gridCol w:w="1674"/>
        <w:gridCol w:w="708"/>
      </w:tblGrid>
      <w:tr w:rsidR="00EE1CC3" w:rsidRPr="00A86F8F" w:rsidTr="00735BBD">
        <w:trPr>
          <w:cantSplit/>
          <w:trHeight w:val="200"/>
        </w:trPr>
        <w:tc>
          <w:tcPr>
            <w:tcW w:w="3572" w:type="dxa"/>
            <w:gridSpan w:val="3"/>
            <w:shd w:val="clear" w:color="auto" w:fill="auto"/>
          </w:tcPr>
          <w:p w:rsidR="00EE1CC3" w:rsidRPr="00A86F8F" w:rsidRDefault="00EE1CC3" w:rsidP="00735BBD">
            <w:pPr>
              <w:pStyle w:val="SubTitleLargeTable"/>
              <w:rPr>
                <w:color w:val="auto"/>
                <w:lang w:val="en-US"/>
              </w:rPr>
            </w:pPr>
            <w:r w:rsidRPr="00A86F8F">
              <w:rPr>
                <w:rFonts w:hint="eastAsia"/>
                <w:color w:val="auto"/>
                <w:lang w:val="en-US"/>
              </w:rPr>
              <w:t>灵活配置组合</w:t>
            </w:r>
          </w:p>
        </w:tc>
        <w:tc>
          <w:tcPr>
            <w:tcW w:w="227" w:type="dxa"/>
            <w:shd w:val="clear" w:color="auto" w:fill="auto"/>
          </w:tcPr>
          <w:p w:rsidR="00EE1CC3" w:rsidRPr="00816267" w:rsidRDefault="00EE1CC3" w:rsidP="00735BBD">
            <w:pPr>
              <w:pStyle w:val="a0"/>
              <w:spacing w:after="0" w:line="10" w:lineRule="atLeast"/>
              <w:ind w:left="0"/>
              <w:jc w:val="center"/>
              <w:rPr>
                <w:rFonts w:cs="Arial"/>
                <w:color w:val="auto"/>
              </w:rPr>
            </w:pPr>
          </w:p>
        </w:tc>
        <w:tc>
          <w:tcPr>
            <w:tcW w:w="3572" w:type="dxa"/>
            <w:gridSpan w:val="3"/>
            <w:shd w:val="clear" w:color="auto" w:fill="auto"/>
          </w:tcPr>
          <w:p w:rsidR="00EE1CC3" w:rsidRPr="00A86F8F" w:rsidRDefault="00EE1CC3" w:rsidP="00735BBD">
            <w:pPr>
              <w:pStyle w:val="SubTitleLargeTable"/>
              <w:rPr>
                <w:color w:val="auto"/>
                <w:lang w:val="en-US"/>
              </w:rPr>
            </w:pPr>
          </w:p>
        </w:tc>
      </w:tr>
      <w:tr w:rsidR="00EE1CC3" w:rsidRPr="00A86F8F" w:rsidTr="00116EEB">
        <w:trPr>
          <w:cantSplit/>
          <w:trHeight w:val="340"/>
        </w:trPr>
        <w:tc>
          <w:tcPr>
            <w:tcW w:w="1276" w:type="dxa"/>
            <w:tcBorders>
              <w:bottom w:val="single" w:sz="4" w:space="0" w:color="00B0F0"/>
            </w:tcBorders>
            <w:shd w:val="clear" w:color="auto" w:fill="auto"/>
            <w:vAlign w:val="center"/>
          </w:tcPr>
          <w:p w:rsidR="00EE1CC3" w:rsidRPr="00113ECA" w:rsidRDefault="00EE1CC3" w:rsidP="00735BBD">
            <w:pPr>
              <w:jc w:val="center"/>
              <w:rPr>
                <w:rFonts w:ascii="楷体_GB2312"/>
                <w:b/>
              </w:rPr>
            </w:pPr>
            <w:r w:rsidRPr="00113ECA">
              <w:rPr>
                <w:rFonts w:ascii="楷体_GB2312" w:hint="eastAsia"/>
                <w:b/>
              </w:rPr>
              <w:t>基金名称</w:t>
            </w:r>
          </w:p>
        </w:tc>
        <w:tc>
          <w:tcPr>
            <w:tcW w:w="1559" w:type="dxa"/>
            <w:tcBorders>
              <w:bottom w:val="single" w:sz="4" w:space="0" w:color="00B0F0"/>
            </w:tcBorders>
            <w:shd w:val="clear" w:color="auto" w:fill="auto"/>
            <w:vAlign w:val="center"/>
          </w:tcPr>
          <w:p w:rsidR="00EE1CC3" w:rsidRPr="00113ECA" w:rsidRDefault="00EE1CC3" w:rsidP="00735BBD">
            <w:pPr>
              <w:jc w:val="center"/>
              <w:rPr>
                <w:rFonts w:ascii="楷体_GB2312"/>
                <w:b/>
              </w:rPr>
            </w:pPr>
            <w:r w:rsidRPr="00113ECA">
              <w:rPr>
                <w:rFonts w:ascii="楷体_GB2312" w:hint="eastAsia"/>
                <w:b/>
              </w:rPr>
              <w:t>基金类型</w:t>
            </w:r>
          </w:p>
        </w:tc>
        <w:tc>
          <w:tcPr>
            <w:tcW w:w="737" w:type="dxa"/>
            <w:tcBorders>
              <w:bottom w:val="single" w:sz="4" w:space="0" w:color="00B0F0"/>
            </w:tcBorders>
            <w:shd w:val="clear" w:color="auto" w:fill="auto"/>
            <w:vAlign w:val="center"/>
          </w:tcPr>
          <w:p w:rsidR="00EE1CC3" w:rsidRPr="00113ECA" w:rsidRDefault="00EE1CC3" w:rsidP="00735BBD">
            <w:pPr>
              <w:jc w:val="center"/>
              <w:rPr>
                <w:rFonts w:ascii="楷体_GB2312"/>
                <w:b/>
              </w:rPr>
            </w:pPr>
            <w:r w:rsidRPr="00113ECA">
              <w:rPr>
                <w:rFonts w:ascii="楷体_GB2312" w:hint="eastAsia"/>
                <w:b/>
              </w:rPr>
              <w:t>权重</w:t>
            </w:r>
          </w:p>
        </w:tc>
        <w:tc>
          <w:tcPr>
            <w:tcW w:w="227" w:type="dxa"/>
            <w:vMerge w:val="restart"/>
            <w:tcBorders>
              <w:bottom w:val="single" w:sz="4" w:space="0" w:color="00B0F0"/>
            </w:tcBorders>
            <w:shd w:val="clear" w:color="auto" w:fill="auto"/>
            <w:vAlign w:val="center"/>
          </w:tcPr>
          <w:p w:rsidR="00EE1CC3" w:rsidRPr="00113ECA" w:rsidRDefault="00EE1CC3" w:rsidP="00735BBD">
            <w:pPr>
              <w:jc w:val="center"/>
              <w:rPr>
                <w:rFonts w:ascii="楷体_GB2312"/>
              </w:rPr>
            </w:pPr>
          </w:p>
        </w:tc>
        <w:tc>
          <w:tcPr>
            <w:tcW w:w="1190" w:type="dxa"/>
            <w:tcBorders>
              <w:bottom w:val="single" w:sz="4" w:space="0" w:color="00B0F0"/>
            </w:tcBorders>
            <w:shd w:val="clear" w:color="auto" w:fill="auto"/>
            <w:vAlign w:val="center"/>
          </w:tcPr>
          <w:p w:rsidR="00EE1CC3" w:rsidRPr="00113ECA" w:rsidRDefault="00EE1CC3" w:rsidP="00735BBD">
            <w:pPr>
              <w:jc w:val="center"/>
              <w:rPr>
                <w:rFonts w:ascii="楷体_GB2312"/>
                <w:b/>
              </w:rPr>
            </w:pPr>
          </w:p>
        </w:tc>
        <w:tc>
          <w:tcPr>
            <w:tcW w:w="1674" w:type="dxa"/>
            <w:tcBorders>
              <w:bottom w:val="single" w:sz="4" w:space="0" w:color="00B0F0"/>
            </w:tcBorders>
            <w:shd w:val="clear" w:color="auto" w:fill="auto"/>
            <w:vAlign w:val="center"/>
          </w:tcPr>
          <w:p w:rsidR="00EE1CC3" w:rsidRPr="00113ECA" w:rsidRDefault="00EE1CC3" w:rsidP="00735BBD">
            <w:pPr>
              <w:jc w:val="center"/>
              <w:rPr>
                <w:rFonts w:ascii="楷体_GB2312"/>
                <w:b/>
              </w:rPr>
            </w:pPr>
          </w:p>
        </w:tc>
        <w:tc>
          <w:tcPr>
            <w:tcW w:w="708" w:type="dxa"/>
            <w:tcBorders>
              <w:bottom w:val="single" w:sz="4" w:space="0" w:color="00B0F0"/>
            </w:tcBorders>
            <w:shd w:val="clear" w:color="auto" w:fill="auto"/>
            <w:vAlign w:val="center"/>
          </w:tcPr>
          <w:p w:rsidR="00EE1CC3" w:rsidRPr="00113ECA" w:rsidRDefault="00EE1CC3" w:rsidP="00735BBD">
            <w:pPr>
              <w:jc w:val="center"/>
              <w:rPr>
                <w:rFonts w:ascii="楷体_GB2312"/>
                <w:b/>
              </w:rPr>
            </w:pPr>
          </w:p>
        </w:tc>
      </w:tr>
      <w:tr w:rsidR="00EE1CC3" w:rsidRPr="00734C71" w:rsidTr="00116EEB">
        <w:trPr>
          <w:cantSplit/>
          <w:trHeight w:val="340"/>
        </w:trPr>
        <w:tc>
          <w:tcPr>
            <w:tcW w:w="1276" w:type="dxa"/>
            <w:shd w:val="clear" w:color="auto" w:fill="auto"/>
            <w:vAlign w:val="center"/>
          </w:tcPr>
          <w:p w:rsidR="00EE1CC3" w:rsidRPr="00781B63" w:rsidRDefault="00EE1CC3" w:rsidP="00735BBD">
            <w:pPr>
              <w:jc w:val="center"/>
              <w:rPr>
                <w:rFonts w:ascii="楷体_GB2312" w:hAnsi="楷体"/>
                <w:szCs w:val="18"/>
              </w:rPr>
            </w:pPr>
            <w:proofErr w:type="gramStart"/>
            <w:r>
              <w:rPr>
                <w:rFonts w:ascii="楷体_GB2312" w:hAnsi="楷体" w:hint="eastAsia"/>
                <w:szCs w:val="18"/>
              </w:rPr>
              <w:t>添富</w:t>
            </w:r>
            <w:r w:rsidR="00910601">
              <w:rPr>
                <w:rFonts w:ascii="楷体_GB2312" w:hAnsi="楷体" w:hint="eastAsia"/>
                <w:szCs w:val="18"/>
              </w:rPr>
              <w:t>价值</w:t>
            </w:r>
            <w:proofErr w:type="gramEnd"/>
          </w:p>
        </w:tc>
        <w:tc>
          <w:tcPr>
            <w:tcW w:w="1559" w:type="dxa"/>
            <w:shd w:val="clear" w:color="auto" w:fill="auto"/>
            <w:vAlign w:val="center"/>
          </w:tcPr>
          <w:p w:rsidR="00EE1CC3" w:rsidRPr="00781B63" w:rsidRDefault="00EE1CC3" w:rsidP="00735BBD">
            <w:pPr>
              <w:jc w:val="center"/>
              <w:rPr>
                <w:rFonts w:ascii="楷体_GB2312" w:hAnsi="楷体"/>
                <w:szCs w:val="18"/>
              </w:rPr>
            </w:pPr>
            <w:r>
              <w:rPr>
                <w:rFonts w:ascii="楷体_GB2312" w:hAnsi="楷体" w:hint="eastAsia"/>
                <w:szCs w:val="18"/>
              </w:rPr>
              <w:t>股票型</w:t>
            </w:r>
          </w:p>
        </w:tc>
        <w:tc>
          <w:tcPr>
            <w:tcW w:w="737" w:type="dxa"/>
            <w:shd w:val="clear" w:color="auto" w:fill="auto"/>
            <w:vAlign w:val="center"/>
          </w:tcPr>
          <w:p w:rsidR="00EE1CC3" w:rsidRPr="005C22FD" w:rsidRDefault="001748BC" w:rsidP="00735BBD">
            <w:pPr>
              <w:jc w:val="center"/>
              <w:rPr>
                <w:rFonts w:ascii="楷体_GB2312" w:hAnsi="宋体"/>
                <w:szCs w:val="18"/>
              </w:rPr>
            </w:pPr>
            <w:r>
              <w:rPr>
                <w:rFonts w:ascii="楷体_GB2312" w:hAnsi="宋体" w:hint="eastAsia"/>
                <w:szCs w:val="18"/>
              </w:rPr>
              <w:t>25</w:t>
            </w:r>
            <w:r w:rsidR="00EE1CC3" w:rsidRPr="005C22FD">
              <w:rPr>
                <w:rFonts w:ascii="楷体_GB2312" w:hAnsi="宋体" w:hint="eastAsia"/>
                <w:szCs w:val="18"/>
              </w:rPr>
              <w:t>%</w:t>
            </w:r>
          </w:p>
        </w:tc>
        <w:tc>
          <w:tcPr>
            <w:tcW w:w="227" w:type="dxa"/>
            <w:vMerge/>
            <w:shd w:val="clear" w:color="auto" w:fill="auto"/>
            <w:vAlign w:val="center"/>
          </w:tcPr>
          <w:p w:rsidR="00EE1CC3" w:rsidRPr="005C22FD" w:rsidRDefault="00EE1CC3" w:rsidP="00735BBD">
            <w:pPr>
              <w:jc w:val="center"/>
              <w:rPr>
                <w:rFonts w:ascii="楷体_GB2312" w:hAnsi="宋体"/>
                <w:szCs w:val="18"/>
              </w:rPr>
            </w:pPr>
          </w:p>
        </w:tc>
        <w:tc>
          <w:tcPr>
            <w:tcW w:w="1190" w:type="dxa"/>
            <w:shd w:val="clear" w:color="auto" w:fill="auto"/>
            <w:vAlign w:val="center"/>
          </w:tcPr>
          <w:p w:rsidR="00EE1CC3" w:rsidRPr="005C22FD" w:rsidRDefault="00EE1CC3" w:rsidP="00735BBD">
            <w:pPr>
              <w:jc w:val="center"/>
              <w:rPr>
                <w:rFonts w:ascii="楷体_GB2312" w:hAnsi="宋体"/>
                <w:szCs w:val="18"/>
              </w:rPr>
            </w:pPr>
          </w:p>
        </w:tc>
        <w:tc>
          <w:tcPr>
            <w:tcW w:w="1674" w:type="dxa"/>
            <w:shd w:val="clear" w:color="auto" w:fill="auto"/>
            <w:vAlign w:val="center"/>
          </w:tcPr>
          <w:p w:rsidR="00EE1CC3" w:rsidRPr="005C22FD" w:rsidRDefault="00EE1CC3" w:rsidP="00735BBD">
            <w:pPr>
              <w:jc w:val="center"/>
              <w:rPr>
                <w:rFonts w:ascii="楷体_GB2312" w:hAnsi="宋体"/>
                <w:szCs w:val="18"/>
              </w:rPr>
            </w:pPr>
          </w:p>
        </w:tc>
        <w:tc>
          <w:tcPr>
            <w:tcW w:w="708" w:type="dxa"/>
            <w:shd w:val="clear" w:color="auto" w:fill="auto"/>
            <w:vAlign w:val="center"/>
          </w:tcPr>
          <w:p w:rsidR="00EE1CC3" w:rsidRPr="005C22FD" w:rsidRDefault="00EE1CC3" w:rsidP="00735BBD">
            <w:pPr>
              <w:jc w:val="center"/>
              <w:rPr>
                <w:rFonts w:ascii="楷体_GB2312" w:hAnsi="宋体"/>
                <w:szCs w:val="18"/>
              </w:rPr>
            </w:pPr>
          </w:p>
        </w:tc>
      </w:tr>
      <w:tr w:rsidR="009722C9" w:rsidRPr="009722C9" w:rsidTr="00116EEB">
        <w:trPr>
          <w:cantSplit/>
          <w:trHeight w:val="340"/>
        </w:trPr>
        <w:tc>
          <w:tcPr>
            <w:tcW w:w="1276" w:type="dxa"/>
            <w:shd w:val="clear" w:color="auto" w:fill="auto"/>
            <w:vAlign w:val="center"/>
          </w:tcPr>
          <w:p w:rsidR="009722C9" w:rsidRPr="009722C9" w:rsidRDefault="00116EEB" w:rsidP="009722C9">
            <w:pPr>
              <w:jc w:val="center"/>
              <w:rPr>
                <w:rFonts w:ascii="楷体_GB2312" w:hAnsi="楷体"/>
                <w:szCs w:val="18"/>
              </w:rPr>
            </w:pPr>
            <w:proofErr w:type="gramStart"/>
            <w:r w:rsidRPr="00116EEB">
              <w:rPr>
                <w:rFonts w:ascii="楷体_GB2312" w:hAnsi="楷体" w:hint="eastAsia"/>
                <w:szCs w:val="18"/>
              </w:rPr>
              <w:t>工银双利</w:t>
            </w:r>
            <w:proofErr w:type="gramEnd"/>
          </w:p>
        </w:tc>
        <w:tc>
          <w:tcPr>
            <w:tcW w:w="1559" w:type="dxa"/>
            <w:shd w:val="clear" w:color="auto" w:fill="auto"/>
            <w:vAlign w:val="center"/>
          </w:tcPr>
          <w:p w:rsidR="009722C9" w:rsidRPr="009722C9" w:rsidRDefault="00116EEB" w:rsidP="009722C9">
            <w:pPr>
              <w:jc w:val="center"/>
              <w:rPr>
                <w:rFonts w:ascii="楷体_GB2312" w:hAnsi="楷体"/>
                <w:szCs w:val="18"/>
              </w:rPr>
            </w:pPr>
            <w:r w:rsidRPr="00781B63">
              <w:rPr>
                <w:rFonts w:ascii="楷体_GB2312" w:hAnsi="楷体" w:hint="eastAsia"/>
                <w:szCs w:val="18"/>
              </w:rPr>
              <w:t>债券-普通债券型</w:t>
            </w:r>
          </w:p>
        </w:tc>
        <w:tc>
          <w:tcPr>
            <w:tcW w:w="737" w:type="dxa"/>
            <w:shd w:val="clear" w:color="auto" w:fill="auto"/>
            <w:vAlign w:val="center"/>
          </w:tcPr>
          <w:p w:rsidR="009722C9" w:rsidRPr="009722C9" w:rsidRDefault="009722C9" w:rsidP="009722C9">
            <w:pPr>
              <w:jc w:val="center"/>
              <w:rPr>
                <w:rFonts w:ascii="楷体_GB2312" w:hAnsi="楷体"/>
                <w:szCs w:val="18"/>
              </w:rPr>
            </w:pPr>
            <w:r w:rsidRPr="009722C9">
              <w:rPr>
                <w:rFonts w:ascii="楷体_GB2312" w:hAnsi="楷体" w:hint="eastAsia"/>
                <w:szCs w:val="18"/>
              </w:rPr>
              <w:t>25%</w:t>
            </w:r>
          </w:p>
        </w:tc>
        <w:tc>
          <w:tcPr>
            <w:tcW w:w="227" w:type="dxa"/>
            <w:vMerge/>
            <w:shd w:val="clear" w:color="auto" w:fill="auto"/>
            <w:vAlign w:val="center"/>
          </w:tcPr>
          <w:p w:rsidR="009722C9" w:rsidRPr="009722C9" w:rsidRDefault="009722C9" w:rsidP="009722C9">
            <w:pPr>
              <w:jc w:val="center"/>
              <w:rPr>
                <w:rFonts w:ascii="楷体_GB2312" w:hAnsi="楷体"/>
                <w:szCs w:val="18"/>
              </w:rPr>
            </w:pPr>
          </w:p>
        </w:tc>
        <w:tc>
          <w:tcPr>
            <w:tcW w:w="1190" w:type="dxa"/>
            <w:shd w:val="clear" w:color="auto" w:fill="auto"/>
            <w:vAlign w:val="center"/>
          </w:tcPr>
          <w:p w:rsidR="009722C9" w:rsidRPr="009722C9" w:rsidRDefault="009722C9" w:rsidP="009722C9">
            <w:pPr>
              <w:jc w:val="center"/>
              <w:rPr>
                <w:rFonts w:ascii="楷体_GB2312" w:hAnsi="楷体"/>
                <w:szCs w:val="18"/>
              </w:rPr>
            </w:pPr>
          </w:p>
        </w:tc>
        <w:tc>
          <w:tcPr>
            <w:tcW w:w="1674" w:type="dxa"/>
            <w:shd w:val="clear" w:color="auto" w:fill="auto"/>
            <w:vAlign w:val="center"/>
          </w:tcPr>
          <w:p w:rsidR="009722C9" w:rsidRPr="009722C9" w:rsidRDefault="009722C9" w:rsidP="009722C9">
            <w:pPr>
              <w:jc w:val="center"/>
              <w:rPr>
                <w:rFonts w:ascii="楷体_GB2312" w:hAnsi="楷体"/>
                <w:szCs w:val="18"/>
              </w:rPr>
            </w:pPr>
          </w:p>
        </w:tc>
        <w:tc>
          <w:tcPr>
            <w:tcW w:w="708" w:type="dxa"/>
            <w:shd w:val="clear" w:color="auto" w:fill="auto"/>
            <w:vAlign w:val="center"/>
          </w:tcPr>
          <w:p w:rsidR="009722C9" w:rsidRPr="009722C9" w:rsidRDefault="009722C9" w:rsidP="009722C9">
            <w:pPr>
              <w:jc w:val="center"/>
              <w:rPr>
                <w:rFonts w:ascii="楷体_GB2312" w:hAnsi="楷体"/>
                <w:szCs w:val="18"/>
              </w:rPr>
            </w:pPr>
          </w:p>
        </w:tc>
      </w:tr>
      <w:tr w:rsidR="00EE1CC3" w:rsidRPr="009722C9" w:rsidTr="00116EEB">
        <w:trPr>
          <w:cantSplit/>
          <w:trHeight w:val="340"/>
        </w:trPr>
        <w:tc>
          <w:tcPr>
            <w:tcW w:w="1276" w:type="dxa"/>
            <w:shd w:val="clear" w:color="auto" w:fill="auto"/>
            <w:vAlign w:val="center"/>
          </w:tcPr>
          <w:p w:rsidR="00EE1CC3" w:rsidRPr="00781B63" w:rsidRDefault="00EE1CC3" w:rsidP="00735BBD">
            <w:pPr>
              <w:jc w:val="center"/>
              <w:rPr>
                <w:rFonts w:ascii="楷体_GB2312" w:hAnsi="楷体"/>
                <w:szCs w:val="18"/>
              </w:rPr>
            </w:pPr>
            <w:proofErr w:type="gramStart"/>
            <w:r w:rsidRPr="00781B63">
              <w:rPr>
                <w:rFonts w:ascii="楷体_GB2312" w:hAnsi="楷体" w:hint="eastAsia"/>
                <w:szCs w:val="18"/>
              </w:rPr>
              <w:t>建信双息</w:t>
            </w:r>
            <w:proofErr w:type="gramEnd"/>
            <w:r w:rsidRPr="00781B63">
              <w:rPr>
                <w:rFonts w:ascii="楷体_GB2312" w:hAnsi="楷体" w:hint="eastAsia"/>
                <w:szCs w:val="18"/>
              </w:rPr>
              <w:t>红利</w:t>
            </w:r>
          </w:p>
        </w:tc>
        <w:tc>
          <w:tcPr>
            <w:tcW w:w="1559" w:type="dxa"/>
            <w:shd w:val="clear" w:color="auto" w:fill="auto"/>
            <w:vAlign w:val="center"/>
          </w:tcPr>
          <w:p w:rsidR="00EE1CC3" w:rsidRPr="00781B63" w:rsidRDefault="00EE1CC3" w:rsidP="00735BBD">
            <w:pPr>
              <w:jc w:val="center"/>
              <w:rPr>
                <w:rFonts w:ascii="楷体_GB2312" w:hAnsi="楷体"/>
                <w:szCs w:val="18"/>
              </w:rPr>
            </w:pPr>
            <w:r w:rsidRPr="00781B63">
              <w:rPr>
                <w:rFonts w:ascii="楷体_GB2312" w:hAnsi="楷体" w:hint="eastAsia"/>
                <w:szCs w:val="18"/>
              </w:rPr>
              <w:t>债券-普通债券型</w:t>
            </w:r>
          </w:p>
        </w:tc>
        <w:tc>
          <w:tcPr>
            <w:tcW w:w="737" w:type="dxa"/>
            <w:shd w:val="clear" w:color="auto" w:fill="auto"/>
            <w:vAlign w:val="center"/>
          </w:tcPr>
          <w:p w:rsidR="00EE1CC3" w:rsidRPr="009722C9" w:rsidRDefault="001748BC" w:rsidP="00735BBD">
            <w:pPr>
              <w:jc w:val="center"/>
              <w:rPr>
                <w:rFonts w:ascii="楷体_GB2312" w:hAnsi="楷体"/>
                <w:szCs w:val="18"/>
              </w:rPr>
            </w:pPr>
            <w:r w:rsidRPr="009722C9">
              <w:rPr>
                <w:rFonts w:ascii="楷体_GB2312" w:hAnsi="楷体" w:hint="eastAsia"/>
                <w:szCs w:val="18"/>
              </w:rPr>
              <w:t>25</w:t>
            </w:r>
            <w:r w:rsidR="00EE1CC3" w:rsidRPr="009722C9">
              <w:rPr>
                <w:rFonts w:ascii="楷体_GB2312" w:hAnsi="楷体" w:hint="eastAsia"/>
                <w:szCs w:val="18"/>
              </w:rPr>
              <w:t>%</w:t>
            </w:r>
          </w:p>
        </w:tc>
        <w:tc>
          <w:tcPr>
            <w:tcW w:w="227" w:type="dxa"/>
            <w:vMerge/>
            <w:shd w:val="clear" w:color="auto" w:fill="auto"/>
            <w:vAlign w:val="center"/>
          </w:tcPr>
          <w:p w:rsidR="00EE1CC3" w:rsidRPr="009722C9" w:rsidRDefault="00EE1CC3" w:rsidP="00735BBD">
            <w:pPr>
              <w:jc w:val="center"/>
              <w:rPr>
                <w:rFonts w:ascii="楷体_GB2312" w:hAnsi="楷体"/>
                <w:szCs w:val="18"/>
              </w:rPr>
            </w:pPr>
          </w:p>
        </w:tc>
        <w:tc>
          <w:tcPr>
            <w:tcW w:w="1190" w:type="dxa"/>
            <w:shd w:val="clear" w:color="auto" w:fill="auto"/>
            <w:vAlign w:val="center"/>
          </w:tcPr>
          <w:p w:rsidR="00EE1CC3" w:rsidRPr="009722C9" w:rsidRDefault="00EE1CC3" w:rsidP="00735BBD">
            <w:pPr>
              <w:jc w:val="center"/>
              <w:rPr>
                <w:rFonts w:ascii="楷体_GB2312" w:hAnsi="楷体"/>
                <w:szCs w:val="18"/>
              </w:rPr>
            </w:pPr>
          </w:p>
        </w:tc>
        <w:tc>
          <w:tcPr>
            <w:tcW w:w="1674" w:type="dxa"/>
            <w:shd w:val="clear" w:color="auto" w:fill="auto"/>
            <w:vAlign w:val="center"/>
          </w:tcPr>
          <w:p w:rsidR="00EE1CC3" w:rsidRPr="009722C9" w:rsidRDefault="00EE1CC3" w:rsidP="00735BBD">
            <w:pPr>
              <w:jc w:val="center"/>
              <w:rPr>
                <w:rFonts w:ascii="楷体_GB2312" w:hAnsi="楷体"/>
                <w:szCs w:val="18"/>
              </w:rPr>
            </w:pPr>
          </w:p>
        </w:tc>
        <w:tc>
          <w:tcPr>
            <w:tcW w:w="708" w:type="dxa"/>
            <w:shd w:val="clear" w:color="auto" w:fill="auto"/>
            <w:vAlign w:val="center"/>
          </w:tcPr>
          <w:p w:rsidR="00EE1CC3" w:rsidRPr="009722C9" w:rsidRDefault="00EE1CC3" w:rsidP="00735BBD">
            <w:pPr>
              <w:jc w:val="center"/>
              <w:rPr>
                <w:rFonts w:ascii="楷体_GB2312" w:hAnsi="楷体"/>
                <w:szCs w:val="18"/>
              </w:rPr>
            </w:pPr>
          </w:p>
        </w:tc>
      </w:tr>
      <w:tr w:rsidR="00EE1CC3" w:rsidRPr="00734C71" w:rsidTr="00116EEB">
        <w:trPr>
          <w:cantSplit/>
          <w:trHeight w:val="340"/>
        </w:trPr>
        <w:tc>
          <w:tcPr>
            <w:tcW w:w="1276" w:type="dxa"/>
            <w:shd w:val="clear" w:color="auto" w:fill="auto"/>
            <w:vAlign w:val="center"/>
          </w:tcPr>
          <w:p w:rsidR="00EE1CC3" w:rsidRPr="00781B63" w:rsidRDefault="00116EEB" w:rsidP="00735BBD">
            <w:pPr>
              <w:jc w:val="center"/>
              <w:rPr>
                <w:rFonts w:ascii="楷体_GB2312" w:hAnsi="楷体"/>
                <w:szCs w:val="18"/>
              </w:rPr>
            </w:pPr>
            <w:proofErr w:type="gramStart"/>
            <w:r w:rsidRPr="00116EEB">
              <w:rPr>
                <w:rFonts w:ascii="楷体_GB2312" w:hAnsi="楷体" w:hint="eastAsia"/>
                <w:szCs w:val="18"/>
              </w:rPr>
              <w:t>大摩多因子</w:t>
            </w:r>
            <w:proofErr w:type="gramEnd"/>
            <w:r w:rsidRPr="00116EEB">
              <w:rPr>
                <w:rFonts w:ascii="楷体_GB2312" w:hAnsi="楷体" w:hint="eastAsia"/>
                <w:szCs w:val="18"/>
              </w:rPr>
              <w:t>策略</w:t>
            </w:r>
          </w:p>
        </w:tc>
        <w:tc>
          <w:tcPr>
            <w:tcW w:w="1559" w:type="dxa"/>
            <w:shd w:val="clear" w:color="auto" w:fill="auto"/>
            <w:vAlign w:val="center"/>
          </w:tcPr>
          <w:p w:rsidR="00EE1CC3" w:rsidRPr="00781B63" w:rsidRDefault="00EE1CC3" w:rsidP="00735BBD">
            <w:pPr>
              <w:jc w:val="center"/>
              <w:rPr>
                <w:rFonts w:ascii="楷体_GB2312" w:hAnsi="楷体"/>
                <w:szCs w:val="18"/>
              </w:rPr>
            </w:pPr>
            <w:r>
              <w:rPr>
                <w:rFonts w:ascii="楷体_GB2312" w:hAnsi="楷体" w:hint="eastAsia"/>
                <w:szCs w:val="18"/>
              </w:rPr>
              <w:t>股票型</w:t>
            </w:r>
          </w:p>
        </w:tc>
        <w:tc>
          <w:tcPr>
            <w:tcW w:w="737" w:type="dxa"/>
            <w:shd w:val="clear" w:color="auto" w:fill="auto"/>
            <w:vAlign w:val="center"/>
          </w:tcPr>
          <w:p w:rsidR="00EE1CC3" w:rsidRDefault="001748BC" w:rsidP="00735BBD">
            <w:pPr>
              <w:jc w:val="center"/>
            </w:pPr>
            <w:r>
              <w:rPr>
                <w:rFonts w:ascii="楷体_GB2312" w:hAnsi="宋体" w:hint="eastAsia"/>
                <w:bCs/>
                <w:szCs w:val="18"/>
              </w:rPr>
              <w:t>25</w:t>
            </w:r>
            <w:r w:rsidR="00EE1CC3" w:rsidRPr="0021406B">
              <w:rPr>
                <w:rFonts w:ascii="楷体_GB2312" w:hAnsi="宋体" w:hint="eastAsia"/>
                <w:bCs/>
                <w:szCs w:val="18"/>
              </w:rPr>
              <w:t>%</w:t>
            </w:r>
          </w:p>
        </w:tc>
        <w:tc>
          <w:tcPr>
            <w:tcW w:w="227" w:type="dxa"/>
            <w:vMerge/>
            <w:shd w:val="clear" w:color="auto" w:fill="auto"/>
            <w:vAlign w:val="center"/>
          </w:tcPr>
          <w:p w:rsidR="00EE1CC3" w:rsidRPr="00734C71" w:rsidRDefault="00EE1CC3" w:rsidP="00735BBD">
            <w:pPr>
              <w:jc w:val="center"/>
              <w:rPr>
                <w:rFonts w:ascii="楷体_GB2312" w:hAnsi="宋体"/>
                <w:bCs/>
                <w:szCs w:val="18"/>
              </w:rPr>
            </w:pPr>
          </w:p>
        </w:tc>
        <w:tc>
          <w:tcPr>
            <w:tcW w:w="1190" w:type="dxa"/>
            <w:shd w:val="clear" w:color="auto" w:fill="auto"/>
            <w:vAlign w:val="center"/>
          </w:tcPr>
          <w:p w:rsidR="00EE1CC3" w:rsidRPr="00734C71" w:rsidRDefault="00EE1CC3" w:rsidP="00735BBD">
            <w:pPr>
              <w:jc w:val="center"/>
              <w:rPr>
                <w:rFonts w:ascii="楷体_GB2312" w:hAnsi="宋体"/>
                <w:bCs/>
                <w:szCs w:val="18"/>
              </w:rPr>
            </w:pPr>
          </w:p>
        </w:tc>
        <w:tc>
          <w:tcPr>
            <w:tcW w:w="1674" w:type="dxa"/>
            <w:shd w:val="clear" w:color="auto" w:fill="auto"/>
            <w:vAlign w:val="center"/>
          </w:tcPr>
          <w:p w:rsidR="00EE1CC3" w:rsidRPr="00734C71" w:rsidRDefault="00EE1CC3" w:rsidP="00735BBD">
            <w:pPr>
              <w:jc w:val="center"/>
              <w:rPr>
                <w:rFonts w:ascii="楷体_GB2312" w:hAnsi="宋体"/>
                <w:bCs/>
                <w:szCs w:val="18"/>
              </w:rPr>
            </w:pPr>
          </w:p>
        </w:tc>
        <w:tc>
          <w:tcPr>
            <w:tcW w:w="708" w:type="dxa"/>
            <w:shd w:val="clear" w:color="auto" w:fill="auto"/>
            <w:vAlign w:val="center"/>
          </w:tcPr>
          <w:p w:rsidR="00EE1CC3" w:rsidRPr="00734C71" w:rsidRDefault="00EE1CC3" w:rsidP="00735BBD">
            <w:pPr>
              <w:jc w:val="center"/>
              <w:rPr>
                <w:rFonts w:ascii="楷体_GB2312" w:hAnsi="宋体"/>
                <w:bCs/>
                <w:szCs w:val="18"/>
              </w:rPr>
            </w:pPr>
          </w:p>
        </w:tc>
      </w:tr>
    </w:tbl>
    <w:p w:rsidR="00EE1CC3" w:rsidRPr="00A86F8F" w:rsidRDefault="00EE1CC3" w:rsidP="00EE1CC3">
      <w:pPr>
        <w:pStyle w:val="FootnoteNoline"/>
        <w:spacing w:before="0" w:after="0"/>
        <w:rPr>
          <w:color w:val="auto"/>
          <w:sz w:val="10"/>
          <w:szCs w:val="10"/>
        </w:rPr>
      </w:pPr>
    </w:p>
    <w:p w:rsidR="00EE1CC3" w:rsidRPr="00AF25D2" w:rsidRDefault="00EE1CC3" w:rsidP="00EE1CC3">
      <w:pPr>
        <w:pStyle w:val="FootnoteNoline"/>
        <w:rPr>
          <w:color w:val="auto"/>
        </w:rPr>
      </w:pPr>
      <w:r>
        <w:rPr>
          <w:rFonts w:hint="eastAsia"/>
        </w:rPr>
        <w:t>来源：国金证券研究所</w:t>
      </w:r>
      <w:r>
        <w:rPr>
          <w:rFonts w:hint="eastAsia"/>
        </w:rPr>
        <w:t xml:space="preserve"> </w:t>
      </w:r>
    </w:p>
    <w:p w:rsidR="00EE1CC3" w:rsidRPr="00B00136" w:rsidRDefault="00EE1CC3" w:rsidP="00EE1CC3">
      <w:pPr>
        <w:pStyle w:val="21"/>
        <w:rPr>
          <w:color w:val="auto"/>
        </w:rPr>
      </w:pPr>
    </w:p>
    <w:p w:rsidR="00EE1CC3" w:rsidRPr="00183075" w:rsidRDefault="00EE1CC3" w:rsidP="00EE1CC3">
      <w:pPr>
        <w:pStyle w:val="13"/>
        <w:rPr>
          <w:color w:val="auto"/>
        </w:rPr>
      </w:pPr>
      <w:r w:rsidRPr="00183075">
        <w:rPr>
          <w:rFonts w:hint="eastAsia"/>
          <w:color w:val="auto"/>
        </w:rPr>
        <w:lastRenderedPageBreak/>
        <w:t>一、权益类开放式基金投资建议</w:t>
      </w:r>
    </w:p>
    <w:p w:rsidR="00EE1CC3" w:rsidRPr="00F34FC7" w:rsidRDefault="00EE1CC3" w:rsidP="00A139B9">
      <w:pPr>
        <w:pStyle w:val="21"/>
        <w:tabs>
          <w:tab w:val="left" w:pos="4536"/>
        </w:tabs>
        <w:rPr>
          <w:color w:val="00B0F0"/>
        </w:rPr>
      </w:pPr>
      <w:r w:rsidRPr="005F58EB">
        <w:rPr>
          <w:rFonts w:hint="eastAsia"/>
          <w:color w:val="00B0F0"/>
        </w:rPr>
        <w:t>基金投</w:t>
      </w:r>
      <w:r w:rsidRPr="00F34FC7">
        <w:rPr>
          <w:rFonts w:hint="eastAsia"/>
          <w:color w:val="00B0F0"/>
        </w:rPr>
        <w:t>资：</w:t>
      </w:r>
      <w:r w:rsidR="00F34FC7" w:rsidRPr="00F34FC7">
        <w:rPr>
          <w:rFonts w:hint="eastAsia"/>
          <w:color w:val="00B0F0"/>
        </w:rPr>
        <w:t>短期波折难免，</w:t>
      </w:r>
      <w:r w:rsidR="0089514D">
        <w:rPr>
          <w:rFonts w:hint="eastAsia"/>
          <w:color w:val="00B0F0"/>
        </w:rPr>
        <w:t>改善</w:t>
      </w:r>
      <w:r w:rsidR="00F34FC7" w:rsidRPr="00F34FC7">
        <w:rPr>
          <w:rFonts w:hint="eastAsia"/>
          <w:color w:val="00B0F0"/>
        </w:rPr>
        <w:t>组合</w:t>
      </w:r>
      <w:r w:rsidR="0089514D">
        <w:rPr>
          <w:rFonts w:hint="eastAsia"/>
          <w:color w:val="00B0F0"/>
        </w:rPr>
        <w:t>结构</w:t>
      </w:r>
      <w:r w:rsidRPr="00F34FC7">
        <w:rPr>
          <w:rFonts w:hint="eastAsia"/>
          <w:color w:val="00B0F0"/>
        </w:rPr>
        <w:t>——</w:t>
      </w:r>
      <w:r w:rsidRPr="00F34FC7">
        <w:rPr>
          <w:rFonts w:hint="eastAsia"/>
          <w:color w:val="00B0F0"/>
        </w:rPr>
        <w:t>A</w:t>
      </w:r>
      <w:r w:rsidRPr="00F34FC7">
        <w:rPr>
          <w:rFonts w:hint="eastAsia"/>
          <w:color w:val="00B0F0"/>
        </w:rPr>
        <w:t>股权益类开放式基金投资建议</w:t>
      </w:r>
    </w:p>
    <w:p w:rsidR="00EE1CC3" w:rsidRPr="00A139B9" w:rsidRDefault="00566AC1" w:rsidP="00EE1CC3">
      <w:pPr>
        <w:pStyle w:val="a0"/>
        <w:spacing w:line="240" w:lineRule="auto"/>
        <w:rPr>
          <w:rFonts w:ascii="楷体_GB2312"/>
          <w:b/>
          <w:color w:val="00B0F0"/>
        </w:rPr>
      </w:pPr>
      <w:r w:rsidRPr="004B1144">
        <w:rPr>
          <w:rFonts w:ascii="楷体_GB2312" w:hint="eastAsia"/>
          <w:b/>
          <w:color w:val="00B0F0"/>
        </w:rPr>
        <w:t>国内经济</w:t>
      </w:r>
      <w:r w:rsidRPr="00A139B9">
        <w:rPr>
          <w:rFonts w:ascii="楷体_GB2312" w:hint="eastAsia"/>
          <w:b/>
          <w:color w:val="00B0F0"/>
        </w:rPr>
        <w:t>：</w:t>
      </w:r>
      <w:r w:rsidR="00A139B9" w:rsidRPr="00A139B9">
        <w:rPr>
          <w:rFonts w:ascii="楷体_GB2312" w:hint="eastAsia"/>
          <w:b/>
          <w:color w:val="00B0F0"/>
        </w:rPr>
        <w:t>经济下滑</w:t>
      </w:r>
      <w:r w:rsidR="00A139B9">
        <w:rPr>
          <w:rFonts w:ascii="楷体_GB2312" w:hint="eastAsia"/>
          <w:b/>
          <w:color w:val="00B0F0"/>
        </w:rPr>
        <w:t>压力未减，</w:t>
      </w:r>
      <w:proofErr w:type="gramStart"/>
      <w:r w:rsidR="00A139B9">
        <w:rPr>
          <w:rFonts w:ascii="楷体_GB2312" w:hint="eastAsia"/>
          <w:b/>
          <w:color w:val="00B0F0"/>
        </w:rPr>
        <w:t>稳增长</w:t>
      </w:r>
      <w:proofErr w:type="gramEnd"/>
      <w:r w:rsidR="00A139B9">
        <w:rPr>
          <w:rFonts w:ascii="楷体_GB2312" w:hint="eastAsia"/>
          <w:b/>
          <w:color w:val="00B0F0"/>
        </w:rPr>
        <w:t>迫切性提升</w:t>
      </w:r>
    </w:p>
    <w:p w:rsidR="00BF21C5" w:rsidRPr="00BF21C5" w:rsidRDefault="005A0B09" w:rsidP="00EF74F1">
      <w:pPr>
        <w:pStyle w:val="a0"/>
        <w:numPr>
          <w:ilvl w:val="4"/>
          <w:numId w:val="3"/>
        </w:numPr>
        <w:spacing w:line="240" w:lineRule="auto"/>
        <w:rPr>
          <w:rFonts w:ascii="楷体_GB2312"/>
          <w:color w:val="auto"/>
        </w:rPr>
      </w:pPr>
      <w:r>
        <w:rPr>
          <w:rFonts w:ascii="楷体_GB2312" w:hint="eastAsia"/>
          <w:color w:val="auto"/>
        </w:rPr>
        <w:t>宏观经济数据</w:t>
      </w:r>
      <w:r w:rsidR="00BF21C5">
        <w:rPr>
          <w:rFonts w:ascii="楷体_GB2312" w:hint="eastAsia"/>
          <w:color w:val="auto"/>
        </w:rPr>
        <w:t>疲弱，</w:t>
      </w:r>
      <w:r>
        <w:rPr>
          <w:rFonts w:ascii="楷体_GB2312" w:hint="eastAsia"/>
          <w:color w:val="auto"/>
        </w:rPr>
        <w:t>未有起色。</w:t>
      </w:r>
      <w:r w:rsidR="00BF21C5" w:rsidRPr="00BF21C5">
        <w:rPr>
          <w:rFonts w:ascii="楷体_GB2312" w:hint="eastAsia"/>
          <w:color w:val="auto"/>
        </w:rPr>
        <w:t>尽管官方提前新闻发布展示结构性亮点，总经的疲弱程度还是超出了据其计算心理阴影面积。</w:t>
      </w:r>
      <w:r w:rsidR="002009BA">
        <w:rPr>
          <w:rFonts w:ascii="楷体_GB2312" w:hint="eastAsia"/>
          <w:color w:val="auto"/>
        </w:rPr>
        <w:t>4月份</w:t>
      </w:r>
      <w:r w:rsidR="00BF21C5" w:rsidRPr="00BF21C5">
        <w:rPr>
          <w:rFonts w:ascii="楷体_GB2312" w:hint="eastAsia"/>
          <w:color w:val="auto"/>
        </w:rPr>
        <w:t>投资需求系统性下滑，</w:t>
      </w:r>
      <w:r w:rsidR="002009BA">
        <w:rPr>
          <w:rFonts w:ascii="楷体_GB2312" w:hint="eastAsia"/>
          <w:color w:val="auto"/>
        </w:rPr>
        <w:t>其中由于</w:t>
      </w:r>
      <w:r w:rsidR="00BF21C5" w:rsidRPr="00BF21C5">
        <w:rPr>
          <w:rFonts w:ascii="楷体_GB2312" w:hint="eastAsia"/>
          <w:color w:val="auto"/>
        </w:rPr>
        <w:t>财政支出力度陡降、基建下滑幅最</w:t>
      </w:r>
      <w:r w:rsidR="00BF21C5">
        <w:rPr>
          <w:rFonts w:ascii="楷体_GB2312" w:hint="eastAsia"/>
          <w:color w:val="auto"/>
        </w:rPr>
        <w:t>大</w:t>
      </w:r>
      <w:r w:rsidR="002009BA">
        <w:rPr>
          <w:rFonts w:ascii="楷体_GB2312" w:hint="eastAsia"/>
          <w:color w:val="auto"/>
        </w:rPr>
        <w:t>，地产投资继续下滑，</w:t>
      </w:r>
      <w:proofErr w:type="gramStart"/>
      <w:r w:rsidR="002009BA">
        <w:rPr>
          <w:rFonts w:ascii="楷体_GB2312" w:hint="eastAsia"/>
          <w:color w:val="auto"/>
        </w:rPr>
        <w:t>但环比</w:t>
      </w:r>
      <w:proofErr w:type="gramEnd"/>
      <w:r w:rsidR="002009BA">
        <w:rPr>
          <w:rFonts w:ascii="楷体_GB2312" w:hint="eastAsia"/>
          <w:color w:val="auto"/>
        </w:rPr>
        <w:t>来看3、4月连续两月新开工出现触底迹</w:t>
      </w:r>
      <w:proofErr w:type="gramStart"/>
      <w:r w:rsidR="002009BA">
        <w:rPr>
          <w:rFonts w:ascii="楷体_GB2312" w:hint="eastAsia"/>
          <w:color w:val="auto"/>
        </w:rPr>
        <w:t>象</w:t>
      </w:r>
      <w:proofErr w:type="gramEnd"/>
      <w:r w:rsidR="00BF21C5">
        <w:rPr>
          <w:rFonts w:ascii="楷体_GB2312" w:hint="eastAsia"/>
          <w:color w:val="auto"/>
        </w:rPr>
        <w:t>；</w:t>
      </w:r>
      <w:r w:rsidR="002009BA">
        <w:rPr>
          <w:rFonts w:ascii="楷体_GB2312" w:hint="eastAsia"/>
          <w:color w:val="auto"/>
        </w:rPr>
        <w:t>4月份</w:t>
      </w:r>
      <w:r w:rsidR="00BF21C5">
        <w:rPr>
          <w:rFonts w:ascii="楷体_GB2312" w:hint="eastAsia"/>
          <w:color w:val="auto"/>
        </w:rPr>
        <w:t>工业</w:t>
      </w:r>
      <w:r w:rsidR="0097436F">
        <w:rPr>
          <w:rFonts w:ascii="楷体_GB2312" w:hint="eastAsia"/>
          <w:color w:val="auto"/>
        </w:rPr>
        <w:t>增加值</w:t>
      </w:r>
      <w:r w:rsidR="00BF21C5">
        <w:rPr>
          <w:rFonts w:ascii="楷体_GB2312" w:hint="eastAsia"/>
          <w:color w:val="auto"/>
        </w:rPr>
        <w:t>低位轻微回升，主要依赖传统产业，</w:t>
      </w:r>
      <w:r w:rsidR="00BF21C5" w:rsidRPr="00BF21C5">
        <w:rPr>
          <w:rFonts w:ascii="楷体_GB2312" w:hint="eastAsia"/>
          <w:color w:val="auto"/>
        </w:rPr>
        <w:t>制造</w:t>
      </w:r>
      <w:r w:rsidR="0097436F">
        <w:rPr>
          <w:rFonts w:ascii="楷体_GB2312" w:hint="eastAsia"/>
          <w:color w:val="auto"/>
        </w:rPr>
        <w:t>业</w:t>
      </w:r>
      <w:r w:rsidR="00BF21C5" w:rsidRPr="00BF21C5">
        <w:rPr>
          <w:rFonts w:ascii="楷体_GB2312" w:hint="eastAsia"/>
          <w:color w:val="auto"/>
        </w:rPr>
        <w:t>多项下滑</w:t>
      </w:r>
      <w:r w:rsidR="0097436F">
        <w:rPr>
          <w:rFonts w:ascii="楷体_GB2312" w:hint="eastAsia"/>
          <w:color w:val="auto"/>
        </w:rPr>
        <w:t>，反映下游需求疲弱，结构性改善的动能衰减</w:t>
      </w:r>
      <w:r w:rsidR="00BF21C5">
        <w:rPr>
          <w:rFonts w:ascii="楷体_GB2312" w:hint="eastAsia"/>
          <w:color w:val="auto"/>
        </w:rPr>
        <w:t>；</w:t>
      </w:r>
      <w:r w:rsidR="0057735E">
        <w:rPr>
          <w:rFonts w:ascii="楷体_GB2312" w:hint="eastAsia"/>
          <w:color w:val="auto"/>
        </w:rPr>
        <w:t>消费数据再创新低，</w:t>
      </w:r>
      <w:r w:rsidR="00BF21C5" w:rsidRPr="00BF21C5">
        <w:rPr>
          <w:rFonts w:ascii="楷体_GB2312" w:hint="eastAsia"/>
          <w:color w:val="auto"/>
        </w:rPr>
        <w:t>名义与实际</w:t>
      </w:r>
      <w:r w:rsidR="0097436F">
        <w:rPr>
          <w:rFonts w:ascii="楷体_GB2312" w:hint="eastAsia"/>
          <w:color w:val="auto"/>
        </w:rPr>
        <w:t>消费</w:t>
      </w:r>
      <w:r w:rsidR="00BF21C5" w:rsidRPr="00BF21C5">
        <w:rPr>
          <w:rFonts w:ascii="楷体_GB2312" w:hint="eastAsia"/>
          <w:color w:val="auto"/>
        </w:rPr>
        <w:t>增速</w:t>
      </w:r>
      <w:r w:rsidR="0097436F">
        <w:rPr>
          <w:rFonts w:ascii="楷体_GB2312" w:hint="eastAsia"/>
          <w:color w:val="auto"/>
        </w:rPr>
        <w:t>均</w:t>
      </w:r>
      <w:r w:rsidR="00BF21C5" w:rsidRPr="00BF21C5">
        <w:rPr>
          <w:rFonts w:ascii="楷体_GB2312" w:hint="eastAsia"/>
          <w:color w:val="auto"/>
        </w:rPr>
        <w:t>下滑</w:t>
      </w:r>
      <w:r w:rsidR="0057735E">
        <w:rPr>
          <w:rFonts w:ascii="楷体_GB2312" w:hint="eastAsia"/>
          <w:color w:val="auto"/>
        </w:rPr>
        <w:t>，汽车、石油制品低位徘徊，地产链条出现下滑，滞后于地产销售的回升</w:t>
      </w:r>
      <w:r w:rsidR="00BF21C5" w:rsidRPr="00BF21C5">
        <w:rPr>
          <w:rFonts w:ascii="楷体_GB2312" w:hint="eastAsia"/>
          <w:color w:val="auto"/>
        </w:rPr>
        <w:t>。</w:t>
      </w:r>
      <w:r w:rsidR="0057735E">
        <w:rPr>
          <w:rFonts w:ascii="楷体_GB2312" w:hint="eastAsia"/>
          <w:color w:val="auto"/>
        </w:rPr>
        <w:t>此外，4月出口和进口增速分别为</w:t>
      </w:r>
      <w:r w:rsidR="00357333">
        <w:rPr>
          <w:rFonts w:ascii="楷体_GB2312" w:hint="eastAsia"/>
          <w:color w:val="auto"/>
        </w:rPr>
        <w:t>-6.4%和-16.2%均低于预期，其中单月出口虽低位回升</w:t>
      </w:r>
      <w:proofErr w:type="gramStart"/>
      <w:r w:rsidR="00357333">
        <w:rPr>
          <w:rFonts w:ascii="楷体_GB2312" w:hint="eastAsia"/>
          <w:color w:val="auto"/>
        </w:rPr>
        <w:t>但季调后</w:t>
      </w:r>
      <w:proofErr w:type="gramEnd"/>
      <w:r w:rsidR="00357333">
        <w:rPr>
          <w:rFonts w:ascii="楷体_GB2312" w:hint="eastAsia"/>
          <w:color w:val="auto"/>
        </w:rPr>
        <w:t>同比跌幅扩大，进口继续深度负增长，政策性需求的</w:t>
      </w:r>
      <w:proofErr w:type="gramStart"/>
      <w:r w:rsidR="00357333">
        <w:rPr>
          <w:rFonts w:ascii="楷体_GB2312" w:hint="eastAsia"/>
          <w:color w:val="auto"/>
        </w:rPr>
        <w:t>传导仍</w:t>
      </w:r>
      <w:proofErr w:type="gramEnd"/>
      <w:r w:rsidR="00357333">
        <w:rPr>
          <w:rFonts w:ascii="楷体_GB2312" w:hint="eastAsia"/>
          <w:color w:val="auto"/>
        </w:rPr>
        <w:t>不明显，未来看进出口存在一定的改善，但空间有限。</w:t>
      </w:r>
    </w:p>
    <w:p w:rsidR="00407572" w:rsidRPr="0057735E" w:rsidRDefault="00BF21C5" w:rsidP="00295AB4">
      <w:pPr>
        <w:pStyle w:val="a0"/>
        <w:numPr>
          <w:ilvl w:val="4"/>
          <w:numId w:val="3"/>
        </w:numPr>
        <w:spacing w:line="240" w:lineRule="auto"/>
        <w:rPr>
          <w:rFonts w:ascii="楷体_GB2312"/>
          <w:color w:val="auto"/>
        </w:rPr>
      </w:pPr>
      <w:r w:rsidRPr="00BF21C5">
        <w:rPr>
          <w:rFonts w:ascii="楷体_GB2312" w:hint="eastAsia"/>
          <w:color w:val="auto"/>
        </w:rPr>
        <w:t>金融</w:t>
      </w:r>
      <w:r w:rsidR="00DE3A5B">
        <w:rPr>
          <w:rFonts w:ascii="楷体_GB2312" w:hint="eastAsia"/>
          <w:color w:val="auto"/>
        </w:rPr>
        <w:t>数据亦验证经济疲弱态势。</w:t>
      </w:r>
      <w:r w:rsidR="006C595E">
        <w:rPr>
          <w:rFonts w:ascii="楷体_GB2312" w:hint="eastAsia"/>
          <w:color w:val="auto"/>
        </w:rPr>
        <w:t>4月社会融资总额1.05</w:t>
      </w:r>
      <w:proofErr w:type="gramStart"/>
      <w:r w:rsidR="006C595E">
        <w:rPr>
          <w:rFonts w:ascii="楷体_GB2312" w:hint="eastAsia"/>
          <w:color w:val="auto"/>
        </w:rPr>
        <w:t>万亿</w:t>
      </w:r>
      <w:proofErr w:type="gramEnd"/>
      <w:r w:rsidR="006C595E">
        <w:rPr>
          <w:rFonts w:ascii="楷体_GB2312" w:hint="eastAsia"/>
          <w:color w:val="auto"/>
        </w:rPr>
        <w:t>，新增信贷7079亿，M2余额同比增长10.1%。整体来看</w:t>
      </w:r>
      <w:r w:rsidR="006077A8">
        <w:rPr>
          <w:rFonts w:ascii="楷体_GB2312" w:hint="eastAsia"/>
          <w:color w:val="auto"/>
        </w:rPr>
        <w:t>社会融资系统性收缩</w:t>
      </w:r>
      <w:r w:rsidRPr="00BF21C5">
        <w:rPr>
          <w:rFonts w:ascii="楷体_GB2312" w:hint="eastAsia"/>
          <w:color w:val="auto"/>
        </w:rPr>
        <w:t>，</w:t>
      </w:r>
      <w:r w:rsidR="006077A8">
        <w:rPr>
          <w:rFonts w:ascii="楷体_GB2312" w:hint="eastAsia"/>
          <w:color w:val="auto"/>
        </w:rPr>
        <w:t>其中信贷收缩幅度最大，</w:t>
      </w:r>
      <w:r w:rsidR="00662518">
        <w:rPr>
          <w:rFonts w:ascii="楷体_GB2312" w:hint="eastAsia"/>
          <w:color w:val="auto"/>
        </w:rPr>
        <w:t>中长期贷款较上月少增969亿，地产销售回升亦无法带动信贷需求，企业中长期贷款少增显示实体融资需求依然不佳，</w:t>
      </w:r>
      <w:r w:rsidR="00E3355F" w:rsidRPr="00E3355F">
        <w:rPr>
          <w:rFonts w:ascii="楷体_GB2312" w:hint="eastAsia"/>
          <w:color w:val="auto"/>
        </w:rPr>
        <w:t>居民消费信贷逆势扩张凸显资金入虚</w:t>
      </w:r>
      <w:r w:rsidR="00662518">
        <w:rPr>
          <w:rFonts w:ascii="楷体_GB2312" w:hint="eastAsia"/>
          <w:color w:val="auto"/>
        </w:rPr>
        <w:t>。</w:t>
      </w:r>
      <w:r w:rsidR="00DE3A5B">
        <w:rPr>
          <w:rFonts w:ascii="楷体_GB2312" w:hint="eastAsia"/>
          <w:color w:val="auto"/>
        </w:rPr>
        <w:t>M2加速回落，连续低于12%的预期目标。</w:t>
      </w:r>
      <w:r w:rsidR="00934E0E">
        <w:rPr>
          <w:rFonts w:ascii="楷体_GB2312" w:hint="eastAsia"/>
          <w:color w:val="auto"/>
        </w:rPr>
        <w:t>货币扩张渠道阻塞仍需进一步降息疏导，M1增速回升主要因翘尾因素上升所致。</w:t>
      </w:r>
    </w:p>
    <w:p w:rsidR="00EE1CC3" w:rsidRPr="00D23D19" w:rsidRDefault="00AB3235" w:rsidP="009E5875">
      <w:pPr>
        <w:pStyle w:val="a0"/>
        <w:numPr>
          <w:ilvl w:val="4"/>
          <w:numId w:val="3"/>
        </w:numPr>
        <w:spacing w:line="240" w:lineRule="auto"/>
        <w:rPr>
          <w:rFonts w:ascii="楷体_GB2312"/>
          <w:color w:val="FF0000"/>
        </w:rPr>
      </w:pPr>
      <w:r w:rsidRPr="004C6151">
        <w:rPr>
          <w:rFonts w:ascii="楷体_GB2312" w:hint="eastAsia"/>
          <w:color w:val="auto"/>
        </w:rPr>
        <w:t>经济下滑压力</w:t>
      </w:r>
      <w:r w:rsidR="004C6151" w:rsidRPr="004C6151">
        <w:rPr>
          <w:rFonts w:ascii="楷体_GB2312" w:hint="eastAsia"/>
          <w:color w:val="auto"/>
        </w:rPr>
        <w:t>并未减轻，</w:t>
      </w:r>
      <w:proofErr w:type="gramStart"/>
      <w:r w:rsidR="004C6151" w:rsidRPr="004C6151">
        <w:rPr>
          <w:rFonts w:ascii="楷体_GB2312" w:hint="eastAsia"/>
          <w:color w:val="auto"/>
        </w:rPr>
        <w:t>稳增长</w:t>
      </w:r>
      <w:proofErr w:type="gramEnd"/>
      <w:r w:rsidR="004C6151" w:rsidRPr="004C6151">
        <w:rPr>
          <w:rFonts w:ascii="楷体_GB2312" w:hint="eastAsia"/>
          <w:color w:val="auto"/>
        </w:rPr>
        <w:t>的迫切性不断提升，无论是宏观经济数据、</w:t>
      </w:r>
      <w:r w:rsidRPr="004C6151">
        <w:rPr>
          <w:rFonts w:ascii="楷体_GB2312" w:hint="eastAsia"/>
          <w:color w:val="auto"/>
        </w:rPr>
        <w:t>金融数据</w:t>
      </w:r>
      <w:proofErr w:type="gramStart"/>
      <w:r w:rsidR="004C6151" w:rsidRPr="004C6151">
        <w:rPr>
          <w:rFonts w:ascii="楷体_GB2312" w:hint="eastAsia"/>
          <w:color w:val="auto"/>
        </w:rPr>
        <w:t>亦或</w:t>
      </w:r>
      <w:proofErr w:type="gramEnd"/>
      <w:r w:rsidR="004C6151" w:rsidRPr="004C6151">
        <w:rPr>
          <w:rFonts w:ascii="楷体_GB2312" w:hint="eastAsia"/>
          <w:color w:val="auto"/>
        </w:rPr>
        <w:t>是近期披露的</w:t>
      </w:r>
      <w:r w:rsidR="004C6151">
        <w:rPr>
          <w:rFonts w:ascii="楷体_GB2312" w:hint="eastAsia"/>
          <w:color w:val="auto"/>
        </w:rPr>
        <w:t>汇丰PMI等中观数据</w:t>
      </w:r>
      <w:r w:rsidR="004C6151" w:rsidRPr="004C6151">
        <w:rPr>
          <w:rFonts w:ascii="楷体_GB2312" w:hint="eastAsia"/>
          <w:color w:val="auto"/>
        </w:rPr>
        <w:t>，</w:t>
      </w:r>
      <w:r w:rsidR="004C6151">
        <w:rPr>
          <w:rFonts w:ascii="楷体_GB2312" w:hint="eastAsia"/>
          <w:color w:val="auto"/>
        </w:rPr>
        <w:t>均</w:t>
      </w:r>
      <w:r w:rsidR="008D52D3">
        <w:rPr>
          <w:rFonts w:ascii="楷体_GB2312" w:hint="eastAsia"/>
          <w:color w:val="auto"/>
        </w:rPr>
        <w:t>体现出</w:t>
      </w:r>
      <w:r w:rsidR="0051471C">
        <w:rPr>
          <w:rFonts w:ascii="楷体_GB2312" w:hint="eastAsia"/>
          <w:color w:val="auto"/>
        </w:rPr>
        <w:t>疲</w:t>
      </w:r>
      <w:r w:rsidR="0051471C" w:rsidRPr="0051471C">
        <w:rPr>
          <w:rFonts w:ascii="楷体_GB2312" w:hint="eastAsia"/>
          <w:color w:val="auto"/>
        </w:rPr>
        <w:t>弱态势，</w:t>
      </w:r>
      <w:r w:rsidRPr="0051471C">
        <w:rPr>
          <w:rFonts w:ascii="楷体_GB2312" w:hint="eastAsia"/>
          <w:color w:val="auto"/>
        </w:rPr>
        <w:t>政策仍亟待加码，</w:t>
      </w:r>
      <w:r w:rsidR="0051471C">
        <w:rPr>
          <w:rFonts w:ascii="楷体_GB2312" w:hint="eastAsia"/>
          <w:color w:val="auto"/>
        </w:rPr>
        <w:t>4月底的政治局会议更是高度重视经济下行风险，央行报告也隐含周期意义上</w:t>
      </w:r>
      <w:r w:rsidR="0051471C" w:rsidRPr="00AD157D">
        <w:rPr>
          <w:rFonts w:ascii="楷体_GB2312" w:hint="eastAsia"/>
          <w:color w:val="auto"/>
        </w:rPr>
        <w:t>升。5</w:t>
      </w:r>
      <w:r w:rsidRPr="00AD157D">
        <w:rPr>
          <w:rFonts w:ascii="楷体_GB2312" w:hint="eastAsia"/>
          <w:color w:val="auto"/>
        </w:rPr>
        <w:t>月</w:t>
      </w:r>
      <w:r w:rsidR="0051471C" w:rsidRPr="00AD157D">
        <w:rPr>
          <w:rFonts w:ascii="楷体_GB2312" w:hint="eastAsia"/>
          <w:color w:val="auto"/>
        </w:rPr>
        <w:t>11</w:t>
      </w:r>
      <w:r w:rsidRPr="00AD157D">
        <w:rPr>
          <w:rFonts w:ascii="楷体_GB2312" w:hint="eastAsia"/>
          <w:color w:val="auto"/>
        </w:rPr>
        <w:t>日，央行下调金融机构人民币</w:t>
      </w:r>
      <w:r w:rsidR="00AD157D" w:rsidRPr="00AD157D">
        <w:rPr>
          <w:rFonts w:ascii="楷体_GB2312" w:hint="eastAsia"/>
          <w:color w:val="auto"/>
        </w:rPr>
        <w:t>贷款和存款基准利率</w:t>
      </w:r>
      <w:r w:rsidRPr="00AD157D">
        <w:rPr>
          <w:rFonts w:ascii="楷体_GB2312" w:hint="eastAsia"/>
          <w:color w:val="auto"/>
        </w:rPr>
        <w:t>，</w:t>
      </w:r>
      <w:r w:rsidR="00AD157D" w:rsidRPr="00AD157D">
        <w:rPr>
          <w:rFonts w:ascii="楷体_GB2312" w:hint="eastAsia"/>
          <w:color w:val="auto"/>
        </w:rPr>
        <w:t>并扩大存款利率的浮动空间</w:t>
      </w:r>
      <w:r w:rsidR="009E5875" w:rsidRPr="00AD157D">
        <w:rPr>
          <w:rFonts w:ascii="楷体_GB2312" w:hint="eastAsia"/>
          <w:color w:val="auto"/>
        </w:rPr>
        <w:t>。我们认为</w:t>
      </w:r>
      <w:r w:rsidR="00AD157D" w:rsidRPr="00AD157D">
        <w:rPr>
          <w:rFonts w:ascii="楷体_GB2312" w:hint="eastAsia"/>
          <w:color w:val="auto"/>
        </w:rPr>
        <w:t>接下来的</w:t>
      </w:r>
      <w:r w:rsidR="009E5875" w:rsidRPr="00AD157D">
        <w:rPr>
          <w:rFonts w:ascii="楷体_GB2312" w:hint="eastAsia"/>
          <w:color w:val="auto"/>
        </w:rPr>
        <w:t>政策加码与结构性措施仍将会推进，</w:t>
      </w:r>
      <w:r w:rsidR="00AD157D" w:rsidRPr="00AD157D">
        <w:rPr>
          <w:rFonts w:ascii="楷体_GB2312" w:hint="eastAsia"/>
          <w:color w:val="auto"/>
        </w:rPr>
        <w:t>方能</w:t>
      </w:r>
      <w:r w:rsidR="00AD157D">
        <w:rPr>
          <w:rFonts w:ascii="楷体_GB2312" w:hint="eastAsia"/>
          <w:color w:val="auto"/>
        </w:rPr>
        <w:t>疏导资金进入实体、支撑总量经济阶段性回升。同时从经济波动角度，三季度或迎来上升波段。</w:t>
      </w:r>
    </w:p>
    <w:p w:rsidR="00EE1CC3" w:rsidRPr="000878E0" w:rsidRDefault="00EE1CC3" w:rsidP="00EE1CC3">
      <w:pPr>
        <w:pStyle w:val="a0"/>
        <w:spacing w:line="240" w:lineRule="auto"/>
        <w:rPr>
          <w:rFonts w:ascii="楷体_GB2312"/>
          <w:b/>
          <w:color w:val="00B0F0"/>
        </w:rPr>
      </w:pPr>
      <w:r w:rsidRPr="000878E0">
        <w:rPr>
          <w:rFonts w:ascii="楷体_GB2312" w:hint="eastAsia"/>
          <w:b/>
          <w:color w:val="00B0F0"/>
        </w:rPr>
        <w:t>A</w:t>
      </w:r>
      <w:r w:rsidR="000520F8">
        <w:rPr>
          <w:rFonts w:ascii="楷体_GB2312" w:hint="eastAsia"/>
          <w:b/>
          <w:color w:val="00B0F0"/>
        </w:rPr>
        <w:t>股市场：</w:t>
      </w:r>
      <w:r w:rsidR="00E76CAF" w:rsidRPr="00E76CAF">
        <w:rPr>
          <w:rFonts w:ascii="楷体_GB2312" w:hint="eastAsia"/>
          <w:b/>
          <w:color w:val="00B0F0"/>
        </w:rPr>
        <w:t>消息面对市场</w:t>
      </w:r>
      <w:r w:rsidR="00E76CAF">
        <w:rPr>
          <w:rFonts w:ascii="楷体_GB2312" w:hint="eastAsia"/>
          <w:b/>
          <w:color w:val="00B0F0"/>
        </w:rPr>
        <w:t>短期走势</w:t>
      </w:r>
      <w:r w:rsidR="00E76CAF" w:rsidRPr="00E76CAF">
        <w:rPr>
          <w:rFonts w:ascii="楷体_GB2312" w:hint="eastAsia"/>
          <w:b/>
          <w:color w:val="00B0F0"/>
        </w:rPr>
        <w:t>扰动加大</w:t>
      </w:r>
    </w:p>
    <w:p w:rsidR="00EE1CC3" w:rsidRPr="000878E0" w:rsidRDefault="00EE1CC3" w:rsidP="00C5277C">
      <w:pPr>
        <w:pStyle w:val="a0"/>
        <w:numPr>
          <w:ilvl w:val="4"/>
          <w:numId w:val="3"/>
        </w:numPr>
        <w:spacing w:line="240" w:lineRule="auto"/>
        <w:rPr>
          <w:rFonts w:ascii="楷体_GB2312"/>
          <w:color w:val="auto"/>
        </w:rPr>
      </w:pPr>
      <w:r w:rsidRPr="000878E0">
        <w:rPr>
          <w:rFonts w:ascii="楷体_GB2312" w:hint="eastAsia"/>
          <w:color w:val="auto"/>
        </w:rPr>
        <w:t>2015年</w:t>
      </w:r>
      <w:r w:rsidR="000A43ED">
        <w:rPr>
          <w:rFonts w:ascii="楷体_GB2312" w:hint="eastAsia"/>
          <w:color w:val="auto"/>
        </w:rPr>
        <w:t>5</w:t>
      </w:r>
      <w:r>
        <w:rPr>
          <w:rFonts w:ascii="楷体_GB2312" w:hint="eastAsia"/>
          <w:color w:val="auto"/>
        </w:rPr>
        <w:t>月</w:t>
      </w:r>
      <w:r w:rsidR="003120F7">
        <w:rPr>
          <w:rFonts w:ascii="楷体_GB2312" w:hint="eastAsia"/>
          <w:color w:val="auto"/>
        </w:rPr>
        <w:t>市场</w:t>
      </w:r>
      <w:r w:rsidR="000A43ED">
        <w:rPr>
          <w:rFonts w:ascii="楷体_GB2312" w:hint="eastAsia"/>
          <w:color w:val="auto"/>
        </w:rPr>
        <w:t>做多热情依然高涨</w:t>
      </w:r>
      <w:r w:rsidRPr="000878E0">
        <w:rPr>
          <w:rFonts w:ascii="楷体_GB2312" w:hint="eastAsia"/>
          <w:color w:val="auto"/>
        </w:rPr>
        <w:t>，</w:t>
      </w:r>
      <w:r w:rsidR="004006DF">
        <w:rPr>
          <w:rFonts w:ascii="楷体_GB2312" w:hint="eastAsia"/>
          <w:color w:val="auto"/>
        </w:rPr>
        <w:t>上证指数突破4</w:t>
      </w:r>
      <w:r w:rsidR="000A43ED">
        <w:rPr>
          <w:rFonts w:ascii="楷体_GB2312" w:hint="eastAsia"/>
          <w:color w:val="auto"/>
        </w:rPr>
        <w:t>800</w:t>
      </w:r>
      <w:r w:rsidR="004006DF">
        <w:rPr>
          <w:rFonts w:ascii="楷体_GB2312" w:hint="eastAsia"/>
          <w:color w:val="auto"/>
        </w:rPr>
        <w:t>点</w:t>
      </w:r>
      <w:r w:rsidR="000A43ED">
        <w:rPr>
          <w:rFonts w:ascii="楷体_GB2312" w:hint="eastAsia"/>
          <w:color w:val="auto"/>
        </w:rPr>
        <w:t>创下本轮牛市新高，创业</w:t>
      </w:r>
      <w:proofErr w:type="gramStart"/>
      <w:r w:rsidR="000A43ED">
        <w:rPr>
          <w:rFonts w:ascii="楷体_GB2312" w:hint="eastAsia"/>
          <w:color w:val="auto"/>
        </w:rPr>
        <w:t>板指数</w:t>
      </w:r>
      <w:proofErr w:type="gramEnd"/>
      <w:r w:rsidR="000A43ED">
        <w:rPr>
          <w:rFonts w:ascii="楷体_GB2312" w:hint="eastAsia"/>
          <w:color w:val="auto"/>
        </w:rPr>
        <w:t>更是大幅上涨21%。</w:t>
      </w:r>
      <w:r w:rsidR="003D131A">
        <w:rPr>
          <w:rFonts w:ascii="楷体_GB2312" w:hint="eastAsia"/>
          <w:color w:val="auto"/>
        </w:rPr>
        <w:t>在经济数据持续低迷未见好转的背景下，稳增长、</w:t>
      </w:r>
      <w:proofErr w:type="gramStart"/>
      <w:r w:rsidR="003D131A">
        <w:rPr>
          <w:rFonts w:ascii="楷体_GB2312" w:hint="eastAsia"/>
          <w:color w:val="auto"/>
        </w:rPr>
        <w:t>宽货币</w:t>
      </w:r>
      <w:proofErr w:type="gramEnd"/>
      <w:r w:rsidR="003D131A">
        <w:rPr>
          <w:rFonts w:ascii="楷体_GB2312" w:hint="eastAsia"/>
          <w:color w:val="auto"/>
        </w:rPr>
        <w:t>的预期</w:t>
      </w:r>
      <w:r w:rsidR="00983F3F">
        <w:rPr>
          <w:rFonts w:ascii="楷体_GB2312" w:hint="eastAsia"/>
          <w:color w:val="auto"/>
        </w:rPr>
        <w:t>对于市场热情的延续仍有着积极的助推作用，</w:t>
      </w:r>
      <w:r w:rsidR="003D131A">
        <w:rPr>
          <w:rFonts w:ascii="楷体_GB2312" w:hint="eastAsia"/>
          <w:color w:val="auto"/>
        </w:rPr>
        <w:t>同时改革、转型的大背景下也给予相关板块较高的估值溢价</w:t>
      </w:r>
      <w:r w:rsidRPr="000878E0">
        <w:rPr>
          <w:rFonts w:ascii="楷体_GB2312" w:hint="eastAsia"/>
          <w:color w:val="auto"/>
        </w:rPr>
        <w:t>。</w:t>
      </w:r>
      <w:r w:rsidR="003D131A">
        <w:rPr>
          <w:rFonts w:ascii="楷体_GB2312" w:hint="eastAsia"/>
          <w:color w:val="auto"/>
        </w:rPr>
        <w:t>资金利率下行、股票市场的赚钱效应更是与市场形成正反馈。尽管</w:t>
      </w:r>
      <w:r w:rsidR="00BF22C8">
        <w:rPr>
          <w:rFonts w:ascii="楷体_GB2312" w:hint="eastAsia"/>
          <w:color w:val="auto"/>
        </w:rPr>
        <w:t>监管层连续打击市场违规行为，对市场情绪有些许影响，但从全月来看并没有改变市场强势上行的格局</w:t>
      </w:r>
      <w:r w:rsidR="00735AE3">
        <w:rPr>
          <w:rFonts w:ascii="楷体_GB2312" w:hint="eastAsia"/>
          <w:color w:val="auto"/>
        </w:rPr>
        <w:t>。</w:t>
      </w:r>
      <w:r w:rsidR="00946F46">
        <w:rPr>
          <w:rFonts w:ascii="楷体_GB2312" w:hint="eastAsia"/>
          <w:color w:val="auto"/>
        </w:rPr>
        <w:t>从市场风格来看，</w:t>
      </w:r>
      <w:r w:rsidR="00735AE3">
        <w:rPr>
          <w:rFonts w:ascii="楷体_GB2312" w:hint="eastAsia"/>
          <w:color w:val="auto"/>
        </w:rPr>
        <w:t>小盘成长股</w:t>
      </w:r>
      <w:r w:rsidR="00BF22C8">
        <w:rPr>
          <w:rFonts w:ascii="楷体_GB2312" w:hint="eastAsia"/>
          <w:color w:val="auto"/>
        </w:rPr>
        <w:t>仍最受资金追捧</w:t>
      </w:r>
      <w:r>
        <w:rPr>
          <w:rFonts w:ascii="楷体_GB2312" w:hint="eastAsia"/>
          <w:color w:val="auto"/>
        </w:rPr>
        <w:t>，</w:t>
      </w:r>
      <w:r w:rsidR="00BF22C8">
        <w:rPr>
          <w:rFonts w:ascii="楷体_GB2312" w:hint="eastAsia"/>
          <w:color w:val="auto"/>
        </w:rPr>
        <w:t>计算机</w:t>
      </w:r>
      <w:r w:rsidR="00946F46">
        <w:rPr>
          <w:rFonts w:ascii="楷体_GB2312" w:hint="eastAsia"/>
          <w:color w:val="auto"/>
        </w:rPr>
        <w:t>、</w:t>
      </w:r>
      <w:r w:rsidR="00BF22C8">
        <w:rPr>
          <w:rFonts w:ascii="楷体_GB2312" w:hint="eastAsia"/>
          <w:color w:val="auto"/>
        </w:rPr>
        <w:t>传媒</w:t>
      </w:r>
      <w:r w:rsidR="00946F46">
        <w:rPr>
          <w:rFonts w:ascii="楷体_GB2312" w:hint="eastAsia"/>
          <w:color w:val="auto"/>
        </w:rPr>
        <w:t>、</w:t>
      </w:r>
      <w:r w:rsidR="00BF22C8">
        <w:rPr>
          <w:rFonts w:ascii="楷体_GB2312" w:hint="eastAsia"/>
          <w:color w:val="auto"/>
        </w:rPr>
        <w:t>元器件</w:t>
      </w:r>
      <w:r w:rsidR="00735AE3">
        <w:rPr>
          <w:rFonts w:ascii="楷体_GB2312" w:hint="eastAsia"/>
          <w:color w:val="auto"/>
        </w:rPr>
        <w:t>、</w:t>
      </w:r>
      <w:r w:rsidR="00BF22C8">
        <w:rPr>
          <w:rFonts w:ascii="楷体_GB2312" w:hint="eastAsia"/>
          <w:color w:val="auto"/>
        </w:rPr>
        <w:t>通讯</w:t>
      </w:r>
      <w:r w:rsidR="00735AE3">
        <w:rPr>
          <w:rFonts w:ascii="楷体_GB2312" w:hint="eastAsia"/>
          <w:color w:val="auto"/>
        </w:rPr>
        <w:t>、</w:t>
      </w:r>
      <w:r w:rsidR="00BF22C8">
        <w:rPr>
          <w:rFonts w:ascii="楷体_GB2312" w:hint="eastAsia"/>
          <w:color w:val="auto"/>
        </w:rPr>
        <w:t>软件、医疗器械</w:t>
      </w:r>
      <w:r w:rsidR="00946F46">
        <w:rPr>
          <w:rFonts w:ascii="楷体_GB2312" w:hint="eastAsia"/>
          <w:color w:val="auto"/>
        </w:rPr>
        <w:t>等</w:t>
      </w:r>
      <w:r>
        <w:rPr>
          <w:rFonts w:ascii="楷体_GB2312" w:hint="eastAsia"/>
          <w:color w:val="auto"/>
        </w:rPr>
        <w:t>代表经济结构转型的</w:t>
      </w:r>
      <w:r w:rsidR="00BF22C8">
        <w:rPr>
          <w:rFonts w:ascii="楷体_GB2312" w:hint="eastAsia"/>
          <w:color w:val="auto"/>
        </w:rPr>
        <w:t>板块表现最为活跃，而金融、保险等低估值大盘</w:t>
      </w:r>
      <w:proofErr w:type="gramStart"/>
      <w:r w:rsidR="00BF22C8">
        <w:rPr>
          <w:rFonts w:ascii="楷体_GB2312" w:hint="eastAsia"/>
          <w:color w:val="auto"/>
        </w:rPr>
        <w:t>蓝筹受经济</w:t>
      </w:r>
      <w:proofErr w:type="gramEnd"/>
      <w:r w:rsidR="00BF22C8">
        <w:rPr>
          <w:rFonts w:ascii="楷体_GB2312" w:hint="eastAsia"/>
          <w:color w:val="auto"/>
        </w:rPr>
        <w:t>基本面的压制表现较为落后。</w:t>
      </w:r>
    </w:p>
    <w:p w:rsidR="00E64A7B" w:rsidRPr="005E396B" w:rsidRDefault="002627D5" w:rsidP="005E396B">
      <w:pPr>
        <w:pStyle w:val="a0"/>
        <w:numPr>
          <w:ilvl w:val="4"/>
          <w:numId w:val="3"/>
        </w:numPr>
        <w:spacing w:line="240" w:lineRule="auto"/>
        <w:rPr>
          <w:rFonts w:ascii="楷体_GB2312"/>
          <w:color w:val="auto"/>
        </w:rPr>
      </w:pPr>
      <w:r>
        <w:rPr>
          <w:rFonts w:ascii="楷体_GB2312" w:hint="eastAsia"/>
          <w:color w:val="auto"/>
        </w:rPr>
        <w:t>就</w:t>
      </w:r>
      <w:r w:rsidR="00EE1CC3" w:rsidRPr="00152A3D">
        <w:rPr>
          <w:rFonts w:ascii="楷体_GB2312" w:hint="eastAsia"/>
          <w:color w:val="auto"/>
        </w:rPr>
        <w:t>短</w:t>
      </w:r>
      <w:r w:rsidR="00EE1CC3" w:rsidRPr="009601EB">
        <w:rPr>
          <w:rFonts w:ascii="楷体_GB2312" w:hint="eastAsia"/>
          <w:color w:val="auto"/>
        </w:rPr>
        <w:t>期</w:t>
      </w:r>
      <w:r w:rsidR="00152A3D" w:rsidRPr="009601EB">
        <w:rPr>
          <w:rFonts w:ascii="楷体_GB2312" w:hint="eastAsia"/>
          <w:color w:val="auto"/>
        </w:rPr>
        <w:t>来看，</w:t>
      </w:r>
      <w:r w:rsidR="009601EB" w:rsidRPr="009601EB">
        <w:rPr>
          <w:rFonts w:ascii="楷体_GB2312" w:hint="eastAsia"/>
          <w:color w:val="auto"/>
        </w:rPr>
        <w:t>经济下行压力依然</w:t>
      </w:r>
      <w:r w:rsidR="005E396B">
        <w:rPr>
          <w:rFonts w:ascii="楷体_GB2312" w:hint="eastAsia"/>
          <w:color w:val="auto"/>
        </w:rPr>
        <w:t>存在</w:t>
      </w:r>
      <w:r w:rsidR="009601EB" w:rsidRPr="009601EB">
        <w:rPr>
          <w:rFonts w:ascii="楷体_GB2312" w:hint="eastAsia"/>
          <w:color w:val="auto"/>
        </w:rPr>
        <w:t>，</w:t>
      </w:r>
      <w:r w:rsidR="00D16E53" w:rsidRPr="00D16E53">
        <w:rPr>
          <w:rFonts w:ascii="楷体_GB2312" w:hint="eastAsia"/>
          <w:color w:val="auto"/>
        </w:rPr>
        <w:t>在经济数据</w:t>
      </w:r>
      <w:r w:rsidR="005E396B">
        <w:rPr>
          <w:rFonts w:ascii="楷体_GB2312" w:hint="eastAsia"/>
          <w:color w:val="auto"/>
        </w:rPr>
        <w:t>尚未</w:t>
      </w:r>
      <w:r w:rsidR="00D16E53" w:rsidRPr="00D16E53">
        <w:rPr>
          <w:rFonts w:ascii="楷体_GB2312" w:hint="eastAsia"/>
          <w:color w:val="auto"/>
        </w:rPr>
        <w:t>见底前，</w:t>
      </w:r>
      <w:proofErr w:type="gramStart"/>
      <w:r w:rsidR="005E396B">
        <w:rPr>
          <w:rFonts w:ascii="楷体_GB2312" w:hint="eastAsia"/>
          <w:color w:val="auto"/>
        </w:rPr>
        <w:t>稳增长</w:t>
      </w:r>
      <w:proofErr w:type="gramEnd"/>
      <w:r w:rsidR="005E396B">
        <w:rPr>
          <w:rFonts w:ascii="楷体_GB2312" w:hint="eastAsia"/>
          <w:color w:val="auto"/>
        </w:rPr>
        <w:t>的政策</w:t>
      </w:r>
      <w:r w:rsidR="00D16E53" w:rsidRPr="00D16E53">
        <w:rPr>
          <w:rFonts w:ascii="楷体_GB2312" w:hint="eastAsia"/>
          <w:color w:val="auto"/>
        </w:rPr>
        <w:t>措施</w:t>
      </w:r>
      <w:r w:rsidR="005E396B">
        <w:rPr>
          <w:rFonts w:ascii="楷体_GB2312" w:hint="eastAsia"/>
          <w:color w:val="auto"/>
        </w:rPr>
        <w:t>和力度仍然值得期待</w:t>
      </w:r>
      <w:r w:rsidR="009601EB" w:rsidRPr="009601EB">
        <w:rPr>
          <w:rFonts w:ascii="楷体_GB2312" w:hint="eastAsia"/>
          <w:color w:val="auto"/>
        </w:rPr>
        <w:t>。</w:t>
      </w:r>
      <w:r w:rsidR="005E396B">
        <w:rPr>
          <w:rFonts w:ascii="楷体_GB2312" w:hint="eastAsia"/>
          <w:color w:val="auto"/>
        </w:rPr>
        <w:t>与此同时</w:t>
      </w:r>
      <w:r w:rsidR="00D16E53" w:rsidRPr="005E396B">
        <w:rPr>
          <w:rFonts w:ascii="楷体_GB2312" w:hint="eastAsia"/>
          <w:color w:val="auto"/>
        </w:rPr>
        <w:t>资金</w:t>
      </w:r>
      <w:r w:rsidR="00F37C19">
        <w:rPr>
          <w:rFonts w:ascii="楷体_GB2312" w:hint="eastAsia"/>
          <w:color w:val="auto"/>
        </w:rPr>
        <w:t>面宽松的格局</w:t>
      </w:r>
      <w:r w:rsidR="005E396B">
        <w:rPr>
          <w:rFonts w:ascii="楷体_GB2312" w:hint="eastAsia"/>
          <w:color w:val="auto"/>
        </w:rPr>
        <w:t>未发生变化，除了资金利率的下行，</w:t>
      </w:r>
      <w:r w:rsidR="00D16E53" w:rsidRPr="005E396B">
        <w:rPr>
          <w:rFonts w:ascii="楷体_GB2312" w:hint="eastAsia"/>
          <w:color w:val="auto"/>
        </w:rPr>
        <w:t>内地与相关基金互认</w:t>
      </w:r>
      <w:r w:rsidR="005D79A9">
        <w:rPr>
          <w:rFonts w:ascii="楷体_GB2312" w:hint="eastAsia"/>
          <w:color w:val="auto"/>
        </w:rPr>
        <w:t>也</w:t>
      </w:r>
      <w:r w:rsidR="00D16E53" w:rsidRPr="005E396B">
        <w:rPr>
          <w:rFonts w:ascii="楷体_GB2312" w:hint="eastAsia"/>
          <w:color w:val="auto"/>
        </w:rPr>
        <w:t>有助A股国际化，</w:t>
      </w:r>
      <w:r w:rsidR="005E396B">
        <w:rPr>
          <w:rFonts w:ascii="楷体_GB2312" w:hint="eastAsia"/>
          <w:color w:val="auto"/>
        </w:rPr>
        <w:t>同时从</w:t>
      </w:r>
      <w:r w:rsidR="00D16E53" w:rsidRPr="005E396B">
        <w:rPr>
          <w:rFonts w:ascii="楷体_GB2312" w:hint="eastAsia"/>
          <w:color w:val="auto"/>
        </w:rPr>
        <w:t>公</w:t>
      </w:r>
      <w:proofErr w:type="gramStart"/>
      <w:r w:rsidR="00D16E53" w:rsidRPr="005E396B">
        <w:rPr>
          <w:rFonts w:ascii="楷体_GB2312" w:hint="eastAsia"/>
          <w:color w:val="auto"/>
        </w:rPr>
        <w:t>募基金</w:t>
      </w:r>
      <w:proofErr w:type="gramEnd"/>
      <w:r w:rsidR="005E396B">
        <w:rPr>
          <w:rFonts w:ascii="楷体_GB2312" w:hint="eastAsia"/>
          <w:color w:val="auto"/>
        </w:rPr>
        <w:t>近期的发行来看，动辄百亿的募集规模也有助于增量资金的加速</w:t>
      </w:r>
      <w:r w:rsidR="00D16E53" w:rsidRPr="005E396B">
        <w:rPr>
          <w:rFonts w:ascii="楷体_GB2312" w:hint="eastAsia"/>
          <w:color w:val="auto"/>
        </w:rPr>
        <w:t>入市</w:t>
      </w:r>
      <w:r w:rsidR="005E396B">
        <w:rPr>
          <w:rFonts w:ascii="楷体_GB2312" w:hint="eastAsia"/>
          <w:color w:val="auto"/>
        </w:rPr>
        <w:t>。</w:t>
      </w:r>
      <w:r w:rsidR="00753B4A" w:rsidRPr="005E396B">
        <w:rPr>
          <w:rFonts w:ascii="楷体_GB2312" w:hint="eastAsia"/>
          <w:color w:val="auto"/>
        </w:rPr>
        <w:t>但需要注意的是，</w:t>
      </w:r>
      <w:r w:rsidR="005E396B">
        <w:rPr>
          <w:rFonts w:ascii="楷体_GB2312" w:hint="eastAsia"/>
          <w:color w:val="auto"/>
        </w:rPr>
        <w:t>在市场快速上行的背景下，</w:t>
      </w:r>
      <w:r w:rsidR="008765A0" w:rsidRPr="005E396B">
        <w:rPr>
          <w:rFonts w:ascii="楷体_GB2312" w:hint="eastAsia"/>
          <w:color w:val="auto"/>
        </w:rPr>
        <w:t>证监会</w:t>
      </w:r>
      <w:r w:rsidR="005E396B">
        <w:rPr>
          <w:rFonts w:ascii="楷体_GB2312" w:hint="eastAsia"/>
          <w:color w:val="auto"/>
        </w:rPr>
        <w:t>也在通过加快股票供给、</w:t>
      </w:r>
      <w:r w:rsidR="00E64A7B" w:rsidRPr="005E396B">
        <w:rPr>
          <w:rFonts w:ascii="楷体_GB2312" w:hint="eastAsia"/>
          <w:color w:val="auto"/>
        </w:rPr>
        <w:t>持续加强对市场</w:t>
      </w:r>
      <w:r w:rsidR="008765A0" w:rsidRPr="005E396B">
        <w:rPr>
          <w:rFonts w:ascii="楷体_GB2312" w:hint="eastAsia"/>
          <w:color w:val="auto"/>
        </w:rPr>
        <w:t>违规事件</w:t>
      </w:r>
      <w:r w:rsidR="00E64A7B" w:rsidRPr="005E396B">
        <w:rPr>
          <w:rFonts w:ascii="楷体_GB2312" w:hint="eastAsia"/>
          <w:color w:val="auto"/>
        </w:rPr>
        <w:t>的</w:t>
      </w:r>
      <w:r w:rsidR="008765A0" w:rsidRPr="005E396B">
        <w:rPr>
          <w:rFonts w:ascii="楷体_GB2312" w:hint="eastAsia"/>
          <w:color w:val="auto"/>
        </w:rPr>
        <w:t>调查</w:t>
      </w:r>
      <w:r w:rsidR="005E396B">
        <w:rPr>
          <w:rFonts w:ascii="楷体_GB2312" w:hint="eastAsia"/>
          <w:color w:val="auto"/>
        </w:rPr>
        <w:t>来调节市场运行节奏</w:t>
      </w:r>
      <w:r w:rsidR="008765A0" w:rsidRPr="005E396B">
        <w:rPr>
          <w:rFonts w:ascii="楷体_GB2312" w:hint="eastAsia"/>
          <w:color w:val="auto"/>
        </w:rPr>
        <w:t>，</w:t>
      </w:r>
      <w:r w:rsidR="00D16E53" w:rsidRPr="005E396B">
        <w:rPr>
          <w:rFonts w:ascii="楷体_GB2312" w:hint="eastAsia"/>
          <w:color w:val="auto"/>
        </w:rPr>
        <w:t>短期来看政策</w:t>
      </w:r>
      <w:r w:rsidR="0087585B">
        <w:rPr>
          <w:rFonts w:ascii="楷体_GB2312" w:hint="eastAsia"/>
          <w:color w:val="auto"/>
        </w:rPr>
        <w:t>及消息面</w:t>
      </w:r>
      <w:r w:rsidR="00D16E53" w:rsidRPr="005E396B">
        <w:rPr>
          <w:rFonts w:ascii="楷体_GB2312" w:hint="eastAsia"/>
          <w:color w:val="auto"/>
        </w:rPr>
        <w:t>对A 股市场的调控及扰动加大，也</w:t>
      </w:r>
      <w:r w:rsidR="00E64A7B" w:rsidRPr="005E396B">
        <w:rPr>
          <w:rFonts w:ascii="楷体_GB2312" w:hint="eastAsia"/>
          <w:color w:val="auto"/>
        </w:rPr>
        <w:t>对</w:t>
      </w:r>
      <w:r w:rsidR="00F37C19">
        <w:rPr>
          <w:rFonts w:ascii="楷体_GB2312" w:hint="eastAsia"/>
          <w:color w:val="auto"/>
        </w:rPr>
        <w:t>短期</w:t>
      </w:r>
      <w:r w:rsidR="00E64A7B" w:rsidRPr="005E396B">
        <w:rPr>
          <w:rFonts w:ascii="楷体_GB2312" w:hint="eastAsia"/>
          <w:color w:val="auto"/>
        </w:rPr>
        <w:t>市场情绪</w:t>
      </w:r>
      <w:r w:rsidR="005D79A9">
        <w:rPr>
          <w:rFonts w:ascii="楷体_GB2312" w:hint="eastAsia"/>
          <w:color w:val="auto"/>
        </w:rPr>
        <w:t>以及增量资金入市</w:t>
      </w:r>
      <w:r w:rsidR="00E64A7B" w:rsidRPr="005E396B">
        <w:rPr>
          <w:rFonts w:ascii="楷体_GB2312" w:hint="eastAsia"/>
          <w:color w:val="auto"/>
        </w:rPr>
        <w:t>起到一定的抑制作用，</w:t>
      </w:r>
      <w:r w:rsidR="00D16E53" w:rsidRPr="005E396B">
        <w:rPr>
          <w:rFonts w:ascii="楷体_GB2312" w:hint="eastAsia"/>
          <w:color w:val="auto"/>
        </w:rPr>
        <w:t>尤其是</w:t>
      </w:r>
      <w:r w:rsidR="005E396B">
        <w:rPr>
          <w:rFonts w:ascii="楷体_GB2312" w:hint="eastAsia"/>
          <w:color w:val="auto"/>
        </w:rPr>
        <w:t>今年以来涨幅较大的创业板，</w:t>
      </w:r>
      <w:r w:rsidR="00E64A7B" w:rsidRPr="005E396B">
        <w:rPr>
          <w:rFonts w:ascii="楷体_GB2312" w:hint="eastAsia"/>
          <w:color w:val="auto"/>
        </w:rPr>
        <w:t>尽管代表经济结构转型的创业板具有广阔的发展前景以及政策支持，但也需防范</w:t>
      </w:r>
      <w:r w:rsidR="006A4685" w:rsidRPr="005E396B">
        <w:rPr>
          <w:rFonts w:ascii="楷体_GB2312" w:hint="eastAsia"/>
          <w:color w:val="auto"/>
        </w:rPr>
        <w:t>市场局部</w:t>
      </w:r>
      <w:r w:rsidR="00E64A7B" w:rsidRPr="005E396B">
        <w:rPr>
          <w:rFonts w:ascii="楷体_GB2312" w:hint="eastAsia"/>
          <w:color w:val="auto"/>
        </w:rPr>
        <w:t>震荡风险</w:t>
      </w:r>
      <w:r w:rsidR="00D16E53" w:rsidRPr="005E396B">
        <w:rPr>
          <w:rFonts w:ascii="楷体_GB2312" w:hint="eastAsia"/>
          <w:color w:val="auto"/>
        </w:rPr>
        <w:t>，尤其是需要规避无业绩支撑短期涨幅过高的个股。</w:t>
      </w:r>
    </w:p>
    <w:p w:rsidR="00EE1CC3" w:rsidRPr="00A97069" w:rsidRDefault="00F34FC7" w:rsidP="00EE1CC3">
      <w:pPr>
        <w:pStyle w:val="a0"/>
        <w:spacing w:line="240" w:lineRule="auto"/>
        <w:rPr>
          <w:rFonts w:ascii="楷体_GB2312"/>
          <w:b/>
          <w:color w:val="00B0F0"/>
        </w:rPr>
      </w:pPr>
      <w:r>
        <w:rPr>
          <w:rFonts w:ascii="楷体_GB2312" w:hint="eastAsia"/>
          <w:b/>
          <w:color w:val="00B0F0"/>
        </w:rPr>
        <w:lastRenderedPageBreak/>
        <w:t>基金投资：短期波折难免，</w:t>
      </w:r>
      <w:r w:rsidR="0089514D">
        <w:rPr>
          <w:rFonts w:ascii="楷体_GB2312" w:hint="eastAsia"/>
          <w:b/>
          <w:color w:val="00B0F0"/>
        </w:rPr>
        <w:t>改善</w:t>
      </w:r>
      <w:r>
        <w:rPr>
          <w:rFonts w:ascii="楷体_GB2312" w:hint="eastAsia"/>
          <w:b/>
          <w:color w:val="00B0F0"/>
        </w:rPr>
        <w:t>组合</w:t>
      </w:r>
      <w:r w:rsidR="0089514D">
        <w:rPr>
          <w:rFonts w:ascii="楷体_GB2312" w:hint="eastAsia"/>
          <w:b/>
          <w:color w:val="00B0F0"/>
        </w:rPr>
        <w:t>结构</w:t>
      </w:r>
    </w:p>
    <w:p w:rsidR="00314043" w:rsidRDefault="00EE1CC3" w:rsidP="00F13D5D">
      <w:pPr>
        <w:pStyle w:val="a0"/>
        <w:numPr>
          <w:ilvl w:val="4"/>
          <w:numId w:val="3"/>
        </w:numPr>
        <w:spacing w:line="240" w:lineRule="auto"/>
        <w:rPr>
          <w:rFonts w:ascii="楷体_GB2312"/>
          <w:color w:val="auto"/>
        </w:rPr>
      </w:pPr>
      <w:r w:rsidRPr="002332D7">
        <w:rPr>
          <w:rFonts w:ascii="楷体_GB2312" w:hint="eastAsia"/>
          <w:color w:val="auto"/>
        </w:rPr>
        <w:t>基于上述对宏观经济及A股市场的分析，</w:t>
      </w:r>
      <w:r w:rsidR="00F37C19">
        <w:rPr>
          <w:rFonts w:ascii="楷体_GB2312" w:hint="eastAsia"/>
          <w:color w:val="auto"/>
        </w:rPr>
        <w:t>当前</w:t>
      </w:r>
      <w:r w:rsidR="00DE251E">
        <w:rPr>
          <w:rFonts w:ascii="楷体_GB2312" w:hint="eastAsia"/>
          <w:color w:val="auto"/>
        </w:rPr>
        <w:t>市场</w:t>
      </w:r>
      <w:r w:rsidR="009A71DD">
        <w:rPr>
          <w:rFonts w:ascii="楷体_GB2312" w:hint="eastAsia"/>
          <w:color w:val="auto"/>
        </w:rPr>
        <w:t>已然处于高位，</w:t>
      </w:r>
      <w:r w:rsidR="00A86C31" w:rsidRPr="00A86C31">
        <w:rPr>
          <w:rFonts w:ascii="楷体_GB2312" w:hint="eastAsia"/>
          <w:color w:val="auto"/>
        </w:rPr>
        <w:t>市场自身调节</w:t>
      </w:r>
      <w:r w:rsidR="00A86C31">
        <w:rPr>
          <w:rFonts w:ascii="楷体_GB2312" w:hint="eastAsia"/>
          <w:color w:val="auto"/>
        </w:rPr>
        <w:t>以及消息面的</w:t>
      </w:r>
      <w:r w:rsidR="00A86C31" w:rsidRPr="00A86C31">
        <w:rPr>
          <w:rFonts w:ascii="楷体_GB2312" w:hint="eastAsia"/>
          <w:color w:val="auto"/>
        </w:rPr>
        <w:t>扰动</w:t>
      </w:r>
      <w:r w:rsidR="00A86C31">
        <w:rPr>
          <w:rFonts w:ascii="楷体_GB2312" w:hint="eastAsia"/>
          <w:color w:val="auto"/>
        </w:rPr>
        <w:t>使得</w:t>
      </w:r>
      <w:r w:rsidR="00DE251E">
        <w:rPr>
          <w:rFonts w:ascii="楷体_GB2312" w:hint="eastAsia"/>
          <w:color w:val="auto"/>
        </w:rPr>
        <w:t>震荡风险</w:t>
      </w:r>
      <w:r w:rsidR="009A71DD">
        <w:rPr>
          <w:rFonts w:ascii="楷体_GB2312" w:hint="eastAsia"/>
          <w:color w:val="auto"/>
        </w:rPr>
        <w:t>、尤其是</w:t>
      </w:r>
      <w:r w:rsidR="00DE251E">
        <w:rPr>
          <w:rFonts w:ascii="楷体_GB2312" w:hint="eastAsia"/>
          <w:color w:val="auto"/>
        </w:rPr>
        <w:t>结构性风险加剧</w:t>
      </w:r>
      <w:r>
        <w:rPr>
          <w:rFonts w:ascii="楷体_GB2312" w:hint="eastAsia"/>
          <w:color w:val="auto"/>
        </w:rPr>
        <w:t>，基金组合</w:t>
      </w:r>
      <w:r w:rsidR="009A71DD">
        <w:rPr>
          <w:rFonts w:ascii="楷体_GB2312" w:hint="eastAsia"/>
          <w:color w:val="auto"/>
        </w:rPr>
        <w:t>仍需要从组合结构角度增强安全边际、防患于未然</w:t>
      </w:r>
      <w:r>
        <w:rPr>
          <w:rFonts w:ascii="楷体_GB2312" w:hint="eastAsia"/>
          <w:color w:val="auto"/>
        </w:rPr>
        <w:t>，</w:t>
      </w:r>
      <w:r w:rsidR="009A71DD">
        <w:rPr>
          <w:rFonts w:ascii="楷体_GB2312" w:hint="eastAsia"/>
          <w:color w:val="auto"/>
        </w:rPr>
        <w:t>但</w:t>
      </w:r>
      <w:r w:rsidR="00A86C31">
        <w:rPr>
          <w:rFonts w:ascii="楷体_GB2312" w:hint="eastAsia"/>
          <w:color w:val="auto"/>
        </w:rPr>
        <w:t>牛市中</w:t>
      </w:r>
      <w:r w:rsidR="00A86C31" w:rsidRPr="00A86C31">
        <w:rPr>
          <w:rFonts w:ascii="楷体_GB2312" w:hint="eastAsia"/>
          <w:color w:val="auto"/>
        </w:rPr>
        <w:t>短期波折</w:t>
      </w:r>
      <w:r w:rsidR="00A86C31">
        <w:rPr>
          <w:rFonts w:ascii="楷体_GB2312" w:hint="eastAsia"/>
          <w:color w:val="auto"/>
        </w:rPr>
        <w:t>难免</w:t>
      </w:r>
      <w:r w:rsidR="00A86C31" w:rsidRPr="00A86C31">
        <w:rPr>
          <w:rFonts w:ascii="楷体_GB2312" w:hint="eastAsia"/>
          <w:color w:val="auto"/>
        </w:rPr>
        <w:t>，</w:t>
      </w:r>
      <w:r w:rsidR="007D5949">
        <w:rPr>
          <w:rFonts w:ascii="楷体_GB2312" w:hint="eastAsia"/>
          <w:color w:val="auto"/>
        </w:rPr>
        <w:t>维系</w:t>
      </w:r>
      <w:r w:rsidR="009A71DD">
        <w:rPr>
          <w:rFonts w:ascii="楷体_GB2312" w:hint="eastAsia"/>
          <w:color w:val="auto"/>
        </w:rPr>
        <w:t>牛市格局</w:t>
      </w:r>
      <w:r w:rsidR="007D5949">
        <w:rPr>
          <w:rFonts w:ascii="楷体_GB2312" w:hint="eastAsia"/>
          <w:color w:val="auto"/>
        </w:rPr>
        <w:t>的基础仍没有发生改变</w:t>
      </w:r>
      <w:r w:rsidR="009A71DD">
        <w:rPr>
          <w:rFonts w:ascii="楷体_GB2312" w:hint="eastAsia"/>
          <w:color w:val="auto"/>
        </w:rPr>
        <w:t>，尚不必进行</w:t>
      </w:r>
      <w:r w:rsidR="007D5949">
        <w:rPr>
          <w:rFonts w:ascii="楷体_GB2312" w:hint="eastAsia"/>
          <w:color w:val="auto"/>
        </w:rPr>
        <w:t>大类</w:t>
      </w:r>
      <w:r w:rsidR="009A71DD">
        <w:rPr>
          <w:rFonts w:ascii="楷体_GB2312" w:hint="eastAsia"/>
          <w:color w:val="auto"/>
        </w:rPr>
        <w:t>资产配置的调整</w:t>
      </w:r>
      <w:r>
        <w:rPr>
          <w:rFonts w:ascii="楷体_GB2312" w:hint="eastAsia"/>
          <w:color w:val="auto"/>
        </w:rPr>
        <w:t>。</w:t>
      </w:r>
      <w:r w:rsidR="00314043">
        <w:rPr>
          <w:rFonts w:ascii="楷体_GB2312" w:hint="eastAsia"/>
          <w:color w:val="auto"/>
        </w:rPr>
        <w:t>在具体的</w:t>
      </w:r>
      <w:r w:rsidR="007D5949">
        <w:rPr>
          <w:rFonts w:ascii="楷体_GB2312" w:hint="eastAsia"/>
          <w:color w:val="auto"/>
        </w:rPr>
        <w:t>产品选择</w:t>
      </w:r>
      <w:r w:rsidR="00314043">
        <w:rPr>
          <w:rFonts w:ascii="楷体_GB2312" w:hint="eastAsia"/>
          <w:color w:val="auto"/>
        </w:rPr>
        <w:t>上，我们</w:t>
      </w:r>
      <w:r w:rsidR="007D5949">
        <w:rPr>
          <w:rFonts w:ascii="楷体_GB2312" w:hint="eastAsia"/>
          <w:color w:val="auto"/>
        </w:rPr>
        <w:t>延续上一期的建议，重点</w:t>
      </w:r>
      <w:r w:rsidR="00314043">
        <w:rPr>
          <w:rFonts w:ascii="楷体_GB2312" w:hint="eastAsia"/>
          <w:color w:val="auto"/>
        </w:rPr>
        <w:t>关注以下几个方面，</w:t>
      </w:r>
      <w:r>
        <w:rPr>
          <w:rFonts w:ascii="楷体_GB2312" w:hint="eastAsia"/>
          <w:color w:val="auto"/>
        </w:rPr>
        <w:t>首先，</w:t>
      </w:r>
      <w:r w:rsidR="00C030E5">
        <w:rPr>
          <w:rFonts w:ascii="楷体_GB2312" w:hint="eastAsia"/>
          <w:color w:val="auto"/>
        </w:rPr>
        <w:t>关注持股与同业交叉较少</w:t>
      </w:r>
      <w:proofErr w:type="gramStart"/>
      <w:r w:rsidR="00C030E5">
        <w:rPr>
          <w:rFonts w:ascii="楷体_GB2312" w:hint="eastAsia"/>
          <w:color w:val="auto"/>
        </w:rPr>
        <w:t>且选股能力</w:t>
      </w:r>
      <w:proofErr w:type="gramEnd"/>
      <w:r w:rsidR="00C030E5">
        <w:rPr>
          <w:rFonts w:ascii="楷体_GB2312" w:hint="eastAsia"/>
          <w:color w:val="auto"/>
        </w:rPr>
        <w:t>突出的产品</w:t>
      </w:r>
      <w:r w:rsidR="006007CA">
        <w:rPr>
          <w:rFonts w:ascii="楷体_GB2312" w:hint="eastAsia"/>
          <w:color w:val="auto"/>
        </w:rPr>
        <w:t>，</w:t>
      </w:r>
      <w:r w:rsidR="00C030E5">
        <w:rPr>
          <w:rFonts w:ascii="楷体_GB2312" w:hint="eastAsia"/>
          <w:color w:val="auto"/>
        </w:rPr>
        <w:t>规避</w:t>
      </w:r>
      <w:r w:rsidR="00906C1C">
        <w:rPr>
          <w:rFonts w:ascii="楷体_GB2312" w:hint="eastAsia"/>
          <w:color w:val="auto"/>
        </w:rPr>
        <w:t>局部热点</w:t>
      </w:r>
      <w:r w:rsidR="00C030E5">
        <w:rPr>
          <w:rFonts w:ascii="楷体_GB2312" w:hint="eastAsia"/>
          <w:color w:val="auto"/>
        </w:rPr>
        <w:t>板块的回撤甚至踩踏</w:t>
      </w:r>
      <w:r w:rsidR="006007CA">
        <w:rPr>
          <w:rFonts w:ascii="楷体_GB2312" w:hint="eastAsia"/>
          <w:color w:val="auto"/>
        </w:rPr>
        <w:t>风险，</w:t>
      </w:r>
      <w:r w:rsidR="00906C1C">
        <w:rPr>
          <w:rFonts w:ascii="楷体_GB2312" w:hint="eastAsia"/>
          <w:color w:val="auto"/>
        </w:rPr>
        <w:t>事实来看今年以来仍有基金通过持有相对冷门的个股实现了突出的管理业绩，其当下较好的风险收益配比优势值得继续关注</w:t>
      </w:r>
      <w:r w:rsidR="006007CA">
        <w:rPr>
          <w:rFonts w:ascii="楷体_GB2312" w:hint="eastAsia"/>
          <w:color w:val="auto"/>
        </w:rPr>
        <w:t>；</w:t>
      </w:r>
      <w:r w:rsidR="007708F1">
        <w:rPr>
          <w:rFonts w:ascii="楷体_GB2312" w:hint="eastAsia"/>
          <w:color w:val="auto"/>
        </w:rPr>
        <w:t>其次，</w:t>
      </w:r>
      <w:r w:rsidR="006007CA">
        <w:rPr>
          <w:rFonts w:ascii="楷体_GB2312" w:hint="eastAsia"/>
          <w:color w:val="auto"/>
        </w:rPr>
        <w:t>结合基金重仓股平均</w:t>
      </w:r>
      <w:r w:rsidR="007708F1">
        <w:rPr>
          <w:rFonts w:ascii="楷体_GB2312" w:hint="eastAsia"/>
          <w:color w:val="auto"/>
        </w:rPr>
        <w:t>估值水平</w:t>
      </w:r>
      <w:r w:rsidR="00C030E5">
        <w:rPr>
          <w:rFonts w:ascii="楷体_GB2312" w:hint="eastAsia"/>
          <w:color w:val="auto"/>
        </w:rPr>
        <w:t>以及历史投资风格</w:t>
      </w:r>
      <w:r w:rsidR="00202E43">
        <w:rPr>
          <w:rFonts w:ascii="楷体_GB2312" w:hint="eastAsia"/>
          <w:color w:val="auto"/>
        </w:rPr>
        <w:t>,</w:t>
      </w:r>
      <w:r w:rsidR="006007CA">
        <w:rPr>
          <w:rFonts w:ascii="楷体_GB2312" w:hint="eastAsia"/>
          <w:color w:val="auto"/>
        </w:rPr>
        <w:t>选择选</w:t>
      </w:r>
      <w:proofErr w:type="gramStart"/>
      <w:r w:rsidR="006007CA">
        <w:rPr>
          <w:rFonts w:ascii="楷体_GB2312" w:hint="eastAsia"/>
          <w:color w:val="auto"/>
        </w:rPr>
        <w:t>股风格</w:t>
      </w:r>
      <w:proofErr w:type="gramEnd"/>
      <w:r w:rsidR="006007CA">
        <w:rPr>
          <w:rFonts w:ascii="楷体_GB2312" w:hint="eastAsia"/>
          <w:color w:val="auto"/>
        </w:rPr>
        <w:t>稳健尤其是立足中长期投资</w:t>
      </w:r>
      <w:r w:rsidR="00202E43">
        <w:rPr>
          <w:rFonts w:ascii="楷体_GB2312" w:hint="eastAsia"/>
          <w:color w:val="auto"/>
        </w:rPr>
        <w:t>的价值型基金</w:t>
      </w:r>
      <w:r w:rsidR="00B611DF">
        <w:rPr>
          <w:rFonts w:ascii="楷体_GB2312" w:hint="eastAsia"/>
          <w:color w:val="auto"/>
        </w:rPr>
        <w:t>，适当规避局部结构性估值风险；</w:t>
      </w:r>
      <w:r w:rsidR="00630996">
        <w:rPr>
          <w:rFonts w:ascii="楷体_GB2312" w:hint="eastAsia"/>
          <w:color w:val="auto"/>
        </w:rPr>
        <w:t>第三，</w:t>
      </w:r>
      <w:r w:rsidR="002F1768" w:rsidRPr="00836CCC">
        <w:rPr>
          <w:rFonts w:ascii="楷体_GB2312" w:hint="eastAsia"/>
          <w:color w:val="auto"/>
        </w:rPr>
        <w:t>优选灵活型产品进行配置</w:t>
      </w:r>
      <w:r w:rsidR="002F1768">
        <w:rPr>
          <w:rFonts w:ascii="楷体_GB2312" w:hint="eastAsia"/>
          <w:color w:val="auto"/>
        </w:rPr>
        <w:t>，</w:t>
      </w:r>
      <w:r w:rsidR="002F1768" w:rsidRPr="00836CCC">
        <w:rPr>
          <w:rFonts w:hint="eastAsia"/>
          <w:color w:val="auto"/>
        </w:rPr>
        <w:t>把握市场波动节奏</w:t>
      </w:r>
      <w:r w:rsidR="00906C1C">
        <w:rPr>
          <w:rFonts w:hint="eastAsia"/>
          <w:color w:val="auto"/>
        </w:rPr>
        <w:t>和投资机会的切换</w:t>
      </w:r>
      <w:r w:rsidR="00E914E9">
        <w:rPr>
          <w:rFonts w:ascii="楷体_GB2312" w:hint="eastAsia"/>
          <w:color w:val="auto"/>
        </w:rPr>
        <w:t>。</w:t>
      </w:r>
      <w:r w:rsidR="00274073">
        <w:rPr>
          <w:rFonts w:ascii="楷体_GB2312" w:hint="eastAsia"/>
          <w:color w:val="auto"/>
        </w:rPr>
        <w:t>具体来看：</w:t>
      </w:r>
    </w:p>
    <w:p w:rsidR="00983D6B" w:rsidRDefault="006403B4" w:rsidP="006403B4">
      <w:pPr>
        <w:pStyle w:val="a0"/>
        <w:numPr>
          <w:ilvl w:val="5"/>
          <w:numId w:val="36"/>
        </w:numPr>
        <w:spacing w:line="240" w:lineRule="auto"/>
        <w:ind w:left="4140" w:hanging="369"/>
        <w:rPr>
          <w:rFonts w:ascii="楷体_GB2312"/>
          <w:color w:val="auto"/>
        </w:rPr>
      </w:pPr>
      <w:r>
        <w:rPr>
          <w:rFonts w:ascii="楷体_GB2312" w:hint="eastAsia"/>
          <w:color w:val="auto"/>
        </w:rPr>
        <w:t>首先，</w:t>
      </w:r>
      <w:r w:rsidR="00773E46">
        <w:rPr>
          <w:rFonts w:ascii="楷体_GB2312" w:hint="eastAsia"/>
          <w:color w:val="auto"/>
        </w:rPr>
        <w:t>延续我们上一期的建议，目前来看</w:t>
      </w:r>
      <w:r>
        <w:rPr>
          <w:rFonts w:ascii="楷体_GB2312" w:hint="eastAsia"/>
          <w:color w:val="auto"/>
        </w:rPr>
        <w:t>基金</w:t>
      </w:r>
      <w:r w:rsidR="00773E46">
        <w:rPr>
          <w:rFonts w:ascii="楷体_GB2312" w:hint="eastAsia"/>
          <w:color w:val="auto"/>
        </w:rPr>
        <w:t>对于</w:t>
      </w:r>
      <w:r w:rsidR="00F45041">
        <w:rPr>
          <w:rFonts w:ascii="楷体_GB2312" w:hint="eastAsia"/>
          <w:color w:val="auto"/>
        </w:rPr>
        <w:t>信息技术</w:t>
      </w:r>
      <w:r w:rsidR="00773E46">
        <w:rPr>
          <w:rFonts w:ascii="楷体_GB2312" w:hint="eastAsia"/>
          <w:color w:val="auto"/>
        </w:rPr>
        <w:t>、创业</w:t>
      </w:r>
      <w:proofErr w:type="gramStart"/>
      <w:r w:rsidR="00773E46">
        <w:rPr>
          <w:rFonts w:ascii="楷体_GB2312" w:hint="eastAsia"/>
          <w:color w:val="auto"/>
        </w:rPr>
        <w:t>板股票</w:t>
      </w:r>
      <w:proofErr w:type="gramEnd"/>
      <w:r w:rsidR="00773E46">
        <w:rPr>
          <w:rFonts w:ascii="楷体_GB2312" w:hint="eastAsia"/>
          <w:color w:val="auto"/>
        </w:rPr>
        <w:t>的</w:t>
      </w:r>
      <w:r w:rsidR="00F45041">
        <w:rPr>
          <w:rFonts w:ascii="楷体_GB2312" w:hint="eastAsia"/>
          <w:color w:val="auto"/>
        </w:rPr>
        <w:t>配置比例</w:t>
      </w:r>
      <w:r w:rsidR="00773E46">
        <w:rPr>
          <w:rFonts w:ascii="楷体_GB2312" w:hint="eastAsia"/>
          <w:color w:val="auto"/>
        </w:rPr>
        <w:t>已经</w:t>
      </w:r>
      <w:r w:rsidR="00A6046A">
        <w:rPr>
          <w:rFonts w:ascii="楷体_GB2312" w:hint="eastAsia"/>
          <w:color w:val="auto"/>
        </w:rPr>
        <w:t>达到较高水平</w:t>
      </w:r>
      <w:r w:rsidR="00773E46">
        <w:rPr>
          <w:rFonts w:ascii="楷体_GB2312" w:hint="eastAsia"/>
          <w:color w:val="auto"/>
        </w:rPr>
        <w:t>，在当前</w:t>
      </w:r>
      <w:r w:rsidR="00731846">
        <w:rPr>
          <w:rFonts w:ascii="楷体_GB2312" w:hint="eastAsia"/>
          <w:color w:val="auto"/>
        </w:rPr>
        <w:t>热门板块</w:t>
      </w:r>
      <w:r w:rsidR="00773E46">
        <w:rPr>
          <w:rFonts w:ascii="楷体_GB2312" w:hint="eastAsia"/>
          <w:color w:val="auto"/>
        </w:rPr>
        <w:t>估值过高、回撤</w:t>
      </w:r>
      <w:r w:rsidR="00F45041">
        <w:rPr>
          <w:rFonts w:ascii="楷体_GB2312" w:hint="eastAsia"/>
          <w:color w:val="auto"/>
        </w:rPr>
        <w:t>风险较大的背景下，为避免市场下跌过程中的局部踩踏风险，投资者应适当规避在此类股票集中持有比例较高的基金，可关注持股与同业交叉较少</w:t>
      </w:r>
      <w:proofErr w:type="gramStart"/>
      <w:r w:rsidR="00F45041">
        <w:rPr>
          <w:rFonts w:ascii="楷体_GB2312" w:hint="eastAsia"/>
          <w:color w:val="auto"/>
        </w:rPr>
        <w:t>且选股能力</w:t>
      </w:r>
      <w:proofErr w:type="gramEnd"/>
      <w:r w:rsidR="00F45041">
        <w:rPr>
          <w:rFonts w:ascii="楷体_GB2312" w:hint="eastAsia"/>
          <w:color w:val="auto"/>
        </w:rPr>
        <w:t>突出的产品。</w:t>
      </w:r>
      <w:r w:rsidR="00773E46">
        <w:rPr>
          <w:rFonts w:ascii="楷体_GB2312" w:hint="eastAsia"/>
          <w:color w:val="auto"/>
        </w:rPr>
        <w:t>事实来看今年以来仍有基金通过持有相对冷门的个股实现了突出的管理业绩，其当下较好的风险收益配比优势值得继续关注</w:t>
      </w:r>
      <w:r w:rsidR="00A045E5">
        <w:rPr>
          <w:rFonts w:ascii="楷体_GB2312" w:hint="eastAsia"/>
          <w:color w:val="auto"/>
        </w:rPr>
        <w:t>。</w:t>
      </w:r>
    </w:p>
    <w:p w:rsidR="00F45041" w:rsidRDefault="00F45041" w:rsidP="006403B4">
      <w:pPr>
        <w:pStyle w:val="a0"/>
        <w:numPr>
          <w:ilvl w:val="5"/>
          <w:numId w:val="36"/>
        </w:numPr>
        <w:spacing w:line="240" w:lineRule="auto"/>
        <w:ind w:left="4140" w:hanging="369"/>
        <w:rPr>
          <w:rFonts w:ascii="楷体_GB2312"/>
          <w:color w:val="auto"/>
        </w:rPr>
      </w:pPr>
      <w:r>
        <w:rPr>
          <w:rFonts w:ascii="楷体_GB2312" w:hint="eastAsia"/>
          <w:color w:val="auto"/>
        </w:rPr>
        <w:t>在具体的产品选择上，我们主要结合基金</w:t>
      </w:r>
      <w:proofErr w:type="gramStart"/>
      <w:r>
        <w:rPr>
          <w:rFonts w:ascii="楷体_GB2312" w:hint="eastAsia"/>
          <w:color w:val="auto"/>
        </w:rPr>
        <w:t>一</w:t>
      </w:r>
      <w:proofErr w:type="gramEnd"/>
      <w:r>
        <w:rPr>
          <w:rFonts w:ascii="楷体_GB2312" w:hint="eastAsia"/>
          <w:color w:val="auto"/>
        </w:rPr>
        <w:t>季报披露的重仓股信息以及基金历史业绩、选</w:t>
      </w:r>
      <w:proofErr w:type="gramStart"/>
      <w:r>
        <w:rPr>
          <w:rFonts w:ascii="楷体_GB2312" w:hint="eastAsia"/>
          <w:color w:val="auto"/>
        </w:rPr>
        <w:t>股能力</w:t>
      </w:r>
      <w:proofErr w:type="gramEnd"/>
      <w:r>
        <w:rPr>
          <w:rFonts w:ascii="楷体_GB2312" w:hint="eastAsia"/>
          <w:color w:val="auto"/>
        </w:rPr>
        <w:t>指标进行筛选，</w:t>
      </w:r>
      <w:r w:rsidR="004C1C21">
        <w:rPr>
          <w:rFonts w:ascii="楷体_GB2312" w:hint="eastAsia"/>
          <w:color w:val="auto"/>
        </w:rPr>
        <w:t>下图表</w:t>
      </w:r>
      <w:r w:rsidR="00405CB0">
        <w:rPr>
          <w:rFonts w:ascii="楷体_GB2312" w:hint="eastAsia"/>
          <w:color w:val="auto"/>
        </w:rPr>
        <w:t>左</w:t>
      </w:r>
      <w:r w:rsidR="004C1C21">
        <w:rPr>
          <w:rFonts w:ascii="楷体_GB2312" w:hint="eastAsia"/>
          <w:color w:val="auto"/>
        </w:rPr>
        <w:t>中的纵轴代表基金选股能力，横轴为基金与同业交叉持股情况（重仓股平均被同业持有数量），同一基金经理管理的多</w:t>
      </w:r>
      <w:proofErr w:type="gramStart"/>
      <w:r w:rsidR="004C1C21">
        <w:rPr>
          <w:rFonts w:ascii="楷体_GB2312" w:hint="eastAsia"/>
          <w:color w:val="auto"/>
        </w:rPr>
        <w:t>只产品</w:t>
      </w:r>
      <w:proofErr w:type="gramEnd"/>
      <w:r w:rsidR="004C1C21">
        <w:rPr>
          <w:rFonts w:ascii="楷体_GB2312" w:hint="eastAsia"/>
          <w:color w:val="auto"/>
        </w:rPr>
        <w:t>只选择其中一只代表性产品</w:t>
      </w:r>
      <w:r>
        <w:rPr>
          <w:rFonts w:ascii="楷体_GB2312" w:hint="eastAsia"/>
          <w:color w:val="auto"/>
        </w:rPr>
        <w:t>。其中，我们重点推荐</w:t>
      </w:r>
      <w:r w:rsidR="004C1C21">
        <w:rPr>
          <w:rFonts w:ascii="楷体_GB2312" w:hint="eastAsia"/>
          <w:color w:val="auto"/>
        </w:rPr>
        <w:t>大摩主题、</w:t>
      </w:r>
      <w:proofErr w:type="gramStart"/>
      <w:r w:rsidR="004C1C21">
        <w:rPr>
          <w:rFonts w:ascii="楷体_GB2312" w:hint="eastAsia"/>
          <w:color w:val="auto"/>
        </w:rPr>
        <w:t>大摩多因子</w:t>
      </w:r>
      <w:proofErr w:type="gramEnd"/>
      <w:r w:rsidR="004C1C21">
        <w:rPr>
          <w:rFonts w:ascii="楷体_GB2312" w:hint="eastAsia"/>
          <w:color w:val="auto"/>
        </w:rPr>
        <w:t>、</w:t>
      </w:r>
      <w:proofErr w:type="gramStart"/>
      <w:r w:rsidR="004C1C21">
        <w:rPr>
          <w:rFonts w:ascii="楷体_GB2312" w:hint="eastAsia"/>
          <w:color w:val="auto"/>
        </w:rPr>
        <w:t>华商大盘</w:t>
      </w:r>
      <w:proofErr w:type="gramEnd"/>
      <w:r w:rsidR="004C1C21">
        <w:rPr>
          <w:rFonts w:ascii="楷体_GB2312" w:hint="eastAsia"/>
          <w:color w:val="auto"/>
        </w:rPr>
        <w:t>量化、中邮成长、</w:t>
      </w:r>
      <w:r w:rsidR="00731846">
        <w:rPr>
          <w:rFonts w:ascii="楷体_GB2312" w:hint="eastAsia"/>
          <w:color w:val="auto"/>
        </w:rPr>
        <w:t>交</w:t>
      </w:r>
      <w:proofErr w:type="gramStart"/>
      <w:r w:rsidR="00731846">
        <w:rPr>
          <w:rFonts w:ascii="楷体_GB2312" w:hint="eastAsia"/>
          <w:color w:val="auto"/>
        </w:rPr>
        <w:t>银先进</w:t>
      </w:r>
      <w:proofErr w:type="gramEnd"/>
      <w:r w:rsidR="00731846">
        <w:rPr>
          <w:rFonts w:ascii="楷体_GB2312" w:hint="eastAsia"/>
          <w:color w:val="auto"/>
        </w:rPr>
        <w:t>制造、南方盛元红利、中邮优势、金鹰核心资源、</w:t>
      </w:r>
      <w:r w:rsidR="004C1C21">
        <w:rPr>
          <w:rFonts w:ascii="楷体_GB2312" w:hint="eastAsia"/>
          <w:color w:val="auto"/>
        </w:rPr>
        <w:t>长盛电子信息、华商阿尔法等基金。</w:t>
      </w:r>
    </w:p>
    <w:tbl>
      <w:tblPr>
        <w:tblStyle w:val="GJStylesChartInsertDoubleCol"/>
        <w:tblW w:w="10771" w:type="dxa"/>
        <w:tblLayout w:type="fixed"/>
        <w:tblLook w:val="07E0" w:firstRow="1" w:lastRow="1" w:firstColumn="1" w:lastColumn="1" w:noHBand="1" w:noVBand="1"/>
      </w:tblPr>
      <w:tblGrid>
        <w:gridCol w:w="5273"/>
        <w:gridCol w:w="226"/>
        <w:gridCol w:w="1054"/>
        <w:gridCol w:w="1244"/>
        <w:gridCol w:w="865"/>
        <w:gridCol w:w="836"/>
        <w:gridCol w:w="1273"/>
      </w:tblGrid>
      <w:tr w:rsidR="00F45041" w:rsidTr="00405CB0">
        <w:tc>
          <w:tcPr>
            <w:cnfStyle w:val="001000000000" w:firstRow="0" w:lastRow="0" w:firstColumn="1" w:lastColumn="0" w:oddVBand="0" w:evenVBand="0" w:oddHBand="0" w:evenHBand="0" w:firstRowFirstColumn="0" w:firstRowLastColumn="0" w:lastRowFirstColumn="0" w:lastRowLastColumn="0"/>
            <w:tcW w:w="5273" w:type="dxa"/>
          </w:tcPr>
          <w:p w:rsidR="00F45041" w:rsidRPr="00F45041" w:rsidRDefault="00F45041" w:rsidP="0001708F">
            <w:pPr>
              <w:pStyle w:val="GJStylesGraphTitle"/>
            </w:pPr>
            <w:r>
              <w:rPr>
                <w:rFonts w:hint="eastAsia"/>
              </w:rPr>
              <w:t>图表</w:t>
            </w:r>
            <w:r w:rsidR="00C85D91">
              <w:fldChar w:fldCharType="begin"/>
            </w:r>
            <w:r w:rsidR="00C85D91">
              <w:instrText xml:space="preserve"> SEQ </w:instrText>
            </w:r>
            <w:r w:rsidR="00C85D91">
              <w:instrText>图表</w:instrText>
            </w:r>
            <w:r w:rsidR="00C85D91">
              <w:instrText xml:space="preserve"> \* ARABIC  \* MERGEFORMAT </w:instrText>
            </w:r>
            <w:r w:rsidR="00C85D91">
              <w:fldChar w:fldCharType="separate"/>
            </w:r>
            <w:r w:rsidR="00665430">
              <w:rPr>
                <w:noProof/>
              </w:rPr>
              <w:t>1</w:t>
            </w:r>
            <w:r w:rsidR="00C85D91">
              <w:rPr>
                <w:noProof/>
              </w:rPr>
              <w:fldChar w:fldCharType="end"/>
            </w:r>
            <w:r>
              <w:rPr>
                <w:rFonts w:hint="eastAsia"/>
              </w:rPr>
              <w:t>：</w:t>
            </w:r>
            <w:r w:rsidR="00C0573D">
              <w:rPr>
                <w:rFonts w:ascii="楷体_GB2312" w:hint="eastAsia"/>
                <w:color w:val="auto"/>
              </w:rPr>
              <w:t>与同业交叉持股较少</w:t>
            </w:r>
            <w:proofErr w:type="gramStart"/>
            <w:r w:rsidR="00C0573D">
              <w:rPr>
                <w:rFonts w:ascii="楷体_GB2312" w:hint="eastAsia"/>
                <w:color w:val="auto"/>
              </w:rPr>
              <w:t>且选股能力</w:t>
            </w:r>
            <w:proofErr w:type="gramEnd"/>
            <w:r w:rsidR="00C0573D">
              <w:rPr>
                <w:rFonts w:ascii="楷体_GB2312" w:hint="eastAsia"/>
                <w:color w:val="auto"/>
              </w:rPr>
              <w:t>突出的基金</w:t>
            </w:r>
          </w:p>
        </w:tc>
        <w:tc>
          <w:tcPr>
            <w:tcW w:w="226" w:type="dxa"/>
          </w:tcPr>
          <w:p w:rsidR="00F45041" w:rsidRDefault="00F45041" w:rsidP="00F45041">
            <w:pPr>
              <w:pStyle w:val="GJStylesGraphTitle"/>
              <w:cnfStyle w:val="000000000000" w:firstRow="0" w:lastRow="0" w:firstColumn="0" w:lastColumn="0" w:oddVBand="0" w:evenVBand="0" w:oddHBand="0" w:evenHBand="0" w:firstRowFirstColumn="0" w:firstRowLastColumn="0" w:lastRowFirstColumn="0" w:lastRowLastColumn="0"/>
              <w:rPr>
                <w:rFonts w:ascii="楷体_GB2312"/>
                <w:color w:val="auto"/>
              </w:rPr>
            </w:pPr>
          </w:p>
        </w:tc>
        <w:tc>
          <w:tcPr>
            <w:cnfStyle w:val="000100000000" w:firstRow="0" w:lastRow="0" w:firstColumn="0" w:lastColumn="1" w:oddVBand="0" w:evenVBand="0" w:oddHBand="0" w:evenHBand="0" w:firstRowFirstColumn="0" w:firstRowLastColumn="0" w:lastRowFirstColumn="0" w:lastRowLastColumn="0"/>
            <w:tcW w:w="5272" w:type="dxa"/>
            <w:gridSpan w:val="5"/>
            <w:tcBorders>
              <w:bottom w:val="single" w:sz="4" w:space="0" w:color="00B0F0"/>
            </w:tcBorders>
          </w:tcPr>
          <w:p w:rsidR="00F45041" w:rsidRDefault="00F45041" w:rsidP="00405CB0">
            <w:pPr>
              <w:pStyle w:val="GJStylesGraphTitle"/>
              <w:rPr>
                <w:rFonts w:ascii="楷体_GB2312"/>
                <w:color w:val="auto"/>
              </w:rPr>
            </w:pPr>
            <w:r>
              <w:rPr>
                <w:rFonts w:ascii="楷体_GB2312" w:hint="eastAsia"/>
                <w:color w:val="auto"/>
              </w:rPr>
              <w:t>图表</w:t>
            </w:r>
            <w:r w:rsidR="00C85D91">
              <w:fldChar w:fldCharType="begin"/>
            </w:r>
            <w:r w:rsidR="00C85D91">
              <w:instrText xml:space="preserve"> SEQ </w:instrText>
            </w:r>
            <w:r w:rsidR="00C85D91">
              <w:instrText>图表</w:instrText>
            </w:r>
            <w:r w:rsidR="00C85D91">
              <w:instrText xml:space="preserve"> \* ARABIC  \* MERGEFORMAT </w:instrText>
            </w:r>
            <w:r w:rsidR="00C85D91">
              <w:fldChar w:fldCharType="separate"/>
            </w:r>
            <w:r w:rsidR="00665430" w:rsidRPr="00665430">
              <w:rPr>
                <w:rFonts w:ascii="楷体_GB2312"/>
                <w:noProof/>
                <w:color w:val="auto"/>
              </w:rPr>
              <w:t>2</w:t>
            </w:r>
            <w:r w:rsidR="00C85D91">
              <w:rPr>
                <w:rFonts w:ascii="楷体_GB2312"/>
                <w:noProof/>
                <w:color w:val="auto"/>
              </w:rPr>
              <w:fldChar w:fldCharType="end"/>
            </w:r>
            <w:r>
              <w:rPr>
                <w:rFonts w:ascii="楷体_GB2312" w:hint="eastAsia"/>
                <w:color w:val="auto"/>
              </w:rPr>
              <w:t>：与同业交叉持股较少且</w:t>
            </w:r>
            <w:r w:rsidR="00405CB0">
              <w:rPr>
                <w:rFonts w:ascii="楷体_GB2312" w:hint="eastAsia"/>
                <w:color w:val="auto"/>
              </w:rPr>
              <w:t>今年管理业绩</w:t>
            </w:r>
            <w:r>
              <w:rPr>
                <w:rFonts w:ascii="楷体_GB2312" w:hint="eastAsia"/>
                <w:color w:val="auto"/>
              </w:rPr>
              <w:t>突出的基金</w:t>
            </w:r>
          </w:p>
        </w:tc>
      </w:tr>
      <w:tr w:rsidR="00405CB0" w:rsidTr="00405CB0">
        <w:trPr>
          <w:trHeight w:val="168"/>
        </w:trPr>
        <w:tc>
          <w:tcPr>
            <w:cnfStyle w:val="001000000000" w:firstRow="0" w:lastRow="0" w:firstColumn="1" w:lastColumn="0" w:oddVBand="0" w:evenVBand="0" w:oddHBand="0" w:evenHBand="0" w:firstRowFirstColumn="0" w:firstRowLastColumn="0" w:lastRowFirstColumn="0" w:lastRowLastColumn="0"/>
            <w:tcW w:w="5273" w:type="dxa"/>
            <w:vMerge w:val="restart"/>
          </w:tcPr>
          <w:p w:rsidR="00405CB0" w:rsidRPr="00F45041" w:rsidRDefault="00405CB0" w:rsidP="00F45041">
            <w:r>
              <w:rPr>
                <w:noProof/>
              </w:rPr>
              <w:drawing>
                <wp:inline distT="0" distB="0" distL="0" distR="0">
                  <wp:extent cx="3246665" cy="2018681"/>
                  <wp:effectExtent l="1905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3247610" cy="2019269"/>
                          </a:xfrm>
                          <a:prstGeom prst="rect">
                            <a:avLst/>
                          </a:prstGeom>
                          <a:noFill/>
                          <a:ln w="9525">
                            <a:noFill/>
                            <a:miter lim="800000"/>
                            <a:headEnd/>
                            <a:tailEnd/>
                          </a:ln>
                        </pic:spPr>
                      </pic:pic>
                    </a:graphicData>
                  </a:graphic>
                </wp:inline>
              </w:drawing>
            </w:r>
          </w:p>
        </w:tc>
        <w:tc>
          <w:tcPr>
            <w:tcW w:w="226" w:type="dxa"/>
            <w:vMerge w:val="restart"/>
          </w:tcPr>
          <w:p w:rsidR="00405CB0" w:rsidRDefault="00405CB0" w:rsidP="00F45041">
            <w:pPr>
              <w:pStyle w:val="a0"/>
              <w:spacing w:line="240" w:lineRule="auto"/>
              <w:ind w:left="0"/>
              <w:cnfStyle w:val="000000000000" w:firstRow="0" w:lastRow="0" w:firstColumn="0" w:lastColumn="0" w:oddVBand="0" w:evenVBand="0" w:oddHBand="0" w:evenHBand="0" w:firstRowFirstColumn="0" w:firstRowLastColumn="0" w:lastRowFirstColumn="0" w:lastRowLastColumn="0"/>
              <w:rPr>
                <w:rFonts w:ascii="楷体_GB2312"/>
                <w:color w:val="auto"/>
              </w:rPr>
            </w:pPr>
          </w:p>
        </w:tc>
        <w:tc>
          <w:tcPr>
            <w:tcW w:w="1054" w:type="dxa"/>
            <w:tcBorders>
              <w:top w:val="single" w:sz="4" w:space="0" w:color="00B0F0"/>
              <w:bottom w:val="single" w:sz="4" w:space="0" w:color="D9D9D9" w:themeColor="background1" w:themeShade="D9"/>
            </w:tcBorders>
            <w:vAlign w:val="center"/>
          </w:tcPr>
          <w:p w:rsidR="00405CB0" w:rsidRPr="00AC1A09" w:rsidRDefault="00405CB0" w:rsidP="00405CB0">
            <w:pPr>
              <w:jc w:val="center"/>
              <w:cnfStyle w:val="000000000000" w:firstRow="0" w:lastRow="0" w:firstColumn="0" w:lastColumn="0" w:oddVBand="0" w:evenVBand="0" w:oddHBand="0" w:evenHBand="0" w:firstRowFirstColumn="0" w:firstRowLastColumn="0" w:lastRowFirstColumn="0" w:lastRowLastColumn="0"/>
              <w:rPr>
                <w:szCs w:val="18"/>
              </w:rPr>
            </w:pPr>
            <w:r w:rsidRPr="00AC1A09">
              <w:rPr>
                <w:rFonts w:hint="eastAsia"/>
                <w:szCs w:val="18"/>
              </w:rPr>
              <w:t>代码</w:t>
            </w:r>
          </w:p>
        </w:tc>
        <w:tc>
          <w:tcPr>
            <w:tcW w:w="1244" w:type="dxa"/>
            <w:tcBorders>
              <w:top w:val="single" w:sz="4" w:space="0" w:color="00B0F0"/>
              <w:bottom w:val="single" w:sz="4" w:space="0" w:color="D9D9D9" w:themeColor="background1" w:themeShade="D9"/>
            </w:tcBorders>
            <w:vAlign w:val="center"/>
          </w:tcPr>
          <w:p w:rsidR="00405CB0" w:rsidRPr="00AC1A09" w:rsidRDefault="00405CB0" w:rsidP="00405CB0">
            <w:pPr>
              <w:jc w:val="center"/>
              <w:cnfStyle w:val="000000000000" w:firstRow="0" w:lastRow="0" w:firstColumn="0" w:lastColumn="0" w:oddVBand="0" w:evenVBand="0" w:oddHBand="0" w:evenHBand="0" w:firstRowFirstColumn="0" w:firstRowLastColumn="0" w:lastRowFirstColumn="0" w:lastRowLastColumn="0"/>
              <w:rPr>
                <w:szCs w:val="18"/>
              </w:rPr>
            </w:pPr>
            <w:r w:rsidRPr="00AC1A09">
              <w:rPr>
                <w:rFonts w:hint="eastAsia"/>
                <w:szCs w:val="18"/>
              </w:rPr>
              <w:t>基金名称</w:t>
            </w:r>
          </w:p>
        </w:tc>
        <w:tc>
          <w:tcPr>
            <w:tcW w:w="865" w:type="dxa"/>
            <w:tcBorders>
              <w:top w:val="single" w:sz="4" w:space="0" w:color="00B0F0"/>
              <w:bottom w:val="single" w:sz="4" w:space="0" w:color="D9D9D9" w:themeColor="background1" w:themeShade="D9"/>
            </w:tcBorders>
            <w:vAlign w:val="center"/>
          </w:tcPr>
          <w:p w:rsidR="00405CB0" w:rsidRPr="00AC1A09" w:rsidRDefault="00405CB0" w:rsidP="00AC1A09">
            <w:pPr>
              <w:jc w:val="center"/>
              <w:cnfStyle w:val="000000000000" w:firstRow="0" w:lastRow="0" w:firstColumn="0" w:lastColumn="0" w:oddVBand="0" w:evenVBand="0" w:oddHBand="0" w:evenHBand="0" w:firstRowFirstColumn="0" w:firstRowLastColumn="0" w:lastRowFirstColumn="0" w:lastRowLastColumn="0"/>
              <w:rPr>
                <w:szCs w:val="18"/>
              </w:rPr>
            </w:pPr>
            <w:r w:rsidRPr="00AC1A09">
              <w:rPr>
                <w:rFonts w:hint="eastAsia"/>
                <w:szCs w:val="18"/>
              </w:rPr>
              <w:t>今年</w:t>
            </w:r>
            <w:proofErr w:type="gramStart"/>
            <w:r w:rsidRPr="00AC1A09">
              <w:rPr>
                <w:rFonts w:hint="eastAsia"/>
                <w:szCs w:val="18"/>
              </w:rPr>
              <w:t>以来管理</w:t>
            </w:r>
            <w:proofErr w:type="gramEnd"/>
            <w:r w:rsidRPr="00AC1A09">
              <w:rPr>
                <w:rFonts w:hint="eastAsia"/>
                <w:szCs w:val="18"/>
              </w:rPr>
              <w:t>业绩</w:t>
            </w:r>
          </w:p>
        </w:tc>
        <w:tc>
          <w:tcPr>
            <w:tcW w:w="836" w:type="dxa"/>
            <w:tcBorders>
              <w:top w:val="single" w:sz="4" w:space="0" w:color="00B0F0"/>
              <w:bottom w:val="single" w:sz="4" w:space="0" w:color="D9D9D9" w:themeColor="background1" w:themeShade="D9"/>
            </w:tcBorders>
            <w:vAlign w:val="center"/>
          </w:tcPr>
          <w:p w:rsidR="00405CB0" w:rsidRPr="00AC1A09" w:rsidRDefault="00405CB0" w:rsidP="00405CB0">
            <w:pPr>
              <w:jc w:val="center"/>
              <w:cnfStyle w:val="000000000000" w:firstRow="0" w:lastRow="0" w:firstColumn="0" w:lastColumn="0" w:oddVBand="0" w:evenVBand="0" w:oddHBand="0" w:evenHBand="0" w:firstRowFirstColumn="0" w:firstRowLastColumn="0" w:lastRowFirstColumn="0" w:lastRowLastColumn="0"/>
              <w:rPr>
                <w:szCs w:val="18"/>
              </w:rPr>
            </w:pPr>
            <w:r w:rsidRPr="00AC1A09">
              <w:rPr>
                <w:rFonts w:hint="eastAsia"/>
                <w:szCs w:val="18"/>
              </w:rPr>
              <w:t>排名（</w:t>
            </w:r>
            <w:r w:rsidRPr="00AC1A09">
              <w:rPr>
                <w:rFonts w:hint="eastAsia"/>
                <w:szCs w:val="18"/>
              </w:rPr>
              <w:t>/841</w:t>
            </w:r>
            <w:r w:rsidRPr="00AC1A09">
              <w:rPr>
                <w:rFonts w:hint="eastAsia"/>
                <w:szCs w:val="18"/>
              </w:rPr>
              <w:t>）</w:t>
            </w:r>
          </w:p>
        </w:tc>
        <w:tc>
          <w:tcPr>
            <w:cnfStyle w:val="000100000000" w:firstRow="0" w:lastRow="0" w:firstColumn="0" w:lastColumn="1" w:oddVBand="0" w:evenVBand="0" w:oddHBand="0" w:evenHBand="0" w:firstRowFirstColumn="0" w:firstRowLastColumn="0" w:lastRowFirstColumn="0" w:lastRowLastColumn="0"/>
            <w:tcW w:w="1273" w:type="dxa"/>
            <w:tcBorders>
              <w:top w:val="single" w:sz="4" w:space="0" w:color="00B0F0"/>
              <w:bottom w:val="single" w:sz="4" w:space="0" w:color="D9D9D9" w:themeColor="background1" w:themeShade="D9"/>
            </w:tcBorders>
            <w:vAlign w:val="center"/>
          </w:tcPr>
          <w:p w:rsidR="00405CB0" w:rsidRPr="00AC1A09" w:rsidRDefault="00405CB0" w:rsidP="00405CB0">
            <w:pPr>
              <w:jc w:val="center"/>
              <w:rPr>
                <w:szCs w:val="18"/>
              </w:rPr>
            </w:pPr>
            <w:r w:rsidRPr="00AC1A09">
              <w:rPr>
                <w:rFonts w:hint="eastAsia"/>
                <w:szCs w:val="18"/>
              </w:rPr>
              <w:t>基金经理</w:t>
            </w:r>
          </w:p>
        </w:tc>
      </w:tr>
      <w:tr w:rsidR="00405CB0" w:rsidTr="00405CB0">
        <w:trPr>
          <w:trHeight w:val="159"/>
        </w:trPr>
        <w:tc>
          <w:tcPr>
            <w:cnfStyle w:val="001000000000" w:firstRow="0" w:lastRow="0" w:firstColumn="1" w:lastColumn="0" w:oddVBand="0" w:evenVBand="0" w:oddHBand="0" w:evenHBand="0" w:firstRowFirstColumn="0" w:firstRowLastColumn="0" w:lastRowFirstColumn="0" w:lastRowLastColumn="0"/>
            <w:tcW w:w="5273" w:type="dxa"/>
            <w:vMerge/>
          </w:tcPr>
          <w:p w:rsidR="00405CB0" w:rsidRPr="00C0573D" w:rsidRDefault="00405CB0" w:rsidP="00F45041">
            <w:pPr>
              <w:rPr>
                <w:noProof/>
              </w:rPr>
            </w:pPr>
          </w:p>
        </w:tc>
        <w:tc>
          <w:tcPr>
            <w:tcW w:w="226" w:type="dxa"/>
            <w:vMerge/>
          </w:tcPr>
          <w:p w:rsidR="00405CB0" w:rsidRDefault="00405CB0" w:rsidP="00F45041">
            <w:pPr>
              <w:pStyle w:val="a0"/>
              <w:spacing w:line="240" w:lineRule="auto"/>
              <w:ind w:left="0"/>
              <w:cnfStyle w:val="000000000000" w:firstRow="0" w:lastRow="0" w:firstColumn="0" w:lastColumn="0" w:oddVBand="0" w:evenVBand="0" w:oddHBand="0" w:evenHBand="0" w:firstRowFirstColumn="0" w:firstRowLastColumn="0" w:lastRowFirstColumn="0" w:lastRowLastColumn="0"/>
              <w:rPr>
                <w:rFonts w:ascii="楷体_GB2312"/>
                <w:color w:val="auto"/>
              </w:rPr>
            </w:pPr>
          </w:p>
        </w:tc>
        <w:tc>
          <w:tcPr>
            <w:tcW w:w="1054" w:type="dxa"/>
            <w:tcBorders>
              <w:top w:val="single" w:sz="4" w:space="0" w:color="D9D9D9" w:themeColor="background1" w:themeShade="D9"/>
              <w:bottom w:val="single" w:sz="4" w:space="0" w:color="D9D9D9" w:themeColor="background1" w:themeShade="D9"/>
            </w:tcBorders>
            <w:vAlign w:val="center"/>
          </w:tcPr>
          <w:p w:rsidR="00405CB0" w:rsidRPr="00405CB0" w:rsidRDefault="00405CB0" w:rsidP="00405CB0">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Cs w:val="18"/>
              </w:rPr>
            </w:pPr>
            <w:r w:rsidRPr="00405CB0">
              <w:rPr>
                <w:rFonts w:hint="eastAsia"/>
                <w:color w:val="000000"/>
                <w:szCs w:val="18"/>
              </w:rPr>
              <w:t>233011</w:t>
            </w:r>
          </w:p>
        </w:tc>
        <w:tc>
          <w:tcPr>
            <w:tcW w:w="1244" w:type="dxa"/>
            <w:tcBorders>
              <w:top w:val="single" w:sz="4" w:space="0" w:color="D9D9D9" w:themeColor="background1" w:themeShade="D9"/>
              <w:bottom w:val="single" w:sz="4" w:space="0" w:color="D9D9D9" w:themeColor="background1" w:themeShade="D9"/>
            </w:tcBorders>
            <w:vAlign w:val="center"/>
          </w:tcPr>
          <w:p w:rsidR="00405CB0" w:rsidRPr="00405CB0" w:rsidRDefault="00405CB0" w:rsidP="00405CB0">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Cs w:val="18"/>
              </w:rPr>
            </w:pPr>
            <w:r w:rsidRPr="00405CB0">
              <w:rPr>
                <w:rFonts w:hint="eastAsia"/>
                <w:color w:val="000000"/>
                <w:szCs w:val="18"/>
              </w:rPr>
              <w:t>大</w:t>
            </w:r>
            <w:proofErr w:type="gramStart"/>
            <w:r w:rsidRPr="00405CB0">
              <w:rPr>
                <w:rFonts w:hint="eastAsia"/>
                <w:color w:val="000000"/>
                <w:szCs w:val="18"/>
              </w:rPr>
              <w:t>摩主题</w:t>
            </w:r>
            <w:proofErr w:type="gramEnd"/>
            <w:r w:rsidRPr="00405CB0">
              <w:rPr>
                <w:rFonts w:hint="eastAsia"/>
                <w:color w:val="000000"/>
                <w:szCs w:val="18"/>
              </w:rPr>
              <w:t>优选</w:t>
            </w:r>
          </w:p>
        </w:tc>
        <w:tc>
          <w:tcPr>
            <w:tcW w:w="865" w:type="dxa"/>
            <w:tcBorders>
              <w:top w:val="single" w:sz="4" w:space="0" w:color="D9D9D9" w:themeColor="background1" w:themeShade="D9"/>
              <w:bottom w:val="single" w:sz="4" w:space="0" w:color="D9D9D9" w:themeColor="background1" w:themeShade="D9"/>
            </w:tcBorders>
            <w:vAlign w:val="center"/>
          </w:tcPr>
          <w:p w:rsidR="00405CB0" w:rsidRPr="00405CB0" w:rsidRDefault="00405CB0" w:rsidP="00405CB0">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Cs w:val="18"/>
              </w:rPr>
            </w:pPr>
            <w:r w:rsidRPr="00405CB0">
              <w:rPr>
                <w:rFonts w:hint="eastAsia"/>
                <w:color w:val="000000"/>
                <w:szCs w:val="18"/>
              </w:rPr>
              <w:t>125.95</w:t>
            </w:r>
          </w:p>
        </w:tc>
        <w:tc>
          <w:tcPr>
            <w:tcW w:w="836" w:type="dxa"/>
            <w:tcBorders>
              <w:top w:val="single" w:sz="4" w:space="0" w:color="D9D9D9" w:themeColor="background1" w:themeShade="D9"/>
              <w:bottom w:val="single" w:sz="4" w:space="0" w:color="D9D9D9" w:themeColor="background1" w:themeShade="D9"/>
            </w:tcBorders>
            <w:vAlign w:val="center"/>
          </w:tcPr>
          <w:p w:rsidR="00405CB0" w:rsidRPr="00405CB0" w:rsidRDefault="00405CB0" w:rsidP="00405CB0">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Cs w:val="18"/>
              </w:rPr>
            </w:pPr>
            <w:r w:rsidRPr="00405CB0">
              <w:rPr>
                <w:rFonts w:hint="eastAsia"/>
                <w:color w:val="000000"/>
                <w:szCs w:val="18"/>
              </w:rPr>
              <w:t>45</w:t>
            </w:r>
          </w:p>
        </w:tc>
        <w:tc>
          <w:tcPr>
            <w:cnfStyle w:val="000100000000" w:firstRow="0" w:lastRow="0" w:firstColumn="0" w:lastColumn="1" w:oddVBand="0" w:evenVBand="0" w:oddHBand="0" w:evenHBand="0" w:firstRowFirstColumn="0" w:firstRowLastColumn="0" w:lastRowFirstColumn="0" w:lastRowLastColumn="0"/>
            <w:tcW w:w="1273" w:type="dxa"/>
            <w:tcBorders>
              <w:top w:val="single" w:sz="4" w:space="0" w:color="D9D9D9" w:themeColor="background1" w:themeShade="D9"/>
              <w:bottom w:val="single" w:sz="4" w:space="0" w:color="D9D9D9" w:themeColor="background1" w:themeShade="D9"/>
            </w:tcBorders>
            <w:vAlign w:val="center"/>
          </w:tcPr>
          <w:p w:rsidR="00405CB0" w:rsidRPr="00405CB0" w:rsidRDefault="00405CB0" w:rsidP="00405CB0">
            <w:pPr>
              <w:jc w:val="center"/>
              <w:rPr>
                <w:rFonts w:ascii="宋体" w:eastAsia="宋体" w:hAnsi="宋体" w:cs="宋体"/>
                <w:color w:val="000000"/>
                <w:szCs w:val="18"/>
              </w:rPr>
            </w:pPr>
            <w:r w:rsidRPr="00405CB0">
              <w:rPr>
                <w:rFonts w:hint="eastAsia"/>
                <w:color w:val="000000"/>
                <w:szCs w:val="18"/>
              </w:rPr>
              <w:t>周志超</w:t>
            </w:r>
          </w:p>
        </w:tc>
      </w:tr>
      <w:tr w:rsidR="00405CB0" w:rsidTr="00405CB0">
        <w:trPr>
          <w:trHeight w:val="159"/>
        </w:trPr>
        <w:tc>
          <w:tcPr>
            <w:cnfStyle w:val="001000000000" w:firstRow="0" w:lastRow="0" w:firstColumn="1" w:lastColumn="0" w:oddVBand="0" w:evenVBand="0" w:oddHBand="0" w:evenHBand="0" w:firstRowFirstColumn="0" w:firstRowLastColumn="0" w:lastRowFirstColumn="0" w:lastRowLastColumn="0"/>
            <w:tcW w:w="5273" w:type="dxa"/>
            <w:vMerge/>
          </w:tcPr>
          <w:p w:rsidR="00405CB0" w:rsidRPr="00C0573D" w:rsidRDefault="00405CB0" w:rsidP="00F45041">
            <w:pPr>
              <w:rPr>
                <w:noProof/>
              </w:rPr>
            </w:pPr>
          </w:p>
        </w:tc>
        <w:tc>
          <w:tcPr>
            <w:tcW w:w="226" w:type="dxa"/>
            <w:vMerge/>
          </w:tcPr>
          <w:p w:rsidR="00405CB0" w:rsidRDefault="00405CB0" w:rsidP="00F45041">
            <w:pPr>
              <w:pStyle w:val="a0"/>
              <w:spacing w:line="240" w:lineRule="auto"/>
              <w:ind w:left="0"/>
              <w:cnfStyle w:val="000000000000" w:firstRow="0" w:lastRow="0" w:firstColumn="0" w:lastColumn="0" w:oddVBand="0" w:evenVBand="0" w:oddHBand="0" w:evenHBand="0" w:firstRowFirstColumn="0" w:firstRowLastColumn="0" w:lastRowFirstColumn="0" w:lastRowLastColumn="0"/>
              <w:rPr>
                <w:rFonts w:ascii="楷体_GB2312"/>
                <w:color w:val="auto"/>
              </w:rPr>
            </w:pPr>
          </w:p>
        </w:tc>
        <w:tc>
          <w:tcPr>
            <w:tcW w:w="1054" w:type="dxa"/>
            <w:tcBorders>
              <w:top w:val="single" w:sz="4" w:space="0" w:color="D9D9D9" w:themeColor="background1" w:themeShade="D9"/>
              <w:bottom w:val="single" w:sz="4" w:space="0" w:color="D9D9D9" w:themeColor="background1" w:themeShade="D9"/>
            </w:tcBorders>
            <w:vAlign w:val="center"/>
          </w:tcPr>
          <w:p w:rsidR="00405CB0" w:rsidRPr="00405CB0" w:rsidRDefault="00405CB0" w:rsidP="00405CB0">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Cs w:val="18"/>
              </w:rPr>
            </w:pPr>
            <w:r w:rsidRPr="00405CB0">
              <w:rPr>
                <w:rFonts w:hint="eastAsia"/>
                <w:color w:val="000000"/>
                <w:szCs w:val="18"/>
              </w:rPr>
              <w:t>519115</w:t>
            </w:r>
          </w:p>
        </w:tc>
        <w:tc>
          <w:tcPr>
            <w:tcW w:w="1244" w:type="dxa"/>
            <w:tcBorders>
              <w:top w:val="single" w:sz="4" w:space="0" w:color="D9D9D9" w:themeColor="background1" w:themeShade="D9"/>
              <w:bottom w:val="single" w:sz="4" w:space="0" w:color="D9D9D9" w:themeColor="background1" w:themeShade="D9"/>
            </w:tcBorders>
            <w:vAlign w:val="center"/>
          </w:tcPr>
          <w:p w:rsidR="00405CB0" w:rsidRPr="00405CB0" w:rsidRDefault="00405CB0" w:rsidP="00405CB0">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Cs w:val="18"/>
              </w:rPr>
            </w:pPr>
            <w:proofErr w:type="gramStart"/>
            <w:r w:rsidRPr="00405CB0">
              <w:rPr>
                <w:rFonts w:hint="eastAsia"/>
                <w:color w:val="000000"/>
                <w:szCs w:val="18"/>
              </w:rPr>
              <w:t>浦银安</w:t>
            </w:r>
            <w:proofErr w:type="gramEnd"/>
            <w:r w:rsidRPr="00405CB0">
              <w:rPr>
                <w:rFonts w:hint="eastAsia"/>
                <w:color w:val="000000"/>
                <w:szCs w:val="18"/>
              </w:rPr>
              <w:t>盛红利</w:t>
            </w:r>
          </w:p>
        </w:tc>
        <w:tc>
          <w:tcPr>
            <w:tcW w:w="865" w:type="dxa"/>
            <w:tcBorders>
              <w:top w:val="single" w:sz="4" w:space="0" w:color="D9D9D9" w:themeColor="background1" w:themeShade="D9"/>
              <w:bottom w:val="single" w:sz="4" w:space="0" w:color="D9D9D9" w:themeColor="background1" w:themeShade="D9"/>
            </w:tcBorders>
            <w:vAlign w:val="center"/>
          </w:tcPr>
          <w:p w:rsidR="00405CB0" w:rsidRPr="00405CB0" w:rsidRDefault="00405CB0" w:rsidP="00405CB0">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Cs w:val="18"/>
              </w:rPr>
            </w:pPr>
            <w:r w:rsidRPr="00405CB0">
              <w:rPr>
                <w:rFonts w:hint="eastAsia"/>
                <w:color w:val="000000"/>
                <w:szCs w:val="18"/>
              </w:rPr>
              <w:t>123.19</w:t>
            </w:r>
          </w:p>
        </w:tc>
        <w:tc>
          <w:tcPr>
            <w:tcW w:w="836" w:type="dxa"/>
            <w:tcBorders>
              <w:top w:val="single" w:sz="4" w:space="0" w:color="D9D9D9" w:themeColor="background1" w:themeShade="D9"/>
              <w:bottom w:val="single" w:sz="4" w:space="0" w:color="D9D9D9" w:themeColor="background1" w:themeShade="D9"/>
            </w:tcBorders>
            <w:vAlign w:val="center"/>
          </w:tcPr>
          <w:p w:rsidR="00405CB0" w:rsidRPr="00405CB0" w:rsidRDefault="00405CB0" w:rsidP="00405CB0">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Cs w:val="18"/>
              </w:rPr>
            </w:pPr>
            <w:r w:rsidRPr="00405CB0">
              <w:rPr>
                <w:rFonts w:hint="eastAsia"/>
                <w:color w:val="000000"/>
                <w:szCs w:val="18"/>
              </w:rPr>
              <w:t>57</w:t>
            </w:r>
          </w:p>
        </w:tc>
        <w:tc>
          <w:tcPr>
            <w:cnfStyle w:val="000100000000" w:firstRow="0" w:lastRow="0" w:firstColumn="0" w:lastColumn="1" w:oddVBand="0" w:evenVBand="0" w:oddHBand="0" w:evenHBand="0" w:firstRowFirstColumn="0" w:firstRowLastColumn="0" w:lastRowFirstColumn="0" w:lastRowLastColumn="0"/>
            <w:tcW w:w="1273" w:type="dxa"/>
            <w:tcBorders>
              <w:top w:val="single" w:sz="4" w:space="0" w:color="D9D9D9" w:themeColor="background1" w:themeShade="D9"/>
              <w:bottom w:val="single" w:sz="4" w:space="0" w:color="D9D9D9" w:themeColor="background1" w:themeShade="D9"/>
            </w:tcBorders>
            <w:vAlign w:val="center"/>
          </w:tcPr>
          <w:p w:rsidR="00405CB0" w:rsidRPr="00405CB0" w:rsidRDefault="00405CB0" w:rsidP="00405CB0">
            <w:pPr>
              <w:jc w:val="center"/>
              <w:rPr>
                <w:rFonts w:ascii="宋体" w:eastAsia="宋体" w:hAnsi="宋体" w:cs="宋体"/>
                <w:color w:val="000000"/>
                <w:szCs w:val="18"/>
              </w:rPr>
            </w:pPr>
            <w:r w:rsidRPr="00405CB0">
              <w:rPr>
                <w:rFonts w:hint="eastAsia"/>
                <w:color w:val="000000"/>
                <w:szCs w:val="18"/>
              </w:rPr>
              <w:t>吴勇</w:t>
            </w:r>
          </w:p>
        </w:tc>
      </w:tr>
      <w:tr w:rsidR="00405CB0" w:rsidTr="00405CB0">
        <w:trPr>
          <w:trHeight w:val="159"/>
        </w:trPr>
        <w:tc>
          <w:tcPr>
            <w:cnfStyle w:val="001000000000" w:firstRow="0" w:lastRow="0" w:firstColumn="1" w:lastColumn="0" w:oddVBand="0" w:evenVBand="0" w:oddHBand="0" w:evenHBand="0" w:firstRowFirstColumn="0" w:firstRowLastColumn="0" w:lastRowFirstColumn="0" w:lastRowLastColumn="0"/>
            <w:tcW w:w="5273" w:type="dxa"/>
            <w:vMerge/>
          </w:tcPr>
          <w:p w:rsidR="00405CB0" w:rsidRPr="00C0573D" w:rsidRDefault="00405CB0" w:rsidP="00F45041">
            <w:pPr>
              <w:rPr>
                <w:noProof/>
              </w:rPr>
            </w:pPr>
          </w:p>
        </w:tc>
        <w:tc>
          <w:tcPr>
            <w:tcW w:w="226" w:type="dxa"/>
            <w:vMerge/>
          </w:tcPr>
          <w:p w:rsidR="00405CB0" w:rsidRDefault="00405CB0" w:rsidP="00F45041">
            <w:pPr>
              <w:pStyle w:val="a0"/>
              <w:spacing w:line="240" w:lineRule="auto"/>
              <w:ind w:left="0"/>
              <w:cnfStyle w:val="000000000000" w:firstRow="0" w:lastRow="0" w:firstColumn="0" w:lastColumn="0" w:oddVBand="0" w:evenVBand="0" w:oddHBand="0" w:evenHBand="0" w:firstRowFirstColumn="0" w:firstRowLastColumn="0" w:lastRowFirstColumn="0" w:lastRowLastColumn="0"/>
              <w:rPr>
                <w:rFonts w:ascii="楷体_GB2312"/>
                <w:color w:val="auto"/>
              </w:rPr>
            </w:pPr>
          </w:p>
        </w:tc>
        <w:tc>
          <w:tcPr>
            <w:tcW w:w="1054" w:type="dxa"/>
            <w:tcBorders>
              <w:top w:val="single" w:sz="4" w:space="0" w:color="D9D9D9" w:themeColor="background1" w:themeShade="D9"/>
              <w:bottom w:val="single" w:sz="4" w:space="0" w:color="D9D9D9" w:themeColor="background1" w:themeShade="D9"/>
            </w:tcBorders>
            <w:vAlign w:val="center"/>
          </w:tcPr>
          <w:p w:rsidR="00405CB0" w:rsidRPr="00405CB0" w:rsidRDefault="00405CB0" w:rsidP="00405CB0">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Cs w:val="18"/>
              </w:rPr>
            </w:pPr>
            <w:r w:rsidRPr="00405CB0">
              <w:rPr>
                <w:rFonts w:hint="eastAsia"/>
                <w:color w:val="000000"/>
                <w:szCs w:val="18"/>
              </w:rPr>
              <w:t>000780</w:t>
            </w:r>
          </w:p>
        </w:tc>
        <w:tc>
          <w:tcPr>
            <w:tcW w:w="1244" w:type="dxa"/>
            <w:tcBorders>
              <w:top w:val="single" w:sz="4" w:space="0" w:color="D9D9D9" w:themeColor="background1" w:themeShade="D9"/>
              <w:bottom w:val="single" w:sz="4" w:space="0" w:color="D9D9D9" w:themeColor="background1" w:themeShade="D9"/>
            </w:tcBorders>
            <w:vAlign w:val="center"/>
          </w:tcPr>
          <w:p w:rsidR="00405CB0" w:rsidRPr="00405CB0" w:rsidRDefault="00405CB0" w:rsidP="00405CB0">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Cs w:val="18"/>
              </w:rPr>
            </w:pPr>
            <w:r w:rsidRPr="00405CB0">
              <w:rPr>
                <w:rFonts w:hint="eastAsia"/>
                <w:color w:val="000000"/>
                <w:szCs w:val="18"/>
              </w:rPr>
              <w:t>鹏</w:t>
            </w:r>
            <w:proofErr w:type="gramStart"/>
            <w:r w:rsidRPr="00405CB0">
              <w:rPr>
                <w:rFonts w:hint="eastAsia"/>
                <w:color w:val="000000"/>
                <w:szCs w:val="18"/>
              </w:rPr>
              <w:t>华医疗</w:t>
            </w:r>
            <w:proofErr w:type="gramEnd"/>
            <w:r w:rsidRPr="00405CB0">
              <w:rPr>
                <w:rFonts w:hint="eastAsia"/>
                <w:color w:val="000000"/>
                <w:szCs w:val="18"/>
              </w:rPr>
              <w:t>保健</w:t>
            </w:r>
          </w:p>
        </w:tc>
        <w:tc>
          <w:tcPr>
            <w:tcW w:w="865" w:type="dxa"/>
            <w:tcBorders>
              <w:top w:val="single" w:sz="4" w:space="0" w:color="D9D9D9" w:themeColor="background1" w:themeShade="D9"/>
              <w:bottom w:val="single" w:sz="4" w:space="0" w:color="D9D9D9" w:themeColor="background1" w:themeShade="D9"/>
            </w:tcBorders>
            <w:vAlign w:val="center"/>
          </w:tcPr>
          <w:p w:rsidR="00405CB0" w:rsidRPr="00405CB0" w:rsidRDefault="00405CB0" w:rsidP="00405CB0">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Cs w:val="18"/>
              </w:rPr>
            </w:pPr>
            <w:r w:rsidRPr="00405CB0">
              <w:rPr>
                <w:rFonts w:hint="eastAsia"/>
                <w:color w:val="000000"/>
                <w:szCs w:val="18"/>
              </w:rPr>
              <w:t>118.05</w:t>
            </w:r>
          </w:p>
        </w:tc>
        <w:tc>
          <w:tcPr>
            <w:tcW w:w="836" w:type="dxa"/>
            <w:tcBorders>
              <w:top w:val="single" w:sz="4" w:space="0" w:color="D9D9D9" w:themeColor="background1" w:themeShade="D9"/>
              <w:bottom w:val="single" w:sz="4" w:space="0" w:color="D9D9D9" w:themeColor="background1" w:themeShade="D9"/>
            </w:tcBorders>
            <w:vAlign w:val="center"/>
          </w:tcPr>
          <w:p w:rsidR="00405CB0" w:rsidRPr="00405CB0" w:rsidRDefault="00405CB0" w:rsidP="00405CB0">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Cs w:val="18"/>
              </w:rPr>
            </w:pPr>
            <w:r w:rsidRPr="00405CB0">
              <w:rPr>
                <w:rFonts w:hint="eastAsia"/>
                <w:color w:val="000000"/>
                <w:szCs w:val="18"/>
              </w:rPr>
              <w:t>69</w:t>
            </w:r>
          </w:p>
        </w:tc>
        <w:tc>
          <w:tcPr>
            <w:cnfStyle w:val="000100000000" w:firstRow="0" w:lastRow="0" w:firstColumn="0" w:lastColumn="1" w:oddVBand="0" w:evenVBand="0" w:oddHBand="0" w:evenHBand="0" w:firstRowFirstColumn="0" w:firstRowLastColumn="0" w:lastRowFirstColumn="0" w:lastRowLastColumn="0"/>
            <w:tcW w:w="1273" w:type="dxa"/>
            <w:tcBorders>
              <w:top w:val="single" w:sz="4" w:space="0" w:color="D9D9D9" w:themeColor="background1" w:themeShade="D9"/>
              <w:bottom w:val="single" w:sz="4" w:space="0" w:color="D9D9D9" w:themeColor="background1" w:themeShade="D9"/>
            </w:tcBorders>
            <w:vAlign w:val="center"/>
          </w:tcPr>
          <w:p w:rsidR="00405CB0" w:rsidRPr="00405CB0" w:rsidRDefault="00405CB0" w:rsidP="00405CB0">
            <w:pPr>
              <w:jc w:val="center"/>
              <w:rPr>
                <w:rFonts w:ascii="宋体" w:eastAsia="宋体" w:hAnsi="宋体" w:cs="宋体"/>
                <w:color w:val="000000"/>
                <w:szCs w:val="18"/>
              </w:rPr>
            </w:pPr>
            <w:r w:rsidRPr="00405CB0">
              <w:rPr>
                <w:rFonts w:hint="eastAsia"/>
                <w:color w:val="000000"/>
                <w:szCs w:val="18"/>
              </w:rPr>
              <w:t>梁冬</w:t>
            </w:r>
            <w:proofErr w:type="gramStart"/>
            <w:r w:rsidRPr="00405CB0">
              <w:rPr>
                <w:rFonts w:hint="eastAsia"/>
                <w:color w:val="000000"/>
                <w:szCs w:val="18"/>
              </w:rPr>
              <w:t>冬</w:t>
            </w:r>
            <w:proofErr w:type="gramEnd"/>
          </w:p>
        </w:tc>
      </w:tr>
      <w:tr w:rsidR="00405CB0" w:rsidTr="00405CB0">
        <w:trPr>
          <w:trHeight w:val="159"/>
        </w:trPr>
        <w:tc>
          <w:tcPr>
            <w:cnfStyle w:val="001000000000" w:firstRow="0" w:lastRow="0" w:firstColumn="1" w:lastColumn="0" w:oddVBand="0" w:evenVBand="0" w:oddHBand="0" w:evenHBand="0" w:firstRowFirstColumn="0" w:firstRowLastColumn="0" w:lastRowFirstColumn="0" w:lastRowLastColumn="0"/>
            <w:tcW w:w="5273" w:type="dxa"/>
            <w:vMerge/>
          </w:tcPr>
          <w:p w:rsidR="00405CB0" w:rsidRPr="00C0573D" w:rsidRDefault="00405CB0" w:rsidP="00F45041">
            <w:pPr>
              <w:rPr>
                <w:noProof/>
              </w:rPr>
            </w:pPr>
          </w:p>
        </w:tc>
        <w:tc>
          <w:tcPr>
            <w:tcW w:w="226" w:type="dxa"/>
            <w:vMerge/>
          </w:tcPr>
          <w:p w:rsidR="00405CB0" w:rsidRDefault="00405CB0" w:rsidP="00F45041">
            <w:pPr>
              <w:pStyle w:val="a0"/>
              <w:spacing w:line="240" w:lineRule="auto"/>
              <w:ind w:left="0"/>
              <w:cnfStyle w:val="000000000000" w:firstRow="0" w:lastRow="0" w:firstColumn="0" w:lastColumn="0" w:oddVBand="0" w:evenVBand="0" w:oddHBand="0" w:evenHBand="0" w:firstRowFirstColumn="0" w:firstRowLastColumn="0" w:lastRowFirstColumn="0" w:lastRowLastColumn="0"/>
              <w:rPr>
                <w:rFonts w:ascii="楷体_GB2312"/>
                <w:color w:val="auto"/>
              </w:rPr>
            </w:pPr>
          </w:p>
        </w:tc>
        <w:tc>
          <w:tcPr>
            <w:tcW w:w="1054" w:type="dxa"/>
            <w:tcBorders>
              <w:top w:val="single" w:sz="4" w:space="0" w:color="D9D9D9" w:themeColor="background1" w:themeShade="D9"/>
              <w:bottom w:val="single" w:sz="4" w:space="0" w:color="D9D9D9" w:themeColor="background1" w:themeShade="D9"/>
            </w:tcBorders>
            <w:vAlign w:val="center"/>
          </w:tcPr>
          <w:p w:rsidR="00405CB0" w:rsidRPr="00405CB0" w:rsidRDefault="00405CB0" w:rsidP="00405CB0">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Cs w:val="18"/>
              </w:rPr>
            </w:pPr>
            <w:r w:rsidRPr="00405CB0">
              <w:rPr>
                <w:rFonts w:hint="eastAsia"/>
                <w:color w:val="000000"/>
                <w:szCs w:val="18"/>
              </w:rPr>
              <w:t>000594</w:t>
            </w:r>
          </w:p>
        </w:tc>
        <w:tc>
          <w:tcPr>
            <w:tcW w:w="1244" w:type="dxa"/>
            <w:tcBorders>
              <w:top w:val="single" w:sz="4" w:space="0" w:color="D9D9D9" w:themeColor="background1" w:themeShade="D9"/>
              <w:bottom w:val="single" w:sz="4" w:space="0" w:color="D9D9D9" w:themeColor="background1" w:themeShade="D9"/>
            </w:tcBorders>
            <w:vAlign w:val="center"/>
          </w:tcPr>
          <w:p w:rsidR="00405CB0" w:rsidRPr="00405CB0" w:rsidRDefault="00405CB0" w:rsidP="00405CB0">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Cs w:val="18"/>
              </w:rPr>
            </w:pPr>
            <w:r w:rsidRPr="00405CB0">
              <w:rPr>
                <w:rFonts w:hint="eastAsia"/>
                <w:color w:val="000000"/>
                <w:szCs w:val="18"/>
              </w:rPr>
              <w:t>大摩进取优选</w:t>
            </w:r>
          </w:p>
        </w:tc>
        <w:tc>
          <w:tcPr>
            <w:tcW w:w="865" w:type="dxa"/>
            <w:tcBorders>
              <w:top w:val="single" w:sz="4" w:space="0" w:color="D9D9D9" w:themeColor="background1" w:themeShade="D9"/>
              <w:bottom w:val="single" w:sz="4" w:space="0" w:color="D9D9D9" w:themeColor="background1" w:themeShade="D9"/>
            </w:tcBorders>
            <w:vAlign w:val="center"/>
          </w:tcPr>
          <w:p w:rsidR="00405CB0" w:rsidRPr="00405CB0" w:rsidRDefault="00405CB0" w:rsidP="00405CB0">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Cs w:val="18"/>
              </w:rPr>
            </w:pPr>
            <w:r w:rsidRPr="00405CB0">
              <w:rPr>
                <w:rFonts w:hint="eastAsia"/>
                <w:color w:val="000000"/>
                <w:szCs w:val="18"/>
              </w:rPr>
              <w:t>113.61</w:t>
            </w:r>
          </w:p>
        </w:tc>
        <w:tc>
          <w:tcPr>
            <w:tcW w:w="836" w:type="dxa"/>
            <w:tcBorders>
              <w:top w:val="single" w:sz="4" w:space="0" w:color="D9D9D9" w:themeColor="background1" w:themeShade="D9"/>
              <w:bottom w:val="single" w:sz="4" w:space="0" w:color="D9D9D9" w:themeColor="background1" w:themeShade="D9"/>
            </w:tcBorders>
            <w:vAlign w:val="center"/>
          </w:tcPr>
          <w:p w:rsidR="00405CB0" w:rsidRPr="00405CB0" w:rsidRDefault="00405CB0" w:rsidP="00405CB0">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Cs w:val="18"/>
              </w:rPr>
            </w:pPr>
            <w:r w:rsidRPr="00405CB0">
              <w:rPr>
                <w:rFonts w:hint="eastAsia"/>
                <w:color w:val="000000"/>
                <w:szCs w:val="18"/>
              </w:rPr>
              <w:t>77</w:t>
            </w:r>
          </w:p>
        </w:tc>
        <w:tc>
          <w:tcPr>
            <w:cnfStyle w:val="000100000000" w:firstRow="0" w:lastRow="0" w:firstColumn="0" w:lastColumn="1" w:oddVBand="0" w:evenVBand="0" w:oddHBand="0" w:evenHBand="0" w:firstRowFirstColumn="0" w:firstRowLastColumn="0" w:lastRowFirstColumn="0" w:lastRowLastColumn="0"/>
            <w:tcW w:w="1273" w:type="dxa"/>
            <w:tcBorders>
              <w:top w:val="single" w:sz="4" w:space="0" w:color="D9D9D9" w:themeColor="background1" w:themeShade="D9"/>
              <w:bottom w:val="single" w:sz="4" w:space="0" w:color="D9D9D9" w:themeColor="background1" w:themeShade="D9"/>
            </w:tcBorders>
            <w:vAlign w:val="center"/>
          </w:tcPr>
          <w:p w:rsidR="00405CB0" w:rsidRPr="00405CB0" w:rsidRDefault="00405CB0" w:rsidP="00405CB0">
            <w:pPr>
              <w:jc w:val="center"/>
              <w:rPr>
                <w:rFonts w:ascii="宋体" w:eastAsia="宋体" w:hAnsi="宋体" w:cs="宋体"/>
                <w:color w:val="000000"/>
                <w:szCs w:val="18"/>
              </w:rPr>
            </w:pPr>
            <w:r w:rsidRPr="00405CB0">
              <w:rPr>
                <w:rFonts w:hint="eastAsia"/>
                <w:color w:val="000000"/>
                <w:szCs w:val="18"/>
              </w:rPr>
              <w:t>孙海波</w:t>
            </w:r>
          </w:p>
        </w:tc>
      </w:tr>
      <w:tr w:rsidR="00405CB0" w:rsidTr="00405CB0">
        <w:trPr>
          <w:trHeight w:val="159"/>
        </w:trPr>
        <w:tc>
          <w:tcPr>
            <w:cnfStyle w:val="001000000000" w:firstRow="0" w:lastRow="0" w:firstColumn="1" w:lastColumn="0" w:oddVBand="0" w:evenVBand="0" w:oddHBand="0" w:evenHBand="0" w:firstRowFirstColumn="0" w:firstRowLastColumn="0" w:lastRowFirstColumn="0" w:lastRowLastColumn="0"/>
            <w:tcW w:w="5273" w:type="dxa"/>
            <w:vMerge/>
          </w:tcPr>
          <w:p w:rsidR="00405CB0" w:rsidRPr="00C0573D" w:rsidRDefault="00405CB0" w:rsidP="00F45041">
            <w:pPr>
              <w:rPr>
                <w:noProof/>
              </w:rPr>
            </w:pPr>
          </w:p>
        </w:tc>
        <w:tc>
          <w:tcPr>
            <w:tcW w:w="226" w:type="dxa"/>
            <w:vMerge/>
          </w:tcPr>
          <w:p w:rsidR="00405CB0" w:rsidRDefault="00405CB0" w:rsidP="00F45041">
            <w:pPr>
              <w:pStyle w:val="a0"/>
              <w:spacing w:line="240" w:lineRule="auto"/>
              <w:ind w:left="0"/>
              <w:cnfStyle w:val="000000000000" w:firstRow="0" w:lastRow="0" w:firstColumn="0" w:lastColumn="0" w:oddVBand="0" w:evenVBand="0" w:oddHBand="0" w:evenHBand="0" w:firstRowFirstColumn="0" w:firstRowLastColumn="0" w:lastRowFirstColumn="0" w:lastRowLastColumn="0"/>
              <w:rPr>
                <w:rFonts w:ascii="楷体_GB2312"/>
                <w:color w:val="auto"/>
              </w:rPr>
            </w:pPr>
          </w:p>
        </w:tc>
        <w:tc>
          <w:tcPr>
            <w:tcW w:w="1054" w:type="dxa"/>
            <w:tcBorders>
              <w:top w:val="single" w:sz="4" w:space="0" w:color="D9D9D9" w:themeColor="background1" w:themeShade="D9"/>
              <w:bottom w:val="single" w:sz="4" w:space="0" w:color="D9D9D9" w:themeColor="background1" w:themeShade="D9"/>
            </w:tcBorders>
            <w:vAlign w:val="center"/>
          </w:tcPr>
          <w:p w:rsidR="00405CB0" w:rsidRPr="00405CB0" w:rsidRDefault="00405CB0" w:rsidP="00405CB0">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Cs w:val="18"/>
              </w:rPr>
            </w:pPr>
            <w:r w:rsidRPr="00405CB0">
              <w:rPr>
                <w:rFonts w:hint="eastAsia"/>
                <w:color w:val="000000"/>
                <w:szCs w:val="18"/>
              </w:rPr>
              <w:t>270050</w:t>
            </w:r>
          </w:p>
        </w:tc>
        <w:tc>
          <w:tcPr>
            <w:tcW w:w="1244" w:type="dxa"/>
            <w:tcBorders>
              <w:top w:val="single" w:sz="4" w:space="0" w:color="D9D9D9" w:themeColor="background1" w:themeShade="D9"/>
              <w:bottom w:val="single" w:sz="4" w:space="0" w:color="D9D9D9" w:themeColor="background1" w:themeShade="D9"/>
            </w:tcBorders>
            <w:vAlign w:val="center"/>
          </w:tcPr>
          <w:p w:rsidR="00405CB0" w:rsidRPr="00405CB0" w:rsidRDefault="00405CB0" w:rsidP="00405CB0">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Cs w:val="18"/>
              </w:rPr>
            </w:pPr>
            <w:r w:rsidRPr="00405CB0">
              <w:rPr>
                <w:rFonts w:hint="eastAsia"/>
                <w:color w:val="000000"/>
                <w:szCs w:val="18"/>
              </w:rPr>
              <w:t>广发新经济</w:t>
            </w:r>
          </w:p>
        </w:tc>
        <w:tc>
          <w:tcPr>
            <w:tcW w:w="865" w:type="dxa"/>
            <w:tcBorders>
              <w:top w:val="single" w:sz="4" w:space="0" w:color="D9D9D9" w:themeColor="background1" w:themeShade="D9"/>
              <w:bottom w:val="single" w:sz="4" w:space="0" w:color="D9D9D9" w:themeColor="background1" w:themeShade="D9"/>
            </w:tcBorders>
            <w:vAlign w:val="center"/>
          </w:tcPr>
          <w:p w:rsidR="00405CB0" w:rsidRPr="00405CB0" w:rsidRDefault="00405CB0" w:rsidP="00405CB0">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Cs w:val="18"/>
              </w:rPr>
            </w:pPr>
            <w:r w:rsidRPr="00405CB0">
              <w:rPr>
                <w:rFonts w:hint="eastAsia"/>
                <w:color w:val="000000"/>
                <w:szCs w:val="18"/>
              </w:rPr>
              <w:t>112.58</w:t>
            </w:r>
          </w:p>
        </w:tc>
        <w:tc>
          <w:tcPr>
            <w:tcW w:w="836" w:type="dxa"/>
            <w:tcBorders>
              <w:top w:val="single" w:sz="4" w:space="0" w:color="D9D9D9" w:themeColor="background1" w:themeShade="D9"/>
              <w:bottom w:val="single" w:sz="4" w:space="0" w:color="D9D9D9" w:themeColor="background1" w:themeShade="D9"/>
            </w:tcBorders>
            <w:vAlign w:val="center"/>
          </w:tcPr>
          <w:p w:rsidR="00405CB0" w:rsidRPr="00405CB0" w:rsidRDefault="00405CB0" w:rsidP="00405CB0">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Cs w:val="18"/>
              </w:rPr>
            </w:pPr>
            <w:r w:rsidRPr="00405CB0">
              <w:rPr>
                <w:rFonts w:hint="eastAsia"/>
                <w:color w:val="000000"/>
                <w:szCs w:val="18"/>
              </w:rPr>
              <w:t>79</w:t>
            </w:r>
          </w:p>
        </w:tc>
        <w:tc>
          <w:tcPr>
            <w:cnfStyle w:val="000100000000" w:firstRow="0" w:lastRow="0" w:firstColumn="0" w:lastColumn="1" w:oddVBand="0" w:evenVBand="0" w:oddHBand="0" w:evenHBand="0" w:firstRowFirstColumn="0" w:firstRowLastColumn="0" w:lastRowFirstColumn="0" w:lastRowLastColumn="0"/>
            <w:tcW w:w="1273" w:type="dxa"/>
            <w:tcBorders>
              <w:top w:val="single" w:sz="4" w:space="0" w:color="D9D9D9" w:themeColor="background1" w:themeShade="D9"/>
              <w:bottom w:val="single" w:sz="4" w:space="0" w:color="D9D9D9" w:themeColor="background1" w:themeShade="D9"/>
            </w:tcBorders>
            <w:vAlign w:val="center"/>
          </w:tcPr>
          <w:p w:rsidR="00405CB0" w:rsidRPr="00405CB0" w:rsidRDefault="00405CB0" w:rsidP="00405CB0">
            <w:pPr>
              <w:jc w:val="center"/>
              <w:rPr>
                <w:rFonts w:ascii="宋体" w:eastAsia="宋体" w:hAnsi="宋体" w:cs="宋体"/>
                <w:color w:val="000000"/>
                <w:szCs w:val="18"/>
              </w:rPr>
            </w:pPr>
            <w:r w:rsidRPr="00405CB0">
              <w:rPr>
                <w:rFonts w:hint="eastAsia"/>
                <w:color w:val="000000"/>
                <w:szCs w:val="18"/>
              </w:rPr>
              <w:t>李险峰</w:t>
            </w:r>
          </w:p>
        </w:tc>
      </w:tr>
      <w:tr w:rsidR="00405CB0" w:rsidTr="00405CB0">
        <w:trPr>
          <w:trHeight w:val="159"/>
        </w:trPr>
        <w:tc>
          <w:tcPr>
            <w:cnfStyle w:val="001000000000" w:firstRow="0" w:lastRow="0" w:firstColumn="1" w:lastColumn="0" w:oddVBand="0" w:evenVBand="0" w:oddHBand="0" w:evenHBand="0" w:firstRowFirstColumn="0" w:firstRowLastColumn="0" w:lastRowFirstColumn="0" w:lastRowLastColumn="0"/>
            <w:tcW w:w="5273" w:type="dxa"/>
            <w:vMerge/>
          </w:tcPr>
          <w:p w:rsidR="00405CB0" w:rsidRPr="00C0573D" w:rsidRDefault="00405CB0" w:rsidP="00F45041">
            <w:pPr>
              <w:rPr>
                <w:noProof/>
              </w:rPr>
            </w:pPr>
          </w:p>
        </w:tc>
        <w:tc>
          <w:tcPr>
            <w:tcW w:w="226" w:type="dxa"/>
            <w:vMerge/>
          </w:tcPr>
          <w:p w:rsidR="00405CB0" w:rsidRDefault="00405CB0" w:rsidP="00F45041">
            <w:pPr>
              <w:pStyle w:val="a0"/>
              <w:spacing w:line="240" w:lineRule="auto"/>
              <w:ind w:left="0"/>
              <w:cnfStyle w:val="000000000000" w:firstRow="0" w:lastRow="0" w:firstColumn="0" w:lastColumn="0" w:oddVBand="0" w:evenVBand="0" w:oddHBand="0" w:evenHBand="0" w:firstRowFirstColumn="0" w:firstRowLastColumn="0" w:lastRowFirstColumn="0" w:lastRowLastColumn="0"/>
              <w:rPr>
                <w:rFonts w:ascii="楷体_GB2312"/>
                <w:color w:val="auto"/>
              </w:rPr>
            </w:pPr>
          </w:p>
        </w:tc>
        <w:tc>
          <w:tcPr>
            <w:tcW w:w="1054" w:type="dxa"/>
            <w:tcBorders>
              <w:top w:val="single" w:sz="4" w:space="0" w:color="D9D9D9" w:themeColor="background1" w:themeShade="D9"/>
              <w:bottom w:val="single" w:sz="4" w:space="0" w:color="D9D9D9" w:themeColor="background1" w:themeShade="D9"/>
            </w:tcBorders>
            <w:vAlign w:val="center"/>
          </w:tcPr>
          <w:p w:rsidR="00405CB0" w:rsidRPr="00405CB0" w:rsidRDefault="00405CB0" w:rsidP="00405CB0">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Cs w:val="18"/>
              </w:rPr>
            </w:pPr>
            <w:r w:rsidRPr="00405CB0">
              <w:rPr>
                <w:rFonts w:hint="eastAsia"/>
                <w:color w:val="000000"/>
                <w:szCs w:val="18"/>
              </w:rPr>
              <w:t>210009</w:t>
            </w:r>
          </w:p>
        </w:tc>
        <w:tc>
          <w:tcPr>
            <w:tcW w:w="1244" w:type="dxa"/>
            <w:tcBorders>
              <w:top w:val="single" w:sz="4" w:space="0" w:color="D9D9D9" w:themeColor="background1" w:themeShade="D9"/>
              <w:bottom w:val="single" w:sz="4" w:space="0" w:color="D9D9D9" w:themeColor="background1" w:themeShade="D9"/>
            </w:tcBorders>
            <w:vAlign w:val="center"/>
          </w:tcPr>
          <w:p w:rsidR="00405CB0" w:rsidRPr="00405CB0" w:rsidRDefault="00405CB0" w:rsidP="00405CB0">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Cs w:val="18"/>
              </w:rPr>
            </w:pPr>
            <w:r w:rsidRPr="00405CB0">
              <w:rPr>
                <w:rFonts w:hint="eastAsia"/>
                <w:color w:val="000000"/>
                <w:szCs w:val="18"/>
              </w:rPr>
              <w:t>金鹰核心资源</w:t>
            </w:r>
          </w:p>
        </w:tc>
        <w:tc>
          <w:tcPr>
            <w:tcW w:w="865" w:type="dxa"/>
            <w:tcBorders>
              <w:top w:val="single" w:sz="4" w:space="0" w:color="D9D9D9" w:themeColor="background1" w:themeShade="D9"/>
              <w:bottom w:val="single" w:sz="4" w:space="0" w:color="D9D9D9" w:themeColor="background1" w:themeShade="D9"/>
            </w:tcBorders>
            <w:vAlign w:val="center"/>
          </w:tcPr>
          <w:p w:rsidR="00405CB0" w:rsidRPr="00405CB0" w:rsidRDefault="00405CB0" w:rsidP="00405CB0">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Cs w:val="18"/>
              </w:rPr>
            </w:pPr>
            <w:r w:rsidRPr="00405CB0">
              <w:rPr>
                <w:rFonts w:hint="eastAsia"/>
                <w:color w:val="000000"/>
                <w:szCs w:val="18"/>
              </w:rPr>
              <w:t>107.62</w:t>
            </w:r>
          </w:p>
        </w:tc>
        <w:tc>
          <w:tcPr>
            <w:tcW w:w="836" w:type="dxa"/>
            <w:tcBorders>
              <w:top w:val="single" w:sz="4" w:space="0" w:color="D9D9D9" w:themeColor="background1" w:themeShade="D9"/>
              <w:bottom w:val="single" w:sz="4" w:space="0" w:color="D9D9D9" w:themeColor="background1" w:themeShade="D9"/>
            </w:tcBorders>
            <w:vAlign w:val="center"/>
          </w:tcPr>
          <w:p w:rsidR="00405CB0" w:rsidRPr="00405CB0" w:rsidRDefault="00405CB0" w:rsidP="00405CB0">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Cs w:val="18"/>
              </w:rPr>
            </w:pPr>
            <w:r w:rsidRPr="00405CB0">
              <w:rPr>
                <w:rFonts w:hint="eastAsia"/>
                <w:color w:val="000000"/>
                <w:szCs w:val="18"/>
              </w:rPr>
              <w:t>98</w:t>
            </w:r>
          </w:p>
        </w:tc>
        <w:tc>
          <w:tcPr>
            <w:cnfStyle w:val="000100000000" w:firstRow="0" w:lastRow="0" w:firstColumn="0" w:lastColumn="1" w:oddVBand="0" w:evenVBand="0" w:oddHBand="0" w:evenHBand="0" w:firstRowFirstColumn="0" w:firstRowLastColumn="0" w:lastRowFirstColumn="0" w:lastRowLastColumn="0"/>
            <w:tcW w:w="1273" w:type="dxa"/>
            <w:tcBorders>
              <w:top w:val="single" w:sz="4" w:space="0" w:color="D9D9D9" w:themeColor="background1" w:themeShade="D9"/>
              <w:bottom w:val="single" w:sz="4" w:space="0" w:color="D9D9D9" w:themeColor="background1" w:themeShade="D9"/>
            </w:tcBorders>
            <w:vAlign w:val="center"/>
          </w:tcPr>
          <w:p w:rsidR="00405CB0" w:rsidRPr="00405CB0" w:rsidRDefault="00405CB0" w:rsidP="00405CB0">
            <w:pPr>
              <w:jc w:val="center"/>
              <w:rPr>
                <w:rFonts w:ascii="宋体" w:eastAsia="宋体" w:hAnsi="宋体" w:cs="宋体"/>
                <w:color w:val="000000"/>
                <w:szCs w:val="18"/>
              </w:rPr>
            </w:pPr>
            <w:r w:rsidRPr="00405CB0">
              <w:rPr>
                <w:rFonts w:hint="eastAsia"/>
                <w:color w:val="000000"/>
                <w:szCs w:val="18"/>
              </w:rPr>
              <w:t>冼鸿鹏</w:t>
            </w:r>
            <w:r w:rsidRPr="00405CB0">
              <w:rPr>
                <w:rFonts w:hint="eastAsia"/>
                <w:color w:val="000000"/>
                <w:szCs w:val="18"/>
              </w:rPr>
              <w:t>,</w:t>
            </w:r>
            <w:r w:rsidRPr="00405CB0">
              <w:rPr>
                <w:rFonts w:hint="eastAsia"/>
                <w:color w:val="000000"/>
                <w:szCs w:val="18"/>
              </w:rPr>
              <w:t>杨刚</w:t>
            </w:r>
          </w:p>
        </w:tc>
      </w:tr>
      <w:tr w:rsidR="00405CB0" w:rsidTr="00405CB0">
        <w:trPr>
          <w:trHeight w:val="159"/>
        </w:trPr>
        <w:tc>
          <w:tcPr>
            <w:cnfStyle w:val="001000000000" w:firstRow="0" w:lastRow="0" w:firstColumn="1" w:lastColumn="0" w:oddVBand="0" w:evenVBand="0" w:oddHBand="0" w:evenHBand="0" w:firstRowFirstColumn="0" w:firstRowLastColumn="0" w:lastRowFirstColumn="0" w:lastRowLastColumn="0"/>
            <w:tcW w:w="5273" w:type="dxa"/>
            <w:vMerge/>
          </w:tcPr>
          <w:p w:rsidR="00405CB0" w:rsidRPr="00C0573D" w:rsidRDefault="00405CB0" w:rsidP="00F45041">
            <w:pPr>
              <w:rPr>
                <w:noProof/>
              </w:rPr>
            </w:pPr>
          </w:p>
        </w:tc>
        <w:tc>
          <w:tcPr>
            <w:tcW w:w="226" w:type="dxa"/>
            <w:vMerge/>
          </w:tcPr>
          <w:p w:rsidR="00405CB0" w:rsidRDefault="00405CB0" w:rsidP="00F45041">
            <w:pPr>
              <w:pStyle w:val="a0"/>
              <w:spacing w:line="240" w:lineRule="auto"/>
              <w:ind w:left="0"/>
              <w:cnfStyle w:val="000000000000" w:firstRow="0" w:lastRow="0" w:firstColumn="0" w:lastColumn="0" w:oddVBand="0" w:evenVBand="0" w:oddHBand="0" w:evenHBand="0" w:firstRowFirstColumn="0" w:firstRowLastColumn="0" w:lastRowFirstColumn="0" w:lastRowLastColumn="0"/>
              <w:rPr>
                <w:rFonts w:ascii="楷体_GB2312"/>
                <w:color w:val="auto"/>
              </w:rPr>
            </w:pPr>
          </w:p>
        </w:tc>
        <w:tc>
          <w:tcPr>
            <w:tcW w:w="1054" w:type="dxa"/>
            <w:tcBorders>
              <w:top w:val="single" w:sz="4" w:space="0" w:color="D9D9D9" w:themeColor="background1" w:themeShade="D9"/>
              <w:bottom w:val="single" w:sz="4" w:space="0" w:color="D9D9D9" w:themeColor="background1" w:themeShade="D9"/>
            </w:tcBorders>
            <w:vAlign w:val="center"/>
          </w:tcPr>
          <w:p w:rsidR="00405CB0" w:rsidRPr="00405CB0" w:rsidRDefault="00405CB0" w:rsidP="00405CB0">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Cs w:val="18"/>
              </w:rPr>
            </w:pPr>
            <w:r w:rsidRPr="00405CB0">
              <w:rPr>
                <w:rFonts w:hint="eastAsia"/>
                <w:color w:val="000000"/>
                <w:szCs w:val="18"/>
              </w:rPr>
              <w:t>202009</w:t>
            </w:r>
          </w:p>
        </w:tc>
        <w:tc>
          <w:tcPr>
            <w:tcW w:w="1244" w:type="dxa"/>
            <w:tcBorders>
              <w:top w:val="single" w:sz="4" w:space="0" w:color="D9D9D9" w:themeColor="background1" w:themeShade="D9"/>
              <w:bottom w:val="single" w:sz="4" w:space="0" w:color="D9D9D9" w:themeColor="background1" w:themeShade="D9"/>
            </w:tcBorders>
            <w:vAlign w:val="center"/>
          </w:tcPr>
          <w:p w:rsidR="00405CB0" w:rsidRPr="00405CB0" w:rsidRDefault="00405CB0" w:rsidP="00405CB0">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Cs w:val="18"/>
              </w:rPr>
            </w:pPr>
            <w:r w:rsidRPr="00405CB0">
              <w:rPr>
                <w:rFonts w:hint="eastAsia"/>
                <w:color w:val="000000"/>
                <w:szCs w:val="18"/>
              </w:rPr>
              <w:t>南方盛元红利</w:t>
            </w:r>
          </w:p>
        </w:tc>
        <w:tc>
          <w:tcPr>
            <w:tcW w:w="865" w:type="dxa"/>
            <w:tcBorders>
              <w:top w:val="single" w:sz="4" w:space="0" w:color="D9D9D9" w:themeColor="background1" w:themeShade="D9"/>
              <w:bottom w:val="single" w:sz="4" w:space="0" w:color="D9D9D9" w:themeColor="background1" w:themeShade="D9"/>
            </w:tcBorders>
            <w:vAlign w:val="center"/>
          </w:tcPr>
          <w:p w:rsidR="00405CB0" w:rsidRPr="00405CB0" w:rsidRDefault="00405CB0" w:rsidP="00405CB0">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Cs w:val="18"/>
              </w:rPr>
            </w:pPr>
            <w:r w:rsidRPr="00405CB0">
              <w:rPr>
                <w:rFonts w:hint="eastAsia"/>
                <w:color w:val="000000"/>
                <w:szCs w:val="18"/>
              </w:rPr>
              <w:t>107.04</w:t>
            </w:r>
          </w:p>
        </w:tc>
        <w:tc>
          <w:tcPr>
            <w:tcW w:w="836" w:type="dxa"/>
            <w:tcBorders>
              <w:top w:val="single" w:sz="4" w:space="0" w:color="D9D9D9" w:themeColor="background1" w:themeShade="D9"/>
              <w:bottom w:val="single" w:sz="4" w:space="0" w:color="D9D9D9" w:themeColor="background1" w:themeShade="D9"/>
            </w:tcBorders>
            <w:vAlign w:val="center"/>
          </w:tcPr>
          <w:p w:rsidR="00405CB0" w:rsidRPr="00405CB0" w:rsidRDefault="00405CB0" w:rsidP="00405CB0">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Cs w:val="18"/>
              </w:rPr>
            </w:pPr>
            <w:r w:rsidRPr="00405CB0">
              <w:rPr>
                <w:rFonts w:hint="eastAsia"/>
                <w:color w:val="000000"/>
                <w:szCs w:val="18"/>
              </w:rPr>
              <w:t>102</w:t>
            </w:r>
          </w:p>
        </w:tc>
        <w:tc>
          <w:tcPr>
            <w:cnfStyle w:val="000100000000" w:firstRow="0" w:lastRow="0" w:firstColumn="0" w:lastColumn="1" w:oddVBand="0" w:evenVBand="0" w:oddHBand="0" w:evenHBand="0" w:firstRowFirstColumn="0" w:firstRowLastColumn="0" w:lastRowFirstColumn="0" w:lastRowLastColumn="0"/>
            <w:tcW w:w="1273" w:type="dxa"/>
            <w:tcBorders>
              <w:top w:val="single" w:sz="4" w:space="0" w:color="D9D9D9" w:themeColor="background1" w:themeShade="D9"/>
              <w:bottom w:val="single" w:sz="4" w:space="0" w:color="D9D9D9" w:themeColor="background1" w:themeShade="D9"/>
            </w:tcBorders>
            <w:vAlign w:val="center"/>
          </w:tcPr>
          <w:p w:rsidR="00405CB0" w:rsidRPr="00405CB0" w:rsidRDefault="00405CB0" w:rsidP="00405CB0">
            <w:pPr>
              <w:jc w:val="center"/>
              <w:rPr>
                <w:rFonts w:ascii="宋体" w:eastAsia="宋体" w:hAnsi="宋体" w:cs="宋体"/>
                <w:color w:val="000000"/>
                <w:szCs w:val="18"/>
              </w:rPr>
            </w:pPr>
            <w:r w:rsidRPr="00405CB0">
              <w:rPr>
                <w:rFonts w:hint="eastAsia"/>
                <w:color w:val="000000"/>
                <w:szCs w:val="18"/>
              </w:rPr>
              <w:t>张旭</w:t>
            </w:r>
          </w:p>
        </w:tc>
      </w:tr>
      <w:tr w:rsidR="00405CB0" w:rsidTr="00405CB0">
        <w:trPr>
          <w:trHeight w:val="159"/>
        </w:trPr>
        <w:tc>
          <w:tcPr>
            <w:cnfStyle w:val="001000000000" w:firstRow="0" w:lastRow="0" w:firstColumn="1" w:lastColumn="0" w:oddVBand="0" w:evenVBand="0" w:oddHBand="0" w:evenHBand="0" w:firstRowFirstColumn="0" w:firstRowLastColumn="0" w:lastRowFirstColumn="0" w:lastRowLastColumn="0"/>
            <w:tcW w:w="5273" w:type="dxa"/>
            <w:vMerge/>
          </w:tcPr>
          <w:p w:rsidR="00405CB0" w:rsidRPr="00C0573D" w:rsidRDefault="00405CB0" w:rsidP="00F45041">
            <w:pPr>
              <w:rPr>
                <w:noProof/>
              </w:rPr>
            </w:pPr>
          </w:p>
        </w:tc>
        <w:tc>
          <w:tcPr>
            <w:tcW w:w="226" w:type="dxa"/>
            <w:vMerge/>
          </w:tcPr>
          <w:p w:rsidR="00405CB0" w:rsidRDefault="00405CB0" w:rsidP="00F45041">
            <w:pPr>
              <w:pStyle w:val="a0"/>
              <w:spacing w:line="240" w:lineRule="auto"/>
              <w:ind w:left="0"/>
              <w:cnfStyle w:val="000000000000" w:firstRow="0" w:lastRow="0" w:firstColumn="0" w:lastColumn="0" w:oddVBand="0" w:evenVBand="0" w:oddHBand="0" w:evenHBand="0" w:firstRowFirstColumn="0" w:firstRowLastColumn="0" w:lastRowFirstColumn="0" w:lastRowLastColumn="0"/>
              <w:rPr>
                <w:rFonts w:ascii="楷体_GB2312"/>
                <w:color w:val="auto"/>
              </w:rPr>
            </w:pPr>
          </w:p>
        </w:tc>
        <w:tc>
          <w:tcPr>
            <w:tcW w:w="1054" w:type="dxa"/>
            <w:tcBorders>
              <w:top w:val="single" w:sz="4" w:space="0" w:color="D9D9D9" w:themeColor="background1" w:themeShade="D9"/>
              <w:bottom w:val="single" w:sz="4" w:space="0" w:color="D9D9D9" w:themeColor="background1" w:themeShade="D9"/>
            </w:tcBorders>
            <w:vAlign w:val="center"/>
          </w:tcPr>
          <w:p w:rsidR="00405CB0" w:rsidRPr="00405CB0" w:rsidRDefault="00405CB0" w:rsidP="00405CB0">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Cs w:val="18"/>
              </w:rPr>
            </w:pPr>
            <w:r w:rsidRPr="00405CB0">
              <w:rPr>
                <w:rFonts w:hint="eastAsia"/>
                <w:color w:val="000000"/>
                <w:szCs w:val="18"/>
              </w:rPr>
              <w:t>519704</w:t>
            </w:r>
          </w:p>
        </w:tc>
        <w:tc>
          <w:tcPr>
            <w:tcW w:w="1244" w:type="dxa"/>
            <w:tcBorders>
              <w:top w:val="single" w:sz="4" w:space="0" w:color="D9D9D9" w:themeColor="background1" w:themeShade="D9"/>
              <w:bottom w:val="single" w:sz="4" w:space="0" w:color="D9D9D9" w:themeColor="background1" w:themeShade="D9"/>
            </w:tcBorders>
            <w:vAlign w:val="center"/>
          </w:tcPr>
          <w:p w:rsidR="00405CB0" w:rsidRPr="00405CB0" w:rsidRDefault="00405CB0" w:rsidP="00405CB0">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Cs w:val="18"/>
              </w:rPr>
            </w:pPr>
            <w:r w:rsidRPr="00405CB0">
              <w:rPr>
                <w:rFonts w:hint="eastAsia"/>
                <w:color w:val="000000"/>
                <w:szCs w:val="18"/>
              </w:rPr>
              <w:t>交</w:t>
            </w:r>
            <w:proofErr w:type="gramStart"/>
            <w:r w:rsidRPr="00405CB0">
              <w:rPr>
                <w:rFonts w:hint="eastAsia"/>
                <w:color w:val="000000"/>
                <w:szCs w:val="18"/>
              </w:rPr>
              <w:t>银先进</w:t>
            </w:r>
            <w:proofErr w:type="gramEnd"/>
            <w:r w:rsidRPr="00405CB0">
              <w:rPr>
                <w:rFonts w:hint="eastAsia"/>
                <w:color w:val="000000"/>
                <w:szCs w:val="18"/>
              </w:rPr>
              <w:t>制造</w:t>
            </w:r>
          </w:p>
        </w:tc>
        <w:tc>
          <w:tcPr>
            <w:tcW w:w="865" w:type="dxa"/>
            <w:tcBorders>
              <w:top w:val="single" w:sz="4" w:space="0" w:color="D9D9D9" w:themeColor="background1" w:themeShade="D9"/>
              <w:bottom w:val="single" w:sz="4" w:space="0" w:color="D9D9D9" w:themeColor="background1" w:themeShade="D9"/>
            </w:tcBorders>
            <w:vAlign w:val="center"/>
          </w:tcPr>
          <w:p w:rsidR="00405CB0" w:rsidRPr="00405CB0" w:rsidRDefault="00405CB0" w:rsidP="00405CB0">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Cs w:val="18"/>
              </w:rPr>
            </w:pPr>
            <w:r w:rsidRPr="00405CB0">
              <w:rPr>
                <w:rFonts w:hint="eastAsia"/>
                <w:color w:val="000000"/>
                <w:szCs w:val="18"/>
              </w:rPr>
              <w:t>103.57</w:t>
            </w:r>
          </w:p>
        </w:tc>
        <w:tc>
          <w:tcPr>
            <w:tcW w:w="836" w:type="dxa"/>
            <w:tcBorders>
              <w:top w:val="single" w:sz="4" w:space="0" w:color="D9D9D9" w:themeColor="background1" w:themeShade="D9"/>
              <w:bottom w:val="single" w:sz="4" w:space="0" w:color="D9D9D9" w:themeColor="background1" w:themeShade="D9"/>
            </w:tcBorders>
            <w:vAlign w:val="center"/>
          </w:tcPr>
          <w:p w:rsidR="00405CB0" w:rsidRPr="00405CB0" w:rsidRDefault="00405CB0" w:rsidP="00405CB0">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Cs w:val="18"/>
              </w:rPr>
            </w:pPr>
            <w:r w:rsidRPr="00405CB0">
              <w:rPr>
                <w:rFonts w:hint="eastAsia"/>
                <w:color w:val="000000"/>
                <w:szCs w:val="18"/>
              </w:rPr>
              <w:t>115</w:t>
            </w:r>
          </w:p>
        </w:tc>
        <w:tc>
          <w:tcPr>
            <w:cnfStyle w:val="000100000000" w:firstRow="0" w:lastRow="0" w:firstColumn="0" w:lastColumn="1" w:oddVBand="0" w:evenVBand="0" w:oddHBand="0" w:evenHBand="0" w:firstRowFirstColumn="0" w:firstRowLastColumn="0" w:lastRowFirstColumn="0" w:lastRowLastColumn="0"/>
            <w:tcW w:w="1273" w:type="dxa"/>
            <w:tcBorders>
              <w:top w:val="single" w:sz="4" w:space="0" w:color="D9D9D9" w:themeColor="background1" w:themeShade="D9"/>
              <w:bottom w:val="single" w:sz="4" w:space="0" w:color="D9D9D9" w:themeColor="background1" w:themeShade="D9"/>
            </w:tcBorders>
            <w:vAlign w:val="center"/>
          </w:tcPr>
          <w:p w:rsidR="00405CB0" w:rsidRPr="00405CB0" w:rsidRDefault="00405CB0" w:rsidP="00405CB0">
            <w:pPr>
              <w:jc w:val="center"/>
              <w:rPr>
                <w:rFonts w:ascii="宋体" w:eastAsia="宋体" w:hAnsi="宋体" w:cs="宋体"/>
                <w:color w:val="000000"/>
                <w:szCs w:val="18"/>
              </w:rPr>
            </w:pPr>
            <w:r w:rsidRPr="00405CB0">
              <w:rPr>
                <w:rFonts w:hint="eastAsia"/>
                <w:color w:val="000000"/>
                <w:szCs w:val="18"/>
              </w:rPr>
              <w:t>王少成</w:t>
            </w:r>
            <w:r w:rsidRPr="00405CB0">
              <w:rPr>
                <w:rFonts w:hint="eastAsia"/>
                <w:color w:val="000000"/>
                <w:szCs w:val="18"/>
              </w:rPr>
              <w:t>,</w:t>
            </w:r>
            <w:proofErr w:type="gramStart"/>
            <w:r w:rsidRPr="00405CB0">
              <w:rPr>
                <w:rFonts w:hint="eastAsia"/>
                <w:color w:val="000000"/>
                <w:szCs w:val="18"/>
              </w:rPr>
              <w:t>任相栋</w:t>
            </w:r>
            <w:proofErr w:type="gramEnd"/>
          </w:p>
        </w:tc>
      </w:tr>
      <w:tr w:rsidR="00405CB0" w:rsidTr="00405CB0">
        <w:trPr>
          <w:trHeight w:val="159"/>
        </w:trPr>
        <w:tc>
          <w:tcPr>
            <w:cnfStyle w:val="001000000000" w:firstRow="0" w:lastRow="0" w:firstColumn="1" w:lastColumn="0" w:oddVBand="0" w:evenVBand="0" w:oddHBand="0" w:evenHBand="0" w:firstRowFirstColumn="0" w:firstRowLastColumn="0" w:lastRowFirstColumn="0" w:lastRowLastColumn="0"/>
            <w:tcW w:w="5273" w:type="dxa"/>
            <w:vMerge/>
          </w:tcPr>
          <w:p w:rsidR="00405CB0" w:rsidRPr="00C0573D" w:rsidRDefault="00405CB0" w:rsidP="00F45041">
            <w:pPr>
              <w:rPr>
                <w:noProof/>
              </w:rPr>
            </w:pPr>
          </w:p>
        </w:tc>
        <w:tc>
          <w:tcPr>
            <w:tcW w:w="226" w:type="dxa"/>
            <w:vMerge/>
          </w:tcPr>
          <w:p w:rsidR="00405CB0" w:rsidRDefault="00405CB0" w:rsidP="00F45041">
            <w:pPr>
              <w:pStyle w:val="a0"/>
              <w:spacing w:line="240" w:lineRule="auto"/>
              <w:ind w:left="0"/>
              <w:cnfStyle w:val="000000000000" w:firstRow="0" w:lastRow="0" w:firstColumn="0" w:lastColumn="0" w:oddVBand="0" w:evenVBand="0" w:oddHBand="0" w:evenHBand="0" w:firstRowFirstColumn="0" w:firstRowLastColumn="0" w:lastRowFirstColumn="0" w:lastRowLastColumn="0"/>
              <w:rPr>
                <w:rFonts w:ascii="楷体_GB2312"/>
                <w:color w:val="auto"/>
              </w:rPr>
            </w:pPr>
          </w:p>
        </w:tc>
        <w:tc>
          <w:tcPr>
            <w:tcW w:w="1054" w:type="dxa"/>
            <w:tcBorders>
              <w:top w:val="single" w:sz="4" w:space="0" w:color="D9D9D9" w:themeColor="background1" w:themeShade="D9"/>
              <w:bottom w:val="single" w:sz="4" w:space="0" w:color="D9D9D9" w:themeColor="background1" w:themeShade="D9"/>
            </w:tcBorders>
            <w:vAlign w:val="center"/>
          </w:tcPr>
          <w:p w:rsidR="00405CB0" w:rsidRPr="00405CB0" w:rsidRDefault="00405CB0" w:rsidP="00405CB0">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Cs w:val="18"/>
              </w:rPr>
            </w:pPr>
            <w:r w:rsidRPr="00405CB0">
              <w:rPr>
                <w:rFonts w:hint="eastAsia"/>
                <w:color w:val="000000"/>
                <w:szCs w:val="18"/>
              </w:rPr>
              <w:t>233009</w:t>
            </w:r>
          </w:p>
        </w:tc>
        <w:tc>
          <w:tcPr>
            <w:tcW w:w="1244" w:type="dxa"/>
            <w:tcBorders>
              <w:top w:val="single" w:sz="4" w:space="0" w:color="D9D9D9" w:themeColor="background1" w:themeShade="D9"/>
              <w:bottom w:val="single" w:sz="4" w:space="0" w:color="D9D9D9" w:themeColor="background1" w:themeShade="D9"/>
            </w:tcBorders>
            <w:vAlign w:val="center"/>
          </w:tcPr>
          <w:p w:rsidR="00405CB0" w:rsidRPr="00405CB0" w:rsidRDefault="00405CB0" w:rsidP="00405CB0">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Cs w:val="18"/>
              </w:rPr>
            </w:pPr>
            <w:proofErr w:type="gramStart"/>
            <w:r w:rsidRPr="00405CB0">
              <w:rPr>
                <w:rFonts w:hint="eastAsia"/>
                <w:color w:val="000000"/>
                <w:szCs w:val="18"/>
              </w:rPr>
              <w:t>大摩多因子</w:t>
            </w:r>
            <w:proofErr w:type="gramEnd"/>
          </w:p>
        </w:tc>
        <w:tc>
          <w:tcPr>
            <w:tcW w:w="865" w:type="dxa"/>
            <w:tcBorders>
              <w:top w:val="single" w:sz="4" w:space="0" w:color="D9D9D9" w:themeColor="background1" w:themeShade="D9"/>
              <w:bottom w:val="single" w:sz="4" w:space="0" w:color="D9D9D9" w:themeColor="background1" w:themeShade="D9"/>
            </w:tcBorders>
            <w:vAlign w:val="center"/>
          </w:tcPr>
          <w:p w:rsidR="00405CB0" w:rsidRPr="00405CB0" w:rsidRDefault="00405CB0" w:rsidP="00405CB0">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Cs w:val="18"/>
              </w:rPr>
            </w:pPr>
            <w:r w:rsidRPr="00405CB0">
              <w:rPr>
                <w:rFonts w:hint="eastAsia"/>
                <w:color w:val="000000"/>
                <w:szCs w:val="18"/>
              </w:rPr>
              <w:t>100.34</w:t>
            </w:r>
          </w:p>
        </w:tc>
        <w:tc>
          <w:tcPr>
            <w:tcW w:w="836" w:type="dxa"/>
            <w:tcBorders>
              <w:top w:val="single" w:sz="4" w:space="0" w:color="D9D9D9" w:themeColor="background1" w:themeShade="D9"/>
              <w:bottom w:val="single" w:sz="4" w:space="0" w:color="D9D9D9" w:themeColor="background1" w:themeShade="D9"/>
            </w:tcBorders>
            <w:vAlign w:val="center"/>
          </w:tcPr>
          <w:p w:rsidR="00405CB0" w:rsidRPr="00405CB0" w:rsidRDefault="00405CB0" w:rsidP="00405CB0">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Cs w:val="18"/>
              </w:rPr>
            </w:pPr>
            <w:r w:rsidRPr="00405CB0">
              <w:rPr>
                <w:rFonts w:hint="eastAsia"/>
                <w:color w:val="000000"/>
                <w:szCs w:val="18"/>
              </w:rPr>
              <w:t>133</w:t>
            </w:r>
          </w:p>
        </w:tc>
        <w:tc>
          <w:tcPr>
            <w:cnfStyle w:val="000100000000" w:firstRow="0" w:lastRow="0" w:firstColumn="0" w:lastColumn="1" w:oddVBand="0" w:evenVBand="0" w:oddHBand="0" w:evenHBand="0" w:firstRowFirstColumn="0" w:firstRowLastColumn="0" w:lastRowFirstColumn="0" w:lastRowLastColumn="0"/>
            <w:tcW w:w="1273" w:type="dxa"/>
            <w:tcBorders>
              <w:top w:val="single" w:sz="4" w:space="0" w:color="D9D9D9" w:themeColor="background1" w:themeShade="D9"/>
              <w:bottom w:val="single" w:sz="4" w:space="0" w:color="D9D9D9" w:themeColor="background1" w:themeShade="D9"/>
            </w:tcBorders>
            <w:vAlign w:val="center"/>
          </w:tcPr>
          <w:p w:rsidR="00405CB0" w:rsidRPr="00405CB0" w:rsidRDefault="00405CB0" w:rsidP="00405CB0">
            <w:pPr>
              <w:jc w:val="center"/>
              <w:rPr>
                <w:rFonts w:ascii="宋体" w:eastAsia="宋体" w:hAnsi="宋体" w:cs="宋体"/>
                <w:color w:val="000000"/>
                <w:szCs w:val="18"/>
              </w:rPr>
            </w:pPr>
            <w:r w:rsidRPr="00405CB0">
              <w:rPr>
                <w:rFonts w:hint="eastAsia"/>
                <w:color w:val="000000"/>
                <w:szCs w:val="18"/>
              </w:rPr>
              <w:t>刘钊</w:t>
            </w:r>
          </w:p>
        </w:tc>
      </w:tr>
      <w:tr w:rsidR="00405CB0" w:rsidTr="00405CB0">
        <w:trPr>
          <w:trHeight w:val="159"/>
        </w:trPr>
        <w:tc>
          <w:tcPr>
            <w:cnfStyle w:val="001000000000" w:firstRow="0" w:lastRow="0" w:firstColumn="1" w:lastColumn="0" w:oddVBand="0" w:evenVBand="0" w:oddHBand="0" w:evenHBand="0" w:firstRowFirstColumn="0" w:firstRowLastColumn="0" w:lastRowFirstColumn="0" w:lastRowLastColumn="0"/>
            <w:tcW w:w="5273" w:type="dxa"/>
            <w:vMerge/>
          </w:tcPr>
          <w:p w:rsidR="00405CB0" w:rsidRPr="00C0573D" w:rsidRDefault="00405CB0" w:rsidP="00F45041">
            <w:pPr>
              <w:rPr>
                <w:noProof/>
              </w:rPr>
            </w:pPr>
          </w:p>
        </w:tc>
        <w:tc>
          <w:tcPr>
            <w:tcW w:w="226" w:type="dxa"/>
            <w:vMerge/>
          </w:tcPr>
          <w:p w:rsidR="00405CB0" w:rsidRDefault="00405CB0" w:rsidP="00F45041">
            <w:pPr>
              <w:pStyle w:val="a0"/>
              <w:spacing w:line="240" w:lineRule="auto"/>
              <w:ind w:left="0"/>
              <w:cnfStyle w:val="000000000000" w:firstRow="0" w:lastRow="0" w:firstColumn="0" w:lastColumn="0" w:oddVBand="0" w:evenVBand="0" w:oddHBand="0" w:evenHBand="0" w:firstRowFirstColumn="0" w:firstRowLastColumn="0" w:lastRowFirstColumn="0" w:lastRowLastColumn="0"/>
              <w:rPr>
                <w:rFonts w:ascii="楷体_GB2312"/>
                <w:color w:val="auto"/>
              </w:rPr>
            </w:pPr>
          </w:p>
        </w:tc>
        <w:tc>
          <w:tcPr>
            <w:tcW w:w="1054" w:type="dxa"/>
            <w:tcBorders>
              <w:top w:val="single" w:sz="4" w:space="0" w:color="D9D9D9" w:themeColor="background1" w:themeShade="D9"/>
              <w:bottom w:val="single" w:sz="4" w:space="0" w:color="D9D9D9" w:themeColor="background1" w:themeShade="D9"/>
            </w:tcBorders>
            <w:vAlign w:val="center"/>
          </w:tcPr>
          <w:p w:rsidR="00405CB0" w:rsidRPr="00405CB0" w:rsidRDefault="00405CB0" w:rsidP="00405CB0">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Cs w:val="18"/>
              </w:rPr>
            </w:pPr>
            <w:r w:rsidRPr="00405CB0">
              <w:rPr>
                <w:rFonts w:hint="eastAsia"/>
                <w:color w:val="000000"/>
                <w:szCs w:val="18"/>
              </w:rPr>
              <w:t>590002</w:t>
            </w:r>
          </w:p>
        </w:tc>
        <w:tc>
          <w:tcPr>
            <w:tcW w:w="1244" w:type="dxa"/>
            <w:tcBorders>
              <w:top w:val="single" w:sz="4" w:space="0" w:color="D9D9D9" w:themeColor="background1" w:themeShade="D9"/>
              <w:bottom w:val="single" w:sz="4" w:space="0" w:color="D9D9D9" w:themeColor="background1" w:themeShade="D9"/>
            </w:tcBorders>
            <w:vAlign w:val="center"/>
          </w:tcPr>
          <w:p w:rsidR="00405CB0" w:rsidRPr="00405CB0" w:rsidRDefault="00405CB0" w:rsidP="00405CB0">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Cs w:val="18"/>
              </w:rPr>
            </w:pPr>
            <w:r w:rsidRPr="00405CB0">
              <w:rPr>
                <w:rFonts w:hint="eastAsia"/>
                <w:color w:val="000000"/>
                <w:szCs w:val="18"/>
              </w:rPr>
              <w:t>中</w:t>
            </w:r>
            <w:proofErr w:type="gramStart"/>
            <w:r w:rsidRPr="00405CB0">
              <w:rPr>
                <w:rFonts w:hint="eastAsia"/>
                <w:color w:val="000000"/>
                <w:szCs w:val="18"/>
              </w:rPr>
              <w:t>邮核心</w:t>
            </w:r>
            <w:proofErr w:type="gramEnd"/>
            <w:r w:rsidRPr="00405CB0">
              <w:rPr>
                <w:rFonts w:hint="eastAsia"/>
                <w:color w:val="000000"/>
                <w:szCs w:val="18"/>
              </w:rPr>
              <w:t>成长</w:t>
            </w:r>
          </w:p>
        </w:tc>
        <w:tc>
          <w:tcPr>
            <w:tcW w:w="865" w:type="dxa"/>
            <w:tcBorders>
              <w:top w:val="single" w:sz="4" w:space="0" w:color="D9D9D9" w:themeColor="background1" w:themeShade="D9"/>
              <w:bottom w:val="single" w:sz="4" w:space="0" w:color="D9D9D9" w:themeColor="background1" w:themeShade="D9"/>
            </w:tcBorders>
            <w:vAlign w:val="center"/>
          </w:tcPr>
          <w:p w:rsidR="00405CB0" w:rsidRPr="00405CB0" w:rsidRDefault="00405CB0" w:rsidP="00405CB0">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Cs w:val="18"/>
              </w:rPr>
            </w:pPr>
            <w:r w:rsidRPr="00405CB0">
              <w:rPr>
                <w:rFonts w:hint="eastAsia"/>
                <w:color w:val="000000"/>
                <w:szCs w:val="18"/>
              </w:rPr>
              <w:t>99.47</w:t>
            </w:r>
          </w:p>
        </w:tc>
        <w:tc>
          <w:tcPr>
            <w:tcW w:w="836" w:type="dxa"/>
            <w:tcBorders>
              <w:top w:val="single" w:sz="4" w:space="0" w:color="D9D9D9" w:themeColor="background1" w:themeShade="D9"/>
              <w:bottom w:val="single" w:sz="4" w:space="0" w:color="D9D9D9" w:themeColor="background1" w:themeShade="D9"/>
            </w:tcBorders>
            <w:vAlign w:val="center"/>
          </w:tcPr>
          <w:p w:rsidR="00405CB0" w:rsidRPr="00405CB0" w:rsidRDefault="00405CB0" w:rsidP="00405CB0">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Cs w:val="18"/>
              </w:rPr>
            </w:pPr>
            <w:r w:rsidRPr="00405CB0">
              <w:rPr>
                <w:rFonts w:hint="eastAsia"/>
                <w:color w:val="000000"/>
                <w:szCs w:val="18"/>
              </w:rPr>
              <w:t>137</w:t>
            </w:r>
          </w:p>
        </w:tc>
        <w:tc>
          <w:tcPr>
            <w:cnfStyle w:val="000100000000" w:firstRow="0" w:lastRow="0" w:firstColumn="0" w:lastColumn="1" w:oddVBand="0" w:evenVBand="0" w:oddHBand="0" w:evenHBand="0" w:firstRowFirstColumn="0" w:firstRowLastColumn="0" w:lastRowFirstColumn="0" w:lastRowLastColumn="0"/>
            <w:tcW w:w="1273" w:type="dxa"/>
            <w:tcBorders>
              <w:top w:val="single" w:sz="4" w:space="0" w:color="D9D9D9" w:themeColor="background1" w:themeShade="D9"/>
              <w:bottom w:val="single" w:sz="4" w:space="0" w:color="D9D9D9" w:themeColor="background1" w:themeShade="D9"/>
            </w:tcBorders>
            <w:vAlign w:val="center"/>
          </w:tcPr>
          <w:p w:rsidR="00405CB0" w:rsidRPr="00405CB0" w:rsidRDefault="00405CB0" w:rsidP="00405CB0">
            <w:pPr>
              <w:jc w:val="center"/>
              <w:rPr>
                <w:rFonts w:ascii="宋体" w:eastAsia="宋体" w:hAnsi="宋体" w:cs="宋体"/>
                <w:color w:val="000000"/>
                <w:szCs w:val="18"/>
              </w:rPr>
            </w:pPr>
            <w:r w:rsidRPr="00405CB0">
              <w:rPr>
                <w:rFonts w:hint="eastAsia"/>
                <w:color w:val="000000"/>
                <w:szCs w:val="18"/>
              </w:rPr>
              <w:t>许忠海</w:t>
            </w:r>
            <w:r w:rsidRPr="00405CB0">
              <w:rPr>
                <w:rFonts w:hint="eastAsia"/>
                <w:color w:val="000000"/>
                <w:szCs w:val="18"/>
              </w:rPr>
              <w:t>,</w:t>
            </w:r>
            <w:r w:rsidRPr="00405CB0">
              <w:rPr>
                <w:rFonts w:hint="eastAsia"/>
                <w:color w:val="000000"/>
                <w:szCs w:val="18"/>
              </w:rPr>
              <w:t>邓立新</w:t>
            </w:r>
          </w:p>
        </w:tc>
      </w:tr>
      <w:tr w:rsidR="00405CB0" w:rsidTr="00405CB0">
        <w:trPr>
          <w:trHeight w:val="159"/>
        </w:trPr>
        <w:tc>
          <w:tcPr>
            <w:cnfStyle w:val="001000000000" w:firstRow="0" w:lastRow="0" w:firstColumn="1" w:lastColumn="0" w:oddVBand="0" w:evenVBand="0" w:oddHBand="0" w:evenHBand="0" w:firstRowFirstColumn="0" w:firstRowLastColumn="0" w:lastRowFirstColumn="0" w:lastRowLastColumn="0"/>
            <w:tcW w:w="5273" w:type="dxa"/>
            <w:vMerge/>
          </w:tcPr>
          <w:p w:rsidR="00405CB0" w:rsidRPr="00C0573D" w:rsidRDefault="00405CB0" w:rsidP="00F45041">
            <w:pPr>
              <w:rPr>
                <w:noProof/>
              </w:rPr>
            </w:pPr>
          </w:p>
        </w:tc>
        <w:tc>
          <w:tcPr>
            <w:tcW w:w="226" w:type="dxa"/>
            <w:vMerge/>
          </w:tcPr>
          <w:p w:rsidR="00405CB0" w:rsidRDefault="00405CB0" w:rsidP="00F45041">
            <w:pPr>
              <w:pStyle w:val="a0"/>
              <w:spacing w:line="240" w:lineRule="auto"/>
              <w:ind w:left="0"/>
              <w:cnfStyle w:val="000000000000" w:firstRow="0" w:lastRow="0" w:firstColumn="0" w:lastColumn="0" w:oddVBand="0" w:evenVBand="0" w:oddHBand="0" w:evenHBand="0" w:firstRowFirstColumn="0" w:firstRowLastColumn="0" w:lastRowFirstColumn="0" w:lastRowLastColumn="0"/>
              <w:rPr>
                <w:rFonts w:ascii="楷体_GB2312"/>
                <w:color w:val="auto"/>
              </w:rPr>
            </w:pPr>
          </w:p>
        </w:tc>
        <w:tc>
          <w:tcPr>
            <w:tcW w:w="1054" w:type="dxa"/>
            <w:tcBorders>
              <w:top w:val="single" w:sz="4" w:space="0" w:color="D9D9D9" w:themeColor="background1" w:themeShade="D9"/>
              <w:bottom w:val="single" w:sz="4" w:space="0" w:color="00A0E9"/>
            </w:tcBorders>
            <w:vAlign w:val="center"/>
          </w:tcPr>
          <w:p w:rsidR="00405CB0" w:rsidRPr="00405CB0" w:rsidRDefault="00405CB0" w:rsidP="00405CB0">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Cs w:val="18"/>
              </w:rPr>
            </w:pPr>
            <w:r w:rsidRPr="00405CB0">
              <w:rPr>
                <w:rFonts w:hint="eastAsia"/>
                <w:color w:val="000000"/>
                <w:szCs w:val="18"/>
              </w:rPr>
              <w:t>000823</w:t>
            </w:r>
          </w:p>
        </w:tc>
        <w:tc>
          <w:tcPr>
            <w:tcW w:w="1244" w:type="dxa"/>
            <w:tcBorders>
              <w:top w:val="single" w:sz="4" w:space="0" w:color="D9D9D9" w:themeColor="background1" w:themeShade="D9"/>
              <w:bottom w:val="single" w:sz="4" w:space="0" w:color="00A0E9"/>
            </w:tcBorders>
            <w:vAlign w:val="center"/>
          </w:tcPr>
          <w:p w:rsidR="00405CB0" w:rsidRPr="00405CB0" w:rsidRDefault="00405CB0" w:rsidP="00405CB0">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Cs w:val="18"/>
              </w:rPr>
            </w:pPr>
            <w:r w:rsidRPr="00405CB0">
              <w:rPr>
                <w:rFonts w:hint="eastAsia"/>
                <w:color w:val="000000"/>
                <w:szCs w:val="18"/>
              </w:rPr>
              <w:t>银华高端制造</w:t>
            </w:r>
          </w:p>
        </w:tc>
        <w:tc>
          <w:tcPr>
            <w:tcW w:w="865" w:type="dxa"/>
            <w:tcBorders>
              <w:top w:val="single" w:sz="4" w:space="0" w:color="D9D9D9" w:themeColor="background1" w:themeShade="D9"/>
              <w:bottom w:val="single" w:sz="4" w:space="0" w:color="00A0E9"/>
            </w:tcBorders>
            <w:vAlign w:val="center"/>
          </w:tcPr>
          <w:p w:rsidR="00405CB0" w:rsidRPr="00405CB0" w:rsidRDefault="00405CB0" w:rsidP="00405CB0">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Cs w:val="18"/>
              </w:rPr>
            </w:pPr>
            <w:r w:rsidRPr="00405CB0">
              <w:rPr>
                <w:rFonts w:hint="eastAsia"/>
                <w:color w:val="000000"/>
                <w:szCs w:val="18"/>
              </w:rPr>
              <w:t>96.46</w:t>
            </w:r>
          </w:p>
        </w:tc>
        <w:tc>
          <w:tcPr>
            <w:tcW w:w="836" w:type="dxa"/>
            <w:tcBorders>
              <w:top w:val="single" w:sz="4" w:space="0" w:color="D9D9D9" w:themeColor="background1" w:themeShade="D9"/>
              <w:bottom w:val="single" w:sz="4" w:space="0" w:color="00A0E9"/>
            </w:tcBorders>
            <w:vAlign w:val="center"/>
          </w:tcPr>
          <w:p w:rsidR="00405CB0" w:rsidRPr="00405CB0" w:rsidRDefault="00405CB0" w:rsidP="00405CB0">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Cs w:val="18"/>
              </w:rPr>
            </w:pPr>
            <w:r w:rsidRPr="00405CB0">
              <w:rPr>
                <w:rFonts w:hint="eastAsia"/>
                <w:color w:val="000000"/>
                <w:szCs w:val="18"/>
              </w:rPr>
              <w:t>150</w:t>
            </w:r>
          </w:p>
        </w:tc>
        <w:tc>
          <w:tcPr>
            <w:cnfStyle w:val="000100000000" w:firstRow="0" w:lastRow="0" w:firstColumn="0" w:lastColumn="1" w:oddVBand="0" w:evenVBand="0" w:oddHBand="0" w:evenHBand="0" w:firstRowFirstColumn="0" w:firstRowLastColumn="0" w:lastRowFirstColumn="0" w:lastRowLastColumn="0"/>
            <w:tcW w:w="1273" w:type="dxa"/>
            <w:tcBorders>
              <w:top w:val="single" w:sz="4" w:space="0" w:color="D9D9D9" w:themeColor="background1" w:themeShade="D9"/>
            </w:tcBorders>
            <w:vAlign w:val="center"/>
          </w:tcPr>
          <w:p w:rsidR="00405CB0" w:rsidRPr="00405CB0" w:rsidRDefault="00405CB0" w:rsidP="00405CB0">
            <w:pPr>
              <w:jc w:val="center"/>
              <w:rPr>
                <w:rFonts w:ascii="宋体" w:eastAsia="宋体" w:hAnsi="宋体" w:cs="宋体"/>
                <w:color w:val="000000"/>
                <w:szCs w:val="18"/>
              </w:rPr>
            </w:pPr>
            <w:r w:rsidRPr="00405CB0">
              <w:rPr>
                <w:rFonts w:hint="eastAsia"/>
                <w:color w:val="000000"/>
                <w:szCs w:val="18"/>
              </w:rPr>
              <w:t>彭颖颖</w:t>
            </w:r>
          </w:p>
        </w:tc>
      </w:tr>
      <w:tr w:rsidR="00F45041" w:rsidTr="00F45041">
        <w:tc>
          <w:tcPr>
            <w:tcW w:w="5273" w:type="dxa"/>
          </w:tcPr>
          <w:p w:rsidR="00F45041" w:rsidRDefault="00F45041" w:rsidP="00F45041">
            <w:pPr>
              <w:pStyle w:val="GJStylesGraphSource"/>
              <w:cnfStyle w:val="001000000000" w:firstRow="0" w:lastRow="0" w:firstColumn="1" w:lastColumn="0" w:oddVBand="0" w:evenVBand="0" w:oddHBand="0" w:evenHBand="0" w:firstRowFirstColumn="0" w:firstRowLastColumn="0" w:lastRowFirstColumn="0" w:lastRowLastColumn="0"/>
            </w:pPr>
            <w:r>
              <w:rPr>
                <w:rFonts w:hint="eastAsia"/>
              </w:rPr>
              <w:t>来源：国金证券研究所</w:t>
            </w:r>
          </w:p>
        </w:tc>
        <w:tc>
          <w:tcPr>
            <w:tcW w:w="226" w:type="dxa"/>
          </w:tcPr>
          <w:p w:rsidR="00F45041" w:rsidRDefault="00F45041" w:rsidP="00F45041">
            <w:pPr>
              <w:pStyle w:val="GJStylesGraphSource"/>
            </w:pPr>
          </w:p>
        </w:tc>
        <w:tc>
          <w:tcPr>
            <w:tcW w:w="5272" w:type="dxa"/>
            <w:gridSpan w:val="5"/>
          </w:tcPr>
          <w:p w:rsidR="00F45041" w:rsidRDefault="00F45041" w:rsidP="00F45041">
            <w:pPr>
              <w:pStyle w:val="GJStylesGraphSource"/>
              <w:cnfStyle w:val="000100000000" w:firstRow="0" w:lastRow="0" w:firstColumn="0" w:lastColumn="1" w:oddVBand="0" w:evenVBand="0" w:oddHBand="0" w:evenHBand="0" w:firstRowFirstColumn="0" w:firstRowLastColumn="0" w:lastRowFirstColumn="0" w:lastRowLastColumn="0"/>
            </w:pPr>
            <w:r>
              <w:rPr>
                <w:rFonts w:hint="eastAsia"/>
              </w:rPr>
              <w:t>来源：国金证券研究所</w:t>
            </w:r>
          </w:p>
        </w:tc>
      </w:tr>
    </w:tbl>
    <w:p w:rsidR="007D3A06" w:rsidRDefault="000B076E" w:rsidP="006B4BCD">
      <w:pPr>
        <w:pStyle w:val="a0"/>
        <w:numPr>
          <w:ilvl w:val="5"/>
          <w:numId w:val="36"/>
        </w:numPr>
        <w:spacing w:line="240" w:lineRule="auto"/>
        <w:ind w:left="4140" w:hanging="369"/>
        <w:rPr>
          <w:rFonts w:ascii="楷体_GB2312"/>
          <w:color w:val="auto"/>
        </w:rPr>
      </w:pPr>
      <w:r w:rsidRPr="00976396">
        <w:rPr>
          <w:rFonts w:ascii="楷体_GB2312" w:hint="eastAsia"/>
          <w:color w:val="auto"/>
        </w:rPr>
        <w:t>其次，</w:t>
      </w:r>
      <w:r w:rsidR="00976396">
        <w:rPr>
          <w:rFonts w:ascii="楷体_GB2312" w:hint="eastAsia"/>
          <w:color w:val="auto"/>
        </w:rPr>
        <w:t>随着局部估值风险累积</w:t>
      </w:r>
      <w:r w:rsidR="00DE7B1D">
        <w:rPr>
          <w:rFonts w:ascii="楷体_GB2312" w:hint="eastAsia"/>
          <w:color w:val="auto"/>
        </w:rPr>
        <w:t>或者风险的释放</w:t>
      </w:r>
      <w:r w:rsidR="00976396">
        <w:rPr>
          <w:rFonts w:ascii="楷体_GB2312" w:hint="eastAsia"/>
          <w:color w:val="auto"/>
        </w:rPr>
        <w:t>，投资者</w:t>
      </w:r>
      <w:r w:rsidR="004F59EB">
        <w:rPr>
          <w:rFonts w:ascii="楷体_GB2312" w:hint="eastAsia"/>
          <w:color w:val="auto"/>
        </w:rPr>
        <w:t>也将</w:t>
      </w:r>
      <w:r w:rsidR="00976396">
        <w:rPr>
          <w:rFonts w:ascii="楷体_GB2312" w:hint="eastAsia"/>
          <w:color w:val="auto"/>
        </w:rPr>
        <w:t>逐步趋于理性，短期</w:t>
      </w:r>
      <w:r w:rsidR="00EB4BF2" w:rsidRPr="00976396">
        <w:rPr>
          <w:rFonts w:ascii="楷体_GB2312" w:hint="eastAsia"/>
          <w:color w:val="auto"/>
        </w:rPr>
        <w:t>市场</w:t>
      </w:r>
      <w:r w:rsidR="00976396">
        <w:rPr>
          <w:rFonts w:ascii="楷体_GB2312" w:hint="eastAsia"/>
          <w:color w:val="auto"/>
        </w:rPr>
        <w:t>或将</w:t>
      </w:r>
      <w:r w:rsidR="00EB4BF2" w:rsidRPr="00976396">
        <w:rPr>
          <w:rFonts w:ascii="楷体_GB2312" w:hint="eastAsia"/>
          <w:color w:val="auto"/>
        </w:rPr>
        <w:t>逐步</w:t>
      </w:r>
      <w:r w:rsidR="00976396">
        <w:rPr>
          <w:rFonts w:ascii="楷体_GB2312" w:hint="eastAsia"/>
          <w:color w:val="auto"/>
        </w:rPr>
        <w:t>回归业绩增长以及合理估值水平的匹配，</w:t>
      </w:r>
      <w:r w:rsidR="00F759B6">
        <w:rPr>
          <w:rFonts w:ascii="楷体_GB2312" w:hint="eastAsia"/>
          <w:color w:val="auto"/>
        </w:rPr>
        <w:t>此类股票在市场波动过程中也是较好的防御性品种。</w:t>
      </w:r>
      <w:r w:rsidR="007D3A06">
        <w:rPr>
          <w:rFonts w:ascii="楷体_GB2312" w:hint="eastAsia"/>
          <w:color w:val="auto"/>
        </w:rPr>
        <w:t>另外</w:t>
      </w:r>
      <w:r w:rsidR="00C23317">
        <w:rPr>
          <w:rFonts w:ascii="楷体_GB2312" w:hint="eastAsia"/>
          <w:color w:val="auto"/>
        </w:rPr>
        <w:t>从组合风格的角度，</w:t>
      </w:r>
      <w:r w:rsidR="007D3A06">
        <w:rPr>
          <w:rFonts w:ascii="楷体_GB2312" w:hint="eastAsia"/>
          <w:color w:val="auto"/>
        </w:rPr>
        <w:t>也可以适当关注今年以来涨幅落后、具有低估值优势的</w:t>
      </w:r>
      <w:r w:rsidR="00C23317">
        <w:rPr>
          <w:rFonts w:ascii="楷体_GB2312" w:hint="eastAsia"/>
          <w:color w:val="auto"/>
        </w:rPr>
        <w:t>周期蓝</w:t>
      </w:r>
      <w:proofErr w:type="gramStart"/>
      <w:r w:rsidR="00C23317">
        <w:rPr>
          <w:rFonts w:ascii="楷体_GB2312" w:hint="eastAsia"/>
          <w:color w:val="auto"/>
        </w:rPr>
        <w:t>筹风格</w:t>
      </w:r>
      <w:proofErr w:type="gramEnd"/>
      <w:r w:rsidR="007D3A06">
        <w:rPr>
          <w:rFonts w:ascii="楷体_GB2312" w:hint="eastAsia"/>
          <w:color w:val="auto"/>
        </w:rPr>
        <w:t>品种的</w:t>
      </w:r>
      <w:r w:rsidR="00C23317" w:rsidRPr="003060B9">
        <w:rPr>
          <w:rFonts w:ascii="楷体_GB2312" w:hint="eastAsia"/>
          <w:color w:val="auto"/>
        </w:rPr>
        <w:t>相对收益</w:t>
      </w:r>
      <w:r w:rsidR="007D3A06">
        <w:rPr>
          <w:rFonts w:ascii="楷体_GB2312" w:hint="eastAsia"/>
          <w:color w:val="auto"/>
        </w:rPr>
        <w:t>。具体到基金选择上可</w:t>
      </w:r>
      <w:r w:rsidR="007D3A06" w:rsidRPr="00976396">
        <w:rPr>
          <w:rFonts w:ascii="楷体_GB2312" w:hint="eastAsia"/>
          <w:color w:val="auto"/>
        </w:rPr>
        <w:t>结合基金重仓股</w:t>
      </w:r>
      <w:r w:rsidR="007D3A06">
        <w:rPr>
          <w:rFonts w:ascii="楷体_GB2312" w:hint="eastAsia"/>
          <w:color w:val="auto"/>
        </w:rPr>
        <w:t>的</w:t>
      </w:r>
      <w:r w:rsidR="007D3A06" w:rsidRPr="00976396">
        <w:rPr>
          <w:rFonts w:ascii="楷体_GB2312" w:hint="eastAsia"/>
          <w:color w:val="auto"/>
        </w:rPr>
        <w:t>平均估值水平,</w:t>
      </w:r>
      <w:r w:rsidR="007D3A06">
        <w:rPr>
          <w:rFonts w:ascii="楷体_GB2312" w:hint="eastAsia"/>
          <w:color w:val="auto"/>
        </w:rPr>
        <w:t>尤其结合基金经理投资风格，</w:t>
      </w:r>
      <w:r w:rsidR="007D3A06" w:rsidRPr="00976396">
        <w:rPr>
          <w:rFonts w:ascii="楷体_GB2312" w:hint="eastAsia"/>
          <w:color w:val="auto"/>
        </w:rPr>
        <w:t>选择选</w:t>
      </w:r>
      <w:proofErr w:type="gramStart"/>
      <w:r w:rsidR="007D3A06" w:rsidRPr="00976396">
        <w:rPr>
          <w:rFonts w:ascii="楷体_GB2312" w:hint="eastAsia"/>
          <w:color w:val="auto"/>
        </w:rPr>
        <w:t>股风格</w:t>
      </w:r>
      <w:proofErr w:type="gramEnd"/>
      <w:r w:rsidR="007D3A06" w:rsidRPr="00976396">
        <w:rPr>
          <w:rFonts w:ascii="楷体_GB2312" w:hint="eastAsia"/>
          <w:color w:val="auto"/>
        </w:rPr>
        <w:t>稳健尤其是立足中长期投资的价值型基金</w:t>
      </w:r>
      <w:r w:rsidR="007D3A06">
        <w:rPr>
          <w:rFonts w:ascii="楷体_GB2312" w:hint="eastAsia"/>
          <w:color w:val="auto"/>
        </w:rPr>
        <w:t>。比如</w:t>
      </w:r>
      <w:r w:rsidR="007D3A06" w:rsidRPr="001C3E78">
        <w:rPr>
          <w:rFonts w:ascii="楷体_GB2312" w:hint="eastAsia"/>
          <w:color w:val="auto"/>
        </w:rPr>
        <w:t>嘉实领先成长</w:t>
      </w:r>
      <w:r w:rsidR="007D3A06">
        <w:rPr>
          <w:rFonts w:ascii="楷体_GB2312" w:hint="eastAsia"/>
          <w:color w:val="auto"/>
        </w:rPr>
        <w:t>、</w:t>
      </w:r>
      <w:proofErr w:type="gramStart"/>
      <w:r w:rsidR="007D3A06" w:rsidRPr="001C3E78">
        <w:rPr>
          <w:rFonts w:ascii="楷体_GB2312" w:hint="eastAsia"/>
          <w:color w:val="auto"/>
        </w:rPr>
        <w:t>汇添富价值</w:t>
      </w:r>
      <w:proofErr w:type="gramEnd"/>
      <w:r w:rsidR="007D3A06" w:rsidRPr="001C3E78">
        <w:rPr>
          <w:rFonts w:ascii="楷体_GB2312" w:hint="eastAsia"/>
          <w:color w:val="auto"/>
        </w:rPr>
        <w:t>精选</w:t>
      </w:r>
      <w:r w:rsidR="007D3A06">
        <w:rPr>
          <w:rFonts w:ascii="楷体_GB2312" w:hint="eastAsia"/>
          <w:color w:val="auto"/>
        </w:rPr>
        <w:t>、</w:t>
      </w:r>
      <w:r w:rsidR="007D3A06" w:rsidRPr="001C3E78">
        <w:rPr>
          <w:rFonts w:ascii="楷体_GB2312" w:hint="eastAsia"/>
          <w:color w:val="auto"/>
        </w:rPr>
        <w:t>银华内需精选</w:t>
      </w:r>
      <w:r w:rsidR="007D3A06">
        <w:rPr>
          <w:rFonts w:ascii="楷体_GB2312" w:hint="eastAsia"/>
          <w:color w:val="auto"/>
        </w:rPr>
        <w:t>、</w:t>
      </w:r>
      <w:r w:rsidR="007D3A06" w:rsidRPr="001C3E78">
        <w:rPr>
          <w:rFonts w:ascii="楷体_GB2312" w:hint="eastAsia"/>
          <w:color w:val="auto"/>
        </w:rPr>
        <w:t>富国天惠</w:t>
      </w:r>
      <w:r w:rsidR="007D3A06">
        <w:rPr>
          <w:rFonts w:ascii="楷体_GB2312" w:hint="eastAsia"/>
          <w:color w:val="auto"/>
        </w:rPr>
        <w:t>、</w:t>
      </w:r>
      <w:r w:rsidR="007D3A06" w:rsidRPr="001C3E78">
        <w:rPr>
          <w:rFonts w:ascii="楷体_GB2312" w:hint="eastAsia"/>
          <w:color w:val="auto"/>
        </w:rPr>
        <w:t>银华富裕主题</w:t>
      </w:r>
      <w:r w:rsidR="007D3A06">
        <w:rPr>
          <w:rFonts w:ascii="楷体_GB2312" w:hint="eastAsia"/>
          <w:color w:val="auto"/>
        </w:rPr>
        <w:t>、富国天成等。</w:t>
      </w:r>
    </w:p>
    <w:tbl>
      <w:tblPr>
        <w:tblStyle w:val="GJStylesChartInsertSingleCol"/>
        <w:tblW w:w="7370" w:type="dxa"/>
        <w:tblInd w:w="3402" w:type="dxa"/>
        <w:tblLook w:val="0600" w:firstRow="0" w:lastRow="0" w:firstColumn="0" w:lastColumn="0" w:noHBand="1" w:noVBand="1"/>
      </w:tblPr>
      <w:tblGrid>
        <w:gridCol w:w="7370"/>
      </w:tblGrid>
      <w:tr w:rsidR="000C2513" w:rsidTr="000C2513">
        <w:tc>
          <w:tcPr>
            <w:tcW w:w="7370" w:type="dxa"/>
          </w:tcPr>
          <w:p w:rsidR="000C2513" w:rsidRPr="000C2513" w:rsidRDefault="000C2513" w:rsidP="001C3E78">
            <w:pPr>
              <w:pStyle w:val="GJStylesGraphTitle"/>
            </w:pPr>
            <w:r>
              <w:rPr>
                <w:rFonts w:hint="eastAsia"/>
              </w:rPr>
              <w:lastRenderedPageBreak/>
              <w:t>图表</w:t>
            </w:r>
            <w:r w:rsidR="00C85D91">
              <w:fldChar w:fldCharType="begin"/>
            </w:r>
            <w:r w:rsidR="00C85D91">
              <w:instrText xml:space="preserve"> SEQ </w:instrText>
            </w:r>
            <w:r w:rsidR="00C85D91">
              <w:instrText>图表</w:instrText>
            </w:r>
            <w:r w:rsidR="00C85D91">
              <w:instrText xml:space="preserve"> \* ARABIC  \* MERGEFORMAT </w:instrText>
            </w:r>
            <w:r w:rsidR="00C85D91">
              <w:fldChar w:fldCharType="separate"/>
            </w:r>
            <w:r w:rsidR="00665430">
              <w:rPr>
                <w:noProof/>
              </w:rPr>
              <w:t>3</w:t>
            </w:r>
            <w:r w:rsidR="00C85D91">
              <w:rPr>
                <w:noProof/>
              </w:rPr>
              <w:fldChar w:fldCharType="end"/>
            </w:r>
            <w:r>
              <w:rPr>
                <w:rFonts w:hint="eastAsia"/>
              </w:rPr>
              <w:t>：</w:t>
            </w:r>
            <w:r w:rsidR="001C3E78">
              <w:rPr>
                <w:rFonts w:hint="eastAsia"/>
              </w:rPr>
              <w:t>组合市盈率相对较低且风格相对稳健立足中长期选股</w:t>
            </w:r>
            <w:r w:rsidR="001C3E78">
              <w:rPr>
                <w:rFonts w:hint="eastAsia"/>
              </w:rPr>
              <w:t xml:space="preserve"> </w:t>
            </w:r>
            <w:r w:rsidR="001C3E78">
              <w:rPr>
                <w:rFonts w:hint="eastAsia"/>
              </w:rPr>
              <w:t>的基金</w:t>
            </w:r>
          </w:p>
        </w:tc>
      </w:tr>
      <w:tr w:rsidR="000C2513" w:rsidTr="001C3E78">
        <w:trPr>
          <w:trHeight w:val="3509"/>
        </w:trPr>
        <w:tc>
          <w:tcPr>
            <w:tcW w:w="7370" w:type="dxa"/>
            <w:vAlign w:val="center"/>
          </w:tcPr>
          <w:p w:rsidR="000C2513" w:rsidRPr="000C2513" w:rsidRDefault="001C3E78" w:rsidP="001C3E78">
            <w:pPr>
              <w:jc w:val="center"/>
            </w:pPr>
            <w:r>
              <w:rPr>
                <w:noProof/>
              </w:rPr>
              <w:drawing>
                <wp:inline distT="0" distB="0" distL="0" distR="0">
                  <wp:extent cx="3563487" cy="2135725"/>
                  <wp:effectExtent l="19050" t="0" r="0" b="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3563645" cy="2135820"/>
                          </a:xfrm>
                          <a:prstGeom prst="rect">
                            <a:avLst/>
                          </a:prstGeom>
                          <a:noFill/>
                          <a:ln w="9525">
                            <a:noFill/>
                            <a:miter lim="800000"/>
                            <a:headEnd/>
                            <a:tailEnd/>
                          </a:ln>
                        </pic:spPr>
                      </pic:pic>
                    </a:graphicData>
                  </a:graphic>
                </wp:inline>
              </w:drawing>
            </w:r>
          </w:p>
        </w:tc>
      </w:tr>
      <w:tr w:rsidR="000C2513" w:rsidTr="000C2513">
        <w:tc>
          <w:tcPr>
            <w:tcW w:w="7370" w:type="dxa"/>
          </w:tcPr>
          <w:p w:rsidR="000C2513" w:rsidRDefault="000C2513" w:rsidP="000C2513">
            <w:pPr>
              <w:pStyle w:val="GJStylesGraphSource"/>
            </w:pPr>
            <w:r>
              <w:rPr>
                <w:rFonts w:hint="eastAsia"/>
              </w:rPr>
              <w:t>来源：国金证券研究所</w:t>
            </w:r>
          </w:p>
        </w:tc>
      </w:tr>
    </w:tbl>
    <w:p w:rsidR="00143C2D" w:rsidRPr="00853C75" w:rsidRDefault="002F22C7" w:rsidP="00853C75">
      <w:pPr>
        <w:pStyle w:val="a0"/>
        <w:numPr>
          <w:ilvl w:val="5"/>
          <w:numId w:val="36"/>
        </w:numPr>
        <w:spacing w:line="240" w:lineRule="auto"/>
        <w:ind w:left="4140" w:hanging="369"/>
        <w:rPr>
          <w:rFonts w:ascii="楷体_GB2312"/>
          <w:color w:val="auto"/>
        </w:rPr>
      </w:pPr>
      <w:r>
        <w:rPr>
          <w:rFonts w:ascii="楷体_GB2312" w:hint="eastAsia"/>
          <w:color w:val="auto"/>
        </w:rPr>
        <w:t>最后</w:t>
      </w:r>
      <w:r w:rsidR="00EF25C2">
        <w:rPr>
          <w:rFonts w:ascii="楷体_GB2312" w:hint="eastAsia"/>
          <w:color w:val="auto"/>
        </w:rPr>
        <w:t>，经过前期的大幅上涨</w:t>
      </w:r>
      <w:r w:rsidR="00376061">
        <w:rPr>
          <w:rFonts w:ascii="楷体_GB2312" w:hint="eastAsia"/>
          <w:color w:val="auto"/>
        </w:rPr>
        <w:t>获利盘</w:t>
      </w:r>
      <w:r w:rsidR="00BE028A">
        <w:rPr>
          <w:rFonts w:ascii="楷体_GB2312" w:hint="eastAsia"/>
          <w:color w:val="auto"/>
        </w:rPr>
        <w:t>丰厚</w:t>
      </w:r>
      <w:r w:rsidR="00143C2D">
        <w:rPr>
          <w:rFonts w:ascii="楷体_GB2312" w:hint="eastAsia"/>
          <w:color w:val="auto"/>
        </w:rPr>
        <w:t>，</w:t>
      </w:r>
      <w:r w:rsidR="00BE028A">
        <w:rPr>
          <w:rFonts w:ascii="楷体_GB2312" w:hint="eastAsia"/>
          <w:color w:val="auto"/>
        </w:rPr>
        <w:t>各方面的传言也使得市场波动明显加大，</w:t>
      </w:r>
      <w:r w:rsidR="00EC5C24">
        <w:rPr>
          <w:rFonts w:ascii="楷体_GB2312" w:hint="eastAsia"/>
          <w:color w:val="auto"/>
        </w:rPr>
        <w:t>从把握市场波动节奏的角度，优选</w:t>
      </w:r>
      <w:r w:rsidR="00005676">
        <w:rPr>
          <w:rFonts w:ascii="楷体_GB2312" w:hint="eastAsia"/>
          <w:color w:val="auto"/>
        </w:rPr>
        <w:t>大类资产配置</w:t>
      </w:r>
      <w:r w:rsidR="00EC5C24">
        <w:rPr>
          <w:rFonts w:ascii="楷体_GB2312" w:hint="eastAsia"/>
          <w:color w:val="auto"/>
        </w:rPr>
        <w:t>能力突出</w:t>
      </w:r>
      <w:r w:rsidR="00005676">
        <w:rPr>
          <w:rFonts w:ascii="楷体_GB2312" w:hint="eastAsia"/>
          <w:color w:val="auto"/>
        </w:rPr>
        <w:t>、投资灵活度较高且具备前瞻性的</w:t>
      </w:r>
      <w:r w:rsidR="00EC5C24">
        <w:rPr>
          <w:rFonts w:ascii="楷体_GB2312" w:hint="eastAsia"/>
          <w:color w:val="auto"/>
        </w:rPr>
        <w:t>基金具有控制组合波动风险的意义。</w:t>
      </w:r>
      <w:r w:rsidR="005B1EAB">
        <w:rPr>
          <w:rFonts w:ascii="楷体_GB2312" w:hint="eastAsia"/>
          <w:color w:val="auto"/>
        </w:rPr>
        <w:t>但由于近年来基金择时对于基金业绩的贡献并不明显，绝大多数</w:t>
      </w:r>
      <w:r w:rsidR="00BF5C81">
        <w:rPr>
          <w:rFonts w:ascii="楷体_GB2312" w:hint="eastAsia"/>
          <w:color w:val="auto"/>
        </w:rPr>
        <w:t>绩优</w:t>
      </w:r>
      <w:r w:rsidR="005B1EAB">
        <w:rPr>
          <w:rFonts w:ascii="楷体_GB2312" w:hint="eastAsia"/>
          <w:color w:val="auto"/>
        </w:rPr>
        <w:t>基金以自下而上的选择为主，从量化角度很难</w:t>
      </w:r>
      <w:r w:rsidR="00181776">
        <w:rPr>
          <w:rFonts w:ascii="楷体_GB2312" w:hint="eastAsia"/>
          <w:color w:val="auto"/>
        </w:rPr>
        <w:t>片面的结合</w:t>
      </w:r>
      <w:r w:rsidR="00853C75">
        <w:rPr>
          <w:rFonts w:ascii="楷体_GB2312" w:hint="eastAsia"/>
          <w:color w:val="auto"/>
        </w:rPr>
        <w:t>某一</w:t>
      </w:r>
      <w:r w:rsidR="005B1EAB">
        <w:rPr>
          <w:rFonts w:ascii="楷体_GB2312" w:hint="eastAsia"/>
          <w:color w:val="auto"/>
        </w:rPr>
        <w:t>指标进行基金择时能力的</w:t>
      </w:r>
      <w:proofErr w:type="gramStart"/>
      <w:r w:rsidR="005B1EAB">
        <w:rPr>
          <w:rFonts w:ascii="楷体_GB2312" w:hint="eastAsia"/>
          <w:color w:val="auto"/>
        </w:rPr>
        <w:t>考量</w:t>
      </w:r>
      <w:proofErr w:type="gramEnd"/>
      <w:r w:rsidR="00BF5C81">
        <w:rPr>
          <w:rFonts w:ascii="楷体_GB2312" w:hint="eastAsia"/>
          <w:color w:val="auto"/>
        </w:rPr>
        <w:t>。</w:t>
      </w:r>
      <w:r w:rsidR="005B1EAB">
        <w:rPr>
          <w:rFonts w:ascii="楷体_GB2312" w:hint="eastAsia"/>
          <w:color w:val="auto"/>
        </w:rPr>
        <w:t>因此，</w:t>
      </w:r>
      <w:r w:rsidR="00BF5C81">
        <w:rPr>
          <w:rFonts w:ascii="楷体_GB2312" w:hint="eastAsia"/>
          <w:color w:val="auto"/>
        </w:rPr>
        <w:t>除了</w:t>
      </w:r>
      <w:r w:rsidR="00853C75">
        <w:rPr>
          <w:rFonts w:ascii="楷体_GB2312" w:hint="eastAsia"/>
          <w:color w:val="auto"/>
        </w:rPr>
        <w:t>量化角度</w:t>
      </w:r>
      <w:r w:rsidR="00BF5C81">
        <w:rPr>
          <w:rFonts w:ascii="楷体_GB2312" w:hint="eastAsia"/>
          <w:color w:val="auto"/>
        </w:rPr>
        <w:t>，</w:t>
      </w:r>
      <w:r w:rsidR="005B1EAB">
        <w:rPr>
          <w:rFonts w:ascii="楷体_GB2312" w:hint="eastAsia"/>
          <w:color w:val="auto"/>
        </w:rPr>
        <w:t>我们</w:t>
      </w:r>
      <w:r w:rsidR="00853C75">
        <w:rPr>
          <w:rFonts w:ascii="楷体_GB2312" w:hint="eastAsia"/>
          <w:color w:val="auto"/>
        </w:rPr>
        <w:t>更多从定性角度</w:t>
      </w:r>
      <w:r w:rsidR="00853C75">
        <w:rPr>
          <w:rFonts w:hint="eastAsia"/>
          <w:color w:val="auto"/>
        </w:rPr>
        <w:t>选择</w:t>
      </w:r>
      <w:r w:rsidR="00BF5C81" w:rsidRPr="00BF2058">
        <w:rPr>
          <w:rFonts w:hint="eastAsia"/>
          <w:color w:val="auto"/>
        </w:rPr>
        <w:t>带有灵活特点的基金产品</w:t>
      </w:r>
      <w:r w:rsidR="00CF4B4E">
        <w:rPr>
          <w:rFonts w:hint="eastAsia"/>
          <w:color w:val="auto"/>
        </w:rPr>
        <w:t>，</w:t>
      </w:r>
      <w:r w:rsidR="00BF2058" w:rsidRPr="00853C75">
        <w:rPr>
          <w:rFonts w:ascii="楷体_GB2312" w:hint="eastAsia"/>
          <w:color w:val="auto"/>
        </w:rPr>
        <w:t>包括</w:t>
      </w:r>
      <w:r w:rsidR="00853C75">
        <w:rPr>
          <w:rFonts w:ascii="楷体_GB2312" w:hint="eastAsia"/>
          <w:color w:val="auto"/>
        </w:rPr>
        <w:t>广发行业领先、大摩主题、宝盈策略增长、华安逆向策略、中</w:t>
      </w:r>
      <w:proofErr w:type="gramStart"/>
      <w:r w:rsidR="00853C75">
        <w:rPr>
          <w:rFonts w:ascii="楷体_GB2312" w:hint="eastAsia"/>
          <w:color w:val="auto"/>
        </w:rPr>
        <w:t>银主题</w:t>
      </w:r>
      <w:proofErr w:type="gramEnd"/>
      <w:r w:rsidR="00BF2058" w:rsidRPr="00853C75">
        <w:rPr>
          <w:rFonts w:ascii="楷体_GB2312" w:hint="eastAsia"/>
          <w:color w:val="auto"/>
        </w:rPr>
        <w:t>等</w:t>
      </w:r>
      <w:r w:rsidR="00143C2D" w:rsidRPr="00853C75">
        <w:rPr>
          <w:rFonts w:ascii="楷体_GB2312" w:hint="eastAsia"/>
          <w:color w:val="auto"/>
        </w:rPr>
        <w:t>可侧重关注。</w:t>
      </w:r>
    </w:p>
    <w:p w:rsidR="003A0A8C" w:rsidRPr="003A0A8C" w:rsidRDefault="003A0A8C" w:rsidP="00E76CAF">
      <w:pPr>
        <w:pStyle w:val="a0"/>
        <w:spacing w:line="240" w:lineRule="auto"/>
        <w:ind w:left="0"/>
        <w:rPr>
          <w:rFonts w:ascii="楷体_GB2312"/>
          <w:color w:val="auto"/>
        </w:rPr>
      </w:pPr>
    </w:p>
    <w:p w:rsidR="00EE1CC3" w:rsidRPr="00183075" w:rsidRDefault="00EE1CC3" w:rsidP="00EE1CC3">
      <w:pPr>
        <w:pStyle w:val="13"/>
        <w:rPr>
          <w:color w:val="auto"/>
        </w:rPr>
      </w:pPr>
      <w:r>
        <w:rPr>
          <w:rFonts w:hint="eastAsia"/>
          <w:color w:val="auto"/>
        </w:rPr>
        <w:lastRenderedPageBreak/>
        <w:t>第三部分</w:t>
      </w:r>
      <w:r w:rsidRPr="00183075">
        <w:rPr>
          <w:rFonts w:hint="eastAsia"/>
          <w:color w:val="auto"/>
        </w:rPr>
        <w:t>、</w:t>
      </w:r>
      <w:r w:rsidRPr="001509EC">
        <w:rPr>
          <w:rFonts w:hint="eastAsia"/>
          <w:color w:val="auto"/>
        </w:rPr>
        <w:t>基金池及</w:t>
      </w:r>
      <w:r w:rsidRPr="001509EC">
        <w:rPr>
          <w:rFonts w:hint="eastAsia"/>
          <w:color w:val="auto"/>
        </w:rPr>
        <w:t>201</w:t>
      </w:r>
      <w:r>
        <w:rPr>
          <w:rFonts w:hint="eastAsia"/>
          <w:color w:val="auto"/>
        </w:rPr>
        <w:t>5</w:t>
      </w:r>
      <w:r w:rsidRPr="001509EC">
        <w:rPr>
          <w:rFonts w:hint="eastAsia"/>
          <w:color w:val="auto"/>
        </w:rPr>
        <w:t>年</w:t>
      </w:r>
      <w:r w:rsidR="00B660C2">
        <w:rPr>
          <w:rFonts w:hint="eastAsia"/>
          <w:color w:val="auto"/>
        </w:rPr>
        <w:t>6</w:t>
      </w:r>
      <w:r w:rsidRPr="001509EC">
        <w:rPr>
          <w:rFonts w:hint="eastAsia"/>
          <w:color w:val="auto"/>
        </w:rPr>
        <w:t>月份基金组合推荐</w:t>
      </w:r>
    </w:p>
    <w:p w:rsidR="00EE1CC3" w:rsidRPr="00C237AD" w:rsidRDefault="00EE1CC3" w:rsidP="00EE1CC3">
      <w:pPr>
        <w:pStyle w:val="a0"/>
        <w:numPr>
          <w:ilvl w:val="4"/>
          <w:numId w:val="3"/>
        </w:numPr>
        <w:spacing w:after="240"/>
        <w:rPr>
          <w:color w:val="auto"/>
        </w:rPr>
      </w:pPr>
      <w:r w:rsidRPr="00C237AD">
        <w:rPr>
          <w:rFonts w:hint="eastAsia"/>
          <w:color w:val="auto"/>
        </w:rPr>
        <w:t>依据前面各部分对相关市场以及各类产品投资操作策略分析，下阶段重点关注基金池</w:t>
      </w:r>
      <w:r>
        <w:rPr>
          <w:rFonts w:hint="eastAsia"/>
          <w:color w:val="auto"/>
        </w:rPr>
        <w:t>如下：</w:t>
      </w:r>
    </w:p>
    <w:tbl>
      <w:tblPr>
        <w:tblW w:w="10772" w:type="dxa"/>
        <w:jc w:val="center"/>
        <w:tblBorders>
          <w:top w:val="single" w:sz="6" w:space="0" w:color="00B0F0"/>
          <w:bottom w:val="single" w:sz="6" w:space="0" w:color="00B0F0"/>
          <w:insideH w:val="single" w:sz="6" w:space="0" w:color="00B0F0"/>
        </w:tblBorders>
        <w:tblLayout w:type="fixed"/>
        <w:tblCellMar>
          <w:left w:w="0" w:type="dxa"/>
          <w:right w:w="0" w:type="dxa"/>
        </w:tblCellMar>
        <w:tblLook w:val="0000" w:firstRow="0" w:lastRow="0" w:firstColumn="0" w:lastColumn="0" w:noHBand="0" w:noVBand="0"/>
      </w:tblPr>
      <w:tblGrid>
        <w:gridCol w:w="2042"/>
        <w:gridCol w:w="8730"/>
      </w:tblGrid>
      <w:tr w:rsidR="00EE1CC3" w:rsidTr="00735BBD">
        <w:trPr>
          <w:cantSplit/>
          <w:trHeight w:val="200"/>
          <w:tblHeader/>
          <w:jc w:val="center"/>
        </w:trPr>
        <w:tc>
          <w:tcPr>
            <w:tcW w:w="10772" w:type="dxa"/>
            <w:gridSpan w:val="2"/>
            <w:tcBorders>
              <w:bottom w:val="single" w:sz="6" w:space="0" w:color="00B0F0"/>
            </w:tcBorders>
            <w:shd w:val="clear" w:color="auto" w:fill="auto"/>
          </w:tcPr>
          <w:p w:rsidR="00EE1CC3" w:rsidRDefault="00EE1CC3" w:rsidP="00735BBD">
            <w:pPr>
              <w:pStyle w:val="SubTitleLargeTable"/>
            </w:pPr>
            <w:r>
              <w:rPr>
                <w:rFonts w:hint="eastAsia"/>
              </w:rPr>
              <w:t>图表</w:t>
            </w:r>
            <w:r w:rsidR="00327CFE">
              <w:fldChar w:fldCharType="begin"/>
            </w:r>
            <w:r>
              <w:instrText xml:space="preserve"> </w:instrText>
            </w:r>
            <w:r>
              <w:rPr>
                <w:rFonts w:hint="eastAsia"/>
              </w:rPr>
              <w:instrText xml:space="preserve">SEQ </w:instrText>
            </w:r>
            <w:r>
              <w:rPr>
                <w:rFonts w:hint="eastAsia"/>
              </w:rPr>
              <w:instrText>图表</w:instrText>
            </w:r>
            <w:r>
              <w:rPr>
                <w:rFonts w:hint="eastAsia"/>
              </w:rPr>
              <w:instrText xml:space="preserve"> \* ARABIC</w:instrText>
            </w:r>
            <w:r>
              <w:instrText xml:space="preserve"> </w:instrText>
            </w:r>
            <w:r w:rsidR="00327CFE">
              <w:fldChar w:fldCharType="separate"/>
            </w:r>
            <w:r w:rsidR="00665430">
              <w:rPr>
                <w:noProof/>
              </w:rPr>
              <w:t>4</w:t>
            </w:r>
            <w:r w:rsidR="00327CFE">
              <w:fldChar w:fldCharType="end"/>
            </w:r>
            <w:r>
              <w:rPr>
                <w:rFonts w:hint="eastAsia"/>
              </w:rPr>
              <w:t>：基金池推荐（按字母顺序排列）</w:t>
            </w:r>
          </w:p>
        </w:tc>
      </w:tr>
      <w:tr w:rsidR="00EE1CC3" w:rsidTr="00735BBD">
        <w:trPr>
          <w:cantSplit/>
          <w:trHeight w:val="340"/>
          <w:jc w:val="center"/>
        </w:trPr>
        <w:tc>
          <w:tcPr>
            <w:tcW w:w="2042" w:type="dxa"/>
            <w:tcBorders>
              <w:bottom w:val="single" w:sz="6" w:space="0" w:color="D9D9D9"/>
              <w:right w:val="single" w:sz="6" w:space="0" w:color="D9D9D9"/>
            </w:tcBorders>
            <w:shd w:val="clear" w:color="auto" w:fill="auto"/>
            <w:vAlign w:val="center"/>
          </w:tcPr>
          <w:p w:rsidR="00EE1CC3" w:rsidRPr="00F84181" w:rsidRDefault="00EE1CC3" w:rsidP="00735BBD">
            <w:pPr>
              <w:jc w:val="center"/>
              <w:rPr>
                <w:rFonts w:ascii="宋体" w:eastAsia="宋体" w:hAnsi="宋体" w:cs="宋体"/>
                <w:b/>
                <w:bCs/>
                <w:szCs w:val="18"/>
              </w:rPr>
            </w:pPr>
            <w:r w:rsidRPr="00F84181">
              <w:rPr>
                <w:rFonts w:ascii="宋体" w:eastAsia="宋体" w:hAnsi="宋体" w:hint="eastAsia"/>
                <w:b/>
                <w:bCs/>
                <w:szCs w:val="18"/>
              </w:rPr>
              <w:t>股票型基金</w:t>
            </w:r>
          </w:p>
        </w:tc>
        <w:tc>
          <w:tcPr>
            <w:tcW w:w="8730" w:type="dxa"/>
            <w:tcBorders>
              <w:left w:val="single" w:sz="6" w:space="0" w:color="D9D9D9"/>
              <w:bottom w:val="single" w:sz="6" w:space="0" w:color="D9D9D9"/>
            </w:tcBorders>
            <w:shd w:val="clear" w:color="auto" w:fill="auto"/>
            <w:vAlign w:val="center"/>
          </w:tcPr>
          <w:p w:rsidR="00EE1CC3" w:rsidRPr="00220F11" w:rsidRDefault="00EE1CC3" w:rsidP="00735BBD">
            <w:pPr>
              <w:jc w:val="center"/>
              <w:rPr>
                <w:rFonts w:ascii="宋体" w:eastAsia="宋体" w:hAnsi="宋体" w:cs="宋体"/>
                <w:b/>
                <w:color w:val="000000"/>
                <w:szCs w:val="18"/>
              </w:rPr>
            </w:pPr>
            <w:r w:rsidRPr="00220F11">
              <w:rPr>
                <w:rFonts w:ascii="宋体" w:eastAsia="宋体" w:hAnsi="宋体" w:cs="宋体" w:hint="eastAsia"/>
                <w:b/>
                <w:color w:val="000000"/>
                <w:szCs w:val="18"/>
              </w:rPr>
              <w:t>推荐理由</w:t>
            </w:r>
          </w:p>
        </w:tc>
      </w:tr>
      <w:tr w:rsidR="00004EBA" w:rsidTr="00735BBD">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004EBA" w:rsidRPr="009A36BC" w:rsidRDefault="00004EBA" w:rsidP="00735BBD">
            <w:pPr>
              <w:jc w:val="center"/>
              <w:rPr>
                <w:rFonts w:ascii="宋体" w:eastAsia="宋体" w:hAnsi="宋体"/>
                <w:b/>
                <w:szCs w:val="18"/>
              </w:rPr>
            </w:pPr>
            <w:r>
              <w:rPr>
                <w:rFonts w:ascii="宋体" w:eastAsia="宋体" w:hAnsi="宋体" w:hint="eastAsia"/>
                <w:b/>
                <w:szCs w:val="18"/>
              </w:rPr>
              <w:t>宝盈策略</w:t>
            </w:r>
          </w:p>
        </w:tc>
        <w:tc>
          <w:tcPr>
            <w:tcW w:w="8730" w:type="dxa"/>
            <w:tcBorders>
              <w:top w:val="single" w:sz="6" w:space="0" w:color="D9D9D9"/>
              <w:left w:val="single" w:sz="6" w:space="0" w:color="D9D9D9"/>
              <w:bottom w:val="single" w:sz="6" w:space="0" w:color="D9D9D9"/>
            </w:tcBorders>
            <w:shd w:val="clear" w:color="auto" w:fill="auto"/>
            <w:vAlign w:val="center"/>
          </w:tcPr>
          <w:p w:rsidR="00004EBA" w:rsidRPr="009A36BC" w:rsidRDefault="00004EBA" w:rsidP="00735BBD">
            <w:pPr>
              <w:jc w:val="left"/>
              <w:rPr>
                <w:rFonts w:ascii="宋体" w:eastAsia="宋体" w:hAnsi="宋体"/>
                <w:szCs w:val="18"/>
              </w:rPr>
            </w:pPr>
            <w:r>
              <w:rPr>
                <w:rFonts w:ascii="宋体" w:eastAsia="宋体" w:hAnsi="宋体" w:hint="eastAsia"/>
                <w:szCs w:val="18"/>
              </w:rPr>
              <w:t>基金经理具备较强的投资管理能力，无论是择时还是选股指标都在同业中表现突出</w:t>
            </w:r>
            <w:r w:rsidRPr="009A36BC">
              <w:rPr>
                <w:rFonts w:ascii="宋体" w:eastAsia="宋体" w:hAnsi="宋体" w:hint="eastAsia"/>
                <w:szCs w:val="18"/>
              </w:rPr>
              <w:t>。</w:t>
            </w:r>
            <w:r>
              <w:rPr>
                <w:rFonts w:ascii="宋体" w:eastAsia="宋体" w:hAnsi="宋体" w:hint="eastAsia"/>
                <w:szCs w:val="18"/>
              </w:rPr>
              <w:t>基金侧重成长风格投资，同时在国企改革、军工等主题投资领域上关注较多。</w:t>
            </w:r>
          </w:p>
        </w:tc>
      </w:tr>
      <w:tr w:rsidR="00004EBA" w:rsidTr="00735BBD">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004EBA" w:rsidRPr="009A36BC" w:rsidRDefault="00004EBA" w:rsidP="00735BBD">
            <w:pPr>
              <w:jc w:val="center"/>
              <w:rPr>
                <w:rFonts w:ascii="宋体" w:eastAsia="宋体" w:hAnsi="宋体"/>
                <w:b/>
                <w:szCs w:val="18"/>
              </w:rPr>
            </w:pPr>
            <w:r>
              <w:rPr>
                <w:rFonts w:ascii="宋体" w:eastAsia="宋体" w:hAnsi="宋体" w:hint="eastAsia"/>
                <w:b/>
                <w:szCs w:val="18"/>
              </w:rPr>
              <w:t>博时特许</w:t>
            </w:r>
          </w:p>
        </w:tc>
        <w:tc>
          <w:tcPr>
            <w:tcW w:w="8730" w:type="dxa"/>
            <w:tcBorders>
              <w:top w:val="single" w:sz="6" w:space="0" w:color="D9D9D9"/>
              <w:left w:val="single" w:sz="6" w:space="0" w:color="D9D9D9"/>
              <w:bottom w:val="single" w:sz="6" w:space="0" w:color="D9D9D9"/>
            </w:tcBorders>
            <w:shd w:val="clear" w:color="auto" w:fill="auto"/>
            <w:vAlign w:val="center"/>
          </w:tcPr>
          <w:p w:rsidR="00004EBA" w:rsidRPr="009A36BC" w:rsidRDefault="00004EBA" w:rsidP="00735BBD">
            <w:pPr>
              <w:jc w:val="left"/>
              <w:rPr>
                <w:rFonts w:ascii="宋体" w:eastAsia="宋体" w:hAnsi="宋体"/>
                <w:szCs w:val="18"/>
              </w:rPr>
            </w:pPr>
            <w:r>
              <w:rPr>
                <w:rFonts w:ascii="宋体" w:eastAsia="宋体" w:hAnsi="宋体" w:hint="eastAsia"/>
                <w:szCs w:val="18"/>
              </w:rPr>
              <w:t>低估值蓝</w:t>
            </w:r>
            <w:proofErr w:type="gramStart"/>
            <w:r>
              <w:rPr>
                <w:rFonts w:ascii="宋体" w:eastAsia="宋体" w:hAnsi="宋体" w:hint="eastAsia"/>
                <w:szCs w:val="18"/>
              </w:rPr>
              <w:t>筹风格</w:t>
            </w:r>
            <w:proofErr w:type="gramEnd"/>
            <w:r>
              <w:rPr>
                <w:rFonts w:ascii="宋体" w:eastAsia="宋体" w:hAnsi="宋体" w:hint="eastAsia"/>
                <w:szCs w:val="18"/>
              </w:rPr>
              <w:t>显著，并对此类风格品种有突出的把握能力，且长期投资风格保持稳定，在价值风格主导的行情中有较强的配置价值。</w:t>
            </w:r>
          </w:p>
        </w:tc>
      </w:tr>
      <w:tr w:rsidR="00004EBA" w:rsidTr="00735BBD">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004EBA" w:rsidRPr="00455ED2" w:rsidRDefault="00004EBA" w:rsidP="00735BBD">
            <w:pPr>
              <w:jc w:val="center"/>
              <w:rPr>
                <w:rFonts w:ascii="宋体" w:eastAsia="宋体" w:hAnsi="宋体"/>
                <w:b/>
                <w:szCs w:val="18"/>
              </w:rPr>
            </w:pPr>
            <w:r>
              <w:rPr>
                <w:rFonts w:ascii="宋体" w:eastAsia="宋体" w:hAnsi="宋体" w:hint="eastAsia"/>
                <w:b/>
                <w:szCs w:val="18"/>
              </w:rPr>
              <w:t>大</w:t>
            </w:r>
            <w:proofErr w:type="gramStart"/>
            <w:r>
              <w:rPr>
                <w:rFonts w:ascii="宋体" w:eastAsia="宋体" w:hAnsi="宋体" w:hint="eastAsia"/>
                <w:b/>
                <w:szCs w:val="18"/>
              </w:rPr>
              <w:t>摩主题</w:t>
            </w:r>
            <w:proofErr w:type="gramEnd"/>
          </w:p>
        </w:tc>
        <w:tc>
          <w:tcPr>
            <w:tcW w:w="8730" w:type="dxa"/>
            <w:tcBorders>
              <w:top w:val="single" w:sz="6" w:space="0" w:color="D9D9D9"/>
              <w:left w:val="single" w:sz="6" w:space="0" w:color="D9D9D9"/>
              <w:bottom w:val="single" w:sz="6" w:space="0" w:color="D9D9D9"/>
            </w:tcBorders>
            <w:shd w:val="clear" w:color="auto" w:fill="auto"/>
            <w:vAlign w:val="center"/>
          </w:tcPr>
          <w:p w:rsidR="00004EBA" w:rsidRPr="009A36BC" w:rsidRDefault="00004EBA" w:rsidP="00735BBD">
            <w:pPr>
              <w:jc w:val="left"/>
              <w:rPr>
                <w:rFonts w:ascii="宋体" w:eastAsia="宋体" w:hAnsi="宋体"/>
                <w:szCs w:val="18"/>
              </w:rPr>
            </w:pPr>
            <w:r>
              <w:rPr>
                <w:rFonts w:ascii="宋体" w:eastAsia="宋体" w:hAnsi="宋体" w:hint="eastAsia"/>
                <w:szCs w:val="18"/>
              </w:rPr>
              <w:t>主题投资基金，无论在2014年还是2015年以来均对主题投资有较好的把握，且具有较高的灵活性。</w:t>
            </w:r>
          </w:p>
        </w:tc>
      </w:tr>
      <w:tr w:rsidR="00004EBA" w:rsidTr="00735BBD">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004EBA" w:rsidRPr="009A36BC" w:rsidRDefault="00004EBA" w:rsidP="00735BBD">
            <w:pPr>
              <w:jc w:val="center"/>
              <w:rPr>
                <w:rFonts w:ascii="宋体" w:eastAsia="宋体" w:hAnsi="宋体"/>
                <w:b/>
                <w:szCs w:val="18"/>
              </w:rPr>
            </w:pPr>
            <w:r>
              <w:rPr>
                <w:rFonts w:ascii="宋体" w:eastAsia="宋体" w:hAnsi="宋体" w:hint="eastAsia"/>
                <w:b/>
                <w:szCs w:val="18"/>
              </w:rPr>
              <w:t>工</w:t>
            </w:r>
            <w:proofErr w:type="gramStart"/>
            <w:r>
              <w:rPr>
                <w:rFonts w:ascii="宋体" w:eastAsia="宋体" w:hAnsi="宋体" w:hint="eastAsia"/>
                <w:b/>
                <w:szCs w:val="18"/>
              </w:rPr>
              <w:t>银金融</w:t>
            </w:r>
            <w:proofErr w:type="gramEnd"/>
            <w:r>
              <w:rPr>
                <w:rFonts w:ascii="宋体" w:eastAsia="宋体" w:hAnsi="宋体" w:hint="eastAsia"/>
                <w:b/>
                <w:szCs w:val="18"/>
              </w:rPr>
              <w:t>地产</w:t>
            </w:r>
          </w:p>
        </w:tc>
        <w:tc>
          <w:tcPr>
            <w:tcW w:w="8730" w:type="dxa"/>
            <w:tcBorders>
              <w:top w:val="single" w:sz="6" w:space="0" w:color="D9D9D9"/>
              <w:left w:val="single" w:sz="6" w:space="0" w:color="D9D9D9"/>
              <w:bottom w:val="single" w:sz="6" w:space="0" w:color="D9D9D9"/>
            </w:tcBorders>
            <w:shd w:val="clear" w:color="auto" w:fill="auto"/>
            <w:vAlign w:val="center"/>
          </w:tcPr>
          <w:p w:rsidR="00004EBA" w:rsidRDefault="00004EBA" w:rsidP="00735BBD">
            <w:pPr>
              <w:jc w:val="left"/>
              <w:rPr>
                <w:rFonts w:ascii="宋体" w:eastAsia="宋体" w:hAnsi="宋体"/>
                <w:szCs w:val="18"/>
              </w:rPr>
            </w:pPr>
            <w:r>
              <w:rPr>
                <w:rFonts w:ascii="宋体" w:eastAsia="宋体" w:hAnsi="宋体" w:hint="eastAsia"/>
                <w:szCs w:val="18"/>
              </w:rPr>
              <w:t>重点投资于金融地产行业，且从投资风格来看在选股上具有较高的灵活度，在2014年对市场投资机会有突出的把握，在相关行业投资机会较为明显的市场环境中，可重点关注。</w:t>
            </w:r>
          </w:p>
        </w:tc>
      </w:tr>
      <w:tr w:rsidR="00004EBA" w:rsidTr="00735BBD">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004EBA" w:rsidRDefault="00004EBA" w:rsidP="00735BBD">
            <w:pPr>
              <w:jc w:val="center"/>
              <w:rPr>
                <w:rFonts w:ascii="宋体" w:eastAsia="宋体" w:hAnsi="宋体"/>
                <w:b/>
                <w:szCs w:val="18"/>
              </w:rPr>
            </w:pPr>
            <w:r>
              <w:rPr>
                <w:rFonts w:ascii="宋体" w:eastAsia="宋体" w:hAnsi="宋体" w:hint="eastAsia"/>
                <w:b/>
                <w:szCs w:val="18"/>
              </w:rPr>
              <w:t>工</w:t>
            </w:r>
            <w:proofErr w:type="gramStart"/>
            <w:r>
              <w:rPr>
                <w:rFonts w:ascii="宋体" w:eastAsia="宋体" w:hAnsi="宋体" w:hint="eastAsia"/>
                <w:b/>
                <w:szCs w:val="18"/>
              </w:rPr>
              <w:t>银主题</w:t>
            </w:r>
            <w:proofErr w:type="gramEnd"/>
          </w:p>
        </w:tc>
        <w:tc>
          <w:tcPr>
            <w:tcW w:w="8730" w:type="dxa"/>
            <w:tcBorders>
              <w:top w:val="single" w:sz="6" w:space="0" w:color="D9D9D9"/>
              <w:left w:val="single" w:sz="6" w:space="0" w:color="D9D9D9"/>
              <w:bottom w:val="single" w:sz="6" w:space="0" w:color="D9D9D9"/>
            </w:tcBorders>
            <w:shd w:val="clear" w:color="auto" w:fill="auto"/>
            <w:vAlign w:val="center"/>
          </w:tcPr>
          <w:p w:rsidR="00004EBA" w:rsidRDefault="00004EBA" w:rsidP="00735BBD">
            <w:pPr>
              <w:jc w:val="left"/>
              <w:rPr>
                <w:rFonts w:ascii="宋体" w:eastAsia="宋体" w:hAnsi="宋体"/>
                <w:szCs w:val="18"/>
              </w:rPr>
            </w:pPr>
            <w:r>
              <w:rPr>
                <w:rFonts w:ascii="宋体" w:eastAsia="宋体" w:hAnsi="宋体" w:cs="宋体" w:hint="eastAsia"/>
                <w:bCs/>
                <w:szCs w:val="18"/>
              </w:rPr>
              <w:t>主题投资策略基金，从投资效果来看，具备较强的市场热点把握能力和个股选择能力，投资风格积极、灵活，中长期业绩表现良好。</w:t>
            </w:r>
          </w:p>
        </w:tc>
      </w:tr>
      <w:tr w:rsidR="00004EBA" w:rsidTr="00735BBD">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004EBA" w:rsidRPr="009A36BC" w:rsidRDefault="00004EBA" w:rsidP="00735BBD">
            <w:pPr>
              <w:jc w:val="center"/>
              <w:rPr>
                <w:rFonts w:ascii="宋体" w:eastAsia="宋体" w:hAnsi="宋体"/>
                <w:b/>
                <w:szCs w:val="18"/>
              </w:rPr>
            </w:pPr>
            <w:r>
              <w:rPr>
                <w:rFonts w:ascii="宋体" w:eastAsia="宋体" w:hAnsi="宋体" w:hint="eastAsia"/>
                <w:b/>
                <w:szCs w:val="18"/>
              </w:rPr>
              <w:t>广发行业领先</w:t>
            </w:r>
          </w:p>
        </w:tc>
        <w:tc>
          <w:tcPr>
            <w:tcW w:w="8730" w:type="dxa"/>
            <w:tcBorders>
              <w:top w:val="single" w:sz="6" w:space="0" w:color="D9D9D9"/>
              <w:left w:val="single" w:sz="6" w:space="0" w:color="D9D9D9"/>
              <w:bottom w:val="single" w:sz="6" w:space="0" w:color="D9D9D9"/>
            </w:tcBorders>
            <w:shd w:val="clear" w:color="auto" w:fill="auto"/>
            <w:vAlign w:val="center"/>
          </w:tcPr>
          <w:p w:rsidR="00004EBA" w:rsidRDefault="00004EBA" w:rsidP="00735BBD">
            <w:pPr>
              <w:jc w:val="left"/>
              <w:rPr>
                <w:rFonts w:ascii="宋体" w:eastAsia="宋体" w:hAnsi="宋体"/>
                <w:szCs w:val="18"/>
              </w:rPr>
            </w:pPr>
            <w:r>
              <w:rPr>
                <w:rFonts w:ascii="宋体" w:eastAsia="宋体" w:hAnsi="宋体" w:hint="eastAsia"/>
                <w:szCs w:val="18"/>
              </w:rPr>
              <w:t>行业配置均衡，注重自下而上的选择，具备突出的选股能力，管理业绩具有较好的持续性。</w:t>
            </w:r>
          </w:p>
        </w:tc>
      </w:tr>
      <w:tr w:rsidR="00004EBA" w:rsidTr="00735BBD">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004EBA" w:rsidRPr="00455ED2" w:rsidRDefault="00004EBA" w:rsidP="00735BBD">
            <w:pPr>
              <w:jc w:val="center"/>
              <w:rPr>
                <w:rFonts w:ascii="宋体" w:eastAsia="宋体" w:hAnsi="宋体"/>
                <w:b/>
                <w:szCs w:val="18"/>
              </w:rPr>
            </w:pPr>
            <w:r>
              <w:rPr>
                <w:rFonts w:ascii="宋体" w:eastAsia="宋体" w:hAnsi="宋体" w:hint="eastAsia"/>
                <w:b/>
                <w:szCs w:val="18"/>
              </w:rPr>
              <w:t>华安逆向策略</w:t>
            </w:r>
          </w:p>
        </w:tc>
        <w:tc>
          <w:tcPr>
            <w:tcW w:w="8730" w:type="dxa"/>
            <w:tcBorders>
              <w:top w:val="single" w:sz="6" w:space="0" w:color="D9D9D9"/>
              <w:left w:val="single" w:sz="6" w:space="0" w:color="D9D9D9"/>
              <w:bottom w:val="single" w:sz="6" w:space="0" w:color="D9D9D9"/>
            </w:tcBorders>
            <w:shd w:val="clear" w:color="auto" w:fill="auto"/>
            <w:vAlign w:val="center"/>
          </w:tcPr>
          <w:p w:rsidR="00004EBA" w:rsidRPr="009A36BC" w:rsidRDefault="00004EBA" w:rsidP="00735BBD">
            <w:pPr>
              <w:jc w:val="left"/>
              <w:rPr>
                <w:rFonts w:ascii="宋体" w:eastAsia="宋体" w:hAnsi="宋体"/>
                <w:szCs w:val="18"/>
              </w:rPr>
            </w:pPr>
            <w:r w:rsidRPr="001C05C8">
              <w:rPr>
                <w:rFonts w:ascii="宋体" w:eastAsia="宋体" w:hAnsi="宋体" w:hint="eastAsia"/>
                <w:szCs w:val="18"/>
              </w:rPr>
              <w:t>重点投资于价值被低估的股票</w:t>
            </w:r>
            <w:r>
              <w:rPr>
                <w:rFonts w:ascii="宋体" w:eastAsia="宋体" w:hAnsi="宋体" w:hint="eastAsia"/>
                <w:szCs w:val="18"/>
              </w:rPr>
              <w:t>，价值特征显著，投资风格稳健且具备一定的灵活性，在震荡市场环境中具备一定的优势。</w:t>
            </w:r>
          </w:p>
        </w:tc>
      </w:tr>
      <w:tr w:rsidR="00004EBA" w:rsidTr="00735BBD">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004EBA" w:rsidRPr="009A36BC" w:rsidRDefault="00004EBA" w:rsidP="00735BBD">
            <w:pPr>
              <w:jc w:val="center"/>
              <w:rPr>
                <w:rFonts w:ascii="宋体" w:eastAsia="宋体" w:hAnsi="宋体"/>
                <w:b/>
                <w:szCs w:val="18"/>
              </w:rPr>
            </w:pPr>
            <w:r>
              <w:rPr>
                <w:rFonts w:ascii="宋体" w:eastAsia="宋体" w:hAnsi="宋体" w:hint="eastAsia"/>
                <w:b/>
                <w:szCs w:val="18"/>
              </w:rPr>
              <w:t>华商主题</w:t>
            </w:r>
          </w:p>
        </w:tc>
        <w:tc>
          <w:tcPr>
            <w:tcW w:w="8730" w:type="dxa"/>
            <w:tcBorders>
              <w:top w:val="single" w:sz="6" w:space="0" w:color="D9D9D9"/>
              <w:left w:val="single" w:sz="6" w:space="0" w:color="D9D9D9"/>
              <w:bottom w:val="single" w:sz="6" w:space="0" w:color="D9D9D9"/>
            </w:tcBorders>
            <w:shd w:val="clear" w:color="auto" w:fill="auto"/>
            <w:vAlign w:val="center"/>
          </w:tcPr>
          <w:p w:rsidR="00004EBA" w:rsidRPr="009A36BC" w:rsidRDefault="00004EBA" w:rsidP="00735BBD">
            <w:pPr>
              <w:jc w:val="left"/>
              <w:rPr>
                <w:rFonts w:ascii="宋体" w:eastAsia="宋体" w:hAnsi="宋体"/>
                <w:szCs w:val="18"/>
              </w:rPr>
            </w:pPr>
            <w:r w:rsidRPr="00E6457A">
              <w:rPr>
                <w:rFonts w:ascii="宋体" w:eastAsia="宋体" w:hAnsi="宋体" w:hint="eastAsia"/>
                <w:szCs w:val="18"/>
              </w:rPr>
              <w:t>关注经济结构转型过程中新兴产业的投资方向，坚持自下而上的投资策略，股票</w:t>
            </w:r>
            <w:proofErr w:type="gramStart"/>
            <w:r w:rsidRPr="00E6457A">
              <w:rPr>
                <w:rFonts w:ascii="宋体" w:eastAsia="宋体" w:hAnsi="宋体" w:hint="eastAsia"/>
                <w:szCs w:val="18"/>
              </w:rPr>
              <w:t>仓位</w:t>
            </w:r>
            <w:proofErr w:type="gramEnd"/>
            <w:r w:rsidRPr="00E6457A">
              <w:rPr>
                <w:rFonts w:ascii="宋体" w:eastAsia="宋体" w:hAnsi="宋体" w:hint="eastAsia"/>
                <w:szCs w:val="18"/>
              </w:rPr>
              <w:t>保持基本稳定且</w:t>
            </w:r>
            <w:proofErr w:type="gramStart"/>
            <w:r w:rsidRPr="00E6457A">
              <w:rPr>
                <w:rFonts w:ascii="宋体" w:eastAsia="宋体" w:hAnsi="宋体" w:hint="eastAsia"/>
                <w:szCs w:val="18"/>
              </w:rPr>
              <w:t>仓位</w:t>
            </w:r>
            <w:proofErr w:type="gramEnd"/>
            <w:r w:rsidRPr="00E6457A">
              <w:rPr>
                <w:rFonts w:ascii="宋体" w:eastAsia="宋体" w:hAnsi="宋体" w:hint="eastAsia"/>
                <w:szCs w:val="18"/>
              </w:rPr>
              <w:t>较高，选</w:t>
            </w:r>
            <w:proofErr w:type="gramStart"/>
            <w:r w:rsidRPr="00E6457A">
              <w:rPr>
                <w:rFonts w:ascii="宋体" w:eastAsia="宋体" w:hAnsi="宋体" w:hint="eastAsia"/>
                <w:szCs w:val="18"/>
              </w:rPr>
              <w:t>股能力</w:t>
            </w:r>
            <w:proofErr w:type="gramEnd"/>
            <w:r w:rsidRPr="00E6457A">
              <w:rPr>
                <w:rFonts w:ascii="宋体" w:eastAsia="宋体" w:hAnsi="宋体" w:hint="eastAsia"/>
                <w:szCs w:val="18"/>
              </w:rPr>
              <w:t>突出，且高持股集中度。重仓股相对稳定，中长期持有的特征明显，近年来实现了</w:t>
            </w:r>
            <w:r>
              <w:rPr>
                <w:rFonts w:ascii="宋体" w:eastAsia="宋体" w:hAnsi="宋体" w:hint="eastAsia"/>
                <w:szCs w:val="18"/>
              </w:rPr>
              <w:t>较好</w:t>
            </w:r>
            <w:r w:rsidRPr="00E6457A">
              <w:rPr>
                <w:rFonts w:ascii="宋体" w:eastAsia="宋体" w:hAnsi="宋体" w:hint="eastAsia"/>
                <w:szCs w:val="18"/>
              </w:rPr>
              <w:t>的业绩持续性。</w:t>
            </w:r>
          </w:p>
        </w:tc>
      </w:tr>
      <w:tr w:rsidR="00004EBA" w:rsidTr="00735BBD">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004EBA" w:rsidRPr="009A36BC" w:rsidRDefault="00004EBA" w:rsidP="00735BBD">
            <w:pPr>
              <w:jc w:val="center"/>
              <w:rPr>
                <w:rFonts w:ascii="宋体" w:eastAsia="宋体" w:hAnsi="宋体"/>
                <w:b/>
                <w:szCs w:val="18"/>
              </w:rPr>
            </w:pPr>
            <w:r>
              <w:rPr>
                <w:rFonts w:ascii="宋体" w:eastAsia="宋体" w:hAnsi="宋体" w:hint="eastAsia"/>
                <w:b/>
                <w:szCs w:val="18"/>
              </w:rPr>
              <w:t>华泰量化增强</w:t>
            </w:r>
          </w:p>
        </w:tc>
        <w:tc>
          <w:tcPr>
            <w:tcW w:w="8730" w:type="dxa"/>
            <w:tcBorders>
              <w:top w:val="single" w:sz="6" w:space="0" w:color="D9D9D9"/>
              <w:left w:val="single" w:sz="6" w:space="0" w:color="D9D9D9"/>
              <w:bottom w:val="single" w:sz="6" w:space="0" w:color="D9D9D9"/>
            </w:tcBorders>
            <w:shd w:val="clear" w:color="auto" w:fill="auto"/>
            <w:vAlign w:val="center"/>
          </w:tcPr>
          <w:p w:rsidR="00004EBA" w:rsidRPr="009A36BC" w:rsidRDefault="00004EBA" w:rsidP="00735BBD">
            <w:pPr>
              <w:jc w:val="left"/>
              <w:rPr>
                <w:rFonts w:ascii="宋体" w:eastAsia="宋体" w:hAnsi="宋体"/>
                <w:szCs w:val="18"/>
              </w:rPr>
            </w:pPr>
            <w:r w:rsidRPr="005E20B7">
              <w:rPr>
                <w:rFonts w:ascii="宋体" w:eastAsia="宋体" w:hAnsi="宋体" w:hint="eastAsia"/>
                <w:szCs w:val="18"/>
              </w:rPr>
              <w:t>基金成立以来的运作体现了其量化模型的科学有效性，在展现出良好选</w:t>
            </w:r>
            <w:proofErr w:type="gramStart"/>
            <w:r w:rsidRPr="005E20B7">
              <w:rPr>
                <w:rFonts w:ascii="宋体" w:eastAsia="宋体" w:hAnsi="宋体" w:hint="eastAsia"/>
                <w:szCs w:val="18"/>
              </w:rPr>
              <w:t>股能力</w:t>
            </w:r>
            <w:proofErr w:type="gramEnd"/>
            <w:r w:rsidRPr="005E20B7">
              <w:rPr>
                <w:rFonts w:ascii="宋体" w:eastAsia="宋体" w:hAnsi="宋体" w:hint="eastAsia"/>
                <w:szCs w:val="18"/>
              </w:rPr>
              <w:t>的同时，也较好控制了投资风险。基金的持股平均期限相对长，整体体现了其</w:t>
            </w:r>
            <w:proofErr w:type="gramStart"/>
            <w:r w:rsidRPr="005E20B7">
              <w:rPr>
                <w:rFonts w:ascii="宋体" w:eastAsia="宋体" w:hAnsi="宋体" w:hint="eastAsia"/>
                <w:szCs w:val="18"/>
              </w:rPr>
              <w:t>“</w:t>
            </w:r>
            <w:proofErr w:type="gramEnd"/>
            <w:r w:rsidRPr="005E20B7">
              <w:rPr>
                <w:rFonts w:ascii="宋体" w:eastAsia="宋体" w:hAnsi="宋体" w:hint="eastAsia"/>
                <w:szCs w:val="18"/>
              </w:rPr>
              <w:t>基于基本面信息的“中长”持有期的选股模型</w:t>
            </w:r>
            <w:proofErr w:type="gramStart"/>
            <w:r w:rsidRPr="005E20B7">
              <w:rPr>
                <w:rFonts w:ascii="宋体" w:eastAsia="宋体" w:hAnsi="宋体" w:hint="eastAsia"/>
                <w:szCs w:val="18"/>
              </w:rPr>
              <w:t>”</w:t>
            </w:r>
            <w:proofErr w:type="gramEnd"/>
            <w:r w:rsidRPr="005E20B7">
              <w:rPr>
                <w:rFonts w:ascii="宋体" w:eastAsia="宋体" w:hAnsi="宋体" w:hint="eastAsia"/>
                <w:szCs w:val="18"/>
              </w:rPr>
              <w:t>的投资思路。此外，量化基金在投资组合上普遍体现高度分散的特点，在结构化行情中，量化基金更有机会发挥其选股优势。</w:t>
            </w:r>
          </w:p>
        </w:tc>
      </w:tr>
      <w:tr w:rsidR="00004EBA" w:rsidTr="00735BBD">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004EBA" w:rsidRPr="009A36BC" w:rsidRDefault="00004EBA" w:rsidP="00735BBD">
            <w:pPr>
              <w:jc w:val="center"/>
              <w:rPr>
                <w:rFonts w:ascii="宋体" w:eastAsia="宋体" w:hAnsi="宋体"/>
                <w:b/>
                <w:szCs w:val="18"/>
              </w:rPr>
            </w:pPr>
            <w:r>
              <w:rPr>
                <w:rFonts w:ascii="宋体" w:eastAsia="宋体" w:hAnsi="宋体" w:hint="eastAsia"/>
                <w:b/>
                <w:szCs w:val="18"/>
              </w:rPr>
              <w:t>嘉实领先成长</w:t>
            </w:r>
          </w:p>
        </w:tc>
        <w:tc>
          <w:tcPr>
            <w:tcW w:w="8730" w:type="dxa"/>
            <w:tcBorders>
              <w:top w:val="single" w:sz="6" w:space="0" w:color="D9D9D9"/>
              <w:left w:val="single" w:sz="6" w:space="0" w:color="D9D9D9"/>
              <w:bottom w:val="single" w:sz="6" w:space="0" w:color="D9D9D9"/>
            </w:tcBorders>
            <w:shd w:val="clear" w:color="auto" w:fill="auto"/>
            <w:vAlign w:val="center"/>
          </w:tcPr>
          <w:p w:rsidR="00004EBA" w:rsidRPr="009A36BC" w:rsidRDefault="00004EBA" w:rsidP="00735BBD">
            <w:pPr>
              <w:jc w:val="left"/>
              <w:rPr>
                <w:rFonts w:ascii="宋体" w:eastAsia="宋体" w:hAnsi="宋体"/>
                <w:szCs w:val="18"/>
              </w:rPr>
            </w:pPr>
            <w:r w:rsidRPr="00E6457A">
              <w:rPr>
                <w:rFonts w:ascii="宋体" w:eastAsia="宋体" w:hAnsi="宋体" w:hint="eastAsia"/>
                <w:szCs w:val="18"/>
              </w:rPr>
              <w:t>基金组合配置较为稳定，主要着眼于长期投资前景，重点对消费、医药、服务等行业板块进行核心配置</w:t>
            </w:r>
            <w:r>
              <w:rPr>
                <w:rFonts w:ascii="宋体" w:eastAsia="宋体" w:hAnsi="宋体" w:hint="eastAsia"/>
                <w:szCs w:val="18"/>
              </w:rPr>
              <w:t>。中长期管理业绩更为突出，具备良好的选股能力。</w:t>
            </w:r>
          </w:p>
        </w:tc>
      </w:tr>
      <w:tr w:rsidR="00004EBA" w:rsidTr="00735BBD">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004EBA" w:rsidRPr="009A36BC" w:rsidRDefault="00004EBA" w:rsidP="00735BBD">
            <w:pPr>
              <w:jc w:val="center"/>
              <w:rPr>
                <w:rFonts w:ascii="宋体" w:eastAsia="宋体" w:hAnsi="宋体"/>
                <w:b/>
                <w:szCs w:val="18"/>
              </w:rPr>
            </w:pPr>
            <w:r w:rsidRPr="009A36BC">
              <w:rPr>
                <w:rFonts w:ascii="宋体" w:eastAsia="宋体" w:hAnsi="宋体" w:hint="eastAsia"/>
                <w:b/>
                <w:szCs w:val="18"/>
              </w:rPr>
              <w:t>嘉</w:t>
            </w:r>
            <w:proofErr w:type="gramStart"/>
            <w:r w:rsidRPr="009A36BC">
              <w:rPr>
                <w:rFonts w:ascii="宋体" w:eastAsia="宋体" w:hAnsi="宋体" w:hint="eastAsia"/>
                <w:b/>
                <w:szCs w:val="18"/>
              </w:rPr>
              <w:t>实</w:t>
            </w:r>
            <w:r>
              <w:rPr>
                <w:rFonts w:ascii="宋体" w:eastAsia="宋体" w:hAnsi="宋体" w:hint="eastAsia"/>
                <w:b/>
                <w:szCs w:val="18"/>
              </w:rPr>
              <w:t>研究</w:t>
            </w:r>
            <w:proofErr w:type="gramEnd"/>
            <w:r w:rsidRPr="009A36BC">
              <w:rPr>
                <w:rFonts w:ascii="宋体" w:eastAsia="宋体" w:hAnsi="宋体" w:hint="eastAsia"/>
                <w:b/>
                <w:szCs w:val="18"/>
              </w:rPr>
              <w:t>精选</w:t>
            </w:r>
          </w:p>
        </w:tc>
        <w:tc>
          <w:tcPr>
            <w:tcW w:w="8730" w:type="dxa"/>
            <w:tcBorders>
              <w:top w:val="single" w:sz="6" w:space="0" w:color="D9D9D9"/>
              <w:left w:val="single" w:sz="6" w:space="0" w:color="D9D9D9"/>
              <w:bottom w:val="single" w:sz="6" w:space="0" w:color="D9D9D9"/>
            </w:tcBorders>
            <w:shd w:val="clear" w:color="auto" w:fill="auto"/>
            <w:vAlign w:val="center"/>
          </w:tcPr>
          <w:p w:rsidR="00004EBA" w:rsidRPr="009A36BC" w:rsidRDefault="00004EBA" w:rsidP="00735BBD">
            <w:pPr>
              <w:jc w:val="left"/>
              <w:rPr>
                <w:rFonts w:ascii="宋体" w:eastAsia="宋体" w:hAnsi="宋体"/>
                <w:szCs w:val="18"/>
              </w:rPr>
            </w:pPr>
            <w:r w:rsidRPr="009A36BC">
              <w:rPr>
                <w:rFonts w:ascii="宋体" w:eastAsia="宋体" w:hAnsi="宋体" w:hint="eastAsia"/>
                <w:szCs w:val="18"/>
              </w:rPr>
              <w:t>成立以来显示出长期稳定且优异的业绩特征，建立在良好选</w:t>
            </w:r>
            <w:proofErr w:type="gramStart"/>
            <w:r w:rsidRPr="009A36BC">
              <w:rPr>
                <w:rFonts w:ascii="宋体" w:eastAsia="宋体" w:hAnsi="宋体" w:hint="eastAsia"/>
                <w:szCs w:val="18"/>
              </w:rPr>
              <w:t>股能力</w:t>
            </w:r>
            <w:proofErr w:type="gramEnd"/>
            <w:r w:rsidRPr="009A36BC">
              <w:rPr>
                <w:rFonts w:ascii="宋体" w:eastAsia="宋体" w:hAnsi="宋体" w:hint="eastAsia"/>
                <w:szCs w:val="18"/>
              </w:rPr>
              <w:t>基础上的适度集中投资和策略灵活调整，是嘉</w:t>
            </w:r>
            <w:proofErr w:type="gramStart"/>
            <w:r w:rsidRPr="009A36BC">
              <w:rPr>
                <w:rFonts w:ascii="宋体" w:eastAsia="宋体" w:hAnsi="宋体" w:hint="eastAsia"/>
                <w:szCs w:val="18"/>
              </w:rPr>
              <w:t>实研究</w:t>
            </w:r>
            <w:proofErr w:type="gramEnd"/>
            <w:r w:rsidRPr="009A36BC">
              <w:rPr>
                <w:rFonts w:ascii="宋体" w:eastAsia="宋体" w:hAnsi="宋体" w:hint="eastAsia"/>
                <w:szCs w:val="18"/>
              </w:rPr>
              <w:t>精选基金获得超额收益的主要来源，基金在风格上侧重成长，对成长股有不错的把握能力。</w:t>
            </w:r>
          </w:p>
        </w:tc>
      </w:tr>
      <w:tr w:rsidR="00004EBA" w:rsidTr="00735BBD">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004EBA" w:rsidRPr="009A36BC" w:rsidRDefault="00004EBA" w:rsidP="00735BBD">
            <w:pPr>
              <w:jc w:val="center"/>
              <w:rPr>
                <w:rFonts w:ascii="宋体" w:eastAsia="宋体" w:hAnsi="宋体"/>
                <w:b/>
                <w:szCs w:val="18"/>
              </w:rPr>
            </w:pPr>
            <w:r>
              <w:rPr>
                <w:rFonts w:ascii="宋体" w:eastAsia="宋体" w:hAnsi="宋体" w:hint="eastAsia"/>
                <w:b/>
                <w:szCs w:val="18"/>
              </w:rPr>
              <w:t>南方精选</w:t>
            </w:r>
          </w:p>
        </w:tc>
        <w:tc>
          <w:tcPr>
            <w:tcW w:w="8730" w:type="dxa"/>
            <w:tcBorders>
              <w:top w:val="single" w:sz="6" w:space="0" w:color="D9D9D9"/>
              <w:left w:val="single" w:sz="6" w:space="0" w:color="D9D9D9"/>
              <w:bottom w:val="single" w:sz="6" w:space="0" w:color="D9D9D9"/>
            </w:tcBorders>
            <w:shd w:val="clear" w:color="auto" w:fill="auto"/>
            <w:vAlign w:val="center"/>
          </w:tcPr>
          <w:p w:rsidR="00004EBA" w:rsidRPr="009A36BC" w:rsidRDefault="00004EBA" w:rsidP="00735BBD">
            <w:pPr>
              <w:jc w:val="left"/>
              <w:rPr>
                <w:rFonts w:ascii="宋体" w:eastAsia="宋体" w:hAnsi="宋体"/>
                <w:szCs w:val="18"/>
              </w:rPr>
            </w:pPr>
            <w:r>
              <w:rPr>
                <w:rFonts w:ascii="宋体" w:eastAsia="宋体" w:hAnsi="宋体" w:hint="eastAsia"/>
                <w:szCs w:val="18"/>
              </w:rPr>
              <w:t>由于投资范围为沪深300样本股，因此低估值蓝</w:t>
            </w:r>
            <w:proofErr w:type="gramStart"/>
            <w:r>
              <w:rPr>
                <w:rFonts w:ascii="宋体" w:eastAsia="宋体" w:hAnsi="宋体" w:hint="eastAsia"/>
                <w:szCs w:val="18"/>
              </w:rPr>
              <w:t>筹风格</w:t>
            </w:r>
            <w:proofErr w:type="gramEnd"/>
            <w:r>
              <w:rPr>
                <w:rFonts w:ascii="宋体" w:eastAsia="宋体" w:hAnsi="宋体" w:hint="eastAsia"/>
                <w:szCs w:val="18"/>
              </w:rPr>
              <w:t>显著，金融、地产配置比例较高，且长期投资风格保持稳定，在价值风格主导的行情中有较强的配置价值。</w:t>
            </w:r>
          </w:p>
        </w:tc>
      </w:tr>
      <w:tr w:rsidR="00004EBA" w:rsidTr="00735BBD">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004EBA" w:rsidRPr="009A36BC" w:rsidRDefault="00004EBA" w:rsidP="00735BBD">
            <w:pPr>
              <w:jc w:val="center"/>
              <w:rPr>
                <w:rFonts w:ascii="宋体" w:eastAsia="宋体" w:hAnsi="宋体"/>
                <w:b/>
                <w:szCs w:val="18"/>
              </w:rPr>
            </w:pPr>
            <w:r>
              <w:rPr>
                <w:rFonts w:ascii="宋体" w:eastAsia="宋体" w:hAnsi="宋体" w:hint="eastAsia"/>
                <w:b/>
                <w:szCs w:val="18"/>
              </w:rPr>
              <w:t>鹏</w:t>
            </w:r>
            <w:proofErr w:type="gramStart"/>
            <w:r>
              <w:rPr>
                <w:rFonts w:ascii="宋体" w:eastAsia="宋体" w:hAnsi="宋体" w:hint="eastAsia"/>
                <w:b/>
                <w:szCs w:val="18"/>
              </w:rPr>
              <w:t>华价值</w:t>
            </w:r>
            <w:proofErr w:type="gramEnd"/>
          </w:p>
        </w:tc>
        <w:tc>
          <w:tcPr>
            <w:tcW w:w="8730" w:type="dxa"/>
            <w:tcBorders>
              <w:top w:val="single" w:sz="6" w:space="0" w:color="D9D9D9"/>
              <w:left w:val="single" w:sz="6" w:space="0" w:color="D9D9D9"/>
              <w:bottom w:val="single" w:sz="6" w:space="0" w:color="D9D9D9"/>
            </w:tcBorders>
            <w:shd w:val="clear" w:color="auto" w:fill="auto"/>
            <w:vAlign w:val="center"/>
          </w:tcPr>
          <w:p w:rsidR="00004EBA" w:rsidRPr="009A36BC" w:rsidRDefault="00004EBA" w:rsidP="00735BBD">
            <w:pPr>
              <w:jc w:val="left"/>
              <w:rPr>
                <w:rFonts w:ascii="宋体" w:eastAsia="宋体" w:hAnsi="宋体"/>
                <w:szCs w:val="18"/>
              </w:rPr>
            </w:pPr>
            <w:r>
              <w:rPr>
                <w:rFonts w:ascii="宋体" w:eastAsia="宋体" w:hAnsi="宋体" w:hint="eastAsia"/>
                <w:szCs w:val="18"/>
              </w:rPr>
              <w:t>价值投资特点显著，长期集中</w:t>
            </w:r>
            <w:proofErr w:type="gramStart"/>
            <w:r>
              <w:rPr>
                <w:rFonts w:ascii="宋体" w:eastAsia="宋体" w:hAnsi="宋体" w:hint="eastAsia"/>
                <w:szCs w:val="18"/>
              </w:rPr>
              <w:t>持有低</w:t>
            </w:r>
            <w:proofErr w:type="gramEnd"/>
            <w:r>
              <w:rPr>
                <w:rFonts w:ascii="宋体" w:eastAsia="宋体" w:hAnsi="宋体" w:hint="eastAsia"/>
                <w:szCs w:val="18"/>
              </w:rPr>
              <w:t>估值股票，对家电、银行等行业内股票有较高的偏好。</w:t>
            </w:r>
          </w:p>
        </w:tc>
      </w:tr>
      <w:tr w:rsidR="00004EBA" w:rsidTr="00735BBD">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004EBA" w:rsidRPr="009A36BC" w:rsidRDefault="00004EBA" w:rsidP="00735BBD">
            <w:pPr>
              <w:jc w:val="center"/>
              <w:rPr>
                <w:rFonts w:ascii="宋体" w:eastAsia="宋体" w:hAnsi="宋体"/>
                <w:b/>
                <w:szCs w:val="18"/>
              </w:rPr>
            </w:pPr>
            <w:proofErr w:type="gramStart"/>
            <w:r w:rsidRPr="009A36BC">
              <w:rPr>
                <w:rFonts w:ascii="宋体" w:eastAsia="宋体" w:hAnsi="宋体" w:hint="eastAsia"/>
                <w:b/>
                <w:szCs w:val="18"/>
              </w:rPr>
              <w:t>添富价值</w:t>
            </w:r>
            <w:proofErr w:type="gramEnd"/>
          </w:p>
        </w:tc>
        <w:tc>
          <w:tcPr>
            <w:tcW w:w="8730" w:type="dxa"/>
            <w:tcBorders>
              <w:top w:val="single" w:sz="6" w:space="0" w:color="D9D9D9"/>
              <w:left w:val="single" w:sz="6" w:space="0" w:color="D9D9D9"/>
              <w:bottom w:val="single" w:sz="6" w:space="0" w:color="D9D9D9"/>
            </w:tcBorders>
            <w:shd w:val="clear" w:color="auto" w:fill="auto"/>
            <w:vAlign w:val="center"/>
          </w:tcPr>
          <w:p w:rsidR="00004EBA" w:rsidRPr="009A36BC" w:rsidRDefault="00004EBA" w:rsidP="00735BBD">
            <w:pPr>
              <w:jc w:val="left"/>
              <w:rPr>
                <w:rFonts w:ascii="宋体" w:eastAsia="宋体" w:hAnsi="宋体"/>
                <w:szCs w:val="18"/>
              </w:rPr>
            </w:pPr>
            <w:r w:rsidRPr="009A36BC">
              <w:rPr>
                <w:rFonts w:ascii="宋体" w:eastAsia="宋体" w:hAnsi="宋体" w:hint="eastAsia"/>
                <w:szCs w:val="18"/>
              </w:rPr>
              <w:t>重点挖掘低估值板块以及“以时间换空间”的价值投资方法，获取中长期业绩的稳定性，基金经理陈晓翔善于价值选股，并在市场的顺势而为或逆向投资方面把握一定的“度”，以在市场上下波动阶段增强投资收益。在“蓝筹回归”的市场趋势下，具备一定的优势。</w:t>
            </w:r>
          </w:p>
        </w:tc>
      </w:tr>
      <w:tr w:rsidR="00004EBA" w:rsidTr="00735BBD">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004EBA" w:rsidRPr="009A36BC" w:rsidRDefault="00004EBA" w:rsidP="00735BBD">
            <w:pPr>
              <w:jc w:val="center"/>
              <w:rPr>
                <w:rFonts w:ascii="宋体" w:eastAsia="宋体" w:hAnsi="宋体"/>
                <w:b/>
                <w:szCs w:val="18"/>
              </w:rPr>
            </w:pPr>
            <w:proofErr w:type="gramStart"/>
            <w:r>
              <w:rPr>
                <w:rFonts w:ascii="宋体" w:eastAsia="宋体" w:hAnsi="宋体" w:hint="eastAsia"/>
                <w:b/>
                <w:szCs w:val="18"/>
              </w:rPr>
              <w:t>添富逆向</w:t>
            </w:r>
            <w:proofErr w:type="gramEnd"/>
          </w:p>
        </w:tc>
        <w:tc>
          <w:tcPr>
            <w:tcW w:w="8730" w:type="dxa"/>
            <w:tcBorders>
              <w:top w:val="single" w:sz="6" w:space="0" w:color="D9D9D9"/>
              <w:left w:val="single" w:sz="6" w:space="0" w:color="D9D9D9"/>
              <w:bottom w:val="single" w:sz="6" w:space="0" w:color="D9D9D9"/>
            </w:tcBorders>
            <w:shd w:val="clear" w:color="auto" w:fill="auto"/>
            <w:vAlign w:val="center"/>
          </w:tcPr>
          <w:p w:rsidR="00004EBA" w:rsidRPr="009A36BC" w:rsidRDefault="00004EBA" w:rsidP="00735BBD">
            <w:pPr>
              <w:jc w:val="left"/>
              <w:rPr>
                <w:rFonts w:ascii="宋体" w:eastAsia="宋体" w:hAnsi="宋体"/>
                <w:szCs w:val="18"/>
              </w:rPr>
            </w:pPr>
            <w:proofErr w:type="gramStart"/>
            <w:r w:rsidRPr="006C6448">
              <w:rPr>
                <w:rFonts w:ascii="宋体" w:eastAsia="宋体" w:hAnsi="宋体" w:hint="eastAsia"/>
                <w:szCs w:val="18"/>
              </w:rPr>
              <w:t>汇添富</w:t>
            </w:r>
            <w:proofErr w:type="gramEnd"/>
            <w:r w:rsidRPr="006C6448">
              <w:rPr>
                <w:rFonts w:ascii="宋体" w:eastAsia="宋体" w:hAnsi="宋体" w:hint="eastAsia"/>
                <w:szCs w:val="18"/>
              </w:rPr>
              <w:t>逆向投资基金自成立以来，中长期业绩优秀。逆向投资思维+灵活配置较好的契合了目前多变的市场投资环境，管理者较强的投资能力也起到决定性的作用。基金持股偏离主流，较少参与市场热点，优质蓝筹+低估值成长的风格较为明显。</w:t>
            </w:r>
          </w:p>
        </w:tc>
      </w:tr>
      <w:tr w:rsidR="00004EBA" w:rsidTr="00735BBD">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004EBA" w:rsidRPr="009A36BC" w:rsidRDefault="00004EBA" w:rsidP="00735BBD">
            <w:pPr>
              <w:jc w:val="center"/>
              <w:rPr>
                <w:rFonts w:ascii="宋体" w:eastAsia="宋体" w:hAnsi="宋体"/>
                <w:b/>
                <w:szCs w:val="18"/>
              </w:rPr>
            </w:pPr>
            <w:r w:rsidRPr="009A36BC">
              <w:rPr>
                <w:rFonts w:ascii="宋体" w:eastAsia="宋体" w:hAnsi="宋体" w:hint="eastAsia"/>
                <w:b/>
                <w:szCs w:val="18"/>
              </w:rPr>
              <w:t>兴全</w:t>
            </w:r>
            <w:r>
              <w:rPr>
                <w:rFonts w:ascii="宋体" w:eastAsia="宋体" w:hAnsi="宋体" w:hint="eastAsia"/>
                <w:b/>
                <w:szCs w:val="18"/>
              </w:rPr>
              <w:t>绿色</w:t>
            </w:r>
          </w:p>
        </w:tc>
        <w:tc>
          <w:tcPr>
            <w:tcW w:w="8730" w:type="dxa"/>
            <w:tcBorders>
              <w:top w:val="single" w:sz="6" w:space="0" w:color="D9D9D9"/>
              <w:left w:val="single" w:sz="6" w:space="0" w:color="D9D9D9"/>
              <w:bottom w:val="single" w:sz="6" w:space="0" w:color="D9D9D9"/>
            </w:tcBorders>
            <w:shd w:val="clear" w:color="auto" w:fill="auto"/>
            <w:vAlign w:val="center"/>
          </w:tcPr>
          <w:p w:rsidR="00004EBA" w:rsidRPr="009A36BC" w:rsidRDefault="00004EBA" w:rsidP="00735BBD">
            <w:pPr>
              <w:jc w:val="left"/>
              <w:rPr>
                <w:rFonts w:ascii="宋体" w:eastAsia="宋体" w:hAnsi="宋体"/>
                <w:szCs w:val="18"/>
              </w:rPr>
            </w:pPr>
            <w:r w:rsidRPr="009A36BC">
              <w:rPr>
                <w:rFonts w:ascii="宋体" w:eastAsia="宋体" w:hAnsi="宋体" w:hint="eastAsia"/>
                <w:szCs w:val="18"/>
              </w:rPr>
              <w:t>秉承公司风险控制和选股优势，</w:t>
            </w:r>
            <w:r>
              <w:rPr>
                <w:rFonts w:ascii="宋体" w:eastAsia="宋体" w:hAnsi="宋体" w:hint="eastAsia"/>
                <w:szCs w:val="18"/>
              </w:rPr>
              <w:t>在核心配置稳定增长的消费行业的同时，也注重成长股的投资，整体来看</w:t>
            </w:r>
            <w:r w:rsidRPr="009A36BC">
              <w:rPr>
                <w:rFonts w:ascii="宋体" w:eastAsia="宋体" w:hAnsi="宋体" w:hint="eastAsia"/>
                <w:szCs w:val="18"/>
              </w:rPr>
              <w:t>兼顾业绩确定性</w:t>
            </w:r>
            <w:r>
              <w:rPr>
                <w:rFonts w:ascii="宋体" w:eastAsia="宋体" w:hAnsi="宋体" w:hint="eastAsia"/>
                <w:szCs w:val="18"/>
              </w:rPr>
              <w:t>和成长性</w:t>
            </w:r>
            <w:r w:rsidRPr="009A36BC">
              <w:rPr>
                <w:rFonts w:ascii="宋体" w:eastAsia="宋体" w:hAnsi="宋体" w:hint="eastAsia"/>
                <w:szCs w:val="18"/>
              </w:rPr>
              <w:t>，</w:t>
            </w:r>
            <w:r>
              <w:rPr>
                <w:rFonts w:ascii="宋体" w:eastAsia="宋体" w:hAnsi="宋体" w:hint="eastAsia"/>
                <w:szCs w:val="18"/>
              </w:rPr>
              <w:t>风格较为稳健，风险收益配比优势突出</w:t>
            </w:r>
            <w:r w:rsidRPr="009A36BC">
              <w:rPr>
                <w:rFonts w:ascii="宋体" w:eastAsia="宋体" w:hAnsi="宋体" w:hint="eastAsia"/>
                <w:szCs w:val="18"/>
              </w:rPr>
              <w:t>。</w:t>
            </w:r>
          </w:p>
        </w:tc>
      </w:tr>
      <w:tr w:rsidR="00004EBA" w:rsidTr="00735BBD">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004EBA" w:rsidRPr="009A36BC" w:rsidRDefault="00004EBA" w:rsidP="00735BBD">
            <w:pPr>
              <w:jc w:val="center"/>
              <w:rPr>
                <w:rFonts w:ascii="宋体" w:eastAsia="宋体" w:hAnsi="宋体"/>
                <w:b/>
                <w:szCs w:val="18"/>
              </w:rPr>
            </w:pPr>
            <w:r>
              <w:rPr>
                <w:rFonts w:ascii="宋体" w:eastAsia="宋体" w:hAnsi="宋体" w:hint="eastAsia"/>
                <w:b/>
                <w:szCs w:val="18"/>
              </w:rPr>
              <w:t>银河行业</w:t>
            </w:r>
          </w:p>
        </w:tc>
        <w:tc>
          <w:tcPr>
            <w:tcW w:w="8730" w:type="dxa"/>
            <w:tcBorders>
              <w:top w:val="single" w:sz="6" w:space="0" w:color="D9D9D9"/>
              <w:left w:val="single" w:sz="6" w:space="0" w:color="D9D9D9"/>
              <w:bottom w:val="single" w:sz="6" w:space="0" w:color="D9D9D9"/>
            </w:tcBorders>
            <w:shd w:val="clear" w:color="auto" w:fill="auto"/>
            <w:vAlign w:val="center"/>
          </w:tcPr>
          <w:p w:rsidR="00004EBA" w:rsidRPr="009A36BC" w:rsidRDefault="00004EBA" w:rsidP="00735BBD">
            <w:pPr>
              <w:jc w:val="left"/>
              <w:rPr>
                <w:rFonts w:ascii="宋体" w:eastAsia="宋体" w:hAnsi="宋体"/>
                <w:szCs w:val="18"/>
              </w:rPr>
            </w:pPr>
            <w:r>
              <w:rPr>
                <w:rFonts w:ascii="宋体" w:eastAsia="宋体" w:hAnsi="宋体" w:hint="eastAsia"/>
                <w:szCs w:val="18"/>
              </w:rPr>
              <w:t>坚持自下而上的投资策略，股票</w:t>
            </w:r>
            <w:proofErr w:type="gramStart"/>
            <w:r>
              <w:rPr>
                <w:rFonts w:ascii="宋体" w:eastAsia="宋体" w:hAnsi="宋体" w:hint="eastAsia"/>
                <w:szCs w:val="18"/>
              </w:rPr>
              <w:t>仓位</w:t>
            </w:r>
            <w:proofErr w:type="gramEnd"/>
            <w:r>
              <w:rPr>
                <w:rFonts w:ascii="宋体" w:eastAsia="宋体" w:hAnsi="宋体" w:hint="eastAsia"/>
                <w:szCs w:val="18"/>
              </w:rPr>
              <w:t>保持基本稳定，投资风格侧重成长且较为积极，对创业</w:t>
            </w:r>
            <w:proofErr w:type="gramStart"/>
            <w:r>
              <w:rPr>
                <w:rFonts w:ascii="宋体" w:eastAsia="宋体" w:hAnsi="宋体" w:hint="eastAsia"/>
                <w:szCs w:val="18"/>
              </w:rPr>
              <w:t>板股票</w:t>
            </w:r>
            <w:proofErr w:type="gramEnd"/>
            <w:r>
              <w:rPr>
                <w:rFonts w:ascii="宋体" w:eastAsia="宋体" w:hAnsi="宋体" w:hint="eastAsia"/>
                <w:szCs w:val="18"/>
              </w:rPr>
              <w:t>投资比例较高，并取得了突出的投资效果，具备高风险、高收益的特征。</w:t>
            </w:r>
          </w:p>
        </w:tc>
      </w:tr>
      <w:tr w:rsidR="00004EBA" w:rsidTr="00735BBD">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004EBA" w:rsidRDefault="00004EBA" w:rsidP="00735BBD">
            <w:pPr>
              <w:jc w:val="center"/>
              <w:rPr>
                <w:rFonts w:ascii="宋体" w:eastAsia="宋体" w:hAnsi="宋体"/>
                <w:b/>
                <w:szCs w:val="18"/>
              </w:rPr>
            </w:pPr>
            <w:r>
              <w:rPr>
                <w:rFonts w:ascii="宋体" w:eastAsia="宋体" w:hAnsi="宋体" w:hint="eastAsia"/>
                <w:b/>
                <w:szCs w:val="18"/>
              </w:rPr>
              <w:t>长盛电子信息</w:t>
            </w:r>
          </w:p>
        </w:tc>
        <w:tc>
          <w:tcPr>
            <w:tcW w:w="8730" w:type="dxa"/>
            <w:tcBorders>
              <w:top w:val="single" w:sz="6" w:space="0" w:color="D9D9D9"/>
              <w:left w:val="single" w:sz="6" w:space="0" w:color="D9D9D9"/>
              <w:bottom w:val="single" w:sz="6" w:space="0" w:color="D9D9D9"/>
            </w:tcBorders>
            <w:shd w:val="clear" w:color="auto" w:fill="auto"/>
            <w:vAlign w:val="center"/>
          </w:tcPr>
          <w:p w:rsidR="00004EBA" w:rsidRDefault="00004EBA" w:rsidP="00735BBD">
            <w:pPr>
              <w:jc w:val="left"/>
              <w:rPr>
                <w:rFonts w:ascii="宋体" w:eastAsia="宋体" w:hAnsi="宋体"/>
                <w:szCs w:val="18"/>
              </w:rPr>
            </w:pPr>
            <w:r>
              <w:rPr>
                <w:rFonts w:ascii="宋体" w:eastAsia="宋体" w:hAnsi="宋体" w:hint="eastAsia"/>
                <w:szCs w:val="18"/>
              </w:rPr>
              <w:t>主题投资产品，基金经理对于高速成长行业中的个股有较强的把握能力，且侧重对于其中估值合理的股票进行挖掘，具有较好的风险收益配比，适合中长期投资。</w:t>
            </w:r>
          </w:p>
        </w:tc>
      </w:tr>
      <w:tr w:rsidR="00004EBA" w:rsidTr="00735BBD">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004EBA" w:rsidRPr="009A36BC" w:rsidRDefault="00004EBA" w:rsidP="00735BBD">
            <w:pPr>
              <w:jc w:val="center"/>
              <w:rPr>
                <w:rFonts w:ascii="宋体" w:eastAsia="宋体" w:hAnsi="宋体"/>
                <w:b/>
                <w:szCs w:val="18"/>
              </w:rPr>
            </w:pPr>
            <w:r>
              <w:rPr>
                <w:rFonts w:ascii="宋体" w:eastAsia="宋体" w:hAnsi="宋体" w:hint="eastAsia"/>
                <w:b/>
                <w:szCs w:val="18"/>
              </w:rPr>
              <w:t>招商大盘蓝筹</w:t>
            </w:r>
          </w:p>
        </w:tc>
        <w:tc>
          <w:tcPr>
            <w:tcW w:w="8730" w:type="dxa"/>
            <w:tcBorders>
              <w:top w:val="single" w:sz="6" w:space="0" w:color="D9D9D9"/>
              <w:left w:val="single" w:sz="6" w:space="0" w:color="D9D9D9"/>
              <w:bottom w:val="single" w:sz="6" w:space="0" w:color="D9D9D9"/>
            </w:tcBorders>
            <w:shd w:val="clear" w:color="auto" w:fill="auto"/>
            <w:vAlign w:val="center"/>
          </w:tcPr>
          <w:p w:rsidR="00004EBA" w:rsidRPr="009A36BC" w:rsidRDefault="00004EBA" w:rsidP="00735BBD">
            <w:pPr>
              <w:jc w:val="left"/>
              <w:rPr>
                <w:rFonts w:ascii="宋体" w:eastAsia="宋体" w:hAnsi="宋体"/>
                <w:szCs w:val="18"/>
              </w:rPr>
            </w:pPr>
            <w:r w:rsidRPr="005E20B7">
              <w:rPr>
                <w:rFonts w:ascii="宋体" w:eastAsia="宋体" w:hAnsi="宋体" w:hint="eastAsia"/>
                <w:szCs w:val="18"/>
              </w:rPr>
              <w:t>招商大盘</w:t>
            </w:r>
            <w:r>
              <w:rPr>
                <w:rFonts w:ascii="宋体" w:eastAsia="宋体" w:hAnsi="宋体" w:hint="eastAsia"/>
                <w:szCs w:val="18"/>
              </w:rPr>
              <w:t>蓝筹侧重蓝</w:t>
            </w:r>
            <w:proofErr w:type="gramStart"/>
            <w:r>
              <w:rPr>
                <w:rFonts w:ascii="宋体" w:eastAsia="宋体" w:hAnsi="宋体" w:hint="eastAsia"/>
                <w:szCs w:val="18"/>
              </w:rPr>
              <w:t>筹板块</w:t>
            </w:r>
            <w:proofErr w:type="gramEnd"/>
            <w:r>
              <w:rPr>
                <w:rFonts w:ascii="宋体" w:eastAsia="宋体" w:hAnsi="宋体" w:hint="eastAsia"/>
                <w:szCs w:val="18"/>
              </w:rPr>
              <w:t>投资，</w:t>
            </w:r>
            <w:proofErr w:type="gramStart"/>
            <w:r>
              <w:rPr>
                <w:rFonts w:ascii="宋体" w:eastAsia="宋体" w:hAnsi="宋体" w:hint="eastAsia"/>
                <w:szCs w:val="18"/>
              </w:rPr>
              <w:t>把握低</w:t>
            </w:r>
            <w:proofErr w:type="gramEnd"/>
            <w:r>
              <w:rPr>
                <w:rFonts w:ascii="宋体" w:eastAsia="宋体" w:hAnsi="宋体" w:hint="eastAsia"/>
                <w:szCs w:val="18"/>
              </w:rPr>
              <w:t>估值板块的轮动，具有稳健优势，且从历史业绩来看，展现出较好的</w:t>
            </w:r>
            <w:r w:rsidRPr="005E20B7">
              <w:rPr>
                <w:rFonts w:ascii="宋体" w:eastAsia="宋体" w:hAnsi="宋体" w:hint="eastAsia"/>
                <w:szCs w:val="18"/>
              </w:rPr>
              <w:t>风险收益配比，</w:t>
            </w:r>
            <w:r>
              <w:rPr>
                <w:rFonts w:ascii="宋体" w:eastAsia="宋体" w:hAnsi="宋体" w:hint="eastAsia"/>
                <w:szCs w:val="18"/>
              </w:rPr>
              <w:t>适合中长期关注。</w:t>
            </w:r>
            <w:r w:rsidRPr="009A36BC">
              <w:rPr>
                <w:rFonts w:ascii="宋体" w:eastAsia="宋体" w:hAnsi="宋体" w:hint="eastAsia"/>
                <w:szCs w:val="18"/>
              </w:rPr>
              <w:t xml:space="preserve"> </w:t>
            </w:r>
          </w:p>
        </w:tc>
      </w:tr>
      <w:tr w:rsidR="00004EBA" w:rsidTr="00735BBD">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004EBA" w:rsidRPr="009A36BC" w:rsidRDefault="00004EBA" w:rsidP="00735BBD">
            <w:pPr>
              <w:jc w:val="center"/>
              <w:rPr>
                <w:rFonts w:ascii="宋体" w:eastAsia="宋体" w:hAnsi="宋体"/>
                <w:b/>
                <w:szCs w:val="18"/>
              </w:rPr>
            </w:pPr>
            <w:r w:rsidRPr="009A36BC">
              <w:rPr>
                <w:rFonts w:ascii="宋体" w:eastAsia="宋体" w:hAnsi="宋体" w:hint="eastAsia"/>
                <w:b/>
                <w:szCs w:val="18"/>
              </w:rPr>
              <w:t>中欧价值发现</w:t>
            </w:r>
          </w:p>
        </w:tc>
        <w:tc>
          <w:tcPr>
            <w:tcW w:w="8730" w:type="dxa"/>
            <w:tcBorders>
              <w:top w:val="single" w:sz="6" w:space="0" w:color="D9D9D9"/>
              <w:left w:val="single" w:sz="6" w:space="0" w:color="D9D9D9"/>
              <w:bottom w:val="single" w:sz="6" w:space="0" w:color="D9D9D9"/>
            </w:tcBorders>
            <w:shd w:val="clear" w:color="auto" w:fill="auto"/>
            <w:vAlign w:val="center"/>
          </w:tcPr>
          <w:p w:rsidR="00004EBA" w:rsidRPr="009A36BC" w:rsidRDefault="00004EBA" w:rsidP="00735BBD">
            <w:pPr>
              <w:jc w:val="left"/>
              <w:rPr>
                <w:rFonts w:ascii="宋体" w:eastAsia="宋体" w:hAnsi="宋体"/>
                <w:szCs w:val="18"/>
              </w:rPr>
            </w:pPr>
            <w:r w:rsidRPr="009A36BC">
              <w:rPr>
                <w:rFonts w:ascii="宋体" w:eastAsia="宋体" w:hAnsi="宋体" w:hint="eastAsia"/>
                <w:szCs w:val="18"/>
              </w:rPr>
              <w:t>注重价值投资，组合的安全边际较高，中长期选</w:t>
            </w:r>
            <w:proofErr w:type="gramStart"/>
            <w:r w:rsidRPr="009A36BC">
              <w:rPr>
                <w:rFonts w:ascii="宋体" w:eastAsia="宋体" w:hAnsi="宋体" w:hint="eastAsia"/>
                <w:szCs w:val="18"/>
              </w:rPr>
              <w:t>股能力</w:t>
            </w:r>
            <w:proofErr w:type="gramEnd"/>
            <w:r w:rsidRPr="009A36BC">
              <w:rPr>
                <w:rFonts w:ascii="宋体" w:eastAsia="宋体" w:hAnsi="宋体" w:hint="eastAsia"/>
                <w:szCs w:val="18"/>
              </w:rPr>
              <w:t>突出，基金具备较好的业绩持续性。</w:t>
            </w:r>
          </w:p>
        </w:tc>
      </w:tr>
      <w:tr w:rsidR="00004EBA" w:rsidTr="00735BBD">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004EBA" w:rsidRDefault="00004EBA" w:rsidP="00735BBD">
            <w:pPr>
              <w:jc w:val="center"/>
              <w:rPr>
                <w:rFonts w:ascii="宋体" w:eastAsia="宋体" w:hAnsi="宋体"/>
                <w:b/>
                <w:szCs w:val="18"/>
              </w:rPr>
            </w:pPr>
            <w:r>
              <w:rPr>
                <w:rFonts w:ascii="宋体" w:eastAsia="宋体" w:hAnsi="宋体" w:hint="eastAsia"/>
                <w:b/>
                <w:szCs w:val="18"/>
              </w:rPr>
              <w:t>中</w:t>
            </w:r>
            <w:proofErr w:type="gramStart"/>
            <w:r>
              <w:rPr>
                <w:rFonts w:ascii="宋体" w:eastAsia="宋体" w:hAnsi="宋体" w:hint="eastAsia"/>
                <w:b/>
                <w:szCs w:val="18"/>
              </w:rPr>
              <w:t>银主题</w:t>
            </w:r>
            <w:proofErr w:type="gramEnd"/>
          </w:p>
        </w:tc>
        <w:tc>
          <w:tcPr>
            <w:tcW w:w="8730" w:type="dxa"/>
            <w:tcBorders>
              <w:top w:val="single" w:sz="6" w:space="0" w:color="D9D9D9"/>
              <w:left w:val="single" w:sz="6" w:space="0" w:color="D9D9D9"/>
              <w:bottom w:val="single" w:sz="6" w:space="0" w:color="D9D9D9"/>
            </w:tcBorders>
            <w:shd w:val="clear" w:color="auto" w:fill="auto"/>
            <w:vAlign w:val="center"/>
          </w:tcPr>
          <w:p w:rsidR="00004EBA" w:rsidRPr="001C05C8" w:rsidRDefault="00004EBA" w:rsidP="00735BBD">
            <w:pPr>
              <w:jc w:val="left"/>
              <w:rPr>
                <w:rFonts w:ascii="宋体" w:eastAsia="宋体" w:hAnsi="宋体"/>
                <w:szCs w:val="18"/>
              </w:rPr>
            </w:pPr>
            <w:r>
              <w:rPr>
                <w:rFonts w:ascii="宋体" w:eastAsia="宋体" w:hAnsi="宋体" w:hint="eastAsia"/>
                <w:szCs w:val="18"/>
              </w:rPr>
              <w:t>主题投资策略基金，具有较高的操作灵活性，无论是资产配置的调整还是个股的调整都相对灵活，</w:t>
            </w:r>
          </w:p>
        </w:tc>
      </w:tr>
      <w:tr w:rsidR="00004EBA" w:rsidTr="00735BBD">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004EBA" w:rsidRPr="009A36BC" w:rsidRDefault="00004EBA" w:rsidP="00735BBD">
            <w:pPr>
              <w:jc w:val="center"/>
              <w:rPr>
                <w:rFonts w:ascii="宋体" w:eastAsia="宋体" w:hAnsi="宋体"/>
                <w:b/>
                <w:szCs w:val="18"/>
              </w:rPr>
            </w:pPr>
            <w:r>
              <w:rPr>
                <w:rFonts w:ascii="宋体" w:eastAsia="宋体" w:hAnsi="宋体" w:hint="eastAsia"/>
                <w:b/>
                <w:szCs w:val="18"/>
              </w:rPr>
              <w:t>中</w:t>
            </w:r>
            <w:proofErr w:type="gramStart"/>
            <w:r>
              <w:rPr>
                <w:rFonts w:ascii="宋体" w:eastAsia="宋体" w:hAnsi="宋体" w:hint="eastAsia"/>
                <w:b/>
                <w:szCs w:val="18"/>
              </w:rPr>
              <w:t>邮主题</w:t>
            </w:r>
            <w:proofErr w:type="gramEnd"/>
          </w:p>
        </w:tc>
        <w:tc>
          <w:tcPr>
            <w:tcW w:w="8730" w:type="dxa"/>
            <w:tcBorders>
              <w:top w:val="single" w:sz="6" w:space="0" w:color="D9D9D9"/>
              <w:left w:val="single" w:sz="6" w:space="0" w:color="D9D9D9"/>
              <w:bottom w:val="single" w:sz="6" w:space="0" w:color="D9D9D9"/>
            </w:tcBorders>
            <w:shd w:val="clear" w:color="auto" w:fill="auto"/>
            <w:vAlign w:val="center"/>
          </w:tcPr>
          <w:p w:rsidR="00004EBA" w:rsidRPr="009A36BC" w:rsidRDefault="00004EBA" w:rsidP="00735BBD">
            <w:pPr>
              <w:jc w:val="left"/>
              <w:rPr>
                <w:rFonts w:ascii="宋体" w:eastAsia="宋体" w:hAnsi="宋体"/>
                <w:szCs w:val="18"/>
              </w:rPr>
            </w:pPr>
            <w:r>
              <w:rPr>
                <w:rFonts w:ascii="宋体" w:eastAsia="宋体" w:hAnsi="宋体" w:hint="eastAsia"/>
                <w:szCs w:val="18"/>
              </w:rPr>
              <w:t>中小</w:t>
            </w:r>
            <w:proofErr w:type="gramStart"/>
            <w:r>
              <w:rPr>
                <w:rFonts w:ascii="宋体" w:eastAsia="宋体" w:hAnsi="宋体" w:hint="eastAsia"/>
                <w:szCs w:val="18"/>
              </w:rPr>
              <w:t>盘成长</w:t>
            </w:r>
            <w:proofErr w:type="gramEnd"/>
            <w:r>
              <w:rPr>
                <w:rFonts w:ascii="宋体" w:eastAsia="宋体" w:hAnsi="宋体" w:hint="eastAsia"/>
                <w:szCs w:val="18"/>
              </w:rPr>
              <w:t>风格显著，对于新经济、新兴产业主题有突出的把握能力，且表现在历史业绩上超额收益显著。注重自下而上选股，股票</w:t>
            </w:r>
            <w:proofErr w:type="gramStart"/>
            <w:r>
              <w:rPr>
                <w:rFonts w:ascii="宋体" w:eastAsia="宋体" w:hAnsi="宋体" w:hint="eastAsia"/>
                <w:szCs w:val="18"/>
              </w:rPr>
              <w:t>仓位</w:t>
            </w:r>
            <w:proofErr w:type="gramEnd"/>
            <w:r>
              <w:rPr>
                <w:rFonts w:ascii="宋体" w:eastAsia="宋体" w:hAnsi="宋体" w:hint="eastAsia"/>
                <w:szCs w:val="18"/>
              </w:rPr>
              <w:t>相对稳定。</w:t>
            </w:r>
          </w:p>
        </w:tc>
      </w:tr>
      <w:tr w:rsidR="00EE1CC3" w:rsidTr="00735BBD">
        <w:trPr>
          <w:cantSplit/>
          <w:trHeight w:val="340"/>
          <w:jc w:val="center"/>
        </w:trPr>
        <w:tc>
          <w:tcPr>
            <w:tcW w:w="2042" w:type="dxa"/>
            <w:tcBorders>
              <w:top w:val="single" w:sz="6" w:space="0" w:color="00B0F0"/>
              <w:bottom w:val="single" w:sz="6" w:space="0" w:color="D9D9D9"/>
              <w:right w:val="single" w:sz="6" w:space="0" w:color="D9D9D9"/>
            </w:tcBorders>
            <w:shd w:val="clear" w:color="auto" w:fill="auto"/>
            <w:vAlign w:val="center"/>
          </w:tcPr>
          <w:p w:rsidR="00EE1CC3" w:rsidRPr="009A36BC" w:rsidRDefault="00EE1CC3" w:rsidP="00735BBD">
            <w:pPr>
              <w:jc w:val="center"/>
              <w:rPr>
                <w:rFonts w:ascii="宋体" w:eastAsia="宋体" w:hAnsi="宋体"/>
                <w:b/>
                <w:szCs w:val="18"/>
              </w:rPr>
            </w:pPr>
          </w:p>
        </w:tc>
        <w:tc>
          <w:tcPr>
            <w:tcW w:w="8730" w:type="dxa"/>
            <w:tcBorders>
              <w:top w:val="single" w:sz="6" w:space="0" w:color="00B0F0"/>
              <w:left w:val="single" w:sz="6" w:space="0" w:color="D9D9D9"/>
              <w:bottom w:val="single" w:sz="6" w:space="0" w:color="D9D9D9"/>
            </w:tcBorders>
            <w:shd w:val="clear" w:color="auto" w:fill="auto"/>
            <w:vAlign w:val="center"/>
          </w:tcPr>
          <w:p w:rsidR="00EE1CC3" w:rsidRPr="009A36BC" w:rsidRDefault="00EE1CC3" w:rsidP="00735BBD">
            <w:pPr>
              <w:jc w:val="left"/>
              <w:rPr>
                <w:rFonts w:ascii="宋体" w:eastAsia="宋体" w:hAnsi="宋体"/>
                <w:szCs w:val="18"/>
              </w:rPr>
            </w:pPr>
          </w:p>
        </w:tc>
      </w:tr>
      <w:tr w:rsidR="00EE1CC3" w:rsidTr="00735BBD">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EE1CC3" w:rsidRPr="009A36BC" w:rsidRDefault="00EE1CC3" w:rsidP="00735BBD">
            <w:pPr>
              <w:jc w:val="center"/>
              <w:rPr>
                <w:rFonts w:ascii="宋体" w:eastAsia="宋体" w:hAnsi="宋体"/>
                <w:b/>
                <w:szCs w:val="18"/>
              </w:rPr>
            </w:pPr>
            <w:r w:rsidRPr="009A36BC">
              <w:rPr>
                <w:rFonts w:ascii="宋体" w:eastAsia="宋体" w:hAnsi="宋体" w:hint="eastAsia"/>
                <w:b/>
                <w:szCs w:val="18"/>
              </w:rPr>
              <w:t>混合型基金</w:t>
            </w:r>
          </w:p>
        </w:tc>
        <w:tc>
          <w:tcPr>
            <w:tcW w:w="8730" w:type="dxa"/>
            <w:tcBorders>
              <w:top w:val="single" w:sz="6" w:space="0" w:color="D9D9D9"/>
              <w:left w:val="single" w:sz="6" w:space="0" w:color="D9D9D9"/>
              <w:bottom w:val="single" w:sz="6" w:space="0" w:color="D9D9D9"/>
            </w:tcBorders>
            <w:shd w:val="clear" w:color="auto" w:fill="auto"/>
            <w:vAlign w:val="center"/>
          </w:tcPr>
          <w:p w:rsidR="00EE1CC3" w:rsidRPr="009A36BC" w:rsidRDefault="00EE1CC3" w:rsidP="00735BBD">
            <w:pPr>
              <w:jc w:val="center"/>
              <w:rPr>
                <w:rFonts w:ascii="宋体" w:eastAsia="宋体" w:hAnsi="宋体"/>
                <w:b/>
                <w:szCs w:val="18"/>
              </w:rPr>
            </w:pPr>
            <w:r w:rsidRPr="009A36BC">
              <w:rPr>
                <w:rFonts w:ascii="宋体" w:eastAsia="宋体" w:hAnsi="宋体" w:hint="eastAsia"/>
                <w:b/>
                <w:szCs w:val="18"/>
              </w:rPr>
              <w:t>推荐理由</w:t>
            </w:r>
          </w:p>
        </w:tc>
      </w:tr>
      <w:tr w:rsidR="00004EBA" w:rsidTr="00735BBD">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004EBA" w:rsidRPr="009A36BC" w:rsidRDefault="00004EBA" w:rsidP="00735BBD">
            <w:pPr>
              <w:jc w:val="center"/>
              <w:rPr>
                <w:rFonts w:ascii="宋体" w:eastAsia="宋体" w:hAnsi="宋体"/>
                <w:b/>
                <w:szCs w:val="18"/>
              </w:rPr>
            </w:pPr>
            <w:r>
              <w:rPr>
                <w:rFonts w:ascii="宋体" w:eastAsia="宋体" w:hAnsi="宋体" w:hint="eastAsia"/>
                <w:b/>
                <w:szCs w:val="18"/>
              </w:rPr>
              <w:lastRenderedPageBreak/>
              <w:t>宝</w:t>
            </w:r>
            <w:proofErr w:type="gramStart"/>
            <w:r>
              <w:rPr>
                <w:rFonts w:ascii="宋体" w:eastAsia="宋体" w:hAnsi="宋体" w:hint="eastAsia"/>
                <w:b/>
                <w:szCs w:val="18"/>
              </w:rPr>
              <w:t>盈核心</w:t>
            </w:r>
            <w:proofErr w:type="gramEnd"/>
            <w:r>
              <w:rPr>
                <w:rFonts w:ascii="宋体" w:eastAsia="宋体" w:hAnsi="宋体" w:hint="eastAsia"/>
                <w:b/>
                <w:szCs w:val="18"/>
              </w:rPr>
              <w:t>优势</w:t>
            </w:r>
          </w:p>
        </w:tc>
        <w:tc>
          <w:tcPr>
            <w:tcW w:w="8730" w:type="dxa"/>
            <w:tcBorders>
              <w:top w:val="single" w:sz="6" w:space="0" w:color="D9D9D9"/>
              <w:left w:val="single" w:sz="6" w:space="0" w:color="D9D9D9"/>
              <w:bottom w:val="single" w:sz="6" w:space="0" w:color="D9D9D9"/>
            </w:tcBorders>
            <w:shd w:val="clear" w:color="auto" w:fill="auto"/>
            <w:vAlign w:val="center"/>
          </w:tcPr>
          <w:p w:rsidR="00004EBA" w:rsidRPr="009A36BC" w:rsidRDefault="00004EBA" w:rsidP="00735BBD">
            <w:pPr>
              <w:jc w:val="left"/>
              <w:rPr>
                <w:rFonts w:ascii="宋体" w:eastAsia="宋体" w:hAnsi="宋体"/>
                <w:szCs w:val="18"/>
              </w:rPr>
            </w:pPr>
            <w:r>
              <w:rPr>
                <w:rFonts w:ascii="宋体" w:eastAsia="宋体" w:hAnsi="宋体" w:hint="eastAsia"/>
                <w:szCs w:val="18"/>
              </w:rPr>
              <w:t>基金经理对市场节奏有较好的把握，无论是大类资产配置还是自下而上的选股都有突出的优势，尤其擅长成长类股票的投资。</w:t>
            </w:r>
          </w:p>
        </w:tc>
      </w:tr>
      <w:tr w:rsidR="00004EBA" w:rsidTr="00735BBD">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004EBA" w:rsidRPr="009A36BC" w:rsidRDefault="00004EBA" w:rsidP="00735BBD">
            <w:pPr>
              <w:jc w:val="center"/>
              <w:rPr>
                <w:rFonts w:ascii="宋体" w:eastAsia="宋体" w:hAnsi="宋体"/>
                <w:b/>
                <w:szCs w:val="18"/>
              </w:rPr>
            </w:pPr>
            <w:r w:rsidRPr="009A36BC">
              <w:rPr>
                <w:rFonts w:ascii="宋体" w:eastAsia="宋体" w:hAnsi="宋体" w:hint="eastAsia"/>
                <w:b/>
                <w:szCs w:val="18"/>
              </w:rPr>
              <w:t>富国天成</w:t>
            </w:r>
          </w:p>
        </w:tc>
        <w:tc>
          <w:tcPr>
            <w:tcW w:w="8730" w:type="dxa"/>
            <w:tcBorders>
              <w:top w:val="single" w:sz="6" w:space="0" w:color="D9D9D9"/>
              <w:left w:val="single" w:sz="6" w:space="0" w:color="D9D9D9"/>
              <w:bottom w:val="single" w:sz="6" w:space="0" w:color="D9D9D9"/>
            </w:tcBorders>
            <w:shd w:val="clear" w:color="auto" w:fill="auto"/>
            <w:vAlign w:val="center"/>
          </w:tcPr>
          <w:p w:rsidR="00004EBA" w:rsidRPr="009A36BC" w:rsidRDefault="00004EBA" w:rsidP="00100477">
            <w:pPr>
              <w:jc w:val="left"/>
              <w:rPr>
                <w:rFonts w:ascii="宋体" w:eastAsia="宋体" w:hAnsi="宋体"/>
                <w:szCs w:val="18"/>
              </w:rPr>
            </w:pPr>
            <w:r w:rsidRPr="009A36BC">
              <w:rPr>
                <w:rFonts w:ascii="宋体" w:eastAsia="宋体" w:hAnsi="宋体" w:hint="eastAsia"/>
                <w:szCs w:val="18"/>
              </w:rPr>
              <w:t>股票</w:t>
            </w:r>
            <w:proofErr w:type="gramStart"/>
            <w:r w:rsidRPr="009A36BC">
              <w:rPr>
                <w:rFonts w:ascii="宋体" w:eastAsia="宋体" w:hAnsi="宋体" w:hint="eastAsia"/>
                <w:szCs w:val="18"/>
              </w:rPr>
              <w:t>仓位</w:t>
            </w:r>
            <w:proofErr w:type="gramEnd"/>
            <w:r w:rsidRPr="009A36BC">
              <w:rPr>
                <w:rFonts w:ascii="宋体" w:eastAsia="宋体" w:hAnsi="宋体" w:hint="eastAsia"/>
                <w:szCs w:val="18"/>
              </w:rPr>
              <w:t>适中，风险控制能力较强，侧重稳健成长类风格股票和低估值</w:t>
            </w:r>
            <w:r w:rsidR="00100477">
              <w:rPr>
                <w:rFonts w:ascii="宋体" w:eastAsia="宋体" w:hAnsi="宋体" w:hint="eastAsia"/>
                <w:szCs w:val="18"/>
              </w:rPr>
              <w:t>蓝筹股</w:t>
            </w:r>
            <w:r w:rsidRPr="009A36BC">
              <w:rPr>
                <w:rFonts w:ascii="宋体" w:eastAsia="宋体" w:hAnsi="宋体" w:hint="eastAsia"/>
                <w:szCs w:val="18"/>
              </w:rPr>
              <w:t>。</w:t>
            </w:r>
          </w:p>
        </w:tc>
      </w:tr>
      <w:tr w:rsidR="00004EBA" w:rsidTr="00735BBD">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004EBA" w:rsidRPr="009A36BC" w:rsidRDefault="00004EBA" w:rsidP="00735BBD">
            <w:pPr>
              <w:jc w:val="center"/>
              <w:rPr>
                <w:rFonts w:ascii="宋体" w:eastAsia="宋体" w:hAnsi="宋体"/>
                <w:b/>
                <w:szCs w:val="18"/>
              </w:rPr>
            </w:pPr>
            <w:r>
              <w:rPr>
                <w:rFonts w:ascii="宋体" w:eastAsia="宋体" w:hAnsi="宋体" w:hint="eastAsia"/>
                <w:b/>
                <w:szCs w:val="18"/>
              </w:rPr>
              <w:t>光大配置</w:t>
            </w:r>
          </w:p>
        </w:tc>
        <w:tc>
          <w:tcPr>
            <w:tcW w:w="8730" w:type="dxa"/>
            <w:tcBorders>
              <w:top w:val="single" w:sz="6" w:space="0" w:color="D9D9D9"/>
              <w:left w:val="single" w:sz="6" w:space="0" w:color="D9D9D9"/>
              <w:bottom w:val="single" w:sz="6" w:space="0" w:color="D9D9D9"/>
            </w:tcBorders>
            <w:shd w:val="clear" w:color="auto" w:fill="auto"/>
            <w:vAlign w:val="center"/>
          </w:tcPr>
          <w:p w:rsidR="00004EBA" w:rsidRPr="009A36BC" w:rsidRDefault="00004EBA" w:rsidP="00735BBD">
            <w:pPr>
              <w:jc w:val="left"/>
              <w:rPr>
                <w:rFonts w:ascii="宋体" w:eastAsia="宋体" w:hAnsi="宋体"/>
                <w:szCs w:val="18"/>
              </w:rPr>
            </w:pPr>
            <w:r>
              <w:rPr>
                <w:rFonts w:ascii="宋体" w:eastAsia="宋体" w:hAnsi="宋体" w:hint="eastAsia"/>
                <w:szCs w:val="18"/>
              </w:rPr>
              <w:t>配置较为均衡，股票</w:t>
            </w:r>
            <w:proofErr w:type="gramStart"/>
            <w:r>
              <w:rPr>
                <w:rFonts w:ascii="宋体" w:eastAsia="宋体" w:hAnsi="宋体" w:hint="eastAsia"/>
                <w:szCs w:val="18"/>
              </w:rPr>
              <w:t>仓位</w:t>
            </w:r>
            <w:proofErr w:type="gramEnd"/>
            <w:r>
              <w:rPr>
                <w:rFonts w:ascii="宋体" w:eastAsia="宋体" w:hAnsi="宋体" w:hint="eastAsia"/>
                <w:szCs w:val="18"/>
              </w:rPr>
              <w:t>中等水平，注重自下而上的选择</w:t>
            </w:r>
            <w:proofErr w:type="gramStart"/>
            <w:r>
              <w:rPr>
                <w:rFonts w:ascii="宋体" w:eastAsia="宋体" w:hAnsi="宋体" w:hint="eastAsia"/>
                <w:szCs w:val="18"/>
              </w:rPr>
              <w:t>且选股能力</w:t>
            </w:r>
            <w:proofErr w:type="gramEnd"/>
            <w:r>
              <w:rPr>
                <w:rFonts w:ascii="宋体" w:eastAsia="宋体" w:hAnsi="宋体" w:hint="eastAsia"/>
                <w:szCs w:val="18"/>
              </w:rPr>
              <w:t>良好，从历史业绩来看，具有较好的风险收益配比</w:t>
            </w:r>
            <w:r w:rsidRPr="009A36BC">
              <w:rPr>
                <w:rFonts w:ascii="宋体" w:eastAsia="宋体" w:hAnsi="宋体" w:hint="eastAsia"/>
                <w:szCs w:val="18"/>
              </w:rPr>
              <w:t>。</w:t>
            </w:r>
          </w:p>
        </w:tc>
      </w:tr>
      <w:tr w:rsidR="00004EBA" w:rsidTr="00735BBD">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004EBA" w:rsidRPr="009A36BC" w:rsidRDefault="00004EBA" w:rsidP="00735BBD">
            <w:pPr>
              <w:jc w:val="center"/>
              <w:rPr>
                <w:rFonts w:ascii="宋体" w:eastAsia="宋体" w:hAnsi="宋体"/>
                <w:b/>
                <w:szCs w:val="18"/>
              </w:rPr>
            </w:pPr>
            <w:r w:rsidRPr="007D60E4">
              <w:rPr>
                <w:rFonts w:ascii="宋体" w:eastAsia="宋体" w:hAnsi="宋体" w:hint="eastAsia"/>
                <w:b/>
                <w:szCs w:val="18"/>
              </w:rPr>
              <w:t>国泰金</w:t>
            </w:r>
            <w:proofErr w:type="gramStart"/>
            <w:r w:rsidRPr="007D60E4">
              <w:rPr>
                <w:rFonts w:ascii="宋体" w:eastAsia="宋体" w:hAnsi="宋体" w:hint="eastAsia"/>
                <w:b/>
                <w:szCs w:val="18"/>
              </w:rPr>
              <w:t>泰平衡</w:t>
            </w:r>
            <w:proofErr w:type="gramEnd"/>
          </w:p>
        </w:tc>
        <w:tc>
          <w:tcPr>
            <w:tcW w:w="8730" w:type="dxa"/>
            <w:tcBorders>
              <w:top w:val="single" w:sz="6" w:space="0" w:color="D9D9D9"/>
              <w:left w:val="single" w:sz="6" w:space="0" w:color="D9D9D9"/>
              <w:bottom w:val="single" w:sz="6" w:space="0" w:color="D9D9D9"/>
            </w:tcBorders>
            <w:shd w:val="clear" w:color="auto" w:fill="auto"/>
            <w:vAlign w:val="center"/>
          </w:tcPr>
          <w:p w:rsidR="00004EBA" w:rsidRPr="009A36BC" w:rsidRDefault="00004EBA" w:rsidP="00735BBD">
            <w:pPr>
              <w:jc w:val="left"/>
              <w:rPr>
                <w:rFonts w:ascii="宋体" w:eastAsia="宋体" w:hAnsi="宋体"/>
                <w:szCs w:val="18"/>
              </w:rPr>
            </w:pPr>
            <w:r>
              <w:rPr>
                <w:rFonts w:ascii="宋体" w:eastAsia="宋体" w:hAnsi="宋体" w:hint="eastAsia"/>
                <w:szCs w:val="18"/>
              </w:rPr>
              <w:t>保守配置型基金，基金以追求相对稳定的回报为目标，股票投资上限为50%，结合转型前和转型后的表现，基金经理均呈现良好的投资管理能力。</w:t>
            </w:r>
          </w:p>
        </w:tc>
      </w:tr>
      <w:tr w:rsidR="00004EBA" w:rsidTr="00735BBD">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004EBA" w:rsidRPr="009A36BC" w:rsidRDefault="00004EBA" w:rsidP="00735BBD">
            <w:pPr>
              <w:jc w:val="center"/>
              <w:rPr>
                <w:rFonts w:ascii="宋体" w:eastAsia="宋体" w:hAnsi="宋体"/>
                <w:b/>
                <w:szCs w:val="18"/>
              </w:rPr>
            </w:pPr>
            <w:r w:rsidRPr="009A36BC">
              <w:rPr>
                <w:rFonts w:ascii="宋体" w:eastAsia="宋体" w:hAnsi="宋体" w:hint="eastAsia"/>
                <w:b/>
                <w:szCs w:val="18"/>
              </w:rPr>
              <w:t>国投稳健增长</w:t>
            </w:r>
          </w:p>
        </w:tc>
        <w:tc>
          <w:tcPr>
            <w:tcW w:w="8730" w:type="dxa"/>
            <w:tcBorders>
              <w:top w:val="single" w:sz="6" w:space="0" w:color="D9D9D9"/>
              <w:left w:val="single" w:sz="6" w:space="0" w:color="D9D9D9"/>
              <w:bottom w:val="single" w:sz="6" w:space="0" w:color="D9D9D9"/>
            </w:tcBorders>
            <w:shd w:val="clear" w:color="auto" w:fill="auto"/>
            <w:vAlign w:val="center"/>
          </w:tcPr>
          <w:p w:rsidR="00004EBA" w:rsidRPr="009A36BC" w:rsidRDefault="00004EBA" w:rsidP="00735BBD">
            <w:pPr>
              <w:jc w:val="left"/>
              <w:rPr>
                <w:rFonts w:ascii="宋体" w:eastAsia="宋体" w:hAnsi="宋体"/>
                <w:szCs w:val="18"/>
              </w:rPr>
            </w:pPr>
            <w:r w:rsidRPr="009A36BC">
              <w:rPr>
                <w:rFonts w:ascii="宋体" w:eastAsia="宋体" w:hAnsi="宋体" w:hint="eastAsia"/>
                <w:szCs w:val="18"/>
              </w:rPr>
              <w:t>基金经理善于利用资产配置控制系统性风险，重视组合中对行业个股的选配，基金历史业绩稳健。</w:t>
            </w:r>
          </w:p>
        </w:tc>
      </w:tr>
      <w:tr w:rsidR="00004EBA" w:rsidTr="00735BBD">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004EBA" w:rsidRPr="009A36BC" w:rsidRDefault="00004EBA" w:rsidP="00735BBD">
            <w:pPr>
              <w:jc w:val="center"/>
              <w:rPr>
                <w:rFonts w:ascii="宋体" w:eastAsia="宋体" w:hAnsi="宋体"/>
                <w:b/>
                <w:szCs w:val="18"/>
              </w:rPr>
            </w:pPr>
            <w:proofErr w:type="gramStart"/>
            <w:r w:rsidRPr="009A36BC">
              <w:rPr>
                <w:rFonts w:ascii="宋体" w:eastAsia="宋体" w:hAnsi="宋体" w:hint="eastAsia"/>
                <w:b/>
                <w:szCs w:val="18"/>
              </w:rPr>
              <w:t>海富通精选</w:t>
            </w:r>
            <w:proofErr w:type="gramEnd"/>
          </w:p>
        </w:tc>
        <w:tc>
          <w:tcPr>
            <w:tcW w:w="8730" w:type="dxa"/>
            <w:tcBorders>
              <w:top w:val="single" w:sz="6" w:space="0" w:color="D9D9D9"/>
              <w:left w:val="single" w:sz="6" w:space="0" w:color="D9D9D9"/>
              <w:bottom w:val="single" w:sz="6" w:space="0" w:color="D9D9D9"/>
            </w:tcBorders>
            <w:shd w:val="clear" w:color="auto" w:fill="auto"/>
            <w:vAlign w:val="center"/>
          </w:tcPr>
          <w:p w:rsidR="00004EBA" w:rsidRPr="009A36BC" w:rsidRDefault="00004EBA" w:rsidP="00735BBD">
            <w:pPr>
              <w:jc w:val="left"/>
              <w:rPr>
                <w:rFonts w:ascii="宋体" w:eastAsia="宋体" w:hAnsi="宋体"/>
                <w:szCs w:val="18"/>
              </w:rPr>
            </w:pPr>
            <w:r w:rsidRPr="009A36BC">
              <w:rPr>
                <w:rFonts w:ascii="宋体" w:eastAsia="宋体" w:hAnsi="宋体" w:hint="eastAsia"/>
                <w:szCs w:val="18"/>
              </w:rPr>
              <w:t>偏好价值成长类股票，操作风格灵活积极，基金经理具备较强的管理能力，市场震荡过程中更显优势。</w:t>
            </w:r>
          </w:p>
        </w:tc>
      </w:tr>
      <w:tr w:rsidR="00004EBA" w:rsidTr="00735BBD">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004EBA" w:rsidRPr="009A36BC" w:rsidRDefault="00004EBA" w:rsidP="00735BBD">
            <w:pPr>
              <w:jc w:val="center"/>
              <w:rPr>
                <w:rFonts w:ascii="宋体" w:eastAsia="宋体" w:hAnsi="宋体"/>
                <w:b/>
                <w:szCs w:val="18"/>
              </w:rPr>
            </w:pPr>
            <w:r w:rsidRPr="009A36BC">
              <w:rPr>
                <w:rFonts w:ascii="宋体" w:eastAsia="宋体" w:hAnsi="宋体" w:hint="eastAsia"/>
                <w:b/>
                <w:szCs w:val="18"/>
              </w:rPr>
              <w:t>华安宏利</w:t>
            </w:r>
          </w:p>
        </w:tc>
        <w:tc>
          <w:tcPr>
            <w:tcW w:w="8730" w:type="dxa"/>
            <w:tcBorders>
              <w:top w:val="single" w:sz="6" w:space="0" w:color="D9D9D9"/>
              <w:left w:val="single" w:sz="6" w:space="0" w:color="D9D9D9"/>
              <w:bottom w:val="single" w:sz="6" w:space="0" w:color="D9D9D9"/>
            </w:tcBorders>
            <w:shd w:val="clear" w:color="auto" w:fill="auto"/>
            <w:vAlign w:val="center"/>
          </w:tcPr>
          <w:p w:rsidR="00004EBA" w:rsidRPr="009A36BC" w:rsidRDefault="00004EBA" w:rsidP="00735BBD">
            <w:pPr>
              <w:jc w:val="left"/>
              <w:rPr>
                <w:rFonts w:ascii="宋体" w:eastAsia="宋体" w:hAnsi="宋体"/>
                <w:szCs w:val="18"/>
              </w:rPr>
            </w:pPr>
            <w:r w:rsidRPr="009A36BC">
              <w:rPr>
                <w:rFonts w:ascii="宋体" w:eastAsia="宋体" w:hAnsi="宋体" w:hint="eastAsia"/>
                <w:szCs w:val="18"/>
              </w:rPr>
              <w:t>大盘蓝</w:t>
            </w:r>
            <w:proofErr w:type="gramStart"/>
            <w:r w:rsidRPr="009A36BC">
              <w:rPr>
                <w:rFonts w:ascii="宋体" w:eastAsia="宋体" w:hAnsi="宋体" w:hint="eastAsia"/>
                <w:szCs w:val="18"/>
              </w:rPr>
              <w:t>筹风格</w:t>
            </w:r>
            <w:proofErr w:type="gramEnd"/>
            <w:r w:rsidRPr="009A36BC">
              <w:rPr>
                <w:rFonts w:ascii="宋体" w:eastAsia="宋体" w:hAnsi="宋体" w:hint="eastAsia"/>
                <w:szCs w:val="18"/>
              </w:rPr>
              <w:t>明显，对蓝筹股有较强的把握能力，基金经理稳定且具备突出的管理能力。</w:t>
            </w:r>
          </w:p>
        </w:tc>
      </w:tr>
      <w:tr w:rsidR="00004EBA" w:rsidTr="00735BBD">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004EBA" w:rsidRPr="009A36BC" w:rsidRDefault="00004EBA" w:rsidP="00735BBD">
            <w:pPr>
              <w:jc w:val="center"/>
              <w:rPr>
                <w:rFonts w:ascii="宋体" w:eastAsia="宋体" w:hAnsi="宋体"/>
                <w:b/>
                <w:szCs w:val="18"/>
              </w:rPr>
            </w:pPr>
            <w:r w:rsidRPr="009A36BC">
              <w:rPr>
                <w:rFonts w:ascii="宋体" w:eastAsia="宋体" w:hAnsi="宋体" w:hint="eastAsia"/>
                <w:b/>
                <w:szCs w:val="18"/>
              </w:rPr>
              <w:t>华</w:t>
            </w:r>
            <w:proofErr w:type="gramStart"/>
            <w:r w:rsidRPr="009A36BC">
              <w:rPr>
                <w:rFonts w:ascii="宋体" w:eastAsia="宋体" w:hAnsi="宋体" w:hint="eastAsia"/>
                <w:b/>
                <w:szCs w:val="18"/>
              </w:rPr>
              <w:t>宝收益</w:t>
            </w:r>
            <w:proofErr w:type="gramEnd"/>
          </w:p>
        </w:tc>
        <w:tc>
          <w:tcPr>
            <w:tcW w:w="8730" w:type="dxa"/>
            <w:tcBorders>
              <w:top w:val="single" w:sz="6" w:space="0" w:color="D9D9D9"/>
              <w:left w:val="single" w:sz="6" w:space="0" w:color="D9D9D9"/>
              <w:bottom w:val="single" w:sz="6" w:space="0" w:color="D9D9D9"/>
            </w:tcBorders>
            <w:shd w:val="clear" w:color="auto" w:fill="auto"/>
            <w:vAlign w:val="center"/>
          </w:tcPr>
          <w:p w:rsidR="00004EBA" w:rsidRPr="009A36BC" w:rsidRDefault="00004EBA" w:rsidP="00735BBD">
            <w:pPr>
              <w:jc w:val="left"/>
              <w:rPr>
                <w:rFonts w:ascii="宋体" w:eastAsia="宋体" w:hAnsi="宋体"/>
                <w:szCs w:val="18"/>
              </w:rPr>
            </w:pPr>
            <w:r w:rsidRPr="009A36BC">
              <w:rPr>
                <w:rFonts w:ascii="宋体" w:eastAsia="宋体" w:hAnsi="宋体" w:hint="eastAsia"/>
                <w:szCs w:val="18"/>
              </w:rPr>
              <w:t>基金注重通过个股把握结构行情，同时持股集中度较高，以提高组合效率和进攻性。此外，基金对部分重仓个股的持续持有的时间较长，密切跟踪、深入了解也使其对重仓股有更好的把握。目前来看对于盈利增长稳定和低估值个股兼顾配置。</w:t>
            </w:r>
          </w:p>
        </w:tc>
      </w:tr>
      <w:tr w:rsidR="00004EBA" w:rsidTr="00735BBD">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004EBA" w:rsidRPr="009A36BC" w:rsidRDefault="00004EBA" w:rsidP="00735BBD">
            <w:pPr>
              <w:jc w:val="center"/>
              <w:rPr>
                <w:rFonts w:ascii="宋体" w:eastAsia="宋体" w:hAnsi="宋体"/>
                <w:b/>
                <w:szCs w:val="18"/>
              </w:rPr>
            </w:pPr>
            <w:r w:rsidRPr="009A36BC">
              <w:rPr>
                <w:rFonts w:ascii="宋体" w:eastAsia="宋体" w:hAnsi="宋体" w:hint="eastAsia"/>
                <w:b/>
                <w:szCs w:val="18"/>
              </w:rPr>
              <w:t>华商领先</w:t>
            </w:r>
          </w:p>
        </w:tc>
        <w:tc>
          <w:tcPr>
            <w:tcW w:w="8730" w:type="dxa"/>
            <w:tcBorders>
              <w:top w:val="single" w:sz="6" w:space="0" w:color="D9D9D9"/>
              <w:left w:val="single" w:sz="6" w:space="0" w:color="D9D9D9"/>
              <w:bottom w:val="single" w:sz="6" w:space="0" w:color="D9D9D9"/>
            </w:tcBorders>
            <w:shd w:val="clear" w:color="auto" w:fill="auto"/>
            <w:vAlign w:val="center"/>
          </w:tcPr>
          <w:p w:rsidR="00004EBA" w:rsidRPr="009A36BC" w:rsidRDefault="00004EBA" w:rsidP="00735BBD">
            <w:pPr>
              <w:jc w:val="left"/>
              <w:rPr>
                <w:rFonts w:ascii="宋体" w:eastAsia="宋体" w:hAnsi="宋体"/>
                <w:szCs w:val="18"/>
              </w:rPr>
            </w:pPr>
            <w:r w:rsidRPr="009A36BC">
              <w:rPr>
                <w:rFonts w:ascii="宋体" w:eastAsia="宋体" w:hAnsi="宋体" w:hint="eastAsia"/>
                <w:szCs w:val="18"/>
              </w:rPr>
              <w:t>属于混合型基金中操作风格积极的品种，一方面其股票</w:t>
            </w:r>
            <w:proofErr w:type="gramStart"/>
            <w:r w:rsidRPr="009A36BC">
              <w:rPr>
                <w:rFonts w:ascii="宋体" w:eastAsia="宋体" w:hAnsi="宋体" w:hint="eastAsia"/>
                <w:szCs w:val="18"/>
              </w:rPr>
              <w:t>仓位</w:t>
            </w:r>
            <w:proofErr w:type="gramEnd"/>
            <w:r w:rsidRPr="009A36BC">
              <w:rPr>
                <w:rFonts w:ascii="宋体" w:eastAsia="宋体" w:hAnsi="宋体" w:hint="eastAsia"/>
                <w:szCs w:val="18"/>
              </w:rPr>
              <w:t>明显高于同业平均水平，另一方面基金持股集中度较高，具备较强的进攻性。良好的选</w:t>
            </w:r>
            <w:proofErr w:type="gramStart"/>
            <w:r w:rsidRPr="009A36BC">
              <w:rPr>
                <w:rFonts w:ascii="宋体" w:eastAsia="宋体" w:hAnsi="宋体" w:hint="eastAsia"/>
                <w:szCs w:val="18"/>
              </w:rPr>
              <w:t>股能力</w:t>
            </w:r>
            <w:proofErr w:type="gramEnd"/>
            <w:r w:rsidRPr="009A36BC">
              <w:rPr>
                <w:rFonts w:ascii="宋体" w:eastAsia="宋体" w:hAnsi="宋体" w:hint="eastAsia"/>
                <w:szCs w:val="18"/>
              </w:rPr>
              <w:t>是基金获得超额收益的主要来源，尤其擅长对成长股的投资。目前在配置</w:t>
            </w:r>
            <w:proofErr w:type="gramStart"/>
            <w:r w:rsidRPr="009A36BC">
              <w:rPr>
                <w:rFonts w:ascii="宋体" w:eastAsia="宋体" w:hAnsi="宋体" w:hint="eastAsia"/>
                <w:szCs w:val="18"/>
              </w:rPr>
              <w:t>上基金兼顾低</w:t>
            </w:r>
            <w:proofErr w:type="gramEnd"/>
            <w:r w:rsidRPr="009A36BC">
              <w:rPr>
                <w:rFonts w:ascii="宋体" w:eastAsia="宋体" w:hAnsi="宋体" w:hint="eastAsia"/>
                <w:szCs w:val="18"/>
              </w:rPr>
              <w:t>估值和成长性，相对均衡。</w:t>
            </w:r>
          </w:p>
        </w:tc>
      </w:tr>
      <w:tr w:rsidR="00004EBA" w:rsidTr="00735BBD">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004EBA" w:rsidRPr="009A36BC" w:rsidRDefault="00004EBA" w:rsidP="00735BBD">
            <w:pPr>
              <w:jc w:val="center"/>
              <w:rPr>
                <w:rFonts w:ascii="宋体" w:eastAsia="宋体" w:hAnsi="宋体"/>
                <w:b/>
                <w:szCs w:val="18"/>
              </w:rPr>
            </w:pPr>
            <w:r w:rsidRPr="009A36BC">
              <w:rPr>
                <w:rFonts w:ascii="宋体" w:eastAsia="宋体" w:hAnsi="宋体" w:hint="eastAsia"/>
                <w:b/>
                <w:szCs w:val="18"/>
              </w:rPr>
              <w:t>华夏回报</w:t>
            </w:r>
          </w:p>
        </w:tc>
        <w:tc>
          <w:tcPr>
            <w:tcW w:w="8730" w:type="dxa"/>
            <w:tcBorders>
              <w:top w:val="single" w:sz="6" w:space="0" w:color="D9D9D9"/>
              <w:left w:val="single" w:sz="6" w:space="0" w:color="D9D9D9"/>
              <w:bottom w:val="single" w:sz="6" w:space="0" w:color="D9D9D9"/>
            </w:tcBorders>
            <w:shd w:val="clear" w:color="auto" w:fill="auto"/>
            <w:vAlign w:val="center"/>
          </w:tcPr>
          <w:p w:rsidR="00004EBA" w:rsidRPr="009A36BC" w:rsidRDefault="00004EBA" w:rsidP="00735BBD">
            <w:pPr>
              <w:jc w:val="left"/>
              <w:rPr>
                <w:rFonts w:ascii="宋体" w:eastAsia="宋体" w:hAnsi="宋体"/>
                <w:szCs w:val="18"/>
              </w:rPr>
            </w:pPr>
            <w:r w:rsidRPr="009A36BC">
              <w:rPr>
                <w:rFonts w:ascii="宋体" w:eastAsia="宋体" w:hAnsi="宋体" w:hint="eastAsia"/>
                <w:szCs w:val="18"/>
              </w:rPr>
              <w:t>投资风格稳健，风险控制能力突出，在震荡市场环境中更能展现其投资管理能力，行业配置相对均衡、持股集中度较低。</w:t>
            </w:r>
          </w:p>
        </w:tc>
      </w:tr>
      <w:tr w:rsidR="00004EBA" w:rsidTr="00735BBD">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004EBA" w:rsidRPr="009A36BC" w:rsidRDefault="00004EBA" w:rsidP="00735BBD">
            <w:pPr>
              <w:jc w:val="center"/>
              <w:rPr>
                <w:rFonts w:ascii="宋体" w:eastAsia="宋体" w:hAnsi="宋体"/>
                <w:b/>
                <w:szCs w:val="18"/>
              </w:rPr>
            </w:pPr>
            <w:r>
              <w:rPr>
                <w:rFonts w:ascii="宋体" w:eastAsia="宋体" w:hAnsi="宋体" w:hint="eastAsia"/>
                <w:b/>
                <w:szCs w:val="18"/>
              </w:rPr>
              <w:t>嘉</w:t>
            </w:r>
            <w:proofErr w:type="gramStart"/>
            <w:r>
              <w:rPr>
                <w:rFonts w:ascii="宋体" w:eastAsia="宋体" w:hAnsi="宋体" w:hint="eastAsia"/>
                <w:b/>
                <w:szCs w:val="18"/>
              </w:rPr>
              <w:t>实主题</w:t>
            </w:r>
            <w:proofErr w:type="gramEnd"/>
          </w:p>
        </w:tc>
        <w:tc>
          <w:tcPr>
            <w:tcW w:w="8730" w:type="dxa"/>
            <w:tcBorders>
              <w:top w:val="single" w:sz="6" w:space="0" w:color="D9D9D9"/>
              <w:left w:val="single" w:sz="6" w:space="0" w:color="D9D9D9"/>
              <w:bottom w:val="single" w:sz="6" w:space="0" w:color="D9D9D9"/>
            </w:tcBorders>
            <w:shd w:val="clear" w:color="auto" w:fill="auto"/>
            <w:vAlign w:val="center"/>
          </w:tcPr>
          <w:p w:rsidR="00004EBA" w:rsidRPr="009A36BC" w:rsidRDefault="00004EBA" w:rsidP="00735BBD">
            <w:pPr>
              <w:jc w:val="left"/>
              <w:rPr>
                <w:rFonts w:ascii="宋体" w:eastAsia="宋体" w:hAnsi="宋体"/>
                <w:szCs w:val="18"/>
              </w:rPr>
            </w:pPr>
            <w:r w:rsidRPr="0001760F">
              <w:rPr>
                <w:rFonts w:ascii="宋体" w:eastAsia="宋体" w:hAnsi="宋体"/>
                <w:szCs w:val="18"/>
              </w:rPr>
              <w:t>运用主题投资方法追求超额收益</w:t>
            </w:r>
            <w:r w:rsidRPr="0001760F">
              <w:rPr>
                <w:rFonts w:ascii="宋体" w:eastAsia="宋体" w:hAnsi="宋体" w:hint="eastAsia"/>
                <w:szCs w:val="18"/>
              </w:rPr>
              <w:t>；基金经理历史业绩优秀。近期</w:t>
            </w:r>
            <w:proofErr w:type="gramStart"/>
            <w:r w:rsidRPr="0001760F">
              <w:rPr>
                <w:rFonts w:ascii="宋体" w:eastAsia="宋体" w:hAnsi="宋体" w:hint="eastAsia"/>
                <w:szCs w:val="18"/>
              </w:rPr>
              <w:t>仓位</w:t>
            </w:r>
            <w:proofErr w:type="gramEnd"/>
            <w:r w:rsidRPr="0001760F">
              <w:rPr>
                <w:rFonts w:ascii="宋体" w:eastAsia="宋体" w:hAnsi="宋体" w:hint="eastAsia"/>
                <w:szCs w:val="18"/>
              </w:rPr>
              <w:t>围绕农业、大众消费品以及医药等。</w:t>
            </w:r>
          </w:p>
        </w:tc>
      </w:tr>
      <w:tr w:rsidR="00004EBA" w:rsidRPr="0028462A" w:rsidTr="00735BBD">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004EBA" w:rsidRPr="009A36BC" w:rsidRDefault="00004EBA" w:rsidP="00735BBD">
            <w:pPr>
              <w:jc w:val="center"/>
              <w:rPr>
                <w:rFonts w:ascii="宋体" w:eastAsia="宋体" w:hAnsi="宋体"/>
                <w:b/>
                <w:szCs w:val="18"/>
              </w:rPr>
            </w:pPr>
            <w:proofErr w:type="gramStart"/>
            <w:r>
              <w:rPr>
                <w:rFonts w:ascii="宋体" w:eastAsia="宋体" w:hAnsi="宋体" w:hint="eastAsia"/>
                <w:b/>
                <w:szCs w:val="18"/>
              </w:rPr>
              <w:t>诺安配置</w:t>
            </w:r>
            <w:proofErr w:type="gramEnd"/>
          </w:p>
        </w:tc>
        <w:tc>
          <w:tcPr>
            <w:tcW w:w="8730" w:type="dxa"/>
            <w:tcBorders>
              <w:top w:val="single" w:sz="6" w:space="0" w:color="D9D9D9"/>
              <w:left w:val="single" w:sz="6" w:space="0" w:color="D9D9D9"/>
              <w:bottom w:val="single" w:sz="6" w:space="0" w:color="D9D9D9"/>
            </w:tcBorders>
            <w:shd w:val="clear" w:color="auto" w:fill="auto"/>
            <w:vAlign w:val="center"/>
          </w:tcPr>
          <w:p w:rsidR="00004EBA" w:rsidRPr="009A36BC" w:rsidRDefault="00004EBA" w:rsidP="00735BBD">
            <w:pPr>
              <w:jc w:val="left"/>
              <w:rPr>
                <w:rFonts w:ascii="宋体" w:eastAsia="宋体" w:hAnsi="宋体"/>
                <w:szCs w:val="18"/>
              </w:rPr>
            </w:pPr>
            <w:r>
              <w:rPr>
                <w:rFonts w:ascii="宋体" w:eastAsia="宋体" w:hAnsi="宋体" w:hint="eastAsia"/>
                <w:szCs w:val="18"/>
              </w:rPr>
              <w:t>具有较高的灵活性，无论是择时还是选股均有明显的体现，</w:t>
            </w:r>
            <w:proofErr w:type="gramStart"/>
            <w:r>
              <w:rPr>
                <w:rFonts w:ascii="宋体" w:eastAsia="宋体" w:hAnsi="宋体" w:hint="eastAsia"/>
                <w:szCs w:val="18"/>
              </w:rPr>
              <w:t>且较好</w:t>
            </w:r>
            <w:proofErr w:type="gramEnd"/>
            <w:r>
              <w:rPr>
                <w:rFonts w:ascii="宋体" w:eastAsia="宋体" w:hAnsi="宋体" w:hint="eastAsia"/>
                <w:szCs w:val="18"/>
              </w:rPr>
              <w:t>的把握市场热点及主题投资机会，历史业绩良好。</w:t>
            </w:r>
          </w:p>
        </w:tc>
      </w:tr>
      <w:tr w:rsidR="00004EBA" w:rsidTr="00735BBD">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004EBA" w:rsidRPr="009A36BC" w:rsidRDefault="00004EBA" w:rsidP="00735BBD">
            <w:pPr>
              <w:jc w:val="center"/>
              <w:rPr>
                <w:rFonts w:ascii="宋体" w:eastAsia="宋体" w:hAnsi="宋体"/>
                <w:b/>
                <w:szCs w:val="18"/>
              </w:rPr>
            </w:pPr>
            <w:proofErr w:type="gramStart"/>
            <w:r w:rsidRPr="009A36BC">
              <w:rPr>
                <w:rFonts w:ascii="宋体" w:eastAsia="宋体" w:hAnsi="宋体" w:hint="eastAsia"/>
                <w:b/>
                <w:szCs w:val="18"/>
              </w:rPr>
              <w:t>添富优势</w:t>
            </w:r>
            <w:proofErr w:type="gramEnd"/>
          </w:p>
        </w:tc>
        <w:tc>
          <w:tcPr>
            <w:tcW w:w="8730" w:type="dxa"/>
            <w:tcBorders>
              <w:top w:val="single" w:sz="6" w:space="0" w:color="D9D9D9"/>
              <w:left w:val="single" w:sz="6" w:space="0" w:color="D9D9D9"/>
              <w:bottom w:val="single" w:sz="6" w:space="0" w:color="D9D9D9"/>
            </w:tcBorders>
            <w:shd w:val="clear" w:color="auto" w:fill="auto"/>
            <w:vAlign w:val="center"/>
          </w:tcPr>
          <w:p w:rsidR="00004EBA" w:rsidRPr="009A36BC" w:rsidRDefault="00004EBA" w:rsidP="00735BBD">
            <w:pPr>
              <w:jc w:val="left"/>
              <w:rPr>
                <w:rFonts w:ascii="宋体" w:eastAsia="宋体" w:hAnsi="宋体"/>
                <w:szCs w:val="18"/>
              </w:rPr>
            </w:pPr>
            <w:r w:rsidRPr="009A36BC">
              <w:rPr>
                <w:rFonts w:ascii="宋体" w:eastAsia="宋体" w:hAnsi="宋体" w:hint="eastAsia"/>
                <w:szCs w:val="18"/>
              </w:rPr>
              <w:t>股票</w:t>
            </w:r>
            <w:proofErr w:type="gramStart"/>
            <w:r w:rsidRPr="009A36BC">
              <w:rPr>
                <w:rFonts w:ascii="宋体" w:eastAsia="宋体" w:hAnsi="宋体" w:hint="eastAsia"/>
                <w:szCs w:val="18"/>
              </w:rPr>
              <w:t>仓位</w:t>
            </w:r>
            <w:proofErr w:type="gramEnd"/>
            <w:r w:rsidRPr="009A36BC">
              <w:rPr>
                <w:rFonts w:ascii="宋体" w:eastAsia="宋体" w:hAnsi="宋体" w:hint="eastAsia"/>
                <w:szCs w:val="18"/>
              </w:rPr>
              <w:t>保持较高水平运作，对成长和价值的配置相对均衡。</w:t>
            </w:r>
          </w:p>
        </w:tc>
      </w:tr>
      <w:tr w:rsidR="00004EBA" w:rsidTr="00735BBD">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004EBA" w:rsidRPr="009A36BC" w:rsidRDefault="00004EBA" w:rsidP="00735BBD">
            <w:pPr>
              <w:jc w:val="center"/>
              <w:rPr>
                <w:rFonts w:ascii="宋体" w:eastAsia="宋体" w:hAnsi="宋体"/>
                <w:b/>
                <w:szCs w:val="18"/>
              </w:rPr>
            </w:pPr>
            <w:r w:rsidRPr="009A36BC">
              <w:rPr>
                <w:rFonts w:ascii="宋体" w:eastAsia="宋体" w:hAnsi="宋体" w:hint="eastAsia"/>
                <w:b/>
                <w:szCs w:val="18"/>
              </w:rPr>
              <w:t>兴</w:t>
            </w:r>
            <w:proofErr w:type="gramStart"/>
            <w:r w:rsidRPr="009A36BC">
              <w:rPr>
                <w:rFonts w:ascii="宋体" w:eastAsia="宋体" w:hAnsi="宋体" w:hint="eastAsia"/>
                <w:b/>
                <w:szCs w:val="18"/>
              </w:rPr>
              <w:t>全趋势</w:t>
            </w:r>
            <w:proofErr w:type="gramEnd"/>
          </w:p>
        </w:tc>
        <w:tc>
          <w:tcPr>
            <w:tcW w:w="8730" w:type="dxa"/>
            <w:tcBorders>
              <w:top w:val="single" w:sz="6" w:space="0" w:color="D9D9D9"/>
              <w:left w:val="single" w:sz="6" w:space="0" w:color="D9D9D9"/>
              <w:bottom w:val="single" w:sz="6" w:space="0" w:color="D9D9D9"/>
            </w:tcBorders>
            <w:shd w:val="clear" w:color="auto" w:fill="auto"/>
            <w:vAlign w:val="center"/>
          </w:tcPr>
          <w:p w:rsidR="00004EBA" w:rsidRPr="009A36BC" w:rsidRDefault="00004EBA" w:rsidP="00735BBD">
            <w:pPr>
              <w:jc w:val="left"/>
              <w:rPr>
                <w:rFonts w:ascii="宋体" w:eastAsia="宋体" w:hAnsi="宋体"/>
                <w:szCs w:val="18"/>
              </w:rPr>
            </w:pPr>
            <w:r w:rsidRPr="009A36BC">
              <w:rPr>
                <w:rFonts w:ascii="宋体" w:eastAsia="宋体" w:hAnsi="宋体" w:hint="eastAsia"/>
                <w:szCs w:val="18"/>
              </w:rPr>
              <w:t>操作上秉承公司整体顺势而为的特点，根据市场环境适当微调。蓝</w:t>
            </w:r>
            <w:proofErr w:type="gramStart"/>
            <w:r w:rsidRPr="009A36BC">
              <w:rPr>
                <w:rFonts w:ascii="宋体" w:eastAsia="宋体" w:hAnsi="宋体" w:hint="eastAsia"/>
                <w:szCs w:val="18"/>
              </w:rPr>
              <w:t>筹风格</w:t>
            </w:r>
            <w:proofErr w:type="gramEnd"/>
            <w:r w:rsidRPr="009A36BC">
              <w:rPr>
                <w:rFonts w:ascii="宋体" w:eastAsia="宋体" w:hAnsi="宋体" w:hint="eastAsia"/>
                <w:szCs w:val="18"/>
              </w:rPr>
              <w:t>比较明显，近年来随着实体经济增长逐渐放缓、周期行业的估值水平不断下移，基金组合结构也进行了一定调整，整体来看组合更加稳健。</w:t>
            </w:r>
          </w:p>
        </w:tc>
      </w:tr>
      <w:tr w:rsidR="00004EBA" w:rsidTr="00735BBD">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004EBA" w:rsidRPr="009A36BC" w:rsidRDefault="00004EBA" w:rsidP="00735BBD">
            <w:pPr>
              <w:jc w:val="center"/>
              <w:rPr>
                <w:rFonts w:ascii="宋体" w:eastAsia="宋体" w:hAnsi="宋体"/>
                <w:b/>
                <w:szCs w:val="18"/>
              </w:rPr>
            </w:pPr>
            <w:r>
              <w:rPr>
                <w:rFonts w:ascii="宋体" w:eastAsia="宋体" w:hAnsi="宋体" w:hint="eastAsia"/>
                <w:b/>
                <w:szCs w:val="18"/>
              </w:rPr>
              <w:t>易方达平稳增长</w:t>
            </w:r>
          </w:p>
        </w:tc>
        <w:tc>
          <w:tcPr>
            <w:tcW w:w="8730" w:type="dxa"/>
            <w:tcBorders>
              <w:top w:val="single" w:sz="6" w:space="0" w:color="D9D9D9"/>
              <w:left w:val="single" w:sz="6" w:space="0" w:color="D9D9D9"/>
              <w:bottom w:val="single" w:sz="6" w:space="0" w:color="D9D9D9"/>
            </w:tcBorders>
            <w:shd w:val="clear" w:color="auto" w:fill="auto"/>
            <w:vAlign w:val="center"/>
          </w:tcPr>
          <w:p w:rsidR="00004EBA" w:rsidRPr="009A36BC" w:rsidRDefault="00004EBA" w:rsidP="00735BBD">
            <w:pPr>
              <w:jc w:val="left"/>
              <w:rPr>
                <w:rFonts w:ascii="宋体" w:eastAsia="宋体" w:hAnsi="宋体"/>
                <w:szCs w:val="18"/>
              </w:rPr>
            </w:pPr>
            <w:r>
              <w:rPr>
                <w:rFonts w:ascii="宋体" w:eastAsia="宋体" w:hAnsi="宋体" w:hint="eastAsia"/>
                <w:szCs w:val="18"/>
              </w:rPr>
              <w:t>保守配置型基金，</w:t>
            </w:r>
            <w:r w:rsidRPr="00D32F2D">
              <w:rPr>
                <w:rFonts w:ascii="宋体" w:eastAsia="宋体" w:hAnsi="宋体" w:hint="eastAsia"/>
                <w:szCs w:val="18"/>
              </w:rPr>
              <w:t>股票资产</w:t>
            </w:r>
            <w:r>
              <w:rPr>
                <w:rFonts w:ascii="宋体" w:eastAsia="宋体" w:hAnsi="宋体" w:hint="eastAsia"/>
                <w:szCs w:val="18"/>
              </w:rPr>
              <w:t>占到基金组合的</w:t>
            </w:r>
            <w:r w:rsidRPr="00D32F2D">
              <w:rPr>
                <w:rFonts w:ascii="宋体" w:eastAsia="宋体" w:hAnsi="宋体" w:hint="eastAsia"/>
                <w:szCs w:val="18"/>
              </w:rPr>
              <w:t>30%－65%</w:t>
            </w:r>
            <w:r>
              <w:rPr>
                <w:rFonts w:ascii="宋体" w:eastAsia="宋体" w:hAnsi="宋体" w:hint="eastAsia"/>
                <w:szCs w:val="18"/>
              </w:rPr>
              <w:t>，历史业绩来看，具有良好的风险控制能力，呈现出较好的风险收益配比，比较适合震荡市场环境中投资。</w:t>
            </w:r>
          </w:p>
        </w:tc>
      </w:tr>
      <w:tr w:rsidR="00004EBA" w:rsidTr="00735BBD">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004EBA" w:rsidRPr="009A36BC" w:rsidRDefault="00004EBA" w:rsidP="00735BBD">
            <w:pPr>
              <w:jc w:val="center"/>
              <w:rPr>
                <w:rFonts w:ascii="宋体" w:eastAsia="宋体" w:hAnsi="宋体"/>
                <w:b/>
                <w:szCs w:val="18"/>
              </w:rPr>
            </w:pPr>
            <w:r w:rsidRPr="009A36BC">
              <w:rPr>
                <w:rFonts w:ascii="宋体" w:eastAsia="宋体" w:hAnsi="宋体" w:hint="eastAsia"/>
                <w:b/>
                <w:szCs w:val="18"/>
              </w:rPr>
              <w:t>银河稳健</w:t>
            </w:r>
          </w:p>
        </w:tc>
        <w:tc>
          <w:tcPr>
            <w:tcW w:w="8730" w:type="dxa"/>
            <w:tcBorders>
              <w:top w:val="single" w:sz="6" w:space="0" w:color="D9D9D9"/>
              <w:left w:val="single" w:sz="6" w:space="0" w:color="D9D9D9"/>
              <w:bottom w:val="single" w:sz="6" w:space="0" w:color="D9D9D9"/>
            </w:tcBorders>
            <w:shd w:val="clear" w:color="auto" w:fill="auto"/>
            <w:vAlign w:val="center"/>
          </w:tcPr>
          <w:p w:rsidR="00004EBA" w:rsidRPr="009A36BC" w:rsidRDefault="00004EBA" w:rsidP="00735BBD">
            <w:pPr>
              <w:jc w:val="left"/>
              <w:rPr>
                <w:rFonts w:ascii="宋体" w:eastAsia="宋体" w:hAnsi="宋体"/>
                <w:szCs w:val="18"/>
              </w:rPr>
            </w:pPr>
            <w:r w:rsidRPr="009A36BC">
              <w:rPr>
                <w:rFonts w:ascii="宋体" w:eastAsia="宋体" w:hAnsi="宋体" w:hint="eastAsia"/>
                <w:szCs w:val="18"/>
              </w:rPr>
              <w:t>配置均衡，攻守兼备，良好的风险控制使得基金业绩具有较好的持续性，擅长结构行情的把握。</w:t>
            </w:r>
          </w:p>
        </w:tc>
      </w:tr>
      <w:tr w:rsidR="00004EBA" w:rsidTr="00735BBD">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004EBA" w:rsidRPr="009A36BC" w:rsidRDefault="00004EBA" w:rsidP="00735BBD">
            <w:pPr>
              <w:jc w:val="center"/>
              <w:rPr>
                <w:rFonts w:ascii="宋体" w:eastAsia="宋体" w:hAnsi="宋体"/>
                <w:b/>
                <w:szCs w:val="18"/>
              </w:rPr>
            </w:pPr>
            <w:r>
              <w:rPr>
                <w:rFonts w:ascii="宋体" w:eastAsia="宋体" w:hAnsi="宋体" w:hint="eastAsia"/>
                <w:b/>
                <w:szCs w:val="18"/>
              </w:rPr>
              <w:t>银华和谐主题</w:t>
            </w:r>
          </w:p>
        </w:tc>
        <w:tc>
          <w:tcPr>
            <w:tcW w:w="8730" w:type="dxa"/>
            <w:tcBorders>
              <w:top w:val="single" w:sz="6" w:space="0" w:color="D9D9D9"/>
              <w:left w:val="single" w:sz="6" w:space="0" w:color="D9D9D9"/>
              <w:bottom w:val="single" w:sz="6" w:space="0" w:color="D9D9D9"/>
            </w:tcBorders>
            <w:shd w:val="clear" w:color="auto" w:fill="auto"/>
            <w:vAlign w:val="center"/>
          </w:tcPr>
          <w:p w:rsidR="00004EBA" w:rsidRPr="009A36BC" w:rsidRDefault="00004EBA" w:rsidP="00735BBD">
            <w:pPr>
              <w:jc w:val="left"/>
              <w:rPr>
                <w:rFonts w:ascii="宋体" w:eastAsia="宋体" w:hAnsi="宋体"/>
                <w:szCs w:val="18"/>
              </w:rPr>
            </w:pPr>
            <w:r>
              <w:rPr>
                <w:rFonts w:ascii="宋体" w:eastAsia="宋体" w:hAnsi="宋体" w:hint="eastAsia"/>
                <w:szCs w:val="18"/>
              </w:rPr>
              <w:t>组合配置相对均衡和分散，注重自下而上的选择，同时保持相对中性的股票</w:t>
            </w:r>
            <w:proofErr w:type="gramStart"/>
            <w:r>
              <w:rPr>
                <w:rFonts w:ascii="宋体" w:eastAsia="宋体" w:hAnsi="宋体" w:hint="eastAsia"/>
                <w:szCs w:val="18"/>
              </w:rPr>
              <w:t>仓位</w:t>
            </w:r>
            <w:proofErr w:type="gramEnd"/>
            <w:r>
              <w:rPr>
                <w:rFonts w:ascii="宋体" w:eastAsia="宋体" w:hAnsi="宋体" w:hint="eastAsia"/>
                <w:szCs w:val="18"/>
              </w:rPr>
              <w:t>，具有较好的风险收益配比。</w:t>
            </w:r>
          </w:p>
        </w:tc>
      </w:tr>
      <w:tr w:rsidR="00004EBA" w:rsidTr="00735BBD">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004EBA" w:rsidRPr="009A36BC" w:rsidRDefault="00004EBA" w:rsidP="00735BBD">
            <w:pPr>
              <w:jc w:val="center"/>
              <w:rPr>
                <w:rFonts w:ascii="宋体" w:eastAsia="宋体" w:hAnsi="宋体"/>
                <w:b/>
                <w:szCs w:val="18"/>
              </w:rPr>
            </w:pPr>
            <w:r>
              <w:rPr>
                <w:rFonts w:ascii="宋体" w:eastAsia="宋体" w:hAnsi="宋体" w:hint="eastAsia"/>
                <w:b/>
                <w:szCs w:val="18"/>
              </w:rPr>
              <w:t>长盛创新先锋</w:t>
            </w:r>
          </w:p>
        </w:tc>
        <w:tc>
          <w:tcPr>
            <w:tcW w:w="8730" w:type="dxa"/>
            <w:tcBorders>
              <w:top w:val="single" w:sz="6" w:space="0" w:color="D9D9D9"/>
              <w:left w:val="single" w:sz="6" w:space="0" w:color="D9D9D9"/>
              <w:bottom w:val="single" w:sz="6" w:space="0" w:color="D9D9D9"/>
            </w:tcBorders>
            <w:shd w:val="clear" w:color="auto" w:fill="auto"/>
            <w:vAlign w:val="center"/>
          </w:tcPr>
          <w:p w:rsidR="00004EBA" w:rsidRPr="009A36BC" w:rsidRDefault="00004EBA" w:rsidP="00735BBD">
            <w:pPr>
              <w:jc w:val="left"/>
              <w:rPr>
                <w:rFonts w:ascii="宋体" w:eastAsia="宋体" w:hAnsi="宋体"/>
                <w:szCs w:val="18"/>
              </w:rPr>
            </w:pPr>
            <w:r>
              <w:rPr>
                <w:rFonts w:ascii="宋体" w:eastAsia="宋体" w:hAnsi="宋体" w:hint="eastAsia"/>
                <w:szCs w:val="18"/>
              </w:rPr>
              <w:t>基金经理侧重成长风格投资，在TMT板块有突出的把握能力，且注重组合估值的合理控制，具有较好的风险收益配比。</w:t>
            </w:r>
          </w:p>
        </w:tc>
      </w:tr>
      <w:tr w:rsidR="00004EBA" w:rsidTr="00735BBD">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004EBA" w:rsidRPr="009A36BC" w:rsidRDefault="00004EBA" w:rsidP="00735BBD">
            <w:pPr>
              <w:jc w:val="center"/>
              <w:rPr>
                <w:rFonts w:ascii="宋体" w:eastAsia="宋体" w:hAnsi="宋体"/>
                <w:b/>
                <w:szCs w:val="18"/>
              </w:rPr>
            </w:pPr>
            <w:proofErr w:type="gramStart"/>
            <w:r>
              <w:rPr>
                <w:rFonts w:ascii="宋体" w:eastAsia="宋体" w:hAnsi="宋体" w:hint="eastAsia"/>
                <w:b/>
                <w:szCs w:val="18"/>
              </w:rPr>
              <w:t>浙商新</w:t>
            </w:r>
            <w:proofErr w:type="gramEnd"/>
            <w:r>
              <w:rPr>
                <w:rFonts w:ascii="宋体" w:eastAsia="宋体" w:hAnsi="宋体" w:hint="eastAsia"/>
                <w:b/>
                <w:szCs w:val="18"/>
              </w:rPr>
              <w:t>思维</w:t>
            </w:r>
          </w:p>
        </w:tc>
        <w:tc>
          <w:tcPr>
            <w:tcW w:w="8730" w:type="dxa"/>
            <w:tcBorders>
              <w:top w:val="single" w:sz="6" w:space="0" w:color="D9D9D9"/>
              <w:left w:val="single" w:sz="6" w:space="0" w:color="D9D9D9"/>
              <w:bottom w:val="single" w:sz="6" w:space="0" w:color="D9D9D9"/>
            </w:tcBorders>
            <w:shd w:val="clear" w:color="auto" w:fill="auto"/>
            <w:vAlign w:val="center"/>
          </w:tcPr>
          <w:p w:rsidR="00004EBA" w:rsidRPr="009A36BC" w:rsidRDefault="00004EBA" w:rsidP="00735BBD">
            <w:pPr>
              <w:jc w:val="left"/>
              <w:rPr>
                <w:rFonts w:ascii="宋体" w:eastAsia="宋体" w:hAnsi="宋体"/>
                <w:szCs w:val="18"/>
              </w:rPr>
            </w:pPr>
            <w:r w:rsidRPr="009A36BC">
              <w:rPr>
                <w:rFonts w:ascii="宋体" w:eastAsia="宋体" w:hAnsi="宋体" w:hint="eastAsia"/>
                <w:szCs w:val="18"/>
              </w:rPr>
              <w:t>作为混合型基金保持相对中性的股票</w:t>
            </w:r>
            <w:proofErr w:type="gramStart"/>
            <w:r w:rsidRPr="009A36BC">
              <w:rPr>
                <w:rFonts w:ascii="宋体" w:eastAsia="宋体" w:hAnsi="宋体" w:hint="eastAsia"/>
                <w:szCs w:val="18"/>
              </w:rPr>
              <w:t>仓位</w:t>
            </w:r>
            <w:proofErr w:type="gramEnd"/>
            <w:r w:rsidRPr="009A36BC">
              <w:rPr>
                <w:rFonts w:ascii="宋体" w:eastAsia="宋体" w:hAnsi="宋体" w:hint="eastAsia"/>
                <w:szCs w:val="18"/>
              </w:rPr>
              <w:t>，投资组合</w:t>
            </w:r>
            <w:r>
              <w:rPr>
                <w:rFonts w:ascii="宋体" w:eastAsia="宋体" w:hAnsi="宋体" w:hint="eastAsia"/>
                <w:szCs w:val="18"/>
              </w:rPr>
              <w:t>偏好</w:t>
            </w:r>
            <w:r w:rsidRPr="009A36BC">
              <w:rPr>
                <w:rFonts w:ascii="宋体" w:eastAsia="宋体" w:hAnsi="宋体" w:hint="eastAsia"/>
                <w:szCs w:val="18"/>
              </w:rPr>
              <w:t>成长性</w:t>
            </w:r>
            <w:r>
              <w:rPr>
                <w:rFonts w:ascii="宋体" w:eastAsia="宋体" w:hAnsi="宋体" w:hint="eastAsia"/>
                <w:szCs w:val="18"/>
              </w:rPr>
              <w:t>个股</w:t>
            </w:r>
            <w:r w:rsidRPr="009A36BC">
              <w:rPr>
                <w:rFonts w:ascii="宋体" w:eastAsia="宋体" w:hAnsi="宋体" w:hint="eastAsia"/>
                <w:szCs w:val="18"/>
              </w:rPr>
              <w:t>，具备较强的自下而上选股能力，</w:t>
            </w:r>
            <w:proofErr w:type="gramStart"/>
            <w:r>
              <w:rPr>
                <w:rFonts w:ascii="宋体" w:eastAsia="宋体" w:hAnsi="宋体" w:hint="eastAsia"/>
                <w:szCs w:val="18"/>
              </w:rPr>
              <w:t>且基金</w:t>
            </w:r>
            <w:proofErr w:type="gramEnd"/>
            <w:r>
              <w:rPr>
                <w:rFonts w:ascii="宋体" w:eastAsia="宋体" w:hAnsi="宋体" w:hint="eastAsia"/>
                <w:szCs w:val="18"/>
              </w:rPr>
              <w:t>操作的灵活度较高，持股周转率明显高于同业，在历史投资中取得了不错的效果</w:t>
            </w:r>
            <w:r w:rsidRPr="009A36BC">
              <w:rPr>
                <w:rFonts w:ascii="宋体" w:eastAsia="宋体" w:hAnsi="宋体" w:hint="eastAsia"/>
                <w:szCs w:val="18"/>
              </w:rPr>
              <w:t>。</w:t>
            </w:r>
          </w:p>
        </w:tc>
      </w:tr>
      <w:tr w:rsidR="00004EBA" w:rsidTr="00735BBD">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004EBA" w:rsidRPr="009A36BC" w:rsidRDefault="00004EBA" w:rsidP="00735BBD">
            <w:pPr>
              <w:jc w:val="center"/>
              <w:rPr>
                <w:rFonts w:ascii="宋体" w:eastAsia="宋体" w:hAnsi="宋体"/>
                <w:b/>
                <w:szCs w:val="18"/>
              </w:rPr>
            </w:pPr>
            <w:r>
              <w:rPr>
                <w:rFonts w:ascii="宋体" w:eastAsia="宋体" w:hAnsi="宋体" w:hint="eastAsia"/>
                <w:b/>
                <w:szCs w:val="18"/>
              </w:rPr>
              <w:t>中欧新蓝筹</w:t>
            </w:r>
          </w:p>
        </w:tc>
        <w:tc>
          <w:tcPr>
            <w:tcW w:w="8730" w:type="dxa"/>
            <w:tcBorders>
              <w:top w:val="single" w:sz="6" w:space="0" w:color="D9D9D9"/>
              <w:left w:val="single" w:sz="6" w:space="0" w:color="D9D9D9"/>
              <w:bottom w:val="single" w:sz="6" w:space="0" w:color="D9D9D9"/>
            </w:tcBorders>
            <w:shd w:val="clear" w:color="auto" w:fill="auto"/>
            <w:vAlign w:val="center"/>
          </w:tcPr>
          <w:p w:rsidR="00004EBA" w:rsidRPr="009A36BC" w:rsidRDefault="00004EBA" w:rsidP="00735BBD">
            <w:pPr>
              <w:jc w:val="left"/>
              <w:rPr>
                <w:rFonts w:ascii="宋体" w:eastAsia="宋体" w:hAnsi="宋体"/>
                <w:szCs w:val="18"/>
              </w:rPr>
            </w:pPr>
            <w:r>
              <w:rPr>
                <w:rFonts w:ascii="宋体" w:eastAsia="宋体" w:hAnsi="宋体" w:hint="eastAsia"/>
                <w:szCs w:val="18"/>
              </w:rPr>
              <w:t>基金经理风格稳健、注重控制风险，偏好新兴产业投资，在细分产业中寻找估值合理的成长性个股。</w:t>
            </w:r>
          </w:p>
        </w:tc>
      </w:tr>
      <w:tr w:rsidR="00004EBA" w:rsidTr="00735BBD">
        <w:trPr>
          <w:cantSplit/>
          <w:trHeight w:val="340"/>
          <w:jc w:val="center"/>
        </w:trPr>
        <w:tc>
          <w:tcPr>
            <w:tcW w:w="2042" w:type="dxa"/>
            <w:tcBorders>
              <w:top w:val="single" w:sz="6" w:space="0" w:color="D9D9D9"/>
              <w:bottom w:val="single" w:sz="6" w:space="0" w:color="00B0F0"/>
              <w:right w:val="single" w:sz="6" w:space="0" w:color="D9D9D9"/>
            </w:tcBorders>
            <w:shd w:val="clear" w:color="auto" w:fill="auto"/>
            <w:vAlign w:val="center"/>
          </w:tcPr>
          <w:p w:rsidR="00004EBA" w:rsidRPr="009A36BC" w:rsidRDefault="00004EBA" w:rsidP="00735BBD">
            <w:pPr>
              <w:jc w:val="center"/>
              <w:rPr>
                <w:rFonts w:ascii="宋体" w:eastAsia="宋体" w:hAnsi="宋体"/>
                <w:b/>
                <w:szCs w:val="18"/>
              </w:rPr>
            </w:pPr>
            <w:r w:rsidRPr="009A36BC">
              <w:rPr>
                <w:rFonts w:ascii="宋体" w:eastAsia="宋体" w:hAnsi="宋体" w:hint="eastAsia"/>
                <w:b/>
                <w:szCs w:val="18"/>
              </w:rPr>
              <w:t>中</w:t>
            </w:r>
            <w:proofErr w:type="gramStart"/>
            <w:r w:rsidRPr="009A36BC">
              <w:rPr>
                <w:rFonts w:ascii="宋体" w:eastAsia="宋体" w:hAnsi="宋体" w:hint="eastAsia"/>
                <w:b/>
                <w:szCs w:val="18"/>
              </w:rPr>
              <w:t>银收益</w:t>
            </w:r>
            <w:proofErr w:type="gramEnd"/>
          </w:p>
        </w:tc>
        <w:tc>
          <w:tcPr>
            <w:tcW w:w="8730" w:type="dxa"/>
            <w:tcBorders>
              <w:top w:val="single" w:sz="6" w:space="0" w:color="D9D9D9"/>
              <w:left w:val="single" w:sz="6" w:space="0" w:color="D9D9D9"/>
              <w:bottom w:val="single" w:sz="6" w:space="0" w:color="00B0F0"/>
            </w:tcBorders>
            <w:shd w:val="clear" w:color="auto" w:fill="auto"/>
            <w:vAlign w:val="center"/>
          </w:tcPr>
          <w:p w:rsidR="00004EBA" w:rsidRPr="009A36BC" w:rsidRDefault="00004EBA" w:rsidP="00735BBD">
            <w:pPr>
              <w:jc w:val="left"/>
              <w:rPr>
                <w:rFonts w:ascii="宋体" w:eastAsia="宋体" w:hAnsi="宋体"/>
                <w:szCs w:val="18"/>
              </w:rPr>
            </w:pPr>
            <w:r w:rsidRPr="009A36BC">
              <w:rPr>
                <w:rFonts w:ascii="宋体" w:eastAsia="宋体" w:hAnsi="宋体" w:hint="eastAsia"/>
                <w:szCs w:val="18"/>
              </w:rPr>
              <w:t>操作灵活，同时秉承中</w:t>
            </w:r>
            <w:proofErr w:type="gramStart"/>
            <w:r w:rsidRPr="009A36BC">
              <w:rPr>
                <w:rFonts w:ascii="宋体" w:eastAsia="宋体" w:hAnsi="宋体" w:hint="eastAsia"/>
                <w:szCs w:val="18"/>
              </w:rPr>
              <w:t>银基金</w:t>
            </w:r>
            <w:proofErr w:type="gramEnd"/>
            <w:r w:rsidRPr="009A36BC">
              <w:rPr>
                <w:rFonts w:ascii="宋体" w:eastAsia="宋体" w:hAnsi="宋体" w:hint="eastAsia"/>
                <w:szCs w:val="18"/>
              </w:rPr>
              <w:t>公司稳健、注重风险控制的特征。在投资上，该基金重视在目前震荡市中采取“攻守平衡”的板块配置，兼顾食品饮料、园林装饰等业绩较为确定的消费行业和成长性个股，以及周期类风格的搭配；在大类资产配置上，基金保持稳健。</w:t>
            </w:r>
          </w:p>
        </w:tc>
      </w:tr>
    </w:tbl>
    <w:p w:rsidR="00EE1CC3" w:rsidRDefault="00EE1CC3" w:rsidP="00EE1CC3">
      <w:pPr>
        <w:pStyle w:val="FootnoteNoline"/>
        <w:ind w:left="0"/>
      </w:pPr>
      <w:r>
        <w:rPr>
          <w:rFonts w:hint="eastAsia"/>
        </w:rPr>
        <w:t>来源：国金证券研究所</w:t>
      </w:r>
      <w:r>
        <w:rPr>
          <w:rFonts w:hint="eastAsia"/>
        </w:rPr>
        <w:t xml:space="preserve"> </w:t>
      </w:r>
    </w:p>
    <w:p w:rsidR="00EE1CC3" w:rsidRDefault="00EE1CC3" w:rsidP="00931FF0">
      <w:pPr>
        <w:pStyle w:val="a0"/>
        <w:numPr>
          <w:ilvl w:val="4"/>
          <w:numId w:val="3"/>
        </w:numPr>
        <w:spacing w:beforeLines="200" w:before="480" w:after="240"/>
        <w:rPr>
          <w:color w:val="auto"/>
        </w:rPr>
      </w:pPr>
      <w:r w:rsidRPr="00192B85">
        <w:rPr>
          <w:rFonts w:hint="eastAsia"/>
          <w:color w:val="auto"/>
        </w:rPr>
        <w:t>依据前面各部分</w:t>
      </w:r>
      <w:r>
        <w:rPr>
          <w:rFonts w:hint="eastAsia"/>
          <w:color w:val="auto"/>
        </w:rPr>
        <w:t>对相关市场以及各类产品投资操作策略分析，建立</w:t>
      </w:r>
      <w:r w:rsidRPr="00192B85">
        <w:rPr>
          <w:rFonts w:hint="eastAsia"/>
          <w:color w:val="auto"/>
        </w:rPr>
        <w:t>国金</w:t>
      </w:r>
      <w:r>
        <w:rPr>
          <w:rFonts w:hint="eastAsia"/>
          <w:color w:val="auto"/>
        </w:rPr>
        <w:t>20150</w:t>
      </w:r>
      <w:r w:rsidR="00116EEB">
        <w:rPr>
          <w:rFonts w:hint="eastAsia"/>
          <w:color w:val="auto"/>
        </w:rPr>
        <w:t>6</w:t>
      </w:r>
      <w:r w:rsidRPr="00192B85">
        <w:rPr>
          <w:rFonts w:hint="eastAsia"/>
          <w:color w:val="auto"/>
        </w:rPr>
        <w:t>期基金组合</w:t>
      </w:r>
      <w:r>
        <w:rPr>
          <w:rFonts w:hint="eastAsia"/>
          <w:color w:val="auto"/>
        </w:rPr>
        <w:t>如下，对于短期重点推荐的组合加</w:t>
      </w:r>
      <w:r w:rsidRPr="003B46D0">
        <w:rPr>
          <w:rFonts w:hint="eastAsia"/>
          <w:color w:val="auto"/>
        </w:rPr>
        <w:t>★</w:t>
      </w:r>
      <w:r>
        <w:rPr>
          <w:rFonts w:hint="eastAsia"/>
          <w:color w:val="auto"/>
        </w:rPr>
        <w:t>，同时</w:t>
      </w:r>
      <w:r w:rsidRPr="003B46D0">
        <w:rPr>
          <w:rFonts w:hint="eastAsia"/>
          <w:color w:val="auto"/>
        </w:rPr>
        <w:t>为了方便投资者在配置之外选择重点的品种，我们</w:t>
      </w:r>
      <w:r>
        <w:rPr>
          <w:rFonts w:hint="eastAsia"/>
          <w:color w:val="auto"/>
        </w:rPr>
        <w:t>在表中加</w:t>
      </w:r>
      <w:r w:rsidRPr="003B46D0">
        <w:rPr>
          <w:rFonts w:hint="eastAsia"/>
          <w:color w:val="auto"/>
        </w:rPr>
        <w:t>★</w:t>
      </w:r>
      <w:r>
        <w:rPr>
          <w:rFonts w:hint="eastAsia"/>
          <w:color w:val="auto"/>
        </w:rPr>
        <w:t>的基金</w:t>
      </w:r>
      <w:r w:rsidRPr="003B46D0">
        <w:rPr>
          <w:rFonts w:hint="eastAsia"/>
          <w:color w:val="auto"/>
        </w:rPr>
        <w:t>表示为</w:t>
      </w:r>
      <w:r>
        <w:rPr>
          <w:rFonts w:hint="eastAsia"/>
          <w:color w:val="auto"/>
        </w:rPr>
        <w:t>相对</w:t>
      </w:r>
      <w:r w:rsidRPr="003B46D0">
        <w:rPr>
          <w:rFonts w:hint="eastAsia"/>
          <w:color w:val="auto"/>
        </w:rPr>
        <w:t>看好的</w:t>
      </w:r>
      <w:r>
        <w:rPr>
          <w:rFonts w:hint="eastAsia"/>
          <w:color w:val="auto"/>
        </w:rPr>
        <w:t>品种。</w:t>
      </w:r>
    </w:p>
    <w:tbl>
      <w:tblPr>
        <w:tblpPr w:leftFromText="180" w:rightFromText="180" w:vertAnchor="text" w:tblpY="1"/>
        <w:tblOverlap w:val="never"/>
        <w:tblW w:w="10772" w:type="dxa"/>
        <w:tblLayout w:type="fixed"/>
        <w:tblCellMar>
          <w:left w:w="0" w:type="dxa"/>
          <w:right w:w="0" w:type="dxa"/>
        </w:tblCellMar>
        <w:tblLook w:val="0000" w:firstRow="0" w:lastRow="0" w:firstColumn="0" w:lastColumn="0" w:noHBand="0" w:noVBand="0"/>
      </w:tblPr>
      <w:tblGrid>
        <w:gridCol w:w="1134"/>
        <w:gridCol w:w="993"/>
        <w:gridCol w:w="1036"/>
        <w:gridCol w:w="1054"/>
        <w:gridCol w:w="1055"/>
        <w:gridCol w:w="227"/>
        <w:gridCol w:w="1164"/>
        <w:gridCol w:w="992"/>
        <w:gridCol w:w="1007"/>
        <w:gridCol w:w="1054"/>
        <w:gridCol w:w="1056"/>
      </w:tblGrid>
      <w:tr w:rsidR="00EE1CC3" w:rsidTr="00735BBD">
        <w:trPr>
          <w:cantSplit/>
          <w:trHeight w:val="200"/>
        </w:trPr>
        <w:tc>
          <w:tcPr>
            <w:tcW w:w="5272" w:type="dxa"/>
            <w:gridSpan w:val="5"/>
            <w:tcBorders>
              <w:top w:val="single" w:sz="4" w:space="0" w:color="00A0E9"/>
              <w:bottom w:val="single" w:sz="4" w:space="0" w:color="00A0E9"/>
            </w:tcBorders>
            <w:shd w:val="clear" w:color="auto" w:fill="auto"/>
          </w:tcPr>
          <w:p w:rsidR="00EE1CC3" w:rsidRDefault="00EE1CC3" w:rsidP="00B660C2">
            <w:pPr>
              <w:pStyle w:val="SubTitleLargeTable"/>
            </w:pPr>
            <w:r>
              <w:rPr>
                <w:rFonts w:hint="eastAsia"/>
              </w:rPr>
              <w:t>图表</w:t>
            </w:r>
            <w:r w:rsidR="00327CFE">
              <w:fldChar w:fldCharType="begin"/>
            </w:r>
            <w:r>
              <w:instrText xml:space="preserve"> </w:instrText>
            </w:r>
            <w:r>
              <w:rPr>
                <w:rFonts w:hint="eastAsia"/>
              </w:rPr>
              <w:instrText xml:space="preserve">SEQ </w:instrText>
            </w:r>
            <w:r>
              <w:rPr>
                <w:rFonts w:hint="eastAsia"/>
              </w:rPr>
              <w:instrText>图表</w:instrText>
            </w:r>
            <w:r>
              <w:rPr>
                <w:rFonts w:hint="eastAsia"/>
              </w:rPr>
              <w:instrText xml:space="preserve"> \* ARABIC</w:instrText>
            </w:r>
            <w:r>
              <w:instrText xml:space="preserve"> </w:instrText>
            </w:r>
            <w:r w:rsidR="00327CFE">
              <w:fldChar w:fldCharType="separate"/>
            </w:r>
            <w:r w:rsidR="00665430">
              <w:rPr>
                <w:noProof/>
              </w:rPr>
              <w:t>5</w:t>
            </w:r>
            <w:r w:rsidR="00327CFE">
              <w:fldChar w:fldCharType="end"/>
            </w:r>
            <w:r>
              <w:rPr>
                <w:rFonts w:hint="eastAsia"/>
              </w:rPr>
              <w:t>：</w:t>
            </w:r>
            <w:r>
              <w:rPr>
                <w:rFonts w:hint="eastAsia"/>
              </w:rPr>
              <w:t>150</w:t>
            </w:r>
            <w:r w:rsidR="00B660C2">
              <w:rPr>
                <w:rFonts w:hint="eastAsia"/>
              </w:rPr>
              <w:t>6</w:t>
            </w:r>
            <w:r>
              <w:rPr>
                <w:rFonts w:hint="eastAsia"/>
              </w:rPr>
              <w:t>期进攻型组合</w:t>
            </w:r>
          </w:p>
        </w:tc>
        <w:tc>
          <w:tcPr>
            <w:tcW w:w="227" w:type="dxa"/>
          </w:tcPr>
          <w:p w:rsidR="00EE1CC3" w:rsidRPr="00816267" w:rsidRDefault="00EE1CC3" w:rsidP="00735BBD">
            <w:pPr>
              <w:pStyle w:val="a0"/>
              <w:spacing w:after="0" w:line="10" w:lineRule="atLeast"/>
              <w:ind w:left="0"/>
              <w:jc w:val="center"/>
              <w:rPr>
                <w:rFonts w:cs="Arial"/>
                <w:color w:val="auto"/>
              </w:rPr>
            </w:pPr>
          </w:p>
        </w:tc>
        <w:tc>
          <w:tcPr>
            <w:tcW w:w="5273" w:type="dxa"/>
            <w:gridSpan w:val="5"/>
            <w:tcBorders>
              <w:top w:val="single" w:sz="4" w:space="0" w:color="00A0E9"/>
              <w:bottom w:val="single" w:sz="4" w:space="0" w:color="00A0E9"/>
            </w:tcBorders>
            <w:shd w:val="clear" w:color="auto" w:fill="auto"/>
          </w:tcPr>
          <w:p w:rsidR="00EE1CC3" w:rsidRDefault="00EE1CC3" w:rsidP="00B660C2">
            <w:pPr>
              <w:pStyle w:val="SubTitleLargeTable"/>
            </w:pPr>
            <w:r>
              <w:rPr>
                <w:rFonts w:hint="eastAsia"/>
              </w:rPr>
              <w:t>图表</w:t>
            </w:r>
            <w:r w:rsidR="00327CFE">
              <w:fldChar w:fldCharType="begin"/>
            </w:r>
            <w:r>
              <w:instrText xml:space="preserve"> </w:instrText>
            </w:r>
            <w:r>
              <w:rPr>
                <w:rFonts w:hint="eastAsia"/>
              </w:rPr>
              <w:instrText xml:space="preserve">SEQ </w:instrText>
            </w:r>
            <w:r>
              <w:rPr>
                <w:rFonts w:hint="eastAsia"/>
              </w:rPr>
              <w:instrText>图表</w:instrText>
            </w:r>
            <w:r>
              <w:rPr>
                <w:rFonts w:hint="eastAsia"/>
              </w:rPr>
              <w:instrText xml:space="preserve"> \* ARABIC</w:instrText>
            </w:r>
            <w:r>
              <w:instrText xml:space="preserve"> </w:instrText>
            </w:r>
            <w:r w:rsidR="00327CFE">
              <w:fldChar w:fldCharType="separate"/>
            </w:r>
            <w:r w:rsidR="00665430">
              <w:rPr>
                <w:noProof/>
              </w:rPr>
              <w:t>6</w:t>
            </w:r>
            <w:r w:rsidR="00327CFE">
              <w:fldChar w:fldCharType="end"/>
            </w:r>
            <w:r>
              <w:rPr>
                <w:rFonts w:hint="eastAsia"/>
              </w:rPr>
              <w:t>：</w:t>
            </w:r>
            <w:r>
              <w:rPr>
                <w:rFonts w:hint="eastAsia"/>
              </w:rPr>
              <w:t>150</w:t>
            </w:r>
            <w:r w:rsidR="00B660C2">
              <w:rPr>
                <w:rFonts w:hint="eastAsia"/>
              </w:rPr>
              <w:t>6</w:t>
            </w:r>
            <w:r>
              <w:rPr>
                <w:rFonts w:hint="eastAsia"/>
              </w:rPr>
              <w:t>期防御型组合</w:t>
            </w:r>
            <w:r w:rsidR="00AB7114" w:rsidRPr="003B46D0">
              <w:rPr>
                <w:rFonts w:hint="eastAsia"/>
              </w:rPr>
              <w:t>★</w:t>
            </w:r>
          </w:p>
        </w:tc>
      </w:tr>
      <w:tr w:rsidR="00EE1CC3" w:rsidRPr="001961D3" w:rsidTr="00735BBD">
        <w:trPr>
          <w:cantSplit/>
          <w:trHeight w:val="340"/>
        </w:trPr>
        <w:tc>
          <w:tcPr>
            <w:tcW w:w="1134" w:type="dxa"/>
            <w:tcBorders>
              <w:top w:val="single" w:sz="4" w:space="0" w:color="00A0E9"/>
              <w:bottom w:val="single" w:sz="4" w:space="0" w:color="00A0E9"/>
            </w:tcBorders>
            <w:shd w:val="clear" w:color="auto" w:fill="auto"/>
            <w:vAlign w:val="center"/>
          </w:tcPr>
          <w:p w:rsidR="00EE1CC3" w:rsidRPr="004922F9" w:rsidRDefault="00EE1CC3" w:rsidP="00735BBD">
            <w:pPr>
              <w:jc w:val="center"/>
              <w:rPr>
                <w:rFonts w:ascii="宋体" w:eastAsia="宋体" w:hAnsi="宋体"/>
                <w:b/>
                <w:szCs w:val="18"/>
              </w:rPr>
            </w:pPr>
            <w:r w:rsidRPr="004922F9">
              <w:rPr>
                <w:rFonts w:ascii="宋体" w:eastAsia="宋体" w:hAnsi="宋体" w:hint="eastAsia"/>
                <w:b/>
                <w:szCs w:val="18"/>
              </w:rPr>
              <w:t>基金名称</w:t>
            </w:r>
          </w:p>
        </w:tc>
        <w:tc>
          <w:tcPr>
            <w:tcW w:w="993" w:type="dxa"/>
            <w:tcBorders>
              <w:top w:val="single" w:sz="4" w:space="0" w:color="00A0E9"/>
              <w:bottom w:val="single" w:sz="4" w:space="0" w:color="00A0E9"/>
            </w:tcBorders>
            <w:shd w:val="clear" w:color="auto" w:fill="auto"/>
            <w:vAlign w:val="center"/>
          </w:tcPr>
          <w:p w:rsidR="00EE1CC3" w:rsidRPr="004922F9" w:rsidRDefault="00EE1CC3" w:rsidP="00735BBD">
            <w:pPr>
              <w:jc w:val="center"/>
              <w:rPr>
                <w:rFonts w:ascii="宋体" w:eastAsia="宋体" w:hAnsi="宋体"/>
                <w:b/>
                <w:szCs w:val="18"/>
              </w:rPr>
            </w:pPr>
            <w:r>
              <w:rPr>
                <w:rFonts w:ascii="宋体" w:eastAsia="宋体" w:hAnsi="宋体" w:hint="eastAsia"/>
                <w:b/>
                <w:szCs w:val="18"/>
              </w:rPr>
              <w:t>基金</w:t>
            </w:r>
            <w:r w:rsidRPr="004922F9">
              <w:rPr>
                <w:rFonts w:ascii="宋体" w:eastAsia="宋体" w:hAnsi="宋体" w:hint="eastAsia"/>
                <w:b/>
                <w:szCs w:val="18"/>
              </w:rPr>
              <w:t>类型</w:t>
            </w:r>
          </w:p>
        </w:tc>
        <w:tc>
          <w:tcPr>
            <w:tcW w:w="1036" w:type="dxa"/>
            <w:tcBorders>
              <w:top w:val="single" w:sz="4" w:space="0" w:color="00A0E9"/>
              <w:bottom w:val="single" w:sz="4" w:space="0" w:color="00A0E9"/>
            </w:tcBorders>
            <w:shd w:val="clear" w:color="auto" w:fill="auto"/>
            <w:vAlign w:val="center"/>
          </w:tcPr>
          <w:p w:rsidR="00EE1CC3" w:rsidRPr="004922F9" w:rsidRDefault="00EE1CC3" w:rsidP="00735BBD">
            <w:pPr>
              <w:jc w:val="center"/>
              <w:rPr>
                <w:rFonts w:ascii="宋体" w:eastAsia="宋体" w:hAnsi="宋体"/>
                <w:b/>
                <w:szCs w:val="18"/>
              </w:rPr>
            </w:pPr>
            <w:r w:rsidRPr="004922F9">
              <w:rPr>
                <w:rFonts w:ascii="宋体" w:eastAsia="宋体" w:hAnsi="宋体" w:hint="eastAsia"/>
                <w:b/>
                <w:szCs w:val="18"/>
              </w:rPr>
              <w:t>基金经理</w:t>
            </w:r>
          </w:p>
        </w:tc>
        <w:tc>
          <w:tcPr>
            <w:tcW w:w="1054" w:type="dxa"/>
            <w:tcBorders>
              <w:top w:val="single" w:sz="4" w:space="0" w:color="00A0E9"/>
              <w:bottom w:val="single" w:sz="4" w:space="0" w:color="00A0E9"/>
            </w:tcBorders>
            <w:shd w:val="clear" w:color="auto" w:fill="auto"/>
            <w:vAlign w:val="center"/>
          </w:tcPr>
          <w:p w:rsidR="00EE1CC3" w:rsidRPr="004922F9" w:rsidRDefault="00EE1CC3" w:rsidP="00735BBD">
            <w:pPr>
              <w:jc w:val="center"/>
              <w:rPr>
                <w:rFonts w:ascii="宋体" w:eastAsia="宋体" w:hAnsi="宋体"/>
                <w:b/>
                <w:szCs w:val="18"/>
              </w:rPr>
            </w:pPr>
            <w:r w:rsidRPr="004922F9">
              <w:rPr>
                <w:rFonts w:ascii="宋体" w:eastAsia="宋体" w:hAnsi="宋体" w:hint="eastAsia"/>
                <w:b/>
                <w:szCs w:val="18"/>
              </w:rPr>
              <w:t>基金公司</w:t>
            </w:r>
          </w:p>
        </w:tc>
        <w:tc>
          <w:tcPr>
            <w:tcW w:w="1055" w:type="dxa"/>
            <w:tcBorders>
              <w:top w:val="single" w:sz="4" w:space="0" w:color="00A0E9"/>
              <w:bottom w:val="single" w:sz="4" w:space="0" w:color="00A0E9"/>
            </w:tcBorders>
            <w:shd w:val="clear" w:color="auto" w:fill="auto"/>
            <w:vAlign w:val="center"/>
          </w:tcPr>
          <w:p w:rsidR="00EE1CC3" w:rsidRPr="004922F9" w:rsidRDefault="00EE1CC3" w:rsidP="00735BBD">
            <w:pPr>
              <w:jc w:val="center"/>
              <w:rPr>
                <w:rFonts w:ascii="宋体" w:eastAsia="宋体" w:hAnsi="宋体"/>
                <w:b/>
                <w:szCs w:val="18"/>
              </w:rPr>
            </w:pPr>
            <w:r w:rsidRPr="004922F9">
              <w:rPr>
                <w:rFonts w:ascii="宋体" w:eastAsia="宋体" w:hAnsi="宋体" w:hint="eastAsia"/>
                <w:b/>
                <w:szCs w:val="18"/>
              </w:rPr>
              <w:t>投资权重</w:t>
            </w:r>
          </w:p>
        </w:tc>
        <w:tc>
          <w:tcPr>
            <w:tcW w:w="227" w:type="dxa"/>
            <w:vMerge w:val="restart"/>
            <w:vAlign w:val="center"/>
          </w:tcPr>
          <w:p w:rsidR="00EE1CC3" w:rsidRPr="001961D3" w:rsidRDefault="00EE1CC3" w:rsidP="00735BBD">
            <w:pPr>
              <w:jc w:val="center"/>
            </w:pPr>
          </w:p>
        </w:tc>
        <w:tc>
          <w:tcPr>
            <w:tcW w:w="1164" w:type="dxa"/>
            <w:tcBorders>
              <w:top w:val="single" w:sz="4" w:space="0" w:color="00A0E9"/>
              <w:bottom w:val="single" w:sz="4" w:space="0" w:color="00A0E9"/>
            </w:tcBorders>
            <w:shd w:val="clear" w:color="auto" w:fill="auto"/>
            <w:vAlign w:val="center"/>
          </w:tcPr>
          <w:p w:rsidR="00EE1CC3" w:rsidRPr="004922F9" w:rsidRDefault="00EE1CC3" w:rsidP="00735BBD">
            <w:pPr>
              <w:jc w:val="center"/>
              <w:rPr>
                <w:rFonts w:ascii="宋体" w:eastAsia="宋体" w:hAnsi="宋体"/>
                <w:b/>
                <w:szCs w:val="18"/>
              </w:rPr>
            </w:pPr>
            <w:r w:rsidRPr="004922F9">
              <w:rPr>
                <w:rFonts w:ascii="宋体" w:eastAsia="宋体" w:hAnsi="宋体" w:hint="eastAsia"/>
                <w:b/>
                <w:szCs w:val="18"/>
              </w:rPr>
              <w:t>基金名称</w:t>
            </w:r>
          </w:p>
        </w:tc>
        <w:tc>
          <w:tcPr>
            <w:tcW w:w="992" w:type="dxa"/>
            <w:tcBorders>
              <w:top w:val="single" w:sz="4" w:space="0" w:color="00A0E9"/>
              <w:bottom w:val="single" w:sz="4" w:space="0" w:color="00A0E9"/>
            </w:tcBorders>
            <w:shd w:val="clear" w:color="auto" w:fill="auto"/>
            <w:vAlign w:val="center"/>
          </w:tcPr>
          <w:p w:rsidR="00EE1CC3" w:rsidRPr="004922F9" w:rsidRDefault="00EE1CC3" w:rsidP="00735BBD">
            <w:pPr>
              <w:jc w:val="center"/>
              <w:rPr>
                <w:rFonts w:ascii="宋体" w:eastAsia="宋体" w:hAnsi="宋体"/>
                <w:b/>
                <w:szCs w:val="18"/>
              </w:rPr>
            </w:pPr>
            <w:r>
              <w:rPr>
                <w:rFonts w:ascii="宋体" w:eastAsia="宋体" w:hAnsi="宋体" w:hint="eastAsia"/>
                <w:b/>
                <w:szCs w:val="18"/>
              </w:rPr>
              <w:t>基金</w:t>
            </w:r>
            <w:r w:rsidRPr="004922F9">
              <w:rPr>
                <w:rFonts w:ascii="宋体" w:eastAsia="宋体" w:hAnsi="宋体" w:hint="eastAsia"/>
                <w:b/>
                <w:szCs w:val="18"/>
              </w:rPr>
              <w:t>类型</w:t>
            </w:r>
          </w:p>
        </w:tc>
        <w:tc>
          <w:tcPr>
            <w:tcW w:w="1007" w:type="dxa"/>
            <w:tcBorders>
              <w:top w:val="single" w:sz="4" w:space="0" w:color="00A0E9"/>
              <w:bottom w:val="single" w:sz="4" w:space="0" w:color="00A0E9"/>
            </w:tcBorders>
            <w:shd w:val="clear" w:color="auto" w:fill="auto"/>
            <w:vAlign w:val="center"/>
          </w:tcPr>
          <w:p w:rsidR="00EE1CC3" w:rsidRPr="004922F9" w:rsidRDefault="00EE1CC3" w:rsidP="00735BBD">
            <w:pPr>
              <w:jc w:val="center"/>
              <w:rPr>
                <w:rFonts w:ascii="宋体" w:eastAsia="宋体" w:hAnsi="宋体"/>
                <w:b/>
                <w:szCs w:val="18"/>
              </w:rPr>
            </w:pPr>
            <w:r w:rsidRPr="004922F9">
              <w:rPr>
                <w:rFonts w:ascii="宋体" w:eastAsia="宋体" w:hAnsi="宋体" w:hint="eastAsia"/>
                <w:b/>
                <w:szCs w:val="18"/>
              </w:rPr>
              <w:t>基金经理</w:t>
            </w:r>
          </w:p>
        </w:tc>
        <w:tc>
          <w:tcPr>
            <w:tcW w:w="1054" w:type="dxa"/>
            <w:tcBorders>
              <w:top w:val="single" w:sz="4" w:space="0" w:color="00A0E9"/>
              <w:bottom w:val="single" w:sz="4" w:space="0" w:color="00A0E9"/>
            </w:tcBorders>
            <w:shd w:val="clear" w:color="auto" w:fill="auto"/>
            <w:vAlign w:val="center"/>
          </w:tcPr>
          <w:p w:rsidR="00EE1CC3" w:rsidRPr="004922F9" w:rsidRDefault="00EE1CC3" w:rsidP="00735BBD">
            <w:pPr>
              <w:jc w:val="center"/>
              <w:rPr>
                <w:rFonts w:ascii="宋体" w:eastAsia="宋体" w:hAnsi="宋体"/>
                <w:b/>
                <w:szCs w:val="18"/>
              </w:rPr>
            </w:pPr>
            <w:r w:rsidRPr="004922F9">
              <w:rPr>
                <w:rFonts w:ascii="宋体" w:eastAsia="宋体" w:hAnsi="宋体" w:hint="eastAsia"/>
                <w:b/>
                <w:szCs w:val="18"/>
              </w:rPr>
              <w:t>基金公司</w:t>
            </w:r>
          </w:p>
        </w:tc>
        <w:tc>
          <w:tcPr>
            <w:tcW w:w="1056" w:type="dxa"/>
            <w:tcBorders>
              <w:top w:val="single" w:sz="4" w:space="0" w:color="00A0E9"/>
              <w:bottom w:val="single" w:sz="4" w:space="0" w:color="00A0E9"/>
            </w:tcBorders>
            <w:shd w:val="clear" w:color="auto" w:fill="auto"/>
            <w:vAlign w:val="center"/>
          </w:tcPr>
          <w:p w:rsidR="00EE1CC3" w:rsidRPr="004922F9" w:rsidRDefault="00EE1CC3" w:rsidP="00735BBD">
            <w:pPr>
              <w:jc w:val="center"/>
              <w:rPr>
                <w:rFonts w:ascii="宋体" w:eastAsia="宋体" w:hAnsi="宋体"/>
                <w:b/>
                <w:szCs w:val="18"/>
              </w:rPr>
            </w:pPr>
            <w:r w:rsidRPr="004922F9">
              <w:rPr>
                <w:rFonts w:ascii="宋体" w:eastAsia="宋体" w:hAnsi="宋体" w:hint="eastAsia"/>
                <w:b/>
                <w:szCs w:val="18"/>
              </w:rPr>
              <w:t>投资权重</w:t>
            </w:r>
          </w:p>
        </w:tc>
      </w:tr>
      <w:tr w:rsidR="00EE1CC3" w:rsidRPr="001961D3" w:rsidTr="00735BBD">
        <w:trPr>
          <w:cantSplit/>
          <w:trHeight w:val="340"/>
        </w:trPr>
        <w:tc>
          <w:tcPr>
            <w:tcW w:w="1134" w:type="dxa"/>
            <w:tcBorders>
              <w:top w:val="single" w:sz="4" w:space="0" w:color="00A0E9"/>
              <w:bottom w:val="single" w:sz="4" w:space="0" w:color="00A0E9"/>
            </w:tcBorders>
            <w:shd w:val="clear" w:color="auto" w:fill="auto"/>
            <w:vAlign w:val="center"/>
          </w:tcPr>
          <w:p w:rsidR="00EE1CC3" w:rsidRPr="00CE2F1A" w:rsidRDefault="00EE1CC3" w:rsidP="00735BBD">
            <w:pPr>
              <w:jc w:val="center"/>
              <w:rPr>
                <w:rFonts w:ascii="宋体" w:eastAsia="宋体" w:hAnsi="宋体"/>
                <w:b/>
                <w:szCs w:val="18"/>
              </w:rPr>
            </w:pPr>
            <w:r w:rsidRPr="00CE2F1A">
              <w:rPr>
                <w:rFonts w:ascii="宋体" w:eastAsia="宋体" w:hAnsi="宋体" w:hint="eastAsia"/>
                <w:b/>
                <w:szCs w:val="18"/>
              </w:rPr>
              <w:t>光大配置</w:t>
            </w:r>
          </w:p>
        </w:tc>
        <w:tc>
          <w:tcPr>
            <w:tcW w:w="993" w:type="dxa"/>
            <w:tcBorders>
              <w:top w:val="single" w:sz="4" w:space="0" w:color="00A0E9"/>
              <w:bottom w:val="single" w:sz="4" w:space="0" w:color="00A0E9"/>
            </w:tcBorders>
            <w:shd w:val="clear" w:color="auto" w:fill="auto"/>
            <w:vAlign w:val="center"/>
          </w:tcPr>
          <w:p w:rsidR="00EE1CC3" w:rsidRPr="00CE2F1A" w:rsidRDefault="00EE1CC3" w:rsidP="00735BBD">
            <w:pPr>
              <w:jc w:val="center"/>
              <w:rPr>
                <w:rFonts w:ascii="宋体" w:eastAsia="宋体" w:hAnsi="宋体"/>
                <w:szCs w:val="18"/>
              </w:rPr>
            </w:pPr>
            <w:r w:rsidRPr="00CE2F1A">
              <w:rPr>
                <w:rFonts w:ascii="宋体" w:eastAsia="宋体" w:hAnsi="宋体" w:hint="eastAsia"/>
                <w:szCs w:val="18"/>
              </w:rPr>
              <w:t>混合-灵活配置型</w:t>
            </w:r>
          </w:p>
        </w:tc>
        <w:tc>
          <w:tcPr>
            <w:tcW w:w="1036" w:type="dxa"/>
            <w:tcBorders>
              <w:top w:val="single" w:sz="4" w:space="0" w:color="00A0E9"/>
              <w:bottom w:val="single" w:sz="4" w:space="0" w:color="00A0E9"/>
            </w:tcBorders>
            <w:shd w:val="clear" w:color="auto" w:fill="auto"/>
            <w:vAlign w:val="center"/>
          </w:tcPr>
          <w:p w:rsidR="00EE1CC3" w:rsidRDefault="00EE1CC3" w:rsidP="00735BBD">
            <w:pPr>
              <w:jc w:val="center"/>
              <w:rPr>
                <w:rFonts w:ascii="宋体" w:eastAsia="宋体" w:hAnsi="宋体"/>
                <w:szCs w:val="18"/>
              </w:rPr>
            </w:pPr>
            <w:r>
              <w:rPr>
                <w:rFonts w:ascii="宋体" w:eastAsia="宋体" w:hAnsi="宋体" w:hint="eastAsia"/>
                <w:szCs w:val="18"/>
              </w:rPr>
              <w:t>王健</w:t>
            </w:r>
          </w:p>
        </w:tc>
        <w:tc>
          <w:tcPr>
            <w:tcW w:w="1054" w:type="dxa"/>
            <w:tcBorders>
              <w:top w:val="single" w:sz="4" w:space="0" w:color="00A0E9"/>
              <w:bottom w:val="single" w:sz="4" w:space="0" w:color="00A0E9"/>
            </w:tcBorders>
            <w:shd w:val="clear" w:color="auto" w:fill="auto"/>
            <w:vAlign w:val="center"/>
          </w:tcPr>
          <w:p w:rsidR="00EE1CC3" w:rsidRDefault="00EE1CC3" w:rsidP="00735BBD">
            <w:pPr>
              <w:jc w:val="center"/>
              <w:rPr>
                <w:rFonts w:ascii="宋体" w:eastAsia="宋体" w:hAnsi="宋体"/>
                <w:szCs w:val="18"/>
              </w:rPr>
            </w:pPr>
            <w:r>
              <w:rPr>
                <w:rFonts w:ascii="宋体" w:eastAsia="宋体" w:hAnsi="宋体" w:hint="eastAsia"/>
                <w:szCs w:val="18"/>
              </w:rPr>
              <w:t>光大</w:t>
            </w:r>
          </w:p>
        </w:tc>
        <w:tc>
          <w:tcPr>
            <w:tcW w:w="1055" w:type="dxa"/>
            <w:tcBorders>
              <w:top w:val="single" w:sz="4" w:space="0" w:color="00A0E9"/>
              <w:bottom w:val="single" w:sz="4" w:space="0" w:color="00A0E9"/>
            </w:tcBorders>
            <w:shd w:val="clear" w:color="auto" w:fill="auto"/>
            <w:vAlign w:val="center"/>
          </w:tcPr>
          <w:p w:rsidR="00EE1CC3" w:rsidRPr="008372A8" w:rsidRDefault="00EE1CC3" w:rsidP="00735BBD">
            <w:pPr>
              <w:jc w:val="center"/>
              <w:rPr>
                <w:rFonts w:ascii="宋体" w:eastAsia="宋体" w:hAnsi="宋体"/>
                <w:szCs w:val="18"/>
              </w:rPr>
            </w:pPr>
            <w:r w:rsidRPr="008372A8">
              <w:rPr>
                <w:rFonts w:ascii="宋体" w:eastAsia="宋体" w:hAnsi="宋体" w:hint="eastAsia"/>
                <w:szCs w:val="18"/>
              </w:rPr>
              <w:t>20%</w:t>
            </w:r>
          </w:p>
        </w:tc>
        <w:tc>
          <w:tcPr>
            <w:tcW w:w="227" w:type="dxa"/>
            <w:vMerge/>
            <w:vAlign w:val="center"/>
          </w:tcPr>
          <w:p w:rsidR="00EE1CC3" w:rsidRPr="00ED22EB" w:rsidRDefault="00EE1CC3" w:rsidP="00735BBD">
            <w:pPr>
              <w:jc w:val="center"/>
              <w:rPr>
                <w:rFonts w:ascii="宋体" w:eastAsia="宋体" w:hAnsi="宋体"/>
                <w:szCs w:val="18"/>
              </w:rPr>
            </w:pPr>
          </w:p>
        </w:tc>
        <w:tc>
          <w:tcPr>
            <w:tcW w:w="1164" w:type="dxa"/>
            <w:tcBorders>
              <w:top w:val="single" w:sz="4" w:space="0" w:color="00A0E9"/>
              <w:bottom w:val="single" w:sz="4" w:space="0" w:color="00A0E9"/>
            </w:tcBorders>
            <w:shd w:val="clear" w:color="auto" w:fill="auto"/>
            <w:vAlign w:val="center"/>
          </w:tcPr>
          <w:p w:rsidR="00EE1CC3" w:rsidRPr="006E06FA" w:rsidRDefault="00EE1CC3" w:rsidP="00735BBD">
            <w:pPr>
              <w:jc w:val="center"/>
              <w:rPr>
                <w:rFonts w:ascii="宋体" w:eastAsia="宋体" w:hAnsi="宋体"/>
                <w:b/>
                <w:szCs w:val="18"/>
              </w:rPr>
            </w:pPr>
            <w:r>
              <w:rPr>
                <w:rFonts w:ascii="宋体" w:eastAsia="宋体" w:hAnsi="宋体" w:hint="eastAsia"/>
                <w:b/>
                <w:szCs w:val="18"/>
              </w:rPr>
              <w:t>华安逆向</w:t>
            </w:r>
          </w:p>
        </w:tc>
        <w:tc>
          <w:tcPr>
            <w:tcW w:w="992" w:type="dxa"/>
            <w:tcBorders>
              <w:top w:val="single" w:sz="4" w:space="0" w:color="00A0E9"/>
              <w:bottom w:val="single" w:sz="4" w:space="0" w:color="00A0E9"/>
            </w:tcBorders>
            <w:shd w:val="clear" w:color="auto" w:fill="auto"/>
            <w:vAlign w:val="center"/>
          </w:tcPr>
          <w:p w:rsidR="00EE1CC3" w:rsidRPr="00C23493" w:rsidRDefault="00EE1CC3" w:rsidP="00735BBD">
            <w:pPr>
              <w:jc w:val="center"/>
              <w:rPr>
                <w:rFonts w:ascii="宋体" w:eastAsia="宋体" w:hAnsi="宋体"/>
                <w:szCs w:val="18"/>
              </w:rPr>
            </w:pPr>
            <w:r w:rsidRPr="00C23493">
              <w:rPr>
                <w:rFonts w:ascii="宋体" w:eastAsia="宋体" w:hAnsi="宋体" w:hint="eastAsia"/>
                <w:szCs w:val="18"/>
              </w:rPr>
              <w:t>股票型</w:t>
            </w:r>
          </w:p>
        </w:tc>
        <w:tc>
          <w:tcPr>
            <w:tcW w:w="1007" w:type="dxa"/>
            <w:tcBorders>
              <w:top w:val="single" w:sz="4" w:space="0" w:color="00A0E9"/>
              <w:bottom w:val="single" w:sz="4" w:space="0" w:color="00A0E9"/>
            </w:tcBorders>
            <w:shd w:val="clear" w:color="auto" w:fill="auto"/>
            <w:vAlign w:val="center"/>
          </w:tcPr>
          <w:p w:rsidR="00EE1CC3" w:rsidRPr="008372A8" w:rsidRDefault="00EE1CC3" w:rsidP="00735BBD">
            <w:pPr>
              <w:jc w:val="center"/>
              <w:rPr>
                <w:rFonts w:ascii="宋体" w:eastAsia="宋体" w:hAnsi="宋体"/>
                <w:szCs w:val="18"/>
              </w:rPr>
            </w:pPr>
            <w:proofErr w:type="gramStart"/>
            <w:r>
              <w:rPr>
                <w:rFonts w:ascii="宋体" w:eastAsia="宋体" w:hAnsi="宋体" w:hint="eastAsia"/>
                <w:szCs w:val="18"/>
              </w:rPr>
              <w:t>陆从珍</w:t>
            </w:r>
            <w:proofErr w:type="gramEnd"/>
          </w:p>
        </w:tc>
        <w:tc>
          <w:tcPr>
            <w:tcW w:w="1054" w:type="dxa"/>
            <w:tcBorders>
              <w:top w:val="single" w:sz="4" w:space="0" w:color="00A0E9"/>
              <w:bottom w:val="single" w:sz="4" w:space="0" w:color="00A0E9"/>
            </w:tcBorders>
            <w:shd w:val="clear" w:color="auto" w:fill="auto"/>
            <w:vAlign w:val="center"/>
          </w:tcPr>
          <w:p w:rsidR="00EE1CC3" w:rsidRPr="008372A8" w:rsidRDefault="00EE1CC3" w:rsidP="00735BBD">
            <w:pPr>
              <w:jc w:val="center"/>
              <w:rPr>
                <w:rFonts w:ascii="宋体" w:eastAsia="宋体" w:hAnsi="宋体"/>
                <w:szCs w:val="18"/>
              </w:rPr>
            </w:pPr>
            <w:r>
              <w:rPr>
                <w:rFonts w:ascii="宋体" w:eastAsia="宋体" w:hAnsi="宋体" w:hint="eastAsia"/>
                <w:szCs w:val="18"/>
              </w:rPr>
              <w:t>华安</w:t>
            </w:r>
          </w:p>
        </w:tc>
        <w:tc>
          <w:tcPr>
            <w:tcW w:w="1056" w:type="dxa"/>
            <w:tcBorders>
              <w:top w:val="single" w:sz="4" w:space="0" w:color="00A0E9"/>
              <w:bottom w:val="single" w:sz="4" w:space="0" w:color="00A0E9"/>
            </w:tcBorders>
            <w:shd w:val="clear" w:color="auto" w:fill="auto"/>
            <w:vAlign w:val="center"/>
          </w:tcPr>
          <w:p w:rsidR="00EE1CC3" w:rsidRPr="001E1B5D" w:rsidRDefault="00C52A28" w:rsidP="00532858">
            <w:pPr>
              <w:jc w:val="center"/>
              <w:rPr>
                <w:rFonts w:ascii="宋体" w:eastAsia="宋体" w:hAnsi="宋体"/>
                <w:szCs w:val="18"/>
              </w:rPr>
            </w:pPr>
            <w:r>
              <w:rPr>
                <w:rFonts w:ascii="宋体" w:eastAsia="宋体" w:hAnsi="宋体" w:hint="eastAsia"/>
                <w:szCs w:val="18"/>
              </w:rPr>
              <w:t>2</w:t>
            </w:r>
            <w:r w:rsidR="00532858">
              <w:rPr>
                <w:rFonts w:ascii="宋体" w:eastAsia="宋体" w:hAnsi="宋体" w:hint="eastAsia"/>
                <w:szCs w:val="18"/>
              </w:rPr>
              <w:t>0</w:t>
            </w:r>
            <w:r w:rsidR="00EE1CC3">
              <w:rPr>
                <w:rFonts w:ascii="宋体" w:eastAsia="宋体" w:hAnsi="宋体" w:hint="eastAsia"/>
                <w:szCs w:val="18"/>
              </w:rPr>
              <w:t>%</w:t>
            </w:r>
          </w:p>
        </w:tc>
      </w:tr>
      <w:tr w:rsidR="00AB7F07" w:rsidRPr="001961D3" w:rsidTr="00735BBD">
        <w:trPr>
          <w:cantSplit/>
          <w:trHeight w:val="340"/>
        </w:trPr>
        <w:tc>
          <w:tcPr>
            <w:tcW w:w="1134" w:type="dxa"/>
            <w:tcBorders>
              <w:top w:val="single" w:sz="4" w:space="0" w:color="00A0E9"/>
              <w:bottom w:val="single" w:sz="4" w:space="0" w:color="00A0E9"/>
            </w:tcBorders>
            <w:shd w:val="clear" w:color="auto" w:fill="auto"/>
            <w:vAlign w:val="center"/>
          </w:tcPr>
          <w:p w:rsidR="00AB7F07" w:rsidRPr="00CE2F1A" w:rsidRDefault="00044649" w:rsidP="00AB7F07">
            <w:pPr>
              <w:jc w:val="center"/>
              <w:rPr>
                <w:rFonts w:ascii="宋体" w:eastAsia="宋体" w:hAnsi="宋体"/>
                <w:b/>
                <w:szCs w:val="18"/>
              </w:rPr>
            </w:pPr>
            <w:r w:rsidRPr="003B46D0">
              <w:rPr>
                <w:rFonts w:hint="eastAsia"/>
              </w:rPr>
              <w:t>★</w:t>
            </w:r>
            <w:r w:rsidR="00AB7F07" w:rsidRPr="00484352">
              <w:rPr>
                <w:rFonts w:ascii="宋体" w:eastAsia="宋体" w:hAnsi="宋体" w:hint="eastAsia"/>
                <w:b/>
                <w:szCs w:val="18"/>
              </w:rPr>
              <w:t>嘉实领先成长</w:t>
            </w:r>
          </w:p>
        </w:tc>
        <w:tc>
          <w:tcPr>
            <w:tcW w:w="993" w:type="dxa"/>
            <w:tcBorders>
              <w:top w:val="single" w:sz="4" w:space="0" w:color="00A0E9"/>
              <w:bottom w:val="single" w:sz="4" w:space="0" w:color="00A0E9"/>
            </w:tcBorders>
            <w:shd w:val="clear" w:color="auto" w:fill="auto"/>
            <w:vAlign w:val="center"/>
          </w:tcPr>
          <w:p w:rsidR="00AB7F07" w:rsidRPr="00484352" w:rsidRDefault="00AB7F07" w:rsidP="00AB7F07">
            <w:pPr>
              <w:jc w:val="center"/>
              <w:rPr>
                <w:rFonts w:ascii="宋体" w:eastAsia="宋体" w:hAnsi="宋体"/>
                <w:szCs w:val="18"/>
              </w:rPr>
            </w:pPr>
            <w:r w:rsidRPr="00484352">
              <w:rPr>
                <w:rFonts w:ascii="宋体" w:eastAsia="宋体" w:hAnsi="宋体" w:hint="eastAsia"/>
                <w:szCs w:val="18"/>
              </w:rPr>
              <w:t>股票型</w:t>
            </w:r>
          </w:p>
        </w:tc>
        <w:tc>
          <w:tcPr>
            <w:tcW w:w="1036" w:type="dxa"/>
            <w:tcBorders>
              <w:top w:val="single" w:sz="4" w:space="0" w:color="00A0E9"/>
              <w:bottom w:val="single" w:sz="4" w:space="0" w:color="00A0E9"/>
            </w:tcBorders>
            <w:shd w:val="clear" w:color="auto" w:fill="auto"/>
            <w:vAlign w:val="center"/>
          </w:tcPr>
          <w:p w:rsidR="00AB7F07" w:rsidRPr="006E0CA2" w:rsidRDefault="00AB7F07" w:rsidP="00AB7F07">
            <w:pPr>
              <w:jc w:val="center"/>
              <w:rPr>
                <w:rFonts w:ascii="宋体" w:eastAsia="宋体" w:hAnsi="宋体"/>
                <w:szCs w:val="18"/>
              </w:rPr>
            </w:pPr>
            <w:r>
              <w:rPr>
                <w:rFonts w:ascii="宋体" w:eastAsia="宋体" w:hAnsi="宋体" w:hint="eastAsia"/>
                <w:szCs w:val="18"/>
              </w:rPr>
              <w:t>邵秋涛</w:t>
            </w:r>
          </w:p>
        </w:tc>
        <w:tc>
          <w:tcPr>
            <w:tcW w:w="1054" w:type="dxa"/>
            <w:tcBorders>
              <w:top w:val="single" w:sz="4" w:space="0" w:color="00A0E9"/>
              <w:bottom w:val="single" w:sz="4" w:space="0" w:color="00A0E9"/>
            </w:tcBorders>
            <w:shd w:val="clear" w:color="auto" w:fill="auto"/>
            <w:vAlign w:val="center"/>
          </w:tcPr>
          <w:p w:rsidR="00AB7F07" w:rsidRPr="008372A8" w:rsidRDefault="00AB7F07" w:rsidP="00AB7F07">
            <w:pPr>
              <w:jc w:val="center"/>
              <w:rPr>
                <w:rFonts w:ascii="宋体" w:eastAsia="宋体" w:hAnsi="宋体"/>
                <w:szCs w:val="18"/>
              </w:rPr>
            </w:pPr>
            <w:r>
              <w:rPr>
                <w:rFonts w:ascii="宋体" w:eastAsia="宋体" w:hAnsi="宋体" w:hint="eastAsia"/>
                <w:szCs w:val="18"/>
              </w:rPr>
              <w:t>嘉实</w:t>
            </w:r>
          </w:p>
        </w:tc>
        <w:tc>
          <w:tcPr>
            <w:tcW w:w="1055" w:type="dxa"/>
            <w:tcBorders>
              <w:top w:val="single" w:sz="4" w:space="0" w:color="00A0E9"/>
              <w:bottom w:val="single" w:sz="4" w:space="0" w:color="00A0E9"/>
            </w:tcBorders>
            <w:shd w:val="clear" w:color="auto" w:fill="auto"/>
            <w:vAlign w:val="center"/>
          </w:tcPr>
          <w:p w:rsidR="00AB7F07" w:rsidRPr="008372A8" w:rsidRDefault="00AB7F07" w:rsidP="00AB7F07">
            <w:pPr>
              <w:jc w:val="center"/>
              <w:rPr>
                <w:rFonts w:ascii="宋体" w:eastAsia="宋体" w:hAnsi="宋体"/>
                <w:szCs w:val="18"/>
              </w:rPr>
            </w:pPr>
            <w:r w:rsidRPr="008372A8">
              <w:rPr>
                <w:rFonts w:ascii="宋体" w:eastAsia="宋体" w:hAnsi="宋体" w:hint="eastAsia"/>
                <w:szCs w:val="18"/>
              </w:rPr>
              <w:t>20%</w:t>
            </w:r>
          </w:p>
        </w:tc>
        <w:tc>
          <w:tcPr>
            <w:tcW w:w="227" w:type="dxa"/>
            <w:vMerge/>
            <w:vAlign w:val="center"/>
          </w:tcPr>
          <w:p w:rsidR="00AB7F07" w:rsidRPr="00ED22EB" w:rsidRDefault="00AB7F07" w:rsidP="00AB7F07">
            <w:pPr>
              <w:jc w:val="center"/>
              <w:rPr>
                <w:rFonts w:ascii="宋体" w:eastAsia="宋体" w:hAnsi="宋体"/>
                <w:szCs w:val="18"/>
              </w:rPr>
            </w:pPr>
          </w:p>
        </w:tc>
        <w:tc>
          <w:tcPr>
            <w:tcW w:w="1164" w:type="dxa"/>
            <w:tcBorders>
              <w:top w:val="single" w:sz="4" w:space="0" w:color="00A0E9"/>
              <w:bottom w:val="single" w:sz="4" w:space="0" w:color="00A0E9"/>
            </w:tcBorders>
            <w:shd w:val="clear" w:color="auto" w:fill="auto"/>
            <w:vAlign w:val="center"/>
          </w:tcPr>
          <w:p w:rsidR="00AB7F07" w:rsidRPr="00CE2F1A" w:rsidRDefault="00AB7F07" w:rsidP="00AB7F07">
            <w:pPr>
              <w:jc w:val="center"/>
              <w:rPr>
                <w:rFonts w:ascii="宋体" w:eastAsia="宋体" w:hAnsi="宋体"/>
                <w:b/>
                <w:szCs w:val="18"/>
              </w:rPr>
            </w:pPr>
            <w:r>
              <w:rPr>
                <w:rFonts w:ascii="宋体" w:eastAsia="宋体" w:hAnsi="宋体" w:hint="eastAsia"/>
                <w:b/>
                <w:szCs w:val="18"/>
              </w:rPr>
              <w:t>富国天成</w:t>
            </w:r>
          </w:p>
        </w:tc>
        <w:tc>
          <w:tcPr>
            <w:tcW w:w="992" w:type="dxa"/>
            <w:tcBorders>
              <w:top w:val="single" w:sz="4" w:space="0" w:color="00A0E9"/>
              <w:bottom w:val="single" w:sz="4" w:space="0" w:color="00A0E9"/>
            </w:tcBorders>
            <w:shd w:val="clear" w:color="auto" w:fill="auto"/>
            <w:vAlign w:val="center"/>
          </w:tcPr>
          <w:p w:rsidR="00AB7F07" w:rsidRPr="00CE2F1A" w:rsidRDefault="00AB7F07" w:rsidP="00AB7F07">
            <w:pPr>
              <w:jc w:val="center"/>
              <w:rPr>
                <w:rFonts w:ascii="宋体" w:eastAsia="宋体" w:hAnsi="宋体"/>
                <w:szCs w:val="18"/>
              </w:rPr>
            </w:pPr>
            <w:r w:rsidRPr="00CE2F1A">
              <w:rPr>
                <w:rFonts w:ascii="宋体" w:eastAsia="宋体" w:hAnsi="宋体" w:hint="eastAsia"/>
                <w:szCs w:val="18"/>
              </w:rPr>
              <w:t>混合-灵活配置型</w:t>
            </w:r>
          </w:p>
        </w:tc>
        <w:tc>
          <w:tcPr>
            <w:tcW w:w="1007" w:type="dxa"/>
            <w:tcBorders>
              <w:top w:val="single" w:sz="4" w:space="0" w:color="00A0E9"/>
              <w:bottom w:val="single" w:sz="4" w:space="0" w:color="00A0E9"/>
            </w:tcBorders>
            <w:shd w:val="clear" w:color="auto" w:fill="auto"/>
            <w:vAlign w:val="center"/>
          </w:tcPr>
          <w:p w:rsidR="00AB7F07" w:rsidRPr="006E0CA2" w:rsidRDefault="00AB7F07" w:rsidP="00AB7F07">
            <w:pPr>
              <w:jc w:val="center"/>
              <w:rPr>
                <w:rFonts w:ascii="宋体" w:eastAsia="宋体" w:hAnsi="宋体"/>
                <w:szCs w:val="18"/>
              </w:rPr>
            </w:pPr>
            <w:r>
              <w:rPr>
                <w:rFonts w:ascii="宋体" w:eastAsia="宋体" w:hAnsi="宋体" w:hint="eastAsia"/>
                <w:szCs w:val="18"/>
              </w:rPr>
              <w:t>于江勇</w:t>
            </w:r>
          </w:p>
        </w:tc>
        <w:tc>
          <w:tcPr>
            <w:tcW w:w="1054" w:type="dxa"/>
            <w:tcBorders>
              <w:top w:val="single" w:sz="4" w:space="0" w:color="00A0E9"/>
              <w:bottom w:val="single" w:sz="4" w:space="0" w:color="00A0E9"/>
            </w:tcBorders>
            <w:shd w:val="clear" w:color="auto" w:fill="auto"/>
            <w:vAlign w:val="center"/>
          </w:tcPr>
          <w:p w:rsidR="00AB7F07" w:rsidRDefault="00AB7F07" w:rsidP="00AB7F07">
            <w:pPr>
              <w:jc w:val="center"/>
              <w:rPr>
                <w:rFonts w:ascii="宋体" w:eastAsia="宋体" w:hAnsi="宋体"/>
                <w:szCs w:val="18"/>
              </w:rPr>
            </w:pPr>
            <w:r>
              <w:rPr>
                <w:rFonts w:ascii="宋体" w:eastAsia="宋体" w:hAnsi="宋体" w:hint="eastAsia"/>
                <w:szCs w:val="18"/>
              </w:rPr>
              <w:t>富国</w:t>
            </w:r>
          </w:p>
        </w:tc>
        <w:tc>
          <w:tcPr>
            <w:tcW w:w="1056" w:type="dxa"/>
            <w:tcBorders>
              <w:top w:val="single" w:sz="4" w:space="0" w:color="00A0E9"/>
              <w:bottom w:val="single" w:sz="4" w:space="0" w:color="00A0E9"/>
            </w:tcBorders>
            <w:shd w:val="clear" w:color="auto" w:fill="auto"/>
            <w:vAlign w:val="center"/>
          </w:tcPr>
          <w:p w:rsidR="00AB7F07" w:rsidRDefault="00AB7F07" w:rsidP="00AB7F07">
            <w:pPr>
              <w:jc w:val="center"/>
              <w:rPr>
                <w:rFonts w:ascii="宋体" w:eastAsia="宋体" w:hAnsi="宋体"/>
                <w:szCs w:val="18"/>
              </w:rPr>
            </w:pPr>
            <w:r>
              <w:rPr>
                <w:rFonts w:ascii="宋体" w:eastAsia="宋体" w:hAnsi="宋体" w:hint="eastAsia"/>
                <w:szCs w:val="18"/>
              </w:rPr>
              <w:t>20%</w:t>
            </w:r>
          </w:p>
        </w:tc>
      </w:tr>
      <w:tr w:rsidR="003E34D9" w:rsidRPr="001961D3" w:rsidTr="00735BBD">
        <w:trPr>
          <w:cantSplit/>
          <w:trHeight w:val="340"/>
        </w:trPr>
        <w:tc>
          <w:tcPr>
            <w:tcW w:w="1134" w:type="dxa"/>
            <w:tcBorders>
              <w:top w:val="single" w:sz="4" w:space="0" w:color="00A0E9"/>
              <w:bottom w:val="single" w:sz="4" w:space="0" w:color="00A0E9"/>
            </w:tcBorders>
            <w:shd w:val="clear" w:color="auto" w:fill="auto"/>
            <w:vAlign w:val="center"/>
          </w:tcPr>
          <w:p w:rsidR="003E34D9" w:rsidRPr="00CE2F1A" w:rsidRDefault="003E34D9" w:rsidP="003E34D9">
            <w:pPr>
              <w:jc w:val="center"/>
              <w:rPr>
                <w:rFonts w:ascii="宋体" w:eastAsia="宋体" w:hAnsi="宋体"/>
                <w:b/>
                <w:szCs w:val="18"/>
              </w:rPr>
            </w:pPr>
            <w:r w:rsidRPr="00CE2F1A">
              <w:rPr>
                <w:rFonts w:ascii="宋体" w:eastAsia="宋体" w:hAnsi="宋体" w:hint="eastAsia"/>
                <w:b/>
                <w:szCs w:val="18"/>
              </w:rPr>
              <w:lastRenderedPageBreak/>
              <w:t>大</w:t>
            </w:r>
            <w:proofErr w:type="gramStart"/>
            <w:r w:rsidRPr="00CE2F1A">
              <w:rPr>
                <w:rFonts w:ascii="宋体" w:eastAsia="宋体" w:hAnsi="宋体" w:hint="eastAsia"/>
                <w:b/>
                <w:szCs w:val="18"/>
              </w:rPr>
              <w:t>摩主题</w:t>
            </w:r>
            <w:proofErr w:type="gramEnd"/>
          </w:p>
        </w:tc>
        <w:tc>
          <w:tcPr>
            <w:tcW w:w="993" w:type="dxa"/>
            <w:tcBorders>
              <w:top w:val="single" w:sz="4" w:space="0" w:color="00A0E9"/>
              <w:bottom w:val="single" w:sz="4" w:space="0" w:color="00A0E9"/>
            </w:tcBorders>
            <w:shd w:val="clear" w:color="auto" w:fill="auto"/>
            <w:vAlign w:val="center"/>
          </w:tcPr>
          <w:p w:rsidR="003E34D9" w:rsidRPr="00CE2F1A" w:rsidRDefault="003E34D9" w:rsidP="003E34D9">
            <w:pPr>
              <w:jc w:val="center"/>
              <w:rPr>
                <w:rFonts w:ascii="宋体" w:eastAsia="宋体" w:hAnsi="宋体"/>
                <w:szCs w:val="18"/>
              </w:rPr>
            </w:pPr>
            <w:r w:rsidRPr="00CE2F1A">
              <w:rPr>
                <w:rFonts w:ascii="宋体" w:eastAsia="宋体" w:hAnsi="宋体" w:hint="eastAsia"/>
                <w:szCs w:val="18"/>
              </w:rPr>
              <w:t>股票型</w:t>
            </w:r>
          </w:p>
        </w:tc>
        <w:tc>
          <w:tcPr>
            <w:tcW w:w="1036" w:type="dxa"/>
            <w:tcBorders>
              <w:top w:val="single" w:sz="4" w:space="0" w:color="00A0E9"/>
              <w:bottom w:val="single" w:sz="4" w:space="0" w:color="00A0E9"/>
            </w:tcBorders>
            <w:shd w:val="clear" w:color="auto" w:fill="auto"/>
            <w:vAlign w:val="center"/>
          </w:tcPr>
          <w:p w:rsidR="003E34D9" w:rsidRPr="006E0CA2" w:rsidRDefault="003E34D9" w:rsidP="003E34D9">
            <w:pPr>
              <w:jc w:val="center"/>
              <w:rPr>
                <w:rFonts w:ascii="宋体" w:eastAsia="宋体" w:hAnsi="宋体"/>
                <w:szCs w:val="18"/>
              </w:rPr>
            </w:pPr>
            <w:r>
              <w:rPr>
                <w:rFonts w:ascii="宋体" w:eastAsia="宋体" w:hAnsi="宋体" w:hint="eastAsia"/>
                <w:szCs w:val="18"/>
              </w:rPr>
              <w:t>周志超</w:t>
            </w:r>
          </w:p>
        </w:tc>
        <w:tc>
          <w:tcPr>
            <w:tcW w:w="1054" w:type="dxa"/>
            <w:tcBorders>
              <w:top w:val="single" w:sz="4" w:space="0" w:color="00A0E9"/>
              <w:bottom w:val="single" w:sz="4" w:space="0" w:color="00A0E9"/>
            </w:tcBorders>
            <w:shd w:val="clear" w:color="auto" w:fill="auto"/>
            <w:vAlign w:val="center"/>
          </w:tcPr>
          <w:p w:rsidR="003E34D9" w:rsidRPr="008372A8" w:rsidRDefault="003E34D9" w:rsidP="003E34D9">
            <w:pPr>
              <w:jc w:val="center"/>
              <w:rPr>
                <w:rFonts w:ascii="宋体" w:eastAsia="宋体" w:hAnsi="宋体"/>
                <w:szCs w:val="18"/>
              </w:rPr>
            </w:pPr>
            <w:r>
              <w:rPr>
                <w:rFonts w:ascii="宋体" w:eastAsia="宋体" w:hAnsi="宋体" w:hint="eastAsia"/>
                <w:szCs w:val="18"/>
              </w:rPr>
              <w:t>摩根士丹利华</w:t>
            </w:r>
            <w:proofErr w:type="gramStart"/>
            <w:r>
              <w:rPr>
                <w:rFonts w:ascii="宋体" w:eastAsia="宋体" w:hAnsi="宋体" w:hint="eastAsia"/>
                <w:szCs w:val="18"/>
              </w:rPr>
              <w:t>鑫</w:t>
            </w:r>
            <w:proofErr w:type="gramEnd"/>
          </w:p>
        </w:tc>
        <w:tc>
          <w:tcPr>
            <w:tcW w:w="1055" w:type="dxa"/>
            <w:tcBorders>
              <w:top w:val="single" w:sz="4" w:space="0" w:color="00A0E9"/>
              <w:bottom w:val="single" w:sz="4" w:space="0" w:color="00A0E9"/>
            </w:tcBorders>
            <w:shd w:val="clear" w:color="auto" w:fill="auto"/>
            <w:vAlign w:val="center"/>
          </w:tcPr>
          <w:p w:rsidR="003E34D9" w:rsidRPr="008372A8" w:rsidRDefault="003E34D9" w:rsidP="003E34D9">
            <w:pPr>
              <w:jc w:val="center"/>
              <w:rPr>
                <w:rFonts w:ascii="宋体" w:eastAsia="宋体" w:hAnsi="宋体"/>
                <w:szCs w:val="18"/>
              </w:rPr>
            </w:pPr>
            <w:r w:rsidRPr="008372A8">
              <w:rPr>
                <w:rFonts w:ascii="宋体" w:eastAsia="宋体" w:hAnsi="宋体" w:hint="eastAsia"/>
                <w:szCs w:val="18"/>
              </w:rPr>
              <w:t>20%</w:t>
            </w:r>
          </w:p>
        </w:tc>
        <w:tc>
          <w:tcPr>
            <w:tcW w:w="227" w:type="dxa"/>
            <w:vMerge/>
            <w:vAlign w:val="center"/>
          </w:tcPr>
          <w:p w:rsidR="003E34D9" w:rsidRPr="00ED22EB" w:rsidRDefault="003E34D9" w:rsidP="003E34D9">
            <w:pPr>
              <w:jc w:val="center"/>
              <w:rPr>
                <w:rFonts w:ascii="宋体" w:eastAsia="宋体" w:hAnsi="宋体"/>
                <w:szCs w:val="18"/>
              </w:rPr>
            </w:pPr>
          </w:p>
        </w:tc>
        <w:tc>
          <w:tcPr>
            <w:tcW w:w="1164" w:type="dxa"/>
            <w:tcBorders>
              <w:top w:val="single" w:sz="4" w:space="0" w:color="00A0E9"/>
              <w:bottom w:val="single" w:sz="4" w:space="0" w:color="00A0E9"/>
            </w:tcBorders>
            <w:shd w:val="clear" w:color="auto" w:fill="auto"/>
            <w:vAlign w:val="center"/>
          </w:tcPr>
          <w:p w:rsidR="003E34D9" w:rsidRPr="00CE2F1A" w:rsidRDefault="00044649" w:rsidP="00484352">
            <w:pPr>
              <w:jc w:val="center"/>
              <w:rPr>
                <w:rFonts w:ascii="宋体" w:eastAsia="宋体" w:hAnsi="宋体"/>
                <w:b/>
                <w:szCs w:val="18"/>
              </w:rPr>
            </w:pPr>
            <w:r w:rsidRPr="003B46D0">
              <w:rPr>
                <w:rFonts w:hint="eastAsia"/>
              </w:rPr>
              <w:t>★</w:t>
            </w:r>
            <w:r w:rsidR="00484352" w:rsidRPr="00484352">
              <w:rPr>
                <w:rFonts w:ascii="宋体" w:eastAsia="宋体" w:hAnsi="宋体" w:hint="eastAsia"/>
                <w:b/>
                <w:szCs w:val="18"/>
              </w:rPr>
              <w:t>嘉实领先成长</w:t>
            </w:r>
          </w:p>
        </w:tc>
        <w:tc>
          <w:tcPr>
            <w:tcW w:w="992" w:type="dxa"/>
            <w:tcBorders>
              <w:top w:val="single" w:sz="4" w:space="0" w:color="00A0E9"/>
              <w:bottom w:val="single" w:sz="4" w:space="0" w:color="00A0E9"/>
            </w:tcBorders>
            <w:shd w:val="clear" w:color="auto" w:fill="auto"/>
            <w:vAlign w:val="center"/>
          </w:tcPr>
          <w:p w:rsidR="003E34D9" w:rsidRPr="00484352" w:rsidRDefault="003E34D9" w:rsidP="003E34D9">
            <w:pPr>
              <w:jc w:val="center"/>
              <w:rPr>
                <w:rFonts w:ascii="宋体" w:eastAsia="宋体" w:hAnsi="宋体"/>
                <w:szCs w:val="18"/>
              </w:rPr>
            </w:pPr>
            <w:r w:rsidRPr="00484352">
              <w:rPr>
                <w:rFonts w:ascii="宋体" w:eastAsia="宋体" w:hAnsi="宋体" w:hint="eastAsia"/>
                <w:szCs w:val="18"/>
              </w:rPr>
              <w:t>股票型</w:t>
            </w:r>
          </w:p>
        </w:tc>
        <w:tc>
          <w:tcPr>
            <w:tcW w:w="1007" w:type="dxa"/>
            <w:tcBorders>
              <w:top w:val="single" w:sz="4" w:space="0" w:color="00A0E9"/>
              <w:bottom w:val="single" w:sz="4" w:space="0" w:color="00A0E9"/>
            </w:tcBorders>
            <w:shd w:val="clear" w:color="auto" w:fill="auto"/>
            <w:vAlign w:val="center"/>
          </w:tcPr>
          <w:p w:rsidR="003E34D9" w:rsidRPr="006E0CA2" w:rsidRDefault="00484352" w:rsidP="003E34D9">
            <w:pPr>
              <w:jc w:val="center"/>
              <w:rPr>
                <w:rFonts w:ascii="宋体" w:eastAsia="宋体" w:hAnsi="宋体"/>
                <w:szCs w:val="18"/>
              </w:rPr>
            </w:pPr>
            <w:r>
              <w:rPr>
                <w:rFonts w:ascii="宋体" w:eastAsia="宋体" w:hAnsi="宋体" w:hint="eastAsia"/>
                <w:szCs w:val="18"/>
              </w:rPr>
              <w:t>邵秋涛</w:t>
            </w:r>
          </w:p>
        </w:tc>
        <w:tc>
          <w:tcPr>
            <w:tcW w:w="1054" w:type="dxa"/>
            <w:tcBorders>
              <w:top w:val="single" w:sz="4" w:space="0" w:color="00A0E9"/>
              <w:bottom w:val="single" w:sz="4" w:space="0" w:color="00A0E9"/>
            </w:tcBorders>
            <w:shd w:val="clear" w:color="auto" w:fill="auto"/>
            <w:vAlign w:val="center"/>
          </w:tcPr>
          <w:p w:rsidR="003E34D9" w:rsidRPr="008372A8" w:rsidRDefault="00484352" w:rsidP="003E34D9">
            <w:pPr>
              <w:jc w:val="center"/>
              <w:rPr>
                <w:rFonts w:ascii="宋体" w:eastAsia="宋体" w:hAnsi="宋体"/>
                <w:szCs w:val="18"/>
              </w:rPr>
            </w:pPr>
            <w:r>
              <w:rPr>
                <w:rFonts w:ascii="宋体" w:eastAsia="宋体" w:hAnsi="宋体" w:hint="eastAsia"/>
                <w:szCs w:val="18"/>
              </w:rPr>
              <w:t>嘉实</w:t>
            </w:r>
          </w:p>
        </w:tc>
        <w:tc>
          <w:tcPr>
            <w:tcW w:w="1056" w:type="dxa"/>
            <w:tcBorders>
              <w:top w:val="single" w:sz="4" w:space="0" w:color="00A0E9"/>
              <w:bottom w:val="single" w:sz="4" w:space="0" w:color="00A0E9"/>
            </w:tcBorders>
            <w:shd w:val="clear" w:color="auto" w:fill="auto"/>
            <w:vAlign w:val="center"/>
          </w:tcPr>
          <w:p w:rsidR="003E34D9" w:rsidRDefault="00532858" w:rsidP="003E34D9">
            <w:pPr>
              <w:jc w:val="center"/>
              <w:rPr>
                <w:rFonts w:ascii="宋体" w:eastAsia="宋体" w:hAnsi="宋体"/>
                <w:szCs w:val="18"/>
              </w:rPr>
            </w:pPr>
            <w:r>
              <w:rPr>
                <w:rFonts w:ascii="宋体" w:eastAsia="宋体" w:hAnsi="宋体" w:hint="eastAsia"/>
                <w:szCs w:val="18"/>
              </w:rPr>
              <w:t>20</w:t>
            </w:r>
            <w:r w:rsidR="003E34D9">
              <w:rPr>
                <w:rFonts w:ascii="宋体" w:eastAsia="宋体" w:hAnsi="宋体" w:hint="eastAsia"/>
                <w:szCs w:val="18"/>
              </w:rPr>
              <w:t>%</w:t>
            </w:r>
          </w:p>
        </w:tc>
      </w:tr>
      <w:tr w:rsidR="00EE1CC3" w:rsidRPr="001961D3" w:rsidTr="00735BBD">
        <w:trPr>
          <w:cantSplit/>
          <w:trHeight w:val="340"/>
        </w:trPr>
        <w:tc>
          <w:tcPr>
            <w:tcW w:w="1134" w:type="dxa"/>
            <w:tcBorders>
              <w:top w:val="single" w:sz="4" w:space="0" w:color="00A0E9"/>
              <w:bottom w:val="single" w:sz="4" w:space="0" w:color="00A0E9"/>
            </w:tcBorders>
            <w:shd w:val="clear" w:color="auto" w:fill="auto"/>
            <w:vAlign w:val="center"/>
          </w:tcPr>
          <w:p w:rsidR="00EE1CC3" w:rsidRPr="00CE2F1A" w:rsidRDefault="00EE1CC3" w:rsidP="00735BBD">
            <w:pPr>
              <w:jc w:val="center"/>
              <w:rPr>
                <w:rFonts w:ascii="宋体" w:eastAsia="宋体" w:hAnsi="宋体"/>
                <w:b/>
                <w:szCs w:val="18"/>
              </w:rPr>
            </w:pPr>
            <w:r>
              <w:rPr>
                <w:rFonts w:ascii="宋体" w:eastAsia="宋体" w:hAnsi="宋体" w:hint="eastAsia"/>
                <w:b/>
                <w:szCs w:val="18"/>
              </w:rPr>
              <w:t>宝盈策略</w:t>
            </w:r>
          </w:p>
        </w:tc>
        <w:tc>
          <w:tcPr>
            <w:tcW w:w="993" w:type="dxa"/>
            <w:tcBorders>
              <w:top w:val="single" w:sz="4" w:space="0" w:color="00A0E9"/>
              <w:bottom w:val="single" w:sz="4" w:space="0" w:color="00A0E9"/>
            </w:tcBorders>
            <w:shd w:val="clear" w:color="auto" w:fill="auto"/>
            <w:vAlign w:val="center"/>
          </w:tcPr>
          <w:p w:rsidR="00EE1CC3" w:rsidRPr="00CE2F1A" w:rsidRDefault="00EE1CC3" w:rsidP="00735BBD">
            <w:pPr>
              <w:jc w:val="center"/>
              <w:rPr>
                <w:rFonts w:ascii="宋体" w:eastAsia="宋体" w:hAnsi="宋体"/>
                <w:szCs w:val="18"/>
              </w:rPr>
            </w:pPr>
            <w:r w:rsidRPr="00CE2F1A">
              <w:rPr>
                <w:rFonts w:ascii="宋体" w:eastAsia="宋体" w:hAnsi="宋体" w:hint="eastAsia"/>
                <w:szCs w:val="18"/>
              </w:rPr>
              <w:t>股票型</w:t>
            </w:r>
          </w:p>
        </w:tc>
        <w:tc>
          <w:tcPr>
            <w:tcW w:w="1036" w:type="dxa"/>
            <w:tcBorders>
              <w:top w:val="single" w:sz="4" w:space="0" w:color="00A0E9"/>
              <w:bottom w:val="single" w:sz="4" w:space="0" w:color="00A0E9"/>
            </w:tcBorders>
            <w:shd w:val="clear" w:color="auto" w:fill="auto"/>
            <w:vAlign w:val="center"/>
          </w:tcPr>
          <w:p w:rsidR="00EE1CC3" w:rsidRPr="006E0CA2" w:rsidRDefault="00EE1CC3" w:rsidP="00735BBD">
            <w:pPr>
              <w:jc w:val="center"/>
              <w:rPr>
                <w:rFonts w:ascii="宋体" w:eastAsia="宋体" w:hAnsi="宋体"/>
                <w:szCs w:val="18"/>
              </w:rPr>
            </w:pPr>
            <w:r>
              <w:rPr>
                <w:rFonts w:ascii="宋体" w:eastAsia="宋体" w:hAnsi="宋体" w:hint="eastAsia"/>
                <w:szCs w:val="18"/>
              </w:rPr>
              <w:t>彭敢</w:t>
            </w:r>
          </w:p>
        </w:tc>
        <w:tc>
          <w:tcPr>
            <w:tcW w:w="1054" w:type="dxa"/>
            <w:tcBorders>
              <w:top w:val="single" w:sz="4" w:space="0" w:color="00A0E9"/>
              <w:bottom w:val="single" w:sz="4" w:space="0" w:color="00A0E9"/>
            </w:tcBorders>
            <w:shd w:val="clear" w:color="auto" w:fill="auto"/>
            <w:vAlign w:val="center"/>
          </w:tcPr>
          <w:p w:rsidR="00EE1CC3" w:rsidRPr="008372A8" w:rsidRDefault="00EE1CC3" w:rsidP="00735BBD">
            <w:pPr>
              <w:jc w:val="center"/>
              <w:rPr>
                <w:rFonts w:ascii="宋体" w:eastAsia="宋体" w:hAnsi="宋体"/>
                <w:szCs w:val="18"/>
              </w:rPr>
            </w:pPr>
            <w:r>
              <w:rPr>
                <w:rFonts w:ascii="宋体" w:eastAsia="宋体" w:hAnsi="宋体" w:hint="eastAsia"/>
                <w:szCs w:val="18"/>
              </w:rPr>
              <w:t>宝盈</w:t>
            </w:r>
          </w:p>
        </w:tc>
        <w:tc>
          <w:tcPr>
            <w:tcW w:w="1055" w:type="dxa"/>
            <w:tcBorders>
              <w:top w:val="single" w:sz="4" w:space="0" w:color="00A0E9"/>
              <w:bottom w:val="single" w:sz="4" w:space="0" w:color="00A0E9"/>
            </w:tcBorders>
            <w:shd w:val="clear" w:color="auto" w:fill="auto"/>
            <w:vAlign w:val="center"/>
          </w:tcPr>
          <w:p w:rsidR="00EE1CC3" w:rsidRPr="008372A8" w:rsidRDefault="00EE1CC3" w:rsidP="00735BBD">
            <w:pPr>
              <w:jc w:val="center"/>
              <w:rPr>
                <w:rFonts w:ascii="宋体" w:eastAsia="宋体" w:hAnsi="宋体"/>
                <w:szCs w:val="18"/>
              </w:rPr>
            </w:pPr>
            <w:r w:rsidRPr="008372A8">
              <w:rPr>
                <w:rFonts w:ascii="宋体" w:eastAsia="宋体" w:hAnsi="宋体" w:hint="eastAsia"/>
                <w:szCs w:val="18"/>
              </w:rPr>
              <w:t>20%</w:t>
            </w:r>
          </w:p>
        </w:tc>
        <w:tc>
          <w:tcPr>
            <w:tcW w:w="227" w:type="dxa"/>
            <w:vMerge/>
            <w:vAlign w:val="center"/>
          </w:tcPr>
          <w:p w:rsidR="00EE1CC3" w:rsidRPr="00ED22EB" w:rsidRDefault="00EE1CC3" w:rsidP="00735BBD">
            <w:pPr>
              <w:jc w:val="center"/>
              <w:rPr>
                <w:rFonts w:ascii="宋体" w:eastAsia="宋体" w:hAnsi="宋体"/>
                <w:szCs w:val="18"/>
              </w:rPr>
            </w:pPr>
          </w:p>
        </w:tc>
        <w:tc>
          <w:tcPr>
            <w:tcW w:w="1164" w:type="dxa"/>
            <w:tcBorders>
              <w:top w:val="single" w:sz="4" w:space="0" w:color="00A0E9"/>
              <w:bottom w:val="single" w:sz="4" w:space="0" w:color="00A0E9"/>
            </w:tcBorders>
            <w:shd w:val="clear" w:color="auto" w:fill="auto"/>
            <w:vAlign w:val="center"/>
          </w:tcPr>
          <w:p w:rsidR="00EE1CC3" w:rsidRPr="00C23493" w:rsidRDefault="00EE1CC3" w:rsidP="00735BBD">
            <w:pPr>
              <w:jc w:val="center"/>
              <w:rPr>
                <w:rFonts w:ascii="宋体" w:eastAsia="宋体" w:hAnsi="宋体"/>
                <w:b/>
                <w:szCs w:val="18"/>
              </w:rPr>
            </w:pPr>
            <w:r w:rsidRPr="00C23493">
              <w:rPr>
                <w:rFonts w:ascii="宋体" w:eastAsia="宋体" w:hAnsi="宋体" w:hint="eastAsia"/>
                <w:b/>
                <w:szCs w:val="18"/>
              </w:rPr>
              <w:t>招商收益</w:t>
            </w:r>
          </w:p>
        </w:tc>
        <w:tc>
          <w:tcPr>
            <w:tcW w:w="992" w:type="dxa"/>
            <w:tcBorders>
              <w:top w:val="single" w:sz="4" w:space="0" w:color="00A0E9"/>
              <w:bottom w:val="single" w:sz="4" w:space="0" w:color="00A0E9"/>
            </w:tcBorders>
            <w:shd w:val="clear" w:color="auto" w:fill="auto"/>
            <w:vAlign w:val="center"/>
          </w:tcPr>
          <w:p w:rsidR="00EE1CC3" w:rsidRPr="00C23493" w:rsidRDefault="00EE1CC3" w:rsidP="00735BBD">
            <w:pPr>
              <w:jc w:val="center"/>
              <w:rPr>
                <w:rFonts w:ascii="宋体" w:eastAsia="宋体" w:hAnsi="宋体"/>
                <w:szCs w:val="18"/>
              </w:rPr>
            </w:pPr>
            <w:r w:rsidRPr="00C23493">
              <w:rPr>
                <w:rFonts w:ascii="宋体" w:eastAsia="宋体" w:hAnsi="宋体" w:hint="eastAsia"/>
                <w:szCs w:val="18"/>
              </w:rPr>
              <w:t>债券</w:t>
            </w:r>
            <w:r w:rsidRPr="002C2E6E">
              <w:rPr>
                <w:rFonts w:ascii="楷体" w:eastAsia="楷体" w:hAnsi="楷体"/>
                <w:szCs w:val="18"/>
              </w:rPr>
              <w:t>-</w:t>
            </w:r>
            <w:r w:rsidRPr="00C23493">
              <w:rPr>
                <w:rFonts w:ascii="宋体" w:eastAsia="宋体" w:hAnsi="宋体" w:hint="eastAsia"/>
                <w:szCs w:val="18"/>
              </w:rPr>
              <w:t>新股申购型</w:t>
            </w:r>
          </w:p>
        </w:tc>
        <w:tc>
          <w:tcPr>
            <w:tcW w:w="1007" w:type="dxa"/>
            <w:tcBorders>
              <w:top w:val="single" w:sz="4" w:space="0" w:color="00A0E9"/>
              <w:bottom w:val="single" w:sz="4" w:space="0" w:color="00A0E9"/>
            </w:tcBorders>
            <w:shd w:val="clear" w:color="auto" w:fill="auto"/>
            <w:vAlign w:val="center"/>
          </w:tcPr>
          <w:p w:rsidR="00EE1CC3" w:rsidRPr="008372A8" w:rsidRDefault="00EE1CC3" w:rsidP="00735BBD">
            <w:pPr>
              <w:jc w:val="center"/>
              <w:rPr>
                <w:rFonts w:ascii="宋体" w:eastAsia="宋体" w:hAnsi="宋体"/>
                <w:szCs w:val="18"/>
              </w:rPr>
            </w:pPr>
            <w:r>
              <w:rPr>
                <w:rFonts w:ascii="宋体" w:eastAsia="宋体" w:hAnsi="宋体" w:hint="eastAsia"/>
                <w:szCs w:val="18"/>
              </w:rPr>
              <w:t>孙海波、马龙</w:t>
            </w:r>
          </w:p>
        </w:tc>
        <w:tc>
          <w:tcPr>
            <w:tcW w:w="1054" w:type="dxa"/>
            <w:tcBorders>
              <w:top w:val="single" w:sz="4" w:space="0" w:color="00A0E9"/>
              <w:bottom w:val="single" w:sz="4" w:space="0" w:color="00A0E9"/>
            </w:tcBorders>
            <w:shd w:val="clear" w:color="auto" w:fill="auto"/>
            <w:vAlign w:val="center"/>
          </w:tcPr>
          <w:p w:rsidR="00EE1CC3" w:rsidRPr="008372A8" w:rsidRDefault="00EE1CC3" w:rsidP="00735BBD">
            <w:pPr>
              <w:jc w:val="center"/>
              <w:rPr>
                <w:rFonts w:ascii="宋体" w:eastAsia="宋体" w:hAnsi="宋体"/>
                <w:szCs w:val="18"/>
              </w:rPr>
            </w:pPr>
            <w:r>
              <w:rPr>
                <w:rFonts w:ascii="宋体" w:eastAsia="宋体" w:hAnsi="宋体" w:hint="eastAsia"/>
                <w:szCs w:val="18"/>
              </w:rPr>
              <w:t>招商</w:t>
            </w:r>
          </w:p>
        </w:tc>
        <w:tc>
          <w:tcPr>
            <w:tcW w:w="1056" w:type="dxa"/>
            <w:tcBorders>
              <w:top w:val="single" w:sz="4" w:space="0" w:color="00A0E9"/>
              <w:bottom w:val="single" w:sz="4" w:space="0" w:color="00A0E9"/>
            </w:tcBorders>
            <w:shd w:val="clear" w:color="auto" w:fill="auto"/>
            <w:vAlign w:val="center"/>
          </w:tcPr>
          <w:p w:rsidR="00EE1CC3" w:rsidRPr="008372A8" w:rsidRDefault="00532858" w:rsidP="00735BBD">
            <w:pPr>
              <w:jc w:val="center"/>
              <w:rPr>
                <w:rFonts w:ascii="宋体" w:eastAsia="宋体" w:hAnsi="宋体"/>
                <w:szCs w:val="18"/>
              </w:rPr>
            </w:pPr>
            <w:r>
              <w:rPr>
                <w:rFonts w:ascii="宋体" w:eastAsia="宋体" w:hAnsi="宋体" w:hint="eastAsia"/>
                <w:szCs w:val="18"/>
              </w:rPr>
              <w:t>20</w:t>
            </w:r>
            <w:r w:rsidR="00EE1CC3" w:rsidRPr="008372A8">
              <w:rPr>
                <w:rFonts w:ascii="宋体" w:eastAsia="宋体" w:hAnsi="宋体" w:hint="eastAsia"/>
                <w:szCs w:val="18"/>
              </w:rPr>
              <w:t>%</w:t>
            </w:r>
          </w:p>
        </w:tc>
      </w:tr>
      <w:tr w:rsidR="00EE1CC3" w:rsidRPr="001961D3" w:rsidTr="00735BBD">
        <w:trPr>
          <w:cantSplit/>
          <w:trHeight w:val="340"/>
        </w:trPr>
        <w:tc>
          <w:tcPr>
            <w:tcW w:w="1134" w:type="dxa"/>
            <w:tcBorders>
              <w:top w:val="single" w:sz="4" w:space="0" w:color="00A0E9"/>
              <w:bottom w:val="single" w:sz="4" w:space="0" w:color="00A0E9"/>
            </w:tcBorders>
            <w:shd w:val="clear" w:color="auto" w:fill="auto"/>
            <w:vAlign w:val="center"/>
          </w:tcPr>
          <w:p w:rsidR="00EE1CC3" w:rsidRPr="00CE2F1A" w:rsidRDefault="003E34D9" w:rsidP="00735BBD">
            <w:pPr>
              <w:jc w:val="center"/>
              <w:rPr>
                <w:rFonts w:ascii="宋体" w:eastAsia="宋体" w:hAnsi="宋体"/>
                <w:b/>
                <w:szCs w:val="18"/>
              </w:rPr>
            </w:pPr>
            <w:r>
              <w:rPr>
                <w:rFonts w:ascii="宋体" w:eastAsia="宋体" w:hAnsi="宋体" w:hint="eastAsia"/>
                <w:b/>
                <w:szCs w:val="18"/>
              </w:rPr>
              <w:t>广发行业</w:t>
            </w:r>
          </w:p>
        </w:tc>
        <w:tc>
          <w:tcPr>
            <w:tcW w:w="993" w:type="dxa"/>
            <w:tcBorders>
              <w:top w:val="single" w:sz="4" w:space="0" w:color="00A0E9"/>
              <w:bottom w:val="single" w:sz="4" w:space="0" w:color="00A0E9"/>
            </w:tcBorders>
            <w:shd w:val="clear" w:color="auto" w:fill="auto"/>
            <w:vAlign w:val="center"/>
          </w:tcPr>
          <w:p w:rsidR="00EE1CC3" w:rsidRPr="00CE2F1A" w:rsidRDefault="00EE1CC3" w:rsidP="00735BBD">
            <w:pPr>
              <w:jc w:val="center"/>
              <w:rPr>
                <w:rFonts w:ascii="宋体" w:eastAsia="宋体" w:hAnsi="宋体"/>
                <w:szCs w:val="18"/>
              </w:rPr>
            </w:pPr>
            <w:r w:rsidRPr="00CE2F1A">
              <w:rPr>
                <w:rFonts w:ascii="宋体" w:eastAsia="宋体" w:hAnsi="宋体" w:hint="eastAsia"/>
                <w:szCs w:val="18"/>
              </w:rPr>
              <w:t>股票型</w:t>
            </w:r>
          </w:p>
        </w:tc>
        <w:tc>
          <w:tcPr>
            <w:tcW w:w="1036" w:type="dxa"/>
            <w:tcBorders>
              <w:top w:val="single" w:sz="4" w:space="0" w:color="00A0E9"/>
              <w:bottom w:val="single" w:sz="4" w:space="0" w:color="00A0E9"/>
            </w:tcBorders>
            <w:shd w:val="clear" w:color="auto" w:fill="auto"/>
            <w:vAlign w:val="center"/>
          </w:tcPr>
          <w:p w:rsidR="00EE1CC3" w:rsidRPr="006E0CA2" w:rsidRDefault="003E34D9" w:rsidP="00735BBD">
            <w:pPr>
              <w:jc w:val="center"/>
              <w:rPr>
                <w:rFonts w:ascii="宋体" w:eastAsia="宋体" w:hAnsi="宋体"/>
                <w:szCs w:val="18"/>
              </w:rPr>
            </w:pPr>
            <w:r>
              <w:rPr>
                <w:rFonts w:ascii="宋体" w:eastAsia="宋体" w:hAnsi="宋体" w:hint="eastAsia"/>
                <w:szCs w:val="18"/>
              </w:rPr>
              <w:t>刘晓龙</w:t>
            </w:r>
          </w:p>
        </w:tc>
        <w:tc>
          <w:tcPr>
            <w:tcW w:w="1054" w:type="dxa"/>
            <w:tcBorders>
              <w:top w:val="single" w:sz="4" w:space="0" w:color="00A0E9"/>
              <w:bottom w:val="single" w:sz="4" w:space="0" w:color="00A0E9"/>
            </w:tcBorders>
            <w:shd w:val="clear" w:color="auto" w:fill="auto"/>
            <w:vAlign w:val="center"/>
          </w:tcPr>
          <w:p w:rsidR="00EE1CC3" w:rsidRDefault="003E34D9" w:rsidP="00735BBD">
            <w:pPr>
              <w:jc w:val="center"/>
              <w:rPr>
                <w:rFonts w:ascii="宋体" w:eastAsia="宋体" w:hAnsi="宋体"/>
                <w:szCs w:val="18"/>
              </w:rPr>
            </w:pPr>
            <w:r>
              <w:rPr>
                <w:rFonts w:ascii="宋体" w:eastAsia="宋体" w:hAnsi="宋体" w:hint="eastAsia"/>
                <w:szCs w:val="18"/>
              </w:rPr>
              <w:t>广发</w:t>
            </w:r>
          </w:p>
        </w:tc>
        <w:tc>
          <w:tcPr>
            <w:tcW w:w="1055" w:type="dxa"/>
            <w:tcBorders>
              <w:top w:val="single" w:sz="4" w:space="0" w:color="00A0E9"/>
              <w:bottom w:val="single" w:sz="4" w:space="0" w:color="00A0E9"/>
            </w:tcBorders>
            <w:shd w:val="clear" w:color="auto" w:fill="auto"/>
            <w:vAlign w:val="center"/>
          </w:tcPr>
          <w:p w:rsidR="00EE1CC3" w:rsidRDefault="00EE1CC3" w:rsidP="00735BBD">
            <w:pPr>
              <w:jc w:val="center"/>
              <w:rPr>
                <w:rFonts w:ascii="宋体" w:eastAsia="宋体" w:hAnsi="宋体"/>
                <w:szCs w:val="18"/>
              </w:rPr>
            </w:pPr>
            <w:r>
              <w:rPr>
                <w:rFonts w:ascii="宋体" w:eastAsia="宋体" w:hAnsi="宋体" w:hint="eastAsia"/>
                <w:szCs w:val="18"/>
              </w:rPr>
              <w:t>20%</w:t>
            </w:r>
          </w:p>
        </w:tc>
        <w:tc>
          <w:tcPr>
            <w:tcW w:w="227" w:type="dxa"/>
            <w:vMerge/>
            <w:vAlign w:val="center"/>
          </w:tcPr>
          <w:p w:rsidR="00EE1CC3" w:rsidRPr="00ED22EB" w:rsidRDefault="00EE1CC3" w:rsidP="00735BBD">
            <w:pPr>
              <w:jc w:val="center"/>
              <w:rPr>
                <w:rFonts w:ascii="宋体" w:eastAsia="宋体" w:hAnsi="宋体"/>
                <w:szCs w:val="18"/>
              </w:rPr>
            </w:pPr>
          </w:p>
        </w:tc>
        <w:tc>
          <w:tcPr>
            <w:tcW w:w="1164" w:type="dxa"/>
            <w:tcBorders>
              <w:top w:val="single" w:sz="4" w:space="0" w:color="00A0E9"/>
              <w:bottom w:val="single" w:sz="4" w:space="0" w:color="00A0E9"/>
            </w:tcBorders>
            <w:shd w:val="clear" w:color="auto" w:fill="auto"/>
            <w:vAlign w:val="center"/>
          </w:tcPr>
          <w:p w:rsidR="00EE1CC3" w:rsidRPr="00A579E1" w:rsidRDefault="00EE1CC3" w:rsidP="00735BBD">
            <w:pPr>
              <w:jc w:val="center"/>
              <w:rPr>
                <w:rFonts w:ascii="宋体" w:eastAsia="宋体" w:hAnsi="宋体"/>
                <w:b/>
                <w:szCs w:val="18"/>
              </w:rPr>
            </w:pPr>
            <w:r>
              <w:rPr>
                <w:rFonts w:ascii="宋体" w:eastAsia="宋体" w:hAnsi="宋体" w:hint="eastAsia"/>
                <w:b/>
                <w:szCs w:val="18"/>
              </w:rPr>
              <w:t>南方多利</w:t>
            </w:r>
          </w:p>
        </w:tc>
        <w:tc>
          <w:tcPr>
            <w:tcW w:w="992" w:type="dxa"/>
            <w:tcBorders>
              <w:top w:val="single" w:sz="4" w:space="0" w:color="00A0E9"/>
              <w:bottom w:val="single" w:sz="4" w:space="0" w:color="00A0E9"/>
            </w:tcBorders>
            <w:shd w:val="clear" w:color="auto" w:fill="auto"/>
            <w:vAlign w:val="center"/>
          </w:tcPr>
          <w:p w:rsidR="00EE1CC3" w:rsidRPr="00C23493" w:rsidRDefault="00EE1CC3" w:rsidP="00735BBD">
            <w:pPr>
              <w:jc w:val="center"/>
              <w:rPr>
                <w:rFonts w:ascii="宋体" w:eastAsia="宋体" w:hAnsi="宋体"/>
                <w:szCs w:val="18"/>
              </w:rPr>
            </w:pPr>
            <w:r w:rsidRPr="00C23493">
              <w:rPr>
                <w:rFonts w:ascii="宋体" w:eastAsia="宋体" w:hAnsi="宋体" w:hint="eastAsia"/>
                <w:szCs w:val="18"/>
              </w:rPr>
              <w:t>债券</w:t>
            </w:r>
            <w:r w:rsidRPr="002C2E6E">
              <w:rPr>
                <w:rFonts w:ascii="楷体" w:eastAsia="楷体" w:hAnsi="楷体"/>
                <w:szCs w:val="18"/>
              </w:rPr>
              <w:t>-</w:t>
            </w:r>
            <w:r w:rsidRPr="00C23493">
              <w:rPr>
                <w:rFonts w:ascii="宋体" w:eastAsia="宋体" w:hAnsi="宋体" w:hint="eastAsia"/>
                <w:szCs w:val="18"/>
              </w:rPr>
              <w:t>新股申购型</w:t>
            </w:r>
          </w:p>
        </w:tc>
        <w:tc>
          <w:tcPr>
            <w:tcW w:w="1007" w:type="dxa"/>
            <w:tcBorders>
              <w:top w:val="single" w:sz="4" w:space="0" w:color="00A0E9"/>
              <w:bottom w:val="single" w:sz="4" w:space="0" w:color="00A0E9"/>
            </w:tcBorders>
            <w:shd w:val="clear" w:color="auto" w:fill="auto"/>
            <w:vAlign w:val="center"/>
          </w:tcPr>
          <w:p w:rsidR="00EE1CC3" w:rsidRPr="00B803C4" w:rsidRDefault="00EE1CC3" w:rsidP="00735BBD">
            <w:pPr>
              <w:jc w:val="center"/>
              <w:rPr>
                <w:rFonts w:ascii="宋体" w:eastAsia="宋体" w:hAnsi="宋体"/>
                <w:bCs/>
                <w:szCs w:val="18"/>
              </w:rPr>
            </w:pPr>
            <w:r>
              <w:rPr>
                <w:rFonts w:ascii="宋体" w:eastAsia="宋体" w:hAnsi="宋体" w:hint="eastAsia"/>
                <w:bCs/>
                <w:szCs w:val="18"/>
              </w:rPr>
              <w:t>李璇</w:t>
            </w:r>
          </w:p>
        </w:tc>
        <w:tc>
          <w:tcPr>
            <w:tcW w:w="1054" w:type="dxa"/>
            <w:tcBorders>
              <w:top w:val="single" w:sz="4" w:space="0" w:color="00A0E9"/>
              <w:bottom w:val="single" w:sz="4" w:space="0" w:color="00A0E9"/>
            </w:tcBorders>
            <w:shd w:val="clear" w:color="auto" w:fill="auto"/>
            <w:vAlign w:val="center"/>
          </w:tcPr>
          <w:p w:rsidR="00EE1CC3" w:rsidRPr="007B282B" w:rsidRDefault="00EE1CC3" w:rsidP="00735BBD">
            <w:pPr>
              <w:jc w:val="center"/>
              <w:rPr>
                <w:rFonts w:ascii="宋体" w:eastAsia="宋体" w:hAnsi="宋体"/>
                <w:bCs/>
                <w:szCs w:val="18"/>
              </w:rPr>
            </w:pPr>
            <w:r>
              <w:rPr>
                <w:rFonts w:ascii="宋体" w:eastAsia="宋体" w:hAnsi="宋体" w:hint="eastAsia"/>
                <w:bCs/>
                <w:szCs w:val="18"/>
              </w:rPr>
              <w:t>南方</w:t>
            </w:r>
          </w:p>
        </w:tc>
        <w:tc>
          <w:tcPr>
            <w:tcW w:w="1056" w:type="dxa"/>
            <w:tcBorders>
              <w:top w:val="single" w:sz="4" w:space="0" w:color="00A0E9"/>
              <w:bottom w:val="single" w:sz="4" w:space="0" w:color="00A0E9"/>
            </w:tcBorders>
            <w:shd w:val="clear" w:color="auto" w:fill="auto"/>
            <w:vAlign w:val="center"/>
          </w:tcPr>
          <w:p w:rsidR="00EE1CC3" w:rsidRPr="007B282B" w:rsidRDefault="00532858" w:rsidP="00735BBD">
            <w:pPr>
              <w:jc w:val="center"/>
              <w:rPr>
                <w:rFonts w:ascii="宋体" w:eastAsia="宋体" w:hAnsi="宋体"/>
              </w:rPr>
            </w:pPr>
            <w:r>
              <w:rPr>
                <w:rFonts w:ascii="宋体" w:eastAsia="宋体" w:hAnsi="宋体" w:hint="eastAsia"/>
              </w:rPr>
              <w:t>20</w:t>
            </w:r>
            <w:r w:rsidR="00EE1CC3">
              <w:rPr>
                <w:rFonts w:ascii="宋体" w:eastAsia="宋体" w:hAnsi="宋体" w:hint="eastAsia"/>
              </w:rPr>
              <w:t>%</w:t>
            </w:r>
          </w:p>
        </w:tc>
      </w:tr>
      <w:tr w:rsidR="00EE1CC3" w:rsidRPr="001961D3" w:rsidTr="00735BBD">
        <w:trPr>
          <w:cantSplit/>
          <w:trHeight w:val="690"/>
        </w:trPr>
        <w:tc>
          <w:tcPr>
            <w:tcW w:w="5272" w:type="dxa"/>
            <w:gridSpan w:val="5"/>
            <w:tcBorders>
              <w:top w:val="single" w:sz="4" w:space="0" w:color="00A0E9"/>
              <w:bottom w:val="single" w:sz="4" w:space="0" w:color="00A0E9"/>
            </w:tcBorders>
            <w:shd w:val="clear" w:color="auto" w:fill="auto"/>
            <w:vAlign w:val="center"/>
          </w:tcPr>
          <w:p w:rsidR="00EE1CC3" w:rsidRPr="00DB0AFF" w:rsidRDefault="00EE1CC3" w:rsidP="00044649">
            <w:pPr>
              <w:jc w:val="left"/>
              <w:rPr>
                <w:rFonts w:ascii="宋体" w:eastAsia="宋体" w:hAnsi="宋体"/>
                <w:bCs/>
                <w:szCs w:val="18"/>
              </w:rPr>
            </w:pPr>
            <w:r w:rsidRPr="00187785">
              <w:rPr>
                <w:rFonts w:ascii="宋体" w:eastAsia="宋体" w:hAnsi="宋体" w:hint="eastAsia"/>
                <w:b/>
                <w:bCs/>
                <w:szCs w:val="18"/>
              </w:rPr>
              <w:t>组合说明：</w:t>
            </w:r>
            <w:r>
              <w:rPr>
                <w:rFonts w:ascii="宋体" w:eastAsia="宋体" w:hAnsi="宋体" w:hint="eastAsia"/>
                <w:bCs/>
                <w:szCs w:val="18"/>
              </w:rPr>
              <w:t>本月进攻性</w:t>
            </w:r>
            <w:r w:rsidRPr="00EF7A42">
              <w:rPr>
                <w:rFonts w:ascii="宋体" w:eastAsia="宋体" w:hAnsi="宋体" w:hint="eastAsia"/>
                <w:bCs/>
                <w:szCs w:val="18"/>
              </w:rPr>
              <w:t>组合</w:t>
            </w:r>
            <w:r w:rsidR="00044649">
              <w:rPr>
                <w:rFonts w:ascii="宋体" w:eastAsia="宋体" w:hAnsi="宋体" w:hint="eastAsia"/>
                <w:bCs/>
                <w:szCs w:val="18"/>
              </w:rPr>
              <w:t>调入嘉实领先成长</w:t>
            </w:r>
            <w:r w:rsidR="00AB7114">
              <w:rPr>
                <w:rFonts w:ascii="宋体" w:eastAsia="宋体" w:hAnsi="宋体" w:hint="eastAsia"/>
                <w:bCs/>
                <w:szCs w:val="18"/>
              </w:rPr>
              <w:t>。</w:t>
            </w:r>
            <w:r>
              <w:rPr>
                <w:rFonts w:ascii="宋体" w:eastAsia="宋体" w:hAnsi="宋体" w:hint="eastAsia"/>
                <w:bCs/>
                <w:szCs w:val="18"/>
              </w:rPr>
              <w:t>组合适当侧重</w:t>
            </w:r>
            <w:r w:rsidR="00BA7382">
              <w:rPr>
                <w:rFonts w:ascii="宋体" w:eastAsia="宋体" w:hAnsi="宋体" w:hint="eastAsia"/>
                <w:bCs/>
                <w:szCs w:val="18"/>
              </w:rPr>
              <w:t>平衡型</w:t>
            </w:r>
            <w:r w:rsidR="00044649">
              <w:rPr>
                <w:rFonts w:ascii="宋体" w:eastAsia="宋体" w:hAnsi="宋体" w:hint="eastAsia"/>
                <w:bCs/>
                <w:szCs w:val="18"/>
              </w:rPr>
              <w:t>以及灵活型产品</w:t>
            </w:r>
            <w:r w:rsidR="00BA7382">
              <w:rPr>
                <w:rFonts w:ascii="宋体" w:eastAsia="宋体" w:hAnsi="宋体" w:hint="eastAsia"/>
                <w:bCs/>
                <w:szCs w:val="18"/>
              </w:rPr>
              <w:t>，</w:t>
            </w:r>
            <w:r w:rsidR="00044649">
              <w:rPr>
                <w:rFonts w:ascii="宋体" w:eastAsia="宋体" w:hAnsi="宋体" w:hint="eastAsia"/>
                <w:bCs/>
                <w:szCs w:val="18"/>
              </w:rPr>
              <w:t>整体风格相对</w:t>
            </w:r>
            <w:r w:rsidR="00AB7114">
              <w:rPr>
                <w:rFonts w:ascii="宋体" w:eastAsia="宋体" w:hAnsi="宋体" w:hint="eastAsia"/>
                <w:bCs/>
                <w:szCs w:val="18"/>
              </w:rPr>
              <w:t>稳健</w:t>
            </w:r>
            <w:r>
              <w:rPr>
                <w:rFonts w:ascii="宋体" w:eastAsia="宋体" w:hAnsi="宋体" w:hint="eastAsia"/>
                <w:bCs/>
                <w:szCs w:val="18"/>
              </w:rPr>
              <w:t>。其中，光大配置相对均衡，风险收益配比较好，且具备较强的选股能力；</w:t>
            </w:r>
            <w:r w:rsidR="00BA7382">
              <w:rPr>
                <w:rFonts w:ascii="宋体" w:eastAsia="宋体" w:hAnsi="宋体" w:hint="eastAsia"/>
                <w:bCs/>
                <w:szCs w:val="18"/>
              </w:rPr>
              <w:t>广发行业</w:t>
            </w:r>
            <w:r w:rsidR="00AB7114">
              <w:rPr>
                <w:rFonts w:ascii="宋体" w:eastAsia="宋体" w:hAnsi="宋体" w:hint="eastAsia"/>
                <w:bCs/>
                <w:szCs w:val="18"/>
              </w:rPr>
              <w:t>侧重中游制造业</w:t>
            </w:r>
            <w:r w:rsidR="00BA7382">
              <w:rPr>
                <w:rFonts w:ascii="宋体" w:eastAsia="宋体" w:hAnsi="宋体" w:hint="eastAsia"/>
                <w:bCs/>
                <w:szCs w:val="18"/>
              </w:rPr>
              <w:t>，基金经理注重灵活操作；</w:t>
            </w:r>
            <w:r>
              <w:rPr>
                <w:rFonts w:ascii="宋体" w:eastAsia="宋体" w:hAnsi="宋体" w:hint="eastAsia"/>
                <w:bCs/>
                <w:szCs w:val="18"/>
              </w:rPr>
              <w:t>大</w:t>
            </w:r>
            <w:proofErr w:type="gramStart"/>
            <w:r>
              <w:rPr>
                <w:rFonts w:ascii="宋体" w:eastAsia="宋体" w:hAnsi="宋体" w:hint="eastAsia"/>
                <w:bCs/>
                <w:szCs w:val="18"/>
              </w:rPr>
              <w:t>摩主题</w:t>
            </w:r>
            <w:proofErr w:type="gramEnd"/>
            <w:r>
              <w:rPr>
                <w:rFonts w:ascii="宋体" w:eastAsia="宋体" w:hAnsi="宋体" w:hint="eastAsia"/>
                <w:bCs/>
                <w:szCs w:val="18"/>
              </w:rPr>
              <w:t>对主题投资以及市场热点有不错的把握；</w:t>
            </w:r>
            <w:r w:rsidR="00044649">
              <w:rPr>
                <w:rFonts w:ascii="宋体" w:eastAsia="宋体" w:hAnsi="宋体" w:hint="eastAsia"/>
                <w:bCs/>
                <w:szCs w:val="18"/>
              </w:rPr>
              <w:t>嘉实领先</w:t>
            </w:r>
            <w:proofErr w:type="gramStart"/>
            <w:r w:rsidR="00044649">
              <w:rPr>
                <w:rFonts w:ascii="宋体" w:eastAsia="宋体" w:hAnsi="宋体" w:hint="eastAsia"/>
                <w:bCs/>
                <w:szCs w:val="18"/>
              </w:rPr>
              <w:t>侧重低</w:t>
            </w:r>
            <w:proofErr w:type="gramEnd"/>
            <w:r w:rsidR="00044649">
              <w:rPr>
                <w:rFonts w:ascii="宋体" w:eastAsia="宋体" w:hAnsi="宋体" w:hint="eastAsia"/>
                <w:bCs/>
                <w:szCs w:val="18"/>
              </w:rPr>
              <w:t>估值成长股，基金经理风格相对稳健且注重中长期选股收益</w:t>
            </w:r>
            <w:r>
              <w:rPr>
                <w:rFonts w:ascii="宋体" w:eastAsia="宋体" w:hAnsi="宋体" w:hint="eastAsia"/>
                <w:bCs/>
                <w:szCs w:val="18"/>
              </w:rPr>
              <w:t>；宝盈策略在个股自下而上的把握</w:t>
            </w:r>
            <w:r w:rsidR="00AB7114">
              <w:rPr>
                <w:rFonts w:ascii="宋体" w:eastAsia="宋体" w:hAnsi="宋体" w:hint="eastAsia"/>
                <w:bCs/>
                <w:szCs w:val="18"/>
              </w:rPr>
              <w:t>以及前瞻性布局上</w:t>
            </w:r>
            <w:r>
              <w:rPr>
                <w:rFonts w:ascii="宋体" w:eastAsia="宋体" w:hAnsi="宋体" w:hint="eastAsia"/>
                <w:bCs/>
                <w:szCs w:val="18"/>
              </w:rPr>
              <w:t>均具备优势。</w:t>
            </w:r>
          </w:p>
        </w:tc>
        <w:tc>
          <w:tcPr>
            <w:tcW w:w="227" w:type="dxa"/>
          </w:tcPr>
          <w:p w:rsidR="00EE1CC3" w:rsidRPr="004334C6" w:rsidRDefault="00EE1CC3" w:rsidP="00735BBD">
            <w:pPr>
              <w:jc w:val="center"/>
            </w:pPr>
          </w:p>
        </w:tc>
        <w:tc>
          <w:tcPr>
            <w:tcW w:w="5273" w:type="dxa"/>
            <w:gridSpan w:val="5"/>
            <w:tcBorders>
              <w:top w:val="single" w:sz="4" w:space="0" w:color="00A0E9"/>
              <w:bottom w:val="single" w:sz="4" w:space="0" w:color="00A0E9"/>
            </w:tcBorders>
            <w:shd w:val="clear" w:color="auto" w:fill="auto"/>
            <w:vAlign w:val="center"/>
          </w:tcPr>
          <w:p w:rsidR="00EE1CC3" w:rsidRPr="001F4758" w:rsidRDefault="00EE1CC3" w:rsidP="00044649">
            <w:pPr>
              <w:jc w:val="left"/>
              <w:rPr>
                <w:rFonts w:ascii="宋体" w:eastAsia="宋体" w:hAnsi="宋体" w:cs="宋体"/>
                <w:b/>
                <w:bCs/>
                <w:szCs w:val="18"/>
              </w:rPr>
            </w:pPr>
            <w:r w:rsidRPr="001F4758">
              <w:rPr>
                <w:rFonts w:ascii="宋体" w:eastAsia="宋体" w:hAnsi="宋体" w:hint="eastAsia"/>
                <w:b/>
                <w:bCs/>
                <w:szCs w:val="18"/>
              </w:rPr>
              <w:t>组合说明：</w:t>
            </w:r>
            <w:r w:rsidRPr="001F4758">
              <w:rPr>
                <w:rFonts w:ascii="宋体" w:eastAsia="宋体" w:hAnsi="宋体" w:hint="eastAsia"/>
                <w:bCs/>
                <w:szCs w:val="18"/>
              </w:rPr>
              <w:t>防御型组合本月</w:t>
            </w:r>
            <w:r w:rsidR="00044649">
              <w:rPr>
                <w:rFonts w:ascii="宋体" w:eastAsia="宋体" w:hAnsi="宋体" w:hint="eastAsia"/>
                <w:bCs/>
                <w:szCs w:val="18"/>
              </w:rPr>
              <w:t>不进行调整</w:t>
            </w:r>
            <w:r>
              <w:rPr>
                <w:rFonts w:ascii="宋体" w:eastAsia="宋体" w:hAnsi="宋体" w:hint="eastAsia"/>
                <w:bCs/>
                <w:szCs w:val="18"/>
              </w:rPr>
              <w:t>，组合风格</w:t>
            </w:r>
            <w:r w:rsidR="00532858">
              <w:rPr>
                <w:rFonts w:ascii="宋体" w:eastAsia="宋体" w:hAnsi="宋体" w:hint="eastAsia"/>
                <w:bCs/>
                <w:szCs w:val="18"/>
              </w:rPr>
              <w:t>相对</w:t>
            </w:r>
            <w:proofErr w:type="gramStart"/>
            <w:r w:rsidR="00532858">
              <w:rPr>
                <w:rFonts w:ascii="宋体" w:eastAsia="宋体" w:hAnsi="宋体" w:hint="eastAsia"/>
                <w:bCs/>
                <w:szCs w:val="18"/>
              </w:rPr>
              <w:t>侧重低</w:t>
            </w:r>
            <w:proofErr w:type="gramEnd"/>
            <w:r w:rsidR="00532858">
              <w:rPr>
                <w:rFonts w:ascii="宋体" w:eastAsia="宋体" w:hAnsi="宋体" w:hint="eastAsia"/>
                <w:bCs/>
                <w:szCs w:val="18"/>
              </w:rPr>
              <w:t>估值价值类股票</w:t>
            </w:r>
            <w:r w:rsidR="00BA7382">
              <w:rPr>
                <w:rFonts w:ascii="宋体" w:eastAsia="宋体" w:hAnsi="宋体" w:hint="eastAsia"/>
                <w:bCs/>
                <w:szCs w:val="18"/>
              </w:rPr>
              <w:t>，权益类资产的配置比例</w:t>
            </w:r>
            <w:r w:rsidR="00044649">
              <w:rPr>
                <w:rFonts w:ascii="宋体" w:eastAsia="宋体" w:hAnsi="宋体" w:hint="eastAsia"/>
                <w:bCs/>
                <w:szCs w:val="18"/>
              </w:rPr>
              <w:t>为</w:t>
            </w:r>
            <w:r w:rsidR="00532858">
              <w:rPr>
                <w:rFonts w:ascii="宋体" w:eastAsia="宋体" w:hAnsi="宋体" w:hint="eastAsia"/>
                <w:bCs/>
                <w:szCs w:val="18"/>
              </w:rPr>
              <w:t>标配</w:t>
            </w:r>
            <w:r w:rsidRPr="001F4758">
              <w:rPr>
                <w:rFonts w:ascii="宋体" w:eastAsia="宋体" w:hAnsi="宋体" w:hint="eastAsia"/>
                <w:bCs/>
                <w:szCs w:val="18"/>
              </w:rPr>
              <w:t>。组合内华安逆向的投资较为灵活，</w:t>
            </w:r>
            <w:r>
              <w:rPr>
                <w:rFonts w:ascii="宋体" w:eastAsia="宋体" w:hAnsi="宋体" w:hint="eastAsia"/>
                <w:bCs/>
                <w:szCs w:val="18"/>
              </w:rPr>
              <w:t>对风格轮动、行业轮动以及主题轮动有不错的把握</w:t>
            </w:r>
            <w:r w:rsidR="00BA7382">
              <w:rPr>
                <w:rFonts w:ascii="宋体" w:eastAsia="宋体" w:hAnsi="宋体" w:hint="eastAsia"/>
                <w:bCs/>
                <w:szCs w:val="18"/>
              </w:rPr>
              <w:t>；</w:t>
            </w:r>
            <w:r w:rsidR="00532858">
              <w:rPr>
                <w:rFonts w:ascii="宋体" w:eastAsia="宋体" w:hAnsi="宋体" w:hint="eastAsia"/>
                <w:bCs/>
                <w:szCs w:val="18"/>
              </w:rPr>
              <w:t>嘉实领先</w:t>
            </w:r>
            <w:proofErr w:type="gramStart"/>
            <w:r w:rsidR="00532858">
              <w:rPr>
                <w:rFonts w:ascii="宋体" w:eastAsia="宋体" w:hAnsi="宋体" w:hint="eastAsia"/>
                <w:bCs/>
                <w:szCs w:val="18"/>
              </w:rPr>
              <w:t>侧重低</w:t>
            </w:r>
            <w:proofErr w:type="gramEnd"/>
            <w:r w:rsidR="00532858">
              <w:rPr>
                <w:rFonts w:ascii="宋体" w:eastAsia="宋体" w:hAnsi="宋体" w:hint="eastAsia"/>
                <w:bCs/>
                <w:szCs w:val="18"/>
              </w:rPr>
              <w:t>估值成长股，基金经理风格相对稳健且注重中长期选股收益</w:t>
            </w:r>
            <w:r w:rsidR="00BA7382">
              <w:rPr>
                <w:rFonts w:ascii="宋体" w:eastAsia="宋体" w:hAnsi="宋体" w:hint="eastAsia"/>
                <w:bCs/>
                <w:szCs w:val="18"/>
              </w:rPr>
              <w:t>；</w:t>
            </w:r>
            <w:r w:rsidR="00532858">
              <w:rPr>
                <w:rFonts w:ascii="宋体" w:eastAsia="宋体" w:hAnsi="宋体" w:hint="eastAsia"/>
                <w:bCs/>
                <w:szCs w:val="18"/>
              </w:rPr>
              <w:t>富国天成</w:t>
            </w:r>
            <w:r w:rsidR="00532858" w:rsidRPr="009A36BC">
              <w:rPr>
                <w:rFonts w:ascii="宋体" w:eastAsia="宋体" w:hAnsi="宋体" w:hint="eastAsia"/>
                <w:szCs w:val="18"/>
              </w:rPr>
              <w:t>股票</w:t>
            </w:r>
            <w:proofErr w:type="gramStart"/>
            <w:r w:rsidR="00532858" w:rsidRPr="009A36BC">
              <w:rPr>
                <w:rFonts w:ascii="宋体" w:eastAsia="宋体" w:hAnsi="宋体" w:hint="eastAsia"/>
                <w:szCs w:val="18"/>
              </w:rPr>
              <w:t>仓位</w:t>
            </w:r>
            <w:proofErr w:type="gramEnd"/>
            <w:r w:rsidR="00532858" w:rsidRPr="009A36BC">
              <w:rPr>
                <w:rFonts w:ascii="宋体" w:eastAsia="宋体" w:hAnsi="宋体" w:hint="eastAsia"/>
                <w:szCs w:val="18"/>
              </w:rPr>
              <w:t>适中，风险控制能力较强，侧重稳健成长类风格股票和低估值</w:t>
            </w:r>
            <w:r w:rsidR="00532858">
              <w:rPr>
                <w:rFonts w:ascii="宋体" w:eastAsia="宋体" w:hAnsi="宋体" w:hint="eastAsia"/>
                <w:szCs w:val="18"/>
              </w:rPr>
              <w:t>蓝筹股</w:t>
            </w:r>
            <w:r w:rsidR="00B0659A">
              <w:rPr>
                <w:rFonts w:ascii="宋体" w:eastAsia="宋体" w:hAnsi="宋体" w:hint="eastAsia"/>
                <w:bCs/>
                <w:szCs w:val="18"/>
              </w:rPr>
              <w:t>；</w:t>
            </w:r>
            <w:r w:rsidRPr="001F4758">
              <w:rPr>
                <w:rFonts w:ascii="宋体" w:eastAsia="宋体" w:hAnsi="宋体" w:hint="eastAsia"/>
                <w:bCs/>
                <w:szCs w:val="18"/>
              </w:rPr>
              <w:t>此外，两只债券型基金占据</w:t>
            </w:r>
            <w:r w:rsidR="00532858">
              <w:rPr>
                <w:rFonts w:ascii="宋体" w:eastAsia="宋体" w:hAnsi="宋体" w:hint="eastAsia"/>
                <w:bCs/>
                <w:szCs w:val="18"/>
              </w:rPr>
              <w:t>40</w:t>
            </w:r>
            <w:r w:rsidRPr="001F4758">
              <w:rPr>
                <w:rFonts w:ascii="宋体" w:eastAsia="宋体" w:hAnsi="宋体" w:hint="eastAsia"/>
                <w:bCs/>
                <w:szCs w:val="18"/>
              </w:rPr>
              <w:t>%的比例作为防御部分的配置。</w:t>
            </w:r>
          </w:p>
        </w:tc>
      </w:tr>
      <w:tr w:rsidR="00EE1CC3" w:rsidRPr="00A067AA" w:rsidTr="00735BBD">
        <w:tblPrEx>
          <w:tblBorders>
            <w:top w:val="single" w:sz="4" w:space="0" w:color="00A0E9"/>
            <w:insideH w:val="single" w:sz="4" w:space="0" w:color="00A0E9"/>
            <w:insideV w:val="single" w:sz="4" w:space="0" w:color="00A0E9"/>
          </w:tblBorders>
        </w:tblPrEx>
        <w:trPr>
          <w:cantSplit/>
          <w:trHeight w:val="200"/>
        </w:trPr>
        <w:tc>
          <w:tcPr>
            <w:tcW w:w="10772" w:type="dxa"/>
            <w:gridSpan w:val="11"/>
            <w:shd w:val="clear" w:color="auto" w:fill="auto"/>
            <w:vAlign w:val="center"/>
          </w:tcPr>
          <w:p w:rsidR="00EE1CC3" w:rsidRPr="00A067AA" w:rsidRDefault="00EE1CC3" w:rsidP="00735BBD">
            <w:pPr>
              <w:pStyle w:val="FootnoteNoline"/>
              <w:ind w:left="0"/>
            </w:pPr>
            <w:r>
              <w:rPr>
                <w:rFonts w:hint="eastAsia"/>
              </w:rPr>
              <w:t>来源：国金证券研究所</w:t>
            </w:r>
          </w:p>
        </w:tc>
      </w:tr>
    </w:tbl>
    <w:p w:rsidR="00EE1CC3" w:rsidRPr="00A067AA" w:rsidRDefault="00EE1CC3" w:rsidP="00EE1CC3">
      <w:pPr>
        <w:pStyle w:val="a0"/>
        <w:ind w:left="0"/>
      </w:pPr>
    </w:p>
    <w:tbl>
      <w:tblPr>
        <w:tblpPr w:leftFromText="180" w:rightFromText="180" w:vertAnchor="text" w:tblpY="1"/>
        <w:tblOverlap w:val="never"/>
        <w:tblW w:w="10772" w:type="dxa"/>
        <w:tblLayout w:type="fixed"/>
        <w:tblCellMar>
          <w:left w:w="0" w:type="dxa"/>
          <w:right w:w="0" w:type="dxa"/>
        </w:tblCellMar>
        <w:tblLook w:val="0000" w:firstRow="0" w:lastRow="0" w:firstColumn="0" w:lastColumn="0" w:noHBand="0" w:noVBand="0"/>
      </w:tblPr>
      <w:tblGrid>
        <w:gridCol w:w="1054"/>
        <w:gridCol w:w="1054"/>
        <w:gridCol w:w="1055"/>
        <w:gridCol w:w="1054"/>
        <w:gridCol w:w="1055"/>
        <w:gridCol w:w="227"/>
        <w:gridCol w:w="1054"/>
        <w:gridCol w:w="1054"/>
        <w:gridCol w:w="1055"/>
        <w:gridCol w:w="1054"/>
        <w:gridCol w:w="1056"/>
      </w:tblGrid>
      <w:tr w:rsidR="00EE1CC3" w:rsidTr="00735BBD">
        <w:trPr>
          <w:cantSplit/>
          <w:trHeight w:val="200"/>
        </w:trPr>
        <w:tc>
          <w:tcPr>
            <w:tcW w:w="5272" w:type="dxa"/>
            <w:gridSpan w:val="5"/>
            <w:tcBorders>
              <w:top w:val="single" w:sz="4" w:space="0" w:color="00A0E9"/>
              <w:bottom w:val="single" w:sz="4" w:space="0" w:color="00A0E9"/>
            </w:tcBorders>
            <w:shd w:val="clear" w:color="auto" w:fill="auto"/>
          </w:tcPr>
          <w:p w:rsidR="00EE1CC3" w:rsidRDefault="00EE1CC3" w:rsidP="00B660C2">
            <w:pPr>
              <w:pStyle w:val="SubTitleLargeTable"/>
            </w:pPr>
            <w:r>
              <w:rPr>
                <w:rFonts w:hint="eastAsia"/>
              </w:rPr>
              <w:t>图表</w:t>
            </w:r>
            <w:r w:rsidR="00327CFE">
              <w:fldChar w:fldCharType="begin"/>
            </w:r>
            <w:r>
              <w:instrText xml:space="preserve"> </w:instrText>
            </w:r>
            <w:r>
              <w:rPr>
                <w:rFonts w:hint="eastAsia"/>
              </w:rPr>
              <w:instrText xml:space="preserve">SEQ </w:instrText>
            </w:r>
            <w:r>
              <w:rPr>
                <w:rFonts w:hint="eastAsia"/>
              </w:rPr>
              <w:instrText>图表</w:instrText>
            </w:r>
            <w:r>
              <w:rPr>
                <w:rFonts w:hint="eastAsia"/>
              </w:rPr>
              <w:instrText xml:space="preserve"> \* ARABIC</w:instrText>
            </w:r>
            <w:r>
              <w:instrText xml:space="preserve"> </w:instrText>
            </w:r>
            <w:r w:rsidR="00327CFE">
              <w:fldChar w:fldCharType="separate"/>
            </w:r>
            <w:r w:rsidR="00665430">
              <w:rPr>
                <w:noProof/>
              </w:rPr>
              <w:t>7</w:t>
            </w:r>
            <w:r w:rsidR="00327CFE">
              <w:fldChar w:fldCharType="end"/>
            </w:r>
            <w:r>
              <w:rPr>
                <w:rFonts w:hint="eastAsia"/>
              </w:rPr>
              <w:t>：</w:t>
            </w:r>
            <w:r>
              <w:rPr>
                <w:rFonts w:hint="eastAsia"/>
              </w:rPr>
              <w:t>150</w:t>
            </w:r>
            <w:r w:rsidR="00B660C2">
              <w:rPr>
                <w:rFonts w:hint="eastAsia"/>
              </w:rPr>
              <w:t>6</w:t>
            </w:r>
            <w:r>
              <w:rPr>
                <w:rFonts w:hint="eastAsia"/>
              </w:rPr>
              <w:t>期灵活配置组合</w:t>
            </w:r>
          </w:p>
        </w:tc>
        <w:tc>
          <w:tcPr>
            <w:tcW w:w="227" w:type="dxa"/>
          </w:tcPr>
          <w:p w:rsidR="00EE1CC3" w:rsidRPr="00816267" w:rsidRDefault="00EE1CC3" w:rsidP="00735BBD">
            <w:pPr>
              <w:pStyle w:val="a0"/>
              <w:spacing w:after="0" w:line="10" w:lineRule="atLeast"/>
              <w:ind w:left="0"/>
              <w:jc w:val="center"/>
              <w:rPr>
                <w:rFonts w:cs="Arial"/>
                <w:color w:val="auto"/>
              </w:rPr>
            </w:pPr>
          </w:p>
        </w:tc>
        <w:tc>
          <w:tcPr>
            <w:tcW w:w="5273" w:type="dxa"/>
            <w:gridSpan w:val="5"/>
            <w:tcBorders>
              <w:top w:val="single" w:sz="4" w:space="0" w:color="00A0E9"/>
              <w:bottom w:val="single" w:sz="4" w:space="0" w:color="00A0E9"/>
            </w:tcBorders>
            <w:shd w:val="clear" w:color="auto" w:fill="auto"/>
          </w:tcPr>
          <w:p w:rsidR="00EE1CC3" w:rsidRDefault="00EE1CC3" w:rsidP="00735BBD">
            <w:pPr>
              <w:pStyle w:val="SubTitleLargeTable"/>
            </w:pPr>
          </w:p>
        </w:tc>
      </w:tr>
      <w:tr w:rsidR="00EE1CC3" w:rsidRPr="004922F9" w:rsidTr="00735BBD">
        <w:trPr>
          <w:cantSplit/>
          <w:trHeight w:val="340"/>
        </w:trPr>
        <w:tc>
          <w:tcPr>
            <w:tcW w:w="1054" w:type="dxa"/>
            <w:tcBorders>
              <w:top w:val="single" w:sz="4" w:space="0" w:color="00A0E9"/>
              <w:bottom w:val="single" w:sz="4" w:space="0" w:color="00A0E9"/>
            </w:tcBorders>
            <w:shd w:val="clear" w:color="auto" w:fill="auto"/>
            <w:vAlign w:val="center"/>
          </w:tcPr>
          <w:p w:rsidR="00EE1CC3" w:rsidRPr="004922F9" w:rsidRDefault="00EE1CC3" w:rsidP="00735BBD">
            <w:pPr>
              <w:jc w:val="center"/>
              <w:rPr>
                <w:rFonts w:ascii="宋体" w:eastAsia="宋体" w:hAnsi="宋体"/>
                <w:b/>
                <w:szCs w:val="18"/>
              </w:rPr>
            </w:pPr>
            <w:r w:rsidRPr="004922F9">
              <w:rPr>
                <w:rFonts w:ascii="宋体" w:eastAsia="宋体" w:hAnsi="宋体" w:hint="eastAsia"/>
                <w:b/>
                <w:szCs w:val="18"/>
              </w:rPr>
              <w:t>基金名称</w:t>
            </w:r>
          </w:p>
        </w:tc>
        <w:tc>
          <w:tcPr>
            <w:tcW w:w="1054" w:type="dxa"/>
            <w:tcBorders>
              <w:top w:val="single" w:sz="4" w:space="0" w:color="00A0E9"/>
              <w:bottom w:val="single" w:sz="4" w:space="0" w:color="00A0E9"/>
            </w:tcBorders>
            <w:shd w:val="clear" w:color="auto" w:fill="auto"/>
            <w:vAlign w:val="center"/>
          </w:tcPr>
          <w:p w:rsidR="00EE1CC3" w:rsidRPr="004922F9" w:rsidRDefault="00EE1CC3" w:rsidP="00735BBD">
            <w:pPr>
              <w:jc w:val="center"/>
              <w:rPr>
                <w:rFonts w:ascii="宋体" w:eastAsia="宋体" w:hAnsi="宋体"/>
                <w:b/>
                <w:szCs w:val="18"/>
              </w:rPr>
            </w:pPr>
            <w:r>
              <w:rPr>
                <w:rFonts w:ascii="宋体" w:eastAsia="宋体" w:hAnsi="宋体" w:hint="eastAsia"/>
                <w:b/>
                <w:szCs w:val="18"/>
              </w:rPr>
              <w:t>基金</w:t>
            </w:r>
            <w:r w:rsidRPr="004922F9">
              <w:rPr>
                <w:rFonts w:ascii="宋体" w:eastAsia="宋体" w:hAnsi="宋体" w:hint="eastAsia"/>
                <w:b/>
                <w:szCs w:val="18"/>
              </w:rPr>
              <w:t>类型</w:t>
            </w:r>
          </w:p>
        </w:tc>
        <w:tc>
          <w:tcPr>
            <w:tcW w:w="1055" w:type="dxa"/>
            <w:tcBorders>
              <w:top w:val="single" w:sz="4" w:space="0" w:color="00A0E9"/>
              <w:bottom w:val="single" w:sz="4" w:space="0" w:color="00A0E9"/>
            </w:tcBorders>
            <w:shd w:val="clear" w:color="auto" w:fill="auto"/>
            <w:vAlign w:val="center"/>
          </w:tcPr>
          <w:p w:rsidR="00EE1CC3" w:rsidRPr="004922F9" w:rsidRDefault="00EE1CC3" w:rsidP="00735BBD">
            <w:pPr>
              <w:jc w:val="center"/>
              <w:rPr>
                <w:rFonts w:ascii="宋体" w:eastAsia="宋体" w:hAnsi="宋体"/>
                <w:b/>
                <w:szCs w:val="18"/>
              </w:rPr>
            </w:pPr>
            <w:r w:rsidRPr="004922F9">
              <w:rPr>
                <w:rFonts w:ascii="宋体" w:eastAsia="宋体" w:hAnsi="宋体" w:hint="eastAsia"/>
                <w:b/>
                <w:szCs w:val="18"/>
              </w:rPr>
              <w:t>基金经理</w:t>
            </w:r>
          </w:p>
        </w:tc>
        <w:tc>
          <w:tcPr>
            <w:tcW w:w="1054" w:type="dxa"/>
            <w:tcBorders>
              <w:top w:val="single" w:sz="4" w:space="0" w:color="00A0E9"/>
              <w:bottom w:val="single" w:sz="4" w:space="0" w:color="00A0E9"/>
            </w:tcBorders>
            <w:shd w:val="clear" w:color="auto" w:fill="auto"/>
            <w:vAlign w:val="center"/>
          </w:tcPr>
          <w:p w:rsidR="00EE1CC3" w:rsidRPr="004922F9" w:rsidRDefault="00EE1CC3" w:rsidP="00735BBD">
            <w:pPr>
              <w:jc w:val="center"/>
              <w:rPr>
                <w:rFonts w:ascii="宋体" w:eastAsia="宋体" w:hAnsi="宋体"/>
                <w:b/>
                <w:szCs w:val="18"/>
              </w:rPr>
            </w:pPr>
            <w:r w:rsidRPr="004922F9">
              <w:rPr>
                <w:rFonts w:ascii="宋体" w:eastAsia="宋体" w:hAnsi="宋体" w:hint="eastAsia"/>
                <w:b/>
                <w:szCs w:val="18"/>
              </w:rPr>
              <w:t>基金公司</w:t>
            </w:r>
          </w:p>
        </w:tc>
        <w:tc>
          <w:tcPr>
            <w:tcW w:w="1055" w:type="dxa"/>
            <w:tcBorders>
              <w:top w:val="single" w:sz="4" w:space="0" w:color="00A0E9"/>
              <w:bottom w:val="single" w:sz="4" w:space="0" w:color="00A0E9"/>
            </w:tcBorders>
            <w:shd w:val="clear" w:color="auto" w:fill="auto"/>
            <w:vAlign w:val="center"/>
          </w:tcPr>
          <w:p w:rsidR="00EE1CC3" w:rsidRPr="004922F9" w:rsidRDefault="00EE1CC3" w:rsidP="00735BBD">
            <w:pPr>
              <w:jc w:val="center"/>
              <w:rPr>
                <w:rFonts w:ascii="宋体" w:eastAsia="宋体" w:hAnsi="宋体"/>
                <w:b/>
                <w:szCs w:val="18"/>
              </w:rPr>
            </w:pPr>
            <w:r w:rsidRPr="004922F9">
              <w:rPr>
                <w:rFonts w:ascii="宋体" w:eastAsia="宋体" w:hAnsi="宋体" w:hint="eastAsia"/>
                <w:b/>
                <w:szCs w:val="18"/>
              </w:rPr>
              <w:t>投资权重</w:t>
            </w:r>
          </w:p>
        </w:tc>
        <w:tc>
          <w:tcPr>
            <w:tcW w:w="227" w:type="dxa"/>
            <w:vMerge w:val="restart"/>
            <w:vAlign w:val="center"/>
          </w:tcPr>
          <w:p w:rsidR="00EE1CC3" w:rsidRPr="001961D3" w:rsidRDefault="00EE1CC3" w:rsidP="00735BBD">
            <w:pPr>
              <w:jc w:val="center"/>
            </w:pPr>
          </w:p>
        </w:tc>
        <w:tc>
          <w:tcPr>
            <w:tcW w:w="1054" w:type="dxa"/>
            <w:tcBorders>
              <w:top w:val="single" w:sz="4" w:space="0" w:color="00A0E9"/>
              <w:bottom w:val="single" w:sz="4" w:space="0" w:color="00A0E9"/>
            </w:tcBorders>
            <w:shd w:val="clear" w:color="auto" w:fill="auto"/>
            <w:vAlign w:val="center"/>
          </w:tcPr>
          <w:p w:rsidR="00EE1CC3" w:rsidRPr="004922F9" w:rsidRDefault="00EE1CC3" w:rsidP="00735BBD">
            <w:pPr>
              <w:jc w:val="center"/>
              <w:rPr>
                <w:rFonts w:ascii="宋体" w:eastAsia="宋体" w:hAnsi="宋体"/>
                <w:b/>
                <w:szCs w:val="18"/>
              </w:rPr>
            </w:pPr>
          </w:p>
        </w:tc>
        <w:tc>
          <w:tcPr>
            <w:tcW w:w="1054" w:type="dxa"/>
            <w:tcBorders>
              <w:top w:val="single" w:sz="4" w:space="0" w:color="00A0E9"/>
              <w:bottom w:val="single" w:sz="4" w:space="0" w:color="00A0E9"/>
            </w:tcBorders>
            <w:shd w:val="clear" w:color="auto" w:fill="auto"/>
            <w:vAlign w:val="center"/>
          </w:tcPr>
          <w:p w:rsidR="00EE1CC3" w:rsidRPr="004922F9" w:rsidRDefault="00EE1CC3" w:rsidP="00735BBD">
            <w:pPr>
              <w:jc w:val="center"/>
              <w:rPr>
                <w:rFonts w:ascii="宋体" w:eastAsia="宋体" w:hAnsi="宋体"/>
                <w:b/>
                <w:szCs w:val="18"/>
              </w:rPr>
            </w:pPr>
          </w:p>
        </w:tc>
        <w:tc>
          <w:tcPr>
            <w:tcW w:w="1055" w:type="dxa"/>
            <w:tcBorders>
              <w:top w:val="single" w:sz="4" w:space="0" w:color="00A0E9"/>
              <w:bottom w:val="single" w:sz="4" w:space="0" w:color="00A0E9"/>
            </w:tcBorders>
            <w:shd w:val="clear" w:color="auto" w:fill="auto"/>
            <w:vAlign w:val="center"/>
          </w:tcPr>
          <w:p w:rsidR="00EE1CC3" w:rsidRPr="004922F9" w:rsidRDefault="00EE1CC3" w:rsidP="00735BBD">
            <w:pPr>
              <w:jc w:val="center"/>
              <w:rPr>
                <w:rFonts w:ascii="宋体" w:eastAsia="宋体" w:hAnsi="宋体"/>
                <w:b/>
                <w:szCs w:val="18"/>
              </w:rPr>
            </w:pPr>
          </w:p>
        </w:tc>
        <w:tc>
          <w:tcPr>
            <w:tcW w:w="1054" w:type="dxa"/>
            <w:tcBorders>
              <w:top w:val="single" w:sz="4" w:space="0" w:color="00A0E9"/>
              <w:bottom w:val="single" w:sz="4" w:space="0" w:color="00A0E9"/>
            </w:tcBorders>
            <w:shd w:val="clear" w:color="auto" w:fill="auto"/>
            <w:vAlign w:val="center"/>
          </w:tcPr>
          <w:p w:rsidR="00EE1CC3" w:rsidRPr="004922F9" w:rsidRDefault="00EE1CC3" w:rsidP="00735BBD">
            <w:pPr>
              <w:jc w:val="center"/>
              <w:rPr>
                <w:rFonts w:ascii="宋体" w:eastAsia="宋体" w:hAnsi="宋体"/>
                <w:b/>
                <w:szCs w:val="18"/>
              </w:rPr>
            </w:pPr>
          </w:p>
        </w:tc>
        <w:tc>
          <w:tcPr>
            <w:tcW w:w="1056" w:type="dxa"/>
            <w:tcBorders>
              <w:top w:val="single" w:sz="4" w:space="0" w:color="00A0E9"/>
              <w:bottom w:val="single" w:sz="4" w:space="0" w:color="00A0E9"/>
            </w:tcBorders>
            <w:shd w:val="clear" w:color="auto" w:fill="auto"/>
            <w:vAlign w:val="center"/>
          </w:tcPr>
          <w:p w:rsidR="00EE1CC3" w:rsidRPr="004922F9" w:rsidRDefault="00EE1CC3" w:rsidP="00735BBD">
            <w:pPr>
              <w:jc w:val="center"/>
              <w:rPr>
                <w:rFonts w:ascii="宋体" w:eastAsia="宋体" w:hAnsi="宋体"/>
                <w:b/>
                <w:szCs w:val="18"/>
              </w:rPr>
            </w:pPr>
          </w:p>
        </w:tc>
      </w:tr>
      <w:tr w:rsidR="00EE1CC3" w:rsidRPr="00E20E5A" w:rsidTr="00735BBD">
        <w:trPr>
          <w:cantSplit/>
          <w:trHeight w:val="340"/>
        </w:trPr>
        <w:tc>
          <w:tcPr>
            <w:tcW w:w="1054" w:type="dxa"/>
            <w:tcBorders>
              <w:top w:val="single" w:sz="4" w:space="0" w:color="00A0E9"/>
              <w:bottom w:val="single" w:sz="4" w:space="0" w:color="00A0E9"/>
            </w:tcBorders>
            <w:shd w:val="clear" w:color="auto" w:fill="auto"/>
            <w:vAlign w:val="center"/>
          </w:tcPr>
          <w:p w:rsidR="00EE1CC3" w:rsidRPr="004A48B9" w:rsidRDefault="00EE1CC3" w:rsidP="00532858">
            <w:pPr>
              <w:jc w:val="center"/>
              <w:rPr>
                <w:rFonts w:ascii="宋体" w:eastAsia="宋体" w:hAnsi="宋体" w:cs="宋体"/>
                <w:b/>
                <w:szCs w:val="18"/>
              </w:rPr>
            </w:pPr>
            <w:bookmarkStart w:id="13" w:name="_Hlk273533316"/>
            <w:proofErr w:type="gramStart"/>
            <w:r w:rsidRPr="004A48B9">
              <w:rPr>
                <w:rFonts w:ascii="宋体" w:eastAsia="宋体" w:hAnsi="宋体" w:cs="宋体" w:hint="eastAsia"/>
                <w:b/>
                <w:szCs w:val="18"/>
              </w:rPr>
              <w:t>添富</w:t>
            </w:r>
            <w:r w:rsidR="00532858">
              <w:rPr>
                <w:rFonts w:ascii="宋体" w:eastAsia="宋体" w:hAnsi="宋体" w:cs="宋体" w:hint="eastAsia"/>
                <w:b/>
                <w:szCs w:val="18"/>
              </w:rPr>
              <w:t>价值</w:t>
            </w:r>
            <w:proofErr w:type="gramEnd"/>
          </w:p>
        </w:tc>
        <w:tc>
          <w:tcPr>
            <w:tcW w:w="1054" w:type="dxa"/>
            <w:tcBorders>
              <w:top w:val="single" w:sz="4" w:space="0" w:color="00A0E9"/>
              <w:bottom w:val="single" w:sz="4" w:space="0" w:color="00A0E9"/>
            </w:tcBorders>
            <w:shd w:val="clear" w:color="auto" w:fill="auto"/>
            <w:vAlign w:val="center"/>
          </w:tcPr>
          <w:p w:rsidR="00EE1CC3" w:rsidRPr="00FE4622" w:rsidRDefault="00EE1CC3" w:rsidP="00735BBD">
            <w:pPr>
              <w:jc w:val="center"/>
              <w:rPr>
                <w:rFonts w:ascii="宋体" w:eastAsia="宋体" w:hAnsi="宋体" w:cs="宋体"/>
                <w:szCs w:val="18"/>
              </w:rPr>
            </w:pPr>
            <w:r>
              <w:rPr>
                <w:rFonts w:ascii="宋体" w:eastAsia="宋体" w:hAnsi="宋体" w:cs="宋体" w:hint="eastAsia"/>
                <w:szCs w:val="18"/>
              </w:rPr>
              <w:t>股票型</w:t>
            </w:r>
          </w:p>
        </w:tc>
        <w:tc>
          <w:tcPr>
            <w:tcW w:w="1055" w:type="dxa"/>
            <w:tcBorders>
              <w:top w:val="single" w:sz="4" w:space="0" w:color="00A0E9"/>
              <w:bottom w:val="single" w:sz="4" w:space="0" w:color="00A0E9"/>
            </w:tcBorders>
            <w:shd w:val="clear" w:color="auto" w:fill="auto"/>
            <w:vAlign w:val="center"/>
          </w:tcPr>
          <w:p w:rsidR="00EE1CC3" w:rsidRPr="006E0CA2" w:rsidRDefault="00532858" w:rsidP="00532858">
            <w:pPr>
              <w:jc w:val="center"/>
              <w:rPr>
                <w:rFonts w:ascii="宋体" w:eastAsia="宋体" w:hAnsi="宋体" w:cs="宋体"/>
                <w:szCs w:val="18"/>
              </w:rPr>
            </w:pPr>
            <w:r>
              <w:rPr>
                <w:rFonts w:ascii="宋体" w:eastAsia="宋体" w:hAnsi="宋体" w:cs="宋体" w:hint="eastAsia"/>
                <w:szCs w:val="18"/>
              </w:rPr>
              <w:t>陈晓翔</w:t>
            </w:r>
          </w:p>
        </w:tc>
        <w:tc>
          <w:tcPr>
            <w:tcW w:w="1054" w:type="dxa"/>
            <w:tcBorders>
              <w:top w:val="single" w:sz="4" w:space="0" w:color="00A0E9"/>
              <w:bottom w:val="single" w:sz="4" w:space="0" w:color="00A0E9"/>
            </w:tcBorders>
            <w:shd w:val="clear" w:color="auto" w:fill="auto"/>
            <w:vAlign w:val="center"/>
          </w:tcPr>
          <w:p w:rsidR="00EE1CC3" w:rsidRPr="006E0CA2" w:rsidRDefault="00EE1CC3" w:rsidP="00735BBD">
            <w:pPr>
              <w:jc w:val="center"/>
              <w:rPr>
                <w:rFonts w:ascii="宋体" w:eastAsia="宋体" w:hAnsi="宋体"/>
                <w:szCs w:val="18"/>
              </w:rPr>
            </w:pPr>
            <w:proofErr w:type="gramStart"/>
            <w:r>
              <w:rPr>
                <w:rFonts w:ascii="宋体" w:eastAsia="宋体" w:hAnsi="宋体" w:hint="eastAsia"/>
                <w:szCs w:val="18"/>
              </w:rPr>
              <w:t>汇添富</w:t>
            </w:r>
            <w:proofErr w:type="gramEnd"/>
          </w:p>
        </w:tc>
        <w:tc>
          <w:tcPr>
            <w:tcW w:w="1055" w:type="dxa"/>
            <w:tcBorders>
              <w:top w:val="single" w:sz="4" w:space="0" w:color="00A0E9"/>
              <w:bottom w:val="single" w:sz="4" w:space="0" w:color="00A0E9"/>
            </w:tcBorders>
            <w:shd w:val="clear" w:color="auto" w:fill="auto"/>
            <w:vAlign w:val="center"/>
          </w:tcPr>
          <w:p w:rsidR="00EE1CC3" w:rsidRPr="006E0CA2" w:rsidRDefault="00EE1CC3" w:rsidP="00735BBD">
            <w:pPr>
              <w:jc w:val="center"/>
              <w:rPr>
                <w:rFonts w:ascii="宋体" w:eastAsia="宋体" w:hAnsi="宋体"/>
                <w:bCs/>
                <w:szCs w:val="18"/>
              </w:rPr>
            </w:pPr>
            <w:r>
              <w:rPr>
                <w:rFonts w:ascii="宋体" w:eastAsia="宋体" w:hAnsi="宋体" w:hint="eastAsia"/>
                <w:bCs/>
                <w:szCs w:val="18"/>
              </w:rPr>
              <w:t>25</w:t>
            </w:r>
            <w:r w:rsidRPr="006E0CA2">
              <w:rPr>
                <w:rFonts w:ascii="宋体" w:eastAsia="宋体" w:hAnsi="宋体" w:hint="eastAsia"/>
                <w:bCs/>
                <w:szCs w:val="18"/>
              </w:rPr>
              <w:t>%</w:t>
            </w:r>
          </w:p>
        </w:tc>
        <w:tc>
          <w:tcPr>
            <w:tcW w:w="227" w:type="dxa"/>
            <w:vMerge/>
            <w:vAlign w:val="center"/>
          </w:tcPr>
          <w:p w:rsidR="00EE1CC3" w:rsidRPr="00ED22EB" w:rsidRDefault="00EE1CC3" w:rsidP="00735BBD">
            <w:pPr>
              <w:jc w:val="center"/>
              <w:rPr>
                <w:rFonts w:ascii="宋体" w:eastAsia="宋体" w:hAnsi="宋体"/>
                <w:color w:val="FF0000"/>
              </w:rPr>
            </w:pPr>
          </w:p>
        </w:tc>
        <w:tc>
          <w:tcPr>
            <w:tcW w:w="1054" w:type="dxa"/>
            <w:tcBorders>
              <w:top w:val="single" w:sz="4" w:space="0" w:color="00A0E9"/>
              <w:bottom w:val="single" w:sz="4" w:space="0" w:color="00A0E9"/>
            </w:tcBorders>
            <w:shd w:val="clear" w:color="auto" w:fill="auto"/>
            <w:vAlign w:val="center"/>
          </w:tcPr>
          <w:p w:rsidR="00EE1CC3" w:rsidRPr="00BE585F" w:rsidRDefault="00EE1CC3" w:rsidP="00735BBD">
            <w:pPr>
              <w:jc w:val="center"/>
              <w:rPr>
                <w:rFonts w:ascii="宋体" w:eastAsia="宋体" w:hAnsi="宋体" w:cs="宋体"/>
                <w:b/>
                <w:bCs/>
                <w:szCs w:val="18"/>
              </w:rPr>
            </w:pPr>
          </w:p>
        </w:tc>
        <w:tc>
          <w:tcPr>
            <w:tcW w:w="1054" w:type="dxa"/>
            <w:tcBorders>
              <w:top w:val="single" w:sz="4" w:space="0" w:color="00A0E9"/>
              <w:bottom w:val="single" w:sz="4" w:space="0" w:color="00A0E9"/>
            </w:tcBorders>
            <w:shd w:val="clear" w:color="auto" w:fill="auto"/>
            <w:vAlign w:val="center"/>
          </w:tcPr>
          <w:p w:rsidR="00EE1CC3" w:rsidRPr="00BE585F" w:rsidRDefault="00EE1CC3" w:rsidP="00735BBD">
            <w:pPr>
              <w:jc w:val="center"/>
              <w:rPr>
                <w:rFonts w:ascii="宋体" w:eastAsia="宋体" w:hAnsi="宋体" w:cs="宋体"/>
                <w:szCs w:val="18"/>
              </w:rPr>
            </w:pPr>
          </w:p>
        </w:tc>
        <w:tc>
          <w:tcPr>
            <w:tcW w:w="1055" w:type="dxa"/>
            <w:tcBorders>
              <w:top w:val="single" w:sz="4" w:space="0" w:color="00A0E9"/>
              <w:bottom w:val="single" w:sz="4" w:space="0" w:color="00A0E9"/>
            </w:tcBorders>
            <w:shd w:val="clear" w:color="auto" w:fill="auto"/>
            <w:vAlign w:val="center"/>
          </w:tcPr>
          <w:p w:rsidR="00EE1CC3" w:rsidRPr="001619E7" w:rsidRDefault="00EE1CC3" w:rsidP="00735BBD">
            <w:pPr>
              <w:jc w:val="center"/>
              <w:rPr>
                <w:rFonts w:ascii="宋体" w:eastAsia="宋体" w:hAnsi="宋体" w:cs="宋体"/>
                <w:szCs w:val="18"/>
              </w:rPr>
            </w:pPr>
          </w:p>
        </w:tc>
        <w:tc>
          <w:tcPr>
            <w:tcW w:w="1054" w:type="dxa"/>
            <w:tcBorders>
              <w:top w:val="single" w:sz="4" w:space="0" w:color="00A0E9"/>
              <w:bottom w:val="single" w:sz="4" w:space="0" w:color="00A0E9"/>
            </w:tcBorders>
            <w:shd w:val="clear" w:color="auto" w:fill="auto"/>
            <w:vAlign w:val="center"/>
          </w:tcPr>
          <w:p w:rsidR="00EE1CC3" w:rsidRPr="001619E7" w:rsidRDefault="00EE1CC3" w:rsidP="00735BBD">
            <w:pPr>
              <w:jc w:val="center"/>
              <w:rPr>
                <w:rFonts w:ascii="宋体" w:eastAsia="宋体" w:hAnsi="宋体" w:cs="宋体"/>
                <w:szCs w:val="18"/>
              </w:rPr>
            </w:pPr>
          </w:p>
        </w:tc>
        <w:tc>
          <w:tcPr>
            <w:tcW w:w="1056" w:type="dxa"/>
            <w:tcBorders>
              <w:top w:val="single" w:sz="4" w:space="0" w:color="00A0E9"/>
              <w:bottom w:val="single" w:sz="4" w:space="0" w:color="00A0E9"/>
            </w:tcBorders>
            <w:shd w:val="clear" w:color="auto" w:fill="auto"/>
            <w:vAlign w:val="center"/>
          </w:tcPr>
          <w:p w:rsidR="00EE1CC3" w:rsidRPr="001619E7" w:rsidRDefault="00EE1CC3" w:rsidP="00735BBD">
            <w:pPr>
              <w:jc w:val="center"/>
              <w:rPr>
                <w:rFonts w:ascii="宋体" w:eastAsia="宋体" w:hAnsi="宋体" w:cs="宋体"/>
                <w:szCs w:val="18"/>
              </w:rPr>
            </w:pPr>
          </w:p>
        </w:tc>
      </w:tr>
      <w:bookmarkEnd w:id="13"/>
      <w:tr w:rsidR="00532858" w:rsidRPr="00E20E5A" w:rsidTr="00735BBD">
        <w:trPr>
          <w:cantSplit/>
          <w:trHeight w:val="340"/>
        </w:trPr>
        <w:tc>
          <w:tcPr>
            <w:tcW w:w="1054" w:type="dxa"/>
            <w:tcBorders>
              <w:top w:val="single" w:sz="4" w:space="0" w:color="00A0E9"/>
              <w:bottom w:val="single" w:sz="4" w:space="0" w:color="00A0E9"/>
            </w:tcBorders>
            <w:shd w:val="clear" w:color="auto" w:fill="auto"/>
            <w:vAlign w:val="center"/>
          </w:tcPr>
          <w:p w:rsidR="00532858" w:rsidRPr="004A48B9" w:rsidRDefault="00AB7F07" w:rsidP="00532858">
            <w:pPr>
              <w:jc w:val="center"/>
              <w:rPr>
                <w:rFonts w:ascii="宋体" w:eastAsia="宋体" w:hAnsi="宋体" w:cs="宋体"/>
                <w:b/>
                <w:szCs w:val="18"/>
              </w:rPr>
            </w:pPr>
            <w:proofErr w:type="gramStart"/>
            <w:r>
              <w:rPr>
                <w:rFonts w:ascii="宋体" w:eastAsia="宋体" w:hAnsi="宋体" w:cs="宋体" w:hint="eastAsia"/>
                <w:b/>
                <w:szCs w:val="18"/>
              </w:rPr>
              <w:t>工银双利</w:t>
            </w:r>
            <w:proofErr w:type="gramEnd"/>
          </w:p>
        </w:tc>
        <w:tc>
          <w:tcPr>
            <w:tcW w:w="1054" w:type="dxa"/>
            <w:tcBorders>
              <w:top w:val="single" w:sz="4" w:space="0" w:color="00A0E9"/>
              <w:bottom w:val="single" w:sz="4" w:space="0" w:color="00A0E9"/>
            </w:tcBorders>
            <w:shd w:val="clear" w:color="auto" w:fill="auto"/>
            <w:vAlign w:val="center"/>
          </w:tcPr>
          <w:p w:rsidR="00532858" w:rsidRPr="00C23493" w:rsidRDefault="00AB7F07" w:rsidP="00532858">
            <w:pPr>
              <w:jc w:val="center"/>
              <w:rPr>
                <w:rFonts w:ascii="宋体" w:eastAsia="宋体" w:hAnsi="宋体"/>
                <w:szCs w:val="18"/>
              </w:rPr>
            </w:pPr>
            <w:r w:rsidRPr="00FE4622">
              <w:rPr>
                <w:rFonts w:ascii="宋体" w:eastAsia="宋体" w:hAnsi="宋体" w:hint="eastAsia"/>
                <w:szCs w:val="18"/>
              </w:rPr>
              <w:t>债券－普通债券型</w:t>
            </w:r>
          </w:p>
        </w:tc>
        <w:tc>
          <w:tcPr>
            <w:tcW w:w="1055" w:type="dxa"/>
            <w:tcBorders>
              <w:top w:val="single" w:sz="4" w:space="0" w:color="00A0E9"/>
              <w:bottom w:val="single" w:sz="4" w:space="0" w:color="00A0E9"/>
            </w:tcBorders>
            <w:shd w:val="clear" w:color="auto" w:fill="auto"/>
            <w:vAlign w:val="center"/>
          </w:tcPr>
          <w:p w:rsidR="00532858" w:rsidRPr="00B803C4" w:rsidRDefault="00AB7F07" w:rsidP="00532858">
            <w:pPr>
              <w:jc w:val="center"/>
              <w:rPr>
                <w:rFonts w:ascii="宋体" w:eastAsia="宋体" w:hAnsi="宋体"/>
                <w:bCs/>
                <w:szCs w:val="18"/>
              </w:rPr>
            </w:pPr>
            <w:r>
              <w:rPr>
                <w:rFonts w:ascii="宋体" w:eastAsia="宋体" w:hAnsi="宋体" w:hint="eastAsia"/>
                <w:bCs/>
                <w:szCs w:val="18"/>
              </w:rPr>
              <w:t>欧阳凯、王佳、宋炳坤、魏欣</w:t>
            </w:r>
          </w:p>
        </w:tc>
        <w:tc>
          <w:tcPr>
            <w:tcW w:w="1054" w:type="dxa"/>
            <w:tcBorders>
              <w:top w:val="single" w:sz="4" w:space="0" w:color="00A0E9"/>
              <w:bottom w:val="single" w:sz="4" w:space="0" w:color="00A0E9"/>
            </w:tcBorders>
            <w:shd w:val="clear" w:color="auto" w:fill="auto"/>
            <w:vAlign w:val="center"/>
          </w:tcPr>
          <w:p w:rsidR="00532858" w:rsidRPr="007B282B" w:rsidRDefault="00532858" w:rsidP="00532858">
            <w:pPr>
              <w:jc w:val="center"/>
              <w:rPr>
                <w:rFonts w:ascii="宋体" w:eastAsia="宋体" w:hAnsi="宋体"/>
                <w:bCs/>
                <w:szCs w:val="18"/>
              </w:rPr>
            </w:pPr>
            <w:r>
              <w:rPr>
                <w:rFonts w:ascii="宋体" w:eastAsia="宋体" w:hAnsi="宋体" w:hint="eastAsia"/>
                <w:bCs/>
                <w:szCs w:val="18"/>
              </w:rPr>
              <w:t>南方</w:t>
            </w:r>
          </w:p>
        </w:tc>
        <w:tc>
          <w:tcPr>
            <w:tcW w:w="1055" w:type="dxa"/>
            <w:tcBorders>
              <w:top w:val="single" w:sz="4" w:space="0" w:color="00A0E9"/>
              <w:bottom w:val="single" w:sz="4" w:space="0" w:color="00A0E9"/>
            </w:tcBorders>
            <w:shd w:val="clear" w:color="auto" w:fill="auto"/>
            <w:vAlign w:val="center"/>
          </w:tcPr>
          <w:p w:rsidR="00532858" w:rsidRPr="006E0CA2" w:rsidRDefault="00532858" w:rsidP="00532858">
            <w:pPr>
              <w:jc w:val="center"/>
              <w:rPr>
                <w:rFonts w:ascii="宋体" w:eastAsia="宋体" w:hAnsi="宋体"/>
                <w:szCs w:val="18"/>
              </w:rPr>
            </w:pPr>
            <w:r>
              <w:rPr>
                <w:rFonts w:ascii="宋体" w:eastAsia="宋体" w:hAnsi="宋体" w:hint="eastAsia"/>
                <w:szCs w:val="18"/>
              </w:rPr>
              <w:t>25</w:t>
            </w:r>
            <w:r w:rsidRPr="006E0CA2">
              <w:rPr>
                <w:rFonts w:ascii="宋体" w:eastAsia="宋体" w:hAnsi="宋体" w:hint="eastAsia"/>
                <w:szCs w:val="18"/>
              </w:rPr>
              <w:t>%</w:t>
            </w:r>
          </w:p>
        </w:tc>
        <w:tc>
          <w:tcPr>
            <w:tcW w:w="227" w:type="dxa"/>
            <w:vMerge/>
            <w:vAlign w:val="center"/>
          </w:tcPr>
          <w:p w:rsidR="00532858" w:rsidRPr="00ED22EB" w:rsidRDefault="00532858" w:rsidP="00532858">
            <w:pPr>
              <w:jc w:val="center"/>
              <w:rPr>
                <w:rFonts w:ascii="宋体" w:eastAsia="宋体" w:hAnsi="宋体"/>
                <w:color w:val="FF0000"/>
              </w:rPr>
            </w:pPr>
          </w:p>
        </w:tc>
        <w:tc>
          <w:tcPr>
            <w:tcW w:w="1054" w:type="dxa"/>
            <w:tcBorders>
              <w:top w:val="single" w:sz="4" w:space="0" w:color="00A0E9"/>
              <w:bottom w:val="single" w:sz="4" w:space="0" w:color="00A0E9"/>
            </w:tcBorders>
            <w:shd w:val="clear" w:color="auto" w:fill="auto"/>
            <w:vAlign w:val="center"/>
          </w:tcPr>
          <w:p w:rsidR="00532858" w:rsidRPr="00BE585F" w:rsidRDefault="00532858" w:rsidP="00532858">
            <w:pPr>
              <w:jc w:val="center"/>
              <w:rPr>
                <w:rFonts w:ascii="宋体" w:eastAsia="宋体" w:hAnsi="宋体" w:cs="宋体"/>
                <w:b/>
                <w:bCs/>
                <w:szCs w:val="18"/>
              </w:rPr>
            </w:pPr>
          </w:p>
        </w:tc>
        <w:tc>
          <w:tcPr>
            <w:tcW w:w="1054" w:type="dxa"/>
            <w:tcBorders>
              <w:top w:val="single" w:sz="4" w:space="0" w:color="00A0E9"/>
              <w:bottom w:val="single" w:sz="4" w:space="0" w:color="00A0E9"/>
            </w:tcBorders>
            <w:shd w:val="clear" w:color="auto" w:fill="auto"/>
            <w:vAlign w:val="center"/>
          </w:tcPr>
          <w:p w:rsidR="00532858" w:rsidRPr="00BE585F" w:rsidRDefault="00532858" w:rsidP="00532858">
            <w:pPr>
              <w:jc w:val="center"/>
              <w:rPr>
                <w:rFonts w:ascii="宋体" w:eastAsia="宋体" w:hAnsi="宋体" w:cs="宋体"/>
                <w:szCs w:val="18"/>
              </w:rPr>
            </w:pPr>
          </w:p>
        </w:tc>
        <w:tc>
          <w:tcPr>
            <w:tcW w:w="1055" w:type="dxa"/>
            <w:tcBorders>
              <w:top w:val="single" w:sz="4" w:space="0" w:color="00A0E9"/>
              <w:bottom w:val="single" w:sz="4" w:space="0" w:color="00A0E9"/>
            </w:tcBorders>
            <w:shd w:val="clear" w:color="auto" w:fill="auto"/>
            <w:vAlign w:val="center"/>
          </w:tcPr>
          <w:p w:rsidR="00532858" w:rsidRPr="001619E7" w:rsidRDefault="00532858" w:rsidP="00532858">
            <w:pPr>
              <w:jc w:val="center"/>
              <w:rPr>
                <w:rFonts w:ascii="宋体" w:eastAsia="宋体" w:hAnsi="宋体" w:cs="宋体"/>
                <w:szCs w:val="18"/>
              </w:rPr>
            </w:pPr>
          </w:p>
        </w:tc>
        <w:tc>
          <w:tcPr>
            <w:tcW w:w="1054" w:type="dxa"/>
            <w:tcBorders>
              <w:top w:val="single" w:sz="4" w:space="0" w:color="00A0E9"/>
              <w:bottom w:val="single" w:sz="4" w:space="0" w:color="00A0E9"/>
            </w:tcBorders>
            <w:shd w:val="clear" w:color="auto" w:fill="auto"/>
            <w:vAlign w:val="center"/>
          </w:tcPr>
          <w:p w:rsidR="00532858" w:rsidRPr="001619E7" w:rsidRDefault="00532858" w:rsidP="00532858">
            <w:pPr>
              <w:jc w:val="center"/>
              <w:rPr>
                <w:rFonts w:ascii="宋体" w:eastAsia="宋体" w:hAnsi="宋体" w:cs="宋体"/>
                <w:szCs w:val="18"/>
              </w:rPr>
            </w:pPr>
          </w:p>
        </w:tc>
        <w:tc>
          <w:tcPr>
            <w:tcW w:w="1056" w:type="dxa"/>
            <w:tcBorders>
              <w:top w:val="single" w:sz="4" w:space="0" w:color="00A0E9"/>
              <w:bottom w:val="single" w:sz="4" w:space="0" w:color="00A0E9"/>
            </w:tcBorders>
            <w:shd w:val="clear" w:color="auto" w:fill="auto"/>
            <w:vAlign w:val="center"/>
          </w:tcPr>
          <w:p w:rsidR="00532858" w:rsidRPr="001619E7" w:rsidRDefault="00532858" w:rsidP="00532858">
            <w:pPr>
              <w:jc w:val="center"/>
              <w:rPr>
                <w:rFonts w:ascii="宋体" w:eastAsia="宋体" w:hAnsi="宋体" w:cs="宋体"/>
                <w:szCs w:val="18"/>
              </w:rPr>
            </w:pPr>
          </w:p>
        </w:tc>
      </w:tr>
      <w:tr w:rsidR="00EE1CC3" w:rsidRPr="007C2681" w:rsidTr="00735BBD">
        <w:trPr>
          <w:cantSplit/>
          <w:trHeight w:val="465"/>
        </w:trPr>
        <w:tc>
          <w:tcPr>
            <w:tcW w:w="1054" w:type="dxa"/>
            <w:tcBorders>
              <w:top w:val="single" w:sz="4" w:space="0" w:color="00A0E9"/>
              <w:bottom w:val="single" w:sz="4" w:space="0" w:color="00A0E9"/>
            </w:tcBorders>
            <w:shd w:val="clear" w:color="auto" w:fill="auto"/>
            <w:vAlign w:val="center"/>
          </w:tcPr>
          <w:p w:rsidR="00EE1CC3" w:rsidRPr="004A48B9" w:rsidRDefault="00EE1CC3" w:rsidP="00735BBD">
            <w:pPr>
              <w:jc w:val="center"/>
              <w:rPr>
                <w:rFonts w:ascii="宋体" w:eastAsia="宋体" w:hAnsi="宋体" w:cs="宋体"/>
                <w:b/>
                <w:szCs w:val="18"/>
              </w:rPr>
            </w:pPr>
            <w:proofErr w:type="gramStart"/>
            <w:r w:rsidRPr="004A48B9">
              <w:rPr>
                <w:rFonts w:ascii="宋体" w:eastAsia="宋体" w:hAnsi="宋体" w:hint="eastAsia"/>
                <w:b/>
                <w:szCs w:val="18"/>
              </w:rPr>
              <w:t>建信双息</w:t>
            </w:r>
            <w:proofErr w:type="gramEnd"/>
            <w:r w:rsidRPr="004A48B9">
              <w:rPr>
                <w:rFonts w:ascii="宋体" w:eastAsia="宋体" w:hAnsi="宋体" w:hint="eastAsia"/>
                <w:b/>
                <w:szCs w:val="18"/>
              </w:rPr>
              <w:t>红利</w:t>
            </w:r>
          </w:p>
        </w:tc>
        <w:tc>
          <w:tcPr>
            <w:tcW w:w="1054" w:type="dxa"/>
            <w:tcBorders>
              <w:top w:val="single" w:sz="4" w:space="0" w:color="00A0E9"/>
              <w:bottom w:val="single" w:sz="4" w:space="0" w:color="00A0E9"/>
            </w:tcBorders>
            <w:shd w:val="clear" w:color="auto" w:fill="auto"/>
            <w:vAlign w:val="center"/>
          </w:tcPr>
          <w:p w:rsidR="00EE1CC3" w:rsidRPr="00FE4622" w:rsidRDefault="00EE1CC3" w:rsidP="00735BBD">
            <w:pPr>
              <w:jc w:val="center"/>
              <w:rPr>
                <w:rFonts w:ascii="宋体" w:eastAsia="宋体" w:hAnsi="宋体" w:cs="宋体"/>
                <w:szCs w:val="18"/>
              </w:rPr>
            </w:pPr>
            <w:r w:rsidRPr="00FE4622">
              <w:rPr>
                <w:rFonts w:ascii="宋体" w:eastAsia="宋体" w:hAnsi="宋体" w:hint="eastAsia"/>
                <w:szCs w:val="18"/>
              </w:rPr>
              <w:t>债券－普通债券型</w:t>
            </w:r>
          </w:p>
        </w:tc>
        <w:tc>
          <w:tcPr>
            <w:tcW w:w="1055" w:type="dxa"/>
            <w:tcBorders>
              <w:top w:val="single" w:sz="4" w:space="0" w:color="00A0E9"/>
              <w:bottom w:val="single" w:sz="4" w:space="0" w:color="00A0E9"/>
            </w:tcBorders>
            <w:shd w:val="clear" w:color="auto" w:fill="auto"/>
            <w:vAlign w:val="center"/>
          </w:tcPr>
          <w:p w:rsidR="00EE1CC3" w:rsidRPr="006E0CA2" w:rsidRDefault="00EE1CC3" w:rsidP="00735BBD">
            <w:pPr>
              <w:jc w:val="center"/>
              <w:rPr>
                <w:rFonts w:ascii="宋体" w:eastAsia="宋体" w:hAnsi="宋体"/>
                <w:szCs w:val="18"/>
              </w:rPr>
            </w:pPr>
            <w:r>
              <w:rPr>
                <w:rFonts w:ascii="宋体" w:eastAsia="宋体" w:hAnsi="宋体" w:hint="eastAsia"/>
                <w:szCs w:val="18"/>
              </w:rPr>
              <w:t>钟敬棣</w:t>
            </w:r>
          </w:p>
        </w:tc>
        <w:tc>
          <w:tcPr>
            <w:tcW w:w="1054" w:type="dxa"/>
            <w:tcBorders>
              <w:top w:val="single" w:sz="4" w:space="0" w:color="00A0E9"/>
              <w:bottom w:val="single" w:sz="4" w:space="0" w:color="00A0E9"/>
            </w:tcBorders>
            <w:shd w:val="clear" w:color="auto" w:fill="auto"/>
            <w:vAlign w:val="center"/>
          </w:tcPr>
          <w:p w:rsidR="00EE1CC3" w:rsidRPr="006E0CA2" w:rsidRDefault="00EE1CC3" w:rsidP="00735BBD">
            <w:pPr>
              <w:jc w:val="center"/>
              <w:rPr>
                <w:rFonts w:ascii="宋体" w:eastAsia="宋体" w:hAnsi="宋体"/>
                <w:szCs w:val="18"/>
              </w:rPr>
            </w:pPr>
            <w:r>
              <w:rPr>
                <w:rFonts w:ascii="宋体" w:eastAsia="宋体" w:hAnsi="宋体" w:hint="eastAsia"/>
                <w:szCs w:val="18"/>
              </w:rPr>
              <w:t>建信</w:t>
            </w:r>
          </w:p>
        </w:tc>
        <w:tc>
          <w:tcPr>
            <w:tcW w:w="1055" w:type="dxa"/>
            <w:tcBorders>
              <w:top w:val="single" w:sz="4" w:space="0" w:color="00A0E9"/>
              <w:bottom w:val="single" w:sz="4" w:space="0" w:color="00A0E9"/>
            </w:tcBorders>
            <w:shd w:val="clear" w:color="auto" w:fill="auto"/>
            <w:vAlign w:val="center"/>
          </w:tcPr>
          <w:p w:rsidR="00EE1CC3" w:rsidRPr="006E0CA2" w:rsidRDefault="00EE1CC3" w:rsidP="00735BBD">
            <w:pPr>
              <w:jc w:val="center"/>
              <w:rPr>
                <w:rFonts w:ascii="宋体" w:eastAsia="宋体" w:hAnsi="宋体"/>
                <w:szCs w:val="18"/>
              </w:rPr>
            </w:pPr>
            <w:r>
              <w:rPr>
                <w:rFonts w:ascii="宋体" w:eastAsia="宋体" w:hAnsi="宋体" w:hint="eastAsia"/>
                <w:szCs w:val="18"/>
              </w:rPr>
              <w:t>25%</w:t>
            </w:r>
          </w:p>
        </w:tc>
        <w:tc>
          <w:tcPr>
            <w:tcW w:w="227" w:type="dxa"/>
            <w:vMerge/>
            <w:vAlign w:val="center"/>
          </w:tcPr>
          <w:p w:rsidR="00EE1CC3" w:rsidRPr="00ED22EB" w:rsidRDefault="00EE1CC3" w:rsidP="00735BBD">
            <w:pPr>
              <w:jc w:val="center"/>
              <w:rPr>
                <w:rFonts w:ascii="宋体" w:eastAsia="宋体" w:hAnsi="宋体"/>
                <w:color w:val="FF0000"/>
              </w:rPr>
            </w:pPr>
          </w:p>
        </w:tc>
        <w:tc>
          <w:tcPr>
            <w:tcW w:w="1054" w:type="dxa"/>
            <w:tcBorders>
              <w:top w:val="single" w:sz="4" w:space="0" w:color="00A0E9"/>
              <w:bottom w:val="single" w:sz="4" w:space="0" w:color="00A0E9"/>
            </w:tcBorders>
            <w:shd w:val="clear" w:color="auto" w:fill="auto"/>
            <w:vAlign w:val="center"/>
          </w:tcPr>
          <w:p w:rsidR="00EE1CC3" w:rsidRPr="00BE585F" w:rsidRDefault="00EE1CC3" w:rsidP="00735BBD">
            <w:pPr>
              <w:jc w:val="center"/>
              <w:rPr>
                <w:rFonts w:ascii="宋体" w:eastAsia="宋体" w:hAnsi="宋体" w:cs="宋体"/>
                <w:b/>
                <w:szCs w:val="18"/>
              </w:rPr>
            </w:pPr>
          </w:p>
        </w:tc>
        <w:tc>
          <w:tcPr>
            <w:tcW w:w="1054" w:type="dxa"/>
            <w:tcBorders>
              <w:top w:val="single" w:sz="4" w:space="0" w:color="00A0E9"/>
              <w:bottom w:val="single" w:sz="4" w:space="0" w:color="00A0E9"/>
            </w:tcBorders>
            <w:shd w:val="clear" w:color="auto" w:fill="auto"/>
            <w:vAlign w:val="center"/>
          </w:tcPr>
          <w:p w:rsidR="00EE1CC3" w:rsidRPr="00BE585F" w:rsidRDefault="00EE1CC3" w:rsidP="00735BBD">
            <w:pPr>
              <w:jc w:val="center"/>
              <w:rPr>
                <w:rFonts w:ascii="宋体" w:eastAsia="宋体" w:hAnsi="宋体" w:cs="宋体"/>
                <w:szCs w:val="18"/>
              </w:rPr>
            </w:pPr>
          </w:p>
        </w:tc>
        <w:tc>
          <w:tcPr>
            <w:tcW w:w="1055" w:type="dxa"/>
            <w:tcBorders>
              <w:top w:val="single" w:sz="4" w:space="0" w:color="00A0E9"/>
              <w:bottom w:val="single" w:sz="4" w:space="0" w:color="00A0E9"/>
            </w:tcBorders>
            <w:shd w:val="clear" w:color="auto" w:fill="auto"/>
            <w:vAlign w:val="center"/>
          </w:tcPr>
          <w:p w:rsidR="00EE1CC3" w:rsidRPr="001619E7" w:rsidRDefault="00EE1CC3" w:rsidP="00735BBD">
            <w:pPr>
              <w:jc w:val="center"/>
              <w:rPr>
                <w:rFonts w:ascii="宋体" w:eastAsia="宋体" w:hAnsi="宋体" w:cs="宋体"/>
                <w:szCs w:val="18"/>
              </w:rPr>
            </w:pPr>
          </w:p>
        </w:tc>
        <w:tc>
          <w:tcPr>
            <w:tcW w:w="1054" w:type="dxa"/>
            <w:tcBorders>
              <w:top w:val="single" w:sz="4" w:space="0" w:color="00A0E9"/>
              <w:bottom w:val="single" w:sz="4" w:space="0" w:color="00A0E9"/>
            </w:tcBorders>
            <w:shd w:val="clear" w:color="auto" w:fill="auto"/>
            <w:vAlign w:val="center"/>
          </w:tcPr>
          <w:p w:rsidR="00EE1CC3" w:rsidRPr="001619E7" w:rsidRDefault="00EE1CC3" w:rsidP="00735BBD">
            <w:pPr>
              <w:jc w:val="center"/>
              <w:rPr>
                <w:rFonts w:ascii="宋体" w:eastAsia="宋体" w:hAnsi="宋体" w:cs="宋体"/>
                <w:szCs w:val="18"/>
              </w:rPr>
            </w:pPr>
          </w:p>
        </w:tc>
        <w:tc>
          <w:tcPr>
            <w:tcW w:w="1056" w:type="dxa"/>
            <w:tcBorders>
              <w:top w:val="single" w:sz="4" w:space="0" w:color="00A0E9"/>
              <w:bottom w:val="single" w:sz="4" w:space="0" w:color="00A0E9"/>
            </w:tcBorders>
            <w:shd w:val="clear" w:color="auto" w:fill="auto"/>
            <w:vAlign w:val="center"/>
          </w:tcPr>
          <w:p w:rsidR="00EE1CC3" w:rsidRPr="001619E7" w:rsidRDefault="00EE1CC3" w:rsidP="00735BBD">
            <w:pPr>
              <w:jc w:val="center"/>
              <w:rPr>
                <w:rFonts w:ascii="宋体" w:eastAsia="宋体" w:hAnsi="宋体" w:cs="宋体"/>
                <w:szCs w:val="18"/>
              </w:rPr>
            </w:pPr>
          </w:p>
        </w:tc>
      </w:tr>
      <w:tr w:rsidR="00EE1CC3" w:rsidRPr="007C2681" w:rsidTr="00735BBD">
        <w:trPr>
          <w:cantSplit/>
          <w:trHeight w:val="340"/>
        </w:trPr>
        <w:tc>
          <w:tcPr>
            <w:tcW w:w="1054" w:type="dxa"/>
            <w:tcBorders>
              <w:top w:val="single" w:sz="4" w:space="0" w:color="00A0E9"/>
              <w:bottom w:val="single" w:sz="4" w:space="0" w:color="00A0E9"/>
            </w:tcBorders>
            <w:shd w:val="clear" w:color="auto" w:fill="auto"/>
            <w:vAlign w:val="center"/>
          </w:tcPr>
          <w:p w:rsidR="00EE1CC3" w:rsidRPr="004A48B9" w:rsidRDefault="00AB7F07" w:rsidP="00735BBD">
            <w:pPr>
              <w:jc w:val="center"/>
              <w:rPr>
                <w:rFonts w:ascii="宋体" w:eastAsia="宋体" w:hAnsi="宋体" w:cs="宋体"/>
                <w:b/>
                <w:szCs w:val="18"/>
              </w:rPr>
            </w:pPr>
            <w:proofErr w:type="gramStart"/>
            <w:r w:rsidRPr="00AB7F07">
              <w:rPr>
                <w:rFonts w:ascii="宋体" w:eastAsia="宋体" w:hAnsi="宋体" w:cs="宋体" w:hint="eastAsia"/>
                <w:b/>
                <w:szCs w:val="18"/>
              </w:rPr>
              <w:t>大摩多因子</w:t>
            </w:r>
            <w:proofErr w:type="gramEnd"/>
            <w:r w:rsidRPr="00AB7F07">
              <w:rPr>
                <w:rFonts w:ascii="宋体" w:eastAsia="宋体" w:hAnsi="宋体" w:cs="宋体" w:hint="eastAsia"/>
                <w:b/>
                <w:szCs w:val="18"/>
              </w:rPr>
              <w:t>策略</w:t>
            </w:r>
          </w:p>
        </w:tc>
        <w:tc>
          <w:tcPr>
            <w:tcW w:w="1054" w:type="dxa"/>
            <w:tcBorders>
              <w:top w:val="single" w:sz="4" w:space="0" w:color="00A0E9"/>
              <w:bottom w:val="single" w:sz="4" w:space="0" w:color="00A0E9"/>
            </w:tcBorders>
            <w:shd w:val="clear" w:color="auto" w:fill="auto"/>
            <w:vAlign w:val="center"/>
          </w:tcPr>
          <w:p w:rsidR="00EE1CC3" w:rsidRPr="00FE4622" w:rsidRDefault="00EE1CC3" w:rsidP="00735BBD">
            <w:pPr>
              <w:jc w:val="center"/>
              <w:rPr>
                <w:rFonts w:ascii="宋体" w:eastAsia="宋体" w:hAnsi="宋体" w:cs="宋体"/>
                <w:szCs w:val="18"/>
              </w:rPr>
            </w:pPr>
            <w:r>
              <w:rPr>
                <w:rFonts w:ascii="宋体" w:eastAsia="宋体" w:hAnsi="宋体" w:cs="宋体" w:hint="eastAsia"/>
                <w:szCs w:val="18"/>
              </w:rPr>
              <w:t>股票型</w:t>
            </w:r>
          </w:p>
        </w:tc>
        <w:tc>
          <w:tcPr>
            <w:tcW w:w="1055" w:type="dxa"/>
            <w:tcBorders>
              <w:top w:val="single" w:sz="4" w:space="0" w:color="00A0E9"/>
              <w:bottom w:val="single" w:sz="4" w:space="0" w:color="00A0E9"/>
            </w:tcBorders>
            <w:shd w:val="clear" w:color="auto" w:fill="auto"/>
            <w:vAlign w:val="center"/>
          </w:tcPr>
          <w:p w:rsidR="00EE1CC3" w:rsidRDefault="00AB7F07" w:rsidP="00735BBD">
            <w:pPr>
              <w:jc w:val="center"/>
              <w:rPr>
                <w:rFonts w:ascii="宋体" w:eastAsia="宋体" w:hAnsi="宋体"/>
                <w:szCs w:val="18"/>
              </w:rPr>
            </w:pPr>
            <w:r>
              <w:rPr>
                <w:rFonts w:ascii="宋体" w:eastAsia="宋体" w:hAnsi="宋体" w:hint="eastAsia"/>
                <w:szCs w:val="18"/>
              </w:rPr>
              <w:t>刘钊</w:t>
            </w:r>
          </w:p>
        </w:tc>
        <w:tc>
          <w:tcPr>
            <w:tcW w:w="1054" w:type="dxa"/>
            <w:tcBorders>
              <w:top w:val="single" w:sz="4" w:space="0" w:color="00A0E9"/>
              <w:bottom w:val="single" w:sz="4" w:space="0" w:color="00A0E9"/>
            </w:tcBorders>
            <w:shd w:val="clear" w:color="auto" w:fill="auto"/>
            <w:vAlign w:val="center"/>
          </w:tcPr>
          <w:p w:rsidR="00EE1CC3" w:rsidRDefault="00AB7F07" w:rsidP="00735BBD">
            <w:pPr>
              <w:jc w:val="center"/>
              <w:rPr>
                <w:rFonts w:ascii="宋体" w:eastAsia="宋体" w:hAnsi="宋体"/>
                <w:szCs w:val="18"/>
              </w:rPr>
            </w:pPr>
            <w:r>
              <w:rPr>
                <w:rFonts w:ascii="宋体" w:eastAsia="宋体" w:hAnsi="宋体" w:hint="eastAsia"/>
                <w:szCs w:val="18"/>
              </w:rPr>
              <w:t>摩根士丹利华</w:t>
            </w:r>
            <w:proofErr w:type="gramStart"/>
            <w:r>
              <w:rPr>
                <w:rFonts w:ascii="宋体" w:eastAsia="宋体" w:hAnsi="宋体" w:hint="eastAsia"/>
                <w:szCs w:val="18"/>
              </w:rPr>
              <w:t>鑫</w:t>
            </w:r>
            <w:proofErr w:type="gramEnd"/>
          </w:p>
        </w:tc>
        <w:tc>
          <w:tcPr>
            <w:tcW w:w="1055" w:type="dxa"/>
            <w:tcBorders>
              <w:top w:val="single" w:sz="4" w:space="0" w:color="00A0E9"/>
              <w:bottom w:val="single" w:sz="4" w:space="0" w:color="00A0E9"/>
            </w:tcBorders>
            <w:shd w:val="clear" w:color="auto" w:fill="auto"/>
            <w:vAlign w:val="center"/>
          </w:tcPr>
          <w:p w:rsidR="00EE1CC3" w:rsidRPr="006E0CA2" w:rsidRDefault="00EE1CC3" w:rsidP="00735BBD">
            <w:pPr>
              <w:jc w:val="center"/>
              <w:rPr>
                <w:rFonts w:ascii="宋体" w:eastAsia="宋体" w:hAnsi="宋体"/>
                <w:szCs w:val="18"/>
              </w:rPr>
            </w:pPr>
            <w:r>
              <w:rPr>
                <w:rFonts w:ascii="宋体" w:eastAsia="宋体" w:hAnsi="宋体" w:hint="eastAsia"/>
                <w:szCs w:val="18"/>
              </w:rPr>
              <w:t>25</w:t>
            </w:r>
            <w:r w:rsidRPr="006E0CA2">
              <w:rPr>
                <w:rFonts w:ascii="宋体" w:eastAsia="宋体" w:hAnsi="宋体" w:hint="eastAsia"/>
                <w:szCs w:val="18"/>
              </w:rPr>
              <w:t>%</w:t>
            </w:r>
          </w:p>
        </w:tc>
        <w:tc>
          <w:tcPr>
            <w:tcW w:w="227" w:type="dxa"/>
            <w:vMerge/>
            <w:vAlign w:val="center"/>
          </w:tcPr>
          <w:p w:rsidR="00EE1CC3" w:rsidRPr="00ED22EB" w:rsidRDefault="00EE1CC3" w:rsidP="00735BBD">
            <w:pPr>
              <w:jc w:val="center"/>
              <w:rPr>
                <w:rFonts w:ascii="宋体" w:eastAsia="宋体" w:hAnsi="宋体"/>
                <w:color w:val="FF0000"/>
              </w:rPr>
            </w:pPr>
          </w:p>
        </w:tc>
        <w:tc>
          <w:tcPr>
            <w:tcW w:w="1054" w:type="dxa"/>
            <w:tcBorders>
              <w:top w:val="single" w:sz="4" w:space="0" w:color="00A0E9"/>
              <w:bottom w:val="single" w:sz="4" w:space="0" w:color="00A0E9"/>
            </w:tcBorders>
            <w:shd w:val="clear" w:color="auto" w:fill="auto"/>
            <w:vAlign w:val="center"/>
          </w:tcPr>
          <w:p w:rsidR="00EE1CC3" w:rsidRPr="00BE585F" w:rsidRDefault="00EE1CC3" w:rsidP="00735BBD">
            <w:pPr>
              <w:jc w:val="center"/>
              <w:rPr>
                <w:rFonts w:ascii="宋体" w:eastAsia="宋体" w:hAnsi="宋体" w:cs="宋体"/>
                <w:b/>
                <w:bCs/>
                <w:szCs w:val="18"/>
              </w:rPr>
            </w:pPr>
          </w:p>
        </w:tc>
        <w:tc>
          <w:tcPr>
            <w:tcW w:w="1054" w:type="dxa"/>
            <w:tcBorders>
              <w:top w:val="single" w:sz="4" w:space="0" w:color="00A0E9"/>
              <w:bottom w:val="single" w:sz="4" w:space="0" w:color="00A0E9"/>
            </w:tcBorders>
            <w:shd w:val="clear" w:color="auto" w:fill="auto"/>
            <w:vAlign w:val="center"/>
          </w:tcPr>
          <w:p w:rsidR="00EE1CC3" w:rsidRPr="00BE585F" w:rsidRDefault="00EE1CC3" w:rsidP="00735BBD">
            <w:pPr>
              <w:jc w:val="center"/>
              <w:rPr>
                <w:rFonts w:ascii="宋体" w:eastAsia="宋体" w:hAnsi="宋体" w:cs="宋体"/>
                <w:szCs w:val="18"/>
              </w:rPr>
            </w:pPr>
          </w:p>
        </w:tc>
        <w:tc>
          <w:tcPr>
            <w:tcW w:w="1055" w:type="dxa"/>
            <w:tcBorders>
              <w:top w:val="single" w:sz="4" w:space="0" w:color="00A0E9"/>
              <w:bottom w:val="single" w:sz="4" w:space="0" w:color="00A0E9"/>
            </w:tcBorders>
            <w:shd w:val="clear" w:color="auto" w:fill="auto"/>
            <w:vAlign w:val="center"/>
          </w:tcPr>
          <w:p w:rsidR="00EE1CC3" w:rsidRPr="001619E7" w:rsidRDefault="00EE1CC3" w:rsidP="00735BBD">
            <w:pPr>
              <w:jc w:val="center"/>
              <w:rPr>
                <w:rFonts w:ascii="宋体" w:eastAsia="宋体" w:hAnsi="宋体" w:cs="宋体"/>
                <w:szCs w:val="18"/>
              </w:rPr>
            </w:pPr>
          </w:p>
        </w:tc>
        <w:tc>
          <w:tcPr>
            <w:tcW w:w="1054" w:type="dxa"/>
            <w:tcBorders>
              <w:top w:val="single" w:sz="4" w:space="0" w:color="00A0E9"/>
              <w:bottom w:val="single" w:sz="4" w:space="0" w:color="00A0E9"/>
            </w:tcBorders>
            <w:shd w:val="clear" w:color="auto" w:fill="auto"/>
            <w:vAlign w:val="center"/>
          </w:tcPr>
          <w:p w:rsidR="00EE1CC3" w:rsidRPr="001619E7" w:rsidRDefault="00EE1CC3" w:rsidP="00735BBD">
            <w:pPr>
              <w:jc w:val="center"/>
              <w:rPr>
                <w:rFonts w:ascii="宋体" w:eastAsia="宋体" w:hAnsi="宋体" w:cs="宋体"/>
                <w:szCs w:val="18"/>
              </w:rPr>
            </w:pPr>
          </w:p>
        </w:tc>
        <w:tc>
          <w:tcPr>
            <w:tcW w:w="1056" w:type="dxa"/>
            <w:tcBorders>
              <w:top w:val="single" w:sz="4" w:space="0" w:color="00A0E9"/>
              <w:bottom w:val="single" w:sz="4" w:space="0" w:color="00A0E9"/>
            </w:tcBorders>
            <w:shd w:val="clear" w:color="auto" w:fill="auto"/>
            <w:vAlign w:val="center"/>
          </w:tcPr>
          <w:p w:rsidR="00EE1CC3" w:rsidRPr="001619E7" w:rsidRDefault="00EE1CC3" w:rsidP="00735BBD">
            <w:pPr>
              <w:jc w:val="center"/>
              <w:rPr>
                <w:rFonts w:ascii="宋体" w:eastAsia="宋体" w:hAnsi="宋体" w:cs="宋体"/>
                <w:szCs w:val="18"/>
              </w:rPr>
            </w:pPr>
          </w:p>
        </w:tc>
      </w:tr>
      <w:tr w:rsidR="00EE1CC3" w:rsidRPr="00E20E5A" w:rsidTr="00735BBD">
        <w:trPr>
          <w:cantSplit/>
          <w:trHeight w:val="643"/>
        </w:trPr>
        <w:tc>
          <w:tcPr>
            <w:tcW w:w="5272" w:type="dxa"/>
            <w:gridSpan w:val="5"/>
            <w:tcBorders>
              <w:top w:val="single" w:sz="4" w:space="0" w:color="00A0E9"/>
              <w:bottom w:val="single" w:sz="4" w:space="0" w:color="00A0E9"/>
            </w:tcBorders>
            <w:shd w:val="clear" w:color="auto" w:fill="auto"/>
            <w:vAlign w:val="center"/>
          </w:tcPr>
          <w:p w:rsidR="00EE1CC3" w:rsidRPr="00187785" w:rsidRDefault="00EE1CC3" w:rsidP="000D3417">
            <w:pPr>
              <w:jc w:val="left"/>
              <w:rPr>
                <w:rFonts w:ascii="宋体" w:eastAsia="宋体" w:hAnsi="宋体"/>
                <w:b/>
                <w:bCs/>
                <w:szCs w:val="18"/>
              </w:rPr>
            </w:pPr>
            <w:bookmarkStart w:id="14" w:name="_Hlk278459784"/>
            <w:r w:rsidRPr="00187785">
              <w:rPr>
                <w:rFonts w:ascii="宋体" w:eastAsia="宋体" w:hAnsi="宋体" w:hint="eastAsia"/>
                <w:b/>
                <w:bCs/>
                <w:szCs w:val="18"/>
              </w:rPr>
              <w:t>组合说明：</w:t>
            </w:r>
            <w:r w:rsidRPr="0046414C">
              <w:rPr>
                <w:rFonts w:ascii="宋体" w:eastAsia="宋体" w:hAnsi="宋体" w:hint="eastAsia"/>
                <w:bCs/>
                <w:szCs w:val="18"/>
              </w:rPr>
              <w:t>作为灵活配置型组合，</w:t>
            </w:r>
            <w:r w:rsidR="00910601">
              <w:rPr>
                <w:rFonts w:ascii="宋体" w:eastAsia="宋体" w:hAnsi="宋体" w:hint="eastAsia"/>
                <w:bCs/>
                <w:szCs w:val="18"/>
              </w:rPr>
              <w:t>短期从控制风险的角度</w:t>
            </w:r>
            <w:r>
              <w:rPr>
                <w:rFonts w:ascii="宋体" w:eastAsia="宋体" w:hAnsi="宋体" w:hint="eastAsia"/>
                <w:bCs/>
                <w:szCs w:val="18"/>
              </w:rPr>
              <w:t>，</w:t>
            </w:r>
            <w:r w:rsidR="00044649">
              <w:rPr>
                <w:rFonts w:ascii="宋体" w:eastAsia="宋体" w:hAnsi="宋体" w:hint="eastAsia"/>
                <w:bCs/>
                <w:szCs w:val="18"/>
              </w:rPr>
              <w:t>仍保持</w:t>
            </w:r>
            <w:r w:rsidR="000D3417">
              <w:rPr>
                <w:rFonts w:ascii="宋体" w:eastAsia="宋体" w:hAnsi="宋体" w:hint="eastAsia"/>
                <w:bCs/>
                <w:szCs w:val="18"/>
              </w:rPr>
              <w:t>中性的</w:t>
            </w:r>
            <w:r w:rsidR="00044649">
              <w:rPr>
                <w:rFonts w:ascii="宋体" w:eastAsia="宋体" w:hAnsi="宋体" w:hint="eastAsia"/>
                <w:bCs/>
                <w:szCs w:val="18"/>
              </w:rPr>
              <w:t>权益类产品</w:t>
            </w:r>
            <w:r w:rsidR="00910601">
              <w:rPr>
                <w:rFonts w:ascii="宋体" w:eastAsia="宋体" w:hAnsi="宋体" w:hint="eastAsia"/>
                <w:bCs/>
                <w:szCs w:val="18"/>
              </w:rPr>
              <w:t>的配置，组合内权益类产品</w:t>
            </w:r>
            <w:r w:rsidR="00044649">
              <w:rPr>
                <w:rFonts w:ascii="宋体" w:eastAsia="宋体" w:hAnsi="宋体" w:hint="eastAsia"/>
                <w:bCs/>
                <w:szCs w:val="18"/>
              </w:rPr>
              <w:t>比例为</w:t>
            </w:r>
            <w:r w:rsidR="00910601">
              <w:rPr>
                <w:rFonts w:ascii="宋体" w:eastAsia="宋体" w:hAnsi="宋体" w:hint="eastAsia"/>
                <w:bCs/>
                <w:szCs w:val="18"/>
              </w:rPr>
              <w:t>50%，权益类基金关注</w:t>
            </w:r>
            <w:proofErr w:type="gramStart"/>
            <w:r w:rsidR="00910601">
              <w:rPr>
                <w:rFonts w:ascii="宋体" w:eastAsia="宋体" w:hAnsi="宋体" w:hint="eastAsia"/>
                <w:bCs/>
                <w:szCs w:val="18"/>
              </w:rPr>
              <w:t>添富价值</w:t>
            </w:r>
            <w:proofErr w:type="gramEnd"/>
            <w:r w:rsidR="00910601">
              <w:rPr>
                <w:rFonts w:ascii="宋体" w:eastAsia="宋体" w:hAnsi="宋体" w:hint="eastAsia"/>
                <w:bCs/>
                <w:szCs w:val="18"/>
              </w:rPr>
              <w:t>和</w:t>
            </w:r>
            <w:proofErr w:type="gramStart"/>
            <w:r w:rsidR="00044649">
              <w:rPr>
                <w:rFonts w:ascii="宋体" w:eastAsia="宋体" w:hAnsi="宋体" w:hint="eastAsia"/>
                <w:bCs/>
                <w:szCs w:val="18"/>
              </w:rPr>
              <w:t>大摩多因子</w:t>
            </w:r>
            <w:proofErr w:type="gramEnd"/>
            <w:r w:rsidR="00044649">
              <w:rPr>
                <w:rFonts w:ascii="宋体" w:eastAsia="宋体" w:hAnsi="宋体" w:hint="eastAsia"/>
                <w:bCs/>
                <w:szCs w:val="18"/>
              </w:rPr>
              <w:t>策略</w:t>
            </w:r>
            <w:r w:rsidR="00004EBA">
              <w:rPr>
                <w:rFonts w:ascii="宋体" w:eastAsia="宋体" w:hAnsi="宋体" w:hint="eastAsia"/>
                <w:bCs/>
                <w:szCs w:val="18"/>
              </w:rPr>
              <w:t>。</w:t>
            </w:r>
            <w:proofErr w:type="gramStart"/>
            <w:r w:rsidR="00004EBA">
              <w:rPr>
                <w:rFonts w:ascii="宋体" w:eastAsia="宋体" w:hAnsi="宋体" w:hint="eastAsia"/>
                <w:bCs/>
                <w:szCs w:val="18"/>
              </w:rPr>
              <w:t>添富</w:t>
            </w:r>
            <w:r w:rsidR="00910601">
              <w:rPr>
                <w:rFonts w:ascii="宋体" w:eastAsia="宋体" w:hAnsi="宋体" w:hint="eastAsia"/>
                <w:bCs/>
                <w:szCs w:val="18"/>
              </w:rPr>
              <w:t>价值</w:t>
            </w:r>
            <w:proofErr w:type="gramEnd"/>
            <w:r w:rsidR="00910601" w:rsidRPr="009A36BC">
              <w:rPr>
                <w:rFonts w:ascii="宋体" w:eastAsia="宋体" w:hAnsi="宋体" w:hint="eastAsia"/>
                <w:szCs w:val="18"/>
              </w:rPr>
              <w:t>重点挖掘低估值板块以及“以时间换空间”的价值投资方法，获取中长期业绩的稳定性</w:t>
            </w:r>
            <w:r w:rsidR="00004EBA">
              <w:rPr>
                <w:rFonts w:ascii="宋体" w:eastAsia="宋体" w:hAnsi="宋体" w:hint="eastAsia"/>
                <w:bCs/>
                <w:szCs w:val="18"/>
              </w:rPr>
              <w:t>；</w:t>
            </w:r>
            <w:proofErr w:type="gramStart"/>
            <w:r w:rsidR="00044649">
              <w:rPr>
                <w:rFonts w:ascii="宋体" w:eastAsia="宋体" w:hAnsi="宋体" w:hint="eastAsia"/>
                <w:bCs/>
                <w:szCs w:val="18"/>
              </w:rPr>
              <w:t>大摩多因子</w:t>
            </w:r>
            <w:proofErr w:type="gramEnd"/>
            <w:r w:rsidR="00044649">
              <w:rPr>
                <w:rFonts w:ascii="宋体" w:eastAsia="宋体" w:hAnsi="宋体" w:hint="eastAsia"/>
                <w:bCs/>
                <w:szCs w:val="18"/>
              </w:rPr>
              <w:t>策略采用多因子量化投资的方式，无论是收益还是风险控制都取得不错的效果。</w:t>
            </w:r>
          </w:p>
        </w:tc>
        <w:tc>
          <w:tcPr>
            <w:tcW w:w="227" w:type="dxa"/>
          </w:tcPr>
          <w:p w:rsidR="00EE1CC3" w:rsidRPr="0043215A" w:rsidRDefault="00EE1CC3" w:rsidP="00735BBD">
            <w:pPr>
              <w:jc w:val="center"/>
              <w:rPr>
                <w:color w:val="FF0000"/>
              </w:rPr>
            </w:pPr>
          </w:p>
        </w:tc>
        <w:tc>
          <w:tcPr>
            <w:tcW w:w="5273" w:type="dxa"/>
            <w:gridSpan w:val="5"/>
            <w:tcBorders>
              <w:top w:val="single" w:sz="4" w:space="0" w:color="00A0E9"/>
              <w:bottom w:val="single" w:sz="4" w:space="0" w:color="00A0E9"/>
            </w:tcBorders>
            <w:shd w:val="clear" w:color="auto" w:fill="auto"/>
            <w:vAlign w:val="center"/>
          </w:tcPr>
          <w:p w:rsidR="00EE1CC3" w:rsidRPr="00187785" w:rsidRDefault="00EE1CC3" w:rsidP="00735BBD">
            <w:pPr>
              <w:jc w:val="left"/>
              <w:rPr>
                <w:rFonts w:ascii="宋体" w:eastAsia="宋体" w:hAnsi="宋体" w:cs="宋体"/>
                <w:b/>
                <w:bCs/>
                <w:color w:val="FF0000"/>
                <w:szCs w:val="18"/>
              </w:rPr>
            </w:pPr>
          </w:p>
        </w:tc>
      </w:tr>
      <w:bookmarkEnd w:id="14"/>
      <w:tr w:rsidR="00EE1CC3" w:rsidRPr="00A067AA" w:rsidTr="00735BBD">
        <w:tblPrEx>
          <w:tblBorders>
            <w:top w:val="single" w:sz="4" w:space="0" w:color="00A0E9"/>
            <w:insideH w:val="single" w:sz="4" w:space="0" w:color="00A0E9"/>
            <w:insideV w:val="single" w:sz="4" w:space="0" w:color="00A0E9"/>
          </w:tblBorders>
        </w:tblPrEx>
        <w:trPr>
          <w:cantSplit/>
          <w:trHeight w:val="200"/>
        </w:trPr>
        <w:tc>
          <w:tcPr>
            <w:tcW w:w="10772" w:type="dxa"/>
            <w:gridSpan w:val="11"/>
            <w:shd w:val="clear" w:color="auto" w:fill="auto"/>
          </w:tcPr>
          <w:p w:rsidR="00EE1CC3" w:rsidRPr="00A067AA" w:rsidRDefault="00EE1CC3" w:rsidP="00735BBD">
            <w:pPr>
              <w:pStyle w:val="FootnoteNoline"/>
              <w:ind w:left="0"/>
            </w:pPr>
            <w:r>
              <w:rPr>
                <w:rFonts w:hint="eastAsia"/>
              </w:rPr>
              <w:t>来源：国金证券研究所</w:t>
            </w:r>
          </w:p>
        </w:tc>
      </w:tr>
      <w:bookmarkEnd w:id="4"/>
      <w:bookmarkEnd w:id="5"/>
      <w:bookmarkEnd w:id="6"/>
      <w:bookmarkEnd w:id="7"/>
      <w:bookmarkEnd w:id="8"/>
      <w:bookmarkEnd w:id="9"/>
      <w:bookmarkEnd w:id="10"/>
      <w:bookmarkEnd w:id="11"/>
      <w:bookmarkEnd w:id="12"/>
    </w:tbl>
    <w:p w:rsidR="00EE1CC3" w:rsidRDefault="00EE1CC3" w:rsidP="00EE1CC3">
      <w:pPr>
        <w:pStyle w:val="a0"/>
        <w:widowControl/>
        <w:ind w:left="0"/>
        <w:rPr>
          <w:color w:val="auto"/>
        </w:rPr>
      </w:pPr>
    </w:p>
    <w:p w:rsidR="0005161F" w:rsidRDefault="00C85D91" w:rsidP="00776898">
      <w:pPr>
        <w:pStyle w:val="a0"/>
        <w:pageBreakBefore/>
        <w:ind w:left="0"/>
      </w:pPr>
      <w:r>
        <w:rPr>
          <w:noProof/>
        </w:rPr>
        <w:lastRenderedPageBreak/>
        <w:pict>
          <v:shape id="Text Box 353" o:spid="_x0000_s1026" type="#_x0000_t202" style="position:absolute;left:0;text-align:left;margin-left:-7.05pt;margin-top:77.1pt;width:545.95pt;height:337.8pt;z-index:251654656;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" filled="f" stroked="f">
            <v:textbox>
              <w:txbxContent>
                <w:p w:rsidR="00461CBE" w:rsidRDefault="00461CBE" w:rsidP="000E6AE0">
                  <w:pPr>
                    <w:pStyle w:val="a0"/>
                    <w:spacing w:after="40" w:line="200" w:lineRule="atLeast"/>
                    <w:ind w:left="0" w:rightChars="-27" w:right="-49" w:firstLineChars="22" w:firstLine="46"/>
                    <w:rPr>
                      <w:b/>
                      <w:bCs/>
                      <w:color w:val="auto"/>
                      <w:szCs w:val="15"/>
                    </w:rPr>
                  </w:pPr>
                  <w:r w:rsidRPr="009A3954">
                    <w:rPr>
                      <w:rFonts w:hint="eastAsia"/>
                      <w:b/>
                      <w:bCs/>
                      <w:color w:val="auto"/>
                      <w:szCs w:val="15"/>
                    </w:rPr>
                    <w:t>特别声明：</w:t>
                  </w:r>
                  <w:r w:rsidRPr="009A3954">
                    <w:rPr>
                      <w:b/>
                      <w:bCs/>
                      <w:color w:val="auto"/>
                      <w:szCs w:val="15"/>
                    </w:rPr>
                    <w:t xml:space="preserve"> </w:t>
                  </w:r>
                </w:p>
                <w:p w:rsidR="00461CBE" w:rsidRPr="00EE31AB" w:rsidRDefault="00461CBE" w:rsidP="00EE31AB">
                  <w:pPr>
                    <w:pStyle w:val="a0"/>
                    <w:spacing w:after="0" w:line="240" w:lineRule="auto"/>
                    <w:ind w:left="0" w:firstLine="420"/>
                    <w:jc w:val="left"/>
                    <w:rPr>
                      <w:b/>
                      <w:bCs/>
                      <w:color w:val="auto"/>
                      <w:szCs w:val="15"/>
                    </w:rPr>
                  </w:pPr>
                  <w:r w:rsidRPr="0038328E">
                    <w:rPr>
                      <w:rFonts w:ascii="楷体_GB2312" w:hAnsi="Tahoma" w:cs="Tahoma" w:hint="eastAsia"/>
                      <w:szCs w:val="21"/>
                    </w:rPr>
                    <w:t>国金证券股份有限公司经中国证券监督管理委员会批准，已具备证券投资咨询业务资格。</w:t>
                  </w:r>
                </w:p>
                <w:p w:rsidR="00461CBE" w:rsidRDefault="00461CBE" w:rsidP="00DF32E3">
                  <w:pPr>
                    <w:ind w:firstLine="420"/>
                    <w:jc w:val="left"/>
                    <w:rPr>
                      <w:rFonts w:ascii="Tahoma" w:eastAsia="宋体" w:hAnsi="Tahoma" w:cs="Tahoma"/>
                      <w:color w:val="000000"/>
                      <w:sz w:val="20"/>
                    </w:rPr>
                  </w:pPr>
                  <w:r>
                    <w:rPr>
                      <w:rFonts w:ascii="楷体_GB2312" w:hAnsi="Tahoma" w:cs="Tahoma" w:hint="eastAsia"/>
                      <w:color w:val="000000"/>
                      <w:sz w:val="21"/>
                      <w:szCs w:val="21"/>
                    </w:rPr>
                    <w:t>本报告版权归</w:t>
                  </w:r>
                  <w:r>
                    <w:rPr>
                      <w:rFonts w:ascii="楷体_GB2312" w:hAnsi="Tahoma" w:cs="Tahoma"/>
                      <w:color w:val="000000"/>
                      <w:sz w:val="21"/>
                      <w:szCs w:val="21"/>
                    </w:rPr>
                    <w:t>“</w:t>
                  </w:r>
                  <w:r>
                    <w:rPr>
                      <w:rFonts w:ascii="楷体_GB2312" w:hAnsi="Tahoma" w:cs="Tahoma" w:hint="eastAsia"/>
                      <w:color w:val="000000"/>
                      <w:sz w:val="21"/>
                      <w:szCs w:val="21"/>
                    </w:rPr>
                    <w:t>国金证券股份有限公司</w:t>
                  </w:r>
                  <w:r>
                    <w:rPr>
                      <w:rFonts w:ascii="楷体_GB2312" w:hAnsi="Tahoma" w:cs="Tahoma"/>
                      <w:color w:val="000000"/>
                      <w:sz w:val="21"/>
                      <w:szCs w:val="21"/>
                    </w:rPr>
                    <w:t>”</w:t>
                  </w:r>
                  <w:r>
                    <w:rPr>
                      <w:rFonts w:ascii="楷体_GB2312" w:hAnsi="Tahoma" w:cs="Tahoma" w:hint="eastAsia"/>
                      <w:color w:val="000000"/>
                      <w:sz w:val="21"/>
                      <w:szCs w:val="21"/>
                    </w:rPr>
                    <w:t>（以下简称</w:t>
                  </w:r>
                  <w:r>
                    <w:rPr>
                      <w:rFonts w:ascii="楷体_GB2312" w:hAnsi="Tahoma" w:cs="Tahoma"/>
                      <w:color w:val="000000"/>
                      <w:sz w:val="21"/>
                      <w:szCs w:val="21"/>
                    </w:rPr>
                    <w:t>“</w:t>
                  </w:r>
                  <w:r>
                    <w:rPr>
                      <w:rFonts w:ascii="楷体_GB2312" w:hAnsi="Tahoma" w:cs="Tahoma" w:hint="eastAsia"/>
                      <w:color w:val="000000"/>
                      <w:sz w:val="21"/>
                      <w:szCs w:val="21"/>
                    </w:rPr>
                    <w:t>国金证券</w:t>
                  </w:r>
                  <w:r>
                    <w:rPr>
                      <w:rFonts w:ascii="楷体_GB2312" w:hAnsi="Tahoma" w:cs="Tahoma"/>
                      <w:color w:val="000000"/>
                      <w:sz w:val="21"/>
                      <w:szCs w:val="21"/>
                    </w:rPr>
                    <w:t>”</w:t>
                  </w:r>
                  <w:r>
                    <w:rPr>
                      <w:rFonts w:ascii="楷体_GB2312" w:hAnsi="Tahoma" w:cs="Tahoma" w:hint="eastAsia"/>
                      <w:color w:val="000000"/>
                      <w:sz w:val="21"/>
                      <w:szCs w:val="21"/>
                    </w:rPr>
                    <w:t>）所有，未经事先书面授权，本报告的任何部分均不得以任何方式制作任何形式的拷贝，或再次分发给任何其他人，或以任何侵犯本公司版权的其他方式使用。经过书面授权的引用、刊发，需注明出处为</w:t>
                  </w:r>
                  <w:r>
                    <w:rPr>
                      <w:rFonts w:ascii="楷体_GB2312" w:hAnsi="Tahoma" w:cs="Tahoma"/>
                      <w:color w:val="000000"/>
                      <w:sz w:val="21"/>
                      <w:szCs w:val="21"/>
                    </w:rPr>
                    <w:t>“</w:t>
                  </w:r>
                  <w:r>
                    <w:rPr>
                      <w:rFonts w:ascii="楷体_GB2312" w:hAnsi="Tahoma" w:cs="Tahoma" w:hint="eastAsia"/>
                      <w:color w:val="000000"/>
                      <w:sz w:val="21"/>
                      <w:szCs w:val="21"/>
                    </w:rPr>
                    <w:t>国金证券股份有限公司</w:t>
                  </w:r>
                  <w:r>
                    <w:rPr>
                      <w:rFonts w:ascii="楷体_GB2312" w:hAnsi="Tahoma" w:cs="Tahoma"/>
                      <w:color w:val="000000"/>
                      <w:sz w:val="21"/>
                      <w:szCs w:val="21"/>
                    </w:rPr>
                    <w:t>”</w:t>
                  </w:r>
                  <w:r>
                    <w:rPr>
                      <w:rFonts w:ascii="楷体_GB2312" w:hAnsi="Tahoma" w:cs="Tahoma" w:hint="eastAsia"/>
                      <w:color w:val="000000"/>
                      <w:sz w:val="21"/>
                      <w:szCs w:val="21"/>
                    </w:rPr>
                    <w:t>，且不得对本报告进行任何有悖原意的删节和修改。</w:t>
                  </w:r>
                </w:p>
                <w:p w:rsidR="00461CBE" w:rsidRDefault="00461CBE" w:rsidP="00DF32E3">
                  <w:pPr>
                    <w:ind w:firstLine="420"/>
                    <w:jc w:val="left"/>
                    <w:rPr>
                      <w:rFonts w:ascii="Tahoma" w:eastAsia="宋体" w:hAnsi="Tahoma" w:cs="Tahoma"/>
                      <w:color w:val="000000"/>
                      <w:sz w:val="20"/>
                    </w:rPr>
                  </w:pPr>
                  <w:r>
                    <w:rPr>
                      <w:rFonts w:ascii="楷体_GB2312" w:hAnsi="Tahoma" w:cs="Tahoma" w:hint="eastAsia"/>
                      <w:color w:val="000000"/>
                      <w:sz w:val="21"/>
                      <w:szCs w:val="21"/>
                    </w:rPr>
                    <w:t>本报告的产生基于国金证券及其研究人员认为可信的公开资料或实地调研资料，但国金证券及其研究人员对这些信息的准确性和完整性不作任何保证，对由于该等问题产生的一切责任，国金证券不</w:t>
                  </w:r>
                  <w:proofErr w:type="gramStart"/>
                  <w:r>
                    <w:rPr>
                      <w:rFonts w:ascii="楷体_GB2312" w:hAnsi="Tahoma" w:cs="Tahoma" w:hint="eastAsia"/>
                      <w:color w:val="000000"/>
                      <w:sz w:val="21"/>
                      <w:szCs w:val="21"/>
                    </w:rPr>
                    <w:t>作出</w:t>
                  </w:r>
                  <w:proofErr w:type="gramEnd"/>
                  <w:r>
                    <w:rPr>
                      <w:rFonts w:ascii="楷体_GB2312" w:hAnsi="Tahoma" w:cs="Tahoma" w:hint="eastAsia"/>
                      <w:color w:val="000000"/>
                      <w:sz w:val="21"/>
                      <w:szCs w:val="21"/>
                    </w:rPr>
                    <w:t>任何担保。且本报告中的资料、意见、预测均反映报告初次公开发布时的判断，在</w:t>
                  </w:r>
                  <w:proofErr w:type="gramStart"/>
                  <w:r>
                    <w:rPr>
                      <w:rFonts w:ascii="楷体_GB2312" w:hAnsi="Tahoma" w:cs="Tahoma" w:hint="eastAsia"/>
                      <w:color w:val="000000"/>
                      <w:sz w:val="21"/>
                      <w:szCs w:val="21"/>
                    </w:rPr>
                    <w:t>不作事</w:t>
                  </w:r>
                  <w:proofErr w:type="gramEnd"/>
                  <w:r>
                    <w:rPr>
                      <w:rFonts w:ascii="楷体_GB2312" w:hAnsi="Tahoma" w:cs="Tahoma" w:hint="eastAsia"/>
                      <w:color w:val="000000"/>
                      <w:sz w:val="21"/>
                      <w:szCs w:val="21"/>
                    </w:rPr>
                    <w:t>先通知的情况下，可能会随时调整。</w:t>
                  </w:r>
                </w:p>
                <w:p w:rsidR="00461CBE" w:rsidRDefault="00461CBE" w:rsidP="00DF32E3">
                  <w:pPr>
                    <w:ind w:firstLine="420"/>
                    <w:jc w:val="left"/>
                    <w:rPr>
                      <w:rFonts w:ascii="Tahoma" w:eastAsia="宋体" w:hAnsi="Tahoma" w:cs="Tahoma"/>
                      <w:color w:val="000000"/>
                      <w:sz w:val="20"/>
                    </w:rPr>
                  </w:pPr>
                  <w:r>
                    <w:rPr>
                      <w:rFonts w:ascii="楷体_GB2312" w:hAnsi="Tahoma" w:cs="Tahoma" w:hint="eastAsia"/>
                      <w:color w:val="000000"/>
                      <w:sz w:val="21"/>
                      <w:szCs w:val="21"/>
                    </w:rPr>
                    <w:t>客户应当考虑到国金证券存在可能影响本报告客观性的利益冲突，而不应视本报告为</w:t>
                  </w:r>
                  <w:proofErr w:type="gramStart"/>
                  <w:r>
                    <w:rPr>
                      <w:rFonts w:ascii="楷体_GB2312" w:hAnsi="Tahoma" w:cs="Tahoma" w:hint="eastAsia"/>
                      <w:color w:val="000000"/>
                      <w:sz w:val="21"/>
                      <w:szCs w:val="21"/>
                    </w:rPr>
                    <w:t>作出</w:t>
                  </w:r>
                  <w:proofErr w:type="gramEnd"/>
                  <w:r>
                    <w:rPr>
                      <w:rFonts w:ascii="楷体_GB2312" w:hAnsi="Tahoma" w:cs="Tahoma" w:hint="eastAsia"/>
                      <w:color w:val="000000"/>
                      <w:sz w:val="21"/>
                      <w:szCs w:val="21"/>
                    </w:rPr>
                    <w:t>投资决策的唯一因素。本报告亦</w:t>
                  </w:r>
                  <w:proofErr w:type="gramStart"/>
                  <w:r>
                    <w:rPr>
                      <w:rFonts w:ascii="楷体_GB2312" w:hAnsi="Tahoma" w:cs="Tahoma" w:hint="eastAsia"/>
                      <w:color w:val="000000"/>
                      <w:sz w:val="21"/>
                      <w:szCs w:val="21"/>
                    </w:rPr>
                    <w:t>非作为</w:t>
                  </w:r>
                  <w:proofErr w:type="gramEnd"/>
                  <w:r>
                    <w:rPr>
                      <w:rFonts w:ascii="楷体_GB2312" w:hAnsi="Tahoma" w:cs="Tahoma" w:hint="eastAsia"/>
                      <w:color w:val="000000"/>
                      <w:sz w:val="21"/>
                      <w:szCs w:val="21"/>
                    </w:rPr>
                    <w:t>或被视为出售或购买证券或其他投资标的邀请。</w:t>
                  </w:r>
                </w:p>
                <w:p w:rsidR="00461CBE" w:rsidRDefault="00461CBE" w:rsidP="00DF32E3">
                  <w:pPr>
                    <w:ind w:firstLine="420"/>
                    <w:jc w:val="left"/>
                    <w:rPr>
                      <w:rFonts w:ascii="Tahoma" w:eastAsia="宋体" w:hAnsi="Tahoma" w:cs="Tahoma"/>
                      <w:color w:val="000000"/>
                      <w:sz w:val="20"/>
                    </w:rPr>
                  </w:pPr>
                  <w:r>
                    <w:rPr>
                      <w:rFonts w:ascii="楷体_GB2312" w:hAnsi="Tahoma" w:cs="Tahoma" w:hint="eastAsia"/>
                      <w:color w:val="000000"/>
                      <w:sz w:val="21"/>
                      <w:szCs w:val="21"/>
                    </w:rPr>
                    <w:t>证券研究报告是用于服务机构投资者和投资顾问的专业产品，使用时必须经专业人士进行解读。国金证券建议客户应考虑本报告的任何意见或建议是否符合其特定状况，以及（若有必要）咨询独立投资顾问。报告本身、报告中的信息或所表达意见也不构成投资、法律、会计或税务的最终操作建议，国金证券不就报告中的内容对最终操作建议做出任何担保。</w:t>
                  </w:r>
                </w:p>
                <w:p w:rsidR="00461CBE" w:rsidRDefault="00461CBE" w:rsidP="00DF32E3">
                  <w:pPr>
                    <w:ind w:firstLine="420"/>
                    <w:jc w:val="left"/>
                    <w:rPr>
                      <w:rFonts w:ascii="Tahoma" w:eastAsia="宋体" w:hAnsi="Tahoma" w:cs="Tahoma"/>
                      <w:color w:val="000000"/>
                      <w:sz w:val="20"/>
                    </w:rPr>
                  </w:pPr>
                  <w:r>
                    <w:rPr>
                      <w:rFonts w:ascii="楷体_GB2312" w:hAnsi="Tahoma" w:cs="Tahoma" w:hint="eastAsia"/>
                      <w:color w:val="000000"/>
                      <w:sz w:val="21"/>
                      <w:szCs w:val="21"/>
                    </w:rPr>
                    <w:t>在法律允许的情况下，国金证券的关联机构可能会持有报告中涉及的公司所发行的证券并进行交易，并可能为这些公司正在提供或争取提供多种金融服务。</w:t>
                  </w:r>
                </w:p>
                <w:p w:rsidR="00461CBE" w:rsidRDefault="00461CBE" w:rsidP="00DF32E3">
                  <w:pPr>
                    <w:ind w:firstLine="420"/>
                    <w:jc w:val="left"/>
                    <w:rPr>
                      <w:rFonts w:ascii="楷体_GB2312" w:hAnsi="Tahoma" w:cs="Tahoma"/>
                      <w:color w:val="000000"/>
                      <w:sz w:val="21"/>
                      <w:szCs w:val="21"/>
                    </w:rPr>
                  </w:pPr>
                  <w:r>
                    <w:rPr>
                      <w:rFonts w:ascii="楷体_GB2312" w:hAnsi="Tahoma" w:cs="Tahoma" w:hint="eastAsia"/>
                      <w:color w:val="000000"/>
                      <w:sz w:val="21"/>
                      <w:szCs w:val="21"/>
                    </w:rPr>
                    <w:t>本报告反映编写分析员的不同设想、见解及分析方法，故本报告所载观点可能与其他类似研究报告的观点及市场实际情况不一致，且收件人亦不会因为收到本报告而成为国金证券的客户。</w:t>
                  </w:r>
                </w:p>
                <w:p w:rsidR="00461CBE" w:rsidRDefault="00461CBE" w:rsidP="000E6AE0">
                  <w:pPr>
                    <w:pStyle w:val="a0"/>
                    <w:spacing w:after="40" w:line="200" w:lineRule="atLeast"/>
                    <w:ind w:left="0" w:rightChars="-27" w:right="-49"/>
                    <w:rPr>
                      <w:b/>
                      <w:bCs/>
                      <w:color w:val="auto"/>
                      <w:szCs w:val="15"/>
                    </w:rPr>
                  </w:pPr>
                  <w:r>
                    <w:rPr>
                      <w:rFonts w:eastAsia="宋体"/>
                      <w:b/>
                      <w:bCs/>
                      <w:szCs w:val="18"/>
                    </w:rPr>
                    <w:t xml:space="preserve">         </w:t>
                  </w:r>
                  <w:r>
                    <w:rPr>
                      <w:rFonts w:ascii="楷体_GB2312" w:hAnsi="Tahoma" w:cs="Tahoma" w:hint="eastAsia"/>
                      <w:szCs w:val="21"/>
                    </w:rPr>
                    <w:t>本报告仅供国金证券股份有限公司的机构客户使用；非国金证券客户擅自使用国金证券研究报告进行投资，遭受任何损失，国金证券不承担相关法律责任。</w:t>
                  </w:r>
                </w:p>
                <w:p w:rsidR="00461CBE" w:rsidRDefault="00461CBE" w:rsidP="000E6AE0">
                  <w:pPr>
                    <w:pStyle w:val="a0"/>
                    <w:spacing w:after="60"/>
                    <w:ind w:left="0" w:rightChars="-27" w:right="-49"/>
                    <w:rPr>
                      <w:color w:val="auto"/>
                      <w:szCs w:val="15"/>
                    </w:rPr>
                  </w:pPr>
                </w:p>
                <w:p w:rsidR="00461CBE" w:rsidRDefault="00461CBE" w:rsidP="000E6AE0">
                  <w:pPr>
                    <w:pStyle w:val="a0"/>
                    <w:spacing w:after="60"/>
                    <w:ind w:left="0" w:rightChars="-27" w:right="-49"/>
                    <w:rPr>
                      <w:color w:val="auto"/>
                      <w:szCs w:val="15"/>
                    </w:rPr>
                  </w:pPr>
                </w:p>
                <w:p w:rsidR="00461CBE" w:rsidRPr="000336C0" w:rsidRDefault="00461CBE" w:rsidP="000E6AE0">
                  <w:pPr>
                    <w:pStyle w:val="a0"/>
                    <w:spacing w:after="60"/>
                    <w:ind w:left="0" w:rightChars="-27" w:right="-49"/>
                    <w:rPr>
                      <w:color w:val="auto"/>
                      <w:szCs w:val="15"/>
                    </w:rPr>
                  </w:pPr>
                </w:p>
              </w:txbxContent>
            </v:textbox>
            <w10:wrap type="square" anchory="page"/>
          </v:shape>
        </w:pict>
      </w:r>
    </w:p>
    <w:p w:rsidR="00ED77B9" w:rsidRDefault="00ED77B9" w:rsidP="00ED77B9">
      <w:pPr>
        <w:spacing w:line="14" w:lineRule="exact"/>
      </w:pPr>
    </w:p>
    <w:p w:rsidR="00762F0E" w:rsidRPr="00ED77B9" w:rsidRDefault="00762F0E" w:rsidP="00ED77B9">
      <w:pPr>
        <w:spacing w:line="14" w:lineRule="exact"/>
      </w:pPr>
    </w:p>
    <w:p w:rsidR="00E1684A" w:rsidRDefault="00E1684A" w:rsidP="00E1684A">
      <w:pPr>
        <w:spacing w:line="14" w:lineRule="exact"/>
      </w:pPr>
    </w:p>
    <w:sdt>
      <w:sdtPr>
        <w:alias w:val="末页联系地址"/>
        <w:tag w:val="BDCONTENTCONTROL_2602561a-fc2b-4adc-befd-22fa63ba88c6"/>
        <w:id w:val="-1419249774"/>
        <w:placeholder>
          <w:docPart w:val="BE343C0A3357424294F39F680051F9AF"/>
        </w:placeholder>
      </w:sdtPr>
      <w:sdtEndPr/>
      <w:sdtContent>
        <w:p w:rsidR="004C64E0" w:rsidRDefault="004C64E0" w:rsidP="004C64E0">
          <w:pPr>
            <w:spacing w:line="14" w:lineRule="exact"/>
          </w:pPr>
        </w:p>
        <w:tbl>
          <w:tblPr>
            <w:tblW w:w="0" w:type="auto"/>
            <w:tblLayout w:type="fixed"/>
            <w:tblLook w:val="0000" w:firstRow="0" w:lastRow="0" w:firstColumn="0" w:lastColumn="0" w:noHBand="0" w:noVBand="0"/>
          </w:tblPr>
          <w:tblGrid>
            <w:gridCol w:w="3625"/>
            <w:gridCol w:w="3625"/>
            <w:gridCol w:w="3625"/>
          </w:tblGrid>
          <w:tr w:rsidR="004C64E0">
            <w:tc>
              <w:tcPr>
                <w:tcW w:w="3625" w:type="dxa"/>
              </w:tcPr>
              <w:p w:rsidR="004C64E0" w:rsidRPr="004C64E0" w:rsidRDefault="00B1372D" w:rsidP="004C64E0">
                <w:pPr>
                  <w:spacing w:after="120" w:line="240" w:lineRule="exact"/>
                  <w:rPr>
                    <w:b/>
                  </w:rPr>
                </w:pPr>
                <w:r>
                  <w:rPr>
                    <w:rFonts w:hint="eastAsia"/>
                    <w:b/>
                  </w:rPr>
                  <w:t>上海</w:t>
                </w:r>
              </w:p>
            </w:tc>
            <w:tc>
              <w:tcPr>
                <w:tcW w:w="3625" w:type="dxa"/>
              </w:tcPr>
              <w:p w:rsidR="004C64E0" w:rsidRPr="004C64E0" w:rsidRDefault="00B1372D" w:rsidP="004C64E0">
                <w:pPr>
                  <w:spacing w:after="120" w:line="240" w:lineRule="exact"/>
                  <w:rPr>
                    <w:b/>
                  </w:rPr>
                </w:pPr>
                <w:r>
                  <w:rPr>
                    <w:rFonts w:hint="eastAsia"/>
                    <w:b/>
                  </w:rPr>
                  <w:t>北京</w:t>
                </w:r>
              </w:p>
            </w:tc>
            <w:tc>
              <w:tcPr>
                <w:tcW w:w="3625" w:type="dxa"/>
              </w:tcPr>
              <w:p w:rsidR="004C64E0" w:rsidRPr="004C64E0" w:rsidRDefault="00B1372D" w:rsidP="004C64E0">
                <w:pPr>
                  <w:spacing w:after="120" w:line="240" w:lineRule="exact"/>
                  <w:rPr>
                    <w:b/>
                  </w:rPr>
                </w:pPr>
                <w:r>
                  <w:rPr>
                    <w:rFonts w:hint="eastAsia"/>
                    <w:b/>
                  </w:rPr>
                  <w:t>深圳</w:t>
                </w:r>
              </w:p>
            </w:tc>
          </w:tr>
          <w:tr w:rsidR="004C64E0">
            <w:tc>
              <w:tcPr>
                <w:tcW w:w="3625" w:type="dxa"/>
              </w:tcPr>
              <w:p w:rsidR="00B1372D" w:rsidRDefault="00B1372D" w:rsidP="000B01C0">
                <w:pPr>
                  <w:spacing w:after="120" w:line="240" w:lineRule="exact"/>
                </w:pPr>
                <w:r>
                  <w:rPr>
                    <w:rFonts w:hint="eastAsia"/>
                  </w:rPr>
                  <w:t>电话：</w:t>
                </w:r>
                <w:r>
                  <w:rPr>
                    <w:rFonts w:hint="eastAsia"/>
                  </w:rPr>
                  <w:t>021-60753903</w:t>
                </w:r>
              </w:p>
              <w:p w:rsidR="00B1372D" w:rsidRDefault="00B1372D" w:rsidP="000B01C0">
                <w:pPr>
                  <w:spacing w:after="120" w:line="240" w:lineRule="exact"/>
                </w:pPr>
                <w:r>
                  <w:rPr>
                    <w:rFonts w:hint="eastAsia"/>
                  </w:rPr>
                  <w:t>传真：</w:t>
                </w:r>
                <w:r>
                  <w:rPr>
                    <w:rFonts w:hint="eastAsia"/>
                  </w:rPr>
                  <w:t>021-61038200</w:t>
                </w:r>
              </w:p>
              <w:p w:rsidR="00B1372D" w:rsidRDefault="00B1372D" w:rsidP="000B01C0">
                <w:pPr>
                  <w:spacing w:after="120" w:line="240" w:lineRule="exact"/>
                </w:pPr>
                <w:r>
                  <w:rPr>
                    <w:rFonts w:hint="eastAsia"/>
                  </w:rPr>
                  <w:t>邮箱：</w:t>
                </w:r>
                <w:r>
                  <w:rPr>
                    <w:rFonts w:hint="eastAsia"/>
                  </w:rPr>
                  <w:t>researchsh@gjzq.com.cn</w:t>
                </w:r>
              </w:p>
              <w:p w:rsidR="00B1372D" w:rsidRDefault="00B1372D" w:rsidP="000B01C0">
                <w:pPr>
                  <w:spacing w:after="120" w:line="240" w:lineRule="exact"/>
                </w:pPr>
                <w:r>
                  <w:rPr>
                    <w:rFonts w:hint="eastAsia"/>
                  </w:rPr>
                  <w:t>邮编：</w:t>
                </w:r>
                <w:r>
                  <w:rPr>
                    <w:rFonts w:hint="eastAsia"/>
                  </w:rPr>
                  <w:t>201204</w:t>
                </w:r>
              </w:p>
              <w:p w:rsidR="00B1372D" w:rsidRDefault="00B1372D" w:rsidP="000B01C0">
                <w:pPr>
                  <w:spacing w:after="120" w:line="240" w:lineRule="exact"/>
                </w:pPr>
                <w:r>
                  <w:rPr>
                    <w:rFonts w:hint="eastAsia"/>
                  </w:rPr>
                  <w:t>地址：上海浦东新区芳</w:t>
                </w:r>
                <w:proofErr w:type="gramStart"/>
                <w:r>
                  <w:rPr>
                    <w:rFonts w:hint="eastAsia"/>
                  </w:rPr>
                  <w:t>甸</w:t>
                </w:r>
                <w:proofErr w:type="gramEnd"/>
                <w:r>
                  <w:rPr>
                    <w:rFonts w:hint="eastAsia"/>
                  </w:rPr>
                  <w:t>路</w:t>
                </w:r>
                <w:r>
                  <w:rPr>
                    <w:rFonts w:hint="eastAsia"/>
                  </w:rPr>
                  <w:t>1088</w:t>
                </w:r>
                <w:r>
                  <w:rPr>
                    <w:rFonts w:hint="eastAsia"/>
                  </w:rPr>
                  <w:t>号</w:t>
                </w:r>
              </w:p>
              <w:p w:rsidR="004C64E0" w:rsidRDefault="00B1372D" w:rsidP="000B01C0">
                <w:pPr>
                  <w:spacing w:after="120" w:line="240" w:lineRule="exact"/>
                </w:pPr>
                <w:r>
                  <w:rPr>
                    <w:rFonts w:hint="eastAsia"/>
                  </w:rPr>
                  <w:t xml:space="preserve">           </w:t>
                </w:r>
                <w:r>
                  <w:rPr>
                    <w:rFonts w:hint="eastAsia"/>
                  </w:rPr>
                  <w:t>紫竹国际大厦</w:t>
                </w:r>
                <w:r>
                  <w:rPr>
                    <w:rFonts w:hint="eastAsia"/>
                  </w:rPr>
                  <w:t>7</w:t>
                </w:r>
                <w:r>
                  <w:rPr>
                    <w:rFonts w:hint="eastAsia"/>
                  </w:rPr>
                  <w:t>楼</w:t>
                </w:r>
              </w:p>
            </w:tc>
            <w:tc>
              <w:tcPr>
                <w:tcW w:w="3625" w:type="dxa"/>
              </w:tcPr>
              <w:p w:rsidR="00B1372D" w:rsidRDefault="00B1372D" w:rsidP="000B01C0">
                <w:pPr>
                  <w:spacing w:after="120" w:line="240" w:lineRule="exact"/>
                </w:pPr>
                <w:r>
                  <w:rPr>
                    <w:rFonts w:hint="eastAsia"/>
                  </w:rPr>
                  <w:t>电话：</w:t>
                </w:r>
                <w:r>
                  <w:rPr>
                    <w:rFonts w:hint="eastAsia"/>
                  </w:rPr>
                  <w:t>010-66216979</w:t>
                </w:r>
              </w:p>
              <w:p w:rsidR="00B1372D" w:rsidRDefault="00B1372D" w:rsidP="000B01C0">
                <w:pPr>
                  <w:spacing w:after="120" w:line="240" w:lineRule="exact"/>
                </w:pPr>
                <w:r>
                  <w:rPr>
                    <w:rFonts w:hint="eastAsia"/>
                  </w:rPr>
                  <w:t>传真：</w:t>
                </w:r>
                <w:r>
                  <w:rPr>
                    <w:rFonts w:hint="eastAsia"/>
                  </w:rPr>
                  <w:t>010-66216793</w:t>
                </w:r>
              </w:p>
              <w:p w:rsidR="00B1372D" w:rsidRDefault="00B1372D" w:rsidP="000B01C0">
                <w:pPr>
                  <w:spacing w:after="120" w:line="240" w:lineRule="exact"/>
                </w:pPr>
                <w:r>
                  <w:rPr>
                    <w:rFonts w:hint="eastAsia"/>
                  </w:rPr>
                  <w:t>邮箱：</w:t>
                </w:r>
                <w:r>
                  <w:rPr>
                    <w:rFonts w:hint="eastAsia"/>
                  </w:rPr>
                  <w:t>researchbj@gjzq.com.cn</w:t>
                </w:r>
              </w:p>
              <w:p w:rsidR="00B1372D" w:rsidRDefault="00B1372D" w:rsidP="000B01C0">
                <w:pPr>
                  <w:spacing w:after="120" w:line="240" w:lineRule="exact"/>
                </w:pPr>
                <w:r>
                  <w:rPr>
                    <w:rFonts w:hint="eastAsia"/>
                  </w:rPr>
                  <w:t>邮编：</w:t>
                </w:r>
                <w:r>
                  <w:rPr>
                    <w:rFonts w:hint="eastAsia"/>
                  </w:rPr>
                  <w:t>100053</w:t>
                </w:r>
              </w:p>
              <w:p w:rsidR="004C64E0" w:rsidRDefault="00B1372D" w:rsidP="000B01C0">
                <w:pPr>
                  <w:spacing w:after="120" w:line="240" w:lineRule="exact"/>
                </w:pPr>
                <w:r>
                  <w:rPr>
                    <w:rFonts w:hint="eastAsia"/>
                  </w:rPr>
                  <w:t>地址：中国北京西城区长椿街</w:t>
                </w:r>
                <w:r>
                  <w:rPr>
                    <w:rFonts w:hint="eastAsia"/>
                  </w:rPr>
                  <w:t>3</w:t>
                </w:r>
                <w:r>
                  <w:rPr>
                    <w:rFonts w:hint="eastAsia"/>
                  </w:rPr>
                  <w:t>号</w:t>
                </w:r>
                <w:r>
                  <w:rPr>
                    <w:rFonts w:hint="eastAsia"/>
                  </w:rPr>
                  <w:t xml:space="preserve">4 </w:t>
                </w:r>
                <w:r>
                  <w:rPr>
                    <w:rFonts w:hint="eastAsia"/>
                  </w:rPr>
                  <w:t>层</w:t>
                </w:r>
              </w:p>
            </w:tc>
            <w:tc>
              <w:tcPr>
                <w:tcW w:w="3625" w:type="dxa"/>
              </w:tcPr>
              <w:p w:rsidR="00B1372D" w:rsidRDefault="00B1372D" w:rsidP="000B01C0">
                <w:pPr>
                  <w:spacing w:after="120" w:line="240" w:lineRule="exact"/>
                </w:pPr>
                <w:r>
                  <w:rPr>
                    <w:rFonts w:hint="eastAsia"/>
                  </w:rPr>
                  <w:t>电话：</w:t>
                </w:r>
                <w:r>
                  <w:rPr>
                    <w:rFonts w:hint="eastAsia"/>
                  </w:rPr>
                  <w:t>0755-83831378</w:t>
                </w:r>
              </w:p>
              <w:p w:rsidR="00B1372D" w:rsidRDefault="00B1372D" w:rsidP="000B01C0">
                <w:pPr>
                  <w:spacing w:after="120" w:line="240" w:lineRule="exact"/>
                </w:pPr>
                <w:r>
                  <w:rPr>
                    <w:rFonts w:hint="eastAsia"/>
                  </w:rPr>
                  <w:t>传真：</w:t>
                </w:r>
                <w:r>
                  <w:rPr>
                    <w:rFonts w:hint="eastAsia"/>
                  </w:rPr>
                  <w:t>0755-83830558</w:t>
                </w:r>
              </w:p>
              <w:p w:rsidR="00B1372D" w:rsidRDefault="00B1372D" w:rsidP="000B01C0">
                <w:pPr>
                  <w:spacing w:after="120" w:line="240" w:lineRule="exact"/>
                </w:pPr>
                <w:r>
                  <w:rPr>
                    <w:rFonts w:hint="eastAsia"/>
                  </w:rPr>
                  <w:t>邮箱：</w:t>
                </w:r>
                <w:r>
                  <w:rPr>
                    <w:rFonts w:hint="eastAsia"/>
                  </w:rPr>
                  <w:t>researchsz@gjzq.com.cn</w:t>
                </w:r>
              </w:p>
              <w:p w:rsidR="00B1372D" w:rsidRDefault="00B1372D" w:rsidP="000B01C0">
                <w:pPr>
                  <w:spacing w:after="120" w:line="240" w:lineRule="exact"/>
                </w:pPr>
                <w:r>
                  <w:rPr>
                    <w:rFonts w:hint="eastAsia"/>
                  </w:rPr>
                  <w:t>邮编：</w:t>
                </w:r>
                <w:r>
                  <w:rPr>
                    <w:rFonts w:hint="eastAsia"/>
                  </w:rPr>
                  <w:t>518000</w:t>
                </w:r>
              </w:p>
              <w:p w:rsidR="00B1372D" w:rsidRDefault="00B1372D" w:rsidP="000B01C0">
                <w:pPr>
                  <w:spacing w:after="120" w:line="240" w:lineRule="exact"/>
                </w:pPr>
                <w:r>
                  <w:rPr>
                    <w:rFonts w:hint="eastAsia"/>
                  </w:rPr>
                  <w:t>地址：中国深圳福田区深南大道</w:t>
                </w:r>
                <w:r>
                  <w:rPr>
                    <w:rFonts w:hint="eastAsia"/>
                  </w:rPr>
                  <w:t>4001</w:t>
                </w:r>
                <w:r>
                  <w:rPr>
                    <w:rFonts w:hint="eastAsia"/>
                  </w:rPr>
                  <w:t>号</w:t>
                </w:r>
              </w:p>
              <w:p w:rsidR="004C64E0" w:rsidRDefault="00B1372D" w:rsidP="000B01C0">
                <w:pPr>
                  <w:spacing w:after="120" w:line="240" w:lineRule="exact"/>
                </w:pPr>
                <w:r>
                  <w:rPr>
                    <w:rFonts w:hint="eastAsia"/>
                  </w:rPr>
                  <w:t xml:space="preserve">           </w:t>
                </w:r>
                <w:r>
                  <w:rPr>
                    <w:rFonts w:hint="eastAsia"/>
                  </w:rPr>
                  <w:t>时代金融中心</w:t>
                </w:r>
                <w:r>
                  <w:rPr>
                    <w:rFonts w:hint="eastAsia"/>
                  </w:rPr>
                  <w:t>7BD</w:t>
                </w:r>
              </w:p>
            </w:tc>
          </w:tr>
        </w:tbl>
        <w:p w:rsidR="00E1684A" w:rsidRDefault="00C85D91" w:rsidP="00B1372D">
          <w:pPr>
            <w:spacing w:line="14" w:lineRule="exact"/>
          </w:pPr>
        </w:p>
      </w:sdtContent>
    </w:sdt>
    <w:p w:rsidR="005E311D" w:rsidRPr="00ED77B9" w:rsidRDefault="005E311D" w:rsidP="00ED77B9"/>
    <w:sectPr w:rsidR="005E311D" w:rsidRPr="00ED77B9" w:rsidSect="00A87799">
      <w:headerReference w:type="default" r:id="rId12"/>
      <w:footerReference w:type="even" r:id="rId13"/>
      <w:footerReference w:type="default" r:id="rId14"/>
      <w:headerReference w:type="first" r:id="rId15"/>
      <w:footerReference w:type="first" r:id="rId16"/>
      <w:type w:val="continuous"/>
      <w:pgSz w:w="11907" w:h="16840" w:code="9"/>
      <w:pgMar w:top="1440" w:right="624" w:bottom="1440" w:left="624" w:header="851" w:footer="39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D91" w:rsidRDefault="00C85D91">
      <w:r>
        <w:separator/>
      </w:r>
    </w:p>
  </w:endnote>
  <w:endnote w:type="continuationSeparator" w:id="0">
    <w:p w:rsidR="00C85D91" w:rsidRDefault="00C85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楷体_GB2312">
    <w:altName w:val="楷体"/>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Monotype Sorts">
    <w:altName w:val="Courier New"/>
    <w:panose1 w:val="00000000000000000000"/>
    <w:charset w:val="02"/>
    <w:family w:val="auto"/>
    <w:notTrueType/>
    <w:pitch w:val="variable"/>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ucidaT">
    <w:altName w:val="Times New Roman"/>
    <w:panose1 w:val="00000000000000000000"/>
    <w:charset w:val="00"/>
    <w:family w:val="auto"/>
    <w:notTrueType/>
    <w:pitch w:val="variable"/>
    <w:sig w:usb0="00000003" w:usb1="00000000" w:usb2="00000000" w:usb3="00000000" w:csb0="00000001" w:csb1="00000000"/>
  </w:font>
  <w:font w:name="LucidaSan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CBE" w:rsidRDefault="00327CFE">
    <w:pPr>
      <w:pStyle w:val="a4"/>
      <w:framePr w:wrap="around" w:vAnchor="text" w:hAnchor="margin" w:xAlign="right" w:y="1"/>
      <w:rPr>
        <w:rStyle w:val="a5"/>
      </w:rPr>
    </w:pPr>
    <w:r>
      <w:rPr>
        <w:rStyle w:val="a5"/>
      </w:rPr>
      <w:fldChar w:fldCharType="begin"/>
    </w:r>
    <w:r w:rsidR="00461CBE">
      <w:rPr>
        <w:rStyle w:val="a5"/>
      </w:rPr>
      <w:instrText xml:space="preserve">PAGE  </w:instrText>
    </w:r>
    <w:r>
      <w:rPr>
        <w:rStyle w:val="a5"/>
      </w:rPr>
      <w:fldChar w:fldCharType="end"/>
    </w:r>
  </w:p>
  <w:p w:rsidR="00461CBE" w:rsidRDefault="00461CBE">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CBE" w:rsidRPr="00A30364" w:rsidRDefault="00C85D91" w:rsidP="007F6DAF">
    <w:pPr>
      <w:pStyle w:val="a6"/>
      <w:pBdr>
        <w:bottom w:val="none" w:sz="0" w:space="0" w:color="auto"/>
      </w:pBdr>
      <w:rPr>
        <w:rFonts w:ascii="LucidaSans" w:hAnsi="LucidaSans"/>
        <w:b/>
      </w:rPr>
    </w:pPr>
    <w:r>
      <w:rPr>
        <w:noProof/>
      </w:rPr>
      <w:pict>
        <v:line id="Line 34" o:spid="_x0000_s2051" style="position:absolute;left:0;text-align:left;z-index:251659264;visibility:visible;mso-wrap-distance-top:-3e-5mm;mso-wrap-distance-bottom:-3e-5mm" from="-7.65pt,-.6pt" to="540.4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" strokecolor="#00a0e9"/>
      </w:pict>
    </w:r>
    <w:r w:rsidR="00461CBE" w:rsidRPr="00A30364">
      <w:rPr>
        <w:rFonts w:ascii="LucidaSans" w:hAnsi="LucidaSans"/>
        <w:b/>
        <w:szCs w:val="21"/>
      </w:rPr>
      <w:t xml:space="preserve">- </w:t>
    </w:r>
    <w:r w:rsidR="00327CFE" w:rsidRPr="003C4E1B">
      <w:rPr>
        <w:b/>
        <w:szCs w:val="21"/>
      </w:rPr>
      <w:fldChar w:fldCharType="begin"/>
    </w:r>
    <w:r w:rsidR="00461CBE" w:rsidRPr="003C4E1B">
      <w:rPr>
        <w:b/>
        <w:szCs w:val="21"/>
      </w:rPr>
      <w:instrText xml:space="preserve"> PAGE </w:instrText>
    </w:r>
    <w:r w:rsidR="00327CFE" w:rsidRPr="003C4E1B">
      <w:rPr>
        <w:b/>
        <w:szCs w:val="21"/>
      </w:rPr>
      <w:fldChar w:fldCharType="separate"/>
    </w:r>
    <w:r w:rsidR="00931FF0">
      <w:rPr>
        <w:b/>
        <w:noProof/>
        <w:szCs w:val="21"/>
      </w:rPr>
      <w:t>2</w:t>
    </w:r>
    <w:r w:rsidR="00327CFE" w:rsidRPr="003C4E1B">
      <w:rPr>
        <w:b/>
        <w:szCs w:val="21"/>
      </w:rPr>
      <w:fldChar w:fldCharType="end"/>
    </w:r>
    <w:r w:rsidR="00461CBE" w:rsidRPr="00A30364">
      <w:rPr>
        <w:rFonts w:ascii="LucidaSans" w:hAnsi="LucidaSans"/>
        <w:b/>
        <w:szCs w:val="21"/>
      </w:rPr>
      <w:t xml:space="preserve"> -</w:t>
    </w:r>
  </w:p>
  <w:p w:rsidR="00461CBE" w:rsidRDefault="00461CBE" w:rsidP="0007511E">
    <w:pPr>
      <w:pStyle w:val="a6"/>
      <w:pBdr>
        <w:bottom w:val="none" w:sz="0" w:space="0" w:color="auto"/>
      </w:pBdr>
      <w:jc w:val="left"/>
      <w:rPr>
        <w:rFonts w:ascii="LucidaSans" w:hAnsi="LucidaSans"/>
      </w:rPr>
    </w:pPr>
    <w:r>
      <w:rPr>
        <w:rFonts w:ascii="LucidaSans" w:hAnsi="LucidaSans" w:hint="eastAsia"/>
      </w:rPr>
      <w:t>敬请参阅最后一页特别声明</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CBE" w:rsidRPr="00A30364" w:rsidRDefault="00C85D91" w:rsidP="00A30364">
    <w:pPr>
      <w:pStyle w:val="a4"/>
      <w:tabs>
        <w:tab w:val="center" w:pos="5103"/>
      </w:tabs>
      <w:jc w:val="center"/>
      <w:rPr>
        <w:rFonts w:cs="Arial"/>
        <w:b/>
      </w:rPr>
    </w:pPr>
    <w:r>
      <w:rPr>
        <w:noProof/>
      </w:rPr>
      <w:pict>
        <v:line id="Line 35" o:spid="_x0000_s2050" style="position:absolute;left:0;text-align:left;z-index:251660288;visibility:visible;mso-wrap-distance-top:-3e-5mm;mso-wrap-distance-bottom:-3e-5mm" from="-31.8pt,.5pt" to="570.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" strokecolor="#00a0e9"/>
      </w:pict>
    </w:r>
    <w:r>
      <w:rPr>
        <w:noProof/>
      </w:rPr>
      <w:pict>
        <v:rect id="Rectangle 33" o:spid="_x0000_s2049" style="position:absolute;left:0;text-align:left;margin-left:-31.8pt;margin-top:24.65pt;width:596.1pt;height:19.2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" fillcolor="#eaeaea" stroked="f" strokecolor="#f8f8f8">
          <v:fill opacity="39321f"/>
          <v:textbox>
            <w:txbxContent>
              <w:p w:rsidR="00461CBE" w:rsidRPr="0003281B" w:rsidRDefault="00461CBE" w:rsidP="0003281B"/>
            </w:txbxContent>
          </v:textbox>
        </v:rect>
      </w:pict>
    </w:r>
    <w:r w:rsidR="00461CBE" w:rsidRPr="00A30364">
      <w:rPr>
        <w:rFonts w:cs="Arial"/>
        <w:b/>
        <w:szCs w:val="21"/>
      </w:rPr>
      <w:t xml:space="preserve">- </w:t>
    </w:r>
    <w:r w:rsidR="00327CFE" w:rsidRPr="00A30364">
      <w:rPr>
        <w:rFonts w:cs="Arial"/>
        <w:b/>
        <w:szCs w:val="21"/>
      </w:rPr>
      <w:fldChar w:fldCharType="begin"/>
    </w:r>
    <w:r w:rsidR="00461CBE" w:rsidRPr="00A30364">
      <w:rPr>
        <w:rFonts w:cs="Arial"/>
        <w:b/>
        <w:szCs w:val="21"/>
      </w:rPr>
      <w:instrText xml:space="preserve"> PAGE </w:instrText>
    </w:r>
    <w:r w:rsidR="00327CFE" w:rsidRPr="00A30364">
      <w:rPr>
        <w:rFonts w:cs="Arial"/>
        <w:b/>
        <w:szCs w:val="21"/>
      </w:rPr>
      <w:fldChar w:fldCharType="separate"/>
    </w:r>
    <w:r w:rsidR="00931FF0">
      <w:rPr>
        <w:rFonts w:cs="Arial"/>
        <w:b/>
        <w:noProof/>
        <w:szCs w:val="21"/>
      </w:rPr>
      <w:t>1</w:t>
    </w:r>
    <w:r w:rsidR="00327CFE" w:rsidRPr="00A30364">
      <w:rPr>
        <w:rFonts w:cs="Arial"/>
        <w:b/>
        <w:szCs w:val="21"/>
      </w:rPr>
      <w:fldChar w:fldCharType="end"/>
    </w:r>
    <w:r w:rsidR="00461CBE" w:rsidRPr="00A30364">
      <w:rPr>
        <w:rFonts w:cs="Arial"/>
        <w:b/>
        <w:szCs w:val="21"/>
      </w:rPr>
      <w:t xml:space="preserve"> -</w:t>
    </w:r>
  </w:p>
  <w:p w:rsidR="00461CBE" w:rsidRDefault="00461CBE">
    <w:r>
      <w:rPr>
        <w:rFonts w:cs="Arial" w:hint="eastAsia"/>
        <w:szCs w:val="18"/>
      </w:rPr>
      <w:t>敬请参阅最后一页特别声明</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D91" w:rsidRDefault="00C85D91">
      <w:r>
        <w:separator/>
      </w:r>
    </w:p>
  </w:footnote>
  <w:footnote w:type="continuationSeparator" w:id="0">
    <w:p w:rsidR="00C85D91" w:rsidRDefault="00C85D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CBE" w:rsidRDefault="00C85D91" w:rsidP="00F72878">
    <w:pPr>
      <w:jc w:val="right"/>
    </w:pPr>
    <w:sdt>
      <w:sdtPr>
        <w:alias w:val="报告类型"/>
        <w:tag w:val="BDCONTENTCONTROL_451e08ee-3959-4251-8d5f-f302d5f0f153"/>
        <w:id w:val="631523797"/>
        <w:placeholder>
          <w:docPart w:val="6932D6CAEC0547DEB71401CB713947E6"/>
        </w:placeholder>
        <w:text/>
      </w:sdtPr>
      <w:sdtEndPr/>
      <w:sdtContent>
        <w:r w:rsidR="00B1372D">
          <w:rPr>
            <w:rFonts w:hint="eastAsia"/>
          </w:rPr>
          <w:t>基金投资策略报告</w:t>
        </w:r>
      </w:sdtContent>
    </w:sdt>
    <w:r>
      <w:rPr>
        <w:noProof/>
      </w:rPr>
      <w:pict>
        <v:shapetype id="_x0000_t202" coordsize="21600,21600" o:spt="202" path="m,l,21600r21600,l21600,xe">
          <v:stroke joinstyle="miter"/>
          <v:path gradientshapeok="t" o:connecttype="rect"/>
        </v:shapetype>
        <v:shape id="Text Box 18" o:spid="_x0000_s2053" type="#_x0000_t202" style="position:absolute;left:0;text-align:left;margin-left:-16.2pt;margin-top:31.05pt;width:101.45pt;height:29.7pt;z-index:251655168;visibility:visible;mso-wrap-style:none;mso-position-horizontal-relative:text;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" filled="f" stroked="f">
          <v:textbox style="mso-fit-shape-to-text:t">
            <w:txbxContent>
              <w:p w:rsidR="00461CBE" w:rsidRPr="00E17DD1" w:rsidRDefault="00461CBE" w:rsidP="005721EB">
                <w:r>
                  <w:rPr>
                    <w:noProof/>
                  </w:rPr>
                  <w:drawing>
                    <wp:inline distT="0" distB="0" distL="0" distR="0">
                      <wp:extent cx="1095375" cy="276225"/>
                      <wp:effectExtent l="0" t="0" r="9525" b="9525"/>
                      <wp:docPr id="8" name="图片 2" descr="未命名的-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未命名的-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276225"/>
                              </a:xfrm>
                              <a:prstGeom prst="rect">
                                <a:avLst/>
                              </a:prstGeom>
                              <a:noFill/>
                              <a:ln>
                                <a:noFill/>
                              </a:ln>
                            </pic:spPr>
                          </pic:pic>
                        </a:graphicData>
                      </a:graphic>
                    </wp:inline>
                  </w:drawing>
                </w:r>
              </w:p>
            </w:txbxContent>
          </v:textbox>
          <w10:wrap anchory="page"/>
        </v:shape>
      </w:pict>
    </w:r>
    <w:r>
      <w:rPr>
        <w:noProof/>
      </w:rPr>
      <w:pict>
        <v:line id="Line 27" o:spid="_x0000_s2052" style="position:absolute;left:0;text-align:left;z-index:251656192;visibility:visible;mso-wrap-distance-top:-3e-5mm;mso-wrap-distance-bottom:-3e-5mm;mso-position-horizontal:center;mso-position-horizontal-relative:text;mso-position-vertical-relative:text" from="0,13.8pt" to="548.1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" strokecolor="#00a0e9"/>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CBE" w:rsidRDefault="00461CBE" w:rsidP="007F6DAF">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A7B7A"/>
    <w:multiLevelType w:val="multilevel"/>
    <w:tmpl w:val="3CDE5F16"/>
    <w:numStyleLink w:val="GJStylesContentMark"/>
  </w:abstractNum>
  <w:abstractNum w:abstractNumId="1">
    <w:nsid w:val="022C102E"/>
    <w:multiLevelType w:val="multilevel"/>
    <w:tmpl w:val="3CDE5F16"/>
    <w:numStyleLink w:val="GJStylesContentMark"/>
  </w:abstractNum>
  <w:abstractNum w:abstractNumId="2">
    <w:nsid w:val="04001E96"/>
    <w:multiLevelType w:val="multilevel"/>
    <w:tmpl w:val="1556E7D6"/>
    <w:numStyleLink w:val="GJStylesSummaryContentMark"/>
  </w:abstractNum>
  <w:abstractNum w:abstractNumId="3">
    <w:nsid w:val="08014C42"/>
    <w:multiLevelType w:val="singleLevel"/>
    <w:tmpl w:val="B4861D4C"/>
    <w:lvl w:ilvl="0">
      <w:start w:val="1"/>
      <w:numFmt w:val="bullet"/>
      <w:pStyle w:val="CoverBullet"/>
      <w:lvlText w:val=""/>
      <w:lvlJc w:val="left"/>
      <w:pPr>
        <w:tabs>
          <w:tab w:val="num" w:pos="360"/>
        </w:tabs>
        <w:ind w:left="360" w:hanging="360"/>
      </w:pPr>
      <w:rPr>
        <w:rFonts w:ascii="Wingdings" w:hAnsi="Wingdings" w:cs="Times New Roman" w:hint="default"/>
        <w:color w:val="FF0000"/>
        <w:sz w:val="20"/>
        <w:szCs w:val="20"/>
      </w:rPr>
    </w:lvl>
  </w:abstractNum>
  <w:abstractNum w:abstractNumId="4">
    <w:nsid w:val="08333B74"/>
    <w:multiLevelType w:val="multilevel"/>
    <w:tmpl w:val="3CDE5F16"/>
    <w:numStyleLink w:val="GJStylesContentMark"/>
  </w:abstractNum>
  <w:abstractNum w:abstractNumId="5">
    <w:nsid w:val="08AF5ED3"/>
    <w:multiLevelType w:val="hybridMultilevel"/>
    <w:tmpl w:val="1FD23C90"/>
    <w:lvl w:ilvl="0" w:tplc="064266E0">
      <w:start w:val="1"/>
      <w:numFmt w:val="bullet"/>
      <w:lvlText w:val=""/>
      <w:lvlJc w:val="left"/>
      <w:pPr>
        <w:ind w:left="1241" w:hanging="420"/>
      </w:pPr>
      <w:rPr>
        <w:rFonts w:ascii="Wingdings 2" w:hAnsi="Wingdings 2" w:hint="default"/>
        <w:b w:val="0"/>
        <w:i w:val="0"/>
        <w:color w:val="auto"/>
        <w:sz w:val="18"/>
      </w:rPr>
    </w:lvl>
    <w:lvl w:ilvl="1" w:tplc="04090003" w:tentative="1">
      <w:start w:val="1"/>
      <w:numFmt w:val="bullet"/>
      <w:lvlText w:val=""/>
      <w:lvlJc w:val="left"/>
      <w:pPr>
        <w:ind w:left="1661" w:hanging="420"/>
      </w:pPr>
      <w:rPr>
        <w:rFonts w:ascii="Wingdings" w:hAnsi="Wingdings" w:hint="default"/>
      </w:rPr>
    </w:lvl>
    <w:lvl w:ilvl="2" w:tplc="04090005" w:tentative="1">
      <w:start w:val="1"/>
      <w:numFmt w:val="bullet"/>
      <w:lvlText w:val=""/>
      <w:lvlJc w:val="left"/>
      <w:pPr>
        <w:ind w:left="2081" w:hanging="420"/>
      </w:pPr>
      <w:rPr>
        <w:rFonts w:ascii="Wingdings" w:hAnsi="Wingdings" w:hint="default"/>
      </w:rPr>
    </w:lvl>
    <w:lvl w:ilvl="3" w:tplc="04090001" w:tentative="1">
      <w:start w:val="1"/>
      <w:numFmt w:val="bullet"/>
      <w:lvlText w:val=""/>
      <w:lvlJc w:val="left"/>
      <w:pPr>
        <w:ind w:left="2501" w:hanging="420"/>
      </w:pPr>
      <w:rPr>
        <w:rFonts w:ascii="Wingdings" w:hAnsi="Wingdings" w:hint="default"/>
      </w:rPr>
    </w:lvl>
    <w:lvl w:ilvl="4" w:tplc="04090003" w:tentative="1">
      <w:start w:val="1"/>
      <w:numFmt w:val="bullet"/>
      <w:lvlText w:val=""/>
      <w:lvlJc w:val="left"/>
      <w:pPr>
        <w:ind w:left="2921" w:hanging="420"/>
      </w:pPr>
      <w:rPr>
        <w:rFonts w:ascii="Wingdings" w:hAnsi="Wingdings" w:hint="default"/>
      </w:rPr>
    </w:lvl>
    <w:lvl w:ilvl="5" w:tplc="04090005" w:tentative="1">
      <w:start w:val="1"/>
      <w:numFmt w:val="bullet"/>
      <w:lvlText w:val=""/>
      <w:lvlJc w:val="left"/>
      <w:pPr>
        <w:ind w:left="3341" w:hanging="420"/>
      </w:pPr>
      <w:rPr>
        <w:rFonts w:ascii="Wingdings" w:hAnsi="Wingdings" w:hint="default"/>
      </w:rPr>
    </w:lvl>
    <w:lvl w:ilvl="6" w:tplc="04090001" w:tentative="1">
      <w:start w:val="1"/>
      <w:numFmt w:val="bullet"/>
      <w:lvlText w:val=""/>
      <w:lvlJc w:val="left"/>
      <w:pPr>
        <w:ind w:left="3761" w:hanging="420"/>
      </w:pPr>
      <w:rPr>
        <w:rFonts w:ascii="Wingdings" w:hAnsi="Wingdings" w:hint="default"/>
      </w:rPr>
    </w:lvl>
    <w:lvl w:ilvl="7" w:tplc="04090003" w:tentative="1">
      <w:start w:val="1"/>
      <w:numFmt w:val="bullet"/>
      <w:lvlText w:val=""/>
      <w:lvlJc w:val="left"/>
      <w:pPr>
        <w:ind w:left="4181" w:hanging="420"/>
      </w:pPr>
      <w:rPr>
        <w:rFonts w:ascii="Wingdings" w:hAnsi="Wingdings" w:hint="default"/>
      </w:rPr>
    </w:lvl>
    <w:lvl w:ilvl="8" w:tplc="04090005" w:tentative="1">
      <w:start w:val="1"/>
      <w:numFmt w:val="bullet"/>
      <w:lvlText w:val=""/>
      <w:lvlJc w:val="left"/>
      <w:pPr>
        <w:ind w:left="4601" w:hanging="420"/>
      </w:pPr>
      <w:rPr>
        <w:rFonts w:ascii="Wingdings" w:hAnsi="Wingdings" w:hint="default"/>
      </w:rPr>
    </w:lvl>
  </w:abstractNum>
  <w:abstractNum w:abstractNumId="6">
    <w:nsid w:val="093F6D8F"/>
    <w:multiLevelType w:val="hybridMultilevel"/>
    <w:tmpl w:val="B5F6125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0A2434BC"/>
    <w:multiLevelType w:val="multilevel"/>
    <w:tmpl w:val="3CDE5F16"/>
    <w:numStyleLink w:val="GJStylesContentMark"/>
  </w:abstractNum>
  <w:abstractNum w:abstractNumId="8">
    <w:nsid w:val="161F4DCD"/>
    <w:multiLevelType w:val="multilevel"/>
    <w:tmpl w:val="1556E7D6"/>
    <w:numStyleLink w:val="GJStylesSummaryContentMark"/>
  </w:abstractNum>
  <w:abstractNum w:abstractNumId="9">
    <w:nsid w:val="16A5693A"/>
    <w:multiLevelType w:val="multilevel"/>
    <w:tmpl w:val="3CDE5F16"/>
    <w:numStyleLink w:val="GJStylesContentMark"/>
  </w:abstractNum>
  <w:abstractNum w:abstractNumId="10">
    <w:nsid w:val="209D5689"/>
    <w:multiLevelType w:val="hybridMultilevel"/>
    <w:tmpl w:val="1D1ABF00"/>
    <w:lvl w:ilvl="0" w:tplc="AC7CA5DC">
      <w:start w:val="1"/>
      <w:numFmt w:val="bullet"/>
      <w:lvlText w:val=""/>
      <w:lvlJc w:val="left"/>
      <w:pPr>
        <w:ind w:left="420" w:hanging="420"/>
      </w:pPr>
      <w:rPr>
        <w:rFonts w:ascii="Wingdings" w:eastAsia="楷体_GB2312" w:hAnsi="Wingdings" w:hint="default"/>
        <w:b w:val="0"/>
        <w:i w:val="0"/>
        <w:color w:val="auto"/>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1E90DAA"/>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
    <w:nsid w:val="226D6F70"/>
    <w:multiLevelType w:val="hybridMultilevel"/>
    <w:tmpl w:val="C9E4C4AC"/>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3133399E"/>
    <w:multiLevelType w:val="multilevel"/>
    <w:tmpl w:val="1556E7D6"/>
    <w:styleLink w:val="GJStylesSummaryContentMark"/>
    <w:lvl w:ilvl="0">
      <w:start w:val="1"/>
      <w:numFmt w:val="bullet"/>
      <w:pStyle w:val="GJStylesSummaryContent"/>
      <w:lvlText w:val=""/>
      <w:lvlJc w:val="left"/>
      <w:pPr>
        <w:ind w:left="840" w:hanging="420"/>
      </w:pPr>
      <w:rPr>
        <w:rFonts w:ascii="Wingdings" w:hAnsi="Wingdings" w:hint="default"/>
        <w:b w:val="0"/>
        <w:i w:val="0"/>
        <w:color w:val="auto"/>
        <w:sz w:val="18"/>
      </w:rPr>
    </w:lvl>
    <w:lvl w:ilvl="1">
      <w:start w:val="1"/>
      <w:numFmt w:val="bullet"/>
      <w:pStyle w:val="GJStylesSummarySubContent"/>
      <w:lvlText w:val=""/>
      <w:lvlJc w:val="left"/>
      <w:pPr>
        <w:ind w:left="1260" w:hanging="420"/>
      </w:pPr>
      <w:rPr>
        <w:rFonts w:ascii="Wingdings 2" w:hAnsi="Wingdings 2" w:hint="default"/>
        <w:sz w:val="15"/>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4">
    <w:nsid w:val="33877569"/>
    <w:multiLevelType w:val="hybridMultilevel"/>
    <w:tmpl w:val="2FA8D094"/>
    <w:lvl w:ilvl="0" w:tplc="064266E0">
      <w:start w:val="1"/>
      <w:numFmt w:val="bullet"/>
      <w:lvlText w:val=""/>
      <w:lvlJc w:val="left"/>
      <w:pPr>
        <w:ind w:left="840" w:hanging="420"/>
      </w:pPr>
      <w:rPr>
        <w:rFonts w:ascii="Wingdings 2" w:hAnsi="Wingdings 2" w:hint="default"/>
        <w:b w:val="0"/>
        <w:i w:val="0"/>
        <w:color w:val="auto"/>
        <w:sz w:val="18"/>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nsid w:val="36004F02"/>
    <w:multiLevelType w:val="multilevel"/>
    <w:tmpl w:val="3CDE5F16"/>
    <w:numStyleLink w:val="GJStylesContentMark"/>
  </w:abstractNum>
  <w:abstractNum w:abstractNumId="16">
    <w:nsid w:val="41A645CE"/>
    <w:multiLevelType w:val="multilevel"/>
    <w:tmpl w:val="3CDE5F16"/>
    <w:numStyleLink w:val="GJStylesContentMark"/>
  </w:abstractNum>
  <w:abstractNum w:abstractNumId="17">
    <w:nsid w:val="44D96BA6"/>
    <w:multiLevelType w:val="multilevel"/>
    <w:tmpl w:val="1556E7D6"/>
    <w:numStyleLink w:val="GJStylesSummaryContentMark"/>
  </w:abstractNum>
  <w:abstractNum w:abstractNumId="18">
    <w:nsid w:val="44E1352C"/>
    <w:multiLevelType w:val="multilevel"/>
    <w:tmpl w:val="3CDE5F16"/>
    <w:numStyleLink w:val="GJStylesContentMark"/>
  </w:abstractNum>
  <w:abstractNum w:abstractNumId="19">
    <w:nsid w:val="47567D89"/>
    <w:multiLevelType w:val="multilevel"/>
    <w:tmpl w:val="7CBE05E2"/>
    <w:styleLink w:val="GJStylesContentMarkWide"/>
    <w:lvl w:ilvl="0">
      <w:start w:val="1"/>
      <w:numFmt w:val="bullet"/>
      <w:lvlText w:val=""/>
      <w:lvlJc w:val="left"/>
      <w:pPr>
        <w:ind w:left="850" w:hanging="425"/>
      </w:pPr>
      <w:rPr>
        <w:rFonts w:ascii="Wingdings 2" w:hAnsi="Wingdings 2" w:hint="default"/>
        <w:color w:val="auto"/>
      </w:rPr>
    </w:lvl>
    <w:lvl w:ilvl="1">
      <w:start w:val="1"/>
      <w:numFmt w:val="bullet"/>
      <w:lvlText w:val=""/>
      <w:lvlJc w:val="left"/>
      <w:pPr>
        <w:ind w:left="1417" w:hanging="567"/>
      </w:pPr>
      <w:rPr>
        <w:rFonts w:ascii="Wingdings 2" w:hAnsi="Wingdings 2" w:hint="default"/>
      </w:rPr>
    </w:lvl>
    <w:lvl w:ilvl="2">
      <w:start w:val="1"/>
      <w:numFmt w:val="decimal"/>
      <w:lvlText w:val="%1.%2.%3"/>
      <w:lvlJc w:val="left"/>
      <w:pPr>
        <w:ind w:left="1843" w:hanging="567"/>
      </w:pPr>
      <w:rPr>
        <w:rFonts w:hint="eastAsia"/>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20">
    <w:nsid w:val="492C6DD3"/>
    <w:multiLevelType w:val="hybridMultilevel"/>
    <w:tmpl w:val="6B68E90C"/>
    <w:lvl w:ilvl="0" w:tplc="A1E68908">
      <w:start w:val="1"/>
      <w:numFmt w:val="bullet"/>
      <w:lvlText w:val=""/>
      <w:lvlJc w:val="left"/>
      <w:pPr>
        <w:tabs>
          <w:tab w:val="num" w:pos="4329"/>
        </w:tabs>
        <w:ind w:left="3969" w:firstLine="0"/>
      </w:pPr>
      <w:rPr>
        <w:rFonts w:hint="default"/>
        <w:b w:val="0"/>
        <w:i w:val="0"/>
        <w:color w:val="000565"/>
        <w:sz w:val="18"/>
      </w:rPr>
    </w:lvl>
    <w:lvl w:ilvl="1" w:tplc="04090003">
      <w:start w:val="1"/>
      <w:numFmt w:val="bullet"/>
      <w:lvlText w:val=""/>
      <w:lvlJc w:val="left"/>
      <w:pPr>
        <w:tabs>
          <w:tab w:val="num" w:pos="4242"/>
        </w:tabs>
        <w:ind w:left="4242" w:hanging="420"/>
      </w:pPr>
      <w:rPr>
        <w:rFonts w:ascii="Wingdings" w:hAnsi="Wingdings" w:hint="default"/>
      </w:rPr>
    </w:lvl>
    <w:lvl w:ilvl="2" w:tplc="04090005">
      <w:start w:val="1"/>
      <w:numFmt w:val="bullet"/>
      <w:lvlText w:val=""/>
      <w:lvlJc w:val="left"/>
      <w:pPr>
        <w:tabs>
          <w:tab w:val="num" w:pos="4662"/>
        </w:tabs>
        <w:ind w:left="4662" w:hanging="420"/>
      </w:pPr>
      <w:rPr>
        <w:rFonts w:ascii="Wingdings" w:hAnsi="Wingdings" w:hint="default"/>
      </w:rPr>
    </w:lvl>
    <w:lvl w:ilvl="3" w:tplc="04090001">
      <w:start w:val="1"/>
      <w:numFmt w:val="bullet"/>
      <w:lvlText w:val=""/>
      <w:lvlJc w:val="left"/>
      <w:pPr>
        <w:tabs>
          <w:tab w:val="num" w:pos="5082"/>
        </w:tabs>
        <w:ind w:left="5082" w:hanging="420"/>
      </w:pPr>
      <w:rPr>
        <w:rFonts w:ascii="Wingdings" w:hAnsi="Wingdings" w:hint="default"/>
      </w:rPr>
    </w:lvl>
    <w:lvl w:ilvl="4" w:tplc="AC7CA5DC">
      <w:start w:val="1"/>
      <w:numFmt w:val="bullet"/>
      <w:lvlText w:val=""/>
      <w:lvlJc w:val="left"/>
      <w:pPr>
        <w:tabs>
          <w:tab w:val="num" w:pos="3799"/>
        </w:tabs>
        <w:ind w:left="3799" w:hanging="369"/>
      </w:pPr>
      <w:rPr>
        <w:rFonts w:ascii="Wingdings" w:eastAsia="楷体_GB2312" w:hAnsi="Wingdings" w:hint="default"/>
        <w:b w:val="0"/>
        <w:i w:val="0"/>
        <w:color w:val="auto"/>
        <w:sz w:val="18"/>
      </w:rPr>
    </w:lvl>
    <w:lvl w:ilvl="5" w:tplc="04090005">
      <w:start w:val="1"/>
      <w:numFmt w:val="bullet"/>
      <w:lvlText w:val=""/>
      <w:lvlJc w:val="left"/>
      <w:pPr>
        <w:tabs>
          <w:tab w:val="num" w:pos="5922"/>
        </w:tabs>
        <w:ind w:left="5922" w:hanging="420"/>
      </w:pPr>
      <w:rPr>
        <w:rFonts w:ascii="Wingdings" w:hAnsi="Wingdings" w:hint="default"/>
      </w:rPr>
    </w:lvl>
    <w:lvl w:ilvl="6" w:tplc="04090001" w:tentative="1">
      <w:start w:val="1"/>
      <w:numFmt w:val="bullet"/>
      <w:lvlText w:val=""/>
      <w:lvlJc w:val="left"/>
      <w:pPr>
        <w:tabs>
          <w:tab w:val="num" w:pos="6342"/>
        </w:tabs>
        <w:ind w:left="6342" w:hanging="420"/>
      </w:pPr>
      <w:rPr>
        <w:rFonts w:ascii="Wingdings" w:hAnsi="Wingdings" w:hint="default"/>
      </w:rPr>
    </w:lvl>
    <w:lvl w:ilvl="7" w:tplc="04090003" w:tentative="1">
      <w:start w:val="1"/>
      <w:numFmt w:val="bullet"/>
      <w:lvlText w:val=""/>
      <w:lvlJc w:val="left"/>
      <w:pPr>
        <w:tabs>
          <w:tab w:val="num" w:pos="6762"/>
        </w:tabs>
        <w:ind w:left="6762" w:hanging="420"/>
      </w:pPr>
      <w:rPr>
        <w:rFonts w:ascii="Wingdings" w:hAnsi="Wingdings" w:hint="default"/>
      </w:rPr>
    </w:lvl>
    <w:lvl w:ilvl="8" w:tplc="04090005" w:tentative="1">
      <w:start w:val="1"/>
      <w:numFmt w:val="bullet"/>
      <w:lvlText w:val=""/>
      <w:lvlJc w:val="left"/>
      <w:pPr>
        <w:tabs>
          <w:tab w:val="num" w:pos="7182"/>
        </w:tabs>
        <w:ind w:left="7182" w:hanging="420"/>
      </w:pPr>
      <w:rPr>
        <w:rFonts w:ascii="Wingdings" w:hAnsi="Wingdings" w:hint="default"/>
      </w:rPr>
    </w:lvl>
  </w:abstractNum>
  <w:abstractNum w:abstractNumId="21">
    <w:nsid w:val="4E0270AD"/>
    <w:multiLevelType w:val="multilevel"/>
    <w:tmpl w:val="3CDE5F16"/>
    <w:styleLink w:val="GJStylesContentMark"/>
    <w:lvl w:ilvl="0">
      <w:start w:val="1"/>
      <w:numFmt w:val="bullet"/>
      <w:pStyle w:val="GJStylesContentThirdTitle"/>
      <w:lvlText w:val=""/>
      <w:lvlJc w:val="left"/>
      <w:pPr>
        <w:tabs>
          <w:tab w:val="num" w:pos="3430"/>
        </w:tabs>
        <w:ind w:left="3799" w:hanging="369"/>
      </w:pPr>
      <w:rPr>
        <w:rFonts w:ascii="Wingdings 2" w:hAnsi="Wingdings 2" w:hint="default"/>
        <w:color w:val="auto"/>
      </w:rPr>
    </w:lvl>
    <w:lvl w:ilvl="1">
      <w:start w:val="1"/>
      <w:numFmt w:val="bullet"/>
      <w:pStyle w:val="GJStylesContentFourTitle"/>
      <w:lvlText w:val=""/>
      <w:lvlJc w:val="left"/>
      <w:pPr>
        <w:ind w:left="4190" w:hanging="419"/>
      </w:pPr>
      <w:rPr>
        <w:rFonts w:ascii="Wingdings 2" w:hAnsi="Wingdings 2" w:hint="default"/>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nsid w:val="4E7C3CC1"/>
    <w:multiLevelType w:val="hybridMultilevel"/>
    <w:tmpl w:val="60FAACEA"/>
    <w:lvl w:ilvl="0" w:tplc="A1E68908">
      <w:start w:val="1"/>
      <w:numFmt w:val="bullet"/>
      <w:lvlText w:val=""/>
      <w:lvlJc w:val="left"/>
      <w:pPr>
        <w:tabs>
          <w:tab w:val="num" w:pos="4329"/>
        </w:tabs>
        <w:ind w:left="3969" w:firstLine="0"/>
      </w:pPr>
      <w:rPr>
        <w:rFonts w:hint="default"/>
        <w:b w:val="0"/>
        <w:i w:val="0"/>
        <w:color w:val="000565"/>
        <w:sz w:val="18"/>
      </w:rPr>
    </w:lvl>
    <w:lvl w:ilvl="1" w:tplc="04090003" w:tentative="1">
      <w:start w:val="1"/>
      <w:numFmt w:val="bullet"/>
      <w:lvlText w:val=""/>
      <w:lvlJc w:val="left"/>
      <w:pPr>
        <w:tabs>
          <w:tab w:val="num" w:pos="4242"/>
        </w:tabs>
        <w:ind w:left="4242" w:hanging="420"/>
      </w:pPr>
      <w:rPr>
        <w:rFonts w:ascii="Wingdings" w:hAnsi="Wingdings" w:hint="default"/>
      </w:rPr>
    </w:lvl>
    <w:lvl w:ilvl="2" w:tplc="04090005" w:tentative="1">
      <w:start w:val="1"/>
      <w:numFmt w:val="bullet"/>
      <w:lvlText w:val=""/>
      <w:lvlJc w:val="left"/>
      <w:pPr>
        <w:tabs>
          <w:tab w:val="num" w:pos="4662"/>
        </w:tabs>
        <w:ind w:left="4662" w:hanging="420"/>
      </w:pPr>
      <w:rPr>
        <w:rFonts w:ascii="Wingdings" w:hAnsi="Wingdings" w:hint="default"/>
      </w:rPr>
    </w:lvl>
    <w:lvl w:ilvl="3" w:tplc="04090001" w:tentative="1">
      <w:start w:val="1"/>
      <w:numFmt w:val="bullet"/>
      <w:lvlText w:val=""/>
      <w:lvlJc w:val="left"/>
      <w:pPr>
        <w:tabs>
          <w:tab w:val="num" w:pos="5082"/>
        </w:tabs>
        <w:ind w:left="5082" w:hanging="420"/>
      </w:pPr>
      <w:rPr>
        <w:rFonts w:ascii="Wingdings" w:hAnsi="Wingdings" w:hint="default"/>
      </w:rPr>
    </w:lvl>
    <w:lvl w:ilvl="4" w:tplc="31DAFFE0">
      <w:start w:val="1"/>
      <w:numFmt w:val="bullet"/>
      <w:lvlText w:val=""/>
      <w:lvlJc w:val="left"/>
      <w:pPr>
        <w:tabs>
          <w:tab w:val="num" w:pos="3649"/>
        </w:tabs>
        <w:ind w:left="3289" w:firstLine="0"/>
      </w:pPr>
      <w:rPr>
        <w:rFonts w:ascii="Wingdings" w:eastAsia="宋体" w:hAnsi="Wingdings" w:hint="default"/>
        <w:b w:val="0"/>
        <w:i w:val="0"/>
        <w:color w:val="000565"/>
        <w:sz w:val="18"/>
      </w:rPr>
    </w:lvl>
    <w:lvl w:ilvl="5" w:tplc="064266E0">
      <w:start w:val="1"/>
      <w:numFmt w:val="bullet"/>
      <w:lvlText w:val=""/>
      <w:lvlJc w:val="left"/>
      <w:pPr>
        <w:tabs>
          <w:tab w:val="num" w:pos="4191"/>
        </w:tabs>
        <w:ind w:left="4191" w:hanging="420"/>
      </w:pPr>
      <w:rPr>
        <w:rFonts w:ascii="Wingdings 2" w:hAnsi="Wingdings 2" w:hint="default"/>
        <w:b w:val="0"/>
        <w:i w:val="0"/>
        <w:color w:val="auto"/>
        <w:sz w:val="18"/>
      </w:rPr>
    </w:lvl>
    <w:lvl w:ilvl="6" w:tplc="04090001" w:tentative="1">
      <w:start w:val="1"/>
      <w:numFmt w:val="bullet"/>
      <w:lvlText w:val=""/>
      <w:lvlJc w:val="left"/>
      <w:pPr>
        <w:tabs>
          <w:tab w:val="num" w:pos="6342"/>
        </w:tabs>
        <w:ind w:left="6342" w:hanging="420"/>
      </w:pPr>
      <w:rPr>
        <w:rFonts w:ascii="Wingdings" w:hAnsi="Wingdings" w:hint="default"/>
      </w:rPr>
    </w:lvl>
    <w:lvl w:ilvl="7" w:tplc="04090003" w:tentative="1">
      <w:start w:val="1"/>
      <w:numFmt w:val="bullet"/>
      <w:lvlText w:val=""/>
      <w:lvlJc w:val="left"/>
      <w:pPr>
        <w:tabs>
          <w:tab w:val="num" w:pos="6762"/>
        </w:tabs>
        <w:ind w:left="6762" w:hanging="420"/>
      </w:pPr>
      <w:rPr>
        <w:rFonts w:ascii="Wingdings" w:hAnsi="Wingdings" w:hint="default"/>
      </w:rPr>
    </w:lvl>
    <w:lvl w:ilvl="8" w:tplc="04090005" w:tentative="1">
      <w:start w:val="1"/>
      <w:numFmt w:val="bullet"/>
      <w:lvlText w:val=""/>
      <w:lvlJc w:val="left"/>
      <w:pPr>
        <w:tabs>
          <w:tab w:val="num" w:pos="7182"/>
        </w:tabs>
        <w:ind w:left="7182" w:hanging="420"/>
      </w:pPr>
      <w:rPr>
        <w:rFonts w:ascii="Wingdings" w:hAnsi="Wingdings" w:hint="default"/>
      </w:rPr>
    </w:lvl>
  </w:abstractNum>
  <w:abstractNum w:abstractNumId="23">
    <w:nsid w:val="515021FA"/>
    <w:multiLevelType w:val="multilevel"/>
    <w:tmpl w:val="1556E7D6"/>
    <w:numStyleLink w:val="GJStylesSummaryContentMark"/>
  </w:abstractNum>
  <w:abstractNum w:abstractNumId="24">
    <w:nsid w:val="5ADD1880"/>
    <w:multiLevelType w:val="hybridMultilevel"/>
    <w:tmpl w:val="3358225E"/>
    <w:lvl w:ilvl="0" w:tplc="AC7CA5DC">
      <w:start w:val="1"/>
      <w:numFmt w:val="bullet"/>
      <w:lvlText w:val=""/>
      <w:lvlJc w:val="left"/>
      <w:pPr>
        <w:ind w:left="420" w:hanging="420"/>
      </w:pPr>
      <w:rPr>
        <w:rFonts w:ascii="Wingdings" w:eastAsia="楷体_GB2312" w:hAnsi="Wingdings" w:hint="default"/>
        <w:b w:val="0"/>
        <w:i w:val="0"/>
        <w:color w:val="auto"/>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5E8271C1"/>
    <w:multiLevelType w:val="hybridMultilevel"/>
    <w:tmpl w:val="6B68E90C"/>
    <w:lvl w:ilvl="0" w:tplc="A1E68908">
      <w:start w:val="1"/>
      <w:numFmt w:val="bullet"/>
      <w:lvlText w:val=""/>
      <w:lvlJc w:val="left"/>
      <w:pPr>
        <w:tabs>
          <w:tab w:val="num" w:pos="4329"/>
        </w:tabs>
        <w:ind w:left="3969" w:firstLine="0"/>
      </w:pPr>
      <w:rPr>
        <w:rFonts w:hint="default"/>
        <w:b w:val="0"/>
        <w:i w:val="0"/>
        <w:color w:val="000565"/>
        <w:sz w:val="18"/>
      </w:rPr>
    </w:lvl>
    <w:lvl w:ilvl="1" w:tplc="04090003">
      <w:start w:val="1"/>
      <w:numFmt w:val="bullet"/>
      <w:lvlText w:val=""/>
      <w:lvlJc w:val="left"/>
      <w:pPr>
        <w:tabs>
          <w:tab w:val="num" w:pos="4242"/>
        </w:tabs>
        <w:ind w:left="4242" w:hanging="420"/>
      </w:pPr>
      <w:rPr>
        <w:rFonts w:ascii="Wingdings" w:hAnsi="Wingdings" w:hint="default"/>
      </w:rPr>
    </w:lvl>
    <w:lvl w:ilvl="2" w:tplc="04090005">
      <w:start w:val="1"/>
      <w:numFmt w:val="bullet"/>
      <w:lvlText w:val=""/>
      <w:lvlJc w:val="left"/>
      <w:pPr>
        <w:tabs>
          <w:tab w:val="num" w:pos="4662"/>
        </w:tabs>
        <w:ind w:left="4662" w:hanging="420"/>
      </w:pPr>
      <w:rPr>
        <w:rFonts w:ascii="Wingdings" w:hAnsi="Wingdings" w:hint="default"/>
      </w:rPr>
    </w:lvl>
    <w:lvl w:ilvl="3" w:tplc="04090001">
      <w:start w:val="1"/>
      <w:numFmt w:val="bullet"/>
      <w:lvlText w:val=""/>
      <w:lvlJc w:val="left"/>
      <w:pPr>
        <w:tabs>
          <w:tab w:val="num" w:pos="5082"/>
        </w:tabs>
        <w:ind w:left="5082" w:hanging="420"/>
      </w:pPr>
      <w:rPr>
        <w:rFonts w:ascii="Wingdings" w:hAnsi="Wingdings" w:hint="default"/>
      </w:rPr>
    </w:lvl>
    <w:lvl w:ilvl="4" w:tplc="31DAFFE0">
      <w:start w:val="1"/>
      <w:numFmt w:val="bullet"/>
      <w:lvlText w:val=""/>
      <w:lvlJc w:val="left"/>
      <w:pPr>
        <w:tabs>
          <w:tab w:val="num" w:pos="3649"/>
        </w:tabs>
        <w:ind w:left="3289" w:firstLine="0"/>
      </w:pPr>
      <w:rPr>
        <w:rFonts w:ascii="Wingdings" w:eastAsia="宋体" w:hAnsi="Wingdings" w:hint="default"/>
        <w:b w:val="0"/>
        <w:i w:val="0"/>
        <w:color w:val="000565"/>
        <w:sz w:val="18"/>
      </w:rPr>
    </w:lvl>
    <w:lvl w:ilvl="5" w:tplc="DDC8F30C">
      <w:start w:val="1"/>
      <w:numFmt w:val="bullet"/>
      <w:lvlText w:val=""/>
      <w:lvlJc w:val="left"/>
      <w:pPr>
        <w:tabs>
          <w:tab w:val="num" w:pos="4139"/>
        </w:tabs>
        <w:ind w:left="4139" w:hanging="368"/>
      </w:pPr>
      <w:rPr>
        <w:rFonts w:ascii="Wingdings 2" w:eastAsia="楷体_GB2312" w:hAnsi="Wingdings 2" w:hint="default"/>
        <w:b w:val="0"/>
        <w:i w:val="0"/>
        <w:sz w:val="18"/>
      </w:rPr>
    </w:lvl>
    <w:lvl w:ilvl="6" w:tplc="04090001" w:tentative="1">
      <w:start w:val="1"/>
      <w:numFmt w:val="bullet"/>
      <w:lvlText w:val=""/>
      <w:lvlJc w:val="left"/>
      <w:pPr>
        <w:tabs>
          <w:tab w:val="num" w:pos="6342"/>
        </w:tabs>
        <w:ind w:left="6342" w:hanging="420"/>
      </w:pPr>
      <w:rPr>
        <w:rFonts w:ascii="Wingdings" w:hAnsi="Wingdings" w:hint="default"/>
      </w:rPr>
    </w:lvl>
    <w:lvl w:ilvl="7" w:tplc="04090003" w:tentative="1">
      <w:start w:val="1"/>
      <w:numFmt w:val="bullet"/>
      <w:lvlText w:val=""/>
      <w:lvlJc w:val="left"/>
      <w:pPr>
        <w:tabs>
          <w:tab w:val="num" w:pos="6762"/>
        </w:tabs>
        <w:ind w:left="6762" w:hanging="420"/>
      </w:pPr>
      <w:rPr>
        <w:rFonts w:ascii="Wingdings" w:hAnsi="Wingdings" w:hint="default"/>
      </w:rPr>
    </w:lvl>
    <w:lvl w:ilvl="8" w:tplc="04090005" w:tentative="1">
      <w:start w:val="1"/>
      <w:numFmt w:val="bullet"/>
      <w:lvlText w:val=""/>
      <w:lvlJc w:val="left"/>
      <w:pPr>
        <w:tabs>
          <w:tab w:val="num" w:pos="7182"/>
        </w:tabs>
        <w:ind w:left="7182" w:hanging="420"/>
      </w:pPr>
      <w:rPr>
        <w:rFonts w:ascii="Wingdings" w:hAnsi="Wingdings" w:hint="default"/>
      </w:rPr>
    </w:lvl>
  </w:abstractNum>
  <w:abstractNum w:abstractNumId="26">
    <w:nsid w:val="65DD2D9F"/>
    <w:multiLevelType w:val="multilevel"/>
    <w:tmpl w:val="3CDE5F16"/>
    <w:numStyleLink w:val="GJStylesContentMark"/>
  </w:abstractNum>
  <w:abstractNum w:abstractNumId="27">
    <w:nsid w:val="66145FDE"/>
    <w:multiLevelType w:val="singleLevel"/>
    <w:tmpl w:val="918C41C0"/>
    <w:lvl w:ilvl="0">
      <w:start w:val="1"/>
      <w:numFmt w:val="bullet"/>
      <w:pStyle w:val="BulletCoverpage"/>
      <w:lvlText w:val=""/>
      <w:lvlJc w:val="left"/>
      <w:pPr>
        <w:tabs>
          <w:tab w:val="num" w:pos="0"/>
        </w:tabs>
        <w:ind w:left="227" w:hanging="227"/>
      </w:pPr>
      <w:rPr>
        <w:rFonts w:ascii="Monotype Sorts" w:hAnsi="Monotype Sorts" w:cs="Times New Roman" w:hint="default"/>
        <w:color w:val="FF0000"/>
        <w:sz w:val="16"/>
        <w:szCs w:val="16"/>
      </w:rPr>
    </w:lvl>
  </w:abstractNum>
  <w:abstractNum w:abstractNumId="28">
    <w:nsid w:val="686369BF"/>
    <w:multiLevelType w:val="multilevel"/>
    <w:tmpl w:val="1556E7D6"/>
    <w:numStyleLink w:val="GJStylesSummaryContentMark"/>
  </w:abstractNum>
  <w:abstractNum w:abstractNumId="29">
    <w:nsid w:val="6BF14180"/>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0">
    <w:nsid w:val="72754749"/>
    <w:multiLevelType w:val="multilevel"/>
    <w:tmpl w:val="1556E7D6"/>
    <w:numStyleLink w:val="GJStylesSummaryContentMark"/>
  </w:abstractNum>
  <w:abstractNum w:abstractNumId="31">
    <w:nsid w:val="73777A50"/>
    <w:multiLevelType w:val="multilevel"/>
    <w:tmpl w:val="3CDE5F16"/>
    <w:numStyleLink w:val="GJStylesContentMark"/>
  </w:abstractNum>
  <w:abstractNum w:abstractNumId="32">
    <w:nsid w:val="743E305A"/>
    <w:multiLevelType w:val="hybridMultilevel"/>
    <w:tmpl w:val="6196488C"/>
    <w:lvl w:ilvl="0" w:tplc="AC7CA5DC">
      <w:start w:val="1"/>
      <w:numFmt w:val="bullet"/>
      <w:lvlText w:val=""/>
      <w:lvlJc w:val="left"/>
      <w:pPr>
        <w:ind w:left="420" w:hanging="420"/>
      </w:pPr>
      <w:rPr>
        <w:rFonts w:ascii="Wingdings" w:eastAsia="楷体_GB2312" w:hAnsi="Wingdings" w:hint="default"/>
        <w:b w:val="0"/>
        <w:i w:val="0"/>
        <w:color w:val="auto"/>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7C284D5A"/>
    <w:multiLevelType w:val="multilevel"/>
    <w:tmpl w:val="3CDE5F16"/>
    <w:numStyleLink w:val="GJStylesContentMark"/>
  </w:abstractNum>
  <w:abstractNum w:abstractNumId="34">
    <w:nsid w:val="7C8139AA"/>
    <w:multiLevelType w:val="multilevel"/>
    <w:tmpl w:val="3CDE5F16"/>
    <w:numStyleLink w:val="GJStylesContentMark"/>
  </w:abstractNum>
  <w:num w:numId="1">
    <w:abstractNumId w:val="27"/>
  </w:num>
  <w:num w:numId="2">
    <w:abstractNumId w:val="3"/>
  </w:num>
  <w:num w:numId="3">
    <w:abstractNumId w:val="20"/>
  </w:num>
  <w:num w:numId="4">
    <w:abstractNumId w:val="22"/>
  </w:num>
  <w:num w:numId="5">
    <w:abstractNumId w:val="10"/>
  </w:num>
  <w:num w:numId="6">
    <w:abstractNumId w:val="13"/>
  </w:num>
  <w:num w:numId="7">
    <w:abstractNumId w:val="21"/>
  </w:num>
  <w:num w:numId="8">
    <w:abstractNumId w:val="28"/>
  </w:num>
  <w:num w:numId="9">
    <w:abstractNumId w:val="15"/>
  </w:num>
  <w:num w:numId="10">
    <w:abstractNumId w:val="19"/>
  </w:num>
  <w:num w:numId="11">
    <w:abstractNumId w:val="29"/>
  </w:num>
  <w:num w:numId="12">
    <w:abstractNumId w:val="24"/>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2"/>
  </w:num>
  <w:num w:numId="16">
    <w:abstractNumId w:val="8"/>
  </w:num>
  <w:num w:numId="17">
    <w:abstractNumId w:val="23"/>
  </w:num>
  <w:num w:numId="18">
    <w:abstractNumId w:val="17"/>
  </w:num>
  <w:num w:numId="19">
    <w:abstractNumId w:val="30"/>
  </w:num>
  <w:num w:numId="20">
    <w:abstractNumId w:val="11"/>
  </w:num>
  <w:num w:numId="21">
    <w:abstractNumId w:val="16"/>
  </w:num>
  <w:num w:numId="22">
    <w:abstractNumId w:val="0"/>
  </w:num>
  <w:num w:numId="23">
    <w:abstractNumId w:val="18"/>
  </w:num>
  <w:num w:numId="24">
    <w:abstractNumId w:val="9"/>
  </w:num>
  <w:num w:numId="25">
    <w:abstractNumId w:val="1"/>
  </w:num>
  <w:num w:numId="26">
    <w:abstractNumId w:val="7"/>
  </w:num>
  <w:num w:numId="27">
    <w:abstractNumId w:val="26"/>
  </w:num>
  <w:num w:numId="28">
    <w:abstractNumId w:val="4"/>
  </w:num>
  <w:num w:numId="29">
    <w:abstractNumId w:val="31"/>
  </w:num>
  <w:num w:numId="30">
    <w:abstractNumId w:val="33"/>
  </w:num>
  <w:num w:numId="31">
    <w:abstractNumId w:val="34"/>
  </w:num>
  <w:num w:numId="32">
    <w:abstractNumId w:val="32"/>
  </w:num>
  <w:num w:numId="33">
    <w:abstractNumId w:val="6"/>
  </w:num>
  <w:num w:numId="34">
    <w:abstractNumId w:val="14"/>
  </w:num>
  <w:num w:numId="35">
    <w:abstractNumId w:val="12"/>
  </w:num>
  <w:num w:numId="36">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6"/>
  <w:drawingGridVerticalSpacing w:val="6"/>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4" style="mso-position-horizontal-relative:page;mso-position-vertical-relative:page" fill="f" fillcolor="blue" strokecolor="blue">
      <v:fill color="blue" on="f"/>
      <v:stroke color="blue"/>
      <o:colormru v:ext="edit" colors="#d7e4f0,#7494c3,#003765"/>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EE1CC3"/>
    <w:rsid w:val="000004CC"/>
    <w:rsid w:val="00002BE4"/>
    <w:rsid w:val="00003774"/>
    <w:rsid w:val="00004320"/>
    <w:rsid w:val="00004EBA"/>
    <w:rsid w:val="00005676"/>
    <w:rsid w:val="0000572E"/>
    <w:rsid w:val="000106FC"/>
    <w:rsid w:val="00012047"/>
    <w:rsid w:val="00013EB2"/>
    <w:rsid w:val="0001492B"/>
    <w:rsid w:val="000149F7"/>
    <w:rsid w:val="00014B77"/>
    <w:rsid w:val="00014F51"/>
    <w:rsid w:val="00016C91"/>
    <w:rsid w:val="0001708F"/>
    <w:rsid w:val="0002045A"/>
    <w:rsid w:val="000219EC"/>
    <w:rsid w:val="00021A32"/>
    <w:rsid w:val="000221E8"/>
    <w:rsid w:val="0002347C"/>
    <w:rsid w:val="00023D3A"/>
    <w:rsid w:val="00025049"/>
    <w:rsid w:val="00026458"/>
    <w:rsid w:val="0002666B"/>
    <w:rsid w:val="00030007"/>
    <w:rsid w:val="00031106"/>
    <w:rsid w:val="000319DC"/>
    <w:rsid w:val="00032255"/>
    <w:rsid w:val="0003281B"/>
    <w:rsid w:val="00032EE6"/>
    <w:rsid w:val="00033099"/>
    <w:rsid w:val="000336C0"/>
    <w:rsid w:val="00034017"/>
    <w:rsid w:val="000343B3"/>
    <w:rsid w:val="0003448B"/>
    <w:rsid w:val="00034A37"/>
    <w:rsid w:val="00034B6F"/>
    <w:rsid w:val="000368BD"/>
    <w:rsid w:val="000374D7"/>
    <w:rsid w:val="000424AC"/>
    <w:rsid w:val="00043630"/>
    <w:rsid w:val="00044649"/>
    <w:rsid w:val="00044C1E"/>
    <w:rsid w:val="00045BB2"/>
    <w:rsid w:val="000463A6"/>
    <w:rsid w:val="000464EF"/>
    <w:rsid w:val="00051253"/>
    <w:rsid w:val="0005161F"/>
    <w:rsid w:val="00051AFD"/>
    <w:rsid w:val="000520F8"/>
    <w:rsid w:val="000528A0"/>
    <w:rsid w:val="000528AB"/>
    <w:rsid w:val="00054005"/>
    <w:rsid w:val="000576EE"/>
    <w:rsid w:val="0006128E"/>
    <w:rsid w:val="000622E5"/>
    <w:rsid w:val="00063A3F"/>
    <w:rsid w:val="0006435D"/>
    <w:rsid w:val="00070B6F"/>
    <w:rsid w:val="00070EA5"/>
    <w:rsid w:val="00070F25"/>
    <w:rsid w:val="00071EB8"/>
    <w:rsid w:val="000748FA"/>
    <w:rsid w:val="00074B53"/>
    <w:rsid w:val="0007511E"/>
    <w:rsid w:val="00080902"/>
    <w:rsid w:val="00080AF3"/>
    <w:rsid w:val="000810F3"/>
    <w:rsid w:val="00082C91"/>
    <w:rsid w:val="00082E94"/>
    <w:rsid w:val="0008444C"/>
    <w:rsid w:val="000873F1"/>
    <w:rsid w:val="00090567"/>
    <w:rsid w:val="00090CDA"/>
    <w:rsid w:val="00091670"/>
    <w:rsid w:val="00091CB7"/>
    <w:rsid w:val="000939AA"/>
    <w:rsid w:val="000943F5"/>
    <w:rsid w:val="00094710"/>
    <w:rsid w:val="000961E1"/>
    <w:rsid w:val="00096DCC"/>
    <w:rsid w:val="00096FFB"/>
    <w:rsid w:val="000A2612"/>
    <w:rsid w:val="000A43ED"/>
    <w:rsid w:val="000A44D7"/>
    <w:rsid w:val="000A6D82"/>
    <w:rsid w:val="000A76EF"/>
    <w:rsid w:val="000A7AA6"/>
    <w:rsid w:val="000A7D02"/>
    <w:rsid w:val="000B001B"/>
    <w:rsid w:val="000B01C0"/>
    <w:rsid w:val="000B076E"/>
    <w:rsid w:val="000B07ED"/>
    <w:rsid w:val="000B0E6B"/>
    <w:rsid w:val="000B265D"/>
    <w:rsid w:val="000B2D7D"/>
    <w:rsid w:val="000B50B1"/>
    <w:rsid w:val="000B539C"/>
    <w:rsid w:val="000B5C96"/>
    <w:rsid w:val="000B78AA"/>
    <w:rsid w:val="000C065B"/>
    <w:rsid w:val="000C0A3A"/>
    <w:rsid w:val="000C0DA5"/>
    <w:rsid w:val="000C177B"/>
    <w:rsid w:val="000C2404"/>
    <w:rsid w:val="000C2513"/>
    <w:rsid w:val="000C2EDE"/>
    <w:rsid w:val="000C4699"/>
    <w:rsid w:val="000C484B"/>
    <w:rsid w:val="000C7D66"/>
    <w:rsid w:val="000C7EB1"/>
    <w:rsid w:val="000D1948"/>
    <w:rsid w:val="000D3153"/>
    <w:rsid w:val="000D3417"/>
    <w:rsid w:val="000D5698"/>
    <w:rsid w:val="000D688F"/>
    <w:rsid w:val="000E0E02"/>
    <w:rsid w:val="000E12FC"/>
    <w:rsid w:val="000E2FF4"/>
    <w:rsid w:val="000E40C9"/>
    <w:rsid w:val="000E6203"/>
    <w:rsid w:val="000E6AE0"/>
    <w:rsid w:val="000F0DF5"/>
    <w:rsid w:val="000F2451"/>
    <w:rsid w:val="000F2643"/>
    <w:rsid w:val="000F4AB0"/>
    <w:rsid w:val="000F5142"/>
    <w:rsid w:val="000F61F9"/>
    <w:rsid w:val="000F72BA"/>
    <w:rsid w:val="000F738D"/>
    <w:rsid w:val="00100477"/>
    <w:rsid w:val="00101F8F"/>
    <w:rsid w:val="001025A9"/>
    <w:rsid w:val="00102FCE"/>
    <w:rsid w:val="001064A9"/>
    <w:rsid w:val="0010686C"/>
    <w:rsid w:val="00106ADD"/>
    <w:rsid w:val="00106FF6"/>
    <w:rsid w:val="001119C0"/>
    <w:rsid w:val="00113F7E"/>
    <w:rsid w:val="0011478F"/>
    <w:rsid w:val="001151C1"/>
    <w:rsid w:val="001157E3"/>
    <w:rsid w:val="001167F6"/>
    <w:rsid w:val="00116EEB"/>
    <w:rsid w:val="00117A99"/>
    <w:rsid w:val="00121983"/>
    <w:rsid w:val="00122401"/>
    <w:rsid w:val="00122D86"/>
    <w:rsid w:val="001236FE"/>
    <w:rsid w:val="00123AF2"/>
    <w:rsid w:val="00123B4C"/>
    <w:rsid w:val="0012748C"/>
    <w:rsid w:val="00127D52"/>
    <w:rsid w:val="0013080A"/>
    <w:rsid w:val="00130A54"/>
    <w:rsid w:val="00131E05"/>
    <w:rsid w:val="00132A68"/>
    <w:rsid w:val="00132E65"/>
    <w:rsid w:val="00132E70"/>
    <w:rsid w:val="00133402"/>
    <w:rsid w:val="00134C05"/>
    <w:rsid w:val="0013548E"/>
    <w:rsid w:val="00135645"/>
    <w:rsid w:val="0013641C"/>
    <w:rsid w:val="001377EB"/>
    <w:rsid w:val="001406FF"/>
    <w:rsid w:val="00141C49"/>
    <w:rsid w:val="00141C88"/>
    <w:rsid w:val="0014285A"/>
    <w:rsid w:val="0014388E"/>
    <w:rsid w:val="00143C2D"/>
    <w:rsid w:val="00146968"/>
    <w:rsid w:val="00147350"/>
    <w:rsid w:val="00147D85"/>
    <w:rsid w:val="00150299"/>
    <w:rsid w:val="00150313"/>
    <w:rsid w:val="00150353"/>
    <w:rsid w:val="001503CD"/>
    <w:rsid w:val="00150417"/>
    <w:rsid w:val="0015120D"/>
    <w:rsid w:val="001522ED"/>
    <w:rsid w:val="0015265C"/>
    <w:rsid w:val="00152A3D"/>
    <w:rsid w:val="0015543F"/>
    <w:rsid w:val="0015629E"/>
    <w:rsid w:val="00156497"/>
    <w:rsid w:val="001602B1"/>
    <w:rsid w:val="0016153B"/>
    <w:rsid w:val="0016156D"/>
    <w:rsid w:val="00161A50"/>
    <w:rsid w:val="00161CE1"/>
    <w:rsid w:val="0016394F"/>
    <w:rsid w:val="00164EE1"/>
    <w:rsid w:val="00165EA0"/>
    <w:rsid w:val="00167E1A"/>
    <w:rsid w:val="00170C24"/>
    <w:rsid w:val="00172839"/>
    <w:rsid w:val="001748BC"/>
    <w:rsid w:val="00176A15"/>
    <w:rsid w:val="00180167"/>
    <w:rsid w:val="00180272"/>
    <w:rsid w:val="00180733"/>
    <w:rsid w:val="001809E2"/>
    <w:rsid w:val="00181776"/>
    <w:rsid w:val="00181A5B"/>
    <w:rsid w:val="001820D1"/>
    <w:rsid w:val="001829B0"/>
    <w:rsid w:val="001837D4"/>
    <w:rsid w:val="00183D27"/>
    <w:rsid w:val="001865C6"/>
    <w:rsid w:val="001865FF"/>
    <w:rsid w:val="00186750"/>
    <w:rsid w:val="001876A8"/>
    <w:rsid w:val="00194D9A"/>
    <w:rsid w:val="00194F5F"/>
    <w:rsid w:val="001953A5"/>
    <w:rsid w:val="001A0044"/>
    <w:rsid w:val="001A07F2"/>
    <w:rsid w:val="001A091B"/>
    <w:rsid w:val="001A1E48"/>
    <w:rsid w:val="001A247C"/>
    <w:rsid w:val="001A24EA"/>
    <w:rsid w:val="001A2AD4"/>
    <w:rsid w:val="001A2C79"/>
    <w:rsid w:val="001A3994"/>
    <w:rsid w:val="001A4819"/>
    <w:rsid w:val="001A67A0"/>
    <w:rsid w:val="001A6CF8"/>
    <w:rsid w:val="001B07C4"/>
    <w:rsid w:val="001B1467"/>
    <w:rsid w:val="001B2725"/>
    <w:rsid w:val="001B4033"/>
    <w:rsid w:val="001B4237"/>
    <w:rsid w:val="001B47B2"/>
    <w:rsid w:val="001B5CE8"/>
    <w:rsid w:val="001B6452"/>
    <w:rsid w:val="001B72E9"/>
    <w:rsid w:val="001C118C"/>
    <w:rsid w:val="001C1C32"/>
    <w:rsid w:val="001C28A5"/>
    <w:rsid w:val="001C370A"/>
    <w:rsid w:val="001C3E78"/>
    <w:rsid w:val="001C40DD"/>
    <w:rsid w:val="001C4CE3"/>
    <w:rsid w:val="001C523C"/>
    <w:rsid w:val="001C52BA"/>
    <w:rsid w:val="001C5AA3"/>
    <w:rsid w:val="001C5C2B"/>
    <w:rsid w:val="001C7914"/>
    <w:rsid w:val="001C7C49"/>
    <w:rsid w:val="001D0A95"/>
    <w:rsid w:val="001D0F58"/>
    <w:rsid w:val="001D24A0"/>
    <w:rsid w:val="001D3958"/>
    <w:rsid w:val="001D3DC3"/>
    <w:rsid w:val="001D4A05"/>
    <w:rsid w:val="001D5FBF"/>
    <w:rsid w:val="001D7559"/>
    <w:rsid w:val="001E1FDB"/>
    <w:rsid w:val="001E24A0"/>
    <w:rsid w:val="001E2668"/>
    <w:rsid w:val="001E5CB0"/>
    <w:rsid w:val="001E6529"/>
    <w:rsid w:val="001E72F3"/>
    <w:rsid w:val="001E7B3E"/>
    <w:rsid w:val="001F0514"/>
    <w:rsid w:val="001F1AE5"/>
    <w:rsid w:val="001F1EDA"/>
    <w:rsid w:val="001F2D26"/>
    <w:rsid w:val="001F37D3"/>
    <w:rsid w:val="001F4836"/>
    <w:rsid w:val="001F5094"/>
    <w:rsid w:val="001F79C4"/>
    <w:rsid w:val="002009BA"/>
    <w:rsid w:val="00200D33"/>
    <w:rsid w:val="00200E39"/>
    <w:rsid w:val="0020190A"/>
    <w:rsid w:val="00202E43"/>
    <w:rsid w:val="00203AB8"/>
    <w:rsid w:val="0020511C"/>
    <w:rsid w:val="00205425"/>
    <w:rsid w:val="00205844"/>
    <w:rsid w:val="00205E05"/>
    <w:rsid w:val="00206545"/>
    <w:rsid w:val="00206A8D"/>
    <w:rsid w:val="002071A0"/>
    <w:rsid w:val="002078CF"/>
    <w:rsid w:val="0021169E"/>
    <w:rsid w:val="00212F4D"/>
    <w:rsid w:val="00213251"/>
    <w:rsid w:val="00213D4E"/>
    <w:rsid w:val="002170D3"/>
    <w:rsid w:val="0021747E"/>
    <w:rsid w:val="00220363"/>
    <w:rsid w:val="00220D09"/>
    <w:rsid w:val="0022215E"/>
    <w:rsid w:val="0022453A"/>
    <w:rsid w:val="00224810"/>
    <w:rsid w:val="0022768D"/>
    <w:rsid w:val="00230996"/>
    <w:rsid w:val="0023347E"/>
    <w:rsid w:val="00233B04"/>
    <w:rsid w:val="002347F7"/>
    <w:rsid w:val="00234C04"/>
    <w:rsid w:val="002356FE"/>
    <w:rsid w:val="0024043A"/>
    <w:rsid w:val="002412D0"/>
    <w:rsid w:val="002416F4"/>
    <w:rsid w:val="00243205"/>
    <w:rsid w:val="002436CB"/>
    <w:rsid w:val="0024447F"/>
    <w:rsid w:val="0024569B"/>
    <w:rsid w:val="002463F9"/>
    <w:rsid w:val="0025246E"/>
    <w:rsid w:val="00253506"/>
    <w:rsid w:val="00255EE8"/>
    <w:rsid w:val="00256C54"/>
    <w:rsid w:val="0025701C"/>
    <w:rsid w:val="0025705E"/>
    <w:rsid w:val="00257C5B"/>
    <w:rsid w:val="00260EF2"/>
    <w:rsid w:val="002613C1"/>
    <w:rsid w:val="00261447"/>
    <w:rsid w:val="00261B2D"/>
    <w:rsid w:val="00261E81"/>
    <w:rsid w:val="00262373"/>
    <w:rsid w:val="002627D5"/>
    <w:rsid w:val="00262C87"/>
    <w:rsid w:val="00263585"/>
    <w:rsid w:val="00264055"/>
    <w:rsid w:val="002647A0"/>
    <w:rsid w:val="00264D37"/>
    <w:rsid w:val="002711AC"/>
    <w:rsid w:val="002724E5"/>
    <w:rsid w:val="00273AF6"/>
    <w:rsid w:val="0027404C"/>
    <w:rsid w:val="00274073"/>
    <w:rsid w:val="00275A0E"/>
    <w:rsid w:val="0027674A"/>
    <w:rsid w:val="00276AED"/>
    <w:rsid w:val="00280012"/>
    <w:rsid w:val="00280145"/>
    <w:rsid w:val="002807D9"/>
    <w:rsid w:val="002824FD"/>
    <w:rsid w:val="00282C90"/>
    <w:rsid w:val="002838A3"/>
    <w:rsid w:val="00284A26"/>
    <w:rsid w:val="0029022C"/>
    <w:rsid w:val="00292EB6"/>
    <w:rsid w:val="0029580F"/>
    <w:rsid w:val="00295AB4"/>
    <w:rsid w:val="002978EA"/>
    <w:rsid w:val="00297C96"/>
    <w:rsid w:val="002A1CCE"/>
    <w:rsid w:val="002A1D2C"/>
    <w:rsid w:val="002A24F5"/>
    <w:rsid w:val="002A5003"/>
    <w:rsid w:val="002A616B"/>
    <w:rsid w:val="002A673A"/>
    <w:rsid w:val="002A6F88"/>
    <w:rsid w:val="002A771D"/>
    <w:rsid w:val="002B45D1"/>
    <w:rsid w:val="002B487A"/>
    <w:rsid w:val="002B4981"/>
    <w:rsid w:val="002C0205"/>
    <w:rsid w:val="002C0377"/>
    <w:rsid w:val="002C07DE"/>
    <w:rsid w:val="002C0968"/>
    <w:rsid w:val="002C2C46"/>
    <w:rsid w:val="002C456B"/>
    <w:rsid w:val="002C4E0E"/>
    <w:rsid w:val="002C4E8C"/>
    <w:rsid w:val="002C5291"/>
    <w:rsid w:val="002C5AE2"/>
    <w:rsid w:val="002C6A7A"/>
    <w:rsid w:val="002D08AF"/>
    <w:rsid w:val="002D12B5"/>
    <w:rsid w:val="002D14E8"/>
    <w:rsid w:val="002D2654"/>
    <w:rsid w:val="002D3454"/>
    <w:rsid w:val="002D3741"/>
    <w:rsid w:val="002D4069"/>
    <w:rsid w:val="002E0711"/>
    <w:rsid w:val="002E0BBA"/>
    <w:rsid w:val="002E0D03"/>
    <w:rsid w:val="002E1B35"/>
    <w:rsid w:val="002E3E22"/>
    <w:rsid w:val="002E4121"/>
    <w:rsid w:val="002E4642"/>
    <w:rsid w:val="002E5D74"/>
    <w:rsid w:val="002E61EA"/>
    <w:rsid w:val="002E6511"/>
    <w:rsid w:val="002E75AF"/>
    <w:rsid w:val="002E7EC3"/>
    <w:rsid w:val="002F0CD4"/>
    <w:rsid w:val="002F1768"/>
    <w:rsid w:val="002F22C7"/>
    <w:rsid w:val="002F25DE"/>
    <w:rsid w:val="002F2BA7"/>
    <w:rsid w:val="002F355F"/>
    <w:rsid w:val="002F3A38"/>
    <w:rsid w:val="002F593A"/>
    <w:rsid w:val="002F5AE7"/>
    <w:rsid w:val="002F5BF7"/>
    <w:rsid w:val="002F6E11"/>
    <w:rsid w:val="00302B7E"/>
    <w:rsid w:val="003060B9"/>
    <w:rsid w:val="00306161"/>
    <w:rsid w:val="00306EBB"/>
    <w:rsid w:val="003071B6"/>
    <w:rsid w:val="00307994"/>
    <w:rsid w:val="003120F7"/>
    <w:rsid w:val="003127AF"/>
    <w:rsid w:val="00313166"/>
    <w:rsid w:val="003136D8"/>
    <w:rsid w:val="00314043"/>
    <w:rsid w:val="0031452D"/>
    <w:rsid w:val="00314DE5"/>
    <w:rsid w:val="0031538A"/>
    <w:rsid w:val="00317099"/>
    <w:rsid w:val="003170B2"/>
    <w:rsid w:val="00317266"/>
    <w:rsid w:val="00320A7A"/>
    <w:rsid w:val="00321826"/>
    <w:rsid w:val="00321881"/>
    <w:rsid w:val="003224F1"/>
    <w:rsid w:val="00322B0C"/>
    <w:rsid w:val="00323DF0"/>
    <w:rsid w:val="003257B9"/>
    <w:rsid w:val="003277D6"/>
    <w:rsid w:val="00327CFE"/>
    <w:rsid w:val="00331C73"/>
    <w:rsid w:val="003326E4"/>
    <w:rsid w:val="003370A9"/>
    <w:rsid w:val="00340097"/>
    <w:rsid w:val="00340945"/>
    <w:rsid w:val="00341662"/>
    <w:rsid w:val="00341675"/>
    <w:rsid w:val="00342B1B"/>
    <w:rsid w:val="00343A04"/>
    <w:rsid w:val="00344C85"/>
    <w:rsid w:val="003453BD"/>
    <w:rsid w:val="00345839"/>
    <w:rsid w:val="00346273"/>
    <w:rsid w:val="00346BB1"/>
    <w:rsid w:val="00347FF1"/>
    <w:rsid w:val="00351D32"/>
    <w:rsid w:val="0035208F"/>
    <w:rsid w:val="003551E8"/>
    <w:rsid w:val="00355A8C"/>
    <w:rsid w:val="003565F8"/>
    <w:rsid w:val="00357333"/>
    <w:rsid w:val="0035779A"/>
    <w:rsid w:val="00357BD6"/>
    <w:rsid w:val="0036471C"/>
    <w:rsid w:val="00366D76"/>
    <w:rsid w:val="00370570"/>
    <w:rsid w:val="003708AB"/>
    <w:rsid w:val="00373BE5"/>
    <w:rsid w:val="00374401"/>
    <w:rsid w:val="00374566"/>
    <w:rsid w:val="00375560"/>
    <w:rsid w:val="00376061"/>
    <w:rsid w:val="003770F6"/>
    <w:rsid w:val="00377B46"/>
    <w:rsid w:val="00377B96"/>
    <w:rsid w:val="00380602"/>
    <w:rsid w:val="00380A4C"/>
    <w:rsid w:val="0038171D"/>
    <w:rsid w:val="003823A5"/>
    <w:rsid w:val="003825A9"/>
    <w:rsid w:val="00383ECB"/>
    <w:rsid w:val="00385ADD"/>
    <w:rsid w:val="00385FE5"/>
    <w:rsid w:val="00386F8D"/>
    <w:rsid w:val="00387CD4"/>
    <w:rsid w:val="00390CEC"/>
    <w:rsid w:val="00391640"/>
    <w:rsid w:val="00392C2D"/>
    <w:rsid w:val="00392D30"/>
    <w:rsid w:val="003940E0"/>
    <w:rsid w:val="003A0A8C"/>
    <w:rsid w:val="003A2F11"/>
    <w:rsid w:val="003A41B1"/>
    <w:rsid w:val="003A439D"/>
    <w:rsid w:val="003A54F6"/>
    <w:rsid w:val="003A604C"/>
    <w:rsid w:val="003A7A25"/>
    <w:rsid w:val="003B0DF7"/>
    <w:rsid w:val="003B1653"/>
    <w:rsid w:val="003B181C"/>
    <w:rsid w:val="003B4003"/>
    <w:rsid w:val="003B4093"/>
    <w:rsid w:val="003B66EA"/>
    <w:rsid w:val="003B6A5A"/>
    <w:rsid w:val="003C07FD"/>
    <w:rsid w:val="003C100F"/>
    <w:rsid w:val="003C2FB6"/>
    <w:rsid w:val="003C3975"/>
    <w:rsid w:val="003C3B56"/>
    <w:rsid w:val="003C4E1B"/>
    <w:rsid w:val="003C543C"/>
    <w:rsid w:val="003C56FF"/>
    <w:rsid w:val="003C5B13"/>
    <w:rsid w:val="003D04AA"/>
    <w:rsid w:val="003D06A2"/>
    <w:rsid w:val="003D131A"/>
    <w:rsid w:val="003D2CEC"/>
    <w:rsid w:val="003D34BE"/>
    <w:rsid w:val="003D42C0"/>
    <w:rsid w:val="003D637B"/>
    <w:rsid w:val="003D6C0B"/>
    <w:rsid w:val="003D7790"/>
    <w:rsid w:val="003E0662"/>
    <w:rsid w:val="003E19C5"/>
    <w:rsid w:val="003E34D9"/>
    <w:rsid w:val="003E4EE3"/>
    <w:rsid w:val="003E588D"/>
    <w:rsid w:val="003E7A24"/>
    <w:rsid w:val="003F1DFD"/>
    <w:rsid w:val="003F4374"/>
    <w:rsid w:val="003F44DF"/>
    <w:rsid w:val="003F5FAF"/>
    <w:rsid w:val="003F5FC8"/>
    <w:rsid w:val="003F69AD"/>
    <w:rsid w:val="003F70C5"/>
    <w:rsid w:val="00400104"/>
    <w:rsid w:val="004006DF"/>
    <w:rsid w:val="004008F6"/>
    <w:rsid w:val="00401913"/>
    <w:rsid w:val="00401B4A"/>
    <w:rsid w:val="00404001"/>
    <w:rsid w:val="00405A95"/>
    <w:rsid w:val="00405CB0"/>
    <w:rsid w:val="00405E6E"/>
    <w:rsid w:val="00406323"/>
    <w:rsid w:val="00406E9B"/>
    <w:rsid w:val="0040718A"/>
    <w:rsid w:val="00407572"/>
    <w:rsid w:val="00411188"/>
    <w:rsid w:val="00411272"/>
    <w:rsid w:val="0041633D"/>
    <w:rsid w:val="004173B9"/>
    <w:rsid w:val="0041785A"/>
    <w:rsid w:val="004201B5"/>
    <w:rsid w:val="004220C6"/>
    <w:rsid w:val="00422B94"/>
    <w:rsid w:val="004255AB"/>
    <w:rsid w:val="00425E65"/>
    <w:rsid w:val="0042700B"/>
    <w:rsid w:val="004305C0"/>
    <w:rsid w:val="00431896"/>
    <w:rsid w:val="00432354"/>
    <w:rsid w:val="0043239D"/>
    <w:rsid w:val="00436046"/>
    <w:rsid w:val="004406DF"/>
    <w:rsid w:val="00440764"/>
    <w:rsid w:val="00441C53"/>
    <w:rsid w:val="00441FFE"/>
    <w:rsid w:val="004426FD"/>
    <w:rsid w:val="00442D78"/>
    <w:rsid w:val="00446939"/>
    <w:rsid w:val="00451748"/>
    <w:rsid w:val="004517DE"/>
    <w:rsid w:val="00460D1B"/>
    <w:rsid w:val="00461143"/>
    <w:rsid w:val="0046153D"/>
    <w:rsid w:val="00461632"/>
    <w:rsid w:val="00461CBE"/>
    <w:rsid w:val="00461F8F"/>
    <w:rsid w:val="00462605"/>
    <w:rsid w:val="0046331E"/>
    <w:rsid w:val="004652B5"/>
    <w:rsid w:val="00465D01"/>
    <w:rsid w:val="00466EE2"/>
    <w:rsid w:val="00467264"/>
    <w:rsid w:val="00470E0A"/>
    <w:rsid w:val="004720B7"/>
    <w:rsid w:val="004733CD"/>
    <w:rsid w:val="0047552D"/>
    <w:rsid w:val="00475F78"/>
    <w:rsid w:val="004763E7"/>
    <w:rsid w:val="00476412"/>
    <w:rsid w:val="004771EF"/>
    <w:rsid w:val="00480AD3"/>
    <w:rsid w:val="00480F30"/>
    <w:rsid w:val="0048332D"/>
    <w:rsid w:val="00484352"/>
    <w:rsid w:val="00484816"/>
    <w:rsid w:val="00487051"/>
    <w:rsid w:val="00487AA2"/>
    <w:rsid w:val="00490982"/>
    <w:rsid w:val="0049143A"/>
    <w:rsid w:val="00491683"/>
    <w:rsid w:val="00496669"/>
    <w:rsid w:val="00497028"/>
    <w:rsid w:val="004A0D0B"/>
    <w:rsid w:val="004A258A"/>
    <w:rsid w:val="004A4CDA"/>
    <w:rsid w:val="004A4FC7"/>
    <w:rsid w:val="004B1144"/>
    <w:rsid w:val="004B14CE"/>
    <w:rsid w:val="004B15F5"/>
    <w:rsid w:val="004B1C12"/>
    <w:rsid w:val="004B2E6F"/>
    <w:rsid w:val="004B4777"/>
    <w:rsid w:val="004B4DD6"/>
    <w:rsid w:val="004B5B71"/>
    <w:rsid w:val="004B5D30"/>
    <w:rsid w:val="004B6C64"/>
    <w:rsid w:val="004B6D3C"/>
    <w:rsid w:val="004C1421"/>
    <w:rsid w:val="004C1881"/>
    <w:rsid w:val="004C1C21"/>
    <w:rsid w:val="004C3757"/>
    <w:rsid w:val="004C4283"/>
    <w:rsid w:val="004C527F"/>
    <w:rsid w:val="004C6151"/>
    <w:rsid w:val="004C64E0"/>
    <w:rsid w:val="004C6CED"/>
    <w:rsid w:val="004D0440"/>
    <w:rsid w:val="004D1494"/>
    <w:rsid w:val="004D28D0"/>
    <w:rsid w:val="004D3BFA"/>
    <w:rsid w:val="004D49B8"/>
    <w:rsid w:val="004D5C9F"/>
    <w:rsid w:val="004D76AE"/>
    <w:rsid w:val="004D7D64"/>
    <w:rsid w:val="004D7FB3"/>
    <w:rsid w:val="004E0A1B"/>
    <w:rsid w:val="004E1C83"/>
    <w:rsid w:val="004E2B78"/>
    <w:rsid w:val="004E2C0D"/>
    <w:rsid w:val="004E2E08"/>
    <w:rsid w:val="004E2F6D"/>
    <w:rsid w:val="004E30B3"/>
    <w:rsid w:val="004E3213"/>
    <w:rsid w:val="004E4B97"/>
    <w:rsid w:val="004E4D0F"/>
    <w:rsid w:val="004E55B6"/>
    <w:rsid w:val="004E61F8"/>
    <w:rsid w:val="004E627E"/>
    <w:rsid w:val="004E6829"/>
    <w:rsid w:val="004E76D0"/>
    <w:rsid w:val="004F0345"/>
    <w:rsid w:val="004F03CC"/>
    <w:rsid w:val="004F0AB3"/>
    <w:rsid w:val="004F2784"/>
    <w:rsid w:val="004F2EE8"/>
    <w:rsid w:val="004F3338"/>
    <w:rsid w:val="004F3AE7"/>
    <w:rsid w:val="004F57FE"/>
    <w:rsid w:val="004F5961"/>
    <w:rsid w:val="004F59EB"/>
    <w:rsid w:val="004F5D04"/>
    <w:rsid w:val="004F6054"/>
    <w:rsid w:val="004F7C74"/>
    <w:rsid w:val="00501C4D"/>
    <w:rsid w:val="00502252"/>
    <w:rsid w:val="005026F7"/>
    <w:rsid w:val="00505788"/>
    <w:rsid w:val="00507170"/>
    <w:rsid w:val="00510642"/>
    <w:rsid w:val="00510D65"/>
    <w:rsid w:val="00511E6C"/>
    <w:rsid w:val="00513B47"/>
    <w:rsid w:val="0051471C"/>
    <w:rsid w:val="005157E6"/>
    <w:rsid w:val="00515D58"/>
    <w:rsid w:val="005214D7"/>
    <w:rsid w:val="005217AE"/>
    <w:rsid w:val="00523011"/>
    <w:rsid w:val="005231B8"/>
    <w:rsid w:val="0052331C"/>
    <w:rsid w:val="00524B59"/>
    <w:rsid w:val="0052506B"/>
    <w:rsid w:val="005264A1"/>
    <w:rsid w:val="0052755F"/>
    <w:rsid w:val="00527CB3"/>
    <w:rsid w:val="00532858"/>
    <w:rsid w:val="00535B28"/>
    <w:rsid w:val="005360E0"/>
    <w:rsid w:val="005363E6"/>
    <w:rsid w:val="00536940"/>
    <w:rsid w:val="00537116"/>
    <w:rsid w:val="005379A0"/>
    <w:rsid w:val="0054081F"/>
    <w:rsid w:val="00540835"/>
    <w:rsid w:val="00541ADD"/>
    <w:rsid w:val="0054218B"/>
    <w:rsid w:val="00544037"/>
    <w:rsid w:val="005519C0"/>
    <w:rsid w:val="005526E7"/>
    <w:rsid w:val="00552C2F"/>
    <w:rsid w:val="005548B3"/>
    <w:rsid w:val="00554DE2"/>
    <w:rsid w:val="005552A5"/>
    <w:rsid w:val="005553CC"/>
    <w:rsid w:val="00555C07"/>
    <w:rsid w:val="00555CEF"/>
    <w:rsid w:val="00555D3A"/>
    <w:rsid w:val="00556ADA"/>
    <w:rsid w:val="005577B5"/>
    <w:rsid w:val="00560FBE"/>
    <w:rsid w:val="0056136E"/>
    <w:rsid w:val="00561E96"/>
    <w:rsid w:val="005631D5"/>
    <w:rsid w:val="00563BB7"/>
    <w:rsid w:val="0056434B"/>
    <w:rsid w:val="005657EA"/>
    <w:rsid w:val="00566AC1"/>
    <w:rsid w:val="00567DC4"/>
    <w:rsid w:val="00570976"/>
    <w:rsid w:val="00570D00"/>
    <w:rsid w:val="005721EB"/>
    <w:rsid w:val="00572FFB"/>
    <w:rsid w:val="00573AE0"/>
    <w:rsid w:val="0057735E"/>
    <w:rsid w:val="00580667"/>
    <w:rsid w:val="00580A28"/>
    <w:rsid w:val="00581E5D"/>
    <w:rsid w:val="00581FA9"/>
    <w:rsid w:val="0058200E"/>
    <w:rsid w:val="005820FB"/>
    <w:rsid w:val="005843E0"/>
    <w:rsid w:val="005854BE"/>
    <w:rsid w:val="00585557"/>
    <w:rsid w:val="00587714"/>
    <w:rsid w:val="00587C3D"/>
    <w:rsid w:val="00590348"/>
    <w:rsid w:val="005903BD"/>
    <w:rsid w:val="0059131D"/>
    <w:rsid w:val="00592AA9"/>
    <w:rsid w:val="005930C5"/>
    <w:rsid w:val="005940B7"/>
    <w:rsid w:val="00594E62"/>
    <w:rsid w:val="00594EEE"/>
    <w:rsid w:val="005973E6"/>
    <w:rsid w:val="00597BE8"/>
    <w:rsid w:val="005A0B09"/>
    <w:rsid w:val="005A21C4"/>
    <w:rsid w:val="005A26BC"/>
    <w:rsid w:val="005A4369"/>
    <w:rsid w:val="005A4767"/>
    <w:rsid w:val="005A603C"/>
    <w:rsid w:val="005A66A2"/>
    <w:rsid w:val="005A6A6A"/>
    <w:rsid w:val="005B069B"/>
    <w:rsid w:val="005B078D"/>
    <w:rsid w:val="005B1EAB"/>
    <w:rsid w:val="005B247E"/>
    <w:rsid w:val="005B30C9"/>
    <w:rsid w:val="005B3E2E"/>
    <w:rsid w:val="005B4673"/>
    <w:rsid w:val="005C0169"/>
    <w:rsid w:val="005C2514"/>
    <w:rsid w:val="005C3784"/>
    <w:rsid w:val="005C466C"/>
    <w:rsid w:val="005C4C98"/>
    <w:rsid w:val="005C6537"/>
    <w:rsid w:val="005C6B60"/>
    <w:rsid w:val="005C75E8"/>
    <w:rsid w:val="005C7721"/>
    <w:rsid w:val="005C7E8B"/>
    <w:rsid w:val="005D0C99"/>
    <w:rsid w:val="005D19EF"/>
    <w:rsid w:val="005D2110"/>
    <w:rsid w:val="005D3A27"/>
    <w:rsid w:val="005D3C8E"/>
    <w:rsid w:val="005D402F"/>
    <w:rsid w:val="005D7926"/>
    <w:rsid w:val="005D79A9"/>
    <w:rsid w:val="005D7B38"/>
    <w:rsid w:val="005E0923"/>
    <w:rsid w:val="005E0E69"/>
    <w:rsid w:val="005E2988"/>
    <w:rsid w:val="005E2B56"/>
    <w:rsid w:val="005E311D"/>
    <w:rsid w:val="005E36A8"/>
    <w:rsid w:val="005E396B"/>
    <w:rsid w:val="005E3EAC"/>
    <w:rsid w:val="005E477F"/>
    <w:rsid w:val="005E4C41"/>
    <w:rsid w:val="005E54E0"/>
    <w:rsid w:val="005E6F7A"/>
    <w:rsid w:val="005E7F08"/>
    <w:rsid w:val="005F0D29"/>
    <w:rsid w:val="005F30C9"/>
    <w:rsid w:val="005F59CA"/>
    <w:rsid w:val="005F77FF"/>
    <w:rsid w:val="006007CA"/>
    <w:rsid w:val="0060202E"/>
    <w:rsid w:val="0060216C"/>
    <w:rsid w:val="00602631"/>
    <w:rsid w:val="006034B8"/>
    <w:rsid w:val="006041F6"/>
    <w:rsid w:val="00607327"/>
    <w:rsid w:val="006077A8"/>
    <w:rsid w:val="00607BAA"/>
    <w:rsid w:val="006114D3"/>
    <w:rsid w:val="00612794"/>
    <w:rsid w:val="006127F6"/>
    <w:rsid w:val="00612DD1"/>
    <w:rsid w:val="00612F8D"/>
    <w:rsid w:val="006140D2"/>
    <w:rsid w:val="00614CED"/>
    <w:rsid w:val="00615281"/>
    <w:rsid w:val="0061568E"/>
    <w:rsid w:val="00615CB2"/>
    <w:rsid w:val="00616BEA"/>
    <w:rsid w:val="00620E39"/>
    <w:rsid w:val="00621D58"/>
    <w:rsid w:val="0062368A"/>
    <w:rsid w:val="0062398E"/>
    <w:rsid w:val="00624240"/>
    <w:rsid w:val="0062489C"/>
    <w:rsid w:val="00624E42"/>
    <w:rsid w:val="00626256"/>
    <w:rsid w:val="00626F55"/>
    <w:rsid w:val="0062762D"/>
    <w:rsid w:val="00630996"/>
    <w:rsid w:val="00631C3D"/>
    <w:rsid w:val="00631EAF"/>
    <w:rsid w:val="00632EA0"/>
    <w:rsid w:val="006359E4"/>
    <w:rsid w:val="00637FAA"/>
    <w:rsid w:val="006403B4"/>
    <w:rsid w:val="00640523"/>
    <w:rsid w:val="0064126A"/>
    <w:rsid w:val="00643A3A"/>
    <w:rsid w:val="006449BF"/>
    <w:rsid w:val="00645394"/>
    <w:rsid w:val="006458BA"/>
    <w:rsid w:val="0064599D"/>
    <w:rsid w:val="0064780A"/>
    <w:rsid w:val="00647BD2"/>
    <w:rsid w:val="0065063E"/>
    <w:rsid w:val="00651244"/>
    <w:rsid w:val="00651E3B"/>
    <w:rsid w:val="006529B1"/>
    <w:rsid w:val="00652C9C"/>
    <w:rsid w:val="00655332"/>
    <w:rsid w:val="006555FA"/>
    <w:rsid w:val="006574A0"/>
    <w:rsid w:val="0065788C"/>
    <w:rsid w:val="00662518"/>
    <w:rsid w:val="006632A4"/>
    <w:rsid w:val="006645A3"/>
    <w:rsid w:val="00665430"/>
    <w:rsid w:val="006674BF"/>
    <w:rsid w:val="006679ED"/>
    <w:rsid w:val="00667F60"/>
    <w:rsid w:val="006700B1"/>
    <w:rsid w:val="006705A4"/>
    <w:rsid w:val="006705BA"/>
    <w:rsid w:val="0067155D"/>
    <w:rsid w:val="006734B1"/>
    <w:rsid w:val="006762EA"/>
    <w:rsid w:val="00680465"/>
    <w:rsid w:val="0068056C"/>
    <w:rsid w:val="00681B2E"/>
    <w:rsid w:val="00682AD3"/>
    <w:rsid w:val="00682C2A"/>
    <w:rsid w:val="006841B6"/>
    <w:rsid w:val="0068469E"/>
    <w:rsid w:val="0068636E"/>
    <w:rsid w:val="00686947"/>
    <w:rsid w:val="00686AC0"/>
    <w:rsid w:val="00686C0A"/>
    <w:rsid w:val="00687D39"/>
    <w:rsid w:val="00690713"/>
    <w:rsid w:val="00692C07"/>
    <w:rsid w:val="00695547"/>
    <w:rsid w:val="00695798"/>
    <w:rsid w:val="00695970"/>
    <w:rsid w:val="00697F39"/>
    <w:rsid w:val="006A0092"/>
    <w:rsid w:val="006A19A5"/>
    <w:rsid w:val="006A214A"/>
    <w:rsid w:val="006A4685"/>
    <w:rsid w:val="006A4CF3"/>
    <w:rsid w:val="006A5A9C"/>
    <w:rsid w:val="006A6902"/>
    <w:rsid w:val="006B0416"/>
    <w:rsid w:val="006B0553"/>
    <w:rsid w:val="006B0739"/>
    <w:rsid w:val="006B146F"/>
    <w:rsid w:val="006B1684"/>
    <w:rsid w:val="006B2CC3"/>
    <w:rsid w:val="006B2CDC"/>
    <w:rsid w:val="006B4876"/>
    <w:rsid w:val="006B4BCD"/>
    <w:rsid w:val="006B65A4"/>
    <w:rsid w:val="006B74A8"/>
    <w:rsid w:val="006B75C5"/>
    <w:rsid w:val="006B7A09"/>
    <w:rsid w:val="006B7AA6"/>
    <w:rsid w:val="006C1058"/>
    <w:rsid w:val="006C248C"/>
    <w:rsid w:val="006C2895"/>
    <w:rsid w:val="006C45CD"/>
    <w:rsid w:val="006C5074"/>
    <w:rsid w:val="006C595E"/>
    <w:rsid w:val="006C6C4E"/>
    <w:rsid w:val="006C6CEE"/>
    <w:rsid w:val="006C7622"/>
    <w:rsid w:val="006C7EB4"/>
    <w:rsid w:val="006D0435"/>
    <w:rsid w:val="006D08C1"/>
    <w:rsid w:val="006D1E53"/>
    <w:rsid w:val="006D493F"/>
    <w:rsid w:val="006D4BFD"/>
    <w:rsid w:val="006D5CDF"/>
    <w:rsid w:val="006D770C"/>
    <w:rsid w:val="006E06E4"/>
    <w:rsid w:val="006E1B4B"/>
    <w:rsid w:val="006E208A"/>
    <w:rsid w:val="006E3D11"/>
    <w:rsid w:val="006E40C7"/>
    <w:rsid w:val="006E4121"/>
    <w:rsid w:val="006E4A68"/>
    <w:rsid w:val="006E516D"/>
    <w:rsid w:val="006E551C"/>
    <w:rsid w:val="006E7425"/>
    <w:rsid w:val="006F074B"/>
    <w:rsid w:val="006F4213"/>
    <w:rsid w:val="006F5B97"/>
    <w:rsid w:val="006F659C"/>
    <w:rsid w:val="006F74CD"/>
    <w:rsid w:val="007007AC"/>
    <w:rsid w:val="0070117D"/>
    <w:rsid w:val="00701FE8"/>
    <w:rsid w:val="00702391"/>
    <w:rsid w:val="00702BA4"/>
    <w:rsid w:val="007038DB"/>
    <w:rsid w:val="00703A6B"/>
    <w:rsid w:val="0070455D"/>
    <w:rsid w:val="00704BB9"/>
    <w:rsid w:val="00704CDB"/>
    <w:rsid w:val="00705D4B"/>
    <w:rsid w:val="0070732B"/>
    <w:rsid w:val="007111E5"/>
    <w:rsid w:val="00711211"/>
    <w:rsid w:val="00713304"/>
    <w:rsid w:val="00715A81"/>
    <w:rsid w:val="0071687A"/>
    <w:rsid w:val="007170F5"/>
    <w:rsid w:val="007172E8"/>
    <w:rsid w:val="00717608"/>
    <w:rsid w:val="00720E9E"/>
    <w:rsid w:val="007217A1"/>
    <w:rsid w:val="00721F3C"/>
    <w:rsid w:val="00722B64"/>
    <w:rsid w:val="00722D30"/>
    <w:rsid w:val="0072371C"/>
    <w:rsid w:val="00725738"/>
    <w:rsid w:val="00730B1B"/>
    <w:rsid w:val="00731846"/>
    <w:rsid w:val="007331A2"/>
    <w:rsid w:val="007348B4"/>
    <w:rsid w:val="00734EDE"/>
    <w:rsid w:val="0073585A"/>
    <w:rsid w:val="00735AE3"/>
    <w:rsid w:val="00735BBD"/>
    <w:rsid w:val="00737F27"/>
    <w:rsid w:val="007415B4"/>
    <w:rsid w:val="00744C7E"/>
    <w:rsid w:val="00744E53"/>
    <w:rsid w:val="007474B2"/>
    <w:rsid w:val="007476DC"/>
    <w:rsid w:val="0075038E"/>
    <w:rsid w:val="00752294"/>
    <w:rsid w:val="00753B4A"/>
    <w:rsid w:val="007545AC"/>
    <w:rsid w:val="0075491B"/>
    <w:rsid w:val="007601FD"/>
    <w:rsid w:val="00760542"/>
    <w:rsid w:val="007605C0"/>
    <w:rsid w:val="00760E29"/>
    <w:rsid w:val="00762C2C"/>
    <w:rsid w:val="00762F0E"/>
    <w:rsid w:val="00763539"/>
    <w:rsid w:val="00763F69"/>
    <w:rsid w:val="0076629A"/>
    <w:rsid w:val="00767BD1"/>
    <w:rsid w:val="007708B7"/>
    <w:rsid w:val="007708F1"/>
    <w:rsid w:val="00773239"/>
    <w:rsid w:val="00773E46"/>
    <w:rsid w:val="00776739"/>
    <w:rsid w:val="00776898"/>
    <w:rsid w:val="00777222"/>
    <w:rsid w:val="007774CA"/>
    <w:rsid w:val="00777AD0"/>
    <w:rsid w:val="007823D1"/>
    <w:rsid w:val="00782C5F"/>
    <w:rsid w:val="00782EB2"/>
    <w:rsid w:val="007830D0"/>
    <w:rsid w:val="00784D23"/>
    <w:rsid w:val="00785EA8"/>
    <w:rsid w:val="00786160"/>
    <w:rsid w:val="007867E9"/>
    <w:rsid w:val="00791DC7"/>
    <w:rsid w:val="00792DB7"/>
    <w:rsid w:val="00793762"/>
    <w:rsid w:val="00795251"/>
    <w:rsid w:val="0079581C"/>
    <w:rsid w:val="007966C4"/>
    <w:rsid w:val="0079679B"/>
    <w:rsid w:val="007A0F8B"/>
    <w:rsid w:val="007A6317"/>
    <w:rsid w:val="007A7B1A"/>
    <w:rsid w:val="007A7C43"/>
    <w:rsid w:val="007B274A"/>
    <w:rsid w:val="007B2943"/>
    <w:rsid w:val="007B33CC"/>
    <w:rsid w:val="007B4897"/>
    <w:rsid w:val="007B4F41"/>
    <w:rsid w:val="007B7701"/>
    <w:rsid w:val="007C03B5"/>
    <w:rsid w:val="007C2C85"/>
    <w:rsid w:val="007C2E99"/>
    <w:rsid w:val="007C43D9"/>
    <w:rsid w:val="007C4692"/>
    <w:rsid w:val="007D0FE7"/>
    <w:rsid w:val="007D2023"/>
    <w:rsid w:val="007D3A06"/>
    <w:rsid w:val="007D3C1D"/>
    <w:rsid w:val="007D4315"/>
    <w:rsid w:val="007D44C5"/>
    <w:rsid w:val="007D4A15"/>
    <w:rsid w:val="007D5949"/>
    <w:rsid w:val="007D5B8F"/>
    <w:rsid w:val="007D6D43"/>
    <w:rsid w:val="007E0E76"/>
    <w:rsid w:val="007E1139"/>
    <w:rsid w:val="007E1530"/>
    <w:rsid w:val="007E2D2F"/>
    <w:rsid w:val="007E4828"/>
    <w:rsid w:val="007E6A11"/>
    <w:rsid w:val="007E7584"/>
    <w:rsid w:val="007E7B9C"/>
    <w:rsid w:val="007F139B"/>
    <w:rsid w:val="007F3E0D"/>
    <w:rsid w:val="007F47E6"/>
    <w:rsid w:val="007F55E1"/>
    <w:rsid w:val="007F6DAF"/>
    <w:rsid w:val="007F7A9A"/>
    <w:rsid w:val="00801AEC"/>
    <w:rsid w:val="00802801"/>
    <w:rsid w:val="00803125"/>
    <w:rsid w:val="0080465B"/>
    <w:rsid w:val="008075AB"/>
    <w:rsid w:val="00810034"/>
    <w:rsid w:val="00810607"/>
    <w:rsid w:val="00810AF3"/>
    <w:rsid w:val="00811195"/>
    <w:rsid w:val="008115BF"/>
    <w:rsid w:val="00811648"/>
    <w:rsid w:val="00811FDF"/>
    <w:rsid w:val="0081271C"/>
    <w:rsid w:val="00812D33"/>
    <w:rsid w:val="00813E5F"/>
    <w:rsid w:val="008149F5"/>
    <w:rsid w:val="008161DE"/>
    <w:rsid w:val="008166BC"/>
    <w:rsid w:val="00816BBA"/>
    <w:rsid w:val="0082027C"/>
    <w:rsid w:val="00820A4E"/>
    <w:rsid w:val="008215C5"/>
    <w:rsid w:val="00821BFC"/>
    <w:rsid w:val="00822A22"/>
    <w:rsid w:val="00823BFC"/>
    <w:rsid w:val="00824364"/>
    <w:rsid w:val="008255F7"/>
    <w:rsid w:val="00825E50"/>
    <w:rsid w:val="008277E9"/>
    <w:rsid w:val="00830610"/>
    <w:rsid w:val="00830A03"/>
    <w:rsid w:val="00832649"/>
    <w:rsid w:val="008328BD"/>
    <w:rsid w:val="00832F33"/>
    <w:rsid w:val="00832FAF"/>
    <w:rsid w:val="008333EC"/>
    <w:rsid w:val="0083429C"/>
    <w:rsid w:val="0083469E"/>
    <w:rsid w:val="00835678"/>
    <w:rsid w:val="00835B4C"/>
    <w:rsid w:val="00835EBF"/>
    <w:rsid w:val="00844CA4"/>
    <w:rsid w:val="0084574F"/>
    <w:rsid w:val="00845E8A"/>
    <w:rsid w:val="00847743"/>
    <w:rsid w:val="00851088"/>
    <w:rsid w:val="00851E51"/>
    <w:rsid w:val="00853C75"/>
    <w:rsid w:val="0085663E"/>
    <w:rsid w:val="00856F5F"/>
    <w:rsid w:val="008571C1"/>
    <w:rsid w:val="00860476"/>
    <w:rsid w:val="008613D5"/>
    <w:rsid w:val="00861D1B"/>
    <w:rsid w:val="00862063"/>
    <w:rsid w:val="00862F01"/>
    <w:rsid w:val="008652FC"/>
    <w:rsid w:val="008658D1"/>
    <w:rsid w:val="008659CB"/>
    <w:rsid w:val="00865BF6"/>
    <w:rsid w:val="00870BE1"/>
    <w:rsid w:val="008715AF"/>
    <w:rsid w:val="00874885"/>
    <w:rsid w:val="00875819"/>
    <w:rsid w:val="0087585B"/>
    <w:rsid w:val="008759B9"/>
    <w:rsid w:val="00875D81"/>
    <w:rsid w:val="00876236"/>
    <w:rsid w:val="008765A0"/>
    <w:rsid w:val="00876C71"/>
    <w:rsid w:val="00880158"/>
    <w:rsid w:val="0088240B"/>
    <w:rsid w:val="008833C2"/>
    <w:rsid w:val="0088353F"/>
    <w:rsid w:val="008838CC"/>
    <w:rsid w:val="00884A07"/>
    <w:rsid w:val="0088660A"/>
    <w:rsid w:val="00887569"/>
    <w:rsid w:val="00890060"/>
    <w:rsid w:val="00890FB0"/>
    <w:rsid w:val="00892B55"/>
    <w:rsid w:val="0089353A"/>
    <w:rsid w:val="0089479E"/>
    <w:rsid w:val="0089514D"/>
    <w:rsid w:val="00896133"/>
    <w:rsid w:val="008965B6"/>
    <w:rsid w:val="00896FED"/>
    <w:rsid w:val="008A1050"/>
    <w:rsid w:val="008A1111"/>
    <w:rsid w:val="008A160B"/>
    <w:rsid w:val="008A166D"/>
    <w:rsid w:val="008A177A"/>
    <w:rsid w:val="008A37CC"/>
    <w:rsid w:val="008A5083"/>
    <w:rsid w:val="008A5660"/>
    <w:rsid w:val="008A56B1"/>
    <w:rsid w:val="008A6B4E"/>
    <w:rsid w:val="008B55D2"/>
    <w:rsid w:val="008B589E"/>
    <w:rsid w:val="008B630C"/>
    <w:rsid w:val="008C0F60"/>
    <w:rsid w:val="008C2784"/>
    <w:rsid w:val="008C372B"/>
    <w:rsid w:val="008C3894"/>
    <w:rsid w:val="008C40C4"/>
    <w:rsid w:val="008D1223"/>
    <w:rsid w:val="008D1275"/>
    <w:rsid w:val="008D3BFE"/>
    <w:rsid w:val="008D4A12"/>
    <w:rsid w:val="008D4BDD"/>
    <w:rsid w:val="008D52D3"/>
    <w:rsid w:val="008D618B"/>
    <w:rsid w:val="008E0B17"/>
    <w:rsid w:val="008E32FA"/>
    <w:rsid w:val="008E3508"/>
    <w:rsid w:val="008E48A4"/>
    <w:rsid w:val="008E4CDF"/>
    <w:rsid w:val="008E7493"/>
    <w:rsid w:val="008F0756"/>
    <w:rsid w:val="008F0A0A"/>
    <w:rsid w:val="008F10B3"/>
    <w:rsid w:val="008F1154"/>
    <w:rsid w:val="008F3450"/>
    <w:rsid w:val="008F44DD"/>
    <w:rsid w:val="008F4E49"/>
    <w:rsid w:val="008F6C62"/>
    <w:rsid w:val="00900A1A"/>
    <w:rsid w:val="00901D05"/>
    <w:rsid w:val="00903607"/>
    <w:rsid w:val="0090542D"/>
    <w:rsid w:val="00906C1C"/>
    <w:rsid w:val="009079C7"/>
    <w:rsid w:val="00910176"/>
    <w:rsid w:val="00910601"/>
    <w:rsid w:val="009109E1"/>
    <w:rsid w:val="00910D05"/>
    <w:rsid w:val="0091261A"/>
    <w:rsid w:val="00914521"/>
    <w:rsid w:val="009159A5"/>
    <w:rsid w:val="00920642"/>
    <w:rsid w:val="0092107F"/>
    <w:rsid w:val="00921FFD"/>
    <w:rsid w:val="0092214A"/>
    <w:rsid w:val="00923F82"/>
    <w:rsid w:val="00923FB1"/>
    <w:rsid w:val="0092522B"/>
    <w:rsid w:val="00925F78"/>
    <w:rsid w:val="00926B68"/>
    <w:rsid w:val="00927E78"/>
    <w:rsid w:val="00930158"/>
    <w:rsid w:val="009306B9"/>
    <w:rsid w:val="0093075E"/>
    <w:rsid w:val="009308D9"/>
    <w:rsid w:val="00931FF0"/>
    <w:rsid w:val="00932738"/>
    <w:rsid w:val="009335AD"/>
    <w:rsid w:val="00933643"/>
    <w:rsid w:val="0093436C"/>
    <w:rsid w:val="00934E0E"/>
    <w:rsid w:val="00934E9C"/>
    <w:rsid w:val="0093541A"/>
    <w:rsid w:val="00935AB0"/>
    <w:rsid w:val="0093710B"/>
    <w:rsid w:val="00937378"/>
    <w:rsid w:val="009373DF"/>
    <w:rsid w:val="0093755B"/>
    <w:rsid w:val="00937948"/>
    <w:rsid w:val="00940623"/>
    <w:rsid w:val="0094185B"/>
    <w:rsid w:val="00941934"/>
    <w:rsid w:val="00943DDB"/>
    <w:rsid w:val="00945F58"/>
    <w:rsid w:val="009461CC"/>
    <w:rsid w:val="00946F46"/>
    <w:rsid w:val="00950261"/>
    <w:rsid w:val="00950BC2"/>
    <w:rsid w:val="0095104E"/>
    <w:rsid w:val="00951F8A"/>
    <w:rsid w:val="00954446"/>
    <w:rsid w:val="0095477E"/>
    <w:rsid w:val="00954F09"/>
    <w:rsid w:val="0095520B"/>
    <w:rsid w:val="009556ED"/>
    <w:rsid w:val="009562F7"/>
    <w:rsid w:val="009601EB"/>
    <w:rsid w:val="009603EE"/>
    <w:rsid w:val="0096171F"/>
    <w:rsid w:val="00962919"/>
    <w:rsid w:val="00962978"/>
    <w:rsid w:val="00962AD2"/>
    <w:rsid w:val="00962B43"/>
    <w:rsid w:val="009632E7"/>
    <w:rsid w:val="00971B71"/>
    <w:rsid w:val="00972163"/>
    <w:rsid w:val="009722C9"/>
    <w:rsid w:val="0097436F"/>
    <w:rsid w:val="00974941"/>
    <w:rsid w:val="0097507B"/>
    <w:rsid w:val="00975BA1"/>
    <w:rsid w:val="00975C22"/>
    <w:rsid w:val="00976396"/>
    <w:rsid w:val="00977A53"/>
    <w:rsid w:val="00980398"/>
    <w:rsid w:val="009815A4"/>
    <w:rsid w:val="00981CA7"/>
    <w:rsid w:val="00983D6B"/>
    <w:rsid w:val="00983F3F"/>
    <w:rsid w:val="00984591"/>
    <w:rsid w:val="00985093"/>
    <w:rsid w:val="00987F76"/>
    <w:rsid w:val="00991C46"/>
    <w:rsid w:val="009926D7"/>
    <w:rsid w:val="009945DC"/>
    <w:rsid w:val="00997F48"/>
    <w:rsid w:val="009A00B8"/>
    <w:rsid w:val="009A2024"/>
    <w:rsid w:val="009A2B1D"/>
    <w:rsid w:val="009A3954"/>
    <w:rsid w:val="009A3A41"/>
    <w:rsid w:val="009A6C6F"/>
    <w:rsid w:val="009A71DD"/>
    <w:rsid w:val="009A7C65"/>
    <w:rsid w:val="009B162F"/>
    <w:rsid w:val="009B2174"/>
    <w:rsid w:val="009B362F"/>
    <w:rsid w:val="009B7C68"/>
    <w:rsid w:val="009C0521"/>
    <w:rsid w:val="009C0970"/>
    <w:rsid w:val="009C327C"/>
    <w:rsid w:val="009C3A92"/>
    <w:rsid w:val="009C4027"/>
    <w:rsid w:val="009C42C6"/>
    <w:rsid w:val="009C4D15"/>
    <w:rsid w:val="009C4FAD"/>
    <w:rsid w:val="009C503B"/>
    <w:rsid w:val="009C52CC"/>
    <w:rsid w:val="009C5559"/>
    <w:rsid w:val="009C58A2"/>
    <w:rsid w:val="009C6555"/>
    <w:rsid w:val="009C778D"/>
    <w:rsid w:val="009D02B5"/>
    <w:rsid w:val="009D12EF"/>
    <w:rsid w:val="009D23E4"/>
    <w:rsid w:val="009D38CF"/>
    <w:rsid w:val="009D3FCD"/>
    <w:rsid w:val="009E270D"/>
    <w:rsid w:val="009E2E84"/>
    <w:rsid w:val="009E4C78"/>
    <w:rsid w:val="009E5875"/>
    <w:rsid w:val="009E5884"/>
    <w:rsid w:val="009E659D"/>
    <w:rsid w:val="009F0616"/>
    <w:rsid w:val="009F337F"/>
    <w:rsid w:val="009F417D"/>
    <w:rsid w:val="009F543B"/>
    <w:rsid w:val="009F6FB0"/>
    <w:rsid w:val="009F756D"/>
    <w:rsid w:val="009F7DBC"/>
    <w:rsid w:val="009F7DD3"/>
    <w:rsid w:val="00A00AFC"/>
    <w:rsid w:val="00A00CF8"/>
    <w:rsid w:val="00A019AE"/>
    <w:rsid w:val="00A033D7"/>
    <w:rsid w:val="00A045E5"/>
    <w:rsid w:val="00A05AC0"/>
    <w:rsid w:val="00A07BC8"/>
    <w:rsid w:val="00A07EB0"/>
    <w:rsid w:val="00A102CE"/>
    <w:rsid w:val="00A12CFE"/>
    <w:rsid w:val="00A139B9"/>
    <w:rsid w:val="00A13F8E"/>
    <w:rsid w:val="00A145D2"/>
    <w:rsid w:val="00A22EC6"/>
    <w:rsid w:val="00A23EA1"/>
    <w:rsid w:val="00A25AC1"/>
    <w:rsid w:val="00A30364"/>
    <w:rsid w:val="00A30984"/>
    <w:rsid w:val="00A31566"/>
    <w:rsid w:val="00A315DF"/>
    <w:rsid w:val="00A32549"/>
    <w:rsid w:val="00A35FB1"/>
    <w:rsid w:val="00A36146"/>
    <w:rsid w:val="00A36869"/>
    <w:rsid w:val="00A369C7"/>
    <w:rsid w:val="00A37C50"/>
    <w:rsid w:val="00A417FC"/>
    <w:rsid w:val="00A418A4"/>
    <w:rsid w:val="00A44748"/>
    <w:rsid w:val="00A44BEA"/>
    <w:rsid w:val="00A4573A"/>
    <w:rsid w:val="00A47C08"/>
    <w:rsid w:val="00A47CAC"/>
    <w:rsid w:val="00A508B5"/>
    <w:rsid w:val="00A50B9B"/>
    <w:rsid w:val="00A51718"/>
    <w:rsid w:val="00A54A4D"/>
    <w:rsid w:val="00A57A7B"/>
    <w:rsid w:val="00A57BE7"/>
    <w:rsid w:val="00A57D4D"/>
    <w:rsid w:val="00A6046A"/>
    <w:rsid w:val="00A61BB7"/>
    <w:rsid w:val="00A61F07"/>
    <w:rsid w:val="00A6208B"/>
    <w:rsid w:val="00A6332F"/>
    <w:rsid w:val="00A64CA3"/>
    <w:rsid w:val="00A64F1A"/>
    <w:rsid w:val="00A6594A"/>
    <w:rsid w:val="00A6600F"/>
    <w:rsid w:val="00A664B7"/>
    <w:rsid w:val="00A668CC"/>
    <w:rsid w:val="00A67D93"/>
    <w:rsid w:val="00A70D1D"/>
    <w:rsid w:val="00A73916"/>
    <w:rsid w:val="00A75115"/>
    <w:rsid w:val="00A7551A"/>
    <w:rsid w:val="00A75A43"/>
    <w:rsid w:val="00A75A5C"/>
    <w:rsid w:val="00A77640"/>
    <w:rsid w:val="00A80AFF"/>
    <w:rsid w:val="00A80BD7"/>
    <w:rsid w:val="00A83296"/>
    <w:rsid w:val="00A85D34"/>
    <w:rsid w:val="00A85E1D"/>
    <w:rsid w:val="00A86C31"/>
    <w:rsid w:val="00A87799"/>
    <w:rsid w:val="00A913FD"/>
    <w:rsid w:val="00A91F69"/>
    <w:rsid w:val="00A92F07"/>
    <w:rsid w:val="00A942A6"/>
    <w:rsid w:val="00A95D35"/>
    <w:rsid w:val="00A970AA"/>
    <w:rsid w:val="00AA1FCB"/>
    <w:rsid w:val="00AA352E"/>
    <w:rsid w:val="00AA433A"/>
    <w:rsid w:val="00AA5BCE"/>
    <w:rsid w:val="00AA72B1"/>
    <w:rsid w:val="00AB147E"/>
    <w:rsid w:val="00AB17B5"/>
    <w:rsid w:val="00AB3235"/>
    <w:rsid w:val="00AB4DAC"/>
    <w:rsid w:val="00AB5CBD"/>
    <w:rsid w:val="00AB7114"/>
    <w:rsid w:val="00AB7354"/>
    <w:rsid w:val="00AB7805"/>
    <w:rsid w:val="00AB7F07"/>
    <w:rsid w:val="00AC0181"/>
    <w:rsid w:val="00AC1A09"/>
    <w:rsid w:val="00AC2283"/>
    <w:rsid w:val="00AC6120"/>
    <w:rsid w:val="00AC6FE7"/>
    <w:rsid w:val="00AC71D8"/>
    <w:rsid w:val="00AD0301"/>
    <w:rsid w:val="00AD157D"/>
    <w:rsid w:val="00AD1C9C"/>
    <w:rsid w:val="00AD22F8"/>
    <w:rsid w:val="00AD2696"/>
    <w:rsid w:val="00AD297C"/>
    <w:rsid w:val="00AD29BB"/>
    <w:rsid w:val="00AD2A71"/>
    <w:rsid w:val="00AD35F6"/>
    <w:rsid w:val="00AD5558"/>
    <w:rsid w:val="00AD55F6"/>
    <w:rsid w:val="00AD5990"/>
    <w:rsid w:val="00AD6381"/>
    <w:rsid w:val="00AD67B1"/>
    <w:rsid w:val="00AD6D9A"/>
    <w:rsid w:val="00AE0BE5"/>
    <w:rsid w:val="00AE35DF"/>
    <w:rsid w:val="00AE3A9E"/>
    <w:rsid w:val="00AE3F64"/>
    <w:rsid w:val="00AE49ED"/>
    <w:rsid w:val="00AE5464"/>
    <w:rsid w:val="00AE6908"/>
    <w:rsid w:val="00AE7573"/>
    <w:rsid w:val="00AF07C5"/>
    <w:rsid w:val="00AF0E8B"/>
    <w:rsid w:val="00AF0F46"/>
    <w:rsid w:val="00AF1034"/>
    <w:rsid w:val="00AF105C"/>
    <w:rsid w:val="00AF1478"/>
    <w:rsid w:val="00AF1791"/>
    <w:rsid w:val="00AF1A71"/>
    <w:rsid w:val="00AF3E5C"/>
    <w:rsid w:val="00AF5188"/>
    <w:rsid w:val="00AF5906"/>
    <w:rsid w:val="00AF6158"/>
    <w:rsid w:val="00AF63BA"/>
    <w:rsid w:val="00AF6816"/>
    <w:rsid w:val="00AF7797"/>
    <w:rsid w:val="00AF7B22"/>
    <w:rsid w:val="00B000AE"/>
    <w:rsid w:val="00B008AE"/>
    <w:rsid w:val="00B00D1C"/>
    <w:rsid w:val="00B00F87"/>
    <w:rsid w:val="00B01432"/>
    <w:rsid w:val="00B04095"/>
    <w:rsid w:val="00B0623D"/>
    <w:rsid w:val="00B0659A"/>
    <w:rsid w:val="00B10465"/>
    <w:rsid w:val="00B11D6E"/>
    <w:rsid w:val="00B122E6"/>
    <w:rsid w:val="00B12529"/>
    <w:rsid w:val="00B1325D"/>
    <w:rsid w:val="00B1372D"/>
    <w:rsid w:val="00B144F9"/>
    <w:rsid w:val="00B162F1"/>
    <w:rsid w:val="00B16778"/>
    <w:rsid w:val="00B17211"/>
    <w:rsid w:val="00B20A70"/>
    <w:rsid w:val="00B20A98"/>
    <w:rsid w:val="00B215DE"/>
    <w:rsid w:val="00B2248E"/>
    <w:rsid w:val="00B22C15"/>
    <w:rsid w:val="00B2302F"/>
    <w:rsid w:val="00B2395C"/>
    <w:rsid w:val="00B24D51"/>
    <w:rsid w:val="00B27EA0"/>
    <w:rsid w:val="00B309C5"/>
    <w:rsid w:val="00B30C90"/>
    <w:rsid w:val="00B31600"/>
    <w:rsid w:val="00B31E57"/>
    <w:rsid w:val="00B32585"/>
    <w:rsid w:val="00B32C58"/>
    <w:rsid w:val="00B33F67"/>
    <w:rsid w:val="00B378BB"/>
    <w:rsid w:val="00B41264"/>
    <w:rsid w:val="00B4179A"/>
    <w:rsid w:val="00B41954"/>
    <w:rsid w:val="00B41C50"/>
    <w:rsid w:val="00B430E2"/>
    <w:rsid w:val="00B4402C"/>
    <w:rsid w:val="00B448AC"/>
    <w:rsid w:val="00B45E65"/>
    <w:rsid w:val="00B470F3"/>
    <w:rsid w:val="00B502CC"/>
    <w:rsid w:val="00B50BA6"/>
    <w:rsid w:val="00B519F1"/>
    <w:rsid w:val="00B53037"/>
    <w:rsid w:val="00B536C2"/>
    <w:rsid w:val="00B553D5"/>
    <w:rsid w:val="00B55B90"/>
    <w:rsid w:val="00B55C36"/>
    <w:rsid w:val="00B562FD"/>
    <w:rsid w:val="00B56F70"/>
    <w:rsid w:val="00B57793"/>
    <w:rsid w:val="00B603E9"/>
    <w:rsid w:val="00B60C5A"/>
    <w:rsid w:val="00B611DF"/>
    <w:rsid w:val="00B6136C"/>
    <w:rsid w:val="00B62EAA"/>
    <w:rsid w:val="00B632AD"/>
    <w:rsid w:val="00B660C2"/>
    <w:rsid w:val="00B66B66"/>
    <w:rsid w:val="00B66E74"/>
    <w:rsid w:val="00B67297"/>
    <w:rsid w:val="00B711CA"/>
    <w:rsid w:val="00B731C7"/>
    <w:rsid w:val="00B76C95"/>
    <w:rsid w:val="00B77545"/>
    <w:rsid w:val="00B777C6"/>
    <w:rsid w:val="00B80444"/>
    <w:rsid w:val="00B809FF"/>
    <w:rsid w:val="00B80CE3"/>
    <w:rsid w:val="00B83977"/>
    <w:rsid w:val="00B84184"/>
    <w:rsid w:val="00B869D0"/>
    <w:rsid w:val="00B87E5D"/>
    <w:rsid w:val="00B92C98"/>
    <w:rsid w:val="00B938A5"/>
    <w:rsid w:val="00B94A44"/>
    <w:rsid w:val="00B94F90"/>
    <w:rsid w:val="00B95AF1"/>
    <w:rsid w:val="00B960C7"/>
    <w:rsid w:val="00BA154C"/>
    <w:rsid w:val="00BA2790"/>
    <w:rsid w:val="00BA2B0C"/>
    <w:rsid w:val="00BA5C0B"/>
    <w:rsid w:val="00BA6B17"/>
    <w:rsid w:val="00BA7362"/>
    <w:rsid w:val="00BA7382"/>
    <w:rsid w:val="00BB0995"/>
    <w:rsid w:val="00BB143E"/>
    <w:rsid w:val="00BB2011"/>
    <w:rsid w:val="00BB20E6"/>
    <w:rsid w:val="00BB2FC8"/>
    <w:rsid w:val="00BB5C0B"/>
    <w:rsid w:val="00BB782F"/>
    <w:rsid w:val="00BC40C3"/>
    <w:rsid w:val="00BC4CAC"/>
    <w:rsid w:val="00BC51A1"/>
    <w:rsid w:val="00BC5483"/>
    <w:rsid w:val="00BC5610"/>
    <w:rsid w:val="00BC7273"/>
    <w:rsid w:val="00BC741F"/>
    <w:rsid w:val="00BC7E24"/>
    <w:rsid w:val="00BD07BC"/>
    <w:rsid w:val="00BD1541"/>
    <w:rsid w:val="00BD245D"/>
    <w:rsid w:val="00BD428E"/>
    <w:rsid w:val="00BD4485"/>
    <w:rsid w:val="00BD4986"/>
    <w:rsid w:val="00BD6D8E"/>
    <w:rsid w:val="00BD743F"/>
    <w:rsid w:val="00BE028A"/>
    <w:rsid w:val="00BE67B3"/>
    <w:rsid w:val="00BE6A9C"/>
    <w:rsid w:val="00BE7640"/>
    <w:rsid w:val="00BF2058"/>
    <w:rsid w:val="00BF21C5"/>
    <w:rsid w:val="00BF22C8"/>
    <w:rsid w:val="00BF2810"/>
    <w:rsid w:val="00BF4D5B"/>
    <w:rsid w:val="00BF5C81"/>
    <w:rsid w:val="00BF6671"/>
    <w:rsid w:val="00BF7897"/>
    <w:rsid w:val="00C012E9"/>
    <w:rsid w:val="00C01E70"/>
    <w:rsid w:val="00C030E5"/>
    <w:rsid w:val="00C0573D"/>
    <w:rsid w:val="00C058D3"/>
    <w:rsid w:val="00C06C0A"/>
    <w:rsid w:val="00C0737C"/>
    <w:rsid w:val="00C079F8"/>
    <w:rsid w:val="00C10763"/>
    <w:rsid w:val="00C11CC4"/>
    <w:rsid w:val="00C120BB"/>
    <w:rsid w:val="00C127B3"/>
    <w:rsid w:val="00C130D1"/>
    <w:rsid w:val="00C13461"/>
    <w:rsid w:val="00C1451E"/>
    <w:rsid w:val="00C150F4"/>
    <w:rsid w:val="00C15488"/>
    <w:rsid w:val="00C15B98"/>
    <w:rsid w:val="00C1688F"/>
    <w:rsid w:val="00C16C65"/>
    <w:rsid w:val="00C16CDF"/>
    <w:rsid w:val="00C176E8"/>
    <w:rsid w:val="00C20B7C"/>
    <w:rsid w:val="00C215E1"/>
    <w:rsid w:val="00C217C1"/>
    <w:rsid w:val="00C22279"/>
    <w:rsid w:val="00C22DC8"/>
    <w:rsid w:val="00C23317"/>
    <w:rsid w:val="00C23F0E"/>
    <w:rsid w:val="00C26336"/>
    <w:rsid w:val="00C27FE3"/>
    <w:rsid w:val="00C306A7"/>
    <w:rsid w:val="00C32FCC"/>
    <w:rsid w:val="00C364C7"/>
    <w:rsid w:val="00C370A2"/>
    <w:rsid w:val="00C41542"/>
    <w:rsid w:val="00C417E2"/>
    <w:rsid w:val="00C41A11"/>
    <w:rsid w:val="00C4401F"/>
    <w:rsid w:val="00C447D5"/>
    <w:rsid w:val="00C454E3"/>
    <w:rsid w:val="00C45835"/>
    <w:rsid w:val="00C5277C"/>
    <w:rsid w:val="00C52A28"/>
    <w:rsid w:val="00C5382F"/>
    <w:rsid w:val="00C55C5C"/>
    <w:rsid w:val="00C56991"/>
    <w:rsid w:val="00C61578"/>
    <w:rsid w:val="00C61870"/>
    <w:rsid w:val="00C61ADA"/>
    <w:rsid w:val="00C63440"/>
    <w:rsid w:val="00C63D0E"/>
    <w:rsid w:val="00C6515F"/>
    <w:rsid w:val="00C65BB3"/>
    <w:rsid w:val="00C666EF"/>
    <w:rsid w:val="00C67DEC"/>
    <w:rsid w:val="00C7029D"/>
    <w:rsid w:val="00C70382"/>
    <w:rsid w:val="00C7043F"/>
    <w:rsid w:val="00C70ACB"/>
    <w:rsid w:val="00C71800"/>
    <w:rsid w:val="00C71EC4"/>
    <w:rsid w:val="00C7305C"/>
    <w:rsid w:val="00C7334F"/>
    <w:rsid w:val="00C73873"/>
    <w:rsid w:val="00C7580B"/>
    <w:rsid w:val="00C802FD"/>
    <w:rsid w:val="00C80900"/>
    <w:rsid w:val="00C80C32"/>
    <w:rsid w:val="00C81367"/>
    <w:rsid w:val="00C816B6"/>
    <w:rsid w:val="00C8340F"/>
    <w:rsid w:val="00C85D91"/>
    <w:rsid w:val="00C86235"/>
    <w:rsid w:val="00C862C5"/>
    <w:rsid w:val="00C863B4"/>
    <w:rsid w:val="00C878FE"/>
    <w:rsid w:val="00C879E5"/>
    <w:rsid w:val="00C905C3"/>
    <w:rsid w:val="00C905CA"/>
    <w:rsid w:val="00C91119"/>
    <w:rsid w:val="00C92873"/>
    <w:rsid w:val="00CA0051"/>
    <w:rsid w:val="00CA12CC"/>
    <w:rsid w:val="00CA2D5D"/>
    <w:rsid w:val="00CA3395"/>
    <w:rsid w:val="00CA5E46"/>
    <w:rsid w:val="00CA6998"/>
    <w:rsid w:val="00CA6D1B"/>
    <w:rsid w:val="00CA6DA2"/>
    <w:rsid w:val="00CB0746"/>
    <w:rsid w:val="00CB3A22"/>
    <w:rsid w:val="00CB6B37"/>
    <w:rsid w:val="00CB7ED2"/>
    <w:rsid w:val="00CC01ED"/>
    <w:rsid w:val="00CC0A1A"/>
    <w:rsid w:val="00CC15A1"/>
    <w:rsid w:val="00CC2931"/>
    <w:rsid w:val="00CC2999"/>
    <w:rsid w:val="00CC3C0D"/>
    <w:rsid w:val="00CC4A26"/>
    <w:rsid w:val="00CC5003"/>
    <w:rsid w:val="00CC544B"/>
    <w:rsid w:val="00CC567B"/>
    <w:rsid w:val="00CC5AFC"/>
    <w:rsid w:val="00CC68CA"/>
    <w:rsid w:val="00CD01DC"/>
    <w:rsid w:val="00CD06F0"/>
    <w:rsid w:val="00CD0845"/>
    <w:rsid w:val="00CD0A23"/>
    <w:rsid w:val="00CD29A4"/>
    <w:rsid w:val="00CD3691"/>
    <w:rsid w:val="00CD43FC"/>
    <w:rsid w:val="00CD4747"/>
    <w:rsid w:val="00CD493B"/>
    <w:rsid w:val="00CD49A0"/>
    <w:rsid w:val="00CD77E6"/>
    <w:rsid w:val="00CD78A9"/>
    <w:rsid w:val="00CE0530"/>
    <w:rsid w:val="00CE0EC7"/>
    <w:rsid w:val="00CE298E"/>
    <w:rsid w:val="00CE367B"/>
    <w:rsid w:val="00CE4EE7"/>
    <w:rsid w:val="00CE6AA4"/>
    <w:rsid w:val="00CE6DE4"/>
    <w:rsid w:val="00CE78EA"/>
    <w:rsid w:val="00CF03A8"/>
    <w:rsid w:val="00CF0796"/>
    <w:rsid w:val="00CF2E18"/>
    <w:rsid w:val="00CF4016"/>
    <w:rsid w:val="00CF4B4E"/>
    <w:rsid w:val="00CF6BF2"/>
    <w:rsid w:val="00D01486"/>
    <w:rsid w:val="00D0229A"/>
    <w:rsid w:val="00D025A7"/>
    <w:rsid w:val="00D03E8D"/>
    <w:rsid w:val="00D03F79"/>
    <w:rsid w:val="00D04196"/>
    <w:rsid w:val="00D04677"/>
    <w:rsid w:val="00D05580"/>
    <w:rsid w:val="00D06BE7"/>
    <w:rsid w:val="00D06C07"/>
    <w:rsid w:val="00D06D42"/>
    <w:rsid w:val="00D1027F"/>
    <w:rsid w:val="00D114FC"/>
    <w:rsid w:val="00D1466A"/>
    <w:rsid w:val="00D15665"/>
    <w:rsid w:val="00D16BA6"/>
    <w:rsid w:val="00D16E53"/>
    <w:rsid w:val="00D204A6"/>
    <w:rsid w:val="00D2211C"/>
    <w:rsid w:val="00D23D19"/>
    <w:rsid w:val="00D241B9"/>
    <w:rsid w:val="00D25E30"/>
    <w:rsid w:val="00D27C3A"/>
    <w:rsid w:val="00D27D2B"/>
    <w:rsid w:val="00D27F21"/>
    <w:rsid w:val="00D3249E"/>
    <w:rsid w:val="00D326C6"/>
    <w:rsid w:val="00D35E73"/>
    <w:rsid w:val="00D363F5"/>
    <w:rsid w:val="00D4047F"/>
    <w:rsid w:val="00D40EE0"/>
    <w:rsid w:val="00D41C33"/>
    <w:rsid w:val="00D432F3"/>
    <w:rsid w:val="00D43EEE"/>
    <w:rsid w:val="00D445CC"/>
    <w:rsid w:val="00D44D4A"/>
    <w:rsid w:val="00D51476"/>
    <w:rsid w:val="00D547D3"/>
    <w:rsid w:val="00D54847"/>
    <w:rsid w:val="00D54A89"/>
    <w:rsid w:val="00D6002D"/>
    <w:rsid w:val="00D60A0A"/>
    <w:rsid w:val="00D61BF6"/>
    <w:rsid w:val="00D627DF"/>
    <w:rsid w:val="00D62C60"/>
    <w:rsid w:val="00D6489F"/>
    <w:rsid w:val="00D6603A"/>
    <w:rsid w:val="00D67069"/>
    <w:rsid w:val="00D6709A"/>
    <w:rsid w:val="00D6757D"/>
    <w:rsid w:val="00D70277"/>
    <w:rsid w:val="00D7090A"/>
    <w:rsid w:val="00D713D9"/>
    <w:rsid w:val="00D72499"/>
    <w:rsid w:val="00D7479F"/>
    <w:rsid w:val="00D75E4D"/>
    <w:rsid w:val="00D770A5"/>
    <w:rsid w:val="00D77A48"/>
    <w:rsid w:val="00D8039A"/>
    <w:rsid w:val="00D8043F"/>
    <w:rsid w:val="00D82060"/>
    <w:rsid w:val="00D826BC"/>
    <w:rsid w:val="00D85A2A"/>
    <w:rsid w:val="00D8633B"/>
    <w:rsid w:val="00D8702B"/>
    <w:rsid w:val="00D906D1"/>
    <w:rsid w:val="00D91695"/>
    <w:rsid w:val="00D94163"/>
    <w:rsid w:val="00D94734"/>
    <w:rsid w:val="00D95CC6"/>
    <w:rsid w:val="00D97CB0"/>
    <w:rsid w:val="00DA0D60"/>
    <w:rsid w:val="00DA3445"/>
    <w:rsid w:val="00DA754B"/>
    <w:rsid w:val="00DB00E5"/>
    <w:rsid w:val="00DB104A"/>
    <w:rsid w:val="00DB1679"/>
    <w:rsid w:val="00DB197D"/>
    <w:rsid w:val="00DB24C4"/>
    <w:rsid w:val="00DB31B5"/>
    <w:rsid w:val="00DB3E55"/>
    <w:rsid w:val="00DB3FDF"/>
    <w:rsid w:val="00DB5260"/>
    <w:rsid w:val="00DB6127"/>
    <w:rsid w:val="00DB6C03"/>
    <w:rsid w:val="00DB75E4"/>
    <w:rsid w:val="00DC0877"/>
    <w:rsid w:val="00DC152E"/>
    <w:rsid w:val="00DC171E"/>
    <w:rsid w:val="00DC1A58"/>
    <w:rsid w:val="00DC2444"/>
    <w:rsid w:val="00DC295D"/>
    <w:rsid w:val="00DC351C"/>
    <w:rsid w:val="00DC40A0"/>
    <w:rsid w:val="00DC44B1"/>
    <w:rsid w:val="00DC5D13"/>
    <w:rsid w:val="00DC5DF3"/>
    <w:rsid w:val="00DC7302"/>
    <w:rsid w:val="00DC78A4"/>
    <w:rsid w:val="00DD4128"/>
    <w:rsid w:val="00DD454D"/>
    <w:rsid w:val="00DD6B09"/>
    <w:rsid w:val="00DD73D8"/>
    <w:rsid w:val="00DD7FB7"/>
    <w:rsid w:val="00DE251E"/>
    <w:rsid w:val="00DE27B1"/>
    <w:rsid w:val="00DE3439"/>
    <w:rsid w:val="00DE37A4"/>
    <w:rsid w:val="00DE3A5B"/>
    <w:rsid w:val="00DE3B39"/>
    <w:rsid w:val="00DE4246"/>
    <w:rsid w:val="00DE4D09"/>
    <w:rsid w:val="00DE77DD"/>
    <w:rsid w:val="00DE7B1D"/>
    <w:rsid w:val="00DE7C4B"/>
    <w:rsid w:val="00DE7D0D"/>
    <w:rsid w:val="00DF08C2"/>
    <w:rsid w:val="00DF1D5B"/>
    <w:rsid w:val="00DF1D70"/>
    <w:rsid w:val="00DF215E"/>
    <w:rsid w:val="00DF32E3"/>
    <w:rsid w:val="00DF3F7F"/>
    <w:rsid w:val="00DF4B51"/>
    <w:rsid w:val="00DF4DEA"/>
    <w:rsid w:val="00DF5D66"/>
    <w:rsid w:val="00DF63DF"/>
    <w:rsid w:val="00DF673B"/>
    <w:rsid w:val="00DF6879"/>
    <w:rsid w:val="00DF7336"/>
    <w:rsid w:val="00DF7782"/>
    <w:rsid w:val="00E00A3D"/>
    <w:rsid w:val="00E00C1F"/>
    <w:rsid w:val="00E03080"/>
    <w:rsid w:val="00E0328A"/>
    <w:rsid w:val="00E039B6"/>
    <w:rsid w:val="00E0445C"/>
    <w:rsid w:val="00E04B45"/>
    <w:rsid w:val="00E06242"/>
    <w:rsid w:val="00E06BA9"/>
    <w:rsid w:val="00E07986"/>
    <w:rsid w:val="00E126FD"/>
    <w:rsid w:val="00E152CF"/>
    <w:rsid w:val="00E1684A"/>
    <w:rsid w:val="00E17DD1"/>
    <w:rsid w:val="00E2030E"/>
    <w:rsid w:val="00E22F31"/>
    <w:rsid w:val="00E24594"/>
    <w:rsid w:val="00E258A9"/>
    <w:rsid w:val="00E25A4C"/>
    <w:rsid w:val="00E2714E"/>
    <w:rsid w:val="00E2770A"/>
    <w:rsid w:val="00E27FAA"/>
    <w:rsid w:val="00E30954"/>
    <w:rsid w:val="00E31FC8"/>
    <w:rsid w:val="00E3355F"/>
    <w:rsid w:val="00E34074"/>
    <w:rsid w:val="00E40992"/>
    <w:rsid w:val="00E41561"/>
    <w:rsid w:val="00E437F1"/>
    <w:rsid w:val="00E44E9A"/>
    <w:rsid w:val="00E452D1"/>
    <w:rsid w:val="00E52A4D"/>
    <w:rsid w:val="00E52ACB"/>
    <w:rsid w:val="00E53D30"/>
    <w:rsid w:val="00E5487C"/>
    <w:rsid w:val="00E54B00"/>
    <w:rsid w:val="00E56CBE"/>
    <w:rsid w:val="00E56D1E"/>
    <w:rsid w:val="00E570C6"/>
    <w:rsid w:val="00E573A3"/>
    <w:rsid w:val="00E57F29"/>
    <w:rsid w:val="00E606C1"/>
    <w:rsid w:val="00E64A7B"/>
    <w:rsid w:val="00E65253"/>
    <w:rsid w:val="00E653EC"/>
    <w:rsid w:val="00E65FFE"/>
    <w:rsid w:val="00E6739E"/>
    <w:rsid w:val="00E71818"/>
    <w:rsid w:val="00E72E1E"/>
    <w:rsid w:val="00E73EF7"/>
    <w:rsid w:val="00E742E7"/>
    <w:rsid w:val="00E76CAF"/>
    <w:rsid w:val="00E76E54"/>
    <w:rsid w:val="00E822A2"/>
    <w:rsid w:val="00E82E03"/>
    <w:rsid w:val="00E83728"/>
    <w:rsid w:val="00E83CEE"/>
    <w:rsid w:val="00E8464C"/>
    <w:rsid w:val="00E84E98"/>
    <w:rsid w:val="00E866E8"/>
    <w:rsid w:val="00E914E9"/>
    <w:rsid w:val="00E917FA"/>
    <w:rsid w:val="00E91CF0"/>
    <w:rsid w:val="00E91ECC"/>
    <w:rsid w:val="00E92041"/>
    <w:rsid w:val="00E930A4"/>
    <w:rsid w:val="00E9382A"/>
    <w:rsid w:val="00E94102"/>
    <w:rsid w:val="00E94776"/>
    <w:rsid w:val="00E94C5B"/>
    <w:rsid w:val="00E965AE"/>
    <w:rsid w:val="00E9690E"/>
    <w:rsid w:val="00E96A51"/>
    <w:rsid w:val="00E96B67"/>
    <w:rsid w:val="00EA035A"/>
    <w:rsid w:val="00EA05A4"/>
    <w:rsid w:val="00EA0E2C"/>
    <w:rsid w:val="00EA1C5C"/>
    <w:rsid w:val="00EA26A4"/>
    <w:rsid w:val="00EA29A7"/>
    <w:rsid w:val="00EA47DD"/>
    <w:rsid w:val="00EA5C44"/>
    <w:rsid w:val="00EB010E"/>
    <w:rsid w:val="00EB0D39"/>
    <w:rsid w:val="00EB1297"/>
    <w:rsid w:val="00EB3014"/>
    <w:rsid w:val="00EB347E"/>
    <w:rsid w:val="00EB4811"/>
    <w:rsid w:val="00EB4BF2"/>
    <w:rsid w:val="00EB4D35"/>
    <w:rsid w:val="00EB50EF"/>
    <w:rsid w:val="00EB510E"/>
    <w:rsid w:val="00EB58BA"/>
    <w:rsid w:val="00EB61DA"/>
    <w:rsid w:val="00EB6B04"/>
    <w:rsid w:val="00EB7E79"/>
    <w:rsid w:val="00EC13C9"/>
    <w:rsid w:val="00EC39AA"/>
    <w:rsid w:val="00EC4C27"/>
    <w:rsid w:val="00EC5C24"/>
    <w:rsid w:val="00EC7644"/>
    <w:rsid w:val="00EC7E3D"/>
    <w:rsid w:val="00ED04DF"/>
    <w:rsid w:val="00ED1E8B"/>
    <w:rsid w:val="00ED2883"/>
    <w:rsid w:val="00ED3B60"/>
    <w:rsid w:val="00ED3DFF"/>
    <w:rsid w:val="00ED52FE"/>
    <w:rsid w:val="00ED5E78"/>
    <w:rsid w:val="00ED6077"/>
    <w:rsid w:val="00ED77B9"/>
    <w:rsid w:val="00EE0794"/>
    <w:rsid w:val="00EE177C"/>
    <w:rsid w:val="00EE1CC3"/>
    <w:rsid w:val="00EE24D8"/>
    <w:rsid w:val="00EE31AB"/>
    <w:rsid w:val="00EE3E9A"/>
    <w:rsid w:val="00EE4527"/>
    <w:rsid w:val="00EE4F95"/>
    <w:rsid w:val="00EE5794"/>
    <w:rsid w:val="00EE57AC"/>
    <w:rsid w:val="00EE5CE4"/>
    <w:rsid w:val="00EF0008"/>
    <w:rsid w:val="00EF0F62"/>
    <w:rsid w:val="00EF14CF"/>
    <w:rsid w:val="00EF1EE3"/>
    <w:rsid w:val="00EF2286"/>
    <w:rsid w:val="00EF2325"/>
    <w:rsid w:val="00EF2532"/>
    <w:rsid w:val="00EF25C2"/>
    <w:rsid w:val="00EF3436"/>
    <w:rsid w:val="00EF459C"/>
    <w:rsid w:val="00EF701A"/>
    <w:rsid w:val="00EF74F1"/>
    <w:rsid w:val="00EF773D"/>
    <w:rsid w:val="00EF7A94"/>
    <w:rsid w:val="00F01B4B"/>
    <w:rsid w:val="00F01C75"/>
    <w:rsid w:val="00F02606"/>
    <w:rsid w:val="00F02920"/>
    <w:rsid w:val="00F02CD6"/>
    <w:rsid w:val="00F02DB9"/>
    <w:rsid w:val="00F030FF"/>
    <w:rsid w:val="00F036B0"/>
    <w:rsid w:val="00F05934"/>
    <w:rsid w:val="00F075F5"/>
    <w:rsid w:val="00F07F3C"/>
    <w:rsid w:val="00F13D5D"/>
    <w:rsid w:val="00F17075"/>
    <w:rsid w:val="00F200D4"/>
    <w:rsid w:val="00F23BE3"/>
    <w:rsid w:val="00F30157"/>
    <w:rsid w:val="00F32B4B"/>
    <w:rsid w:val="00F34FC7"/>
    <w:rsid w:val="00F3533A"/>
    <w:rsid w:val="00F35481"/>
    <w:rsid w:val="00F36359"/>
    <w:rsid w:val="00F37C19"/>
    <w:rsid w:val="00F402B7"/>
    <w:rsid w:val="00F410B3"/>
    <w:rsid w:val="00F42F5A"/>
    <w:rsid w:val="00F439D9"/>
    <w:rsid w:val="00F44303"/>
    <w:rsid w:val="00F44DA7"/>
    <w:rsid w:val="00F45041"/>
    <w:rsid w:val="00F4529A"/>
    <w:rsid w:val="00F47641"/>
    <w:rsid w:val="00F50D5A"/>
    <w:rsid w:val="00F50E94"/>
    <w:rsid w:val="00F51EB7"/>
    <w:rsid w:val="00F523EA"/>
    <w:rsid w:val="00F52C89"/>
    <w:rsid w:val="00F53E5B"/>
    <w:rsid w:val="00F53EC1"/>
    <w:rsid w:val="00F60E4B"/>
    <w:rsid w:val="00F62A61"/>
    <w:rsid w:val="00F633BF"/>
    <w:rsid w:val="00F64C9D"/>
    <w:rsid w:val="00F66153"/>
    <w:rsid w:val="00F66AF3"/>
    <w:rsid w:val="00F66FC8"/>
    <w:rsid w:val="00F700AA"/>
    <w:rsid w:val="00F70306"/>
    <w:rsid w:val="00F707F6"/>
    <w:rsid w:val="00F70B30"/>
    <w:rsid w:val="00F70D3B"/>
    <w:rsid w:val="00F715BC"/>
    <w:rsid w:val="00F71C31"/>
    <w:rsid w:val="00F72878"/>
    <w:rsid w:val="00F72FA2"/>
    <w:rsid w:val="00F73F87"/>
    <w:rsid w:val="00F7444E"/>
    <w:rsid w:val="00F74FDF"/>
    <w:rsid w:val="00F759B6"/>
    <w:rsid w:val="00F7767D"/>
    <w:rsid w:val="00F77DA8"/>
    <w:rsid w:val="00F80C1B"/>
    <w:rsid w:val="00F80F6E"/>
    <w:rsid w:val="00F81232"/>
    <w:rsid w:val="00F82C30"/>
    <w:rsid w:val="00F82E4D"/>
    <w:rsid w:val="00F832F8"/>
    <w:rsid w:val="00F84E6C"/>
    <w:rsid w:val="00F867C1"/>
    <w:rsid w:val="00F86AD7"/>
    <w:rsid w:val="00F876B7"/>
    <w:rsid w:val="00F9044A"/>
    <w:rsid w:val="00F9054F"/>
    <w:rsid w:val="00F95B30"/>
    <w:rsid w:val="00F96DC7"/>
    <w:rsid w:val="00F97A03"/>
    <w:rsid w:val="00FA0F5D"/>
    <w:rsid w:val="00FA1F69"/>
    <w:rsid w:val="00FA2F76"/>
    <w:rsid w:val="00FA534D"/>
    <w:rsid w:val="00FA7E3B"/>
    <w:rsid w:val="00FB0642"/>
    <w:rsid w:val="00FB12F7"/>
    <w:rsid w:val="00FB1B14"/>
    <w:rsid w:val="00FB25E7"/>
    <w:rsid w:val="00FB2B46"/>
    <w:rsid w:val="00FB47B0"/>
    <w:rsid w:val="00FB532C"/>
    <w:rsid w:val="00FB6A2C"/>
    <w:rsid w:val="00FC0459"/>
    <w:rsid w:val="00FC1D99"/>
    <w:rsid w:val="00FC4436"/>
    <w:rsid w:val="00FC4938"/>
    <w:rsid w:val="00FC5174"/>
    <w:rsid w:val="00FC5AAF"/>
    <w:rsid w:val="00FC5BFD"/>
    <w:rsid w:val="00FC6C81"/>
    <w:rsid w:val="00FC6E86"/>
    <w:rsid w:val="00FC6FDE"/>
    <w:rsid w:val="00FC7516"/>
    <w:rsid w:val="00FD041A"/>
    <w:rsid w:val="00FD15EA"/>
    <w:rsid w:val="00FD2FD7"/>
    <w:rsid w:val="00FD4DEB"/>
    <w:rsid w:val="00FD6C57"/>
    <w:rsid w:val="00FD6E95"/>
    <w:rsid w:val="00FD739A"/>
    <w:rsid w:val="00FD75EA"/>
    <w:rsid w:val="00FD76A4"/>
    <w:rsid w:val="00FE3C9D"/>
    <w:rsid w:val="00FE42FE"/>
    <w:rsid w:val="00FE4387"/>
    <w:rsid w:val="00FE4B43"/>
    <w:rsid w:val="00FE5CF4"/>
    <w:rsid w:val="00FE77C4"/>
    <w:rsid w:val="00FE7E07"/>
    <w:rsid w:val="00FF095C"/>
    <w:rsid w:val="00FF0983"/>
    <w:rsid w:val="00FF27D5"/>
    <w:rsid w:val="00FF2B4F"/>
    <w:rsid w:val="00FF2B89"/>
    <w:rsid w:val="00FF46BD"/>
    <w:rsid w:val="00FF5724"/>
    <w:rsid w:val="00FF7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style="mso-position-horizontal-relative:page;mso-position-vertical-relative:page" fill="f" fillcolor="blue" strokecolor="blue">
      <v:fill color="blue" on="f"/>
      <v:stroke color="blue"/>
      <o:colormru v:ext="edit" colors="#d7e4f0,#7494c3,#003765"/>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72D"/>
    <w:pPr>
      <w:widowControl w:val="0"/>
      <w:jc w:val="both"/>
    </w:pPr>
    <w:rPr>
      <w:rFonts w:ascii="Arial" w:eastAsia="楷体_GB2312" w:hAnsi="Arial"/>
      <w:kern w:val="2"/>
      <w:sz w:val="18"/>
      <w:szCs w:val="22"/>
    </w:rPr>
  </w:style>
  <w:style w:type="paragraph" w:styleId="1">
    <w:name w:val="heading 1"/>
    <w:basedOn w:val="a"/>
    <w:next w:val="a"/>
    <w:qFormat/>
    <w:rsid w:val="00BB0995"/>
    <w:pPr>
      <w:keepNext/>
      <w:outlineLvl w:val="0"/>
    </w:pPr>
    <w:rPr>
      <w:b/>
      <w:bCs/>
    </w:rPr>
  </w:style>
  <w:style w:type="paragraph" w:styleId="2">
    <w:name w:val="heading 2"/>
    <w:basedOn w:val="a"/>
    <w:next w:val="a"/>
    <w:qFormat/>
    <w:rsid w:val="00BB0995"/>
    <w:pPr>
      <w:keepNext/>
      <w:spacing w:after="120"/>
      <w:ind w:left="2552"/>
      <w:outlineLvl w:val="1"/>
    </w:pPr>
    <w:rPr>
      <w:b/>
      <w:bCs/>
      <w:sz w:val="24"/>
      <w:szCs w:val="24"/>
    </w:rPr>
  </w:style>
  <w:style w:type="paragraph" w:styleId="3">
    <w:name w:val="heading 3"/>
    <w:basedOn w:val="a"/>
    <w:next w:val="a0"/>
    <w:qFormat/>
    <w:rsid w:val="00BB0995"/>
    <w:pPr>
      <w:spacing w:before="120" w:after="120"/>
      <w:ind w:left="2552"/>
      <w:outlineLvl w:val="2"/>
    </w:pPr>
    <w:rPr>
      <w:b/>
      <w:bCs/>
      <w:color w:val="0000FF"/>
    </w:rPr>
  </w:style>
  <w:style w:type="paragraph" w:styleId="4">
    <w:name w:val="heading 4"/>
    <w:basedOn w:val="a"/>
    <w:next w:val="a0"/>
    <w:qFormat/>
    <w:rsid w:val="00BB0995"/>
    <w:pPr>
      <w:keepNext/>
      <w:spacing w:before="120"/>
      <w:ind w:left="2552"/>
      <w:outlineLvl w:val="3"/>
    </w:pPr>
    <w:rPr>
      <w:b/>
      <w:bCs/>
      <w:szCs w:val="18"/>
    </w:rPr>
  </w:style>
  <w:style w:type="paragraph" w:styleId="5">
    <w:name w:val="heading 5"/>
    <w:basedOn w:val="a"/>
    <w:next w:val="a"/>
    <w:qFormat/>
    <w:rsid w:val="00BB0995"/>
    <w:pPr>
      <w:keepNext/>
      <w:framePr w:hSpace="180" w:wrap="auto" w:vAnchor="text" w:hAnchor="page" w:x="1182" w:y="2599"/>
      <w:spacing w:before="40" w:after="200"/>
      <w:outlineLvl w:val="4"/>
    </w:pPr>
    <w:rPr>
      <w:i/>
      <w:iCs/>
      <w:sz w:val="16"/>
      <w:szCs w:val="16"/>
    </w:rPr>
  </w:style>
  <w:style w:type="paragraph" w:styleId="6">
    <w:name w:val="heading 6"/>
    <w:basedOn w:val="a"/>
    <w:next w:val="a"/>
    <w:qFormat/>
    <w:rsid w:val="00BB0995"/>
    <w:pPr>
      <w:keepNext/>
      <w:ind w:left="112"/>
      <w:outlineLvl w:val="5"/>
    </w:pPr>
    <w:rPr>
      <w:b/>
      <w:bCs/>
      <w:color w:val="000000"/>
      <w:sz w:val="16"/>
      <w:szCs w:val="16"/>
      <w:lang w:val="en-AU"/>
    </w:rPr>
  </w:style>
  <w:style w:type="paragraph" w:styleId="7">
    <w:name w:val="heading 7"/>
    <w:basedOn w:val="a"/>
    <w:next w:val="a"/>
    <w:qFormat/>
    <w:rsid w:val="00BB0995"/>
    <w:pPr>
      <w:keepNext/>
      <w:outlineLvl w:val="6"/>
    </w:pPr>
    <w:rPr>
      <w:b/>
      <w:bCs/>
      <w:color w:val="000000"/>
      <w:sz w:val="15"/>
      <w:szCs w:val="15"/>
      <w:lang w:val="en-AU"/>
    </w:rPr>
  </w:style>
  <w:style w:type="paragraph" w:styleId="8">
    <w:name w:val="heading 8"/>
    <w:basedOn w:val="a"/>
    <w:next w:val="a"/>
    <w:qFormat/>
    <w:rsid w:val="00BB0995"/>
    <w:pPr>
      <w:keepNext/>
      <w:spacing w:before="80" w:after="40"/>
      <w:ind w:left="86"/>
      <w:jc w:val="left"/>
      <w:outlineLvl w:val="7"/>
    </w:pPr>
    <w:rPr>
      <w:b/>
      <w:bCs/>
      <w:color w:val="000000"/>
      <w:sz w:val="16"/>
      <w:szCs w:val="16"/>
      <w:lang w:val="en-AU"/>
    </w:rPr>
  </w:style>
  <w:style w:type="paragraph" w:styleId="9">
    <w:name w:val="heading 9"/>
    <w:basedOn w:val="a"/>
    <w:next w:val="a"/>
    <w:qFormat/>
    <w:rsid w:val="00BB0995"/>
    <w:pPr>
      <w:keepNext/>
      <w:outlineLvl w:val="8"/>
    </w:pPr>
    <w:rPr>
      <w:rFonts w:ascii="Lucida Sans" w:hAnsi="Lucida Sans"/>
      <w:b/>
      <w:bCs/>
      <w:color w:val="000000"/>
      <w:sz w:val="14"/>
      <w:szCs w:val="1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rsid w:val="00BB0995"/>
    <w:pPr>
      <w:spacing w:after="120" w:line="240" w:lineRule="exact"/>
      <w:ind w:left="3402"/>
    </w:pPr>
    <w:rPr>
      <w:color w:val="000000"/>
      <w:sz w:val="21"/>
    </w:rPr>
  </w:style>
  <w:style w:type="paragraph" w:customStyle="1" w:styleId="Contact">
    <w:name w:val="Contact"/>
    <w:basedOn w:val="a"/>
    <w:rsid w:val="00BB0995"/>
    <w:pPr>
      <w:framePr w:w="2285" w:h="289" w:hSpace="210" w:wrap="auto" w:vAnchor="page" w:hAnchor="page" w:x="901" w:y="3571" w:anchorLock="1"/>
    </w:pPr>
    <w:rPr>
      <w:color w:val="000000"/>
      <w:sz w:val="16"/>
      <w:szCs w:val="16"/>
    </w:rPr>
  </w:style>
  <w:style w:type="paragraph" w:styleId="a4">
    <w:name w:val="footer"/>
    <w:basedOn w:val="a"/>
    <w:link w:val="Char0"/>
    <w:uiPriority w:val="99"/>
    <w:unhideWhenUsed/>
    <w:rsid w:val="00B1372D"/>
    <w:pPr>
      <w:tabs>
        <w:tab w:val="center" w:pos="4153"/>
        <w:tab w:val="right" w:pos="8306"/>
      </w:tabs>
      <w:snapToGrid w:val="0"/>
      <w:jc w:val="left"/>
    </w:pPr>
    <w:rPr>
      <w:szCs w:val="18"/>
    </w:rPr>
  </w:style>
  <w:style w:type="paragraph" w:customStyle="1" w:styleId="FootnoteNoline">
    <w:name w:val="FootnoteNoline"/>
    <w:basedOn w:val="a"/>
    <w:next w:val="a0"/>
    <w:rsid w:val="00D85A2A"/>
    <w:pPr>
      <w:tabs>
        <w:tab w:val="right" w:pos="10065"/>
      </w:tabs>
      <w:spacing w:before="40" w:after="160"/>
      <w:ind w:left="3402"/>
    </w:pPr>
    <w:rPr>
      <w:rFonts w:cs="Arial"/>
      <w:color w:val="000000"/>
      <w:sz w:val="15"/>
      <w:szCs w:val="14"/>
    </w:rPr>
  </w:style>
  <w:style w:type="paragraph" w:customStyle="1" w:styleId="Table">
    <w:name w:val="Table"/>
    <w:basedOn w:val="a"/>
    <w:rsid w:val="00BB0995"/>
    <w:pPr>
      <w:spacing w:before="20" w:after="20"/>
      <w:jc w:val="right"/>
    </w:pPr>
    <w:rPr>
      <w:rFonts w:cs="Arial"/>
      <w:color w:val="000000"/>
      <w:szCs w:val="16"/>
    </w:rPr>
  </w:style>
  <w:style w:type="paragraph" w:customStyle="1" w:styleId="Headline">
    <w:name w:val="Headline"/>
    <w:next w:val="a"/>
    <w:rsid w:val="00BB0995"/>
    <w:pPr>
      <w:spacing w:line="1200" w:lineRule="exact"/>
      <w:ind w:left="-56"/>
      <w:jc w:val="both"/>
    </w:pPr>
    <w:rPr>
      <w:rFonts w:ascii="LucidaT" w:hAnsi="LucidaT"/>
      <w:color w:val="000000"/>
      <w:position w:val="6"/>
      <w:sz w:val="120"/>
      <w:szCs w:val="120"/>
      <w:lang w:val="en-GB"/>
    </w:rPr>
  </w:style>
  <w:style w:type="paragraph" w:customStyle="1" w:styleId="Disclaimer">
    <w:name w:val="Disclaimer"/>
    <w:basedOn w:val="a"/>
    <w:rsid w:val="00BB0995"/>
    <w:pPr>
      <w:pBdr>
        <w:top w:val="single" w:sz="6" w:space="3" w:color="FF0000"/>
      </w:pBdr>
      <w:spacing w:before="60"/>
    </w:pPr>
    <w:rPr>
      <w:sz w:val="12"/>
      <w:szCs w:val="12"/>
    </w:rPr>
  </w:style>
  <w:style w:type="paragraph" w:customStyle="1" w:styleId="Disclaimer1">
    <w:name w:val="Disclaimer1"/>
    <w:basedOn w:val="Disclaimer"/>
    <w:rsid w:val="00BB0995"/>
    <w:pPr>
      <w:pBdr>
        <w:top w:val="single" w:sz="6" w:space="2" w:color="auto"/>
        <w:bottom w:val="single" w:sz="6" w:space="2" w:color="auto"/>
      </w:pBdr>
      <w:ind w:right="-1"/>
    </w:pPr>
  </w:style>
  <w:style w:type="paragraph" w:customStyle="1" w:styleId="StoryTitle">
    <w:name w:val="StoryTitle"/>
    <w:basedOn w:val="a"/>
    <w:rsid w:val="00BB0995"/>
    <w:pPr>
      <w:spacing w:before="120" w:after="120"/>
      <w:ind w:left="2552"/>
    </w:pPr>
    <w:rPr>
      <w:b/>
      <w:bCs/>
      <w:color w:val="FF0000"/>
      <w:sz w:val="32"/>
      <w:szCs w:val="32"/>
    </w:rPr>
  </w:style>
  <w:style w:type="character" w:styleId="a5">
    <w:name w:val="page number"/>
    <w:basedOn w:val="a1"/>
    <w:rsid w:val="00BB0995"/>
  </w:style>
  <w:style w:type="paragraph" w:customStyle="1" w:styleId="AnalystWk">
    <w:name w:val="AnalystWk"/>
    <w:basedOn w:val="a"/>
    <w:rsid w:val="00BB0995"/>
    <w:pPr>
      <w:framePr w:w="2285" w:h="289" w:hSpace="210" w:wrap="auto" w:vAnchor="page" w:hAnchor="page" w:x="901" w:y="3571" w:anchorLock="1"/>
      <w:spacing w:before="120"/>
      <w:ind w:right="-108"/>
      <w:jc w:val="left"/>
    </w:pPr>
    <w:rPr>
      <w:b/>
      <w:bCs/>
      <w:color w:val="0000FF"/>
      <w:szCs w:val="18"/>
    </w:rPr>
  </w:style>
  <w:style w:type="paragraph" w:customStyle="1" w:styleId="Coverage">
    <w:name w:val="Coverage"/>
    <w:basedOn w:val="a"/>
    <w:rsid w:val="00BB0995"/>
    <w:pPr>
      <w:framePr w:w="2285" w:h="289" w:hSpace="210" w:wrap="auto" w:vAnchor="page" w:hAnchor="page" w:x="901" w:y="3571" w:anchorLock="1"/>
      <w:tabs>
        <w:tab w:val="center" w:pos="4320"/>
        <w:tab w:val="right" w:pos="8640"/>
      </w:tabs>
    </w:pPr>
    <w:rPr>
      <w:b/>
      <w:bCs/>
      <w:color w:val="FF0000"/>
      <w:sz w:val="16"/>
      <w:szCs w:val="16"/>
    </w:rPr>
  </w:style>
  <w:style w:type="paragraph" w:customStyle="1" w:styleId="Location">
    <w:name w:val="Location"/>
    <w:basedOn w:val="a"/>
    <w:rsid w:val="00BB0995"/>
    <w:pPr>
      <w:framePr w:w="2285" w:h="289" w:hSpace="210" w:wrap="auto" w:vAnchor="page" w:hAnchor="page" w:x="901" w:y="3571" w:anchorLock="1"/>
      <w:tabs>
        <w:tab w:val="center" w:pos="4320"/>
        <w:tab w:val="right" w:pos="8640"/>
      </w:tabs>
      <w:ind w:right="-108"/>
      <w:jc w:val="left"/>
    </w:pPr>
    <w:rPr>
      <w:color w:val="000000"/>
      <w:szCs w:val="18"/>
    </w:rPr>
  </w:style>
  <w:style w:type="paragraph" w:styleId="a6">
    <w:name w:val="header"/>
    <w:basedOn w:val="a"/>
    <w:link w:val="Char1"/>
    <w:uiPriority w:val="99"/>
    <w:unhideWhenUsed/>
    <w:rsid w:val="00B1372D"/>
    <w:pPr>
      <w:pBdr>
        <w:bottom w:val="single" w:sz="6" w:space="1" w:color="auto"/>
      </w:pBdr>
      <w:tabs>
        <w:tab w:val="center" w:pos="4153"/>
        <w:tab w:val="right" w:pos="8306"/>
      </w:tabs>
      <w:snapToGrid w:val="0"/>
      <w:jc w:val="center"/>
    </w:pPr>
    <w:rPr>
      <w:szCs w:val="18"/>
    </w:rPr>
  </w:style>
  <w:style w:type="paragraph" w:customStyle="1" w:styleId="RecomPara">
    <w:name w:val="RecomPara"/>
    <w:basedOn w:val="a"/>
    <w:rsid w:val="00BB0995"/>
    <w:pPr>
      <w:shd w:val="pct5" w:color="000000" w:fill="FFFFFF"/>
      <w:spacing w:before="240" w:after="200"/>
    </w:pPr>
    <w:rPr>
      <w:color w:val="000000"/>
    </w:rPr>
  </w:style>
  <w:style w:type="paragraph" w:customStyle="1" w:styleId="RecomLine">
    <w:name w:val="RecomLine"/>
    <w:rsid w:val="00BB0995"/>
    <w:pPr>
      <w:spacing w:before="120"/>
    </w:pPr>
    <w:rPr>
      <w:rFonts w:ascii="LucidaSans" w:hAnsi="LucidaSans"/>
      <w:b/>
      <w:bCs/>
      <w:color w:val="000000"/>
      <w:lang w:val="en-GB"/>
    </w:rPr>
  </w:style>
  <w:style w:type="paragraph" w:customStyle="1" w:styleId="Marginnotes">
    <w:name w:val="Margin notes"/>
    <w:basedOn w:val="a"/>
    <w:rsid w:val="00BB0995"/>
    <w:pPr>
      <w:framePr w:w="2285" w:h="289" w:hSpace="215" w:wrap="auto" w:vAnchor="text" w:hAnchor="page" w:x="886" w:y="29" w:anchorLock="1"/>
      <w:shd w:val="solid" w:color="FFFFFF" w:fill="FFFFFF"/>
      <w:jc w:val="left"/>
    </w:pPr>
    <w:rPr>
      <w:b/>
      <w:bCs/>
      <w:color w:val="FF0000"/>
      <w:sz w:val="16"/>
      <w:szCs w:val="16"/>
    </w:rPr>
  </w:style>
  <w:style w:type="paragraph" w:customStyle="1" w:styleId="Logo">
    <w:name w:val="Logo"/>
    <w:basedOn w:val="a"/>
    <w:rsid w:val="00BB0995"/>
    <w:pPr>
      <w:jc w:val="left"/>
    </w:pPr>
    <w:rPr>
      <w:sz w:val="16"/>
      <w:szCs w:val="16"/>
    </w:rPr>
  </w:style>
  <w:style w:type="paragraph" w:customStyle="1" w:styleId="Dateline">
    <w:name w:val="Dateline"/>
    <w:basedOn w:val="a"/>
    <w:rsid w:val="00BB0995"/>
    <w:pPr>
      <w:tabs>
        <w:tab w:val="right" w:pos="7535"/>
        <w:tab w:val="right" w:pos="10206"/>
      </w:tabs>
      <w:spacing w:before="240"/>
      <w:jc w:val="left"/>
    </w:pPr>
    <w:rPr>
      <w:b/>
      <w:bCs/>
      <w:sz w:val="16"/>
      <w:szCs w:val="16"/>
    </w:rPr>
  </w:style>
  <w:style w:type="paragraph" w:customStyle="1" w:styleId="AnalystHJ">
    <w:name w:val="AnalystHJ"/>
    <w:basedOn w:val="a6"/>
    <w:rsid w:val="00BB0995"/>
    <w:pPr>
      <w:tabs>
        <w:tab w:val="center" w:pos="4320"/>
        <w:tab w:val="right" w:pos="8640"/>
      </w:tabs>
      <w:ind w:left="-80" w:right="-108"/>
      <w:jc w:val="left"/>
    </w:pPr>
    <w:rPr>
      <w:sz w:val="16"/>
      <w:szCs w:val="16"/>
    </w:rPr>
  </w:style>
  <w:style w:type="paragraph" w:customStyle="1" w:styleId="SourceLarge">
    <w:name w:val="SourceLarge"/>
    <w:rsid w:val="00BB0995"/>
    <w:pPr>
      <w:tabs>
        <w:tab w:val="left" w:pos="5216"/>
        <w:tab w:val="right" w:pos="9866"/>
      </w:tabs>
      <w:suppressAutoHyphens/>
      <w:spacing w:line="160" w:lineRule="atLeast"/>
    </w:pPr>
    <w:rPr>
      <w:rFonts w:ascii="LucidaSans" w:hAnsi="LucidaSans"/>
      <w:sz w:val="12"/>
      <w:szCs w:val="12"/>
      <w:lang w:val="en-GB"/>
    </w:rPr>
  </w:style>
  <w:style w:type="paragraph" w:customStyle="1" w:styleId="SourceSmall">
    <w:name w:val="SourceSmall"/>
    <w:rsid w:val="00BB0995"/>
    <w:pPr>
      <w:tabs>
        <w:tab w:val="left" w:pos="6521"/>
        <w:tab w:val="right" w:pos="9866"/>
      </w:tabs>
      <w:suppressAutoHyphens/>
      <w:spacing w:line="160" w:lineRule="atLeast"/>
      <w:ind w:left="2608"/>
    </w:pPr>
    <w:rPr>
      <w:rFonts w:ascii="LucidaSans" w:hAnsi="LucidaSans"/>
      <w:sz w:val="12"/>
      <w:szCs w:val="12"/>
      <w:lang w:val="en-GB"/>
    </w:rPr>
  </w:style>
  <w:style w:type="paragraph" w:customStyle="1" w:styleId="SubTitleLargeTable">
    <w:name w:val="SubTitleLargeTable"/>
    <w:rsid w:val="00D85A2A"/>
    <w:pPr>
      <w:keepNext/>
      <w:pBdr>
        <w:top w:val="single" w:sz="6" w:space="1" w:color="666699"/>
      </w:pBdr>
      <w:suppressAutoHyphens/>
      <w:spacing w:after="40" w:line="240" w:lineRule="atLeast"/>
    </w:pPr>
    <w:rPr>
      <w:rFonts w:ascii="Arial" w:eastAsia="楷体_GB2312" w:hAnsi="Arial" w:cs="Arial"/>
      <w:b/>
      <w:bCs/>
      <w:i/>
      <w:iCs/>
      <w:color w:val="000000"/>
      <w:sz w:val="21"/>
      <w:szCs w:val="21"/>
      <w:lang w:val="en-GB"/>
    </w:rPr>
  </w:style>
  <w:style w:type="paragraph" w:customStyle="1" w:styleId="SubTitleSmallTable">
    <w:name w:val="SubTitleSmallTable"/>
    <w:rsid w:val="00BB0995"/>
    <w:pPr>
      <w:tabs>
        <w:tab w:val="left" w:pos="993"/>
      </w:tabs>
      <w:suppressAutoHyphens/>
      <w:spacing w:after="40"/>
      <w:ind w:left="2608"/>
    </w:pPr>
    <w:rPr>
      <w:rFonts w:ascii="LucidaSans" w:hAnsi="LucidaSans"/>
      <w:b/>
      <w:bCs/>
      <w:noProof/>
    </w:rPr>
  </w:style>
  <w:style w:type="paragraph" w:customStyle="1" w:styleId="TitleLargeTable">
    <w:name w:val="TitleLargeTable"/>
    <w:next w:val="SubTitleLargeTable"/>
    <w:rsid w:val="00BB0995"/>
    <w:pPr>
      <w:keepNext/>
      <w:suppressAutoHyphens/>
      <w:spacing w:after="40" w:line="200" w:lineRule="atLeast"/>
    </w:pPr>
    <w:rPr>
      <w:rFonts w:ascii="Arial" w:eastAsia="楷体_GB2312" w:hAnsi="Arial" w:cs="Arial"/>
      <w:sz w:val="18"/>
      <w:szCs w:val="16"/>
      <w:lang w:val="en-GB"/>
    </w:rPr>
  </w:style>
  <w:style w:type="paragraph" w:customStyle="1" w:styleId="TitleSmallTable">
    <w:name w:val="TitleSmallTable"/>
    <w:next w:val="SubTitleSmallTable"/>
    <w:rsid w:val="00BB0995"/>
    <w:pPr>
      <w:keepNext/>
      <w:suppressAutoHyphens/>
      <w:spacing w:after="40" w:line="200" w:lineRule="atLeast"/>
      <w:ind w:left="2608"/>
    </w:pPr>
    <w:rPr>
      <w:rFonts w:ascii="LucidaSans" w:hAnsi="LucidaSans"/>
      <w:sz w:val="16"/>
      <w:szCs w:val="16"/>
      <w:lang w:val="en-GB"/>
    </w:rPr>
  </w:style>
  <w:style w:type="paragraph" w:customStyle="1" w:styleId="TableFirst">
    <w:name w:val="TableFirst"/>
    <w:basedOn w:val="Table"/>
    <w:rsid w:val="00BB0995"/>
    <w:pPr>
      <w:spacing w:before="60" w:after="0"/>
    </w:pPr>
    <w:rPr>
      <w:color w:val="auto"/>
      <w:lang w:val="en-AU"/>
    </w:rPr>
  </w:style>
  <w:style w:type="paragraph" w:customStyle="1" w:styleId="Descriptor">
    <w:name w:val="Descriptor"/>
    <w:basedOn w:val="a"/>
    <w:rsid w:val="00BB0995"/>
    <w:pPr>
      <w:spacing w:before="60"/>
      <w:jc w:val="left"/>
    </w:pPr>
    <w:rPr>
      <w:b/>
      <w:bCs/>
      <w:color w:val="000000"/>
    </w:rPr>
  </w:style>
  <w:style w:type="paragraph" w:customStyle="1" w:styleId="BulletCoverpage">
    <w:name w:val="Bullet Cover page"/>
    <w:basedOn w:val="a"/>
    <w:rsid w:val="00BB0995"/>
    <w:pPr>
      <w:numPr>
        <w:numId w:val="1"/>
      </w:numPr>
      <w:suppressAutoHyphens/>
      <w:spacing w:after="200" w:line="240" w:lineRule="atLeast"/>
    </w:pPr>
  </w:style>
  <w:style w:type="paragraph" w:customStyle="1" w:styleId="BulletedHeading">
    <w:name w:val="Bulleted Heading"/>
    <w:basedOn w:val="a"/>
    <w:next w:val="a"/>
    <w:rsid w:val="00BB0995"/>
    <w:pPr>
      <w:suppressAutoHyphens/>
      <w:spacing w:after="60" w:line="240" w:lineRule="atLeast"/>
      <w:ind w:left="2609" w:hanging="352"/>
    </w:pPr>
    <w:rPr>
      <w:rFonts w:ascii="LucidaT" w:hAnsi="LucidaT"/>
      <w:szCs w:val="18"/>
    </w:rPr>
  </w:style>
  <w:style w:type="paragraph" w:customStyle="1" w:styleId="SideComments">
    <w:name w:val="SideComments"/>
    <w:rsid w:val="00B1372D"/>
    <w:pPr>
      <w:spacing w:line="200" w:lineRule="atLeast"/>
      <w:ind w:firstLineChars="200" w:firstLine="200"/>
      <w:jc w:val="both"/>
    </w:pPr>
    <w:rPr>
      <w:rFonts w:ascii="Arial" w:eastAsia="楷体_GB2312" w:hAnsi="Arial"/>
      <w:b/>
      <w:color w:val="000000"/>
      <w:kern w:val="2"/>
      <w:sz w:val="21"/>
      <w:szCs w:val="22"/>
    </w:rPr>
  </w:style>
  <w:style w:type="paragraph" w:customStyle="1" w:styleId="TableFirst-p1">
    <w:name w:val="TableFirst-p1"/>
    <w:rsid w:val="00BB0995"/>
    <w:pPr>
      <w:tabs>
        <w:tab w:val="right" w:pos="1871"/>
        <w:tab w:val="right" w:pos="3107"/>
        <w:tab w:val="right" w:pos="4258"/>
        <w:tab w:val="right" w:pos="5329"/>
        <w:tab w:val="right" w:pos="6406"/>
        <w:tab w:val="right" w:pos="7483"/>
      </w:tabs>
      <w:spacing w:before="40"/>
      <w:jc w:val="both"/>
    </w:pPr>
    <w:rPr>
      <w:rFonts w:ascii="LucidaSans" w:hAnsi="LucidaSans"/>
      <w:sz w:val="16"/>
      <w:szCs w:val="16"/>
      <w:lang w:val="en-GB" w:eastAsia="en-US"/>
    </w:rPr>
  </w:style>
  <w:style w:type="paragraph" w:customStyle="1" w:styleId="TableTitleFirst-p1">
    <w:name w:val="TableTitleFirst-p1"/>
    <w:rsid w:val="00BB0995"/>
    <w:pPr>
      <w:pBdr>
        <w:top w:val="single" w:sz="6" w:space="0" w:color="auto"/>
        <w:between w:val="single" w:sz="6" w:space="5" w:color="auto"/>
      </w:pBdr>
      <w:tabs>
        <w:tab w:val="right" w:pos="1871"/>
        <w:tab w:val="right" w:pos="4252"/>
        <w:tab w:val="right" w:pos="5329"/>
        <w:tab w:val="right" w:pos="6406"/>
        <w:tab w:val="right" w:pos="7483"/>
      </w:tabs>
      <w:spacing w:before="57"/>
      <w:jc w:val="both"/>
    </w:pPr>
    <w:rPr>
      <w:rFonts w:ascii="LucidaSans" w:hAnsi="LucidaSans"/>
      <w:b/>
      <w:bCs/>
      <w:sz w:val="16"/>
      <w:szCs w:val="16"/>
      <w:lang w:val="en-AU" w:eastAsia="en-US"/>
    </w:rPr>
  </w:style>
  <w:style w:type="paragraph" w:customStyle="1" w:styleId="TableTitle">
    <w:name w:val="TableTitle"/>
    <w:rsid w:val="00BB0995"/>
    <w:pPr>
      <w:keepNext/>
      <w:pBdr>
        <w:top w:val="single" w:sz="8" w:space="2" w:color="FF0000"/>
        <w:bottom w:val="single" w:sz="6" w:space="1" w:color="808080"/>
        <w:between w:val="single" w:sz="2" w:space="2" w:color="auto"/>
      </w:pBdr>
      <w:tabs>
        <w:tab w:val="right" w:pos="1928"/>
        <w:tab w:val="right" w:pos="3118"/>
        <w:tab w:val="right" w:pos="3969"/>
        <w:tab w:val="right" w:pos="4932"/>
        <w:tab w:val="right" w:pos="5777"/>
        <w:tab w:val="right" w:pos="6690"/>
        <w:tab w:val="right" w:pos="7483"/>
        <w:tab w:val="right" w:pos="8504"/>
        <w:tab w:val="right" w:pos="9354"/>
        <w:tab w:val="right" w:pos="10205"/>
      </w:tabs>
      <w:spacing w:before="20" w:after="20"/>
      <w:jc w:val="both"/>
    </w:pPr>
    <w:rPr>
      <w:rFonts w:ascii="LucidaSans" w:hAnsi="LucidaSans"/>
      <w:b/>
      <w:bCs/>
      <w:sz w:val="18"/>
      <w:szCs w:val="18"/>
      <w:lang w:val="en-GB" w:eastAsia="en-US"/>
    </w:rPr>
  </w:style>
  <w:style w:type="paragraph" w:customStyle="1" w:styleId="Analyst">
    <w:name w:val="Analyst"/>
    <w:rsid w:val="00BB0995"/>
    <w:pPr>
      <w:spacing w:before="1" w:after="1"/>
      <w:ind w:left="1" w:right="1" w:firstLine="1"/>
      <w:jc w:val="right"/>
    </w:pPr>
    <w:rPr>
      <w:rFonts w:ascii="LucidaSans" w:hAnsi="LucidaSans"/>
      <w:b/>
      <w:bCs/>
      <w:color w:val="000000"/>
      <w:sz w:val="18"/>
      <w:szCs w:val="18"/>
      <w:lang w:val="en-GB"/>
    </w:rPr>
  </w:style>
  <w:style w:type="paragraph" w:customStyle="1" w:styleId="CoverBullet">
    <w:name w:val="Cover Bullet"/>
    <w:rsid w:val="00BB0995"/>
    <w:pPr>
      <w:numPr>
        <w:numId w:val="2"/>
      </w:numPr>
      <w:spacing w:before="120" w:after="120"/>
      <w:ind w:left="357" w:hanging="357"/>
    </w:pPr>
    <w:rPr>
      <w:rFonts w:ascii="LucidaSans" w:hAnsi="LucidaSans"/>
      <w:b/>
      <w:bCs/>
      <w:lang w:val="en-GB"/>
    </w:rPr>
  </w:style>
  <w:style w:type="paragraph" w:customStyle="1" w:styleId="Target">
    <w:name w:val="Target"/>
    <w:basedOn w:val="Call"/>
    <w:rsid w:val="00BB0995"/>
    <w:pPr>
      <w:pBdr>
        <w:top w:val="none" w:sz="0" w:space="0" w:color="auto"/>
        <w:bottom w:val="dashDotStroked" w:sz="24" w:space="1" w:color="FF0000"/>
      </w:pBdr>
    </w:pPr>
  </w:style>
  <w:style w:type="paragraph" w:customStyle="1" w:styleId="Call">
    <w:name w:val="Call"/>
    <w:basedOn w:val="a"/>
    <w:next w:val="RecomPara"/>
    <w:rsid w:val="00BB0995"/>
    <w:pPr>
      <w:pBdr>
        <w:top w:val="dashDotStroked" w:sz="24" w:space="4" w:color="FF0000"/>
      </w:pBdr>
      <w:shd w:val="pct5" w:color="000000" w:fill="FFFFFF"/>
      <w:tabs>
        <w:tab w:val="left" w:pos="2558"/>
      </w:tabs>
    </w:pPr>
    <w:rPr>
      <w:b/>
      <w:bCs/>
      <w:color w:val="0000FF"/>
    </w:rPr>
  </w:style>
  <w:style w:type="paragraph" w:customStyle="1" w:styleId="TableLast">
    <w:name w:val="TableLast"/>
    <w:basedOn w:val="Table"/>
    <w:rsid w:val="00BB0995"/>
    <w:pPr>
      <w:spacing w:before="0" w:after="60"/>
      <w:jc w:val="both"/>
    </w:pPr>
    <w:rPr>
      <w:color w:val="auto"/>
      <w:lang w:val="en-AU" w:eastAsia="en-US"/>
    </w:rPr>
  </w:style>
  <w:style w:type="paragraph" w:customStyle="1" w:styleId="Contents">
    <w:name w:val="Contents"/>
    <w:basedOn w:val="AnalystWk"/>
    <w:rsid w:val="00BB0995"/>
    <w:pPr>
      <w:framePr w:wrap="auto"/>
      <w:tabs>
        <w:tab w:val="right" w:pos="2127"/>
      </w:tabs>
      <w:spacing w:before="240"/>
      <w:ind w:left="142" w:hanging="142"/>
    </w:pPr>
    <w:rPr>
      <w:sz w:val="16"/>
      <w:szCs w:val="16"/>
    </w:rPr>
  </w:style>
  <w:style w:type="paragraph" w:styleId="a7">
    <w:name w:val="Body Text Indent"/>
    <w:basedOn w:val="a"/>
    <w:rsid w:val="00BB0995"/>
    <w:pPr>
      <w:tabs>
        <w:tab w:val="left" w:pos="284"/>
        <w:tab w:val="left" w:pos="2520"/>
      </w:tabs>
    </w:pPr>
    <w:rPr>
      <w:i/>
      <w:iCs/>
    </w:rPr>
  </w:style>
  <w:style w:type="paragraph" w:styleId="20">
    <w:name w:val="Body Text Indent 2"/>
    <w:basedOn w:val="a"/>
    <w:rsid w:val="00BB0995"/>
    <w:pPr>
      <w:ind w:left="2520"/>
    </w:pPr>
    <w:rPr>
      <w:b/>
      <w:bCs/>
      <w:i/>
      <w:iCs/>
    </w:rPr>
  </w:style>
  <w:style w:type="paragraph" w:customStyle="1" w:styleId="bo">
    <w:name w:val="bo"/>
    <w:basedOn w:val="1"/>
    <w:rsid w:val="00BB0995"/>
    <w:pPr>
      <w:tabs>
        <w:tab w:val="left" w:pos="284"/>
      </w:tabs>
    </w:pPr>
    <w:rPr>
      <w:i/>
      <w:iCs/>
    </w:rPr>
  </w:style>
  <w:style w:type="paragraph" w:customStyle="1" w:styleId="ChartComments">
    <w:name w:val="ChartComments"/>
    <w:basedOn w:val="a"/>
    <w:rsid w:val="00BB0995"/>
    <w:pPr>
      <w:shd w:val="solid" w:color="FFFFFF" w:fill="FFFFFF"/>
      <w:suppressAutoHyphens/>
      <w:spacing w:after="80" w:line="200" w:lineRule="atLeast"/>
      <w:ind w:right="284"/>
      <w:jc w:val="right"/>
    </w:pPr>
    <w:rPr>
      <w:b/>
      <w:bCs/>
      <w:color w:val="000000"/>
      <w:sz w:val="16"/>
      <w:szCs w:val="16"/>
    </w:rPr>
  </w:style>
  <w:style w:type="paragraph" w:customStyle="1" w:styleId="Celldata">
    <w:name w:val="Cell data"/>
    <w:basedOn w:val="a"/>
    <w:rsid w:val="00BB0995"/>
    <w:pPr>
      <w:spacing w:after="20" w:line="180" w:lineRule="atLeast"/>
      <w:ind w:left="28" w:right="57"/>
      <w:jc w:val="left"/>
    </w:pPr>
    <w:rPr>
      <w:sz w:val="14"/>
      <w:szCs w:val="14"/>
    </w:rPr>
  </w:style>
  <w:style w:type="paragraph" w:customStyle="1" w:styleId="SectionTitle">
    <w:name w:val="SectionTitle"/>
    <w:basedOn w:val="StoryTitle"/>
    <w:rsid w:val="00BB0995"/>
    <w:pPr>
      <w:spacing w:before="240"/>
    </w:pPr>
  </w:style>
  <w:style w:type="paragraph" w:customStyle="1" w:styleId="TableTitleFirst">
    <w:name w:val="TableTitleFirst"/>
    <w:basedOn w:val="a"/>
    <w:rsid w:val="00BB0995"/>
    <w:pPr>
      <w:spacing w:before="60" w:after="20"/>
    </w:pPr>
    <w:rPr>
      <w:b/>
      <w:bCs/>
      <w:color w:val="000000"/>
      <w:sz w:val="16"/>
      <w:szCs w:val="16"/>
      <w:lang w:eastAsia="en-US"/>
    </w:rPr>
  </w:style>
  <w:style w:type="paragraph" w:customStyle="1" w:styleId="TableTitleLast">
    <w:name w:val="TableTitleLast"/>
    <w:basedOn w:val="Table"/>
    <w:rsid w:val="00BB0995"/>
    <w:pPr>
      <w:spacing w:after="60"/>
      <w:jc w:val="both"/>
    </w:pPr>
    <w:rPr>
      <w:b/>
      <w:bCs/>
      <w:color w:val="auto"/>
      <w:lang w:eastAsia="en-US"/>
    </w:rPr>
  </w:style>
  <w:style w:type="paragraph" w:customStyle="1" w:styleId="CompanyHead">
    <w:name w:val="CompanyHead"/>
    <w:basedOn w:val="a0"/>
    <w:rsid w:val="00BB0995"/>
    <w:pPr>
      <w:tabs>
        <w:tab w:val="right" w:pos="2410"/>
        <w:tab w:val="left" w:pos="2552"/>
        <w:tab w:val="right" w:pos="10205"/>
      </w:tabs>
      <w:ind w:left="0"/>
    </w:pPr>
    <w:rPr>
      <w:b/>
      <w:bCs/>
      <w:color w:val="FF0000"/>
    </w:rPr>
  </w:style>
  <w:style w:type="paragraph" w:styleId="30">
    <w:name w:val="Body Text 3"/>
    <w:basedOn w:val="a"/>
    <w:rsid w:val="00BB0995"/>
    <w:rPr>
      <w:szCs w:val="18"/>
    </w:rPr>
  </w:style>
  <w:style w:type="paragraph" w:customStyle="1" w:styleId="body">
    <w:name w:val="body"/>
    <w:basedOn w:val="a"/>
    <w:rsid w:val="00BB0995"/>
    <w:rPr>
      <w:noProof/>
    </w:rPr>
  </w:style>
  <w:style w:type="paragraph" w:customStyle="1" w:styleId="font5">
    <w:name w:val="font5"/>
    <w:basedOn w:val="a"/>
    <w:rsid w:val="00BB0995"/>
    <w:pPr>
      <w:spacing w:before="100" w:beforeAutospacing="1" w:after="100" w:afterAutospacing="1"/>
      <w:jc w:val="left"/>
    </w:pPr>
    <w:rPr>
      <w:rFonts w:ascii="宋体" w:hAnsi="宋体"/>
      <w:szCs w:val="18"/>
    </w:rPr>
  </w:style>
  <w:style w:type="paragraph" w:customStyle="1" w:styleId="font6">
    <w:name w:val="font6"/>
    <w:basedOn w:val="a"/>
    <w:rsid w:val="00BB0995"/>
    <w:pPr>
      <w:spacing w:before="100" w:beforeAutospacing="1" w:after="100" w:afterAutospacing="1"/>
      <w:jc w:val="left"/>
    </w:pPr>
    <w:rPr>
      <w:rFonts w:ascii="宋体" w:hAnsi="宋体"/>
    </w:rPr>
  </w:style>
  <w:style w:type="paragraph" w:customStyle="1" w:styleId="font7">
    <w:name w:val="font7"/>
    <w:basedOn w:val="a"/>
    <w:rsid w:val="00BB0995"/>
    <w:pPr>
      <w:spacing w:before="100" w:beforeAutospacing="1" w:after="100" w:afterAutospacing="1"/>
      <w:jc w:val="left"/>
    </w:pPr>
    <w:rPr>
      <w:rFonts w:ascii="宋体" w:hAnsi="宋体"/>
      <w:b/>
      <w:bCs/>
    </w:rPr>
  </w:style>
  <w:style w:type="paragraph" w:customStyle="1" w:styleId="xl24">
    <w:name w:val="xl24"/>
    <w:basedOn w:val="a"/>
    <w:rsid w:val="00BB0995"/>
    <w:pPr>
      <w:spacing w:before="100" w:beforeAutospacing="1" w:after="100" w:afterAutospacing="1"/>
      <w:jc w:val="left"/>
    </w:pPr>
    <w:rPr>
      <w:rFonts w:ascii="宋体" w:hAnsi="宋体"/>
      <w:sz w:val="24"/>
      <w:szCs w:val="24"/>
    </w:rPr>
  </w:style>
  <w:style w:type="paragraph" w:customStyle="1" w:styleId="xl25">
    <w:name w:val="xl25"/>
    <w:basedOn w:val="a"/>
    <w:rsid w:val="00BB0995"/>
    <w:pPr>
      <w:spacing w:before="100" w:beforeAutospacing="1" w:after="100" w:afterAutospacing="1"/>
      <w:jc w:val="left"/>
    </w:pPr>
    <w:rPr>
      <w:rFonts w:ascii="宋体" w:hAnsi="宋体"/>
      <w:b/>
      <w:bCs/>
      <w:sz w:val="24"/>
      <w:szCs w:val="24"/>
    </w:rPr>
  </w:style>
  <w:style w:type="paragraph" w:customStyle="1" w:styleId="xl27">
    <w:name w:val="xl27"/>
    <w:basedOn w:val="a"/>
    <w:rsid w:val="00BB0995"/>
    <w:pPr>
      <w:pBdr>
        <w:bottom w:val="single" w:sz="4" w:space="0" w:color="auto"/>
      </w:pBdr>
      <w:spacing w:before="100" w:beforeAutospacing="1" w:after="100" w:afterAutospacing="1"/>
      <w:jc w:val="left"/>
    </w:pPr>
    <w:rPr>
      <w:rFonts w:ascii="宋体" w:hAnsi="宋体"/>
      <w:sz w:val="24"/>
      <w:szCs w:val="24"/>
    </w:rPr>
  </w:style>
  <w:style w:type="paragraph" w:customStyle="1" w:styleId="xl28">
    <w:name w:val="xl28"/>
    <w:basedOn w:val="a"/>
    <w:rsid w:val="00BB0995"/>
    <w:pPr>
      <w:pBdr>
        <w:bottom w:val="single" w:sz="4" w:space="0" w:color="auto"/>
      </w:pBdr>
      <w:spacing w:before="100" w:beforeAutospacing="1" w:after="100" w:afterAutospacing="1"/>
      <w:jc w:val="left"/>
    </w:pPr>
    <w:rPr>
      <w:rFonts w:ascii="宋体" w:hAnsi="宋体"/>
      <w:sz w:val="24"/>
      <w:szCs w:val="24"/>
    </w:rPr>
  </w:style>
  <w:style w:type="paragraph" w:customStyle="1" w:styleId="xl30">
    <w:name w:val="xl30"/>
    <w:basedOn w:val="a"/>
    <w:rsid w:val="00BB0995"/>
    <w:pPr>
      <w:spacing w:before="100" w:beforeAutospacing="1" w:after="100" w:afterAutospacing="1"/>
      <w:jc w:val="right"/>
    </w:pPr>
    <w:rPr>
      <w:rFonts w:ascii="Arial Unicode MS" w:eastAsia="Arial Unicode MS" w:hAnsi="Arial Unicode MS"/>
      <w:sz w:val="24"/>
      <w:szCs w:val="24"/>
    </w:rPr>
  </w:style>
  <w:style w:type="character" w:styleId="a8">
    <w:name w:val="footnote reference"/>
    <w:semiHidden/>
    <w:rsid w:val="00BB0995"/>
    <w:rPr>
      <w:vertAlign w:val="superscript"/>
    </w:rPr>
  </w:style>
  <w:style w:type="paragraph" w:styleId="a9">
    <w:name w:val="footnote text"/>
    <w:basedOn w:val="a"/>
    <w:semiHidden/>
    <w:rsid w:val="00BB0995"/>
    <w:pPr>
      <w:snapToGrid w:val="0"/>
      <w:jc w:val="left"/>
    </w:pPr>
    <w:rPr>
      <w:szCs w:val="18"/>
    </w:rPr>
  </w:style>
  <w:style w:type="paragraph" w:styleId="31">
    <w:name w:val="Body Text Indent 3"/>
    <w:basedOn w:val="a"/>
    <w:rsid w:val="00BB0995"/>
    <w:pPr>
      <w:spacing w:line="288" w:lineRule="auto"/>
      <w:ind w:firstLineChars="197" w:firstLine="295"/>
    </w:pPr>
    <w:rPr>
      <w:rFonts w:ascii="宋体" w:hAnsi="宋体"/>
      <w:color w:val="0000FF"/>
      <w:sz w:val="15"/>
      <w:szCs w:val="15"/>
    </w:rPr>
  </w:style>
  <w:style w:type="character" w:styleId="aa">
    <w:name w:val="Hyperlink"/>
    <w:uiPriority w:val="99"/>
    <w:rsid w:val="00BB0995"/>
    <w:rPr>
      <w:color w:val="0000FF"/>
      <w:u w:val="single"/>
    </w:rPr>
  </w:style>
  <w:style w:type="paragraph" w:styleId="ab">
    <w:name w:val="Date"/>
    <w:basedOn w:val="a"/>
    <w:next w:val="a"/>
    <w:rsid w:val="00BB0995"/>
    <w:pPr>
      <w:ind w:leftChars="2500" w:left="100"/>
    </w:pPr>
    <w:rPr>
      <w:rFonts w:ascii="宋体" w:hAnsi="宋体"/>
      <w:szCs w:val="18"/>
    </w:rPr>
  </w:style>
  <w:style w:type="paragraph" w:styleId="ac">
    <w:name w:val="table of figures"/>
    <w:basedOn w:val="a"/>
    <w:next w:val="a"/>
    <w:uiPriority w:val="99"/>
    <w:rsid w:val="00BB0995"/>
    <w:pPr>
      <w:widowControl/>
      <w:spacing w:line="312" w:lineRule="auto"/>
      <w:ind w:left="3402"/>
    </w:pPr>
    <w:rPr>
      <w:color w:val="000000"/>
      <w:sz w:val="21"/>
    </w:rPr>
  </w:style>
  <w:style w:type="character" w:styleId="ad">
    <w:name w:val="FollowedHyperlink"/>
    <w:rsid w:val="00BB0995"/>
    <w:rPr>
      <w:color w:val="800080"/>
      <w:u w:val="single"/>
    </w:rPr>
  </w:style>
  <w:style w:type="paragraph" w:customStyle="1" w:styleId="21">
    <w:name w:val="模板标题2"/>
    <w:basedOn w:val="a0"/>
    <w:next w:val="a0"/>
    <w:rsid w:val="00BB0995"/>
    <w:pPr>
      <w:outlineLvl w:val="1"/>
    </w:pPr>
    <w:rPr>
      <w:b/>
      <w:bCs/>
      <w:color w:val="01659D"/>
    </w:rPr>
  </w:style>
  <w:style w:type="paragraph" w:customStyle="1" w:styleId="10">
    <w:name w:val="样式1"/>
    <w:basedOn w:val="a0"/>
    <w:next w:val="21"/>
    <w:rsid w:val="00BB0995"/>
    <w:rPr>
      <w:sz w:val="24"/>
    </w:rPr>
  </w:style>
  <w:style w:type="paragraph" w:customStyle="1" w:styleId="11">
    <w:name w:val="模板标题1"/>
    <w:basedOn w:val="21"/>
    <w:next w:val="a0"/>
    <w:rsid w:val="00BB0995"/>
    <w:pPr>
      <w:spacing w:after="240" w:line="300" w:lineRule="exact"/>
      <w:outlineLvl w:val="0"/>
    </w:pPr>
    <w:rPr>
      <w:sz w:val="24"/>
    </w:rPr>
  </w:style>
  <w:style w:type="paragraph" w:customStyle="1" w:styleId="ae">
    <w:name w:val="模板目录标题"/>
    <w:basedOn w:val="a0"/>
    <w:next w:val="12"/>
    <w:rsid w:val="00BB0995"/>
    <w:pPr>
      <w:tabs>
        <w:tab w:val="right" w:leader="dot" w:pos="10649"/>
      </w:tabs>
      <w:spacing w:line="480" w:lineRule="exact"/>
    </w:pPr>
    <w:rPr>
      <w:b/>
      <w:sz w:val="28"/>
    </w:rPr>
  </w:style>
  <w:style w:type="paragraph" w:styleId="12">
    <w:name w:val="toc 1"/>
    <w:basedOn w:val="GJStylesMuluContent1"/>
    <w:next w:val="a"/>
    <w:autoRedefine/>
    <w:uiPriority w:val="39"/>
    <w:rsid w:val="00BB0995"/>
  </w:style>
  <w:style w:type="paragraph" w:styleId="22">
    <w:name w:val="toc 2"/>
    <w:basedOn w:val="GJStylesMuluContent2"/>
    <w:next w:val="a"/>
    <w:autoRedefine/>
    <w:uiPriority w:val="39"/>
    <w:rsid w:val="00730B1B"/>
  </w:style>
  <w:style w:type="paragraph" w:customStyle="1" w:styleId="13">
    <w:name w:val="模板标题1(段前分页)"/>
    <w:basedOn w:val="11"/>
    <w:next w:val="21"/>
    <w:rsid w:val="00BB0995"/>
    <w:pPr>
      <w:pageBreakBefore/>
    </w:pPr>
    <w:rPr>
      <w:bCs w:val="0"/>
    </w:rPr>
  </w:style>
  <w:style w:type="paragraph" w:styleId="32">
    <w:name w:val="toc 3"/>
    <w:basedOn w:val="a"/>
    <w:next w:val="a"/>
    <w:autoRedefine/>
    <w:semiHidden/>
    <w:rsid w:val="00BB0995"/>
    <w:pPr>
      <w:ind w:leftChars="400" w:left="840"/>
    </w:pPr>
  </w:style>
  <w:style w:type="paragraph" w:styleId="40">
    <w:name w:val="toc 4"/>
    <w:basedOn w:val="a"/>
    <w:next w:val="a"/>
    <w:autoRedefine/>
    <w:semiHidden/>
    <w:rsid w:val="00BB0995"/>
    <w:pPr>
      <w:ind w:leftChars="600" w:left="1260"/>
    </w:pPr>
  </w:style>
  <w:style w:type="paragraph" w:styleId="50">
    <w:name w:val="toc 5"/>
    <w:basedOn w:val="a"/>
    <w:next w:val="a"/>
    <w:autoRedefine/>
    <w:semiHidden/>
    <w:rsid w:val="00BB0995"/>
    <w:pPr>
      <w:ind w:leftChars="800" w:left="1680"/>
    </w:pPr>
  </w:style>
  <w:style w:type="paragraph" w:styleId="60">
    <w:name w:val="toc 6"/>
    <w:basedOn w:val="a"/>
    <w:next w:val="a"/>
    <w:autoRedefine/>
    <w:semiHidden/>
    <w:rsid w:val="00BB0995"/>
    <w:pPr>
      <w:ind w:leftChars="1000" w:left="2100"/>
    </w:pPr>
  </w:style>
  <w:style w:type="paragraph" w:styleId="70">
    <w:name w:val="toc 7"/>
    <w:basedOn w:val="a"/>
    <w:next w:val="a"/>
    <w:autoRedefine/>
    <w:semiHidden/>
    <w:rsid w:val="00BB0995"/>
    <w:pPr>
      <w:ind w:leftChars="1200" w:left="2520"/>
    </w:pPr>
  </w:style>
  <w:style w:type="paragraph" w:styleId="80">
    <w:name w:val="toc 8"/>
    <w:basedOn w:val="a"/>
    <w:next w:val="a"/>
    <w:autoRedefine/>
    <w:semiHidden/>
    <w:rsid w:val="00BB0995"/>
    <w:pPr>
      <w:ind w:leftChars="1400" w:left="2940"/>
    </w:pPr>
  </w:style>
  <w:style w:type="paragraph" w:styleId="90">
    <w:name w:val="toc 9"/>
    <w:basedOn w:val="a"/>
    <w:next w:val="a"/>
    <w:autoRedefine/>
    <w:semiHidden/>
    <w:rsid w:val="00BB0995"/>
    <w:pPr>
      <w:ind w:leftChars="1600" w:left="3360"/>
    </w:pPr>
  </w:style>
  <w:style w:type="table" w:styleId="af">
    <w:name w:val="Table Grid"/>
    <w:basedOn w:val="a2"/>
    <w:uiPriority w:val="59"/>
    <w:rsid w:val="00B1372D"/>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模板标题111"/>
    <w:basedOn w:val="11"/>
    <w:next w:val="SubTitleLargeTable"/>
    <w:rsid w:val="00AF1034"/>
    <w:pPr>
      <w:keepNext/>
    </w:pPr>
  </w:style>
  <w:style w:type="paragraph" w:customStyle="1" w:styleId="14">
    <w:name w:val="模板标题1（段前分页）"/>
    <w:basedOn w:val="11"/>
    <w:next w:val="21"/>
    <w:rsid w:val="00E54B00"/>
    <w:pPr>
      <w:pageBreakBefore/>
    </w:pPr>
  </w:style>
  <w:style w:type="paragraph" w:styleId="af0">
    <w:name w:val="Balloon Text"/>
    <w:basedOn w:val="a"/>
    <w:link w:val="Char2"/>
    <w:rsid w:val="00A61F07"/>
    <w:rPr>
      <w:szCs w:val="18"/>
    </w:rPr>
  </w:style>
  <w:style w:type="character" w:customStyle="1" w:styleId="Char2">
    <w:name w:val="批注框文本 Char"/>
    <w:link w:val="af0"/>
    <w:rsid w:val="00A61F07"/>
    <w:rPr>
      <w:rFonts w:ascii="Arial" w:eastAsia="楷体_GB2312" w:hAnsi="Arial"/>
      <w:sz w:val="18"/>
      <w:szCs w:val="18"/>
      <w:lang w:val="en-GB"/>
    </w:rPr>
  </w:style>
  <w:style w:type="character" w:customStyle="1" w:styleId="Char">
    <w:name w:val="正文文本 Char"/>
    <w:link w:val="a0"/>
    <w:rsid w:val="005A66A2"/>
    <w:rPr>
      <w:rFonts w:ascii="Arial" w:eastAsia="楷体_GB2312" w:hAnsi="Arial" w:cs="Arial"/>
      <w:color w:val="000000"/>
      <w:sz w:val="21"/>
      <w:lang w:val="en-GB"/>
    </w:rPr>
  </w:style>
  <w:style w:type="paragraph" w:styleId="af1">
    <w:name w:val="Document Map"/>
    <w:basedOn w:val="a"/>
    <w:link w:val="Char3"/>
    <w:rsid w:val="0003281B"/>
    <w:rPr>
      <w:rFonts w:ascii="宋体" w:eastAsia="宋体"/>
      <w:szCs w:val="18"/>
    </w:rPr>
  </w:style>
  <w:style w:type="character" w:customStyle="1" w:styleId="Char3">
    <w:name w:val="文档结构图 Char"/>
    <w:link w:val="af1"/>
    <w:rsid w:val="0003281B"/>
    <w:rPr>
      <w:rFonts w:ascii="宋体" w:hAnsi="Arial"/>
      <w:sz w:val="18"/>
      <w:szCs w:val="18"/>
      <w:lang w:val="en-GB"/>
    </w:rPr>
  </w:style>
  <w:style w:type="character" w:customStyle="1" w:styleId="Char1">
    <w:name w:val="页眉 Char"/>
    <w:link w:val="a6"/>
    <w:uiPriority w:val="99"/>
    <w:rsid w:val="00B1372D"/>
    <w:rPr>
      <w:rFonts w:ascii="Arial" w:eastAsia="楷体_GB2312" w:hAnsi="Arial"/>
      <w:kern w:val="2"/>
      <w:sz w:val="18"/>
      <w:szCs w:val="18"/>
    </w:rPr>
  </w:style>
  <w:style w:type="character" w:customStyle="1" w:styleId="Char0">
    <w:name w:val="页脚 Char"/>
    <w:link w:val="a4"/>
    <w:uiPriority w:val="99"/>
    <w:rsid w:val="00B1372D"/>
    <w:rPr>
      <w:rFonts w:ascii="Arial" w:eastAsia="楷体_GB2312" w:hAnsi="Arial"/>
      <w:kern w:val="2"/>
      <w:sz w:val="18"/>
      <w:szCs w:val="18"/>
    </w:rPr>
  </w:style>
  <w:style w:type="paragraph" w:customStyle="1" w:styleId="GJStylesSummaryTitle">
    <w:name w:val="GJ_Styles_Summary_Title"/>
    <w:qFormat/>
    <w:rsid w:val="00B1372D"/>
    <w:pPr>
      <w:spacing w:afterLines="50"/>
      <w:jc w:val="both"/>
    </w:pPr>
    <w:rPr>
      <w:rFonts w:ascii="Arial" w:eastAsia="楷体_GB2312" w:hAnsi="Arial"/>
      <w:b/>
      <w:color w:val="000000"/>
      <w:kern w:val="2"/>
      <w:sz w:val="24"/>
      <w:szCs w:val="22"/>
    </w:rPr>
  </w:style>
  <w:style w:type="paragraph" w:customStyle="1" w:styleId="GJStylesSummaryContent">
    <w:name w:val="GJ_Styles_Summary_Content"/>
    <w:qFormat/>
    <w:rsid w:val="00B1372D"/>
    <w:pPr>
      <w:numPr>
        <w:numId w:val="13"/>
      </w:numPr>
      <w:spacing w:afterLines="50" w:line="240" w:lineRule="exact"/>
      <w:jc w:val="both"/>
    </w:pPr>
    <w:rPr>
      <w:rFonts w:ascii="Arial" w:eastAsia="楷体_GB2312" w:hAnsi="Arial"/>
      <w:color w:val="000000"/>
      <w:kern w:val="2"/>
      <w:sz w:val="21"/>
      <w:szCs w:val="22"/>
    </w:rPr>
  </w:style>
  <w:style w:type="paragraph" w:customStyle="1" w:styleId="GJStylesSummarySubContent">
    <w:name w:val="GJ_Styles_Summary_SubContent"/>
    <w:qFormat/>
    <w:rsid w:val="00B1372D"/>
    <w:pPr>
      <w:numPr>
        <w:ilvl w:val="1"/>
        <w:numId w:val="13"/>
      </w:numPr>
      <w:spacing w:after="156"/>
      <w:jc w:val="both"/>
    </w:pPr>
    <w:rPr>
      <w:rFonts w:ascii="Arial" w:eastAsia="楷体_GB2312" w:hAnsi="Arial"/>
      <w:color w:val="000000"/>
      <w:kern w:val="2"/>
      <w:sz w:val="21"/>
      <w:szCs w:val="22"/>
    </w:rPr>
  </w:style>
  <w:style w:type="paragraph" w:customStyle="1" w:styleId="GJStylesSummaryContentNoMark">
    <w:name w:val="GJ_Styles_Summary_Content_NoMark"/>
    <w:qFormat/>
    <w:rsid w:val="00B1372D"/>
    <w:pPr>
      <w:spacing w:afterLines="50" w:line="240" w:lineRule="exact"/>
      <w:jc w:val="both"/>
    </w:pPr>
    <w:rPr>
      <w:rFonts w:ascii="Arial" w:eastAsia="楷体_GB2312" w:hAnsi="Arial"/>
      <w:color w:val="000000"/>
      <w:kern w:val="2"/>
      <w:sz w:val="21"/>
      <w:szCs w:val="22"/>
    </w:rPr>
  </w:style>
  <w:style w:type="numbering" w:customStyle="1" w:styleId="GJStylesSummaryContentMark">
    <w:name w:val="GJ_Styles_Summary_Content_Mark"/>
    <w:uiPriority w:val="99"/>
    <w:rsid w:val="00B1372D"/>
    <w:pPr>
      <w:numPr>
        <w:numId w:val="6"/>
      </w:numPr>
    </w:pPr>
  </w:style>
  <w:style w:type="paragraph" w:customStyle="1" w:styleId="GJStylesContentFirTitle">
    <w:name w:val="GJ_Styles_Content_FirTitle"/>
    <w:qFormat/>
    <w:rsid w:val="00B1372D"/>
    <w:pPr>
      <w:spacing w:after="240" w:line="300" w:lineRule="exact"/>
      <w:ind w:left="3402"/>
      <w:jc w:val="both"/>
      <w:outlineLvl w:val="0"/>
    </w:pPr>
    <w:rPr>
      <w:rFonts w:ascii="Arial" w:eastAsia="楷体_GB2312" w:hAnsi="Arial"/>
      <w:b/>
      <w:kern w:val="2"/>
      <w:sz w:val="24"/>
      <w:szCs w:val="22"/>
    </w:rPr>
  </w:style>
  <w:style w:type="paragraph" w:customStyle="1" w:styleId="GJStylesContentSecTitle">
    <w:name w:val="GJ_Styles_Content_SecTitle"/>
    <w:qFormat/>
    <w:rsid w:val="00B1372D"/>
    <w:pPr>
      <w:spacing w:after="120" w:line="240" w:lineRule="exact"/>
      <w:ind w:left="3402"/>
      <w:jc w:val="both"/>
      <w:outlineLvl w:val="1"/>
    </w:pPr>
    <w:rPr>
      <w:rFonts w:ascii="Arial" w:eastAsia="楷体_GB2312" w:hAnsi="Arial"/>
      <w:b/>
      <w:kern w:val="2"/>
      <w:sz w:val="21"/>
      <w:szCs w:val="22"/>
    </w:rPr>
  </w:style>
  <w:style w:type="paragraph" w:customStyle="1" w:styleId="GJStylesContentThirdTitle">
    <w:name w:val="GJ_Styles_Content_ThirdTitle"/>
    <w:qFormat/>
    <w:rsid w:val="00B1372D"/>
    <w:pPr>
      <w:numPr>
        <w:numId w:val="7"/>
      </w:numPr>
      <w:spacing w:after="120" w:line="240" w:lineRule="exact"/>
      <w:jc w:val="both"/>
    </w:pPr>
    <w:rPr>
      <w:rFonts w:ascii="Arial" w:eastAsia="楷体_GB2312" w:hAnsi="Arial"/>
      <w:kern w:val="2"/>
      <w:sz w:val="21"/>
      <w:szCs w:val="22"/>
    </w:rPr>
  </w:style>
  <w:style w:type="paragraph" w:customStyle="1" w:styleId="GJStylesContentFourTitle">
    <w:name w:val="GJ_Styles_Content_FourTitle"/>
    <w:qFormat/>
    <w:rsid w:val="00B1372D"/>
    <w:pPr>
      <w:numPr>
        <w:ilvl w:val="1"/>
        <w:numId w:val="7"/>
      </w:numPr>
      <w:spacing w:after="120" w:line="240" w:lineRule="exact"/>
      <w:jc w:val="both"/>
    </w:pPr>
    <w:rPr>
      <w:rFonts w:ascii="Arial" w:eastAsia="楷体_GB2312" w:hAnsi="Arial"/>
      <w:kern w:val="2"/>
      <w:sz w:val="21"/>
      <w:szCs w:val="22"/>
    </w:rPr>
  </w:style>
  <w:style w:type="paragraph" w:customStyle="1" w:styleId="GJStylesContentContent">
    <w:name w:val="GJ_Styles_Content_Content"/>
    <w:qFormat/>
    <w:rsid w:val="00B1372D"/>
    <w:pPr>
      <w:spacing w:after="120" w:line="240" w:lineRule="exact"/>
      <w:ind w:left="3402" w:firstLineChars="200" w:firstLine="200"/>
      <w:jc w:val="both"/>
    </w:pPr>
    <w:rPr>
      <w:rFonts w:ascii="Arial" w:eastAsia="楷体_GB2312" w:hAnsi="Arial"/>
      <w:kern w:val="2"/>
      <w:sz w:val="21"/>
      <w:szCs w:val="22"/>
    </w:rPr>
  </w:style>
  <w:style w:type="paragraph" w:customStyle="1" w:styleId="GJStylesGraphTitle">
    <w:name w:val="GJ_Styles_Graph_Title"/>
    <w:qFormat/>
    <w:rsid w:val="00B1372D"/>
    <w:pPr>
      <w:keepNext/>
      <w:suppressAutoHyphens/>
      <w:spacing w:after="40" w:line="240" w:lineRule="atLeast"/>
      <w:jc w:val="both"/>
    </w:pPr>
    <w:rPr>
      <w:rFonts w:ascii="Arial" w:eastAsia="楷体_GB2312" w:hAnsi="Arial"/>
      <w:b/>
      <w:i/>
      <w:color w:val="000000"/>
      <w:kern w:val="2"/>
      <w:sz w:val="21"/>
      <w:szCs w:val="22"/>
    </w:rPr>
  </w:style>
  <w:style w:type="paragraph" w:customStyle="1" w:styleId="GJStylesGraphSource">
    <w:name w:val="GJ_Styles_Graph_Source"/>
    <w:qFormat/>
    <w:rsid w:val="00B1372D"/>
    <w:pPr>
      <w:spacing w:before="40" w:after="160"/>
      <w:jc w:val="both"/>
    </w:pPr>
    <w:rPr>
      <w:rFonts w:ascii="Arial" w:eastAsia="楷体_GB2312" w:hAnsi="Arial"/>
      <w:color w:val="000000"/>
      <w:kern w:val="2"/>
      <w:sz w:val="15"/>
      <w:szCs w:val="22"/>
    </w:rPr>
  </w:style>
  <w:style w:type="numbering" w:customStyle="1" w:styleId="GJStylesContentMark">
    <w:name w:val="GJ_Styles_Content_Mark"/>
    <w:uiPriority w:val="99"/>
    <w:rsid w:val="00B1372D"/>
    <w:pPr>
      <w:numPr>
        <w:numId w:val="7"/>
      </w:numPr>
    </w:pPr>
  </w:style>
  <w:style w:type="paragraph" w:customStyle="1" w:styleId="GJStylesContentFirTitleWide">
    <w:name w:val="GJ_Styles_Content_FirTitle_Wide"/>
    <w:qFormat/>
    <w:rsid w:val="00B1372D"/>
    <w:pPr>
      <w:spacing w:after="240" w:line="300" w:lineRule="exact"/>
      <w:jc w:val="both"/>
      <w:outlineLvl w:val="0"/>
    </w:pPr>
    <w:rPr>
      <w:rFonts w:ascii="Arial" w:eastAsia="楷体_GB2312" w:hAnsi="Arial"/>
      <w:b/>
      <w:kern w:val="2"/>
      <w:sz w:val="24"/>
      <w:szCs w:val="22"/>
    </w:rPr>
  </w:style>
  <w:style w:type="paragraph" w:customStyle="1" w:styleId="GJStylesContentSecTitleWide">
    <w:name w:val="GJ_Styles_Content_SecTitle_Wide"/>
    <w:qFormat/>
    <w:rsid w:val="00B1372D"/>
    <w:pPr>
      <w:spacing w:after="120" w:line="240" w:lineRule="exact"/>
      <w:jc w:val="both"/>
      <w:outlineLvl w:val="1"/>
    </w:pPr>
    <w:rPr>
      <w:rFonts w:ascii="Arial" w:eastAsia="楷体_GB2312" w:hAnsi="Arial"/>
      <w:b/>
      <w:kern w:val="2"/>
      <w:sz w:val="21"/>
      <w:szCs w:val="22"/>
    </w:rPr>
  </w:style>
  <w:style w:type="paragraph" w:customStyle="1" w:styleId="GJStylesContentThirdTitleWide">
    <w:name w:val="GJ_Styles_Content_ThirdTitle_Wide"/>
    <w:qFormat/>
    <w:rsid w:val="00B1372D"/>
    <w:pPr>
      <w:numPr>
        <w:numId w:val="26"/>
      </w:numPr>
      <w:spacing w:after="120" w:line="240" w:lineRule="exact"/>
      <w:jc w:val="both"/>
    </w:pPr>
    <w:rPr>
      <w:rFonts w:ascii="Arial" w:eastAsia="楷体_GB2312" w:hAnsi="Arial"/>
      <w:kern w:val="2"/>
      <w:sz w:val="21"/>
      <w:szCs w:val="22"/>
    </w:rPr>
  </w:style>
  <w:style w:type="paragraph" w:customStyle="1" w:styleId="GJStylesContentFourTitleWide">
    <w:name w:val="GJ_Styles_Content_FourTitle_Wide"/>
    <w:qFormat/>
    <w:rsid w:val="00B1372D"/>
    <w:pPr>
      <w:numPr>
        <w:ilvl w:val="1"/>
        <w:numId w:val="26"/>
      </w:numPr>
      <w:spacing w:after="120" w:line="240" w:lineRule="exact"/>
      <w:jc w:val="both"/>
    </w:pPr>
    <w:rPr>
      <w:rFonts w:ascii="Arial" w:eastAsia="楷体_GB2312" w:hAnsi="Arial"/>
      <w:kern w:val="2"/>
      <w:sz w:val="21"/>
      <w:szCs w:val="22"/>
    </w:rPr>
  </w:style>
  <w:style w:type="paragraph" w:customStyle="1" w:styleId="GJStylesContentContentWide">
    <w:name w:val="GJ_Styles_Content_Content_Wide"/>
    <w:qFormat/>
    <w:rsid w:val="00B1372D"/>
    <w:pPr>
      <w:spacing w:after="120" w:line="240" w:lineRule="exact"/>
      <w:ind w:firstLineChars="200" w:firstLine="200"/>
      <w:jc w:val="both"/>
    </w:pPr>
    <w:rPr>
      <w:rFonts w:ascii="Arial" w:eastAsia="楷体_GB2312" w:hAnsi="Arial"/>
      <w:kern w:val="2"/>
      <w:sz w:val="21"/>
      <w:szCs w:val="22"/>
    </w:rPr>
  </w:style>
  <w:style w:type="paragraph" w:customStyle="1" w:styleId="GJReportFirPageRelaReports">
    <w:name w:val="GJ_Report_FirPage_RelaReports"/>
    <w:qFormat/>
    <w:rsid w:val="00B1372D"/>
    <w:pPr>
      <w:jc w:val="both"/>
    </w:pPr>
    <w:rPr>
      <w:rFonts w:ascii="Arial" w:eastAsia="楷体_GB2312" w:hAnsi="Arial"/>
      <w:kern w:val="2"/>
      <w:sz w:val="18"/>
      <w:szCs w:val="22"/>
    </w:rPr>
  </w:style>
  <w:style w:type="paragraph" w:customStyle="1" w:styleId="GJReportFirPageAuthorName">
    <w:name w:val="GJ_Report_FirPage_Author_Name"/>
    <w:qFormat/>
    <w:rsid w:val="00B1372D"/>
    <w:pPr>
      <w:jc w:val="both"/>
    </w:pPr>
    <w:rPr>
      <w:rFonts w:ascii="Arial" w:eastAsia="楷体_GB2312" w:hAnsi="Arial"/>
      <w:b/>
      <w:kern w:val="2"/>
      <w:sz w:val="21"/>
      <w:szCs w:val="22"/>
    </w:rPr>
  </w:style>
  <w:style w:type="paragraph" w:customStyle="1" w:styleId="GJReportFirPageAuthorEmail">
    <w:name w:val="GJ_Report_FirPage_Author_Email"/>
    <w:qFormat/>
    <w:rsid w:val="00B1372D"/>
    <w:pPr>
      <w:jc w:val="both"/>
    </w:pPr>
    <w:rPr>
      <w:rFonts w:ascii="Arial" w:eastAsia="楷体_GB2312" w:hAnsi="Arial"/>
      <w:b/>
      <w:kern w:val="2"/>
      <w:sz w:val="13"/>
      <w:szCs w:val="22"/>
    </w:rPr>
  </w:style>
  <w:style w:type="paragraph" w:customStyle="1" w:styleId="GJStylesTableTitleSuo">
    <w:name w:val="GJ_Styles_Table_Title_Suo"/>
    <w:qFormat/>
    <w:rsid w:val="00B1372D"/>
    <w:pPr>
      <w:keepNext/>
      <w:pBdr>
        <w:top w:val="single" w:sz="4" w:space="1" w:color="00A0E9"/>
      </w:pBdr>
      <w:suppressAutoHyphens/>
      <w:spacing w:after="40" w:line="240" w:lineRule="atLeast"/>
      <w:ind w:left="3402"/>
      <w:jc w:val="both"/>
    </w:pPr>
    <w:rPr>
      <w:rFonts w:ascii="Arial" w:eastAsia="楷体_GB2312" w:hAnsi="Arial"/>
      <w:b/>
      <w:i/>
      <w:color w:val="000000"/>
      <w:kern w:val="2"/>
      <w:sz w:val="21"/>
      <w:szCs w:val="22"/>
    </w:rPr>
  </w:style>
  <w:style w:type="paragraph" w:customStyle="1" w:styleId="GJStylesTableSourceSuo">
    <w:name w:val="GJ_Styles_Table_Source_Suo"/>
    <w:qFormat/>
    <w:rsid w:val="00B1372D"/>
    <w:pPr>
      <w:spacing w:before="40" w:after="160"/>
      <w:ind w:left="3402"/>
      <w:jc w:val="both"/>
    </w:pPr>
    <w:rPr>
      <w:rFonts w:ascii="Arial" w:eastAsia="楷体_GB2312" w:hAnsi="Arial"/>
      <w:color w:val="000000"/>
      <w:kern w:val="2"/>
      <w:sz w:val="15"/>
      <w:szCs w:val="22"/>
    </w:rPr>
  </w:style>
  <w:style w:type="numbering" w:customStyle="1" w:styleId="GJStylesContentMarkWide">
    <w:name w:val="GJ_Styles_Content_Mark_Wide"/>
    <w:uiPriority w:val="99"/>
    <w:rsid w:val="00B1372D"/>
    <w:pPr>
      <w:numPr>
        <w:numId w:val="10"/>
      </w:numPr>
    </w:pPr>
  </w:style>
  <w:style w:type="table" w:customStyle="1" w:styleId="GJStylesChartInsertSingleCol">
    <w:name w:val="GJ_Styles_Chart_InsertSingleCol"/>
    <w:basedOn w:val="a2"/>
    <w:uiPriority w:val="99"/>
    <w:qFormat/>
    <w:rsid w:val="00B1372D"/>
    <w:rPr>
      <w:rFonts w:ascii="Calibri" w:hAnsi="Calibri"/>
    </w:rPr>
    <w:tblPr>
      <w:tblInd w:w="0" w:type="dxa"/>
      <w:tblBorders>
        <w:top w:val="single" w:sz="4" w:space="0" w:color="00A0E9"/>
        <w:insideH w:val="single" w:sz="4" w:space="0" w:color="00A0E9"/>
      </w:tblBorders>
      <w:tblCellMar>
        <w:top w:w="0" w:type="dxa"/>
        <w:left w:w="108" w:type="dxa"/>
        <w:bottom w:w="0" w:type="dxa"/>
        <w:right w:w="108" w:type="dxa"/>
      </w:tblCellMar>
    </w:tblPr>
    <w:tcPr>
      <w:tcMar>
        <w:left w:w="0" w:type="dxa"/>
        <w:right w:w="0" w:type="dxa"/>
      </w:tcMar>
    </w:tcPr>
    <w:tblStylePr w:type="firstRow">
      <w:pPr>
        <w:wordWrap/>
        <w:jc w:val="left"/>
      </w:pPr>
    </w:tblStylePr>
    <w:tblStylePr w:type="lastRow">
      <w:pPr>
        <w:wordWrap/>
        <w:jc w:val="left"/>
      </w:pPr>
    </w:tblStylePr>
  </w:style>
  <w:style w:type="table" w:customStyle="1" w:styleId="GJStylesChartInsertDoubleCol">
    <w:name w:val="GJ_Styles_Chart_InsertDoubleCol"/>
    <w:basedOn w:val="a2"/>
    <w:uiPriority w:val="99"/>
    <w:qFormat/>
    <w:rsid w:val="00B1372D"/>
    <w:rPr>
      <w:rFonts w:ascii="Calibri" w:hAnsi="Calibri"/>
    </w:rPr>
    <w:tblPr>
      <w:tblInd w:w="0" w:type="dxa"/>
      <w:tblCellMar>
        <w:top w:w="0" w:type="dxa"/>
        <w:left w:w="108" w:type="dxa"/>
        <w:bottom w:w="0" w:type="dxa"/>
        <w:right w:w="108" w:type="dxa"/>
      </w:tblCellMar>
    </w:tblPr>
    <w:tcPr>
      <w:tcMar>
        <w:left w:w="0" w:type="dxa"/>
        <w:right w:w="0" w:type="dxa"/>
      </w:tcMar>
    </w:tcPr>
    <w:tblStylePr w:type="firstCol">
      <w:tblPr/>
      <w:tcPr>
        <w:tcBorders>
          <w:top w:val="single" w:sz="4" w:space="0" w:color="00A0E9"/>
          <w:insideH w:val="single" w:sz="4" w:space="0" w:color="00A0E9"/>
        </w:tcBorders>
      </w:tcPr>
    </w:tblStylePr>
    <w:tblStylePr w:type="lastCol">
      <w:tblPr/>
      <w:tcPr>
        <w:tcBorders>
          <w:top w:val="single" w:sz="4" w:space="0" w:color="00A0E9"/>
          <w:insideH w:val="single" w:sz="4" w:space="0" w:color="00A0E9"/>
        </w:tcBorders>
      </w:tcPr>
    </w:tblStylePr>
  </w:style>
  <w:style w:type="paragraph" w:customStyle="1" w:styleId="GJStylesTableTitle">
    <w:name w:val="GJ_Styles_Table_Title"/>
    <w:qFormat/>
    <w:rsid w:val="00B1372D"/>
    <w:pPr>
      <w:keepNext/>
      <w:pBdr>
        <w:top w:val="single" w:sz="4" w:space="1" w:color="00A0E9"/>
      </w:pBdr>
      <w:suppressAutoHyphens/>
      <w:spacing w:after="40" w:line="240" w:lineRule="atLeast"/>
      <w:jc w:val="both"/>
    </w:pPr>
    <w:rPr>
      <w:rFonts w:ascii="Arial" w:eastAsia="楷体_GB2312" w:hAnsi="Arial"/>
      <w:b/>
      <w:i/>
      <w:color w:val="000000"/>
      <w:kern w:val="2"/>
      <w:sz w:val="21"/>
      <w:szCs w:val="22"/>
    </w:rPr>
  </w:style>
  <w:style w:type="table" w:customStyle="1" w:styleId="GJStylesTableDefalutStyle">
    <w:name w:val="GJ_Styles_Table_DefalutStyle"/>
    <w:basedOn w:val="a2"/>
    <w:uiPriority w:val="99"/>
    <w:qFormat/>
    <w:rsid w:val="00B1372D"/>
    <w:rPr>
      <w:rFonts w:ascii="Arial" w:eastAsia="楷体_GB2312" w:hAnsi="Arial"/>
      <w:color w:val="000000"/>
      <w:sz w:val="18"/>
    </w:rPr>
    <w:tblPr>
      <w:tblInd w:w="0" w:type="dxa"/>
      <w:tblBorders>
        <w:top w:val="single" w:sz="4" w:space="0" w:color="00A0E9"/>
        <w:bottom w:val="single" w:sz="4" w:space="0" w:color="00A0E9"/>
      </w:tblBorders>
      <w:tblCellMar>
        <w:top w:w="0" w:type="dxa"/>
        <w:left w:w="108" w:type="dxa"/>
        <w:bottom w:w="0" w:type="dxa"/>
        <w:right w:w="108" w:type="dxa"/>
      </w:tblCellMar>
    </w:tblPr>
    <w:tblStylePr w:type="firstRow">
      <w:pPr>
        <w:wordWrap/>
        <w:jc w:val="center"/>
      </w:pPr>
      <w:rPr>
        <w:b/>
      </w:rPr>
      <w:tblPr/>
      <w:tcPr>
        <w:tcBorders>
          <w:bottom w:val="single" w:sz="4" w:space="0" w:color="BFBFBF"/>
        </w:tcBorders>
      </w:tcPr>
    </w:tblStylePr>
  </w:style>
  <w:style w:type="paragraph" w:customStyle="1" w:styleId="GJStylesTableTitleRed">
    <w:name w:val="GJ_Styles_Table_Title_Red"/>
    <w:qFormat/>
    <w:rsid w:val="00B1372D"/>
    <w:pPr>
      <w:keepNext/>
      <w:pBdr>
        <w:top w:val="single" w:sz="4" w:space="1" w:color="C00000"/>
      </w:pBdr>
      <w:suppressAutoHyphens/>
      <w:spacing w:after="40" w:line="240" w:lineRule="atLeast"/>
      <w:jc w:val="both"/>
    </w:pPr>
    <w:rPr>
      <w:rFonts w:ascii="Arial" w:eastAsia="楷体_GB2312" w:hAnsi="Arial"/>
      <w:b/>
      <w:i/>
      <w:color w:val="000000"/>
      <w:kern w:val="2"/>
      <w:sz w:val="21"/>
      <w:szCs w:val="22"/>
    </w:rPr>
  </w:style>
  <w:style w:type="paragraph" w:customStyle="1" w:styleId="GJStylesTableTitleSuoRed">
    <w:name w:val="GJ_Styles_Table_Title_Suo_Red"/>
    <w:qFormat/>
    <w:rsid w:val="00B1372D"/>
    <w:pPr>
      <w:keepNext/>
      <w:pBdr>
        <w:top w:val="single" w:sz="4" w:space="1" w:color="C00000"/>
      </w:pBdr>
      <w:suppressAutoHyphens/>
      <w:spacing w:after="40" w:line="240" w:lineRule="atLeast"/>
      <w:ind w:left="3402"/>
      <w:jc w:val="both"/>
    </w:pPr>
    <w:rPr>
      <w:rFonts w:ascii="Arial" w:eastAsia="楷体_GB2312" w:hAnsi="Arial"/>
      <w:b/>
      <w:i/>
      <w:color w:val="000000"/>
      <w:kern w:val="2"/>
      <w:sz w:val="21"/>
      <w:szCs w:val="22"/>
    </w:rPr>
  </w:style>
  <w:style w:type="table" w:customStyle="1" w:styleId="GJStylesTableDefalutStyleRed">
    <w:name w:val="GJ_Styles_Table_DefalutStyle_Red"/>
    <w:basedOn w:val="a2"/>
    <w:uiPriority w:val="99"/>
    <w:qFormat/>
    <w:rsid w:val="00B1372D"/>
    <w:rPr>
      <w:rFonts w:ascii="Arial" w:eastAsia="楷体_GB2312" w:hAnsi="Arial"/>
      <w:sz w:val="18"/>
    </w:rPr>
    <w:tblPr>
      <w:tblInd w:w="0" w:type="dxa"/>
      <w:tblBorders>
        <w:top w:val="single" w:sz="4" w:space="0" w:color="C00000"/>
        <w:bottom w:val="single" w:sz="4" w:space="0" w:color="C00000"/>
      </w:tblBorders>
      <w:tblCellMar>
        <w:top w:w="0" w:type="dxa"/>
        <w:left w:w="108" w:type="dxa"/>
        <w:bottom w:w="0" w:type="dxa"/>
        <w:right w:w="108" w:type="dxa"/>
      </w:tblCellMar>
    </w:tblPr>
    <w:tblStylePr w:type="firstRow">
      <w:rPr>
        <w:b/>
      </w:rPr>
      <w:tblPr/>
      <w:tcPr>
        <w:tcBorders>
          <w:bottom w:val="single" w:sz="4" w:space="0" w:color="BFBFBF"/>
        </w:tcBorders>
      </w:tcPr>
    </w:tblStylePr>
  </w:style>
  <w:style w:type="table" w:customStyle="1" w:styleId="GJStylesChartInsertSingleColRed">
    <w:name w:val="GJ_Styles_Chart_InsertSingleCol_Red"/>
    <w:basedOn w:val="a2"/>
    <w:uiPriority w:val="99"/>
    <w:qFormat/>
    <w:rsid w:val="00B1372D"/>
    <w:rPr>
      <w:rFonts w:ascii="Calibri" w:hAnsi="Calibri"/>
    </w:rPr>
    <w:tblPr>
      <w:tblInd w:w="0" w:type="dxa"/>
      <w:tblBorders>
        <w:top w:val="single" w:sz="4" w:space="0" w:color="C00000"/>
        <w:insideH w:val="single" w:sz="4" w:space="0" w:color="C00000"/>
      </w:tblBorders>
      <w:tblCellMar>
        <w:top w:w="0" w:type="dxa"/>
        <w:left w:w="108" w:type="dxa"/>
        <w:bottom w:w="0" w:type="dxa"/>
        <w:right w:w="108" w:type="dxa"/>
      </w:tblCellMar>
    </w:tblPr>
  </w:style>
  <w:style w:type="table" w:customStyle="1" w:styleId="GJStylesChartInsertDoubleColRed">
    <w:name w:val="GJ_Styles_Chart_InsertDoubleCol_Red"/>
    <w:basedOn w:val="a2"/>
    <w:uiPriority w:val="99"/>
    <w:qFormat/>
    <w:rsid w:val="00B1372D"/>
    <w:rPr>
      <w:rFonts w:ascii="Calibri" w:hAnsi="Calibri"/>
    </w:rPr>
    <w:tblPr>
      <w:tblInd w:w="0" w:type="dxa"/>
      <w:tblCellMar>
        <w:top w:w="0" w:type="dxa"/>
        <w:left w:w="108" w:type="dxa"/>
        <w:bottom w:w="0" w:type="dxa"/>
        <w:right w:w="108" w:type="dxa"/>
      </w:tblCellMar>
    </w:tblPr>
    <w:tblStylePr w:type="firstCol">
      <w:tblPr/>
      <w:tcPr>
        <w:tcBorders>
          <w:top w:val="single" w:sz="4" w:space="0" w:color="C00000"/>
          <w:insideH w:val="single" w:sz="4" w:space="0" w:color="C00000"/>
        </w:tcBorders>
      </w:tcPr>
    </w:tblStylePr>
    <w:tblStylePr w:type="lastCol">
      <w:tblPr/>
      <w:tcPr>
        <w:tcBorders>
          <w:top w:val="single" w:sz="4" w:space="0" w:color="C00000"/>
          <w:insideH w:val="single" w:sz="4" w:space="0" w:color="C00000"/>
        </w:tcBorders>
      </w:tcPr>
    </w:tblStylePr>
  </w:style>
  <w:style w:type="paragraph" w:customStyle="1" w:styleId="GJStylesMuluTitle">
    <w:name w:val="GJ_Styles_Mulu_Title"/>
    <w:rsid w:val="00B1372D"/>
    <w:pPr>
      <w:spacing w:after="120" w:line="480" w:lineRule="exact"/>
      <w:ind w:left="3402"/>
      <w:jc w:val="both"/>
    </w:pPr>
    <w:rPr>
      <w:rFonts w:ascii="Arial" w:eastAsia="楷体_GB2312" w:hAnsi="Arial"/>
      <w:b/>
      <w:color w:val="000000"/>
      <w:kern w:val="2"/>
      <w:sz w:val="28"/>
      <w:szCs w:val="22"/>
    </w:rPr>
  </w:style>
  <w:style w:type="paragraph" w:customStyle="1" w:styleId="GJStylesMuluContent1">
    <w:name w:val="GJ_Styles_Mulu_Content1"/>
    <w:rsid w:val="00B1372D"/>
    <w:pPr>
      <w:spacing w:line="312" w:lineRule="auto"/>
      <w:ind w:left="3402"/>
      <w:jc w:val="both"/>
    </w:pPr>
    <w:rPr>
      <w:rFonts w:ascii="Arial" w:eastAsia="楷体_GB2312" w:hAnsi="Arial"/>
      <w:color w:val="000000"/>
      <w:kern w:val="2"/>
      <w:sz w:val="21"/>
      <w:szCs w:val="22"/>
    </w:rPr>
  </w:style>
  <w:style w:type="paragraph" w:customStyle="1" w:styleId="GJStylesMuluContent2">
    <w:name w:val="GJ_Styles_Mulu_Content2"/>
    <w:rsid w:val="00B1372D"/>
    <w:pPr>
      <w:spacing w:line="312" w:lineRule="auto"/>
      <w:ind w:leftChars="2000" w:left="2000"/>
      <w:jc w:val="both"/>
    </w:pPr>
    <w:rPr>
      <w:rFonts w:ascii="Arial" w:eastAsia="楷体_GB2312" w:hAnsi="Arial"/>
      <w:color w:val="000000"/>
      <w:kern w:val="2"/>
      <w:sz w:val="21"/>
      <w:szCs w:val="22"/>
    </w:rPr>
  </w:style>
  <w:style w:type="character" w:styleId="af2">
    <w:name w:val="Placeholder Text"/>
    <w:basedOn w:val="a1"/>
    <w:uiPriority w:val="99"/>
    <w:semiHidden/>
    <w:rsid w:val="00DC78A4"/>
    <w:rPr>
      <w:color w:val="808080"/>
    </w:rPr>
  </w:style>
  <w:style w:type="table" w:customStyle="1" w:styleId="GJStylesTableRatStyle">
    <w:name w:val="GJ_Styles_Table_RatStyle"/>
    <w:basedOn w:val="a2"/>
    <w:uiPriority w:val="99"/>
    <w:qFormat/>
    <w:rsid w:val="00B1372D"/>
    <w:pPr>
      <w:jc w:val="center"/>
    </w:pPr>
    <w:rPr>
      <w:rFonts w:ascii="Arial" w:eastAsia="楷体_GB2312" w:hAnsi="Arial"/>
      <w:color w:val="000000"/>
      <w:sz w:val="18"/>
    </w:rPr>
    <w:tblPr>
      <w:tblInd w:w="0" w:type="dxa"/>
      <w:tblBorders>
        <w:top w:val="single" w:sz="4" w:space="0" w:color="C0C0C0"/>
        <w:bottom w:val="single" w:sz="4" w:space="0" w:color="C0C0C0"/>
        <w:insideH w:val="single" w:sz="4" w:space="0" w:color="C0C0C0"/>
      </w:tblBorders>
      <w:tblCellMar>
        <w:top w:w="0" w:type="dxa"/>
        <w:left w:w="0" w:type="dxa"/>
        <w:bottom w:w="0" w:type="dxa"/>
        <w:right w:w="28" w:type="dxa"/>
      </w:tblCellMar>
    </w:tblPr>
    <w:tcPr>
      <w:vAlign w:val="center"/>
    </w:tcPr>
    <w:tblStylePr w:type="firstRow">
      <w:pPr>
        <w:wordWrap/>
        <w:jc w:val="center"/>
        <w:outlineLvl w:val="9"/>
      </w:pPr>
      <w:rPr>
        <w:rFonts w:ascii="Arial" w:eastAsia="楷体_GB2312" w:hAnsi="Arial"/>
        <w:b/>
        <w:i w:val="0"/>
        <w:color w:val="000000"/>
        <w:sz w:val="18"/>
      </w:rPr>
      <w:tblPr/>
      <w:tcPr>
        <w:tcBorders>
          <w:top w:val="single" w:sz="4" w:space="0" w:color="BFBFBF"/>
          <w:left w:val="nil"/>
          <w:bottom w:val="single" w:sz="4" w:space="0" w:color="BFBFBF"/>
          <w:right w:val="nil"/>
          <w:insideH w:val="nil"/>
          <w:insideV w:val="nil"/>
          <w:tl2br w:val="nil"/>
          <w:tr2bl w:val="nil"/>
        </w:tcBorders>
      </w:tcPr>
    </w:tblStylePr>
  </w:style>
  <w:style w:type="table" w:customStyle="1" w:styleId="GJStylesTableRatStyle2">
    <w:name w:val="GJ_Styles_Table_RatStyle_2"/>
    <w:basedOn w:val="a2"/>
    <w:uiPriority w:val="99"/>
    <w:qFormat/>
    <w:rsid w:val="00B1372D"/>
    <w:pPr>
      <w:jc w:val="center"/>
    </w:pPr>
    <w:rPr>
      <w:rFonts w:ascii="Arial" w:eastAsia="楷体_GB2312" w:hAnsi="Arial"/>
      <w:color w:val="000000"/>
      <w:sz w:val="18"/>
    </w:rPr>
    <w:tblPr>
      <w:tblInd w:w="0" w:type="dxa"/>
      <w:tblBorders>
        <w:top w:val="single" w:sz="4" w:space="0" w:color="00A0E9"/>
        <w:bottom w:val="single" w:sz="4" w:space="0" w:color="00A0E9"/>
      </w:tblBorders>
      <w:tblCellMar>
        <w:top w:w="0" w:type="dxa"/>
        <w:left w:w="0" w:type="dxa"/>
        <w:bottom w:w="0" w:type="dxa"/>
        <w:right w:w="28" w:type="dxa"/>
      </w:tblCellMar>
    </w:tblPr>
    <w:tcPr>
      <w:shd w:val="clear" w:color="auto" w:fill="FFFFFF"/>
      <w:vAlign w:val="center"/>
    </w:tcPr>
    <w:tblStylePr w:type="firstRow">
      <w:rPr>
        <w:rFonts w:ascii="楷体_GB2312" w:eastAsia="楷体_GB2312"/>
        <w:b/>
        <w:i w:val="0"/>
        <w:color w:val="000000"/>
        <w:sz w:val="18"/>
      </w:rPr>
      <w:tblPr/>
      <w:tcPr>
        <w:tcBorders>
          <w:top w:val="single" w:sz="4" w:space="0" w:color="00A0E9"/>
          <w:left w:val="nil"/>
          <w:bottom w:val="nil"/>
          <w:right w:val="nil"/>
          <w:insideH w:val="nil"/>
          <w:insideV w:val="nil"/>
          <w:tl2br w:val="nil"/>
          <w:tr2bl w:val="nil"/>
        </w:tcBorders>
        <w:shd w:val="clear" w:color="auto" w:fill="FFFFFF"/>
      </w:tcPr>
    </w:tblStylePr>
  </w:style>
  <w:style w:type="table" w:customStyle="1" w:styleId="GJStylesTableRatStyle3">
    <w:name w:val="GJ_Styles_Table_RatStyle_3"/>
    <w:basedOn w:val="a2"/>
    <w:uiPriority w:val="99"/>
    <w:qFormat/>
    <w:rsid w:val="00B1372D"/>
    <w:pPr>
      <w:jc w:val="center"/>
    </w:pPr>
    <w:rPr>
      <w:rFonts w:ascii="Arial" w:eastAsia="楷体_GB2312" w:hAnsi="Arial"/>
      <w:sz w:val="18"/>
    </w:rPr>
    <w:tblPr>
      <w:tblInd w:w="0" w:type="dxa"/>
      <w:tblBorders>
        <w:insideH w:val="single" w:sz="6" w:space="0" w:color="C0C0C0"/>
      </w:tblBorders>
      <w:tblCellMar>
        <w:top w:w="0" w:type="dxa"/>
        <w:left w:w="0" w:type="dxa"/>
        <w:bottom w:w="0" w:type="dxa"/>
        <w:right w:w="0" w:type="dxa"/>
      </w:tblCellMar>
    </w:tblPr>
  </w:style>
  <w:style w:type="table" w:customStyle="1" w:styleId="GJStylesTableRatStyle4">
    <w:name w:val="GJ_Styles_Table_RatStyle_4"/>
    <w:basedOn w:val="a2"/>
    <w:uiPriority w:val="99"/>
    <w:qFormat/>
    <w:rsid w:val="00B1372D"/>
    <w:rPr>
      <w:rFonts w:ascii="Arial" w:eastAsia="楷体_GB2312" w:hAnsi="Arial"/>
      <w:sz w:val="21"/>
    </w:rPr>
    <w:tblPr>
      <w:tblInd w:w="0" w:type="dxa"/>
      <w:tblCellMar>
        <w:top w:w="0" w:type="dxa"/>
        <w:left w:w="0" w:type="dxa"/>
        <w:bottom w:w="0" w:type="dxa"/>
        <w:right w:w="0" w:type="dxa"/>
      </w:tblCellMar>
    </w:tblPr>
    <w:tblStylePr w:type="firstRow">
      <w:rPr>
        <w:rFonts w:ascii="Arial" w:eastAsia="楷体_GB2312" w:hAnsi="Arial"/>
        <w:b/>
        <w:i w:val="0"/>
        <w:sz w:val="21"/>
      </w:rPr>
    </w:tblStylePr>
  </w:style>
  <w:style w:type="table" w:customStyle="1" w:styleId="GJStylesTableRatStyle5">
    <w:name w:val="GJ_Styles_Table_RatStyle_5"/>
    <w:basedOn w:val="a2"/>
    <w:uiPriority w:val="99"/>
    <w:qFormat/>
    <w:rsid w:val="00B1372D"/>
    <w:pPr>
      <w:spacing w:after="120" w:line="240" w:lineRule="exact"/>
      <w:jc w:val="both"/>
    </w:pPr>
    <w:rPr>
      <w:rFonts w:ascii="Calibri" w:hAnsi="Calibri"/>
    </w:rPr>
    <w:tblPr>
      <w:tblInd w:w="0" w:type="dxa"/>
      <w:tblCellMar>
        <w:top w:w="0" w:type="dxa"/>
        <w:left w:w="108" w:type="dxa"/>
        <w:bottom w:w="0" w:type="dxa"/>
        <w:right w:w="108" w:type="dxa"/>
      </w:tblCellMar>
    </w:tblPr>
  </w:style>
  <w:style w:type="table" w:customStyle="1" w:styleId="GJStylesTableRatStyle6">
    <w:name w:val="GJ_Styles_Table_RatStyle_6"/>
    <w:basedOn w:val="a2"/>
    <w:uiPriority w:val="99"/>
    <w:qFormat/>
    <w:rsid w:val="00B1372D"/>
    <w:pPr>
      <w:jc w:val="right"/>
    </w:pPr>
    <w:rPr>
      <w:rFonts w:ascii="Arial" w:eastAsia="楷体_GB2312" w:hAnsi="Arial"/>
      <w:sz w:val="18"/>
    </w:rPr>
    <w:tblPr>
      <w:tblInd w:w="0" w:type="dxa"/>
      <w:tblCellMar>
        <w:top w:w="0" w:type="dxa"/>
        <w:left w:w="0" w:type="dxa"/>
        <w:bottom w:w="0" w:type="dxa"/>
        <w:right w:w="0" w:type="dxa"/>
      </w:tblCellMar>
    </w:tblPr>
    <w:tblStylePr w:type="firstCol">
      <w:pPr>
        <w:jc w:val="center"/>
      </w:pPr>
      <w:rPr>
        <w:rFonts w:ascii="Arial" w:eastAsia="楷体_GB2312" w:hAnsi="Arial"/>
        <w:b w:val="0"/>
        <w:i w:val="0"/>
        <w:sz w:val="18"/>
      </w:rPr>
      <w:tblPr/>
      <w:tcPr>
        <w:tcBorders>
          <w:top w:val="nil"/>
          <w:left w:val="nil"/>
          <w:bottom w:val="nil"/>
          <w:right w:val="nil"/>
          <w:insideH w:val="nil"/>
          <w:insideV w:val="nil"/>
          <w:tl2br w:val="nil"/>
          <w:tr2bl w:val="nil"/>
        </w:tcBorders>
        <w:vAlign w:val="center"/>
      </w:tcPr>
    </w:tblStylePr>
  </w:style>
  <w:style w:type="table" w:customStyle="1" w:styleId="GJStylesTableRatStyle7">
    <w:name w:val="GJ_Styles_Table_RatStyle_7"/>
    <w:basedOn w:val="a2"/>
    <w:uiPriority w:val="99"/>
    <w:qFormat/>
    <w:rsid w:val="00B1372D"/>
    <w:pPr>
      <w:jc w:val="both"/>
    </w:pPr>
    <w:rPr>
      <w:rFonts w:ascii="Calibri" w:eastAsia="楷体_GB2312" w:hAnsi="Calibri"/>
      <w:b/>
      <w:sz w:val="13"/>
    </w:rPr>
    <w:tblPr>
      <w:tblInd w:w="-34" w:type="dxa"/>
      <w:tblCellMar>
        <w:top w:w="0" w:type="dxa"/>
        <w:left w:w="0" w:type="dxa"/>
        <w:bottom w:w="0" w:type="dxa"/>
        <w:right w:w="0" w:type="dxa"/>
      </w:tblCellMar>
    </w:tblPr>
    <w:tblStylePr w:type="firstRow">
      <w:pPr>
        <w:jc w:val="both"/>
      </w:pPr>
      <w:rPr>
        <w:rFonts w:ascii="Arial" w:eastAsia="Monotype Sorts" w:hAnsi="Arial"/>
        <w:b/>
        <w:i w:val="0"/>
        <w:sz w:val="21"/>
      </w:rPr>
    </w:tblStylePr>
    <w:tblStylePr w:type="lastRow">
      <w:pPr>
        <w:jc w:val="both"/>
      </w:pPr>
      <w:rPr>
        <w:rFonts w:ascii="Arial" w:eastAsia="Monotype Sorts" w:hAnsi="Arial"/>
        <w:b/>
        <w:i w:val="0"/>
        <w:sz w:val="13"/>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0">
    <w:name w:val="GJStylesSummaryContentMark"/>
    <w:pPr>
      <w:numPr>
        <w:numId w:val="6"/>
      </w:numPr>
    </w:pPr>
  </w:style>
  <w:style w:type="numbering" w:customStyle="1" w:styleId="Contact">
    <w:name w:val="GJStylesContentMarkWide"/>
    <w:pPr>
      <w:numPr>
        <w:numId w:val="10"/>
      </w:numPr>
    </w:pPr>
  </w:style>
  <w:style w:type="numbering" w:customStyle="1" w:styleId="a4">
    <w:name w:val="GJStylesContentMark"/>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27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w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BigData\&#22269;&#37329;Word&#25554;&#20214;\config\Word\RptTemplate\&#19987;&#39064;&#25253;&#21578;&#19975;&#33021;&#29256;.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E93CA264701430E92960E75BB2BDC3B"/>
        <w:category>
          <w:name w:val="常规"/>
          <w:gallery w:val="placeholder"/>
        </w:category>
        <w:types>
          <w:type w:val="bbPlcHdr"/>
        </w:types>
        <w:behaviors>
          <w:behavior w:val="content"/>
        </w:behaviors>
        <w:guid w:val="{0AFBA20E-A21C-4964-9406-685454F8006B}"/>
      </w:docPartPr>
      <w:docPartBody>
        <w:p w:rsidR="00B47F0F" w:rsidRDefault="00F7165C">
          <w:pPr>
            <w:pStyle w:val="EE93CA264701430E92960E75BB2BDC3B"/>
          </w:pPr>
          <w:r w:rsidRPr="001C4667">
            <w:rPr>
              <w:rStyle w:val="a3"/>
              <w:rFonts w:hint="eastAsia"/>
            </w:rPr>
            <w:t>单击此处输入文字。</w:t>
          </w:r>
        </w:p>
      </w:docPartBody>
    </w:docPart>
    <w:docPart>
      <w:docPartPr>
        <w:name w:val="BE343C0A3357424294F39F680051F9AF"/>
        <w:category>
          <w:name w:val="常规"/>
          <w:gallery w:val="placeholder"/>
        </w:category>
        <w:types>
          <w:type w:val="bbPlcHdr"/>
        </w:types>
        <w:behaviors>
          <w:behavior w:val="content"/>
        </w:behaviors>
        <w:guid w:val="{B5983D82-EEAE-4B0E-9A46-C4D1F34C7A6C}"/>
      </w:docPartPr>
      <w:docPartBody>
        <w:p w:rsidR="00B47F0F" w:rsidRDefault="00F7165C">
          <w:pPr>
            <w:pStyle w:val="BE343C0A3357424294F39F680051F9AF"/>
          </w:pPr>
          <w:r w:rsidRPr="004F02EC">
            <w:rPr>
              <w:rStyle w:val="a3"/>
              <w:rFonts w:hint="eastAsia"/>
            </w:rPr>
            <w:t>单击此处输入文字。</w:t>
          </w:r>
        </w:p>
      </w:docPartBody>
    </w:docPart>
    <w:docPart>
      <w:docPartPr>
        <w:name w:val="6932D6CAEC0547DEB71401CB713947E6"/>
        <w:category>
          <w:name w:val="常规"/>
          <w:gallery w:val="placeholder"/>
        </w:category>
        <w:types>
          <w:type w:val="bbPlcHdr"/>
        </w:types>
        <w:behaviors>
          <w:behavior w:val="content"/>
        </w:behaviors>
        <w:guid w:val="{394AA08B-D75D-41F2-98BF-A0C178078610}"/>
      </w:docPartPr>
      <w:docPartBody>
        <w:p w:rsidR="003D354B" w:rsidRDefault="00F67415">
          <w:r w:rsidRPr="006F68E2">
            <w:rPr>
              <w:rStyle w:val="a3"/>
              <w:rFonts w:hint="eastAsia"/>
            </w:rPr>
            <w:t>报告类型</w:t>
          </w:r>
        </w:p>
      </w:docPartBody>
    </w:docPart>
    <w:docPart>
      <w:docPartPr>
        <w:name w:val="8687435D707B460A87CE2C865C416FC3"/>
        <w:category>
          <w:name w:val="常规"/>
          <w:gallery w:val="placeholder"/>
        </w:category>
        <w:types>
          <w:type w:val="bbPlcHdr"/>
        </w:types>
        <w:behaviors>
          <w:behavior w:val="content"/>
        </w:behaviors>
        <w:guid w:val="{31217A14-FE66-4743-9F88-CEA1B7A4C3BA}"/>
      </w:docPartPr>
      <w:docPartBody>
        <w:p w:rsidR="003D354B" w:rsidRDefault="00F67415">
          <w:r w:rsidRPr="006F68E2">
            <w:rPr>
              <w:rStyle w:val="a3"/>
              <w:rFonts w:hint="eastAsia"/>
            </w:rPr>
            <w:t>报告日期</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楷体_GB2312">
    <w:altName w:val="楷体"/>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Monotype Sorts">
    <w:altName w:val="Courier New"/>
    <w:panose1 w:val="00000000000000000000"/>
    <w:charset w:val="02"/>
    <w:family w:val="auto"/>
    <w:notTrueType/>
    <w:pitch w:val="variable"/>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ucidaT">
    <w:altName w:val="Times New Roman"/>
    <w:panose1 w:val="00000000000000000000"/>
    <w:charset w:val="00"/>
    <w:family w:val="auto"/>
    <w:notTrueType/>
    <w:pitch w:val="variable"/>
    <w:sig w:usb0="00000003" w:usb1="00000000" w:usb2="00000000" w:usb3="00000000" w:csb0="00000001" w:csb1="00000000"/>
  </w:font>
  <w:font w:name="LucidaSan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A1BE2"/>
    <w:rsid w:val="00070B0D"/>
    <w:rsid w:val="000A3BEB"/>
    <w:rsid w:val="00123066"/>
    <w:rsid w:val="00171560"/>
    <w:rsid w:val="001F56F2"/>
    <w:rsid w:val="00234BAA"/>
    <w:rsid w:val="003D354B"/>
    <w:rsid w:val="00400C3F"/>
    <w:rsid w:val="0042460E"/>
    <w:rsid w:val="0051748B"/>
    <w:rsid w:val="005744EC"/>
    <w:rsid w:val="005B200B"/>
    <w:rsid w:val="00614CC3"/>
    <w:rsid w:val="006751B9"/>
    <w:rsid w:val="00794BC7"/>
    <w:rsid w:val="007A6E7B"/>
    <w:rsid w:val="008B31C0"/>
    <w:rsid w:val="009152D3"/>
    <w:rsid w:val="00916AF7"/>
    <w:rsid w:val="00917607"/>
    <w:rsid w:val="009535CF"/>
    <w:rsid w:val="009906A7"/>
    <w:rsid w:val="009B44A7"/>
    <w:rsid w:val="00A90CA8"/>
    <w:rsid w:val="00A9619F"/>
    <w:rsid w:val="00B40151"/>
    <w:rsid w:val="00B47F0F"/>
    <w:rsid w:val="00B8260F"/>
    <w:rsid w:val="00BA1BE2"/>
    <w:rsid w:val="00CF289E"/>
    <w:rsid w:val="00CF4D53"/>
    <w:rsid w:val="00D836B4"/>
    <w:rsid w:val="00D91520"/>
    <w:rsid w:val="00D93C43"/>
    <w:rsid w:val="00DA4BBE"/>
    <w:rsid w:val="00DC40EC"/>
    <w:rsid w:val="00E86CEE"/>
    <w:rsid w:val="00F67415"/>
    <w:rsid w:val="00F7165C"/>
    <w:rsid w:val="00FA6868"/>
    <w:rsid w:val="00FE2B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7F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67415"/>
    <w:rPr>
      <w:color w:val="808080"/>
    </w:rPr>
  </w:style>
  <w:style w:type="paragraph" w:customStyle="1" w:styleId="EE93CA264701430E92960E75BB2BDC3B">
    <w:name w:val="EE93CA264701430E92960E75BB2BDC3B"/>
    <w:rsid w:val="00B47F0F"/>
    <w:pPr>
      <w:widowControl w:val="0"/>
      <w:jc w:val="both"/>
    </w:pPr>
  </w:style>
  <w:style w:type="paragraph" w:customStyle="1" w:styleId="BE343C0A3357424294F39F680051F9AF">
    <w:name w:val="BE343C0A3357424294F39F680051F9AF"/>
    <w:rsid w:val="00B47F0F"/>
    <w:pPr>
      <w:widowControl w:val="0"/>
      <w:jc w:val="both"/>
    </w:pPr>
  </w:style>
  <w:style w:type="paragraph" w:customStyle="1" w:styleId="A8FCE2F95BC3413FA53FA3C82B6C3AAB">
    <w:name w:val="A8FCE2F95BC3413FA53FA3C82B6C3AAB"/>
    <w:rsid w:val="00B47F0F"/>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D22F7-7285-4021-9B09-EAA82712F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专题报告万能版.dotx</Template>
  <TotalTime>6369</TotalTime>
  <Pages>9</Pages>
  <Words>1475</Words>
  <Characters>8411</Characters>
  <Application>Microsoft Office Word</Application>
  <DocSecurity>0</DocSecurity>
  <Lines>70</Lines>
  <Paragraphs>19</Paragraphs>
  <ScaleCrop>false</ScaleCrop>
  <Company/>
  <LinksUpToDate>false</LinksUpToDate>
  <CharactersWithSpaces>9867</CharactersWithSpaces>
  <SharedDoc>false</SharedDoc>
  <HLinks>
    <vt:vector size="60" baseType="variant">
      <vt:variant>
        <vt:i4>1179710</vt:i4>
      </vt:variant>
      <vt:variant>
        <vt:i4>59</vt:i4>
      </vt:variant>
      <vt:variant>
        <vt:i4>0</vt:i4>
      </vt:variant>
      <vt:variant>
        <vt:i4>5</vt:i4>
      </vt:variant>
      <vt:variant>
        <vt:lpwstr/>
      </vt:variant>
      <vt:variant>
        <vt:lpwstr>_Toc240795531</vt:lpwstr>
      </vt:variant>
      <vt:variant>
        <vt:i4>2031673</vt:i4>
      </vt:variant>
      <vt:variant>
        <vt:i4>50</vt:i4>
      </vt:variant>
      <vt:variant>
        <vt:i4>0</vt:i4>
      </vt:variant>
      <vt:variant>
        <vt:i4>5</vt:i4>
      </vt:variant>
      <vt:variant>
        <vt:lpwstr/>
      </vt:variant>
      <vt:variant>
        <vt:lpwstr>_Toc239840639</vt:lpwstr>
      </vt:variant>
      <vt:variant>
        <vt:i4>2031673</vt:i4>
      </vt:variant>
      <vt:variant>
        <vt:i4>44</vt:i4>
      </vt:variant>
      <vt:variant>
        <vt:i4>0</vt:i4>
      </vt:variant>
      <vt:variant>
        <vt:i4>5</vt:i4>
      </vt:variant>
      <vt:variant>
        <vt:lpwstr/>
      </vt:variant>
      <vt:variant>
        <vt:lpwstr>_Toc239840638</vt:lpwstr>
      </vt:variant>
      <vt:variant>
        <vt:i4>2031673</vt:i4>
      </vt:variant>
      <vt:variant>
        <vt:i4>38</vt:i4>
      </vt:variant>
      <vt:variant>
        <vt:i4>0</vt:i4>
      </vt:variant>
      <vt:variant>
        <vt:i4>5</vt:i4>
      </vt:variant>
      <vt:variant>
        <vt:lpwstr/>
      </vt:variant>
      <vt:variant>
        <vt:lpwstr>_Toc239840637</vt:lpwstr>
      </vt:variant>
      <vt:variant>
        <vt:i4>2031673</vt:i4>
      </vt:variant>
      <vt:variant>
        <vt:i4>32</vt:i4>
      </vt:variant>
      <vt:variant>
        <vt:i4>0</vt:i4>
      </vt:variant>
      <vt:variant>
        <vt:i4>5</vt:i4>
      </vt:variant>
      <vt:variant>
        <vt:lpwstr/>
      </vt:variant>
      <vt:variant>
        <vt:lpwstr>_Toc239840636</vt:lpwstr>
      </vt:variant>
      <vt:variant>
        <vt:i4>2031673</vt:i4>
      </vt:variant>
      <vt:variant>
        <vt:i4>26</vt:i4>
      </vt:variant>
      <vt:variant>
        <vt:i4>0</vt:i4>
      </vt:variant>
      <vt:variant>
        <vt:i4>5</vt:i4>
      </vt:variant>
      <vt:variant>
        <vt:lpwstr/>
      </vt:variant>
      <vt:variant>
        <vt:lpwstr>_Toc239840635</vt:lpwstr>
      </vt:variant>
      <vt:variant>
        <vt:i4>2031673</vt:i4>
      </vt:variant>
      <vt:variant>
        <vt:i4>20</vt:i4>
      </vt:variant>
      <vt:variant>
        <vt:i4>0</vt:i4>
      </vt:variant>
      <vt:variant>
        <vt:i4>5</vt:i4>
      </vt:variant>
      <vt:variant>
        <vt:lpwstr/>
      </vt:variant>
      <vt:variant>
        <vt:lpwstr>_Toc239840634</vt:lpwstr>
      </vt:variant>
      <vt:variant>
        <vt:i4>2031673</vt:i4>
      </vt:variant>
      <vt:variant>
        <vt:i4>14</vt:i4>
      </vt:variant>
      <vt:variant>
        <vt:i4>0</vt:i4>
      </vt:variant>
      <vt:variant>
        <vt:i4>5</vt:i4>
      </vt:variant>
      <vt:variant>
        <vt:lpwstr/>
      </vt:variant>
      <vt:variant>
        <vt:lpwstr>_Toc239840633</vt:lpwstr>
      </vt:variant>
      <vt:variant>
        <vt:i4>2031673</vt:i4>
      </vt:variant>
      <vt:variant>
        <vt:i4>8</vt:i4>
      </vt:variant>
      <vt:variant>
        <vt:i4>0</vt:i4>
      </vt:variant>
      <vt:variant>
        <vt:i4>5</vt:i4>
      </vt:variant>
      <vt:variant>
        <vt:lpwstr/>
      </vt:variant>
      <vt:variant>
        <vt:lpwstr>_Toc239840632</vt:lpwstr>
      </vt:variant>
      <vt:variant>
        <vt:i4>2031673</vt:i4>
      </vt:variant>
      <vt:variant>
        <vt:i4>2</vt:i4>
      </vt:variant>
      <vt:variant>
        <vt:i4>0</vt:i4>
      </vt:variant>
      <vt:variant>
        <vt:i4>5</vt:i4>
      </vt:variant>
      <vt:variant>
        <vt:lpwstr/>
      </vt:variant>
      <vt:variant>
        <vt:lpwstr>_Toc239840631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公司研究</dc:title>
  <dc:subject>公司研究</dc:subject>
  <dc:creator>王聃聃</dc:creator>
  <cp:keywords>模板</cp:keywords>
  <cp:lastModifiedBy>翁倩岚</cp:lastModifiedBy>
  <cp:revision>387</cp:revision>
  <cp:lastPrinted>2014-10-10T02:53:00Z</cp:lastPrinted>
  <dcterms:created xsi:type="dcterms:W3CDTF">2015-03-02T02:11:00Z</dcterms:created>
  <dcterms:modified xsi:type="dcterms:W3CDTF">2015-06-02T09:40:00Z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DCONTENTCONTROL_7592d0e5-15bb-4c61-826b-158ffdefbf84">
    <vt:lpwstr>GetData?Formula=PVBBUigiUmVwb3J0RGF0ZSIp&amp;FunctionName=PAR&amp;ContentType=TEXT&amp;Caption=报告日期&amp;DatasourceType=PAR&amp;StyleId=&amp;Other=yyyy年MM月dd日&amp;IsOnlyRefresh=False</vt:lpwstr>
  </property>
  <property fmtid="{D5CDD505-2E9C-101B-9397-08002B2CF9AE}" pid="3" name="BDCONTENTCONTROL_5c179c93-3177-4ab7-ae62-1dc3677fa3d8">
    <vt:lpwstr>GetData?Formula=PVBBUigiUmVwb3J0RGF0ZSIp&amp;FunctionName=PAR&amp;ContentType=TEXT&amp;Caption=报告日期&amp;DatasourceType=PAR&amp;StyleId=&amp;Other=yyyy年MM月dd日&amp;IsOnlyRefresh=False</vt:lpwstr>
  </property>
  <property fmtid="{D5CDD505-2E9C-101B-9397-08002B2CF9AE}" pid="4" name="BDCONTENTCONTROL_041a4771-0be9-4b94-b712-4a498ce28cf4">
    <vt:lpwstr>GetData?Formula=PVBBUigiQ29tUmFuayIp&amp;FunctionName=PAR&amp;ContentType=TEXT&amp;Caption=投资评级&amp;DatasourceType=PAR&amp;StyleId=&amp;Other=&amp;IsOnlyRefresh=False</vt:lpwstr>
  </property>
  <property fmtid="{D5CDD505-2E9C-101B-9397-08002B2CF9AE}" pid="5" name="BDCONTENTCONTROL_1bc0465d-2dae-4eb8-b81d-d7fb89f80052">
    <vt:lpwstr>GetData?Formula=PVBBUigiUmFua0FqdXN0Iik=&amp;FunctionName=PAR&amp;ContentType=TEXT&amp;Caption=评级变动&amp;DatasourceType=PAR&amp;StyleId=&amp;Other=&amp;IsOnlyRefresh=False</vt:lpwstr>
  </property>
  <property fmtid="{D5CDD505-2E9C-101B-9397-08002B2CF9AE}" pid="6" name="BDCONTENTCONTROL_2602561a-fc2b-4adc-befd-22fa63ba88c6">
    <vt:lpwstr>GetData?Formula=PURJWSgiUG9zdFNlcnZpY2UuYXNweD9TZXJ2aWNlPVN1YmplY3REYXRhU2VydmljZS5HZXRzJkZ1bmN0aW9uPUdldHNTZXJ2aWNlJkZMQUc9MSZPQkpfVldfSUQ9MTMwMDAwMDEiKQ==&amp;FunctionName=DIY&amp;ContentType=TABLE&amp;Caption=末页联系地址&amp;DatasourceType=DIYTable&amp;StyleId=0&amp;Other=13000001</vt:lpwstr>
  </property>
  <property fmtid="{D5CDD505-2E9C-101B-9397-08002B2CF9AE}" pid="7" name="BDCONTENTCONTROL_2602561a-fc2b-4adc-befd-22fa63ba88c6#2">
    <vt:lpwstr>&amp;IsOnlyRefresh=True&amp;StartRow=1&amp;RemainRows=2</vt:lpwstr>
  </property>
  <property fmtid="{D5CDD505-2E9C-101B-9397-08002B2CF9AE}" pid="8" name="BDCONTENTCONTROL_3add0a4e-8415-463a-afb4-ccd2e0c28ff9">
    <vt:lpwstr>GetData?Formula=PURJWSgiUG9zdFNlcnZpY2UuYXNweD9TZXJ2aWNlPVN1YmplY3REYXRhU2VydmljZS5HZXRzJkZ1bmN0aW9uPUdldHNTZXJ2aWNlJkZMQUc9MSZPQkpfVldfSUQ9MTMwMDAwMDUmQkRfQ09ERT0nNjAwMDI4JyZSZXBvcnREYXRlPScyMDA3JTJGNyUyRjExJTIwMCUzQTAwJTNBMDAnJm9yZGVyPSU3QiUyMkElMjIlM0E</vt:lpwstr>
  </property>
  <property fmtid="{D5CDD505-2E9C-101B-9397-08002B2CF9AE}" pid="9" name="BDCONTENTCONTROL_3add0a4e-8415-463a-afb4-ccd2e0c28ff9#2">
    <vt:lpwstr>wJTdEIik=&amp;FunctionName=DIY&amp;ContentType=TABLE&amp;Caption=报告评级比率分析&amp;DatasourceType=DIYTable&amp;StyleId=0&amp;Other=13000005&amp;IsOnlyRefresh=False</vt:lpwstr>
  </property>
  <property fmtid="{D5CDD505-2E9C-101B-9397-08002B2CF9AE}" pid="10" name="BDCONTENTCONTROL_a8d4360b-f486-4c10-adb5-ce3260e60d2a">
    <vt:lpwstr>GetData?Formula=PURJWSgiUG9zdFNlcnZpY2UuYXNweD9TZXJ2aWNlPVN1YmplY3REYXRhU2VydmljZS5HZXRzJkZ1bmN0aW9uPUdldHNTZXJ2aWNlJkZMQUc9MSZPQkpfVldfSUQ9MTMwMDAwMDUmQkRfQ09ERT0nNjAwMDI4JyZSZXBvcnREYXRlPScyMDE0LTktMjYnJm9yZGVyPSU3QiUyMkElMjIlM0EwJTdEIik=&amp;FunctionName=D</vt:lpwstr>
  </property>
  <property fmtid="{D5CDD505-2E9C-101B-9397-08002B2CF9AE}" pid="11" name="BDCONTENTCONTROL_a8d4360b-f486-4c10-adb5-ce3260e60d2a#2">
    <vt:lpwstr>IY&amp;ContentType=TABLE&amp;Caption=报告评级比率分析&amp;DatasourceType=DIYTable&amp;StyleId=0&amp;Other=13000005&amp;IsOnlyRefresh=False</vt:lpwstr>
  </property>
  <property fmtid="{D5CDD505-2E9C-101B-9397-08002B2CF9AE}" pid="12" name="BDCONTENTCONTROL_836ae175-361a-4de8-98eb-6e727a235a8c">
    <vt:lpwstr>GetData?Formula=PURJWSgiUG9zdFNlcnZpY2UuYXNweD9TZXJ2aWNlPVN1YmplY3REYXRhU2VydmljZS5HZXRzJkZ1bmN0aW9uPUdldHNTZXJ2aWNlJkZMQUc9MSZPQkpfVldfSUQ9MTMwMDAwMDUmQkRfQ09ERT0nNjAwMDI4JyZSZXBvcnREYXRlPScyMDA3LTctMTEnJm9yZGVyPSU3QiUyMkElMjIlM0EwJTdEIik=&amp;FunctionName=D</vt:lpwstr>
  </property>
  <property fmtid="{D5CDD505-2E9C-101B-9397-08002B2CF9AE}" pid="13" name="BDCONTENTCONTROL_836ae175-361a-4de8-98eb-6e727a235a8c#2">
    <vt:lpwstr>IY&amp;ContentType=TABLE&amp;Caption=报告评级比率分析&amp;DatasourceType=DIYTable&amp;StyleId=0&amp;Other=13000005&amp;IsOnlyRefresh=False</vt:lpwstr>
  </property>
  <property fmtid="{D5CDD505-2E9C-101B-9397-08002B2CF9AE}" pid="14" name="BDCONTENTCONTROL_fa65df0e-cad1-46fd-8d9a-66943b5311b5">
    <vt:lpwstr>GetData?Formula=PURJWSgiUG9zdFNlcnZpY2UuYXNweD9TZXJ2aWNlPVN1YmplY3REYXRhU2VydmljZS5HZXRzJkZ1bmN0aW9uPUdldHNTZXJ2aWNlJkZMQUc9MSZPQkpfVldfSUQ9MTMwMDAwMDUmQkRfQ09ERT0nNjAwMDI4JyZSZXBvcnREYXRlPScyMDA3LTctMTEnJm9yZGVyPSU3QiUyMkElMjIlM0EwJTdEIik=&amp;FunctionName=D</vt:lpwstr>
  </property>
  <property fmtid="{D5CDD505-2E9C-101B-9397-08002B2CF9AE}" pid="15" name="BDCONTENTCONTROL_fa65df0e-cad1-46fd-8d9a-66943b5311b5#2">
    <vt:lpwstr>IY&amp;ContentType=TABLE&amp;Caption=报告评级比率分析&amp;DatasourceType=DIYTable&amp;StyleId=0&amp;Other=13000005&amp;IsOnlyRefresh=False</vt:lpwstr>
  </property>
  <property fmtid="{D5CDD505-2E9C-101B-9397-08002B2CF9AE}" pid="16" name="BDCONTENTCONTROL_9b7c2d7f-a274-48a5-ade1-684fed3c8341">
    <vt:lpwstr>GetData?Formula=PURJWSgiUG9zdFNlcnZpY2UuYXNweD9TZXJ2aWNlPVN1YmplY3REYXRhU2VydmljZS5HZXRzJkZ1bmN0aW9uPUdldHNTZXJ2aWNlJkZMQUc9MSZPQkpfVldfSUQ9MTMwMDAwMDUmQkRfQ09ERT0nNjAwMDI4JyZSZXBvcnREYXRlPScyMDA3LTctMTEnJm9yZGVyPSU3QiUyMkElMjIlM0EwJTdEIik=&amp;FunctionName=D</vt:lpwstr>
  </property>
  <property fmtid="{D5CDD505-2E9C-101B-9397-08002B2CF9AE}" pid="17" name="BDCONTENTCONTROL_9b7c2d7f-a274-48a5-ade1-684fed3c8341#2">
    <vt:lpwstr>IY&amp;ContentType=TABLE&amp;Caption=报告评级比率分析&amp;DatasourceType=DIYTable&amp;StyleId=0&amp;Other=13000005&amp;IsOnlyRefresh=False</vt:lpwstr>
  </property>
  <property fmtid="{D5CDD505-2E9C-101B-9397-08002B2CF9AE}" pid="18" name="BDCONTENTCONTROL_6c067a8c-6d03-438e-9514-ba2fec9aa546#2">
    <vt:lpwstr>iKQ==&amp;FunctionName=DIY&amp;ContentType=TABLE&amp;Caption=报告评级比率分析&amp;DatasourceType=DIYTable&amp;StyleId=0&amp;Other=13000005&amp;IsOnlyRefresh=True&amp;StartRow=1&amp;RemainRows=6</vt:lpwstr>
  </property>
  <property fmtid="{D5CDD505-2E9C-101B-9397-08002B2CF9AE}" pid="19" name="RankAjust_Value">
    <vt:lpwstr>1</vt:lpwstr>
  </property>
  <property fmtid="{D5CDD505-2E9C-101B-9397-08002B2CF9AE}" pid="20" name="RankAjust_DisplayName">
    <vt:lpwstr>首次评级</vt:lpwstr>
  </property>
  <property fmtid="{D5CDD505-2E9C-101B-9397-08002B2CF9AE}" pid="21" name="BDCONTENTCONTROL_90a28eaf-840e-4104-995f-66ef522ba654">
    <vt:lpwstr>GetData?Formula=PVBBUigiQWltUHJpY2VIaWdoIik=&amp;FunctionName=PAR&amp;ContentType=TEXT&amp;Caption=目标价上限&amp;DatasourceType=PAR&amp;StyleId=&amp;Other=&amp;IsOnlyRefresh=False&amp;IsDataSubmission=</vt:lpwstr>
  </property>
  <property fmtid="{D5CDD505-2E9C-101B-9397-08002B2CF9AE}" pid="22" name="BDCONTENTCONTROL_33fd6f44-455f-4b93-8c76-ff7ef6f5596b">
    <vt:lpwstr>GetData?Formula=PURJWSgiUG9zdFNlcnZpY2UuYXNweD9TZXJ2aWNlPVN1YmplY3REYXRhU2VydmljZS5HZXRzJkZ1bmN0aW9uPUdldHNTZXJ2aWNlJkZMQUc9MSZPQkpfVldfSUQ9MTMwMDAwMDgmQkRfQ09ERT0nNjAwNTA1JyZSZXBvcnREYXRlPScyMDE0LTEwLTIxJyIp&amp;FunctionName=DIY&amp;ContentType=TABLE&amp;Caption=历史推</vt:lpwstr>
  </property>
  <property fmtid="{D5CDD505-2E9C-101B-9397-08002B2CF9AE}" pid="23" name="BDCONTENTCONTROL_33fd6f44-455f-4b93-8c76-ff7ef6f5596b#2">
    <vt:lpwstr>荐和股价走势图&amp;DatasourceType=DIYChart&amp;StyleId=45&amp;Other={"ID":45,"IsTile":false,"Title":null,"Height":2.0,"Width":3.0,"TemplateName":null,"StyleName":null,"IsExpand":false,"IsCustom":false,"IsMainMinValue":false,"IsSecMinValue":false,"IsDataLabel":false,"IsRefre</vt:lpwstr>
  </property>
  <property fmtid="{D5CDD505-2E9C-101B-9397-08002B2CF9AE}" pid="24" name="BDCONTENTCONTROL_33fd6f44-455f-4b93-8c76-ff7ef6f5596b#3">
    <vt:lpwstr>shTemplate":false,"CustomKey":null,"ObjViewID":"13000008"}&amp;IsOnlyRefresh=False&amp;IsDataSubmission=&amp;ContentColor=</vt:lpwstr>
  </property>
  <property fmtid="{D5CDD505-2E9C-101B-9397-08002B2CF9AE}" pid="25" name="BDCONTENTCONTROL_ce083c24-69a8-4a3c-be7d-5984dfcd714f">
    <vt:lpwstr>GetData?Formula=PURJWSgiUG9zdFNlcnZpY2UuYXNweD9TZXJ2aWNlPVN1YmplY3REYXRhU2VydmljZS5HZXRzJkZ1bmN0aW9uPUdldHNTZXJ2aWNlJkZMQUc9MSZPQkpfVldfSUQ9MTMwMDAwMDgmQkRfQ09ERT0nNjAwNTA1JyZSZXBvcnREYXRlPScyMDE0LTEwLTIxJyIp&amp;FunctionName=DIY&amp;ContentType=TABLE&amp;Caption=历史推</vt:lpwstr>
  </property>
  <property fmtid="{D5CDD505-2E9C-101B-9397-08002B2CF9AE}" pid="26" name="BDCONTENTCONTROL_ce083c24-69a8-4a3c-be7d-5984dfcd714f#2">
    <vt:lpwstr>荐和股价走势图&amp;DatasourceType=DIYChart&amp;StyleId=45&amp;Other={"ID":45,"IsTile":false,"Title":null,"Height":2.3,"Width":3.0,"TemplateName":null,"StyleName":null,"IsExpand":false,"IsCustom":false,"IsMainMinValue":false,"IsSecMinValue":false,"IsDataLabel":false,"IsRefre</vt:lpwstr>
  </property>
  <property fmtid="{D5CDD505-2E9C-101B-9397-08002B2CF9AE}" pid="27" name="BDCONTENTCONTROL_ce083c24-69a8-4a3c-be7d-5984dfcd714f#3">
    <vt:lpwstr>shTemplate":false,"CustomKey":null,"ObjViewID":"13000008"}&amp;IsOnlyRefresh=False&amp;IsDataSubmission=&amp;ContentColor=</vt:lpwstr>
  </property>
  <property fmtid="{D5CDD505-2E9C-101B-9397-08002B2CF9AE}" pid="28" name="BDCONTENTCONTROL_0694d7ec-429e-443a-8333-6c91828fed93">
    <vt:lpwstr>GetData?Formula=PURJWSgiUG9zdFNlcnZpY2UuYXNweD9TZXJ2aWNlPVN1YmplY3REYXRhU2VydmljZS5HZXRzJkZ1bmN0aW9uPUdldHNTZXJ2aWNlJkZMQUc9MSZPQkpfVldfSUQ9MTMwMDAwMjcmVGl0bGU9JyR7QkRDT05URU5UQ09OVFJPTF9BVVRPX1NBVkVfVGl0bGV9JyZSZXBvcnREYXRlPScke1JlcG9ydERhdGVfVmFsdWV9JyI</vt:lpwstr>
  </property>
  <property fmtid="{D5CDD505-2E9C-101B-9397-08002B2CF9AE}" pid="29" name="BDCONTENTCONTROL_0694d7ec-429e-443a-8333-6c91828fed93#2">
    <vt:lpwstr>p&amp;FunctionName=DIY&amp;ContentType=TABLE&amp;Caption=专题相关报告万能版&amp;DatasourceType=DIYTable&amp;StyleId=0&amp;Other=13000027&amp;IsOnlyRefresh=True&amp;StartRow=0&amp;RemainRows=5&amp;IsDataSubmission=&amp;ContentColor=&amp;HiddenCondition=&amp;Filter=</vt:lpwstr>
  </property>
  <property fmtid="{D5CDD505-2E9C-101B-9397-08002B2CF9AE}" pid="30" name="BDCONTENTCONTROL_84bd61de-94b7-4c7c-8f81-60dfebe1887e">
    <vt:lpwstr>GetData?Formula=PVBBUigiUmVwb3J0VHlwZTEiKQ==&amp;FunctionName=PAR&amp;ContentType=TEXT&amp;Caption=报告类型&amp;DatasourceType=PAR&amp;StyleId=&amp;Other=&amp;IsOnlyRefresh=False&amp;IsDataSubmission=&amp;ContentColor=&amp;HiddenCondition=&amp;Filter=</vt:lpwstr>
  </property>
  <property fmtid="{D5CDD505-2E9C-101B-9397-08002B2CF9AE}" pid="31" name="BDCONTENTCONTROL_AUTO_SAVE_Title&#10;_DisplayName">
    <vt:lpwstr>XX专题分析报告</vt:lpwstr>
  </property>
  <property fmtid="{D5CDD505-2E9C-101B-9397-08002B2CF9AE}" pid="32" name="BDCONTENTCONTROL_3df14c52-472a-44c1-9e63-51d70c06bfcd">
    <vt:lpwstr>GetData?Formula=PURJWSgiUG9zdFNlcnZpY2UuYXNweD9TZXJ2aWNlPVN1YmplY3REYXRhU2VydmljZS5HZXRzJkZ1bmN0aW9uPUdldHNTZXJ2aWNlJkZMQUc9MSZPQkpfVldfSUQ9MTMwMDAwMDQmVVNFUklEPScke1N0YWZmSURfVmFsdWV9JyIp&amp;FunctionName=DIY&amp;ContentType=TABLE&amp;Caption=作者展示&amp;DatasourceType=DIY</vt:lpwstr>
  </property>
  <property fmtid="{D5CDD505-2E9C-101B-9397-08002B2CF9AE}" pid="33" name="BDCONTENTCONTROL_3df14c52-472a-44c1-9e63-51d70c06bfcd#2">
    <vt:lpwstr>Table&amp;StyleId=44&amp;Other=13000004&amp;IsOnlyRefresh=True&amp;StartRow=1&amp;RemainRows=1&amp;IsDataSubmission=&amp;ContentColor=&amp;HiddenCondition=&amp;Filter=</vt:lpwstr>
  </property>
  <property fmtid="{D5CDD505-2E9C-101B-9397-08002B2CF9AE}" pid="34" name="BDCONTENTCONTROL_451e08ee-3959-4251-8d5f-f302d5f0f153">
    <vt:lpwstr>GetData?Formula=PVBBUigiUmVwb3J0VHlwZTEiKQ==&amp;FunctionName=PAR&amp;ContentType=TEXT&amp;Caption=报告类型&amp;DatasourceType=PAR&amp;StyleId=&amp;Other=&amp;IsOnlyRefresh=False&amp;IsDataSubmission=&amp;ContentColor=&amp;HiddenCondition=&amp;Filter=</vt:lpwstr>
  </property>
  <property fmtid="{D5CDD505-2E9C-101B-9397-08002B2CF9AE}" pid="35" name="BDCONTENTCONTROL_AUTO_SAVE_Title_DisplayName">
    <vt:lpwstr>XX专题分析报告</vt:lpwstr>
  </property>
  <property fmtid="{D5CDD505-2E9C-101B-9397-08002B2CF9AE}" pid="36" name="docSaved">
    <vt:lpwstr>true</vt:lpwstr>
  </property>
  <property fmtid="{D5CDD505-2E9C-101B-9397-08002B2CF9AE}" pid="37" name="BD_Doc_Temp_ID">
    <vt:lpwstr>edad429b-bbf6-42f2-a02a-6031bfc87e63</vt:lpwstr>
  </property>
  <property fmtid="{D5CDD505-2E9C-101B-9397-08002B2CF9AE}" pid="38" name="ReportType1_Value">
    <vt:lpwstr>ff80808147862c3b01478666abf202d0</vt:lpwstr>
  </property>
  <property fmtid="{D5CDD505-2E9C-101B-9397-08002B2CF9AE}" pid="39" name="ReportType1_DisplayName">
    <vt:lpwstr>基金投资策略报告</vt:lpwstr>
  </property>
  <property fmtid="{D5CDD505-2E9C-101B-9397-08002B2CF9AE}" pid="40" name="ReportDate_Value">
    <vt:lpwstr>2015-06-01</vt:lpwstr>
  </property>
  <property fmtid="{D5CDD505-2E9C-101B-9397-08002B2CF9AE}" pid="41" name="ReportDate_DisplayName">
    <vt:lpwstr>2015年06月01日</vt:lpwstr>
  </property>
  <property fmtid="{D5CDD505-2E9C-101B-9397-08002B2CF9AE}" pid="42" name="StaffID_Value">
    <vt:lpwstr>FF00C761D2347BA0E0430100007FAB3A;</vt:lpwstr>
  </property>
  <property fmtid="{D5CDD505-2E9C-101B-9397-08002B2CF9AE}" pid="43" name="StaffID_DisplayName">
    <vt:lpwstr>王聃聃-公募产品组;</vt:lpwstr>
  </property>
  <property fmtid="{D5CDD505-2E9C-101B-9397-08002B2CF9AE}" pid="44" name="TemplateID">
    <vt:lpwstr> </vt:lpwstr>
  </property>
  <property fmtid="{D5CDD505-2E9C-101B-9397-08002B2CF9AE}" pid="45" name="BDCONTENTCONTROL_AUTO_SAVE_SubTitle">
    <vt:lpwstr>短期波折难免，改善组合结构</vt:lpwstr>
  </property>
  <property fmtid="{D5CDD505-2E9C-101B-9397-08002B2CF9AE}" pid="46" name="BDCONTENTCONTROL_AUTO_SAVE_Summary">
    <vt:lpwstr>投资策略_x000d_就短期来看，经济下行压力依然存在，在经济数据尚未见底前，稳增长的政策措施和力度仍然值得期待。与此同时资金面宽松的格局未发生变化，除了资金利率的下行，内地与相关基金互认也有助A股国际化，同时从公募基金近期的发行来看，动辄百亿的募集规模也有助于增量资金的加速入市。但需要注意的是，在市场快速上行的背景下，证监会也在通过加快股票供给、持续加强对市场违规事件的调查来调节市场运行节奏，短期来看政策及消息面对A 股市场的调控及扰动加大，也对短期市场情绪以及增量资金入市起到一定的抑制作用，尤其是今年以来涨幅较大</vt:lpwstr>
  </property>
  <property fmtid="{D5CDD505-2E9C-101B-9397-08002B2CF9AE}" pid="47" name="BDCONTENTCONTROL_AUTO_SAVE_Summary#2">
    <vt:lpwstr>的创业板，尽管代表经济结构转型的创业板具有广阔的发展前景以及政策支持，但也需防范市场局部震荡风险，尤其是需要规避无业绩支撑短期涨幅过高的个股。_x000d_市场自身调节以及消息面的扰动使得震荡风险、尤其是结构性风险加剧，基金组合仍需要从组合结构角度增强安全边际、防患于未然，但牛市中短期波折难免，维系牛市格局的基础仍没有发生改变，尚不必进行大类资产配置的调整。在具体的产品选择上，我们延续上一期的建议，重点关注以下几个方面，首先，关注持股与同业交叉较少且选股能力突出的产品，规避局部热点板块的回撤甚至踩踏风险，事实来看今年</vt:lpwstr>
  </property>
  <property fmtid="{D5CDD505-2E9C-101B-9397-08002B2CF9AE}" pid="48" name="BDCONTENTCONTROL_AUTO_SAVE_Summary#3">
    <vt:lpwstr>以来仍有基金通过持有相对冷门的个股实现了突出的管理业绩，其当下较好的风险收益配比优势值得继续关注；其次，结合基金重仓股平均估值水平以及历史投资风格,选择选股风格稳健尤其是立足中长期投资的价值型基金，适当规避局部结构性估值风险；第三，优选灵活型产品进行配置，把握市场波动节奏和投资机会的切换。_x000d_对于2015年06月的基金组合：_x000d_本月进攻性组合调入嘉实领先成长。组合适当侧重平衡型以及灵活型产品，整体风格相对稳健。其中，光大配置相对均衡，风险收益配比较好，且具备较强的选股能力；广发行业侧重中游制造业，基金经理注重</vt:lpwstr>
  </property>
  <property fmtid="{D5CDD505-2E9C-101B-9397-08002B2CF9AE}" pid="49" name="BDCONTENTCONTROL_AUTO_SAVE_Summary#4">
    <vt:lpwstr>灵活操作；大摩主题对主题投资以及市场热点有不错的把握；嘉实领先侧重低估值成长股，基金经理风格相对稳健且注重中长期选股收益；宝盈策略在个股自下而上的把握以及前瞻性布局上均具备优势；_x000d_防御型组合本月不进行调整，组合风格相对侧重低估值价值类股票，权益类资产的配置比例为标配。组合内华安逆向的投资较为灵活，对风格轮动、行业轮动以及主题轮动有不错的把握；嘉实领先侧重低估值成长股，基金经理风格相对稳健且注重中长期选股收益；富国天成股票仓位适中，风险控制能力较强，侧重稳健成长类风格股票和低估值蓝筹股；此外，两只债券型基金</vt:lpwstr>
  </property>
  <property fmtid="{D5CDD505-2E9C-101B-9397-08002B2CF9AE}" pid="50" name="BDCONTENTCONTROL_AUTO_SAVE_Summary#5">
    <vt:lpwstr>占据40%的比例作为防御部分的配置；_x000d_作为灵活配置型组合，短期从控制风险的角度，仍保持中性的权益类产品的配置，组合内权益类产品比例为50%，权益类基金关注添富价值和大摩多因子策略。添富价值重点挖掘低估值板块以及“以时间换空间”的价值投资方法，获取中长期业绩的稳定性；大摩多因子策略采用多因子量化投资的方式，无论是收益还是风险控制都取得不错的效果。</vt:lpwstr>
  </property>
</Properties>
</file>