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000" w:rsidRDefault="008B17A3" w:rsidP="006A5488">
      <w:pPr>
        <w:widowControl/>
        <w:spacing w:after="120"/>
        <w:ind w:left="3430"/>
        <w:rPr>
          <w:rFonts w:ascii="楷体" w:eastAsia="楷体" w:hAnsi="楷体"/>
          <w:b/>
          <w:bCs/>
          <w:color w:val="0070C0"/>
          <w:kern w:val="0"/>
          <w:sz w:val="24"/>
          <w:szCs w:val="20"/>
          <w:lang w:val="en-GB"/>
        </w:rPr>
      </w:pPr>
      <w:r>
        <w:rPr>
          <w:rFonts w:ascii="楷体" w:eastAsia="楷体" w:hAnsi="楷体"/>
          <w:b/>
          <w:bCs/>
          <w:noProof/>
          <w:color w:val="0070C0"/>
          <w:kern w:val="0"/>
          <w:sz w:val="24"/>
          <w:szCs w:val="20"/>
        </w:rPr>
        <w:pict>
          <v:shapetype id="_x0000_t202" coordsize="21600,21600" o:spt="202" path="m,l,21600r21600,l21600,xe">
            <v:stroke joinstyle="miter"/>
            <v:path gradientshapeok="t" o:connecttype="rect"/>
          </v:shapetype>
          <v:shape id="_x0000_s2051" type="#_x0000_t202" style="position:absolute;left:0;text-align:left;margin-left:1.5pt;margin-top:279.2pt;width:148.5pt;height:275.6pt;z-index:251658240;mso-width-relative:margin;mso-height-relative:margin" strokecolor="white [3212]" strokeweight="0">
            <v:stroke dashstyle="1 1" endcap="round"/>
            <v:textbox style="mso-next-textbox:#_x0000_s2051">
              <w:txbxContent>
                <w:p w:rsidR="008316C1" w:rsidRPr="00635482" w:rsidRDefault="008316C1" w:rsidP="005B0E69">
                  <w:pPr>
                    <w:rPr>
                      <w:rFonts w:ascii="楷体" w:eastAsia="楷体" w:hAnsi="楷体"/>
                      <w:b/>
                      <w:lang w:val="en-GB"/>
                    </w:rPr>
                  </w:pPr>
                  <w:r w:rsidRPr="00635482">
                    <w:rPr>
                      <w:rFonts w:ascii="楷体" w:eastAsia="楷体" w:hAnsi="楷体"/>
                      <w:b/>
                      <w:lang w:val="en-GB"/>
                    </w:rPr>
                    <w:t>凯石工场移动平台</w:t>
                  </w:r>
                  <w:r w:rsidRPr="00635482">
                    <w:rPr>
                      <w:rFonts w:ascii="楷体" w:eastAsia="楷体" w:hAnsi="楷体" w:hint="eastAsia"/>
                      <w:b/>
                      <w:lang w:val="en-GB"/>
                    </w:rPr>
                    <w:t>：</w:t>
                  </w:r>
                </w:p>
                <w:p w:rsidR="008316C1" w:rsidRPr="00635482" w:rsidRDefault="008316C1" w:rsidP="005B0E69">
                  <w:pPr>
                    <w:rPr>
                      <w:rFonts w:ascii="楷体" w:eastAsia="楷体" w:hAnsi="楷体"/>
                      <w:lang w:val="en-GB"/>
                    </w:rPr>
                  </w:pPr>
                </w:p>
                <w:p w:rsidR="008316C1" w:rsidRPr="00635482" w:rsidRDefault="008316C1" w:rsidP="005B0E69">
                  <w:r w:rsidRPr="00635482">
                    <w:rPr>
                      <w:rFonts w:ascii="楷体" w:eastAsia="楷体" w:hAnsi="楷体" w:hint="eastAsia"/>
                      <w:lang w:val="en-GB"/>
                    </w:rPr>
                    <w:t>官方微博：</w:t>
                  </w:r>
                </w:p>
                <w:p w:rsidR="008316C1" w:rsidRPr="00635482" w:rsidRDefault="008316C1" w:rsidP="005B0E69">
                  <w:pPr>
                    <w:rPr>
                      <w:rFonts w:ascii="楷体" w:eastAsia="楷体" w:hAnsi="楷体"/>
                      <w:lang w:val="en-GB"/>
                    </w:rPr>
                  </w:pPr>
                  <w:r w:rsidRPr="00635482">
                    <w:rPr>
                      <w:rFonts w:ascii="楷体" w:eastAsia="楷体" w:hAnsi="楷体" w:hint="eastAsia"/>
                      <w:lang w:val="en-GB"/>
                    </w:rPr>
                    <w:t>凯石财富工场</w:t>
                  </w:r>
                </w:p>
                <w:p w:rsidR="008316C1" w:rsidRDefault="008316C1" w:rsidP="005B0E69">
                  <w:r>
                    <w:rPr>
                      <w:rFonts w:hint="eastAsia"/>
                      <w:noProof/>
                    </w:rPr>
                    <w:drawing>
                      <wp:inline distT="0" distB="0" distL="0" distR="0">
                        <wp:extent cx="933450" cy="933450"/>
                        <wp:effectExtent l="19050" t="0" r="0" b="0"/>
                        <wp:docPr id="6" name="图片 5" descr="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6.jpg"/>
                                <pic:cNvPicPr/>
                              </pic:nvPicPr>
                              <pic:blipFill>
                                <a:blip r:embed="rId8"/>
                                <a:stretch>
                                  <a:fillRect/>
                                </a:stretch>
                              </pic:blipFill>
                              <pic:spPr>
                                <a:xfrm>
                                  <a:off x="0" y="0"/>
                                  <a:ext cx="933450" cy="933450"/>
                                </a:xfrm>
                                <a:prstGeom prst="rect">
                                  <a:avLst/>
                                </a:prstGeom>
                              </pic:spPr>
                            </pic:pic>
                          </a:graphicData>
                        </a:graphic>
                      </wp:inline>
                    </w:drawing>
                  </w:r>
                </w:p>
                <w:p w:rsidR="008316C1" w:rsidRDefault="008316C1" w:rsidP="005B0E69">
                  <w:pPr>
                    <w:rPr>
                      <w:rFonts w:ascii="楷体" w:eastAsia="楷体" w:hAnsi="楷体"/>
                      <w:b/>
                      <w:lang w:val="en-GB"/>
                    </w:rPr>
                  </w:pPr>
                </w:p>
                <w:p w:rsidR="008316C1" w:rsidRPr="00635482" w:rsidRDefault="008316C1" w:rsidP="005B0E69">
                  <w:pPr>
                    <w:rPr>
                      <w:rFonts w:ascii="楷体" w:eastAsia="楷体" w:hAnsi="楷体"/>
                      <w:lang w:val="en-GB"/>
                    </w:rPr>
                  </w:pPr>
                  <w:r w:rsidRPr="00635482">
                    <w:rPr>
                      <w:rFonts w:ascii="楷体" w:eastAsia="楷体" w:hAnsi="楷体" w:hint="eastAsia"/>
                      <w:lang w:val="en-GB"/>
                    </w:rPr>
                    <w:t>官方微信：</w:t>
                  </w:r>
                </w:p>
                <w:p w:rsidR="008316C1" w:rsidRPr="00635482" w:rsidRDefault="008316C1" w:rsidP="005B0E69">
                  <w:pPr>
                    <w:rPr>
                      <w:rFonts w:ascii="楷体" w:eastAsia="楷体" w:hAnsi="楷体"/>
                      <w:lang w:val="en-GB"/>
                    </w:rPr>
                  </w:pPr>
                  <w:r w:rsidRPr="00635482">
                    <w:rPr>
                      <w:rFonts w:ascii="楷体" w:eastAsia="楷体" w:hAnsi="楷体" w:hint="eastAsia"/>
                      <w:lang w:val="en-GB"/>
                    </w:rPr>
                    <w:t>凯石财富知音订阅号</w:t>
                  </w:r>
                </w:p>
                <w:p w:rsidR="008316C1" w:rsidRDefault="008316C1" w:rsidP="005B0E69">
                  <w:r w:rsidRPr="00635482">
                    <w:rPr>
                      <w:rFonts w:ascii="楷体" w:eastAsia="楷体" w:hAnsi="楷体"/>
                      <w:b/>
                      <w:noProof/>
                    </w:rPr>
                    <w:drawing>
                      <wp:inline distT="0" distB="0" distL="0" distR="0">
                        <wp:extent cx="952500" cy="952500"/>
                        <wp:effectExtent l="19050" t="0" r="0" b="0"/>
                        <wp:docPr id="1" name="图片 7" descr="凯石财富知音订阅号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凯石财富知音订阅号3.jpg"/>
                                <pic:cNvPicPr/>
                              </pic:nvPicPr>
                              <pic:blipFill>
                                <a:blip r:embed="rId9" cstate="print"/>
                                <a:stretch>
                                  <a:fillRect/>
                                </a:stretch>
                              </pic:blipFill>
                              <pic:spPr>
                                <a:xfrm>
                                  <a:off x="0" y="0"/>
                                  <a:ext cx="952500" cy="952500"/>
                                </a:xfrm>
                                <a:prstGeom prst="rect">
                                  <a:avLst/>
                                </a:prstGeom>
                              </pic:spPr>
                            </pic:pic>
                          </a:graphicData>
                        </a:graphic>
                      </wp:inline>
                    </w:drawing>
                  </w:r>
                </w:p>
              </w:txbxContent>
            </v:textbox>
          </v:shape>
        </w:pict>
      </w:r>
      <w:r w:rsidR="00026FF9" w:rsidRPr="005B7CDB">
        <w:rPr>
          <w:rFonts w:ascii="楷体" w:eastAsia="楷体" w:hAnsi="楷体" w:hint="eastAsia"/>
          <w:b/>
          <w:bCs/>
          <w:color w:val="0070C0"/>
          <w:kern w:val="0"/>
          <w:sz w:val="24"/>
          <w:szCs w:val="20"/>
          <w:lang w:val="en-GB"/>
        </w:rPr>
        <w:t>导语</w:t>
      </w:r>
    </w:p>
    <w:p w:rsidR="00B76DF9" w:rsidRPr="0063118A" w:rsidRDefault="00F41350" w:rsidP="00F620AE">
      <w:pPr>
        <w:pStyle w:val="ab"/>
        <w:spacing w:after="163"/>
        <w:ind w:firstLineChars="200" w:firstLine="420"/>
        <w:rPr>
          <w:rFonts w:ascii="楷体" w:eastAsia="楷体" w:hAnsi="楷体" w:cs="宋体"/>
          <w:color w:val="000000" w:themeColor="text1"/>
          <w:szCs w:val="21"/>
        </w:rPr>
      </w:pPr>
      <w:r w:rsidRPr="0063118A">
        <w:rPr>
          <w:rFonts w:ascii="楷体" w:eastAsia="楷体" w:hAnsi="楷体" w:hint="eastAsia"/>
          <w:szCs w:val="21"/>
        </w:rPr>
        <w:t>上周（</w:t>
      </w:r>
      <w:r w:rsidR="001B2F96">
        <w:rPr>
          <w:rFonts w:ascii="楷体" w:eastAsia="楷体" w:hAnsi="楷体" w:hint="eastAsia"/>
          <w:szCs w:val="21"/>
        </w:rPr>
        <w:t>2015.3.23</w:t>
      </w:r>
      <w:r w:rsidR="005565BB" w:rsidRPr="0063118A">
        <w:rPr>
          <w:rFonts w:ascii="楷体" w:eastAsia="楷体" w:hAnsi="楷体" w:hint="eastAsia"/>
          <w:szCs w:val="21"/>
        </w:rPr>
        <w:t>~3</w:t>
      </w:r>
      <w:r w:rsidR="001B2F96">
        <w:rPr>
          <w:rFonts w:ascii="楷体" w:eastAsia="楷体" w:hAnsi="楷体" w:hint="eastAsia"/>
          <w:szCs w:val="21"/>
        </w:rPr>
        <w:t>.27</w:t>
      </w:r>
      <w:r w:rsidR="001544A8" w:rsidRPr="0063118A">
        <w:rPr>
          <w:rFonts w:ascii="楷体" w:eastAsia="楷体" w:hAnsi="楷体" w:hint="eastAsia"/>
          <w:szCs w:val="21"/>
        </w:rPr>
        <w:t>）</w:t>
      </w:r>
      <w:r w:rsidR="008B5DE7">
        <w:rPr>
          <w:rFonts w:ascii="楷体" w:eastAsia="楷体" w:hAnsi="楷体" w:hint="eastAsia"/>
          <w:szCs w:val="21"/>
        </w:rPr>
        <w:t>，</w:t>
      </w:r>
      <w:r w:rsidR="007205AE">
        <w:rPr>
          <w:rFonts w:ascii="楷体" w:eastAsia="楷体" w:hAnsi="楷体" w:cs="宋体" w:hint="eastAsia"/>
          <w:color w:val="000000" w:themeColor="text1"/>
          <w:szCs w:val="21"/>
        </w:rPr>
        <w:t>主板和创业板在连续冲高后震荡修整，上</w:t>
      </w:r>
      <w:r w:rsidR="007205AE" w:rsidRPr="007B6C0F">
        <w:rPr>
          <w:rFonts w:ascii="楷体" w:eastAsia="楷体" w:hAnsi="楷体" w:cs="宋体" w:hint="eastAsia"/>
          <w:color w:val="000000" w:themeColor="text1"/>
          <w:szCs w:val="21"/>
        </w:rPr>
        <w:t>证指数周涨</w:t>
      </w:r>
      <w:r w:rsidR="007205AE">
        <w:rPr>
          <w:rFonts w:ascii="楷体" w:eastAsia="楷体" w:hAnsi="楷体" w:cs="宋体" w:hint="eastAsia"/>
          <w:color w:val="000000" w:themeColor="text1"/>
          <w:szCs w:val="21"/>
        </w:rPr>
        <w:t>2.04%</w:t>
      </w:r>
      <w:r w:rsidR="007205AE" w:rsidRPr="007B6C0F">
        <w:rPr>
          <w:rFonts w:ascii="楷体" w:eastAsia="楷体" w:hAnsi="楷体" w:cs="宋体" w:hint="eastAsia"/>
          <w:color w:val="000000" w:themeColor="text1"/>
          <w:szCs w:val="21"/>
        </w:rPr>
        <w:t>，沪深300周涨</w:t>
      </w:r>
      <w:r w:rsidR="007205AE">
        <w:rPr>
          <w:rFonts w:ascii="楷体" w:eastAsia="楷体" w:hAnsi="楷体" w:cs="宋体" w:hint="eastAsia"/>
          <w:color w:val="000000" w:themeColor="text1"/>
          <w:szCs w:val="21"/>
        </w:rPr>
        <w:t>2.03%</w:t>
      </w:r>
      <w:r w:rsidR="007205AE" w:rsidRPr="007B6C0F">
        <w:rPr>
          <w:rFonts w:ascii="楷体" w:eastAsia="楷体" w:hAnsi="楷体" w:cs="宋体" w:hint="eastAsia"/>
          <w:color w:val="000000" w:themeColor="text1"/>
          <w:szCs w:val="21"/>
        </w:rPr>
        <w:t>,</w:t>
      </w:r>
      <w:r w:rsidR="007205AE">
        <w:rPr>
          <w:rFonts w:ascii="楷体" w:eastAsia="楷体" w:hAnsi="楷体" w:cs="宋体" w:hint="eastAsia"/>
          <w:color w:val="000000" w:themeColor="text1"/>
          <w:szCs w:val="21"/>
        </w:rPr>
        <w:t>中小板</w:t>
      </w:r>
      <w:r w:rsidR="007205AE" w:rsidRPr="007B6C0F">
        <w:rPr>
          <w:rFonts w:ascii="楷体" w:eastAsia="楷体" w:hAnsi="楷体" w:cs="宋体" w:hint="eastAsia"/>
          <w:color w:val="000000" w:themeColor="text1"/>
          <w:szCs w:val="21"/>
        </w:rPr>
        <w:t>指和创业板指分别</w:t>
      </w:r>
      <w:r w:rsidR="007205AE">
        <w:rPr>
          <w:rFonts w:ascii="楷体" w:eastAsia="楷体" w:hAnsi="楷体" w:cs="宋体" w:hint="eastAsia"/>
          <w:color w:val="000000" w:themeColor="text1"/>
          <w:szCs w:val="21"/>
        </w:rPr>
        <w:t>周涨6.11%和4.97%</w:t>
      </w:r>
      <w:r w:rsidR="007205AE" w:rsidRPr="007B6C0F">
        <w:rPr>
          <w:rFonts w:ascii="楷体" w:eastAsia="楷体" w:hAnsi="楷体" w:cs="宋体" w:hint="eastAsia"/>
          <w:color w:val="000000" w:themeColor="text1"/>
          <w:szCs w:val="21"/>
        </w:rPr>
        <w:t>和</w:t>
      </w:r>
      <w:r w:rsidR="007205AE">
        <w:rPr>
          <w:rFonts w:ascii="楷体" w:eastAsia="楷体" w:hAnsi="楷体" w:cs="宋体" w:hint="eastAsia"/>
          <w:color w:val="000000" w:themeColor="text1"/>
          <w:szCs w:val="21"/>
        </w:rPr>
        <w:t>。2</w:t>
      </w:r>
      <w:r w:rsidR="007205AE" w:rsidRPr="007B6C0F">
        <w:rPr>
          <w:rFonts w:ascii="楷体" w:eastAsia="楷体" w:hAnsi="楷体" w:cs="宋体" w:hint="eastAsia"/>
          <w:color w:val="000000" w:themeColor="text1"/>
          <w:szCs w:val="21"/>
        </w:rPr>
        <w:t>9</w:t>
      </w:r>
      <w:r w:rsidR="007205AE">
        <w:rPr>
          <w:rFonts w:ascii="楷体" w:eastAsia="楷体" w:hAnsi="楷体" w:cs="宋体" w:hint="eastAsia"/>
          <w:color w:val="000000" w:themeColor="text1"/>
          <w:szCs w:val="21"/>
        </w:rPr>
        <w:t>个中信一级行业有27个</w:t>
      </w:r>
      <w:r w:rsidR="007205AE" w:rsidRPr="007B6C0F">
        <w:rPr>
          <w:rFonts w:ascii="楷体" w:eastAsia="楷体" w:hAnsi="楷体" w:cs="宋体" w:hint="eastAsia"/>
          <w:color w:val="000000" w:themeColor="text1"/>
          <w:szCs w:val="21"/>
        </w:rPr>
        <w:t>上涨</w:t>
      </w:r>
      <w:r w:rsidR="007205AE">
        <w:rPr>
          <w:rFonts w:ascii="楷体" w:eastAsia="楷体" w:hAnsi="楷体" w:cs="宋体" w:hint="eastAsia"/>
          <w:color w:val="000000" w:themeColor="text1"/>
          <w:szCs w:val="21"/>
        </w:rPr>
        <w:t>，涨幅靠前的行业为餐饮旅游（9.66%）和建筑（7.62%）。经济数据方面，</w:t>
      </w:r>
      <w:r w:rsidR="007205AE" w:rsidRPr="004E7307">
        <w:rPr>
          <w:rFonts w:ascii="楷体" w:eastAsia="楷体" w:hAnsi="楷体" w:cs="宋体" w:hint="eastAsia"/>
          <w:color w:val="000000" w:themeColor="text1"/>
          <w:szCs w:val="21"/>
        </w:rPr>
        <w:t>3月</w:t>
      </w:r>
      <w:r w:rsidR="007205AE">
        <w:rPr>
          <w:rFonts w:ascii="楷体" w:eastAsia="楷体" w:hAnsi="楷体" w:cs="宋体" w:hint="eastAsia"/>
          <w:color w:val="000000" w:themeColor="text1"/>
          <w:szCs w:val="21"/>
        </w:rPr>
        <w:t>份</w:t>
      </w:r>
      <w:r w:rsidR="007205AE" w:rsidRPr="004E7307">
        <w:rPr>
          <w:rFonts w:ascii="楷体" w:eastAsia="楷体" w:hAnsi="楷体" w:cs="宋体" w:hint="eastAsia"/>
          <w:color w:val="000000" w:themeColor="text1"/>
          <w:szCs w:val="21"/>
        </w:rPr>
        <w:t>汇丰PMI初值为49.2%，创11</w:t>
      </w:r>
      <w:r w:rsidR="007205AE">
        <w:rPr>
          <w:rFonts w:ascii="楷体" w:eastAsia="楷体" w:hAnsi="楷体" w:cs="宋体" w:hint="eastAsia"/>
          <w:color w:val="000000" w:themeColor="text1"/>
          <w:szCs w:val="21"/>
        </w:rPr>
        <w:t>个月新低，较</w:t>
      </w:r>
      <w:r w:rsidR="007205AE" w:rsidRPr="004E7307">
        <w:rPr>
          <w:rFonts w:ascii="楷体" w:eastAsia="楷体" w:hAnsi="楷体" w:cs="宋体" w:hint="eastAsia"/>
          <w:color w:val="000000" w:themeColor="text1"/>
          <w:szCs w:val="21"/>
        </w:rPr>
        <w:t>上月的50.7%回落了1.5</w:t>
      </w:r>
      <w:r w:rsidR="007205AE">
        <w:rPr>
          <w:rFonts w:ascii="楷体" w:eastAsia="楷体" w:hAnsi="楷体" w:cs="宋体" w:hint="eastAsia"/>
          <w:color w:val="000000" w:themeColor="text1"/>
          <w:szCs w:val="21"/>
        </w:rPr>
        <w:t>个百分点，远低于市场预期，</w:t>
      </w:r>
      <w:r w:rsidR="007205AE" w:rsidRPr="004E7307">
        <w:rPr>
          <w:rFonts w:ascii="楷体" w:eastAsia="楷体" w:hAnsi="楷体" w:cs="宋体" w:hint="eastAsia"/>
          <w:color w:val="000000" w:themeColor="text1"/>
          <w:szCs w:val="21"/>
        </w:rPr>
        <w:t>分项指数中，产出指数为50.8，为11个月新低，新订单指数为49.3，已经连续2个月下滑，显示</w:t>
      </w:r>
      <w:r w:rsidR="007205AE">
        <w:rPr>
          <w:rFonts w:ascii="楷体" w:eastAsia="楷体" w:hAnsi="楷体" w:cs="宋体" w:hint="eastAsia"/>
          <w:color w:val="000000" w:themeColor="text1"/>
          <w:szCs w:val="21"/>
        </w:rPr>
        <w:t>出我国</w:t>
      </w:r>
      <w:r w:rsidR="007205AE" w:rsidRPr="004E7307">
        <w:rPr>
          <w:rFonts w:ascii="楷体" w:eastAsia="楷体" w:hAnsi="楷体" w:cs="宋体" w:hint="eastAsia"/>
          <w:color w:val="000000" w:themeColor="text1"/>
          <w:szCs w:val="21"/>
        </w:rPr>
        <w:t>内外需求不振</w:t>
      </w:r>
      <w:r w:rsidR="007205AE">
        <w:rPr>
          <w:rFonts w:ascii="楷体" w:eastAsia="楷体" w:hAnsi="楷体" w:cs="宋体" w:hint="eastAsia"/>
          <w:color w:val="000000" w:themeColor="text1"/>
          <w:szCs w:val="21"/>
        </w:rPr>
        <w:t>的现状。海外</w:t>
      </w:r>
      <w:r w:rsidR="008B5DE7">
        <w:rPr>
          <w:rFonts w:ascii="楷体" w:eastAsia="楷体" w:hAnsi="楷体" w:cs="宋体" w:hint="eastAsia"/>
          <w:color w:val="000000" w:themeColor="text1"/>
          <w:szCs w:val="21"/>
        </w:rPr>
        <w:t>方面，</w:t>
      </w:r>
      <w:r w:rsidR="007205AE" w:rsidRPr="00086E85">
        <w:rPr>
          <w:rFonts w:ascii="楷体" w:eastAsia="楷体" w:hAnsi="楷体" w:cs="宋体" w:hint="eastAsia"/>
          <w:color w:val="000000" w:themeColor="text1"/>
          <w:szCs w:val="21"/>
        </w:rPr>
        <w:t>美国2月CPI（经季调后）上涨0.2%</w:t>
      </w:r>
      <w:r w:rsidR="007205AE">
        <w:rPr>
          <w:rFonts w:ascii="楷体" w:eastAsia="楷体" w:hAnsi="楷体" w:cs="宋体" w:hint="eastAsia"/>
          <w:color w:val="000000" w:themeColor="text1"/>
          <w:szCs w:val="21"/>
        </w:rPr>
        <w:t>，为四个月来首次上涨，符合市场预期。</w:t>
      </w:r>
      <w:r w:rsidR="007205AE" w:rsidRPr="00086E85">
        <w:rPr>
          <w:rFonts w:ascii="楷体" w:eastAsia="楷体" w:hAnsi="楷体" w:cs="宋体" w:hint="eastAsia"/>
          <w:color w:val="000000" w:themeColor="text1"/>
          <w:szCs w:val="21"/>
        </w:rPr>
        <w:t>美国3月Markit制造业PMI初值55.3，为2014年10月份以来最高，预期54.7，前值55.1。此外</w:t>
      </w:r>
      <w:r w:rsidR="007205AE">
        <w:rPr>
          <w:rFonts w:ascii="楷体" w:eastAsia="楷体" w:hAnsi="楷体" w:cs="宋体" w:hint="eastAsia"/>
          <w:color w:val="000000" w:themeColor="text1"/>
          <w:szCs w:val="21"/>
        </w:rPr>
        <w:t>，</w:t>
      </w:r>
      <w:r w:rsidR="007205AE" w:rsidRPr="00086E85">
        <w:rPr>
          <w:rFonts w:ascii="楷体" w:eastAsia="楷体" w:hAnsi="楷体" w:cs="宋体" w:hint="eastAsia"/>
          <w:color w:val="000000" w:themeColor="text1"/>
          <w:szCs w:val="21"/>
        </w:rPr>
        <w:t>美国3月密歇根大学消费者信心指数终值93.0，预期92，初值91.2。美股方面，纳斯达克100跌2.52%%，标普500跌1.59%，道琼斯工指跌1.56%。欧洲方面，希腊债务问题再掀退欧危机，欧股迎来年内最大单周跌幅。证监会3月27日发布《公开募集证券投资基金参与沪港通交易指引》，</w:t>
      </w:r>
      <w:r w:rsidR="007205AE" w:rsidRPr="00086E85">
        <w:rPr>
          <w:rFonts w:ascii="楷体" w:eastAsia="楷体" w:hAnsi="楷体"/>
        </w:rPr>
        <w:t>公募基金将可参与沪港通交易</w:t>
      </w:r>
      <w:r w:rsidR="008E74FB">
        <w:rPr>
          <w:rFonts w:ascii="楷体" w:eastAsia="楷体" w:hAnsi="楷体" w:hint="eastAsia"/>
        </w:rPr>
        <w:t>，</w:t>
      </w:r>
      <w:r w:rsidR="007205AE" w:rsidRPr="00086E85">
        <w:rPr>
          <w:rFonts w:ascii="楷体" w:eastAsia="楷体" w:hAnsi="楷体" w:hint="eastAsia"/>
        </w:rPr>
        <w:t>恒生指数涨0.12%</w:t>
      </w:r>
      <w:r w:rsidR="001B2F96">
        <w:rPr>
          <w:rFonts w:ascii="楷体" w:eastAsia="楷体" w:hAnsi="楷体" w:cs="宋体" w:hint="eastAsia"/>
          <w:color w:val="000000" w:themeColor="text1"/>
          <w:szCs w:val="21"/>
        </w:rPr>
        <w:t xml:space="preserve"> </w:t>
      </w:r>
      <w:r w:rsidR="00910275">
        <w:rPr>
          <w:rFonts w:ascii="楷体" w:eastAsia="楷体" w:hAnsi="楷体" w:hint="eastAsia"/>
          <w:szCs w:val="21"/>
        </w:rPr>
        <w:t>。</w:t>
      </w:r>
    </w:p>
    <w:p w:rsidR="00B76DF9" w:rsidRPr="006746A2" w:rsidRDefault="005519CB" w:rsidP="00F620AE">
      <w:pPr>
        <w:pStyle w:val="ab"/>
        <w:spacing w:after="163"/>
        <w:ind w:firstLineChars="200" w:firstLine="420"/>
        <w:rPr>
          <w:rFonts w:ascii="楷体" w:eastAsia="楷体" w:hAnsi="楷体"/>
          <w:szCs w:val="21"/>
        </w:rPr>
      </w:pPr>
      <w:r w:rsidRPr="006746A2">
        <w:rPr>
          <w:rFonts w:ascii="楷体" w:eastAsia="楷体" w:hAnsi="楷体" w:hint="eastAsia"/>
          <w:szCs w:val="21"/>
        </w:rPr>
        <w:t>凯石工场统计的各类公募基金中</w:t>
      </w:r>
      <w:r w:rsidR="008316C1" w:rsidRPr="006746A2">
        <w:rPr>
          <w:rFonts w:ascii="楷体" w:eastAsia="楷体" w:hAnsi="楷体" w:hint="eastAsia"/>
          <w:szCs w:val="21"/>
        </w:rPr>
        <w:t>，</w:t>
      </w:r>
      <w:r w:rsidR="008316C1" w:rsidRPr="006746A2">
        <w:rPr>
          <w:rFonts w:ascii="楷体" w:eastAsia="楷体" w:hAnsi="楷体" w:cs="Arial" w:hint="eastAsia"/>
          <w:color w:val="000000" w:themeColor="text1"/>
          <w:szCs w:val="21"/>
        </w:rPr>
        <w:t>权益基金涨幅收窄，固收基金涨少跌多。分类来看，股票基金中，主动型好于指数型；混合基金中，偏股基金收益略高于灵活型，偏债型收益较低；债券基金中，纯债基金跌幅小于一级债基，小于指数债基，可转债跌幅最大，二级债基微涨，理财债基平均收益仍为0.09%；货币基金七日年化收益率再度下滑，为4.42%；外围股市中，美股受挫港股微涨，QDII平均收益为负，QDII-商品基金和其他主投资源类基金收益居前，美股基金收益多排名下游。另外，商品基金周收益较佳</w:t>
      </w:r>
      <w:r w:rsidR="00CC62AC" w:rsidRPr="006746A2">
        <w:rPr>
          <w:rFonts w:ascii="楷体" w:eastAsia="楷体" w:hAnsi="楷体" w:cs="Arial" w:hint="eastAsia"/>
          <w:color w:val="000000" w:themeColor="text1"/>
          <w:szCs w:val="21"/>
        </w:rPr>
        <w:t>。</w:t>
      </w:r>
      <w:r w:rsidR="00175ED7" w:rsidRPr="006746A2">
        <w:rPr>
          <w:rFonts w:ascii="楷体" w:eastAsia="楷体" w:hAnsi="楷体" w:hint="eastAsia"/>
          <w:szCs w:val="21"/>
        </w:rPr>
        <w:t>产品方面，</w:t>
      </w:r>
      <w:r w:rsidR="005F4ED8" w:rsidRPr="006746A2">
        <w:rPr>
          <w:rFonts w:ascii="楷体" w:eastAsia="楷体" w:hAnsi="楷体" w:hint="eastAsia"/>
          <w:szCs w:val="21"/>
        </w:rPr>
        <w:t>上投摩根核心成长、金鹰主题优势、财通价值动量、鹏华中证800地产B、兴全合润分级A和信达澳银慧管家C</w:t>
      </w:r>
      <w:r w:rsidR="00CE32DB" w:rsidRPr="006746A2">
        <w:rPr>
          <w:rFonts w:ascii="楷体" w:eastAsia="楷体" w:hAnsi="楷体" w:hint="eastAsia"/>
          <w:szCs w:val="21"/>
        </w:rPr>
        <w:t>等业绩居前。</w:t>
      </w:r>
    </w:p>
    <w:p w:rsidR="0069249C" w:rsidRPr="005B7CDB" w:rsidRDefault="0069249C" w:rsidP="002D7B70">
      <w:pPr>
        <w:widowControl/>
        <w:spacing w:after="120"/>
        <w:ind w:left="3402"/>
        <w:rPr>
          <w:rFonts w:ascii="楷体" w:eastAsia="楷体" w:hAnsi="楷体"/>
          <w:b/>
          <w:bCs/>
          <w:color w:val="0070C0"/>
          <w:kern w:val="0"/>
          <w:sz w:val="24"/>
          <w:szCs w:val="20"/>
          <w:lang w:val="en-GB"/>
        </w:rPr>
      </w:pPr>
      <w:r w:rsidRPr="005B7CDB">
        <w:rPr>
          <w:rFonts w:ascii="楷体" w:eastAsia="楷体" w:hAnsi="楷体" w:hint="eastAsia"/>
          <w:b/>
          <w:bCs/>
          <w:color w:val="0070C0"/>
          <w:kern w:val="0"/>
          <w:sz w:val="24"/>
          <w:szCs w:val="20"/>
          <w:lang w:val="en-GB"/>
        </w:rPr>
        <w:t>凯石工场本周基金</w:t>
      </w:r>
      <w:r w:rsidR="001B1A86" w:rsidRPr="005B7CDB">
        <w:rPr>
          <w:rFonts w:ascii="楷体" w:eastAsia="楷体" w:hAnsi="楷体" w:hint="eastAsia"/>
          <w:b/>
          <w:bCs/>
          <w:color w:val="0070C0"/>
          <w:kern w:val="0"/>
          <w:sz w:val="24"/>
          <w:szCs w:val="20"/>
          <w:lang w:val="en-GB"/>
        </w:rPr>
        <w:t>投资</w:t>
      </w:r>
      <w:r w:rsidRPr="005B7CDB">
        <w:rPr>
          <w:rFonts w:ascii="楷体" w:eastAsia="楷体" w:hAnsi="楷体" w:hint="eastAsia"/>
          <w:b/>
          <w:bCs/>
          <w:color w:val="0070C0"/>
          <w:kern w:val="0"/>
          <w:sz w:val="24"/>
          <w:szCs w:val="20"/>
          <w:lang w:val="en-GB"/>
        </w:rPr>
        <w:t>策略：</w:t>
      </w:r>
    </w:p>
    <w:p w:rsidR="004B58D7" w:rsidRPr="00F620AE" w:rsidRDefault="004B58D7" w:rsidP="00F620AE">
      <w:pPr>
        <w:pStyle w:val="ab"/>
        <w:numPr>
          <w:ilvl w:val="4"/>
          <w:numId w:val="1"/>
        </w:numPr>
        <w:spacing w:after="163"/>
        <w:rPr>
          <w:rFonts w:ascii="楷体" w:eastAsia="楷体" w:hAnsi="楷体"/>
          <w:color w:val="000000" w:themeColor="text1"/>
          <w:szCs w:val="21"/>
        </w:rPr>
      </w:pPr>
      <w:r w:rsidRPr="00D823CC">
        <w:rPr>
          <w:rFonts w:ascii="楷体" w:eastAsia="楷体" w:hAnsi="楷体"/>
          <w:color w:val="000000" w:themeColor="text1"/>
          <w:szCs w:val="21"/>
        </w:rPr>
        <w:t>权益类基金</w:t>
      </w:r>
      <w:r w:rsidR="005C6AD4">
        <w:rPr>
          <w:rFonts w:ascii="楷体" w:eastAsia="楷体" w:hAnsi="楷体" w:hint="eastAsia"/>
          <w:color w:val="000000" w:themeColor="text1"/>
          <w:szCs w:val="21"/>
        </w:rPr>
        <w:t>：</w:t>
      </w:r>
      <w:r w:rsidR="00C81E29" w:rsidRPr="00C81E29">
        <w:rPr>
          <w:rFonts w:ascii="楷体" w:eastAsia="楷体" w:hAnsi="楷体" w:hint="eastAsia"/>
          <w:color w:val="000000" w:themeColor="text1"/>
          <w:szCs w:val="21"/>
        </w:rPr>
        <w:t>宏观经济疲弱态势未改，下行压力增大；而另一方面政策加码预期增强，降准降息后财政政策有望接棒发力共同助力经济软着陆。此外，各领域改革稳步推进，相关顶层制度设计有望陆续出台，A股向好格局未变。从短期来看，上周创业板高位震荡，题材股普遍出现调整,在经历了年初以来的持续上涨后，创业板估值水平处于高位，震荡回调压力增大；另一方面伴随改革的持续深入与政策调控力度的加大蓝筹股或存在更多阶段表现机会。就权益类基金投资而言，建议投资者在保持行业配置相对均衡、长期业绩优异、投资管理能力较强的平衡风格基金核心配置的同时，适当提升价值风格产品配置力度，而对于组合中的成长型产品，应加强选股能力方向甄别，另外对于部分与创业板相关度较高的指数品种可考虑择机逢高减仓，兑现收益</w:t>
      </w:r>
      <w:r w:rsidR="00F7756C">
        <w:rPr>
          <w:rFonts w:ascii="楷体" w:eastAsia="楷体" w:hAnsi="楷体" w:hint="eastAsia"/>
          <w:color w:val="000000" w:themeColor="text1"/>
          <w:szCs w:val="21"/>
        </w:rPr>
        <w:t>。</w:t>
      </w:r>
    </w:p>
    <w:p w:rsidR="00630857" w:rsidRPr="000B559F" w:rsidRDefault="004B58D7" w:rsidP="000B559F">
      <w:pPr>
        <w:pStyle w:val="ab"/>
        <w:numPr>
          <w:ilvl w:val="4"/>
          <w:numId w:val="1"/>
        </w:numPr>
        <w:spacing w:after="163"/>
        <w:rPr>
          <w:rFonts w:ascii="楷体" w:eastAsia="楷体" w:hAnsi="楷体"/>
          <w:color w:val="000000" w:themeColor="text1"/>
          <w:szCs w:val="21"/>
        </w:rPr>
      </w:pPr>
      <w:r w:rsidRPr="00D823CC">
        <w:rPr>
          <w:rFonts w:ascii="楷体" w:eastAsia="楷体" w:hAnsi="楷体"/>
          <w:color w:val="000000" w:themeColor="text1"/>
          <w:szCs w:val="21"/>
        </w:rPr>
        <w:t>固定收益类基金</w:t>
      </w:r>
      <w:r w:rsidR="009C3818" w:rsidRPr="00D823CC">
        <w:rPr>
          <w:rFonts w:ascii="楷体" w:eastAsia="楷体" w:hAnsi="楷体" w:hint="eastAsia"/>
          <w:color w:val="000000" w:themeColor="text1"/>
          <w:szCs w:val="21"/>
        </w:rPr>
        <w:t>：</w:t>
      </w:r>
      <w:r w:rsidR="00C81E29" w:rsidRPr="00C81E29">
        <w:rPr>
          <w:rFonts w:ascii="楷体" w:eastAsia="楷体" w:hAnsi="楷体" w:hint="eastAsia"/>
          <w:color w:val="000000" w:themeColor="text1"/>
          <w:szCs w:val="21"/>
        </w:rPr>
        <w:t>降息政策落地、债市扩容压力增大、中长期股市向好趋势未现实质性动摇，对债市资金面造成分流压力，短期来看我们对债市仍持谨慎态度。债基投资方面，可先采取相对中性的配置策略，在维持中性防御的基础上，再根据经济基本面、市场流动性等等因素的变化，适度灵活调整配置结构。在期限结构方面，建议降低组合久期水平，减少风险暴露空间。对于风险承受能力较强的投资者，在适当配置二级债基通过股票市场增厚收益的同时，建议搭配货币市场基金产品平滑组合风险</w:t>
      </w:r>
      <w:r w:rsidR="00F7756C">
        <w:rPr>
          <w:rFonts w:ascii="楷体" w:eastAsia="楷体" w:hAnsi="楷体" w:hint="eastAsia"/>
          <w:color w:val="000000" w:themeColor="text1"/>
          <w:szCs w:val="21"/>
        </w:rPr>
        <w:t>。</w:t>
      </w:r>
    </w:p>
    <w:p w:rsidR="00B76DF9" w:rsidRPr="00630857" w:rsidRDefault="00AE4AC9" w:rsidP="00630857">
      <w:pPr>
        <w:pStyle w:val="ab"/>
        <w:numPr>
          <w:ilvl w:val="4"/>
          <w:numId w:val="1"/>
        </w:numPr>
        <w:spacing w:after="163"/>
        <w:rPr>
          <w:rFonts w:ascii="楷体" w:eastAsia="楷体" w:hAnsi="楷体"/>
          <w:color w:val="000000" w:themeColor="text1"/>
          <w:szCs w:val="21"/>
        </w:rPr>
      </w:pPr>
      <w:r>
        <w:rPr>
          <w:rFonts w:ascii="楷体" w:eastAsia="楷体" w:hAnsi="楷体"/>
          <w:color w:val="000000" w:themeColor="text1"/>
          <w:szCs w:val="21"/>
        </w:rPr>
        <w:lastRenderedPageBreak/>
        <w:t>QDI</w:t>
      </w:r>
      <w:r>
        <w:rPr>
          <w:rFonts w:ascii="楷体" w:eastAsia="楷体" w:hAnsi="楷体" w:hint="eastAsia"/>
          <w:color w:val="000000" w:themeColor="text1"/>
          <w:szCs w:val="21"/>
        </w:rPr>
        <w:t>I</w:t>
      </w:r>
      <w:r w:rsidR="00BE4124" w:rsidRPr="00AE4AC9">
        <w:rPr>
          <w:rFonts w:ascii="楷体" w:eastAsia="楷体" w:hAnsi="楷体"/>
          <w:color w:val="000000" w:themeColor="text1"/>
          <w:szCs w:val="21"/>
        </w:rPr>
        <w:t>基金</w:t>
      </w:r>
      <w:r w:rsidR="00B2019E" w:rsidRPr="00AE4AC9">
        <w:rPr>
          <w:rFonts w:ascii="楷体" w:eastAsia="楷体" w:hAnsi="楷体" w:hint="eastAsia"/>
          <w:color w:val="000000" w:themeColor="text1"/>
          <w:szCs w:val="21"/>
        </w:rPr>
        <w:t>：</w:t>
      </w:r>
      <w:r w:rsidR="001B4BF9" w:rsidRPr="001D44E8">
        <w:rPr>
          <w:rFonts w:ascii="楷体" w:eastAsia="楷体" w:hAnsi="楷体" w:hint="eastAsia"/>
          <w:color w:val="000000" w:themeColor="text1"/>
          <w:szCs w:val="21"/>
        </w:rPr>
        <w:t>凯石工场建议投资者适度辅配美股品种以避风险，侧重港股品种的配置至基金组合的主要地位，把握香港市场较为确定的投资收益。</w:t>
      </w:r>
      <w:r w:rsidR="001B4BF9">
        <w:rPr>
          <w:rFonts w:ascii="楷体" w:eastAsia="楷体" w:hAnsi="楷体" w:hint="eastAsia"/>
          <w:szCs w:val="21"/>
        </w:rPr>
        <w:t>数据显示，</w:t>
      </w:r>
      <w:r w:rsidR="001B4BF9" w:rsidRPr="001D44E8">
        <w:rPr>
          <w:rFonts w:ascii="楷体" w:eastAsia="楷体" w:hAnsi="楷体" w:hint="eastAsia"/>
          <w:szCs w:val="21"/>
        </w:rPr>
        <w:t>美国2月季调后CPI上涨0.2%，为四个月来首次上涨，且</w:t>
      </w:r>
      <w:r w:rsidR="001B4BF9">
        <w:rPr>
          <w:rFonts w:ascii="楷体" w:eastAsia="楷体" w:hAnsi="楷体" w:hint="eastAsia"/>
          <w:szCs w:val="21"/>
        </w:rPr>
        <w:t>符合市场预期，另外，</w:t>
      </w:r>
      <w:r w:rsidR="001B4BF9" w:rsidRPr="001D44E8">
        <w:rPr>
          <w:rFonts w:ascii="楷体" w:eastAsia="楷体" w:hAnsi="楷体" w:hint="eastAsia"/>
          <w:szCs w:val="21"/>
        </w:rPr>
        <w:t>2月新屋销售年化月率7.8%，预期-3.5%，前值-0.2%，修正</w:t>
      </w:r>
      <w:r w:rsidR="001B4BF9">
        <w:rPr>
          <w:rFonts w:ascii="楷体" w:eastAsia="楷体" w:hAnsi="楷体" w:hint="eastAsia"/>
          <w:szCs w:val="21"/>
        </w:rPr>
        <w:t>后</w:t>
      </w:r>
      <w:r w:rsidR="001B4BF9" w:rsidRPr="001D44E8">
        <w:rPr>
          <w:rFonts w:ascii="楷体" w:eastAsia="楷体" w:hAnsi="楷体" w:hint="eastAsia"/>
          <w:szCs w:val="21"/>
        </w:rPr>
        <w:t>为4.4%</w:t>
      </w:r>
      <w:r w:rsidR="001B4BF9">
        <w:rPr>
          <w:rFonts w:ascii="楷体" w:eastAsia="楷体" w:hAnsi="楷体" w:hint="eastAsia"/>
          <w:szCs w:val="21"/>
        </w:rPr>
        <w:t>。</w:t>
      </w:r>
      <w:r w:rsidR="001B4BF9" w:rsidRPr="001D44E8">
        <w:rPr>
          <w:rFonts w:ascii="楷体" w:eastAsia="楷体" w:hAnsi="楷体" w:hint="eastAsia"/>
          <w:szCs w:val="21"/>
        </w:rPr>
        <w:t>美国3月Markit制造业PMI初值55.3，预期54.7，前值55.1</w:t>
      </w:r>
      <w:r w:rsidR="001B4BF9">
        <w:rPr>
          <w:rFonts w:ascii="楷体" w:eastAsia="楷体" w:hAnsi="楷体" w:hint="eastAsia"/>
          <w:szCs w:val="21"/>
        </w:rPr>
        <w:t>，</w:t>
      </w:r>
      <w:r w:rsidR="001B4BF9" w:rsidRPr="001D44E8">
        <w:rPr>
          <w:rFonts w:ascii="楷体" w:eastAsia="楷体" w:hAnsi="楷体" w:hint="eastAsia"/>
          <w:szCs w:val="21"/>
        </w:rPr>
        <w:t>3月密歇根大学消费者信心指数终值93.0，预期92，初值91.2</w:t>
      </w:r>
      <w:r w:rsidR="001B4BF9">
        <w:rPr>
          <w:rFonts w:ascii="楷体" w:eastAsia="楷体" w:hAnsi="楷体" w:hint="eastAsia"/>
          <w:szCs w:val="21"/>
        </w:rPr>
        <w:t>，总体来看美联储加息的背景较为复杂。</w:t>
      </w:r>
      <w:r w:rsidR="001B4BF9" w:rsidRPr="001D44E8">
        <w:rPr>
          <w:rFonts w:ascii="楷体" w:eastAsia="楷体" w:hAnsi="楷体" w:hint="eastAsia"/>
          <w:color w:val="000000" w:themeColor="text1"/>
          <w:szCs w:val="21"/>
        </w:rPr>
        <w:t>在3月份货币政策声明中去除 “耐心”措辞后，</w:t>
      </w:r>
      <w:r w:rsidR="001B4BF9" w:rsidRPr="001D44E8">
        <w:rPr>
          <w:rFonts w:ascii="楷体" w:eastAsia="楷体" w:hAnsi="楷体" w:hint="eastAsia"/>
          <w:szCs w:val="21"/>
        </w:rPr>
        <w:t>3月28日，美联储主席耶伦</w:t>
      </w:r>
      <w:r w:rsidR="001B4BF9">
        <w:rPr>
          <w:rFonts w:ascii="楷体" w:eastAsia="楷体" w:hAnsi="楷体" w:hint="eastAsia"/>
          <w:szCs w:val="21"/>
        </w:rPr>
        <w:t>在旧金山联储组织的研讨会上表示，美国就业市场有望在未来数月乐观进展，</w:t>
      </w:r>
      <w:r w:rsidR="001B4BF9" w:rsidRPr="001D44E8">
        <w:rPr>
          <w:rFonts w:ascii="楷体" w:eastAsia="楷体" w:hAnsi="楷体" w:hint="eastAsia"/>
          <w:szCs w:val="21"/>
        </w:rPr>
        <w:t>GDP</w:t>
      </w:r>
      <w:r w:rsidR="001B4BF9">
        <w:rPr>
          <w:rFonts w:ascii="楷体" w:eastAsia="楷体" w:hAnsi="楷体" w:hint="eastAsia"/>
          <w:szCs w:val="21"/>
        </w:rPr>
        <w:t>增长速度可能超乎潜在增长力，若</w:t>
      </w:r>
      <w:r w:rsidR="001B4BF9" w:rsidRPr="001D44E8">
        <w:rPr>
          <w:rFonts w:ascii="楷体" w:eastAsia="楷体" w:hAnsi="楷体" w:hint="eastAsia"/>
          <w:szCs w:val="21"/>
        </w:rPr>
        <w:t>薪酬增长，核心通胀或是通胀预期疲软，将不适合加息，美联储</w:t>
      </w:r>
      <w:r w:rsidR="001B4BF9">
        <w:rPr>
          <w:rFonts w:ascii="楷体" w:eastAsia="楷体" w:hAnsi="楷体" w:hint="eastAsia"/>
          <w:szCs w:val="21"/>
        </w:rPr>
        <w:t>加息进度将是缓慢且没有可预期</w:t>
      </w:r>
      <w:r w:rsidR="001B4BF9" w:rsidRPr="001D44E8">
        <w:rPr>
          <w:rFonts w:ascii="楷体" w:eastAsia="楷体" w:hAnsi="楷体" w:hint="eastAsia"/>
          <w:szCs w:val="21"/>
        </w:rPr>
        <w:t>过程</w:t>
      </w:r>
      <w:r w:rsidR="001B4BF9">
        <w:rPr>
          <w:rFonts w:ascii="楷体" w:eastAsia="楷体" w:hAnsi="楷体" w:hint="eastAsia"/>
          <w:szCs w:val="21"/>
        </w:rPr>
        <w:t>的</w:t>
      </w:r>
      <w:r w:rsidR="001B4BF9" w:rsidRPr="001D44E8">
        <w:rPr>
          <w:rFonts w:ascii="楷体" w:eastAsia="楷体" w:hAnsi="楷体" w:hint="eastAsia"/>
          <w:szCs w:val="21"/>
        </w:rPr>
        <w:t>。</w:t>
      </w:r>
      <w:r w:rsidR="001B4BF9" w:rsidRPr="00FF4075">
        <w:rPr>
          <w:rFonts w:ascii="楷体" w:eastAsia="楷体" w:hAnsi="楷体" w:hint="eastAsia"/>
          <w:color w:val="000000" w:themeColor="text1"/>
          <w:szCs w:val="21"/>
        </w:rPr>
        <w:t>港股</w:t>
      </w:r>
      <w:r w:rsidR="001B4BF9">
        <w:rPr>
          <w:rFonts w:ascii="楷体" w:eastAsia="楷体" w:hAnsi="楷体" w:hint="eastAsia"/>
          <w:color w:val="000000" w:themeColor="text1"/>
          <w:szCs w:val="21"/>
        </w:rPr>
        <w:t>方面，除深港通渐行渐近，证监会公告称公募基金</w:t>
      </w:r>
      <w:r w:rsidR="001B4BF9" w:rsidRPr="00086E85">
        <w:rPr>
          <w:rFonts w:ascii="楷体" w:eastAsia="楷体" w:hAnsi="楷体"/>
        </w:rPr>
        <w:t>可参与沪港通交易</w:t>
      </w:r>
      <w:r w:rsidR="001B4BF9">
        <w:rPr>
          <w:rFonts w:ascii="楷体" w:eastAsia="楷体" w:hAnsi="楷体" w:hint="eastAsia"/>
          <w:color w:val="000000" w:themeColor="text1"/>
          <w:szCs w:val="21"/>
        </w:rPr>
        <w:t>，香港市场的</w:t>
      </w:r>
      <w:r w:rsidR="001B4BF9" w:rsidRPr="00FF4075">
        <w:rPr>
          <w:rFonts w:ascii="楷体" w:eastAsia="楷体" w:hAnsi="楷体" w:hint="eastAsia"/>
          <w:color w:val="000000" w:themeColor="text1"/>
          <w:szCs w:val="21"/>
        </w:rPr>
        <w:t>低估值</w:t>
      </w:r>
      <w:r w:rsidR="001B4BF9">
        <w:rPr>
          <w:rFonts w:ascii="楷体" w:eastAsia="楷体" w:hAnsi="楷体" w:hint="eastAsia"/>
          <w:color w:val="000000" w:themeColor="text1"/>
          <w:szCs w:val="21"/>
        </w:rPr>
        <w:t>优势</w:t>
      </w:r>
      <w:r w:rsidR="001B4BF9" w:rsidRPr="00FF4075">
        <w:rPr>
          <w:rFonts w:ascii="楷体" w:eastAsia="楷体" w:hAnsi="楷体" w:hint="eastAsia"/>
          <w:color w:val="000000" w:themeColor="text1"/>
          <w:szCs w:val="21"/>
        </w:rPr>
        <w:t>仍将吸引全球增量资金配置</w:t>
      </w:r>
      <w:r w:rsidR="00FF4075" w:rsidRPr="00FF4075">
        <w:rPr>
          <w:rFonts w:ascii="楷体" w:eastAsia="楷体" w:hAnsi="楷体" w:hint="eastAsia"/>
          <w:color w:val="000000" w:themeColor="text1"/>
          <w:szCs w:val="21"/>
        </w:rPr>
        <w:t>。</w:t>
      </w:r>
    </w:p>
    <w:p w:rsidR="00D43D5E" w:rsidRDefault="00B93424" w:rsidP="00A9230D">
      <w:pPr>
        <w:pStyle w:val="ab"/>
        <w:tabs>
          <w:tab w:val="left" w:pos="6570"/>
        </w:tabs>
        <w:spacing w:after="163"/>
        <w:ind w:left="3430"/>
        <w:rPr>
          <w:rFonts w:ascii="楷体" w:eastAsia="楷体" w:hAnsi="楷体"/>
          <w:b/>
          <w:bCs/>
          <w:color w:val="0070C0"/>
          <w:sz w:val="24"/>
        </w:rPr>
      </w:pPr>
      <w:r w:rsidRPr="005B7CDB">
        <w:rPr>
          <w:rFonts w:ascii="楷体" w:eastAsia="楷体" w:hAnsi="楷体" w:hint="eastAsia"/>
          <w:b/>
          <w:bCs/>
          <w:color w:val="0070C0"/>
          <w:sz w:val="24"/>
        </w:rPr>
        <w:t>凯石每周微点评</w:t>
      </w:r>
      <w:r w:rsidR="00B02C22">
        <w:rPr>
          <w:rFonts w:ascii="楷体" w:eastAsia="楷体" w:hAnsi="楷体" w:hint="eastAsia"/>
          <w:b/>
          <w:bCs/>
          <w:color w:val="0070C0"/>
          <w:sz w:val="24"/>
        </w:rPr>
        <w:t>：</w:t>
      </w:r>
      <w:r w:rsidR="00A9230D">
        <w:rPr>
          <w:rFonts w:ascii="楷体" w:eastAsia="楷体" w:hAnsi="楷体"/>
          <w:b/>
          <w:bCs/>
          <w:color w:val="0070C0"/>
          <w:sz w:val="24"/>
        </w:rPr>
        <w:tab/>
      </w:r>
    </w:p>
    <w:tbl>
      <w:tblPr>
        <w:tblW w:w="10915" w:type="dxa"/>
        <w:tblInd w:w="-142" w:type="dxa"/>
        <w:tblBorders>
          <w:top w:val="single" w:sz="6" w:space="0" w:color="FF6600"/>
          <w:bottom w:val="single" w:sz="6" w:space="0" w:color="FF6600"/>
          <w:insideH w:val="single" w:sz="6" w:space="0" w:color="FF6600"/>
        </w:tblBorders>
        <w:tblCellMar>
          <w:left w:w="0" w:type="dxa"/>
          <w:right w:w="0" w:type="dxa"/>
        </w:tblCellMar>
        <w:tblLook w:val="0000"/>
      </w:tblPr>
      <w:tblGrid>
        <w:gridCol w:w="5671"/>
        <w:gridCol w:w="5244"/>
      </w:tblGrid>
      <w:tr w:rsidR="00F95C99" w:rsidRPr="005B7CDB" w:rsidTr="00561BC5">
        <w:trPr>
          <w:cantSplit/>
          <w:trHeight w:val="335"/>
        </w:trPr>
        <w:tc>
          <w:tcPr>
            <w:tcW w:w="10915" w:type="dxa"/>
            <w:gridSpan w:val="2"/>
            <w:tcBorders>
              <w:top w:val="single" w:sz="6" w:space="0" w:color="FF6600"/>
              <w:bottom w:val="single" w:sz="6" w:space="0" w:color="FF6600"/>
            </w:tcBorders>
            <w:shd w:val="clear" w:color="auto" w:fill="auto"/>
            <w:vAlign w:val="center"/>
          </w:tcPr>
          <w:p w:rsidR="00F95C99" w:rsidRPr="00F95C99" w:rsidRDefault="00F95C99" w:rsidP="004E0B0C">
            <w:pPr>
              <w:pStyle w:val="SubTitleLargeTable"/>
              <w:pBdr>
                <w:top w:val="none" w:sz="0" w:space="0" w:color="auto"/>
              </w:pBdr>
              <w:rPr>
                <w:rFonts w:ascii="楷体" w:eastAsia="楷体" w:hAnsi="楷体"/>
                <w:color w:val="FF6600"/>
              </w:rPr>
            </w:pPr>
            <w:r w:rsidRPr="005B7CDB">
              <w:rPr>
                <w:rFonts w:ascii="楷体" w:eastAsia="楷体" w:hAnsi="楷体"/>
                <w:color w:val="FF6600"/>
              </w:rPr>
              <w:t>图表</w:t>
            </w:r>
            <w:r w:rsidRPr="005B7CDB">
              <w:rPr>
                <w:rFonts w:ascii="楷体" w:eastAsia="楷体" w:hAnsi="楷体" w:hint="eastAsia"/>
                <w:color w:val="FF6600"/>
              </w:rPr>
              <w:t>1：基金行业近期动态及点评</w:t>
            </w:r>
          </w:p>
        </w:tc>
      </w:tr>
      <w:tr w:rsidR="00F95C99" w:rsidRPr="005B7CDB" w:rsidTr="00C43928">
        <w:trPr>
          <w:cantSplit/>
          <w:trHeight w:val="284"/>
        </w:trPr>
        <w:tc>
          <w:tcPr>
            <w:tcW w:w="5671" w:type="dxa"/>
            <w:tcBorders>
              <w:bottom w:val="single" w:sz="6" w:space="0" w:color="FF6600"/>
              <w:right w:val="single" w:sz="6" w:space="0" w:color="FF6600"/>
            </w:tcBorders>
            <w:shd w:val="clear" w:color="auto" w:fill="FDE9D9" w:themeFill="accent6" w:themeFillTint="33"/>
            <w:vAlign w:val="center"/>
          </w:tcPr>
          <w:p w:rsidR="00F95C99" w:rsidRPr="002656A6" w:rsidRDefault="00F95C99" w:rsidP="00737EA0">
            <w:pPr>
              <w:snapToGrid w:val="0"/>
              <w:jc w:val="center"/>
              <w:rPr>
                <w:rFonts w:ascii="楷体" w:eastAsia="楷体" w:hAnsi="楷体" w:cs="Arial"/>
                <w:color w:val="000000" w:themeColor="text1"/>
                <w:sz w:val="18"/>
                <w:szCs w:val="18"/>
              </w:rPr>
            </w:pPr>
            <w:r w:rsidRPr="00737EA0">
              <w:rPr>
                <w:rFonts w:ascii="楷体" w:eastAsia="楷体" w:hAnsi="楷体"/>
                <w:b/>
                <w:sz w:val="18"/>
                <w:szCs w:val="18"/>
              </w:rPr>
              <w:t>微新闻</w:t>
            </w:r>
          </w:p>
        </w:tc>
        <w:tc>
          <w:tcPr>
            <w:tcW w:w="5244" w:type="dxa"/>
            <w:tcBorders>
              <w:left w:val="single" w:sz="6" w:space="0" w:color="FF6600"/>
              <w:bottom w:val="single" w:sz="6" w:space="0" w:color="FF6600"/>
            </w:tcBorders>
            <w:shd w:val="clear" w:color="auto" w:fill="FDE9D9" w:themeFill="accent6" w:themeFillTint="33"/>
            <w:vAlign w:val="center"/>
          </w:tcPr>
          <w:p w:rsidR="00F95C99" w:rsidRPr="005B7CDB" w:rsidRDefault="00F95C99" w:rsidP="004E0B0C">
            <w:pPr>
              <w:snapToGrid w:val="0"/>
              <w:jc w:val="center"/>
              <w:rPr>
                <w:rFonts w:ascii="楷体" w:eastAsia="楷体" w:hAnsi="楷体"/>
                <w:b/>
                <w:sz w:val="18"/>
                <w:szCs w:val="18"/>
              </w:rPr>
            </w:pPr>
            <w:r w:rsidRPr="005B7CDB">
              <w:rPr>
                <w:rFonts w:ascii="楷体" w:eastAsia="楷体" w:hAnsi="楷体"/>
                <w:b/>
                <w:sz w:val="18"/>
                <w:szCs w:val="18"/>
              </w:rPr>
              <w:t>微点评</w:t>
            </w:r>
          </w:p>
        </w:tc>
      </w:tr>
      <w:tr w:rsidR="006B2623" w:rsidRPr="00AC691B" w:rsidTr="00C43928">
        <w:trPr>
          <w:cantSplit/>
          <w:trHeight w:val="619"/>
        </w:trPr>
        <w:tc>
          <w:tcPr>
            <w:tcW w:w="5671" w:type="dxa"/>
            <w:tcBorders>
              <w:right w:val="single" w:sz="6" w:space="0" w:color="FF6600"/>
            </w:tcBorders>
            <w:shd w:val="clear" w:color="auto" w:fill="auto"/>
            <w:vAlign w:val="center"/>
          </w:tcPr>
          <w:p w:rsidR="00D8050B" w:rsidRPr="00B76D8F" w:rsidRDefault="00193C47" w:rsidP="00AC691B">
            <w:pPr>
              <w:pStyle w:val="af1"/>
              <w:snapToGrid w:val="0"/>
              <w:rPr>
                <w:rFonts w:ascii="楷体" w:eastAsia="楷体" w:hAnsi="楷体" w:cs="Arial"/>
                <w:color w:val="000000" w:themeColor="text1"/>
                <w:sz w:val="18"/>
                <w:szCs w:val="18"/>
              </w:rPr>
            </w:pPr>
            <w:r w:rsidRPr="00193C47">
              <w:rPr>
                <w:rFonts w:ascii="楷体" w:eastAsia="楷体" w:hAnsi="楷体" w:cs="Arial" w:hint="eastAsia"/>
                <w:color w:val="000000" w:themeColor="text1"/>
                <w:sz w:val="18"/>
                <w:szCs w:val="18"/>
              </w:rPr>
              <w:t>3月27日，证监会发布《公开募集证券投资基金参与沪港通交易指引》，对基金参与沪港通交易的资格和程序、信息披露、风险管理、内控制度等提出了具体要求，明确基金管理人可以募集新基金</w:t>
            </w:r>
            <w:r w:rsidR="00C43928">
              <w:rPr>
                <w:rFonts w:ascii="楷体" w:eastAsia="楷体" w:hAnsi="楷体" w:cs="Arial" w:hint="eastAsia"/>
                <w:color w:val="000000" w:themeColor="text1"/>
                <w:sz w:val="18"/>
                <w:szCs w:val="18"/>
              </w:rPr>
              <w:t>，</w:t>
            </w:r>
            <w:r w:rsidRPr="00193C47">
              <w:rPr>
                <w:rFonts w:ascii="楷体" w:eastAsia="楷体" w:hAnsi="楷体" w:cs="Arial" w:hint="eastAsia"/>
                <w:color w:val="000000" w:themeColor="text1"/>
                <w:sz w:val="18"/>
                <w:szCs w:val="18"/>
              </w:rPr>
              <w:t>通过沪港通机制投资香港市场股票，不需具备合格境内机构投资者(QDII)资格。</w:t>
            </w:r>
          </w:p>
        </w:tc>
        <w:tc>
          <w:tcPr>
            <w:tcW w:w="5244" w:type="dxa"/>
            <w:tcBorders>
              <w:left w:val="single" w:sz="6" w:space="0" w:color="FF6600"/>
            </w:tcBorders>
            <w:shd w:val="clear" w:color="auto" w:fill="auto"/>
            <w:vAlign w:val="center"/>
          </w:tcPr>
          <w:p w:rsidR="006B2623" w:rsidRPr="00B76D8F" w:rsidRDefault="00C43928" w:rsidP="00C43928">
            <w:pPr>
              <w:pStyle w:val="af1"/>
              <w:snapToGrid w:val="0"/>
              <w:rPr>
                <w:rFonts w:ascii="楷体" w:eastAsia="楷体" w:hAnsi="楷体" w:cs="Arial"/>
                <w:color w:val="000000" w:themeColor="text1"/>
                <w:sz w:val="18"/>
                <w:szCs w:val="18"/>
              </w:rPr>
            </w:pPr>
            <w:r>
              <w:rPr>
                <w:rFonts w:ascii="楷体" w:eastAsia="楷体" w:hAnsi="楷体" w:cs="Arial" w:hint="eastAsia"/>
                <w:color w:val="000000" w:themeColor="text1"/>
                <w:sz w:val="18"/>
                <w:szCs w:val="18"/>
              </w:rPr>
              <w:t>证监会批准</w:t>
            </w:r>
            <w:r w:rsidRPr="00C43928">
              <w:rPr>
                <w:rFonts w:ascii="楷体" w:eastAsia="楷体" w:hAnsi="楷体" w:cs="Arial" w:hint="eastAsia"/>
                <w:color w:val="000000" w:themeColor="text1"/>
                <w:sz w:val="18"/>
                <w:szCs w:val="18"/>
              </w:rPr>
              <w:t>公募基金投资港股</w:t>
            </w:r>
            <w:r>
              <w:rPr>
                <w:rFonts w:ascii="楷体" w:eastAsia="楷体" w:hAnsi="楷体" w:cs="Arial" w:hint="eastAsia"/>
                <w:color w:val="000000" w:themeColor="text1"/>
                <w:sz w:val="18"/>
                <w:szCs w:val="18"/>
              </w:rPr>
              <w:t>后，不仅会有较多新基金可投资港股，也会有一些早先成立的基金</w:t>
            </w:r>
            <w:r w:rsidRPr="00C43928">
              <w:rPr>
                <w:rFonts w:ascii="楷体" w:eastAsia="楷体" w:hAnsi="楷体" w:cs="Arial" w:hint="eastAsia"/>
                <w:color w:val="000000" w:themeColor="text1"/>
                <w:sz w:val="18"/>
                <w:szCs w:val="18"/>
              </w:rPr>
              <w:t>扩大投资范围到港</w:t>
            </w:r>
            <w:r>
              <w:rPr>
                <w:rFonts w:ascii="楷体" w:eastAsia="楷体" w:hAnsi="楷体" w:cs="Arial" w:hint="eastAsia"/>
                <w:color w:val="000000" w:themeColor="text1"/>
                <w:sz w:val="18"/>
                <w:szCs w:val="18"/>
              </w:rPr>
              <w:t>股，届时有望提振港股市场。该项政策对沪港通机制</w:t>
            </w:r>
            <w:r w:rsidRPr="00C43928">
              <w:rPr>
                <w:rFonts w:ascii="楷体" w:eastAsia="楷体" w:hAnsi="楷体" w:cs="Arial" w:hint="eastAsia"/>
                <w:color w:val="000000" w:themeColor="text1"/>
                <w:sz w:val="18"/>
                <w:szCs w:val="18"/>
              </w:rPr>
              <w:t>是重大促进，其政策意义在于利于人民币国际化，但对市场的实质影响有限，短期内对A股影响不大。</w:t>
            </w:r>
          </w:p>
        </w:tc>
      </w:tr>
    </w:tbl>
    <w:p w:rsidR="00FD6CB3" w:rsidRPr="005559C4" w:rsidRDefault="0069249C" w:rsidP="005559C4">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026FF9" w:rsidRPr="005B7CDB" w:rsidRDefault="000D4A66" w:rsidP="006A5488">
      <w:pPr>
        <w:widowControl/>
        <w:spacing w:after="120"/>
        <w:ind w:left="3430"/>
        <w:rPr>
          <w:rFonts w:ascii="楷体" w:eastAsia="楷体" w:hAnsi="楷体" w:cs="Times New Roman"/>
          <w:b/>
          <w:bCs/>
          <w:color w:val="0070C0"/>
          <w:kern w:val="0"/>
          <w:sz w:val="24"/>
          <w:szCs w:val="20"/>
          <w:lang w:val="en-GB"/>
        </w:rPr>
      </w:pPr>
      <w:r w:rsidRPr="005B7CDB">
        <w:rPr>
          <w:rFonts w:ascii="楷体" w:eastAsia="楷体" w:hAnsi="楷体" w:hint="eastAsia"/>
          <w:b/>
          <w:bCs/>
          <w:color w:val="0070C0"/>
          <w:kern w:val="0"/>
          <w:sz w:val="24"/>
          <w:szCs w:val="20"/>
          <w:lang w:val="en-GB"/>
        </w:rPr>
        <w:t>公募</w:t>
      </w:r>
      <w:r w:rsidR="0062314B" w:rsidRPr="005B7CDB">
        <w:rPr>
          <w:rFonts w:ascii="楷体" w:eastAsia="楷体" w:hAnsi="楷体" w:hint="eastAsia"/>
          <w:b/>
          <w:bCs/>
          <w:color w:val="0070C0"/>
          <w:kern w:val="0"/>
          <w:sz w:val="24"/>
          <w:szCs w:val="20"/>
          <w:lang w:val="en-GB"/>
        </w:rPr>
        <w:t>基金一周业绩</w:t>
      </w:r>
      <w:r w:rsidR="00060829" w:rsidRPr="005B7CDB">
        <w:rPr>
          <w:rFonts w:ascii="楷体" w:eastAsia="楷体" w:hAnsi="楷体" w:hint="eastAsia"/>
          <w:b/>
          <w:bCs/>
          <w:color w:val="0070C0"/>
          <w:kern w:val="0"/>
          <w:sz w:val="24"/>
          <w:szCs w:val="20"/>
          <w:lang w:val="en-GB"/>
        </w:rPr>
        <w:t>：</w:t>
      </w:r>
    </w:p>
    <w:p w:rsidR="00C678FB" w:rsidRPr="004E7307" w:rsidRDefault="00E02B7C" w:rsidP="004E7307">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国内外股市</w:t>
      </w:r>
      <w:r w:rsidR="0062314B" w:rsidRPr="005B7CDB">
        <w:rPr>
          <w:rFonts w:ascii="楷体" w:eastAsia="楷体" w:hAnsi="楷体" w:hint="eastAsia"/>
          <w:b/>
          <w:bCs/>
          <w:color w:val="0070C0"/>
          <w:kern w:val="0"/>
          <w:szCs w:val="21"/>
          <w:lang w:val="en-GB"/>
        </w:rPr>
        <w:t>一周表现：</w:t>
      </w:r>
      <w:r w:rsidR="00507F4B">
        <w:rPr>
          <w:rFonts w:ascii="楷体" w:eastAsia="楷体" w:hAnsi="楷体" w:hint="eastAsia"/>
          <w:b/>
          <w:bCs/>
          <w:color w:val="0070C0"/>
          <w:kern w:val="0"/>
          <w:szCs w:val="21"/>
          <w:lang w:val="en-GB"/>
        </w:rPr>
        <w:t>沪深两市先扬后抑，美股收跌港股微涨</w:t>
      </w:r>
    </w:p>
    <w:p w:rsidR="009C6EE2" w:rsidRPr="002D31DD" w:rsidRDefault="004E7307" w:rsidP="002D31DD">
      <w:pPr>
        <w:pStyle w:val="ab"/>
        <w:numPr>
          <w:ilvl w:val="4"/>
          <w:numId w:val="1"/>
        </w:numPr>
        <w:spacing w:after="163"/>
        <w:rPr>
          <w:rFonts w:ascii="楷体" w:eastAsia="楷体" w:hAnsi="楷体" w:cs="宋体"/>
          <w:color w:val="000000" w:themeColor="text1"/>
          <w:szCs w:val="21"/>
        </w:rPr>
      </w:pPr>
      <w:r>
        <w:rPr>
          <w:rFonts w:ascii="楷体" w:eastAsia="楷体" w:hAnsi="楷体" w:cs="宋体" w:hint="eastAsia"/>
          <w:color w:val="000000" w:themeColor="text1"/>
          <w:szCs w:val="21"/>
        </w:rPr>
        <w:t>上周（2015.3.23~3.27），主板和创业板在连续冲高后震荡修整，上</w:t>
      </w:r>
      <w:r w:rsidRPr="007B6C0F">
        <w:rPr>
          <w:rFonts w:ascii="楷体" w:eastAsia="楷体" w:hAnsi="楷体" w:cs="宋体" w:hint="eastAsia"/>
          <w:color w:val="000000" w:themeColor="text1"/>
          <w:szCs w:val="21"/>
        </w:rPr>
        <w:t>证指数周涨</w:t>
      </w:r>
      <w:r>
        <w:rPr>
          <w:rFonts w:ascii="楷体" w:eastAsia="楷体" w:hAnsi="楷体" w:cs="宋体" w:hint="eastAsia"/>
          <w:color w:val="000000" w:themeColor="text1"/>
          <w:szCs w:val="21"/>
        </w:rPr>
        <w:t>2.04%</w:t>
      </w:r>
      <w:r w:rsidRPr="007B6C0F">
        <w:rPr>
          <w:rFonts w:ascii="楷体" w:eastAsia="楷体" w:hAnsi="楷体" w:cs="宋体" w:hint="eastAsia"/>
          <w:color w:val="000000" w:themeColor="text1"/>
          <w:szCs w:val="21"/>
        </w:rPr>
        <w:t>，沪深300周涨</w:t>
      </w:r>
      <w:r>
        <w:rPr>
          <w:rFonts w:ascii="楷体" w:eastAsia="楷体" w:hAnsi="楷体" w:cs="宋体" w:hint="eastAsia"/>
          <w:color w:val="000000" w:themeColor="text1"/>
          <w:szCs w:val="21"/>
        </w:rPr>
        <w:t>2.03%</w:t>
      </w:r>
      <w:r w:rsidRPr="007B6C0F">
        <w:rPr>
          <w:rFonts w:ascii="楷体" w:eastAsia="楷体" w:hAnsi="楷体" w:cs="宋体" w:hint="eastAsia"/>
          <w:color w:val="000000" w:themeColor="text1"/>
          <w:szCs w:val="21"/>
        </w:rPr>
        <w:t>,</w:t>
      </w:r>
      <w:r>
        <w:rPr>
          <w:rFonts w:ascii="楷体" w:eastAsia="楷体" w:hAnsi="楷体" w:cs="宋体" w:hint="eastAsia"/>
          <w:color w:val="000000" w:themeColor="text1"/>
          <w:szCs w:val="21"/>
        </w:rPr>
        <w:t>中小板</w:t>
      </w:r>
      <w:r w:rsidRPr="007B6C0F">
        <w:rPr>
          <w:rFonts w:ascii="楷体" w:eastAsia="楷体" w:hAnsi="楷体" w:cs="宋体" w:hint="eastAsia"/>
          <w:color w:val="000000" w:themeColor="text1"/>
          <w:szCs w:val="21"/>
        </w:rPr>
        <w:t>指和创业板指分别</w:t>
      </w:r>
      <w:r>
        <w:rPr>
          <w:rFonts w:ascii="楷体" w:eastAsia="楷体" w:hAnsi="楷体" w:cs="宋体" w:hint="eastAsia"/>
          <w:color w:val="000000" w:themeColor="text1"/>
          <w:szCs w:val="21"/>
        </w:rPr>
        <w:t>周涨6.11%和4.97%</w:t>
      </w:r>
      <w:r w:rsidRPr="007B6C0F">
        <w:rPr>
          <w:rFonts w:ascii="楷体" w:eastAsia="楷体" w:hAnsi="楷体" w:cs="宋体" w:hint="eastAsia"/>
          <w:color w:val="000000" w:themeColor="text1"/>
          <w:szCs w:val="21"/>
        </w:rPr>
        <w:t>和</w:t>
      </w:r>
      <w:r>
        <w:rPr>
          <w:rFonts w:ascii="楷体" w:eastAsia="楷体" w:hAnsi="楷体" w:cs="宋体" w:hint="eastAsia"/>
          <w:color w:val="000000" w:themeColor="text1"/>
          <w:szCs w:val="21"/>
        </w:rPr>
        <w:t>。2</w:t>
      </w:r>
      <w:r w:rsidRPr="007B6C0F">
        <w:rPr>
          <w:rFonts w:ascii="楷体" w:eastAsia="楷体" w:hAnsi="楷体" w:cs="宋体" w:hint="eastAsia"/>
          <w:color w:val="000000" w:themeColor="text1"/>
          <w:szCs w:val="21"/>
        </w:rPr>
        <w:t>9</w:t>
      </w:r>
      <w:r>
        <w:rPr>
          <w:rFonts w:ascii="楷体" w:eastAsia="楷体" w:hAnsi="楷体" w:cs="宋体" w:hint="eastAsia"/>
          <w:color w:val="000000" w:themeColor="text1"/>
          <w:szCs w:val="21"/>
        </w:rPr>
        <w:t>个中信一级行业有27个</w:t>
      </w:r>
      <w:r w:rsidRPr="007B6C0F">
        <w:rPr>
          <w:rFonts w:ascii="楷体" w:eastAsia="楷体" w:hAnsi="楷体" w:cs="宋体" w:hint="eastAsia"/>
          <w:color w:val="000000" w:themeColor="text1"/>
          <w:szCs w:val="21"/>
        </w:rPr>
        <w:t>上涨</w:t>
      </w:r>
      <w:r>
        <w:rPr>
          <w:rFonts w:ascii="楷体" w:eastAsia="楷体" w:hAnsi="楷体" w:cs="宋体" w:hint="eastAsia"/>
          <w:color w:val="000000" w:themeColor="text1"/>
          <w:szCs w:val="21"/>
        </w:rPr>
        <w:t>，下跌行业为银行（-1.47%）、非银行金融（-1.74%</w:t>
      </w:r>
      <w:r w:rsidR="006C1C9A">
        <w:rPr>
          <w:rFonts w:ascii="楷体" w:eastAsia="楷体" w:hAnsi="楷体" w:cs="宋体" w:hint="eastAsia"/>
          <w:color w:val="000000" w:themeColor="text1"/>
          <w:szCs w:val="21"/>
        </w:rPr>
        <w:t>），</w:t>
      </w:r>
      <w:r>
        <w:rPr>
          <w:rFonts w:ascii="楷体" w:eastAsia="楷体" w:hAnsi="楷体" w:cs="宋体" w:hint="eastAsia"/>
          <w:color w:val="000000" w:themeColor="text1"/>
          <w:szCs w:val="21"/>
        </w:rPr>
        <w:t>涨幅靠前的</w:t>
      </w:r>
      <w:r w:rsidR="006C1C9A">
        <w:rPr>
          <w:rFonts w:ascii="楷体" w:eastAsia="楷体" w:hAnsi="楷体" w:cs="宋体" w:hint="eastAsia"/>
          <w:color w:val="000000" w:themeColor="text1"/>
          <w:szCs w:val="21"/>
        </w:rPr>
        <w:t>行业</w:t>
      </w:r>
      <w:r>
        <w:rPr>
          <w:rFonts w:ascii="楷体" w:eastAsia="楷体" w:hAnsi="楷体" w:cs="宋体" w:hint="eastAsia"/>
          <w:color w:val="000000" w:themeColor="text1"/>
          <w:szCs w:val="21"/>
        </w:rPr>
        <w:t>为餐饮旅游（9.66%）和建筑（7.62%）。经济数据方面，</w:t>
      </w:r>
      <w:r w:rsidRPr="004E7307">
        <w:rPr>
          <w:rFonts w:ascii="楷体" w:eastAsia="楷体" w:hAnsi="楷体" w:cs="宋体" w:hint="eastAsia"/>
          <w:color w:val="000000" w:themeColor="text1"/>
          <w:szCs w:val="21"/>
        </w:rPr>
        <w:t>3月</w:t>
      </w:r>
      <w:r w:rsidR="006C1C9A">
        <w:rPr>
          <w:rFonts w:ascii="楷体" w:eastAsia="楷体" w:hAnsi="楷体" w:cs="宋体" w:hint="eastAsia"/>
          <w:color w:val="000000" w:themeColor="text1"/>
          <w:szCs w:val="21"/>
        </w:rPr>
        <w:t>份</w:t>
      </w:r>
      <w:r w:rsidRPr="004E7307">
        <w:rPr>
          <w:rFonts w:ascii="楷体" w:eastAsia="楷体" w:hAnsi="楷体" w:cs="宋体" w:hint="eastAsia"/>
          <w:color w:val="000000" w:themeColor="text1"/>
          <w:szCs w:val="21"/>
        </w:rPr>
        <w:t>汇丰PMI初值为49.2%，创11</w:t>
      </w:r>
      <w:r w:rsidR="006C1C9A">
        <w:rPr>
          <w:rFonts w:ascii="楷体" w:eastAsia="楷体" w:hAnsi="楷体" w:cs="宋体" w:hint="eastAsia"/>
          <w:color w:val="000000" w:themeColor="text1"/>
          <w:szCs w:val="21"/>
        </w:rPr>
        <w:t>个月新低，较</w:t>
      </w:r>
      <w:r w:rsidRPr="004E7307">
        <w:rPr>
          <w:rFonts w:ascii="楷体" w:eastAsia="楷体" w:hAnsi="楷体" w:cs="宋体" w:hint="eastAsia"/>
          <w:color w:val="000000" w:themeColor="text1"/>
          <w:szCs w:val="21"/>
        </w:rPr>
        <w:t>上月的50.7%回落了1.5</w:t>
      </w:r>
      <w:r w:rsidR="006C1C9A">
        <w:rPr>
          <w:rFonts w:ascii="楷体" w:eastAsia="楷体" w:hAnsi="楷体" w:cs="宋体" w:hint="eastAsia"/>
          <w:color w:val="000000" w:themeColor="text1"/>
          <w:szCs w:val="21"/>
        </w:rPr>
        <w:t>个百分点，远低于市场预期，</w:t>
      </w:r>
      <w:r w:rsidRPr="004E7307">
        <w:rPr>
          <w:rFonts w:ascii="楷体" w:eastAsia="楷体" w:hAnsi="楷体" w:cs="宋体" w:hint="eastAsia"/>
          <w:color w:val="000000" w:themeColor="text1"/>
          <w:szCs w:val="21"/>
        </w:rPr>
        <w:t>分项指数中，产出指数为50.8，为11个月新低，新订单指数为49.3，已经连续2个月下滑，显示</w:t>
      </w:r>
      <w:r w:rsidR="006C1C9A">
        <w:rPr>
          <w:rFonts w:ascii="楷体" w:eastAsia="楷体" w:hAnsi="楷体" w:cs="宋体" w:hint="eastAsia"/>
          <w:color w:val="000000" w:themeColor="text1"/>
          <w:szCs w:val="21"/>
        </w:rPr>
        <w:t>出我国</w:t>
      </w:r>
      <w:r w:rsidRPr="004E7307">
        <w:rPr>
          <w:rFonts w:ascii="楷体" w:eastAsia="楷体" w:hAnsi="楷体" w:cs="宋体" w:hint="eastAsia"/>
          <w:color w:val="000000" w:themeColor="text1"/>
          <w:szCs w:val="21"/>
        </w:rPr>
        <w:t>内外需求不振</w:t>
      </w:r>
      <w:r w:rsidR="006C1C9A">
        <w:rPr>
          <w:rFonts w:ascii="楷体" w:eastAsia="楷体" w:hAnsi="楷体" w:cs="宋体" w:hint="eastAsia"/>
          <w:color w:val="000000" w:themeColor="text1"/>
          <w:szCs w:val="21"/>
        </w:rPr>
        <w:t>的现状</w:t>
      </w:r>
      <w:r w:rsidRPr="004E7307">
        <w:rPr>
          <w:rFonts w:ascii="楷体" w:eastAsia="楷体" w:hAnsi="楷体" w:cs="宋体" w:hint="eastAsia"/>
          <w:color w:val="000000" w:themeColor="text1"/>
          <w:szCs w:val="21"/>
        </w:rPr>
        <w:t>。</w:t>
      </w:r>
    </w:p>
    <w:p w:rsidR="009C6EE2" w:rsidRPr="00086E85" w:rsidRDefault="00EA307C" w:rsidP="00F53222">
      <w:pPr>
        <w:pStyle w:val="ab"/>
        <w:numPr>
          <w:ilvl w:val="4"/>
          <w:numId w:val="1"/>
        </w:numPr>
        <w:spacing w:after="163"/>
        <w:rPr>
          <w:rFonts w:ascii="楷体" w:eastAsia="楷体" w:hAnsi="楷体" w:cs="宋体"/>
          <w:color w:val="000000" w:themeColor="text1"/>
          <w:szCs w:val="21"/>
        </w:rPr>
      </w:pPr>
      <w:r w:rsidRPr="00086E85">
        <w:rPr>
          <w:rFonts w:ascii="楷体" w:eastAsia="楷体" w:hAnsi="楷体" w:cs="宋体" w:hint="eastAsia"/>
          <w:color w:val="000000" w:themeColor="text1"/>
          <w:szCs w:val="21"/>
        </w:rPr>
        <w:t>海外市场（2015.3.20~3.</w:t>
      </w:r>
      <w:r w:rsidR="002831AD" w:rsidRPr="00086E85">
        <w:rPr>
          <w:rFonts w:ascii="楷体" w:eastAsia="楷体" w:hAnsi="楷体" w:cs="宋体" w:hint="eastAsia"/>
          <w:color w:val="000000" w:themeColor="text1"/>
          <w:szCs w:val="21"/>
        </w:rPr>
        <w:t>26</w:t>
      </w:r>
      <w:r w:rsidRPr="00086E85">
        <w:rPr>
          <w:rFonts w:ascii="楷体" w:eastAsia="楷体" w:hAnsi="楷体" w:cs="宋体" w:hint="eastAsia"/>
          <w:color w:val="000000" w:themeColor="text1"/>
          <w:szCs w:val="21"/>
        </w:rPr>
        <w:t>）</w:t>
      </w:r>
      <w:r w:rsidR="002831AD" w:rsidRPr="00086E85">
        <w:rPr>
          <w:rFonts w:ascii="楷体" w:eastAsia="楷体" w:hAnsi="楷体" w:cs="宋体" w:hint="eastAsia"/>
          <w:color w:val="000000" w:themeColor="text1"/>
          <w:szCs w:val="21"/>
        </w:rPr>
        <w:t>，</w:t>
      </w:r>
      <w:r w:rsidR="0003669C" w:rsidRPr="00086E85">
        <w:rPr>
          <w:rFonts w:ascii="楷体" w:eastAsia="楷体" w:hAnsi="楷体" w:cs="宋体" w:hint="eastAsia"/>
          <w:color w:val="000000" w:themeColor="text1"/>
          <w:szCs w:val="21"/>
        </w:rPr>
        <w:t>美国2月CPI（经季调后）上涨0.2%</w:t>
      </w:r>
      <w:r w:rsidR="00F60BAC">
        <w:rPr>
          <w:rFonts w:ascii="楷体" w:eastAsia="楷体" w:hAnsi="楷体" w:cs="宋体" w:hint="eastAsia"/>
          <w:color w:val="000000" w:themeColor="text1"/>
          <w:szCs w:val="21"/>
        </w:rPr>
        <w:t>，为四个月来首次上涨，符合市场预期。</w:t>
      </w:r>
      <w:r w:rsidR="0003669C" w:rsidRPr="00086E85">
        <w:rPr>
          <w:rFonts w:ascii="楷体" w:eastAsia="楷体" w:hAnsi="楷体" w:cs="宋体" w:hint="eastAsia"/>
          <w:color w:val="000000" w:themeColor="text1"/>
          <w:szCs w:val="21"/>
        </w:rPr>
        <w:t>美国3月Markit制造业PMI初值55.3，为2014年10月份以来最高，预期54.7，前值55.1。此外</w:t>
      </w:r>
      <w:r w:rsidR="00F60BAC">
        <w:rPr>
          <w:rFonts w:ascii="楷体" w:eastAsia="楷体" w:hAnsi="楷体" w:cs="宋体" w:hint="eastAsia"/>
          <w:color w:val="000000" w:themeColor="text1"/>
          <w:szCs w:val="21"/>
        </w:rPr>
        <w:t>，</w:t>
      </w:r>
      <w:r w:rsidR="0003669C" w:rsidRPr="00086E85">
        <w:rPr>
          <w:rFonts w:ascii="楷体" w:eastAsia="楷体" w:hAnsi="楷体" w:cs="宋体" w:hint="eastAsia"/>
          <w:color w:val="000000" w:themeColor="text1"/>
          <w:szCs w:val="21"/>
        </w:rPr>
        <w:t>美国3月密歇根大学消费者信心指数终值93.0，预期92，初值91.2。美股方面，纳斯达克100跌2.52%%，标普500跌1.59%，道琼斯工指跌1.56%。欧洲方面，希腊债务问题再掀退欧危机，欧股迎来年内最大单周跌幅</w:t>
      </w:r>
      <w:r w:rsidR="0051167B" w:rsidRPr="00086E85">
        <w:rPr>
          <w:rFonts w:ascii="楷体" w:eastAsia="楷体" w:hAnsi="楷体" w:cs="宋体" w:hint="eastAsia"/>
          <w:color w:val="000000" w:themeColor="text1"/>
          <w:szCs w:val="21"/>
        </w:rPr>
        <w:t>。</w:t>
      </w:r>
      <w:r w:rsidR="00086E85" w:rsidRPr="00086E85">
        <w:rPr>
          <w:rFonts w:ascii="楷体" w:eastAsia="楷体" w:hAnsi="楷体" w:cs="宋体" w:hint="eastAsia"/>
          <w:color w:val="000000" w:themeColor="text1"/>
          <w:szCs w:val="21"/>
        </w:rPr>
        <w:t>证监会3月27日发布《公开募集证券投资基金参与沪港通交易指引》，</w:t>
      </w:r>
      <w:r w:rsidR="00086E85" w:rsidRPr="00086E85">
        <w:rPr>
          <w:rFonts w:ascii="楷体" w:eastAsia="楷体" w:hAnsi="楷体"/>
        </w:rPr>
        <w:t>公募基金将可参与沪港通交易</w:t>
      </w:r>
      <w:r w:rsidR="00086E85" w:rsidRPr="00086E85">
        <w:rPr>
          <w:rFonts w:ascii="楷体" w:eastAsia="楷体" w:hAnsi="楷体" w:hint="eastAsia"/>
        </w:rPr>
        <w:t>。港股方面，恒生指数涨0.12%。</w:t>
      </w:r>
    </w:p>
    <w:tbl>
      <w:tblPr>
        <w:tblW w:w="10773" w:type="dxa"/>
        <w:tblLayout w:type="fixed"/>
        <w:tblCellMar>
          <w:left w:w="0" w:type="dxa"/>
          <w:right w:w="0" w:type="dxa"/>
        </w:tblCellMar>
        <w:tblLook w:val="0000"/>
      </w:tblPr>
      <w:tblGrid>
        <w:gridCol w:w="5245"/>
        <w:gridCol w:w="142"/>
        <w:gridCol w:w="5386"/>
      </w:tblGrid>
      <w:tr w:rsidR="00BD0930" w:rsidRPr="005B7CDB" w:rsidTr="003918C7">
        <w:trPr>
          <w:cantSplit/>
          <w:trHeight w:val="124"/>
        </w:trPr>
        <w:tc>
          <w:tcPr>
            <w:tcW w:w="5245" w:type="dxa"/>
            <w:tcBorders>
              <w:top w:val="single" w:sz="6" w:space="0" w:color="FF6600"/>
              <w:bottom w:val="single" w:sz="6" w:space="0" w:color="FF6600"/>
            </w:tcBorders>
            <w:shd w:val="clear" w:color="auto" w:fill="auto"/>
            <w:vAlign w:val="center"/>
          </w:tcPr>
          <w:p w:rsidR="00BD0930" w:rsidRPr="00057142" w:rsidRDefault="00BD0930" w:rsidP="00D7627F">
            <w:pPr>
              <w:pStyle w:val="SubTitleLargeTable"/>
              <w:pBdr>
                <w:top w:val="none" w:sz="0" w:space="0" w:color="auto"/>
              </w:pBdr>
              <w:rPr>
                <w:rFonts w:ascii="楷体" w:eastAsia="楷体" w:hAnsi="楷体"/>
                <w:color w:val="FF6600"/>
              </w:rPr>
            </w:pPr>
            <w:r w:rsidRPr="005B7CDB">
              <w:rPr>
                <w:rFonts w:ascii="楷体" w:eastAsia="楷体" w:hAnsi="楷体"/>
                <w:color w:val="FF6600"/>
              </w:rPr>
              <w:t>图表</w:t>
            </w:r>
            <w:r w:rsidR="00A87530" w:rsidRPr="005B7CDB">
              <w:rPr>
                <w:rFonts w:ascii="楷体" w:eastAsia="楷体" w:hAnsi="楷体" w:hint="eastAsia"/>
                <w:color w:val="FF6600"/>
              </w:rPr>
              <w:t>2</w:t>
            </w:r>
            <w:r w:rsidRPr="005B7CDB">
              <w:rPr>
                <w:rFonts w:ascii="楷体" w:eastAsia="楷体" w:hAnsi="楷体" w:hint="eastAsia"/>
                <w:color w:val="FF6600"/>
              </w:rPr>
              <w:t>：</w:t>
            </w:r>
            <w:r w:rsidR="00091971" w:rsidRPr="005B7CDB">
              <w:rPr>
                <w:rFonts w:ascii="楷体" w:eastAsia="楷体" w:hAnsi="楷体" w:hint="eastAsia"/>
                <w:color w:val="FF6600"/>
              </w:rPr>
              <w:t>各类指数</w:t>
            </w:r>
            <w:r w:rsidR="006675F9" w:rsidRPr="005B7CDB">
              <w:rPr>
                <w:rFonts w:ascii="楷体" w:eastAsia="楷体" w:hAnsi="楷体" w:hint="eastAsia"/>
                <w:color w:val="FF6600"/>
              </w:rPr>
              <w:t>周涨跌</w:t>
            </w:r>
            <w:r w:rsidR="00057142">
              <w:rPr>
                <w:rFonts w:ascii="楷体" w:eastAsia="楷体" w:hAnsi="楷体" w:hint="eastAsia"/>
                <w:color w:val="FF6600"/>
              </w:rPr>
              <w:t>(</w:t>
            </w:r>
            <w:r w:rsidR="009C6EE2">
              <w:rPr>
                <w:rFonts w:ascii="楷体" w:eastAsia="楷体" w:hAnsi="楷体" w:hint="eastAsia"/>
                <w:color w:val="FF6600"/>
              </w:rPr>
              <w:t>3.23</w:t>
            </w:r>
            <w:r w:rsidR="00C209B8">
              <w:rPr>
                <w:rFonts w:ascii="楷体" w:eastAsia="楷体" w:hAnsi="楷体" w:hint="eastAsia"/>
                <w:color w:val="FF6600"/>
              </w:rPr>
              <w:t>~</w:t>
            </w:r>
            <w:r w:rsidR="009C6EE2">
              <w:rPr>
                <w:rFonts w:ascii="楷体" w:eastAsia="楷体" w:hAnsi="楷体" w:hint="eastAsia"/>
                <w:color w:val="FF6600"/>
              </w:rPr>
              <w:t>3.27</w:t>
            </w:r>
            <w:r w:rsidR="00091971" w:rsidRPr="00057142">
              <w:rPr>
                <w:rFonts w:ascii="楷体" w:eastAsia="楷体" w:hAnsi="楷体" w:hint="eastAsia"/>
                <w:color w:val="FF6600"/>
              </w:rPr>
              <w:t>，海外指数</w:t>
            </w:r>
            <w:r w:rsidR="009C6EE2">
              <w:rPr>
                <w:rFonts w:ascii="楷体" w:eastAsia="楷体" w:hAnsi="楷体" w:hint="eastAsia"/>
                <w:color w:val="FF6600"/>
              </w:rPr>
              <w:t>3.20</w:t>
            </w:r>
            <w:r w:rsidR="00091971" w:rsidRPr="00057142">
              <w:rPr>
                <w:rFonts w:ascii="楷体" w:eastAsia="楷体" w:hAnsi="楷体" w:hint="eastAsia"/>
                <w:color w:val="FF6600"/>
              </w:rPr>
              <w:t>~</w:t>
            </w:r>
            <w:r w:rsidR="009C6EE2">
              <w:rPr>
                <w:rFonts w:ascii="楷体" w:eastAsia="楷体" w:hAnsi="楷体" w:hint="eastAsia"/>
                <w:color w:val="FF6600"/>
              </w:rPr>
              <w:t>3.26</w:t>
            </w:r>
            <w:r w:rsidR="00057142">
              <w:rPr>
                <w:rFonts w:ascii="楷体" w:eastAsia="楷体" w:hAnsi="楷体" w:hint="eastAsia"/>
                <w:color w:val="FF6600"/>
              </w:rPr>
              <w:t>)</w:t>
            </w:r>
          </w:p>
        </w:tc>
        <w:tc>
          <w:tcPr>
            <w:tcW w:w="142" w:type="dxa"/>
            <w:vAlign w:val="center"/>
          </w:tcPr>
          <w:p w:rsidR="00BD0930" w:rsidRPr="00B76DF9" w:rsidRDefault="00BD0930" w:rsidP="003B1409">
            <w:pPr>
              <w:jc w:val="center"/>
              <w:rPr>
                <w:rFonts w:ascii="楷体" w:eastAsia="楷体" w:hAnsi="楷体"/>
                <w:lang w:val="en-GB"/>
              </w:rPr>
            </w:pPr>
          </w:p>
        </w:tc>
        <w:tc>
          <w:tcPr>
            <w:tcW w:w="5386" w:type="dxa"/>
            <w:tcBorders>
              <w:top w:val="single" w:sz="6" w:space="0" w:color="FF6600"/>
              <w:bottom w:val="single" w:sz="6" w:space="0" w:color="FF6600"/>
            </w:tcBorders>
            <w:shd w:val="clear" w:color="auto" w:fill="auto"/>
            <w:vAlign w:val="center"/>
          </w:tcPr>
          <w:p w:rsidR="00BD0930" w:rsidRPr="005B7CDB" w:rsidRDefault="00BD0930" w:rsidP="007B1899">
            <w:pPr>
              <w:pStyle w:val="SubTitleLargeTable"/>
              <w:pBdr>
                <w:top w:val="none" w:sz="0" w:space="0" w:color="auto"/>
              </w:pBdr>
              <w:rPr>
                <w:rFonts w:ascii="楷体" w:eastAsia="楷体" w:hAnsi="楷体"/>
              </w:rPr>
            </w:pPr>
            <w:r w:rsidRPr="005B7CDB">
              <w:rPr>
                <w:rFonts w:ascii="楷体" w:eastAsia="楷体" w:hAnsi="楷体"/>
                <w:color w:val="FF6600"/>
              </w:rPr>
              <w:t>图表</w:t>
            </w:r>
            <w:r w:rsidR="00A87530" w:rsidRPr="005B7CDB">
              <w:rPr>
                <w:rFonts w:ascii="楷体" w:eastAsia="楷体" w:hAnsi="楷体" w:hint="eastAsia"/>
                <w:color w:val="FF6600"/>
              </w:rPr>
              <w:t>3</w:t>
            </w:r>
            <w:r w:rsidRPr="005B7CDB">
              <w:rPr>
                <w:rFonts w:ascii="楷体" w:eastAsia="楷体" w:hAnsi="楷体" w:hint="eastAsia"/>
                <w:color w:val="FF6600"/>
              </w:rPr>
              <w:t>：</w:t>
            </w:r>
            <w:r w:rsidR="00091971" w:rsidRPr="005B7CDB">
              <w:rPr>
                <w:rFonts w:ascii="楷体" w:eastAsia="楷体" w:hAnsi="楷体" w:hint="eastAsia"/>
                <w:color w:val="FF6600"/>
              </w:rPr>
              <w:t>中信一级行业板块周涨跌（</w:t>
            </w:r>
            <w:r w:rsidR="009C6EE2">
              <w:rPr>
                <w:rFonts w:ascii="楷体" w:eastAsia="楷体" w:hAnsi="楷体" w:hint="eastAsia"/>
                <w:color w:val="FF6600"/>
              </w:rPr>
              <w:t>3.23</w:t>
            </w:r>
            <w:r w:rsidR="00BD4B2C">
              <w:rPr>
                <w:rFonts w:ascii="楷体" w:eastAsia="楷体" w:hAnsi="楷体" w:hint="eastAsia"/>
                <w:color w:val="FF6600"/>
              </w:rPr>
              <w:t>~</w:t>
            </w:r>
            <w:r w:rsidR="009C6EE2">
              <w:rPr>
                <w:rFonts w:ascii="楷体" w:eastAsia="楷体" w:hAnsi="楷体" w:hint="eastAsia"/>
                <w:color w:val="FF6600"/>
              </w:rPr>
              <w:t>3.27</w:t>
            </w:r>
            <w:r w:rsidR="00091971" w:rsidRPr="005B7CDB">
              <w:rPr>
                <w:rFonts w:ascii="楷体" w:eastAsia="楷体" w:hAnsi="楷体" w:hint="eastAsia"/>
                <w:color w:val="FF6600"/>
              </w:rPr>
              <w:t>）</w:t>
            </w:r>
          </w:p>
        </w:tc>
      </w:tr>
      <w:tr w:rsidR="00BD0930" w:rsidRPr="005B7CDB" w:rsidTr="008E74FB">
        <w:trPr>
          <w:cantSplit/>
          <w:trHeight w:val="1899"/>
        </w:trPr>
        <w:tc>
          <w:tcPr>
            <w:tcW w:w="5245" w:type="dxa"/>
            <w:tcBorders>
              <w:top w:val="single" w:sz="6" w:space="0" w:color="FF6600"/>
              <w:bottom w:val="single" w:sz="6" w:space="0" w:color="FF6600"/>
            </w:tcBorders>
            <w:shd w:val="clear" w:color="auto" w:fill="auto"/>
            <w:vAlign w:val="center"/>
          </w:tcPr>
          <w:p w:rsidR="00BD0930" w:rsidRPr="00546733" w:rsidRDefault="009C35F2" w:rsidP="003B1409">
            <w:pPr>
              <w:jc w:val="center"/>
              <w:rPr>
                <w:rFonts w:ascii="楷体" w:eastAsia="楷体" w:hAnsi="楷体"/>
              </w:rPr>
            </w:pPr>
            <w:r w:rsidRPr="009C35F2">
              <w:rPr>
                <w:rFonts w:ascii="楷体" w:eastAsia="楷体" w:hAnsi="楷体"/>
                <w:noProof/>
              </w:rPr>
              <w:drawing>
                <wp:inline distT="0" distB="0" distL="0" distR="0">
                  <wp:extent cx="2876550" cy="1343025"/>
                  <wp:effectExtent l="19050" t="0" r="0" b="0"/>
                  <wp:docPr id="2" name="图片 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0"/>
                          <a:stretch>
                            <a:fillRect/>
                          </a:stretch>
                        </pic:blipFill>
                        <pic:spPr>
                          <a:xfrm>
                            <a:off x="0" y="0"/>
                            <a:ext cx="2876550" cy="1343025"/>
                          </a:xfrm>
                          <a:prstGeom prst="rect">
                            <a:avLst/>
                          </a:prstGeom>
                        </pic:spPr>
                      </pic:pic>
                    </a:graphicData>
                  </a:graphic>
                </wp:inline>
              </w:drawing>
            </w:r>
          </w:p>
        </w:tc>
        <w:tc>
          <w:tcPr>
            <w:tcW w:w="142" w:type="dxa"/>
            <w:vAlign w:val="center"/>
          </w:tcPr>
          <w:p w:rsidR="00BD0930" w:rsidRPr="005B7CDB" w:rsidRDefault="00BD0930" w:rsidP="003B1409">
            <w:pPr>
              <w:jc w:val="center"/>
              <w:rPr>
                <w:rFonts w:ascii="楷体" w:eastAsia="楷体" w:hAnsi="楷体"/>
              </w:rPr>
            </w:pPr>
          </w:p>
        </w:tc>
        <w:tc>
          <w:tcPr>
            <w:tcW w:w="5386" w:type="dxa"/>
            <w:tcBorders>
              <w:top w:val="single" w:sz="6" w:space="0" w:color="FF6600"/>
              <w:bottom w:val="single" w:sz="6" w:space="0" w:color="FF6600"/>
            </w:tcBorders>
            <w:shd w:val="clear" w:color="auto" w:fill="auto"/>
            <w:vAlign w:val="center"/>
          </w:tcPr>
          <w:p w:rsidR="00BD0930" w:rsidRPr="00C678FB" w:rsidRDefault="009C35F2" w:rsidP="00180FDA">
            <w:pPr>
              <w:jc w:val="center"/>
              <w:rPr>
                <w:rFonts w:ascii="楷体" w:eastAsia="楷体" w:hAnsi="楷体"/>
              </w:rPr>
            </w:pPr>
            <w:r w:rsidRPr="009C35F2">
              <w:rPr>
                <w:rFonts w:ascii="楷体" w:eastAsia="楷体" w:hAnsi="楷体"/>
                <w:noProof/>
              </w:rPr>
              <w:drawing>
                <wp:inline distT="0" distB="0" distL="0" distR="0">
                  <wp:extent cx="3057525" cy="1304925"/>
                  <wp:effectExtent l="19050" t="0" r="9525" b="0"/>
                  <wp:docPr id="3" name="图片 2"/>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11"/>
                          <a:stretch>
                            <a:fillRect/>
                          </a:stretch>
                        </pic:blipFill>
                        <pic:spPr>
                          <a:xfrm>
                            <a:off x="0" y="0"/>
                            <a:ext cx="3057525" cy="1304925"/>
                          </a:xfrm>
                          <a:prstGeom prst="rect">
                            <a:avLst/>
                          </a:prstGeom>
                        </pic:spPr>
                      </pic:pic>
                    </a:graphicData>
                  </a:graphic>
                </wp:inline>
              </w:drawing>
            </w:r>
          </w:p>
        </w:tc>
      </w:tr>
    </w:tbl>
    <w:p w:rsidR="00BD0930" w:rsidRPr="005B7CDB" w:rsidRDefault="00BD0930" w:rsidP="00BD0930">
      <w:pPr>
        <w:pStyle w:val="FootnoteNoline"/>
        <w:ind w:left="0"/>
        <w:jc w:val="left"/>
        <w:rPr>
          <w:rFonts w:ascii="楷体" w:eastAsia="楷体" w:hAnsi="楷体"/>
        </w:rPr>
      </w:pPr>
      <w:r w:rsidRPr="005B7CDB">
        <w:rPr>
          <w:rFonts w:ascii="楷体" w:eastAsia="楷体" w:hAnsi="楷体" w:hint="eastAsia"/>
          <w:color w:val="FF6600"/>
        </w:rPr>
        <w:t>来源：凯石财富工场</w:t>
      </w:r>
      <w:r w:rsidRPr="005B7CDB">
        <w:rPr>
          <w:rFonts w:ascii="楷体" w:eastAsia="楷体" w:hAnsi="楷体" w:hint="eastAsia"/>
        </w:rPr>
        <w:t xml:space="preserve"> </w:t>
      </w:r>
    </w:p>
    <w:p w:rsidR="00A81F6D" w:rsidRPr="006B58B4" w:rsidRDefault="000D4A66" w:rsidP="006B58B4">
      <w:pPr>
        <w:widowControl/>
        <w:spacing w:after="120"/>
        <w:ind w:left="3430"/>
        <w:rPr>
          <w:rFonts w:ascii="Arial" w:eastAsia="楷体" w:hAnsi="Arial" w:cs="Arial"/>
          <w:b/>
          <w:bCs/>
          <w:color w:val="0070C0"/>
          <w:kern w:val="0"/>
          <w:szCs w:val="21"/>
          <w:lang w:val="en-GB"/>
        </w:rPr>
      </w:pPr>
      <w:r w:rsidRPr="00E15464">
        <w:rPr>
          <w:rFonts w:ascii="Arial" w:eastAsia="楷体" w:hAnsi="楷体" w:cs="Arial"/>
          <w:b/>
          <w:bCs/>
          <w:color w:val="0070C0"/>
          <w:kern w:val="0"/>
          <w:szCs w:val="21"/>
          <w:lang w:val="en-GB"/>
        </w:rPr>
        <w:lastRenderedPageBreak/>
        <w:t>各类型公募基金一周业绩：</w:t>
      </w:r>
      <w:r w:rsidR="006C055F">
        <w:rPr>
          <w:rFonts w:ascii="楷体" w:eastAsia="楷体" w:hAnsi="楷体" w:hint="eastAsia"/>
          <w:b/>
          <w:bCs/>
          <w:color w:val="0070C0"/>
          <w:kern w:val="0"/>
          <w:szCs w:val="21"/>
          <w:lang w:val="en-GB"/>
        </w:rPr>
        <w:t>权益基金涨幅收窄，固收基金业绩回调</w:t>
      </w:r>
    </w:p>
    <w:p w:rsidR="00CD52F5" w:rsidRPr="00174ABE" w:rsidRDefault="00E428BF" w:rsidP="00174ABE">
      <w:pPr>
        <w:pStyle w:val="ab"/>
        <w:numPr>
          <w:ilvl w:val="4"/>
          <w:numId w:val="1"/>
        </w:numPr>
        <w:spacing w:after="163"/>
        <w:rPr>
          <w:rFonts w:ascii="楷体" w:eastAsia="楷体" w:hAnsi="楷体" w:cs="Arial"/>
          <w:color w:val="000000" w:themeColor="text1"/>
          <w:szCs w:val="21"/>
        </w:rPr>
      </w:pPr>
      <w:r>
        <w:rPr>
          <w:rFonts w:ascii="楷体" w:eastAsia="楷体" w:hAnsi="楷体" w:cs="Arial" w:hint="eastAsia"/>
          <w:color w:val="000000" w:themeColor="text1"/>
          <w:szCs w:val="21"/>
        </w:rPr>
        <w:t>上周（</w:t>
      </w:r>
      <w:r w:rsidR="006A795D">
        <w:rPr>
          <w:rFonts w:ascii="楷体" w:eastAsia="楷体" w:hAnsi="楷体" w:cs="Arial" w:hint="eastAsia"/>
          <w:color w:val="000000" w:themeColor="text1"/>
          <w:szCs w:val="21"/>
        </w:rPr>
        <w:t>2015.3.23-2015.3.27</w:t>
      </w:r>
      <w:r w:rsidR="00B45343">
        <w:rPr>
          <w:rFonts w:ascii="楷体" w:eastAsia="楷体" w:hAnsi="楷体" w:cs="Arial" w:hint="eastAsia"/>
          <w:color w:val="000000" w:themeColor="text1"/>
          <w:szCs w:val="21"/>
        </w:rPr>
        <w:t>）,A股市场先扬后抑，债券市场小幅震荡，权益基金涨幅收窄，固收基金涨少跌多</w:t>
      </w:r>
      <w:r w:rsidR="006B58B4">
        <w:rPr>
          <w:rFonts w:ascii="楷体" w:eastAsia="楷体" w:hAnsi="楷体" w:cs="Arial" w:hint="eastAsia"/>
          <w:color w:val="000000" w:themeColor="text1"/>
          <w:szCs w:val="21"/>
        </w:rPr>
        <w:t>。</w:t>
      </w:r>
      <w:r w:rsidR="00445834">
        <w:rPr>
          <w:rFonts w:ascii="楷体" w:eastAsia="楷体" w:hAnsi="楷体" w:cs="Arial" w:hint="eastAsia"/>
          <w:color w:val="000000" w:themeColor="text1"/>
          <w:szCs w:val="21"/>
        </w:rPr>
        <w:t>分类来看，股票基金中，主动型好于指数型；混合基金中，偏股基金</w:t>
      </w:r>
      <w:r w:rsidR="00BF733C">
        <w:rPr>
          <w:rFonts w:ascii="楷体" w:eastAsia="楷体" w:hAnsi="楷体" w:cs="Arial" w:hint="eastAsia"/>
          <w:color w:val="000000" w:themeColor="text1"/>
          <w:szCs w:val="21"/>
        </w:rPr>
        <w:t>收益略高于</w:t>
      </w:r>
      <w:r w:rsidR="00445834">
        <w:rPr>
          <w:rFonts w:ascii="楷体" w:eastAsia="楷体" w:hAnsi="楷体" w:cs="Arial" w:hint="eastAsia"/>
          <w:color w:val="000000" w:themeColor="text1"/>
          <w:szCs w:val="21"/>
        </w:rPr>
        <w:t>灵活型，偏债型收益较低；债券基金中，纯债基金跌幅小于一级债基，小于指数债基，可转债跌幅最大，二级债基微涨，理财债基平均收益仍为0.09%；货币基金</w:t>
      </w:r>
      <w:r w:rsidR="00445834" w:rsidRPr="007C4D28">
        <w:rPr>
          <w:rFonts w:ascii="楷体" w:eastAsia="楷体" w:hAnsi="楷体" w:cs="Arial" w:hint="eastAsia"/>
          <w:color w:val="000000" w:themeColor="text1"/>
          <w:szCs w:val="21"/>
        </w:rPr>
        <w:t>七日年化收益率</w:t>
      </w:r>
      <w:r w:rsidR="00445834">
        <w:rPr>
          <w:rFonts w:ascii="楷体" w:eastAsia="楷体" w:hAnsi="楷体" w:cs="Arial" w:hint="eastAsia"/>
          <w:color w:val="000000" w:themeColor="text1"/>
          <w:szCs w:val="21"/>
        </w:rPr>
        <w:t>再度下滑，为4.42%</w:t>
      </w:r>
      <w:r w:rsidR="00502A4B">
        <w:rPr>
          <w:rFonts w:ascii="楷体" w:eastAsia="楷体" w:hAnsi="楷体" w:cs="Arial" w:hint="eastAsia"/>
          <w:color w:val="000000" w:themeColor="text1"/>
          <w:szCs w:val="21"/>
        </w:rPr>
        <w:t>；外围股市中，美股受挫港股微涨，QDII</w:t>
      </w:r>
      <w:r w:rsidR="00BF733C">
        <w:rPr>
          <w:rFonts w:ascii="楷体" w:eastAsia="楷体" w:hAnsi="楷体" w:cs="Arial" w:hint="eastAsia"/>
          <w:color w:val="000000" w:themeColor="text1"/>
          <w:szCs w:val="21"/>
        </w:rPr>
        <w:t>平均</w:t>
      </w:r>
      <w:r w:rsidR="00502A4B">
        <w:rPr>
          <w:rFonts w:ascii="楷体" w:eastAsia="楷体" w:hAnsi="楷体" w:cs="Arial" w:hint="eastAsia"/>
          <w:color w:val="000000" w:themeColor="text1"/>
          <w:szCs w:val="21"/>
        </w:rPr>
        <w:t>收益为负，</w:t>
      </w:r>
      <w:r w:rsidR="00BF733C">
        <w:rPr>
          <w:rFonts w:ascii="楷体" w:eastAsia="楷体" w:hAnsi="楷体" w:cs="Arial" w:hint="eastAsia"/>
          <w:color w:val="000000" w:themeColor="text1"/>
          <w:szCs w:val="21"/>
        </w:rPr>
        <w:t>QDII-</w:t>
      </w:r>
      <w:r w:rsidR="00502A4B">
        <w:rPr>
          <w:rFonts w:ascii="楷体" w:eastAsia="楷体" w:hAnsi="楷体" w:cs="Arial" w:hint="eastAsia"/>
          <w:color w:val="000000" w:themeColor="text1"/>
          <w:szCs w:val="21"/>
        </w:rPr>
        <w:t>商品基金和其他</w:t>
      </w:r>
      <w:r w:rsidR="004143AD">
        <w:rPr>
          <w:rFonts w:ascii="楷体" w:eastAsia="楷体" w:hAnsi="楷体" w:cs="Arial" w:hint="eastAsia"/>
          <w:color w:val="000000" w:themeColor="text1"/>
          <w:szCs w:val="21"/>
        </w:rPr>
        <w:t>主投</w:t>
      </w:r>
      <w:r w:rsidR="00502A4B">
        <w:rPr>
          <w:rFonts w:ascii="楷体" w:eastAsia="楷体" w:hAnsi="楷体" w:cs="Arial" w:hint="eastAsia"/>
          <w:color w:val="000000" w:themeColor="text1"/>
          <w:szCs w:val="21"/>
        </w:rPr>
        <w:t>资源</w:t>
      </w:r>
      <w:r w:rsidR="004143AD">
        <w:rPr>
          <w:rFonts w:ascii="楷体" w:eastAsia="楷体" w:hAnsi="楷体" w:cs="Arial" w:hint="eastAsia"/>
          <w:color w:val="000000" w:themeColor="text1"/>
          <w:szCs w:val="21"/>
        </w:rPr>
        <w:t>类</w:t>
      </w:r>
      <w:r w:rsidR="00502A4B">
        <w:rPr>
          <w:rFonts w:ascii="楷体" w:eastAsia="楷体" w:hAnsi="楷体" w:cs="Arial" w:hint="eastAsia"/>
          <w:color w:val="000000" w:themeColor="text1"/>
          <w:szCs w:val="21"/>
        </w:rPr>
        <w:t>基金收益居前，</w:t>
      </w:r>
      <w:r w:rsidR="004143AD">
        <w:rPr>
          <w:rFonts w:ascii="楷体" w:eastAsia="楷体" w:hAnsi="楷体" w:cs="Arial" w:hint="eastAsia"/>
          <w:color w:val="000000" w:themeColor="text1"/>
          <w:szCs w:val="21"/>
        </w:rPr>
        <w:t>美股基金收益多排名下游。</w:t>
      </w:r>
      <w:r w:rsidR="00BF733C">
        <w:rPr>
          <w:rFonts w:ascii="楷体" w:eastAsia="楷体" w:hAnsi="楷体" w:cs="Arial" w:hint="eastAsia"/>
          <w:color w:val="000000" w:themeColor="text1"/>
          <w:szCs w:val="21"/>
        </w:rPr>
        <w:t>另外，商品基金</w:t>
      </w:r>
      <w:r w:rsidR="00711052">
        <w:rPr>
          <w:rFonts w:ascii="楷体" w:eastAsia="楷体" w:hAnsi="楷体" w:cs="Arial" w:hint="eastAsia"/>
          <w:color w:val="000000" w:themeColor="text1"/>
          <w:szCs w:val="21"/>
        </w:rPr>
        <w:t>周</w:t>
      </w:r>
      <w:r w:rsidR="00BF733C">
        <w:rPr>
          <w:rFonts w:ascii="楷体" w:eastAsia="楷体" w:hAnsi="楷体" w:cs="Arial" w:hint="eastAsia"/>
          <w:color w:val="000000" w:themeColor="text1"/>
          <w:szCs w:val="21"/>
        </w:rPr>
        <w:t>收益较佳。</w:t>
      </w:r>
    </w:p>
    <w:tbl>
      <w:tblPr>
        <w:tblW w:w="1077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993"/>
        <w:gridCol w:w="1400"/>
        <w:gridCol w:w="1197"/>
        <w:gridCol w:w="946"/>
        <w:gridCol w:w="1448"/>
        <w:gridCol w:w="1197"/>
        <w:gridCol w:w="1041"/>
        <w:gridCol w:w="1353"/>
        <w:gridCol w:w="1197"/>
      </w:tblGrid>
      <w:tr w:rsidR="000D4A66" w:rsidRPr="005B7CDB" w:rsidTr="00D7627F">
        <w:trPr>
          <w:trHeight w:val="335"/>
          <w:tblHeader/>
        </w:trPr>
        <w:tc>
          <w:tcPr>
            <w:tcW w:w="10772" w:type="dxa"/>
            <w:gridSpan w:val="9"/>
            <w:tcBorders>
              <w:bottom w:val="single" w:sz="6" w:space="0" w:color="FF6600"/>
            </w:tcBorders>
            <w:shd w:val="clear" w:color="auto" w:fill="auto"/>
            <w:vAlign w:val="center"/>
          </w:tcPr>
          <w:p w:rsidR="000D4A66" w:rsidRPr="005B7CDB" w:rsidRDefault="000D4A66" w:rsidP="00D75B16">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8F39C1" w:rsidRPr="005B7CDB">
              <w:rPr>
                <w:rFonts w:ascii="楷体" w:eastAsia="楷体" w:hAnsi="楷体" w:hint="eastAsia"/>
                <w:color w:val="FF6600"/>
              </w:rPr>
              <w:t>4</w:t>
            </w:r>
            <w:r w:rsidRPr="005B7CDB">
              <w:rPr>
                <w:rFonts w:ascii="楷体" w:eastAsia="楷体" w:hAnsi="楷体" w:cs="宋体" w:hint="eastAsia"/>
                <w:color w:val="FF6600"/>
              </w:rPr>
              <w:t>：各类型公募基金（含封闭式）周平均收益率（</w:t>
            </w:r>
            <w:r w:rsidR="00B424DA">
              <w:rPr>
                <w:rFonts w:ascii="楷体" w:eastAsia="楷体" w:hAnsi="楷体" w:hint="eastAsia"/>
                <w:color w:val="FF6600"/>
              </w:rPr>
              <w:t>3</w:t>
            </w:r>
            <w:r w:rsidR="00254284">
              <w:rPr>
                <w:rFonts w:ascii="楷体" w:eastAsia="楷体" w:hAnsi="楷体" w:hint="eastAsia"/>
                <w:color w:val="FF6600"/>
              </w:rPr>
              <w:t>.</w:t>
            </w:r>
            <w:r w:rsidR="006A795D">
              <w:rPr>
                <w:rFonts w:ascii="楷体" w:eastAsia="楷体" w:hAnsi="楷体" w:hint="eastAsia"/>
                <w:color w:val="FF6600"/>
              </w:rPr>
              <w:t>23</w:t>
            </w:r>
            <w:r w:rsidR="00254284">
              <w:rPr>
                <w:rFonts w:ascii="楷体" w:eastAsia="楷体" w:hAnsi="楷体" w:hint="eastAsia"/>
                <w:color w:val="FF6600"/>
              </w:rPr>
              <w:t>~</w:t>
            </w:r>
            <w:r w:rsidR="00B424DA">
              <w:rPr>
                <w:rFonts w:ascii="楷体" w:eastAsia="楷体" w:hAnsi="楷体" w:hint="eastAsia"/>
                <w:color w:val="FF6600"/>
              </w:rPr>
              <w:t>3</w:t>
            </w:r>
            <w:r w:rsidR="00C21953">
              <w:rPr>
                <w:rFonts w:ascii="楷体" w:eastAsia="楷体" w:hAnsi="楷体" w:hint="eastAsia"/>
                <w:color w:val="FF6600"/>
              </w:rPr>
              <w:t>.</w:t>
            </w:r>
            <w:r w:rsidR="006A795D">
              <w:rPr>
                <w:rFonts w:ascii="楷体" w:eastAsia="楷体" w:hAnsi="楷体" w:hint="eastAsia"/>
                <w:color w:val="FF6600"/>
              </w:rPr>
              <w:t>27</w:t>
            </w:r>
            <w:r w:rsidRPr="005B7CDB">
              <w:rPr>
                <w:rFonts w:ascii="楷体" w:eastAsia="楷体" w:hAnsi="楷体" w:cs="宋体" w:hint="eastAsia"/>
                <w:color w:val="FF6600"/>
              </w:rPr>
              <w:t>，</w:t>
            </w:r>
            <w:r w:rsidRPr="005B7CDB">
              <w:rPr>
                <w:rFonts w:ascii="楷体" w:eastAsia="楷体" w:hAnsi="楷体" w:hint="eastAsia"/>
                <w:color w:val="FF6600"/>
              </w:rPr>
              <w:t>QDII为</w:t>
            </w:r>
            <w:r w:rsidR="006A795D">
              <w:rPr>
                <w:rFonts w:ascii="楷体" w:eastAsia="楷体" w:hAnsi="楷体" w:hint="eastAsia"/>
                <w:color w:val="FF6600"/>
              </w:rPr>
              <w:t>3.20</w:t>
            </w:r>
            <w:r w:rsidR="00E86700" w:rsidRPr="00057142">
              <w:rPr>
                <w:rFonts w:ascii="楷体" w:eastAsia="楷体" w:hAnsi="楷体" w:hint="eastAsia"/>
                <w:color w:val="FF6600"/>
              </w:rPr>
              <w:t>~</w:t>
            </w:r>
            <w:r w:rsidR="006A795D">
              <w:rPr>
                <w:rFonts w:ascii="楷体" w:eastAsia="楷体" w:hAnsi="楷体" w:hint="eastAsia"/>
                <w:color w:val="FF6600"/>
              </w:rPr>
              <w:t>3.26</w:t>
            </w:r>
            <w:r w:rsidR="005E11DF">
              <w:rPr>
                <w:rFonts w:ascii="楷体" w:eastAsia="楷体" w:hAnsi="楷体" w:hint="eastAsia"/>
                <w:color w:val="FF6600"/>
              </w:rPr>
              <w:t>，</w:t>
            </w:r>
            <w:r w:rsidR="00F60041" w:rsidRPr="005B7CDB">
              <w:rPr>
                <w:rFonts w:ascii="楷体" w:eastAsia="楷体" w:hAnsi="楷体" w:hint="eastAsia"/>
                <w:color w:val="FF6600"/>
              </w:rPr>
              <w:t>货币基金为</w:t>
            </w:r>
            <w:r w:rsidR="0034351F" w:rsidRPr="005B7CDB">
              <w:rPr>
                <w:rFonts w:ascii="楷体" w:eastAsia="楷体" w:hAnsi="楷体" w:hint="eastAsia"/>
                <w:color w:val="FF6600"/>
              </w:rPr>
              <w:t>7日年化</w:t>
            </w:r>
            <w:r w:rsidR="00F60041" w:rsidRPr="005B7CDB">
              <w:rPr>
                <w:rFonts w:ascii="楷体" w:eastAsia="楷体" w:hAnsi="楷体" w:hint="eastAsia"/>
                <w:color w:val="FF6600"/>
              </w:rPr>
              <w:t>收益</w:t>
            </w:r>
            <w:r w:rsidR="0086042C">
              <w:rPr>
                <w:rFonts w:ascii="楷体" w:eastAsia="楷体" w:hAnsi="楷体" w:hint="eastAsia"/>
                <w:color w:val="FF6600"/>
              </w:rPr>
              <w:t>率</w:t>
            </w:r>
            <w:r w:rsidRPr="005B7CDB">
              <w:rPr>
                <w:rFonts w:ascii="楷体" w:eastAsia="楷体" w:hAnsi="楷体" w:cs="宋体" w:hint="eastAsia"/>
                <w:color w:val="FF6600"/>
              </w:rPr>
              <w:t>）</w:t>
            </w:r>
          </w:p>
        </w:tc>
      </w:tr>
      <w:tr w:rsidR="000D4A66" w:rsidRPr="005B7CDB" w:rsidTr="00D7627F">
        <w:trPr>
          <w:trHeight w:val="284"/>
          <w:tblHeader/>
        </w:trPr>
        <w:tc>
          <w:tcPr>
            <w:tcW w:w="2393" w:type="dxa"/>
            <w:gridSpan w:val="2"/>
            <w:tcBorders>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2394" w:type="dxa"/>
            <w:gridSpan w:val="2"/>
            <w:tcBorders>
              <w:left w:val="single" w:sz="6" w:space="0" w:color="FF6600"/>
              <w:righ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1197" w:type="dxa"/>
            <w:tcBorders>
              <w:left w:val="single" w:sz="6" w:space="0" w:color="FF6600"/>
            </w:tcBorders>
            <w:shd w:val="clear" w:color="auto" w:fill="FDE9D9" w:themeFill="accent6" w:themeFillTint="33"/>
            <w:vAlign w:val="center"/>
          </w:tcPr>
          <w:p w:rsidR="000D4A66" w:rsidRPr="005B7CDB" w:rsidRDefault="000D4A66" w:rsidP="009D6B40">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130016" w:rsidRPr="00692F2D"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股票型</w:t>
            </w: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股票-主动型</w:t>
            </w:r>
          </w:p>
        </w:tc>
        <w:tc>
          <w:tcPr>
            <w:tcW w:w="1197" w:type="dxa"/>
            <w:tcBorders>
              <w:left w:val="single" w:sz="6" w:space="0" w:color="FF6600"/>
              <w:right w:val="single" w:sz="6" w:space="0" w:color="FF6600"/>
            </w:tcBorders>
            <w:shd w:val="clear" w:color="auto" w:fill="auto"/>
            <w:vAlign w:val="center"/>
          </w:tcPr>
          <w:p w:rsidR="00130016" w:rsidRPr="009A73F0" w:rsidRDefault="000F6D7C" w:rsidP="00A81F6D">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4.01</w:t>
            </w:r>
          </w:p>
        </w:tc>
        <w:tc>
          <w:tcPr>
            <w:tcW w:w="946" w:type="dxa"/>
            <w:vMerge w:val="restart"/>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债券型</w:t>
            </w: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债券-纯债基金</w:t>
            </w:r>
          </w:p>
        </w:tc>
        <w:tc>
          <w:tcPr>
            <w:tcW w:w="1197" w:type="dxa"/>
            <w:tcBorders>
              <w:left w:val="single" w:sz="6" w:space="0" w:color="FF6600"/>
              <w:right w:val="single" w:sz="6" w:space="0" w:color="FF6600"/>
            </w:tcBorders>
            <w:shd w:val="clear" w:color="auto" w:fill="auto"/>
            <w:vAlign w:val="center"/>
          </w:tcPr>
          <w:p w:rsidR="00130016" w:rsidRPr="00C85B60" w:rsidRDefault="0091659E" w:rsidP="00A7544D">
            <w:pPr>
              <w:snapToGrid w:val="0"/>
              <w:jc w:val="center"/>
              <w:rPr>
                <w:rFonts w:ascii="楷体" w:eastAsia="楷体" w:hAnsi="楷体"/>
                <w:color w:val="FF0000"/>
                <w:sz w:val="18"/>
                <w:szCs w:val="18"/>
              </w:rPr>
            </w:pPr>
            <w:r w:rsidRPr="00C85B60">
              <w:rPr>
                <w:rFonts w:ascii="楷体" w:eastAsia="楷体" w:hAnsi="楷体" w:hint="eastAsia"/>
                <w:color w:val="FF0000"/>
                <w:sz w:val="18"/>
                <w:szCs w:val="18"/>
              </w:rPr>
              <w:t>-0.28</w:t>
            </w:r>
          </w:p>
        </w:tc>
        <w:tc>
          <w:tcPr>
            <w:tcW w:w="2394" w:type="dxa"/>
            <w:gridSpan w:val="2"/>
            <w:tcBorders>
              <w:left w:val="single" w:sz="6" w:space="0" w:color="FF6600"/>
              <w:right w:val="single" w:sz="6" w:space="0" w:color="FF6600"/>
            </w:tcBorders>
            <w:shd w:val="clear" w:color="auto" w:fill="FDE9D9" w:themeFill="accent6" w:themeFillTint="33"/>
            <w:vAlign w:val="center"/>
          </w:tcPr>
          <w:p w:rsidR="00130016" w:rsidRPr="00692F2D" w:rsidRDefault="00130016" w:rsidP="00884478">
            <w:pPr>
              <w:snapToGrid w:val="0"/>
              <w:jc w:val="center"/>
              <w:rPr>
                <w:rFonts w:ascii="楷体" w:eastAsia="楷体" w:hAnsi="楷体"/>
                <w:b/>
                <w:sz w:val="18"/>
                <w:szCs w:val="18"/>
              </w:rPr>
            </w:pPr>
            <w:r w:rsidRPr="00692F2D">
              <w:rPr>
                <w:rFonts w:ascii="楷体" w:eastAsia="楷体" w:hAnsi="楷体"/>
                <w:b/>
                <w:sz w:val="18"/>
                <w:szCs w:val="18"/>
              </w:rPr>
              <w:t>货币市场基金</w:t>
            </w:r>
            <w:r w:rsidRPr="00692F2D">
              <w:rPr>
                <w:rFonts w:ascii="楷体" w:eastAsia="楷体" w:hAnsi="楷体" w:hint="eastAsia"/>
                <w:b/>
                <w:sz w:val="18"/>
                <w:szCs w:val="18"/>
              </w:rPr>
              <w:t>7日年化收益率</w:t>
            </w:r>
          </w:p>
        </w:tc>
        <w:tc>
          <w:tcPr>
            <w:tcW w:w="1197" w:type="dxa"/>
            <w:tcBorders>
              <w:left w:val="single" w:sz="6" w:space="0" w:color="FF6600"/>
            </w:tcBorders>
            <w:shd w:val="clear" w:color="auto" w:fill="auto"/>
            <w:vAlign w:val="center"/>
          </w:tcPr>
          <w:p w:rsidR="00130016" w:rsidRPr="00692F2D" w:rsidRDefault="00A049F4" w:rsidP="006A795D">
            <w:pPr>
              <w:snapToGrid w:val="0"/>
              <w:jc w:val="center"/>
              <w:rPr>
                <w:rFonts w:ascii="楷体" w:eastAsia="楷体" w:hAnsi="楷体"/>
                <w:sz w:val="18"/>
                <w:szCs w:val="18"/>
              </w:rPr>
            </w:pPr>
            <w:r>
              <w:rPr>
                <w:rFonts w:ascii="楷体" w:eastAsia="楷体" w:hAnsi="楷体" w:hint="eastAsia"/>
                <w:sz w:val="18"/>
                <w:szCs w:val="18"/>
              </w:rPr>
              <w:t>4.42</w:t>
            </w:r>
          </w:p>
        </w:tc>
      </w:tr>
      <w:tr w:rsidR="00130016" w:rsidRPr="00692F2D" w:rsidTr="009D6B40">
        <w:trPr>
          <w:cantSplit/>
          <w:trHeight w:val="284"/>
        </w:trPr>
        <w:tc>
          <w:tcPr>
            <w:tcW w:w="993" w:type="dxa"/>
            <w:vMerge/>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股票-指数型</w:t>
            </w:r>
          </w:p>
        </w:tc>
        <w:tc>
          <w:tcPr>
            <w:tcW w:w="1197" w:type="dxa"/>
            <w:tcBorders>
              <w:left w:val="single" w:sz="6" w:space="0" w:color="FF6600"/>
              <w:right w:val="single" w:sz="6" w:space="0" w:color="FF6600"/>
            </w:tcBorders>
            <w:shd w:val="clear" w:color="auto" w:fill="auto"/>
            <w:vAlign w:val="center"/>
          </w:tcPr>
          <w:p w:rsidR="00130016" w:rsidRPr="009A73F0" w:rsidRDefault="000F6D7C" w:rsidP="00B103F5">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2.80</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债券-一级债基</w:t>
            </w:r>
          </w:p>
        </w:tc>
        <w:tc>
          <w:tcPr>
            <w:tcW w:w="1197" w:type="dxa"/>
            <w:tcBorders>
              <w:left w:val="single" w:sz="6" w:space="0" w:color="FF6600"/>
              <w:right w:val="single" w:sz="6" w:space="0" w:color="FF6600"/>
            </w:tcBorders>
            <w:shd w:val="clear" w:color="auto" w:fill="auto"/>
            <w:vAlign w:val="center"/>
          </w:tcPr>
          <w:p w:rsidR="00130016" w:rsidRPr="00C85B60" w:rsidRDefault="0091659E" w:rsidP="00CD52F5">
            <w:pPr>
              <w:snapToGrid w:val="0"/>
              <w:jc w:val="center"/>
              <w:rPr>
                <w:rFonts w:ascii="楷体" w:eastAsia="楷体" w:hAnsi="楷体"/>
                <w:color w:val="FF0000"/>
                <w:sz w:val="18"/>
                <w:szCs w:val="18"/>
              </w:rPr>
            </w:pPr>
            <w:r w:rsidRPr="00C85B60">
              <w:rPr>
                <w:rFonts w:ascii="楷体" w:eastAsia="楷体" w:hAnsi="楷体" w:hint="eastAsia"/>
                <w:color w:val="FF0000"/>
                <w:sz w:val="18"/>
                <w:szCs w:val="18"/>
              </w:rPr>
              <w:t>-0.43</w:t>
            </w:r>
          </w:p>
        </w:tc>
        <w:tc>
          <w:tcPr>
            <w:tcW w:w="1041" w:type="dxa"/>
            <w:vMerge w:val="restart"/>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分级基金</w:t>
            </w:r>
          </w:p>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子份额</w:t>
            </w: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股票稳健</w:t>
            </w:r>
          </w:p>
        </w:tc>
        <w:tc>
          <w:tcPr>
            <w:tcW w:w="1197" w:type="dxa"/>
            <w:tcBorders>
              <w:left w:val="single" w:sz="6" w:space="0" w:color="FF6600"/>
            </w:tcBorders>
            <w:shd w:val="clear" w:color="auto" w:fill="auto"/>
            <w:vAlign w:val="center"/>
          </w:tcPr>
          <w:p w:rsidR="00130016" w:rsidRPr="009A73F0" w:rsidRDefault="0091659E" w:rsidP="00E243BF">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0.21</w:t>
            </w:r>
          </w:p>
        </w:tc>
      </w:tr>
      <w:tr w:rsidR="00130016" w:rsidRPr="00692F2D" w:rsidTr="009D6B40">
        <w:trPr>
          <w:cantSplit/>
          <w:trHeight w:val="284"/>
        </w:trPr>
        <w:tc>
          <w:tcPr>
            <w:tcW w:w="993" w:type="dxa"/>
            <w:vMerge w:val="restart"/>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混合型</w:t>
            </w: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混合-偏股型</w:t>
            </w:r>
          </w:p>
        </w:tc>
        <w:tc>
          <w:tcPr>
            <w:tcW w:w="1197" w:type="dxa"/>
            <w:tcBorders>
              <w:left w:val="single" w:sz="6" w:space="0" w:color="FF6600"/>
              <w:right w:val="single" w:sz="6" w:space="0" w:color="FF6600"/>
            </w:tcBorders>
            <w:shd w:val="clear" w:color="auto" w:fill="auto"/>
            <w:vAlign w:val="center"/>
          </w:tcPr>
          <w:p w:rsidR="00130016" w:rsidRPr="009A73F0" w:rsidRDefault="0091659E" w:rsidP="009D6B40">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3.48</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债券-二级债基</w:t>
            </w:r>
          </w:p>
        </w:tc>
        <w:tc>
          <w:tcPr>
            <w:tcW w:w="1197" w:type="dxa"/>
            <w:tcBorders>
              <w:left w:val="single" w:sz="6" w:space="0" w:color="FF6600"/>
              <w:right w:val="single" w:sz="6" w:space="0" w:color="FF6600"/>
            </w:tcBorders>
            <w:shd w:val="clear" w:color="auto" w:fill="auto"/>
            <w:vAlign w:val="center"/>
          </w:tcPr>
          <w:p w:rsidR="00130016" w:rsidRPr="009A73F0" w:rsidRDefault="0091659E" w:rsidP="00E243BF">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0.05</w:t>
            </w:r>
          </w:p>
        </w:tc>
        <w:tc>
          <w:tcPr>
            <w:tcW w:w="1041"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股票积极</w:t>
            </w:r>
          </w:p>
        </w:tc>
        <w:tc>
          <w:tcPr>
            <w:tcW w:w="1197" w:type="dxa"/>
            <w:tcBorders>
              <w:left w:val="single" w:sz="6" w:space="0" w:color="FF6600"/>
            </w:tcBorders>
            <w:shd w:val="clear" w:color="auto" w:fill="auto"/>
            <w:vAlign w:val="center"/>
          </w:tcPr>
          <w:p w:rsidR="00130016" w:rsidRPr="009A73F0" w:rsidRDefault="0091659E" w:rsidP="006A795D">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5.00</w:t>
            </w:r>
          </w:p>
        </w:tc>
      </w:tr>
      <w:tr w:rsidR="00130016" w:rsidRPr="00692F2D" w:rsidTr="009D6B40">
        <w:trPr>
          <w:cantSplit/>
          <w:trHeight w:val="284"/>
        </w:trPr>
        <w:tc>
          <w:tcPr>
            <w:tcW w:w="993" w:type="dxa"/>
            <w:vMerge/>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混合-偏债型</w:t>
            </w:r>
          </w:p>
        </w:tc>
        <w:tc>
          <w:tcPr>
            <w:tcW w:w="1197" w:type="dxa"/>
            <w:tcBorders>
              <w:left w:val="single" w:sz="6" w:space="0" w:color="FF6600"/>
              <w:right w:val="single" w:sz="6" w:space="0" w:color="FF6600"/>
            </w:tcBorders>
            <w:shd w:val="clear" w:color="auto" w:fill="auto"/>
            <w:vAlign w:val="center"/>
          </w:tcPr>
          <w:p w:rsidR="00130016" w:rsidRPr="009A73F0" w:rsidRDefault="0091659E" w:rsidP="00F40C1B">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0.99</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债券-指数债基</w:t>
            </w:r>
          </w:p>
        </w:tc>
        <w:tc>
          <w:tcPr>
            <w:tcW w:w="1197" w:type="dxa"/>
            <w:tcBorders>
              <w:left w:val="single" w:sz="6" w:space="0" w:color="FF6600"/>
              <w:right w:val="single" w:sz="6" w:space="0" w:color="FF6600"/>
            </w:tcBorders>
            <w:shd w:val="clear" w:color="auto" w:fill="auto"/>
            <w:vAlign w:val="center"/>
          </w:tcPr>
          <w:p w:rsidR="00130016" w:rsidRPr="00C85B60" w:rsidRDefault="0091659E" w:rsidP="00A81F6D">
            <w:pPr>
              <w:snapToGrid w:val="0"/>
              <w:jc w:val="center"/>
              <w:rPr>
                <w:rFonts w:ascii="楷体" w:eastAsia="楷体" w:hAnsi="楷体"/>
                <w:color w:val="FF0000"/>
                <w:sz w:val="18"/>
                <w:szCs w:val="18"/>
              </w:rPr>
            </w:pPr>
            <w:r w:rsidRPr="00C85B60">
              <w:rPr>
                <w:rFonts w:ascii="楷体" w:eastAsia="楷体" w:hAnsi="楷体" w:hint="eastAsia"/>
                <w:color w:val="FF0000"/>
                <w:sz w:val="18"/>
                <w:szCs w:val="18"/>
              </w:rPr>
              <w:t>-0.93</w:t>
            </w:r>
          </w:p>
        </w:tc>
        <w:tc>
          <w:tcPr>
            <w:tcW w:w="1041"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债券稳健</w:t>
            </w:r>
          </w:p>
        </w:tc>
        <w:tc>
          <w:tcPr>
            <w:tcW w:w="1197" w:type="dxa"/>
            <w:tcBorders>
              <w:left w:val="single" w:sz="6" w:space="0" w:color="FF6600"/>
            </w:tcBorders>
            <w:shd w:val="clear" w:color="auto" w:fill="auto"/>
            <w:vAlign w:val="center"/>
          </w:tcPr>
          <w:p w:rsidR="00130016" w:rsidRPr="009A73F0" w:rsidRDefault="0091659E" w:rsidP="00E243BF">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0.10</w:t>
            </w:r>
          </w:p>
        </w:tc>
      </w:tr>
      <w:tr w:rsidR="00130016" w:rsidRPr="00692F2D" w:rsidTr="009D6B40">
        <w:trPr>
          <w:cantSplit/>
          <w:trHeight w:val="284"/>
        </w:trPr>
        <w:tc>
          <w:tcPr>
            <w:tcW w:w="993" w:type="dxa"/>
            <w:vMerge/>
            <w:tcBorders>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00"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884478">
            <w:pPr>
              <w:snapToGrid w:val="0"/>
              <w:jc w:val="center"/>
              <w:rPr>
                <w:rFonts w:ascii="楷体" w:eastAsia="楷体" w:hAnsi="楷体" w:cs="宋体"/>
                <w:b/>
                <w:bCs/>
                <w:sz w:val="18"/>
                <w:szCs w:val="18"/>
              </w:rPr>
            </w:pPr>
            <w:r w:rsidRPr="00692F2D">
              <w:rPr>
                <w:rFonts w:ascii="楷体" w:eastAsia="楷体" w:hAnsi="楷体" w:hint="eastAsia"/>
                <w:b/>
                <w:bCs/>
                <w:sz w:val="18"/>
                <w:szCs w:val="18"/>
              </w:rPr>
              <w:t>混合-灵活型</w:t>
            </w:r>
          </w:p>
        </w:tc>
        <w:tc>
          <w:tcPr>
            <w:tcW w:w="1197" w:type="dxa"/>
            <w:tcBorders>
              <w:left w:val="single" w:sz="6" w:space="0" w:color="FF6600"/>
              <w:right w:val="single" w:sz="6" w:space="0" w:color="FF6600"/>
            </w:tcBorders>
            <w:shd w:val="clear" w:color="auto" w:fill="auto"/>
            <w:vAlign w:val="center"/>
          </w:tcPr>
          <w:p w:rsidR="00130016" w:rsidRPr="009A73F0" w:rsidRDefault="0091659E" w:rsidP="006A795D">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3.28</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债券-可转债基</w:t>
            </w:r>
          </w:p>
        </w:tc>
        <w:tc>
          <w:tcPr>
            <w:tcW w:w="1197" w:type="dxa"/>
            <w:tcBorders>
              <w:left w:val="single" w:sz="6" w:space="0" w:color="FF6600"/>
              <w:right w:val="single" w:sz="6" w:space="0" w:color="FF6600"/>
            </w:tcBorders>
            <w:shd w:val="clear" w:color="auto" w:fill="auto"/>
            <w:vAlign w:val="center"/>
          </w:tcPr>
          <w:p w:rsidR="00130016" w:rsidRPr="00C85B60" w:rsidRDefault="0091659E" w:rsidP="00922EF6">
            <w:pPr>
              <w:snapToGrid w:val="0"/>
              <w:jc w:val="center"/>
              <w:rPr>
                <w:rFonts w:ascii="楷体" w:eastAsia="楷体" w:hAnsi="楷体"/>
                <w:color w:val="FF0000"/>
                <w:sz w:val="18"/>
                <w:szCs w:val="18"/>
              </w:rPr>
            </w:pPr>
            <w:r w:rsidRPr="00C85B60">
              <w:rPr>
                <w:rFonts w:ascii="楷体" w:eastAsia="楷体" w:hAnsi="楷体" w:hint="eastAsia"/>
                <w:color w:val="FF0000"/>
                <w:sz w:val="18"/>
                <w:szCs w:val="18"/>
              </w:rPr>
              <w:t>-3.12</w:t>
            </w:r>
          </w:p>
        </w:tc>
        <w:tc>
          <w:tcPr>
            <w:tcW w:w="1041"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353"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债券积极</w:t>
            </w:r>
          </w:p>
        </w:tc>
        <w:tc>
          <w:tcPr>
            <w:tcW w:w="1197" w:type="dxa"/>
            <w:tcBorders>
              <w:left w:val="single" w:sz="6" w:space="0" w:color="FF6600"/>
            </w:tcBorders>
            <w:shd w:val="clear" w:color="auto" w:fill="auto"/>
            <w:vAlign w:val="center"/>
          </w:tcPr>
          <w:p w:rsidR="00130016" w:rsidRPr="00C85B60" w:rsidRDefault="0091659E" w:rsidP="00A81F6D">
            <w:pPr>
              <w:snapToGrid w:val="0"/>
              <w:jc w:val="center"/>
              <w:rPr>
                <w:rFonts w:ascii="楷体" w:eastAsia="楷体" w:hAnsi="楷体"/>
                <w:color w:val="FF0000"/>
                <w:sz w:val="18"/>
                <w:szCs w:val="18"/>
              </w:rPr>
            </w:pPr>
            <w:r w:rsidRPr="00C85B60">
              <w:rPr>
                <w:rFonts w:ascii="楷体" w:eastAsia="楷体" w:hAnsi="楷体" w:hint="eastAsia"/>
                <w:color w:val="FF0000"/>
                <w:sz w:val="18"/>
                <w:szCs w:val="18"/>
              </w:rPr>
              <w:t>-1.38</w:t>
            </w:r>
          </w:p>
        </w:tc>
      </w:tr>
      <w:tr w:rsidR="00130016" w:rsidRPr="00692F2D" w:rsidTr="00884478">
        <w:trPr>
          <w:cantSplit/>
          <w:trHeight w:val="284"/>
        </w:trPr>
        <w:tc>
          <w:tcPr>
            <w:tcW w:w="2393" w:type="dxa"/>
            <w:gridSpan w:val="2"/>
            <w:tcBorders>
              <w:right w:val="single" w:sz="6" w:space="0" w:color="FF6600"/>
            </w:tcBorders>
            <w:shd w:val="clear" w:color="auto" w:fill="FDE9D9" w:themeFill="accent6" w:themeFillTint="33"/>
            <w:vAlign w:val="center"/>
          </w:tcPr>
          <w:p w:rsidR="00130016" w:rsidRPr="00692F2D" w:rsidRDefault="00130016" w:rsidP="00884478">
            <w:pPr>
              <w:snapToGrid w:val="0"/>
              <w:jc w:val="center"/>
              <w:rPr>
                <w:rFonts w:ascii="楷体" w:eastAsia="楷体" w:hAnsi="楷体"/>
                <w:b/>
                <w:sz w:val="18"/>
                <w:szCs w:val="18"/>
              </w:rPr>
            </w:pPr>
            <w:r w:rsidRPr="00692F2D">
              <w:rPr>
                <w:rFonts w:ascii="楷体" w:eastAsia="楷体" w:hAnsi="楷体" w:hint="eastAsia"/>
                <w:b/>
                <w:sz w:val="18"/>
                <w:szCs w:val="18"/>
              </w:rPr>
              <w:t>QDII</w:t>
            </w:r>
          </w:p>
        </w:tc>
        <w:tc>
          <w:tcPr>
            <w:tcW w:w="1197" w:type="dxa"/>
            <w:tcBorders>
              <w:left w:val="single" w:sz="6" w:space="0" w:color="FF6600"/>
              <w:right w:val="single" w:sz="6" w:space="0" w:color="FF6600"/>
            </w:tcBorders>
            <w:shd w:val="clear" w:color="auto" w:fill="auto"/>
            <w:vAlign w:val="center"/>
          </w:tcPr>
          <w:p w:rsidR="00130016" w:rsidRPr="00C85B60" w:rsidRDefault="002B169A" w:rsidP="00922EF6">
            <w:pPr>
              <w:snapToGrid w:val="0"/>
              <w:jc w:val="center"/>
              <w:rPr>
                <w:rFonts w:ascii="楷体" w:eastAsia="楷体" w:hAnsi="楷体"/>
                <w:color w:val="FF0000"/>
                <w:sz w:val="18"/>
                <w:szCs w:val="18"/>
              </w:rPr>
            </w:pPr>
            <w:r w:rsidRPr="00C85B60">
              <w:rPr>
                <w:rFonts w:ascii="楷体" w:eastAsia="楷体" w:hAnsi="楷体" w:hint="eastAsia"/>
                <w:color w:val="FF0000"/>
                <w:sz w:val="18"/>
                <w:szCs w:val="18"/>
              </w:rPr>
              <w:t>-0.12</w:t>
            </w:r>
          </w:p>
        </w:tc>
        <w:tc>
          <w:tcPr>
            <w:tcW w:w="946" w:type="dxa"/>
            <w:vMerge/>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p>
        </w:tc>
        <w:tc>
          <w:tcPr>
            <w:tcW w:w="1448" w:type="dxa"/>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cs="宋体"/>
                <w:b/>
                <w:bCs/>
                <w:sz w:val="18"/>
                <w:szCs w:val="18"/>
              </w:rPr>
            </w:pPr>
            <w:r w:rsidRPr="00692F2D">
              <w:rPr>
                <w:rFonts w:ascii="楷体" w:eastAsia="楷体" w:hAnsi="楷体" w:hint="eastAsia"/>
                <w:b/>
                <w:bCs/>
                <w:sz w:val="18"/>
                <w:szCs w:val="18"/>
              </w:rPr>
              <w:t>债券-理财债基</w:t>
            </w:r>
          </w:p>
        </w:tc>
        <w:tc>
          <w:tcPr>
            <w:tcW w:w="1197" w:type="dxa"/>
            <w:tcBorders>
              <w:left w:val="single" w:sz="6" w:space="0" w:color="FF6600"/>
              <w:right w:val="single" w:sz="6" w:space="0" w:color="FF6600"/>
            </w:tcBorders>
            <w:shd w:val="clear" w:color="auto" w:fill="auto"/>
            <w:vAlign w:val="center"/>
          </w:tcPr>
          <w:p w:rsidR="00130016" w:rsidRPr="009A73F0" w:rsidRDefault="0091659E" w:rsidP="00CD52F5">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0.09</w:t>
            </w:r>
          </w:p>
        </w:tc>
        <w:tc>
          <w:tcPr>
            <w:tcW w:w="2394" w:type="dxa"/>
            <w:gridSpan w:val="2"/>
            <w:tcBorders>
              <w:left w:val="single" w:sz="6" w:space="0" w:color="FF6600"/>
              <w:right w:val="single" w:sz="6" w:space="0" w:color="FF6600"/>
            </w:tcBorders>
            <w:shd w:val="clear" w:color="auto" w:fill="FDE9D9" w:themeFill="accent6" w:themeFillTint="33"/>
            <w:vAlign w:val="center"/>
          </w:tcPr>
          <w:p w:rsidR="00130016" w:rsidRPr="00692F2D" w:rsidRDefault="00130016" w:rsidP="009D6B40">
            <w:pPr>
              <w:snapToGrid w:val="0"/>
              <w:jc w:val="center"/>
              <w:rPr>
                <w:rFonts w:ascii="楷体" w:eastAsia="楷体" w:hAnsi="楷体"/>
                <w:b/>
                <w:sz w:val="18"/>
                <w:szCs w:val="18"/>
              </w:rPr>
            </w:pPr>
            <w:r w:rsidRPr="00692F2D">
              <w:rPr>
                <w:rFonts w:ascii="楷体" w:eastAsia="楷体" w:hAnsi="楷体"/>
                <w:b/>
                <w:sz w:val="18"/>
                <w:szCs w:val="18"/>
              </w:rPr>
              <w:t>商品基金</w:t>
            </w:r>
          </w:p>
        </w:tc>
        <w:tc>
          <w:tcPr>
            <w:tcW w:w="1197" w:type="dxa"/>
            <w:tcBorders>
              <w:left w:val="single" w:sz="6" w:space="0" w:color="FF6600"/>
            </w:tcBorders>
            <w:shd w:val="clear" w:color="auto" w:fill="auto"/>
            <w:vAlign w:val="center"/>
          </w:tcPr>
          <w:p w:rsidR="00130016" w:rsidRPr="00F86D3A" w:rsidRDefault="0091659E" w:rsidP="00A81F6D">
            <w:pPr>
              <w:snapToGrid w:val="0"/>
              <w:jc w:val="center"/>
              <w:rPr>
                <w:rFonts w:ascii="楷体" w:eastAsia="楷体" w:hAnsi="楷体"/>
                <w:color w:val="000000" w:themeColor="text1"/>
                <w:sz w:val="18"/>
                <w:szCs w:val="18"/>
              </w:rPr>
            </w:pPr>
            <w:r>
              <w:rPr>
                <w:rFonts w:ascii="楷体" w:eastAsia="楷体" w:hAnsi="楷体" w:hint="eastAsia"/>
                <w:color w:val="000000" w:themeColor="text1"/>
                <w:sz w:val="18"/>
                <w:szCs w:val="18"/>
              </w:rPr>
              <w:t>2.55</w:t>
            </w:r>
          </w:p>
        </w:tc>
      </w:tr>
    </w:tbl>
    <w:p w:rsidR="000D4A66" w:rsidRPr="00692F2D" w:rsidRDefault="000D4A66" w:rsidP="000D4A66">
      <w:pPr>
        <w:pStyle w:val="FootnoteNoline"/>
        <w:ind w:left="0"/>
        <w:rPr>
          <w:rFonts w:ascii="楷体" w:eastAsia="楷体" w:hAnsi="楷体"/>
          <w:color w:val="auto"/>
          <w:lang w:val="en-US"/>
        </w:rPr>
      </w:pPr>
      <w:r w:rsidRPr="00692F2D">
        <w:rPr>
          <w:rFonts w:ascii="楷体" w:eastAsia="楷体" w:hAnsi="楷体" w:cs="宋体" w:hint="eastAsia"/>
          <w:color w:val="auto"/>
          <w:lang w:val="en-US"/>
        </w:rPr>
        <w:t>来源：凯石财富工场</w:t>
      </w:r>
    </w:p>
    <w:p w:rsidR="00714316" w:rsidRPr="00705C77" w:rsidRDefault="00B06585" w:rsidP="00705C77">
      <w:pPr>
        <w:widowControl/>
        <w:spacing w:after="120"/>
        <w:ind w:left="3430"/>
        <w:rPr>
          <w:rFonts w:ascii="楷体" w:eastAsia="楷体" w:hAnsi="楷体"/>
          <w:bCs/>
          <w:color w:val="0070C0"/>
          <w:kern w:val="0"/>
          <w:szCs w:val="21"/>
          <w:lang w:val="en-GB"/>
        </w:rPr>
      </w:pPr>
      <w:r w:rsidRPr="005B7CDB">
        <w:rPr>
          <w:rFonts w:ascii="楷体" w:eastAsia="楷体" w:hAnsi="楷体" w:hint="eastAsia"/>
          <w:b/>
          <w:bCs/>
          <w:color w:val="0070C0"/>
          <w:kern w:val="0"/>
          <w:szCs w:val="21"/>
          <w:lang w:val="en-GB"/>
        </w:rPr>
        <w:t>权益类</w:t>
      </w:r>
      <w:r w:rsidR="0062314B" w:rsidRPr="005B7CDB">
        <w:rPr>
          <w:rFonts w:ascii="楷体" w:eastAsia="楷体" w:hAnsi="楷体" w:hint="eastAsia"/>
          <w:b/>
          <w:bCs/>
          <w:color w:val="0070C0"/>
          <w:kern w:val="0"/>
          <w:szCs w:val="21"/>
          <w:lang w:val="en-GB"/>
        </w:rPr>
        <w:t>基金一周业绩：</w:t>
      </w:r>
      <w:r w:rsidR="006C055F">
        <w:rPr>
          <w:rFonts w:ascii="楷体" w:eastAsia="楷体" w:hAnsi="楷体" w:hint="eastAsia"/>
          <w:b/>
          <w:bCs/>
          <w:color w:val="0070C0"/>
          <w:kern w:val="0"/>
          <w:szCs w:val="21"/>
          <w:lang w:val="en-GB"/>
        </w:rPr>
        <w:t>内外市场景气不均，股基混合收涨QDII收跌</w:t>
      </w:r>
    </w:p>
    <w:p w:rsidR="001B0A76" w:rsidRPr="00E0346B" w:rsidRDefault="00C6176B" w:rsidP="008C3A8D">
      <w:pPr>
        <w:pStyle w:val="ab"/>
        <w:numPr>
          <w:ilvl w:val="4"/>
          <w:numId w:val="1"/>
        </w:numPr>
        <w:spacing w:after="163"/>
        <w:rPr>
          <w:rFonts w:ascii="楷体" w:eastAsia="楷体" w:hAnsi="楷体" w:cs="Arial"/>
          <w:color w:val="000000" w:themeColor="text1"/>
          <w:szCs w:val="21"/>
        </w:rPr>
      </w:pPr>
      <w:r>
        <w:rPr>
          <w:rFonts w:ascii="楷体" w:eastAsia="楷体" w:hAnsi="楷体" w:cs="Arial" w:hint="eastAsia"/>
          <w:color w:val="000000" w:themeColor="text1"/>
          <w:szCs w:val="21"/>
        </w:rPr>
        <w:t>上周，沪深两市主要指数收涨，但涨幅收缩，权益类基金涨幅收窄。股票基金中，指数型收益不及主动型，混合基金中，偏股型收益仍领先灵活型，但偏债型收益落后。QDII</w:t>
      </w:r>
      <w:r w:rsidR="00C74BF8">
        <w:rPr>
          <w:rFonts w:ascii="楷体" w:eastAsia="楷体" w:hAnsi="楷体" w:cs="Arial" w:hint="eastAsia"/>
          <w:color w:val="000000" w:themeColor="text1"/>
          <w:szCs w:val="21"/>
        </w:rPr>
        <w:t>基金中，由于原油黄金价格反弹，因此商品基金和其他资源类</w:t>
      </w:r>
      <w:r>
        <w:rPr>
          <w:rFonts w:ascii="楷体" w:eastAsia="楷体" w:hAnsi="楷体" w:cs="Arial" w:hint="eastAsia"/>
          <w:color w:val="000000" w:themeColor="text1"/>
          <w:szCs w:val="21"/>
        </w:rPr>
        <w:t>基金涨幅靠前，</w:t>
      </w:r>
      <w:r w:rsidR="00B93CD4">
        <w:rPr>
          <w:rFonts w:ascii="楷体" w:eastAsia="楷体" w:hAnsi="楷体" w:cs="Arial" w:hint="eastAsia"/>
          <w:color w:val="000000" w:themeColor="text1"/>
          <w:szCs w:val="21"/>
        </w:rPr>
        <w:t>绝大多数</w:t>
      </w:r>
      <w:r>
        <w:rPr>
          <w:rFonts w:ascii="楷体" w:eastAsia="楷体" w:hAnsi="楷体" w:cs="Arial" w:hint="eastAsia"/>
          <w:color w:val="000000" w:themeColor="text1"/>
          <w:szCs w:val="21"/>
        </w:rPr>
        <w:t>美股基金</w:t>
      </w:r>
      <w:r w:rsidR="00B93CD4">
        <w:rPr>
          <w:rFonts w:ascii="楷体" w:eastAsia="楷体" w:hAnsi="楷体" w:cs="Arial" w:hint="eastAsia"/>
          <w:color w:val="000000" w:themeColor="text1"/>
          <w:szCs w:val="21"/>
        </w:rPr>
        <w:t>下</w:t>
      </w:r>
      <w:r>
        <w:rPr>
          <w:rFonts w:ascii="楷体" w:eastAsia="楷体" w:hAnsi="楷体" w:cs="Arial" w:hint="eastAsia"/>
          <w:color w:val="000000" w:themeColor="text1"/>
          <w:szCs w:val="21"/>
        </w:rPr>
        <w:t>跌</w:t>
      </w:r>
      <w:r w:rsidR="00C74BF8">
        <w:rPr>
          <w:rFonts w:ascii="楷体" w:eastAsia="楷体" w:hAnsi="楷体" w:cs="Arial" w:hint="eastAsia"/>
          <w:color w:val="000000" w:themeColor="text1"/>
          <w:szCs w:val="21"/>
        </w:rPr>
        <w:t>。</w:t>
      </w:r>
    </w:p>
    <w:p w:rsidR="001B0A76" w:rsidRPr="00B93CD4" w:rsidRDefault="00B93CD4" w:rsidP="000B42BA">
      <w:pPr>
        <w:pStyle w:val="ab"/>
        <w:numPr>
          <w:ilvl w:val="5"/>
          <w:numId w:val="2"/>
        </w:numPr>
        <w:spacing w:after="163"/>
        <w:ind w:left="4140" w:hanging="369"/>
        <w:rPr>
          <w:rFonts w:ascii="楷体" w:eastAsia="楷体" w:hAnsi="楷体" w:cs="Arial"/>
          <w:color w:val="000000" w:themeColor="text1"/>
          <w:szCs w:val="21"/>
        </w:rPr>
      </w:pPr>
      <w:r w:rsidRPr="00B93CD4">
        <w:rPr>
          <w:rFonts w:ascii="楷体" w:eastAsia="楷体" w:hAnsi="楷体" w:cs="Arial" w:hint="eastAsia"/>
          <w:color w:val="000000" w:themeColor="text1"/>
          <w:szCs w:val="21"/>
        </w:rPr>
        <w:t>445只股票-主动型基金平均周收益为4.01%，99%的产品上涨，26%的产品收益大于5%，最高收益为</w:t>
      </w:r>
      <w:r w:rsidRPr="00B93CD4">
        <w:rPr>
          <w:rFonts w:ascii="楷体" w:eastAsia="楷体" w:hAnsi="楷体" w:hint="eastAsia"/>
          <w:szCs w:val="21"/>
        </w:rPr>
        <w:t>上投摩根核心成长的</w:t>
      </w:r>
      <w:r w:rsidRPr="00B93CD4">
        <w:rPr>
          <w:rFonts w:ascii="楷体" w:eastAsia="楷体" w:hAnsi="楷体" w:cs="Arial" w:hint="eastAsia"/>
          <w:color w:val="000000" w:themeColor="text1"/>
          <w:szCs w:val="21"/>
        </w:rPr>
        <w:t>8.94%，其次为</w:t>
      </w:r>
      <w:r w:rsidRPr="00B93CD4">
        <w:rPr>
          <w:rFonts w:ascii="楷体" w:eastAsia="楷体" w:hAnsi="楷体" w:hint="eastAsia"/>
          <w:szCs w:val="21"/>
        </w:rPr>
        <w:t>金鹰主题优势的8.57%，最低收益为-2.21%。289只股票-指数型基金平均周收益为2.80%，94%的产品上涨，7%的产品</w:t>
      </w:r>
      <w:r w:rsidRPr="00B93CD4">
        <w:rPr>
          <w:rFonts w:ascii="楷体" w:eastAsia="楷体" w:hAnsi="楷体" w:cs="Arial" w:hint="eastAsia"/>
          <w:color w:val="000000" w:themeColor="text1"/>
          <w:szCs w:val="21"/>
        </w:rPr>
        <w:t>收益大于5%，最高收益为</w:t>
      </w:r>
      <w:r w:rsidRPr="00B93CD4">
        <w:rPr>
          <w:rFonts w:ascii="楷体" w:eastAsia="楷体" w:hAnsi="楷体" w:hint="eastAsia"/>
          <w:szCs w:val="21"/>
        </w:rPr>
        <w:t>国泰中小板300成长ETF的6.19%，其次为诺安中小板等权ETF和华夏中小板ETF的6.13</w:t>
      </w:r>
      <w:r w:rsidR="00C74BF8">
        <w:rPr>
          <w:rFonts w:ascii="楷体" w:eastAsia="楷体" w:hAnsi="楷体" w:hint="eastAsia"/>
          <w:szCs w:val="21"/>
        </w:rPr>
        <w:t>%</w:t>
      </w:r>
      <w:r>
        <w:rPr>
          <w:rFonts w:ascii="楷体" w:eastAsia="楷体" w:hAnsi="楷体" w:hint="eastAsia"/>
          <w:szCs w:val="21"/>
        </w:rPr>
        <w:t>，最低收益为-1.68%。</w:t>
      </w:r>
    </w:p>
    <w:p w:rsidR="001B0A76" w:rsidRPr="00BD0AC7" w:rsidRDefault="00C74BF8" w:rsidP="00BD0AC7">
      <w:pPr>
        <w:pStyle w:val="ab"/>
        <w:numPr>
          <w:ilvl w:val="5"/>
          <w:numId w:val="2"/>
        </w:numPr>
        <w:spacing w:after="163"/>
        <w:ind w:left="4140" w:hanging="369"/>
        <w:rPr>
          <w:rFonts w:ascii="楷体" w:eastAsia="楷体" w:hAnsi="楷体" w:cs="Arial"/>
          <w:color w:val="000000" w:themeColor="text1"/>
          <w:szCs w:val="21"/>
        </w:rPr>
      </w:pPr>
      <w:r>
        <w:rPr>
          <w:rFonts w:ascii="楷体" w:eastAsia="楷体" w:hAnsi="楷体" w:hint="eastAsia"/>
          <w:szCs w:val="21"/>
        </w:rPr>
        <w:t>混合基金中，除偏债型</w:t>
      </w:r>
      <w:r w:rsidR="005D633A" w:rsidRPr="005D633A">
        <w:rPr>
          <w:rFonts w:ascii="楷体" w:eastAsia="楷体" w:hAnsi="楷体" w:hint="eastAsia"/>
          <w:szCs w:val="21"/>
        </w:rPr>
        <w:t>有80%</w:t>
      </w:r>
      <w:r>
        <w:rPr>
          <w:rFonts w:ascii="楷体" w:eastAsia="楷体" w:hAnsi="楷体" w:hint="eastAsia"/>
          <w:szCs w:val="21"/>
        </w:rPr>
        <w:t>的产品</w:t>
      </w:r>
      <w:r w:rsidR="005D633A" w:rsidRPr="005D633A">
        <w:rPr>
          <w:rFonts w:ascii="楷体" w:eastAsia="楷体" w:hAnsi="楷体" w:hint="eastAsia"/>
          <w:szCs w:val="21"/>
        </w:rPr>
        <w:t>上涨，偏股型和灵活型几乎全数上涨，平均收益依次为0.99%、3.48%、3.28%。13%的偏股型产品和17%的灵活型产品收益大于5%。偏股</w:t>
      </w:r>
      <w:r>
        <w:rPr>
          <w:rFonts w:ascii="楷体" w:eastAsia="楷体" w:hAnsi="楷体" w:hint="eastAsia"/>
          <w:szCs w:val="21"/>
        </w:rPr>
        <w:t>型</w:t>
      </w:r>
      <w:r w:rsidR="005D633A" w:rsidRPr="005D633A">
        <w:rPr>
          <w:rFonts w:ascii="楷体" w:eastAsia="楷体" w:hAnsi="楷体" w:hint="eastAsia"/>
          <w:szCs w:val="21"/>
        </w:rPr>
        <w:t>产品最高收益为嘉实成长收益的8.05%，灵活</w:t>
      </w:r>
      <w:r>
        <w:rPr>
          <w:rFonts w:ascii="楷体" w:eastAsia="楷体" w:hAnsi="楷体" w:hint="eastAsia"/>
          <w:szCs w:val="21"/>
        </w:rPr>
        <w:t>型</w:t>
      </w:r>
      <w:r w:rsidR="005D633A" w:rsidRPr="005D633A">
        <w:rPr>
          <w:rFonts w:ascii="楷体" w:eastAsia="楷体" w:hAnsi="楷体" w:hint="eastAsia"/>
          <w:szCs w:val="21"/>
        </w:rPr>
        <w:t>产品最高收益为财通价值动量的9.21%，偏债</w:t>
      </w:r>
      <w:r w:rsidR="00FF5ACC">
        <w:rPr>
          <w:rFonts w:ascii="楷体" w:eastAsia="楷体" w:hAnsi="楷体" w:hint="eastAsia"/>
          <w:szCs w:val="21"/>
        </w:rPr>
        <w:t>型</w:t>
      </w:r>
      <w:r w:rsidR="005D633A" w:rsidRPr="005D633A">
        <w:rPr>
          <w:rFonts w:ascii="楷体" w:eastAsia="楷体" w:hAnsi="楷体" w:hint="eastAsia"/>
          <w:szCs w:val="21"/>
        </w:rPr>
        <w:t>产品最高收益为易方达平稳增长的3.63%</w:t>
      </w:r>
      <w:r w:rsidR="00BD0AC7">
        <w:rPr>
          <w:rFonts w:ascii="楷体" w:eastAsia="楷体" w:hAnsi="楷体" w:hint="eastAsia"/>
          <w:szCs w:val="21"/>
        </w:rPr>
        <w:t>。</w:t>
      </w:r>
    </w:p>
    <w:p w:rsidR="001B0A76" w:rsidRPr="006C032F" w:rsidRDefault="00BD0AC7" w:rsidP="00A91C00">
      <w:pPr>
        <w:pStyle w:val="ab"/>
        <w:numPr>
          <w:ilvl w:val="5"/>
          <w:numId w:val="2"/>
        </w:numPr>
        <w:spacing w:after="163"/>
        <w:ind w:left="4140" w:hanging="369"/>
        <w:rPr>
          <w:rFonts w:ascii="楷体" w:eastAsia="楷体" w:hAnsi="楷体" w:cs="Arial"/>
          <w:color w:val="000000" w:themeColor="text1"/>
          <w:szCs w:val="21"/>
        </w:rPr>
      </w:pPr>
      <w:r w:rsidRPr="006C032F">
        <w:rPr>
          <w:rFonts w:ascii="楷体" w:eastAsia="楷体" w:hAnsi="楷体" w:cs="Arial" w:hint="eastAsia"/>
          <w:color w:val="000000" w:themeColor="text1"/>
          <w:szCs w:val="21"/>
        </w:rPr>
        <w:t>98只QDII平均收益为-0.12%%，42%</w:t>
      </w:r>
      <w:r w:rsidR="00C74BF8">
        <w:rPr>
          <w:rFonts w:ascii="楷体" w:eastAsia="楷体" w:hAnsi="楷体" w:cs="Arial" w:hint="eastAsia"/>
          <w:color w:val="000000" w:themeColor="text1"/>
          <w:szCs w:val="21"/>
        </w:rPr>
        <w:t>的产品收益率为正。商品基金和其他资源类</w:t>
      </w:r>
      <w:r w:rsidRPr="006C032F">
        <w:rPr>
          <w:rFonts w:ascii="楷体" w:eastAsia="楷体" w:hAnsi="楷体" w:cs="Arial" w:hint="eastAsia"/>
          <w:color w:val="000000" w:themeColor="text1"/>
          <w:szCs w:val="21"/>
        </w:rPr>
        <w:t>基金涨幅靠前，最高收益为</w:t>
      </w:r>
      <w:r w:rsidRPr="006C032F">
        <w:rPr>
          <w:rFonts w:ascii="楷体" w:eastAsia="楷体" w:hAnsi="楷体" w:hint="eastAsia"/>
          <w:szCs w:val="21"/>
        </w:rPr>
        <w:t>国泰大宗商品的8.44%，其次为诺安油气能源的3.45%</w:t>
      </w:r>
      <w:r w:rsidR="006C032F">
        <w:rPr>
          <w:rFonts w:ascii="楷体" w:eastAsia="楷体" w:hAnsi="楷体" w:hint="eastAsia"/>
          <w:szCs w:val="21"/>
        </w:rPr>
        <w:t>。新兴市场基金和行业基金皆半涨半跌，收益排名分散。美股基金</w:t>
      </w:r>
      <w:r w:rsidR="000444A9">
        <w:rPr>
          <w:rFonts w:ascii="楷体" w:eastAsia="楷体" w:hAnsi="楷体" w:hint="eastAsia"/>
          <w:szCs w:val="21"/>
        </w:rPr>
        <w:t>多数</w:t>
      </w:r>
      <w:r w:rsidR="006C032F">
        <w:rPr>
          <w:rFonts w:ascii="楷体" w:eastAsia="楷体" w:hAnsi="楷体" w:hint="eastAsia"/>
          <w:szCs w:val="21"/>
        </w:rPr>
        <w:t>下跌，收益排名靠后。</w:t>
      </w:r>
    </w:p>
    <w:p w:rsidR="00050E4C" w:rsidRPr="00631570" w:rsidRDefault="00980F3B" w:rsidP="00631570">
      <w:pPr>
        <w:widowControl/>
        <w:spacing w:after="120"/>
        <w:ind w:left="3430"/>
        <w:rPr>
          <w:rFonts w:ascii="楷体" w:eastAsia="楷体" w:hAnsi="楷体"/>
          <w:b/>
          <w:bCs/>
          <w:color w:val="0070C0"/>
          <w:kern w:val="0"/>
          <w:szCs w:val="21"/>
          <w:lang w:val="en-GB"/>
        </w:rPr>
      </w:pPr>
      <w:r w:rsidRPr="005B7CDB">
        <w:rPr>
          <w:rFonts w:ascii="楷体" w:eastAsia="楷体" w:hAnsi="楷体" w:hint="eastAsia"/>
          <w:b/>
          <w:bCs/>
          <w:color w:val="0070C0"/>
          <w:kern w:val="0"/>
          <w:szCs w:val="21"/>
          <w:lang w:val="en-GB"/>
        </w:rPr>
        <w:t>固定</w:t>
      </w:r>
      <w:r w:rsidRPr="003B6A6A">
        <w:rPr>
          <w:rFonts w:ascii="楷体" w:eastAsia="楷体" w:hAnsi="楷体" w:hint="eastAsia"/>
          <w:b/>
          <w:bCs/>
          <w:color w:val="0070C0"/>
          <w:kern w:val="0"/>
          <w:szCs w:val="21"/>
          <w:lang w:val="en-GB"/>
        </w:rPr>
        <w:t>收</w:t>
      </w:r>
      <w:r w:rsidRPr="005B7CDB">
        <w:rPr>
          <w:rFonts w:ascii="楷体" w:eastAsia="楷体" w:hAnsi="楷体" w:hint="eastAsia"/>
          <w:b/>
          <w:bCs/>
          <w:color w:val="0070C0"/>
          <w:kern w:val="0"/>
          <w:szCs w:val="21"/>
          <w:lang w:val="en-GB"/>
        </w:rPr>
        <w:t>益类</w:t>
      </w:r>
      <w:r w:rsidR="001B0A76">
        <w:rPr>
          <w:rFonts w:ascii="楷体" w:eastAsia="楷体" w:hAnsi="楷体" w:hint="eastAsia"/>
          <w:b/>
          <w:bCs/>
          <w:color w:val="0070C0"/>
          <w:kern w:val="0"/>
          <w:szCs w:val="21"/>
          <w:lang w:val="en-GB"/>
        </w:rPr>
        <w:t>基金一周业绩：</w:t>
      </w:r>
      <w:r w:rsidR="00CD0DCF">
        <w:rPr>
          <w:rFonts w:ascii="楷体" w:eastAsia="楷体" w:hAnsi="楷体" w:hint="eastAsia"/>
          <w:b/>
          <w:bCs/>
          <w:color w:val="0070C0"/>
          <w:kern w:val="0"/>
          <w:szCs w:val="21"/>
          <w:lang w:val="en-GB"/>
        </w:rPr>
        <w:t>债基货基收益下降</w:t>
      </w:r>
    </w:p>
    <w:p w:rsidR="00A9342D" w:rsidRPr="00110712" w:rsidRDefault="006623B1" w:rsidP="00110712">
      <w:pPr>
        <w:pStyle w:val="ab"/>
        <w:numPr>
          <w:ilvl w:val="4"/>
          <w:numId w:val="1"/>
        </w:numPr>
        <w:spacing w:after="163"/>
        <w:rPr>
          <w:rFonts w:ascii="楷体" w:eastAsia="楷体" w:hAnsi="楷体" w:cs="Arial"/>
          <w:color w:val="000000" w:themeColor="text1"/>
          <w:szCs w:val="21"/>
        </w:rPr>
      </w:pPr>
      <w:r w:rsidRPr="006623B1">
        <w:rPr>
          <w:rFonts w:ascii="楷体" w:eastAsia="楷体" w:hAnsi="楷体" w:cs="Arial" w:hint="eastAsia"/>
          <w:color w:val="000000" w:themeColor="text1"/>
          <w:szCs w:val="21"/>
        </w:rPr>
        <w:t>上周，央行分别于周二、周四在公开市场进行200亿，250亿7天期逆回购操作，中标利率持平于3.55%，实现100亿元净投放，结束连续四周的净回笼格局</w:t>
      </w:r>
      <w:r>
        <w:rPr>
          <w:rFonts w:ascii="楷体" w:eastAsia="楷体" w:hAnsi="楷体" w:cs="Arial" w:hint="eastAsia"/>
          <w:color w:val="000000" w:themeColor="text1"/>
          <w:szCs w:val="21"/>
        </w:rPr>
        <w:t>。</w:t>
      </w:r>
      <w:r w:rsidRPr="006623B1">
        <w:rPr>
          <w:rFonts w:ascii="楷体" w:eastAsia="楷体" w:hAnsi="楷体" w:cs="Arial" w:hint="eastAsia"/>
          <w:color w:val="000000" w:themeColor="text1"/>
          <w:szCs w:val="21"/>
        </w:rPr>
        <w:t>在新股发行和季节性缴税等因素影响下，市场预计公开市场流动性投放力度会加大。</w:t>
      </w:r>
    </w:p>
    <w:p w:rsidR="00A9342D" w:rsidRPr="00451FD7" w:rsidRDefault="00DB77AF" w:rsidP="007C4D28">
      <w:pPr>
        <w:pStyle w:val="ab"/>
        <w:numPr>
          <w:ilvl w:val="4"/>
          <w:numId w:val="1"/>
        </w:numPr>
        <w:spacing w:after="163"/>
        <w:rPr>
          <w:rFonts w:ascii="楷体" w:eastAsia="楷体" w:hAnsi="楷体" w:cs="Arial"/>
          <w:color w:val="000000" w:themeColor="text1"/>
          <w:szCs w:val="21"/>
        </w:rPr>
      </w:pPr>
      <w:r w:rsidRPr="00451FD7">
        <w:rPr>
          <w:rFonts w:ascii="楷体" w:eastAsia="楷体" w:hAnsi="楷体" w:cs="Arial" w:hint="eastAsia"/>
          <w:color w:val="000000" w:themeColor="text1"/>
          <w:szCs w:val="21"/>
        </w:rPr>
        <w:t>上涨，债券市场小幅震荡，</w:t>
      </w:r>
      <w:r w:rsidRPr="00451FD7">
        <w:rPr>
          <w:szCs w:val="21"/>
        </w:rPr>
        <w:t>国债指数</w:t>
      </w:r>
      <w:r w:rsidRPr="00451FD7">
        <w:rPr>
          <w:rFonts w:ascii="楷体" w:eastAsia="楷体" w:hAnsi="楷体" w:cs="Arial" w:hint="eastAsia"/>
          <w:color w:val="000000" w:themeColor="text1"/>
          <w:szCs w:val="21"/>
        </w:rPr>
        <w:t>横盘整理，除理财债基收益维稳0.09%，其他各类债基收益率均回调。</w:t>
      </w:r>
      <w:r w:rsidR="003D6CB9" w:rsidRPr="00451FD7">
        <w:rPr>
          <w:rFonts w:ascii="楷体" w:eastAsia="楷体" w:hAnsi="楷体" w:cs="Arial" w:hint="eastAsia"/>
          <w:color w:val="000000" w:themeColor="text1"/>
          <w:szCs w:val="21"/>
        </w:rPr>
        <w:t>前期领涨的可转债</w:t>
      </w:r>
      <w:r w:rsidR="00CF27AD" w:rsidRPr="00451FD7">
        <w:rPr>
          <w:rFonts w:ascii="楷体" w:eastAsia="楷体" w:hAnsi="楷体" w:cs="Arial" w:hint="eastAsia"/>
          <w:color w:val="000000" w:themeColor="text1"/>
          <w:szCs w:val="21"/>
        </w:rPr>
        <w:t>基（-3.12%）</w:t>
      </w:r>
      <w:r w:rsidR="003D6CB9" w:rsidRPr="00451FD7">
        <w:rPr>
          <w:rFonts w:ascii="楷体" w:eastAsia="楷体" w:hAnsi="楷体" w:cs="Arial" w:hint="eastAsia"/>
          <w:color w:val="000000" w:themeColor="text1"/>
          <w:szCs w:val="21"/>
        </w:rPr>
        <w:t>跌幅较大，</w:t>
      </w:r>
      <w:r w:rsidR="00CF27AD" w:rsidRPr="00451FD7">
        <w:rPr>
          <w:rFonts w:ascii="楷体" w:eastAsia="楷体" w:hAnsi="楷体" w:cs="Arial" w:hint="eastAsia"/>
          <w:color w:val="000000" w:themeColor="text1"/>
          <w:szCs w:val="21"/>
        </w:rPr>
        <w:t>最高收益为</w:t>
      </w:r>
      <w:r w:rsidR="00CF27AD" w:rsidRPr="00451FD7">
        <w:rPr>
          <w:rFonts w:ascii="楷体" w:eastAsia="楷体" w:hAnsi="楷体" w:hint="eastAsia"/>
          <w:szCs w:val="21"/>
        </w:rPr>
        <w:t>建信转债增强C的0.98%，最低收益为-6.28%。纯债基金跌0.28%，一级债基跌0.43%，指数债基跌0.93%</w:t>
      </w:r>
      <w:r w:rsidR="00451FD7" w:rsidRPr="00451FD7">
        <w:rPr>
          <w:rFonts w:ascii="楷体" w:eastAsia="楷体" w:hAnsi="楷体" w:hint="eastAsia"/>
          <w:szCs w:val="21"/>
        </w:rPr>
        <w:t>。</w:t>
      </w:r>
      <w:r w:rsidR="00CF27AD" w:rsidRPr="00451FD7">
        <w:rPr>
          <w:rFonts w:ascii="楷体" w:eastAsia="楷体" w:hAnsi="楷体" w:hint="eastAsia"/>
          <w:szCs w:val="21"/>
        </w:rPr>
        <w:t>二级债基微涨0.05%，</w:t>
      </w:r>
      <w:r w:rsidR="00451FD7" w:rsidRPr="00451FD7">
        <w:rPr>
          <w:rFonts w:ascii="楷体" w:eastAsia="楷体" w:hAnsi="楷体" w:hint="eastAsia"/>
          <w:szCs w:val="21"/>
        </w:rPr>
        <w:t>其中，国投瑞银融华债券（1.81%）收益最高。</w:t>
      </w:r>
    </w:p>
    <w:p w:rsidR="00A9342D" w:rsidRPr="001D3723" w:rsidRDefault="00451FD7" w:rsidP="003E2434">
      <w:pPr>
        <w:pStyle w:val="ab"/>
        <w:numPr>
          <w:ilvl w:val="4"/>
          <w:numId w:val="1"/>
        </w:numPr>
        <w:spacing w:after="163"/>
        <w:rPr>
          <w:rFonts w:ascii="楷体" w:eastAsia="楷体" w:hAnsi="楷体" w:cs="Arial"/>
          <w:color w:val="000000" w:themeColor="text1"/>
          <w:szCs w:val="21"/>
        </w:rPr>
      </w:pPr>
      <w:r w:rsidRPr="001D3723">
        <w:rPr>
          <w:rFonts w:ascii="楷体" w:eastAsia="楷体" w:hAnsi="楷体" w:cs="Arial" w:hint="eastAsia"/>
          <w:color w:val="000000" w:themeColor="text1"/>
          <w:szCs w:val="21"/>
        </w:rPr>
        <w:lastRenderedPageBreak/>
        <w:t>上周，318只货币基金七日年化收益率均值由前周的4.55%下降至4.42%，涨幅再度缩水。约12.6%产品七日年化收益率大于5%，58%的产品在4%~5%之间，24%的产品在3%~4%之间。</w:t>
      </w:r>
      <w:r w:rsidR="001D3723" w:rsidRPr="001D3723">
        <w:rPr>
          <w:rFonts w:ascii="楷体" w:eastAsia="楷体" w:hAnsi="楷体" w:hint="eastAsia"/>
          <w:szCs w:val="21"/>
        </w:rPr>
        <w:t>信达澳银慧管家C、信达澳银慧管家A、信达澳银慧管家E分别以16.58%、16.45%、16.14%的</w:t>
      </w:r>
      <w:r w:rsidR="001D3723" w:rsidRPr="001D3723">
        <w:rPr>
          <w:rFonts w:ascii="楷体" w:eastAsia="楷体" w:hAnsi="楷体" w:cs="Arial" w:hint="eastAsia"/>
          <w:color w:val="000000" w:themeColor="text1"/>
          <w:szCs w:val="21"/>
        </w:rPr>
        <w:t>七日年化收益率包揽前三。</w:t>
      </w:r>
    </w:p>
    <w:p w:rsidR="00290AF6" w:rsidRPr="00E12848" w:rsidRDefault="008E2FEB" w:rsidP="00044255">
      <w:pPr>
        <w:widowControl/>
        <w:spacing w:after="120"/>
        <w:ind w:left="3430"/>
        <w:rPr>
          <w:rFonts w:ascii="楷体" w:eastAsia="楷体" w:hAnsi="楷体"/>
          <w:b/>
          <w:bCs/>
          <w:color w:val="0070C0"/>
          <w:kern w:val="0"/>
          <w:szCs w:val="21"/>
          <w:lang w:val="en-GB"/>
        </w:rPr>
      </w:pPr>
      <w:r>
        <w:rPr>
          <w:rFonts w:ascii="楷体" w:eastAsia="楷体" w:hAnsi="楷体" w:hint="eastAsia"/>
          <w:b/>
          <w:bCs/>
          <w:color w:val="0070C0"/>
          <w:kern w:val="0"/>
          <w:szCs w:val="21"/>
          <w:lang w:val="en-GB"/>
        </w:rPr>
        <w:t>分级</w:t>
      </w:r>
      <w:r w:rsidRPr="00E12848">
        <w:rPr>
          <w:rFonts w:ascii="楷体" w:eastAsia="楷体" w:hAnsi="楷体" w:hint="eastAsia"/>
          <w:b/>
          <w:bCs/>
          <w:color w:val="0070C0"/>
          <w:kern w:val="0"/>
          <w:szCs w:val="21"/>
          <w:lang w:val="en-GB"/>
        </w:rPr>
        <w:t>基金子份额一周业绩：</w:t>
      </w:r>
      <w:r w:rsidR="000C2296">
        <w:rPr>
          <w:rFonts w:ascii="楷体" w:eastAsia="楷体" w:hAnsi="楷体" w:hint="eastAsia"/>
          <w:b/>
          <w:bCs/>
          <w:color w:val="0070C0"/>
          <w:kern w:val="0"/>
          <w:szCs w:val="21"/>
          <w:lang w:val="en-GB"/>
        </w:rPr>
        <w:t>股基积极份额涨幅收缩，</w:t>
      </w:r>
      <w:r w:rsidR="007E0C52">
        <w:rPr>
          <w:rFonts w:ascii="楷体" w:eastAsia="楷体" w:hAnsi="楷体" w:hint="eastAsia"/>
          <w:b/>
          <w:bCs/>
          <w:color w:val="0070C0"/>
          <w:kern w:val="0"/>
          <w:szCs w:val="21"/>
          <w:lang w:val="en-GB"/>
        </w:rPr>
        <w:t>债基积极</w:t>
      </w:r>
      <w:r w:rsidR="00B00FAC">
        <w:rPr>
          <w:rFonts w:ascii="楷体" w:eastAsia="楷体" w:hAnsi="楷体" w:hint="eastAsia"/>
          <w:b/>
          <w:bCs/>
          <w:color w:val="0070C0"/>
          <w:kern w:val="0"/>
          <w:szCs w:val="21"/>
          <w:lang w:val="en-GB"/>
        </w:rPr>
        <w:t>份额</w:t>
      </w:r>
      <w:r w:rsidR="007E0C52">
        <w:rPr>
          <w:rFonts w:ascii="楷体" w:eastAsia="楷体" w:hAnsi="楷体" w:hint="eastAsia"/>
          <w:b/>
          <w:bCs/>
          <w:color w:val="0070C0"/>
          <w:kern w:val="0"/>
          <w:szCs w:val="21"/>
          <w:lang w:val="en-GB"/>
        </w:rPr>
        <w:t>多数下跌</w:t>
      </w:r>
    </w:p>
    <w:p w:rsidR="00881A26" w:rsidRPr="004B4718" w:rsidRDefault="004B4718" w:rsidP="00AC2E8C">
      <w:pPr>
        <w:pStyle w:val="ab"/>
        <w:numPr>
          <w:ilvl w:val="4"/>
          <w:numId w:val="1"/>
        </w:numPr>
        <w:spacing w:after="163"/>
        <w:rPr>
          <w:rFonts w:ascii="楷体" w:eastAsia="楷体" w:hAnsi="楷体" w:cs="Arial"/>
          <w:color w:val="000000" w:themeColor="text1"/>
          <w:szCs w:val="21"/>
        </w:rPr>
      </w:pPr>
      <w:r w:rsidRPr="004B4718">
        <w:rPr>
          <w:rFonts w:ascii="楷体" w:eastAsia="楷体" w:hAnsi="楷体" w:cs="Arial" w:hint="eastAsia"/>
          <w:color w:val="000000" w:themeColor="text1"/>
          <w:szCs w:val="21"/>
        </w:rPr>
        <w:t>上周，62只股基稳健份额全部上涨，</w:t>
      </w:r>
      <w:r>
        <w:rPr>
          <w:rFonts w:ascii="楷体" w:eastAsia="楷体" w:hAnsi="楷体" w:cs="Arial" w:hint="eastAsia"/>
          <w:color w:val="000000" w:themeColor="text1"/>
          <w:szCs w:val="21"/>
        </w:rPr>
        <w:t>平均收益为</w:t>
      </w:r>
      <w:r w:rsidR="00C52BB2">
        <w:rPr>
          <w:rFonts w:ascii="楷体" w:eastAsia="楷体" w:hAnsi="楷体" w:cs="Arial" w:hint="eastAsia"/>
          <w:color w:val="000000" w:themeColor="text1"/>
          <w:szCs w:val="21"/>
        </w:rPr>
        <w:t>0.21%，</w:t>
      </w:r>
      <w:r w:rsidRPr="004B4718">
        <w:rPr>
          <w:rFonts w:ascii="楷体" w:eastAsia="楷体" w:hAnsi="楷体" w:cs="Arial" w:hint="eastAsia"/>
          <w:color w:val="000000" w:themeColor="text1"/>
          <w:szCs w:val="21"/>
        </w:rPr>
        <w:t>排名第一的</w:t>
      </w:r>
      <w:r w:rsidRPr="004B4718">
        <w:rPr>
          <w:rFonts w:ascii="楷体" w:eastAsia="楷体" w:hAnsi="楷体" w:hint="eastAsia"/>
          <w:szCs w:val="21"/>
        </w:rPr>
        <w:t>兴全合润分级A周收益为4.84%，排名第二的国投瑞银瑞和小康周收益为0.83%。62只</w:t>
      </w:r>
      <w:r w:rsidRPr="004B4718">
        <w:rPr>
          <w:rFonts w:ascii="楷体" w:eastAsia="楷体" w:hAnsi="楷体" w:cs="Arial" w:hint="eastAsia"/>
          <w:color w:val="000000" w:themeColor="text1"/>
          <w:szCs w:val="21"/>
        </w:rPr>
        <w:t>股基积极份额有59只上涨，</w:t>
      </w:r>
      <w:r>
        <w:rPr>
          <w:rFonts w:ascii="楷体" w:eastAsia="楷体" w:hAnsi="楷体" w:cs="Arial" w:hint="eastAsia"/>
          <w:color w:val="000000" w:themeColor="text1"/>
          <w:szCs w:val="21"/>
        </w:rPr>
        <w:t>平均收益为5.00%，</w:t>
      </w:r>
      <w:r w:rsidRPr="004B4718">
        <w:rPr>
          <w:rFonts w:ascii="楷体" w:eastAsia="楷体" w:hAnsi="楷体" w:cs="Arial" w:hint="eastAsia"/>
          <w:color w:val="000000" w:themeColor="text1"/>
          <w:szCs w:val="21"/>
        </w:rPr>
        <w:t>排名第一的</w:t>
      </w:r>
      <w:r w:rsidRPr="004B4718">
        <w:rPr>
          <w:rFonts w:ascii="楷体" w:eastAsia="楷体" w:hAnsi="楷体" w:hint="eastAsia"/>
          <w:szCs w:val="21"/>
        </w:rPr>
        <w:t>鹏华中证800地产B收益为10.44%，</w:t>
      </w:r>
      <w:r w:rsidRPr="004B4718">
        <w:rPr>
          <w:rFonts w:ascii="楷体" w:eastAsia="楷体" w:hAnsi="楷体" w:cs="Arial" w:hint="eastAsia"/>
          <w:color w:val="000000" w:themeColor="text1"/>
          <w:szCs w:val="21"/>
        </w:rPr>
        <w:t>排名第二的</w:t>
      </w:r>
      <w:r w:rsidRPr="004B4718">
        <w:rPr>
          <w:rFonts w:ascii="楷体" w:eastAsia="楷体" w:hAnsi="楷体" w:hint="eastAsia"/>
          <w:szCs w:val="21"/>
        </w:rPr>
        <w:t>富国中证移动互联网B收益为9.36%</w:t>
      </w:r>
      <w:r>
        <w:rPr>
          <w:rFonts w:ascii="楷体" w:eastAsia="楷体" w:hAnsi="楷体" w:hint="eastAsia"/>
          <w:szCs w:val="21"/>
        </w:rPr>
        <w:t>，最低收益为-2.94%。</w:t>
      </w:r>
    </w:p>
    <w:p w:rsidR="00881A26" w:rsidRPr="00B738D6" w:rsidRDefault="004B4718" w:rsidP="00C356BF">
      <w:pPr>
        <w:pStyle w:val="ab"/>
        <w:numPr>
          <w:ilvl w:val="4"/>
          <w:numId w:val="1"/>
        </w:numPr>
        <w:spacing w:after="163"/>
        <w:rPr>
          <w:rFonts w:ascii="楷体" w:eastAsia="楷体" w:hAnsi="楷体" w:cs="Arial"/>
          <w:color w:val="000000" w:themeColor="text1"/>
          <w:szCs w:val="21"/>
        </w:rPr>
      </w:pPr>
      <w:r w:rsidRPr="00B738D6">
        <w:rPr>
          <w:rFonts w:ascii="楷体" w:eastAsia="楷体" w:hAnsi="楷体" w:cs="Arial" w:hint="eastAsia"/>
          <w:color w:val="000000" w:themeColor="text1"/>
          <w:szCs w:val="21"/>
        </w:rPr>
        <w:t>54债基稳健份额平均收益为0.10%，最低收益持平，最高收益为</w:t>
      </w:r>
      <w:r w:rsidRPr="00B738D6">
        <w:rPr>
          <w:rFonts w:ascii="楷体" w:eastAsia="楷体" w:hAnsi="楷体" w:hint="eastAsia"/>
          <w:szCs w:val="21"/>
        </w:rPr>
        <w:t>华富恒财分级A的0.2%。</w:t>
      </w:r>
      <w:r w:rsidR="00B738D6" w:rsidRPr="00B738D6">
        <w:rPr>
          <w:rFonts w:ascii="楷体" w:eastAsia="楷体" w:hAnsi="楷体" w:cs="Arial" w:hint="eastAsia"/>
          <w:color w:val="000000" w:themeColor="text1"/>
          <w:szCs w:val="21"/>
        </w:rPr>
        <w:t>54只债基积极份额平均收益为-1.38%，仅8只产品上涨，最高收益为</w:t>
      </w:r>
      <w:r w:rsidR="00B738D6" w:rsidRPr="00B738D6">
        <w:rPr>
          <w:rFonts w:ascii="楷体" w:eastAsia="楷体" w:hAnsi="楷体" w:hint="eastAsia"/>
          <w:szCs w:val="21"/>
        </w:rPr>
        <w:t>富国汇利回报分级B的0.61%，</w:t>
      </w:r>
      <w:r w:rsidR="00B738D6" w:rsidRPr="00B738D6">
        <w:rPr>
          <w:rFonts w:ascii="楷体" w:eastAsia="楷体" w:hAnsi="楷体" w:cs="Arial" w:hint="eastAsia"/>
          <w:color w:val="000000" w:themeColor="text1"/>
          <w:szCs w:val="21"/>
        </w:rPr>
        <w:t>有3只产品收益小于-12%，</w:t>
      </w:r>
      <w:r w:rsidR="00B738D6" w:rsidRPr="00B738D6">
        <w:rPr>
          <w:rFonts w:ascii="楷体" w:eastAsia="楷体" w:hAnsi="楷体" w:hint="eastAsia"/>
          <w:szCs w:val="21"/>
        </w:rPr>
        <w:t>最低收益为-17.48%。</w:t>
      </w:r>
    </w:p>
    <w:tbl>
      <w:tblPr>
        <w:tblW w:w="11057" w:type="dxa"/>
        <w:tblInd w:w="-142" w:type="dxa"/>
        <w:tblBorders>
          <w:top w:val="single" w:sz="6" w:space="0" w:color="FF6600"/>
          <w:bottom w:val="single" w:sz="6" w:space="0" w:color="FF6600"/>
          <w:insideH w:val="single" w:sz="6" w:space="0" w:color="FF6600"/>
        </w:tblBorders>
        <w:tblLayout w:type="fixed"/>
        <w:tblCellMar>
          <w:left w:w="0" w:type="dxa"/>
          <w:right w:w="0" w:type="dxa"/>
        </w:tblCellMar>
        <w:tblLook w:val="0000"/>
      </w:tblPr>
      <w:tblGrid>
        <w:gridCol w:w="851"/>
        <w:gridCol w:w="709"/>
        <w:gridCol w:w="2268"/>
        <w:gridCol w:w="709"/>
        <w:gridCol w:w="850"/>
        <w:gridCol w:w="851"/>
        <w:gridCol w:w="992"/>
        <w:gridCol w:w="2126"/>
        <w:gridCol w:w="851"/>
        <w:gridCol w:w="850"/>
      </w:tblGrid>
      <w:tr w:rsidR="008177CF" w:rsidRPr="005B7CDB" w:rsidTr="00CE01AE">
        <w:trPr>
          <w:cantSplit/>
          <w:trHeight w:val="335"/>
        </w:trPr>
        <w:tc>
          <w:tcPr>
            <w:tcW w:w="11057" w:type="dxa"/>
            <w:gridSpan w:val="10"/>
            <w:tcBorders>
              <w:bottom w:val="single" w:sz="6" w:space="0" w:color="FF6600"/>
            </w:tcBorders>
            <w:shd w:val="clear" w:color="auto" w:fill="auto"/>
            <w:vAlign w:val="center"/>
          </w:tcPr>
          <w:p w:rsidR="008177CF" w:rsidRPr="005B7CDB" w:rsidRDefault="008177CF" w:rsidP="00796BF9">
            <w:pPr>
              <w:pStyle w:val="SubTitleLargeTable"/>
              <w:pBdr>
                <w:top w:val="none" w:sz="0" w:space="0" w:color="auto"/>
              </w:pBdr>
              <w:rPr>
                <w:rFonts w:ascii="楷体" w:eastAsia="楷体" w:hAnsi="楷体"/>
                <w:b w:val="0"/>
              </w:rPr>
            </w:pPr>
            <w:r w:rsidRPr="005B7CDB">
              <w:rPr>
                <w:rFonts w:ascii="楷体" w:eastAsia="楷体" w:hAnsi="楷体" w:cs="宋体" w:hint="eastAsia"/>
                <w:color w:val="FF6600"/>
              </w:rPr>
              <w:t>图表</w:t>
            </w:r>
            <w:r w:rsidR="008F39C1" w:rsidRPr="005B7CDB">
              <w:rPr>
                <w:rFonts w:ascii="楷体" w:eastAsia="楷体" w:hAnsi="楷体" w:hint="eastAsia"/>
                <w:color w:val="FF6600"/>
              </w:rPr>
              <w:t>5</w:t>
            </w:r>
            <w:r w:rsidRPr="005B7CDB">
              <w:rPr>
                <w:rFonts w:ascii="楷体" w:eastAsia="楷体" w:hAnsi="楷体" w:cs="宋体" w:hint="eastAsia"/>
                <w:color w:val="FF6600"/>
              </w:rPr>
              <w:t>：</w:t>
            </w:r>
            <w:r w:rsidR="006559C0" w:rsidRPr="005B7CDB">
              <w:rPr>
                <w:rFonts w:ascii="楷体" w:eastAsia="楷体" w:hAnsi="楷体" w:cs="宋体" w:hint="eastAsia"/>
                <w:color w:val="FF6600"/>
              </w:rPr>
              <w:t>各类型公募基金</w:t>
            </w:r>
            <w:r w:rsidR="00BE3214" w:rsidRPr="005B7CDB">
              <w:rPr>
                <w:rFonts w:ascii="楷体" w:eastAsia="楷体" w:hAnsi="楷体" w:cs="宋体" w:hint="eastAsia"/>
                <w:color w:val="FF6600"/>
              </w:rPr>
              <w:t>（含封闭式）</w:t>
            </w:r>
            <w:r w:rsidR="006559C0" w:rsidRPr="005B7CDB">
              <w:rPr>
                <w:rFonts w:ascii="楷体" w:eastAsia="楷体" w:hAnsi="楷体" w:cs="宋体" w:hint="eastAsia"/>
                <w:color w:val="FF6600"/>
              </w:rPr>
              <w:t>周收益率</w:t>
            </w:r>
            <w:r w:rsidR="00BE2C01" w:rsidRPr="005B7CDB">
              <w:rPr>
                <w:rFonts w:ascii="楷体" w:eastAsia="楷体" w:hAnsi="楷体" w:cs="宋体" w:hint="eastAsia"/>
                <w:color w:val="FF6600"/>
              </w:rPr>
              <w:t>前</w:t>
            </w:r>
            <w:r w:rsidR="006559C0" w:rsidRPr="005B7CDB">
              <w:rPr>
                <w:rFonts w:ascii="楷体" w:eastAsia="楷体" w:hAnsi="楷体" w:hint="eastAsia"/>
                <w:color w:val="FF6600"/>
              </w:rPr>
              <w:t>3</w:t>
            </w:r>
            <w:r w:rsidR="00E86700" w:rsidRPr="005B7CDB">
              <w:rPr>
                <w:rFonts w:ascii="楷体" w:eastAsia="楷体" w:hAnsi="楷体" w:cs="宋体" w:hint="eastAsia"/>
                <w:color w:val="FF6600"/>
              </w:rPr>
              <w:t>（</w:t>
            </w:r>
            <w:r w:rsidR="00EE10A4">
              <w:rPr>
                <w:rFonts w:ascii="楷体" w:eastAsia="楷体" w:hAnsi="楷体" w:hint="eastAsia"/>
                <w:color w:val="FF6600"/>
              </w:rPr>
              <w:t>3.23~3.27</w:t>
            </w:r>
            <w:r w:rsidR="00E101EA" w:rsidRPr="005B7CDB">
              <w:rPr>
                <w:rFonts w:ascii="楷体" w:eastAsia="楷体" w:hAnsi="楷体" w:cs="宋体" w:hint="eastAsia"/>
                <w:color w:val="FF6600"/>
              </w:rPr>
              <w:t>，</w:t>
            </w:r>
            <w:r w:rsidR="00E101EA" w:rsidRPr="005B7CDB">
              <w:rPr>
                <w:rFonts w:ascii="楷体" w:eastAsia="楷体" w:hAnsi="楷体" w:hint="eastAsia"/>
                <w:color w:val="FF6600"/>
              </w:rPr>
              <w:t>QDII为</w:t>
            </w:r>
            <w:r w:rsidR="00EE10A4">
              <w:rPr>
                <w:rFonts w:ascii="楷体" w:eastAsia="楷体" w:hAnsi="楷体" w:hint="eastAsia"/>
                <w:color w:val="FF6600"/>
              </w:rPr>
              <w:t>3.20</w:t>
            </w:r>
            <w:r w:rsidR="00E101EA" w:rsidRPr="00057142">
              <w:rPr>
                <w:rFonts w:ascii="楷体" w:eastAsia="楷体" w:hAnsi="楷体" w:hint="eastAsia"/>
                <w:color w:val="FF6600"/>
              </w:rPr>
              <w:t>~</w:t>
            </w:r>
            <w:r w:rsidR="00EE10A4">
              <w:rPr>
                <w:rFonts w:ascii="楷体" w:eastAsia="楷体" w:hAnsi="楷体" w:hint="eastAsia"/>
                <w:color w:val="FF6600"/>
              </w:rPr>
              <w:t>3.26</w:t>
            </w:r>
            <w:r w:rsidR="00E101EA" w:rsidRPr="005B7CDB">
              <w:rPr>
                <w:rFonts w:ascii="楷体" w:eastAsia="楷体" w:hAnsi="楷体" w:hint="eastAsia"/>
                <w:color w:val="FF6600"/>
              </w:rPr>
              <w:t>，</w:t>
            </w:r>
            <w:r w:rsidR="00E86700" w:rsidRPr="005B7CDB">
              <w:rPr>
                <w:rFonts w:ascii="楷体" w:eastAsia="楷体" w:hAnsi="楷体" w:hint="eastAsia"/>
                <w:color w:val="FF6600"/>
              </w:rPr>
              <w:t>货币基金为7日年化收益</w:t>
            </w:r>
            <w:r w:rsidR="00E86700">
              <w:rPr>
                <w:rFonts w:ascii="楷体" w:eastAsia="楷体" w:hAnsi="楷体" w:hint="eastAsia"/>
                <w:color w:val="FF6600"/>
              </w:rPr>
              <w:t>率</w:t>
            </w:r>
            <w:r w:rsidR="00E86700" w:rsidRPr="005B7CDB">
              <w:rPr>
                <w:rFonts w:ascii="楷体" w:eastAsia="楷体" w:hAnsi="楷体" w:cs="宋体" w:hint="eastAsia"/>
                <w:color w:val="FF6600"/>
              </w:rPr>
              <w:t>）</w:t>
            </w:r>
          </w:p>
        </w:tc>
      </w:tr>
      <w:tr w:rsidR="005A1CF9" w:rsidRPr="005B7CDB" w:rsidTr="0004528E">
        <w:trPr>
          <w:cantSplit/>
          <w:trHeight w:val="227"/>
        </w:trPr>
        <w:tc>
          <w:tcPr>
            <w:tcW w:w="851" w:type="dxa"/>
            <w:tcBorders>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709"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2268"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709"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850"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c>
          <w:tcPr>
            <w:tcW w:w="851" w:type="dxa"/>
            <w:tcBorders>
              <w:left w:val="single" w:sz="6" w:space="0" w:color="FF6600"/>
              <w:bottom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凯石分类</w:t>
            </w:r>
          </w:p>
        </w:tc>
        <w:tc>
          <w:tcPr>
            <w:tcW w:w="992"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基金代码</w:t>
            </w:r>
          </w:p>
        </w:tc>
        <w:tc>
          <w:tcPr>
            <w:tcW w:w="2126"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基金名称</w:t>
            </w:r>
          </w:p>
        </w:tc>
        <w:tc>
          <w:tcPr>
            <w:tcW w:w="851" w:type="dxa"/>
            <w:tcBorders>
              <w:left w:val="single" w:sz="6" w:space="0" w:color="FF6600"/>
              <w:righ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类型</w:t>
            </w:r>
          </w:p>
        </w:tc>
        <w:tc>
          <w:tcPr>
            <w:tcW w:w="850" w:type="dxa"/>
            <w:tcBorders>
              <w:left w:val="single" w:sz="6" w:space="0" w:color="FF6600"/>
            </w:tcBorders>
            <w:shd w:val="clear" w:color="auto" w:fill="FDE9D9" w:themeFill="accent6" w:themeFillTint="33"/>
            <w:vAlign w:val="center"/>
          </w:tcPr>
          <w:p w:rsidR="006559C0" w:rsidRPr="005B7CDB" w:rsidRDefault="006559C0" w:rsidP="000D1136">
            <w:pPr>
              <w:snapToGrid w:val="0"/>
              <w:jc w:val="center"/>
              <w:rPr>
                <w:rFonts w:ascii="楷体" w:eastAsia="楷体" w:hAnsi="楷体"/>
                <w:b/>
                <w:sz w:val="18"/>
                <w:szCs w:val="18"/>
              </w:rPr>
            </w:pPr>
            <w:r w:rsidRPr="005B7CDB">
              <w:rPr>
                <w:rFonts w:ascii="楷体" w:eastAsia="楷体" w:hAnsi="楷体"/>
                <w:b/>
                <w:sz w:val="18"/>
                <w:szCs w:val="18"/>
              </w:rPr>
              <w:t>周收益率</w:t>
            </w:r>
            <w:r w:rsidR="006A6E20">
              <w:rPr>
                <w:rFonts w:ascii="楷体" w:eastAsia="楷体" w:hAnsi="楷体"/>
                <w:b/>
                <w:sz w:val="18"/>
                <w:szCs w:val="18"/>
              </w:rPr>
              <w:t>%</w:t>
            </w:r>
          </w:p>
        </w:tc>
      </w:tr>
      <w:tr w:rsidR="00AD1924" w:rsidRPr="005B7CDB" w:rsidTr="0004528E">
        <w:trPr>
          <w:cantSplit/>
          <w:trHeight w:val="227"/>
        </w:trPr>
        <w:tc>
          <w:tcPr>
            <w:tcW w:w="851" w:type="dxa"/>
            <w:vMerge w:val="restart"/>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r w:rsidRPr="005B7CDB">
              <w:rPr>
                <w:rFonts w:ascii="楷体" w:eastAsia="楷体" w:hAnsi="楷体"/>
                <w:b/>
                <w:sz w:val="18"/>
                <w:szCs w:val="18"/>
              </w:rPr>
              <w:t>股票-</w:t>
            </w:r>
          </w:p>
          <w:p w:rsidR="00AD1924" w:rsidRPr="005B7CDB" w:rsidRDefault="00AD1924" w:rsidP="006E677E">
            <w:pPr>
              <w:snapToGrid w:val="0"/>
              <w:jc w:val="center"/>
              <w:rPr>
                <w:rFonts w:ascii="楷体" w:eastAsia="楷体" w:hAnsi="楷体"/>
                <w:b/>
                <w:sz w:val="18"/>
                <w:szCs w:val="18"/>
              </w:rPr>
            </w:pPr>
            <w:r w:rsidRPr="005B7CDB">
              <w:rPr>
                <w:rFonts w:ascii="楷体" w:eastAsia="楷体" w:hAnsi="楷体"/>
                <w:b/>
                <w:sz w:val="18"/>
                <w:szCs w:val="18"/>
              </w:rPr>
              <w:t>主动型</w:t>
            </w:r>
          </w:p>
        </w:tc>
        <w:tc>
          <w:tcPr>
            <w:tcW w:w="709" w:type="dxa"/>
            <w:tcBorders>
              <w:left w:val="single" w:sz="6" w:space="0" w:color="FF6600"/>
              <w:right w:val="single" w:sz="6" w:space="0" w:color="FF6600"/>
            </w:tcBorders>
            <w:shd w:val="clear" w:color="auto" w:fill="auto"/>
          </w:tcPr>
          <w:p w:rsidR="00AD192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AD1924" w:rsidRPr="00853693">
              <w:rPr>
                <w:rFonts w:ascii="楷体" w:eastAsia="楷体" w:hAnsi="楷体" w:hint="eastAsia"/>
                <w:color w:val="000000"/>
                <w:sz w:val="18"/>
                <w:szCs w:val="18"/>
              </w:rPr>
              <w:t>457</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上投摩根核心成长</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8.94</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r w:rsidRPr="005B7CDB">
              <w:rPr>
                <w:rFonts w:ascii="楷体" w:eastAsia="楷体" w:hAnsi="楷体"/>
                <w:b/>
                <w:sz w:val="18"/>
                <w:szCs w:val="18"/>
              </w:rPr>
              <w:t>债券-</w:t>
            </w:r>
          </w:p>
          <w:p w:rsidR="00AD1924" w:rsidRPr="005B7CDB" w:rsidRDefault="00AD1924" w:rsidP="006E677E">
            <w:pPr>
              <w:snapToGrid w:val="0"/>
              <w:jc w:val="center"/>
              <w:rPr>
                <w:rFonts w:ascii="楷体" w:eastAsia="楷体" w:hAnsi="楷体"/>
                <w:b/>
                <w:sz w:val="18"/>
                <w:szCs w:val="18"/>
              </w:rPr>
            </w:pPr>
            <w:r w:rsidRPr="005B7CDB">
              <w:rPr>
                <w:rFonts w:ascii="楷体" w:eastAsia="楷体" w:hAnsi="楷体"/>
                <w:b/>
                <w:sz w:val="18"/>
                <w:szCs w:val="18"/>
              </w:rPr>
              <w:t>纯债基金</w:t>
            </w: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700006</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平安大华添利C</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0.81</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210005</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金鹰主题优势</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8.57</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700005</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平安大华添利A</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0.80</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519001</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银华核心价值优选</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8.55</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0000</w:t>
            </w:r>
            <w:r w:rsidR="00AD1924" w:rsidRPr="00853693">
              <w:rPr>
                <w:rFonts w:ascii="楷体" w:eastAsia="楷体" w:hAnsi="楷体" w:hint="eastAsia"/>
                <w:color w:val="000000"/>
                <w:sz w:val="18"/>
                <w:szCs w:val="18"/>
              </w:rPr>
              <w:t>52</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长盛纯债C</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0.53</w:t>
            </w:r>
          </w:p>
        </w:tc>
      </w:tr>
      <w:tr w:rsidR="00AD1924" w:rsidRPr="005B7CDB" w:rsidTr="0004528E">
        <w:trPr>
          <w:cantSplit/>
          <w:trHeight w:val="227"/>
        </w:trPr>
        <w:tc>
          <w:tcPr>
            <w:tcW w:w="851" w:type="dxa"/>
            <w:vMerge w:val="restart"/>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r w:rsidRPr="005B7CDB">
              <w:rPr>
                <w:rFonts w:ascii="楷体" w:eastAsia="楷体" w:hAnsi="楷体"/>
                <w:b/>
                <w:sz w:val="18"/>
                <w:szCs w:val="18"/>
              </w:rPr>
              <w:t>股票-</w:t>
            </w:r>
          </w:p>
          <w:p w:rsidR="00AD1924" w:rsidRPr="005B7CDB" w:rsidRDefault="00AD1924" w:rsidP="006E677E">
            <w:pPr>
              <w:snapToGrid w:val="0"/>
              <w:jc w:val="center"/>
              <w:rPr>
                <w:rFonts w:ascii="楷体" w:eastAsia="楷体" w:hAnsi="楷体"/>
                <w:b/>
                <w:sz w:val="18"/>
                <w:szCs w:val="18"/>
              </w:rPr>
            </w:pPr>
            <w:r w:rsidRPr="005B7CDB">
              <w:rPr>
                <w:rFonts w:ascii="楷体" w:eastAsia="楷体" w:hAnsi="楷体"/>
                <w:b/>
                <w:sz w:val="18"/>
                <w:szCs w:val="18"/>
              </w:rPr>
              <w:t>指数型</w:t>
            </w: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159917</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国泰中小板300成长ETF</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6.19</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AD1924" w:rsidRPr="005B7CDB" w:rsidRDefault="00AD1924"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一级债基</w:t>
            </w: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630103</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华商收益增强B</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1.44</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159921</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诺安中小板等权ETF</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6.13</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630003</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华商收益增强A</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1.43</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159902</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华夏中小板ETF</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6.13</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253061</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国联安信心增长B</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1.22</w:t>
            </w:r>
          </w:p>
        </w:tc>
      </w:tr>
      <w:tr w:rsidR="00AD1924" w:rsidRPr="005B7CDB" w:rsidTr="0004528E">
        <w:trPr>
          <w:cantSplit/>
          <w:trHeight w:val="227"/>
        </w:trPr>
        <w:tc>
          <w:tcPr>
            <w:tcW w:w="851" w:type="dxa"/>
            <w:vMerge w:val="restart"/>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AD1924" w:rsidRPr="005B7CDB" w:rsidRDefault="00AD1924" w:rsidP="006E677E">
            <w:pPr>
              <w:snapToGrid w:val="0"/>
              <w:jc w:val="center"/>
              <w:rPr>
                <w:rFonts w:ascii="楷体" w:eastAsia="楷体" w:hAnsi="楷体"/>
                <w:b/>
                <w:sz w:val="18"/>
                <w:szCs w:val="18"/>
              </w:rPr>
            </w:pPr>
            <w:r w:rsidRPr="005B7CDB">
              <w:rPr>
                <w:rFonts w:ascii="楷体" w:eastAsia="楷体" w:hAnsi="楷体" w:hint="eastAsia"/>
                <w:b/>
                <w:bCs/>
                <w:color w:val="000000"/>
                <w:sz w:val="18"/>
                <w:szCs w:val="18"/>
              </w:rPr>
              <w:t>偏股型</w:t>
            </w:r>
          </w:p>
        </w:tc>
        <w:tc>
          <w:tcPr>
            <w:tcW w:w="709" w:type="dxa"/>
            <w:tcBorders>
              <w:left w:val="single" w:sz="6" w:space="0" w:color="FF6600"/>
              <w:right w:val="single" w:sz="6" w:space="0" w:color="FF6600"/>
            </w:tcBorders>
            <w:shd w:val="clear" w:color="auto" w:fill="auto"/>
          </w:tcPr>
          <w:p w:rsidR="00AD192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w:t>
            </w:r>
            <w:r w:rsidR="00AD1924" w:rsidRPr="00853693">
              <w:rPr>
                <w:rFonts w:ascii="楷体" w:eastAsia="楷体" w:hAnsi="楷体" w:hint="eastAsia"/>
                <w:color w:val="000000"/>
                <w:sz w:val="18"/>
                <w:szCs w:val="18"/>
              </w:rPr>
              <w:t>70001</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嘉实成长收益</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8.05</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AD1924" w:rsidRPr="005B7CDB" w:rsidRDefault="00AD1924"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二级债基</w:t>
            </w: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121001</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国投瑞银融华债券</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1.81</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240001</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华宝兴业宝康消费品</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7.69</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202101</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南方宝元债券</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1.64</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AD1924" w:rsidRPr="00853693">
              <w:rPr>
                <w:rFonts w:ascii="楷体" w:eastAsia="楷体" w:hAnsi="楷体" w:hint="eastAsia"/>
                <w:color w:val="000000"/>
                <w:sz w:val="18"/>
                <w:szCs w:val="18"/>
              </w:rPr>
              <w:t>940</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富国中小盘精选</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5.53</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AD1924" w:rsidRPr="00853693">
              <w:rPr>
                <w:rFonts w:ascii="楷体" w:eastAsia="楷体" w:hAnsi="楷体" w:hint="eastAsia"/>
                <w:color w:val="000000"/>
                <w:sz w:val="18"/>
                <w:szCs w:val="18"/>
              </w:rPr>
              <w:t>463</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华商双债丰利A</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1.49</w:t>
            </w:r>
          </w:p>
        </w:tc>
      </w:tr>
      <w:tr w:rsidR="00AD1924" w:rsidRPr="005B7CDB" w:rsidTr="0004528E">
        <w:trPr>
          <w:cantSplit/>
          <w:trHeight w:val="227"/>
        </w:trPr>
        <w:tc>
          <w:tcPr>
            <w:tcW w:w="851" w:type="dxa"/>
            <w:vMerge w:val="restart"/>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AD1924" w:rsidRPr="005B7CDB" w:rsidRDefault="00AD1924" w:rsidP="006E677E">
            <w:pPr>
              <w:snapToGrid w:val="0"/>
              <w:jc w:val="center"/>
              <w:rPr>
                <w:rFonts w:ascii="楷体" w:eastAsia="楷体" w:hAnsi="楷体"/>
                <w:b/>
                <w:sz w:val="18"/>
                <w:szCs w:val="18"/>
              </w:rPr>
            </w:pPr>
            <w:r w:rsidRPr="005B7CDB">
              <w:rPr>
                <w:rFonts w:ascii="楷体" w:eastAsia="楷体" w:hAnsi="楷体" w:hint="eastAsia"/>
                <w:b/>
                <w:bCs/>
                <w:color w:val="000000"/>
                <w:sz w:val="18"/>
                <w:szCs w:val="18"/>
              </w:rPr>
              <w:t>偏债型</w:t>
            </w: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110001</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易方达平稳增长</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3.63</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AD1924" w:rsidRPr="005B7CDB" w:rsidRDefault="00AD1924"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理财债基</w:t>
            </w:r>
          </w:p>
        </w:tc>
        <w:tc>
          <w:tcPr>
            <w:tcW w:w="992" w:type="dxa"/>
            <w:tcBorders>
              <w:left w:val="single" w:sz="6" w:space="0" w:color="FF6600"/>
              <w:right w:val="single" w:sz="6" w:space="0" w:color="FF6600"/>
            </w:tcBorders>
            <w:shd w:val="clear" w:color="auto" w:fill="auto"/>
          </w:tcPr>
          <w:p w:rsidR="00AD192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AD1924" w:rsidRPr="00853693">
              <w:rPr>
                <w:rFonts w:ascii="楷体" w:eastAsia="楷体" w:hAnsi="楷体" w:hint="eastAsia"/>
                <w:color w:val="000000"/>
                <w:sz w:val="18"/>
                <w:szCs w:val="18"/>
              </w:rPr>
              <w:t>611</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长城淘金一年期理财</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0.19</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450001</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国富中国收益</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3.48</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CB0A85" w:rsidP="00853693">
            <w:pPr>
              <w:jc w:val="center"/>
              <w:rPr>
                <w:rFonts w:ascii="楷体" w:eastAsia="楷体" w:hAnsi="楷体" w:cs="宋体"/>
                <w:color w:val="000000"/>
                <w:sz w:val="18"/>
                <w:szCs w:val="18"/>
              </w:rPr>
            </w:pPr>
            <w:r>
              <w:rPr>
                <w:rFonts w:ascii="楷体" w:eastAsia="楷体" w:hAnsi="楷体" w:hint="eastAsia"/>
                <w:color w:val="000000"/>
                <w:sz w:val="18"/>
                <w:szCs w:val="18"/>
              </w:rPr>
              <w:t>0</w:t>
            </w:r>
            <w:r w:rsidR="00AD1924" w:rsidRPr="00853693">
              <w:rPr>
                <w:rFonts w:ascii="楷体" w:eastAsia="楷体" w:hAnsi="楷体" w:hint="eastAsia"/>
                <w:color w:val="000000"/>
                <w:sz w:val="18"/>
                <w:szCs w:val="18"/>
              </w:rPr>
              <w:t>40029</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华安月月鑫B</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0.19</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w:t>
            </w:r>
            <w:r w:rsidR="00AD1924" w:rsidRPr="00853693">
              <w:rPr>
                <w:rFonts w:ascii="楷体" w:eastAsia="楷体" w:hAnsi="楷体" w:hint="eastAsia"/>
                <w:color w:val="000000"/>
                <w:sz w:val="18"/>
                <w:szCs w:val="18"/>
              </w:rPr>
              <w:t>40004</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华安宝利配置</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3.00</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CB0A85" w:rsidP="00853693">
            <w:pPr>
              <w:jc w:val="center"/>
              <w:rPr>
                <w:rFonts w:ascii="楷体" w:eastAsia="楷体" w:hAnsi="楷体" w:cs="宋体"/>
                <w:color w:val="000000"/>
                <w:sz w:val="18"/>
                <w:szCs w:val="18"/>
              </w:rPr>
            </w:pPr>
            <w:r>
              <w:rPr>
                <w:rFonts w:ascii="楷体" w:eastAsia="楷体" w:hAnsi="楷体" w:hint="eastAsia"/>
                <w:color w:val="000000"/>
                <w:sz w:val="18"/>
                <w:szCs w:val="18"/>
              </w:rPr>
              <w:t>0</w:t>
            </w:r>
            <w:r w:rsidR="00AD1924" w:rsidRPr="00853693">
              <w:rPr>
                <w:rFonts w:ascii="楷体" w:eastAsia="楷体" w:hAnsi="楷体" w:hint="eastAsia"/>
                <w:color w:val="000000"/>
                <w:sz w:val="18"/>
                <w:szCs w:val="18"/>
              </w:rPr>
              <w:t>40028</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华安月月鑫A</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0.19</w:t>
            </w:r>
          </w:p>
        </w:tc>
      </w:tr>
      <w:tr w:rsidR="00AD1924" w:rsidRPr="005B7CDB" w:rsidTr="0004528E">
        <w:trPr>
          <w:cantSplit/>
          <w:trHeight w:val="227"/>
        </w:trPr>
        <w:tc>
          <w:tcPr>
            <w:tcW w:w="851" w:type="dxa"/>
            <w:vMerge w:val="restart"/>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混合-</w:t>
            </w:r>
          </w:p>
          <w:p w:rsidR="00AD1924" w:rsidRPr="005B7CDB" w:rsidRDefault="00AD1924" w:rsidP="006E677E">
            <w:pPr>
              <w:snapToGrid w:val="0"/>
              <w:jc w:val="center"/>
              <w:rPr>
                <w:rFonts w:ascii="楷体" w:eastAsia="楷体" w:hAnsi="楷体"/>
                <w:b/>
                <w:sz w:val="18"/>
                <w:szCs w:val="18"/>
              </w:rPr>
            </w:pPr>
            <w:r w:rsidRPr="005B7CDB">
              <w:rPr>
                <w:rFonts w:ascii="楷体" w:eastAsia="楷体" w:hAnsi="楷体" w:hint="eastAsia"/>
                <w:b/>
                <w:bCs/>
                <w:color w:val="000000"/>
                <w:sz w:val="18"/>
                <w:szCs w:val="18"/>
              </w:rPr>
              <w:t>灵活型</w:t>
            </w: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720001</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财通价值动量</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9.21</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AD1924" w:rsidRPr="005B7CDB" w:rsidRDefault="00AD1924"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指数债基</w:t>
            </w: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160721</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嘉实中证中期企业债C</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0.38</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519690</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交银稳健配置混合</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8.45</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160720</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嘉实中证中期企业债A</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0.38</w:t>
            </w:r>
          </w:p>
        </w:tc>
      </w:tr>
      <w:tr w:rsidR="00AD192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AD192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AD1924" w:rsidRPr="00853693">
              <w:rPr>
                <w:rFonts w:ascii="楷体" w:eastAsia="楷体" w:hAnsi="楷体" w:hint="eastAsia"/>
                <w:color w:val="000000"/>
                <w:sz w:val="18"/>
                <w:szCs w:val="18"/>
              </w:rPr>
              <w:t>534</w:t>
            </w:r>
          </w:p>
        </w:tc>
        <w:tc>
          <w:tcPr>
            <w:tcW w:w="2268"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长盛高端装备制造</w:t>
            </w:r>
          </w:p>
        </w:tc>
        <w:tc>
          <w:tcPr>
            <w:tcW w:w="709"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8.44</w:t>
            </w:r>
          </w:p>
        </w:tc>
        <w:tc>
          <w:tcPr>
            <w:tcW w:w="851" w:type="dxa"/>
            <w:vMerge/>
            <w:tcBorders>
              <w:left w:val="single" w:sz="6" w:space="0" w:color="FF6600"/>
              <w:right w:val="single" w:sz="6" w:space="0" w:color="FF6600"/>
            </w:tcBorders>
            <w:shd w:val="clear" w:color="auto" w:fill="FDE9D9" w:themeFill="accent6" w:themeFillTint="33"/>
            <w:vAlign w:val="center"/>
          </w:tcPr>
          <w:p w:rsidR="00AD1924" w:rsidRPr="005B7CDB" w:rsidRDefault="00AD192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167701</w:t>
            </w:r>
          </w:p>
        </w:tc>
        <w:tc>
          <w:tcPr>
            <w:tcW w:w="2126" w:type="dxa"/>
            <w:tcBorders>
              <w:left w:val="single" w:sz="6" w:space="0" w:color="FF6600"/>
              <w:righ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德邦企债分级</w:t>
            </w:r>
          </w:p>
        </w:tc>
        <w:tc>
          <w:tcPr>
            <w:tcW w:w="851" w:type="dxa"/>
            <w:tcBorders>
              <w:left w:val="single" w:sz="6" w:space="0" w:color="FF6600"/>
              <w:right w:val="single" w:sz="6" w:space="0" w:color="FF6600"/>
            </w:tcBorders>
            <w:shd w:val="clear" w:color="auto" w:fill="auto"/>
            <w:vAlign w:val="center"/>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AD1924" w:rsidRPr="00853693" w:rsidRDefault="00AD192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0.00</w:t>
            </w:r>
          </w:p>
        </w:tc>
      </w:tr>
      <w:tr w:rsidR="002B169A" w:rsidRPr="005B7CDB" w:rsidTr="0004528E">
        <w:trPr>
          <w:cantSplit/>
          <w:trHeight w:val="227"/>
        </w:trPr>
        <w:tc>
          <w:tcPr>
            <w:tcW w:w="851" w:type="dxa"/>
            <w:vMerge w:val="restart"/>
            <w:tcBorders>
              <w:right w:val="single" w:sz="6" w:space="0" w:color="FF6600"/>
            </w:tcBorders>
            <w:shd w:val="clear" w:color="auto" w:fill="FDE9D9" w:themeFill="accent6" w:themeFillTint="33"/>
            <w:vAlign w:val="center"/>
          </w:tcPr>
          <w:p w:rsidR="002B169A" w:rsidRPr="002F5B82" w:rsidRDefault="002B169A" w:rsidP="006E677E">
            <w:pPr>
              <w:snapToGrid w:val="0"/>
              <w:jc w:val="center"/>
              <w:rPr>
                <w:rFonts w:ascii="楷体" w:eastAsia="楷体" w:hAnsi="楷体"/>
                <w:b/>
                <w:sz w:val="18"/>
                <w:szCs w:val="18"/>
              </w:rPr>
            </w:pPr>
            <w:r w:rsidRPr="002F5B82">
              <w:rPr>
                <w:rFonts w:ascii="楷体" w:eastAsia="楷体" w:hAnsi="楷体" w:hint="eastAsia"/>
                <w:b/>
                <w:sz w:val="18"/>
                <w:szCs w:val="18"/>
              </w:rPr>
              <w:t>QDII</w:t>
            </w:r>
          </w:p>
        </w:tc>
        <w:tc>
          <w:tcPr>
            <w:tcW w:w="709"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160216</w:t>
            </w:r>
          </w:p>
        </w:tc>
        <w:tc>
          <w:tcPr>
            <w:tcW w:w="2268"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国泰大宗商品</w:t>
            </w:r>
          </w:p>
        </w:tc>
        <w:tc>
          <w:tcPr>
            <w:tcW w:w="709"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8.44</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2B169A" w:rsidRPr="005B7CDB" w:rsidRDefault="002B169A" w:rsidP="006E677E">
            <w:pPr>
              <w:snapToGrid w:val="0"/>
              <w:jc w:val="center"/>
              <w:rPr>
                <w:rFonts w:ascii="楷体" w:eastAsia="楷体" w:hAnsi="楷体"/>
                <w:b/>
                <w:bCs/>
                <w:color w:val="000000"/>
                <w:sz w:val="18"/>
                <w:szCs w:val="18"/>
              </w:rPr>
            </w:pPr>
            <w:r w:rsidRPr="005B7CDB">
              <w:rPr>
                <w:rFonts w:ascii="楷体" w:eastAsia="楷体" w:hAnsi="楷体" w:hint="eastAsia"/>
                <w:b/>
                <w:bCs/>
                <w:color w:val="000000"/>
                <w:sz w:val="18"/>
                <w:szCs w:val="18"/>
              </w:rPr>
              <w:t>债券-</w:t>
            </w:r>
          </w:p>
          <w:p w:rsidR="002B169A" w:rsidRPr="005B7CDB" w:rsidRDefault="002B169A" w:rsidP="006E677E">
            <w:pPr>
              <w:snapToGrid w:val="0"/>
              <w:jc w:val="center"/>
              <w:rPr>
                <w:rFonts w:ascii="楷体" w:eastAsia="楷体" w:hAnsi="楷体" w:cs="宋体"/>
                <w:b/>
                <w:bCs/>
                <w:color w:val="000000"/>
                <w:sz w:val="18"/>
                <w:szCs w:val="18"/>
              </w:rPr>
            </w:pPr>
            <w:r w:rsidRPr="005B7CDB">
              <w:rPr>
                <w:rFonts w:ascii="楷体" w:eastAsia="楷体" w:hAnsi="楷体" w:hint="eastAsia"/>
                <w:b/>
                <w:bCs/>
                <w:color w:val="000000"/>
                <w:sz w:val="18"/>
                <w:szCs w:val="18"/>
              </w:rPr>
              <w:t>可转债基</w:t>
            </w:r>
          </w:p>
        </w:tc>
        <w:tc>
          <w:tcPr>
            <w:tcW w:w="992"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531020</w:t>
            </w:r>
          </w:p>
        </w:tc>
        <w:tc>
          <w:tcPr>
            <w:tcW w:w="2126"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建信转债增强C</w:t>
            </w:r>
          </w:p>
        </w:tc>
        <w:tc>
          <w:tcPr>
            <w:tcW w:w="851"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0.98</w:t>
            </w:r>
          </w:p>
        </w:tc>
      </w:tr>
      <w:tr w:rsidR="002B169A"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2B169A" w:rsidRPr="006E55A6" w:rsidRDefault="002B169A" w:rsidP="006E677E">
            <w:pPr>
              <w:snapToGrid w:val="0"/>
              <w:jc w:val="center"/>
              <w:rPr>
                <w:rFonts w:ascii="楷体" w:eastAsia="楷体" w:hAnsi="楷体"/>
                <w:b/>
                <w:color w:val="FF0000"/>
                <w:sz w:val="18"/>
                <w:szCs w:val="18"/>
              </w:rPr>
            </w:pPr>
          </w:p>
        </w:tc>
        <w:tc>
          <w:tcPr>
            <w:tcW w:w="709"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163208</w:t>
            </w:r>
          </w:p>
        </w:tc>
        <w:tc>
          <w:tcPr>
            <w:tcW w:w="2268"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诺安油气能源</w:t>
            </w:r>
          </w:p>
        </w:tc>
        <w:tc>
          <w:tcPr>
            <w:tcW w:w="709"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3.45</w:t>
            </w:r>
          </w:p>
        </w:tc>
        <w:tc>
          <w:tcPr>
            <w:tcW w:w="851" w:type="dxa"/>
            <w:vMerge/>
            <w:tcBorders>
              <w:left w:val="single" w:sz="6" w:space="0" w:color="FF6600"/>
              <w:right w:val="single" w:sz="6" w:space="0" w:color="FF6600"/>
            </w:tcBorders>
            <w:shd w:val="clear" w:color="auto" w:fill="FDE9D9" w:themeFill="accent6" w:themeFillTint="33"/>
            <w:vAlign w:val="center"/>
          </w:tcPr>
          <w:p w:rsidR="002B169A" w:rsidRPr="005B7CDB" w:rsidRDefault="002B169A"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530020</w:t>
            </w:r>
          </w:p>
        </w:tc>
        <w:tc>
          <w:tcPr>
            <w:tcW w:w="2126"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建信转债增强A</w:t>
            </w:r>
          </w:p>
        </w:tc>
        <w:tc>
          <w:tcPr>
            <w:tcW w:w="851"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0.97</w:t>
            </w:r>
          </w:p>
        </w:tc>
      </w:tr>
      <w:tr w:rsidR="002B169A"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2B169A" w:rsidRPr="006E55A6" w:rsidRDefault="002B169A" w:rsidP="006E677E">
            <w:pPr>
              <w:snapToGrid w:val="0"/>
              <w:jc w:val="center"/>
              <w:rPr>
                <w:rFonts w:ascii="楷体" w:eastAsia="楷体" w:hAnsi="楷体"/>
                <w:b/>
                <w:color w:val="FF0000"/>
                <w:sz w:val="18"/>
                <w:szCs w:val="18"/>
              </w:rPr>
            </w:pPr>
          </w:p>
        </w:tc>
        <w:tc>
          <w:tcPr>
            <w:tcW w:w="709"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162411</w:t>
            </w:r>
          </w:p>
        </w:tc>
        <w:tc>
          <w:tcPr>
            <w:tcW w:w="2268"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华宝兴业标普油气</w:t>
            </w:r>
          </w:p>
        </w:tc>
        <w:tc>
          <w:tcPr>
            <w:tcW w:w="709"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3.43</w:t>
            </w:r>
          </w:p>
        </w:tc>
        <w:tc>
          <w:tcPr>
            <w:tcW w:w="851" w:type="dxa"/>
            <w:vMerge/>
            <w:tcBorders>
              <w:left w:val="single" w:sz="6" w:space="0" w:color="FF6600"/>
              <w:right w:val="single" w:sz="6" w:space="0" w:color="FF6600"/>
            </w:tcBorders>
            <w:shd w:val="clear" w:color="auto" w:fill="FDE9D9" w:themeFill="accent6" w:themeFillTint="33"/>
            <w:vAlign w:val="center"/>
          </w:tcPr>
          <w:p w:rsidR="002B169A" w:rsidRPr="005B7CDB" w:rsidRDefault="002B169A"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tcPr>
          <w:p w:rsidR="002B169A"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2B169A" w:rsidRPr="00853693">
              <w:rPr>
                <w:rFonts w:ascii="楷体" w:eastAsia="楷体" w:hAnsi="楷体" w:hint="eastAsia"/>
                <w:color w:val="000000"/>
                <w:sz w:val="18"/>
                <w:szCs w:val="18"/>
              </w:rPr>
              <w:t>297</w:t>
            </w:r>
          </w:p>
        </w:tc>
        <w:tc>
          <w:tcPr>
            <w:tcW w:w="2126"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鹏华可转债</w:t>
            </w:r>
          </w:p>
        </w:tc>
        <w:tc>
          <w:tcPr>
            <w:tcW w:w="851"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0.68</w:t>
            </w:r>
          </w:p>
        </w:tc>
      </w:tr>
      <w:tr w:rsidR="002B169A" w:rsidRPr="005B7CDB" w:rsidTr="0004528E">
        <w:trPr>
          <w:cantSplit/>
          <w:trHeight w:val="227"/>
        </w:trPr>
        <w:tc>
          <w:tcPr>
            <w:tcW w:w="851" w:type="dxa"/>
            <w:vMerge w:val="restart"/>
            <w:tcBorders>
              <w:right w:val="single" w:sz="6" w:space="0" w:color="FF6600"/>
            </w:tcBorders>
            <w:shd w:val="clear" w:color="auto" w:fill="FDE9D9" w:themeFill="accent6" w:themeFillTint="33"/>
            <w:vAlign w:val="center"/>
          </w:tcPr>
          <w:p w:rsidR="002B169A" w:rsidRPr="005B7CDB" w:rsidRDefault="002B169A" w:rsidP="006E677E">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2B169A" w:rsidRPr="005B7CDB" w:rsidRDefault="002B169A" w:rsidP="006E677E">
            <w:pPr>
              <w:snapToGrid w:val="0"/>
              <w:jc w:val="center"/>
              <w:rPr>
                <w:rFonts w:ascii="楷体" w:eastAsia="楷体" w:hAnsi="楷体"/>
                <w:b/>
                <w:sz w:val="18"/>
                <w:szCs w:val="18"/>
              </w:rPr>
            </w:pPr>
            <w:r w:rsidRPr="005B7CDB">
              <w:rPr>
                <w:rFonts w:ascii="楷体" w:eastAsia="楷体" w:hAnsi="楷体" w:hint="eastAsia"/>
                <w:b/>
                <w:sz w:val="18"/>
                <w:szCs w:val="18"/>
              </w:rPr>
              <w:t>股票稳健</w:t>
            </w:r>
          </w:p>
        </w:tc>
        <w:tc>
          <w:tcPr>
            <w:tcW w:w="709"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150016</w:t>
            </w:r>
          </w:p>
        </w:tc>
        <w:tc>
          <w:tcPr>
            <w:tcW w:w="2268"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兴全合润分级A</w:t>
            </w:r>
          </w:p>
        </w:tc>
        <w:tc>
          <w:tcPr>
            <w:tcW w:w="709"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4.84</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2B169A" w:rsidRPr="00024C7D" w:rsidRDefault="002B169A"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2B169A" w:rsidRPr="00024C7D" w:rsidRDefault="002B169A"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股票积极</w:t>
            </w:r>
          </w:p>
        </w:tc>
        <w:tc>
          <w:tcPr>
            <w:tcW w:w="992"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150193</w:t>
            </w:r>
          </w:p>
        </w:tc>
        <w:tc>
          <w:tcPr>
            <w:tcW w:w="2126"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鹏华中证800地产B</w:t>
            </w:r>
          </w:p>
        </w:tc>
        <w:tc>
          <w:tcPr>
            <w:tcW w:w="851"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10.44</w:t>
            </w:r>
          </w:p>
        </w:tc>
      </w:tr>
      <w:tr w:rsidR="002B169A"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2B169A" w:rsidRPr="005B7CDB" w:rsidRDefault="002B169A"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150008</w:t>
            </w:r>
          </w:p>
        </w:tc>
        <w:tc>
          <w:tcPr>
            <w:tcW w:w="2268"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国投瑞银瑞和小康</w:t>
            </w:r>
          </w:p>
        </w:tc>
        <w:tc>
          <w:tcPr>
            <w:tcW w:w="709"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0.83</w:t>
            </w:r>
          </w:p>
        </w:tc>
        <w:tc>
          <w:tcPr>
            <w:tcW w:w="851" w:type="dxa"/>
            <w:vMerge/>
            <w:tcBorders>
              <w:left w:val="single" w:sz="6" w:space="0" w:color="FF6600"/>
              <w:right w:val="single" w:sz="6" w:space="0" w:color="FF6600"/>
            </w:tcBorders>
            <w:shd w:val="clear" w:color="auto" w:fill="FDE9D9" w:themeFill="accent6" w:themeFillTint="33"/>
            <w:vAlign w:val="center"/>
          </w:tcPr>
          <w:p w:rsidR="002B169A" w:rsidRPr="00024C7D" w:rsidRDefault="002B169A" w:rsidP="006E677E">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150195</w:t>
            </w:r>
          </w:p>
        </w:tc>
        <w:tc>
          <w:tcPr>
            <w:tcW w:w="2126"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富国中证移动互联网B</w:t>
            </w:r>
          </w:p>
        </w:tc>
        <w:tc>
          <w:tcPr>
            <w:tcW w:w="851"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9.36</w:t>
            </w:r>
          </w:p>
        </w:tc>
      </w:tr>
      <w:tr w:rsidR="002B169A"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2B169A" w:rsidRPr="005B7CDB" w:rsidRDefault="002B169A"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150100</w:t>
            </w:r>
          </w:p>
        </w:tc>
        <w:tc>
          <w:tcPr>
            <w:tcW w:w="2268"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鹏华资源A</w:t>
            </w:r>
          </w:p>
        </w:tc>
        <w:tc>
          <w:tcPr>
            <w:tcW w:w="709"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0.20</w:t>
            </w:r>
          </w:p>
        </w:tc>
        <w:tc>
          <w:tcPr>
            <w:tcW w:w="851" w:type="dxa"/>
            <w:vMerge/>
            <w:tcBorders>
              <w:left w:val="single" w:sz="6" w:space="0" w:color="FF6600"/>
              <w:right w:val="single" w:sz="6" w:space="0" w:color="FF6600"/>
            </w:tcBorders>
            <w:shd w:val="clear" w:color="auto" w:fill="FDE9D9" w:themeFill="accent6" w:themeFillTint="33"/>
            <w:vAlign w:val="center"/>
          </w:tcPr>
          <w:p w:rsidR="002B169A" w:rsidRPr="00024C7D" w:rsidRDefault="002B169A" w:rsidP="006E677E">
            <w:pPr>
              <w:snapToGrid w:val="0"/>
              <w:jc w:val="center"/>
              <w:rPr>
                <w:rFonts w:ascii="楷体" w:eastAsia="楷体" w:hAnsi="楷体"/>
                <w:b/>
                <w:color w:val="000000"/>
                <w:sz w:val="18"/>
                <w:szCs w:val="18"/>
              </w:rPr>
            </w:pPr>
          </w:p>
        </w:tc>
        <w:tc>
          <w:tcPr>
            <w:tcW w:w="992"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150185</w:t>
            </w:r>
          </w:p>
        </w:tc>
        <w:tc>
          <w:tcPr>
            <w:tcW w:w="2126"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申万菱信中证环保产业B</w:t>
            </w:r>
          </w:p>
        </w:tc>
        <w:tc>
          <w:tcPr>
            <w:tcW w:w="851"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9.33</w:t>
            </w:r>
          </w:p>
        </w:tc>
      </w:tr>
      <w:tr w:rsidR="002B169A" w:rsidRPr="005B7CDB" w:rsidTr="0004528E">
        <w:trPr>
          <w:cantSplit/>
          <w:trHeight w:val="227"/>
        </w:trPr>
        <w:tc>
          <w:tcPr>
            <w:tcW w:w="851" w:type="dxa"/>
            <w:vMerge w:val="restart"/>
            <w:tcBorders>
              <w:right w:val="single" w:sz="6" w:space="0" w:color="FF6600"/>
            </w:tcBorders>
            <w:shd w:val="clear" w:color="auto" w:fill="FDE9D9" w:themeFill="accent6" w:themeFillTint="33"/>
            <w:vAlign w:val="center"/>
          </w:tcPr>
          <w:p w:rsidR="002B169A" w:rsidRPr="005B7CDB" w:rsidRDefault="002B169A" w:rsidP="006E677E">
            <w:pPr>
              <w:snapToGrid w:val="0"/>
              <w:jc w:val="center"/>
              <w:rPr>
                <w:rFonts w:ascii="楷体" w:eastAsia="楷体" w:hAnsi="楷体"/>
                <w:b/>
                <w:sz w:val="18"/>
                <w:szCs w:val="18"/>
              </w:rPr>
            </w:pPr>
            <w:r w:rsidRPr="005B7CDB">
              <w:rPr>
                <w:rFonts w:ascii="楷体" w:eastAsia="楷体" w:hAnsi="楷体" w:hint="eastAsia"/>
                <w:b/>
                <w:sz w:val="18"/>
                <w:szCs w:val="18"/>
              </w:rPr>
              <w:t>分级基金子份额-</w:t>
            </w:r>
          </w:p>
          <w:p w:rsidR="002B169A" w:rsidRPr="005B7CDB" w:rsidRDefault="002B169A" w:rsidP="006E677E">
            <w:pPr>
              <w:snapToGrid w:val="0"/>
              <w:jc w:val="center"/>
              <w:rPr>
                <w:rFonts w:ascii="楷体" w:eastAsia="楷体" w:hAnsi="楷体"/>
                <w:b/>
                <w:sz w:val="18"/>
                <w:szCs w:val="18"/>
              </w:rPr>
            </w:pPr>
            <w:r w:rsidRPr="005B7CDB">
              <w:rPr>
                <w:rFonts w:ascii="楷体" w:eastAsia="楷体" w:hAnsi="楷体" w:hint="eastAsia"/>
                <w:b/>
                <w:sz w:val="18"/>
                <w:szCs w:val="18"/>
              </w:rPr>
              <w:t>债券稳健</w:t>
            </w:r>
          </w:p>
        </w:tc>
        <w:tc>
          <w:tcPr>
            <w:tcW w:w="709" w:type="dxa"/>
            <w:tcBorders>
              <w:left w:val="single" w:sz="6" w:space="0" w:color="FF6600"/>
              <w:right w:val="single" w:sz="6" w:space="0" w:color="FF6600"/>
            </w:tcBorders>
            <w:shd w:val="clear" w:color="auto" w:fill="auto"/>
          </w:tcPr>
          <w:p w:rsidR="002B169A"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2B169A" w:rsidRPr="00853693">
              <w:rPr>
                <w:rFonts w:ascii="楷体" w:eastAsia="楷体" w:hAnsi="楷体" w:hint="eastAsia"/>
                <w:color w:val="000000"/>
                <w:sz w:val="18"/>
                <w:szCs w:val="18"/>
              </w:rPr>
              <w:t>623</w:t>
            </w:r>
          </w:p>
        </w:tc>
        <w:tc>
          <w:tcPr>
            <w:tcW w:w="2268"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华富恒财分级A</w:t>
            </w:r>
          </w:p>
        </w:tc>
        <w:tc>
          <w:tcPr>
            <w:tcW w:w="709"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0.20</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2B169A" w:rsidRPr="00024C7D" w:rsidRDefault="002B169A"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分级基金子份额-</w:t>
            </w:r>
          </w:p>
          <w:p w:rsidR="002B169A" w:rsidRPr="00024C7D" w:rsidRDefault="002B169A" w:rsidP="006E677E">
            <w:pPr>
              <w:snapToGrid w:val="0"/>
              <w:jc w:val="center"/>
              <w:rPr>
                <w:rFonts w:ascii="楷体" w:eastAsia="楷体" w:hAnsi="楷体"/>
                <w:b/>
                <w:color w:val="000000"/>
                <w:sz w:val="18"/>
                <w:szCs w:val="18"/>
              </w:rPr>
            </w:pPr>
            <w:r w:rsidRPr="00024C7D">
              <w:rPr>
                <w:rFonts w:ascii="楷体" w:eastAsia="楷体" w:hAnsi="楷体" w:hint="eastAsia"/>
                <w:b/>
                <w:color w:val="000000"/>
                <w:sz w:val="18"/>
                <w:szCs w:val="18"/>
              </w:rPr>
              <w:t>债券积极</w:t>
            </w:r>
          </w:p>
        </w:tc>
        <w:tc>
          <w:tcPr>
            <w:tcW w:w="992"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150021</w:t>
            </w:r>
          </w:p>
        </w:tc>
        <w:tc>
          <w:tcPr>
            <w:tcW w:w="2126"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富国汇利回报分级B</w:t>
            </w:r>
          </w:p>
        </w:tc>
        <w:tc>
          <w:tcPr>
            <w:tcW w:w="851"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封闭式</w:t>
            </w:r>
          </w:p>
        </w:tc>
        <w:tc>
          <w:tcPr>
            <w:tcW w:w="850" w:type="dxa"/>
            <w:tcBorders>
              <w:lef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0.61</w:t>
            </w:r>
          </w:p>
        </w:tc>
      </w:tr>
      <w:tr w:rsidR="002B169A"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2B169A" w:rsidRPr="005B7CDB" w:rsidRDefault="002B169A"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2B169A"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2B169A" w:rsidRPr="00853693">
              <w:rPr>
                <w:rFonts w:ascii="楷体" w:eastAsia="楷体" w:hAnsi="楷体" w:hint="eastAsia"/>
                <w:color w:val="000000"/>
                <w:sz w:val="18"/>
                <w:szCs w:val="18"/>
              </w:rPr>
              <w:t>429</w:t>
            </w:r>
          </w:p>
        </w:tc>
        <w:tc>
          <w:tcPr>
            <w:tcW w:w="2268"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易方达聚盈A</w:t>
            </w:r>
          </w:p>
        </w:tc>
        <w:tc>
          <w:tcPr>
            <w:tcW w:w="709"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0.11</w:t>
            </w:r>
          </w:p>
        </w:tc>
        <w:tc>
          <w:tcPr>
            <w:tcW w:w="851" w:type="dxa"/>
            <w:vMerge/>
            <w:tcBorders>
              <w:left w:val="single" w:sz="6" w:space="0" w:color="FF6600"/>
              <w:right w:val="single" w:sz="6" w:space="0" w:color="FF6600"/>
            </w:tcBorders>
            <w:shd w:val="clear" w:color="auto" w:fill="FDE9D9" w:themeFill="accent6" w:themeFillTint="33"/>
            <w:vAlign w:val="center"/>
          </w:tcPr>
          <w:p w:rsidR="002B169A" w:rsidRPr="00797357" w:rsidRDefault="002B169A" w:rsidP="006E677E">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150067</w:t>
            </w:r>
          </w:p>
        </w:tc>
        <w:tc>
          <w:tcPr>
            <w:tcW w:w="2126"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国泰互利B</w:t>
            </w:r>
          </w:p>
        </w:tc>
        <w:tc>
          <w:tcPr>
            <w:tcW w:w="851"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0.51</w:t>
            </w:r>
          </w:p>
        </w:tc>
      </w:tr>
      <w:tr w:rsidR="002B169A"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2B169A" w:rsidRPr="005B7CDB" w:rsidRDefault="002B169A" w:rsidP="006E677E">
            <w:pPr>
              <w:snapToGrid w:val="0"/>
              <w:jc w:val="center"/>
              <w:rPr>
                <w:rFonts w:ascii="楷体" w:eastAsia="楷体" w:hAnsi="楷体"/>
                <w:b/>
                <w:sz w:val="18"/>
                <w:szCs w:val="18"/>
              </w:rPr>
            </w:pPr>
          </w:p>
        </w:tc>
        <w:tc>
          <w:tcPr>
            <w:tcW w:w="709" w:type="dxa"/>
            <w:tcBorders>
              <w:left w:val="single" w:sz="6" w:space="0" w:color="FF6600"/>
              <w:right w:val="single" w:sz="6" w:space="0" w:color="FF6600"/>
            </w:tcBorders>
            <w:shd w:val="clear" w:color="auto" w:fill="auto"/>
          </w:tcPr>
          <w:p w:rsidR="002B169A"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2B169A" w:rsidRPr="00853693">
              <w:rPr>
                <w:rFonts w:ascii="楷体" w:eastAsia="楷体" w:hAnsi="楷体" w:hint="eastAsia"/>
                <w:color w:val="000000"/>
                <w:sz w:val="18"/>
                <w:szCs w:val="18"/>
              </w:rPr>
              <w:t>501</w:t>
            </w:r>
          </w:p>
        </w:tc>
        <w:tc>
          <w:tcPr>
            <w:tcW w:w="2268"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华富恒富A</w:t>
            </w:r>
          </w:p>
        </w:tc>
        <w:tc>
          <w:tcPr>
            <w:tcW w:w="709"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0.10</w:t>
            </w:r>
          </w:p>
        </w:tc>
        <w:tc>
          <w:tcPr>
            <w:tcW w:w="851" w:type="dxa"/>
            <w:vMerge/>
            <w:tcBorders>
              <w:left w:val="single" w:sz="6" w:space="0" w:color="FF6600"/>
              <w:right w:val="single" w:sz="6" w:space="0" w:color="FF6600"/>
            </w:tcBorders>
            <w:shd w:val="clear" w:color="auto" w:fill="FDE9D9" w:themeFill="accent6" w:themeFillTint="33"/>
            <w:vAlign w:val="center"/>
          </w:tcPr>
          <w:p w:rsidR="002B169A" w:rsidRPr="00797357" w:rsidRDefault="002B169A" w:rsidP="006E677E">
            <w:pPr>
              <w:snapToGrid w:val="0"/>
              <w:jc w:val="center"/>
              <w:rPr>
                <w:rFonts w:ascii="楷体" w:eastAsia="楷体" w:hAnsi="楷体"/>
                <w:color w:val="000000"/>
                <w:sz w:val="18"/>
                <w:szCs w:val="18"/>
              </w:rPr>
            </w:pPr>
          </w:p>
        </w:tc>
        <w:tc>
          <w:tcPr>
            <w:tcW w:w="992"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150161</w:t>
            </w:r>
          </w:p>
        </w:tc>
        <w:tc>
          <w:tcPr>
            <w:tcW w:w="2126" w:type="dxa"/>
            <w:tcBorders>
              <w:left w:val="single" w:sz="6" w:space="0" w:color="FF6600"/>
              <w:righ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新华惠鑫分级B</w:t>
            </w:r>
          </w:p>
        </w:tc>
        <w:tc>
          <w:tcPr>
            <w:tcW w:w="851" w:type="dxa"/>
            <w:tcBorders>
              <w:left w:val="single" w:sz="6" w:space="0" w:color="FF6600"/>
              <w:right w:val="single" w:sz="6" w:space="0" w:color="FF6600"/>
            </w:tcBorders>
            <w:shd w:val="clear" w:color="auto" w:fill="auto"/>
            <w:vAlign w:val="center"/>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封闭式</w:t>
            </w:r>
          </w:p>
        </w:tc>
        <w:tc>
          <w:tcPr>
            <w:tcW w:w="850" w:type="dxa"/>
            <w:tcBorders>
              <w:left w:val="single" w:sz="6" w:space="0" w:color="FF6600"/>
            </w:tcBorders>
            <w:shd w:val="clear" w:color="auto" w:fill="auto"/>
          </w:tcPr>
          <w:p w:rsidR="002B169A" w:rsidRPr="00853693" w:rsidRDefault="002B169A"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0.40</w:t>
            </w:r>
          </w:p>
        </w:tc>
      </w:tr>
      <w:tr w:rsidR="00A049F4" w:rsidRPr="005B7CDB" w:rsidTr="0004528E">
        <w:trPr>
          <w:cantSplit/>
          <w:trHeight w:val="227"/>
        </w:trPr>
        <w:tc>
          <w:tcPr>
            <w:tcW w:w="851" w:type="dxa"/>
            <w:vMerge w:val="restart"/>
            <w:tcBorders>
              <w:right w:val="single" w:sz="6" w:space="0" w:color="FF6600"/>
            </w:tcBorders>
            <w:shd w:val="clear" w:color="auto" w:fill="FDE9D9" w:themeFill="accent6" w:themeFillTint="33"/>
            <w:vAlign w:val="center"/>
          </w:tcPr>
          <w:p w:rsidR="00A049F4" w:rsidRPr="001B6D2E" w:rsidRDefault="00A049F4" w:rsidP="006E677E">
            <w:pPr>
              <w:snapToGrid w:val="0"/>
              <w:jc w:val="center"/>
              <w:rPr>
                <w:rFonts w:ascii="楷体" w:eastAsia="楷体" w:hAnsi="楷体"/>
                <w:b/>
                <w:sz w:val="18"/>
                <w:szCs w:val="18"/>
              </w:rPr>
            </w:pPr>
            <w:r w:rsidRPr="001B6D2E">
              <w:rPr>
                <w:rFonts w:ascii="楷体" w:eastAsia="楷体" w:hAnsi="楷体"/>
                <w:b/>
                <w:sz w:val="18"/>
                <w:szCs w:val="18"/>
              </w:rPr>
              <w:t>货币市场</w:t>
            </w:r>
          </w:p>
          <w:p w:rsidR="00A049F4" w:rsidRPr="009E3A78" w:rsidRDefault="00A049F4" w:rsidP="006E677E">
            <w:pPr>
              <w:snapToGrid w:val="0"/>
              <w:jc w:val="center"/>
              <w:rPr>
                <w:rFonts w:ascii="楷体" w:eastAsia="楷体" w:hAnsi="楷体"/>
                <w:b/>
                <w:color w:val="FF0000"/>
                <w:sz w:val="18"/>
                <w:szCs w:val="18"/>
              </w:rPr>
            </w:pPr>
            <w:r w:rsidRPr="001B6D2E">
              <w:rPr>
                <w:rFonts w:ascii="楷体" w:eastAsia="楷体" w:hAnsi="楷体"/>
                <w:b/>
                <w:sz w:val="18"/>
                <w:szCs w:val="18"/>
              </w:rPr>
              <w:t>基金</w:t>
            </w:r>
          </w:p>
        </w:tc>
        <w:tc>
          <w:tcPr>
            <w:tcW w:w="709" w:type="dxa"/>
            <w:tcBorders>
              <w:left w:val="single" w:sz="6" w:space="0" w:color="FF6600"/>
              <w:right w:val="single" w:sz="6" w:space="0" w:color="FF6600"/>
            </w:tcBorders>
            <w:shd w:val="clear" w:color="auto" w:fill="auto"/>
          </w:tcPr>
          <w:p w:rsidR="00A049F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A049F4" w:rsidRPr="00853693">
              <w:rPr>
                <w:rFonts w:ascii="楷体" w:eastAsia="楷体" w:hAnsi="楷体" w:hint="eastAsia"/>
                <w:color w:val="000000"/>
                <w:sz w:val="18"/>
                <w:szCs w:val="18"/>
              </w:rPr>
              <w:t>682</w:t>
            </w:r>
          </w:p>
        </w:tc>
        <w:tc>
          <w:tcPr>
            <w:tcW w:w="2268" w:type="dxa"/>
            <w:tcBorders>
              <w:left w:val="single" w:sz="6" w:space="0" w:color="FF6600"/>
              <w:right w:val="single" w:sz="6" w:space="0" w:color="FF6600"/>
            </w:tcBorders>
            <w:shd w:val="clear" w:color="auto" w:fill="auto"/>
          </w:tcPr>
          <w:p w:rsidR="00A049F4" w:rsidRPr="00853693" w:rsidRDefault="00A049F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信达澳银慧管家C</w:t>
            </w:r>
          </w:p>
        </w:tc>
        <w:tc>
          <w:tcPr>
            <w:tcW w:w="709" w:type="dxa"/>
            <w:tcBorders>
              <w:left w:val="single" w:sz="6" w:space="0" w:color="FF6600"/>
              <w:right w:val="single" w:sz="6" w:space="0" w:color="FF6600"/>
            </w:tcBorders>
            <w:shd w:val="clear" w:color="auto" w:fill="auto"/>
            <w:vAlign w:val="center"/>
          </w:tcPr>
          <w:p w:rsidR="00A049F4" w:rsidRPr="00853693" w:rsidRDefault="00A049F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049F4" w:rsidRPr="00853693" w:rsidRDefault="00A049F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16.58</w:t>
            </w:r>
          </w:p>
        </w:tc>
        <w:tc>
          <w:tcPr>
            <w:tcW w:w="851" w:type="dxa"/>
            <w:vMerge w:val="restart"/>
            <w:tcBorders>
              <w:left w:val="single" w:sz="6" w:space="0" w:color="FF6600"/>
              <w:right w:val="single" w:sz="6" w:space="0" w:color="FF6600"/>
            </w:tcBorders>
            <w:shd w:val="clear" w:color="auto" w:fill="FDE9D9" w:themeFill="accent6" w:themeFillTint="33"/>
            <w:vAlign w:val="center"/>
          </w:tcPr>
          <w:p w:rsidR="00A049F4" w:rsidRPr="007E607C" w:rsidRDefault="00A049F4" w:rsidP="006E677E">
            <w:pPr>
              <w:snapToGrid w:val="0"/>
              <w:jc w:val="center"/>
              <w:rPr>
                <w:rFonts w:ascii="楷体" w:eastAsia="楷体" w:hAnsi="楷体"/>
                <w:b/>
                <w:bCs/>
                <w:color w:val="000000"/>
                <w:sz w:val="18"/>
                <w:szCs w:val="18"/>
              </w:rPr>
            </w:pPr>
          </w:p>
        </w:tc>
        <w:tc>
          <w:tcPr>
            <w:tcW w:w="992" w:type="dxa"/>
            <w:tcBorders>
              <w:left w:val="single" w:sz="6" w:space="0" w:color="FF6600"/>
              <w:right w:val="single" w:sz="6" w:space="0" w:color="FF6600"/>
            </w:tcBorders>
            <w:shd w:val="clear" w:color="auto" w:fill="auto"/>
            <w:vAlign w:val="center"/>
          </w:tcPr>
          <w:p w:rsidR="00A049F4" w:rsidRPr="002C3EF2" w:rsidRDefault="00A049F4" w:rsidP="002C3EF2">
            <w:pPr>
              <w:snapToGrid w:val="0"/>
              <w:jc w:val="center"/>
              <w:rPr>
                <w:rFonts w:ascii="楷体" w:eastAsia="楷体" w:hAnsi="楷体" w:cs="宋体"/>
                <w:color w:val="000000" w:themeColor="text1"/>
                <w:sz w:val="18"/>
                <w:szCs w:val="18"/>
              </w:rPr>
            </w:pPr>
          </w:p>
        </w:tc>
        <w:tc>
          <w:tcPr>
            <w:tcW w:w="2126" w:type="dxa"/>
            <w:tcBorders>
              <w:left w:val="single" w:sz="6" w:space="0" w:color="FF6600"/>
              <w:right w:val="single" w:sz="6" w:space="0" w:color="FF6600"/>
            </w:tcBorders>
            <w:shd w:val="clear" w:color="auto" w:fill="auto"/>
            <w:vAlign w:val="center"/>
          </w:tcPr>
          <w:p w:rsidR="00A049F4" w:rsidRPr="002C3EF2" w:rsidRDefault="00A049F4" w:rsidP="002C3EF2">
            <w:pPr>
              <w:snapToGrid w:val="0"/>
              <w:jc w:val="center"/>
              <w:rPr>
                <w:rFonts w:ascii="楷体" w:eastAsia="楷体" w:hAnsi="楷体" w:cs="宋体"/>
                <w:color w:val="000000" w:themeColor="text1"/>
                <w:sz w:val="18"/>
                <w:szCs w:val="18"/>
              </w:rPr>
            </w:pPr>
          </w:p>
        </w:tc>
        <w:tc>
          <w:tcPr>
            <w:tcW w:w="851" w:type="dxa"/>
            <w:tcBorders>
              <w:left w:val="single" w:sz="6" w:space="0" w:color="FF6600"/>
              <w:right w:val="single" w:sz="6" w:space="0" w:color="FF6600"/>
            </w:tcBorders>
            <w:shd w:val="clear" w:color="auto" w:fill="auto"/>
            <w:vAlign w:val="center"/>
          </w:tcPr>
          <w:p w:rsidR="00A049F4" w:rsidRPr="002C3EF2" w:rsidRDefault="00A049F4" w:rsidP="002C3EF2">
            <w:pPr>
              <w:snapToGrid w:val="0"/>
              <w:jc w:val="center"/>
              <w:rPr>
                <w:rFonts w:ascii="楷体" w:eastAsia="楷体" w:hAnsi="楷体" w:cs="宋体"/>
                <w:color w:val="000000" w:themeColor="text1"/>
                <w:sz w:val="18"/>
                <w:szCs w:val="18"/>
              </w:rPr>
            </w:pPr>
          </w:p>
        </w:tc>
        <w:tc>
          <w:tcPr>
            <w:tcW w:w="850" w:type="dxa"/>
            <w:tcBorders>
              <w:left w:val="single" w:sz="6" w:space="0" w:color="FF6600"/>
            </w:tcBorders>
            <w:shd w:val="clear" w:color="auto" w:fill="auto"/>
            <w:vAlign w:val="center"/>
          </w:tcPr>
          <w:p w:rsidR="00A049F4" w:rsidRPr="002C3EF2" w:rsidRDefault="00A049F4" w:rsidP="002C3EF2">
            <w:pPr>
              <w:snapToGrid w:val="0"/>
              <w:jc w:val="center"/>
              <w:rPr>
                <w:rFonts w:ascii="楷体" w:eastAsia="楷体" w:hAnsi="楷体" w:cs="宋体"/>
                <w:color w:val="000000" w:themeColor="text1"/>
                <w:sz w:val="18"/>
                <w:szCs w:val="18"/>
              </w:rPr>
            </w:pPr>
          </w:p>
        </w:tc>
      </w:tr>
      <w:tr w:rsidR="00A049F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049F4" w:rsidRPr="009E3A78" w:rsidRDefault="00A049F4" w:rsidP="006E677E">
            <w:pPr>
              <w:snapToGrid w:val="0"/>
              <w:jc w:val="center"/>
              <w:rPr>
                <w:rFonts w:ascii="楷体" w:eastAsia="楷体" w:hAnsi="楷体"/>
                <w:b/>
                <w:color w:val="FF0000"/>
                <w:sz w:val="18"/>
                <w:szCs w:val="18"/>
              </w:rPr>
            </w:pPr>
          </w:p>
        </w:tc>
        <w:tc>
          <w:tcPr>
            <w:tcW w:w="709" w:type="dxa"/>
            <w:tcBorders>
              <w:left w:val="single" w:sz="6" w:space="0" w:color="FF6600"/>
              <w:right w:val="single" w:sz="6" w:space="0" w:color="FF6600"/>
            </w:tcBorders>
            <w:shd w:val="clear" w:color="auto" w:fill="auto"/>
          </w:tcPr>
          <w:p w:rsidR="00A049F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A049F4" w:rsidRPr="00853693">
              <w:rPr>
                <w:rFonts w:ascii="楷体" w:eastAsia="楷体" w:hAnsi="楷体" w:hint="eastAsia"/>
                <w:color w:val="000000"/>
                <w:sz w:val="18"/>
                <w:szCs w:val="18"/>
              </w:rPr>
              <w:t>681</w:t>
            </w:r>
          </w:p>
        </w:tc>
        <w:tc>
          <w:tcPr>
            <w:tcW w:w="2268" w:type="dxa"/>
            <w:tcBorders>
              <w:left w:val="single" w:sz="6" w:space="0" w:color="FF6600"/>
              <w:right w:val="single" w:sz="6" w:space="0" w:color="FF6600"/>
            </w:tcBorders>
            <w:shd w:val="clear" w:color="auto" w:fill="auto"/>
          </w:tcPr>
          <w:p w:rsidR="00A049F4" w:rsidRPr="00853693" w:rsidRDefault="00A049F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信达澳银慧管家A</w:t>
            </w:r>
          </w:p>
        </w:tc>
        <w:tc>
          <w:tcPr>
            <w:tcW w:w="709" w:type="dxa"/>
            <w:tcBorders>
              <w:left w:val="single" w:sz="6" w:space="0" w:color="FF6600"/>
              <w:right w:val="single" w:sz="6" w:space="0" w:color="FF6600"/>
            </w:tcBorders>
            <w:shd w:val="clear" w:color="auto" w:fill="auto"/>
            <w:vAlign w:val="center"/>
          </w:tcPr>
          <w:p w:rsidR="00A049F4" w:rsidRPr="00853693" w:rsidRDefault="00A049F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049F4" w:rsidRPr="00853693" w:rsidRDefault="00A049F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16.45</w:t>
            </w:r>
          </w:p>
        </w:tc>
        <w:tc>
          <w:tcPr>
            <w:tcW w:w="851" w:type="dxa"/>
            <w:vMerge/>
            <w:tcBorders>
              <w:left w:val="single" w:sz="6" w:space="0" w:color="FF6600"/>
              <w:right w:val="single" w:sz="6" w:space="0" w:color="FF6600"/>
            </w:tcBorders>
            <w:shd w:val="clear" w:color="auto" w:fill="FDE9D9" w:themeFill="accent6" w:themeFillTint="33"/>
            <w:vAlign w:val="center"/>
          </w:tcPr>
          <w:p w:rsidR="00A049F4" w:rsidRPr="005B7CDB" w:rsidRDefault="00A049F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A049F4" w:rsidRPr="002C3EF2" w:rsidRDefault="00A049F4" w:rsidP="002C3EF2">
            <w:pPr>
              <w:snapToGrid w:val="0"/>
              <w:jc w:val="center"/>
              <w:rPr>
                <w:rFonts w:ascii="楷体" w:eastAsia="楷体" w:hAnsi="楷体"/>
                <w:color w:val="000000" w:themeColor="text1"/>
                <w:sz w:val="18"/>
                <w:szCs w:val="18"/>
              </w:rPr>
            </w:pPr>
          </w:p>
        </w:tc>
        <w:tc>
          <w:tcPr>
            <w:tcW w:w="2126" w:type="dxa"/>
            <w:tcBorders>
              <w:left w:val="single" w:sz="6" w:space="0" w:color="FF6600"/>
              <w:right w:val="single" w:sz="6" w:space="0" w:color="FF6600"/>
            </w:tcBorders>
            <w:shd w:val="clear" w:color="auto" w:fill="auto"/>
            <w:vAlign w:val="center"/>
          </w:tcPr>
          <w:p w:rsidR="00A049F4" w:rsidRPr="002C3EF2" w:rsidRDefault="00A049F4" w:rsidP="002C3EF2">
            <w:pPr>
              <w:snapToGrid w:val="0"/>
              <w:jc w:val="center"/>
              <w:rPr>
                <w:rFonts w:ascii="楷体" w:eastAsia="楷体" w:hAnsi="楷体"/>
                <w:color w:val="000000" w:themeColor="text1"/>
                <w:sz w:val="18"/>
                <w:szCs w:val="18"/>
              </w:rPr>
            </w:pPr>
          </w:p>
        </w:tc>
        <w:tc>
          <w:tcPr>
            <w:tcW w:w="851" w:type="dxa"/>
            <w:tcBorders>
              <w:left w:val="single" w:sz="6" w:space="0" w:color="FF6600"/>
              <w:right w:val="single" w:sz="6" w:space="0" w:color="FF6600"/>
            </w:tcBorders>
            <w:shd w:val="clear" w:color="auto" w:fill="auto"/>
            <w:vAlign w:val="center"/>
          </w:tcPr>
          <w:p w:rsidR="00A049F4" w:rsidRPr="002C3EF2" w:rsidRDefault="00A049F4" w:rsidP="002C3EF2">
            <w:pPr>
              <w:snapToGrid w:val="0"/>
              <w:jc w:val="center"/>
              <w:rPr>
                <w:rFonts w:ascii="楷体" w:eastAsia="楷体" w:hAnsi="楷体"/>
                <w:color w:val="000000" w:themeColor="text1"/>
                <w:sz w:val="18"/>
                <w:szCs w:val="18"/>
              </w:rPr>
            </w:pPr>
          </w:p>
        </w:tc>
        <w:tc>
          <w:tcPr>
            <w:tcW w:w="850" w:type="dxa"/>
            <w:tcBorders>
              <w:left w:val="single" w:sz="6" w:space="0" w:color="FF6600"/>
            </w:tcBorders>
            <w:shd w:val="clear" w:color="auto" w:fill="auto"/>
            <w:vAlign w:val="center"/>
          </w:tcPr>
          <w:p w:rsidR="00A049F4" w:rsidRPr="002C3EF2" w:rsidRDefault="00A049F4" w:rsidP="002C3EF2">
            <w:pPr>
              <w:snapToGrid w:val="0"/>
              <w:jc w:val="center"/>
              <w:rPr>
                <w:rFonts w:ascii="楷体" w:eastAsia="楷体" w:hAnsi="楷体"/>
                <w:color w:val="000000" w:themeColor="text1"/>
                <w:sz w:val="18"/>
                <w:szCs w:val="18"/>
              </w:rPr>
            </w:pPr>
          </w:p>
        </w:tc>
      </w:tr>
      <w:tr w:rsidR="00A049F4" w:rsidRPr="005B7CDB" w:rsidTr="0004528E">
        <w:trPr>
          <w:cantSplit/>
          <w:trHeight w:val="227"/>
        </w:trPr>
        <w:tc>
          <w:tcPr>
            <w:tcW w:w="851" w:type="dxa"/>
            <w:vMerge/>
            <w:tcBorders>
              <w:right w:val="single" w:sz="6" w:space="0" w:color="FF6600"/>
            </w:tcBorders>
            <w:shd w:val="clear" w:color="auto" w:fill="FDE9D9" w:themeFill="accent6" w:themeFillTint="33"/>
            <w:vAlign w:val="center"/>
          </w:tcPr>
          <w:p w:rsidR="00A049F4" w:rsidRPr="009E3A78" w:rsidRDefault="00A049F4" w:rsidP="006E677E">
            <w:pPr>
              <w:snapToGrid w:val="0"/>
              <w:jc w:val="center"/>
              <w:rPr>
                <w:rFonts w:ascii="楷体" w:eastAsia="楷体" w:hAnsi="楷体"/>
                <w:b/>
                <w:color w:val="FF0000"/>
                <w:sz w:val="18"/>
                <w:szCs w:val="18"/>
              </w:rPr>
            </w:pPr>
          </w:p>
        </w:tc>
        <w:tc>
          <w:tcPr>
            <w:tcW w:w="709" w:type="dxa"/>
            <w:tcBorders>
              <w:left w:val="single" w:sz="6" w:space="0" w:color="FF6600"/>
              <w:right w:val="single" w:sz="6" w:space="0" w:color="FF6600"/>
            </w:tcBorders>
            <w:shd w:val="clear" w:color="auto" w:fill="auto"/>
          </w:tcPr>
          <w:p w:rsidR="00A049F4" w:rsidRPr="00853693" w:rsidRDefault="00853693" w:rsidP="00853693">
            <w:pPr>
              <w:jc w:val="center"/>
              <w:rPr>
                <w:rFonts w:ascii="楷体" w:eastAsia="楷体" w:hAnsi="楷体" w:cs="宋体"/>
                <w:color w:val="000000"/>
                <w:sz w:val="18"/>
                <w:szCs w:val="18"/>
              </w:rPr>
            </w:pPr>
            <w:r>
              <w:rPr>
                <w:rFonts w:ascii="楷体" w:eastAsia="楷体" w:hAnsi="楷体" w:hint="eastAsia"/>
                <w:color w:val="000000"/>
                <w:sz w:val="18"/>
                <w:szCs w:val="18"/>
              </w:rPr>
              <w:t>000</w:t>
            </w:r>
            <w:r w:rsidR="00A049F4" w:rsidRPr="00853693">
              <w:rPr>
                <w:rFonts w:ascii="楷体" w:eastAsia="楷体" w:hAnsi="楷体" w:hint="eastAsia"/>
                <w:color w:val="000000"/>
                <w:sz w:val="18"/>
                <w:szCs w:val="18"/>
              </w:rPr>
              <w:t>683</w:t>
            </w:r>
          </w:p>
        </w:tc>
        <w:tc>
          <w:tcPr>
            <w:tcW w:w="2268" w:type="dxa"/>
            <w:tcBorders>
              <w:left w:val="single" w:sz="6" w:space="0" w:color="FF6600"/>
              <w:right w:val="single" w:sz="6" w:space="0" w:color="FF6600"/>
            </w:tcBorders>
            <w:shd w:val="clear" w:color="auto" w:fill="auto"/>
          </w:tcPr>
          <w:p w:rsidR="00A049F4" w:rsidRPr="00853693" w:rsidRDefault="00A049F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信达澳银慧管家E</w:t>
            </w:r>
          </w:p>
        </w:tc>
        <w:tc>
          <w:tcPr>
            <w:tcW w:w="709" w:type="dxa"/>
            <w:tcBorders>
              <w:left w:val="single" w:sz="6" w:space="0" w:color="FF6600"/>
              <w:right w:val="single" w:sz="6" w:space="0" w:color="FF6600"/>
            </w:tcBorders>
            <w:shd w:val="clear" w:color="auto" w:fill="auto"/>
            <w:vAlign w:val="center"/>
          </w:tcPr>
          <w:p w:rsidR="00A049F4" w:rsidRPr="00853693" w:rsidRDefault="00A049F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开放式</w:t>
            </w:r>
          </w:p>
        </w:tc>
        <w:tc>
          <w:tcPr>
            <w:tcW w:w="850" w:type="dxa"/>
            <w:tcBorders>
              <w:left w:val="single" w:sz="6" w:space="0" w:color="FF6600"/>
              <w:right w:val="single" w:sz="6" w:space="0" w:color="FF6600"/>
            </w:tcBorders>
            <w:shd w:val="clear" w:color="auto" w:fill="auto"/>
          </w:tcPr>
          <w:p w:rsidR="00A049F4" w:rsidRPr="00853693" w:rsidRDefault="00A049F4" w:rsidP="00853693">
            <w:pPr>
              <w:jc w:val="center"/>
              <w:rPr>
                <w:rFonts w:ascii="楷体" w:eastAsia="楷体" w:hAnsi="楷体" w:cs="宋体"/>
                <w:color w:val="000000"/>
                <w:sz w:val="18"/>
                <w:szCs w:val="18"/>
              </w:rPr>
            </w:pPr>
            <w:r w:rsidRPr="00853693">
              <w:rPr>
                <w:rFonts w:ascii="楷体" w:eastAsia="楷体" w:hAnsi="楷体" w:hint="eastAsia"/>
                <w:color w:val="000000"/>
                <w:sz w:val="18"/>
                <w:szCs w:val="18"/>
              </w:rPr>
              <w:t>16.14</w:t>
            </w:r>
          </w:p>
        </w:tc>
        <w:tc>
          <w:tcPr>
            <w:tcW w:w="851" w:type="dxa"/>
            <w:vMerge/>
            <w:tcBorders>
              <w:left w:val="single" w:sz="6" w:space="0" w:color="FF6600"/>
              <w:right w:val="single" w:sz="6" w:space="0" w:color="FF6600"/>
            </w:tcBorders>
            <w:shd w:val="clear" w:color="auto" w:fill="FDE9D9" w:themeFill="accent6" w:themeFillTint="33"/>
            <w:vAlign w:val="center"/>
          </w:tcPr>
          <w:p w:rsidR="00A049F4" w:rsidRPr="005B7CDB" w:rsidRDefault="00A049F4" w:rsidP="006E677E">
            <w:pPr>
              <w:snapToGrid w:val="0"/>
              <w:jc w:val="center"/>
              <w:rPr>
                <w:rFonts w:ascii="楷体" w:eastAsia="楷体" w:hAnsi="楷体"/>
                <w:b/>
                <w:sz w:val="18"/>
                <w:szCs w:val="18"/>
              </w:rPr>
            </w:pPr>
          </w:p>
        </w:tc>
        <w:tc>
          <w:tcPr>
            <w:tcW w:w="992" w:type="dxa"/>
            <w:tcBorders>
              <w:left w:val="single" w:sz="6" w:space="0" w:color="FF6600"/>
              <w:right w:val="single" w:sz="6" w:space="0" w:color="FF6600"/>
            </w:tcBorders>
            <w:shd w:val="clear" w:color="auto" w:fill="auto"/>
            <w:vAlign w:val="center"/>
          </w:tcPr>
          <w:p w:rsidR="00A049F4" w:rsidRPr="002C3EF2" w:rsidRDefault="00A049F4" w:rsidP="002C3EF2">
            <w:pPr>
              <w:snapToGrid w:val="0"/>
              <w:jc w:val="center"/>
              <w:rPr>
                <w:rFonts w:ascii="楷体" w:eastAsia="楷体" w:hAnsi="楷体"/>
                <w:color w:val="000000" w:themeColor="text1"/>
                <w:sz w:val="18"/>
                <w:szCs w:val="18"/>
              </w:rPr>
            </w:pPr>
          </w:p>
        </w:tc>
        <w:tc>
          <w:tcPr>
            <w:tcW w:w="2126" w:type="dxa"/>
            <w:tcBorders>
              <w:left w:val="single" w:sz="6" w:space="0" w:color="FF6600"/>
              <w:right w:val="single" w:sz="6" w:space="0" w:color="FF6600"/>
            </w:tcBorders>
            <w:shd w:val="clear" w:color="auto" w:fill="auto"/>
            <w:vAlign w:val="center"/>
          </w:tcPr>
          <w:p w:rsidR="00A049F4" w:rsidRPr="002C3EF2" w:rsidRDefault="00A049F4" w:rsidP="002C3EF2">
            <w:pPr>
              <w:snapToGrid w:val="0"/>
              <w:jc w:val="center"/>
              <w:rPr>
                <w:rFonts w:ascii="楷体" w:eastAsia="楷体" w:hAnsi="楷体"/>
                <w:color w:val="000000" w:themeColor="text1"/>
                <w:sz w:val="18"/>
                <w:szCs w:val="18"/>
              </w:rPr>
            </w:pPr>
          </w:p>
        </w:tc>
        <w:tc>
          <w:tcPr>
            <w:tcW w:w="851" w:type="dxa"/>
            <w:tcBorders>
              <w:left w:val="single" w:sz="6" w:space="0" w:color="FF6600"/>
              <w:right w:val="single" w:sz="6" w:space="0" w:color="FF6600"/>
            </w:tcBorders>
            <w:shd w:val="clear" w:color="auto" w:fill="auto"/>
            <w:vAlign w:val="center"/>
          </w:tcPr>
          <w:p w:rsidR="00A049F4" w:rsidRPr="002C3EF2" w:rsidRDefault="00A049F4" w:rsidP="002C3EF2">
            <w:pPr>
              <w:snapToGrid w:val="0"/>
              <w:jc w:val="center"/>
              <w:rPr>
                <w:rFonts w:ascii="楷体" w:eastAsia="楷体" w:hAnsi="楷体"/>
                <w:color w:val="000000" w:themeColor="text1"/>
                <w:sz w:val="18"/>
                <w:szCs w:val="18"/>
              </w:rPr>
            </w:pPr>
          </w:p>
        </w:tc>
        <w:tc>
          <w:tcPr>
            <w:tcW w:w="850" w:type="dxa"/>
            <w:tcBorders>
              <w:left w:val="single" w:sz="6" w:space="0" w:color="FF6600"/>
            </w:tcBorders>
            <w:shd w:val="clear" w:color="auto" w:fill="auto"/>
            <w:vAlign w:val="center"/>
          </w:tcPr>
          <w:p w:rsidR="00A049F4" w:rsidRPr="002C3EF2" w:rsidRDefault="00A049F4" w:rsidP="002C3EF2">
            <w:pPr>
              <w:snapToGrid w:val="0"/>
              <w:jc w:val="center"/>
              <w:rPr>
                <w:rFonts w:ascii="楷体" w:eastAsia="楷体" w:hAnsi="楷体"/>
                <w:color w:val="000000" w:themeColor="text1"/>
                <w:sz w:val="18"/>
                <w:szCs w:val="18"/>
              </w:rPr>
            </w:pPr>
          </w:p>
        </w:tc>
      </w:tr>
    </w:tbl>
    <w:p w:rsidR="00290AF6" w:rsidRPr="00F33C6E" w:rsidRDefault="008177CF" w:rsidP="00F33C6E">
      <w:pPr>
        <w:pStyle w:val="FootnoteNoline"/>
        <w:ind w:left="0"/>
        <w:rPr>
          <w:rFonts w:ascii="楷体" w:eastAsia="楷体" w:hAnsi="楷体"/>
          <w:color w:val="FF6600"/>
          <w:lang w:val="en-US"/>
        </w:rPr>
      </w:pPr>
      <w:r w:rsidRPr="005B7CDB">
        <w:rPr>
          <w:rFonts w:ascii="楷体" w:eastAsia="楷体" w:hAnsi="楷体" w:hint="eastAsia"/>
          <w:color w:val="FF6600"/>
          <w:lang w:val="en-US"/>
        </w:rPr>
        <w:t>来源：凯石财富工场</w:t>
      </w: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F535CF" w:rsidRDefault="00F535CF" w:rsidP="009F0008">
      <w:pPr>
        <w:widowControl/>
        <w:jc w:val="left"/>
        <w:rPr>
          <w:rFonts w:ascii="楷体" w:eastAsia="楷体" w:hAnsi="楷体" w:cs="宋体" w:hint="eastAsia"/>
          <w:b/>
          <w:kern w:val="0"/>
          <w:szCs w:val="20"/>
          <w:lang w:val="en-GB"/>
        </w:rPr>
      </w:pPr>
    </w:p>
    <w:p w:rsidR="00B10000" w:rsidRPr="005B7CDB" w:rsidRDefault="00B10000" w:rsidP="009F0008">
      <w:pPr>
        <w:widowControl/>
        <w:jc w:val="left"/>
        <w:rPr>
          <w:rFonts w:ascii="楷体" w:eastAsia="楷体" w:hAnsi="楷体"/>
          <w:b/>
          <w:szCs w:val="21"/>
        </w:rPr>
      </w:pPr>
      <w:r w:rsidRPr="005B7CDB">
        <w:rPr>
          <w:rFonts w:ascii="楷体" w:eastAsia="楷体" w:hAnsi="楷体" w:cs="宋体" w:hint="eastAsia"/>
          <w:b/>
          <w:kern w:val="0"/>
          <w:szCs w:val="20"/>
          <w:lang w:val="en-GB"/>
        </w:rPr>
        <w:lastRenderedPageBreak/>
        <w:t>特别声明：</w:t>
      </w:r>
    </w:p>
    <w:p w:rsidR="00B10000" w:rsidRPr="005B7CDB" w:rsidRDefault="00B10000" w:rsidP="00F535CF">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中的所有内容版权均属上海凯石财富投资管理有限公司（以下简称“本公司”），未经本公司事先书面授权，不得以任何方式修改、发送或者复制本报告及其所包含的材料、内容。所有本报告中使用的商标、服务标记及标记均为本公司的商标、服务标记及标记。如欲引用或转载本文内容，务必联络本公司研究中心并获得许可，并需注明出处为上海凯石财富投资有限公司研究中心，且不得对本文进行任何有悖原意的引用和删改。</w:t>
      </w:r>
    </w:p>
    <w:p w:rsidR="00B10000" w:rsidRPr="005B7CDB" w:rsidRDefault="00B10000" w:rsidP="00F535CF">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是基于已公开信息撰写，其所载资料的来源及观点的出处均被本公司认为可靠，但本公司不保证其准确性或完整性。本报告所载的资料、意见及推测反映本公司于最初发布此报告日期当日的判断，其所指的基金或者其他理财产品的价格、价值及投资收入可能会波动，在不同时期，本公司可发出与本报告所载资料、意见及推测不一致的报告。</w:t>
      </w:r>
    </w:p>
    <w:p w:rsidR="00B10000" w:rsidRPr="005B7CDB" w:rsidRDefault="00B10000" w:rsidP="00F535CF">
      <w:pPr>
        <w:pStyle w:val="aa"/>
        <w:spacing w:beforeLines="50" w:after="312"/>
        <w:rPr>
          <w:rFonts w:ascii="楷体" w:eastAsia="楷体" w:hAnsi="楷体"/>
          <w:kern w:val="0"/>
          <w:sz w:val="21"/>
          <w:szCs w:val="20"/>
          <w:lang w:val="en-GB"/>
        </w:rPr>
      </w:pPr>
      <w:r w:rsidRPr="005B7CDB">
        <w:rPr>
          <w:rFonts w:ascii="楷体" w:eastAsia="楷体" w:hAnsi="楷体" w:hint="eastAsia"/>
          <w:kern w:val="0"/>
          <w:sz w:val="21"/>
          <w:szCs w:val="20"/>
          <w:lang w:val="en-GB"/>
        </w:rPr>
        <w:t>本报告所载的除法律或规则规定必须承担的责任外，本公司不对因使用此报告的材料而引致的损失负任何责任。本报告不构成私人咨询建议，也没有考虑到个别客户特殊的投资目标、财务状况或需要。本报告所载的资料、工具、意见及推测只提供给客户做参考之用，并未作为或被是为出售或购买其他投资标的邀请或向他人做出邀请。</w:t>
      </w:r>
    </w:p>
    <w:p w:rsidR="00B10000" w:rsidRPr="005B7CDB" w:rsidRDefault="00B10000">
      <w:pPr>
        <w:rPr>
          <w:rFonts w:ascii="楷体" w:eastAsia="楷体" w:hAnsi="楷体"/>
          <w:lang w:val="en-GB"/>
        </w:rPr>
      </w:pPr>
    </w:p>
    <w:sectPr w:rsidR="00B10000" w:rsidRPr="005B7CDB" w:rsidSect="00D4319D">
      <w:headerReference w:type="default" r:id="rId12"/>
      <w:footerReference w:type="default" r:id="rId13"/>
      <w:headerReference w:type="first" r:id="rId14"/>
      <w:footerReference w:type="first" r:id="rId15"/>
      <w:pgSz w:w="11906" w:h="16838"/>
      <w:pgMar w:top="1440" w:right="624" w:bottom="1440" w:left="624" w:header="850" w:footer="283"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E8E" w:rsidRDefault="003E0E8E" w:rsidP="00B10000">
      <w:r>
        <w:separator/>
      </w:r>
    </w:p>
  </w:endnote>
  <w:endnote w:type="continuationSeparator" w:id="1">
    <w:p w:rsidR="003E0E8E" w:rsidRDefault="003E0E8E" w:rsidP="00B1000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onotype Sorts">
    <w:altName w:val="Courier New"/>
    <w:panose1 w:val="00000000000000000000"/>
    <w:charset w:val="02"/>
    <w:family w:val="auto"/>
    <w:notTrueType/>
    <w:pitch w:val="variable"/>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华文楷体">
    <w:panose1 w:val="02010600040101010101"/>
    <w:charset w:val="86"/>
    <w:family w:val="auto"/>
    <w:pitch w:val="variable"/>
    <w:sig w:usb0="00000287" w:usb1="080F0000" w:usb2="00000010" w:usb3="00000000" w:csb0="0004009F" w:csb1="00000000"/>
  </w:font>
  <w:font w:name="华文新魏">
    <w:panose1 w:val="02010800040101010101"/>
    <w:charset w:val="86"/>
    <w:family w:val="auto"/>
    <w:pitch w:val="variable"/>
    <w:sig w:usb0="00000001" w:usb1="080F0000" w:usb2="00000010" w:usb3="00000000" w:csb0="00040000" w:csb1="00000000"/>
  </w:font>
  <w:font w:name="华文隶书">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AFF" w:usb1="C0007843" w:usb2="00000009" w:usb3="00000000" w:csb0="000001FF" w:csb1="00000000"/>
  </w:font>
  <w:font w:name="LucidaSans">
    <w:altName w:val="Times New Roman"/>
    <w:panose1 w:val="00000000000000000000"/>
    <w:charset w:val="00"/>
    <w:family w:val="auto"/>
    <w:notTrueType/>
    <w:pitch w:val="variable"/>
    <w:sig w:usb0="00000003" w:usb1="00000000" w:usb2="00000000" w:usb3="00000000" w:csb0="00000001" w:csb1="00000000"/>
  </w:font>
  <w:font w:name="KaiTi_GB2312">
    <w:altName w:val="MS Gothic"/>
    <w:panose1 w:val="02010609060101010101"/>
    <w:charset w:val="00"/>
    <w:family w:val="roman"/>
    <w:notTrueType/>
    <w:pitch w:val="default"/>
    <w:sig w:usb0="00000000" w:usb1="00000000" w:usb2="00000000" w:usb3="00000000" w:csb0="0000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1" w:rsidRDefault="008B17A3">
    <w:pPr>
      <w:pStyle w:val="a4"/>
      <w:jc w:val="center"/>
    </w:pPr>
    <w:r>
      <w:pict>
        <v:rect id="_x0000_i1027" style="width:571.2pt;height:2pt" o:hralign="center" o:hrstd="t" o:hrnoshade="t" o:hr="t" fillcolor="#e7a631" stroked="f"/>
      </w:pict>
    </w:r>
    <w:sdt>
      <w:sdtPr>
        <w:id w:val="31118581"/>
        <w:docPartObj>
          <w:docPartGallery w:val="Page Numbers (Bottom of Page)"/>
          <w:docPartUnique/>
        </w:docPartObj>
      </w:sdtPr>
      <w:sdtContent>
        <w:sdt>
          <w:sdtPr>
            <w:id w:val="31118580"/>
            <w:docPartObj>
              <w:docPartGallery w:val="Page Numbers (Top of Page)"/>
              <w:docPartUnique/>
            </w:docPartObj>
          </w:sdtPr>
          <w:sdtContent>
            <w:r w:rsidR="008316C1">
              <w:rPr>
                <w:lang w:val="zh-CN"/>
              </w:rPr>
              <w:t xml:space="preserve"> </w:t>
            </w:r>
            <w:r>
              <w:rPr>
                <w:b/>
                <w:sz w:val="24"/>
                <w:szCs w:val="24"/>
              </w:rPr>
              <w:fldChar w:fldCharType="begin"/>
            </w:r>
            <w:r w:rsidR="008316C1">
              <w:rPr>
                <w:b/>
              </w:rPr>
              <w:instrText>PAGE</w:instrText>
            </w:r>
            <w:r>
              <w:rPr>
                <w:b/>
                <w:sz w:val="24"/>
                <w:szCs w:val="24"/>
              </w:rPr>
              <w:fldChar w:fldCharType="separate"/>
            </w:r>
            <w:r w:rsidR="00311769">
              <w:rPr>
                <w:b/>
                <w:noProof/>
              </w:rPr>
              <w:t>3</w:t>
            </w:r>
            <w:r>
              <w:rPr>
                <w:b/>
                <w:sz w:val="24"/>
                <w:szCs w:val="24"/>
              </w:rPr>
              <w:fldChar w:fldCharType="end"/>
            </w:r>
            <w:r w:rsidR="008316C1">
              <w:rPr>
                <w:lang w:val="zh-CN"/>
              </w:rPr>
              <w:t xml:space="preserve"> / </w:t>
            </w:r>
            <w:r>
              <w:rPr>
                <w:b/>
                <w:sz w:val="24"/>
                <w:szCs w:val="24"/>
              </w:rPr>
              <w:fldChar w:fldCharType="begin"/>
            </w:r>
            <w:r w:rsidR="008316C1">
              <w:rPr>
                <w:b/>
              </w:rPr>
              <w:instrText>NUMPAGES</w:instrText>
            </w:r>
            <w:r>
              <w:rPr>
                <w:b/>
                <w:sz w:val="24"/>
                <w:szCs w:val="24"/>
              </w:rPr>
              <w:fldChar w:fldCharType="separate"/>
            </w:r>
            <w:r w:rsidR="00311769">
              <w:rPr>
                <w:b/>
                <w:noProof/>
              </w:rPr>
              <w:t>6</w:t>
            </w:r>
            <w:r>
              <w:rPr>
                <w:b/>
                <w:sz w:val="24"/>
                <w:szCs w:val="24"/>
              </w:rPr>
              <w:fldChar w:fldCharType="end"/>
            </w:r>
          </w:sdtContent>
        </w:sdt>
      </w:sdtContent>
    </w:sdt>
  </w:p>
  <w:p w:rsidR="008316C1" w:rsidRDefault="008316C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8579"/>
      <w:docPartObj>
        <w:docPartGallery w:val="Page Numbers (Bottom of Page)"/>
        <w:docPartUnique/>
      </w:docPartObj>
    </w:sdtPr>
    <w:sdtContent>
      <w:sdt>
        <w:sdtPr>
          <w:id w:val="171357217"/>
          <w:docPartObj>
            <w:docPartGallery w:val="Page Numbers (Top of Page)"/>
            <w:docPartUnique/>
          </w:docPartObj>
        </w:sdtPr>
        <w:sdtContent>
          <w:p w:rsidR="008316C1" w:rsidRDefault="008B17A3">
            <w:pPr>
              <w:pStyle w:val="a4"/>
              <w:jc w:val="center"/>
            </w:pPr>
            <w:r>
              <w:pict>
                <v:rect id="_x0000_i1029" style="width:571.2pt;height:2pt" o:hralign="center" o:hrstd="t" o:hrnoshade="t" o:hr="t" fillcolor="#e7a631" stroked="f"/>
              </w:pict>
            </w:r>
            <w:r w:rsidR="008316C1">
              <w:rPr>
                <w:lang w:val="zh-CN"/>
              </w:rPr>
              <w:t xml:space="preserve"> </w:t>
            </w:r>
            <w:r>
              <w:rPr>
                <w:b/>
                <w:sz w:val="24"/>
                <w:szCs w:val="24"/>
              </w:rPr>
              <w:fldChar w:fldCharType="begin"/>
            </w:r>
            <w:r w:rsidR="008316C1">
              <w:rPr>
                <w:b/>
              </w:rPr>
              <w:instrText>PAGE</w:instrText>
            </w:r>
            <w:r>
              <w:rPr>
                <w:b/>
                <w:sz w:val="24"/>
                <w:szCs w:val="24"/>
              </w:rPr>
              <w:fldChar w:fldCharType="separate"/>
            </w:r>
            <w:r w:rsidR="00F535CF">
              <w:rPr>
                <w:b/>
                <w:noProof/>
              </w:rPr>
              <w:t>1</w:t>
            </w:r>
            <w:r>
              <w:rPr>
                <w:b/>
                <w:sz w:val="24"/>
                <w:szCs w:val="24"/>
              </w:rPr>
              <w:fldChar w:fldCharType="end"/>
            </w:r>
            <w:r w:rsidR="008316C1">
              <w:rPr>
                <w:lang w:val="zh-CN"/>
              </w:rPr>
              <w:t xml:space="preserve"> / </w:t>
            </w:r>
            <w:r>
              <w:rPr>
                <w:b/>
                <w:sz w:val="24"/>
                <w:szCs w:val="24"/>
              </w:rPr>
              <w:fldChar w:fldCharType="begin"/>
            </w:r>
            <w:r w:rsidR="008316C1">
              <w:rPr>
                <w:b/>
              </w:rPr>
              <w:instrText>NUMPAGES</w:instrText>
            </w:r>
            <w:r>
              <w:rPr>
                <w:b/>
                <w:sz w:val="24"/>
                <w:szCs w:val="24"/>
              </w:rPr>
              <w:fldChar w:fldCharType="separate"/>
            </w:r>
            <w:r w:rsidR="00F535CF">
              <w:rPr>
                <w:b/>
                <w:noProof/>
              </w:rPr>
              <w:t>5</w:t>
            </w:r>
            <w:r>
              <w:rPr>
                <w:b/>
                <w:sz w:val="24"/>
                <w:szCs w:val="24"/>
              </w:rPr>
              <w:fldChar w:fldCharType="end"/>
            </w:r>
          </w:p>
        </w:sdtContent>
      </w:sdt>
    </w:sdtContent>
  </w:sdt>
  <w:p w:rsidR="008316C1" w:rsidRDefault="008316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E8E" w:rsidRDefault="003E0E8E" w:rsidP="00B10000">
      <w:r>
        <w:separator/>
      </w:r>
    </w:p>
  </w:footnote>
  <w:footnote w:type="continuationSeparator" w:id="1">
    <w:p w:rsidR="003E0E8E" w:rsidRDefault="003E0E8E" w:rsidP="00B100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1" w:rsidRDefault="008B17A3" w:rsidP="00B10000">
    <w:pPr>
      <w:pStyle w:val="a3"/>
      <w:pBdr>
        <w:bottom w:val="none" w:sz="0" w:space="0" w:color="auto"/>
      </w:pBdr>
    </w:pPr>
    <w:r>
      <w:rPr>
        <w:noProof/>
      </w:rPr>
      <w:pict>
        <v:group id="_x0000_s1034" style="position:absolute;left:0;text-align:left;margin-left:5.2pt;margin-top:-32.25pt;width:531.2pt;height:37.5pt;z-index:251658240" coordorigin="728,206" coordsize="10624,750">
          <v:shapetype id="_x0000_t202" coordsize="21600,21600" o:spt="202" path="m,l,21600r21600,l21600,xe">
            <v:stroke joinstyle="miter"/>
            <v:path gradientshapeok="t" o:connecttype="rect"/>
          </v:shapetype>
          <v:shape id="_x0000_s1035" type="#_x0000_t202" style="position:absolute;left:728;top:206;width:1336;height:724;mso-width-relative:margin;mso-height-relative:margin" strokecolor="white">
            <v:textbox style="mso-next-textbox:#_x0000_s1035">
              <w:txbxContent>
                <w:p w:rsidR="008316C1" w:rsidRDefault="008B17A3" w:rsidP="00B10000">
                  <w:pPr>
                    <w:pStyle w:val="12"/>
                  </w:pPr>
                  <w:r w:rsidRPr="008B17A3">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凯石工2.jpg" style="width:45pt;height:31.5pt;visibility:visible">
                        <v:imagedata r:id="rId1" o:title="凯石工2"/>
                      </v:shape>
                    </w:pict>
                  </w:r>
                </w:p>
              </w:txbxContent>
            </v:textbox>
          </v:shape>
          <v:shape id="_x0000_s1036" type="#_x0000_t202" style="position:absolute;left:5999;top:542;width:5353;height:414;mso-width-relative:margin;mso-height-relative:margin" strokecolor="white">
            <v:textbox style="mso-next-textbox:#_x0000_s1036">
              <w:txbxContent>
                <w:p w:rsidR="008316C1" w:rsidRPr="006E0F3C" w:rsidRDefault="008316C1" w:rsidP="00B10000">
                  <w:pPr>
                    <w:pStyle w:val="2"/>
                  </w:pPr>
                  <w:r>
                    <w:rPr>
                      <w:rFonts w:hint="eastAsia"/>
                    </w:rPr>
                    <w:t>公募基金周报（</w:t>
                  </w:r>
                  <w:r w:rsidR="00F535CF">
                    <w:rPr>
                      <w:rFonts w:hint="eastAsia"/>
                    </w:rPr>
                    <w:t>2015.3.23~2015.3.27</w:t>
                  </w:r>
                  <w:r>
                    <w:rPr>
                      <w:rFonts w:hint="eastAsia"/>
                    </w:rPr>
                    <w:t>）</w:t>
                  </w:r>
                </w:p>
              </w:txbxContent>
            </v:textbox>
          </v:shape>
        </v:group>
      </w:pict>
    </w:r>
    <w:r>
      <w:pict>
        <v:rect id="_x0000_i1026" style="width:571.2pt;height:2pt" o:hralign="center" o:hrstd="t" o:hrnoshade="t" o:hr="t" fillcolor="#e7a631"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6C1" w:rsidRDefault="008B17A3" w:rsidP="00F535CF">
    <w:pPr>
      <w:pStyle w:val="a3"/>
      <w:pBdr>
        <w:bottom w:val="none" w:sz="0" w:space="0" w:color="auto"/>
      </w:pBdr>
      <w:spacing w:afterLines="100"/>
    </w:pPr>
    <w:r>
      <w:pict>
        <v:group id="_x0000_s1025" style="width:532.6pt;height:143.7pt;mso-position-horizontal-relative:char;mso-position-vertical-relative:line" coordorigin="652,331" coordsize="10652,2874">
          <v:shapetype id="_x0000_t202" coordsize="21600,21600" o:spt="202" path="m,l,21600r21600,l21600,xe">
            <v:stroke joinstyle="miter"/>
            <v:path gradientshapeok="t" o:connecttype="rect"/>
          </v:shapetype>
          <v:shape id="_x0000_s1026" type="#_x0000_t202" style="position:absolute;left:652;top:331;width:3664;height:2430;mso-width-relative:margin;mso-height-relative:margin" strokecolor="white">
            <v:textbox style="mso-next-textbox:#_x0000_s1026">
              <w:txbxContent>
                <w:p w:rsidR="008316C1" w:rsidRDefault="00F535CF" w:rsidP="00B10000">
                  <w:pPr>
                    <w:pStyle w:val="a6"/>
                  </w:pPr>
                  <w:r w:rsidRPr="008B17A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i1031" type="#_x0000_t75" alt="凯石工2.jpg" style="width:125.25pt;height:117.75pt;visibility:visible">
                        <v:imagedata r:id="rId1" o:title="凯石工2"/>
                      </v:shape>
                    </w:pict>
                  </w:r>
                </w:p>
              </w:txbxContent>
            </v:textbox>
          </v:shape>
          <v:shape id="_x0000_s1027" type="#_x0000_t202" style="position:absolute;left:881;top:2578;width:2325;height:390" strokecolor="white">
            <v:textbox style="mso-next-textbox:#_x0000_s1027">
              <w:txbxContent>
                <w:p w:rsidR="008316C1" w:rsidRPr="006E0F3C" w:rsidRDefault="008316C1" w:rsidP="008840A4">
                  <w:pPr>
                    <w:pStyle w:val="a5"/>
                    <w:spacing w:after="240"/>
                  </w:pPr>
                  <w:r w:rsidRPr="006E0F3C">
                    <w:rPr>
                      <w:rFonts w:hint="eastAsia"/>
                    </w:rPr>
                    <w:t>凯石工场研究报告</w:t>
                  </w:r>
                </w:p>
              </w:txbxContent>
            </v:textbox>
          </v:shape>
          <v:shape id="_x0000_s1028" type="#_x0000_t202" style="position:absolute;left:8740;top:609;width:2441;height:475;mso-height-percent:200;mso-height-percent:200;mso-width-relative:margin;mso-height-relative:margin" strokecolor="white">
            <v:textbox style="mso-next-textbox:#_x0000_s1028;mso-fit-shape-to-text:t">
              <w:txbxContent>
                <w:p w:rsidR="008316C1" w:rsidRPr="006E0F3C" w:rsidRDefault="008316C1" w:rsidP="00B10000">
                  <w:pPr>
                    <w:pStyle w:val="a7"/>
                    <w:jc w:val="right"/>
                  </w:pPr>
                  <w:r>
                    <w:rPr>
                      <w:rFonts w:hint="eastAsia"/>
                    </w:rPr>
                    <w:t>2015</w:t>
                  </w:r>
                  <w:r w:rsidRPr="006E0F3C">
                    <w:rPr>
                      <w:rFonts w:hint="eastAsia"/>
                    </w:rPr>
                    <w:t>年</w:t>
                  </w:r>
                  <w:r>
                    <w:rPr>
                      <w:rFonts w:hint="eastAsia"/>
                    </w:rPr>
                    <w:t>3</w:t>
                  </w:r>
                  <w:r w:rsidRPr="006E0F3C">
                    <w:rPr>
                      <w:rFonts w:hint="eastAsia"/>
                    </w:rPr>
                    <w:t>月</w:t>
                  </w:r>
                  <w:r>
                    <w:rPr>
                      <w:rFonts w:hint="eastAsia"/>
                    </w:rPr>
                    <w:t>30</w:t>
                  </w:r>
                  <w:r w:rsidRPr="006E0F3C">
                    <w:rPr>
                      <w:rFonts w:hint="eastAsia"/>
                    </w:rPr>
                    <w:t>日</w:t>
                  </w:r>
                </w:p>
              </w:txbxContent>
            </v:textbox>
          </v:shape>
          <v:shape id="_x0000_s1029" type="#_x0000_t202" style="position:absolute;left:3214;top:1377;width:8090;height:1001;mso-height-percent:200;mso-height-percent:200;mso-width-relative:margin;mso-height-relative:margin" strokecolor="white">
            <v:textbox style="mso-next-textbox:#_x0000_s1029;mso-fit-shape-to-text:t">
              <w:txbxContent>
                <w:p w:rsidR="008316C1" w:rsidRPr="00667F84" w:rsidRDefault="00653697" w:rsidP="005B21A9">
                  <w:pPr>
                    <w:pStyle w:val="a8"/>
                    <w:ind w:right="360"/>
                    <w:jc w:val="right"/>
                  </w:pPr>
                  <w:r>
                    <w:rPr>
                      <w:rFonts w:hint="eastAsia"/>
                    </w:rPr>
                    <w:t>权益基金涨幅收缩，固收基金业绩回调</w:t>
                  </w:r>
                </w:p>
                <w:p w:rsidR="008316C1" w:rsidRPr="00624366" w:rsidRDefault="008316C1" w:rsidP="00B10000">
                  <w:pPr>
                    <w:pStyle w:val="a8"/>
                    <w:jc w:val="right"/>
                    <w:rPr>
                      <w:sz w:val="28"/>
                      <w:szCs w:val="28"/>
                    </w:rPr>
                  </w:pPr>
                  <w:r w:rsidRPr="0095202C">
                    <w:rPr>
                      <w:rFonts w:hint="eastAsia"/>
                      <w:sz w:val="28"/>
                      <w:szCs w:val="28"/>
                    </w:rPr>
                    <w:t>公募基金周报（</w:t>
                  </w:r>
                  <w:r>
                    <w:rPr>
                      <w:rFonts w:hint="eastAsia"/>
                      <w:sz w:val="28"/>
                      <w:szCs w:val="28"/>
                    </w:rPr>
                    <w:t>2015.3.23</w:t>
                  </w:r>
                  <w:r w:rsidRPr="0095202C">
                    <w:rPr>
                      <w:rFonts w:hint="eastAsia"/>
                      <w:sz w:val="28"/>
                      <w:szCs w:val="28"/>
                    </w:rPr>
                    <w:t>~</w:t>
                  </w:r>
                  <w:r>
                    <w:rPr>
                      <w:rFonts w:hint="eastAsia"/>
                      <w:sz w:val="28"/>
                      <w:szCs w:val="28"/>
                    </w:rPr>
                    <w:t>2015.3.27</w:t>
                  </w:r>
                  <w:r w:rsidRPr="0095202C">
                    <w:rPr>
                      <w:rFonts w:hint="eastAsia"/>
                      <w:sz w:val="28"/>
                      <w:szCs w:val="28"/>
                    </w:rPr>
                    <w:t>）</w:t>
                  </w:r>
                </w:p>
              </w:txbxContent>
            </v:textbox>
          </v:shape>
          <v:shape id="_x0000_s1030" type="#_x0000_t202" style="position:absolute;left:3246;top:2578;width:7993;height:627" strokecolor="white">
            <v:textbox style="mso-next-textbox:#_x0000_s1030">
              <w:txbxContent>
                <w:p w:rsidR="008316C1" w:rsidRDefault="008316C1" w:rsidP="005E42B1">
                  <w:pPr>
                    <w:pStyle w:val="a9"/>
                    <w:wordWrap w:val="0"/>
                    <w:ind w:right="420"/>
                  </w:pPr>
                  <w:r>
                    <w:rPr>
                      <w:rFonts w:hint="eastAsia"/>
                    </w:rPr>
                    <w:t>万晓微  分析师</w:t>
                  </w:r>
                </w:p>
                <w:p w:rsidR="008316C1" w:rsidRPr="006E0F3C" w:rsidRDefault="008316C1" w:rsidP="005E42B1">
                  <w:pPr>
                    <w:pStyle w:val="a9"/>
                  </w:pPr>
                </w:p>
              </w:txbxContent>
            </v:textbox>
          </v:shape>
          <w10:wrap type="none"/>
          <w10:anchorlock/>
        </v:group>
      </w:pict>
    </w:r>
    <w:r>
      <w:pict>
        <v:rect id="_x0000_i1028" style="width:571.2pt;height:2pt" o:hralign="center" o:hrstd="t" o:hrnoshade="t" o:hr="t" fillcolor="#e7a631" stroked="f"/>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1.25pt" o:bullet="t">
        <v:imagedata r:id="rId1" o:title="BD10335_"/>
      </v:shape>
    </w:pict>
  </w:numPicBullet>
  <w:abstractNum w:abstractNumId="0">
    <w:nsid w:val="08014C42"/>
    <w:multiLevelType w:val="singleLevel"/>
    <w:tmpl w:val="B4861D4C"/>
    <w:lvl w:ilvl="0">
      <w:start w:val="1"/>
      <w:numFmt w:val="bullet"/>
      <w:pStyle w:val="CoverBullet"/>
      <w:lvlText w:val=""/>
      <w:lvlJc w:val="left"/>
      <w:pPr>
        <w:tabs>
          <w:tab w:val="num" w:pos="360"/>
        </w:tabs>
        <w:ind w:left="360" w:hanging="360"/>
      </w:pPr>
      <w:rPr>
        <w:rFonts w:ascii="Wingdings" w:hAnsi="Wingdings" w:cs="Times New Roman" w:hint="default"/>
        <w:color w:val="FF0000"/>
        <w:sz w:val="20"/>
        <w:szCs w:val="20"/>
      </w:rPr>
    </w:lvl>
  </w:abstractNum>
  <w:abstractNum w:abstractNumId="1">
    <w:nsid w:val="10E71F9D"/>
    <w:multiLevelType w:val="hybridMultilevel"/>
    <w:tmpl w:val="FF3C5942"/>
    <w:lvl w:ilvl="0" w:tplc="0409000B">
      <w:start w:val="1"/>
      <w:numFmt w:val="bullet"/>
      <w:lvlText w:val=""/>
      <w:lvlJc w:val="left"/>
      <w:pPr>
        <w:ind w:left="4248" w:hanging="420"/>
      </w:pPr>
      <w:rPr>
        <w:rFonts w:ascii="Wingdings" w:hAnsi="Wingdings" w:hint="default"/>
      </w:rPr>
    </w:lvl>
    <w:lvl w:ilvl="1" w:tplc="04090003" w:tentative="1">
      <w:start w:val="1"/>
      <w:numFmt w:val="bullet"/>
      <w:lvlText w:val=""/>
      <w:lvlJc w:val="left"/>
      <w:pPr>
        <w:ind w:left="4668" w:hanging="420"/>
      </w:pPr>
      <w:rPr>
        <w:rFonts w:ascii="Wingdings" w:hAnsi="Wingdings" w:hint="default"/>
      </w:rPr>
    </w:lvl>
    <w:lvl w:ilvl="2" w:tplc="04090005" w:tentative="1">
      <w:start w:val="1"/>
      <w:numFmt w:val="bullet"/>
      <w:lvlText w:val=""/>
      <w:lvlJc w:val="left"/>
      <w:pPr>
        <w:ind w:left="5088" w:hanging="420"/>
      </w:pPr>
      <w:rPr>
        <w:rFonts w:ascii="Wingdings" w:hAnsi="Wingdings" w:hint="default"/>
      </w:rPr>
    </w:lvl>
    <w:lvl w:ilvl="3" w:tplc="04090001" w:tentative="1">
      <w:start w:val="1"/>
      <w:numFmt w:val="bullet"/>
      <w:lvlText w:val=""/>
      <w:lvlJc w:val="left"/>
      <w:pPr>
        <w:ind w:left="5508" w:hanging="420"/>
      </w:pPr>
      <w:rPr>
        <w:rFonts w:ascii="Wingdings" w:hAnsi="Wingdings" w:hint="default"/>
      </w:rPr>
    </w:lvl>
    <w:lvl w:ilvl="4" w:tplc="04090003" w:tentative="1">
      <w:start w:val="1"/>
      <w:numFmt w:val="bullet"/>
      <w:lvlText w:val=""/>
      <w:lvlJc w:val="left"/>
      <w:pPr>
        <w:ind w:left="5928" w:hanging="420"/>
      </w:pPr>
      <w:rPr>
        <w:rFonts w:ascii="Wingdings" w:hAnsi="Wingdings" w:hint="default"/>
      </w:rPr>
    </w:lvl>
    <w:lvl w:ilvl="5" w:tplc="04090005" w:tentative="1">
      <w:start w:val="1"/>
      <w:numFmt w:val="bullet"/>
      <w:lvlText w:val=""/>
      <w:lvlJc w:val="left"/>
      <w:pPr>
        <w:ind w:left="6348" w:hanging="420"/>
      </w:pPr>
      <w:rPr>
        <w:rFonts w:ascii="Wingdings" w:hAnsi="Wingdings" w:hint="default"/>
      </w:rPr>
    </w:lvl>
    <w:lvl w:ilvl="6" w:tplc="04090001" w:tentative="1">
      <w:start w:val="1"/>
      <w:numFmt w:val="bullet"/>
      <w:lvlText w:val=""/>
      <w:lvlJc w:val="left"/>
      <w:pPr>
        <w:ind w:left="6768" w:hanging="420"/>
      </w:pPr>
      <w:rPr>
        <w:rFonts w:ascii="Wingdings" w:hAnsi="Wingdings" w:hint="default"/>
      </w:rPr>
    </w:lvl>
    <w:lvl w:ilvl="7" w:tplc="04090003" w:tentative="1">
      <w:start w:val="1"/>
      <w:numFmt w:val="bullet"/>
      <w:lvlText w:val=""/>
      <w:lvlJc w:val="left"/>
      <w:pPr>
        <w:ind w:left="7188" w:hanging="420"/>
      </w:pPr>
      <w:rPr>
        <w:rFonts w:ascii="Wingdings" w:hAnsi="Wingdings" w:hint="default"/>
      </w:rPr>
    </w:lvl>
    <w:lvl w:ilvl="8" w:tplc="04090005" w:tentative="1">
      <w:start w:val="1"/>
      <w:numFmt w:val="bullet"/>
      <w:lvlText w:val=""/>
      <w:lvlJc w:val="left"/>
      <w:pPr>
        <w:ind w:left="7608" w:hanging="420"/>
      </w:pPr>
      <w:rPr>
        <w:rFonts w:ascii="Wingdings" w:hAnsi="Wingdings" w:hint="default"/>
      </w:rPr>
    </w:lvl>
  </w:abstractNum>
  <w:abstractNum w:abstractNumId="2">
    <w:nsid w:val="492C6DD3"/>
    <w:multiLevelType w:val="hybridMultilevel"/>
    <w:tmpl w:val="6EAE99B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B0CACDC8">
      <w:start w:val="1"/>
      <w:numFmt w:val="bullet"/>
      <w:lvlText w:val=""/>
      <w:lvlJc w:val="left"/>
      <w:pPr>
        <w:tabs>
          <w:tab w:val="num" w:pos="4106"/>
        </w:tabs>
        <w:ind w:left="4106" w:hanging="420"/>
      </w:pPr>
      <w:rPr>
        <w:rFonts w:ascii="Wingdings" w:hAnsi="Wingdings" w:hint="default"/>
        <w:sz w:val="15"/>
        <w:szCs w:val="15"/>
      </w:rPr>
    </w:lvl>
    <w:lvl w:ilvl="3" w:tplc="04090001">
      <w:start w:val="1"/>
      <w:numFmt w:val="bullet"/>
      <w:lvlText w:val=""/>
      <w:lvlJc w:val="left"/>
      <w:pPr>
        <w:tabs>
          <w:tab w:val="num" w:pos="5082"/>
        </w:tabs>
        <w:ind w:left="5082" w:hanging="420"/>
      </w:pPr>
      <w:rPr>
        <w:rFonts w:ascii="Wingdings" w:hAnsi="Wingdings" w:hint="default"/>
      </w:rPr>
    </w:lvl>
    <w:lvl w:ilvl="4" w:tplc="AC7CA5DC">
      <w:start w:val="1"/>
      <w:numFmt w:val="bullet"/>
      <w:lvlText w:val=""/>
      <w:lvlJc w:val="left"/>
      <w:pPr>
        <w:tabs>
          <w:tab w:val="num" w:pos="3799"/>
        </w:tabs>
        <w:ind w:left="3799" w:hanging="369"/>
      </w:pPr>
      <w:rPr>
        <w:rFonts w:ascii="Wingdings" w:eastAsia="楷体_GB2312" w:hAnsi="Wingdings" w:hint="default"/>
        <w:b w:val="0"/>
        <w:i w:val="0"/>
        <w:color w:val="auto"/>
        <w:sz w:val="18"/>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3">
    <w:nsid w:val="49A16DB4"/>
    <w:multiLevelType w:val="hybridMultilevel"/>
    <w:tmpl w:val="4E9C4D18"/>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15407DAC">
      <w:start w:val="1"/>
      <w:numFmt w:val="bullet"/>
      <w:lvlText w:val=""/>
      <w:lvlJc w:val="left"/>
      <w:pPr>
        <w:tabs>
          <w:tab w:val="num" w:pos="3799"/>
        </w:tabs>
        <w:ind w:left="3799" w:hanging="369"/>
      </w:pPr>
      <w:rPr>
        <w:rFonts w:ascii="Wingdings" w:hAnsi="Wingdings" w:hint="default"/>
        <w:b w:val="0"/>
        <w:i w:val="0"/>
        <w:color w:val="auto"/>
        <w:sz w:val="18"/>
        <w:lang w:val="en-GB"/>
      </w:rPr>
    </w:lvl>
    <w:lvl w:ilvl="5" w:tplc="04090005">
      <w:start w:val="1"/>
      <w:numFmt w:val="bullet"/>
      <w:lvlText w:val=""/>
      <w:lvlJc w:val="left"/>
      <w:pPr>
        <w:tabs>
          <w:tab w:val="num" w:pos="5922"/>
        </w:tabs>
        <w:ind w:left="5922" w:hanging="420"/>
      </w:pPr>
      <w:rPr>
        <w:rFonts w:ascii="Wingdings" w:hAnsi="Wingdings" w:hint="default"/>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4">
    <w:nsid w:val="5E8271C1"/>
    <w:multiLevelType w:val="hybridMultilevel"/>
    <w:tmpl w:val="6B68E90C"/>
    <w:lvl w:ilvl="0" w:tplc="A1E68908">
      <w:start w:val="1"/>
      <w:numFmt w:val="bullet"/>
      <w:lvlText w:val=""/>
      <w:lvlJc w:val="left"/>
      <w:pPr>
        <w:tabs>
          <w:tab w:val="num" w:pos="4329"/>
        </w:tabs>
        <w:ind w:left="3969" w:firstLine="0"/>
      </w:pPr>
      <w:rPr>
        <w:rFonts w:hint="default"/>
        <w:b w:val="0"/>
        <w:i w:val="0"/>
        <w:color w:val="000565"/>
        <w:sz w:val="18"/>
      </w:rPr>
    </w:lvl>
    <w:lvl w:ilvl="1" w:tplc="04090003">
      <w:start w:val="1"/>
      <w:numFmt w:val="bullet"/>
      <w:lvlText w:val=""/>
      <w:lvlJc w:val="left"/>
      <w:pPr>
        <w:tabs>
          <w:tab w:val="num" w:pos="4242"/>
        </w:tabs>
        <w:ind w:left="4242" w:hanging="420"/>
      </w:pPr>
      <w:rPr>
        <w:rFonts w:ascii="Wingdings" w:hAnsi="Wingdings" w:hint="default"/>
      </w:rPr>
    </w:lvl>
    <w:lvl w:ilvl="2" w:tplc="04090005">
      <w:start w:val="1"/>
      <w:numFmt w:val="bullet"/>
      <w:lvlText w:val=""/>
      <w:lvlJc w:val="left"/>
      <w:pPr>
        <w:tabs>
          <w:tab w:val="num" w:pos="4662"/>
        </w:tabs>
        <w:ind w:left="4662" w:hanging="420"/>
      </w:pPr>
      <w:rPr>
        <w:rFonts w:ascii="Wingdings" w:hAnsi="Wingdings" w:hint="default"/>
      </w:rPr>
    </w:lvl>
    <w:lvl w:ilvl="3" w:tplc="04090001">
      <w:start w:val="1"/>
      <w:numFmt w:val="bullet"/>
      <w:lvlText w:val=""/>
      <w:lvlJc w:val="left"/>
      <w:pPr>
        <w:tabs>
          <w:tab w:val="num" w:pos="5082"/>
        </w:tabs>
        <w:ind w:left="5082" w:hanging="420"/>
      </w:pPr>
      <w:rPr>
        <w:rFonts w:ascii="Wingdings" w:hAnsi="Wingdings" w:hint="default"/>
      </w:rPr>
    </w:lvl>
    <w:lvl w:ilvl="4" w:tplc="31DAFFE0">
      <w:start w:val="1"/>
      <w:numFmt w:val="bullet"/>
      <w:lvlText w:val=""/>
      <w:lvlJc w:val="left"/>
      <w:pPr>
        <w:tabs>
          <w:tab w:val="num" w:pos="3649"/>
        </w:tabs>
        <w:ind w:left="3289" w:firstLine="0"/>
      </w:pPr>
      <w:rPr>
        <w:rFonts w:ascii="Wingdings" w:eastAsia="宋体" w:hAnsi="Wingdings" w:hint="default"/>
        <w:b w:val="0"/>
        <w:i w:val="0"/>
        <w:color w:val="000565"/>
        <w:sz w:val="18"/>
      </w:rPr>
    </w:lvl>
    <w:lvl w:ilvl="5" w:tplc="DDC8F30C">
      <w:start w:val="1"/>
      <w:numFmt w:val="bullet"/>
      <w:lvlText w:val=""/>
      <w:lvlJc w:val="left"/>
      <w:pPr>
        <w:tabs>
          <w:tab w:val="num" w:pos="4139"/>
        </w:tabs>
        <w:ind w:left="4139" w:hanging="368"/>
      </w:pPr>
      <w:rPr>
        <w:rFonts w:ascii="Wingdings 2" w:eastAsia="楷体_GB2312" w:hAnsi="Wingdings 2" w:hint="default"/>
        <w:b w:val="0"/>
        <w:i w:val="0"/>
        <w:sz w:val="18"/>
      </w:rPr>
    </w:lvl>
    <w:lvl w:ilvl="6" w:tplc="04090001" w:tentative="1">
      <w:start w:val="1"/>
      <w:numFmt w:val="bullet"/>
      <w:lvlText w:val=""/>
      <w:lvlJc w:val="left"/>
      <w:pPr>
        <w:tabs>
          <w:tab w:val="num" w:pos="6342"/>
        </w:tabs>
        <w:ind w:left="6342" w:hanging="420"/>
      </w:pPr>
      <w:rPr>
        <w:rFonts w:ascii="Wingdings" w:hAnsi="Wingdings" w:hint="default"/>
      </w:rPr>
    </w:lvl>
    <w:lvl w:ilvl="7" w:tplc="04090003" w:tentative="1">
      <w:start w:val="1"/>
      <w:numFmt w:val="bullet"/>
      <w:lvlText w:val=""/>
      <w:lvlJc w:val="left"/>
      <w:pPr>
        <w:tabs>
          <w:tab w:val="num" w:pos="6762"/>
        </w:tabs>
        <w:ind w:left="6762" w:hanging="420"/>
      </w:pPr>
      <w:rPr>
        <w:rFonts w:ascii="Wingdings" w:hAnsi="Wingdings" w:hint="default"/>
      </w:rPr>
    </w:lvl>
    <w:lvl w:ilvl="8" w:tplc="04090005" w:tentative="1">
      <w:start w:val="1"/>
      <w:numFmt w:val="bullet"/>
      <w:lvlText w:val=""/>
      <w:lvlJc w:val="left"/>
      <w:pPr>
        <w:tabs>
          <w:tab w:val="num" w:pos="7182"/>
        </w:tabs>
        <w:ind w:left="7182" w:hanging="420"/>
      </w:pPr>
      <w:rPr>
        <w:rFonts w:ascii="Wingdings" w:hAnsi="Wingdings" w:hint="default"/>
      </w:rPr>
    </w:lvl>
  </w:abstractNum>
  <w:abstractNum w:abstractNumId="5">
    <w:nsid w:val="66145FDE"/>
    <w:multiLevelType w:val="singleLevel"/>
    <w:tmpl w:val="918C41C0"/>
    <w:lvl w:ilvl="0">
      <w:start w:val="1"/>
      <w:numFmt w:val="bullet"/>
      <w:pStyle w:val="BulletCoverpage"/>
      <w:lvlText w:val=""/>
      <w:lvlJc w:val="left"/>
      <w:pPr>
        <w:tabs>
          <w:tab w:val="num" w:pos="0"/>
        </w:tabs>
        <w:ind w:left="227" w:hanging="227"/>
      </w:pPr>
      <w:rPr>
        <w:rFonts w:ascii="Monotype Sorts" w:hAnsi="Monotype Sorts" w:cs="Times New Roman" w:hint="default"/>
        <w:color w:val="FF0000"/>
        <w:sz w:val="16"/>
        <w:szCs w:val="16"/>
      </w:rPr>
    </w:lvl>
  </w:abstractNum>
  <w:abstractNum w:abstractNumId="6">
    <w:nsid w:val="7DB2660F"/>
    <w:multiLevelType w:val="hybridMultilevel"/>
    <w:tmpl w:val="20BAD2A2"/>
    <w:lvl w:ilvl="0" w:tplc="74927076">
      <w:start w:val="1"/>
      <w:numFmt w:val="bullet"/>
      <w:pStyle w:val="1"/>
      <w:lvlText w:val=""/>
      <w:lvlPicBulletId w:val="0"/>
      <w:lvlJc w:val="left"/>
      <w:pPr>
        <w:ind w:left="1620" w:hanging="420"/>
      </w:pPr>
      <w:rPr>
        <w:rFonts w:ascii="Symbol" w:hAnsi="Symbol" w:hint="default"/>
        <w:color w:val="auto"/>
      </w:rPr>
    </w:lvl>
    <w:lvl w:ilvl="1" w:tplc="04090003" w:tentative="1">
      <w:start w:val="1"/>
      <w:numFmt w:val="bullet"/>
      <w:lvlText w:val=""/>
      <w:lvlJc w:val="left"/>
      <w:pPr>
        <w:ind w:left="2040" w:hanging="420"/>
      </w:pPr>
      <w:rPr>
        <w:rFonts w:ascii="Wingdings" w:hAnsi="Wingdings" w:hint="default"/>
      </w:rPr>
    </w:lvl>
    <w:lvl w:ilvl="2" w:tplc="04090005"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3" w:tentative="1">
      <w:start w:val="1"/>
      <w:numFmt w:val="bullet"/>
      <w:lvlText w:val=""/>
      <w:lvlJc w:val="left"/>
      <w:pPr>
        <w:ind w:left="3300" w:hanging="420"/>
      </w:pPr>
      <w:rPr>
        <w:rFonts w:ascii="Wingdings" w:hAnsi="Wingdings" w:hint="default"/>
      </w:rPr>
    </w:lvl>
    <w:lvl w:ilvl="5" w:tplc="04090005"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3" w:tentative="1">
      <w:start w:val="1"/>
      <w:numFmt w:val="bullet"/>
      <w:lvlText w:val=""/>
      <w:lvlJc w:val="left"/>
      <w:pPr>
        <w:ind w:left="4560" w:hanging="420"/>
      </w:pPr>
      <w:rPr>
        <w:rFonts w:ascii="Wingdings" w:hAnsi="Wingdings" w:hint="default"/>
      </w:rPr>
    </w:lvl>
    <w:lvl w:ilvl="8" w:tplc="04090005" w:tentative="1">
      <w:start w:val="1"/>
      <w:numFmt w:val="bullet"/>
      <w:lvlText w:val=""/>
      <w:lvlJc w:val="left"/>
      <w:pPr>
        <w:ind w:left="4980" w:hanging="420"/>
      </w:pPr>
      <w:rPr>
        <w:rFonts w:ascii="Wingdings" w:hAnsi="Wingdings" w:hint="default"/>
      </w:rPr>
    </w:lvl>
  </w:abstractNum>
  <w:num w:numId="1">
    <w:abstractNumId w:val="2"/>
  </w:num>
  <w:num w:numId="2">
    <w:abstractNumId w:val="4"/>
  </w:num>
  <w:num w:numId="3">
    <w:abstractNumId w:val="0"/>
  </w:num>
  <w:num w:numId="4">
    <w:abstractNumId w:val="5"/>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4883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10000"/>
    <w:rsid w:val="00000141"/>
    <w:rsid w:val="00000D21"/>
    <w:rsid w:val="00000FDF"/>
    <w:rsid w:val="0000120D"/>
    <w:rsid w:val="00001D3E"/>
    <w:rsid w:val="00003645"/>
    <w:rsid w:val="00003664"/>
    <w:rsid w:val="000036D0"/>
    <w:rsid w:val="00004350"/>
    <w:rsid w:val="00004760"/>
    <w:rsid w:val="00004B15"/>
    <w:rsid w:val="00004B2E"/>
    <w:rsid w:val="00006269"/>
    <w:rsid w:val="00006540"/>
    <w:rsid w:val="000067F9"/>
    <w:rsid w:val="000067FB"/>
    <w:rsid w:val="00006C3E"/>
    <w:rsid w:val="000072D5"/>
    <w:rsid w:val="00007D8C"/>
    <w:rsid w:val="00007DC6"/>
    <w:rsid w:val="0001039A"/>
    <w:rsid w:val="00010847"/>
    <w:rsid w:val="00011851"/>
    <w:rsid w:val="000119BE"/>
    <w:rsid w:val="000126C4"/>
    <w:rsid w:val="00012FFF"/>
    <w:rsid w:val="0001365A"/>
    <w:rsid w:val="00013790"/>
    <w:rsid w:val="00013DD8"/>
    <w:rsid w:val="000143E6"/>
    <w:rsid w:val="00014C9A"/>
    <w:rsid w:val="00015264"/>
    <w:rsid w:val="00015E23"/>
    <w:rsid w:val="0001604D"/>
    <w:rsid w:val="000162FF"/>
    <w:rsid w:val="00016396"/>
    <w:rsid w:val="00016427"/>
    <w:rsid w:val="00017E07"/>
    <w:rsid w:val="000200E4"/>
    <w:rsid w:val="0002010B"/>
    <w:rsid w:val="000204F2"/>
    <w:rsid w:val="000212A0"/>
    <w:rsid w:val="000215CD"/>
    <w:rsid w:val="0002164B"/>
    <w:rsid w:val="000219A1"/>
    <w:rsid w:val="000225B4"/>
    <w:rsid w:val="00022866"/>
    <w:rsid w:val="0002383C"/>
    <w:rsid w:val="00024188"/>
    <w:rsid w:val="00024600"/>
    <w:rsid w:val="00024C7D"/>
    <w:rsid w:val="00026FF9"/>
    <w:rsid w:val="000305DC"/>
    <w:rsid w:val="0003071D"/>
    <w:rsid w:val="0003081C"/>
    <w:rsid w:val="00031276"/>
    <w:rsid w:val="00031D69"/>
    <w:rsid w:val="00032745"/>
    <w:rsid w:val="0003311F"/>
    <w:rsid w:val="000341C3"/>
    <w:rsid w:val="00034C20"/>
    <w:rsid w:val="00036038"/>
    <w:rsid w:val="00036353"/>
    <w:rsid w:val="0003669C"/>
    <w:rsid w:val="00036AB5"/>
    <w:rsid w:val="00036BCD"/>
    <w:rsid w:val="00037343"/>
    <w:rsid w:val="000374F2"/>
    <w:rsid w:val="000374FE"/>
    <w:rsid w:val="00037BAF"/>
    <w:rsid w:val="00042A77"/>
    <w:rsid w:val="0004333F"/>
    <w:rsid w:val="00043D8D"/>
    <w:rsid w:val="00043FC9"/>
    <w:rsid w:val="00044179"/>
    <w:rsid w:val="00044255"/>
    <w:rsid w:val="000444A9"/>
    <w:rsid w:val="0004528E"/>
    <w:rsid w:val="000461F6"/>
    <w:rsid w:val="0004751A"/>
    <w:rsid w:val="00047523"/>
    <w:rsid w:val="00047EDC"/>
    <w:rsid w:val="000507E5"/>
    <w:rsid w:val="00050B8B"/>
    <w:rsid w:val="00050E4C"/>
    <w:rsid w:val="0005101C"/>
    <w:rsid w:val="000516B7"/>
    <w:rsid w:val="00051900"/>
    <w:rsid w:val="000522ED"/>
    <w:rsid w:val="0005299A"/>
    <w:rsid w:val="00053681"/>
    <w:rsid w:val="00053854"/>
    <w:rsid w:val="00053D78"/>
    <w:rsid w:val="00056D77"/>
    <w:rsid w:val="00057142"/>
    <w:rsid w:val="00057AD8"/>
    <w:rsid w:val="00057DFC"/>
    <w:rsid w:val="00060376"/>
    <w:rsid w:val="00060829"/>
    <w:rsid w:val="00061069"/>
    <w:rsid w:val="000612CD"/>
    <w:rsid w:val="00061632"/>
    <w:rsid w:val="000621C7"/>
    <w:rsid w:val="0006243F"/>
    <w:rsid w:val="00062830"/>
    <w:rsid w:val="00062965"/>
    <w:rsid w:val="000630A2"/>
    <w:rsid w:val="0006401B"/>
    <w:rsid w:val="00064DAE"/>
    <w:rsid w:val="00064E08"/>
    <w:rsid w:val="00066D5E"/>
    <w:rsid w:val="000677D5"/>
    <w:rsid w:val="00070000"/>
    <w:rsid w:val="00070087"/>
    <w:rsid w:val="00070093"/>
    <w:rsid w:val="00070307"/>
    <w:rsid w:val="00071177"/>
    <w:rsid w:val="00071DCC"/>
    <w:rsid w:val="00072445"/>
    <w:rsid w:val="00073843"/>
    <w:rsid w:val="00073BEE"/>
    <w:rsid w:val="00073ED8"/>
    <w:rsid w:val="00073F08"/>
    <w:rsid w:val="0007448E"/>
    <w:rsid w:val="00074A6C"/>
    <w:rsid w:val="00074E24"/>
    <w:rsid w:val="000755A3"/>
    <w:rsid w:val="00075931"/>
    <w:rsid w:val="00075A89"/>
    <w:rsid w:val="00076CB9"/>
    <w:rsid w:val="00077991"/>
    <w:rsid w:val="00080386"/>
    <w:rsid w:val="000803A7"/>
    <w:rsid w:val="00080843"/>
    <w:rsid w:val="00081D63"/>
    <w:rsid w:val="00081EA9"/>
    <w:rsid w:val="000822B8"/>
    <w:rsid w:val="00082331"/>
    <w:rsid w:val="00082805"/>
    <w:rsid w:val="00082890"/>
    <w:rsid w:val="000848B3"/>
    <w:rsid w:val="00084B74"/>
    <w:rsid w:val="000856DF"/>
    <w:rsid w:val="00085AC2"/>
    <w:rsid w:val="000862D4"/>
    <w:rsid w:val="00086CA7"/>
    <w:rsid w:val="00086E85"/>
    <w:rsid w:val="00087210"/>
    <w:rsid w:val="000900D5"/>
    <w:rsid w:val="0009128D"/>
    <w:rsid w:val="000913FB"/>
    <w:rsid w:val="00091649"/>
    <w:rsid w:val="00091971"/>
    <w:rsid w:val="00091E0E"/>
    <w:rsid w:val="000923BE"/>
    <w:rsid w:val="000929C7"/>
    <w:rsid w:val="00092C5E"/>
    <w:rsid w:val="00093692"/>
    <w:rsid w:val="000941BB"/>
    <w:rsid w:val="00094650"/>
    <w:rsid w:val="00095CD8"/>
    <w:rsid w:val="00096659"/>
    <w:rsid w:val="00097363"/>
    <w:rsid w:val="00097D08"/>
    <w:rsid w:val="00097D21"/>
    <w:rsid w:val="00097FE0"/>
    <w:rsid w:val="000A047E"/>
    <w:rsid w:val="000A0948"/>
    <w:rsid w:val="000A1E78"/>
    <w:rsid w:val="000A22A7"/>
    <w:rsid w:val="000A284C"/>
    <w:rsid w:val="000A2909"/>
    <w:rsid w:val="000A2DCE"/>
    <w:rsid w:val="000A2FAE"/>
    <w:rsid w:val="000A35A9"/>
    <w:rsid w:val="000A384C"/>
    <w:rsid w:val="000A4A67"/>
    <w:rsid w:val="000A5652"/>
    <w:rsid w:val="000A5F60"/>
    <w:rsid w:val="000A7EFA"/>
    <w:rsid w:val="000B05CE"/>
    <w:rsid w:val="000B0D20"/>
    <w:rsid w:val="000B21FF"/>
    <w:rsid w:val="000B31B2"/>
    <w:rsid w:val="000B3641"/>
    <w:rsid w:val="000B3FEA"/>
    <w:rsid w:val="000B42BA"/>
    <w:rsid w:val="000B4796"/>
    <w:rsid w:val="000B559F"/>
    <w:rsid w:val="000B56F8"/>
    <w:rsid w:val="000B5823"/>
    <w:rsid w:val="000B6A7F"/>
    <w:rsid w:val="000B6F19"/>
    <w:rsid w:val="000B6F70"/>
    <w:rsid w:val="000B712C"/>
    <w:rsid w:val="000B716A"/>
    <w:rsid w:val="000B7203"/>
    <w:rsid w:val="000B7303"/>
    <w:rsid w:val="000B7C3D"/>
    <w:rsid w:val="000C023E"/>
    <w:rsid w:val="000C0348"/>
    <w:rsid w:val="000C088F"/>
    <w:rsid w:val="000C08C5"/>
    <w:rsid w:val="000C0997"/>
    <w:rsid w:val="000C1575"/>
    <w:rsid w:val="000C15DC"/>
    <w:rsid w:val="000C18B7"/>
    <w:rsid w:val="000C2296"/>
    <w:rsid w:val="000C2D03"/>
    <w:rsid w:val="000C32D5"/>
    <w:rsid w:val="000C32DA"/>
    <w:rsid w:val="000C3A57"/>
    <w:rsid w:val="000C4D6A"/>
    <w:rsid w:val="000C4EBD"/>
    <w:rsid w:val="000C51A4"/>
    <w:rsid w:val="000C6216"/>
    <w:rsid w:val="000C69EE"/>
    <w:rsid w:val="000C6B9E"/>
    <w:rsid w:val="000C6E03"/>
    <w:rsid w:val="000C6F1C"/>
    <w:rsid w:val="000C75AA"/>
    <w:rsid w:val="000C7DF2"/>
    <w:rsid w:val="000D01F8"/>
    <w:rsid w:val="000D04E0"/>
    <w:rsid w:val="000D072D"/>
    <w:rsid w:val="000D1136"/>
    <w:rsid w:val="000D11ED"/>
    <w:rsid w:val="000D27F8"/>
    <w:rsid w:val="000D283F"/>
    <w:rsid w:val="000D4A66"/>
    <w:rsid w:val="000D513E"/>
    <w:rsid w:val="000D5EC9"/>
    <w:rsid w:val="000D5F00"/>
    <w:rsid w:val="000D6FC5"/>
    <w:rsid w:val="000D73AB"/>
    <w:rsid w:val="000E05DC"/>
    <w:rsid w:val="000E14C2"/>
    <w:rsid w:val="000E17E0"/>
    <w:rsid w:val="000E1B9F"/>
    <w:rsid w:val="000E1E84"/>
    <w:rsid w:val="000E1F81"/>
    <w:rsid w:val="000E217B"/>
    <w:rsid w:val="000E371E"/>
    <w:rsid w:val="000E37D5"/>
    <w:rsid w:val="000E37F5"/>
    <w:rsid w:val="000E39C2"/>
    <w:rsid w:val="000E4C88"/>
    <w:rsid w:val="000E5E16"/>
    <w:rsid w:val="000E62CE"/>
    <w:rsid w:val="000E6D9A"/>
    <w:rsid w:val="000E713F"/>
    <w:rsid w:val="000E7772"/>
    <w:rsid w:val="000E7FA1"/>
    <w:rsid w:val="000F0312"/>
    <w:rsid w:val="000F0BB0"/>
    <w:rsid w:val="000F10CB"/>
    <w:rsid w:val="000F12B7"/>
    <w:rsid w:val="000F15B0"/>
    <w:rsid w:val="000F325C"/>
    <w:rsid w:val="000F39B1"/>
    <w:rsid w:val="000F3DA4"/>
    <w:rsid w:val="000F5786"/>
    <w:rsid w:val="000F6820"/>
    <w:rsid w:val="000F6889"/>
    <w:rsid w:val="000F6D7C"/>
    <w:rsid w:val="001003DE"/>
    <w:rsid w:val="00100572"/>
    <w:rsid w:val="00100CB5"/>
    <w:rsid w:val="0010136F"/>
    <w:rsid w:val="001021A1"/>
    <w:rsid w:val="00102234"/>
    <w:rsid w:val="001024F4"/>
    <w:rsid w:val="001029D0"/>
    <w:rsid w:val="00103C41"/>
    <w:rsid w:val="00104221"/>
    <w:rsid w:val="00104265"/>
    <w:rsid w:val="001042CE"/>
    <w:rsid w:val="00104712"/>
    <w:rsid w:val="001053BC"/>
    <w:rsid w:val="001063EA"/>
    <w:rsid w:val="001064E7"/>
    <w:rsid w:val="00106D18"/>
    <w:rsid w:val="00106FCC"/>
    <w:rsid w:val="001073F0"/>
    <w:rsid w:val="0010771D"/>
    <w:rsid w:val="0010775F"/>
    <w:rsid w:val="001106F0"/>
    <w:rsid w:val="00110712"/>
    <w:rsid w:val="00110E27"/>
    <w:rsid w:val="001110CE"/>
    <w:rsid w:val="00111BEB"/>
    <w:rsid w:val="00111C93"/>
    <w:rsid w:val="00111D39"/>
    <w:rsid w:val="001123BE"/>
    <w:rsid w:val="001130D2"/>
    <w:rsid w:val="00113876"/>
    <w:rsid w:val="00113E7A"/>
    <w:rsid w:val="00114389"/>
    <w:rsid w:val="00115335"/>
    <w:rsid w:val="00115337"/>
    <w:rsid w:val="00115922"/>
    <w:rsid w:val="001169B2"/>
    <w:rsid w:val="00120197"/>
    <w:rsid w:val="00120F16"/>
    <w:rsid w:val="00121295"/>
    <w:rsid w:val="001230AE"/>
    <w:rsid w:val="00123345"/>
    <w:rsid w:val="00123F2B"/>
    <w:rsid w:val="0012463A"/>
    <w:rsid w:val="0012476D"/>
    <w:rsid w:val="00124A31"/>
    <w:rsid w:val="00125684"/>
    <w:rsid w:val="00125825"/>
    <w:rsid w:val="001268AC"/>
    <w:rsid w:val="00126B45"/>
    <w:rsid w:val="00126C9D"/>
    <w:rsid w:val="00127385"/>
    <w:rsid w:val="00130016"/>
    <w:rsid w:val="00130213"/>
    <w:rsid w:val="00130DAF"/>
    <w:rsid w:val="001312C8"/>
    <w:rsid w:val="0013161E"/>
    <w:rsid w:val="0013294D"/>
    <w:rsid w:val="00133147"/>
    <w:rsid w:val="0013351F"/>
    <w:rsid w:val="001336AF"/>
    <w:rsid w:val="00133722"/>
    <w:rsid w:val="00133AAB"/>
    <w:rsid w:val="001356E3"/>
    <w:rsid w:val="00136BFE"/>
    <w:rsid w:val="0013790E"/>
    <w:rsid w:val="00137C4A"/>
    <w:rsid w:val="001403F1"/>
    <w:rsid w:val="001403F2"/>
    <w:rsid w:val="001420C1"/>
    <w:rsid w:val="001424E4"/>
    <w:rsid w:val="0014376B"/>
    <w:rsid w:val="00143A0A"/>
    <w:rsid w:val="00143D3C"/>
    <w:rsid w:val="001458C0"/>
    <w:rsid w:val="00146452"/>
    <w:rsid w:val="00147264"/>
    <w:rsid w:val="00147BC9"/>
    <w:rsid w:val="00147EA7"/>
    <w:rsid w:val="00147EE3"/>
    <w:rsid w:val="001506C6"/>
    <w:rsid w:val="00150F97"/>
    <w:rsid w:val="00150FC3"/>
    <w:rsid w:val="00151EAA"/>
    <w:rsid w:val="001522E7"/>
    <w:rsid w:val="00152902"/>
    <w:rsid w:val="001531C5"/>
    <w:rsid w:val="001531DA"/>
    <w:rsid w:val="001533D0"/>
    <w:rsid w:val="0015346C"/>
    <w:rsid w:val="001538BD"/>
    <w:rsid w:val="001544A8"/>
    <w:rsid w:val="00154684"/>
    <w:rsid w:val="00154896"/>
    <w:rsid w:val="00154C4E"/>
    <w:rsid w:val="0015518D"/>
    <w:rsid w:val="00155E7B"/>
    <w:rsid w:val="001571AD"/>
    <w:rsid w:val="0015777B"/>
    <w:rsid w:val="00160A00"/>
    <w:rsid w:val="00160B05"/>
    <w:rsid w:val="00161177"/>
    <w:rsid w:val="0016214B"/>
    <w:rsid w:val="00165E90"/>
    <w:rsid w:val="0016637B"/>
    <w:rsid w:val="00166B27"/>
    <w:rsid w:val="0016750A"/>
    <w:rsid w:val="00167CD6"/>
    <w:rsid w:val="0017058D"/>
    <w:rsid w:val="001707EB"/>
    <w:rsid w:val="001709A2"/>
    <w:rsid w:val="00170A12"/>
    <w:rsid w:val="00170E5D"/>
    <w:rsid w:val="00171DE7"/>
    <w:rsid w:val="00171E16"/>
    <w:rsid w:val="00172C7D"/>
    <w:rsid w:val="0017320D"/>
    <w:rsid w:val="001732F3"/>
    <w:rsid w:val="001735B0"/>
    <w:rsid w:val="001736DF"/>
    <w:rsid w:val="00173745"/>
    <w:rsid w:val="001742C5"/>
    <w:rsid w:val="00174454"/>
    <w:rsid w:val="00174ABE"/>
    <w:rsid w:val="00174C24"/>
    <w:rsid w:val="001757C6"/>
    <w:rsid w:val="001757D1"/>
    <w:rsid w:val="001757EC"/>
    <w:rsid w:val="00175ED7"/>
    <w:rsid w:val="001765DA"/>
    <w:rsid w:val="001766AC"/>
    <w:rsid w:val="00176FFB"/>
    <w:rsid w:val="00177947"/>
    <w:rsid w:val="00180920"/>
    <w:rsid w:val="00180FDA"/>
    <w:rsid w:val="0018103B"/>
    <w:rsid w:val="00181CC9"/>
    <w:rsid w:val="00181DC4"/>
    <w:rsid w:val="00181DE3"/>
    <w:rsid w:val="00181FF9"/>
    <w:rsid w:val="001824C1"/>
    <w:rsid w:val="00183A83"/>
    <w:rsid w:val="00185298"/>
    <w:rsid w:val="00185397"/>
    <w:rsid w:val="00185E94"/>
    <w:rsid w:val="00185F85"/>
    <w:rsid w:val="00185F86"/>
    <w:rsid w:val="001866D5"/>
    <w:rsid w:val="00186AE8"/>
    <w:rsid w:val="001874DF"/>
    <w:rsid w:val="00187DBC"/>
    <w:rsid w:val="0019096C"/>
    <w:rsid w:val="00190A08"/>
    <w:rsid w:val="001913B3"/>
    <w:rsid w:val="00192281"/>
    <w:rsid w:val="001923DB"/>
    <w:rsid w:val="001929EF"/>
    <w:rsid w:val="00193191"/>
    <w:rsid w:val="00193C47"/>
    <w:rsid w:val="001947BF"/>
    <w:rsid w:val="00194A20"/>
    <w:rsid w:val="00196AEC"/>
    <w:rsid w:val="00196BC9"/>
    <w:rsid w:val="001A04CB"/>
    <w:rsid w:val="001A08B1"/>
    <w:rsid w:val="001A20EF"/>
    <w:rsid w:val="001A357D"/>
    <w:rsid w:val="001A3AA9"/>
    <w:rsid w:val="001A3D7F"/>
    <w:rsid w:val="001A4657"/>
    <w:rsid w:val="001A6631"/>
    <w:rsid w:val="001A7013"/>
    <w:rsid w:val="001A74F7"/>
    <w:rsid w:val="001A76FB"/>
    <w:rsid w:val="001B0A76"/>
    <w:rsid w:val="001B0FB5"/>
    <w:rsid w:val="001B12C2"/>
    <w:rsid w:val="001B187C"/>
    <w:rsid w:val="001B197C"/>
    <w:rsid w:val="001B1A86"/>
    <w:rsid w:val="001B1E72"/>
    <w:rsid w:val="001B1E97"/>
    <w:rsid w:val="001B2DD4"/>
    <w:rsid w:val="001B2F96"/>
    <w:rsid w:val="001B3B5C"/>
    <w:rsid w:val="001B3B9B"/>
    <w:rsid w:val="001B3E3A"/>
    <w:rsid w:val="001B405F"/>
    <w:rsid w:val="001B4063"/>
    <w:rsid w:val="001B4102"/>
    <w:rsid w:val="001B472A"/>
    <w:rsid w:val="001B4BF9"/>
    <w:rsid w:val="001B4F00"/>
    <w:rsid w:val="001B4F35"/>
    <w:rsid w:val="001B5679"/>
    <w:rsid w:val="001B57EB"/>
    <w:rsid w:val="001B5C91"/>
    <w:rsid w:val="001B6670"/>
    <w:rsid w:val="001B6D17"/>
    <w:rsid w:val="001B6D2E"/>
    <w:rsid w:val="001B7AA9"/>
    <w:rsid w:val="001C0114"/>
    <w:rsid w:val="001C0504"/>
    <w:rsid w:val="001C1C98"/>
    <w:rsid w:val="001C2C43"/>
    <w:rsid w:val="001C2E66"/>
    <w:rsid w:val="001C3226"/>
    <w:rsid w:val="001C343E"/>
    <w:rsid w:val="001D0941"/>
    <w:rsid w:val="001D0ED6"/>
    <w:rsid w:val="001D10EA"/>
    <w:rsid w:val="001D11C7"/>
    <w:rsid w:val="001D15BF"/>
    <w:rsid w:val="001D1F68"/>
    <w:rsid w:val="001D293B"/>
    <w:rsid w:val="001D33CC"/>
    <w:rsid w:val="001D3723"/>
    <w:rsid w:val="001D45B3"/>
    <w:rsid w:val="001D4758"/>
    <w:rsid w:val="001D5265"/>
    <w:rsid w:val="001D5469"/>
    <w:rsid w:val="001D5881"/>
    <w:rsid w:val="001D5DD8"/>
    <w:rsid w:val="001D6224"/>
    <w:rsid w:val="001D6280"/>
    <w:rsid w:val="001D6DEE"/>
    <w:rsid w:val="001D75AA"/>
    <w:rsid w:val="001E08CB"/>
    <w:rsid w:val="001E095A"/>
    <w:rsid w:val="001E182A"/>
    <w:rsid w:val="001E1D7C"/>
    <w:rsid w:val="001E2223"/>
    <w:rsid w:val="001E2509"/>
    <w:rsid w:val="001E2FBA"/>
    <w:rsid w:val="001E3E6D"/>
    <w:rsid w:val="001E3FEC"/>
    <w:rsid w:val="001E5298"/>
    <w:rsid w:val="001E571E"/>
    <w:rsid w:val="001E5E67"/>
    <w:rsid w:val="001E5E74"/>
    <w:rsid w:val="001E600E"/>
    <w:rsid w:val="001E6FE6"/>
    <w:rsid w:val="001E7012"/>
    <w:rsid w:val="001E7111"/>
    <w:rsid w:val="001E77A4"/>
    <w:rsid w:val="001F01B8"/>
    <w:rsid w:val="001F056D"/>
    <w:rsid w:val="001F0A35"/>
    <w:rsid w:val="001F1187"/>
    <w:rsid w:val="001F13E5"/>
    <w:rsid w:val="001F2B31"/>
    <w:rsid w:val="001F2CDC"/>
    <w:rsid w:val="001F312B"/>
    <w:rsid w:val="001F3F91"/>
    <w:rsid w:val="001F4217"/>
    <w:rsid w:val="001F5143"/>
    <w:rsid w:val="001F5653"/>
    <w:rsid w:val="001F5ED4"/>
    <w:rsid w:val="001F602C"/>
    <w:rsid w:val="001F7223"/>
    <w:rsid w:val="001F76D7"/>
    <w:rsid w:val="00200E2D"/>
    <w:rsid w:val="00200F65"/>
    <w:rsid w:val="00200FCC"/>
    <w:rsid w:val="0020191F"/>
    <w:rsid w:val="002033A9"/>
    <w:rsid w:val="002038B1"/>
    <w:rsid w:val="0020448C"/>
    <w:rsid w:val="0020555F"/>
    <w:rsid w:val="00205BD5"/>
    <w:rsid w:val="00206100"/>
    <w:rsid w:val="002079C6"/>
    <w:rsid w:val="0021175A"/>
    <w:rsid w:val="002123E6"/>
    <w:rsid w:val="00212517"/>
    <w:rsid w:val="00212819"/>
    <w:rsid w:val="002134BF"/>
    <w:rsid w:val="0021355A"/>
    <w:rsid w:val="00213F1D"/>
    <w:rsid w:val="00214A19"/>
    <w:rsid w:val="00215FD6"/>
    <w:rsid w:val="0021658D"/>
    <w:rsid w:val="00216C1E"/>
    <w:rsid w:val="00217126"/>
    <w:rsid w:val="00217252"/>
    <w:rsid w:val="0022051D"/>
    <w:rsid w:val="00220654"/>
    <w:rsid w:val="0022142A"/>
    <w:rsid w:val="00221A18"/>
    <w:rsid w:val="0022254E"/>
    <w:rsid w:val="00223958"/>
    <w:rsid w:val="00223AC5"/>
    <w:rsid w:val="00224D0D"/>
    <w:rsid w:val="0022501D"/>
    <w:rsid w:val="00225508"/>
    <w:rsid w:val="0022551E"/>
    <w:rsid w:val="00225856"/>
    <w:rsid w:val="00225E44"/>
    <w:rsid w:val="00226BC6"/>
    <w:rsid w:val="00226D20"/>
    <w:rsid w:val="002271FC"/>
    <w:rsid w:val="002275EB"/>
    <w:rsid w:val="00227A84"/>
    <w:rsid w:val="00227C4D"/>
    <w:rsid w:val="00230CEA"/>
    <w:rsid w:val="00231AF8"/>
    <w:rsid w:val="002327F6"/>
    <w:rsid w:val="00232FF8"/>
    <w:rsid w:val="002331AD"/>
    <w:rsid w:val="00233317"/>
    <w:rsid w:val="002338C0"/>
    <w:rsid w:val="00233AC4"/>
    <w:rsid w:val="002344A5"/>
    <w:rsid w:val="00235020"/>
    <w:rsid w:val="00235525"/>
    <w:rsid w:val="00235790"/>
    <w:rsid w:val="0023592A"/>
    <w:rsid w:val="00235C76"/>
    <w:rsid w:val="00236973"/>
    <w:rsid w:val="002370DC"/>
    <w:rsid w:val="002379F3"/>
    <w:rsid w:val="002413CF"/>
    <w:rsid w:val="00241532"/>
    <w:rsid w:val="00241577"/>
    <w:rsid w:val="00241CE2"/>
    <w:rsid w:val="00241E2B"/>
    <w:rsid w:val="002423F7"/>
    <w:rsid w:val="0024271D"/>
    <w:rsid w:val="0024287D"/>
    <w:rsid w:val="00242D53"/>
    <w:rsid w:val="00242D8D"/>
    <w:rsid w:val="002447C5"/>
    <w:rsid w:val="00245068"/>
    <w:rsid w:val="002451DB"/>
    <w:rsid w:val="0024593D"/>
    <w:rsid w:val="00245B98"/>
    <w:rsid w:val="00246724"/>
    <w:rsid w:val="00246A3D"/>
    <w:rsid w:val="00247235"/>
    <w:rsid w:val="002479FC"/>
    <w:rsid w:val="00247B9F"/>
    <w:rsid w:val="0025038E"/>
    <w:rsid w:val="00250622"/>
    <w:rsid w:val="002510B9"/>
    <w:rsid w:val="0025117A"/>
    <w:rsid w:val="00251469"/>
    <w:rsid w:val="0025195E"/>
    <w:rsid w:val="00252369"/>
    <w:rsid w:val="00252878"/>
    <w:rsid w:val="00253953"/>
    <w:rsid w:val="00253B42"/>
    <w:rsid w:val="00254284"/>
    <w:rsid w:val="00256FE2"/>
    <w:rsid w:val="0025748F"/>
    <w:rsid w:val="00257525"/>
    <w:rsid w:val="00257698"/>
    <w:rsid w:val="00257B4B"/>
    <w:rsid w:val="00257D31"/>
    <w:rsid w:val="0026029B"/>
    <w:rsid w:val="00260C58"/>
    <w:rsid w:val="00260CD9"/>
    <w:rsid w:val="0026101A"/>
    <w:rsid w:val="00261ADB"/>
    <w:rsid w:val="00261BE7"/>
    <w:rsid w:val="00263045"/>
    <w:rsid w:val="002637EF"/>
    <w:rsid w:val="00263886"/>
    <w:rsid w:val="0026404C"/>
    <w:rsid w:val="0026413E"/>
    <w:rsid w:val="002643C4"/>
    <w:rsid w:val="0026451E"/>
    <w:rsid w:val="002645D0"/>
    <w:rsid w:val="00264C5C"/>
    <w:rsid w:val="002656A6"/>
    <w:rsid w:val="002659DF"/>
    <w:rsid w:val="00265B6D"/>
    <w:rsid w:val="00265C8B"/>
    <w:rsid w:val="00265D17"/>
    <w:rsid w:val="0026668D"/>
    <w:rsid w:val="0027079A"/>
    <w:rsid w:val="0027197F"/>
    <w:rsid w:val="00271F4E"/>
    <w:rsid w:val="0027203A"/>
    <w:rsid w:val="002726C1"/>
    <w:rsid w:val="00272F28"/>
    <w:rsid w:val="00273C1B"/>
    <w:rsid w:val="00274905"/>
    <w:rsid w:val="00275C8A"/>
    <w:rsid w:val="00275EC5"/>
    <w:rsid w:val="00276D8F"/>
    <w:rsid w:val="0027722C"/>
    <w:rsid w:val="00277458"/>
    <w:rsid w:val="00281145"/>
    <w:rsid w:val="00281D45"/>
    <w:rsid w:val="00281F38"/>
    <w:rsid w:val="00281FF8"/>
    <w:rsid w:val="00283127"/>
    <w:rsid w:val="002831AD"/>
    <w:rsid w:val="00284085"/>
    <w:rsid w:val="002840F1"/>
    <w:rsid w:val="00284688"/>
    <w:rsid w:val="00284CD1"/>
    <w:rsid w:val="00286F58"/>
    <w:rsid w:val="00290143"/>
    <w:rsid w:val="00290712"/>
    <w:rsid w:val="0029089C"/>
    <w:rsid w:val="00290AF6"/>
    <w:rsid w:val="00290EC1"/>
    <w:rsid w:val="002919F1"/>
    <w:rsid w:val="00291B5F"/>
    <w:rsid w:val="00291B76"/>
    <w:rsid w:val="00292974"/>
    <w:rsid w:val="00292B30"/>
    <w:rsid w:val="00292E2D"/>
    <w:rsid w:val="002930CD"/>
    <w:rsid w:val="00293321"/>
    <w:rsid w:val="00293928"/>
    <w:rsid w:val="00294614"/>
    <w:rsid w:val="0029599D"/>
    <w:rsid w:val="00296C0E"/>
    <w:rsid w:val="00296DA9"/>
    <w:rsid w:val="00297532"/>
    <w:rsid w:val="00297B88"/>
    <w:rsid w:val="00297F35"/>
    <w:rsid w:val="002A0EA5"/>
    <w:rsid w:val="002A0F6A"/>
    <w:rsid w:val="002A1208"/>
    <w:rsid w:val="002A190B"/>
    <w:rsid w:val="002A2AFD"/>
    <w:rsid w:val="002A2C47"/>
    <w:rsid w:val="002A3099"/>
    <w:rsid w:val="002A313B"/>
    <w:rsid w:val="002A34F9"/>
    <w:rsid w:val="002A37A1"/>
    <w:rsid w:val="002A3FBB"/>
    <w:rsid w:val="002A45E7"/>
    <w:rsid w:val="002A5630"/>
    <w:rsid w:val="002A5DDD"/>
    <w:rsid w:val="002A6AB8"/>
    <w:rsid w:val="002A7560"/>
    <w:rsid w:val="002A79C3"/>
    <w:rsid w:val="002B05C7"/>
    <w:rsid w:val="002B0922"/>
    <w:rsid w:val="002B0F8E"/>
    <w:rsid w:val="002B114E"/>
    <w:rsid w:val="002B128A"/>
    <w:rsid w:val="002B169A"/>
    <w:rsid w:val="002B1A4F"/>
    <w:rsid w:val="002B1DFF"/>
    <w:rsid w:val="002B30C2"/>
    <w:rsid w:val="002B3374"/>
    <w:rsid w:val="002B3515"/>
    <w:rsid w:val="002B3544"/>
    <w:rsid w:val="002B368B"/>
    <w:rsid w:val="002B4616"/>
    <w:rsid w:val="002B4921"/>
    <w:rsid w:val="002B5A7F"/>
    <w:rsid w:val="002B615B"/>
    <w:rsid w:val="002B655A"/>
    <w:rsid w:val="002B74DC"/>
    <w:rsid w:val="002B7B9F"/>
    <w:rsid w:val="002C0245"/>
    <w:rsid w:val="002C095D"/>
    <w:rsid w:val="002C0C0A"/>
    <w:rsid w:val="002C1257"/>
    <w:rsid w:val="002C2BA7"/>
    <w:rsid w:val="002C2F59"/>
    <w:rsid w:val="002C337A"/>
    <w:rsid w:val="002C3EF2"/>
    <w:rsid w:val="002C499A"/>
    <w:rsid w:val="002C5323"/>
    <w:rsid w:val="002C55ED"/>
    <w:rsid w:val="002C56AB"/>
    <w:rsid w:val="002C56D8"/>
    <w:rsid w:val="002C5822"/>
    <w:rsid w:val="002C6796"/>
    <w:rsid w:val="002C6DA1"/>
    <w:rsid w:val="002C75C8"/>
    <w:rsid w:val="002C777A"/>
    <w:rsid w:val="002D013F"/>
    <w:rsid w:val="002D0154"/>
    <w:rsid w:val="002D0968"/>
    <w:rsid w:val="002D09EA"/>
    <w:rsid w:val="002D15FA"/>
    <w:rsid w:val="002D1F64"/>
    <w:rsid w:val="002D26EA"/>
    <w:rsid w:val="002D27E3"/>
    <w:rsid w:val="002D2967"/>
    <w:rsid w:val="002D31DD"/>
    <w:rsid w:val="002D33C7"/>
    <w:rsid w:val="002D33F7"/>
    <w:rsid w:val="002D361E"/>
    <w:rsid w:val="002D3F9A"/>
    <w:rsid w:val="002D47FE"/>
    <w:rsid w:val="002D595B"/>
    <w:rsid w:val="002D799C"/>
    <w:rsid w:val="002D7B70"/>
    <w:rsid w:val="002D7BF5"/>
    <w:rsid w:val="002E0515"/>
    <w:rsid w:val="002E0C37"/>
    <w:rsid w:val="002E12A4"/>
    <w:rsid w:val="002E131C"/>
    <w:rsid w:val="002E1C8A"/>
    <w:rsid w:val="002E1DB4"/>
    <w:rsid w:val="002E21CD"/>
    <w:rsid w:val="002E291A"/>
    <w:rsid w:val="002E5B19"/>
    <w:rsid w:val="002E6183"/>
    <w:rsid w:val="002E6748"/>
    <w:rsid w:val="002E772B"/>
    <w:rsid w:val="002E77AD"/>
    <w:rsid w:val="002E7B53"/>
    <w:rsid w:val="002F01AD"/>
    <w:rsid w:val="002F0D86"/>
    <w:rsid w:val="002F185F"/>
    <w:rsid w:val="002F1C35"/>
    <w:rsid w:val="002F1D00"/>
    <w:rsid w:val="002F2774"/>
    <w:rsid w:val="002F2866"/>
    <w:rsid w:val="002F3B45"/>
    <w:rsid w:val="002F45A3"/>
    <w:rsid w:val="002F4660"/>
    <w:rsid w:val="002F504E"/>
    <w:rsid w:val="002F55EC"/>
    <w:rsid w:val="002F5B82"/>
    <w:rsid w:val="002F5E62"/>
    <w:rsid w:val="002F6B09"/>
    <w:rsid w:val="002F7742"/>
    <w:rsid w:val="00300242"/>
    <w:rsid w:val="00300A5A"/>
    <w:rsid w:val="00302100"/>
    <w:rsid w:val="00302EDB"/>
    <w:rsid w:val="00303162"/>
    <w:rsid w:val="00303164"/>
    <w:rsid w:val="003041EB"/>
    <w:rsid w:val="00304661"/>
    <w:rsid w:val="00305313"/>
    <w:rsid w:val="003069F4"/>
    <w:rsid w:val="003072D1"/>
    <w:rsid w:val="003072DC"/>
    <w:rsid w:val="003073E4"/>
    <w:rsid w:val="00310D7C"/>
    <w:rsid w:val="00310E88"/>
    <w:rsid w:val="00310FA9"/>
    <w:rsid w:val="003116D3"/>
    <w:rsid w:val="00311769"/>
    <w:rsid w:val="00311935"/>
    <w:rsid w:val="003125D5"/>
    <w:rsid w:val="00313B4A"/>
    <w:rsid w:val="00313C57"/>
    <w:rsid w:val="00313F33"/>
    <w:rsid w:val="00314942"/>
    <w:rsid w:val="00315ECA"/>
    <w:rsid w:val="003162DE"/>
    <w:rsid w:val="003163A1"/>
    <w:rsid w:val="003168D1"/>
    <w:rsid w:val="00317243"/>
    <w:rsid w:val="003173B8"/>
    <w:rsid w:val="00322227"/>
    <w:rsid w:val="00323C80"/>
    <w:rsid w:val="00323F6F"/>
    <w:rsid w:val="003243FC"/>
    <w:rsid w:val="00324CBF"/>
    <w:rsid w:val="003253E4"/>
    <w:rsid w:val="003258CF"/>
    <w:rsid w:val="00325916"/>
    <w:rsid w:val="00325C0A"/>
    <w:rsid w:val="00325DD6"/>
    <w:rsid w:val="00326DD8"/>
    <w:rsid w:val="003276BF"/>
    <w:rsid w:val="00327C6B"/>
    <w:rsid w:val="003301CB"/>
    <w:rsid w:val="00330C9D"/>
    <w:rsid w:val="003311C4"/>
    <w:rsid w:val="0033170F"/>
    <w:rsid w:val="00331CA2"/>
    <w:rsid w:val="00331FAE"/>
    <w:rsid w:val="003324AD"/>
    <w:rsid w:val="003332DE"/>
    <w:rsid w:val="00334383"/>
    <w:rsid w:val="00335140"/>
    <w:rsid w:val="003362A1"/>
    <w:rsid w:val="00336587"/>
    <w:rsid w:val="00336E27"/>
    <w:rsid w:val="00336F80"/>
    <w:rsid w:val="003373AC"/>
    <w:rsid w:val="003406CE"/>
    <w:rsid w:val="003417B7"/>
    <w:rsid w:val="00341999"/>
    <w:rsid w:val="00341CB3"/>
    <w:rsid w:val="00342007"/>
    <w:rsid w:val="00342B3B"/>
    <w:rsid w:val="00343429"/>
    <w:rsid w:val="0034351F"/>
    <w:rsid w:val="00343694"/>
    <w:rsid w:val="00343D07"/>
    <w:rsid w:val="003440C8"/>
    <w:rsid w:val="00344812"/>
    <w:rsid w:val="00344B0F"/>
    <w:rsid w:val="003462B6"/>
    <w:rsid w:val="003471C6"/>
    <w:rsid w:val="0034726D"/>
    <w:rsid w:val="003502AA"/>
    <w:rsid w:val="0035051D"/>
    <w:rsid w:val="0035107C"/>
    <w:rsid w:val="00351538"/>
    <w:rsid w:val="003527FA"/>
    <w:rsid w:val="00353DA1"/>
    <w:rsid w:val="00354274"/>
    <w:rsid w:val="00354855"/>
    <w:rsid w:val="00354C5A"/>
    <w:rsid w:val="00354CB8"/>
    <w:rsid w:val="00355317"/>
    <w:rsid w:val="00355CC6"/>
    <w:rsid w:val="00355D2E"/>
    <w:rsid w:val="00356092"/>
    <w:rsid w:val="00356912"/>
    <w:rsid w:val="00357725"/>
    <w:rsid w:val="00357A68"/>
    <w:rsid w:val="00360606"/>
    <w:rsid w:val="0036098B"/>
    <w:rsid w:val="00360B1F"/>
    <w:rsid w:val="00361328"/>
    <w:rsid w:val="003629A1"/>
    <w:rsid w:val="00362BDF"/>
    <w:rsid w:val="00362D1F"/>
    <w:rsid w:val="003630D1"/>
    <w:rsid w:val="00363312"/>
    <w:rsid w:val="0036352A"/>
    <w:rsid w:val="0036368C"/>
    <w:rsid w:val="003637FA"/>
    <w:rsid w:val="00363986"/>
    <w:rsid w:val="00363F8F"/>
    <w:rsid w:val="00364108"/>
    <w:rsid w:val="00364CD1"/>
    <w:rsid w:val="00365F1B"/>
    <w:rsid w:val="00366189"/>
    <w:rsid w:val="00366935"/>
    <w:rsid w:val="00366E94"/>
    <w:rsid w:val="0036766C"/>
    <w:rsid w:val="00367C80"/>
    <w:rsid w:val="00370701"/>
    <w:rsid w:val="00370A76"/>
    <w:rsid w:val="00370B61"/>
    <w:rsid w:val="00371002"/>
    <w:rsid w:val="003715F5"/>
    <w:rsid w:val="00371BA7"/>
    <w:rsid w:val="003723DE"/>
    <w:rsid w:val="0037255F"/>
    <w:rsid w:val="00372756"/>
    <w:rsid w:val="00372CE0"/>
    <w:rsid w:val="003737C6"/>
    <w:rsid w:val="00373948"/>
    <w:rsid w:val="00373A37"/>
    <w:rsid w:val="00373D65"/>
    <w:rsid w:val="0037412F"/>
    <w:rsid w:val="00374506"/>
    <w:rsid w:val="003746B1"/>
    <w:rsid w:val="0037492D"/>
    <w:rsid w:val="00374BA5"/>
    <w:rsid w:val="00375B9D"/>
    <w:rsid w:val="00376191"/>
    <w:rsid w:val="00376D6A"/>
    <w:rsid w:val="003771E7"/>
    <w:rsid w:val="003778C1"/>
    <w:rsid w:val="00377F18"/>
    <w:rsid w:val="0038003D"/>
    <w:rsid w:val="00380361"/>
    <w:rsid w:val="00380D96"/>
    <w:rsid w:val="00380EEB"/>
    <w:rsid w:val="00381022"/>
    <w:rsid w:val="00381AC5"/>
    <w:rsid w:val="00381CFE"/>
    <w:rsid w:val="00382364"/>
    <w:rsid w:val="0038273D"/>
    <w:rsid w:val="00382C66"/>
    <w:rsid w:val="00382CDF"/>
    <w:rsid w:val="0038350E"/>
    <w:rsid w:val="00383904"/>
    <w:rsid w:val="00384718"/>
    <w:rsid w:val="00384812"/>
    <w:rsid w:val="00385D0C"/>
    <w:rsid w:val="0038621C"/>
    <w:rsid w:val="003868A6"/>
    <w:rsid w:val="00386B54"/>
    <w:rsid w:val="00386C79"/>
    <w:rsid w:val="00387780"/>
    <w:rsid w:val="003901F3"/>
    <w:rsid w:val="003903DA"/>
    <w:rsid w:val="00390A0F"/>
    <w:rsid w:val="00390F20"/>
    <w:rsid w:val="003918C7"/>
    <w:rsid w:val="003919B4"/>
    <w:rsid w:val="00391DFE"/>
    <w:rsid w:val="003920E5"/>
    <w:rsid w:val="00392966"/>
    <w:rsid w:val="0039344D"/>
    <w:rsid w:val="003936BE"/>
    <w:rsid w:val="003940C0"/>
    <w:rsid w:val="0039511A"/>
    <w:rsid w:val="00395B1F"/>
    <w:rsid w:val="003960A9"/>
    <w:rsid w:val="00396ECB"/>
    <w:rsid w:val="00397178"/>
    <w:rsid w:val="003A036D"/>
    <w:rsid w:val="003A0E58"/>
    <w:rsid w:val="003A1206"/>
    <w:rsid w:val="003A15A4"/>
    <w:rsid w:val="003A278F"/>
    <w:rsid w:val="003A2FAE"/>
    <w:rsid w:val="003A5083"/>
    <w:rsid w:val="003A50E7"/>
    <w:rsid w:val="003A5519"/>
    <w:rsid w:val="003A588A"/>
    <w:rsid w:val="003A5C5F"/>
    <w:rsid w:val="003A6147"/>
    <w:rsid w:val="003A69E8"/>
    <w:rsid w:val="003B10CC"/>
    <w:rsid w:val="003B126E"/>
    <w:rsid w:val="003B1409"/>
    <w:rsid w:val="003B174B"/>
    <w:rsid w:val="003B2635"/>
    <w:rsid w:val="003B2637"/>
    <w:rsid w:val="003B30E2"/>
    <w:rsid w:val="003B35FC"/>
    <w:rsid w:val="003B3C9C"/>
    <w:rsid w:val="003B45D3"/>
    <w:rsid w:val="003B550A"/>
    <w:rsid w:val="003B558B"/>
    <w:rsid w:val="003B56F8"/>
    <w:rsid w:val="003B5D7E"/>
    <w:rsid w:val="003B5E85"/>
    <w:rsid w:val="003B6412"/>
    <w:rsid w:val="003B68E1"/>
    <w:rsid w:val="003B6A6A"/>
    <w:rsid w:val="003B6C66"/>
    <w:rsid w:val="003C0101"/>
    <w:rsid w:val="003C08A1"/>
    <w:rsid w:val="003C12B7"/>
    <w:rsid w:val="003C1392"/>
    <w:rsid w:val="003C13DB"/>
    <w:rsid w:val="003C193D"/>
    <w:rsid w:val="003C24D0"/>
    <w:rsid w:val="003C28F0"/>
    <w:rsid w:val="003C2907"/>
    <w:rsid w:val="003C2CC0"/>
    <w:rsid w:val="003C3F02"/>
    <w:rsid w:val="003C479C"/>
    <w:rsid w:val="003C5C90"/>
    <w:rsid w:val="003C637B"/>
    <w:rsid w:val="003C77A2"/>
    <w:rsid w:val="003C7C60"/>
    <w:rsid w:val="003C7FBE"/>
    <w:rsid w:val="003D127B"/>
    <w:rsid w:val="003D1CBB"/>
    <w:rsid w:val="003D2FFF"/>
    <w:rsid w:val="003D3780"/>
    <w:rsid w:val="003D397C"/>
    <w:rsid w:val="003D3C89"/>
    <w:rsid w:val="003D445A"/>
    <w:rsid w:val="003D4BEE"/>
    <w:rsid w:val="003D4C21"/>
    <w:rsid w:val="003D4E0C"/>
    <w:rsid w:val="003D6CB9"/>
    <w:rsid w:val="003E094A"/>
    <w:rsid w:val="003E0975"/>
    <w:rsid w:val="003E0E8E"/>
    <w:rsid w:val="003E0FE3"/>
    <w:rsid w:val="003E104D"/>
    <w:rsid w:val="003E1965"/>
    <w:rsid w:val="003E2434"/>
    <w:rsid w:val="003E2C89"/>
    <w:rsid w:val="003E3154"/>
    <w:rsid w:val="003E334C"/>
    <w:rsid w:val="003E33CC"/>
    <w:rsid w:val="003E35DB"/>
    <w:rsid w:val="003E3E40"/>
    <w:rsid w:val="003E3F4D"/>
    <w:rsid w:val="003E3F7D"/>
    <w:rsid w:val="003E56B3"/>
    <w:rsid w:val="003E597D"/>
    <w:rsid w:val="003E6742"/>
    <w:rsid w:val="003F0637"/>
    <w:rsid w:val="003F09B8"/>
    <w:rsid w:val="003F0C5A"/>
    <w:rsid w:val="003F0EA6"/>
    <w:rsid w:val="003F0F93"/>
    <w:rsid w:val="003F158A"/>
    <w:rsid w:val="003F15EB"/>
    <w:rsid w:val="003F18DA"/>
    <w:rsid w:val="003F2B05"/>
    <w:rsid w:val="003F316B"/>
    <w:rsid w:val="003F3DCE"/>
    <w:rsid w:val="003F40A1"/>
    <w:rsid w:val="003F4C66"/>
    <w:rsid w:val="003F4C8D"/>
    <w:rsid w:val="003F501F"/>
    <w:rsid w:val="003F562A"/>
    <w:rsid w:val="003F647D"/>
    <w:rsid w:val="003F6D13"/>
    <w:rsid w:val="003F71D6"/>
    <w:rsid w:val="003F7490"/>
    <w:rsid w:val="003F7591"/>
    <w:rsid w:val="003F765F"/>
    <w:rsid w:val="004001CA"/>
    <w:rsid w:val="00400D4A"/>
    <w:rsid w:val="004010BD"/>
    <w:rsid w:val="004011B0"/>
    <w:rsid w:val="0040136A"/>
    <w:rsid w:val="00402243"/>
    <w:rsid w:val="00402302"/>
    <w:rsid w:val="004025B1"/>
    <w:rsid w:val="00402C43"/>
    <w:rsid w:val="0040350C"/>
    <w:rsid w:val="00403762"/>
    <w:rsid w:val="00403CD9"/>
    <w:rsid w:val="00404153"/>
    <w:rsid w:val="004041B3"/>
    <w:rsid w:val="004049E1"/>
    <w:rsid w:val="00404A3A"/>
    <w:rsid w:val="0040548E"/>
    <w:rsid w:val="00405C38"/>
    <w:rsid w:val="00406576"/>
    <w:rsid w:val="0040695C"/>
    <w:rsid w:val="00406BC2"/>
    <w:rsid w:val="0040729F"/>
    <w:rsid w:val="00407E0E"/>
    <w:rsid w:val="00410E46"/>
    <w:rsid w:val="00410F2F"/>
    <w:rsid w:val="004120F5"/>
    <w:rsid w:val="004125BB"/>
    <w:rsid w:val="004130AB"/>
    <w:rsid w:val="0041361B"/>
    <w:rsid w:val="004139B3"/>
    <w:rsid w:val="00413A67"/>
    <w:rsid w:val="00413A93"/>
    <w:rsid w:val="004143AD"/>
    <w:rsid w:val="00414A26"/>
    <w:rsid w:val="00414F28"/>
    <w:rsid w:val="00415080"/>
    <w:rsid w:val="00415712"/>
    <w:rsid w:val="00415B85"/>
    <w:rsid w:val="00416159"/>
    <w:rsid w:val="0041702F"/>
    <w:rsid w:val="00417258"/>
    <w:rsid w:val="00422D18"/>
    <w:rsid w:val="00423325"/>
    <w:rsid w:val="00423456"/>
    <w:rsid w:val="00423975"/>
    <w:rsid w:val="00424629"/>
    <w:rsid w:val="00424646"/>
    <w:rsid w:val="004251A4"/>
    <w:rsid w:val="004261CB"/>
    <w:rsid w:val="00426624"/>
    <w:rsid w:val="00426652"/>
    <w:rsid w:val="0042749E"/>
    <w:rsid w:val="00427EB4"/>
    <w:rsid w:val="004305E5"/>
    <w:rsid w:val="00430B20"/>
    <w:rsid w:val="0043133D"/>
    <w:rsid w:val="00431A05"/>
    <w:rsid w:val="00431CC7"/>
    <w:rsid w:val="0043218E"/>
    <w:rsid w:val="00432BCA"/>
    <w:rsid w:val="00433C4A"/>
    <w:rsid w:val="00434B1C"/>
    <w:rsid w:val="00434CD4"/>
    <w:rsid w:val="0043564F"/>
    <w:rsid w:val="00435858"/>
    <w:rsid w:val="00435E54"/>
    <w:rsid w:val="00437235"/>
    <w:rsid w:val="0043724D"/>
    <w:rsid w:val="0043757C"/>
    <w:rsid w:val="00437894"/>
    <w:rsid w:val="004400BA"/>
    <w:rsid w:val="004402A1"/>
    <w:rsid w:val="00440466"/>
    <w:rsid w:val="0044069B"/>
    <w:rsid w:val="00440E12"/>
    <w:rsid w:val="00441AD6"/>
    <w:rsid w:val="00442AF1"/>
    <w:rsid w:val="004431EC"/>
    <w:rsid w:val="00443354"/>
    <w:rsid w:val="00444107"/>
    <w:rsid w:val="00444329"/>
    <w:rsid w:val="00444B15"/>
    <w:rsid w:val="00444C11"/>
    <w:rsid w:val="0044508B"/>
    <w:rsid w:val="004456D4"/>
    <w:rsid w:val="00445834"/>
    <w:rsid w:val="00445C79"/>
    <w:rsid w:val="004462EB"/>
    <w:rsid w:val="00446756"/>
    <w:rsid w:val="00446E1B"/>
    <w:rsid w:val="00447E47"/>
    <w:rsid w:val="004503DA"/>
    <w:rsid w:val="00450B25"/>
    <w:rsid w:val="00450EF2"/>
    <w:rsid w:val="00451315"/>
    <w:rsid w:val="004516BD"/>
    <w:rsid w:val="00451967"/>
    <w:rsid w:val="00451FD7"/>
    <w:rsid w:val="004520F9"/>
    <w:rsid w:val="004534F9"/>
    <w:rsid w:val="00453C76"/>
    <w:rsid w:val="0045416C"/>
    <w:rsid w:val="00455BE9"/>
    <w:rsid w:val="004564B0"/>
    <w:rsid w:val="00456AB4"/>
    <w:rsid w:val="00456C04"/>
    <w:rsid w:val="00456E91"/>
    <w:rsid w:val="00461B47"/>
    <w:rsid w:val="00462C46"/>
    <w:rsid w:val="0046387D"/>
    <w:rsid w:val="0046411E"/>
    <w:rsid w:val="004647A5"/>
    <w:rsid w:val="004648D8"/>
    <w:rsid w:val="00464A8B"/>
    <w:rsid w:val="0046524C"/>
    <w:rsid w:val="00465341"/>
    <w:rsid w:val="004654CC"/>
    <w:rsid w:val="0046596D"/>
    <w:rsid w:val="00465C63"/>
    <w:rsid w:val="00465D3C"/>
    <w:rsid w:val="004666BC"/>
    <w:rsid w:val="00466D12"/>
    <w:rsid w:val="004702C4"/>
    <w:rsid w:val="00471251"/>
    <w:rsid w:val="004714B2"/>
    <w:rsid w:val="00471A3C"/>
    <w:rsid w:val="00471AC7"/>
    <w:rsid w:val="00472457"/>
    <w:rsid w:val="0047299E"/>
    <w:rsid w:val="0047414F"/>
    <w:rsid w:val="004757D9"/>
    <w:rsid w:val="00475DD9"/>
    <w:rsid w:val="004764E4"/>
    <w:rsid w:val="00476FE4"/>
    <w:rsid w:val="004803FA"/>
    <w:rsid w:val="00481C0D"/>
    <w:rsid w:val="00483E62"/>
    <w:rsid w:val="004855C1"/>
    <w:rsid w:val="0048643B"/>
    <w:rsid w:val="00486443"/>
    <w:rsid w:val="00486C57"/>
    <w:rsid w:val="00487536"/>
    <w:rsid w:val="004876B1"/>
    <w:rsid w:val="00487E22"/>
    <w:rsid w:val="0049212C"/>
    <w:rsid w:val="00492721"/>
    <w:rsid w:val="00492A13"/>
    <w:rsid w:val="00493237"/>
    <w:rsid w:val="00493C77"/>
    <w:rsid w:val="0049407C"/>
    <w:rsid w:val="00495020"/>
    <w:rsid w:val="004956BB"/>
    <w:rsid w:val="0049577C"/>
    <w:rsid w:val="00495A0D"/>
    <w:rsid w:val="00495D2B"/>
    <w:rsid w:val="00496343"/>
    <w:rsid w:val="00497B8E"/>
    <w:rsid w:val="00497E95"/>
    <w:rsid w:val="004A03E7"/>
    <w:rsid w:val="004A10B9"/>
    <w:rsid w:val="004A1A24"/>
    <w:rsid w:val="004A1D1F"/>
    <w:rsid w:val="004A3541"/>
    <w:rsid w:val="004A3AC8"/>
    <w:rsid w:val="004A3E02"/>
    <w:rsid w:val="004A3F1C"/>
    <w:rsid w:val="004A4503"/>
    <w:rsid w:val="004A56E2"/>
    <w:rsid w:val="004A69D6"/>
    <w:rsid w:val="004A6C01"/>
    <w:rsid w:val="004A6F7D"/>
    <w:rsid w:val="004B07FF"/>
    <w:rsid w:val="004B087F"/>
    <w:rsid w:val="004B0ABB"/>
    <w:rsid w:val="004B18C9"/>
    <w:rsid w:val="004B206B"/>
    <w:rsid w:val="004B23AB"/>
    <w:rsid w:val="004B3290"/>
    <w:rsid w:val="004B3751"/>
    <w:rsid w:val="004B376F"/>
    <w:rsid w:val="004B4718"/>
    <w:rsid w:val="004B48A2"/>
    <w:rsid w:val="004B58D7"/>
    <w:rsid w:val="004B5CE3"/>
    <w:rsid w:val="004B5FF4"/>
    <w:rsid w:val="004B640C"/>
    <w:rsid w:val="004B6C69"/>
    <w:rsid w:val="004B75E0"/>
    <w:rsid w:val="004B77BD"/>
    <w:rsid w:val="004B7A18"/>
    <w:rsid w:val="004B7E7F"/>
    <w:rsid w:val="004C0B80"/>
    <w:rsid w:val="004C11CA"/>
    <w:rsid w:val="004C18BB"/>
    <w:rsid w:val="004C1C9B"/>
    <w:rsid w:val="004C1F81"/>
    <w:rsid w:val="004C1FA4"/>
    <w:rsid w:val="004C3182"/>
    <w:rsid w:val="004C345B"/>
    <w:rsid w:val="004C3D10"/>
    <w:rsid w:val="004C40C1"/>
    <w:rsid w:val="004C4741"/>
    <w:rsid w:val="004C486F"/>
    <w:rsid w:val="004C49D2"/>
    <w:rsid w:val="004C4F0B"/>
    <w:rsid w:val="004C50B6"/>
    <w:rsid w:val="004C6C4D"/>
    <w:rsid w:val="004C7698"/>
    <w:rsid w:val="004D0721"/>
    <w:rsid w:val="004D0D56"/>
    <w:rsid w:val="004D14D4"/>
    <w:rsid w:val="004D1863"/>
    <w:rsid w:val="004D1B93"/>
    <w:rsid w:val="004D20D9"/>
    <w:rsid w:val="004D3189"/>
    <w:rsid w:val="004D53BB"/>
    <w:rsid w:val="004D5543"/>
    <w:rsid w:val="004D58DC"/>
    <w:rsid w:val="004D71B5"/>
    <w:rsid w:val="004D77F5"/>
    <w:rsid w:val="004D7B6D"/>
    <w:rsid w:val="004D7ECB"/>
    <w:rsid w:val="004E0323"/>
    <w:rsid w:val="004E0339"/>
    <w:rsid w:val="004E068A"/>
    <w:rsid w:val="004E0A77"/>
    <w:rsid w:val="004E0B0C"/>
    <w:rsid w:val="004E0FEE"/>
    <w:rsid w:val="004E14F7"/>
    <w:rsid w:val="004E2A6D"/>
    <w:rsid w:val="004E354F"/>
    <w:rsid w:val="004E462D"/>
    <w:rsid w:val="004E4F22"/>
    <w:rsid w:val="004E53AC"/>
    <w:rsid w:val="004E5C87"/>
    <w:rsid w:val="004E6A2A"/>
    <w:rsid w:val="004E7307"/>
    <w:rsid w:val="004E788F"/>
    <w:rsid w:val="004E7938"/>
    <w:rsid w:val="004E7EAE"/>
    <w:rsid w:val="004F0298"/>
    <w:rsid w:val="004F0598"/>
    <w:rsid w:val="004F12DC"/>
    <w:rsid w:val="004F348F"/>
    <w:rsid w:val="004F36BD"/>
    <w:rsid w:val="004F3A1B"/>
    <w:rsid w:val="004F47F8"/>
    <w:rsid w:val="004F514A"/>
    <w:rsid w:val="004F58DF"/>
    <w:rsid w:val="00500013"/>
    <w:rsid w:val="0050034A"/>
    <w:rsid w:val="00502A4B"/>
    <w:rsid w:val="00502D84"/>
    <w:rsid w:val="00503057"/>
    <w:rsid w:val="0050406F"/>
    <w:rsid w:val="005047E1"/>
    <w:rsid w:val="0050501E"/>
    <w:rsid w:val="00505224"/>
    <w:rsid w:val="00505476"/>
    <w:rsid w:val="00505FA0"/>
    <w:rsid w:val="005062CE"/>
    <w:rsid w:val="005067E5"/>
    <w:rsid w:val="00507F4B"/>
    <w:rsid w:val="0051167B"/>
    <w:rsid w:val="00511ABF"/>
    <w:rsid w:val="005127F0"/>
    <w:rsid w:val="005136FB"/>
    <w:rsid w:val="00513759"/>
    <w:rsid w:val="00514715"/>
    <w:rsid w:val="00514A29"/>
    <w:rsid w:val="00515278"/>
    <w:rsid w:val="00515439"/>
    <w:rsid w:val="00515575"/>
    <w:rsid w:val="00517D66"/>
    <w:rsid w:val="00520F26"/>
    <w:rsid w:val="0052139C"/>
    <w:rsid w:val="0052191D"/>
    <w:rsid w:val="005220A2"/>
    <w:rsid w:val="00522D48"/>
    <w:rsid w:val="00522FD3"/>
    <w:rsid w:val="00524732"/>
    <w:rsid w:val="00524C90"/>
    <w:rsid w:val="00524D1D"/>
    <w:rsid w:val="00525234"/>
    <w:rsid w:val="00525658"/>
    <w:rsid w:val="00526196"/>
    <w:rsid w:val="00530342"/>
    <w:rsid w:val="005306B6"/>
    <w:rsid w:val="0053082E"/>
    <w:rsid w:val="00530B7B"/>
    <w:rsid w:val="005318E0"/>
    <w:rsid w:val="00531AF7"/>
    <w:rsid w:val="00532D30"/>
    <w:rsid w:val="00533327"/>
    <w:rsid w:val="00533C19"/>
    <w:rsid w:val="00533E7B"/>
    <w:rsid w:val="00534947"/>
    <w:rsid w:val="00535012"/>
    <w:rsid w:val="0053587E"/>
    <w:rsid w:val="005358B9"/>
    <w:rsid w:val="00535CD5"/>
    <w:rsid w:val="00536304"/>
    <w:rsid w:val="0053708C"/>
    <w:rsid w:val="005375C2"/>
    <w:rsid w:val="00537BC2"/>
    <w:rsid w:val="00537D72"/>
    <w:rsid w:val="00540875"/>
    <w:rsid w:val="0054107C"/>
    <w:rsid w:val="005411DC"/>
    <w:rsid w:val="00542B6C"/>
    <w:rsid w:val="00542F05"/>
    <w:rsid w:val="005435DE"/>
    <w:rsid w:val="00543D33"/>
    <w:rsid w:val="00544683"/>
    <w:rsid w:val="00545BE2"/>
    <w:rsid w:val="00546067"/>
    <w:rsid w:val="00546530"/>
    <w:rsid w:val="00546733"/>
    <w:rsid w:val="00547F3B"/>
    <w:rsid w:val="00547F6D"/>
    <w:rsid w:val="005502D0"/>
    <w:rsid w:val="005503BA"/>
    <w:rsid w:val="00550466"/>
    <w:rsid w:val="0055078E"/>
    <w:rsid w:val="0055098D"/>
    <w:rsid w:val="00551326"/>
    <w:rsid w:val="005519CB"/>
    <w:rsid w:val="00552527"/>
    <w:rsid w:val="00552905"/>
    <w:rsid w:val="00553FAA"/>
    <w:rsid w:val="005543EB"/>
    <w:rsid w:val="00554855"/>
    <w:rsid w:val="00555125"/>
    <w:rsid w:val="00555567"/>
    <w:rsid w:val="00555583"/>
    <w:rsid w:val="005559C4"/>
    <w:rsid w:val="005565BB"/>
    <w:rsid w:val="00556701"/>
    <w:rsid w:val="005568FA"/>
    <w:rsid w:val="00556F33"/>
    <w:rsid w:val="00560A9E"/>
    <w:rsid w:val="00560B59"/>
    <w:rsid w:val="00560BBC"/>
    <w:rsid w:val="00561462"/>
    <w:rsid w:val="00561704"/>
    <w:rsid w:val="00561BC5"/>
    <w:rsid w:val="00562414"/>
    <w:rsid w:val="00563C38"/>
    <w:rsid w:val="005643A9"/>
    <w:rsid w:val="0056453D"/>
    <w:rsid w:val="00564F75"/>
    <w:rsid w:val="005652D7"/>
    <w:rsid w:val="00565C4F"/>
    <w:rsid w:val="0056666F"/>
    <w:rsid w:val="005675DA"/>
    <w:rsid w:val="00567A0C"/>
    <w:rsid w:val="005707E1"/>
    <w:rsid w:val="00570A48"/>
    <w:rsid w:val="00570CE9"/>
    <w:rsid w:val="00570CFF"/>
    <w:rsid w:val="00570F9B"/>
    <w:rsid w:val="00571013"/>
    <w:rsid w:val="005713B9"/>
    <w:rsid w:val="00571FE3"/>
    <w:rsid w:val="0057207D"/>
    <w:rsid w:val="00572677"/>
    <w:rsid w:val="005728B2"/>
    <w:rsid w:val="00572915"/>
    <w:rsid w:val="00572B13"/>
    <w:rsid w:val="005734D4"/>
    <w:rsid w:val="00573DCF"/>
    <w:rsid w:val="00575212"/>
    <w:rsid w:val="005755D3"/>
    <w:rsid w:val="005756FF"/>
    <w:rsid w:val="00576095"/>
    <w:rsid w:val="00576706"/>
    <w:rsid w:val="00580651"/>
    <w:rsid w:val="00580A22"/>
    <w:rsid w:val="00581C8E"/>
    <w:rsid w:val="00582735"/>
    <w:rsid w:val="005827A2"/>
    <w:rsid w:val="00582C25"/>
    <w:rsid w:val="0058328A"/>
    <w:rsid w:val="005845BF"/>
    <w:rsid w:val="00584BA1"/>
    <w:rsid w:val="00584F25"/>
    <w:rsid w:val="00585180"/>
    <w:rsid w:val="00585416"/>
    <w:rsid w:val="005854DA"/>
    <w:rsid w:val="0058556E"/>
    <w:rsid w:val="00585B94"/>
    <w:rsid w:val="00586BF4"/>
    <w:rsid w:val="00586F53"/>
    <w:rsid w:val="00587393"/>
    <w:rsid w:val="005876B8"/>
    <w:rsid w:val="00590283"/>
    <w:rsid w:val="005907A2"/>
    <w:rsid w:val="00590E2C"/>
    <w:rsid w:val="00591F40"/>
    <w:rsid w:val="005929D5"/>
    <w:rsid w:val="00592D62"/>
    <w:rsid w:val="005930AC"/>
    <w:rsid w:val="00593A28"/>
    <w:rsid w:val="00593C20"/>
    <w:rsid w:val="00594596"/>
    <w:rsid w:val="00595F3E"/>
    <w:rsid w:val="00596573"/>
    <w:rsid w:val="00596BB8"/>
    <w:rsid w:val="00596F5A"/>
    <w:rsid w:val="00597250"/>
    <w:rsid w:val="00597D12"/>
    <w:rsid w:val="005A0162"/>
    <w:rsid w:val="005A0AAA"/>
    <w:rsid w:val="005A12B3"/>
    <w:rsid w:val="005A1CF9"/>
    <w:rsid w:val="005A2616"/>
    <w:rsid w:val="005A27A5"/>
    <w:rsid w:val="005A3545"/>
    <w:rsid w:val="005A3AA6"/>
    <w:rsid w:val="005A3F13"/>
    <w:rsid w:val="005A3FE7"/>
    <w:rsid w:val="005A43E6"/>
    <w:rsid w:val="005A518A"/>
    <w:rsid w:val="005A5B7F"/>
    <w:rsid w:val="005A5C5E"/>
    <w:rsid w:val="005A5F0C"/>
    <w:rsid w:val="005A67E3"/>
    <w:rsid w:val="005A726A"/>
    <w:rsid w:val="005A78C3"/>
    <w:rsid w:val="005B020A"/>
    <w:rsid w:val="005B07A8"/>
    <w:rsid w:val="005B0C3F"/>
    <w:rsid w:val="005B0E69"/>
    <w:rsid w:val="005B0EC4"/>
    <w:rsid w:val="005B0FFC"/>
    <w:rsid w:val="005B169A"/>
    <w:rsid w:val="005B1B65"/>
    <w:rsid w:val="005B21A9"/>
    <w:rsid w:val="005B24B5"/>
    <w:rsid w:val="005B29B5"/>
    <w:rsid w:val="005B2AF8"/>
    <w:rsid w:val="005B2B03"/>
    <w:rsid w:val="005B2B7A"/>
    <w:rsid w:val="005B2CBE"/>
    <w:rsid w:val="005B3039"/>
    <w:rsid w:val="005B30C8"/>
    <w:rsid w:val="005B30EE"/>
    <w:rsid w:val="005B32AB"/>
    <w:rsid w:val="005B4397"/>
    <w:rsid w:val="005B49EB"/>
    <w:rsid w:val="005B4F0D"/>
    <w:rsid w:val="005B51F2"/>
    <w:rsid w:val="005B5344"/>
    <w:rsid w:val="005B6077"/>
    <w:rsid w:val="005B66D4"/>
    <w:rsid w:val="005B697D"/>
    <w:rsid w:val="005B7093"/>
    <w:rsid w:val="005B7144"/>
    <w:rsid w:val="005B75FB"/>
    <w:rsid w:val="005B7BD9"/>
    <w:rsid w:val="005B7CDB"/>
    <w:rsid w:val="005C07F3"/>
    <w:rsid w:val="005C0F32"/>
    <w:rsid w:val="005C130B"/>
    <w:rsid w:val="005C16AA"/>
    <w:rsid w:val="005C20A6"/>
    <w:rsid w:val="005C21D9"/>
    <w:rsid w:val="005C3660"/>
    <w:rsid w:val="005C3964"/>
    <w:rsid w:val="005C3FCE"/>
    <w:rsid w:val="005C43D1"/>
    <w:rsid w:val="005C4665"/>
    <w:rsid w:val="005C4913"/>
    <w:rsid w:val="005C4AF6"/>
    <w:rsid w:val="005C62E8"/>
    <w:rsid w:val="005C6505"/>
    <w:rsid w:val="005C6AD4"/>
    <w:rsid w:val="005C747D"/>
    <w:rsid w:val="005C7939"/>
    <w:rsid w:val="005D012A"/>
    <w:rsid w:val="005D0135"/>
    <w:rsid w:val="005D0786"/>
    <w:rsid w:val="005D098E"/>
    <w:rsid w:val="005D11C2"/>
    <w:rsid w:val="005D176B"/>
    <w:rsid w:val="005D1C90"/>
    <w:rsid w:val="005D1FED"/>
    <w:rsid w:val="005D2986"/>
    <w:rsid w:val="005D29B8"/>
    <w:rsid w:val="005D2F08"/>
    <w:rsid w:val="005D319E"/>
    <w:rsid w:val="005D3303"/>
    <w:rsid w:val="005D35BA"/>
    <w:rsid w:val="005D3C44"/>
    <w:rsid w:val="005D4346"/>
    <w:rsid w:val="005D4493"/>
    <w:rsid w:val="005D5D07"/>
    <w:rsid w:val="005D6112"/>
    <w:rsid w:val="005D633A"/>
    <w:rsid w:val="005D6E0B"/>
    <w:rsid w:val="005D7D5E"/>
    <w:rsid w:val="005D7EB6"/>
    <w:rsid w:val="005E0144"/>
    <w:rsid w:val="005E0787"/>
    <w:rsid w:val="005E0D18"/>
    <w:rsid w:val="005E1089"/>
    <w:rsid w:val="005E11DF"/>
    <w:rsid w:val="005E38DE"/>
    <w:rsid w:val="005E3EF9"/>
    <w:rsid w:val="005E41C4"/>
    <w:rsid w:val="005E42B1"/>
    <w:rsid w:val="005E4315"/>
    <w:rsid w:val="005E5835"/>
    <w:rsid w:val="005E6246"/>
    <w:rsid w:val="005E6375"/>
    <w:rsid w:val="005E696B"/>
    <w:rsid w:val="005E6A6C"/>
    <w:rsid w:val="005E6AD6"/>
    <w:rsid w:val="005E6E84"/>
    <w:rsid w:val="005E6F9E"/>
    <w:rsid w:val="005E7677"/>
    <w:rsid w:val="005E7B99"/>
    <w:rsid w:val="005F1533"/>
    <w:rsid w:val="005F1CF9"/>
    <w:rsid w:val="005F1E04"/>
    <w:rsid w:val="005F2086"/>
    <w:rsid w:val="005F3112"/>
    <w:rsid w:val="005F394F"/>
    <w:rsid w:val="005F46EA"/>
    <w:rsid w:val="005F4740"/>
    <w:rsid w:val="005F4ED8"/>
    <w:rsid w:val="005F570A"/>
    <w:rsid w:val="005F5EE6"/>
    <w:rsid w:val="005F73AE"/>
    <w:rsid w:val="005F7414"/>
    <w:rsid w:val="006003B7"/>
    <w:rsid w:val="00600831"/>
    <w:rsid w:val="0060087D"/>
    <w:rsid w:val="00601790"/>
    <w:rsid w:val="006019DA"/>
    <w:rsid w:val="00602348"/>
    <w:rsid w:val="00602AD2"/>
    <w:rsid w:val="00602E3A"/>
    <w:rsid w:val="00602FD1"/>
    <w:rsid w:val="006031DE"/>
    <w:rsid w:val="006034A1"/>
    <w:rsid w:val="00603CFF"/>
    <w:rsid w:val="00603F60"/>
    <w:rsid w:val="00603F9C"/>
    <w:rsid w:val="006050BC"/>
    <w:rsid w:val="00605B29"/>
    <w:rsid w:val="0060639A"/>
    <w:rsid w:val="00607398"/>
    <w:rsid w:val="00607AF3"/>
    <w:rsid w:val="00607D01"/>
    <w:rsid w:val="00610709"/>
    <w:rsid w:val="006115CD"/>
    <w:rsid w:val="00611ADA"/>
    <w:rsid w:val="00611FAE"/>
    <w:rsid w:val="00612B6F"/>
    <w:rsid w:val="00612D93"/>
    <w:rsid w:val="00613644"/>
    <w:rsid w:val="00614258"/>
    <w:rsid w:val="006147F0"/>
    <w:rsid w:val="00615E1D"/>
    <w:rsid w:val="00615FCF"/>
    <w:rsid w:val="006170FF"/>
    <w:rsid w:val="0061717D"/>
    <w:rsid w:val="006175E2"/>
    <w:rsid w:val="00617863"/>
    <w:rsid w:val="00620E33"/>
    <w:rsid w:val="00620FF8"/>
    <w:rsid w:val="00621B7F"/>
    <w:rsid w:val="006223A9"/>
    <w:rsid w:val="00622624"/>
    <w:rsid w:val="00622818"/>
    <w:rsid w:val="0062314B"/>
    <w:rsid w:val="00623C62"/>
    <w:rsid w:val="00624095"/>
    <w:rsid w:val="006245AB"/>
    <w:rsid w:val="00624A77"/>
    <w:rsid w:val="006255FC"/>
    <w:rsid w:val="0062591B"/>
    <w:rsid w:val="00625AC7"/>
    <w:rsid w:val="00625EA6"/>
    <w:rsid w:val="006270CD"/>
    <w:rsid w:val="00627201"/>
    <w:rsid w:val="00630857"/>
    <w:rsid w:val="0063118A"/>
    <w:rsid w:val="00631570"/>
    <w:rsid w:val="00632742"/>
    <w:rsid w:val="00632F6E"/>
    <w:rsid w:val="00633981"/>
    <w:rsid w:val="00633FE6"/>
    <w:rsid w:val="00634269"/>
    <w:rsid w:val="006358FE"/>
    <w:rsid w:val="00635B70"/>
    <w:rsid w:val="00637714"/>
    <w:rsid w:val="006402F8"/>
    <w:rsid w:val="0064097F"/>
    <w:rsid w:val="00640D56"/>
    <w:rsid w:val="00643522"/>
    <w:rsid w:val="006435D5"/>
    <w:rsid w:val="00644709"/>
    <w:rsid w:val="006449FF"/>
    <w:rsid w:val="006456A9"/>
    <w:rsid w:val="006500CF"/>
    <w:rsid w:val="00650A89"/>
    <w:rsid w:val="00651FA2"/>
    <w:rsid w:val="006521E6"/>
    <w:rsid w:val="00653026"/>
    <w:rsid w:val="0065310F"/>
    <w:rsid w:val="006534E4"/>
    <w:rsid w:val="00653595"/>
    <w:rsid w:val="00653697"/>
    <w:rsid w:val="00653FCD"/>
    <w:rsid w:val="00654A8F"/>
    <w:rsid w:val="006551AF"/>
    <w:rsid w:val="006559C0"/>
    <w:rsid w:val="00656031"/>
    <w:rsid w:val="006561DF"/>
    <w:rsid w:val="0065672E"/>
    <w:rsid w:val="00656D3E"/>
    <w:rsid w:val="006578A3"/>
    <w:rsid w:val="006579F2"/>
    <w:rsid w:val="00657BD7"/>
    <w:rsid w:val="00657C87"/>
    <w:rsid w:val="006600AA"/>
    <w:rsid w:val="00660666"/>
    <w:rsid w:val="0066070E"/>
    <w:rsid w:val="006608E2"/>
    <w:rsid w:val="00660AC7"/>
    <w:rsid w:val="00660BAD"/>
    <w:rsid w:val="00661E37"/>
    <w:rsid w:val="006623B1"/>
    <w:rsid w:val="0066276F"/>
    <w:rsid w:val="00663B8A"/>
    <w:rsid w:val="006645C6"/>
    <w:rsid w:val="00664661"/>
    <w:rsid w:val="0066540E"/>
    <w:rsid w:val="006659D9"/>
    <w:rsid w:val="00665C78"/>
    <w:rsid w:val="006670F3"/>
    <w:rsid w:val="006671EE"/>
    <w:rsid w:val="006675F9"/>
    <w:rsid w:val="00667F84"/>
    <w:rsid w:val="006708B3"/>
    <w:rsid w:val="00671515"/>
    <w:rsid w:val="00672A44"/>
    <w:rsid w:val="00672FCA"/>
    <w:rsid w:val="00673181"/>
    <w:rsid w:val="00673B36"/>
    <w:rsid w:val="006746A2"/>
    <w:rsid w:val="00674776"/>
    <w:rsid w:val="006748E0"/>
    <w:rsid w:val="00676537"/>
    <w:rsid w:val="0067662C"/>
    <w:rsid w:val="006766DE"/>
    <w:rsid w:val="006772EB"/>
    <w:rsid w:val="00680070"/>
    <w:rsid w:val="006827AD"/>
    <w:rsid w:val="00682B36"/>
    <w:rsid w:val="006833F8"/>
    <w:rsid w:val="00683DCB"/>
    <w:rsid w:val="00683F7F"/>
    <w:rsid w:val="00684DF1"/>
    <w:rsid w:val="0068600F"/>
    <w:rsid w:val="00686383"/>
    <w:rsid w:val="006863DD"/>
    <w:rsid w:val="00686607"/>
    <w:rsid w:val="00686D48"/>
    <w:rsid w:val="00687073"/>
    <w:rsid w:val="00687228"/>
    <w:rsid w:val="006874F4"/>
    <w:rsid w:val="0068789C"/>
    <w:rsid w:val="006906E5"/>
    <w:rsid w:val="00690FF3"/>
    <w:rsid w:val="0069248F"/>
    <w:rsid w:val="0069249C"/>
    <w:rsid w:val="00692594"/>
    <w:rsid w:val="00692F2D"/>
    <w:rsid w:val="006941F9"/>
    <w:rsid w:val="00694456"/>
    <w:rsid w:val="00694B86"/>
    <w:rsid w:val="0069543D"/>
    <w:rsid w:val="00695750"/>
    <w:rsid w:val="00695936"/>
    <w:rsid w:val="00696125"/>
    <w:rsid w:val="006962B2"/>
    <w:rsid w:val="006965B8"/>
    <w:rsid w:val="00696879"/>
    <w:rsid w:val="00696F09"/>
    <w:rsid w:val="006979A2"/>
    <w:rsid w:val="006A028F"/>
    <w:rsid w:val="006A089A"/>
    <w:rsid w:val="006A0A21"/>
    <w:rsid w:val="006A0EF2"/>
    <w:rsid w:val="006A2527"/>
    <w:rsid w:val="006A258B"/>
    <w:rsid w:val="006A3423"/>
    <w:rsid w:val="006A3AA5"/>
    <w:rsid w:val="006A3C3C"/>
    <w:rsid w:val="006A3CD2"/>
    <w:rsid w:val="006A3DE8"/>
    <w:rsid w:val="006A3F7F"/>
    <w:rsid w:val="006A4318"/>
    <w:rsid w:val="006A4AA1"/>
    <w:rsid w:val="006A4C51"/>
    <w:rsid w:val="006A5215"/>
    <w:rsid w:val="006A53C2"/>
    <w:rsid w:val="006A5488"/>
    <w:rsid w:val="006A56CE"/>
    <w:rsid w:val="006A6E20"/>
    <w:rsid w:val="006A6E27"/>
    <w:rsid w:val="006A7368"/>
    <w:rsid w:val="006A795D"/>
    <w:rsid w:val="006B1711"/>
    <w:rsid w:val="006B1AD6"/>
    <w:rsid w:val="006B1FD6"/>
    <w:rsid w:val="006B2623"/>
    <w:rsid w:val="006B429D"/>
    <w:rsid w:val="006B48F2"/>
    <w:rsid w:val="006B5727"/>
    <w:rsid w:val="006B58B4"/>
    <w:rsid w:val="006B5C81"/>
    <w:rsid w:val="006B7C89"/>
    <w:rsid w:val="006C032F"/>
    <w:rsid w:val="006C055F"/>
    <w:rsid w:val="006C09F1"/>
    <w:rsid w:val="006C140E"/>
    <w:rsid w:val="006C1C9A"/>
    <w:rsid w:val="006C1F99"/>
    <w:rsid w:val="006C2AC3"/>
    <w:rsid w:val="006C2CA2"/>
    <w:rsid w:val="006C2DEC"/>
    <w:rsid w:val="006C32DB"/>
    <w:rsid w:val="006C4437"/>
    <w:rsid w:val="006C4638"/>
    <w:rsid w:val="006C4F09"/>
    <w:rsid w:val="006C5760"/>
    <w:rsid w:val="006C6227"/>
    <w:rsid w:val="006C6313"/>
    <w:rsid w:val="006C6AA1"/>
    <w:rsid w:val="006C7AD7"/>
    <w:rsid w:val="006C7B1B"/>
    <w:rsid w:val="006C7C4A"/>
    <w:rsid w:val="006C7FEC"/>
    <w:rsid w:val="006D1B67"/>
    <w:rsid w:val="006D23D8"/>
    <w:rsid w:val="006D3A2D"/>
    <w:rsid w:val="006D4173"/>
    <w:rsid w:val="006D654F"/>
    <w:rsid w:val="006D6C35"/>
    <w:rsid w:val="006D7158"/>
    <w:rsid w:val="006D7600"/>
    <w:rsid w:val="006D7641"/>
    <w:rsid w:val="006E0CEF"/>
    <w:rsid w:val="006E0CFB"/>
    <w:rsid w:val="006E1BFA"/>
    <w:rsid w:val="006E1C73"/>
    <w:rsid w:val="006E2215"/>
    <w:rsid w:val="006E256B"/>
    <w:rsid w:val="006E2628"/>
    <w:rsid w:val="006E35D9"/>
    <w:rsid w:val="006E4347"/>
    <w:rsid w:val="006E46AE"/>
    <w:rsid w:val="006E4FB6"/>
    <w:rsid w:val="006E55A6"/>
    <w:rsid w:val="006E5C99"/>
    <w:rsid w:val="006E5DF5"/>
    <w:rsid w:val="006E6613"/>
    <w:rsid w:val="006E677E"/>
    <w:rsid w:val="006E695C"/>
    <w:rsid w:val="006E6961"/>
    <w:rsid w:val="006F12DA"/>
    <w:rsid w:val="006F17A9"/>
    <w:rsid w:val="006F1DAC"/>
    <w:rsid w:val="006F20D6"/>
    <w:rsid w:val="006F2538"/>
    <w:rsid w:val="006F2909"/>
    <w:rsid w:val="006F2C3A"/>
    <w:rsid w:val="006F3555"/>
    <w:rsid w:val="006F495F"/>
    <w:rsid w:val="006F4A09"/>
    <w:rsid w:val="006F4A62"/>
    <w:rsid w:val="006F5466"/>
    <w:rsid w:val="006F55B1"/>
    <w:rsid w:val="006F5BDB"/>
    <w:rsid w:val="006F5EEB"/>
    <w:rsid w:val="006F6DBD"/>
    <w:rsid w:val="006F6EAC"/>
    <w:rsid w:val="006F6F3D"/>
    <w:rsid w:val="006F7446"/>
    <w:rsid w:val="006F7932"/>
    <w:rsid w:val="006F7EC3"/>
    <w:rsid w:val="0070040A"/>
    <w:rsid w:val="00700F29"/>
    <w:rsid w:val="00701B7A"/>
    <w:rsid w:val="0070332C"/>
    <w:rsid w:val="00703A45"/>
    <w:rsid w:val="00703A64"/>
    <w:rsid w:val="007047E9"/>
    <w:rsid w:val="00704A54"/>
    <w:rsid w:val="00704D06"/>
    <w:rsid w:val="00704F03"/>
    <w:rsid w:val="007056F8"/>
    <w:rsid w:val="00705C77"/>
    <w:rsid w:val="00706890"/>
    <w:rsid w:val="007069DB"/>
    <w:rsid w:val="00706C09"/>
    <w:rsid w:val="00706D5E"/>
    <w:rsid w:val="00707145"/>
    <w:rsid w:val="007072BC"/>
    <w:rsid w:val="00707474"/>
    <w:rsid w:val="00707655"/>
    <w:rsid w:val="00707904"/>
    <w:rsid w:val="00710501"/>
    <w:rsid w:val="007108D1"/>
    <w:rsid w:val="00711052"/>
    <w:rsid w:val="00712628"/>
    <w:rsid w:val="007130EA"/>
    <w:rsid w:val="007135E0"/>
    <w:rsid w:val="00713B01"/>
    <w:rsid w:val="00713CF6"/>
    <w:rsid w:val="0071414D"/>
    <w:rsid w:val="0071416B"/>
    <w:rsid w:val="00714316"/>
    <w:rsid w:val="007143DB"/>
    <w:rsid w:val="007145D7"/>
    <w:rsid w:val="007148B8"/>
    <w:rsid w:val="00714DA7"/>
    <w:rsid w:val="00714E55"/>
    <w:rsid w:val="007150CD"/>
    <w:rsid w:val="0071752E"/>
    <w:rsid w:val="00717DE1"/>
    <w:rsid w:val="00717EE5"/>
    <w:rsid w:val="00720238"/>
    <w:rsid w:val="007205AE"/>
    <w:rsid w:val="00721A6E"/>
    <w:rsid w:val="00721B11"/>
    <w:rsid w:val="00721BD8"/>
    <w:rsid w:val="00721E16"/>
    <w:rsid w:val="00722312"/>
    <w:rsid w:val="00722631"/>
    <w:rsid w:val="0072299D"/>
    <w:rsid w:val="00722A23"/>
    <w:rsid w:val="00722BF7"/>
    <w:rsid w:val="007233A7"/>
    <w:rsid w:val="00723620"/>
    <w:rsid w:val="007242C3"/>
    <w:rsid w:val="007244B8"/>
    <w:rsid w:val="00724D6D"/>
    <w:rsid w:val="0072583A"/>
    <w:rsid w:val="0072603A"/>
    <w:rsid w:val="007264CC"/>
    <w:rsid w:val="00727017"/>
    <w:rsid w:val="007314DC"/>
    <w:rsid w:val="007316AC"/>
    <w:rsid w:val="007317F3"/>
    <w:rsid w:val="00732522"/>
    <w:rsid w:val="0073260D"/>
    <w:rsid w:val="0073278C"/>
    <w:rsid w:val="00732D94"/>
    <w:rsid w:val="007330B5"/>
    <w:rsid w:val="00733A3E"/>
    <w:rsid w:val="007345E9"/>
    <w:rsid w:val="0073500F"/>
    <w:rsid w:val="007353B5"/>
    <w:rsid w:val="0073551D"/>
    <w:rsid w:val="00735955"/>
    <w:rsid w:val="00735A44"/>
    <w:rsid w:val="00736C3B"/>
    <w:rsid w:val="00737A6C"/>
    <w:rsid w:val="00737EA0"/>
    <w:rsid w:val="007408AE"/>
    <w:rsid w:val="00740DEA"/>
    <w:rsid w:val="00741197"/>
    <w:rsid w:val="00741443"/>
    <w:rsid w:val="007416C4"/>
    <w:rsid w:val="00741891"/>
    <w:rsid w:val="00741BB3"/>
    <w:rsid w:val="007421CF"/>
    <w:rsid w:val="00742234"/>
    <w:rsid w:val="00742C49"/>
    <w:rsid w:val="00743711"/>
    <w:rsid w:val="00745353"/>
    <w:rsid w:val="007459DC"/>
    <w:rsid w:val="007474D9"/>
    <w:rsid w:val="0075005A"/>
    <w:rsid w:val="007502BB"/>
    <w:rsid w:val="00750388"/>
    <w:rsid w:val="0075060C"/>
    <w:rsid w:val="00750B3F"/>
    <w:rsid w:val="00751098"/>
    <w:rsid w:val="007513AA"/>
    <w:rsid w:val="0075171F"/>
    <w:rsid w:val="00751B67"/>
    <w:rsid w:val="007527A2"/>
    <w:rsid w:val="0075289F"/>
    <w:rsid w:val="00752B2A"/>
    <w:rsid w:val="0075324D"/>
    <w:rsid w:val="0075480C"/>
    <w:rsid w:val="00754DEE"/>
    <w:rsid w:val="0075539F"/>
    <w:rsid w:val="007559A0"/>
    <w:rsid w:val="00755C81"/>
    <w:rsid w:val="00755F5C"/>
    <w:rsid w:val="00755F60"/>
    <w:rsid w:val="00757211"/>
    <w:rsid w:val="0075762B"/>
    <w:rsid w:val="00760131"/>
    <w:rsid w:val="0076044A"/>
    <w:rsid w:val="00760A91"/>
    <w:rsid w:val="00760DD5"/>
    <w:rsid w:val="00761036"/>
    <w:rsid w:val="007610A6"/>
    <w:rsid w:val="00761DD4"/>
    <w:rsid w:val="00761DE6"/>
    <w:rsid w:val="007632B6"/>
    <w:rsid w:val="00763E9C"/>
    <w:rsid w:val="00763F25"/>
    <w:rsid w:val="00764D8A"/>
    <w:rsid w:val="00766349"/>
    <w:rsid w:val="007670A6"/>
    <w:rsid w:val="007671A1"/>
    <w:rsid w:val="007672A3"/>
    <w:rsid w:val="00770181"/>
    <w:rsid w:val="00770D35"/>
    <w:rsid w:val="00770FEF"/>
    <w:rsid w:val="0077163F"/>
    <w:rsid w:val="00771B4A"/>
    <w:rsid w:val="00771B5F"/>
    <w:rsid w:val="00774279"/>
    <w:rsid w:val="007744B0"/>
    <w:rsid w:val="0077477F"/>
    <w:rsid w:val="007752E7"/>
    <w:rsid w:val="00775789"/>
    <w:rsid w:val="00775DEE"/>
    <w:rsid w:val="00775F82"/>
    <w:rsid w:val="00776979"/>
    <w:rsid w:val="0077796F"/>
    <w:rsid w:val="00777FBF"/>
    <w:rsid w:val="007801B0"/>
    <w:rsid w:val="0078077F"/>
    <w:rsid w:val="0078176E"/>
    <w:rsid w:val="00782014"/>
    <w:rsid w:val="007820CE"/>
    <w:rsid w:val="007821BE"/>
    <w:rsid w:val="007838F3"/>
    <w:rsid w:val="007842EF"/>
    <w:rsid w:val="007845BC"/>
    <w:rsid w:val="007847C2"/>
    <w:rsid w:val="00784E7E"/>
    <w:rsid w:val="007853EC"/>
    <w:rsid w:val="007853FB"/>
    <w:rsid w:val="00785B6F"/>
    <w:rsid w:val="00785EA1"/>
    <w:rsid w:val="0078612E"/>
    <w:rsid w:val="00786188"/>
    <w:rsid w:val="0078665A"/>
    <w:rsid w:val="00786FCC"/>
    <w:rsid w:val="0078700C"/>
    <w:rsid w:val="00787D30"/>
    <w:rsid w:val="0079200C"/>
    <w:rsid w:val="00792079"/>
    <w:rsid w:val="007931BD"/>
    <w:rsid w:val="007949FB"/>
    <w:rsid w:val="00794CD7"/>
    <w:rsid w:val="00795050"/>
    <w:rsid w:val="00796BF9"/>
    <w:rsid w:val="00797357"/>
    <w:rsid w:val="007A0089"/>
    <w:rsid w:val="007A1ADA"/>
    <w:rsid w:val="007A2638"/>
    <w:rsid w:val="007A2762"/>
    <w:rsid w:val="007A3E07"/>
    <w:rsid w:val="007A3F43"/>
    <w:rsid w:val="007A4AEF"/>
    <w:rsid w:val="007A6AF9"/>
    <w:rsid w:val="007A75A8"/>
    <w:rsid w:val="007A7CB8"/>
    <w:rsid w:val="007A7F4A"/>
    <w:rsid w:val="007B0526"/>
    <w:rsid w:val="007B1899"/>
    <w:rsid w:val="007B1955"/>
    <w:rsid w:val="007B1E88"/>
    <w:rsid w:val="007B268A"/>
    <w:rsid w:val="007B269A"/>
    <w:rsid w:val="007B2A56"/>
    <w:rsid w:val="007B2BA9"/>
    <w:rsid w:val="007B2C79"/>
    <w:rsid w:val="007B3072"/>
    <w:rsid w:val="007B3A96"/>
    <w:rsid w:val="007B48A8"/>
    <w:rsid w:val="007B496B"/>
    <w:rsid w:val="007B4C9A"/>
    <w:rsid w:val="007B56B2"/>
    <w:rsid w:val="007B583E"/>
    <w:rsid w:val="007B5C13"/>
    <w:rsid w:val="007B6557"/>
    <w:rsid w:val="007B6C0F"/>
    <w:rsid w:val="007B762C"/>
    <w:rsid w:val="007B7916"/>
    <w:rsid w:val="007B7F71"/>
    <w:rsid w:val="007C0B7D"/>
    <w:rsid w:val="007C1ABB"/>
    <w:rsid w:val="007C2031"/>
    <w:rsid w:val="007C2061"/>
    <w:rsid w:val="007C224E"/>
    <w:rsid w:val="007C23DF"/>
    <w:rsid w:val="007C24EC"/>
    <w:rsid w:val="007C2628"/>
    <w:rsid w:val="007C315B"/>
    <w:rsid w:val="007C40BC"/>
    <w:rsid w:val="007C4210"/>
    <w:rsid w:val="007C424E"/>
    <w:rsid w:val="007C4612"/>
    <w:rsid w:val="007C4D28"/>
    <w:rsid w:val="007C4FAF"/>
    <w:rsid w:val="007C531C"/>
    <w:rsid w:val="007C552E"/>
    <w:rsid w:val="007C6776"/>
    <w:rsid w:val="007C707B"/>
    <w:rsid w:val="007D0D7D"/>
    <w:rsid w:val="007D0EFA"/>
    <w:rsid w:val="007D11AE"/>
    <w:rsid w:val="007D2ADA"/>
    <w:rsid w:val="007D38F5"/>
    <w:rsid w:val="007D402F"/>
    <w:rsid w:val="007D47C3"/>
    <w:rsid w:val="007D556D"/>
    <w:rsid w:val="007D601B"/>
    <w:rsid w:val="007D6313"/>
    <w:rsid w:val="007D6588"/>
    <w:rsid w:val="007D694A"/>
    <w:rsid w:val="007D6CD7"/>
    <w:rsid w:val="007D6D1A"/>
    <w:rsid w:val="007D7A71"/>
    <w:rsid w:val="007D7ECE"/>
    <w:rsid w:val="007E0343"/>
    <w:rsid w:val="007E03D3"/>
    <w:rsid w:val="007E0517"/>
    <w:rsid w:val="007E05AB"/>
    <w:rsid w:val="007E0C52"/>
    <w:rsid w:val="007E0CA0"/>
    <w:rsid w:val="007E16CF"/>
    <w:rsid w:val="007E1E1B"/>
    <w:rsid w:val="007E240D"/>
    <w:rsid w:val="007E2DC5"/>
    <w:rsid w:val="007E2F5E"/>
    <w:rsid w:val="007E30E7"/>
    <w:rsid w:val="007E346B"/>
    <w:rsid w:val="007E3800"/>
    <w:rsid w:val="007E3ADE"/>
    <w:rsid w:val="007E4D13"/>
    <w:rsid w:val="007E5485"/>
    <w:rsid w:val="007E5507"/>
    <w:rsid w:val="007E56A7"/>
    <w:rsid w:val="007E607C"/>
    <w:rsid w:val="007E6984"/>
    <w:rsid w:val="007F0885"/>
    <w:rsid w:val="007F0AC5"/>
    <w:rsid w:val="007F0F86"/>
    <w:rsid w:val="007F12A7"/>
    <w:rsid w:val="007F190F"/>
    <w:rsid w:val="007F3597"/>
    <w:rsid w:val="007F3DB1"/>
    <w:rsid w:val="007F4290"/>
    <w:rsid w:val="007F64BA"/>
    <w:rsid w:val="007F777F"/>
    <w:rsid w:val="008003B6"/>
    <w:rsid w:val="00800AD4"/>
    <w:rsid w:val="0080291E"/>
    <w:rsid w:val="0080311B"/>
    <w:rsid w:val="008037F9"/>
    <w:rsid w:val="00803B5B"/>
    <w:rsid w:val="00805125"/>
    <w:rsid w:val="00805258"/>
    <w:rsid w:val="0080574A"/>
    <w:rsid w:val="00805B8B"/>
    <w:rsid w:val="008062DE"/>
    <w:rsid w:val="00807049"/>
    <w:rsid w:val="00807261"/>
    <w:rsid w:val="008107BE"/>
    <w:rsid w:val="00810C9F"/>
    <w:rsid w:val="00810D63"/>
    <w:rsid w:val="00811725"/>
    <w:rsid w:val="0081224D"/>
    <w:rsid w:val="00813536"/>
    <w:rsid w:val="0081385D"/>
    <w:rsid w:val="00814316"/>
    <w:rsid w:val="008143A2"/>
    <w:rsid w:val="00814882"/>
    <w:rsid w:val="008148DF"/>
    <w:rsid w:val="00814CC4"/>
    <w:rsid w:val="00814D27"/>
    <w:rsid w:val="008155EE"/>
    <w:rsid w:val="00816128"/>
    <w:rsid w:val="00816256"/>
    <w:rsid w:val="008177CF"/>
    <w:rsid w:val="00820200"/>
    <w:rsid w:val="00821C99"/>
    <w:rsid w:val="00821F84"/>
    <w:rsid w:val="00822652"/>
    <w:rsid w:val="00822C1C"/>
    <w:rsid w:val="0082343E"/>
    <w:rsid w:val="0082387F"/>
    <w:rsid w:val="00823B57"/>
    <w:rsid w:val="00823EA9"/>
    <w:rsid w:val="00824144"/>
    <w:rsid w:val="00824E9D"/>
    <w:rsid w:val="0082551F"/>
    <w:rsid w:val="008255AB"/>
    <w:rsid w:val="0082639B"/>
    <w:rsid w:val="008263D3"/>
    <w:rsid w:val="00826B50"/>
    <w:rsid w:val="0082719B"/>
    <w:rsid w:val="008276EA"/>
    <w:rsid w:val="008300F3"/>
    <w:rsid w:val="008301D0"/>
    <w:rsid w:val="00830647"/>
    <w:rsid w:val="00830DAB"/>
    <w:rsid w:val="008316C1"/>
    <w:rsid w:val="008327E4"/>
    <w:rsid w:val="00833263"/>
    <w:rsid w:val="008332A3"/>
    <w:rsid w:val="00833D4B"/>
    <w:rsid w:val="008342BA"/>
    <w:rsid w:val="00834484"/>
    <w:rsid w:val="00834BFB"/>
    <w:rsid w:val="00834CE1"/>
    <w:rsid w:val="0083619A"/>
    <w:rsid w:val="008365E2"/>
    <w:rsid w:val="00836B57"/>
    <w:rsid w:val="00836D09"/>
    <w:rsid w:val="0083796B"/>
    <w:rsid w:val="00837E5C"/>
    <w:rsid w:val="0084032D"/>
    <w:rsid w:val="0084123D"/>
    <w:rsid w:val="008412B5"/>
    <w:rsid w:val="0084188E"/>
    <w:rsid w:val="00842096"/>
    <w:rsid w:val="00842CD8"/>
    <w:rsid w:val="00844130"/>
    <w:rsid w:val="008446E6"/>
    <w:rsid w:val="0084560C"/>
    <w:rsid w:val="0084575C"/>
    <w:rsid w:val="00846399"/>
    <w:rsid w:val="008466B0"/>
    <w:rsid w:val="00847F07"/>
    <w:rsid w:val="008504B5"/>
    <w:rsid w:val="0085156B"/>
    <w:rsid w:val="0085166E"/>
    <w:rsid w:val="00851AE3"/>
    <w:rsid w:val="00851F70"/>
    <w:rsid w:val="0085256A"/>
    <w:rsid w:val="00852978"/>
    <w:rsid w:val="00853693"/>
    <w:rsid w:val="00854202"/>
    <w:rsid w:val="008545EE"/>
    <w:rsid w:val="00854856"/>
    <w:rsid w:val="008549D1"/>
    <w:rsid w:val="00854C8A"/>
    <w:rsid w:val="00855988"/>
    <w:rsid w:val="00855FEC"/>
    <w:rsid w:val="00856939"/>
    <w:rsid w:val="00856C8D"/>
    <w:rsid w:val="008570D1"/>
    <w:rsid w:val="00857544"/>
    <w:rsid w:val="0086042C"/>
    <w:rsid w:val="00860492"/>
    <w:rsid w:val="00860F8C"/>
    <w:rsid w:val="0086193A"/>
    <w:rsid w:val="00861CF1"/>
    <w:rsid w:val="00862010"/>
    <w:rsid w:val="00862696"/>
    <w:rsid w:val="00862CBF"/>
    <w:rsid w:val="008633F3"/>
    <w:rsid w:val="00863D15"/>
    <w:rsid w:val="00863E99"/>
    <w:rsid w:val="00864612"/>
    <w:rsid w:val="0086465F"/>
    <w:rsid w:val="00864A2E"/>
    <w:rsid w:val="00865440"/>
    <w:rsid w:val="00865482"/>
    <w:rsid w:val="00872588"/>
    <w:rsid w:val="008725D2"/>
    <w:rsid w:val="0087284F"/>
    <w:rsid w:val="008734AF"/>
    <w:rsid w:val="00873777"/>
    <w:rsid w:val="00873890"/>
    <w:rsid w:val="00874638"/>
    <w:rsid w:val="00874DB3"/>
    <w:rsid w:val="00875578"/>
    <w:rsid w:val="00875B3C"/>
    <w:rsid w:val="008766A1"/>
    <w:rsid w:val="008769A7"/>
    <w:rsid w:val="00876BB7"/>
    <w:rsid w:val="00877138"/>
    <w:rsid w:val="008777DB"/>
    <w:rsid w:val="00877D02"/>
    <w:rsid w:val="00880F80"/>
    <w:rsid w:val="00881A26"/>
    <w:rsid w:val="00882139"/>
    <w:rsid w:val="008821F2"/>
    <w:rsid w:val="00883452"/>
    <w:rsid w:val="00883BBE"/>
    <w:rsid w:val="00883F80"/>
    <w:rsid w:val="008840A4"/>
    <w:rsid w:val="00884478"/>
    <w:rsid w:val="0088568C"/>
    <w:rsid w:val="00886021"/>
    <w:rsid w:val="008863D8"/>
    <w:rsid w:val="008901EE"/>
    <w:rsid w:val="008911FE"/>
    <w:rsid w:val="0089245E"/>
    <w:rsid w:val="00892FB2"/>
    <w:rsid w:val="00893898"/>
    <w:rsid w:val="0089448F"/>
    <w:rsid w:val="00894914"/>
    <w:rsid w:val="00894F78"/>
    <w:rsid w:val="0089571D"/>
    <w:rsid w:val="00895DFA"/>
    <w:rsid w:val="00896183"/>
    <w:rsid w:val="0089688C"/>
    <w:rsid w:val="008A095A"/>
    <w:rsid w:val="008A0CD1"/>
    <w:rsid w:val="008A13FD"/>
    <w:rsid w:val="008A1560"/>
    <w:rsid w:val="008A156F"/>
    <w:rsid w:val="008A1673"/>
    <w:rsid w:val="008A1B94"/>
    <w:rsid w:val="008A23AC"/>
    <w:rsid w:val="008A2429"/>
    <w:rsid w:val="008A2C49"/>
    <w:rsid w:val="008A2CED"/>
    <w:rsid w:val="008A2D79"/>
    <w:rsid w:val="008A3B7A"/>
    <w:rsid w:val="008A3D75"/>
    <w:rsid w:val="008A496C"/>
    <w:rsid w:val="008A5CDA"/>
    <w:rsid w:val="008A6F33"/>
    <w:rsid w:val="008A75F7"/>
    <w:rsid w:val="008A785D"/>
    <w:rsid w:val="008A7D0C"/>
    <w:rsid w:val="008A7D8A"/>
    <w:rsid w:val="008B0C91"/>
    <w:rsid w:val="008B1084"/>
    <w:rsid w:val="008B1225"/>
    <w:rsid w:val="008B1795"/>
    <w:rsid w:val="008B17A3"/>
    <w:rsid w:val="008B1985"/>
    <w:rsid w:val="008B1BC9"/>
    <w:rsid w:val="008B1E1B"/>
    <w:rsid w:val="008B1F39"/>
    <w:rsid w:val="008B26EB"/>
    <w:rsid w:val="008B2B34"/>
    <w:rsid w:val="008B3409"/>
    <w:rsid w:val="008B3910"/>
    <w:rsid w:val="008B397C"/>
    <w:rsid w:val="008B39D5"/>
    <w:rsid w:val="008B567C"/>
    <w:rsid w:val="008B587B"/>
    <w:rsid w:val="008B5DE7"/>
    <w:rsid w:val="008B626E"/>
    <w:rsid w:val="008B6ABC"/>
    <w:rsid w:val="008B7182"/>
    <w:rsid w:val="008B74AF"/>
    <w:rsid w:val="008B7D87"/>
    <w:rsid w:val="008C02E1"/>
    <w:rsid w:val="008C0317"/>
    <w:rsid w:val="008C0EB2"/>
    <w:rsid w:val="008C1FC2"/>
    <w:rsid w:val="008C23D1"/>
    <w:rsid w:val="008C244A"/>
    <w:rsid w:val="008C34A1"/>
    <w:rsid w:val="008C3A07"/>
    <w:rsid w:val="008C3A8D"/>
    <w:rsid w:val="008C3FC0"/>
    <w:rsid w:val="008C423F"/>
    <w:rsid w:val="008C5004"/>
    <w:rsid w:val="008C5115"/>
    <w:rsid w:val="008C7978"/>
    <w:rsid w:val="008C7FAA"/>
    <w:rsid w:val="008D0CA2"/>
    <w:rsid w:val="008D0F49"/>
    <w:rsid w:val="008D109A"/>
    <w:rsid w:val="008D1104"/>
    <w:rsid w:val="008D26BB"/>
    <w:rsid w:val="008D2B6C"/>
    <w:rsid w:val="008D2BB5"/>
    <w:rsid w:val="008D2D88"/>
    <w:rsid w:val="008D3C68"/>
    <w:rsid w:val="008D4065"/>
    <w:rsid w:val="008D4966"/>
    <w:rsid w:val="008D4CD4"/>
    <w:rsid w:val="008D7188"/>
    <w:rsid w:val="008D73C0"/>
    <w:rsid w:val="008D77B6"/>
    <w:rsid w:val="008E0997"/>
    <w:rsid w:val="008E10DB"/>
    <w:rsid w:val="008E11AB"/>
    <w:rsid w:val="008E21B7"/>
    <w:rsid w:val="008E29BE"/>
    <w:rsid w:val="008E2FEB"/>
    <w:rsid w:val="008E3038"/>
    <w:rsid w:val="008E35D8"/>
    <w:rsid w:val="008E401C"/>
    <w:rsid w:val="008E40D0"/>
    <w:rsid w:val="008E41E5"/>
    <w:rsid w:val="008E4357"/>
    <w:rsid w:val="008E5755"/>
    <w:rsid w:val="008E57E8"/>
    <w:rsid w:val="008E5ADF"/>
    <w:rsid w:val="008E65E7"/>
    <w:rsid w:val="008E6864"/>
    <w:rsid w:val="008E74FB"/>
    <w:rsid w:val="008E76AA"/>
    <w:rsid w:val="008F0180"/>
    <w:rsid w:val="008F0B78"/>
    <w:rsid w:val="008F0FDF"/>
    <w:rsid w:val="008F2961"/>
    <w:rsid w:val="008F2C15"/>
    <w:rsid w:val="008F39C1"/>
    <w:rsid w:val="008F4E4A"/>
    <w:rsid w:val="008F52CD"/>
    <w:rsid w:val="008F53C2"/>
    <w:rsid w:val="008F6195"/>
    <w:rsid w:val="008F622D"/>
    <w:rsid w:val="008F6350"/>
    <w:rsid w:val="008F7795"/>
    <w:rsid w:val="008F7A1B"/>
    <w:rsid w:val="008F7DFD"/>
    <w:rsid w:val="00901470"/>
    <w:rsid w:val="00901DFE"/>
    <w:rsid w:val="0090205F"/>
    <w:rsid w:val="009024D5"/>
    <w:rsid w:val="0090257C"/>
    <w:rsid w:val="009027DD"/>
    <w:rsid w:val="009032B3"/>
    <w:rsid w:val="00903433"/>
    <w:rsid w:val="00903C94"/>
    <w:rsid w:val="009048EC"/>
    <w:rsid w:val="00904B10"/>
    <w:rsid w:val="00904DF6"/>
    <w:rsid w:val="00905090"/>
    <w:rsid w:val="009056CA"/>
    <w:rsid w:val="00905AD3"/>
    <w:rsid w:val="00905DE8"/>
    <w:rsid w:val="00906113"/>
    <w:rsid w:val="00906E29"/>
    <w:rsid w:val="00910275"/>
    <w:rsid w:val="0091123B"/>
    <w:rsid w:val="009112D7"/>
    <w:rsid w:val="009115A4"/>
    <w:rsid w:val="009118F6"/>
    <w:rsid w:val="00912172"/>
    <w:rsid w:val="00912412"/>
    <w:rsid w:val="00912A29"/>
    <w:rsid w:val="00912FF1"/>
    <w:rsid w:val="0091372A"/>
    <w:rsid w:val="00913F9C"/>
    <w:rsid w:val="009140F0"/>
    <w:rsid w:val="00914572"/>
    <w:rsid w:val="009147AF"/>
    <w:rsid w:val="00915097"/>
    <w:rsid w:val="00915428"/>
    <w:rsid w:val="009156C0"/>
    <w:rsid w:val="0091600C"/>
    <w:rsid w:val="0091659E"/>
    <w:rsid w:val="00916BB3"/>
    <w:rsid w:val="00917E42"/>
    <w:rsid w:val="00920197"/>
    <w:rsid w:val="00920576"/>
    <w:rsid w:val="00920C92"/>
    <w:rsid w:val="00920CD6"/>
    <w:rsid w:val="00921282"/>
    <w:rsid w:val="009216DB"/>
    <w:rsid w:val="0092172F"/>
    <w:rsid w:val="00921C24"/>
    <w:rsid w:val="00922EF6"/>
    <w:rsid w:val="0092324C"/>
    <w:rsid w:val="0092390B"/>
    <w:rsid w:val="00923DA5"/>
    <w:rsid w:val="0092476A"/>
    <w:rsid w:val="00927479"/>
    <w:rsid w:val="00927B30"/>
    <w:rsid w:val="0093084F"/>
    <w:rsid w:val="00930A75"/>
    <w:rsid w:val="00930B68"/>
    <w:rsid w:val="0093101C"/>
    <w:rsid w:val="0093102D"/>
    <w:rsid w:val="00931F14"/>
    <w:rsid w:val="00932028"/>
    <w:rsid w:val="00932CAD"/>
    <w:rsid w:val="0093320B"/>
    <w:rsid w:val="009335FE"/>
    <w:rsid w:val="00933E14"/>
    <w:rsid w:val="00934282"/>
    <w:rsid w:val="009349C8"/>
    <w:rsid w:val="009355BA"/>
    <w:rsid w:val="00935831"/>
    <w:rsid w:val="00935964"/>
    <w:rsid w:val="009363AE"/>
    <w:rsid w:val="009363D0"/>
    <w:rsid w:val="009365B4"/>
    <w:rsid w:val="00937071"/>
    <w:rsid w:val="0093774C"/>
    <w:rsid w:val="00937F1A"/>
    <w:rsid w:val="009401E9"/>
    <w:rsid w:val="0094174F"/>
    <w:rsid w:val="00941C0C"/>
    <w:rsid w:val="00942DB5"/>
    <w:rsid w:val="00943D50"/>
    <w:rsid w:val="009442D5"/>
    <w:rsid w:val="00944C25"/>
    <w:rsid w:val="00944F17"/>
    <w:rsid w:val="009453E9"/>
    <w:rsid w:val="0094581C"/>
    <w:rsid w:val="00945D34"/>
    <w:rsid w:val="00946B98"/>
    <w:rsid w:val="00946D8F"/>
    <w:rsid w:val="0094794B"/>
    <w:rsid w:val="00951647"/>
    <w:rsid w:val="0095202C"/>
    <w:rsid w:val="009527B9"/>
    <w:rsid w:val="00952906"/>
    <w:rsid w:val="009537D9"/>
    <w:rsid w:val="009541E9"/>
    <w:rsid w:val="00954338"/>
    <w:rsid w:val="00954FC4"/>
    <w:rsid w:val="009552F5"/>
    <w:rsid w:val="009554FB"/>
    <w:rsid w:val="00955A6B"/>
    <w:rsid w:val="00956190"/>
    <w:rsid w:val="009572CD"/>
    <w:rsid w:val="0095741E"/>
    <w:rsid w:val="009574C2"/>
    <w:rsid w:val="00960CE4"/>
    <w:rsid w:val="0096118B"/>
    <w:rsid w:val="0096159D"/>
    <w:rsid w:val="009628FA"/>
    <w:rsid w:val="0096295F"/>
    <w:rsid w:val="00962D81"/>
    <w:rsid w:val="00963262"/>
    <w:rsid w:val="00963D09"/>
    <w:rsid w:val="00964703"/>
    <w:rsid w:val="00964944"/>
    <w:rsid w:val="00965612"/>
    <w:rsid w:val="00967606"/>
    <w:rsid w:val="00967CDF"/>
    <w:rsid w:val="00967DBF"/>
    <w:rsid w:val="009708D9"/>
    <w:rsid w:val="00970AE1"/>
    <w:rsid w:val="00971C66"/>
    <w:rsid w:val="00972965"/>
    <w:rsid w:val="00972B34"/>
    <w:rsid w:val="00973267"/>
    <w:rsid w:val="009734A2"/>
    <w:rsid w:val="009737FC"/>
    <w:rsid w:val="009740BC"/>
    <w:rsid w:val="009748A1"/>
    <w:rsid w:val="00974B28"/>
    <w:rsid w:val="00974F06"/>
    <w:rsid w:val="009753CF"/>
    <w:rsid w:val="00976AD9"/>
    <w:rsid w:val="009776F5"/>
    <w:rsid w:val="00980B2D"/>
    <w:rsid w:val="00980F3B"/>
    <w:rsid w:val="009815EA"/>
    <w:rsid w:val="00981603"/>
    <w:rsid w:val="009822F9"/>
    <w:rsid w:val="009829EA"/>
    <w:rsid w:val="00983211"/>
    <w:rsid w:val="0098340A"/>
    <w:rsid w:val="00983990"/>
    <w:rsid w:val="00983C1F"/>
    <w:rsid w:val="00983CC9"/>
    <w:rsid w:val="0098592D"/>
    <w:rsid w:val="00987174"/>
    <w:rsid w:val="00992738"/>
    <w:rsid w:val="00992912"/>
    <w:rsid w:val="00993136"/>
    <w:rsid w:val="00994233"/>
    <w:rsid w:val="00994513"/>
    <w:rsid w:val="00994BF9"/>
    <w:rsid w:val="00994C09"/>
    <w:rsid w:val="0099632C"/>
    <w:rsid w:val="00997712"/>
    <w:rsid w:val="00997C59"/>
    <w:rsid w:val="009A0733"/>
    <w:rsid w:val="009A0F37"/>
    <w:rsid w:val="009A1329"/>
    <w:rsid w:val="009A20F6"/>
    <w:rsid w:val="009A24FC"/>
    <w:rsid w:val="009A2919"/>
    <w:rsid w:val="009A2E0F"/>
    <w:rsid w:val="009A3617"/>
    <w:rsid w:val="009A40AF"/>
    <w:rsid w:val="009A56AE"/>
    <w:rsid w:val="009A6261"/>
    <w:rsid w:val="009A65E4"/>
    <w:rsid w:val="009A73D7"/>
    <w:rsid w:val="009A73F0"/>
    <w:rsid w:val="009A74DC"/>
    <w:rsid w:val="009B023A"/>
    <w:rsid w:val="009B0647"/>
    <w:rsid w:val="009B08CA"/>
    <w:rsid w:val="009B0E02"/>
    <w:rsid w:val="009B0E3B"/>
    <w:rsid w:val="009B11F1"/>
    <w:rsid w:val="009B14F9"/>
    <w:rsid w:val="009B1545"/>
    <w:rsid w:val="009B1613"/>
    <w:rsid w:val="009B18AE"/>
    <w:rsid w:val="009B19DA"/>
    <w:rsid w:val="009B2883"/>
    <w:rsid w:val="009B2A0C"/>
    <w:rsid w:val="009B2B6E"/>
    <w:rsid w:val="009B32D8"/>
    <w:rsid w:val="009B3707"/>
    <w:rsid w:val="009B46ED"/>
    <w:rsid w:val="009B47DF"/>
    <w:rsid w:val="009B4973"/>
    <w:rsid w:val="009B507B"/>
    <w:rsid w:val="009B5511"/>
    <w:rsid w:val="009B56D3"/>
    <w:rsid w:val="009B57C7"/>
    <w:rsid w:val="009B580A"/>
    <w:rsid w:val="009B5F70"/>
    <w:rsid w:val="009B7B1B"/>
    <w:rsid w:val="009B7BCA"/>
    <w:rsid w:val="009C0443"/>
    <w:rsid w:val="009C0A9C"/>
    <w:rsid w:val="009C11D0"/>
    <w:rsid w:val="009C1AC3"/>
    <w:rsid w:val="009C32FE"/>
    <w:rsid w:val="009C35F2"/>
    <w:rsid w:val="009C3818"/>
    <w:rsid w:val="009C3A25"/>
    <w:rsid w:val="009C40BE"/>
    <w:rsid w:val="009C4677"/>
    <w:rsid w:val="009C46D3"/>
    <w:rsid w:val="009C4FD8"/>
    <w:rsid w:val="009C5EF6"/>
    <w:rsid w:val="009C6312"/>
    <w:rsid w:val="009C63CC"/>
    <w:rsid w:val="009C67BD"/>
    <w:rsid w:val="009C6EE2"/>
    <w:rsid w:val="009C71DF"/>
    <w:rsid w:val="009C7779"/>
    <w:rsid w:val="009D02F3"/>
    <w:rsid w:val="009D2327"/>
    <w:rsid w:val="009D293F"/>
    <w:rsid w:val="009D3243"/>
    <w:rsid w:val="009D3496"/>
    <w:rsid w:val="009D3AFE"/>
    <w:rsid w:val="009D46A4"/>
    <w:rsid w:val="009D4929"/>
    <w:rsid w:val="009D4BC2"/>
    <w:rsid w:val="009D60CC"/>
    <w:rsid w:val="009D6B40"/>
    <w:rsid w:val="009D6D75"/>
    <w:rsid w:val="009D7607"/>
    <w:rsid w:val="009D78EE"/>
    <w:rsid w:val="009D7B6F"/>
    <w:rsid w:val="009E1050"/>
    <w:rsid w:val="009E1837"/>
    <w:rsid w:val="009E1AFC"/>
    <w:rsid w:val="009E2031"/>
    <w:rsid w:val="009E2B96"/>
    <w:rsid w:val="009E3A78"/>
    <w:rsid w:val="009E3A7B"/>
    <w:rsid w:val="009E3DDA"/>
    <w:rsid w:val="009E4A54"/>
    <w:rsid w:val="009E4B64"/>
    <w:rsid w:val="009E4EEF"/>
    <w:rsid w:val="009E629A"/>
    <w:rsid w:val="009E6C44"/>
    <w:rsid w:val="009E6EC3"/>
    <w:rsid w:val="009E73DF"/>
    <w:rsid w:val="009E78BA"/>
    <w:rsid w:val="009E7B61"/>
    <w:rsid w:val="009F0008"/>
    <w:rsid w:val="009F04D0"/>
    <w:rsid w:val="009F0AB3"/>
    <w:rsid w:val="009F3343"/>
    <w:rsid w:val="009F4234"/>
    <w:rsid w:val="009F5242"/>
    <w:rsid w:val="009F5523"/>
    <w:rsid w:val="009F59C0"/>
    <w:rsid w:val="009F5BC1"/>
    <w:rsid w:val="009F63EA"/>
    <w:rsid w:val="009F65B0"/>
    <w:rsid w:val="009F674C"/>
    <w:rsid w:val="009F6F2C"/>
    <w:rsid w:val="009F7062"/>
    <w:rsid w:val="00A00224"/>
    <w:rsid w:val="00A01ECE"/>
    <w:rsid w:val="00A024E2"/>
    <w:rsid w:val="00A024F8"/>
    <w:rsid w:val="00A02B94"/>
    <w:rsid w:val="00A02C75"/>
    <w:rsid w:val="00A03150"/>
    <w:rsid w:val="00A03CBA"/>
    <w:rsid w:val="00A04476"/>
    <w:rsid w:val="00A044B3"/>
    <w:rsid w:val="00A049F4"/>
    <w:rsid w:val="00A056CA"/>
    <w:rsid w:val="00A06A19"/>
    <w:rsid w:val="00A06D7E"/>
    <w:rsid w:val="00A106E6"/>
    <w:rsid w:val="00A10973"/>
    <w:rsid w:val="00A11221"/>
    <w:rsid w:val="00A1127D"/>
    <w:rsid w:val="00A12B46"/>
    <w:rsid w:val="00A12E2B"/>
    <w:rsid w:val="00A13B06"/>
    <w:rsid w:val="00A149F5"/>
    <w:rsid w:val="00A14BF6"/>
    <w:rsid w:val="00A154A2"/>
    <w:rsid w:val="00A15715"/>
    <w:rsid w:val="00A161CD"/>
    <w:rsid w:val="00A162FE"/>
    <w:rsid w:val="00A16331"/>
    <w:rsid w:val="00A166DD"/>
    <w:rsid w:val="00A203CA"/>
    <w:rsid w:val="00A20D0D"/>
    <w:rsid w:val="00A20E51"/>
    <w:rsid w:val="00A211E4"/>
    <w:rsid w:val="00A212C7"/>
    <w:rsid w:val="00A21567"/>
    <w:rsid w:val="00A21A5A"/>
    <w:rsid w:val="00A21F73"/>
    <w:rsid w:val="00A22077"/>
    <w:rsid w:val="00A23A7C"/>
    <w:rsid w:val="00A24EB1"/>
    <w:rsid w:val="00A254F9"/>
    <w:rsid w:val="00A262EF"/>
    <w:rsid w:val="00A2679B"/>
    <w:rsid w:val="00A306F1"/>
    <w:rsid w:val="00A31D24"/>
    <w:rsid w:val="00A3213F"/>
    <w:rsid w:val="00A32A01"/>
    <w:rsid w:val="00A32AF3"/>
    <w:rsid w:val="00A334B6"/>
    <w:rsid w:val="00A33B3E"/>
    <w:rsid w:val="00A35A04"/>
    <w:rsid w:val="00A35D18"/>
    <w:rsid w:val="00A35D8A"/>
    <w:rsid w:val="00A36363"/>
    <w:rsid w:val="00A3657C"/>
    <w:rsid w:val="00A36E0B"/>
    <w:rsid w:val="00A37C07"/>
    <w:rsid w:val="00A40909"/>
    <w:rsid w:val="00A41349"/>
    <w:rsid w:val="00A41664"/>
    <w:rsid w:val="00A41994"/>
    <w:rsid w:val="00A42A8A"/>
    <w:rsid w:val="00A4307B"/>
    <w:rsid w:val="00A43365"/>
    <w:rsid w:val="00A439FD"/>
    <w:rsid w:val="00A43D4F"/>
    <w:rsid w:val="00A43E37"/>
    <w:rsid w:val="00A440BC"/>
    <w:rsid w:val="00A444FF"/>
    <w:rsid w:val="00A44EA0"/>
    <w:rsid w:val="00A44FB7"/>
    <w:rsid w:val="00A45552"/>
    <w:rsid w:val="00A45828"/>
    <w:rsid w:val="00A45E8C"/>
    <w:rsid w:val="00A46059"/>
    <w:rsid w:val="00A475FA"/>
    <w:rsid w:val="00A47FE3"/>
    <w:rsid w:val="00A505D2"/>
    <w:rsid w:val="00A50C9A"/>
    <w:rsid w:val="00A511FE"/>
    <w:rsid w:val="00A51762"/>
    <w:rsid w:val="00A5234F"/>
    <w:rsid w:val="00A52726"/>
    <w:rsid w:val="00A52A49"/>
    <w:rsid w:val="00A52DEC"/>
    <w:rsid w:val="00A531F3"/>
    <w:rsid w:val="00A53C99"/>
    <w:rsid w:val="00A545A2"/>
    <w:rsid w:val="00A54683"/>
    <w:rsid w:val="00A547F4"/>
    <w:rsid w:val="00A556F8"/>
    <w:rsid w:val="00A56121"/>
    <w:rsid w:val="00A562C9"/>
    <w:rsid w:val="00A56E44"/>
    <w:rsid w:val="00A57616"/>
    <w:rsid w:val="00A57946"/>
    <w:rsid w:val="00A6075C"/>
    <w:rsid w:val="00A60808"/>
    <w:rsid w:val="00A616CF"/>
    <w:rsid w:val="00A62135"/>
    <w:rsid w:val="00A62A3B"/>
    <w:rsid w:val="00A642BB"/>
    <w:rsid w:val="00A6545F"/>
    <w:rsid w:val="00A659A3"/>
    <w:rsid w:val="00A65A46"/>
    <w:rsid w:val="00A66321"/>
    <w:rsid w:val="00A6686B"/>
    <w:rsid w:val="00A66E5F"/>
    <w:rsid w:val="00A67611"/>
    <w:rsid w:val="00A677CB"/>
    <w:rsid w:val="00A67DA6"/>
    <w:rsid w:val="00A70537"/>
    <w:rsid w:val="00A722F0"/>
    <w:rsid w:val="00A7276D"/>
    <w:rsid w:val="00A72EC2"/>
    <w:rsid w:val="00A72FAD"/>
    <w:rsid w:val="00A742A7"/>
    <w:rsid w:val="00A7435D"/>
    <w:rsid w:val="00A74E93"/>
    <w:rsid w:val="00A7544D"/>
    <w:rsid w:val="00A7626C"/>
    <w:rsid w:val="00A76E72"/>
    <w:rsid w:val="00A770A7"/>
    <w:rsid w:val="00A7710A"/>
    <w:rsid w:val="00A77805"/>
    <w:rsid w:val="00A80380"/>
    <w:rsid w:val="00A80F70"/>
    <w:rsid w:val="00A818C9"/>
    <w:rsid w:val="00A81D72"/>
    <w:rsid w:val="00A81F6D"/>
    <w:rsid w:val="00A826A6"/>
    <w:rsid w:val="00A83266"/>
    <w:rsid w:val="00A8346F"/>
    <w:rsid w:val="00A834FC"/>
    <w:rsid w:val="00A83880"/>
    <w:rsid w:val="00A845DE"/>
    <w:rsid w:val="00A84F52"/>
    <w:rsid w:val="00A850AD"/>
    <w:rsid w:val="00A85F90"/>
    <w:rsid w:val="00A8664B"/>
    <w:rsid w:val="00A86CAD"/>
    <w:rsid w:val="00A873A5"/>
    <w:rsid w:val="00A87530"/>
    <w:rsid w:val="00A879A8"/>
    <w:rsid w:val="00A87FA6"/>
    <w:rsid w:val="00A9118B"/>
    <w:rsid w:val="00A91C00"/>
    <w:rsid w:val="00A9230D"/>
    <w:rsid w:val="00A924E4"/>
    <w:rsid w:val="00A932D6"/>
    <w:rsid w:val="00A9342D"/>
    <w:rsid w:val="00A94D81"/>
    <w:rsid w:val="00A97055"/>
    <w:rsid w:val="00A9714E"/>
    <w:rsid w:val="00A9749F"/>
    <w:rsid w:val="00A974B8"/>
    <w:rsid w:val="00AA07B1"/>
    <w:rsid w:val="00AA0AA2"/>
    <w:rsid w:val="00AA0D45"/>
    <w:rsid w:val="00AA0D94"/>
    <w:rsid w:val="00AA1296"/>
    <w:rsid w:val="00AA12FA"/>
    <w:rsid w:val="00AA1383"/>
    <w:rsid w:val="00AA1561"/>
    <w:rsid w:val="00AA1F99"/>
    <w:rsid w:val="00AA2375"/>
    <w:rsid w:val="00AA26B8"/>
    <w:rsid w:val="00AA383A"/>
    <w:rsid w:val="00AA421E"/>
    <w:rsid w:val="00AA427E"/>
    <w:rsid w:val="00AA42FC"/>
    <w:rsid w:val="00AA4AFB"/>
    <w:rsid w:val="00AA5077"/>
    <w:rsid w:val="00AA5550"/>
    <w:rsid w:val="00AA5A1C"/>
    <w:rsid w:val="00AA5F6C"/>
    <w:rsid w:val="00AA735C"/>
    <w:rsid w:val="00AA7CE9"/>
    <w:rsid w:val="00AB0549"/>
    <w:rsid w:val="00AB0570"/>
    <w:rsid w:val="00AB0B47"/>
    <w:rsid w:val="00AB0D99"/>
    <w:rsid w:val="00AB0EF5"/>
    <w:rsid w:val="00AB1B86"/>
    <w:rsid w:val="00AB1F4C"/>
    <w:rsid w:val="00AB21E0"/>
    <w:rsid w:val="00AB2459"/>
    <w:rsid w:val="00AB2E20"/>
    <w:rsid w:val="00AB3159"/>
    <w:rsid w:val="00AB32F4"/>
    <w:rsid w:val="00AB43D5"/>
    <w:rsid w:val="00AB5F12"/>
    <w:rsid w:val="00AB627D"/>
    <w:rsid w:val="00AB68B1"/>
    <w:rsid w:val="00AB7143"/>
    <w:rsid w:val="00AB716B"/>
    <w:rsid w:val="00AB7AF2"/>
    <w:rsid w:val="00AB7C76"/>
    <w:rsid w:val="00AC04AC"/>
    <w:rsid w:val="00AC0B94"/>
    <w:rsid w:val="00AC1745"/>
    <w:rsid w:val="00AC1BEF"/>
    <w:rsid w:val="00AC2E8C"/>
    <w:rsid w:val="00AC3F8D"/>
    <w:rsid w:val="00AC3FC5"/>
    <w:rsid w:val="00AC42AC"/>
    <w:rsid w:val="00AC4605"/>
    <w:rsid w:val="00AC4A10"/>
    <w:rsid w:val="00AC4F22"/>
    <w:rsid w:val="00AC4F50"/>
    <w:rsid w:val="00AC5743"/>
    <w:rsid w:val="00AC57A5"/>
    <w:rsid w:val="00AC5A10"/>
    <w:rsid w:val="00AC5A53"/>
    <w:rsid w:val="00AC5E37"/>
    <w:rsid w:val="00AC691B"/>
    <w:rsid w:val="00AD01A1"/>
    <w:rsid w:val="00AD18CF"/>
    <w:rsid w:val="00AD1924"/>
    <w:rsid w:val="00AD1BA6"/>
    <w:rsid w:val="00AD3504"/>
    <w:rsid w:val="00AD3B62"/>
    <w:rsid w:val="00AD5DA8"/>
    <w:rsid w:val="00AD7E2E"/>
    <w:rsid w:val="00AE0315"/>
    <w:rsid w:val="00AE1132"/>
    <w:rsid w:val="00AE1697"/>
    <w:rsid w:val="00AE197F"/>
    <w:rsid w:val="00AE209A"/>
    <w:rsid w:val="00AE27F7"/>
    <w:rsid w:val="00AE3F93"/>
    <w:rsid w:val="00AE4171"/>
    <w:rsid w:val="00AE4A17"/>
    <w:rsid w:val="00AE4AC9"/>
    <w:rsid w:val="00AE6068"/>
    <w:rsid w:val="00AE6ABD"/>
    <w:rsid w:val="00AE6C9B"/>
    <w:rsid w:val="00AE6DBE"/>
    <w:rsid w:val="00AE73BE"/>
    <w:rsid w:val="00AE75C6"/>
    <w:rsid w:val="00AE75DA"/>
    <w:rsid w:val="00AE77EC"/>
    <w:rsid w:val="00AF0093"/>
    <w:rsid w:val="00AF39B5"/>
    <w:rsid w:val="00AF4F9B"/>
    <w:rsid w:val="00AF6733"/>
    <w:rsid w:val="00AF73D1"/>
    <w:rsid w:val="00AF7784"/>
    <w:rsid w:val="00AF7D30"/>
    <w:rsid w:val="00B00AD0"/>
    <w:rsid w:val="00B00AF3"/>
    <w:rsid w:val="00B00BA9"/>
    <w:rsid w:val="00B00F85"/>
    <w:rsid w:val="00B00FAC"/>
    <w:rsid w:val="00B01410"/>
    <w:rsid w:val="00B01B10"/>
    <w:rsid w:val="00B026C4"/>
    <w:rsid w:val="00B02B59"/>
    <w:rsid w:val="00B02C22"/>
    <w:rsid w:val="00B037AF"/>
    <w:rsid w:val="00B0398D"/>
    <w:rsid w:val="00B04D8C"/>
    <w:rsid w:val="00B060B3"/>
    <w:rsid w:val="00B06585"/>
    <w:rsid w:val="00B06960"/>
    <w:rsid w:val="00B079D5"/>
    <w:rsid w:val="00B07EE4"/>
    <w:rsid w:val="00B10000"/>
    <w:rsid w:val="00B103F5"/>
    <w:rsid w:val="00B10D9C"/>
    <w:rsid w:val="00B120AC"/>
    <w:rsid w:val="00B122A3"/>
    <w:rsid w:val="00B12855"/>
    <w:rsid w:val="00B140AE"/>
    <w:rsid w:val="00B14FFD"/>
    <w:rsid w:val="00B15189"/>
    <w:rsid w:val="00B15689"/>
    <w:rsid w:val="00B167E7"/>
    <w:rsid w:val="00B16860"/>
    <w:rsid w:val="00B16B3E"/>
    <w:rsid w:val="00B171AD"/>
    <w:rsid w:val="00B17504"/>
    <w:rsid w:val="00B1762A"/>
    <w:rsid w:val="00B176C3"/>
    <w:rsid w:val="00B179A7"/>
    <w:rsid w:val="00B2019E"/>
    <w:rsid w:val="00B20B2A"/>
    <w:rsid w:val="00B214EE"/>
    <w:rsid w:val="00B21AE6"/>
    <w:rsid w:val="00B21F2D"/>
    <w:rsid w:val="00B21FBC"/>
    <w:rsid w:val="00B22170"/>
    <w:rsid w:val="00B22486"/>
    <w:rsid w:val="00B236A5"/>
    <w:rsid w:val="00B23871"/>
    <w:rsid w:val="00B24C73"/>
    <w:rsid w:val="00B24D62"/>
    <w:rsid w:val="00B24E7E"/>
    <w:rsid w:val="00B24EFE"/>
    <w:rsid w:val="00B255F3"/>
    <w:rsid w:val="00B25D22"/>
    <w:rsid w:val="00B25E77"/>
    <w:rsid w:val="00B26173"/>
    <w:rsid w:val="00B27394"/>
    <w:rsid w:val="00B27A21"/>
    <w:rsid w:val="00B3007F"/>
    <w:rsid w:val="00B30CF5"/>
    <w:rsid w:val="00B30F0A"/>
    <w:rsid w:val="00B3180C"/>
    <w:rsid w:val="00B32570"/>
    <w:rsid w:val="00B3283E"/>
    <w:rsid w:val="00B329E2"/>
    <w:rsid w:val="00B3322C"/>
    <w:rsid w:val="00B3386C"/>
    <w:rsid w:val="00B33A56"/>
    <w:rsid w:val="00B33A94"/>
    <w:rsid w:val="00B33B4E"/>
    <w:rsid w:val="00B3471E"/>
    <w:rsid w:val="00B34890"/>
    <w:rsid w:val="00B35046"/>
    <w:rsid w:val="00B35496"/>
    <w:rsid w:val="00B35A2B"/>
    <w:rsid w:val="00B35CE4"/>
    <w:rsid w:val="00B36136"/>
    <w:rsid w:val="00B36302"/>
    <w:rsid w:val="00B36F04"/>
    <w:rsid w:val="00B37489"/>
    <w:rsid w:val="00B417E4"/>
    <w:rsid w:val="00B424DA"/>
    <w:rsid w:val="00B43BA8"/>
    <w:rsid w:val="00B44A35"/>
    <w:rsid w:val="00B45343"/>
    <w:rsid w:val="00B45512"/>
    <w:rsid w:val="00B4553B"/>
    <w:rsid w:val="00B4611F"/>
    <w:rsid w:val="00B465C2"/>
    <w:rsid w:val="00B47679"/>
    <w:rsid w:val="00B47874"/>
    <w:rsid w:val="00B47CDB"/>
    <w:rsid w:val="00B5085F"/>
    <w:rsid w:val="00B518D5"/>
    <w:rsid w:val="00B518E8"/>
    <w:rsid w:val="00B51E36"/>
    <w:rsid w:val="00B53586"/>
    <w:rsid w:val="00B53775"/>
    <w:rsid w:val="00B54523"/>
    <w:rsid w:val="00B54726"/>
    <w:rsid w:val="00B548BC"/>
    <w:rsid w:val="00B552F2"/>
    <w:rsid w:val="00B55323"/>
    <w:rsid w:val="00B55987"/>
    <w:rsid w:val="00B57B4D"/>
    <w:rsid w:val="00B60B81"/>
    <w:rsid w:val="00B60C83"/>
    <w:rsid w:val="00B60E17"/>
    <w:rsid w:val="00B620CE"/>
    <w:rsid w:val="00B62632"/>
    <w:rsid w:val="00B62B2E"/>
    <w:rsid w:val="00B6368B"/>
    <w:rsid w:val="00B63AC6"/>
    <w:rsid w:val="00B64F26"/>
    <w:rsid w:val="00B65645"/>
    <w:rsid w:val="00B6694F"/>
    <w:rsid w:val="00B673B6"/>
    <w:rsid w:val="00B67525"/>
    <w:rsid w:val="00B67691"/>
    <w:rsid w:val="00B6786C"/>
    <w:rsid w:val="00B70A6C"/>
    <w:rsid w:val="00B70CCF"/>
    <w:rsid w:val="00B71196"/>
    <w:rsid w:val="00B7120A"/>
    <w:rsid w:val="00B71AB2"/>
    <w:rsid w:val="00B7269E"/>
    <w:rsid w:val="00B72925"/>
    <w:rsid w:val="00B72D4F"/>
    <w:rsid w:val="00B738D6"/>
    <w:rsid w:val="00B73D0D"/>
    <w:rsid w:val="00B73F2E"/>
    <w:rsid w:val="00B740F5"/>
    <w:rsid w:val="00B74816"/>
    <w:rsid w:val="00B74D10"/>
    <w:rsid w:val="00B76D8F"/>
    <w:rsid w:val="00B76DF9"/>
    <w:rsid w:val="00B76EC7"/>
    <w:rsid w:val="00B774CB"/>
    <w:rsid w:val="00B77B9D"/>
    <w:rsid w:val="00B802A9"/>
    <w:rsid w:val="00B80409"/>
    <w:rsid w:val="00B80490"/>
    <w:rsid w:val="00B80E2E"/>
    <w:rsid w:val="00B8102D"/>
    <w:rsid w:val="00B81513"/>
    <w:rsid w:val="00B81628"/>
    <w:rsid w:val="00B81719"/>
    <w:rsid w:val="00B817AE"/>
    <w:rsid w:val="00B81C8D"/>
    <w:rsid w:val="00B821A9"/>
    <w:rsid w:val="00B82AC0"/>
    <w:rsid w:val="00B8303D"/>
    <w:rsid w:val="00B8330F"/>
    <w:rsid w:val="00B834DB"/>
    <w:rsid w:val="00B859CA"/>
    <w:rsid w:val="00B85CE9"/>
    <w:rsid w:val="00B863BD"/>
    <w:rsid w:val="00B864EF"/>
    <w:rsid w:val="00B86943"/>
    <w:rsid w:val="00B901CC"/>
    <w:rsid w:val="00B90320"/>
    <w:rsid w:val="00B903BB"/>
    <w:rsid w:val="00B90A60"/>
    <w:rsid w:val="00B92831"/>
    <w:rsid w:val="00B931EE"/>
    <w:rsid w:val="00B9333A"/>
    <w:rsid w:val="00B93424"/>
    <w:rsid w:val="00B93CD4"/>
    <w:rsid w:val="00B9464F"/>
    <w:rsid w:val="00B954B9"/>
    <w:rsid w:val="00B957AC"/>
    <w:rsid w:val="00B95A6C"/>
    <w:rsid w:val="00B95D31"/>
    <w:rsid w:val="00B95DE0"/>
    <w:rsid w:val="00B960AC"/>
    <w:rsid w:val="00B964C7"/>
    <w:rsid w:val="00B96B05"/>
    <w:rsid w:val="00B9715C"/>
    <w:rsid w:val="00B97A7E"/>
    <w:rsid w:val="00B97EB4"/>
    <w:rsid w:val="00BA01FF"/>
    <w:rsid w:val="00BA04CB"/>
    <w:rsid w:val="00BA0B9A"/>
    <w:rsid w:val="00BA1A04"/>
    <w:rsid w:val="00BA1A37"/>
    <w:rsid w:val="00BA1ADF"/>
    <w:rsid w:val="00BA2027"/>
    <w:rsid w:val="00BA243C"/>
    <w:rsid w:val="00BA2BAD"/>
    <w:rsid w:val="00BA2D5C"/>
    <w:rsid w:val="00BA3253"/>
    <w:rsid w:val="00BA3FB2"/>
    <w:rsid w:val="00BA4465"/>
    <w:rsid w:val="00BA5E08"/>
    <w:rsid w:val="00BA67CE"/>
    <w:rsid w:val="00BA6A91"/>
    <w:rsid w:val="00BA6D66"/>
    <w:rsid w:val="00BB004D"/>
    <w:rsid w:val="00BB0FEF"/>
    <w:rsid w:val="00BB193D"/>
    <w:rsid w:val="00BB1CE3"/>
    <w:rsid w:val="00BB1F36"/>
    <w:rsid w:val="00BB3463"/>
    <w:rsid w:val="00BB38E2"/>
    <w:rsid w:val="00BB450E"/>
    <w:rsid w:val="00BB461D"/>
    <w:rsid w:val="00BB5141"/>
    <w:rsid w:val="00BB58C3"/>
    <w:rsid w:val="00BB5C28"/>
    <w:rsid w:val="00BB5CA0"/>
    <w:rsid w:val="00BB5CDC"/>
    <w:rsid w:val="00BB5D53"/>
    <w:rsid w:val="00BB67AE"/>
    <w:rsid w:val="00BB6946"/>
    <w:rsid w:val="00BB6C33"/>
    <w:rsid w:val="00BB7555"/>
    <w:rsid w:val="00BB7585"/>
    <w:rsid w:val="00BB7694"/>
    <w:rsid w:val="00BC0340"/>
    <w:rsid w:val="00BC0685"/>
    <w:rsid w:val="00BC07C9"/>
    <w:rsid w:val="00BC24A4"/>
    <w:rsid w:val="00BC2960"/>
    <w:rsid w:val="00BC3449"/>
    <w:rsid w:val="00BC3595"/>
    <w:rsid w:val="00BC4600"/>
    <w:rsid w:val="00BC4B17"/>
    <w:rsid w:val="00BC4DCD"/>
    <w:rsid w:val="00BC5FDA"/>
    <w:rsid w:val="00BC62A9"/>
    <w:rsid w:val="00BC6BDA"/>
    <w:rsid w:val="00BC6F9C"/>
    <w:rsid w:val="00BC7664"/>
    <w:rsid w:val="00BC7DDE"/>
    <w:rsid w:val="00BD0404"/>
    <w:rsid w:val="00BD0418"/>
    <w:rsid w:val="00BD05C4"/>
    <w:rsid w:val="00BD0930"/>
    <w:rsid w:val="00BD0A65"/>
    <w:rsid w:val="00BD0AC7"/>
    <w:rsid w:val="00BD10D8"/>
    <w:rsid w:val="00BD16DC"/>
    <w:rsid w:val="00BD1F76"/>
    <w:rsid w:val="00BD2309"/>
    <w:rsid w:val="00BD2A77"/>
    <w:rsid w:val="00BD2ED5"/>
    <w:rsid w:val="00BD3002"/>
    <w:rsid w:val="00BD391E"/>
    <w:rsid w:val="00BD4B2C"/>
    <w:rsid w:val="00BD517A"/>
    <w:rsid w:val="00BD577A"/>
    <w:rsid w:val="00BD5871"/>
    <w:rsid w:val="00BD607C"/>
    <w:rsid w:val="00BD72B6"/>
    <w:rsid w:val="00BD76B6"/>
    <w:rsid w:val="00BD7C90"/>
    <w:rsid w:val="00BD7E19"/>
    <w:rsid w:val="00BE087A"/>
    <w:rsid w:val="00BE0D40"/>
    <w:rsid w:val="00BE0ED0"/>
    <w:rsid w:val="00BE1561"/>
    <w:rsid w:val="00BE1672"/>
    <w:rsid w:val="00BE2166"/>
    <w:rsid w:val="00BE2C01"/>
    <w:rsid w:val="00BE2D15"/>
    <w:rsid w:val="00BE3214"/>
    <w:rsid w:val="00BE32F2"/>
    <w:rsid w:val="00BE34ED"/>
    <w:rsid w:val="00BE4124"/>
    <w:rsid w:val="00BE42CE"/>
    <w:rsid w:val="00BE4D64"/>
    <w:rsid w:val="00BE5477"/>
    <w:rsid w:val="00BE620E"/>
    <w:rsid w:val="00BE6460"/>
    <w:rsid w:val="00BE6F0C"/>
    <w:rsid w:val="00BF07C1"/>
    <w:rsid w:val="00BF0C28"/>
    <w:rsid w:val="00BF0CA2"/>
    <w:rsid w:val="00BF0E3A"/>
    <w:rsid w:val="00BF1F75"/>
    <w:rsid w:val="00BF20D2"/>
    <w:rsid w:val="00BF22DA"/>
    <w:rsid w:val="00BF266D"/>
    <w:rsid w:val="00BF2BBC"/>
    <w:rsid w:val="00BF3987"/>
    <w:rsid w:val="00BF4167"/>
    <w:rsid w:val="00BF49D1"/>
    <w:rsid w:val="00BF5FFF"/>
    <w:rsid w:val="00BF63F7"/>
    <w:rsid w:val="00BF733C"/>
    <w:rsid w:val="00C006B4"/>
    <w:rsid w:val="00C009C5"/>
    <w:rsid w:val="00C00C49"/>
    <w:rsid w:val="00C00D8D"/>
    <w:rsid w:val="00C01B48"/>
    <w:rsid w:val="00C02142"/>
    <w:rsid w:val="00C026C5"/>
    <w:rsid w:val="00C02FF7"/>
    <w:rsid w:val="00C03234"/>
    <w:rsid w:val="00C0390E"/>
    <w:rsid w:val="00C04483"/>
    <w:rsid w:val="00C044F7"/>
    <w:rsid w:val="00C048C2"/>
    <w:rsid w:val="00C04D07"/>
    <w:rsid w:val="00C052D5"/>
    <w:rsid w:val="00C0768D"/>
    <w:rsid w:val="00C07C90"/>
    <w:rsid w:val="00C10533"/>
    <w:rsid w:val="00C114D4"/>
    <w:rsid w:val="00C13400"/>
    <w:rsid w:val="00C13B9B"/>
    <w:rsid w:val="00C14528"/>
    <w:rsid w:val="00C163AE"/>
    <w:rsid w:val="00C167DD"/>
    <w:rsid w:val="00C1727C"/>
    <w:rsid w:val="00C20296"/>
    <w:rsid w:val="00C202CD"/>
    <w:rsid w:val="00C209B8"/>
    <w:rsid w:val="00C20A70"/>
    <w:rsid w:val="00C20C59"/>
    <w:rsid w:val="00C2161C"/>
    <w:rsid w:val="00C21953"/>
    <w:rsid w:val="00C21BBC"/>
    <w:rsid w:val="00C22C7C"/>
    <w:rsid w:val="00C23887"/>
    <w:rsid w:val="00C238E8"/>
    <w:rsid w:val="00C23EBA"/>
    <w:rsid w:val="00C246C2"/>
    <w:rsid w:val="00C24B8C"/>
    <w:rsid w:val="00C25114"/>
    <w:rsid w:val="00C25D6E"/>
    <w:rsid w:val="00C26311"/>
    <w:rsid w:val="00C26836"/>
    <w:rsid w:val="00C27876"/>
    <w:rsid w:val="00C30031"/>
    <w:rsid w:val="00C31934"/>
    <w:rsid w:val="00C32F03"/>
    <w:rsid w:val="00C342FD"/>
    <w:rsid w:val="00C3467D"/>
    <w:rsid w:val="00C349A4"/>
    <w:rsid w:val="00C356BF"/>
    <w:rsid w:val="00C35C34"/>
    <w:rsid w:val="00C35CAE"/>
    <w:rsid w:val="00C35D71"/>
    <w:rsid w:val="00C35DE8"/>
    <w:rsid w:val="00C36DFE"/>
    <w:rsid w:val="00C370E6"/>
    <w:rsid w:val="00C37169"/>
    <w:rsid w:val="00C374F2"/>
    <w:rsid w:val="00C379B4"/>
    <w:rsid w:val="00C37F7B"/>
    <w:rsid w:val="00C403EB"/>
    <w:rsid w:val="00C40B7E"/>
    <w:rsid w:val="00C40E58"/>
    <w:rsid w:val="00C40E9C"/>
    <w:rsid w:val="00C411E5"/>
    <w:rsid w:val="00C41806"/>
    <w:rsid w:val="00C41ED1"/>
    <w:rsid w:val="00C426D8"/>
    <w:rsid w:val="00C42BD8"/>
    <w:rsid w:val="00C42C76"/>
    <w:rsid w:val="00C42CE9"/>
    <w:rsid w:val="00C43928"/>
    <w:rsid w:val="00C44502"/>
    <w:rsid w:val="00C449F6"/>
    <w:rsid w:val="00C45585"/>
    <w:rsid w:val="00C45F3C"/>
    <w:rsid w:val="00C4607A"/>
    <w:rsid w:val="00C470EA"/>
    <w:rsid w:val="00C4714D"/>
    <w:rsid w:val="00C4792D"/>
    <w:rsid w:val="00C47A55"/>
    <w:rsid w:val="00C47A8C"/>
    <w:rsid w:val="00C47FF4"/>
    <w:rsid w:val="00C50044"/>
    <w:rsid w:val="00C503B0"/>
    <w:rsid w:val="00C50AB2"/>
    <w:rsid w:val="00C5118F"/>
    <w:rsid w:val="00C51683"/>
    <w:rsid w:val="00C52A38"/>
    <w:rsid w:val="00C52B69"/>
    <w:rsid w:val="00C52BB2"/>
    <w:rsid w:val="00C53626"/>
    <w:rsid w:val="00C53A46"/>
    <w:rsid w:val="00C53D7F"/>
    <w:rsid w:val="00C54081"/>
    <w:rsid w:val="00C5471A"/>
    <w:rsid w:val="00C55441"/>
    <w:rsid w:val="00C55C21"/>
    <w:rsid w:val="00C55DE1"/>
    <w:rsid w:val="00C572E9"/>
    <w:rsid w:val="00C60145"/>
    <w:rsid w:val="00C606A2"/>
    <w:rsid w:val="00C60AE7"/>
    <w:rsid w:val="00C60F63"/>
    <w:rsid w:val="00C60F6F"/>
    <w:rsid w:val="00C6176B"/>
    <w:rsid w:val="00C62291"/>
    <w:rsid w:val="00C624A1"/>
    <w:rsid w:val="00C627EE"/>
    <w:rsid w:val="00C62ABC"/>
    <w:rsid w:val="00C62BAD"/>
    <w:rsid w:val="00C62F64"/>
    <w:rsid w:val="00C6467D"/>
    <w:rsid w:val="00C64C8D"/>
    <w:rsid w:val="00C64E57"/>
    <w:rsid w:val="00C65E8B"/>
    <w:rsid w:val="00C678FB"/>
    <w:rsid w:val="00C679A1"/>
    <w:rsid w:val="00C67B16"/>
    <w:rsid w:val="00C7008F"/>
    <w:rsid w:val="00C70388"/>
    <w:rsid w:val="00C707C0"/>
    <w:rsid w:val="00C70D32"/>
    <w:rsid w:val="00C71FF4"/>
    <w:rsid w:val="00C7205C"/>
    <w:rsid w:val="00C73200"/>
    <w:rsid w:val="00C735F9"/>
    <w:rsid w:val="00C738F4"/>
    <w:rsid w:val="00C74087"/>
    <w:rsid w:val="00C74860"/>
    <w:rsid w:val="00C74913"/>
    <w:rsid w:val="00C74B41"/>
    <w:rsid w:val="00C74BF8"/>
    <w:rsid w:val="00C7517A"/>
    <w:rsid w:val="00C7524C"/>
    <w:rsid w:val="00C75D4F"/>
    <w:rsid w:val="00C802E4"/>
    <w:rsid w:val="00C80363"/>
    <w:rsid w:val="00C806CE"/>
    <w:rsid w:val="00C81BA9"/>
    <w:rsid w:val="00C81C8C"/>
    <w:rsid w:val="00C81E29"/>
    <w:rsid w:val="00C81F24"/>
    <w:rsid w:val="00C82747"/>
    <w:rsid w:val="00C82E16"/>
    <w:rsid w:val="00C831F6"/>
    <w:rsid w:val="00C83688"/>
    <w:rsid w:val="00C83F70"/>
    <w:rsid w:val="00C84A00"/>
    <w:rsid w:val="00C84C37"/>
    <w:rsid w:val="00C85B60"/>
    <w:rsid w:val="00C85C66"/>
    <w:rsid w:val="00C86862"/>
    <w:rsid w:val="00C86AC8"/>
    <w:rsid w:val="00C86CF5"/>
    <w:rsid w:val="00C874F7"/>
    <w:rsid w:val="00C87510"/>
    <w:rsid w:val="00C8768D"/>
    <w:rsid w:val="00C879EB"/>
    <w:rsid w:val="00C87C03"/>
    <w:rsid w:val="00C90EC4"/>
    <w:rsid w:val="00C90F36"/>
    <w:rsid w:val="00C91460"/>
    <w:rsid w:val="00C923B0"/>
    <w:rsid w:val="00C92568"/>
    <w:rsid w:val="00C933AA"/>
    <w:rsid w:val="00C9364E"/>
    <w:rsid w:val="00C94C01"/>
    <w:rsid w:val="00C9545B"/>
    <w:rsid w:val="00C95726"/>
    <w:rsid w:val="00C95E13"/>
    <w:rsid w:val="00C9629F"/>
    <w:rsid w:val="00C96B51"/>
    <w:rsid w:val="00C9712E"/>
    <w:rsid w:val="00C973F4"/>
    <w:rsid w:val="00C97CE8"/>
    <w:rsid w:val="00CA0180"/>
    <w:rsid w:val="00CA080F"/>
    <w:rsid w:val="00CA095A"/>
    <w:rsid w:val="00CA0BC4"/>
    <w:rsid w:val="00CA16B2"/>
    <w:rsid w:val="00CA19D5"/>
    <w:rsid w:val="00CA1DE9"/>
    <w:rsid w:val="00CA2D09"/>
    <w:rsid w:val="00CA32CA"/>
    <w:rsid w:val="00CA35BA"/>
    <w:rsid w:val="00CA3EDC"/>
    <w:rsid w:val="00CA44B3"/>
    <w:rsid w:val="00CA49EB"/>
    <w:rsid w:val="00CA4C94"/>
    <w:rsid w:val="00CA5D69"/>
    <w:rsid w:val="00CA66DB"/>
    <w:rsid w:val="00CA6F9B"/>
    <w:rsid w:val="00CA785F"/>
    <w:rsid w:val="00CA786D"/>
    <w:rsid w:val="00CA7B06"/>
    <w:rsid w:val="00CB043E"/>
    <w:rsid w:val="00CB0A85"/>
    <w:rsid w:val="00CB1012"/>
    <w:rsid w:val="00CB1148"/>
    <w:rsid w:val="00CB122D"/>
    <w:rsid w:val="00CB16EB"/>
    <w:rsid w:val="00CB16ED"/>
    <w:rsid w:val="00CB1BC1"/>
    <w:rsid w:val="00CB222E"/>
    <w:rsid w:val="00CB31AB"/>
    <w:rsid w:val="00CB335B"/>
    <w:rsid w:val="00CB34E2"/>
    <w:rsid w:val="00CB3F85"/>
    <w:rsid w:val="00CB4014"/>
    <w:rsid w:val="00CB45F2"/>
    <w:rsid w:val="00CB4A78"/>
    <w:rsid w:val="00CB55F5"/>
    <w:rsid w:val="00CB587D"/>
    <w:rsid w:val="00CB6188"/>
    <w:rsid w:val="00CB63E7"/>
    <w:rsid w:val="00CC01E9"/>
    <w:rsid w:val="00CC0557"/>
    <w:rsid w:val="00CC083D"/>
    <w:rsid w:val="00CC0D11"/>
    <w:rsid w:val="00CC2902"/>
    <w:rsid w:val="00CC3F9C"/>
    <w:rsid w:val="00CC406D"/>
    <w:rsid w:val="00CC47E8"/>
    <w:rsid w:val="00CC4FE1"/>
    <w:rsid w:val="00CC582F"/>
    <w:rsid w:val="00CC5FCB"/>
    <w:rsid w:val="00CC62AC"/>
    <w:rsid w:val="00CC6379"/>
    <w:rsid w:val="00CC656B"/>
    <w:rsid w:val="00CD04CF"/>
    <w:rsid w:val="00CD0DCF"/>
    <w:rsid w:val="00CD1283"/>
    <w:rsid w:val="00CD13CB"/>
    <w:rsid w:val="00CD2731"/>
    <w:rsid w:val="00CD2EE1"/>
    <w:rsid w:val="00CD30CB"/>
    <w:rsid w:val="00CD359E"/>
    <w:rsid w:val="00CD43C1"/>
    <w:rsid w:val="00CD4BC9"/>
    <w:rsid w:val="00CD5187"/>
    <w:rsid w:val="00CD51F7"/>
    <w:rsid w:val="00CD52F5"/>
    <w:rsid w:val="00CD53B3"/>
    <w:rsid w:val="00CD581D"/>
    <w:rsid w:val="00CD5B1F"/>
    <w:rsid w:val="00CD61CA"/>
    <w:rsid w:val="00CD7C89"/>
    <w:rsid w:val="00CD7E5C"/>
    <w:rsid w:val="00CE01AE"/>
    <w:rsid w:val="00CE0DC1"/>
    <w:rsid w:val="00CE32DB"/>
    <w:rsid w:val="00CE3A4A"/>
    <w:rsid w:val="00CE4857"/>
    <w:rsid w:val="00CE4909"/>
    <w:rsid w:val="00CE5501"/>
    <w:rsid w:val="00CE5CEA"/>
    <w:rsid w:val="00CE6493"/>
    <w:rsid w:val="00CE7095"/>
    <w:rsid w:val="00CE765E"/>
    <w:rsid w:val="00CE782F"/>
    <w:rsid w:val="00CF0B4F"/>
    <w:rsid w:val="00CF0F3B"/>
    <w:rsid w:val="00CF1497"/>
    <w:rsid w:val="00CF1731"/>
    <w:rsid w:val="00CF1854"/>
    <w:rsid w:val="00CF1D9C"/>
    <w:rsid w:val="00CF2615"/>
    <w:rsid w:val="00CF27AD"/>
    <w:rsid w:val="00CF2DF0"/>
    <w:rsid w:val="00CF2EC9"/>
    <w:rsid w:val="00CF3346"/>
    <w:rsid w:val="00CF3BB5"/>
    <w:rsid w:val="00CF3D3E"/>
    <w:rsid w:val="00CF44DF"/>
    <w:rsid w:val="00CF5989"/>
    <w:rsid w:val="00CF6D4B"/>
    <w:rsid w:val="00CF7624"/>
    <w:rsid w:val="00CF76E8"/>
    <w:rsid w:val="00CF7827"/>
    <w:rsid w:val="00D000F8"/>
    <w:rsid w:val="00D0256C"/>
    <w:rsid w:val="00D052E9"/>
    <w:rsid w:val="00D0541C"/>
    <w:rsid w:val="00D054C6"/>
    <w:rsid w:val="00D054E4"/>
    <w:rsid w:val="00D05687"/>
    <w:rsid w:val="00D05CB1"/>
    <w:rsid w:val="00D06160"/>
    <w:rsid w:val="00D06820"/>
    <w:rsid w:val="00D06827"/>
    <w:rsid w:val="00D06EBE"/>
    <w:rsid w:val="00D0758D"/>
    <w:rsid w:val="00D079A5"/>
    <w:rsid w:val="00D1059F"/>
    <w:rsid w:val="00D108B0"/>
    <w:rsid w:val="00D110F3"/>
    <w:rsid w:val="00D1127D"/>
    <w:rsid w:val="00D11C06"/>
    <w:rsid w:val="00D13D14"/>
    <w:rsid w:val="00D15231"/>
    <w:rsid w:val="00D16CD1"/>
    <w:rsid w:val="00D16FC0"/>
    <w:rsid w:val="00D17A47"/>
    <w:rsid w:val="00D17DA9"/>
    <w:rsid w:val="00D20049"/>
    <w:rsid w:val="00D202CC"/>
    <w:rsid w:val="00D20515"/>
    <w:rsid w:val="00D20943"/>
    <w:rsid w:val="00D20DD2"/>
    <w:rsid w:val="00D22DF0"/>
    <w:rsid w:val="00D22DF3"/>
    <w:rsid w:val="00D234B4"/>
    <w:rsid w:val="00D24882"/>
    <w:rsid w:val="00D24F02"/>
    <w:rsid w:val="00D2589E"/>
    <w:rsid w:val="00D2633F"/>
    <w:rsid w:val="00D267E9"/>
    <w:rsid w:val="00D26C84"/>
    <w:rsid w:val="00D27F16"/>
    <w:rsid w:val="00D27F88"/>
    <w:rsid w:val="00D30390"/>
    <w:rsid w:val="00D3068D"/>
    <w:rsid w:val="00D311FD"/>
    <w:rsid w:val="00D3167E"/>
    <w:rsid w:val="00D31EA3"/>
    <w:rsid w:val="00D3205D"/>
    <w:rsid w:val="00D3352A"/>
    <w:rsid w:val="00D337B6"/>
    <w:rsid w:val="00D34F1B"/>
    <w:rsid w:val="00D35EC9"/>
    <w:rsid w:val="00D3632C"/>
    <w:rsid w:val="00D40054"/>
    <w:rsid w:val="00D4015B"/>
    <w:rsid w:val="00D40281"/>
    <w:rsid w:val="00D40EBA"/>
    <w:rsid w:val="00D428E9"/>
    <w:rsid w:val="00D42D8C"/>
    <w:rsid w:val="00D4319D"/>
    <w:rsid w:val="00D43478"/>
    <w:rsid w:val="00D43D5E"/>
    <w:rsid w:val="00D4454C"/>
    <w:rsid w:val="00D4480B"/>
    <w:rsid w:val="00D458A7"/>
    <w:rsid w:val="00D459A1"/>
    <w:rsid w:val="00D46574"/>
    <w:rsid w:val="00D46B7B"/>
    <w:rsid w:val="00D4777D"/>
    <w:rsid w:val="00D47B0A"/>
    <w:rsid w:val="00D50513"/>
    <w:rsid w:val="00D506B1"/>
    <w:rsid w:val="00D50998"/>
    <w:rsid w:val="00D511F2"/>
    <w:rsid w:val="00D515D8"/>
    <w:rsid w:val="00D53930"/>
    <w:rsid w:val="00D541DF"/>
    <w:rsid w:val="00D547B9"/>
    <w:rsid w:val="00D551E3"/>
    <w:rsid w:val="00D555E5"/>
    <w:rsid w:val="00D555FB"/>
    <w:rsid w:val="00D55BCB"/>
    <w:rsid w:val="00D56F95"/>
    <w:rsid w:val="00D57651"/>
    <w:rsid w:val="00D6042E"/>
    <w:rsid w:val="00D6085A"/>
    <w:rsid w:val="00D61221"/>
    <w:rsid w:val="00D6173C"/>
    <w:rsid w:val="00D617F2"/>
    <w:rsid w:val="00D61D43"/>
    <w:rsid w:val="00D62785"/>
    <w:rsid w:val="00D62DDA"/>
    <w:rsid w:val="00D63A99"/>
    <w:rsid w:val="00D63C9D"/>
    <w:rsid w:val="00D64055"/>
    <w:rsid w:val="00D651AD"/>
    <w:rsid w:val="00D6545D"/>
    <w:rsid w:val="00D65590"/>
    <w:rsid w:val="00D6561D"/>
    <w:rsid w:val="00D6583D"/>
    <w:rsid w:val="00D65C5B"/>
    <w:rsid w:val="00D65CFA"/>
    <w:rsid w:val="00D66104"/>
    <w:rsid w:val="00D66386"/>
    <w:rsid w:val="00D66F57"/>
    <w:rsid w:val="00D671D5"/>
    <w:rsid w:val="00D70275"/>
    <w:rsid w:val="00D70DC7"/>
    <w:rsid w:val="00D70FCF"/>
    <w:rsid w:val="00D712CE"/>
    <w:rsid w:val="00D718F8"/>
    <w:rsid w:val="00D71A28"/>
    <w:rsid w:val="00D71F92"/>
    <w:rsid w:val="00D72A21"/>
    <w:rsid w:val="00D72AA5"/>
    <w:rsid w:val="00D734FD"/>
    <w:rsid w:val="00D74532"/>
    <w:rsid w:val="00D74911"/>
    <w:rsid w:val="00D74AA8"/>
    <w:rsid w:val="00D74EB1"/>
    <w:rsid w:val="00D75936"/>
    <w:rsid w:val="00D75B16"/>
    <w:rsid w:val="00D7627F"/>
    <w:rsid w:val="00D76AF7"/>
    <w:rsid w:val="00D7709A"/>
    <w:rsid w:val="00D77E43"/>
    <w:rsid w:val="00D8050B"/>
    <w:rsid w:val="00D80E0E"/>
    <w:rsid w:val="00D81854"/>
    <w:rsid w:val="00D82286"/>
    <w:rsid w:val="00D823CC"/>
    <w:rsid w:val="00D825A2"/>
    <w:rsid w:val="00D8270D"/>
    <w:rsid w:val="00D82AB2"/>
    <w:rsid w:val="00D834CD"/>
    <w:rsid w:val="00D84A7B"/>
    <w:rsid w:val="00D84A8B"/>
    <w:rsid w:val="00D84ABD"/>
    <w:rsid w:val="00D84D48"/>
    <w:rsid w:val="00D85186"/>
    <w:rsid w:val="00D85500"/>
    <w:rsid w:val="00D857B1"/>
    <w:rsid w:val="00D85E5E"/>
    <w:rsid w:val="00D862D9"/>
    <w:rsid w:val="00D86F02"/>
    <w:rsid w:val="00D87385"/>
    <w:rsid w:val="00D90075"/>
    <w:rsid w:val="00D90AE4"/>
    <w:rsid w:val="00D92320"/>
    <w:rsid w:val="00D936E2"/>
    <w:rsid w:val="00D936EB"/>
    <w:rsid w:val="00D93CDD"/>
    <w:rsid w:val="00D94753"/>
    <w:rsid w:val="00D94B8F"/>
    <w:rsid w:val="00D94C61"/>
    <w:rsid w:val="00D94D9A"/>
    <w:rsid w:val="00D95EC8"/>
    <w:rsid w:val="00D965B1"/>
    <w:rsid w:val="00D96888"/>
    <w:rsid w:val="00D96A36"/>
    <w:rsid w:val="00D97600"/>
    <w:rsid w:val="00DA0029"/>
    <w:rsid w:val="00DA00F6"/>
    <w:rsid w:val="00DA0B41"/>
    <w:rsid w:val="00DA0D0C"/>
    <w:rsid w:val="00DA18FF"/>
    <w:rsid w:val="00DA2762"/>
    <w:rsid w:val="00DA286B"/>
    <w:rsid w:val="00DA343E"/>
    <w:rsid w:val="00DA375E"/>
    <w:rsid w:val="00DA398A"/>
    <w:rsid w:val="00DA4309"/>
    <w:rsid w:val="00DA459A"/>
    <w:rsid w:val="00DA547F"/>
    <w:rsid w:val="00DA56D7"/>
    <w:rsid w:val="00DA56E0"/>
    <w:rsid w:val="00DA76A5"/>
    <w:rsid w:val="00DB0576"/>
    <w:rsid w:val="00DB0CF0"/>
    <w:rsid w:val="00DB0D85"/>
    <w:rsid w:val="00DB0F86"/>
    <w:rsid w:val="00DB12EE"/>
    <w:rsid w:val="00DB13B1"/>
    <w:rsid w:val="00DB13C7"/>
    <w:rsid w:val="00DB1A14"/>
    <w:rsid w:val="00DB1F62"/>
    <w:rsid w:val="00DB2018"/>
    <w:rsid w:val="00DB25CF"/>
    <w:rsid w:val="00DB2757"/>
    <w:rsid w:val="00DB39BD"/>
    <w:rsid w:val="00DB496D"/>
    <w:rsid w:val="00DB49ED"/>
    <w:rsid w:val="00DB4C05"/>
    <w:rsid w:val="00DB5DD3"/>
    <w:rsid w:val="00DB5ED8"/>
    <w:rsid w:val="00DB5F1F"/>
    <w:rsid w:val="00DB69CC"/>
    <w:rsid w:val="00DB77AF"/>
    <w:rsid w:val="00DB7D1B"/>
    <w:rsid w:val="00DC096A"/>
    <w:rsid w:val="00DC0D32"/>
    <w:rsid w:val="00DC1060"/>
    <w:rsid w:val="00DC13A9"/>
    <w:rsid w:val="00DC2482"/>
    <w:rsid w:val="00DC30F4"/>
    <w:rsid w:val="00DC3269"/>
    <w:rsid w:val="00DC3527"/>
    <w:rsid w:val="00DC36A1"/>
    <w:rsid w:val="00DC4FE5"/>
    <w:rsid w:val="00DC64F5"/>
    <w:rsid w:val="00DC6813"/>
    <w:rsid w:val="00DC6F52"/>
    <w:rsid w:val="00DC719C"/>
    <w:rsid w:val="00DC780E"/>
    <w:rsid w:val="00DD06FF"/>
    <w:rsid w:val="00DD0781"/>
    <w:rsid w:val="00DD0E5B"/>
    <w:rsid w:val="00DD17DA"/>
    <w:rsid w:val="00DD3045"/>
    <w:rsid w:val="00DD4E34"/>
    <w:rsid w:val="00DD5E87"/>
    <w:rsid w:val="00DD65C9"/>
    <w:rsid w:val="00DD6CD9"/>
    <w:rsid w:val="00DD6EC6"/>
    <w:rsid w:val="00DD71F9"/>
    <w:rsid w:val="00DE1A1D"/>
    <w:rsid w:val="00DE1C2B"/>
    <w:rsid w:val="00DE2925"/>
    <w:rsid w:val="00DE2E3B"/>
    <w:rsid w:val="00DE45DC"/>
    <w:rsid w:val="00DE4932"/>
    <w:rsid w:val="00DE507C"/>
    <w:rsid w:val="00DE5267"/>
    <w:rsid w:val="00DE55C4"/>
    <w:rsid w:val="00DE582C"/>
    <w:rsid w:val="00DE5BA1"/>
    <w:rsid w:val="00DE67B2"/>
    <w:rsid w:val="00DE6961"/>
    <w:rsid w:val="00DE6AA0"/>
    <w:rsid w:val="00DE7145"/>
    <w:rsid w:val="00DE7565"/>
    <w:rsid w:val="00DF02AF"/>
    <w:rsid w:val="00DF07EE"/>
    <w:rsid w:val="00DF0896"/>
    <w:rsid w:val="00DF0CB3"/>
    <w:rsid w:val="00DF122A"/>
    <w:rsid w:val="00DF15AC"/>
    <w:rsid w:val="00DF2210"/>
    <w:rsid w:val="00DF2E95"/>
    <w:rsid w:val="00DF3CDE"/>
    <w:rsid w:val="00DF3DE3"/>
    <w:rsid w:val="00DF414D"/>
    <w:rsid w:val="00DF55E6"/>
    <w:rsid w:val="00DF58E9"/>
    <w:rsid w:val="00DF59A3"/>
    <w:rsid w:val="00DF5F7B"/>
    <w:rsid w:val="00DF6B63"/>
    <w:rsid w:val="00DF7000"/>
    <w:rsid w:val="00DF73D4"/>
    <w:rsid w:val="00E000D3"/>
    <w:rsid w:val="00E00D7E"/>
    <w:rsid w:val="00E00DD3"/>
    <w:rsid w:val="00E00EFE"/>
    <w:rsid w:val="00E0159E"/>
    <w:rsid w:val="00E01D70"/>
    <w:rsid w:val="00E025C6"/>
    <w:rsid w:val="00E02692"/>
    <w:rsid w:val="00E027FB"/>
    <w:rsid w:val="00E02B7C"/>
    <w:rsid w:val="00E03125"/>
    <w:rsid w:val="00E0346B"/>
    <w:rsid w:val="00E03864"/>
    <w:rsid w:val="00E03A94"/>
    <w:rsid w:val="00E0408E"/>
    <w:rsid w:val="00E0462B"/>
    <w:rsid w:val="00E05189"/>
    <w:rsid w:val="00E05A94"/>
    <w:rsid w:val="00E06054"/>
    <w:rsid w:val="00E063DA"/>
    <w:rsid w:val="00E065E7"/>
    <w:rsid w:val="00E066F2"/>
    <w:rsid w:val="00E07D25"/>
    <w:rsid w:val="00E1003A"/>
    <w:rsid w:val="00E101EA"/>
    <w:rsid w:val="00E108A9"/>
    <w:rsid w:val="00E10EC3"/>
    <w:rsid w:val="00E1126A"/>
    <w:rsid w:val="00E11D35"/>
    <w:rsid w:val="00E12848"/>
    <w:rsid w:val="00E12E1C"/>
    <w:rsid w:val="00E12FA2"/>
    <w:rsid w:val="00E13416"/>
    <w:rsid w:val="00E13746"/>
    <w:rsid w:val="00E13C75"/>
    <w:rsid w:val="00E13E4F"/>
    <w:rsid w:val="00E14038"/>
    <w:rsid w:val="00E14186"/>
    <w:rsid w:val="00E14D6B"/>
    <w:rsid w:val="00E15464"/>
    <w:rsid w:val="00E179BB"/>
    <w:rsid w:val="00E17F1A"/>
    <w:rsid w:val="00E203A3"/>
    <w:rsid w:val="00E204CD"/>
    <w:rsid w:val="00E21164"/>
    <w:rsid w:val="00E2143C"/>
    <w:rsid w:val="00E2206C"/>
    <w:rsid w:val="00E2246A"/>
    <w:rsid w:val="00E22863"/>
    <w:rsid w:val="00E22C14"/>
    <w:rsid w:val="00E22D2D"/>
    <w:rsid w:val="00E22E9F"/>
    <w:rsid w:val="00E239A8"/>
    <w:rsid w:val="00E23F34"/>
    <w:rsid w:val="00E2409F"/>
    <w:rsid w:val="00E243BF"/>
    <w:rsid w:val="00E24567"/>
    <w:rsid w:val="00E2490E"/>
    <w:rsid w:val="00E24CD9"/>
    <w:rsid w:val="00E2543B"/>
    <w:rsid w:val="00E2573C"/>
    <w:rsid w:val="00E25A0A"/>
    <w:rsid w:val="00E264F7"/>
    <w:rsid w:val="00E2655F"/>
    <w:rsid w:val="00E266FF"/>
    <w:rsid w:val="00E26D04"/>
    <w:rsid w:val="00E26F2A"/>
    <w:rsid w:val="00E27112"/>
    <w:rsid w:val="00E272FB"/>
    <w:rsid w:val="00E273AE"/>
    <w:rsid w:val="00E31A37"/>
    <w:rsid w:val="00E31D94"/>
    <w:rsid w:val="00E321F6"/>
    <w:rsid w:val="00E3296A"/>
    <w:rsid w:val="00E32D6D"/>
    <w:rsid w:val="00E32F50"/>
    <w:rsid w:val="00E3366E"/>
    <w:rsid w:val="00E3381E"/>
    <w:rsid w:val="00E33FDF"/>
    <w:rsid w:val="00E34731"/>
    <w:rsid w:val="00E35CBE"/>
    <w:rsid w:val="00E35D2B"/>
    <w:rsid w:val="00E361D3"/>
    <w:rsid w:val="00E3644A"/>
    <w:rsid w:val="00E367B7"/>
    <w:rsid w:val="00E36993"/>
    <w:rsid w:val="00E40189"/>
    <w:rsid w:val="00E4064A"/>
    <w:rsid w:val="00E40CA3"/>
    <w:rsid w:val="00E412F0"/>
    <w:rsid w:val="00E41BFB"/>
    <w:rsid w:val="00E428BF"/>
    <w:rsid w:val="00E43103"/>
    <w:rsid w:val="00E43E25"/>
    <w:rsid w:val="00E43F6D"/>
    <w:rsid w:val="00E440CB"/>
    <w:rsid w:val="00E44CC8"/>
    <w:rsid w:val="00E44E6D"/>
    <w:rsid w:val="00E4503C"/>
    <w:rsid w:val="00E455FE"/>
    <w:rsid w:val="00E45B2E"/>
    <w:rsid w:val="00E45E70"/>
    <w:rsid w:val="00E460CD"/>
    <w:rsid w:val="00E474EE"/>
    <w:rsid w:val="00E47E55"/>
    <w:rsid w:val="00E507C4"/>
    <w:rsid w:val="00E5085C"/>
    <w:rsid w:val="00E5101E"/>
    <w:rsid w:val="00E5121D"/>
    <w:rsid w:val="00E51533"/>
    <w:rsid w:val="00E5188F"/>
    <w:rsid w:val="00E51C7C"/>
    <w:rsid w:val="00E51CAB"/>
    <w:rsid w:val="00E51D5F"/>
    <w:rsid w:val="00E52315"/>
    <w:rsid w:val="00E52764"/>
    <w:rsid w:val="00E52908"/>
    <w:rsid w:val="00E53375"/>
    <w:rsid w:val="00E534CE"/>
    <w:rsid w:val="00E535EA"/>
    <w:rsid w:val="00E53776"/>
    <w:rsid w:val="00E53AB2"/>
    <w:rsid w:val="00E53FD1"/>
    <w:rsid w:val="00E54300"/>
    <w:rsid w:val="00E5440B"/>
    <w:rsid w:val="00E54956"/>
    <w:rsid w:val="00E54A75"/>
    <w:rsid w:val="00E5533B"/>
    <w:rsid w:val="00E55457"/>
    <w:rsid w:val="00E55D40"/>
    <w:rsid w:val="00E55D6F"/>
    <w:rsid w:val="00E560F3"/>
    <w:rsid w:val="00E56225"/>
    <w:rsid w:val="00E57C13"/>
    <w:rsid w:val="00E603DA"/>
    <w:rsid w:val="00E60CEB"/>
    <w:rsid w:val="00E61406"/>
    <w:rsid w:val="00E6148B"/>
    <w:rsid w:val="00E618DE"/>
    <w:rsid w:val="00E61DC7"/>
    <w:rsid w:val="00E61E14"/>
    <w:rsid w:val="00E62088"/>
    <w:rsid w:val="00E622CC"/>
    <w:rsid w:val="00E626CE"/>
    <w:rsid w:val="00E63446"/>
    <w:rsid w:val="00E635A9"/>
    <w:rsid w:val="00E6416C"/>
    <w:rsid w:val="00E6433E"/>
    <w:rsid w:val="00E6473D"/>
    <w:rsid w:val="00E64E19"/>
    <w:rsid w:val="00E64F61"/>
    <w:rsid w:val="00E65392"/>
    <w:rsid w:val="00E654C7"/>
    <w:rsid w:val="00E6636A"/>
    <w:rsid w:val="00E66FDF"/>
    <w:rsid w:val="00E674CE"/>
    <w:rsid w:val="00E675D6"/>
    <w:rsid w:val="00E6768C"/>
    <w:rsid w:val="00E678E2"/>
    <w:rsid w:val="00E67FEB"/>
    <w:rsid w:val="00E7034F"/>
    <w:rsid w:val="00E70864"/>
    <w:rsid w:val="00E7088E"/>
    <w:rsid w:val="00E71C16"/>
    <w:rsid w:val="00E71CAE"/>
    <w:rsid w:val="00E72898"/>
    <w:rsid w:val="00E7350C"/>
    <w:rsid w:val="00E73C4F"/>
    <w:rsid w:val="00E74790"/>
    <w:rsid w:val="00E74C6B"/>
    <w:rsid w:val="00E7606D"/>
    <w:rsid w:val="00E779D9"/>
    <w:rsid w:val="00E8021D"/>
    <w:rsid w:val="00E807DC"/>
    <w:rsid w:val="00E81136"/>
    <w:rsid w:val="00E81144"/>
    <w:rsid w:val="00E81156"/>
    <w:rsid w:val="00E81D40"/>
    <w:rsid w:val="00E82C4A"/>
    <w:rsid w:val="00E82F5E"/>
    <w:rsid w:val="00E8327B"/>
    <w:rsid w:val="00E8388A"/>
    <w:rsid w:val="00E84629"/>
    <w:rsid w:val="00E84CA9"/>
    <w:rsid w:val="00E85002"/>
    <w:rsid w:val="00E859AB"/>
    <w:rsid w:val="00E86700"/>
    <w:rsid w:val="00E86859"/>
    <w:rsid w:val="00E86F9C"/>
    <w:rsid w:val="00E904CA"/>
    <w:rsid w:val="00E92171"/>
    <w:rsid w:val="00E9276D"/>
    <w:rsid w:val="00E92947"/>
    <w:rsid w:val="00E95CC1"/>
    <w:rsid w:val="00E95CCC"/>
    <w:rsid w:val="00E978CD"/>
    <w:rsid w:val="00E97FCC"/>
    <w:rsid w:val="00EA05FE"/>
    <w:rsid w:val="00EA0BAA"/>
    <w:rsid w:val="00EA23E8"/>
    <w:rsid w:val="00EA258D"/>
    <w:rsid w:val="00EA307C"/>
    <w:rsid w:val="00EA434E"/>
    <w:rsid w:val="00EA510B"/>
    <w:rsid w:val="00EA5521"/>
    <w:rsid w:val="00EA5560"/>
    <w:rsid w:val="00EA594B"/>
    <w:rsid w:val="00EA68E0"/>
    <w:rsid w:val="00EA71FE"/>
    <w:rsid w:val="00EA74CF"/>
    <w:rsid w:val="00EA796D"/>
    <w:rsid w:val="00EA7C7B"/>
    <w:rsid w:val="00EB2CA3"/>
    <w:rsid w:val="00EB335B"/>
    <w:rsid w:val="00EB3516"/>
    <w:rsid w:val="00EB3AFB"/>
    <w:rsid w:val="00EB4B8E"/>
    <w:rsid w:val="00EB505F"/>
    <w:rsid w:val="00EB55B9"/>
    <w:rsid w:val="00EB6C71"/>
    <w:rsid w:val="00EB77A9"/>
    <w:rsid w:val="00EB7E08"/>
    <w:rsid w:val="00EC0BAC"/>
    <w:rsid w:val="00EC0BDD"/>
    <w:rsid w:val="00EC1948"/>
    <w:rsid w:val="00EC2E8D"/>
    <w:rsid w:val="00EC3F72"/>
    <w:rsid w:val="00EC528D"/>
    <w:rsid w:val="00EC5325"/>
    <w:rsid w:val="00EC5A59"/>
    <w:rsid w:val="00EC65B4"/>
    <w:rsid w:val="00EC6697"/>
    <w:rsid w:val="00EC7745"/>
    <w:rsid w:val="00ED057A"/>
    <w:rsid w:val="00ED07FB"/>
    <w:rsid w:val="00ED2B76"/>
    <w:rsid w:val="00ED2C45"/>
    <w:rsid w:val="00ED3295"/>
    <w:rsid w:val="00ED32CF"/>
    <w:rsid w:val="00ED343C"/>
    <w:rsid w:val="00ED36DC"/>
    <w:rsid w:val="00ED3A7C"/>
    <w:rsid w:val="00ED5130"/>
    <w:rsid w:val="00ED5785"/>
    <w:rsid w:val="00ED6277"/>
    <w:rsid w:val="00ED6A57"/>
    <w:rsid w:val="00ED705C"/>
    <w:rsid w:val="00ED74FA"/>
    <w:rsid w:val="00ED792D"/>
    <w:rsid w:val="00ED7BA9"/>
    <w:rsid w:val="00ED7FCF"/>
    <w:rsid w:val="00EE0058"/>
    <w:rsid w:val="00EE0074"/>
    <w:rsid w:val="00EE0093"/>
    <w:rsid w:val="00EE0682"/>
    <w:rsid w:val="00EE0959"/>
    <w:rsid w:val="00EE0B93"/>
    <w:rsid w:val="00EE10A4"/>
    <w:rsid w:val="00EE1612"/>
    <w:rsid w:val="00EE223F"/>
    <w:rsid w:val="00EE25DB"/>
    <w:rsid w:val="00EE2D37"/>
    <w:rsid w:val="00EE366B"/>
    <w:rsid w:val="00EE51E7"/>
    <w:rsid w:val="00EE545E"/>
    <w:rsid w:val="00EE5B4B"/>
    <w:rsid w:val="00EE5DEC"/>
    <w:rsid w:val="00EE6174"/>
    <w:rsid w:val="00EE61F7"/>
    <w:rsid w:val="00EE6A41"/>
    <w:rsid w:val="00EE6A79"/>
    <w:rsid w:val="00EE6B15"/>
    <w:rsid w:val="00EE70D1"/>
    <w:rsid w:val="00EF0C15"/>
    <w:rsid w:val="00EF0D70"/>
    <w:rsid w:val="00EF1279"/>
    <w:rsid w:val="00EF140E"/>
    <w:rsid w:val="00EF171E"/>
    <w:rsid w:val="00EF1D6F"/>
    <w:rsid w:val="00EF1F23"/>
    <w:rsid w:val="00EF2F69"/>
    <w:rsid w:val="00EF3207"/>
    <w:rsid w:val="00EF45E7"/>
    <w:rsid w:val="00EF4FFB"/>
    <w:rsid w:val="00EF556B"/>
    <w:rsid w:val="00EF6D3F"/>
    <w:rsid w:val="00EF6E5C"/>
    <w:rsid w:val="00EF7E46"/>
    <w:rsid w:val="00F00011"/>
    <w:rsid w:val="00F002AB"/>
    <w:rsid w:val="00F00A28"/>
    <w:rsid w:val="00F00ED7"/>
    <w:rsid w:val="00F01A16"/>
    <w:rsid w:val="00F02192"/>
    <w:rsid w:val="00F02693"/>
    <w:rsid w:val="00F02910"/>
    <w:rsid w:val="00F02AAE"/>
    <w:rsid w:val="00F0312B"/>
    <w:rsid w:val="00F0397F"/>
    <w:rsid w:val="00F03CFE"/>
    <w:rsid w:val="00F03EE2"/>
    <w:rsid w:val="00F04368"/>
    <w:rsid w:val="00F04378"/>
    <w:rsid w:val="00F0490B"/>
    <w:rsid w:val="00F050CC"/>
    <w:rsid w:val="00F05498"/>
    <w:rsid w:val="00F05961"/>
    <w:rsid w:val="00F05EE5"/>
    <w:rsid w:val="00F07D8D"/>
    <w:rsid w:val="00F07E40"/>
    <w:rsid w:val="00F10BBD"/>
    <w:rsid w:val="00F110A0"/>
    <w:rsid w:val="00F11123"/>
    <w:rsid w:val="00F11364"/>
    <w:rsid w:val="00F12107"/>
    <w:rsid w:val="00F125DA"/>
    <w:rsid w:val="00F1283B"/>
    <w:rsid w:val="00F12ED1"/>
    <w:rsid w:val="00F1382E"/>
    <w:rsid w:val="00F13B28"/>
    <w:rsid w:val="00F13ED7"/>
    <w:rsid w:val="00F14843"/>
    <w:rsid w:val="00F153D5"/>
    <w:rsid w:val="00F15841"/>
    <w:rsid w:val="00F15E15"/>
    <w:rsid w:val="00F16449"/>
    <w:rsid w:val="00F177DF"/>
    <w:rsid w:val="00F17F67"/>
    <w:rsid w:val="00F20928"/>
    <w:rsid w:val="00F20C9D"/>
    <w:rsid w:val="00F218DD"/>
    <w:rsid w:val="00F21BCF"/>
    <w:rsid w:val="00F22467"/>
    <w:rsid w:val="00F22759"/>
    <w:rsid w:val="00F22F54"/>
    <w:rsid w:val="00F2337A"/>
    <w:rsid w:val="00F23E58"/>
    <w:rsid w:val="00F241F9"/>
    <w:rsid w:val="00F24F8F"/>
    <w:rsid w:val="00F2533C"/>
    <w:rsid w:val="00F25F2E"/>
    <w:rsid w:val="00F270EE"/>
    <w:rsid w:val="00F27481"/>
    <w:rsid w:val="00F2772B"/>
    <w:rsid w:val="00F2780E"/>
    <w:rsid w:val="00F2789D"/>
    <w:rsid w:val="00F279A6"/>
    <w:rsid w:val="00F30632"/>
    <w:rsid w:val="00F30E8D"/>
    <w:rsid w:val="00F31624"/>
    <w:rsid w:val="00F326FA"/>
    <w:rsid w:val="00F32966"/>
    <w:rsid w:val="00F33C6E"/>
    <w:rsid w:val="00F342AF"/>
    <w:rsid w:val="00F346E3"/>
    <w:rsid w:val="00F357D6"/>
    <w:rsid w:val="00F35C6D"/>
    <w:rsid w:val="00F35D40"/>
    <w:rsid w:val="00F3606A"/>
    <w:rsid w:val="00F361BE"/>
    <w:rsid w:val="00F36638"/>
    <w:rsid w:val="00F366F5"/>
    <w:rsid w:val="00F36E3A"/>
    <w:rsid w:val="00F40C1B"/>
    <w:rsid w:val="00F40D67"/>
    <w:rsid w:val="00F41350"/>
    <w:rsid w:val="00F42AF0"/>
    <w:rsid w:val="00F42E9D"/>
    <w:rsid w:val="00F43BD6"/>
    <w:rsid w:val="00F43C59"/>
    <w:rsid w:val="00F44163"/>
    <w:rsid w:val="00F44EBE"/>
    <w:rsid w:val="00F45128"/>
    <w:rsid w:val="00F45CCA"/>
    <w:rsid w:val="00F46227"/>
    <w:rsid w:val="00F4631A"/>
    <w:rsid w:val="00F47AFA"/>
    <w:rsid w:val="00F5045F"/>
    <w:rsid w:val="00F5059F"/>
    <w:rsid w:val="00F51754"/>
    <w:rsid w:val="00F51FF0"/>
    <w:rsid w:val="00F52578"/>
    <w:rsid w:val="00F525B8"/>
    <w:rsid w:val="00F52D96"/>
    <w:rsid w:val="00F53222"/>
    <w:rsid w:val="00F535CF"/>
    <w:rsid w:val="00F53667"/>
    <w:rsid w:val="00F536A4"/>
    <w:rsid w:val="00F53BFA"/>
    <w:rsid w:val="00F54873"/>
    <w:rsid w:val="00F54DE1"/>
    <w:rsid w:val="00F54FA6"/>
    <w:rsid w:val="00F55033"/>
    <w:rsid w:val="00F559B1"/>
    <w:rsid w:val="00F56750"/>
    <w:rsid w:val="00F5717F"/>
    <w:rsid w:val="00F573C9"/>
    <w:rsid w:val="00F57D4F"/>
    <w:rsid w:val="00F60041"/>
    <w:rsid w:val="00F60130"/>
    <w:rsid w:val="00F60BAC"/>
    <w:rsid w:val="00F61C1D"/>
    <w:rsid w:val="00F620AE"/>
    <w:rsid w:val="00F640BA"/>
    <w:rsid w:val="00F6483F"/>
    <w:rsid w:val="00F64CDE"/>
    <w:rsid w:val="00F6581A"/>
    <w:rsid w:val="00F65C03"/>
    <w:rsid w:val="00F65CEC"/>
    <w:rsid w:val="00F66A4F"/>
    <w:rsid w:val="00F66F82"/>
    <w:rsid w:val="00F67666"/>
    <w:rsid w:val="00F67DA0"/>
    <w:rsid w:val="00F67E5B"/>
    <w:rsid w:val="00F67F4E"/>
    <w:rsid w:val="00F7142B"/>
    <w:rsid w:val="00F7199E"/>
    <w:rsid w:val="00F719CC"/>
    <w:rsid w:val="00F71A0A"/>
    <w:rsid w:val="00F72660"/>
    <w:rsid w:val="00F72759"/>
    <w:rsid w:val="00F7391D"/>
    <w:rsid w:val="00F73B44"/>
    <w:rsid w:val="00F75323"/>
    <w:rsid w:val="00F76814"/>
    <w:rsid w:val="00F76BDD"/>
    <w:rsid w:val="00F7756C"/>
    <w:rsid w:val="00F77874"/>
    <w:rsid w:val="00F7788B"/>
    <w:rsid w:val="00F77B17"/>
    <w:rsid w:val="00F77B99"/>
    <w:rsid w:val="00F814CF"/>
    <w:rsid w:val="00F81D92"/>
    <w:rsid w:val="00F82420"/>
    <w:rsid w:val="00F82605"/>
    <w:rsid w:val="00F82CE2"/>
    <w:rsid w:val="00F82FDB"/>
    <w:rsid w:val="00F831EA"/>
    <w:rsid w:val="00F83462"/>
    <w:rsid w:val="00F8346A"/>
    <w:rsid w:val="00F845F0"/>
    <w:rsid w:val="00F84DA0"/>
    <w:rsid w:val="00F851EE"/>
    <w:rsid w:val="00F8589C"/>
    <w:rsid w:val="00F86D3A"/>
    <w:rsid w:val="00F871A4"/>
    <w:rsid w:val="00F90164"/>
    <w:rsid w:val="00F90B55"/>
    <w:rsid w:val="00F911E9"/>
    <w:rsid w:val="00F916C1"/>
    <w:rsid w:val="00F9194C"/>
    <w:rsid w:val="00F91E57"/>
    <w:rsid w:val="00F91F26"/>
    <w:rsid w:val="00F925C0"/>
    <w:rsid w:val="00F9290D"/>
    <w:rsid w:val="00F92EBE"/>
    <w:rsid w:val="00F939B1"/>
    <w:rsid w:val="00F93A2D"/>
    <w:rsid w:val="00F93A65"/>
    <w:rsid w:val="00F93FBA"/>
    <w:rsid w:val="00F94A1B"/>
    <w:rsid w:val="00F94C47"/>
    <w:rsid w:val="00F95297"/>
    <w:rsid w:val="00F95439"/>
    <w:rsid w:val="00F95592"/>
    <w:rsid w:val="00F95850"/>
    <w:rsid w:val="00F95C99"/>
    <w:rsid w:val="00F9677C"/>
    <w:rsid w:val="00F96854"/>
    <w:rsid w:val="00F96919"/>
    <w:rsid w:val="00F96CBE"/>
    <w:rsid w:val="00F978E8"/>
    <w:rsid w:val="00F97B7D"/>
    <w:rsid w:val="00F97E5B"/>
    <w:rsid w:val="00F97FCA"/>
    <w:rsid w:val="00FA1002"/>
    <w:rsid w:val="00FA1054"/>
    <w:rsid w:val="00FA150F"/>
    <w:rsid w:val="00FA1E05"/>
    <w:rsid w:val="00FA1EFA"/>
    <w:rsid w:val="00FA1EFB"/>
    <w:rsid w:val="00FA260D"/>
    <w:rsid w:val="00FA27FA"/>
    <w:rsid w:val="00FA2CD8"/>
    <w:rsid w:val="00FA5600"/>
    <w:rsid w:val="00FA5CD5"/>
    <w:rsid w:val="00FA79B5"/>
    <w:rsid w:val="00FB0667"/>
    <w:rsid w:val="00FB17E2"/>
    <w:rsid w:val="00FB39E5"/>
    <w:rsid w:val="00FB3D99"/>
    <w:rsid w:val="00FB3E2E"/>
    <w:rsid w:val="00FB4488"/>
    <w:rsid w:val="00FB4D48"/>
    <w:rsid w:val="00FB58D7"/>
    <w:rsid w:val="00FB5B00"/>
    <w:rsid w:val="00FB5F69"/>
    <w:rsid w:val="00FB5FA2"/>
    <w:rsid w:val="00FB6149"/>
    <w:rsid w:val="00FB6619"/>
    <w:rsid w:val="00FB6B04"/>
    <w:rsid w:val="00FB6BB7"/>
    <w:rsid w:val="00FB783E"/>
    <w:rsid w:val="00FB7C3C"/>
    <w:rsid w:val="00FC0ACF"/>
    <w:rsid w:val="00FC0C00"/>
    <w:rsid w:val="00FC0FA2"/>
    <w:rsid w:val="00FC199A"/>
    <w:rsid w:val="00FC23A0"/>
    <w:rsid w:val="00FC2404"/>
    <w:rsid w:val="00FC2845"/>
    <w:rsid w:val="00FC33F0"/>
    <w:rsid w:val="00FC40F6"/>
    <w:rsid w:val="00FC41DF"/>
    <w:rsid w:val="00FC4753"/>
    <w:rsid w:val="00FC4B8D"/>
    <w:rsid w:val="00FC5668"/>
    <w:rsid w:val="00FC5C93"/>
    <w:rsid w:val="00FC5D84"/>
    <w:rsid w:val="00FC5F5F"/>
    <w:rsid w:val="00FC6E5F"/>
    <w:rsid w:val="00FC71C9"/>
    <w:rsid w:val="00FC71DD"/>
    <w:rsid w:val="00FD030A"/>
    <w:rsid w:val="00FD136B"/>
    <w:rsid w:val="00FD1DFD"/>
    <w:rsid w:val="00FD27E4"/>
    <w:rsid w:val="00FD295A"/>
    <w:rsid w:val="00FD3CA3"/>
    <w:rsid w:val="00FD528C"/>
    <w:rsid w:val="00FD597D"/>
    <w:rsid w:val="00FD5C1F"/>
    <w:rsid w:val="00FD5D23"/>
    <w:rsid w:val="00FD5DC9"/>
    <w:rsid w:val="00FD669A"/>
    <w:rsid w:val="00FD696E"/>
    <w:rsid w:val="00FD6CB3"/>
    <w:rsid w:val="00FD78E5"/>
    <w:rsid w:val="00FD7C40"/>
    <w:rsid w:val="00FD7D11"/>
    <w:rsid w:val="00FE0215"/>
    <w:rsid w:val="00FE0672"/>
    <w:rsid w:val="00FE20C8"/>
    <w:rsid w:val="00FE4237"/>
    <w:rsid w:val="00FE42EA"/>
    <w:rsid w:val="00FE442B"/>
    <w:rsid w:val="00FE4604"/>
    <w:rsid w:val="00FE4D52"/>
    <w:rsid w:val="00FE51C4"/>
    <w:rsid w:val="00FE5927"/>
    <w:rsid w:val="00FE6AAC"/>
    <w:rsid w:val="00FE74DD"/>
    <w:rsid w:val="00FE7F87"/>
    <w:rsid w:val="00FF042E"/>
    <w:rsid w:val="00FF04BE"/>
    <w:rsid w:val="00FF074C"/>
    <w:rsid w:val="00FF12F1"/>
    <w:rsid w:val="00FF14C9"/>
    <w:rsid w:val="00FF170B"/>
    <w:rsid w:val="00FF1B2A"/>
    <w:rsid w:val="00FF1DF9"/>
    <w:rsid w:val="00FF1F58"/>
    <w:rsid w:val="00FF21B4"/>
    <w:rsid w:val="00FF2A99"/>
    <w:rsid w:val="00FF2ADD"/>
    <w:rsid w:val="00FF3127"/>
    <w:rsid w:val="00FF3582"/>
    <w:rsid w:val="00FF4075"/>
    <w:rsid w:val="00FF40FC"/>
    <w:rsid w:val="00FF4DA5"/>
    <w:rsid w:val="00FF4FB8"/>
    <w:rsid w:val="00FF50B9"/>
    <w:rsid w:val="00FF513E"/>
    <w:rsid w:val="00FF55CD"/>
    <w:rsid w:val="00FF5A6A"/>
    <w:rsid w:val="00FF5ACC"/>
    <w:rsid w:val="00FF65AC"/>
    <w:rsid w:val="00FF6609"/>
    <w:rsid w:val="00FF6917"/>
    <w:rsid w:val="00FF7280"/>
    <w:rsid w:val="00FF7334"/>
    <w:rsid w:val="00FF751F"/>
    <w:rsid w:val="00FF77E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88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147"/>
    <w:pPr>
      <w:widowControl w:val="0"/>
      <w:jc w:val="both"/>
    </w:pPr>
  </w:style>
  <w:style w:type="paragraph" w:styleId="1">
    <w:name w:val="heading 1"/>
    <w:aliases w:val="小标题"/>
    <w:basedOn w:val="a"/>
    <w:next w:val="a"/>
    <w:link w:val="1Char"/>
    <w:autoRedefine/>
    <w:uiPriority w:val="9"/>
    <w:rsid w:val="00A21A5A"/>
    <w:pPr>
      <w:keepNext/>
      <w:keepLines/>
      <w:widowControl/>
      <w:numPr>
        <w:numId w:val="6"/>
      </w:numPr>
      <w:spacing w:before="100" w:beforeAutospacing="1" w:afterLines="50"/>
      <w:ind w:leftChars="1200" w:left="1200"/>
      <w:outlineLvl w:val="0"/>
    </w:pPr>
    <w:rPr>
      <w:rFonts w:ascii="Calibri" w:eastAsia="华文楷体" w:hAnsi="Calibri" w:cs="Times New Roman"/>
      <w:b/>
      <w:bCs/>
      <w:kern w:val="44"/>
      <w:sz w:val="28"/>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100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10000"/>
    <w:rPr>
      <w:sz w:val="18"/>
      <w:szCs w:val="18"/>
    </w:rPr>
  </w:style>
  <w:style w:type="paragraph" w:styleId="a4">
    <w:name w:val="footer"/>
    <w:basedOn w:val="a"/>
    <w:link w:val="Char0"/>
    <w:uiPriority w:val="99"/>
    <w:unhideWhenUsed/>
    <w:rsid w:val="00B10000"/>
    <w:pPr>
      <w:tabs>
        <w:tab w:val="center" w:pos="4153"/>
        <w:tab w:val="right" w:pos="8306"/>
      </w:tabs>
      <w:snapToGrid w:val="0"/>
      <w:jc w:val="left"/>
    </w:pPr>
    <w:rPr>
      <w:sz w:val="18"/>
      <w:szCs w:val="18"/>
    </w:rPr>
  </w:style>
  <w:style w:type="character" w:customStyle="1" w:styleId="Char0">
    <w:name w:val="页脚 Char"/>
    <w:basedOn w:val="a0"/>
    <w:link w:val="a4"/>
    <w:uiPriority w:val="99"/>
    <w:rsid w:val="00B10000"/>
    <w:rPr>
      <w:sz w:val="18"/>
      <w:szCs w:val="18"/>
    </w:rPr>
  </w:style>
  <w:style w:type="paragraph" w:customStyle="1" w:styleId="a5">
    <w:name w:val="页眉报告名称"/>
    <w:link w:val="Char1"/>
    <w:autoRedefine/>
    <w:qFormat/>
    <w:rsid w:val="00B10000"/>
    <w:pPr>
      <w:spacing w:afterLines="100" w:line="240" w:lineRule="exact"/>
      <w:jc w:val="both"/>
    </w:pPr>
    <w:rPr>
      <w:rFonts w:ascii="Calibri" w:eastAsia="华文新魏" w:hAnsi="Calibri" w:cs="Times New Roman"/>
      <w:sz w:val="24"/>
    </w:rPr>
  </w:style>
  <w:style w:type="character" w:customStyle="1" w:styleId="Char1">
    <w:name w:val="页眉报告名称 Char"/>
    <w:basedOn w:val="a0"/>
    <w:link w:val="a5"/>
    <w:rsid w:val="00B10000"/>
    <w:rPr>
      <w:rFonts w:ascii="Calibri" w:eastAsia="华文新魏" w:hAnsi="Calibri" w:cs="Times New Roman"/>
      <w:sz w:val="24"/>
    </w:rPr>
  </w:style>
  <w:style w:type="paragraph" w:customStyle="1" w:styleId="a6">
    <w:name w:val="页眉图片"/>
    <w:basedOn w:val="a3"/>
    <w:link w:val="Char2"/>
    <w:qFormat/>
    <w:rsid w:val="00B10000"/>
    <w:pPr>
      <w:pBdr>
        <w:bottom w:val="none" w:sz="0" w:space="0" w:color="auto"/>
      </w:pBdr>
      <w:tabs>
        <w:tab w:val="clear" w:pos="4153"/>
        <w:tab w:val="clear" w:pos="8306"/>
        <w:tab w:val="right" w:pos="11424"/>
      </w:tabs>
      <w:jc w:val="left"/>
    </w:pPr>
    <w:rPr>
      <w:rFonts w:ascii="Calibri" w:eastAsia="宋体" w:hAnsi="Calibri" w:cs="Times New Roman"/>
      <w:noProof/>
    </w:rPr>
  </w:style>
  <w:style w:type="character" w:customStyle="1" w:styleId="Char2">
    <w:name w:val="页眉图片 Char"/>
    <w:basedOn w:val="Char"/>
    <w:link w:val="a6"/>
    <w:rsid w:val="00B10000"/>
    <w:rPr>
      <w:rFonts w:ascii="Calibri" w:eastAsia="宋体" w:hAnsi="Calibri" w:cs="Times New Roman"/>
      <w:noProof/>
    </w:rPr>
  </w:style>
  <w:style w:type="paragraph" w:customStyle="1" w:styleId="a7">
    <w:name w:val="页眉处日期"/>
    <w:basedOn w:val="a"/>
    <w:link w:val="Char3"/>
    <w:qFormat/>
    <w:rsid w:val="00B10000"/>
    <w:pPr>
      <w:tabs>
        <w:tab w:val="right" w:pos="11424"/>
      </w:tabs>
      <w:snapToGrid w:val="0"/>
      <w:jc w:val="left"/>
    </w:pPr>
    <w:rPr>
      <w:rFonts w:ascii="华文隶书" w:eastAsia="华文隶书" w:hAnsi="Calibri" w:cs="Times New Roman"/>
      <w:b/>
      <w:sz w:val="24"/>
      <w:szCs w:val="24"/>
    </w:rPr>
  </w:style>
  <w:style w:type="paragraph" w:customStyle="1" w:styleId="a8">
    <w:name w:val="页眉副标题"/>
    <w:basedOn w:val="a"/>
    <w:link w:val="Char4"/>
    <w:qFormat/>
    <w:rsid w:val="00B10000"/>
    <w:pPr>
      <w:tabs>
        <w:tab w:val="right" w:pos="11424"/>
      </w:tabs>
      <w:snapToGrid w:val="0"/>
      <w:jc w:val="left"/>
    </w:pPr>
    <w:rPr>
      <w:rFonts w:ascii="华文隶书" w:eastAsia="华文隶书" w:hAnsi="Calibri" w:cs="Times New Roman"/>
      <w:sz w:val="36"/>
      <w:szCs w:val="36"/>
    </w:rPr>
  </w:style>
  <w:style w:type="character" w:customStyle="1" w:styleId="Char3">
    <w:name w:val="页眉处日期 Char"/>
    <w:basedOn w:val="a0"/>
    <w:link w:val="a7"/>
    <w:rsid w:val="00B10000"/>
    <w:rPr>
      <w:rFonts w:ascii="华文隶书" w:eastAsia="华文隶书" w:hAnsi="Calibri" w:cs="Times New Roman"/>
      <w:b/>
      <w:sz w:val="24"/>
      <w:szCs w:val="24"/>
    </w:rPr>
  </w:style>
  <w:style w:type="character" w:customStyle="1" w:styleId="Char4">
    <w:name w:val="页眉副标题 Char"/>
    <w:basedOn w:val="a0"/>
    <w:link w:val="a8"/>
    <w:rsid w:val="00B10000"/>
    <w:rPr>
      <w:rFonts w:ascii="华文隶书" w:eastAsia="华文隶书" w:hAnsi="Calibri" w:cs="Times New Roman"/>
      <w:sz w:val="36"/>
      <w:szCs w:val="36"/>
    </w:rPr>
  </w:style>
  <w:style w:type="paragraph" w:customStyle="1" w:styleId="a9">
    <w:name w:val="页眉的分析师"/>
    <w:basedOn w:val="a"/>
    <w:link w:val="Char5"/>
    <w:qFormat/>
    <w:rsid w:val="00B10000"/>
    <w:pPr>
      <w:tabs>
        <w:tab w:val="right" w:pos="11424"/>
      </w:tabs>
      <w:snapToGrid w:val="0"/>
      <w:spacing w:line="240" w:lineRule="exact"/>
      <w:jc w:val="right"/>
    </w:pPr>
    <w:rPr>
      <w:rFonts w:ascii="华文新魏" w:eastAsia="华文新魏" w:hAnsi="Calibri" w:cs="Times New Roman"/>
      <w:szCs w:val="21"/>
    </w:rPr>
  </w:style>
  <w:style w:type="character" w:customStyle="1" w:styleId="Char5">
    <w:name w:val="页眉的分析师 Char"/>
    <w:basedOn w:val="a0"/>
    <w:link w:val="a9"/>
    <w:rsid w:val="00B10000"/>
    <w:rPr>
      <w:rFonts w:ascii="华文新魏" w:eastAsia="华文新魏" w:hAnsi="Calibri" w:cs="Times New Roman"/>
      <w:szCs w:val="21"/>
    </w:rPr>
  </w:style>
  <w:style w:type="paragraph" w:customStyle="1" w:styleId="12">
    <w:name w:val="页眉12"/>
    <w:basedOn w:val="a3"/>
    <w:link w:val="12Char"/>
    <w:qFormat/>
    <w:rsid w:val="00B10000"/>
    <w:pPr>
      <w:pBdr>
        <w:bottom w:val="none" w:sz="0" w:space="0" w:color="auto"/>
      </w:pBdr>
      <w:tabs>
        <w:tab w:val="clear" w:pos="4153"/>
        <w:tab w:val="clear" w:pos="8306"/>
        <w:tab w:val="right" w:pos="11424"/>
      </w:tabs>
      <w:jc w:val="left"/>
    </w:pPr>
    <w:rPr>
      <w:rFonts w:ascii="Calibri" w:eastAsia="宋体" w:hAnsi="Calibri" w:cs="Times New Roman"/>
    </w:rPr>
  </w:style>
  <w:style w:type="character" w:customStyle="1" w:styleId="12Char">
    <w:name w:val="页眉12 Char"/>
    <w:basedOn w:val="Char"/>
    <w:link w:val="12"/>
    <w:rsid w:val="00B10000"/>
    <w:rPr>
      <w:rFonts w:ascii="Calibri" w:eastAsia="宋体" w:hAnsi="Calibri" w:cs="Times New Roman"/>
    </w:rPr>
  </w:style>
  <w:style w:type="paragraph" w:customStyle="1" w:styleId="2">
    <w:name w:val="页眉副标题2"/>
    <w:basedOn w:val="12"/>
    <w:link w:val="2Char"/>
    <w:qFormat/>
    <w:rsid w:val="00B10000"/>
    <w:pPr>
      <w:jc w:val="right"/>
    </w:pPr>
    <w:rPr>
      <w:rFonts w:ascii="华文隶书" w:eastAsia="华文隶书"/>
      <w:sz w:val="21"/>
      <w:szCs w:val="21"/>
    </w:rPr>
  </w:style>
  <w:style w:type="character" w:customStyle="1" w:styleId="2Char">
    <w:name w:val="页眉副标题2 Char"/>
    <w:basedOn w:val="12Char"/>
    <w:link w:val="2"/>
    <w:rsid w:val="00B10000"/>
    <w:rPr>
      <w:rFonts w:ascii="华文隶书" w:eastAsia="华文隶书"/>
      <w:szCs w:val="21"/>
    </w:rPr>
  </w:style>
  <w:style w:type="paragraph" w:customStyle="1" w:styleId="aa">
    <w:name w:val="特别声明格式"/>
    <w:basedOn w:val="a"/>
    <w:link w:val="Char6"/>
    <w:qFormat/>
    <w:rsid w:val="00B10000"/>
    <w:pPr>
      <w:spacing w:afterLines="100" w:line="240" w:lineRule="exact"/>
    </w:pPr>
    <w:rPr>
      <w:rFonts w:ascii="华文隶书" w:eastAsia="华文隶书" w:hAnsi="Calibri" w:cs="Times New Roman"/>
      <w:sz w:val="28"/>
    </w:rPr>
  </w:style>
  <w:style w:type="character" w:customStyle="1" w:styleId="Char6">
    <w:name w:val="特别声明格式 Char"/>
    <w:basedOn w:val="a0"/>
    <w:link w:val="aa"/>
    <w:rsid w:val="00B10000"/>
    <w:rPr>
      <w:rFonts w:ascii="华文隶书" w:eastAsia="华文隶书" w:hAnsi="Calibri" w:cs="Times New Roman"/>
      <w:sz w:val="28"/>
    </w:rPr>
  </w:style>
  <w:style w:type="paragraph" w:styleId="ab">
    <w:name w:val="Body Text"/>
    <w:basedOn w:val="a"/>
    <w:link w:val="Char7"/>
    <w:rsid w:val="00B10000"/>
    <w:pPr>
      <w:widowControl/>
      <w:spacing w:after="120" w:line="240" w:lineRule="exact"/>
      <w:ind w:left="3402"/>
    </w:pPr>
    <w:rPr>
      <w:rFonts w:ascii="Arial" w:eastAsia="楷体_GB2312" w:hAnsi="Arial" w:cs="Times New Roman"/>
      <w:color w:val="000000"/>
      <w:kern w:val="0"/>
      <w:szCs w:val="20"/>
      <w:lang w:val="en-GB"/>
    </w:rPr>
  </w:style>
  <w:style w:type="character" w:customStyle="1" w:styleId="Char7">
    <w:name w:val="正文文本 Char"/>
    <w:basedOn w:val="a0"/>
    <w:link w:val="ab"/>
    <w:rsid w:val="00B10000"/>
    <w:rPr>
      <w:rFonts w:ascii="Arial" w:eastAsia="楷体_GB2312" w:hAnsi="Arial" w:cs="Times New Roman"/>
      <w:color w:val="000000"/>
      <w:kern w:val="0"/>
      <w:szCs w:val="20"/>
      <w:lang w:val="en-GB"/>
    </w:rPr>
  </w:style>
  <w:style w:type="paragraph" w:customStyle="1" w:styleId="FootnoteNoline">
    <w:name w:val="FootnoteNoline"/>
    <w:basedOn w:val="a"/>
    <w:next w:val="ab"/>
    <w:rsid w:val="008840A4"/>
    <w:pPr>
      <w:widowControl/>
      <w:tabs>
        <w:tab w:val="right" w:pos="10065"/>
      </w:tabs>
      <w:spacing w:before="40" w:after="160"/>
      <w:ind w:left="3402"/>
    </w:pPr>
    <w:rPr>
      <w:rFonts w:ascii="Arial" w:eastAsia="楷体_GB2312" w:hAnsi="Arial" w:cs="Arial"/>
      <w:color w:val="003765"/>
      <w:kern w:val="0"/>
      <w:sz w:val="15"/>
      <w:szCs w:val="14"/>
      <w:lang w:val="en-GB"/>
    </w:rPr>
  </w:style>
  <w:style w:type="paragraph" w:customStyle="1" w:styleId="SubTitleLargeTable">
    <w:name w:val="SubTitleLargeTable"/>
    <w:rsid w:val="008840A4"/>
    <w:pPr>
      <w:keepNext/>
      <w:pBdr>
        <w:top w:val="single" w:sz="6" w:space="1" w:color="666699"/>
      </w:pBdr>
      <w:suppressAutoHyphens/>
      <w:spacing w:after="40" w:line="240" w:lineRule="atLeast"/>
    </w:pPr>
    <w:rPr>
      <w:rFonts w:ascii="Arial" w:eastAsia="楷体_GB2312" w:hAnsi="Arial" w:cs="Arial"/>
      <w:b/>
      <w:bCs/>
      <w:i/>
      <w:iCs/>
      <w:color w:val="003765"/>
      <w:kern w:val="0"/>
      <w:szCs w:val="21"/>
      <w:lang w:val="en-GB"/>
    </w:rPr>
  </w:style>
  <w:style w:type="paragraph" w:styleId="ac">
    <w:name w:val="Balloon Text"/>
    <w:basedOn w:val="a"/>
    <w:link w:val="Char8"/>
    <w:uiPriority w:val="99"/>
    <w:semiHidden/>
    <w:unhideWhenUsed/>
    <w:rsid w:val="008840A4"/>
    <w:rPr>
      <w:sz w:val="18"/>
      <w:szCs w:val="18"/>
    </w:rPr>
  </w:style>
  <w:style w:type="character" w:customStyle="1" w:styleId="Char8">
    <w:name w:val="批注框文本 Char"/>
    <w:basedOn w:val="a0"/>
    <w:link w:val="ac"/>
    <w:uiPriority w:val="99"/>
    <w:semiHidden/>
    <w:rsid w:val="008840A4"/>
    <w:rPr>
      <w:sz w:val="18"/>
      <w:szCs w:val="18"/>
    </w:rPr>
  </w:style>
  <w:style w:type="paragraph" w:customStyle="1" w:styleId="CoverBullet">
    <w:name w:val="Cover Bullet"/>
    <w:rsid w:val="008840A4"/>
    <w:pPr>
      <w:numPr>
        <w:numId w:val="3"/>
      </w:numPr>
      <w:spacing w:before="120" w:after="120"/>
      <w:ind w:left="357" w:hanging="357"/>
    </w:pPr>
    <w:rPr>
      <w:rFonts w:ascii="LucidaSans" w:eastAsia="宋体" w:hAnsi="LucidaSans" w:cs="Times New Roman"/>
      <w:b/>
      <w:bCs/>
      <w:kern w:val="0"/>
      <w:sz w:val="20"/>
      <w:szCs w:val="20"/>
      <w:lang w:val="en-GB"/>
    </w:rPr>
  </w:style>
  <w:style w:type="paragraph" w:styleId="ad">
    <w:name w:val="List Paragraph"/>
    <w:basedOn w:val="a"/>
    <w:uiPriority w:val="34"/>
    <w:qFormat/>
    <w:rsid w:val="00026FF9"/>
    <w:pPr>
      <w:ind w:firstLineChars="200" w:firstLine="420"/>
    </w:pPr>
  </w:style>
  <w:style w:type="paragraph" w:customStyle="1" w:styleId="SourceLarge">
    <w:name w:val="SourceLarge"/>
    <w:rsid w:val="00611ADA"/>
    <w:pPr>
      <w:tabs>
        <w:tab w:val="left" w:pos="5216"/>
        <w:tab w:val="right" w:pos="9866"/>
      </w:tabs>
      <w:suppressAutoHyphens/>
      <w:spacing w:line="160" w:lineRule="atLeast"/>
    </w:pPr>
    <w:rPr>
      <w:rFonts w:ascii="LucidaSans" w:eastAsia="宋体" w:hAnsi="LucidaSans" w:cs="Times New Roman"/>
      <w:kern w:val="0"/>
      <w:sz w:val="12"/>
      <w:szCs w:val="12"/>
      <w:lang w:val="en-GB"/>
    </w:rPr>
  </w:style>
  <w:style w:type="paragraph" w:customStyle="1" w:styleId="BulletCoverpage">
    <w:name w:val="Bullet Cover page"/>
    <w:basedOn w:val="a"/>
    <w:rsid w:val="00611ADA"/>
    <w:pPr>
      <w:widowControl/>
      <w:numPr>
        <w:numId w:val="4"/>
      </w:numPr>
      <w:suppressAutoHyphens/>
      <w:spacing w:after="200" w:line="240" w:lineRule="atLeast"/>
    </w:pPr>
    <w:rPr>
      <w:rFonts w:ascii="Arial" w:eastAsia="楷体_GB2312" w:hAnsi="Arial" w:cs="Times New Roman"/>
      <w:kern w:val="0"/>
      <w:sz w:val="18"/>
      <w:szCs w:val="20"/>
      <w:lang w:val="en-GB"/>
    </w:rPr>
  </w:style>
  <w:style w:type="paragraph" w:customStyle="1" w:styleId="10">
    <w:name w:val="模板标题1"/>
    <w:basedOn w:val="a"/>
    <w:next w:val="ab"/>
    <w:rsid w:val="00611ADA"/>
    <w:pPr>
      <w:widowControl/>
      <w:spacing w:after="240" w:line="300" w:lineRule="exact"/>
      <w:ind w:left="3402"/>
      <w:outlineLvl w:val="0"/>
    </w:pPr>
    <w:rPr>
      <w:rFonts w:ascii="Arial" w:eastAsia="楷体_GB2312" w:hAnsi="Arial" w:cs="Times New Roman"/>
      <w:b/>
      <w:bCs/>
      <w:color w:val="01659D"/>
      <w:kern w:val="0"/>
      <w:sz w:val="24"/>
      <w:szCs w:val="20"/>
      <w:lang w:val="en-GB"/>
    </w:rPr>
  </w:style>
  <w:style w:type="character" w:customStyle="1" w:styleId="1Char">
    <w:name w:val="标题 1 Char"/>
    <w:aliases w:val="小标题 Char"/>
    <w:basedOn w:val="a0"/>
    <w:link w:val="1"/>
    <w:uiPriority w:val="9"/>
    <w:rsid w:val="00A21A5A"/>
    <w:rPr>
      <w:rFonts w:ascii="Calibri" w:eastAsia="华文楷体" w:hAnsi="Calibri" w:cs="Times New Roman"/>
      <w:b/>
      <w:bCs/>
      <w:kern w:val="44"/>
      <w:sz w:val="28"/>
      <w:szCs w:val="44"/>
    </w:rPr>
  </w:style>
  <w:style w:type="paragraph" w:customStyle="1" w:styleId="ae">
    <w:name w:val="正文内容"/>
    <w:basedOn w:val="ab"/>
    <w:link w:val="Char9"/>
    <w:qFormat/>
    <w:rsid w:val="00A21A5A"/>
    <w:pPr>
      <w:tabs>
        <w:tab w:val="num" w:pos="3799"/>
      </w:tabs>
      <w:spacing w:after="163"/>
      <w:ind w:left="3799" w:hanging="369"/>
    </w:pPr>
    <w:rPr>
      <w:rFonts w:ascii="KaiTi_GB2312" w:eastAsia="KaiTi_GB2312" w:hAnsi="KaiTi_GB2312"/>
      <w:color w:val="auto"/>
    </w:rPr>
  </w:style>
  <w:style w:type="character" w:customStyle="1" w:styleId="Char9">
    <w:name w:val="正文内容 Char"/>
    <w:basedOn w:val="Char7"/>
    <w:link w:val="ae"/>
    <w:rsid w:val="00A21A5A"/>
    <w:rPr>
      <w:rFonts w:ascii="KaiTi_GB2312" w:eastAsia="KaiTi_GB2312" w:hAnsi="KaiTi_GB2312"/>
    </w:rPr>
  </w:style>
  <w:style w:type="paragraph" w:customStyle="1" w:styleId="af">
    <w:name w:val="正文小标题"/>
    <w:basedOn w:val="ab"/>
    <w:link w:val="Chara"/>
    <w:qFormat/>
    <w:rsid w:val="00A21A5A"/>
    <w:pPr>
      <w:spacing w:after="0"/>
    </w:pPr>
    <w:rPr>
      <w:rFonts w:ascii="KaiTi_GB2312" w:eastAsia="KaiTi_GB2312" w:hAnsi="KaiTi_GB2312"/>
      <w:b/>
      <w:bCs/>
      <w:color w:val="0070C0"/>
      <w:szCs w:val="21"/>
      <w:lang w:val="en-US"/>
    </w:rPr>
  </w:style>
  <w:style w:type="character" w:customStyle="1" w:styleId="Chara">
    <w:name w:val="正文小标题 Char"/>
    <w:basedOn w:val="Char7"/>
    <w:link w:val="af"/>
    <w:rsid w:val="00A21A5A"/>
    <w:rPr>
      <w:rFonts w:ascii="KaiTi_GB2312" w:eastAsia="KaiTi_GB2312" w:hAnsi="KaiTi_GB2312"/>
      <w:b/>
      <w:bCs/>
      <w:color w:val="0070C0"/>
      <w:szCs w:val="21"/>
    </w:rPr>
  </w:style>
  <w:style w:type="character" w:styleId="af0">
    <w:name w:val="Hyperlink"/>
    <w:basedOn w:val="a0"/>
    <w:uiPriority w:val="99"/>
    <w:semiHidden/>
    <w:unhideWhenUsed/>
    <w:rsid w:val="006F4A62"/>
    <w:rPr>
      <w:strike w:val="0"/>
      <w:dstrike w:val="0"/>
      <w:color w:val="072885"/>
      <w:u w:val="none"/>
      <w:effect w:val="none"/>
    </w:rPr>
  </w:style>
  <w:style w:type="paragraph" w:styleId="af1">
    <w:name w:val="Normal (Web)"/>
    <w:basedOn w:val="a"/>
    <w:uiPriority w:val="99"/>
    <w:unhideWhenUsed/>
    <w:rsid w:val="00413A93"/>
    <w:pPr>
      <w:widowControl/>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3919743">
      <w:bodyDiv w:val="1"/>
      <w:marLeft w:val="0"/>
      <w:marRight w:val="0"/>
      <w:marTop w:val="0"/>
      <w:marBottom w:val="0"/>
      <w:divBdr>
        <w:top w:val="none" w:sz="0" w:space="0" w:color="auto"/>
        <w:left w:val="none" w:sz="0" w:space="0" w:color="auto"/>
        <w:bottom w:val="none" w:sz="0" w:space="0" w:color="auto"/>
        <w:right w:val="none" w:sz="0" w:space="0" w:color="auto"/>
      </w:divBdr>
    </w:div>
    <w:div w:id="18701771">
      <w:bodyDiv w:val="1"/>
      <w:marLeft w:val="0"/>
      <w:marRight w:val="0"/>
      <w:marTop w:val="0"/>
      <w:marBottom w:val="0"/>
      <w:divBdr>
        <w:top w:val="none" w:sz="0" w:space="0" w:color="auto"/>
        <w:left w:val="none" w:sz="0" w:space="0" w:color="auto"/>
        <w:bottom w:val="none" w:sz="0" w:space="0" w:color="auto"/>
        <w:right w:val="none" w:sz="0" w:space="0" w:color="auto"/>
      </w:divBdr>
    </w:div>
    <w:div w:id="33621892">
      <w:bodyDiv w:val="1"/>
      <w:marLeft w:val="0"/>
      <w:marRight w:val="0"/>
      <w:marTop w:val="0"/>
      <w:marBottom w:val="0"/>
      <w:divBdr>
        <w:top w:val="none" w:sz="0" w:space="0" w:color="auto"/>
        <w:left w:val="none" w:sz="0" w:space="0" w:color="auto"/>
        <w:bottom w:val="none" w:sz="0" w:space="0" w:color="auto"/>
        <w:right w:val="none" w:sz="0" w:space="0" w:color="auto"/>
      </w:divBdr>
    </w:div>
    <w:div w:id="56754761">
      <w:bodyDiv w:val="1"/>
      <w:marLeft w:val="0"/>
      <w:marRight w:val="0"/>
      <w:marTop w:val="0"/>
      <w:marBottom w:val="0"/>
      <w:divBdr>
        <w:top w:val="none" w:sz="0" w:space="0" w:color="auto"/>
        <w:left w:val="none" w:sz="0" w:space="0" w:color="auto"/>
        <w:bottom w:val="none" w:sz="0" w:space="0" w:color="auto"/>
        <w:right w:val="none" w:sz="0" w:space="0" w:color="auto"/>
      </w:divBdr>
    </w:div>
    <w:div w:id="61872036">
      <w:bodyDiv w:val="1"/>
      <w:marLeft w:val="0"/>
      <w:marRight w:val="0"/>
      <w:marTop w:val="0"/>
      <w:marBottom w:val="0"/>
      <w:divBdr>
        <w:top w:val="none" w:sz="0" w:space="0" w:color="auto"/>
        <w:left w:val="none" w:sz="0" w:space="0" w:color="auto"/>
        <w:bottom w:val="none" w:sz="0" w:space="0" w:color="auto"/>
        <w:right w:val="none" w:sz="0" w:space="0" w:color="auto"/>
      </w:divBdr>
    </w:div>
    <w:div w:id="65348306">
      <w:bodyDiv w:val="1"/>
      <w:marLeft w:val="0"/>
      <w:marRight w:val="0"/>
      <w:marTop w:val="0"/>
      <w:marBottom w:val="0"/>
      <w:divBdr>
        <w:top w:val="none" w:sz="0" w:space="0" w:color="auto"/>
        <w:left w:val="none" w:sz="0" w:space="0" w:color="auto"/>
        <w:bottom w:val="none" w:sz="0" w:space="0" w:color="auto"/>
        <w:right w:val="none" w:sz="0" w:space="0" w:color="auto"/>
      </w:divBdr>
    </w:div>
    <w:div w:id="79252905">
      <w:bodyDiv w:val="1"/>
      <w:marLeft w:val="0"/>
      <w:marRight w:val="0"/>
      <w:marTop w:val="0"/>
      <w:marBottom w:val="0"/>
      <w:divBdr>
        <w:top w:val="none" w:sz="0" w:space="0" w:color="auto"/>
        <w:left w:val="none" w:sz="0" w:space="0" w:color="auto"/>
        <w:bottom w:val="none" w:sz="0" w:space="0" w:color="auto"/>
        <w:right w:val="none" w:sz="0" w:space="0" w:color="auto"/>
      </w:divBdr>
    </w:div>
    <w:div w:id="90787736">
      <w:bodyDiv w:val="1"/>
      <w:marLeft w:val="0"/>
      <w:marRight w:val="0"/>
      <w:marTop w:val="0"/>
      <w:marBottom w:val="0"/>
      <w:divBdr>
        <w:top w:val="none" w:sz="0" w:space="0" w:color="auto"/>
        <w:left w:val="none" w:sz="0" w:space="0" w:color="auto"/>
        <w:bottom w:val="none" w:sz="0" w:space="0" w:color="auto"/>
        <w:right w:val="none" w:sz="0" w:space="0" w:color="auto"/>
      </w:divBdr>
    </w:div>
    <w:div w:id="157234368">
      <w:bodyDiv w:val="1"/>
      <w:marLeft w:val="0"/>
      <w:marRight w:val="0"/>
      <w:marTop w:val="0"/>
      <w:marBottom w:val="0"/>
      <w:divBdr>
        <w:top w:val="none" w:sz="0" w:space="0" w:color="auto"/>
        <w:left w:val="none" w:sz="0" w:space="0" w:color="auto"/>
        <w:bottom w:val="none" w:sz="0" w:space="0" w:color="auto"/>
        <w:right w:val="none" w:sz="0" w:space="0" w:color="auto"/>
      </w:divBdr>
    </w:div>
    <w:div w:id="217664631">
      <w:bodyDiv w:val="1"/>
      <w:marLeft w:val="0"/>
      <w:marRight w:val="0"/>
      <w:marTop w:val="0"/>
      <w:marBottom w:val="0"/>
      <w:divBdr>
        <w:top w:val="none" w:sz="0" w:space="0" w:color="auto"/>
        <w:left w:val="none" w:sz="0" w:space="0" w:color="auto"/>
        <w:bottom w:val="none" w:sz="0" w:space="0" w:color="auto"/>
        <w:right w:val="none" w:sz="0" w:space="0" w:color="auto"/>
      </w:divBdr>
    </w:div>
    <w:div w:id="227305469">
      <w:bodyDiv w:val="1"/>
      <w:marLeft w:val="0"/>
      <w:marRight w:val="0"/>
      <w:marTop w:val="0"/>
      <w:marBottom w:val="0"/>
      <w:divBdr>
        <w:top w:val="none" w:sz="0" w:space="0" w:color="auto"/>
        <w:left w:val="none" w:sz="0" w:space="0" w:color="auto"/>
        <w:bottom w:val="none" w:sz="0" w:space="0" w:color="auto"/>
        <w:right w:val="none" w:sz="0" w:space="0" w:color="auto"/>
      </w:divBdr>
      <w:divsChild>
        <w:div w:id="820578595">
          <w:marLeft w:val="0"/>
          <w:marRight w:val="0"/>
          <w:marTop w:val="0"/>
          <w:marBottom w:val="0"/>
          <w:divBdr>
            <w:top w:val="none" w:sz="0" w:space="0" w:color="auto"/>
            <w:left w:val="none" w:sz="0" w:space="0" w:color="auto"/>
            <w:bottom w:val="none" w:sz="0" w:space="0" w:color="auto"/>
            <w:right w:val="none" w:sz="0" w:space="0" w:color="auto"/>
          </w:divBdr>
        </w:div>
      </w:divsChild>
    </w:div>
    <w:div w:id="243884882">
      <w:bodyDiv w:val="1"/>
      <w:marLeft w:val="0"/>
      <w:marRight w:val="0"/>
      <w:marTop w:val="0"/>
      <w:marBottom w:val="0"/>
      <w:divBdr>
        <w:top w:val="none" w:sz="0" w:space="0" w:color="auto"/>
        <w:left w:val="none" w:sz="0" w:space="0" w:color="auto"/>
        <w:bottom w:val="none" w:sz="0" w:space="0" w:color="auto"/>
        <w:right w:val="none" w:sz="0" w:space="0" w:color="auto"/>
      </w:divBdr>
    </w:div>
    <w:div w:id="246960692">
      <w:bodyDiv w:val="1"/>
      <w:marLeft w:val="0"/>
      <w:marRight w:val="0"/>
      <w:marTop w:val="0"/>
      <w:marBottom w:val="0"/>
      <w:divBdr>
        <w:top w:val="none" w:sz="0" w:space="0" w:color="auto"/>
        <w:left w:val="none" w:sz="0" w:space="0" w:color="auto"/>
        <w:bottom w:val="none" w:sz="0" w:space="0" w:color="auto"/>
        <w:right w:val="none" w:sz="0" w:space="0" w:color="auto"/>
      </w:divBdr>
    </w:div>
    <w:div w:id="248659411">
      <w:bodyDiv w:val="1"/>
      <w:marLeft w:val="0"/>
      <w:marRight w:val="0"/>
      <w:marTop w:val="0"/>
      <w:marBottom w:val="0"/>
      <w:divBdr>
        <w:top w:val="none" w:sz="0" w:space="0" w:color="auto"/>
        <w:left w:val="none" w:sz="0" w:space="0" w:color="auto"/>
        <w:bottom w:val="none" w:sz="0" w:space="0" w:color="auto"/>
        <w:right w:val="none" w:sz="0" w:space="0" w:color="auto"/>
      </w:divBdr>
    </w:div>
    <w:div w:id="266811014">
      <w:bodyDiv w:val="1"/>
      <w:marLeft w:val="0"/>
      <w:marRight w:val="0"/>
      <w:marTop w:val="0"/>
      <w:marBottom w:val="0"/>
      <w:divBdr>
        <w:top w:val="none" w:sz="0" w:space="0" w:color="auto"/>
        <w:left w:val="none" w:sz="0" w:space="0" w:color="auto"/>
        <w:bottom w:val="none" w:sz="0" w:space="0" w:color="auto"/>
        <w:right w:val="none" w:sz="0" w:space="0" w:color="auto"/>
      </w:divBdr>
      <w:divsChild>
        <w:div w:id="984159114">
          <w:marLeft w:val="0"/>
          <w:marRight w:val="0"/>
          <w:marTop w:val="0"/>
          <w:marBottom w:val="0"/>
          <w:divBdr>
            <w:top w:val="none" w:sz="0" w:space="0" w:color="auto"/>
            <w:left w:val="none" w:sz="0" w:space="0" w:color="auto"/>
            <w:bottom w:val="none" w:sz="0" w:space="0" w:color="auto"/>
            <w:right w:val="none" w:sz="0" w:space="0" w:color="auto"/>
          </w:divBdr>
        </w:div>
      </w:divsChild>
    </w:div>
    <w:div w:id="273708039">
      <w:bodyDiv w:val="1"/>
      <w:marLeft w:val="0"/>
      <w:marRight w:val="0"/>
      <w:marTop w:val="0"/>
      <w:marBottom w:val="0"/>
      <w:divBdr>
        <w:top w:val="none" w:sz="0" w:space="0" w:color="auto"/>
        <w:left w:val="none" w:sz="0" w:space="0" w:color="auto"/>
        <w:bottom w:val="none" w:sz="0" w:space="0" w:color="auto"/>
        <w:right w:val="none" w:sz="0" w:space="0" w:color="auto"/>
      </w:divBdr>
      <w:divsChild>
        <w:div w:id="480852032">
          <w:marLeft w:val="0"/>
          <w:marRight w:val="0"/>
          <w:marTop w:val="0"/>
          <w:marBottom w:val="0"/>
          <w:divBdr>
            <w:top w:val="none" w:sz="0" w:space="0" w:color="auto"/>
            <w:left w:val="none" w:sz="0" w:space="0" w:color="auto"/>
            <w:bottom w:val="none" w:sz="0" w:space="0" w:color="auto"/>
            <w:right w:val="none" w:sz="0" w:space="0" w:color="auto"/>
          </w:divBdr>
        </w:div>
      </w:divsChild>
    </w:div>
    <w:div w:id="278032105">
      <w:bodyDiv w:val="1"/>
      <w:marLeft w:val="0"/>
      <w:marRight w:val="0"/>
      <w:marTop w:val="0"/>
      <w:marBottom w:val="0"/>
      <w:divBdr>
        <w:top w:val="none" w:sz="0" w:space="0" w:color="auto"/>
        <w:left w:val="none" w:sz="0" w:space="0" w:color="auto"/>
        <w:bottom w:val="none" w:sz="0" w:space="0" w:color="auto"/>
        <w:right w:val="none" w:sz="0" w:space="0" w:color="auto"/>
      </w:divBdr>
      <w:divsChild>
        <w:div w:id="1797144027">
          <w:marLeft w:val="0"/>
          <w:marRight w:val="0"/>
          <w:marTop w:val="0"/>
          <w:marBottom w:val="0"/>
          <w:divBdr>
            <w:top w:val="none" w:sz="0" w:space="0" w:color="auto"/>
            <w:left w:val="none" w:sz="0" w:space="0" w:color="auto"/>
            <w:bottom w:val="none" w:sz="0" w:space="0" w:color="auto"/>
            <w:right w:val="none" w:sz="0" w:space="0" w:color="auto"/>
          </w:divBdr>
          <w:divsChild>
            <w:div w:id="908854932">
              <w:marLeft w:val="0"/>
              <w:marRight w:val="0"/>
              <w:marTop w:val="0"/>
              <w:marBottom w:val="0"/>
              <w:divBdr>
                <w:top w:val="none" w:sz="0" w:space="0" w:color="auto"/>
                <w:left w:val="none" w:sz="0" w:space="0" w:color="auto"/>
                <w:bottom w:val="none" w:sz="0" w:space="0" w:color="auto"/>
                <w:right w:val="none" w:sz="0" w:space="0" w:color="auto"/>
              </w:divBdr>
              <w:divsChild>
                <w:div w:id="1122840324">
                  <w:marLeft w:val="0"/>
                  <w:marRight w:val="0"/>
                  <w:marTop w:val="0"/>
                  <w:marBottom w:val="0"/>
                  <w:divBdr>
                    <w:top w:val="none" w:sz="0" w:space="0" w:color="auto"/>
                    <w:left w:val="none" w:sz="0" w:space="0" w:color="auto"/>
                    <w:bottom w:val="none" w:sz="0" w:space="0" w:color="auto"/>
                    <w:right w:val="none" w:sz="0" w:space="0" w:color="auto"/>
                  </w:divBdr>
                  <w:divsChild>
                    <w:div w:id="2014842743">
                      <w:marLeft w:val="0"/>
                      <w:marRight w:val="0"/>
                      <w:marTop w:val="0"/>
                      <w:marBottom w:val="0"/>
                      <w:divBdr>
                        <w:top w:val="single" w:sz="6" w:space="15" w:color="C0D8F2"/>
                        <w:left w:val="single" w:sz="6" w:space="18" w:color="C0D8F2"/>
                        <w:bottom w:val="single" w:sz="6" w:space="11" w:color="C0D8F2"/>
                        <w:right w:val="single" w:sz="6" w:space="18" w:color="C0D8F2"/>
                      </w:divBdr>
                      <w:divsChild>
                        <w:div w:id="1959951979">
                          <w:marLeft w:val="0"/>
                          <w:marRight w:val="0"/>
                          <w:marTop w:val="0"/>
                          <w:marBottom w:val="0"/>
                          <w:divBdr>
                            <w:top w:val="none" w:sz="0" w:space="0" w:color="auto"/>
                            <w:left w:val="none" w:sz="0" w:space="0" w:color="auto"/>
                            <w:bottom w:val="none" w:sz="0" w:space="0" w:color="auto"/>
                            <w:right w:val="none" w:sz="0" w:space="0" w:color="auto"/>
                          </w:divBdr>
                          <w:divsChild>
                            <w:div w:id="81510207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697258">
      <w:bodyDiv w:val="1"/>
      <w:marLeft w:val="0"/>
      <w:marRight w:val="0"/>
      <w:marTop w:val="0"/>
      <w:marBottom w:val="0"/>
      <w:divBdr>
        <w:top w:val="none" w:sz="0" w:space="0" w:color="auto"/>
        <w:left w:val="none" w:sz="0" w:space="0" w:color="auto"/>
        <w:bottom w:val="none" w:sz="0" w:space="0" w:color="auto"/>
        <w:right w:val="none" w:sz="0" w:space="0" w:color="auto"/>
      </w:divBdr>
    </w:div>
    <w:div w:id="299311649">
      <w:bodyDiv w:val="1"/>
      <w:marLeft w:val="0"/>
      <w:marRight w:val="0"/>
      <w:marTop w:val="0"/>
      <w:marBottom w:val="0"/>
      <w:divBdr>
        <w:top w:val="none" w:sz="0" w:space="0" w:color="auto"/>
        <w:left w:val="none" w:sz="0" w:space="0" w:color="auto"/>
        <w:bottom w:val="none" w:sz="0" w:space="0" w:color="auto"/>
        <w:right w:val="none" w:sz="0" w:space="0" w:color="auto"/>
      </w:divBdr>
      <w:divsChild>
        <w:div w:id="731925713">
          <w:marLeft w:val="0"/>
          <w:marRight w:val="0"/>
          <w:marTop w:val="0"/>
          <w:marBottom w:val="0"/>
          <w:divBdr>
            <w:top w:val="none" w:sz="0" w:space="0" w:color="auto"/>
            <w:left w:val="none" w:sz="0" w:space="0" w:color="auto"/>
            <w:bottom w:val="none" w:sz="0" w:space="0" w:color="auto"/>
            <w:right w:val="none" w:sz="0" w:space="0" w:color="auto"/>
          </w:divBdr>
        </w:div>
      </w:divsChild>
    </w:div>
    <w:div w:id="311175583">
      <w:bodyDiv w:val="1"/>
      <w:marLeft w:val="0"/>
      <w:marRight w:val="0"/>
      <w:marTop w:val="0"/>
      <w:marBottom w:val="0"/>
      <w:divBdr>
        <w:top w:val="none" w:sz="0" w:space="0" w:color="auto"/>
        <w:left w:val="none" w:sz="0" w:space="0" w:color="auto"/>
        <w:bottom w:val="none" w:sz="0" w:space="0" w:color="auto"/>
        <w:right w:val="none" w:sz="0" w:space="0" w:color="auto"/>
      </w:divBdr>
    </w:div>
    <w:div w:id="351153900">
      <w:bodyDiv w:val="1"/>
      <w:marLeft w:val="0"/>
      <w:marRight w:val="0"/>
      <w:marTop w:val="0"/>
      <w:marBottom w:val="0"/>
      <w:divBdr>
        <w:top w:val="none" w:sz="0" w:space="0" w:color="auto"/>
        <w:left w:val="none" w:sz="0" w:space="0" w:color="auto"/>
        <w:bottom w:val="none" w:sz="0" w:space="0" w:color="auto"/>
        <w:right w:val="none" w:sz="0" w:space="0" w:color="auto"/>
      </w:divBdr>
    </w:div>
    <w:div w:id="351731782">
      <w:bodyDiv w:val="1"/>
      <w:marLeft w:val="0"/>
      <w:marRight w:val="0"/>
      <w:marTop w:val="0"/>
      <w:marBottom w:val="0"/>
      <w:divBdr>
        <w:top w:val="none" w:sz="0" w:space="0" w:color="auto"/>
        <w:left w:val="none" w:sz="0" w:space="0" w:color="auto"/>
        <w:bottom w:val="none" w:sz="0" w:space="0" w:color="auto"/>
        <w:right w:val="none" w:sz="0" w:space="0" w:color="auto"/>
      </w:divBdr>
    </w:div>
    <w:div w:id="378286817">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712992323">
          <w:marLeft w:val="0"/>
          <w:marRight w:val="0"/>
          <w:marTop w:val="0"/>
          <w:marBottom w:val="0"/>
          <w:divBdr>
            <w:top w:val="none" w:sz="0" w:space="0" w:color="auto"/>
            <w:left w:val="none" w:sz="0" w:space="0" w:color="auto"/>
            <w:bottom w:val="none" w:sz="0" w:space="0" w:color="auto"/>
            <w:right w:val="none" w:sz="0" w:space="0" w:color="auto"/>
          </w:divBdr>
        </w:div>
      </w:divsChild>
    </w:div>
    <w:div w:id="387386664">
      <w:bodyDiv w:val="1"/>
      <w:marLeft w:val="0"/>
      <w:marRight w:val="0"/>
      <w:marTop w:val="0"/>
      <w:marBottom w:val="0"/>
      <w:divBdr>
        <w:top w:val="none" w:sz="0" w:space="0" w:color="auto"/>
        <w:left w:val="none" w:sz="0" w:space="0" w:color="auto"/>
        <w:bottom w:val="none" w:sz="0" w:space="0" w:color="auto"/>
        <w:right w:val="none" w:sz="0" w:space="0" w:color="auto"/>
      </w:divBdr>
    </w:div>
    <w:div w:id="442919304">
      <w:bodyDiv w:val="1"/>
      <w:marLeft w:val="0"/>
      <w:marRight w:val="0"/>
      <w:marTop w:val="0"/>
      <w:marBottom w:val="0"/>
      <w:divBdr>
        <w:top w:val="none" w:sz="0" w:space="0" w:color="auto"/>
        <w:left w:val="none" w:sz="0" w:space="0" w:color="auto"/>
        <w:bottom w:val="none" w:sz="0" w:space="0" w:color="auto"/>
        <w:right w:val="none" w:sz="0" w:space="0" w:color="auto"/>
      </w:divBdr>
    </w:div>
    <w:div w:id="455568299">
      <w:bodyDiv w:val="1"/>
      <w:marLeft w:val="0"/>
      <w:marRight w:val="0"/>
      <w:marTop w:val="0"/>
      <w:marBottom w:val="0"/>
      <w:divBdr>
        <w:top w:val="none" w:sz="0" w:space="0" w:color="auto"/>
        <w:left w:val="none" w:sz="0" w:space="0" w:color="auto"/>
        <w:bottom w:val="none" w:sz="0" w:space="0" w:color="auto"/>
        <w:right w:val="none" w:sz="0" w:space="0" w:color="auto"/>
      </w:divBdr>
    </w:div>
    <w:div w:id="461772827">
      <w:bodyDiv w:val="1"/>
      <w:marLeft w:val="0"/>
      <w:marRight w:val="0"/>
      <w:marTop w:val="0"/>
      <w:marBottom w:val="0"/>
      <w:divBdr>
        <w:top w:val="none" w:sz="0" w:space="0" w:color="auto"/>
        <w:left w:val="none" w:sz="0" w:space="0" w:color="auto"/>
        <w:bottom w:val="none" w:sz="0" w:space="0" w:color="auto"/>
        <w:right w:val="none" w:sz="0" w:space="0" w:color="auto"/>
      </w:divBdr>
      <w:divsChild>
        <w:div w:id="214124169">
          <w:marLeft w:val="0"/>
          <w:marRight w:val="0"/>
          <w:marTop w:val="0"/>
          <w:marBottom w:val="0"/>
          <w:divBdr>
            <w:top w:val="none" w:sz="0" w:space="0" w:color="auto"/>
            <w:left w:val="none" w:sz="0" w:space="0" w:color="auto"/>
            <w:bottom w:val="none" w:sz="0" w:space="0" w:color="auto"/>
            <w:right w:val="none" w:sz="0" w:space="0" w:color="auto"/>
          </w:divBdr>
        </w:div>
      </w:divsChild>
    </w:div>
    <w:div w:id="465316183">
      <w:bodyDiv w:val="1"/>
      <w:marLeft w:val="0"/>
      <w:marRight w:val="0"/>
      <w:marTop w:val="0"/>
      <w:marBottom w:val="0"/>
      <w:divBdr>
        <w:top w:val="none" w:sz="0" w:space="0" w:color="auto"/>
        <w:left w:val="none" w:sz="0" w:space="0" w:color="auto"/>
        <w:bottom w:val="none" w:sz="0" w:space="0" w:color="auto"/>
        <w:right w:val="none" w:sz="0" w:space="0" w:color="auto"/>
      </w:divBdr>
    </w:div>
    <w:div w:id="484471112">
      <w:bodyDiv w:val="1"/>
      <w:marLeft w:val="0"/>
      <w:marRight w:val="0"/>
      <w:marTop w:val="0"/>
      <w:marBottom w:val="0"/>
      <w:divBdr>
        <w:top w:val="none" w:sz="0" w:space="0" w:color="auto"/>
        <w:left w:val="none" w:sz="0" w:space="0" w:color="auto"/>
        <w:bottom w:val="none" w:sz="0" w:space="0" w:color="auto"/>
        <w:right w:val="none" w:sz="0" w:space="0" w:color="auto"/>
      </w:divBdr>
    </w:div>
    <w:div w:id="521088688">
      <w:bodyDiv w:val="1"/>
      <w:marLeft w:val="0"/>
      <w:marRight w:val="0"/>
      <w:marTop w:val="0"/>
      <w:marBottom w:val="0"/>
      <w:divBdr>
        <w:top w:val="none" w:sz="0" w:space="0" w:color="auto"/>
        <w:left w:val="none" w:sz="0" w:space="0" w:color="auto"/>
        <w:bottom w:val="none" w:sz="0" w:space="0" w:color="auto"/>
        <w:right w:val="none" w:sz="0" w:space="0" w:color="auto"/>
      </w:divBdr>
      <w:divsChild>
        <w:div w:id="285083479">
          <w:marLeft w:val="0"/>
          <w:marRight w:val="0"/>
          <w:marTop w:val="0"/>
          <w:marBottom w:val="0"/>
          <w:divBdr>
            <w:top w:val="none" w:sz="0" w:space="0" w:color="auto"/>
            <w:left w:val="none" w:sz="0" w:space="0" w:color="auto"/>
            <w:bottom w:val="none" w:sz="0" w:space="0" w:color="auto"/>
            <w:right w:val="none" w:sz="0" w:space="0" w:color="auto"/>
          </w:divBdr>
        </w:div>
      </w:divsChild>
    </w:div>
    <w:div w:id="541016210">
      <w:bodyDiv w:val="1"/>
      <w:marLeft w:val="0"/>
      <w:marRight w:val="0"/>
      <w:marTop w:val="0"/>
      <w:marBottom w:val="0"/>
      <w:divBdr>
        <w:top w:val="none" w:sz="0" w:space="0" w:color="auto"/>
        <w:left w:val="none" w:sz="0" w:space="0" w:color="auto"/>
        <w:bottom w:val="none" w:sz="0" w:space="0" w:color="auto"/>
        <w:right w:val="none" w:sz="0" w:space="0" w:color="auto"/>
      </w:divBdr>
    </w:div>
    <w:div w:id="543300099">
      <w:bodyDiv w:val="1"/>
      <w:marLeft w:val="0"/>
      <w:marRight w:val="0"/>
      <w:marTop w:val="0"/>
      <w:marBottom w:val="0"/>
      <w:divBdr>
        <w:top w:val="none" w:sz="0" w:space="0" w:color="auto"/>
        <w:left w:val="none" w:sz="0" w:space="0" w:color="auto"/>
        <w:bottom w:val="none" w:sz="0" w:space="0" w:color="auto"/>
        <w:right w:val="none" w:sz="0" w:space="0" w:color="auto"/>
      </w:divBdr>
    </w:div>
    <w:div w:id="559219093">
      <w:bodyDiv w:val="1"/>
      <w:marLeft w:val="0"/>
      <w:marRight w:val="0"/>
      <w:marTop w:val="0"/>
      <w:marBottom w:val="0"/>
      <w:divBdr>
        <w:top w:val="none" w:sz="0" w:space="0" w:color="auto"/>
        <w:left w:val="none" w:sz="0" w:space="0" w:color="auto"/>
        <w:bottom w:val="none" w:sz="0" w:space="0" w:color="auto"/>
        <w:right w:val="none" w:sz="0" w:space="0" w:color="auto"/>
      </w:divBdr>
    </w:div>
    <w:div w:id="567614360">
      <w:bodyDiv w:val="1"/>
      <w:marLeft w:val="0"/>
      <w:marRight w:val="0"/>
      <w:marTop w:val="0"/>
      <w:marBottom w:val="0"/>
      <w:divBdr>
        <w:top w:val="none" w:sz="0" w:space="0" w:color="auto"/>
        <w:left w:val="none" w:sz="0" w:space="0" w:color="auto"/>
        <w:bottom w:val="none" w:sz="0" w:space="0" w:color="auto"/>
        <w:right w:val="none" w:sz="0" w:space="0" w:color="auto"/>
      </w:divBdr>
    </w:div>
    <w:div w:id="600722197">
      <w:bodyDiv w:val="1"/>
      <w:marLeft w:val="0"/>
      <w:marRight w:val="0"/>
      <w:marTop w:val="0"/>
      <w:marBottom w:val="0"/>
      <w:divBdr>
        <w:top w:val="none" w:sz="0" w:space="0" w:color="auto"/>
        <w:left w:val="none" w:sz="0" w:space="0" w:color="auto"/>
        <w:bottom w:val="none" w:sz="0" w:space="0" w:color="auto"/>
        <w:right w:val="none" w:sz="0" w:space="0" w:color="auto"/>
      </w:divBdr>
      <w:divsChild>
        <w:div w:id="1341935089">
          <w:marLeft w:val="0"/>
          <w:marRight w:val="0"/>
          <w:marTop w:val="0"/>
          <w:marBottom w:val="0"/>
          <w:divBdr>
            <w:top w:val="none" w:sz="0" w:space="0" w:color="auto"/>
            <w:left w:val="none" w:sz="0" w:space="0" w:color="auto"/>
            <w:bottom w:val="none" w:sz="0" w:space="0" w:color="auto"/>
            <w:right w:val="none" w:sz="0" w:space="0" w:color="auto"/>
          </w:divBdr>
        </w:div>
      </w:divsChild>
    </w:div>
    <w:div w:id="601257260">
      <w:bodyDiv w:val="1"/>
      <w:marLeft w:val="0"/>
      <w:marRight w:val="0"/>
      <w:marTop w:val="0"/>
      <w:marBottom w:val="0"/>
      <w:divBdr>
        <w:top w:val="none" w:sz="0" w:space="0" w:color="auto"/>
        <w:left w:val="none" w:sz="0" w:space="0" w:color="auto"/>
        <w:bottom w:val="none" w:sz="0" w:space="0" w:color="auto"/>
        <w:right w:val="none" w:sz="0" w:space="0" w:color="auto"/>
      </w:divBdr>
      <w:divsChild>
        <w:div w:id="2011905416">
          <w:marLeft w:val="0"/>
          <w:marRight w:val="0"/>
          <w:marTop w:val="0"/>
          <w:marBottom w:val="0"/>
          <w:divBdr>
            <w:top w:val="none" w:sz="0" w:space="0" w:color="auto"/>
            <w:left w:val="none" w:sz="0" w:space="0" w:color="auto"/>
            <w:bottom w:val="none" w:sz="0" w:space="0" w:color="auto"/>
            <w:right w:val="none" w:sz="0" w:space="0" w:color="auto"/>
          </w:divBdr>
          <w:divsChild>
            <w:div w:id="255401419">
              <w:marLeft w:val="0"/>
              <w:marRight w:val="0"/>
              <w:marTop w:val="0"/>
              <w:marBottom w:val="0"/>
              <w:divBdr>
                <w:top w:val="none" w:sz="0" w:space="0" w:color="auto"/>
                <w:left w:val="none" w:sz="0" w:space="0" w:color="auto"/>
                <w:bottom w:val="none" w:sz="0" w:space="0" w:color="auto"/>
                <w:right w:val="none" w:sz="0" w:space="0" w:color="auto"/>
              </w:divBdr>
              <w:divsChild>
                <w:div w:id="974914978">
                  <w:marLeft w:val="0"/>
                  <w:marRight w:val="0"/>
                  <w:marTop w:val="0"/>
                  <w:marBottom w:val="0"/>
                  <w:divBdr>
                    <w:top w:val="none" w:sz="0" w:space="0" w:color="auto"/>
                    <w:left w:val="none" w:sz="0" w:space="0" w:color="auto"/>
                    <w:bottom w:val="none" w:sz="0" w:space="0" w:color="auto"/>
                    <w:right w:val="none" w:sz="0" w:space="0" w:color="auto"/>
                  </w:divBdr>
                  <w:divsChild>
                    <w:div w:id="1207177769">
                      <w:marLeft w:val="0"/>
                      <w:marRight w:val="0"/>
                      <w:marTop w:val="0"/>
                      <w:marBottom w:val="0"/>
                      <w:divBdr>
                        <w:top w:val="single" w:sz="6" w:space="15" w:color="C0D8F2"/>
                        <w:left w:val="single" w:sz="6" w:space="18" w:color="C0D8F2"/>
                        <w:bottom w:val="single" w:sz="6" w:space="11" w:color="C0D8F2"/>
                        <w:right w:val="single" w:sz="6" w:space="18" w:color="C0D8F2"/>
                      </w:divBdr>
                      <w:divsChild>
                        <w:div w:id="1184706618">
                          <w:marLeft w:val="0"/>
                          <w:marRight w:val="0"/>
                          <w:marTop w:val="0"/>
                          <w:marBottom w:val="0"/>
                          <w:divBdr>
                            <w:top w:val="none" w:sz="0" w:space="0" w:color="auto"/>
                            <w:left w:val="none" w:sz="0" w:space="0" w:color="auto"/>
                            <w:bottom w:val="none" w:sz="0" w:space="0" w:color="auto"/>
                            <w:right w:val="none" w:sz="0" w:space="0" w:color="auto"/>
                          </w:divBdr>
                          <w:divsChild>
                            <w:div w:id="194152864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218245">
      <w:bodyDiv w:val="1"/>
      <w:marLeft w:val="0"/>
      <w:marRight w:val="0"/>
      <w:marTop w:val="0"/>
      <w:marBottom w:val="0"/>
      <w:divBdr>
        <w:top w:val="none" w:sz="0" w:space="0" w:color="auto"/>
        <w:left w:val="none" w:sz="0" w:space="0" w:color="auto"/>
        <w:bottom w:val="none" w:sz="0" w:space="0" w:color="auto"/>
        <w:right w:val="none" w:sz="0" w:space="0" w:color="auto"/>
      </w:divBdr>
    </w:div>
    <w:div w:id="643972249">
      <w:bodyDiv w:val="1"/>
      <w:marLeft w:val="0"/>
      <w:marRight w:val="0"/>
      <w:marTop w:val="0"/>
      <w:marBottom w:val="0"/>
      <w:divBdr>
        <w:top w:val="none" w:sz="0" w:space="0" w:color="auto"/>
        <w:left w:val="none" w:sz="0" w:space="0" w:color="auto"/>
        <w:bottom w:val="none" w:sz="0" w:space="0" w:color="auto"/>
        <w:right w:val="none" w:sz="0" w:space="0" w:color="auto"/>
      </w:divBdr>
    </w:div>
    <w:div w:id="664086235">
      <w:bodyDiv w:val="1"/>
      <w:marLeft w:val="0"/>
      <w:marRight w:val="0"/>
      <w:marTop w:val="0"/>
      <w:marBottom w:val="0"/>
      <w:divBdr>
        <w:top w:val="none" w:sz="0" w:space="0" w:color="auto"/>
        <w:left w:val="none" w:sz="0" w:space="0" w:color="auto"/>
        <w:bottom w:val="none" w:sz="0" w:space="0" w:color="auto"/>
        <w:right w:val="none" w:sz="0" w:space="0" w:color="auto"/>
      </w:divBdr>
    </w:div>
    <w:div w:id="685135860">
      <w:bodyDiv w:val="1"/>
      <w:marLeft w:val="0"/>
      <w:marRight w:val="0"/>
      <w:marTop w:val="0"/>
      <w:marBottom w:val="0"/>
      <w:divBdr>
        <w:top w:val="none" w:sz="0" w:space="0" w:color="auto"/>
        <w:left w:val="none" w:sz="0" w:space="0" w:color="auto"/>
        <w:bottom w:val="none" w:sz="0" w:space="0" w:color="auto"/>
        <w:right w:val="none" w:sz="0" w:space="0" w:color="auto"/>
      </w:divBdr>
      <w:divsChild>
        <w:div w:id="108820463">
          <w:marLeft w:val="0"/>
          <w:marRight w:val="0"/>
          <w:marTop w:val="0"/>
          <w:marBottom w:val="0"/>
          <w:divBdr>
            <w:top w:val="none" w:sz="0" w:space="0" w:color="auto"/>
            <w:left w:val="none" w:sz="0" w:space="0" w:color="auto"/>
            <w:bottom w:val="none" w:sz="0" w:space="0" w:color="auto"/>
            <w:right w:val="none" w:sz="0" w:space="0" w:color="auto"/>
          </w:divBdr>
        </w:div>
      </w:divsChild>
    </w:div>
    <w:div w:id="694888329">
      <w:bodyDiv w:val="1"/>
      <w:marLeft w:val="0"/>
      <w:marRight w:val="0"/>
      <w:marTop w:val="0"/>
      <w:marBottom w:val="0"/>
      <w:divBdr>
        <w:top w:val="none" w:sz="0" w:space="0" w:color="auto"/>
        <w:left w:val="none" w:sz="0" w:space="0" w:color="auto"/>
        <w:bottom w:val="none" w:sz="0" w:space="0" w:color="auto"/>
        <w:right w:val="none" w:sz="0" w:space="0" w:color="auto"/>
      </w:divBdr>
      <w:divsChild>
        <w:div w:id="1261135914">
          <w:marLeft w:val="0"/>
          <w:marRight w:val="0"/>
          <w:marTop w:val="0"/>
          <w:marBottom w:val="0"/>
          <w:divBdr>
            <w:top w:val="none" w:sz="0" w:space="0" w:color="auto"/>
            <w:left w:val="none" w:sz="0" w:space="0" w:color="auto"/>
            <w:bottom w:val="none" w:sz="0" w:space="0" w:color="auto"/>
            <w:right w:val="none" w:sz="0" w:space="0" w:color="auto"/>
          </w:divBdr>
        </w:div>
      </w:divsChild>
    </w:div>
    <w:div w:id="741293871">
      <w:bodyDiv w:val="1"/>
      <w:marLeft w:val="0"/>
      <w:marRight w:val="0"/>
      <w:marTop w:val="0"/>
      <w:marBottom w:val="0"/>
      <w:divBdr>
        <w:top w:val="none" w:sz="0" w:space="0" w:color="auto"/>
        <w:left w:val="none" w:sz="0" w:space="0" w:color="auto"/>
        <w:bottom w:val="none" w:sz="0" w:space="0" w:color="auto"/>
        <w:right w:val="none" w:sz="0" w:space="0" w:color="auto"/>
      </w:divBdr>
      <w:divsChild>
        <w:div w:id="405569316">
          <w:marLeft w:val="0"/>
          <w:marRight w:val="0"/>
          <w:marTop w:val="0"/>
          <w:marBottom w:val="0"/>
          <w:divBdr>
            <w:top w:val="none" w:sz="0" w:space="0" w:color="auto"/>
            <w:left w:val="none" w:sz="0" w:space="0" w:color="auto"/>
            <w:bottom w:val="none" w:sz="0" w:space="0" w:color="auto"/>
            <w:right w:val="none" w:sz="0" w:space="0" w:color="auto"/>
          </w:divBdr>
        </w:div>
      </w:divsChild>
    </w:div>
    <w:div w:id="746683720">
      <w:bodyDiv w:val="1"/>
      <w:marLeft w:val="0"/>
      <w:marRight w:val="0"/>
      <w:marTop w:val="0"/>
      <w:marBottom w:val="0"/>
      <w:divBdr>
        <w:top w:val="none" w:sz="0" w:space="0" w:color="auto"/>
        <w:left w:val="none" w:sz="0" w:space="0" w:color="auto"/>
        <w:bottom w:val="none" w:sz="0" w:space="0" w:color="auto"/>
        <w:right w:val="none" w:sz="0" w:space="0" w:color="auto"/>
      </w:divBdr>
    </w:div>
    <w:div w:id="750615841">
      <w:bodyDiv w:val="1"/>
      <w:marLeft w:val="0"/>
      <w:marRight w:val="0"/>
      <w:marTop w:val="0"/>
      <w:marBottom w:val="0"/>
      <w:divBdr>
        <w:top w:val="none" w:sz="0" w:space="0" w:color="auto"/>
        <w:left w:val="none" w:sz="0" w:space="0" w:color="auto"/>
        <w:bottom w:val="none" w:sz="0" w:space="0" w:color="auto"/>
        <w:right w:val="none" w:sz="0" w:space="0" w:color="auto"/>
      </w:divBdr>
      <w:divsChild>
        <w:div w:id="1157720232">
          <w:marLeft w:val="0"/>
          <w:marRight w:val="0"/>
          <w:marTop w:val="0"/>
          <w:marBottom w:val="0"/>
          <w:divBdr>
            <w:top w:val="none" w:sz="0" w:space="0" w:color="auto"/>
            <w:left w:val="none" w:sz="0" w:space="0" w:color="auto"/>
            <w:bottom w:val="none" w:sz="0" w:space="0" w:color="auto"/>
            <w:right w:val="none" w:sz="0" w:space="0" w:color="auto"/>
          </w:divBdr>
        </w:div>
      </w:divsChild>
    </w:div>
    <w:div w:id="757679586">
      <w:bodyDiv w:val="1"/>
      <w:marLeft w:val="0"/>
      <w:marRight w:val="0"/>
      <w:marTop w:val="0"/>
      <w:marBottom w:val="0"/>
      <w:divBdr>
        <w:top w:val="none" w:sz="0" w:space="0" w:color="auto"/>
        <w:left w:val="none" w:sz="0" w:space="0" w:color="auto"/>
        <w:bottom w:val="none" w:sz="0" w:space="0" w:color="auto"/>
        <w:right w:val="none" w:sz="0" w:space="0" w:color="auto"/>
      </w:divBdr>
    </w:div>
    <w:div w:id="765032345">
      <w:bodyDiv w:val="1"/>
      <w:marLeft w:val="0"/>
      <w:marRight w:val="0"/>
      <w:marTop w:val="0"/>
      <w:marBottom w:val="0"/>
      <w:divBdr>
        <w:top w:val="none" w:sz="0" w:space="0" w:color="auto"/>
        <w:left w:val="none" w:sz="0" w:space="0" w:color="auto"/>
        <w:bottom w:val="none" w:sz="0" w:space="0" w:color="auto"/>
        <w:right w:val="none" w:sz="0" w:space="0" w:color="auto"/>
      </w:divBdr>
    </w:div>
    <w:div w:id="772674580">
      <w:bodyDiv w:val="1"/>
      <w:marLeft w:val="0"/>
      <w:marRight w:val="0"/>
      <w:marTop w:val="0"/>
      <w:marBottom w:val="0"/>
      <w:divBdr>
        <w:top w:val="none" w:sz="0" w:space="0" w:color="auto"/>
        <w:left w:val="none" w:sz="0" w:space="0" w:color="auto"/>
        <w:bottom w:val="none" w:sz="0" w:space="0" w:color="auto"/>
        <w:right w:val="none" w:sz="0" w:space="0" w:color="auto"/>
      </w:divBdr>
    </w:div>
    <w:div w:id="823014130">
      <w:bodyDiv w:val="1"/>
      <w:marLeft w:val="0"/>
      <w:marRight w:val="0"/>
      <w:marTop w:val="0"/>
      <w:marBottom w:val="0"/>
      <w:divBdr>
        <w:top w:val="none" w:sz="0" w:space="0" w:color="auto"/>
        <w:left w:val="none" w:sz="0" w:space="0" w:color="auto"/>
        <w:bottom w:val="none" w:sz="0" w:space="0" w:color="auto"/>
        <w:right w:val="none" w:sz="0" w:space="0" w:color="auto"/>
      </w:divBdr>
    </w:div>
    <w:div w:id="830029325">
      <w:bodyDiv w:val="1"/>
      <w:marLeft w:val="0"/>
      <w:marRight w:val="0"/>
      <w:marTop w:val="0"/>
      <w:marBottom w:val="0"/>
      <w:divBdr>
        <w:top w:val="none" w:sz="0" w:space="0" w:color="auto"/>
        <w:left w:val="none" w:sz="0" w:space="0" w:color="auto"/>
        <w:bottom w:val="none" w:sz="0" w:space="0" w:color="auto"/>
        <w:right w:val="none" w:sz="0" w:space="0" w:color="auto"/>
      </w:divBdr>
    </w:div>
    <w:div w:id="859050422">
      <w:bodyDiv w:val="1"/>
      <w:marLeft w:val="0"/>
      <w:marRight w:val="0"/>
      <w:marTop w:val="0"/>
      <w:marBottom w:val="0"/>
      <w:divBdr>
        <w:top w:val="none" w:sz="0" w:space="0" w:color="auto"/>
        <w:left w:val="none" w:sz="0" w:space="0" w:color="auto"/>
        <w:bottom w:val="none" w:sz="0" w:space="0" w:color="auto"/>
        <w:right w:val="none" w:sz="0" w:space="0" w:color="auto"/>
      </w:divBdr>
    </w:div>
    <w:div w:id="859317137">
      <w:bodyDiv w:val="1"/>
      <w:marLeft w:val="0"/>
      <w:marRight w:val="0"/>
      <w:marTop w:val="0"/>
      <w:marBottom w:val="0"/>
      <w:divBdr>
        <w:top w:val="none" w:sz="0" w:space="0" w:color="auto"/>
        <w:left w:val="none" w:sz="0" w:space="0" w:color="auto"/>
        <w:bottom w:val="none" w:sz="0" w:space="0" w:color="auto"/>
        <w:right w:val="none" w:sz="0" w:space="0" w:color="auto"/>
      </w:divBdr>
      <w:divsChild>
        <w:div w:id="1379472824">
          <w:marLeft w:val="0"/>
          <w:marRight w:val="0"/>
          <w:marTop w:val="0"/>
          <w:marBottom w:val="0"/>
          <w:divBdr>
            <w:top w:val="none" w:sz="0" w:space="0" w:color="auto"/>
            <w:left w:val="none" w:sz="0" w:space="0" w:color="auto"/>
            <w:bottom w:val="none" w:sz="0" w:space="0" w:color="auto"/>
            <w:right w:val="none" w:sz="0" w:space="0" w:color="auto"/>
          </w:divBdr>
          <w:divsChild>
            <w:div w:id="1166746732">
              <w:marLeft w:val="0"/>
              <w:marRight w:val="0"/>
              <w:marTop w:val="0"/>
              <w:marBottom w:val="0"/>
              <w:divBdr>
                <w:top w:val="none" w:sz="0" w:space="0" w:color="auto"/>
                <w:left w:val="none" w:sz="0" w:space="0" w:color="auto"/>
                <w:bottom w:val="none" w:sz="0" w:space="0" w:color="auto"/>
                <w:right w:val="none" w:sz="0" w:space="0" w:color="auto"/>
              </w:divBdr>
              <w:divsChild>
                <w:div w:id="1463496432">
                  <w:marLeft w:val="0"/>
                  <w:marRight w:val="0"/>
                  <w:marTop w:val="0"/>
                  <w:marBottom w:val="0"/>
                  <w:divBdr>
                    <w:top w:val="none" w:sz="0" w:space="0" w:color="auto"/>
                    <w:left w:val="none" w:sz="0" w:space="0" w:color="auto"/>
                    <w:bottom w:val="none" w:sz="0" w:space="0" w:color="auto"/>
                    <w:right w:val="none" w:sz="0" w:space="0" w:color="auto"/>
                  </w:divBdr>
                  <w:divsChild>
                    <w:div w:id="1975794104">
                      <w:marLeft w:val="0"/>
                      <w:marRight w:val="0"/>
                      <w:marTop w:val="0"/>
                      <w:marBottom w:val="0"/>
                      <w:divBdr>
                        <w:top w:val="single" w:sz="6" w:space="15" w:color="C0D8F2"/>
                        <w:left w:val="single" w:sz="6" w:space="18" w:color="C0D8F2"/>
                        <w:bottom w:val="single" w:sz="6" w:space="11" w:color="C0D8F2"/>
                        <w:right w:val="single" w:sz="6" w:space="18" w:color="C0D8F2"/>
                      </w:divBdr>
                      <w:divsChild>
                        <w:div w:id="1851261992">
                          <w:marLeft w:val="0"/>
                          <w:marRight w:val="0"/>
                          <w:marTop w:val="0"/>
                          <w:marBottom w:val="0"/>
                          <w:divBdr>
                            <w:top w:val="none" w:sz="0" w:space="0" w:color="auto"/>
                            <w:left w:val="none" w:sz="0" w:space="0" w:color="auto"/>
                            <w:bottom w:val="none" w:sz="0" w:space="0" w:color="auto"/>
                            <w:right w:val="none" w:sz="0" w:space="0" w:color="auto"/>
                          </w:divBdr>
                          <w:divsChild>
                            <w:div w:id="198083741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7163558">
      <w:bodyDiv w:val="1"/>
      <w:marLeft w:val="0"/>
      <w:marRight w:val="0"/>
      <w:marTop w:val="0"/>
      <w:marBottom w:val="0"/>
      <w:divBdr>
        <w:top w:val="none" w:sz="0" w:space="0" w:color="auto"/>
        <w:left w:val="none" w:sz="0" w:space="0" w:color="auto"/>
        <w:bottom w:val="none" w:sz="0" w:space="0" w:color="auto"/>
        <w:right w:val="none" w:sz="0" w:space="0" w:color="auto"/>
      </w:divBdr>
    </w:div>
    <w:div w:id="900599856">
      <w:bodyDiv w:val="1"/>
      <w:marLeft w:val="0"/>
      <w:marRight w:val="0"/>
      <w:marTop w:val="0"/>
      <w:marBottom w:val="0"/>
      <w:divBdr>
        <w:top w:val="none" w:sz="0" w:space="0" w:color="auto"/>
        <w:left w:val="none" w:sz="0" w:space="0" w:color="auto"/>
        <w:bottom w:val="none" w:sz="0" w:space="0" w:color="auto"/>
        <w:right w:val="none" w:sz="0" w:space="0" w:color="auto"/>
      </w:divBdr>
      <w:divsChild>
        <w:div w:id="1352951723">
          <w:marLeft w:val="0"/>
          <w:marRight w:val="0"/>
          <w:marTop w:val="0"/>
          <w:marBottom w:val="0"/>
          <w:divBdr>
            <w:top w:val="none" w:sz="0" w:space="0" w:color="auto"/>
            <w:left w:val="none" w:sz="0" w:space="0" w:color="auto"/>
            <w:bottom w:val="none" w:sz="0" w:space="0" w:color="auto"/>
            <w:right w:val="none" w:sz="0" w:space="0" w:color="auto"/>
          </w:divBdr>
        </w:div>
      </w:divsChild>
    </w:div>
    <w:div w:id="910384756">
      <w:bodyDiv w:val="1"/>
      <w:marLeft w:val="0"/>
      <w:marRight w:val="0"/>
      <w:marTop w:val="0"/>
      <w:marBottom w:val="0"/>
      <w:divBdr>
        <w:top w:val="none" w:sz="0" w:space="0" w:color="auto"/>
        <w:left w:val="none" w:sz="0" w:space="0" w:color="auto"/>
        <w:bottom w:val="none" w:sz="0" w:space="0" w:color="auto"/>
        <w:right w:val="none" w:sz="0" w:space="0" w:color="auto"/>
      </w:divBdr>
    </w:div>
    <w:div w:id="941569604">
      <w:bodyDiv w:val="1"/>
      <w:marLeft w:val="0"/>
      <w:marRight w:val="0"/>
      <w:marTop w:val="0"/>
      <w:marBottom w:val="0"/>
      <w:divBdr>
        <w:top w:val="none" w:sz="0" w:space="0" w:color="auto"/>
        <w:left w:val="none" w:sz="0" w:space="0" w:color="auto"/>
        <w:bottom w:val="none" w:sz="0" w:space="0" w:color="auto"/>
        <w:right w:val="none" w:sz="0" w:space="0" w:color="auto"/>
      </w:divBdr>
    </w:div>
    <w:div w:id="945427330">
      <w:bodyDiv w:val="1"/>
      <w:marLeft w:val="0"/>
      <w:marRight w:val="0"/>
      <w:marTop w:val="0"/>
      <w:marBottom w:val="0"/>
      <w:divBdr>
        <w:top w:val="none" w:sz="0" w:space="0" w:color="auto"/>
        <w:left w:val="none" w:sz="0" w:space="0" w:color="auto"/>
        <w:bottom w:val="none" w:sz="0" w:space="0" w:color="auto"/>
        <w:right w:val="none" w:sz="0" w:space="0" w:color="auto"/>
      </w:divBdr>
    </w:div>
    <w:div w:id="1006834086">
      <w:bodyDiv w:val="1"/>
      <w:marLeft w:val="0"/>
      <w:marRight w:val="0"/>
      <w:marTop w:val="0"/>
      <w:marBottom w:val="0"/>
      <w:divBdr>
        <w:top w:val="none" w:sz="0" w:space="0" w:color="auto"/>
        <w:left w:val="none" w:sz="0" w:space="0" w:color="auto"/>
        <w:bottom w:val="none" w:sz="0" w:space="0" w:color="auto"/>
        <w:right w:val="none" w:sz="0" w:space="0" w:color="auto"/>
      </w:divBdr>
      <w:divsChild>
        <w:div w:id="904338826">
          <w:marLeft w:val="0"/>
          <w:marRight w:val="0"/>
          <w:marTop w:val="0"/>
          <w:marBottom w:val="0"/>
          <w:divBdr>
            <w:top w:val="none" w:sz="0" w:space="0" w:color="auto"/>
            <w:left w:val="none" w:sz="0" w:space="0" w:color="auto"/>
            <w:bottom w:val="none" w:sz="0" w:space="0" w:color="auto"/>
            <w:right w:val="none" w:sz="0" w:space="0" w:color="auto"/>
          </w:divBdr>
        </w:div>
      </w:divsChild>
    </w:div>
    <w:div w:id="1016887543">
      <w:bodyDiv w:val="1"/>
      <w:marLeft w:val="0"/>
      <w:marRight w:val="0"/>
      <w:marTop w:val="0"/>
      <w:marBottom w:val="0"/>
      <w:divBdr>
        <w:top w:val="none" w:sz="0" w:space="0" w:color="auto"/>
        <w:left w:val="none" w:sz="0" w:space="0" w:color="auto"/>
        <w:bottom w:val="none" w:sz="0" w:space="0" w:color="auto"/>
        <w:right w:val="none" w:sz="0" w:space="0" w:color="auto"/>
      </w:divBdr>
    </w:div>
    <w:div w:id="1016927241">
      <w:bodyDiv w:val="1"/>
      <w:marLeft w:val="0"/>
      <w:marRight w:val="0"/>
      <w:marTop w:val="0"/>
      <w:marBottom w:val="0"/>
      <w:divBdr>
        <w:top w:val="none" w:sz="0" w:space="0" w:color="auto"/>
        <w:left w:val="none" w:sz="0" w:space="0" w:color="auto"/>
        <w:bottom w:val="none" w:sz="0" w:space="0" w:color="auto"/>
        <w:right w:val="none" w:sz="0" w:space="0" w:color="auto"/>
      </w:divBdr>
    </w:div>
    <w:div w:id="1050037609">
      <w:bodyDiv w:val="1"/>
      <w:marLeft w:val="0"/>
      <w:marRight w:val="0"/>
      <w:marTop w:val="0"/>
      <w:marBottom w:val="0"/>
      <w:divBdr>
        <w:top w:val="none" w:sz="0" w:space="0" w:color="auto"/>
        <w:left w:val="none" w:sz="0" w:space="0" w:color="auto"/>
        <w:bottom w:val="none" w:sz="0" w:space="0" w:color="auto"/>
        <w:right w:val="none" w:sz="0" w:space="0" w:color="auto"/>
      </w:divBdr>
      <w:divsChild>
        <w:div w:id="850753159">
          <w:marLeft w:val="0"/>
          <w:marRight w:val="0"/>
          <w:marTop w:val="0"/>
          <w:marBottom w:val="0"/>
          <w:divBdr>
            <w:top w:val="none" w:sz="0" w:space="0" w:color="auto"/>
            <w:left w:val="none" w:sz="0" w:space="0" w:color="auto"/>
            <w:bottom w:val="none" w:sz="0" w:space="0" w:color="auto"/>
            <w:right w:val="none" w:sz="0" w:space="0" w:color="auto"/>
          </w:divBdr>
          <w:divsChild>
            <w:div w:id="1463184263">
              <w:marLeft w:val="0"/>
              <w:marRight w:val="0"/>
              <w:marTop w:val="0"/>
              <w:marBottom w:val="0"/>
              <w:divBdr>
                <w:top w:val="none" w:sz="0" w:space="0" w:color="auto"/>
                <w:left w:val="none" w:sz="0" w:space="0" w:color="auto"/>
                <w:bottom w:val="none" w:sz="0" w:space="0" w:color="auto"/>
                <w:right w:val="none" w:sz="0" w:space="0" w:color="auto"/>
              </w:divBdr>
              <w:divsChild>
                <w:div w:id="623199980">
                  <w:marLeft w:val="0"/>
                  <w:marRight w:val="0"/>
                  <w:marTop w:val="0"/>
                  <w:marBottom w:val="0"/>
                  <w:divBdr>
                    <w:top w:val="none" w:sz="0" w:space="0" w:color="auto"/>
                    <w:left w:val="none" w:sz="0" w:space="0" w:color="auto"/>
                    <w:bottom w:val="none" w:sz="0" w:space="0" w:color="auto"/>
                    <w:right w:val="none" w:sz="0" w:space="0" w:color="auto"/>
                  </w:divBdr>
                  <w:divsChild>
                    <w:div w:id="76133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390977">
      <w:bodyDiv w:val="1"/>
      <w:marLeft w:val="0"/>
      <w:marRight w:val="0"/>
      <w:marTop w:val="0"/>
      <w:marBottom w:val="0"/>
      <w:divBdr>
        <w:top w:val="none" w:sz="0" w:space="0" w:color="auto"/>
        <w:left w:val="none" w:sz="0" w:space="0" w:color="auto"/>
        <w:bottom w:val="none" w:sz="0" w:space="0" w:color="auto"/>
        <w:right w:val="none" w:sz="0" w:space="0" w:color="auto"/>
      </w:divBdr>
    </w:div>
    <w:div w:id="1065955747">
      <w:bodyDiv w:val="1"/>
      <w:marLeft w:val="0"/>
      <w:marRight w:val="0"/>
      <w:marTop w:val="0"/>
      <w:marBottom w:val="0"/>
      <w:divBdr>
        <w:top w:val="none" w:sz="0" w:space="0" w:color="auto"/>
        <w:left w:val="none" w:sz="0" w:space="0" w:color="auto"/>
        <w:bottom w:val="none" w:sz="0" w:space="0" w:color="auto"/>
        <w:right w:val="none" w:sz="0" w:space="0" w:color="auto"/>
      </w:divBdr>
    </w:div>
    <w:div w:id="1067151799">
      <w:bodyDiv w:val="1"/>
      <w:marLeft w:val="0"/>
      <w:marRight w:val="0"/>
      <w:marTop w:val="0"/>
      <w:marBottom w:val="0"/>
      <w:divBdr>
        <w:top w:val="none" w:sz="0" w:space="0" w:color="auto"/>
        <w:left w:val="none" w:sz="0" w:space="0" w:color="auto"/>
        <w:bottom w:val="none" w:sz="0" w:space="0" w:color="auto"/>
        <w:right w:val="none" w:sz="0" w:space="0" w:color="auto"/>
      </w:divBdr>
      <w:divsChild>
        <w:div w:id="176431788">
          <w:marLeft w:val="0"/>
          <w:marRight w:val="0"/>
          <w:marTop w:val="0"/>
          <w:marBottom w:val="0"/>
          <w:divBdr>
            <w:top w:val="none" w:sz="0" w:space="0" w:color="auto"/>
            <w:left w:val="none" w:sz="0" w:space="0" w:color="auto"/>
            <w:bottom w:val="none" w:sz="0" w:space="0" w:color="auto"/>
            <w:right w:val="none" w:sz="0" w:space="0" w:color="auto"/>
          </w:divBdr>
        </w:div>
      </w:divsChild>
    </w:div>
    <w:div w:id="1071931097">
      <w:bodyDiv w:val="1"/>
      <w:marLeft w:val="0"/>
      <w:marRight w:val="0"/>
      <w:marTop w:val="0"/>
      <w:marBottom w:val="0"/>
      <w:divBdr>
        <w:top w:val="none" w:sz="0" w:space="0" w:color="auto"/>
        <w:left w:val="none" w:sz="0" w:space="0" w:color="auto"/>
        <w:bottom w:val="none" w:sz="0" w:space="0" w:color="auto"/>
        <w:right w:val="none" w:sz="0" w:space="0" w:color="auto"/>
      </w:divBdr>
    </w:div>
    <w:div w:id="1091002651">
      <w:bodyDiv w:val="1"/>
      <w:marLeft w:val="0"/>
      <w:marRight w:val="0"/>
      <w:marTop w:val="0"/>
      <w:marBottom w:val="0"/>
      <w:divBdr>
        <w:top w:val="none" w:sz="0" w:space="0" w:color="auto"/>
        <w:left w:val="none" w:sz="0" w:space="0" w:color="auto"/>
        <w:bottom w:val="none" w:sz="0" w:space="0" w:color="auto"/>
        <w:right w:val="none" w:sz="0" w:space="0" w:color="auto"/>
      </w:divBdr>
    </w:div>
    <w:div w:id="1109814460">
      <w:bodyDiv w:val="1"/>
      <w:marLeft w:val="180"/>
      <w:marRight w:val="180"/>
      <w:marTop w:val="180"/>
      <w:marBottom w:val="180"/>
      <w:divBdr>
        <w:top w:val="none" w:sz="0" w:space="0" w:color="auto"/>
        <w:left w:val="none" w:sz="0" w:space="0" w:color="auto"/>
        <w:bottom w:val="none" w:sz="0" w:space="0" w:color="auto"/>
        <w:right w:val="none" w:sz="0" w:space="0" w:color="auto"/>
      </w:divBdr>
      <w:divsChild>
        <w:div w:id="2123763881">
          <w:marLeft w:val="0"/>
          <w:marRight w:val="0"/>
          <w:marTop w:val="0"/>
          <w:marBottom w:val="0"/>
          <w:divBdr>
            <w:top w:val="none" w:sz="0" w:space="0" w:color="auto"/>
            <w:left w:val="none" w:sz="0" w:space="0" w:color="auto"/>
            <w:bottom w:val="none" w:sz="0" w:space="0" w:color="auto"/>
            <w:right w:val="none" w:sz="0" w:space="0" w:color="auto"/>
          </w:divBdr>
        </w:div>
      </w:divsChild>
    </w:div>
    <w:div w:id="1148937163">
      <w:bodyDiv w:val="1"/>
      <w:marLeft w:val="0"/>
      <w:marRight w:val="0"/>
      <w:marTop w:val="0"/>
      <w:marBottom w:val="0"/>
      <w:divBdr>
        <w:top w:val="none" w:sz="0" w:space="0" w:color="auto"/>
        <w:left w:val="none" w:sz="0" w:space="0" w:color="auto"/>
        <w:bottom w:val="none" w:sz="0" w:space="0" w:color="auto"/>
        <w:right w:val="none" w:sz="0" w:space="0" w:color="auto"/>
      </w:divBdr>
    </w:div>
    <w:div w:id="1224675290">
      <w:bodyDiv w:val="1"/>
      <w:marLeft w:val="0"/>
      <w:marRight w:val="0"/>
      <w:marTop w:val="0"/>
      <w:marBottom w:val="0"/>
      <w:divBdr>
        <w:top w:val="none" w:sz="0" w:space="0" w:color="auto"/>
        <w:left w:val="none" w:sz="0" w:space="0" w:color="auto"/>
        <w:bottom w:val="none" w:sz="0" w:space="0" w:color="auto"/>
        <w:right w:val="none" w:sz="0" w:space="0" w:color="auto"/>
      </w:divBdr>
      <w:divsChild>
        <w:div w:id="2065711647">
          <w:marLeft w:val="0"/>
          <w:marRight w:val="0"/>
          <w:marTop w:val="0"/>
          <w:marBottom w:val="0"/>
          <w:divBdr>
            <w:top w:val="none" w:sz="0" w:space="0" w:color="auto"/>
            <w:left w:val="none" w:sz="0" w:space="0" w:color="auto"/>
            <w:bottom w:val="none" w:sz="0" w:space="0" w:color="auto"/>
            <w:right w:val="none" w:sz="0" w:space="0" w:color="auto"/>
          </w:divBdr>
        </w:div>
      </w:divsChild>
    </w:div>
    <w:div w:id="1271625259">
      <w:bodyDiv w:val="1"/>
      <w:marLeft w:val="0"/>
      <w:marRight w:val="0"/>
      <w:marTop w:val="0"/>
      <w:marBottom w:val="0"/>
      <w:divBdr>
        <w:top w:val="none" w:sz="0" w:space="0" w:color="auto"/>
        <w:left w:val="none" w:sz="0" w:space="0" w:color="auto"/>
        <w:bottom w:val="none" w:sz="0" w:space="0" w:color="auto"/>
        <w:right w:val="none" w:sz="0" w:space="0" w:color="auto"/>
      </w:divBdr>
    </w:div>
    <w:div w:id="1289437496">
      <w:bodyDiv w:val="1"/>
      <w:marLeft w:val="0"/>
      <w:marRight w:val="0"/>
      <w:marTop w:val="0"/>
      <w:marBottom w:val="0"/>
      <w:divBdr>
        <w:top w:val="none" w:sz="0" w:space="0" w:color="auto"/>
        <w:left w:val="none" w:sz="0" w:space="0" w:color="auto"/>
        <w:bottom w:val="none" w:sz="0" w:space="0" w:color="auto"/>
        <w:right w:val="none" w:sz="0" w:space="0" w:color="auto"/>
      </w:divBdr>
    </w:div>
    <w:div w:id="1298800282">
      <w:bodyDiv w:val="1"/>
      <w:marLeft w:val="0"/>
      <w:marRight w:val="0"/>
      <w:marTop w:val="0"/>
      <w:marBottom w:val="0"/>
      <w:divBdr>
        <w:top w:val="none" w:sz="0" w:space="0" w:color="auto"/>
        <w:left w:val="none" w:sz="0" w:space="0" w:color="auto"/>
        <w:bottom w:val="none" w:sz="0" w:space="0" w:color="auto"/>
        <w:right w:val="none" w:sz="0" w:space="0" w:color="auto"/>
      </w:divBdr>
    </w:div>
    <w:div w:id="1318531891">
      <w:bodyDiv w:val="1"/>
      <w:marLeft w:val="0"/>
      <w:marRight w:val="0"/>
      <w:marTop w:val="0"/>
      <w:marBottom w:val="0"/>
      <w:divBdr>
        <w:top w:val="none" w:sz="0" w:space="0" w:color="auto"/>
        <w:left w:val="none" w:sz="0" w:space="0" w:color="auto"/>
        <w:bottom w:val="none" w:sz="0" w:space="0" w:color="auto"/>
        <w:right w:val="none" w:sz="0" w:space="0" w:color="auto"/>
      </w:divBdr>
      <w:divsChild>
        <w:div w:id="740754374">
          <w:marLeft w:val="0"/>
          <w:marRight w:val="0"/>
          <w:marTop w:val="0"/>
          <w:marBottom w:val="0"/>
          <w:divBdr>
            <w:top w:val="none" w:sz="0" w:space="0" w:color="auto"/>
            <w:left w:val="none" w:sz="0" w:space="0" w:color="auto"/>
            <w:bottom w:val="none" w:sz="0" w:space="0" w:color="auto"/>
            <w:right w:val="none" w:sz="0" w:space="0" w:color="auto"/>
          </w:divBdr>
        </w:div>
      </w:divsChild>
    </w:div>
    <w:div w:id="1342858748">
      <w:bodyDiv w:val="1"/>
      <w:marLeft w:val="0"/>
      <w:marRight w:val="0"/>
      <w:marTop w:val="0"/>
      <w:marBottom w:val="0"/>
      <w:divBdr>
        <w:top w:val="none" w:sz="0" w:space="0" w:color="auto"/>
        <w:left w:val="none" w:sz="0" w:space="0" w:color="auto"/>
        <w:bottom w:val="none" w:sz="0" w:space="0" w:color="auto"/>
        <w:right w:val="none" w:sz="0" w:space="0" w:color="auto"/>
      </w:divBdr>
      <w:divsChild>
        <w:div w:id="449206063">
          <w:marLeft w:val="0"/>
          <w:marRight w:val="0"/>
          <w:marTop w:val="0"/>
          <w:marBottom w:val="0"/>
          <w:divBdr>
            <w:top w:val="none" w:sz="0" w:space="0" w:color="auto"/>
            <w:left w:val="none" w:sz="0" w:space="0" w:color="auto"/>
            <w:bottom w:val="none" w:sz="0" w:space="0" w:color="auto"/>
            <w:right w:val="none" w:sz="0" w:space="0" w:color="auto"/>
          </w:divBdr>
        </w:div>
      </w:divsChild>
    </w:div>
    <w:div w:id="1348559954">
      <w:bodyDiv w:val="1"/>
      <w:marLeft w:val="0"/>
      <w:marRight w:val="0"/>
      <w:marTop w:val="0"/>
      <w:marBottom w:val="0"/>
      <w:divBdr>
        <w:top w:val="none" w:sz="0" w:space="0" w:color="auto"/>
        <w:left w:val="none" w:sz="0" w:space="0" w:color="auto"/>
        <w:bottom w:val="none" w:sz="0" w:space="0" w:color="auto"/>
        <w:right w:val="none" w:sz="0" w:space="0" w:color="auto"/>
      </w:divBdr>
    </w:div>
    <w:div w:id="1357657495">
      <w:bodyDiv w:val="1"/>
      <w:marLeft w:val="0"/>
      <w:marRight w:val="0"/>
      <w:marTop w:val="0"/>
      <w:marBottom w:val="0"/>
      <w:divBdr>
        <w:top w:val="none" w:sz="0" w:space="0" w:color="auto"/>
        <w:left w:val="none" w:sz="0" w:space="0" w:color="auto"/>
        <w:bottom w:val="none" w:sz="0" w:space="0" w:color="auto"/>
        <w:right w:val="none" w:sz="0" w:space="0" w:color="auto"/>
      </w:divBdr>
    </w:div>
    <w:div w:id="1378243818">
      <w:bodyDiv w:val="1"/>
      <w:marLeft w:val="0"/>
      <w:marRight w:val="0"/>
      <w:marTop w:val="0"/>
      <w:marBottom w:val="0"/>
      <w:divBdr>
        <w:top w:val="none" w:sz="0" w:space="0" w:color="auto"/>
        <w:left w:val="none" w:sz="0" w:space="0" w:color="auto"/>
        <w:bottom w:val="none" w:sz="0" w:space="0" w:color="auto"/>
        <w:right w:val="none" w:sz="0" w:space="0" w:color="auto"/>
      </w:divBdr>
    </w:div>
    <w:div w:id="1395542483">
      <w:bodyDiv w:val="1"/>
      <w:marLeft w:val="0"/>
      <w:marRight w:val="0"/>
      <w:marTop w:val="0"/>
      <w:marBottom w:val="0"/>
      <w:divBdr>
        <w:top w:val="none" w:sz="0" w:space="0" w:color="auto"/>
        <w:left w:val="none" w:sz="0" w:space="0" w:color="auto"/>
        <w:bottom w:val="none" w:sz="0" w:space="0" w:color="auto"/>
        <w:right w:val="none" w:sz="0" w:space="0" w:color="auto"/>
      </w:divBdr>
    </w:div>
    <w:div w:id="1433280741">
      <w:bodyDiv w:val="1"/>
      <w:marLeft w:val="0"/>
      <w:marRight w:val="0"/>
      <w:marTop w:val="0"/>
      <w:marBottom w:val="0"/>
      <w:divBdr>
        <w:top w:val="none" w:sz="0" w:space="0" w:color="auto"/>
        <w:left w:val="none" w:sz="0" w:space="0" w:color="auto"/>
        <w:bottom w:val="none" w:sz="0" w:space="0" w:color="auto"/>
        <w:right w:val="none" w:sz="0" w:space="0" w:color="auto"/>
      </w:divBdr>
    </w:div>
    <w:div w:id="1472752277">
      <w:bodyDiv w:val="1"/>
      <w:marLeft w:val="0"/>
      <w:marRight w:val="0"/>
      <w:marTop w:val="0"/>
      <w:marBottom w:val="0"/>
      <w:divBdr>
        <w:top w:val="none" w:sz="0" w:space="0" w:color="auto"/>
        <w:left w:val="none" w:sz="0" w:space="0" w:color="auto"/>
        <w:bottom w:val="none" w:sz="0" w:space="0" w:color="auto"/>
        <w:right w:val="none" w:sz="0" w:space="0" w:color="auto"/>
      </w:divBdr>
    </w:div>
    <w:div w:id="1494645946">
      <w:bodyDiv w:val="1"/>
      <w:marLeft w:val="0"/>
      <w:marRight w:val="0"/>
      <w:marTop w:val="0"/>
      <w:marBottom w:val="0"/>
      <w:divBdr>
        <w:top w:val="none" w:sz="0" w:space="0" w:color="auto"/>
        <w:left w:val="none" w:sz="0" w:space="0" w:color="auto"/>
        <w:bottom w:val="none" w:sz="0" w:space="0" w:color="auto"/>
        <w:right w:val="none" w:sz="0" w:space="0" w:color="auto"/>
      </w:divBdr>
    </w:div>
    <w:div w:id="1498692615">
      <w:bodyDiv w:val="1"/>
      <w:marLeft w:val="0"/>
      <w:marRight w:val="0"/>
      <w:marTop w:val="0"/>
      <w:marBottom w:val="0"/>
      <w:divBdr>
        <w:top w:val="none" w:sz="0" w:space="0" w:color="auto"/>
        <w:left w:val="none" w:sz="0" w:space="0" w:color="auto"/>
        <w:bottom w:val="none" w:sz="0" w:space="0" w:color="auto"/>
        <w:right w:val="none" w:sz="0" w:space="0" w:color="auto"/>
      </w:divBdr>
    </w:div>
    <w:div w:id="1503475158">
      <w:bodyDiv w:val="1"/>
      <w:marLeft w:val="180"/>
      <w:marRight w:val="180"/>
      <w:marTop w:val="180"/>
      <w:marBottom w:val="180"/>
      <w:divBdr>
        <w:top w:val="none" w:sz="0" w:space="0" w:color="auto"/>
        <w:left w:val="none" w:sz="0" w:space="0" w:color="auto"/>
        <w:bottom w:val="none" w:sz="0" w:space="0" w:color="auto"/>
        <w:right w:val="none" w:sz="0" w:space="0" w:color="auto"/>
      </w:divBdr>
      <w:divsChild>
        <w:div w:id="1065227705">
          <w:marLeft w:val="0"/>
          <w:marRight w:val="0"/>
          <w:marTop w:val="0"/>
          <w:marBottom w:val="0"/>
          <w:divBdr>
            <w:top w:val="none" w:sz="0" w:space="0" w:color="auto"/>
            <w:left w:val="none" w:sz="0" w:space="0" w:color="auto"/>
            <w:bottom w:val="none" w:sz="0" w:space="0" w:color="auto"/>
            <w:right w:val="none" w:sz="0" w:space="0" w:color="auto"/>
          </w:divBdr>
        </w:div>
      </w:divsChild>
    </w:div>
    <w:div w:id="1602030967">
      <w:bodyDiv w:val="1"/>
      <w:marLeft w:val="0"/>
      <w:marRight w:val="0"/>
      <w:marTop w:val="0"/>
      <w:marBottom w:val="0"/>
      <w:divBdr>
        <w:top w:val="none" w:sz="0" w:space="0" w:color="auto"/>
        <w:left w:val="none" w:sz="0" w:space="0" w:color="auto"/>
        <w:bottom w:val="none" w:sz="0" w:space="0" w:color="auto"/>
        <w:right w:val="none" w:sz="0" w:space="0" w:color="auto"/>
      </w:divBdr>
    </w:div>
    <w:div w:id="1604343826">
      <w:bodyDiv w:val="1"/>
      <w:marLeft w:val="0"/>
      <w:marRight w:val="0"/>
      <w:marTop w:val="0"/>
      <w:marBottom w:val="0"/>
      <w:divBdr>
        <w:top w:val="none" w:sz="0" w:space="0" w:color="auto"/>
        <w:left w:val="none" w:sz="0" w:space="0" w:color="auto"/>
        <w:bottom w:val="none" w:sz="0" w:space="0" w:color="auto"/>
        <w:right w:val="none" w:sz="0" w:space="0" w:color="auto"/>
      </w:divBdr>
      <w:divsChild>
        <w:div w:id="937373635">
          <w:marLeft w:val="0"/>
          <w:marRight w:val="0"/>
          <w:marTop w:val="0"/>
          <w:marBottom w:val="0"/>
          <w:divBdr>
            <w:top w:val="none" w:sz="0" w:space="0" w:color="auto"/>
            <w:left w:val="none" w:sz="0" w:space="0" w:color="auto"/>
            <w:bottom w:val="none" w:sz="0" w:space="0" w:color="auto"/>
            <w:right w:val="none" w:sz="0" w:space="0" w:color="auto"/>
          </w:divBdr>
        </w:div>
      </w:divsChild>
    </w:div>
    <w:div w:id="1622027403">
      <w:bodyDiv w:val="1"/>
      <w:marLeft w:val="0"/>
      <w:marRight w:val="0"/>
      <w:marTop w:val="0"/>
      <w:marBottom w:val="0"/>
      <w:divBdr>
        <w:top w:val="none" w:sz="0" w:space="0" w:color="auto"/>
        <w:left w:val="none" w:sz="0" w:space="0" w:color="auto"/>
        <w:bottom w:val="none" w:sz="0" w:space="0" w:color="auto"/>
        <w:right w:val="none" w:sz="0" w:space="0" w:color="auto"/>
      </w:divBdr>
    </w:div>
    <w:div w:id="1666321543">
      <w:bodyDiv w:val="1"/>
      <w:marLeft w:val="0"/>
      <w:marRight w:val="0"/>
      <w:marTop w:val="0"/>
      <w:marBottom w:val="0"/>
      <w:divBdr>
        <w:top w:val="none" w:sz="0" w:space="0" w:color="auto"/>
        <w:left w:val="none" w:sz="0" w:space="0" w:color="auto"/>
        <w:bottom w:val="none" w:sz="0" w:space="0" w:color="auto"/>
        <w:right w:val="none" w:sz="0" w:space="0" w:color="auto"/>
      </w:divBdr>
    </w:div>
    <w:div w:id="1669484494">
      <w:bodyDiv w:val="1"/>
      <w:marLeft w:val="0"/>
      <w:marRight w:val="0"/>
      <w:marTop w:val="0"/>
      <w:marBottom w:val="0"/>
      <w:divBdr>
        <w:top w:val="none" w:sz="0" w:space="0" w:color="auto"/>
        <w:left w:val="none" w:sz="0" w:space="0" w:color="auto"/>
        <w:bottom w:val="none" w:sz="0" w:space="0" w:color="auto"/>
        <w:right w:val="none" w:sz="0" w:space="0" w:color="auto"/>
      </w:divBdr>
      <w:divsChild>
        <w:div w:id="1277177972">
          <w:marLeft w:val="0"/>
          <w:marRight w:val="0"/>
          <w:marTop w:val="0"/>
          <w:marBottom w:val="0"/>
          <w:divBdr>
            <w:top w:val="none" w:sz="0" w:space="0" w:color="auto"/>
            <w:left w:val="none" w:sz="0" w:space="0" w:color="auto"/>
            <w:bottom w:val="none" w:sz="0" w:space="0" w:color="auto"/>
            <w:right w:val="none" w:sz="0" w:space="0" w:color="auto"/>
          </w:divBdr>
          <w:divsChild>
            <w:div w:id="1895850209">
              <w:marLeft w:val="0"/>
              <w:marRight w:val="0"/>
              <w:marTop w:val="0"/>
              <w:marBottom w:val="0"/>
              <w:divBdr>
                <w:top w:val="none" w:sz="0" w:space="0" w:color="auto"/>
                <w:left w:val="none" w:sz="0" w:space="0" w:color="auto"/>
                <w:bottom w:val="none" w:sz="0" w:space="0" w:color="auto"/>
                <w:right w:val="none" w:sz="0" w:space="0" w:color="auto"/>
              </w:divBdr>
              <w:divsChild>
                <w:div w:id="343552880">
                  <w:marLeft w:val="0"/>
                  <w:marRight w:val="0"/>
                  <w:marTop w:val="0"/>
                  <w:marBottom w:val="0"/>
                  <w:divBdr>
                    <w:top w:val="none" w:sz="0" w:space="0" w:color="auto"/>
                    <w:left w:val="none" w:sz="0" w:space="0" w:color="auto"/>
                    <w:bottom w:val="none" w:sz="0" w:space="0" w:color="auto"/>
                    <w:right w:val="none" w:sz="0" w:space="0" w:color="auto"/>
                  </w:divBdr>
                  <w:divsChild>
                    <w:div w:id="1863351402">
                      <w:marLeft w:val="0"/>
                      <w:marRight w:val="0"/>
                      <w:marTop w:val="0"/>
                      <w:marBottom w:val="0"/>
                      <w:divBdr>
                        <w:top w:val="single" w:sz="6" w:space="15" w:color="C0D8F2"/>
                        <w:left w:val="single" w:sz="6" w:space="18" w:color="C0D8F2"/>
                        <w:bottom w:val="single" w:sz="6" w:space="11" w:color="C0D8F2"/>
                        <w:right w:val="single" w:sz="6" w:space="18" w:color="C0D8F2"/>
                      </w:divBdr>
                      <w:divsChild>
                        <w:div w:id="317079519">
                          <w:marLeft w:val="0"/>
                          <w:marRight w:val="0"/>
                          <w:marTop w:val="0"/>
                          <w:marBottom w:val="0"/>
                          <w:divBdr>
                            <w:top w:val="none" w:sz="0" w:space="0" w:color="auto"/>
                            <w:left w:val="none" w:sz="0" w:space="0" w:color="auto"/>
                            <w:bottom w:val="none" w:sz="0" w:space="0" w:color="auto"/>
                            <w:right w:val="none" w:sz="0" w:space="0" w:color="auto"/>
                          </w:divBdr>
                          <w:divsChild>
                            <w:div w:id="55774143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934241">
      <w:bodyDiv w:val="1"/>
      <w:marLeft w:val="0"/>
      <w:marRight w:val="0"/>
      <w:marTop w:val="0"/>
      <w:marBottom w:val="0"/>
      <w:divBdr>
        <w:top w:val="none" w:sz="0" w:space="0" w:color="auto"/>
        <w:left w:val="none" w:sz="0" w:space="0" w:color="auto"/>
        <w:bottom w:val="none" w:sz="0" w:space="0" w:color="auto"/>
        <w:right w:val="none" w:sz="0" w:space="0" w:color="auto"/>
      </w:divBdr>
    </w:div>
    <w:div w:id="1730032795">
      <w:bodyDiv w:val="1"/>
      <w:marLeft w:val="0"/>
      <w:marRight w:val="0"/>
      <w:marTop w:val="0"/>
      <w:marBottom w:val="0"/>
      <w:divBdr>
        <w:top w:val="none" w:sz="0" w:space="0" w:color="auto"/>
        <w:left w:val="none" w:sz="0" w:space="0" w:color="auto"/>
        <w:bottom w:val="none" w:sz="0" w:space="0" w:color="auto"/>
        <w:right w:val="none" w:sz="0" w:space="0" w:color="auto"/>
      </w:divBdr>
    </w:div>
    <w:div w:id="1769619341">
      <w:bodyDiv w:val="1"/>
      <w:marLeft w:val="0"/>
      <w:marRight w:val="0"/>
      <w:marTop w:val="0"/>
      <w:marBottom w:val="0"/>
      <w:divBdr>
        <w:top w:val="none" w:sz="0" w:space="0" w:color="auto"/>
        <w:left w:val="none" w:sz="0" w:space="0" w:color="auto"/>
        <w:bottom w:val="none" w:sz="0" w:space="0" w:color="auto"/>
        <w:right w:val="none" w:sz="0" w:space="0" w:color="auto"/>
      </w:divBdr>
    </w:div>
    <w:div w:id="1772780621">
      <w:bodyDiv w:val="1"/>
      <w:marLeft w:val="0"/>
      <w:marRight w:val="0"/>
      <w:marTop w:val="0"/>
      <w:marBottom w:val="0"/>
      <w:divBdr>
        <w:top w:val="none" w:sz="0" w:space="0" w:color="auto"/>
        <w:left w:val="none" w:sz="0" w:space="0" w:color="auto"/>
        <w:bottom w:val="none" w:sz="0" w:space="0" w:color="auto"/>
        <w:right w:val="none" w:sz="0" w:space="0" w:color="auto"/>
      </w:divBdr>
    </w:div>
    <w:div w:id="1776751476">
      <w:bodyDiv w:val="1"/>
      <w:marLeft w:val="0"/>
      <w:marRight w:val="0"/>
      <w:marTop w:val="0"/>
      <w:marBottom w:val="0"/>
      <w:divBdr>
        <w:top w:val="none" w:sz="0" w:space="0" w:color="auto"/>
        <w:left w:val="none" w:sz="0" w:space="0" w:color="auto"/>
        <w:bottom w:val="none" w:sz="0" w:space="0" w:color="auto"/>
        <w:right w:val="none" w:sz="0" w:space="0" w:color="auto"/>
      </w:divBdr>
    </w:div>
    <w:div w:id="1787044939">
      <w:bodyDiv w:val="1"/>
      <w:marLeft w:val="0"/>
      <w:marRight w:val="0"/>
      <w:marTop w:val="0"/>
      <w:marBottom w:val="0"/>
      <w:divBdr>
        <w:top w:val="none" w:sz="0" w:space="0" w:color="auto"/>
        <w:left w:val="none" w:sz="0" w:space="0" w:color="auto"/>
        <w:bottom w:val="none" w:sz="0" w:space="0" w:color="auto"/>
        <w:right w:val="none" w:sz="0" w:space="0" w:color="auto"/>
      </w:divBdr>
      <w:divsChild>
        <w:div w:id="574246994">
          <w:marLeft w:val="0"/>
          <w:marRight w:val="0"/>
          <w:marTop w:val="0"/>
          <w:marBottom w:val="0"/>
          <w:divBdr>
            <w:top w:val="none" w:sz="0" w:space="0" w:color="auto"/>
            <w:left w:val="none" w:sz="0" w:space="0" w:color="auto"/>
            <w:bottom w:val="none" w:sz="0" w:space="0" w:color="auto"/>
            <w:right w:val="none" w:sz="0" w:space="0" w:color="auto"/>
          </w:divBdr>
        </w:div>
      </w:divsChild>
    </w:div>
    <w:div w:id="1790855707">
      <w:bodyDiv w:val="1"/>
      <w:marLeft w:val="0"/>
      <w:marRight w:val="0"/>
      <w:marTop w:val="0"/>
      <w:marBottom w:val="0"/>
      <w:divBdr>
        <w:top w:val="none" w:sz="0" w:space="0" w:color="auto"/>
        <w:left w:val="none" w:sz="0" w:space="0" w:color="auto"/>
        <w:bottom w:val="none" w:sz="0" w:space="0" w:color="auto"/>
        <w:right w:val="none" w:sz="0" w:space="0" w:color="auto"/>
      </w:divBdr>
    </w:div>
    <w:div w:id="1853958595">
      <w:bodyDiv w:val="1"/>
      <w:marLeft w:val="0"/>
      <w:marRight w:val="0"/>
      <w:marTop w:val="0"/>
      <w:marBottom w:val="0"/>
      <w:divBdr>
        <w:top w:val="none" w:sz="0" w:space="0" w:color="auto"/>
        <w:left w:val="none" w:sz="0" w:space="0" w:color="auto"/>
        <w:bottom w:val="none" w:sz="0" w:space="0" w:color="auto"/>
        <w:right w:val="none" w:sz="0" w:space="0" w:color="auto"/>
      </w:divBdr>
    </w:div>
    <w:div w:id="1875774223">
      <w:bodyDiv w:val="1"/>
      <w:marLeft w:val="0"/>
      <w:marRight w:val="0"/>
      <w:marTop w:val="0"/>
      <w:marBottom w:val="0"/>
      <w:divBdr>
        <w:top w:val="none" w:sz="0" w:space="0" w:color="auto"/>
        <w:left w:val="none" w:sz="0" w:space="0" w:color="auto"/>
        <w:bottom w:val="none" w:sz="0" w:space="0" w:color="auto"/>
        <w:right w:val="none" w:sz="0" w:space="0" w:color="auto"/>
      </w:divBdr>
    </w:div>
    <w:div w:id="1888837257">
      <w:bodyDiv w:val="1"/>
      <w:marLeft w:val="0"/>
      <w:marRight w:val="0"/>
      <w:marTop w:val="0"/>
      <w:marBottom w:val="0"/>
      <w:divBdr>
        <w:top w:val="none" w:sz="0" w:space="0" w:color="auto"/>
        <w:left w:val="none" w:sz="0" w:space="0" w:color="auto"/>
        <w:bottom w:val="none" w:sz="0" w:space="0" w:color="auto"/>
        <w:right w:val="none" w:sz="0" w:space="0" w:color="auto"/>
      </w:divBdr>
    </w:div>
    <w:div w:id="1892960586">
      <w:bodyDiv w:val="1"/>
      <w:marLeft w:val="0"/>
      <w:marRight w:val="0"/>
      <w:marTop w:val="0"/>
      <w:marBottom w:val="0"/>
      <w:divBdr>
        <w:top w:val="none" w:sz="0" w:space="0" w:color="auto"/>
        <w:left w:val="none" w:sz="0" w:space="0" w:color="auto"/>
        <w:bottom w:val="none" w:sz="0" w:space="0" w:color="auto"/>
        <w:right w:val="none" w:sz="0" w:space="0" w:color="auto"/>
      </w:divBdr>
    </w:div>
    <w:div w:id="1903906046">
      <w:bodyDiv w:val="1"/>
      <w:marLeft w:val="0"/>
      <w:marRight w:val="0"/>
      <w:marTop w:val="0"/>
      <w:marBottom w:val="0"/>
      <w:divBdr>
        <w:top w:val="none" w:sz="0" w:space="0" w:color="auto"/>
        <w:left w:val="none" w:sz="0" w:space="0" w:color="auto"/>
        <w:bottom w:val="none" w:sz="0" w:space="0" w:color="auto"/>
        <w:right w:val="none" w:sz="0" w:space="0" w:color="auto"/>
      </w:divBdr>
    </w:div>
    <w:div w:id="1937983500">
      <w:bodyDiv w:val="1"/>
      <w:marLeft w:val="0"/>
      <w:marRight w:val="0"/>
      <w:marTop w:val="0"/>
      <w:marBottom w:val="0"/>
      <w:divBdr>
        <w:top w:val="none" w:sz="0" w:space="0" w:color="auto"/>
        <w:left w:val="none" w:sz="0" w:space="0" w:color="auto"/>
        <w:bottom w:val="none" w:sz="0" w:space="0" w:color="auto"/>
        <w:right w:val="none" w:sz="0" w:space="0" w:color="auto"/>
      </w:divBdr>
    </w:div>
    <w:div w:id="1980960306">
      <w:bodyDiv w:val="1"/>
      <w:marLeft w:val="0"/>
      <w:marRight w:val="0"/>
      <w:marTop w:val="0"/>
      <w:marBottom w:val="0"/>
      <w:divBdr>
        <w:top w:val="none" w:sz="0" w:space="0" w:color="auto"/>
        <w:left w:val="none" w:sz="0" w:space="0" w:color="auto"/>
        <w:bottom w:val="none" w:sz="0" w:space="0" w:color="auto"/>
        <w:right w:val="none" w:sz="0" w:space="0" w:color="auto"/>
      </w:divBdr>
    </w:div>
    <w:div w:id="2006660870">
      <w:bodyDiv w:val="1"/>
      <w:marLeft w:val="0"/>
      <w:marRight w:val="0"/>
      <w:marTop w:val="0"/>
      <w:marBottom w:val="0"/>
      <w:divBdr>
        <w:top w:val="none" w:sz="0" w:space="0" w:color="auto"/>
        <w:left w:val="none" w:sz="0" w:space="0" w:color="auto"/>
        <w:bottom w:val="none" w:sz="0" w:space="0" w:color="auto"/>
        <w:right w:val="none" w:sz="0" w:space="0" w:color="auto"/>
      </w:divBdr>
    </w:div>
    <w:div w:id="2018580504">
      <w:bodyDiv w:val="1"/>
      <w:marLeft w:val="0"/>
      <w:marRight w:val="0"/>
      <w:marTop w:val="0"/>
      <w:marBottom w:val="0"/>
      <w:divBdr>
        <w:top w:val="none" w:sz="0" w:space="0" w:color="auto"/>
        <w:left w:val="none" w:sz="0" w:space="0" w:color="auto"/>
        <w:bottom w:val="none" w:sz="0" w:space="0" w:color="auto"/>
        <w:right w:val="none" w:sz="0" w:space="0" w:color="auto"/>
      </w:divBdr>
      <w:divsChild>
        <w:div w:id="6903921">
          <w:marLeft w:val="0"/>
          <w:marRight w:val="0"/>
          <w:marTop w:val="0"/>
          <w:marBottom w:val="0"/>
          <w:divBdr>
            <w:top w:val="none" w:sz="0" w:space="0" w:color="auto"/>
            <w:left w:val="none" w:sz="0" w:space="0" w:color="auto"/>
            <w:bottom w:val="none" w:sz="0" w:space="0" w:color="auto"/>
            <w:right w:val="none" w:sz="0" w:space="0" w:color="auto"/>
          </w:divBdr>
        </w:div>
      </w:divsChild>
    </w:div>
    <w:div w:id="2025596068">
      <w:bodyDiv w:val="1"/>
      <w:marLeft w:val="0"/>
      <w:marRight w:val="0"/>
      <w:marTop w:val="0"/>
      <w:marBottom w:val="0"/>
      <w:divBdr>
        <w:top w:val="none" w:sz="0" w:space="0" w:color="auto"/>
        <w:left w:val="none" w:sz="0" w:space="0" w:color="auto"/>
        <w:bottom w:val="none" w:sz="0" w:space="0" w:color="auto"/>
        <w:right w:val="none" w:sz="0" w:space="0" w:color="auto"/>
      </w:divBdr>
    </w:div>
    <w:div w:id="2044552351">
      <w:bodyDiv w:val="1"/>
      <w:marLeft w:val="0"/>
      <w:marRight w:val="0"/>
      <w:marTop w:val="0"/>
      <w:marBottom w:val="0"/>
      <w:divBdr>
        <w:top w:val="none" w:sz="0" w:space="0" w:color="auto"/>
        <w:left w:val="none" w:sz="0" w:space="0" w:color="auto"/>
        <w:bottom w:val="none" w:sz="0" w:space="0" w:color="auto"/>
        <w:right w:val="none" w:sz="0" w:space="0" w:color="auto"/>
      </w:divBdr>
      <w:divsChild>
        <w:div w:id="1475368292">
          <w:marLeft w:val="0"/>
          <w:marRight w:val="0"/>
          <w:marTop w:val="0"/>
          <w:marBottom w:val="0"/>
          <w:divBdr>
            <w:top w:val="none" w:sz="0" w:space="0" w:color="auto"/>
            <w:left w:val="none" w:sz="0" w:space="0" w:color="auto"/>
            <w:bottom w:val="none" w:sz="0" w:space="0" w:color="auto"/>
            <w:right w:val="none" w:sz="0" w:space="0" w:color="auto"/>
          </w:divBdr>
        </w:div>
      </w:divsChild>
    </w:div>
    <w:div w:id="212784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79D9A-6CB9-4055-BFE8-CDD88AF50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10167</TotalTime>
  <Pages>6</Pages>
  <Words>1050</Words>
  <Characters>5989</Characters>
  <Application>Microsoft Office Word</Application>
  <DocSecurity>0</DocSecurity>
  <Lines>49</Lines>
  <Paragraphs>14</Paragraphs>
  <ScaleCrop>false</ScaleCrop>
  <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shanghai vstone</dc:creator>
  <cp:lastModifiedBy>wanxw</cp:lastModifiedBy>
  <cp:revision>903</cp:revision>
  <dcterms:created xsi:type="dcterms:W3CDTF">2014-09-02T02:32:00Z</dcterms:created>
  <dcterms:modified xsi:type="dcterms:W3CDTF">2015-03-30T08:24:00Z</dcterms:modified>
</cp:coreProperties>
</file>