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000" w:rsidRDefault="0010136F" w:rsidP="006A5488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r>
        <w:rPr>
          <w:rFonts w:ascii="楷体" w:eastAsia="楷体" w:hAnsi="楷体"/>
          <w:b/>
          <w:bCs/>
          <w:noProof/>
          <w:color w:val="0070C0"/>
          <w:kern w:val="0"/>
          <w:sz w:val="24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1.5pt;margin-top:279.2pt;width:148.5pt;height:275.6pt;z-index:251658240;mso-width-relative:margin;mso-height-relative:margin" strokecolor="white [3212]" strokeweight="0">
            <v:stroke dashstyle="1 1" endcap="round"/>
            <v:textbox style="mso-next-textbox:#_x0000_s2051">
              <w:txbxContent>
                <w:p w:rsidR="00181CC9" w:rsidRPr="00635482" w:rsidRDefault="00181CC9" w:rsidP="005B0E69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  <w:r w:rsidRPr="00635482">
                    <w:rPr>
                      <w:rFonts w:ascii="楷体" w:eastAsia="楷体" w:hAnsi="楷体"/>
                      <w:b/>
                      <w:lang w:val="en-GB"/>
                    </w:rPr>
                    <w:t>凯石工场移动平台</w:t>
                  </w:r>
                  <w:r w:rsidRPr="00635482">
                    <w:rPr>
                      <w:rFonts w:ascii="楷体" w:eastAsia="楷体" w:hAnsi="楷体" w:hint="eastAsia"/>
                      <w:b/>
                      <w:lang w:val="en-GB"/>
                    </w:rPr>
                    <w:t>：</w:t>
                  </w:r>
                </w:p>
                <w:p w:rsidR="00181CC9" w:rsidRPr="00635482" w:rsidRDefault="00181CC9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</w:p>
                <w:p w:rsidR="00181CC9" w:rsidRPr="00635482" w:rsidRDefault="00181CC9" w:rsidP="005B0E69"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官方微博：</w:t>
                  </w:r>
                </w:p>
                <w:p w:rsidR="00181CC9" w:rsidRPr="00635482" w:rsidRDefault="00181CC9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凯石财富工场</w:t>
                  </w:r>
                </w:p>
                <w:p w:rsidR="00181CC9" w:rsidRDefault="00181CC9" w:rsidP="005B0E69">
                  <w:r>
                    <w:rPr>
                      <w:rFonts w:hint="eastAsia"/>
                      <w:noProof/>
                    </w:rPr>
                    <w:drawing>
                      <wp:inline distT="0" distB="0" distL="0" distR="0">
                        <wp:extent cx="933450" cy="933450"/>
                        <wp:effectExtent l="19050" t="0" r="0" b="0"/>
                        <wp:docPr id="6" name="图片 5" descr="6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66.jpg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33450" cy="9334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81CC9" w:rsidRDefault="00181CC9" w:rsidP="005B0E69">
                  <w:pPr>
                    <w:rPr>
                      <w:rFonts w:ascii="楷体" w:eastAsia="楷体" w:hAnsi="楷体"/>
                      <w:b/>
                      <w:lang w:val="en-GB"/>
                    </w:rPr>
                  </w:pPr>
                </w:p>
                <w:p w:rsidR="00181CC9" w:rsidRPr="00635482" w:rsidRDefault="00181CC9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官方微信：</w:t>
                  </w:r>
                </w:p>
                <w:p w:rsidR="00181CC9" w:rsidRPr="00635482" w:rsidRDefault="00181CC9" w:rsidP="005B0E69">
                  <w:pPr>
                    <w:rPr>
                      <w:rFonts w:ascii="楷体" w:eastAsia="楷体" w:hAnsi="楷体"/>
                      <w:lang w:val="en-GB"/>
                    </w:rPr>
                  </w:pPr>
                  <w:r w:rsidRPr="00635482">
                    <w:rPr>
                      <w:rFonts w:ascii="楷体" w:eastAsia="楷体" w:hAnsi="楷体" w:hint="eastAsia"/>
                      <w:lang w:val="en-GB"/>
                    </w:rPr>
                    <w:t>凯石财富知音订阅号</w:t>
                  </w:r>
                </w:p>
                <w:p w:rsidR="00181CC9" w:rsidRDefault="00181CC9" w:rsidP="005B0E69">
                  <w:r w:rsidRPr="00635482">
                    <w:rPr>
                      <w:rFonts w:ascii="楷体" w:eastAsia="楷体" w:hAnsi="楷体"/>
                      <w:b/>
                      <w:noProof/>
                    </w:rPr>
                    <w:drawing>
                      <wp:inline distT="0" distB="0" distL="0" distR="0">
                        <wp:extent cx="952500" cy="952500"/>
                        <wp:effectExtent l="19050" t="0" r="0" b="0"/>
                        <wp:docPr id="1" name="图片 7" descr="凯石财富知音订阅号3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凯石财富知音订阅号3.jpg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52500" cy="952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26FF9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导语</w:t>
      </w:r>
    </w:p>
    <w:p w:rsidR="00B76DF9" w:rsidRPr="0063118A" w:rsidRDefault="00F41350" w:rsidP="00F620AE">
      <w:pPr>
        <w:pStyle w:val="ab"/>
        <w:spacing w:after="163"/>
        <w:ind w:firstLineChars="200" w:firstLine="420"/>
        <w:rPr>
          <w:rFonts w:ascii="楷体" w:eastAsia="楷体" w:hAnsi="楷体" w:cs="宋体"/>
          <w:color w:val="000000" w:themeColor="text1"/>
          <w:szCs w:val="21"/>
        </w:rPr>
      </w:pPr>
      <w:r w:rsidRPr="0063118A">
        <w:rPr>
          <w:rFonts w:ascii="楷体" w:eastAsia="楷体" w:hAnsi="楷体" w:hint="eastAsia"/>
          <w:szCs w:val="21"/>
        </w:rPr>
        <w:t>上周（</w:t>
      </w:r>
      <w:r w:rsidR="00F125DA">
        <w:rPr>
          <w:rFonts w:ascii="楷体" w:eastAsia="楷体" w:hAnsi="楷体" w:hint="eastAsia"/>
          <w:szCs w:val="21"/>
        </w:rPr>
        <w:t>2015.3.9</w:t>
      </w:r>
      <w:r w:rsidR="005565BB" w:rsidRPr="0063118A">
        <w:rPr>
          <w:rFonts w:ascii="楷体" w:eastAsia="楷体" w:hAnsi="楷体" w:hint="eastAsia"/>
          <w:szCs w:val="21"/>
        </w:rPr>
        <w:t>~3</w:t>
      </w:r>
      <w:r w:rsidR="00F125DA">
        <w:rPr>
          <w:rFonts w:ascii="楷体" w:eastAsia="楷体" w:hAnsi="楷体" w:hint="eastAsia"/>
          <w:szCs w:val="21"/>
        </w:rPr>
        <w:t>.13</w:t>
      </w:r>
      <w:r w:rsidR="001544A8" w:rsidRPr="0063118A">
        <w:rPr>
          <w:rFonts w:ascii="楷体" w:eastAsia="楷体" w:hAnsi="楷体" w:hint="eastAsia"/>
          <w:szCs w:val="21"/>
        </w:rPr>
        <w:t>）</w:t>
      </w:r>
      <w:r w:rsidR="008B5DE7">
        <w:rPr>
          <w:rFonts w:ascii="楷体" w:eastAsia="楷体" w:hAnsi="楷体" w:hint="eastAsia"/>
          <w:szCs w:val="21"/>
        </w:rPr>
        <w:t>，</w:t>
      </w:r>
      <w:r w:rsidR="00AE197F">
        <w:rPr>
          <w:rFonts w:ascii="楷体" w:eastAsia="楷体" w:hAnsi="楷体" w:cs="宋体" w:hint="eastAsia"/>
          <w:color w:val="000000" w:themeColor="text1"/>
          <w:szCs w:val="21"/>
        </w:rPr>
        <w:t>继前周回撤之后，大盘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强力回升，金融权重股带动股指上扬，上证指数周涨4.06%，沪深300周涨4.00%,中小板综指和创业板指高位滞涨，周涨幅分别为4.38%和6.03%。29个中信一级行业全部上涨，涨幅最大为银行（9.79%），其次为计算机（8.58%），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涨幅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最小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的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为有色金属（0.16%）。经济数据方面，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我国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2月份全社会用电量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为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3595亿千瓦时，同比下降6.3%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全国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1~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2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月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全社会用电量累计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为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8454亿千瓦时，同比增长2.5%，其中，第一产业用电量同比下降2.5%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第二产业用电量增长1.5%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第三产业用电量增长8.1%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城乡居民生活用电量增长2.6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%</w:t>
      </w:r>
      <w:r w:rsidR="00F326FA" w:rsidRPr="0063118A">
        <w:rPr>
          <w:rFonts w:ascii="楷体" w:eastAsia="楷体" w:hAnsi="楷体" w:cs="宋体" w:hint="eastAsia"/>
          <w:color w:val="000000" w:themeColor="text1"/>
          <w:szCs w:val="21"/>
        </w:rPr>
        <w:t>。</w:t>
      </w:r>
      <w:r w:rsidR="00DE2E3B" w:rsidRPr="0063118A">
        <w:rPr>
          <w:rFonts w:ascii="楷体" w:eastAsia="楷体" w:hAnsi="楷体" w:cs="宋体" w:hint="eastAsia"/>
          <w:color w:val="000000" w:themeColor="text1"/>
          <w:szCs w:val="21"/>
        </w:rPr>
        <w:t>海外市场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方面，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美国2月PPI同比-0.6%，预期+0.0%，环比-0.5%，预期+0.3%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。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美国2月剔除食品与能源后的核心PPI环比萎缩0.5%，创2009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年以来最大跌幅，暗示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美国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当前通胀依然低迷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。此外，零售数据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也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欠佳，美国2月零售销售环比-0.6%，预期+0.3%，前值-0.8%。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美股方面，</w:t>
      </w:r>
      <w:r w:rsidR="008B5DE7" w:rsidRPr="007B6C0F">
        <w:rPr>
          <w:rFonts w:ascii="楷体" w:eastAsia="楷体" w:hAnsi="楷体" w:hint="eastAsia"/>
          <w:color w:val="000000" w:themeColor="text1"/>
          <w:szCs w:val="21"/>
        </w:rPr>
        <w:t>道琼斯工指跌1.33%，标普500跌1.67%，</w:t>
      </w:r>
      <w:r w:rsidR="008B5DE7" w:rsidRPr="007B6C0F">
        <w:rPr>
          <w:rFonts w:ascii="楷体" w:eastAsia="楷体" w:hAnsi="楷体" w:cs="宋体" w:hint="eastAsia"/>
          <w:color w:val="000000" w:themeColor="text1"/>
          <w:szCs w:val="21"/>
        </w:rPr>
        <w:t>纳斯达克100跌2.60%</w:t>
      </w:r>
      <w:r w:rsidR="008B5DE7">
        <w:rPr>
          <w:rFonts w:ascii="楷体" w:eastAsia="楷体" w:hAnsi="楷体" w:cs="宋体" w:hint="eastAsia"/>
          <w:color w:val="000000" w:themeColor="text1"/>
          <w:szCs w:val="21"/>
        </w:rPr>
        <w:t>。欧洲方面，</w:t>
      </w:r>
      <w:r w:rsidR="008B5DE7" w:rsidRPr="007B6C0F">
        <w:rPr>
          <w:rFonts w:ascii="楷体" w:eastAsia="楷体" w:hAnsi="楷体" w:hint="eastAsia"/>
          <w:szCs w:val="21"/>
        </w:rPr>
        <w:t>德国</w:t>
      </w:r>
      <w:r w:rsidR="008B5DE7">
        <w:rPr>
          <w:rFonts w:ascii="楷体" w:eastAsia="楷体" w:hAnsi="楷体" w:hint="eastAsia"/>
          <w:szCs w:val="21"/>
        </w:rPr>
        <w:t>2月</w:t>
      </w:r>
      <w:r w:rsidR="008B5DE7" w:rsidRPr="007B6C0F">
        <w:rPr>
          <w:rFonts w:ascii="楷体" w:eastAsia="楷体" w:hAnsi="楷体" w:hint="eastAsia"/>
          <w:szCs w:val="21"/>
        </w:rPr>
        <w:t>通胀数据符合预期，法国</w:t>
      </w:r>
      <w:r w:rsidR="008B5DE7">
        <w:rPr>
          <w:rFonts w:ascii="楷体" w:eastAsia="楷体" w:hAnsi="楷体" w:hint="eastAsia"/>
          <w:szCs w:val="21"/>
        </w:rPr>
        <w:t>2月</w:t>
      </w:r>
      <w:r w:rsidR="008B5DE7" w:rsidRPr="007B6C0F">
        <w:rPr>
          <w:rFonts w:ascii="楷体" w:eastAsia="楷体" w:hAnsi="楷体" w:hint="eastAsia"/>
          <w:szCs w:val="21"/>
        </w:rPr>
        <w:t>通胀数据</w:t>
      </w:r>
      <w:r w:rsidR="008B5DE7">
        <w:rPr>
          <w:rFonts w:ascii="楷体" w:eastAsia="楷体" w:hAnsi="楷体" w:hint="eastAsia"/>
          <w:szCs w:val="21"/>
        </w:rPr>
        <w:t>略</w:t>
      </w:r>
      <w:r w:rsidR="008B5DE7" w:rsidRPr="007B6C0F">
        <w:rPr>
          <w:rFonts w:ascii="楷体" w:eastAsia="楷体" w:hAnsi="楷体" w:hint="eastAsia"/>
          <w:szCs w:val="21"/>
        </w:rPr>
        <w:t>好于预期</w:t>
      </w:r>
      <w:r w:rsidR="008B5DE7">
        <w:rPr>
          <w:rFonts w:ascii="楷体" w:eastAsia="楷体" w:hAnsi="楷体" w:hint="eastAsia"/>
          <w:szCs w:val="21"/>
        </w:rPr>
        <w:t>，但</w:t>
      </w:r>
      <w:r w:rsidR="008B5DE7">
        <w:rPr>
          <w:rFonts w:ascii="楷体" w:eastAsia="楷体" w:hAnsi="楷体"/>
          <w:szCs w:val="21"/>
        </w:rPr>
        <w:t>希腊</w:t>
      </w:r>
      <w:r w:rsidR="008B5DE7" w:rsidRPr="007B6C0F">
        <w:rPr>
          <w:rFonts w:ascii="楷体" w:eastAsia="楷体" w:hAnsi="楷体"/>
          <w:szCs w:val="21"/>
        </w:rPr>
        <w:t>经济改革措施</w:t>
      </w:r>
      <w:r w:rsidR="008B5DE7">
        <w:rPr>
          <w:rFonts w:ascii="楷体" w:eastAsia="楷体" w:hAnsi="楷体" w:hint="eastAsia"/>
          <w:szCs w:val="21"/>
        </w:rPr>
        <w:t>仍惹市场担忧</w:t>
      </w:r>
      <w:r w:rsidR="008B5DE7" w:rsidRPr="007B6C0F">
        <w:rPr>
          <w:rFonts w:ascii="楷体" w:eastAsia="楷体" w:hAnsi="楷体" w:hint="eastAsia"/>
          <w:szCs w:val="21"/>
        </w:rPr>
        <w:t>。</w:t>
      </w:r>
      <w:r w:rsidR="008B5DE7">
        <w:rPr>
          <w:rFonts w:ascii="楷体" w:eastAsia="楷体" w:hAnsi="楷体" w:hint="eastAsia"/>
          <w:szCs w:val="21"/>
        </w:rPr>
        <w:t>香港方面，</w:t>
      </w:r>
      <w:r w:rsidR="008B5DE7" w:rsidRPr="007B6C0F">
        <w:rPr>
          <w:rFonts w:ascii="楷体" w:eastAsia="楷体" w:hAnsi="楷体" w:hint="eastAsia"/>
          <w:szCs w:val="21"/>
        </w:rPr>
        <w:t>港股连跌，周跌幅为1.63%</w:t>
      </w:r>
      <w:r w:rsidR="00175ED7" w:rsidRPr="0063118A">
        <w:rPr>
          <w:rFonts w:ascii="楷体" w:eastAsia="楷体" w:hAnsi="楷体" w:cs="宋体" w:hint="eastAsia"/>
          <w:color w:val="000000" w:themeColor="text1"/>
          <w:szCs w:val="21"/>
        </w:rPr>
        <w:t>。</w:t>
      </w:r>
    </w:p>
    <w:p w:rsidR="00B76DF9" w:rsidRPr="00F620AE" w:rsidRDefault="005519CB" w:rsidP="00F620AE">
      <w:pPr>
        <w:pStyle w:val="ab"/>
        <w:spacing w:after="163"/>
        <w:ind w:firstLineChars="200" w:firstLine="420"/>
        <w:rPr>
          <w:rFonts w:ascii="楷体" w:eastAsia="楷体" w:hAnsi="楷体"/>
          <w:szCs w:val="21"/>
        </w:rPr>
      </w:pPr>
      <w:r w:rsidRPr="00F620AE">
        <w:rPr>
          <w:rFonts w:ascii="楷体" w:eastAsia="楷体" w:hAnsi="楷体" w:hint="eastAsia"/>
          <w:szCs w:val="21"/>
        </w:rPr>
        <w:t>凯石工场统计的各类公募基金中</w:t>
      </w:r>
      <w:r w:rsidR="00F620AE" w:rsidRPr="00F620AE">
        <w:rPr>
          <w:rFonts w:ascii="楷体" w:eastAsia="楷体" w:hAnsi="楷体" w:hint="eastAsia"/>
          <w:szCs w:val="21"/>
        </w:rPr>
        <w:t>，</w:t>
      </w:r>
      <w:r w:rsidR="00F620AE" w:rsidRPr="00F620AE">
        <w:rPr>
          <w:rFonts w:ascii="楷体" w:eastAsia="楷体" w:hAnsi="楷体" w:cs="Arial" w:hint="eastAsia"/>
          <w:color w:val="000000" w:themeColor="text1"/>
          <w:szCs w:val="21"/>
        </w:rPr>
        <w:t>除QDII外，其他权益基金和固收基金平均收益率皆为正。分类来看，股票-主动型收益高于股票-指数型；混合-偏股型收益高于混合-灵活型，高于混合-偏债型；债基方面，可转债平均收益最高，二级债基收益高于一级债基，高于指数债基，纯债基金收益较低，理财债基平均收益降至0.08%；货币基金涨幅扩大，平均七日年化收益率破5%。QDII基金几乎全部下跌，主投油气和资源的行业基金、黄金商品基金跌幅较大</w:t>
      </w:r>
      <w:r w:rsidR="00B81513" w:rsidRPr="00F620AE">
        <w:rPr>
          <w:rFonts w:ascii="楷体" w:eastAsia="楷体" w:hAnsi="楷体" w:cs="Arial" w:hint="eastAsia"/>
          <w:color w:val="000000" w:themeColor="text1"/>
          <w:szCs w:val="21"/>
        </w:rPr>
        <w:t>。</w:t>
      </w:r>
      <w:r w:rsidR="00175ED7" w:rsidRPr="00F620AE">
        <w:rPr>
          <w:rFonts w:ascii="楷体" w:eastAsia="楷体" w:hAnsi="楷体" w:hint="eastAsia"/>
          <w:szCs w:val="21"/>
        </w:rPr>
        <w:t>产品方面，</w:t>
      </w:r>
      <w:r w:rsidR="00F620AE" w:rsidRPr="00F620AE">
        <w:rPr>
          <w:rFonts w:ascii="楷体" w:eastAsia="楷体" w:hAnsi="楷体" w:hint="eastAsia"/>
          <w:szCs w:val="21"/>
        </w:rPr>
        <w:t>长信内需成长、汇丰晋信科技先锋、中欧明睿新起点、兴全有机增长、富国可转债、银河沪深300成长B和安信现金增利</w:t>
      </w:r>
      <w:r w:rsidR="00CE32DB" w:rsidRPr="00F620AE">
        <w:rPr>
          <w:rFonts w:ascii="楷体" w:eastAsia="楷体" w:hAnsi="楷体" w:hint="eastAsia"/>
          <w:szCs w:val="21"/>
        </w:rPr>
        <w:t>等业绩居前。</w:t>
      </w:r>
    </w:p>
    <w:p w:rsidR="0069249C" w:rsidRPr="005B7CDB" w:rsidRDefault="0069249C" w:rsidP="002D7B70">
      <w:pPr>
        <w:widowControl/>
        <w:spacing w:after="120"/>
        <w:ind w:left="3402"/>
        <w:rPr>
          <w:rFonts w:ascii="楷体" w:eastAsia="楷体" w:hAnsi="楷体"/>
          <w:b/>
          <w:bCs/>
          <w:color w:val="0070C0"/>
          <w:kern w:val="0"/>
          <w:sz w:val="24"/>
          <w:szCs w:val="20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凯石工场本周基金</w:t>
      </w:r>
      <w:r w:rsidR="001B1A86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投资</w:t>
      </w: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策略：</w:t>
      </w:r>
    </w:p>
    <w:p w:rsidR="004B58D7" w:rsidRPr="00F620AE" w:rsidRDefault="004B58D7" w:rsidP="00F620AE">
      <w:pPr>
        <w:pStyle w:val="ab"/>
        <w:numPr>
          <w:ilvl w:val="4"/>
          <w:numId w:val="1"/>
        </w:numPr>
        <w:spacing w:after="163"/>
        <w:rPr>
          <w:rFonts w:ascii="楷体" w:eastAsia="楷体" w:hAnsi="楷体"/>
          <w:color w:val="000000" w:themeColor="text1"/>
          <w:szCs w:val="21"/>
        </w:rPr>
      </w:pPr>
      <w:r w:rsidRPr="00D823CC">
        <w:rPr>
          <w:rFonts w:ascii="楷体" w:eastAsia="楷体" w:hAnsi="楷体"/>
          <w:color w:val="000000" w:themeColor="text1"/>
          <w:szCs w:val="21"/>
        </w:rPr>
        <w:t>权益类基金</w:t>
      </w:r>
      <w:r w:rsidR="005C6AD4">
        <w:rPr>
          <w:rFonts w:ascii="楷体" w:eastAsia="楷体" w:hAnsi="楷体" w:hint="eastAsia"/>
          <w:color w:val="000000" w:themeColor="text1"/>
          <w:szCs w:val="21"/>
        </w:rPr>
        <w:t>：</w:t>
      </w:r>
      <w:r w:rsidR="00F7756C" w:rsidRPr="00F7756C">
        <w:rPr>
          <w:rFonts w:ascii="楷体" w:eastAsia="楷体" w:hAnsi="楷体" w:hint="eastAsia"/>
          <w:color w:val="000000" w:themeColor="text1"/>
          <w:szCs w:val="21"/>
        </w:rPr>
        <w:t>最新公布的数据显示宏观经济疲弱态势未改，下行压力增大；而另一方面政策加码预期增强，降准降息后财政政策有望接棒发力共同助力经济软着陆。此外，各领域改革稳步推进，相关顶层制度设计有望陆续出台，A股向好格局未变。而从短期来看，伴随着IPO集中申购期的结束，短期资金面情况也将有所改善，市场短期有望保持震荡上行趋势，但同时应警惕题材股热炒后的获利回吐压力。就权益类基金投资而言，建议投资者依旧保持对仓位水平适中、行业配置相对均衡、长期业绩优异、投资管理能力较强的平衡风格基金的配置力度，另一方面优选热点捕捉能力较强、行业及仓位调整灵活的灵活配置型产品，达到把握市场轮动特征、攻守相宜的配置效果</w:t>
      </w:r>
      <w:r w:rsidR="00F7756C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6F5BDB" w:rsidRPr="006F5BDB" w:rsidRDefault="004B58D7" w:rsidP="006F5BDB">
      <w:pPr>
        <w:pStyle w:val="ab"/>
        <w:numPr>
          <w:ilvl w:val="4"/>
          <w:numId w:val="1"/>
        </w:numPr>
        <w:spacing w:after="163"/>
        <w:rPr>
          <w:rFonts w:ascii="楷体" w:eastAsia="楷体" w:hAnsi="楷体"/>
          <w:color w:val="000000" w:themeColor="text1"/>
          <w:szCs w:val="21"/>
        </w:rPr>
      </w:pPr>
      <w:r w:rsidRPr="00D823CC">
        <w:rPr>
          <w:rFonts w:ascii="楷体" w:eastAsia="楷体" w:hAnsi="楷体"/>
          <w:color w:val="000000" w:themeColor="text1"/>
          <w:szCs w:val="21"/>
        </w:rPr>
        <w:t>固定收益类基金</w:t>
      </w:r>
      <w:r w:rsidR="009C3818" w:rsidRPr="00D823CC">
        <w:rPr>
          <w:rFonts w:ascii="楷体" w:eastAsia="楷体" w:hAnsi="楷体" w:hint="eastAsia"/>
          <w:color w:val="000000" w:themeColor="text1"/>
          <w:szCs w:val="21"/>
        </w:rPr>
        <w:t>：</w:t>
      </w:r>
      <w:r w:rsidR="00F7756C" w:rsidRPr="00F7756C">
        <w:rPr>
          <w:rFonts w:ascii="楷体" w:eastAsia="楷体" w:hAnsi="楷体" w:hint="eastAsia"/>
          <w:color w:val="000000" w:themeColor="text1"/>
          <w:szCs w:val="21"/>
        </w:rPr>
        <w:t>在3月投资策略中我们提到，降息政策落地、债市扩容压力增大、中长期股市向好趋势未现实质性动摇，叠加IPO打新对债市资金面造成分流压力，短期来看我们对债市仍持谨慎态度。债基投资方面，可先采取相对中性的配置策略，在维持中性防御的基础上，再根据经济基本面、市场流动性等等因素的变化，适度灵活调整配置结构。在期限结构方面，建议降低组合久期水平，减少风险暴露空间。对于风险承受能力较强的投资者，在适当配置二级债基通过股票市场增厚收益的同时，建议搭配货币市场基金产品平滑组合风险</w:t>
      </w:r>
      <w:r w:rsidR="00F7756C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B76DF9" w:rsidRPr="006C4F09" w:rsidRDefault="00AE4AC9" w:rsidP="006C4F09">
      <w:pPr>
        <w:pStyle w:val="ab"/>
        <w:numPr>
          <w:ilvl w:val="4"/>
          <w:numId w:val="1"/>
        </w:numPr>
        <w:spacing w:after="163"/>
        <w:rPr>
          <w:rFonts w:ascii="楷体" w:eastAsia="楷体" w:hAnsi="楷体"/>
          <w:color w:val="000000" w:themeColor="text1"/>
          <w:szCs w:val="21"/>
        </w:rPr>
      </w:pPr>
      <w:r>
        <w:rPr>
          <w:rFonts w:ascii="楷体" w:eastAsia="楷体" w:hAnsi="楷体"/>
          <w:color w:val="000000" w:themeColor="text1"/>
          <w:szCs w:val="21"/>
        </w:rPr>
        <w:lastRenderedPageBreak/>
        <w:t>QDI</w:t>
      </w:r>
      <w:r>
        <w:rPr>
          <w:rFonts w:ascii="楷体" w:eastAsia="楷体" w:hAnsi="楷体" w:hint="eastAsia"/>
          <w:color w:val="000000" w:themeColor="text1"/>
          <w:szCs w:val="21"/>
        </w:rPr>
        <w:t>I</w:t>
      </w:r>
      <w:r w:rsidR="00BE4124" w:rsidRPr="00AE4AC9">
        <w:rPr>
          <w:rFonts w:ascii="楷体" w:eastAsia="楷体" w:hAnsi="楷体"/>
          <w:color w:val="000000" w:themeColor="text1"/>
          <w:szCs w:val="21"/>
        </w:rPr>
        <w:t>基金</w:t>
      </w:r>
      <w:r w:rsidR="00B2019E" w:rsidRPr="00AE4AC9">
        <w:rPr>
          <w:rFonts w:ascii="楷体" w:eastAsia="楷体" w:hAnsi="楷体" w:hint="eastAsia"/>
          <w:color w:val="000000" w:themeColor="text1"/>
          <w:szCs w:val="21"/>
        </w:rPr>
        <w:t>：</w:t>
      </w:r>
      <w:r w:rsidR="001F7223">
        <w:rPr>
          <w:rFonts w:ascii="楷体" w:eastAsia="楷体" w:hAnsi="楷体" w:hint="eastAsia"/>
          <w:color w:val="000000" w:themeColor="text1"/>
        </w:rPr>
        <w:t>本周，凯石工场建议投资者</w:t>
      </w:r>
      <w:r w:rsidR="001F7223" w:rsidRPr="00721EA2">
        <w:rPr>
          <w:rFonts w:ascii="楷体" w:eastAsia="楷体" w:hAnsi="楷体" w:hint="eastAsia"/>
          <w:color w:val="000000" w:themeColor="text1"/>
        </w:rPr>
        <w:t>适度辅配美股品种以避风险，侧重港股品种的配置至基金组合的主要地位，把握香港市场较为确定的投资收益</w:t>
      </w:r>
      <w:r w:rsidR="001F7223">
        <w:rPr>
          <w:rFonts w:ascii="楷体" w:eastAsia="楷体" w:hAnsi="楷体" w:hint="eastAsia"/>
          <w:color w:val="000000" w:themeColor="text1"/>
        </w:rPr>
        <w:t>。</w:t>
      </w:r>
      <w:r w:rsidR="001F7223" w:rsidRPr="00721EA2">
        <w:rPr>
          <w:rFonts w:ascii="楷体" w:eastAsia="楷体" w:hAnsi="楷体" w:hint="eastAsia"/>
          <w:color w:val="000000" w:themeColor="text1"/>
        </w:rPr>
        <w:t>数据显示，</w:t>
      </w:r>
      <w:r w:rsidR="001F7223" w:rsidRPr="00721EA2">
        <w:rPr>
          <w:rFonts w:ascii="楷体" w:eastAsia="楷体" w:hAnsi="楷体"/>
        </w:rPr>
        <w:t>2月份美国非农就业人数增加29.5万人，失业率降至5.5%</w:t>
      </w:r>
      <w:r w:rsidR="001F7223" w:rsidRPr="00721EA2">
        <w:rPr>
          <w:rFonts w:ascii="楷体" w:eastAsia="楷体" w:hAnsi="楷体" w:hint="eastAsia"/>
        </w:rPr>
        <w:t>，</w:t>
      </w:r>
      <w:r w:rsidR="001F7223">
        <w:rPr>
          <w:rFonts w:ascii="楷体" w:eastAsia="楷体" w:hAnsi="楷体" w:hint="eastAsia"/>
          <w:color w:val="000000" w:themeColor="text1"/>
        </w:rPr>
        <w:t>就业市场持续改善，制造业扩张势头仍在，且楼市复苏趋势确定，但</w:t>
      </w:r>
      <w:r w:rsidR="001F7223" w:rsidRPr="007B6C0F">
        <w:rPr>
          <w:rFonts w:ascii="楷体" w:eastAsia="楷体" w:hAnsi="楷体" w:cs="宋体" w:hint="eastAsia"/>
          <w:color w:val="000000" w:themeColor="text1"/>
          <w:szCs w:val="21"/>
        </w:rPr>
        <w:t>美国2月PPI同比-0.6%，环比-0.5%，食品与能源后的核心PPI环比萎缩0.5%，远低于增长0.1%的预期</w:t>
      </w:r>
      <w:r w:rsidR="001F7223">
        <w:rPr>
          <w:rFonts w:ascii="楷体" w:eastAsia="楷体" w:hAnsi="楷体" w:cs="宋体" w:hint="eastAsia"/>
          <w:color w:val="000000" w:themeColor="text1"/>
          <w:szCs w:val="21"/>
        </w:rPr>
        <w:t>，为</w:t>
      </w:r>
      <w:r w:rsidR="001F7223" w:rsidRPr="007B6C0F">
        <w:rPr>
          <w:rFonts w:ascii="楷体" w:eastAsia="楷体" w:hAnsi="楷体" w:cs="宋体" w:hint="eastAsia"/>
          <w:color w:val="000000" w:themeColor="text1"/>
          <w:szCs w:val="21"/>
        </w:rPr>
        <w:t>2009年以来最大跌幅</w:t>
      </w:r>
      <w:r w:rsidR="001F7223">
        <w:rPr>
          <w:rFonts w:ascii="楷体" w:eastAsia="楷体" w:hAnsi="楷体" w:cs="宋体" w:hint="eastAsia"/>
          <w:color w:val="000000" w:themeColor="text1"/>
          <w:szCs w:val="21"/>
        </w:rPr>
        <w:t>，美国当前通胀依然低迷，动摇了市场对美联储加息时点的预期</w:t>
      </w:r>
      <w:r w:rsidR="001F7223" w:rsidRPr="00721EA2">
        <w:rPr>
          <w:rFonts w:ascii="楷体" w:eastAsia="楷体" w:hAnsi="楷体" w:hint="eastAsia"/>
          <w:color w:val="000000" w:themeColor="text1"/>
        </w:rPr>
        <w:t>。</w:t>
      </w:r>
      <w:r w:rsidR="001F7223">
        <w:rPr>
          <w:rFonts w:ascii="楷体" w:eastAsia="楷体" w:hAnsi="楷体" w:hint="eastAsia"/>
          <w:color w:val="000000" w:themeColor="text1"/>
        </w:rPr>
        <w:t>德国和法国2月通胀数据基本符合预期，</w:t>
      </w:r>
      <w:r w:rsidR="001F7223" w:rsidRPr="00721EA2">
        <w:rPr>
          <w:rFonts w:ascii="楷体" w:eastAsia="楷体" w:hAnsi="楷体" w:hint="eastAsia"/>
          <w:color w:val="000000" w:themeColor="text1"/>
        </w:rPr>
        <w:t>但</w:t>
      </w:r>
      <w:r w:rsidR="001F7223">
        <w:rPr>
          <w:rFonts w:ascii="楷体" w:eastAsia="楷体" w:hAnsi="楷体" w:hint="eastAsia"/>
          <w:color w:val="000000" w:themeColor="text1"/>
        </w:rPr>
        <w:t>欧洲</w:t>
      </w:r>
      <w:r w:rsidR="001F7223" w:rsidRPr="00721EA2">
        <w:rPr>
          <w:rFonts w:ascii="楷体" w:eastAsia="楷体" w:hAnsi="楷体" w:hint="eastAsia"/>
          <w:color w:val="000000" w:themeColor="text1"/>
        </w:rPr>
        <w:t>复苏进程仍待观察，</w:t>
      </w:r>
      <w:r w:rsidR="001F7223" w:rsidRPr="00E96D08">
        <w:rPr>
          <w:rFonts w:ascii="楷体" w:eastAsia="楷体" w:hAnsi="楷体" w:hint="eastAsia"/>
          <w:color w:val="000000" w:themeColor="text1"/>
        </w:rPr>
        <w:t>港股</w:t>
      </w:r>
      <w:r w:rsidR="001F7223">
        <w:rPr>
          <w:rFonts w:ascii="楷体" w:eastAsia="楷体" w:hAnsi="楷体" w:hint="eastAsia"/>
          <w:color w:val="000000" w:themeColor="text1"/>
        </w:rPr>
        <w:t>近期连连受挫，为后期上涨腾出了一定空间</w:t>
      </w:r>
      <w:r w:rsidR="00F04378">
        <w:rPr>
          <w:rFonts w:ascii="楷体" w:eastAsia="楷体" w:hAnsi="楷体" w:hint="eastAsia"/>
          <w:color w:val="000000" w:themeColor="text1"/>
          <w:szCs w:val="21"/>
        </w:rPr>
        <w:t>。</w:t>
      </w:r>
    </w:p>
    <w:p w:rsidR="00D43D5E" w:rsidRDefault="00B93424" w:rsidP="00A9230D">
      <w:pPr>
        <w:pStyle w:val="ab"/>
        <w:tabs>
          <w:tab w:val="left" w:pos="6570"/>
        </w:tabs>
        <w:spacing w:after="163"/>
        <w:ind w:left="3430"/>
        <w:rPr>
          <w:rFonts w:ascii="楷体" w:eastAsia="楷体" w:hAnsi="楷体"/>
          <w:b/>
          <w:bCs/>
          <w:color w:val="0070C0"/>
          <w:sz w:val="24"/>
        </w:rPr>
      </w:pPr>
      <w:r w:rsidRPr="005B7CDB">
        <w:rPr>
          <w:rFonts w:ascii="楷体" w:eastAsia="楷体" w:hAnsi="楷体" w:hint="eastAsia"/>
          <w:b/>
          <w:bCs/>
          <w:color w:val="0070C0"/>
          <w:sz w:val="24"/>
        </w:rPr>
        <w:t>凯石每周微点评</w:t>
      </w:r>
      <w:r w:rsidR="00B02C22">
        <w:rPr>
          <w:rFonts w:ascii="楷体" w:eastAsia="楷体" w:hAnsi="楷体" w:hint="eastAsia"/>
          <w:b/>
          <w:bCs/>
          <w:color w:val="0070C0"/>
          <w:sz w:val="24"/>
        </w:rPr>
        <w:t>：</w:t>
      </w:r>
      <w:r w:rsidR="00A9230D">
        <w:rPr>
          <w:rFonts w:ascii="楷体" w:eastAsia="楷体" w:hAnsi="楷体"/>
          <w:b/>
          <w:bCs/>
          <w:color w:val="0070C0"/>
          <w:sz w:val="24"/>
        </w:rPr>
        <w:tab/>
      </w:r>
    </w:p>
    <w:tbl>
      <w:tblPr>
        <w:tblW w:w="10915" w:type="dxa"/>
        <w:tblInd w:w="-14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CellMar>
          <w:left w:w="0" w:type="dxa"/>
          <w:right w:w="0" w:type="dxa"/>
        </w:tblCellMar>
        <w:tblLook w:val="0000"/>
      </w:tblPr>
      <w:tblGrid>
        <w:gridCol w:w="5104"/>
        <w:gridCol w:w="5811"/>
      </w:tblGrid>
      <w:tr w:rsidR="00F95C99" w:rsidRPr="005B7CDB" w:rsidTr="00561BC5">
        <w:trPr>
          <w:cantSplit/>
          <w:trHeight w:val="335"/>
        </w:trPr>
        <w:tc>
          <w:tcPr>
            <w:tcW w:w="10915" w:type="dxa"/>
            <w:gridSpan w:val="2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F95C99" w:rsidRPr="00F95C99" w:rsidRDefault="00F95C99" w:rsidP="004E0B0C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5B7CDB">
              <w:rPr>
                <w:rFonts w:ascii="楷体" w:eastAsia="楷体" w:hAnsi="楷体"/>
                <w:color w:val="FF6600"/>
              </w:rPr>
              <w:t>图表</w:t>
            </w:r>
            <w:r w:rsidRPr="005B7CDB">
              <w:rPr>
                <w:rFonts w:ascii="楷体" w:eastAsia="楷体" w:hAnsi="楷体" w:hint="eastAsia"/>
                <w:color w:val="FF6600"/>
              </w:rPr>
              <w:t>1：基金行业近期动态及点评</w:t>
            </w:r>
          </w:p>
        </w:tc>
      </w:tr>
      <w:tr w:rsidR="00F95C99" w:rsidRPr="005B7CDB" w:rsidTr="009E6EC3">
        <w:trPr>
          <w:cantSplit/>
          <w:trHeight w:val="284"/>
        </w:trPr>
        <w:tc>
          <w:tcPr>
            <w:tcW w:w="5104" w:type="dxa"/>
            <w:tcBorders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F95C99" w:rsidRPr="002656A6" w:rsidRDefault="00F95C99" w:rsidP="00737EA0">
            <w:pPr>
              <w:snapToGrid w:val="0"/>
              <w:jc w:val="center"/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</w:pPr>
            <w:r w:rsidRPr="00737EA0">
              <w:rPr>
                <w:rFonts w:ascii="楷体" w:eastAsia="楷体" w:hAnsi="楷体"/>
                <w:b/>
                <w:sz w:val="18"/>
                <w:szCs w:val="18"/>
              </w:rPr>
              <w:t>微新闻</w:t>
            </w:r>
          </w:p>
        </w:tc>
        <w:tc>
          <w:tcPr>
            <w:tcW w:w="5811" w:type="dxa"/>
            <w:tcBorders>
              <w:left w:val="single" w:sz="6" w:space="0" w:color="FF6600"/>
              <w:bottom w:val="single" w:sz="6" w:space="0" w:color="FF6600"/>
            </w:tcBorders>
            <w:shd w:val="clear" w:color="auto" w:fill="FDE9D9" w:themeFill="accent6" w:themeFillTint="33"/>
            <w:vAlign w:val="center"/>
          </w:tcPr>
          <w:p w:rsidR="00F95C99" w:rsidRPr="005B7CDB" w:rsidRDefault="00F95C99" w:rsidP="004E0B0C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微点评</w:t>
            </w:r>
          </w:p>
        </w:tc>
      </w:tr>
      <w:tr w:rsidR="006B2623" w:rsidRPr="00AC691B" w:rsidTr="009E6EC3">
        <w:trPr>
          <w:cantSplit/>
          <w:trHeight w:val="619"/>
        </w:trPr>
        <w:tc>
          <w:tcPr>
            <w:tcW w:w="5104" w:type="dxa"/>
            <w:tcBorders>
              <w:right w:val="single" w:sz="6" w:space="0" w:color="FF6600"/>
            </w:tcBorders>
            <w:shd w:val="clear" w:color="auto" w:fill="auto"/>
            <w:vAlign w:val="center"/>
          </w:tcPr>
          <w:p w:rsidR="00D8050B" w:rsidRPr="00B76D8F" w:rsidRDefault="005C6AD4" w:rsidP="00AC691B">
            <w:pPr>
              <w:pStyle w:val="af1"/>
              <w:snapToGrid w:val="0"/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</w:pPr>
            <w:r w:rsidRP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基金公司集体看好TMT</w:t>
            </w:r>
            <w:r w:rsid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行业，目前在上报或获批的新基金中，以互联网、信息、科技和传媒</w:t>
            </w:r>
            <w:r w:rsidRP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等为主题的产品数量达16</w:t>
            </w:r>
            <w:r w:rsid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只。今年以来</w:t>
            </w:r>
            <w:r w:rsidRP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至3月13日，以TMT行业为主要投资标的28只(分级分开算)基金平均收益</w:t>
            </w:r>
            <w:r w:rsid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高达</w:t>
            </w:r>
            <w:r w:rsidRP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29.86%</w:t>
            </w:r>
            <w:r w:rsidR="0075289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，</w:t>
            </w:r>
            <w:r w:rsidRP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是表现最好的主题基金之一。</w:t>
            </w:r>
          </w:p>
        </w:tc>
        <w:tc>
          <w:tcPr>
            <w:tcW w:w="5811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6B2623" w:rsidRPr="00B76D8F" w:rsidRDefault="0075289F" w:rsidP="00B76D8F">
            <w:pPr>
              <w:pStyle w:val="af1"/>
              <w:snapToGrid w:val="0"/>
              <w:rPr>
                <w:rFonts w:ascii="楷体" w:eastAsia="楷体" w:hAnsi="楷体" w:cs="Arial"/>
                <w:color w:val="000000" w:themeColor="text1"/>
                <w:sz w:val="18"/>
                <w:szCs w:val="18"/>
              </w:rPr>
            </w:pP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政府</w:t>
            </w:r>
            <w:r w:rsidR="00B76D8F" w:rsidRP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报告多次提到“互联网+”，使得本就火热的TMT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板块</w:t>
            </w:r>
            <w:r w:rsidR="00B76D8F" w:rsidRP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更加火爆。今年以来，TMT50指数涨幅已经30%，部分TMT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个股是领涨龙头。但</w:t>
            </w:r>
            <w:r w:rsidR="00B76D8F" w:rsidRP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目前TMT板块的估值已经很高，存在过热现象，风险承受能力强的投资者可考虑参与B份额的波段操作，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但</w:t>
            </w:r>
            <w:r w:rsidR="00B76D8F" w:rsidRP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风险承受能力较弱的投资者</w:t>
            </w:r>
            <w:r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切勿</w:t>
            </w:r>
            <w:r w:rsidR="00B76D8F" w:rsidRPr="00B76D8F">
              <w:rPr>
                <w:rFonts w:ascii="楷体" w:eastAsia="楷体" w:hAnsi="楷体" w:cs="Arial" w:hint="eastAsia"/>
                <w:color w:val="000000" w:themeColor="text1"/>
                <w:sz w:val="18"/>
                <w:szCs w:val="18"/>
              </w:rPr>
              <w:t>过度追高。</w:t>
            </w:r>
          </w:p>
        </w:tc>
      </w:tr>
    </w:tbl>
    <w:p w:rsidR="00FD6CB3" w:rsidRPr="005559C4" w:rsidRDefault="0069249C" w:rsidP="005559C4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hint="eastAsia"/>
          <w:color w:val="FF6600"/>
          <w:lang w:val="en-US"/>
        </w:rPr>
        <w:t>来源：凯石财富工场</w:t>
      </w:r>
    </w:p>
    <w:p w:rsidR="00026FF9" w:rsidRPr="005B7CDB" w:rsidRDefault="000D4A66" w:rsidP="006A5488">
      <w:pPr>
        <w:widowControl/>
        <w:spacing w:after="120"/>
        <w:ind w:left="3430"/>
        <w:rPr>
          <w:rFonts w:ascii="楷体" w:eastAsia="楷体" w:hAnsi="楷体" w:cs="Times New Roman"/>
          <w:b/>
          <w:bCs/>
          <w:color w:val="0070C0"/>
          <w:kern w:val="0"/>
          <w:sz w:val="24"/>
          <w:szCs w:val="20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公募</w:t>
      </w:r>
      <w:r w:rsidR="0062314B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基金一周业绩</w:t>
      </w:r>
      <w:r w:rsidR="00060829" w:rsidRPr="005B7CDB">
        <w:rPr>
          <w:rFonts w:ascii="楷体" w:eastAsia="楷体" w:hAnsi="楷体" w:hint="eastAsia"/>
          <w:b/>
          <w:bCs/>
          <w:color w:val="0070C0"/>
          <w:kern w:val="0"/>
          <w:sz w:val="24"/>
          <w:szCs w:val="20"/>
          <w:lang w:val="en-GB"/>
        </w:rPr>
        <w:t>：</w:t>
      </w:r>
    </w:p>
    <w:p w:rsidR="00920576" w:rsidRPr="000B6A7F" w:rsidRDefault="00E02B7C" w:rsidP="000B6A7F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国内外股市</w:t>
      </w:r>
      <w:r w:rsidR="0062314B"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一周表现：</w:t>
      </w:r>
      <w:r w:rsidR="002D15FA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国内市场强力回升，外围市场景气低迷</w:t>
      </w:r>
    </w:p>
    <w:p w:rsidR="00B76DF9" w:rsidRPr="007B6C0F" w:rsidRDefault="005D2986" w:rsidP="0042749E">
      <w:pPr>
        <w:pStyle w:val="ab"/>
        <w:numPr>
          <w:ilvl w:val="4"/>
          <w:numId w:val="1"/>
        </w:numPr>
        <w:spacing w:after="163"/>
        <w:rPr>
          <w:rFonts w:ascii="楷体" w:eastAsia="楷体" w:hAnsi="楷体" w:cs="宋体"/>
          <w:color w:val="000000" w:themeColor="text1"/>
          <w:szCs w:val="21"/>
        </w:rPr>
      </w:pPr>
      <w:r w:rsidRPr="007B6C0F">
        <w:rPr>
          <w:rFonts w:ascii="楷体" w:eastAsia="楷体" w:hAnsi="楷体" w:cs="宋体" w:hint="eastAsia"/>
          <w:color w:val="000000" w:themeColor="text1"/>
          <w:szCs w:val="21"/>
        </w:rPr>
        <w:t>继前周回撤之后，大盘上周强力回升，金融权重股带动股指上扬，上证指数周涨4.06%，沪深300周涨4.00%,中小板综指和创业板指高位滞涨，周涨幅分别为4.38%和6.03%。</w:t>
      </w:r>
      <w:r w:rsidR="00ED32CF" w:rsidRPr="007B6C0F">
        <w:rPr>
          <w:rFonts w:ascii="楷体" w:eastAsia="楷体" w:hAnsi="楷体" w:cs="宋体" w:hint="eastAsia"/>
          <w:color w:val="000000" w:themeColor="text1"/>
          <w:szCs w:val="21"/>
        </w:rPr>
        <w:t>29个中信一级行业全部上涨，涨幅最大为银行（9.79%），其次为计算机（8.58%），</w:t>
      </w:r>
      <w:r w:rsidR="00B01B10">
        <w:rPr>
          <w:rFonts w:ascii="楷体" w:eastAsia="楷体" w:hAnsi="楷体" w:cs="宋体" w:hint="eastAsia"/>
          <w:color w:val="000000" w:themeColor="text1"/>
          <w:szCs w:val="21"/>
        </w:rPr>
        <w:t>涨幅</w:t>
      </w:r>
      <w:r w:rsidR="00ED32CF" w:rsidRPr="007B6C0F">
        <w:rPr>
          <w:rFonts w:ascii="楷体" w:eastAsia="楷体" w:hAnsi="楷体" w:cs="宋体" w:hint="eastAsia"/>
          <w:color w:val="000000" w:themeColor="text1"/>
          <w:szCs w:val="21"/>
        </w:rPr>
        <w:t>最小</w:t>
      </w:r>
      <w:r w:rsidR="00B01B10">
        <w:rPr>
          <w:rFonts w:ascii="楷体" w:eastAsia="楷体" w:hAnsi="楷体" w:cs="宋体" w:hint="eastAsia"/>
          <w:color w:val="000000" w:themeColor="text1"/>
          <w:szCs w:val="21"/>
        </w:rPr>
        <w:t>的</w:t>
      </w:r>
      <w:r w:rsidR="00ED32CF" w:rsidRPr="007B6C0F">
        <w:rPr>
          <w:rFonts w:ascii="楷体" w:eastAsia="楷体" w:hAnsi="楷体" w:cs="宋体" w:hint="eastAsia"/>
          <w:color w:val="000000" w:themeColor="text1"/>
          <w:szCs w:val="21"/>
        </w:rPr>
        <w:t>为有色金属（0.16%）。</w:t>
      </w:r>
      <w:r w:rsidR="00C831F6" w:rsidRPr="007B6C0F">
        <w:rPr>
          <w:rFonts w:ascii="楷体" w:eastAsia="楷体" w:hAnsi="楷体" w:cs="宋体" w:hint="eastAsia"/>
          <w:color w:val="000000" w:themeColor="text1"/>
          <w:szCs w:val="21"/>
        </w:rPr>
        <w:t>经济数据方面，</w:t>
      </w:r>
      <w:r w:rsidR="00B01B10">
        <w:rPr>
          <w:rFonts w:ascii="楷体" w:eastAsia="楷体" w:hAnsi="楷体" w:cs="宋体" w:hint="eastAsia"/>
          <w:color w:val="000000" w:themeColor="text1"/>
          <w:szCs w:val="21"/>
        </w:rPr>
        <w:t>我国</w:t>
      </w:r>
      <w:r w:rsidR="00B01B10" w:rsidRPr="007B6C0F">
        <w:rPr>
          <w:rFonts w:ascii="楷体" w:eastAsia="楷体" w:hAnsi="楷体" w:cs="宋体" w:hint="eastAsia"/>
          <w:color w:val="000000" w:themeColor="text1"/>
          <w:szCs w:val="21"/>
        </w:rPr>
        <w:t>2月份</w:t>
      </w:r>
      <w:r w:rsidR="005E7B99" w:rsidRPr="007B6C0F">
        <w:rPr>
          <w:rFonts w:ascii="楷体" w:eastAsia="楷体" w:hAnsi="楷体" w:cs="宋体" w:hint="eastAsia"/>
          <w:color w:val="000000" w:themeColor="text1"/>
          <w:szCs w:val="21"/>
        </w:rPr>
        <w:t>全社会用电量</w:t>
      </w:r>
      <w:r w:rsidR="00B01B10">
        <w:rPr>
          <w:rFonts w:ascii="楷体" w:eastAsia="楷体" w:hAnsi="楷体" w:cs="宋体" w:hint="eastAsia"/>
          <w:color w:val="000000" w:themeColor="text1"/>
          <w:szCs w:val="21"/>
        </w:rPr>
        <w:t>为</w:t>
      </w:r>
      <w:r w:rsidR="005E7B99" w:rsidRPr="007B6C0F">
        <w:rPr>
          <w:rFonts w:ascii="楷体" w:eastAsia="楷体" w:hAnsi="楷体" w:cs="宋体" w:hint="eastAsia"/>
          <w:color w:val="000000" w:themeColor="text1"/>
          <w:szCs w:val="21"/>
        </w:rPr>
        <w:t>3595亿千瓦时，同比下降6.3%</w:t>
      </w:r>
      <w:r w:rsidR="00B01B10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5E7B99" w:rsidRPr="007B6C0F">
        <w:rPr>
          <w:rFonts w:ascii="楷体" w:eastAsia="楷体" w:hAnsi="楷体" w:cs="宋体" w:hint="eastAsia"/>
          <w:color w:val="000000" w:themeColor="text1"/>
          <w:szCs w:val="21"/>
        </w:rPr>
        <w:t>全国</w:t>
      </w:r>
      <w:r w:rsidR="00B01B10">
        <w:rPr>
          <w:rFonts w:ascii="楷体" w:eastAsia="楷体" w:hAnsi="楷体" w:cs="宋体" w:hint="eastAsia"/>
          <w:color w:val="000000" w:themeColor="text1"/>
          <w:szCs w:val="21"/>
        </w:rPr>
        <w:t>1~</w:t>
      </w:r>
      <w:r w:rsidR="00B01B10" w:rsidRPr="007B6C0F">
        <w:rPr>
          <w:rFonts w:ascii="楷体" w:eastAsia="楷体" w:hAnsi="楷体" w:cs="宋体" w:hint="eastAsia"/>
          <w:color w:val="000000" w:themeColor="text1"/>
          <w:szCs w:val="21"/>
        </w:rPr>
        <w:t>2</w:t>
      </w:r>
      <w:r w:rsidR="00B01B10">
        <w:rPr>
          <w:rFonts w:ascii="楷体" w:eastAsia="楷体" w:hAnsi="楷体" w:cs="宋体" w:hint="eastAsia"/>
          <w:color w:val="000000" w:themeColor="text1"/>
          <w:szCs w:val="21"/>
        </w:rPr>
        <w:t>月</w:t>
      </w:r>
      <w:r w:rsidR="005E7B99" w:rsidRPr="007B6C0F">
        <w:rPr>
          <w:rFonts w:ascii="楷体" w:eastAsia="楷体" w:hAnsi="楷体" w:cs="宋体" w:hint="eastAsia"/>
          <w:color w:val="000000" w:themeColor="text1"/>
          <w:szCs w:val="21"/>
        </w:rPr>
        <w:t>全社会用电量累计</w:t>
      </w:r>
      <w:r w:rsidR="00B01B10">
        <w:rPr>
          <w:rFonts w:ascii="楷体" w:eastAsia="楷体" w:hAnsi="楷体" w:cs="宋体" w:hint="eastAsia"/>
          <w:color w:val="000000" w:themeColor="text1"/>
          <w:szCs w:val="21"/>
        </w:rPr>
        <w:t>为</w:t>
      </w:r>
      <w:r w:rsidR="005E7B99" w:rsidRPr="007B6C0F">
        <w:rPr>
          <w:rFonts w:ascii="楷体" w:eastAsia="楷体" w:hAnsi="楷体" w:cs="宋体" w:hint="eastAsia"/>
          <w:color w:val="000000" w:themeColor="text1"/>
          <w:szCs w:val="21"/>
        </w:rPr>
        <w:t>8454亿千瓦时，同比增长2.5%，其中，第一产业用电量同比下降2.5%</w:t>
      </w:r>
      <w:r w:rsidR="00B01B10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5E7B99" w:rsidRPr="007B6C0F">
        <w:rPr>
          <w:rFonts w:ascii="楷体" w:eastAsia="楷体" w:hAnsi="楷体" w:cs="宋体" w:hint="eastAsia"/>
          <w:color w:val="000000" w:themeColor="text1"/>
          <w:szCs w:val="21"/>
        </w:rPr>
        <w:t>第二产业用电量增长1.5%</w:t>
      </w:r>
      <w:r w:rsidR="00B01B10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5E7B99" w:rsidRPr="007B6C0F">
        <w:rPr>
          <w:rFonts w:ascii="楷体" w:eastAsia="楷体" w:hAnsi="楷体" w:cs="宋体" w:hint="eastAsia"/>
          <w:color w:val="000000" w:themeColor="text1"/>
          <w:szCs w:val="21"/>
        </w:rPr>
        <w:t>第三产业用电量增长8.1%</w:t>
      </w:r>
      <w:r w:rsidR="00B01B10">
        <w:rPr>
          <w:rFonts w:ascii="楷体" w:eastAsia="楷体" w:hAnsi="楷体" w:cs="宋体" w:hint="eastAsia"/>
          <w:color w:val="000000" w:themeColor="text1"/>
          <w:szCs w:val="21"/>
        </w:rPr>
        <w:t>，</w:t>
      </w:r>
      <w:r w:rsidR="005E7B99" w:rsidRPr="007B6C0F">
        <w:rPr>
          <w:rFonts w:ascii="楷体" w:eastAsia="楷体" w:hAnsi="楷体" w:cs="宋体" w:hint="eastAsia"/>
          <w:color w:val="000000" w:themeColor="text1"/>
          <w:szCs w:val="21"/>
        </w:rPr>
        <w:t>城乡居民生活用电量增长2.6%。</w:t>
      </w:r>
    </w:p>
    <w:p w:rsidR="00B76DF9" w:rsidRPr="007B6C0F" w:rsidRDefault="007B6C0F" w:rsidP="00F640BA">
      <w:pPr>
        <w:pStyle w:val="ab"/>
        <w:numPr>
          <w:ilvl w:val="4"/>
          <w:numId w:val="1"/>
        </w:numPr>
        <w:spacing w:after="163"/>
        <w:rPr>
          <w:rFonts w:ascii="楷体" w:eastAsia="楷体" w:hAnsi="楷体" w:cs="宋体"/>
          <w:color w:val="000000" w:themeColor="text1"/>
          <w:szCs w:val="21"/>
        </w:rPr>
      </w:pPr>
      <w:r w:rsidRPr="007B6C0F">
        <w:rPr>
          <w:rFonts w:ascii="楷体" w:eastAsia="楷体" w:hAnsi="楷体" w:cs="宋体" w:hint="eastAsia"/>
          <w:color w:val="000000" w:themeColor="text1"/>
          <w:szCs w:val="21"/>
        </w:rPr>
        <w:t>海</w:t>
      </w:r>
      <w:r w:rsidR="00F366F5" w:rsidRPr="007B6C0F">
        <w:rPr>
          <w:rFonts w:ascii="楷体" w:eastAsia="楷体" w:hAnsi="楷体" w:cs="宋体" w:hint="eastAsia"/>
          <w:color w:val="000000" w:themeColor="text1"/>
          <w:szCs w:val="21"/>
        </w:rPr>
        <w:t>外市场（2015.3.6~2015.3.12），</w:t>
      </w:r>
      <w:r w:rsidR="002F7742" w:rsidRPr="007B6C0F">
        <w:rPr>
          <w:rFonts w:ascii="楷体" w:eastAsia="楷体" w:hAnsi="楷体" w:cs="宋体" w:hint="eastAsia"/>
          <w:color w:val="000000" w:themeColor="text1"/>
          <w:szCs w:val="21"/>
        </w:rPr>
        <w:t>美国2月PPI同比-0.6%，预期+0.0%，环比-0.5%，预期+0.3%</w:t>
      </w:r>
      <w:r w:rsidR="00096659">
        <w:rPr>
          <w:rFonts w:ascii="楷体" w:eastAsia="楷体" w:hAnsi="楷体" w:cs="宋体" w:hint="eastAsia"/>
          <w:color w:val="000000" w:themeColor="text1"/>
          <w:szCs w:val="21"/>
        </w:rPr>
        <w:t>。</w:t>
      </w:r>
      <w:r w:rsidR="002F7742" w:rsidRPr="007B6C0F">
        <w:rPr>
          <w:rFonts w:ascii="楷体" w:eastAsia="楷体" w:hAnsi="楷体" w:cs="宋体" w:hint="eastAsia"/>
          <w:color w:val="000000" w:themeColor="text1"/>
          <w:szCs w:val="21"/>
        </w:rPr>
        <w:t>美国2月剔除食品与能源后的核心PPI环比萎缩0.5%，创2009</w:t>
      </w:r>
      <w:r w:rsidR="00096659">
        <w:rPr>
          <w:rFonts w:ascii="楷体" w:eastAsia="楷体" w:hAnsi="楷体" w:cs="宋体" w:hint="eastAsia"/>
          <w:color w:val="000000" w:themeColor="text1"/>
          <w:szCs w:val="21"/>
        </w:rPr>
        <w:t>年以来最大跌幅，暗示</w:t>
      </w:r>
      <w:r w:rsidR="002F7742" w:rsidRPr="007B6C0F">
        <w:rPr>
          <w:rFonts w:ascii="楷体" w:eastAsia="楷体" w:hAnsi="楷体" w:cs="宋体" w:hint="eastAsia"/>
          <w:color w:val="000000" w:themeColor="text1"/>
          <w:szCs w:val="21"/>
        </w:rPr>
        <w:t>美国</w:t>
      </w:r>
      <w:r w:rsidR="00096659">
        <w:rPr>
          <w:rFonts w:ascii="楷体" w:eastAsia="楷体" w:hAnsi="楷体" w:cs="宋体" w:hint="eastAsia"/>
          <w:color w:val="000000" w:themeColor="text1"/>
          <w:szCs w:val="21"/>
        </w:rPr>
        <w:t>当前通胀依然低迷</w:t>
      </w:r>
      <w:r w:rsidR="002F7742" w:rsidRPr="007B6C0F">
        <w:rPr>
          <w:rFonts w:ascii="楷体" w:eastAsia="楷体" w:hAnsi="楷体" w:cs="宋体" w:hint="eastAsia"/>
          <w:color w:val="000000" w:themeColor="text1"/>
          <w:szCs w:val="21"/>
        </w:rPr>
        <w:t>。此外，零售数据</w:t>
      </w:r>
      <w:r w:rsidR="00096659">
        <w:rPr>
          <w:rFonts w:ascii="楷体" w:eastAsia="楷体" w:hAnsi="楷体" w:cs="宋体" w:hint="eastAsia"/>
          <w:color w:val="000000" w:themeColor="text1"/>
          <w:szCs w:val="21"/>
        </w:rPr>
        <w:t>也</w:t>
      </w:r>
      <w:r w:rsidR="002F7742" w:rsidRPr="007B6C0F">
        <w:rPr>
          <w:rFonts w:ascii="楷体" w:eastAsia="楷体" w:hAnsi="楷体" w:cs="宋体" w:hint="eastAsia"/>
          <w:color w:val="000000" w:themeColor="text1"/>
          <w:szCs w:val="21"/>
        </w:rPr>
        <w:t>欠佳，美国2月零售销售环比-0.6%，预期+0.3%，前值-0.8%。</w:t>
      </w:r>
      <w:r w:rsidR="00096659">
        <w:rPr>
          <w:rFonts w:ascii="楷体" w:eastAsia="楷体" w:hAnsi="楷体" w:cs="宋体" w:hint="eastAsia"/>
          <w:color w:val="000000" w:themeColor="text1"/>
          <w:szCs w:val="21"/>
        </w:rPr>
        <w:t>美股方面，</w:t>
      </w:r>
      <w:r w:rsidR="002F7742" w:rsidRPr="007B6C0F">
        <w:rPr>
          <w:rFonts w:ascii="楷体" w:eastAsia="楷体" w:hAnsi="楷体" w:hint="eastAsia"/>
          <w:color w:val="000000" w:themeColor="text1"/>
          <w:szCs w:val="21"/>
        </w:rPr>
        <w:t>道琼斯工指跌</w:t>
      </w:r>
      <w:r w:rsidRPr="007B6C0F">
        <w:rPr>
          <w:rFonts w:ascii="楷体" w:eastAsia="楷体" w:hAnsi="楷体" w:hint="eastAsia"/>
          <w:color w:val="000000" w:themeColor="text1"/>
          <w:szCs w:val="21"/>
        </w:rPr>
        <w:t>1.33</w:t>
      </w:r>
      <w:r w:rsidR="002F7742" w:rsidRPr="007B6C0F">
        <w:rPr>
          <w:rFonts w:ascii="楷体" w:eastAsia="楷体" w:hAnsi="楷体" w:hint="eastAsia"/>
          <w:color w:val="000000" w:themeColor="text1"/>
          <w:szCs w:val="21"/>
        </w:rPr>
        <w:t>%，标普500跌</w:t>
      </w:r>
      <w:r w:rsidRPr="007B6C0F">
        <w:rPr>
          <w:rFonts w:ascii="楷体" w:eastAsia="楷体" w:hAnsi="楷体" w:hint="eastAsia"/>
          <w:color w:val="000000" w:themeColor="text1"/>
          <w:szCs w:val="21"/>
        </w:rPr>
        <w:t>1.67</w:t>
      </w:r>
      <w:r w:rsidR="002F7742" w:rsidRPr="007B6C0F">
        <w:rPr>
          <w:rFonts w:ascii="楷体" w:eastAsia="楷体" w:hAnsi="楷体" w:hint="eastAsia"/>
          <w:color w:val="000000" w:themeColor="text1"/>
          <w:szCs w:val="21"/>
        </w:rPr>
        <w:t>%，</w:t>
      </w:r>
      <w:r w:rsidR="002F7742" w:rsidRPr="007B6C0F">
        <w:rPr>
          <w:rFonts w:ascii="楷体" w:eastAsia="楷体" w:hAnsi="楷体" w:cs="宋体" w:hint="eastAsia"/>
          <w:color w:val="000000" w:themeColor="text1"/>
          <w:szCs w:val="21"/>
        </w:rPr>
        <w:t>纳斯达克100跌</w:t>
      </w:r>
      <w:r w:rsidRPr="007B6C0F">
        <w:rPr>
          <w:rFonts w:ascii="楷体" w:eastAsia="楷体" w:hAnsi="楷体" w:cs="宋体" w:hint="eastAsia"/>
          <w:color w:val="000000" w:themeColor="text1"/>
          <w:szCs w:val="21"/>
        </w:rPr>
        <w:t>2.60</w:t>
      </w:r>
      <w:r w:rsidR="002F7742" w:rsidRPr="007B6C0F">
        <w:rPr>
          <w:rFonts w:ascii="楷体" w:eastAsia="楷体" w:hAnsi="楷体" w:cs="宋体" w:hint="eastAsia"/>
          <w:color w:val="000000" w:themeColor="text1"/>
          <w:szCs w:val="21"/>
        </w:rPr>
        <w:t>%</w:t>
      </w:r>
      <w:r w:rsidR="00096659">
        <w:rPr>
          <w:rFonts w:ascii="楷体" w:eastAsia="楷体" w:hAnsi="楷体" w:cs="宋体" w:hint="eastAsia"/>
          <w:color w:val="000000" w:themeColor="text1"/>
          <w:szCs w:val="21"/>
        </w:rPr>
        <w:t>。欧洲方面，</w:t>
      </w:r>
      <w:r w:rsidRPr="007B6C0F">
        <w:rPr>
          <w:rFonts w:ascii="楷体" w:eastAsia="楷体" w:hAnsi="楷体" w:hint="eastAsia"/>
          <w:szCs w:val="21"/>
        </w:rPr>
        <w:t>德国</w:t>
      </w:r>
      <w:r w:rsidR="00096659">
        <w:rPr>
          <w:rFonts w:ascii="楷体" w:eastAsia="楷体" w:hAnsi="楷体" w:hint="eastAsia"/>
          <w:szCs w:val="21"/>
        </w:rPr>
        <w:t>2月</w:t>
      </w:r>
      <w:r w:rsidRPr="007B6C0F">
        <w:rPr>
          <w:rFonts w:ascii="楷体" w:eastAsia="楷体" w:hAnsi="楷体" w:hint="eastAsia"/>
          <w:szCs w:val="21"/>
        </w:rPr>
        <w:t>通胀数据符合预期，法国</w:t>
      </w:r>
      <w:r w:rsidR="00096659">
        <w:rPr>
          <w:rFonts w:ascii="楷体" w:eastAsia="楷体" w:hAnsi="楷体" w:hint="eastAsia"/>
          <w:szCs w:val="21"/>
        </w:rPr>
        <w:t>2月</w:t>
      </w:r>
      <w:r w:rsidR="00096659" w:rsidRPr="007B6C0F">
        <w:rPr>
          <w:rFonts w:ascii="楷体" w:eastAsia="楷体" w:hAnsi="楷体" w:hint="eastAsia"/>
          <w:szCs w:val="21"/>
        </w:rPr>
        <w:t>通胀数据</w:t>
      </w:r>
      <w:r w:rsidR="00096659">
        <w:rPr>
          <w:rFonts w:ascii="楷体" w:eastAsia="楷体" w:hAnsi="楷体" w:hint="eastAsia"/>
          <w:szCs w:val="21"/>
        </w:rPr>
        <w:t>略</w:t>
      </w:r>
      <w:r w:rsidRPr="007B6C0F">
        <w:rPr>
          <w:rFonts w:ascii="楷体" w:eastAsia="楷体" w:hAnsi="楷体" w:hint="eastAsia"/>
          <w:szCs w:val="21"/>
        </w:rPr>
        <w:t>好于预期</w:t>
      </w:r>
      <w:r w:rsidR="00096659">
        <w:rPr>
          <w:rFonts w:ascii="楷体" w:eastAsia="楷体" w:hAnsi="楷体" w:hint="eastAsia"/>
          <w:szCs w:val="21"/>
        </w:rPr>
        <w:t>，但</w:t>
      </w:r>
      <w:r w:rsidR="00096659">
        <w:rPr>
          <w:rFonts w:ascii="楷体" w:eastAsia="楷体" w:hAnsi="楷体"/>
          <w:szCs w:val="21"/>
        </w:rPr>
        <w:t>希腊</w:t>
      </w:r>
      <w:r w:rsidR="00096659" w:rsidRPr="007B6C0F">
        <w:rPr>
          <w:rFonts w:ascii="楷体" w:eastAsia="楷体" w:hAnsi="楷体"/>
          <w:szCs w:val="21"/>
        </w:rPr>
        <w:t>经济改革措施</w:t>
      </w:r>
      <w:r w:rsidR="00096659">
        <w:rPr>
          <w:rFonts w:ascii="楷体" w:eastAsia="楷体" w:hAnsi="楷体" w:hint="eastAsia"/>
          <w:szCs w:val="21"/>
        </w:rPr>
        <w:t>仍惹市场担忧</w:t>
      </w:r>
      <w:r w:rsidRPr="007B6C0F">
        <w:rPr>
          <w:rFonts w:ascii="楷体" w:eastAsia="楷体" w:hAnsi="楷体" w:hint="eastAsia"/>
          <w:szCs w:val="21"/>
        </w:rPr>
        <w:t>。</w:t>
      </w:r>
      <w:r w:rsidR="00096659">
        <w:rPr>
          <w:rFonts w:ascii="楷体" w:eastAsia="楷体" w:hAnsi="楷体" w:hint="eastAsia"/>
          <w:szCs w:val="21"/>
        </w:rPr>
        <w:t>香港方面，</w:t>
      </w:r>
      <w:r w:rsidRPr="007B6C0F">
        <w:rPr>
          <w:rFonts w:ascii="楷体" w:eastAsia="楷体" w:hAnsi="楷体" w:hint="eastAsia"/>
          <w:szCs w:val="21"/>
        </w:rPr>
        <w:t>港股连跌，周跌幅为1.63%。</w:t>
      </w:r>
    </w:p>
    <w:tbl>
      <w:tblPr>
        <w:tblW w:w="10773" w:type="dxa"/>
        <w:tblLayout w:type="fixed"/>
        <w:tblCellMar>
          <w:left w:w="0" w:type="dxa"/>
          <w:right w:w="0" w:type="dxa"/>
        </w:tblCellMar>
        <w:tblLook w:val="0000"/>
      </w:tblPr>
      <w:tblGrid>
        <w:gridCol w:w="5245"/>
        <w:gridCol w:w="142"/>
        <w:gridCol w:w="5386"/>
      </w:tblGrid>
      <w:tr w:rsidR="00BD0930" w:rsidRPr="005B7CDB" w:rsidTr="003918C7">
        <w:trPr>
          <w:cantSplit/>
          <w:trHeight w:val="124"/>
        </w:trPr>
        <w:tc>
          <w:tcPr>
            <w:tcW w:w="5245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057142" w:rsidRDefault="00BD0930" w:rsidP="00D7627F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color w:val="FF6600"/>
              </w:rPr>
            </w:pPr>
            <w:r w:rsidRPr="005B7CDB">
              <w:rPr>
                <w:rFonts w:ascii="楷体" w:eastAsia="楷体" w:hAnsi="楷体"/>
                <w:color w:val="FF6600"/>
              </w:rPr>
              <w:t>图表</w:t>
            </w:r>
            <w:r w:rsidR="00A87530" w:rsidRPr="005B7CDB">
              <w:rPr>
                <w:rFonts w:ascii="楷体" w:eastAsia="楷体" w:hAnsi="楷体" w:hint="eastAsia"/>
                <w:color w:val="FF6600"/>
              </w:rPr>
              <w:t>2</w:t>
            </w:r>
            <w:r w:rsidRPr="005B7CDB">
              <w:rPr>
                <w:rFonts w:ascii="楷体" w:eastAsia="楷体" w:hAnsi="楷体" w:hint="eastAsia"/>
                <w:color w:val="FF6600"/>
              </w:rPr>
              <w:t>：</w:t>
            </w:r>
            <w:r w:rsidR="00091971" w:rsidRPr="005B7CDB">
              <w:rPr>
                <w:rFonts w:ascii="楷体" w:eastAsia="楷体" w:hAnsi="楷体" w:hint="eastAsia"/>
                <w:color w:val="FF6600"/>
              </w:rPr>
              <w:t>各类指数</w:t>
            </w:r>
            <w:r w:rsidR="006675F9" w:rsidRPr="005B7CDB">
              <w:rPr>
                <w:rFonts w:ascii="楷体" w:eastAsia="楷体" w:hAnsi="楷体" w:hint="eastAsia"/>
                <w:color w:val="FF6600"/>
              </w:rPr>
              <w:t>周涨跌</w:t>
            </w:r>
            <w:r w:rsidR="00057142">
              <w:rPr>
                <w:rFonts w:ascii="楷体" w:eastAsia="楷体" w:hAnsi="楷体" w:hint="eastAsia"/>
                <w:color w:val="FF6600"/>
              </w:rPr>
              <w:t>(</w:t>
            </w:r>
            <w:r w:rsidR="00B76DF9">
              <w:rPr>
                <w:rFonts w:ascii="楷体" w:eastAsia="楷体" w:hAnsi="楷体" w:hint="eastAsia"/>
                <w:color w:val="FF6600"/>
              </w:rPr>
              <w:t>3.9</w:t>
            </w:r>
            <w:r w:rsidR="00C209B8">
              <w:rPr>
                <w:rFonts w:ascii="楷体" w:eastAsia="楷体" w:hAnsi="楷体" w:hint="eastAsia"/>
                <w:color w:val="FF6600"/>
              </w:rPr>
              <w:t>~</w:t>
            </w:r>
            <w:r w:rsidR="00B76DF9">
              <w:rPr>
                <w:rFonts w:ascii="楷体" w:eastAsia="楷体" w:hAnsi="楷体" w:hint="eastAsia"/>
                <w:color w:val="FF6600"/>
              </w:rPr>
              <w:t>3.13</w:t>
            </w:r>
            <w:r w:rsidR="00091971" w:rsidRPr="00057142">
              <w:rPr>
                <w:rFonts w:ascii="楷体" w:eastAsia="楷体" w:hAnsi="楷体" w:hint="eastAsia"/>
                <w:color w:val="FF6600"/>
              </w:rPr>
              <w:t>，海外指数</w:t>
            </w:r>
            <w:r w:rsidR="00B76DF9">
              <w:rPr>
                <w:rFonts w:ascii="楷体" w:eastAsia="楷体" w:hAnsi="楷体" w:hint="eastAsia"/>
                <w:color w:val="FF6600"/>
              </w:rPr>
              <w:t>3.6</w:t>
            </w:r>
            <w:r w:rsidR="00091971" w:rsidRPr="00057142">
              <w:rPr>
                <w:rFonts w:ascii="楷体" w:eastAsia="楷体" w:hAnsi="楷体" w:hint="eastAsia"/>
                <w:color w:val="FF6600"/>
              </w:rPr>
              <w:t>~</w:t>
            </w:r>
            <w:r w:rsidR="00B76DF9">
              <w:rPr>
                <w:rFonts w:ascii="楷体" w:eastAsia="楷体" w:hAnsi="楷体" w:hint="eastAsia"/>
                <w:color w:val="FF6600"/>
              </w:rPr>
              <w:t>3.12</w:t>
            </w:r>
            <w:r w:rsidR="00057142">
              <w:rPr>
                <w:rFonts w:ascii="楷体" w:eastAsia="楷体" w:hAnsi="楷体" w:hint="eastAsia"/>
                <w:color w:val="FF6600"/>
              </w:rPr>
              <w:t>)</w:t>
            </w:r>
          </w:p>
        </w:tc>
        <w:tc>
          <w:tcPr>
            <w:tcW w:w="142" w:type="dxa"/>
            <w:vAlign w:val="center"/>
          </w:tcPr>
          <w:p w:rsidR="00BD0930" w:rsidRPr="00B76DF9" w:rsidRDefault="00BD0930" w:rsidP="003B1409">
            <w:pPr>
              <w:jc w:val="center"/>
              <w:rPr>
                <w:rFonts w:ascii="楷体" w:eastAsia="楷体" w:hAnsi="楷体"/>
                <w:lang w:val="en-GB"/>
              </w:rPr>
            </w:pPr>
          </w:p>
        </w:tc>
        <w:tc>
          <w:tcPr>
            <w:tcW w:w="5386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5B7CDB" w:rsidRDefault="00BD0930" w:rsidP="007B1899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</w:rPr>
            </w:pPr>
            <w:r w:rsidRPr="005B7CDB">
              <w:rPr>
                <w:rFonts w:ascii="楷体" w:eastAsia="楷体" w:hAnsi="楷体"/>
                <w:color w:val="FF6600"/>
              </w:rPr>
              <w:t>图表</w:t>
            </w:r>
            <w:r w:rsidR="00A87530" w:rsidRPr="005B7CDB">
              <w:rPr>
                <w:rFonts w:ascii="楷体" w:eastAsia="楷体" w:hAnsi="楷体" w:hint="eastAsia"/>
                <w:color w:val="FF6600"/>
              </w:rPr>
              <w:t>3</w:t>
            </w:r>
            <w:r w:rsidRPr="005B7CDB">
              <w:rPr>
                <w:rFonts w:ascii="楷体" w:eastAsia="楷体" w:hAnsi="楷体" w:hint="eastAsia"/>
                <w:color w:val="FF6600"/>
              </w:rPr>
              <w:t>：</w:t>
            </w:r>
            <w:r w:rsidR="00091971" w:rsidRPr="005B7CDB">
              <w:rPr>
                <w:rFonts w:ascii="楷体" w:eastAsia="楷体" w:hAnsi="楷体" w:hint="eastAsia"/>
                <w:color w:val="FF6600"/>
              </w:rPr>
              <w:t>中信一级行业板块周涨跌（</w:t>
            </w:r>
            <w:r w:rsidR="00B76DF9">
              <w:rPr>
                <w:rFonts w:ascii="楷体" w:eastAsia="楷体" w:hAnsi="楷体" w:hint="eastAsia"/>
                <w:color w:val="FF6600"/>
              </w:rPr>
              <w:t>3.9</w:t>
            </w:r>
            <w:r w:rsidR="00BD4B2C">
              <w:rPr>
                <w:rFonts w:ascii="楷体" w:eastAsia="楷体" w:hAnsi="楷体" w:hint="eastAsia"/>
                <w:color w:val="FF6600"/>
              </w:rPr>
              <w:t>~</w:t>
            </w:r>
            <w:r w:rsidR="00B76DF9">
              <w:rPr>
                <w:rFonts w:ascii="楷体" w:eastAsia="楷体" w:hAnsi="楷体" w:hint="eastAsia"/>
                <w:color w:val="FF6600"/>
              </w:rPr>
              <w:t>3.13</w:t>
            </w:r>
            <w:r w:rsidR="00091971" w:rsidRPr="005B7CDB">
              <w:rPr>
                <w:rFonts w:ascii="楷体" w:eastAsia="楷体" w:hAnsi="楷体" w:hint="eastAsia"/>
                <w:color w:val="FF6600"/>
              </w:rPr>
              <w:t>）</w:t>
            </w:r>
          </w:p>
        </w:tc>
      </w:tr>
      <w:tr w:rsidR="00BD0930" w:rsidRPr="005B7CDB" w:rsidTr="003918C7">
        <w:trPr>
          <w:cantSplit/>
          <w:trHeight w:val="2329"/>
        </w:trPr>
        <w:tc>
          <w:tcPr>
            <w:tcW w:w="5245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546733" w:rsidRDefault="00124A31" w:rsidP="003B1409">
            <w:pPr>
              <w:jc w:val="center"/>
              <w:rPr>
                <w:rFonts w:ascii="楷体" w:eastAsia="楷体" w:hAnsi="楷体"/>
              </w:rPr>
            </w:pPr>
            <w:r w:rsidRPr="00124A31">
              <w:rPr>
                <w:rFonts w:ascii="楷体" w:eastAsia="楷体" w:hAnsi="楷体"/>
                <w:noProof/>
              </w:rPr>
              <w:drawing>
                <wp:inline distT="0" distB="0" distL="0" distR="0">
                  <wp:extent cx="2933699" cy="1552575"/>
                  <wp:effectExtent l="19050" t="0" r="1" b="0"/>
                  <wp:docPr id="2" name="图片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36798" cy="155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" w:type="dxa"/>
            <w:vAlign w:val="center"/>
          </w:tcPr>
          <w:p w:rsidR="00BD0930" w:rsidRPr="005B7CDB" w:rsidRDefault="00BD0930" w:rsidP="003B1409">
            <w:pPr>
              <w:jc w:val="center"/>
              <w:rPr>
                <w:rFonts w:ascii="楷体" w:eastAsia="楷体" w:hAnsi="楷体"/>
              </w:rPr>
            </w:pPr>
          </w:p>
        </w:tc>
        <w:tc>
          <w:tcPr>
            <w:tcW w:w="5386" w:type="dxa"/>
            <w:tcBorders>
              <w:top w:val="single" w:sz="6" w:space="0" w:color="FF6600"/>
              <w:bottom w:val="single" w:sz="6" w:space="0" w:color="FF6600"/>
            </w:tcBorders>
            <w:shd w:val="clear" w:color="auto" w:fill="auto"/>
            <w:vAlign w:val="center"/>
          </w:tcPr>
          <w:p w:rsidR="00BD0930" w:rsidRPr="00173745" w:rsidRDefault="00124A31" w:rsidP="00180FDA">
            <w:pPr>
              <w:jc w:val="center"/>
              <w:rPr>
                <w:rFonts w:ascii="楷体" w:eastAsia="楷体" w:hAnsi="楷体"/>
              </w:rPr>
            </w:pPr>
            <w:r w:rsidRPr="00124A31">
              <w:rPr>
                <w:rFonts w:ascii="楷体" w:eastAsia="楷体" w:hAnsi="楷体"/>
                <w:noProof/>
              </w:rPr>
              <w:drawing>
                <wp:inline distT="0" distB="0" distL="0" distR="0">
                  <wp:extent cx="2962275" cy="1552575"/>
                  <wp:effectExtent l="19050" t="0" r="9525" b="0"/>
                  <wp:docPr id="3" name="图片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5402" cy="1554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930" w:rsidRPr="005B7CDB" w:rsidRDefault="00BD0930" w:rsidP="00BD0930">
      <w:pPr>
        <w:pStyle w:val="FootnoteNoline"/>
        <w:ind w:left="0"/>
        <w:jc w:val="left"/>
        <w:rPr>
          <w:rFonts w:ascii="楷体" w:eastAsia="楷体" w:hAnsi="楷体"/>
        </w:rPr>
      </w:pPr>
      <w:r w:rsidRPr="005B7CDB">
        <w:rPr>
          <w:rFonts w:ascii="楷体" w:eastAsia="楷体" w:hAnsi="楷体" w:hint="eastAsia"/>
          <w:color w:val="FF6600"/>
        </w:rPr>
        <w:t>来源：凯石财富工场</w:t>
      </w:r>
      <w:r w:rsidRPr="005B7CDB">
        <w:rPr>
          <w:rFonts w:ascii="楷体" w:eastAsia="楷体" w:hAnsi="楷体" w:hint="eastAsia"/>
        </w:rPr>
        <w:t xml:space="preserve"> </w:t>
      </w:r>
    </w:p>
    <w:p w:rsidR="00213F1D" w:rsidRPr="00174ABE" w:rsidRDefault="000D4A66" w:rsidP="00174ABE">
      <w:pPr>
        <w:widowControl/>
        <w:spacing w:after="120"/>
        <w:ind w:left="3430"/>
        <w:rPr>
          <w:rFonts w:ascii="Arial" w:eastAsia="楷体" w:hAnsi="Arial" w:cs="Arial"/>
          <w:b/>
          <w:bCs/>
          <w:color w:val="0070C0"/>
          <w:kern w:val="0"/>
          <w:szCs w:val="21"/>
          <w:lang w:val="en-GB"/>
        </w:rPr>
      </w:pPr>
      <w:r w:rsidRPr="00E15464">
        <w:rPr>
          <w:rFonts w:ascii="Arial" w:eastAsia="楷体" w:hAnsi="楷体" w:cs="Arial"/>
          <w:b/>
          <w:bCs/>
          <w:color w:val="0070C0"/>
          <w:kern w:val="0"/>
          <w:szCs w:val="21"/>
          <w:lang w:val="en-GB"/>
        </w:rPr>
        <w:t>各类型公募基金一周业绩：</w:t>
      </w:r>
      <w:r w:rsidR="00B76DF9" w:rsidRPr="00174ABE">
        <w:rPr>
          <w:rFonts w:ascii="Arial" w:eastAsia="楷体" w:hAnsi="Arial" w:cs="Arial"/>
          <w:b/>
          <w:bCs/>
          <w:color w:val="0070C0"/>
          <w:kern w:val="0"/>
          <w:szCs w:val="21"/>
          <w:lang w:val="en-GB"/>
        </w:rPr>
        <w:t xml:space="preserve"> </w:t>
      </w:r>
      <w:r w:rsidR="0043724D">
        <w:rPr>
          <w:rFonts w:ascii="Arial" w:eastAsia="楷体" w:hAnsi="Arial" w:cs="Arial" w:hint="eastAsia"/>
          <w:b/>
          <w:bCs/>
          <w:color w:val="0070C0"/>
          <w:kern w:val="0"/>
          <w:szCs w:val="21"/>
          <w:lang w:val="en-GB"/>
        </w:rPr>
        <w:t>QDII</w:t>
      </w:r>
      <w:r w:rsidR="0043724D">
        <w:rPr>
          <w:rFonts w:ascii="Arial" w:eastAsia="楷体" w:hAnsi="Arial" w:cs="Arial" w:hint="eastAsia"/>
          <w:b/>
          <w:bCs/>
          <w:color w:val="0070C0"/>
          <w:kern w:val="0"/>
          <w:szCs w:val="21"/>
          <w:lang w:val="en-GB"/>
        </w:rPr>
        <w:t>集体下跌，固收与其他权益基金反弹</w:t>
      </w:r>
    </w:p>
    <w:p w:rsidR="00A81F6D" w:rsidRPr="00174ABE" w:rsidRDefault="007C24EC" w:rsidP="00174ABE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DC2482">
        <w:rPr>
          <w:rFonts w:ascii="楷体" w:eastAsia="楷体" w:hAnsi="楷体" w:cs="Arial" w:hint="eastAsia"/>
          <w:color w:val="000000" w:themeColor="text1"/>
          <w:szCs w:val="21"/>
        </w:rPr>
        <w:t>上周（</w:t>
      </w:r>
      <w:r>
        <w:rPr>
          <w:rFonts w:ascii="楷体" w:eastAsia="楷体" w:hAnsi="楷体" w:cs="Arial" w:hint="eastAsia"/>
          <w:color w:val="000000" w:themeColor="text1"/>
          <w:szCs w:val="21"/>
        </w:rPr>
        <w:t>2015.3.9~2015.3.13），大盘蓝筹重获资金青睐，</w:t>
      </w:r>
      <w:r w:rsidR="00181CC9">
        <w:rPr>
          <w:rFonts w:ascii="楷体" w:eastAsia="楷体" w:hAnsi="楷体" w:cs="Arial" w:hint="eastAsia"/>
          <w:color w:val="000000" w:themeColor="text1"/>
          <w:szCs w:val="21"/>
        </w:rPr>
        <w:t>中小板创业板乏力攀升，港股美股继前周走弱后陷入疲软。除QDII外，其他权益基金和固收</w:t>
      </w:r>
      <w:r w:rsidR="00181CC9">
        <w:rPr>
          <w:rFonts w:ascii="楷体" w:eastAsia="楷体" w:hAnsi="楷体" w:cs="Arial" w:hint="eastAsia"/>
          <w:color w:val="000000" w:themeColor="text1"/>
          <w:szCs w:val="21"/>
        </w:rPr>
        <w:lastRenderedPageBreak/>
        <w:t>基金平均收益率皆为正。分类来看，股票-主动型收益高于股票-指数型；混合-偏股型收益高于混合-灵活型，高于混合-偏债型；债基方面，可转债平均收益最高，二级债基收益高于一级债基，高于指数债基，纯债基金收益较低，理财债基平均收益降至0.08%</w:t>
      </w:r>
      <w:r w:rsidR="0084188E">
        <w:rPr>
          <w:rFonts w:ascii="楷体" w:eastAsia="楷体" w:hAnsi="楷体" w:cs="Arial" w:hint="eastAsia"/>
          <w:color w:val="000000" w:themeColor="text1"/>
          <w:szCs w:val="21"/>
        </w:rPr>
        <w:t>；货币基金涨幅扩大，平均</w:t>
      </w:r>
      <w:r w:rsidR="00252369">
        <w:rPr>
          <w:rFonts w:ascii="楷体" w:eastAsia="楷体" w:hAnsi="楷体" w:cs="Arial" w:hint="eastAsia"/>
          <w:color w:val="000000" w:themeColor="text1"/>
          <w:szCs w:val="21"/>
        </w:rPr>
        <w:t>七日年化</w:t>
      </w:r>
      <w:r w:rsidR="0084188E">
        <w:rPr>
          <w:rFonts w:ascii="楷体" w:eastAsia="楷体" w:hAnsi="楷体" w:cs="Arial" w:hint="eastAsia"/>
          <w:color w:val="000000" w:themeColor="text1"/>
          <w:szCs w:val="21"/>
        </w:rPr>
        <w:t>收益</w:t>
      </w:r>
      <w:r w:rsidR="00252369">
        <w:rPr>
          <w:rFonts w:ascii="楷体" w:eastAsia="楷体" w:hAnsi="楷体" w:cs="Arial" w:hint="eastAsia"/>
          <w:color w:val="000000" w:themeColor="text1"/>
          <w:szCs w:val="21"/>
        </w:rPr>
        <w:t>率</w:t>
      </w:r>
      <w:r w:rsidR="0084188E">
        <w:rPr>
          <w:rFonts w:ascii="楷体" w:eastAsia="楷体" w:hAnsi="楷体" w:cs="Arial" w:hint="eastAsia"/>
          <w:color w:val="000000" w:themeColor="text1"/>
          <w:szCs w:val="21"/>
        </w:rPr>
        <w:t>破</w:t>
      </w:r>
      <w:r w:rsidR="00252369">
        <w:rPr>
          <w:rFonts w:ascii="楷体" w:eastAsia="楷体" w:hAnsi="楷体" w:cs="Arial" w:hint="eastAsia"/>
          <w:color w:val="000000" w:themeColor="text1"/>
          <w:szCs w:val="21"/>
        </w:rPr>
        <w:t>5%</w:t>
      </w:r>
      <w:r w:rsidR="0084188E">
        <w:rPr>
          <w:rFonts w:ascii="楷体" w:eastAsia="楷体" w:hAnsi="楷体" w:cs="Arial" w:hint="eastAsia"/>
          <w:color w:val="000000" w:themeColor="text1"/>
          <w:szCs w:val="21"/>
        </w:rPr>
        <w:t>。</w:t>
      </w:r>
      <w:r w:rsidR="00DC3269">
        <w:rPr>
          <w:rFonts w:ascii="楷体" w:eastAsia="楷体" w:hAnsi="楷体" w:cs="Arial" w:hint="eastAsia"/>
          <w:color w:val="000000" w:themeColor="text1"/>
          <w:szCs w:val="21"/>
        </w:rPr>
        <w:t>QDII基金</w:t>
      </w:r>
      <w:r w:rsidR="00080843">
        <w:rPr>
          <w:rFonts w:ascii="楷体" w:eastAsia="楷体" w:hAnsi="楷体" w:cs="Arial" w:hint="eastAsia"/>
          <w:color w:val="000000" w:themeColor="text1"/>
          <w:szCs w:val="21"/>
        </w:rPr>
        <w:t>几乎全部下跌，主投油气</w:t>
      </w:r>
      <w:r w:rsidR="00C4792D">
        <w:rPr>
          <w:rFonts w:ascii="楷体" w:eastAsia="楷体" w:hAnsi="楷体" w:cs="Arial" w:hint="eastAsia"/>
          <w:color w:val="000000" w:themeColor="text1"/>
          <w:szCs w:val="21"/>
        </w:rPr>
        <w:t>和</w:t>
      </w:r>
      <w:r w:rsidR="00080843">
        <w:rPr>
          <w:rFonts w:ascii="楷体" w:eastAsia="楷体" w:hAnsi="楷体" w:cs="Arial" w:hint="eastAsia"/>
          <w:color w:val="000000" w:themeColor="text1"/>
          <w:szCs w:val="21"/>
        </w:rPr>
        <w:t>资源的行业基金</w:t>
      </w:r>
      <w:r w:rsidR="00C4792D">
        <w:rPr>
          <w:rFonts w:ascii="楷体" w:eastAsia="楷体" w:hAnsi="楷体" w:cs="Arial" w:hint="eastAsia"/>
          <w:color w:val="000000" w:themeColor="text1"/>
          <w:szCs w:val="21"/>
        </w:rPr>
        <w:t>、</w:t>
      </w:r>
      <w:r w:rsidR="00080843">
        <w:rPr>
          <w:rFonts w:ascii="楷体" w:eastAsia="楷体" w:hAnsi="楷体" w:cs="Arial" w:hint="eastAsia"/>
          <w:color w:val="000000" w:themeColor="text1"/>
          <w:szCs w:val="21"/>
        </w:rPr>
        <w:t>黄金商品基金跌幅较大。</w:t>
      </w:r>
    </w:p>
    <w:tbl>
      <w:tblPr>
        <w:tblW w:w="1077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93"/>
        <w:gridCol w:w="1400"/>
        <w:gridCol w:w="1197"/>
        <w:gridCol w:w="946"/>
        <w:gridCol w:w="1448"/>
        <w:gridCol w:w="1197"/>
        <w:gridCol w:w="1041"/>
        <w:gridCol w:w="1353"/>
        <w:gridCol w:w="1197"/>
      </w:tblGrid>
      <w:tr w:rsidR="000D4A66" w:rsidRPr="005B7CDB" w:rsidTr="00D7627F">
        <w:trPr>
          <w:trHeight w:val="335"/>
          <w:tblHeader/>
        </w:trPr>
        <w:tc>
          <w:tcPr>
            <w:tcW w:w="10772" w:type="dxa"/>
            <w:gridSpan w:val="9"/>
            <w:tcBorders>
              <w:bottom w:val="single" w:sz="6" w:space="0" w:color="FF6600"/>
            </w:tcBorders>
            <w:shd w:val="clear" w:color="auto" w:fill="auto"/>
            <w:vAlign w:val="center"/>
          </w:tcPr>
          <w:p w:rsidR="000D4A66" w:rsidRPr="005B7CDB" w:rsidRDefault="000D4A66" w:rsidP="00D75B16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</w:rPr>
            </w:pPr>
            <w:r w:rsidRPr="005B7CDB">
              <w:rPr>
                <w:rFonts w:ascii="楷体" w:eastAsia="楷体" w:hAnsi="楷体" w:cs="宋体" w:hint="eastAsia"/>
                <w:color w:val="FF6600"/>
              </w:rPr>
              <w:t>图表</w:t>
            </w:r>
            <w:r w:rsidR="008F39C1" w:rsidRPr="005B7CDB">
              <w:rPr>
                <w:rFonts w:ascii="楷体" w:eastAsia="楷体" w:hAnsi="楷体" w:hint="eastAsia"/>
                <w:color w:val="FF6600"/>
              </w:rPr>
              <w:t>4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：各类型公募基金（含封闭式）周平均收益率（</w:t>
            </w:r>
            <w:r w:rsidR="00B424DA">
              <w:rPr>
                <w:rFonts w:ascii="楷体" w:eastAsia="楷体" w:hAnsi="楷体" w:hint="eastAsia"/>
                <w:color w:val="FF6600"/>
              </w:rPr>
              <w:t>3</w:t>
            </w:r>
            <w:r w:rsidR="00254284">
              <w:rPr>
                <w:rFonts w:ascii="楷体" w:eastAsia="楷体" w:hAnsi="楷体" w:hint="eastAsia"/>
                <w:color w:val="FF6600"/>
              </w:rPr>
              <w:t>.</w:t>
            </w:r>
            <w:r w:rsidR="002447C5">
              <w:rPr>
                <w:rFonts w:ascii="楷体" w:eastAsia="楷体" w:hAnsi="楷体" w:hint="eastAsia"/>
                <w:color w:val="FF6600"/>
              </w:rPr>
              <w:t>9</w:t>
            </w:r>
            <w:r w:rsidR="00254284">
              <w:rPr>
                <w:rFonts w:ascii="楷体" w:eastAsia="楷体" w:hAnsi="楷体" w:hint="eastAsia"/>
                <w:color w:val="FF6600"/>
              </w:rPr>
              <w:t>~</w:t>
            </w:r>
            <w:r w:rsidR="00B424DA">
              <w:rPr>
                <w:rFonts w:ascii="楷体" w:eastAsia="楷体" w:hAnsi="楷体" w:hint="eastAsia"/>
                <w:color w:val="FF6600"/>
              </w:rPr>
              <w:t>3</w:t>
            </w:r>
            <w:r w:rsidR="00C21953">
              <w:rPr>
                <w:rFonts w:ascii="楷体" w:eastAsia="楷体" w:hAnsi="楷体" w:hint="eastAsia"/>
                <w:color w:val="FF6600"/>
              </w:rPr>
              <w:t>.</w:t>
            </w:r>
            <w:r w:rsidR="002447C5">
              <w:rPr>
                <w:rFonts w:ascii="楷体" w:eastAsia="楷体" w:hAnsi="楷体" w:hint="eastAsia"/>
                <w:color w:val="FF6600"/>
              </w:rPr>
              <w:t>13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，</w:t>
            </w:r>
            <w:r w:rsidRPr="005B7CDB">
              <w:rPr>
                <w:rFonts w:ascii="楷体" w:eastAsia="楷体" w:hAnsi="楷体" w:hint="eastAsia"/>
                <w:color w:val="FF6600"/>
              </w:rPr>
              <w:t>QDII为</w:t>
            </w:r>
            <w:r w:rsidR="002447C5">
              <w:rPr>
                <w:rFonts w:ascii="楷体" w:eastAsia="楷体" w:hAnsi="楷体" w:hint="eastAsia"/>
                <w:color w:val="FF6600"/>
              </w:rPr>
              <w:t>3.6</w:t>
            </w:r>
            <w:r w:rsidR="00E86700" w:rsidRPr="00057142">
              <w:rPr>
                <w:rFonts w:ascii="楷体" w:eastAsia="楷体" w:hAnsi="楷体" w:hint="eastAsia"/>
                <w:color w:val="FF6600"/>
              </w:rPr>
              <w:t>~</w:t>
            </w:r>
            <w:r w:rsidR="002447C5">
              <w:rPr>
                <w:rFonts w:ascii="楷体" w:eastAsia="楷体" w:hAnsi="楷体" w:hint="eastAsia"/>
                <w:color w:val="FF6600"/>
              </w:rPr>
              <w:t>3.12</w:t>
            </w:r>
            <w:r w:rsidR="005E11DF">
              <w:rPr>
                <w:rFonts w:ascii="楷体" w:eastAsia="楷体" w:hAnsi="楷体" w:hint="eastAsia"/>
                <w:color w:val="FF6600"/>
              </w:rPr>
              <w:t>，</w:t>
            </w:r>
            <w:r w:rsidR="00F60041" w:rsidRPr="005B7CDB">
              <w:rPr>
                <w:rFonts w:ascii="楷体" w:eastAsia="楷体" w:hAnsi="楷体" w:hint="eastAsia"/>
                <w:color w:val="FF6600"/>
              </w:rPr>
              <w:t>货币基金为</w:t>
            </w:r>
            <w:r w:rsidR="0034351F" w:rsidRPr="005B7CDB">
              <w:rPr>
                <w:rFonts w:ascii="楷体" w:eastAsia="楷体" w:hAnsi="楷体" w:hint="eastAsia"/>
                <w:color w:val="FF6600"/>
              </w:rPr>
              <w:t>7日年化</w:t>
            </w:r>
            <w:r w:rsidR="00F60041" w:rsidRPr="005B7CDB">
              <w:rPr>
                <w:rFonts w:ascii="楷体" w:eastAsia="楷体" w:hAnsi="楷体" w:hint="eastAsia"/>
                <w:color w:val="FF6600"/>
              </w:rPr>
              <w:t>收益</w:t>
            </w:r>
            <w:r w:rsidR="0086042C">
              <w:rPr>
                <w:rFonts w:ascii="楷体" w:eastAsia="楷体" w:hAnsi="楷体" w:hint="eastAsia"/>
                <w:color w:val="FF6600"/>
              </w:rPr>
              <w:t>率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）</w:t>
            </w:r>
          </w:p>
        </w:tc>
      </w:tr>
      <w:tr w:rsidR="000D4A66" w:rsidRPr="005B7CDB" w:rsidTr="00D7627F">
        <w:trPr>
          <w:trHeight w:val="284"/>
          <w:tblHeader/>
        </w:trPr>
        <w:tc>
          <w:tcPr>
            <w:tcW w:w="2393" w:type="dxa"/>
            <w:gridSpan w:val="2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凯石分类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0D4A66" w:rsidRPr="005B7CDB" w:rsidRDefault="000D4A6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</w:tr>
      <w:tr w:rsidR="00130016" w:rsidRPr="00692F2D" w:rsidTr="009D6B40">
        <w:trPr>
          <w:cantSplit/>
          <w:trHeight w:val="284"/>
        </w:trPr>
        <w:tc>
          <w:tcPr>
            <w:tcW w:w="993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股票型</w:t>
            </w: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股票-主动型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B90A60" w:rsidP="00A81F6D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3</w:t>
            </w:r>
            <w:r w:rsidR="00FB7C3C"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.</w:t>
            </w: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85</w:t>
            </w:r>
          </w:p>
        </w:tc>
        <w:tc>
          <w:tcPr>
            <w:tcW w:w="946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债券型</w:t>
            </w: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债券-纯债基金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A7544D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0.26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货币市场基金</w:t>
            </w:r>
            <w:r w:rsidRPr="00692F2D">
              <w:rPr>
                <w:rFonts w:ascii="楷体" w:eastAsia="楷体" w:hAnsi="楷体" w:hint="eastAsia"/>
                <w:b/>
                <w:sz w:val="18"/>
                <w:szCs w:val="18"/>
              </w:rPr>
              <w:t>7日年化收益率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692F2D" w:rsidRDefault="00901470" w:rsidP="00922EF6">
            <w:pPr>
              <w:snapToGrid w:val="0"/>
              <w:jc w:val="center"/>
              <w:rPr>
                <w:rFonts w:ascii="楷体" w:eastAsia="楷体" w:hAnsi="楷体"/>
                <w:sz w:val="18"/>
                <w:szCs w:val="18"/>
              </w:rPr>
            </w:pPr>
            <w:r>
              <w:rPr>
                <w:rFonts w:ascii="楷体" w:eastAsia="楷体" w:hAnsi="楷体" w:hint="eastAsia"/>
                <w:sz w:val="18"/>
                <w:szCs w:val="18"/>
              </w:rPr>
              <w:t>5.02</w:t>
            </w:r>
          </w:p>
        </w:tc>
      </w:tr>
      <w:tr w:rsidR="00130016" w:rsidRPr="00692F2D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股票-指数型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B90A60" w:rsidP="00B103F5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3.51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债券-一级债基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5B32AB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0.59</w:t>
            </w:r>
          </w:p>
        </w:tc>
        <w:tc>
          <w:tcPr>
            <w:tcW w:w="1041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分级基金</w:t>
            </w:r>
          </w:p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子份额</w:t>
            </w: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股票稳健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E243BF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0.19</w:t>
            </w:r>
          </w:p>
        </w:tc>
      </w:tr>
      <w:tr w:rsidR="00130016" w:rsidRPr="00692F2D" w:rsidTr="009D6B40">
        <w:trPr>
          <w:cantSplit/>
          <w:trHeight w:val="284"/>
        </w:trPr>
        <w:tc>
          <w:tcPr>
            <w:tcW w:w="993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混合型</w:t>
            </w: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混合-偏股型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B90A60" w:rsidP="009D6B40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3.29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债券-二级债基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E243BF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0.80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股票积极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A81F6D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5.21</w:t>
            </w:r>
          </w:p>
        </w:tc>
      </w:tr>
      <w:tr w:rsidR="00130016" w:rsidRPr="00692F2D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混合-偏债型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B90A60" w:rsidP="00F40C1B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1.09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债券-指数债基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A81F6D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0.52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债券稳健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E243BF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0.09</w:t>
            </w:r>
          </w:p>
        </w:tc>
      </w:tr>
      <w:tr w:rsidR="00130016" w:rsidRPr="00692F2D" w:rsidTr="009D6B40">
        <w:trPr>
          <w:cantSplit/>
          <w:trHeight w:val="284"/>
        </w:trPr>
        <w:tc>
          <w:tcPr>
            <w:tcW w:w="993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00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884478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混合-灵活型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6766DE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3.01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债券-可转债基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922EF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2.93</w:t>
            </w:r>
          </w:p>
        </w:tc>
        <w:tc>
          <w:tcPr>
            <w:tcW w:w="1041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353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债券积极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A81F6D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1.42</w:t>
            </w:r>
          </w:p>
        </w:tc>
      </w:tr>
      <w:tr w:rsidR="00130016" w:rsidRPr="00692F2D" w:rsidTr="00884478">
        <w:trPr>
          <w:cantSplit/>
          <w:trHeight w:val="284"/>
        </w:trPr>
        <w:tc>
          <w:tcPr>
            <w:tcW w:w="2393" w:type="dxa"/>
            <w:gridSpan w:val="2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884478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sz w:val="18"/>
                <w:szCs w:val="18"/>
              </w:rPr>
              <w:t>QDII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692F2D" w:rsidRDefault="002C499A" w:rsidP="00922EF6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-1.63</w:t>
            </w:r>
          </w:p>
        </w:tc>
        <w:tc>
          <w:tcPr>
            <w:tcW w:w="946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144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sz w:val="18"/>
                <w:szCs w:val="18"/>
              </w:rPr>
            </w:pPr>
            <w:r w:rsidRPr="00692F2D">
              <w:rPr>
                <w:rFonts w:ascii="楷体" w:eastAsia="楷体" w:hAnsi="楷体" w:hint="eastAsia"/>
                <w:b/>
                <w:bCs/>
                <w:sz w:val="18"/>
                <w:szCs w:val="18"/>
              </w:rPr>
              <w:t>债券-理财债基</w:t>
            </w:r>
          </w:p>
        </w:tc>
        <w:tc>
          <w:tcPr>
            <w:tcW w:w="119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922EF6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000000" w:themeColor="text1"/>
                <w:sz w:val="18"/>
                <w:szCs w:val="18"/>
              </w:rPr>
              <w:t>0.08</w:t>
            </w:r>
          </w:p>
        </w:tc>
        <w:tc>
          <w:tcPr>
            <w:tcW w:w="2394" w:type="dxa"/>
            <w:gridSpan w:val="2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130016" w:rsidRPr="00692F2D" w:rsidRDefault="00130016" w:rsidP="009D6B40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692F2D">
              <w:rPr>
                <w:rFonts w:ascii="楷体" w:eastAsia="楷体" w:hAnsi="楷体"/>
                <w:b/>
                <w:sz w:val="18"/>
                <w:szCs w:val="18"/>
              </w:rPr>
              <w:t>商品基金</w:t>
            </w:r>
          </w:p>
        </w:tc>
        <w:tc>
          <w:tcPr>
            <w:tcW w:w="1197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130016" w:rsidRPr="009A73F0" w:rsidRDefault="00FB7C3C" w:rsidP="00A81F6D">
            <w:pPr>
              <w:snapToGrid w:val="0"/>
              <w:jc w:val="center"/>
              <w:rPr>
                <w:rFonts w:ascii="楷体" w:eastAsia="楷体" w:hAnsi="楷体"/>
                <w:color w:val="FF0000"/>
                <w:sz w:val="18"/>
                <w:szCs w:val="18"/>
              </w:rPr>
            </w:pPr>
            <w:r w:rsidRPr="009A73F0">
              <w:rPr>
                <w:rFonts w:ascii="楷体" w:eastAsia="楷体" w:hAnsi="楷体" w:hint="eastAsia"/>
                <w:color w:val="FF0000"/>
                <w:sz w:val="18"/>
                <w:szCs w:val="18"/>
              </w:rPr>
              <w:t>-3.07</w:t>
            </w:r>
          </w:p>
        </w:tc>
      </w:tr>
    </w:tbl>
    <w:p w:rsidR="000D4A66" w:rsidRPr="00692F2D" w:rsidRDefault="000D4A66" w:rsidP="000D4A66">
      <w:pPr>
        <w:pStyle w:val="FootnoteNoline"/>
        <w:ind w:left="0"/>
        <w:rPr>
          <w:rFonts w:ascii="楷体" w:eastAsia="楷体" w:hAnsi="楷体"/>
          <w:color w:val="auto"/>
          <w:lang w:val="en-US"/>
        </w:rPr>
      </w:pPr>
      <w:r w:rsidRPr="00692F2D">
        <w:rPr>
          <w:rFonts w:ascii="楷体" w:eastAsia="楷体" w:hAnsi="楷体" w:cs="宋体" w:hint="eastAsia"/>
          <w:color w:val="auto"/>
          <w:lang w:val="en-US"/>
        </w:rPr>
        <w:t>来源：凯石财富工场</w:t>
      </w:r>
    </w:p>
    <w:p w:rsidR="0071752E" w:rsidRPr="0094794B" w:rsidRDefault="00B06585" w:rsidP="0094794B">
      <w:pPr>
        <w:widowControl/>
        <w:spacing w:after="120"/>
        <w:ind w:left="3430"/>
        <w:rPr>
          <w:rFonts w:ascii="楷体" w:eastAsia="楷体" w:hAnsi="楷体"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权益类</w:t>
      </w:r>
      <w:r w:rsidR="0062314B"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基金一周业绩：</w:t>
      </w:r>
      <w:r w:rsidR="00F91E57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股基混合几乎全部上涨，QDII几乎全部下跌</w:t>
      </w:r>
    </w:p>
    <w:p w:rsidR="00714316" w:rsidRPr="00E0346B" w:rsidRDefault="0061717D" w:rsidP="008C3A8D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>
        <w:rPr>
          <w:rFonts w:ascii="楷体" w:eastAsia="楷体" w:hAnsi="楷体" w:cs="Arial" w:hint="eastAsia"/>
          <w:color w:val="000000" w:themeColor="text1"/>
          <w:szCs w:val="21"/>
        </w:rPr>
        <w:t>上周，国内市场回升</w:t>
      </w:r>
      <w:r w:rsidR="00445C79">
        <w:rPr>
          <w:rFonts w:ascii="楷体" w:eastAsia="楷体" w:hAnsi="楷体" w:cs="Arial" w:hint="eastAsia"/>
          <w:color w:val="000000" w:themeColor="text1"/>
          <w:szCs w:val="21"/>
        </w:rPr>
        <w:t>势头较强</w:t>
      </w:r>
      <w:r>
        <w:rPr>
          <w:rFonts w:ascii="楷体" w:eastAsia="楷体" w:hAnsi="楷体" w:cs="Arial" w:hint="eastAsia"/>
          <w:color w:val="000000" w:themeColor="text1"/>
          <w:szCs w:val="21"/>
        </w:rPr>
        <w:t>，股基混合中</w:t>
      </w:r>
      <w:r w:rsidR="00354274">
        <w:rPr>
          <w:rFonts w:ascii="楷体" w:eastAsia="楷体" w:hAnsi="楷体" w:cs="Arial" w:hint="eastAsia"/>
          <w:color w:val="000000" w:themeColor="text1"/>
          <w:szCs w:val="21"/>
        </w:rPr>
        <w:t>，</w:t>
      </w:r>
      <w:r>
        <w:rPr>
          <w:rFonts w:ascii="楷体" w:eastAsia="楷体" w:hAnsi="楷体" w:cs="Arial" w:hint="eastAsia"/>
          <w:color w:val="000000" w:themeColor="text1"/>
          <w:szCs w:val="21"/>
        </w:rPr>
        <w:t>权益头寸</w:t>
      </w:r>
      <w:r w:rsidR="00B518E8">
        <w:rPr>
          <w:rFonts w:ascii="楷体" w:eastAsia="楷体" w:hAnsi="楷体" w:cs="Arial" w:hint="eastAsia"/>
          <w:color w:val="000000" w:themeColor="text1"/>
          <w:szCs w:val="21"/>
        </w:rPr>
        <w:t>较多</w:t>
      </w:r>
      <w:r>
        <w:rPr>
          <w:rFonts w:ascii="楷体" w:eastAsia="楷体" w:hAnsi="楷体" w:cs="Arial" w:hint="eastAsia"/>
          <w:color w:val="000000" w:themeColor="text1"/>
          <w:szCs w:val="21"/>
        </w:rPr>
        <w:t>的基金收益较高，主动风格好于被动风格。港股和美股景气低迷，QDII基金</w:t>
      </w:r>
      <w:r w:rsidR="00D74532">
        <w:rPr>
          <w:rFonts w:ascii="楷体" w:eastAsia="楷体" w:hAnsi="楷体" w:cs="Arial" w:hint="eastAsia"/>
          <w:color w:val="000000" w:themeColor="text1"/>
          <w:szCs w:val="21"/>
        </w:rPr>
        <w:t>集体下跌，QDII-商品</w:t>
      </w:r>
      <w:r w:rsidR="00354274">
        <w:rPr>
          <w:rFonts w:ascii="楷体" w:eastAsia="楷体" w:hAnsi="楷体" w:cs="Arial" w:hint="eastAsia"/>
          <w:color w:val="000000" w:themeColor="text1"/>
          <w:szCs w:val="21"/>
        </w:rPr>
        <w:t>（黄金）</w:t>
      </w:r>
      <w:r w:rsidR="00D74532">
        <w:rPr>
          <w:rFonts w:ascii="楷体" w:eastAsia="楷体" w:hAnsi="楷体" w:cs="Arial" w:hint="eastAsia"/>
          <w:color w:val="000000" w:themeColor="text1"/>
          <w:szCs w:val="21"/>
        </w:rPr>
        <w:t>和QDII-股票-行业（资源油气）跌幅较大，新兴市场基金和全球市场基金表现好于美股基金。</w:t>
      </w:r>
    </w:p>
    <w:p w:rsidR="00C7008F" w:rsidRPr="007E5485" w:rsidRDefault="0094794B" w:rsidP="007E5485">
      <w:pPr>
        <w:pStyle w:val="ab"/>
        <w:numPr>
          <w:ilvl w:val="5"/>
          <w:numId w:val="2"/>
        </w:numPr>
        <w:spacing w:after="163"/>
        <w:ind w:left="4140" w:hanging="369"/>
        <w:rPr>
          <w:rFonts w:ascii="楷体" w:eastAsia="楷体" w:hAnsi="楷体" w:cs="Arial"/>
          <w:color w:val="000000" w:themeColor="text1"/>
          <w:szCs w:val="21"/>
        </w:rPr>
      </w:pPr>
      <w:r w:rsidRPr="007E5485">
        <w:rPr>
          <w:rFonts w:ascii="楷体" w:eastAsia="楷体" w:hAnsi="楷体" w:cs="Arial" w:hint="eastAsia"/>
          <w:color w:val="000000" w:themeColor="text1"/>
          <w:szCs w:val="21"/>
        </w:rPr>
        <w:t>4</w:t>
      </w:r>
      <w:r w:rsidR="00E47E55" w:rsidRPr="007E5485">
        <w:rPr>
          <w:rFonts w:ascii="楷体" w:eastAsia="楷体" w:hAnsi="楷体" w:cs="Arial" w:hint="eastAsia"/>
          <w:color w:val="000000" w:themeColor="text1"/>
          <w:szCs w:val="21"/>
        </w:rPr>
        <w:t>46只</w:t>
      </w:r>
      <w:r w:rsidRPr="007E5485">
        <w:rPr>
          <w:rFonts w:ascii="楷体" w:eastAsia="楷体" w:hAnsi="楷体" w:cs="Arial" w:hint="eastAsia"/>
          <w:color w:val="000000" w:themeColor="text1"/>
          <w:szCs w:val="21"/>
        </w:rPr>
        <w:t>股票-主动型基金</w:t>
      </w:r>
      <w:r w:rsidR="00E47E55" w:rsidRPr="007E5485">
        <w:rPr>
          <w:rFonts w:ascii="楷体" w:eastAsia="楷体" w:hAnsi="楷体" w:cs="Arial" w:hint="eastAsia"/>
          <w:color w:val="000000" w:themeColor="text1"/>
          <w:szCs w:val="21"/>
        </w:rPr>
        <w:t>全部上涨，</w:t>
      </w:r>
      <w:r w:rsidRPr="007E5485">
        <w:rPr>
          <w:rFonts w:ascii="楷体" w:eastAsia="楷体" w:hAnsi="楷体" w:cs="Arial" w:hint="eastAsia"/>
          <w:color w:val="000000" w:themeColor="text1"/>
          <w:szCs w:val="21"/>
        </w:rPr>
        <w:t>平均上涨</w:t>
      </w:r>
      <w:r w:rsidR="00E47E55" w:rsidRPr="007E5485">
        <w:rPr>
          <w:rFonts w:ascii="楷体" w:eastAsia="楷体" w:hAnsi="楷体" w:cs="Arial" w:hint="eastAsia"/>
          <w:color w:val="000000" w:themeColor="text1"/>
          <w:szCs w:val="21"/>
        </w:rPr>
        <w:t>3.85%，约38%的产品收益率大于4%，约33%的产品收益率在3%~4%之间，最高收益为</w:t>
      </w:r>
      <w:r w:rsidR="00E47E55" w:rsidRPr="007E5485">
        <w:rPr>
          <w:rFonts w:ascii="楷体" w:eastAsia="楷体" w:hAnsi="楷体" w:hint="eastAsia"/>
          <w:szCs w:val="21"/>
        </w:rPr>
        <w:t>长信内需成长的10.55%，其次为汇丰晋信科技先锋的9.89%。</w:t>
      </w:r>
      <w:r w:rsidR="001424E4" w:rsidRPr="007E5485">
        <w:rPr>
          <w:rFonts w:ascii="楷体" w:eastAsia="楷体" w:hAnsi="楷体" w:hint="eastAsia"/>
          <w:szCs w:val="21"/>
        </w:rPr>
        <w:t>291只股票-指数型基金仅1只微跌，平均涨幅为3.51%</w:t>
      </w:r>
      <w:r w:rsidR="0004333F">
        <w:rPr>
          <w:rFonts w:ascii="楷体" w:eastAsia="楷体" w:hAnsi="楷体" w:hint="eastAsia"/>
          <w:szCs w:val="21"/>
        </w:rPr>
        <w:t>，</w:t>
      </w:r>
      <w:r w:rsidR="001424E4" w:rsidRPr="007E5485">
        <w:rPr>
          <w:rFonts w:ascii="楷体" w:eastAsia="楷体" w:hAnsi="楷体" w:hint="eastAsia"/>
          <w:szCs w:val="21"/>
        </w:rPr>
        <w:t>约29%的产品</w:t>
      </w:r>
      <w:r w:rsidR="001424E4" w:rsidRPr="007E5485">
        <w:rPr>
          <w:rFonts w:ascii="楷体" w:eastAsia="楷体" w:hAnsi="楷体" w:cs="Arial" w:hint="eastAsia"/>
          <w:color w:val="000000" w:themeColor="text1"/>
          <w:szCs w:val="21"/>
        </w:rPr>
        <w:t>益率大于4%</w:t>
      </w:r>
      <w:r w:rsidR="0004333F">
        <w:rPr>
          <w:rFonts w:ascii="楷体" w:eastAsia="楷体" w:hAnsi="楷体" w:cs="Arial" w:hint="eastAsia"/>
          <w:color w:val="000000" w:themeColor="text1"/>
          <w:szCs w:val="21"/>
        </w:rPr>
        <w:t>，</w:t>
      </w:r>
      <w:r w:rsidR="001424E4" w:rsidRPr="007E5485">
        <w:rPr>
          <w:rFonts w:ascii="楷体" w:eastAsia="楷体" w:hAnsi="楷体" w:cs="Arial" w:hint="eastAsia"/>
          <w:color w:val="000000" w:themeColor="text1"/>
          <w:szCs w:val="21"/>
        </w:rPr>
        <w:t>约38%的产品收益率在3%~4%之间,</w:t>
      </w:r>
      <w:r w:rsidR="001424E4" w:rsidRPr="007E5485">
        <w:rPr>
          <w:rFonts w:ascii="楷体" w:eastAsia="楷体" w:hAnsi="楷体" w:hint="eastAsia"/>
          <w:szCs w:val="21"/>
        </w:rPr>
        <w:t xml:space="preserve"> 华安中证高分红A（6.86%）和华安中证高分红C（6.86%）收益最高。</w:t>
      </w:r>
    </w:p>
    <w:p w:rsidR="0071752E" w:rsidRPr="00770181" w:rsidRDefault="00742234" w:rsidP="00770181">
      <w:pPr>
        <w:pStyle w:val="ab"/>
        <w:numPr>
          <w:ilvl w:val="5"/>
          <w:numId w:val="2"/>
        </w:numPr>
        <w:spacing w:after="163"/>
        <w:ind w:left="4140" w:hanging="369"/>
        <w:rPr>
          <w:rFonts w:ascii="楷体" w:eastAsia="楷体" w:hAnsi="楷体" w:cs="Arial"/>
          <w:color w:val="000000" w:themeColor="text1"/>
          <w:szCs w:val="21"/>
        </w:rPr>
      </w:pPr>
      <w:r w:rsidRPr="007E5485">
        <w:rPr>
          <w:rFonts w:ascii="楷体" w:eastAsia="楷体" w:hAnsi="楷体" w:cs="Arial" w:hint="eastAsia"/>
          <w:color w:val="000000" w:themeColor="text1"/>
          <w:szCs w:val="21"/>
        </w:rPr>
        <w:t>39只混合-偏股型基金全部上涨，平均涨幅为3.29%，</w:t>
      </w:r>
      <w:r w:rsidRPr="007E5485">
        <w:rPr>
          <w:rFonts w:ascii="楷体" w:eastAsia="楷体" w:hAnsi="楷体" w:hint="eastAsia"/>
          <w:szCs w:val="21"/>
        </w:rPr>
        <w:t>中欧明睿新起点（8.50%）和嘉实增长（7.09%）收益突出。25只混合-偏债型基金</w:t>
      </w:r>
      <w:r w:rsidR="0004333F" w:rsidRPr="007E5485">
        <w:rPr>
          <w:rFonts w:ascii="楷体" w:eastAsia="楷体" w:hAnsi="楷体" w:hint="eastAsia"/>
          <w:szCs w:val="21"/>
        </w:rPr>
        <w:t>平均涨幅为1.09%，</w:t>
      </w:r>
      <w:r w:rsidRPr="007E5485">
        <w:rPr>
          <w:rFonts w:ascii="楷体" w:eastAsia="楷体" w:hAnsi="楷体" w:hint="eastAsia"/>
          <w:szCs w:val="21"/>
        </w:rPr>
        <w:t>最低收益持平，</w:t>
      </w:r>
      <w:r w:rsidR="0004333F" w:rsidRPr="007E5485">
        <w:rPr>
          <w:rFonts w:ascii="楷体" w:eastAsia="楷体" w:hAnsi="楷体" w:hint="eastAsia"/>
          <w:szCs w:val="21"/>
        </w:rPr>
        <w:t>最高</w:t>
      </w:r>
      <w:r w:rsidR="0004333F">
        <w:rPr>
          <w:rFonts w:ascii="楷体" w:eastAsia="楷体" w:hAnsi="楷体" w:hint="eastAsia"/>
          <w:szCs w:val="21"/>
        </w:rPr>
        <w:t>收益为</w:t>
      </w:r>
      <w:r w:rsidRPr="007E5485">
        <w:rPr>
          <w:rFonts w:ascii="楷体" w:eastAsia="楷体" w:hAnsi="楷体" w:hint="eastAsia"/>
          <w:szCs w:val="21"/>
        </w:rPr>
        <w:t>华安宝利配置</w:t>
      </w:r>
      <w:r w:rsidR="0004333F">
        <w:rPr>
          <w:rFonts w:ascii="楷体" w:eastAsia="楷体" w:hAnsi="楷体" w:hint="eastAsia"/>
          <w:szCs w:val="21"/>
        </w:rPr>
        <w:t>的</w:t>
      </w:r>
      <w:r w:rsidRPr="007E5485">
        <w:rPr>
          <w:rFonts w:ascii="楷体" w:eastAsia="楷体" w:hAnsi="楷体" w:hint="eastAsia"/>
          <w:szCs w:val="21"/>
        </w:rPr>
        <w:t>4.21%。310只混合-灵活型</w:t>
      </w:r>
      <w:r w:rsidR="0004333F">
        <w:rPr>
          <w:rFonts w:ascii="楷体" w:eastAsia="楷体" w:hAnsi="楷体" w:hint="eastAsia"/>
          <w:szCs w:val="21"/>
        </w:rPr>
        <w:t>基金</w:t>
      </w:r>
      <w:r w:rsidRPr="007E5485">
        <w:rPr>
          <w:rFonts w:ascii="楷体" w:eastAsia="楷体" w:hAnsi="楷体" w:cs="Arial" w:hint="eastAsia"/>
          <w:color w:val="000000" w:themeColor="text1"/>
          <w:szCs w:val="21"/>
        </w:rPr>
        <w:t>平均涨幅为3.01%，</w:t>
      </w:r>
      <w:r w:rsidR="0004333F" w:rsidRPr="007E5485">
        <w:rPr>
          <w:rFonts w:ascii="楷体" w:eastAsia="楷体" w:hAnsi="楷体" w:hint="eastAsia"/>
          <w:szCs w:val="21"/>
        </w:rPr>
        <w:t>最低收益持平，</w:t>
      </w:r>
      <w:r w:rsidRPr="007E5485">
        <w:rPr>
          <w:rFonts w:ascii="楷体" w:eastAsia="楷体" w:hAnsi="楷体" w:cs="Arial" w:hint="eastAsia"/>
          <w:color w:val="000000" w:themeColor="text1"/>
          <w:szCs w:val="21"/>
        </w:rPr>
        <w:t>约有30%的产品收益大于4%，最高收益为</w:t>
      </w:r>
      <w:r w:rsidRPr="007E5485">
        <w:rPr>
          <w:rFonts w:ascii="楷体" w:eastAsia="楷体" w:hAnsi="楷体" w:hint="eastAsia"/>
          <w:szCs w:val="21"/>
        </w:rPr>
        <w:t>兴全有机增长</w:t>
      </w:r>
      <w:r w:rsidR="0004333F">
        <w:rPr>
          <w:rFonts w:ascii="楷体" w:eastAsia="楷体" w:hAnsi="楷体" w:hint="eastAsia"/>
          <w:szCs w:val="21"/>
        </w:rPr>
        <w:t>的</w:t>
      </w:r>
      <w:r w:rsidRPr="007E5485">
        <w:rPr>
          <w:rFonts w:ascii="楷体" w:eastAsia="楷体" w:hAnsi="楷体" w:hint="eastAsia"/>
          <w:szCs w:val="21"/>
        </w:rPr>
        <w:t>9.32%</w:t>
      </w:r>
      <w:r w:rsidR="0004333F">
        <w:rPr>
          <w:rFonts w:ascii="楷体" w:eastAsia="楷体" w:hAnsi="楷体" w:hint="eastAsia"/>
          <w:szCs w:val="21"/>
        </w:rPr>
        <w:t>，</w:t>
      </w:r>
      <w:r w:rsidRPr="007E5485">
        <w:rPr>
          <w:rFonts w:ascii="楷体" w:eastAsia="楷体" w:hAnsi="楷体" w:hint="eastAsia"/>
          <w:szCs w:val="21"/>
        </w:rPr>
        <w:t>另有9只产品收益大于7%。</w:t>
      </w:r>
    </w:p>
    <w:p w:rsidR="00714316" w:rsidRPr="00770181" w:rsidRDefault="007E5485" w:rsidP="00A91C00">
      <w:pPr>
        <w:pStyle w:val="ab"/>
        <w:numPr>
          <w:ilvl w:val="5"/>
          <w:numId w:val="2"/>
        </w:numPr>
        <w:spacing w:after="163"/>
        <w:ind w:left="4140" w:hanging="369"/>
        <w:rPr>
          <w:rFonts w:ascii="楷体" w:eastAsia="楷体" w:hAnsi="楷体" w:cs="Arial"/>
          <w:color w:val="000000" w:themeColor="text1"/>
          <w:szCs w:val="21"/>
        </w:rPr>
      </w:pPr>
      <w:r w:rsidRPr="00770181">
        <w:rPr>
          <w:rFonts w:ascii="楷体" w:eastAsia="楷体" w:hAnsi="楷体" w:cs="Arial" w:hint="eastAsia"/>
          <w:color w:val="000000" w:themeColor="text1"/>
          <w:szCs w:val="21"/>
        </w:rPr>
        <w:t>98只QDII产品仅2只上涨，分别为银华恒生H股A（</w:t>
      </w:r>
      <w:r w:rsidR="00770181" w:rsidRPr="00770181">
        <w:rPr>
          <w:rFonts w:ascii="楷体" w:eastAsia="楷体" w:hAnsi="楷体" w:cs="Arial" w:hint="eastAsia"/>
          <w:color w:val="000000" w:themeColor="text1"/>
          <w:szCs w:val="21"/>
        </w:rPr>
        <w:t>0.12%</w:t>
      </w:r>
      <w:r w:rsidRPr="00770181">
        <w:rPr>
          <w:rFonts w:ascii="楷体" w:eastAsia="楷体" w:hAnsi="楷体" w:cs="Arial" w:hint="eastAsia"/>
          <w:color w:val="000000" w:themeColor="text1"/>
          <w:szCs w:val="21"/>
        </w:rPr>
        <w:t>）和</w:t>
      </w:r>
      <w:r w:rsidRPr="00770181">
        <w:rPr>
          <w:rFonts w:ascii="楷体" w:eastAsia="楷体" w:hAnsi="楷体" w:hint="eastAsia"/>
          <w:szCs w:val="21"/>
        </w:rPr>
        <w:t>汇添富恒生指数A（</w:t>
      </w:r>
      <w:r w:rsidR="00770181" w:rsidRPr="00770181">
        <w:rPr>
          <w:rFonts w:ascii="楷体" w:eastAsia="楷体" w:hAnsi="楷体" w:hint="eastAsia"/>
          <w:szCs w:val="21"/>
        </w:rPr>
        <w:t>0.10%</w:t>
      </w:r>
      <w:r w:rsidR="00770181" w:rsidRPr="00770181">
        <w:rPr>
          <w:rFonts w:ascii="楷体" w:eastAsia="楷体" w:hAnsi="楷体"/>
          <w:szCs w:val="21"/>
        </w:rPr>
        <w:t>）</w:t>
      </w:r>
      <w:r w:rsidR="00770181" w:rsidRPr="00770181">
        <w:rPr>
          <w:rFonts w:ascii="楷体" w:eastAsia="楷体" w:hAnsi="楷体" w:hint="eastAsia"/>
          <w:szCs w:val="21"/>
        </w:rPr>
        <w:t>,</w:t>
      </w:r>
      <w:r w:rsidR="00770181">
        <w:rPr>
          <w:rFonts w:ascii="楷体" w:eastAsia="楷体" w:hAnsi="楷体" w:hint="eastAsia"/>
          <w:szCs w:val="21"/>
        </w:rPr>
        <w:t>最大跌幅为5.43%，</w:t>
      </w:r>
      <w:r w:rsidR="00770181" w:rsidRPr="00770181">
        <w:rPr>
          <w:rFonts w:ascii="楷体" w:eastAsia="楷体" w:hAnsi="楷体" w:hint="eastAsia"/>
          <w:szCs w:val="21"/>
        </w:rPr>
        <w:t>全部产品平均</w:t>
      </w:r>
      <w:r w:rsidR="0004333F">
        <w:rPr>
          <w:rFonts w:ascii="楷体" w:eastAsia="楷体" w:hAnsi="楷体" w:hint="eastAsia"/>
          <w:szCs w:val="21"/>
        </w:rPr>
        <w:t>下跌</w:t>
      </w:r>
      <w:r w:rsidR="00770181" w:rsidRPr="00770181">
        <w:rPr>
          <w:rFonts w:ascii="楷体" w:eastAsia="楷体" w:hAnsi="楷体" w:hint="eastAsia"/>
          <w:szCs w:val="21"/>
        </w:rPr>
        <w:t>1.63%。</w:t>
      </w:r>
      <w:r w:rsidR="00770181">
        <w:rPr>
          <w:rFonts w:ascii="楷体" w:eastAsia="楷体" w:hAnsi="楷体" w:hint="eastAsia"/>
          <w:szCs w:val="21"/>
        </w:rPr>
        <w:t>行业基金排名</w:t>
      </w:r>
      <w:r w:rsidR="0004333F">
        <w:rPr>
          <w:rFonts w:ascii="楷体" w:eastAsia="楷体" w:hAnsi="楷体" w:hint="eastAsia"/>
          <w:szCs w:val="21"/>
        </w:rPr>
        <w:t>较为</w:t>
      </w:r>
      <w:r w:rsidR="00770181">
        <w:rPr>
          <w:rFonts w:ascii="楷体" w:eastAsia="楷体" w:hAnsi="楷体" w:hint="eastAsia"/>
          <w:szCs w:val="21"/>
        </w:rPr>
        <w:t>分散，部分投资资源油气类产品跌幅较大</w:t>
      </w:r>
      <w:r w:rsidR="0004333F">
        <w:rPr>
          <w:rFonts w:ascii="楷体" w:eastAsia="楷体" w:hAnsi="楷体" w:hint="eastAsia"/>
          <w:szCs w:val="21"/>
        </w:rPr>
        <w:t>。</w:t>
      </w:r>
      <w:r w:rsidR="00770181">
        <w:rPr>
          <w:rFonts w:ascii="楷体" w:eastAsia="楷体" w:hAnsi="楷体" w:hint="eastAsia"/>
          <w:szCs w:val="21"/>
        </w:rPr>
        <w:t>商品基金中，黄金主题基金跌幅较大。跌幅较小的基金多为新兴市场基金和债券基金。</w:t>
      </w:r>
    </w:p>
    <w:p w:rsidR="006050BC" w:rsidRPr="009E1837" w:rsidRDefault="00980F3B" w:rsidP="009E1837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固定</w:t>
      </w:r>
      <w:r w:rsidRPr="003B6A6A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收</w:t>
      </w:r>
      <w:r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益类</w:t>
      </w:r>
      <w:r w:rsidR="00503057" w:rsidRPr="005B7CDB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基金一周业绩：</w:t>
      </w:r>
      <w:r w:rsidR="000E4C88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可转债基</w:t>
      </w:r>
      <w:r w:rsidR="000848B3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领涨</w:t>
      </w:r>
      <w:r w:rsidR="000E4C88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，货基涨幅破五</w:t>
      </w:r>
    </w:p>
    <w:p w:rsidR="00050E4C" w:rsidRPr="00E0346B" w:rsidRDefault="00FA1EFA" w:rsidP="00DB49ED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FA1EFA">
        <w:rPr>
          <w:rFonts w:ascii="楷体" w:eastAsia="楷体" w:hAnsi="楷体" w:cs="Arial" w:hint="eastAsia"/>
          <w:color w:val="000000" w:themeColor="text1"/>
          <w:szCs w:val="21"/>
        </w:rPr>
        <w:t>3月12日，央行</w:t>
      </w:r>
      <w:r w:rsidR="008A13FD">
        <w:rPr>
          <w:rFonts w:ascii="楷体" w:eastAsia="楷体" w:hAnsi="楷体" w:cs="Arial" w:hint="eastAsia"/>
          <w:color w:val="000000" w:themeColor="text1"/>
          <w:szCs w:val="21"/>
        </w:rPr>
        <w:t>在</w:t>
      </w:r>
      <w:r w:rsidRPr="00FA1EFA">
        <w:rPr>
          <w:rFonts w:ascii="楷体" w:eastAsia="楷体" w:hAnsi="楷体" w:cs="Arial" w:hint="eastAsia"/>
          <w:color w:val="000000" w:themeColor="text1"/>
          <w:szCs w:val="21"/>
        </w:rPr>
        <w:t>公开市场进行250亿元7天期逆回购操作，中标利率维持在3.75%</w:t>
      </w:r>
      <w:r w:rsidR="008A13FD">
        <w:rPr>
          <w:rFonts w:ascii="楷体" w:eastAsia="楷体" w:hAnsi="楷体" w:cs="Arial" w:hint="eastAsia"/>
          <w:color w:val="000000" w:themeColor="text1"/>
          <w:szCs w:val="21"/>
        </w:rPr>
        <w:t>，全周</w:t>
      </w:r>
      <w:r w:rsidRPr="00FA1EFA">
        <w:rPr>
          <w:rFonts w:ascii="楷体" w:eastAsia="楷体" w:hAnsi="楷体" w:cs="Arial" w:hint="eastAsia"/>
          <w:color w:val="000000" w:themeColor="text1"/>
          <w:szCs w:val="21"/>
        </w:rPr>
        <w:t>净回笼资金</w:t>
      </w:r>
      <w:r w:rsidR="008A13FD">
        <w:rPr>
          <w:rFonts w:ascii="楷体" w:eastAsia="楷体" w:hAnsi="楷体" w:cs="Arial" w:hint="eastAsia"/>
          <w:color w:val="000000" w:themeColor="text1"/>
          <w:szCs w:val="21"/>
        </w:rPr>
        <w:t>为</w:t>
      </w:r>
      <w:r w:rsidRPr="00FA1EFA">
        <w:rPr>
          <w:rFonts w:ascii="楷体" w:eastAsia="楷体" w:hAnsi="楷体" w:cs="Arial" w:hint="eastAsia"/>
          <w:color w:val="000000" w:themeColor="text1"/>
          <w:szCs w:val="21"/>
        </w:rPr>
        <w:t>530</w:t>
      </w:r>
      <w:r w:rsidR="008A13FD">
        <w:rPr>
          <w:rFonts w:ascii="楷体" w:eastAsia="楷体" w:hAnsi="楷体" w:cs="Arial" w:hint="eastAsia"/>
          <w:color w:val="000000" w:themeColor="text1"/>
          <w:szCs w:val="21"/>
        </w:rPr>
        <w:t>亿元，已经是</w:t>
      </w:r>
      <w:r w:rsidRPr="00FA1EFA">
        <w:rPr>
          <w:rFonts w:ascii="楷体" w:eastAsia="楷体" w:hAnsi="楷体" w:cs="Arial" w:hint="eastAsia"/>
          <w:color w:val="000000" w:themeColor="text1"/>
          <w:szCs w:val="21"/>
        </w:rPr>
        <w:t>春节后连续第三周回笼资金。</w:t>
      </w:r>
    </w:p>
    <w:p w:rsidR="00E460CD" w:rsidRPr="00E460CD" w:rsidRDefault="00E460CD" w:rsidP="009F7062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E460CD">
        <w:rPr>
          <w:rFonts w:ascii="楷体" w:eastAsia="楷体" w:hAnsi="楷体" w:cs="Arial" w:hint="eastAsia"/>
          <w:color w:val="000000" w:themeColor="text1"/>
          <w:szCs w:val="21"/>
        </w:rPr>
        <w:t>上周权益市场止跌反弹，可持权益头寸的债券</w:t>
      </w:r>
      <w:r w:rsidR="008769A7">
        <w:rPr>
          <w:rFonts w:ascii="楷体" w:eastAsia="楷体" w:hAnsi="楷体" w:cs="Arial" w:hint="eastAsia"/>
          <w:color w:val="000000" w:themeColor="text1"/>
          <w:szCs w:val="21"/>
        </w:rPr>
        <w:t>基金</w:t>
      </w:r>
      <w:r w:rsidR="008769A7" w:rsidRPr="00E460CD">
        <w:rPr>
          <w:rFonts w:ascii="楷体" w:eastAsia="楷体" w:hAnsi="楷体" w:cs="Arial" w:hint="eastAsia"/>
          <w:color w:val="000000" w:themeColor="text1"/>
          <w:szCs w:val="21"/>
        </w:rPr>
        <w:t>以股为贵的</w:t>
      </w:r>
      <w:r w:rsidR="008769A7">
        <w:rPr>
          <w:rFonts w:ascii="楷体" w:eastAsia="楷体" w:hAnsi="楷体" w:cs="Arial" w:hint="eastAsia"/>
          <w:color w:val="000000" w:themeColor="text1"/>
          <w:szCs w:val="21"/>
        </w:rPr>
        <w:t>，</w:t>
      </w:r>
      <w:r w:rsidRPr="00E460CD">
        <w:rPr>
          <w:rFonts w:ascii="楷体" w:eastAsia="楷体" w:hAnsi="楷体" w:cs="Arial" w:hint="eastAsia"/>
          <w:color w:val="000000" w:themeColor="text1"/>
          <w:szCs w:val="21"/>
        </w:rPr>
        <w:t>收益较好。可转债基涨2.93%，</w:t>
      </w:r>
      <w:r w:rsidR="008769A7">
        <w:rPr>
          <w:rFonts w:ascii="楷体" w:eastAsia="楷体" w:hAnsi="楷体" w:cs="Arial" w:hint="eastAsia"/>
          <w:color w:val="000000" w:themeColor="text1"/>
          <w:szCs w:val="21"/>
        </w:rPr>
        <w:t>其中，</w:t>
      </w:r>
      <w:r w:rsidRPr="00E460CD">
        <w:rPr>
          <w:rFonts w:ascii="楷体" w:eastAsia="楷体" w:hAnsi="楷体" w:hint="eastAsia"/>
          <w:szCs w:val="21"/>
        </w:rPr>
        <w:t>富国可转债（5.12%），天治可转债增强C（4.68%）收益居前。</w:t>
      </w:r>
      <w:r w:rsidRPr="00E460CD">
        <w:rPr>
          <w:rFonts w:ascii="楷体" w:eastAsia="楷体" w:hAnsi="楷体" w:cs="Arial" w:hint="eastAsia"/>
          <w:color w:val="000000" w:themeColor="text1"/>
          <w:szCs w:val="21"/>
        </w:rPr>
        <w:t>二级债基涨0.80%，一级债基涨0.59%，指数债基涨0.52%，纯债基金涨0.26%，理财债基失守0.09%的平均收益率，降至0.08%。</w:t>
      </w:r>
    </w:p>
    <w:p w:rsidR="00E460CD" w:rsidRPr="00E0346B" w:rsidRDefault="00E460CD" w:rsidP="003E2434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>
        <w:rPr>
          <w:rFonts w:ascii="楷体" w:eastAsia="楷体" w:hAnsi="楷体" w:cs="Arial" w:hint="eastAsia"/>
          <w:color w:val="000000" w:themeColor="text1"/>
          <w:szCs w:val="21"/>
        </w:rPr>
        <w:t>318只货币基金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七日年化收益率均值为</w:t>
      </w:r>
      <w:r>
        <w:rPr>
          <w:rFonts w:ascii="楷体" w:eastAsia="楷体" w:hAnsi="楷体" w:cs="Arial" w:hint="eastAsia"/>
          <w:color w:val="000000" w:themeColor="text1"/>
          <w:szCs w:val="21"/>
        </w:rPr>
        <w:t>5.02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%</w:t>
      </w:r>
      <w:r>
        <w:rPr>
          <w:rFonts w:ascii="楷体" w:eastAsia="楷体" w:hAnsi="楷体" w:cs="Arial" w:hint="eastAsia"/>
          <w:color w:val="000000" w:themeColor="text1"/>
          <w:szCs w:val="21"/>
        </w:rPr>
        <w:t>(前周为4.74%)，其中，33%的产品</w:t>
      </w:r>
      <w:r w:rsidRPr="00E0346B">
        <w:rPr>
          <w:rFonts w:ascii="楷体" w:eastAsia="楷体" w:hAnsi="楷体" w:cs="Arial" w:hint="eastAsia"/>
          <w:color w:val="000000" w:themeColor="text1"/>
          <w:szCs w:val="21"/>
        </w:rPr>
        <w:t>七日年化收益率</w:t>
      </w:r>
      <w:r>
        <w:rPr>
          <w:rFonts w:ascii="楷体" w:eastAsia="楷体" w:hAnsi="楷体" w:cs="Arial" w:hint="eastAsia"/>
          <w:color w:val="000000" w:themeColor="text1"/>
          <w:szCs w:val="21"/>
        </w:rPr>
        <w:t>大于5</w:t>
      </w:r>
      <w:r w:rsidR="000E4C88">
        <w:rPr>
          <w:rFonts w:ascii="楷体" w:eastAsia="楷体" w:hAnsi="楷体" w:cs="Arial" w:hint="eastAsia"/>
          <w:color w:val="000000" w:themeColor="text1"/>
          <w:szCs w:val="21"/>
        </w:rPr>
        <w:t>%,</w:t>
      </w:r>
      <w:r w:rsidR="00F43BD6">
        <w:rPr>
          <w:rFonts w:ascii="楷体" w:eastAsia="楷体" w:hAnsi="楷体" w:cs="Arial" w:hint="eastAsia"/>
          <w:color w:val="000000" w:themeColor="text1"/>
          <w:szCs w:val="21"/>
        </w:rPr>
        <w:t>57%的产品在4%~5%之间，</w:t>
      </w:r>
      <w:r w:rsidR="000E4C88">
        <w:rPr>
          <w:rFonts w:ascii="楷体" w:eastAsia="楷体" w:hAnsi="楷体" w:cs="Arial" w:hint="eastAsia"/>
          <w:color w:val="000000" w:themeColor="text1"/>
          <w:szCs w:val="21"/>
        </w:rPr>
        <w:t>仅</w:t>
      </w:r>
      <w:r w:rsidR="00F43BD6">
        <w:rPr>
          <w:rFonts w:ascii="楷体" w:eastAsia="楷体" w:hAnsi="楷体" w:cs="Arial" w:hint="eastAsia"/>
          <w:color w:val="000000" w:themeColor="text1"/>
          <w:szCs w:val="21"/>
        </w:rPr>
        <w:t>8%的产品在2%~4%之间。</w:t>
      </w:r>
      <w:r w:rsidR="00F43BD6" w:rsidRPr="00F43BD6">
        <w:rPr>
          <w:rFonts w:ascii="楷体" w:eastAsia="楷体" w:hAnsi="楷体" w:cs="Arial" w:hint="eastAsia"/>
          <w:color w:val="000000" w:themeColor="text1"/>
          <w:szCs w:val="21"/>
        </w:rPr>
        <w:t>安信现金增利</w:t>
      </w:r>
      <w:r w:rsidR="00F43BD6">
        <w:rPr>
          <w:rFonts w:ascii="楷体" w:eastAsia="楷体" w:hAnsi="楷体" w:cs="Arial" w:hint="eastAsia"/>
          <w:color w:val="000000" w:themeColor="text1"/>
          <w:szCs w:val="21"/>
        </w:rPr>
        <w:t>（23.78%）收益排名第一，</w:t>
      </w:r>
      <w:r w:rsidR="00F43BD6" w:rsidRPr="00F43BD6">
        <w:rPr>
          <w:rFonts w:ascii="楷体" w:eastAsia="楷体" w:hAnsi="楷体" w:cs="Arial" w:hint="eastAsia"/>
          <w:color w:val="000000" w:themeColor="text1"/>
          <w:szCs w:val="21"/>
        </w:rPr>
        <w:t>国寿安保场内申赎B</w:t>
      </w:r>
      <w:r w:rsidR="00F43BD6">
        <w:rPr>
          <w:rFonts w:ascii="楷体" w:eastAsia="楷体" w:hAnsi="楷体" w:cs="Arial" w:hint="eastAsia"/>
          <w:color w:val="000000" w:themeColor="text1"/>
          <w:szCs w:val="21"/>
        </w:rPr>
        <w:t>（14.31%）和</w:t>
      </w:r>
      <w:r w:rsidR="00F43BD6" w:rsidRPr="00F43BD6">
        <w:rPr>
          <w:rFonts w:ascii="楷体" w:eastAsia="楷体" w:hAnsi="楷体" w:cs="Arial" w:hint="eastAsia"/>
          <w:color w:val="000000" w:themeColor="text1"/>
          <w:szCs w:val="21"/>
        </w:rPr>
        <w:t>国寿安保场内申赎</w:t>
      </w:r>
      <w:r w:rsidR="00F43BD6">
        <w:rPr>
          <w:rFonts w:ascii="楷体" w:eastAsia="楷体" w:hAnsi="楷体" w:cs="Arial" w:hint="eastAsia"/>
          <w:color w:val="000000" w:themeColor="text1"/>
          <w:szCs w:val="21"/>
        </w:rPr>
        <w:t>A（13.59%）</w:t>
      </w:r>
      <w:r w:rsidR="000E4C88">
        <w:rPr>
          <w:rFonts w:ascii="楷体" w:eastAsia="楷体" w:hAnsi="楷体" w:cs="Arial" w:hint="eastAsia"/>
          <w:color w:val="000000" w:themeColor="text1"/>
          <w:szCs w:val="21"/>
        </w:rPr>
        <w:t>分别</w:t>
      </w:r>
      <w:r w:rsidR="00F43BD6">
        <w:rPr>
          <w:rFonts w:ascii="楷体" w:eastAsia="楷体" w:hAnsi="楷体" w:cs="Arial" w:hint="eastAsia"/>
          <w:color w:val="000000" w:themeColor="text1"/>
          <w:szCs w:val="21"/>
        </w:rPr>
        <w:t>排名第二和第三。</w:t>
      </w:r>
    </w:p>
    <w:p w:rsidR="00E272FB" w:rsidRPr="001336AF" w:rsidRDefault="008E2FEB" w:rsidP="001336AF">
      <w:pPr>
        <w:widowControl/>
        <w:spacing w:after="120"/>
        <w:ind w:left="3430"/>
        <w:rPr>
          <w:rFonts w:ascii="楷体" w:eastAsia="楷体" w:hAnsi="楷体"/>
          <w:b/>
          <w:bCs/>
          <w:color w:val="0070C0"/>
          <w:kern w:val="0"/>
          <w:szCs w:val="21"/>
          <w:lang w:val="en-GB"/>
        </w:rPr>
      </w:pPr>
      <w:r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lastRenderedPageBreak/>
        <w:t>分级基金子份额一周业绩：</w:t>
      </w:r>
      <w:r w:rsidR="007670A6">
        <w:rPr>
          <w:rFonts w:ascii="楷体" w:eastAsia="楷体" w:hAnsi="楷体" w:hint="eastAsia"/>
          <w:b/>
          <w:bCs/>
          <w:color w:val="0070C0"/>
          <w:kern w:val="0"/>
          <w:szCs w:val="21"/>
          <w:lang w:val="en-GB"/>
        </w:rPr>
        <w:t>股基积极收益突出，债基积极业绩差距较大</w:t>
      </w:r>
    </w:p>
    <w:p w:rsidR="00290AF6" w:rsidRPr="00717DE1" w:rsidRDefault="0085156B" w:rsidP="00717DE1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85156B">
        <w:rPr>
          <w:rFonts w:ascii="楷体" w:eastAsia="楷体" w:hAnsi="楷体" w:cs="Arial" w:hint="eastAsia"/>
          <w:color w:val="000000" w:themeColor="text1"/>
          <w:szCs w:val="21"/>
        </w:rPr>
        <w:t>上周，63只股基稳健份额全部上涨，平均收益为0.19%，</w:t>
      </w:r>
      <w:r w:rsidRPr="0085156B">
        <w:rPr>
          <w:rFonts w:ascii="楷体" w:eastAsia="楷体" w:hAnsi="楷体" w:hint="eastAsia"/>
          <w:szCs w:val="21"/>
        </w:rPr>
        <w:t>兴全合润分级A（3.72%）和国投瑞银瑞和小康（1.57%）收益突出，其余产品收益率均在0.2%以下。</w:t>
      </w:r>
      <w:r w:rsidRPr="0085156B">
        <w:rPr>
          <w:rFonts w:ascii="楷体" w:eastAsia="楷体" w:hAnsi="楷体" w:cs="Arial" w:hint="eastAsia"/>
          <w:color w:val="000000" w:themeColor="text1"/>
          <w:szCs w:val="21"/>
        </w:rPr>
        <w:t>63只股</w:t>
      </w:r>
      <w:r w:rsidR="00FB3E2E">
        <w:rPr>
          <w:rFonts w:ascii="楷体" w:eastAsia="楷体" w:hAnsi="楷体" w:cs="Arial" w:hint="eastAsia"/>
          <w:color w:val="000000" w:themeColor="text1"/>
          <w:szCs w:val="21"/>
        </w:rPr>
        <w:t>基</w:t>
      </w:r>
      <w:r w:rsidRPr="0085156B">
        <w:rPr>
          <w:rFonts w:ascii="楷体" w:eastAsia="楷体" w:hAnsi="楷体" w:cs="Arial" w:hint="eastAsia"/>
          <w:color w:val="000000" w:themeColor="text1"/>
          <w:szCs w:val="21"/>
        </w:rPr>
        <w:t>积极份额仅一只微跌，平均收益为5.21%%，半数产品收益大于5%，</w:t>
      </w:r>
      <w:r w:rsidRPr="0085156B">
        <w:rPr>
          <w:rFonts w:ascii="楷体" w:eastAsia="楷体" w:hAnsi="楷体" w:hint="eastAsia"/>
          <w:szCs w:val="21"/>
        </w:rPr>
        <w:t>银河沪深300成长B（11.87%）和信诚中证800金融B（10.46%）收益靠前。</w:t>
      </w:r>
    </w:p>
    <w:p w:rsidR="0085156B" w:rsidRPr="00717DE1" w:rsidRDefault="0085156B" w:rsidP="00C356BF">
      <w:pPr>
        <w:pStyle w:val="ab"/>
        <w:numPr>
          <w:ilvl w:val="4"/>
          <w:numId w:val="1"/>
        </w:numPr>
        <w:spacing w:after="163"/>
        <w:rPr>
          <w:rFonts w:ascii="楷体" w:eastAsia="楷体" w:hAnsi="楷体" w:cs="Arial"/>
          <w:color w:val="000000" w:themeColor="text1"/>
          <w:szCs w:val="21"/>
        </w:rPr>
      </w:pPr>
      <w:r w:rsidRPr="00717DE1">
        <w:rPr>
          <w:rFonts w:ascii="楷体" w:eastAsia="楷体" w:hAnsi="楷体" w:cs="Arial" w:hint="eastAsia"/>
          <w:color w:val="000000" w:themeColor="text1"/>
          <w:szCs w:val="21"/>
        </w:rPr>
        <w:t>54只债基稳健份额平均收益为0.09%，</w:t>
      </w:r>
      <w:r w:rsidR="00717DE1" w:rsidRPr="00717DE1">
        <w:rPr>
          <w:rFonts w:ascii="楷体" w:eastAsia="楷体" w:hAnsi="楷体" w:hint="eastAsia"/>
          <w:szCs w:val="21"/>
        </w:rPr>
        <w:t>东吴中证可转换债券A</w:t>
      </w:r>
      <w:r w:rsidR="00717DE1" w:rsidRPr="00717DE1">
        <w:rPr>
          <w:rFonts w:ascii="楷体" w:eastAsia="楷体" w:hAnsi="楷体" w:cs="Arial" w:hint="eastAsia"/>
          <w:color w:val="000000" w:themeColor="text1"/>
          <w:szCs w:val="21"/>
        </w:rPr>
        <w:t xml:space="preserve"> 收益最高，为0.20%，另有</w:t>
      </w:r>
      <w:r w:rsidRPr="00717DE1">
        <w:rPr>
          <w:rFonts w:ascii="楷体" w:eastAsia="楷体" w:hAnsi="楷体" w:cs="Arial" w:hint="eastAsia"/>
          <w:color w:val="000000" w:themeColor="text1"/>
          <w:szCs w:val="21"/>
        </w:rPr>
        <w:t>72%的产品收益为</w:t>
      </w:r>
      <w:r w:rsidR="00717DE1" w:rsidRPr="00717DE1">
        <w:rPr>
          <w:rFonts w:ascii="楷体" w:eastAsia="楷体" w:hAnsi="楷体" w:cs="Arial" w:hint="eastAsia"/>
          <w:color w:val="000000" w:themeColor="text1"/>
          <w:szCs w:val="21"/>
        </w:rPr>
        <w:t>0.10%</w:t>
      </w:r>
      <w:r w:rsidR="00EE6A41">
        <w:rPr>
          <w:rFonts w:ascii="楷体" w:eastAsia="楷体" w:hAnsi="楷体" w:cs="Arial" w:hint="eastAsia"/>
          <w:color w:val="000000" w:themeColor="text1"/>
          <w:szCs w:val="21"/>
        </w:rPr>
        <w:t>。</w:t>
      </w:r>
      <w:r w:rsidR="00717DE1" w:rsidRPr="00717DE1">
        <w:rPr>
          <w:rFonts w:ascii="楷体" w:eastAsia="楷体" w:hAnsi="楷体" w:cs="Arial" w:hint="eastAsia"/>
          <w:color w:val="000000" w:themeColor="text1"/>
          <w:szCs w:val="21"/>
        </w:rPr>
        <w:t>54只债基积极份额平均收益为1.42%，有89%的产品上涨。积极份额业绩差距较大，排名第一的</w:t>
      </w:r>
      <w:r w:rsidR="00717DE1" w:rsidRPr="00717DE1">
        <w:rPr>
          <w:rFonts w:ascii="楷体" w:eastAsia="楷体" w:hAnsi="楷体" w:hint="eastAsia"/>
          <w:szCs w:val="21"/>
        </w:rPr>
        <w:t>银华中证转债B</w:t>
      </w:r>
      <w:r w:rsidR="00EE6A41">
        <w:rPr>
          <w:rFonts w:ascii="楷体" w:eastAsia="楷体" w:hAnsi="楷体" w:hint="eastAsia"/>
          <w:szCs w:val="21"/>
        </w:rPr>
        <w:t>收益为</w:t>
      </w:r>
      <w:r w:rsidR="00717DE1" w:rsidRPr="00717DE1">
        <w:rPr>
          <w:rFonts w:ascii="楷体" w:eastAsia="楷体" w:hAnsi="楷体" w:hint="eastAsia"/>
          <w:szCs w:val="21"/>
        </w:rPr>
        <w:t>15.98%，排名第二</w:t>
      </w:r>
      <w:r w:rsidR="00EE6A41">
        <w:rPr>
          <w:rFonts w:ascii="楷体" w:eastAsia="楷体" w:hAnsi="楷体" w:hint="eastAsia"/>
          <w:szCs w:val="21"/>
        </w:rPr>
        <w:t>的</w:t>
      </w:r>
      <w:r w:rsidR="00717DE1" w:rsidRPr="00717DE1">
        <w:rPr>
          <w:rFonts w:ascii="楷体" w:eastAsia="楷体" w:hAnsi="楷体" w:hint="eastAsia"/>
          <w:szCs w:val="21"/>
        </w:rPr>
        <w:t>招商可转债B</w:t>
      </w:r>
      <w:r w:rsidR="00EE6A41">
        <w:rPr>
          <w:rFonts w:ascii="楷体" w:eastAsia="楷体" w:hAnsi="楷体" w:hint="eastAsia"/>
          <w:szCs w:val="21"/>
        </w:rPr>
        <w:t>收益为</w:t>
      </w:r>
      <w:r w:rsidR="00717DE1" w:rsidRPr="00717DE1">
        <w:rPr>
          <w:rFonts w:ascii="楷体" w:eastAsia="楷体" w:hAnsi="楷体" w:hint="eastAsia"/>
          <w:szCs w:val="21"/>
        </w:rPr>
        <w:t>14.90%，其余52只产品中有47只产品收益在2%以下。</w:t>
      </w:r>
    </w:p>
    <w:tbl>
      <w:tblPr>
        <w:tblW w:w="11057" w:type="dxa"/>
        <w:tblInd w:w="-142" w:type="dxa"/>
        <w:tblBorders>
          <w:top w:val="single" w:sz="6" w:space="0" w:color="FF6600"/>
          <w:bottom w:val="single" w:sz="6" w:space="0" w:color="FF6600"/>
          <w:insideH w:val="single" w:sz="6" w:space="0" w:color="FF66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1"/>
        <w:gridCol w:w="709"/>
        <w:gridCol w:w="2126"/>
        <w:gridCol w:w="567"/>
        <w:gridCol w:w="851"/>
        <w:gridCol w:w="992"/>
        <w:gridCol w:w="992"/>
        <w:gridCol w:w="2268"/>
        <w:gridCol w:w="851"/>
        <w:gridCol w:w="850"/>
      </w:tblGrid>
      <w:tr w:rsidR="008177CF" w:rsidRPr="005B7CDB" w:rsidTr="00CE01AE">
        <w:trPr>
          <w:cantSplit/>
          <w:trHeight w:val="335"/>
        </w:trPr>
        <w:tc>
          <w:tcPr>
            <w:tcW w:w="11057" w:type="dxa"/>
            <w:gridSpan w:val="10"/>
            <w:tcBorders>
              <w:bottom w:val="single" w:sz="6" w:space="0" w:color="FF6600"/>
            </w:tcBorders>
            <w:shd w:val="clear" w:color="auto" w:fill="auto"/>
            <w:vAlign w:val="center"/>
          </w:tcPr>
          <w:p w:rsidR="008177CF" w:rsidRPr="005B7CDB" w:rsidRDefault="008177CF" w:rsidP="00796BF9">
            <w:pPr>
              <w:pStyle w:val="SubTitleLargeTable"/>
              <w:pBdr>
                <w:top w:val="none" w:sz="0" w:space="0" w:color="auto"/>
              </w:pBdr>
              <w:rPr>
                <w:rFonts w:ascii="楷体" w:eastAsia="楷体" w:hAnsi="楷体"/>
                <w:b w:val="0"/>
              </w:rPr>
            </w:pPr>
            <w:r w:rsidRPr="005B7CDB">
              <w:rPr>
                <w:rFonts w:ascii="楷体" w:eastAsia="楷体" w:hAnsi="楷体" w:cs="宋体" w:hint="eastAsia"/>
                <w:color w:val="FF6600"/>
              </w:rPr>
              <w:t>图表</w:t>
            </w:r>
            <w:r w:rsidR="008F39C1" w:rsidRPr="005B7CDB">
              <w:rPr>
                <w:rFonts w:ascii="楷体" w:eastAsia="楷体" w:hAnsi="楷体" w:hint="eastAsia"/>
                <w:color w:val="FF6600"/>
              </w:rPr>
              <w:t>5</w:t>
            </w:r>
            <w:r w:rsidRPr="005B7CDB">
              <w:rPr>
                <w:rFonts w:ascii="楷体" w:eastAsia="楷体" w:hAnsi="楷体" w:cs="宋体" w:hint="eastAsia"/>
                <w:color w:val="FF6600"/>
              </w:rPr>
              <w:t>：</w:t>
            </w:r>
            <w:r w:rsidR="006559C0" w:rsidRPr="005B7CDB">
              <w:rPr>
                <w:rFonts w:ascii="楷体" w:eastAsia="楷体" w:hAnsi="楷体" w:cs="宋体" w:hint="eastAsia"/>
                <w:color w:val="FF6600"/>
              </w:rPr>
              <w:t>各类型公募基金</w:t>
            </w:r>
            <w:r w:rsidR="00BE3214" w:rsidRPr="005B7CDB">
              <w:rPr>
                <w:rFonts w:ascii="楷体" w:eastAsia="楷体" w:hAnsi="楷体" w:cs="宋体" w:hint="eastAsia"/>
                <w:color w:val="FF6600"/>
              </w:rPr>
              <w:t>（含封闭式）</w:t>
            </w:r>
            <w:r w:rsidR="006559C0" w:rsidRPr="005B7CDB">
              <w:rPr>
                <w:rFonts w:ascii="楷体" w:eastAsia="楷体" w:hAnsi="楷体" w:cs="宋体" w:hint="eastAsia"/>
                <w:color w:val="FF6600"/>
              </w:rPr>
              <w:t>周收益率</w:t>
            </w:r>
            <w:r w:rsidR="00BE2C01" w:rsidRPr="005B7CDB">
              <w:rPr>
                <w:rFonts w:ascii="楷体" w:eastAsia="楷体" w:hAnsi="楷体" w:cs="宋体" w:hint="eastAsia"/>
                <w:color w:val="FF6600"/>
              </w:rPr>
              <w:t>前</w:t>
            </w:r>
            <w:r w:rsidR="006559C0" w:rsidRPr="005B7CDB">
              <w:rPr>
                <w:rFonts w:ascii="楷体" w:eastAsia="楷体" w:hAnsi="楷体" w:hint="eastAsia"/>
                <w:color w:val="FF6600"/>
              </w:rPr>
              <w:t>3</w:t>
            </w:r>
            <w:r w:rsidR="00E86700" w:rsidRPr="005B7CDB">
              <w:rPr>
                <w:rFonts w:ascii="楷体" w:eastAsia="楷体" w:hAnsi="楷体" w:cs="宋体" w:hint="eastAsia"/>
                <w:color w:val="FF6600"/>
              </w:rPr>
              <w:t>（</w:t>
            </w:r>
            <w:r w:rsidR="005E0787">
              <w:rPr>
                <w:rFonts w:ascii="楷体" w:eastAsia="楷体" w:hAnsi="楷体" w:hint="eastAsia"/>
                <w:color w:val="FF6600"/>
              </w:rPr>
              <w:t>3.9~3.13</w:t>
            </w:r>
            <w:r w:rsidR="00E101EA" w:rsidRPr="005B7CDB">
              <w:rPr>
                <w:rFonts w:ascii="楷体" w:eastAsia="楷体" w:hAnsi="楷体" w:cs="宋体" w:hint="eastAsia"/>
                <w:color w:val="FF6600"/>
              </w:rPr>
              <w:t>，</w:t>
            </w:r>
            <w:r w:rsidR="00E101EA" w:rsidRPr="005B7CDB">
              <w:rPr>
                <w:rFonts w:ascii="楷体" w:eastAsia="楷体" w:hAnsi="楷体" w:hint="eastAsia"/>
                <w:color w:val="FF6600"/>
              </w:rPr>
              <w:t>QDII为</w:t>
            </w:r>
            <w:r w:rsidR="005E0787">
              <w:rPr>
                <w:rFonts w:ascii="楷体" w:eastAsia="楷体" w:hAnsi="楷体" w:hint="eastAsia"/>
                <w:color w:val="FF6600"/>
              </w:rPr>
              <w:t>3.6</w:t>
            </w:r>
            <w:r w:rsidR="00E101EA" w:rsidRPr="00057142">
              <w:rPr>
                <w:rFonts w:ascii="楷体" w:eastAsia="楷体" w:hAnsi="楷体" w:hint="eastAsia"/>
                <w:color w:val="FF6600"/>
              </w:rPr>
              <w:t>~</w:t>
            </w:r>
            <w:r w:rsidR="005E0787">
              <w:rPr>
                <w:rFonts w:ascii="楷体" w:eastAsia="楷体" w:hAnsi="楷体" w:hint="eastAsia"/>
                <w:color w:val="FF6600"/>
              </w:rPr>
              <w:t>3.12</w:t>
            </w:r>
            <w:r w:rsidR="00E101EA" w:rsidRPr="005B7CDB">
              <w:rPr>
                <w:rFonts w:ascii="楷体" w:eastAsia="楷体" w:hAnsi="楷体" w:hint="eastAsia"/>
                <w:color w:val="FF6600"/>
              </w:rPr>
              <w:t>，</w:t>
            </w:r>
            <w:r w:rsidR="00E86700" w:rsidRPr="005B7CDB">
              <w:rPr>
                <w:rFonts w:ascii="楷体" w:eastAsia="楷体" w:hAnsi="楷体" w:hint="eastAsia"/>
                <w:color w:val="FF6600"/>
              </w:rPr>
              <w:t>货币基金为7日年化收益</w:t>
            </w:r>
            <w:r w:rsidR="00E86700">
              <w:rPr>
                <w:rFonts w:ascii="楷体" w:eastAsia="楷体" w:hAnsi="楷体" w:hint="eastAsia"/>
                <w:color w:val="FF6600"/>
              </w:rPr>
              <w:t>率</w:t>
            </w:r>
            <w:r w:rsidR="00E86700" w:rsidRPr="005B7CDB">
              <w:rPr>
                <w:rFonts w:ascii="楷体" w:eastAsia="楷体" w:hAnsi="楷体" w:cs="宋体" w:hint="eastAsia"/>
                <w:color w:val="FF6600"/>
              </w:rPr>
              <w:t>）</w:t>
            </w:r>
          </w:p>
        </w:tc>
      </w:tr>
      <w:tr w:rsidR="005A1CF9" w:rsidRPr="005B7CDB" w:rsidTr="005B0EC4">
        <w:trPr>
          <w:cantSplit/>
          <w:trHeight w:val="227"/>
        </w:trPr>
        <w:tc>
          <w:tcPr>
            <w:tcW w:w="851" w:type="dxa"/>
            <w:tcBorders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凯石分类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基金代码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基金名称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类型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  <w:tc>
          <w:tcPr>
            <w:tcW w:w="992" w:type="dxa"/>
            <w:tcBorders>
              <w:left w:val="single" w:sz="6" w:space="0" w:color="FF6600"/>
              <w:bottom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凯石分类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基金代码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基金名称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类型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FDE9D9" w:themeFill="accent6" w:themeFillTint="33"/>
            <w:vAlign w:val="center"/>
          </w:tcPr>
          <w:p w:rsidR="006559C0" w:rsidRPr="005B7CDB" w:rsidRDefault="006559C0" w:rsidP="000D1136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周收益率</w:t>
            </w:r>
            <w:r w:rsidR="006A6E20">
              <w:rPr>
                <w:rFonts w:ascii="楷体" w:eastAsia="楷体" w:hAnsi="楷体"/>
                <w:b/>
                <w:sz w:val="18"/>
                <w:szCs w:val="18"/>
              </w:rPr>
              <w:t>%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股票-</w:t>
            </w:r>
          </w:p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主动型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519979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长信内需成长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10.55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债券-</w:t>
            </w:r>
          </w:p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纯债基金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519061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海富通纯债A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2.32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540010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汇丰晋信科技先锋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9.89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519060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海富通纯债C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2.28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697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汇添富移动互联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8.32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华宸未来信用增利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1.59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股票-</w:t>
            </w:r>
          </w:p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/>
                <w:b/>
                <w:sz w:val="18"/>
                <w:szCs w:val="18"/>
              </w:rPr>
              <w:t>指数型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820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华安中证高分红A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6.86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一级债基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161115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易方达岁丰添利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封闭式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2.71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821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华安中证高分红C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6.86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160130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南方永利1年A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2.36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510030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华宝兴业上证180价值ETF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6.63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160132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南方永利1年C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2.36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混合-</w:t>
            </w:r>
          </w:p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偏股型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1000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中欧明睿新起点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8.50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二级债基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616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上投摩根优信增利A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2.76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70002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嘉实增长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7.09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617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上投摩根优信增利C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2.69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160603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鹏华普天收益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4.94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202107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南方广利回报C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2.23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混合-</w:t>
            </w:r>
          </w:p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偏债型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40004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华安宝利配置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4.21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理财债基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91021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大成月添利理财B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0.13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110001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易方达平稳增长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3.60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90021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大成月添利理财A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0.13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571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中邮双动力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3.12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485022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工银瑞信60天理财B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0.12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混合-</w:t>
            </w:r>
          </w:p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灵活型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340008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兴全有机增长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9.32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指数债基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161625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融通标普中国可转债C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3.30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233008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大摩消费领航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7.60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161624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融通标普中国可转债A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3.28</w:t>
            </w:r>
          </w:p>
        </w:tc>
      </w:tr>
      <w:tr w:rsidR="00D94D9A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</w:t>
            </w:r>
            <w:r w:rsidR="00D94D9A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70011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嘉实策略增长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7.45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D94D9A" w:rsidRPr="005B7CDB" w:rsidRDefault="00D94D9A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161826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银华中证转债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D94D9A" w:rsidRPr="002C3EF2" w:rsidRDefault="00D94D9A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3.00</w:t>
            </w: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2F5B82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2F5B82">
              <w:rPr>
                <w:rFonts w:ascii="楷体" w:eastAsia="楷体" w:hAnsi="楷体" w:hint="eastAsia"/>
                <w:b/>
                <w:sz w:val="18"/>
                <w:szCs w:val="18"/>
              </w:rPr>
              <w:t>QDII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150175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银华恒生H股A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0.12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债券-</w:t>
            </w:r>
          </w:p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 w:cs="宋体"/>
                <w:b/>
                <w:bCs/>
                <w:color w:val="000000"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bCs/>
                <w:color w:val="000000"/>
                <w:sz w:val="18"/>
                <w:szCs w:val="18"/>
              </w:rPr>
              <w:t>可转债基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100051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富国可转债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5.12</w:t>
            </w: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6E55A6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150169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汇添富恒生指数A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0000</w:t>
            </w:r>
            <w:r w:rsidR="009E4A54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81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天治可转债增强C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4.68</w:t>
            </w: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6E55A6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9E4A54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341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嘉实新兴市场A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0.00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0000</w:t>
            </w:r>
            <w:r w:rsidR="009E4A54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80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天治可转债增强A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4.65</w:t>
            </w: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分级基金子份额-</w:t>
            </w:r>
          </w:p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股票稳健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150016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兴全合润分级A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3.72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024C7D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分级基金子份额-</w:t>
            </w:r>
          </w:p>
          <w:p w:rsidR="009E4A54" w:rsidRPr="00024C7D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股票积极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150122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银河沪深300成长B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11.87</w:t>
            </w: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150008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国投瑞银瑞和小康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1.57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024C7D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150158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信诚中证800金融B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10.46</w:t>
            </w: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150098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长盛同庆中证800A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024C7D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150153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富国创业板B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9.32</w:t>
            </w: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分级基金子份额-</w:t>
            </w:r>
          </w:p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5B7CDB">
              <w:rPr>
                <w:rFonts w:ascii="楷体" w:eastAsia="楷体" w:hAnsi="楷体" w:hint="eastAsia"/>
                <w:b/>
                <w:sz w:val="18"/>
                <w:szCs w:val="18"/>
              </w:rPr>
              <w:t>债券稳健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150164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东吴中证可转换债券A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0.20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024C7D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分级基金子份额-</w:t>
            </w:r>
          </w:p>
          <w:p w:rsidR="009E4A54" w:rsidRPr="00024C7D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color w:val="000000"/>
                <w:sz w:val="18"/>
                <w:szCs w:val="18"/>
              </w:rPr>
            </w:pPr>
            <w:r w:rsidRPr="00024C7D">
              <w:rPr>
                <w:rFonts w:ascii="楷体" w:eastAsia="楷体" w:hAnsi="楷体" w:hint="eastAsia"/>
                <w:b/>
                <w:color w:val="000000"/>
                <w:sz w:val="18"/>
                <w:szCs w:val="18"/>
              </w:rPr>
              <w:t>债券积极</w:t>
            </w: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150144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银华中证转债B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15.98</w:t>
            </w: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429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易方达聚盈A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0.11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797357" w:rsidRDefault="009E4A54" w:rsidP="006E677E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150189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招商可转债B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14.90</w:t>
            </w: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164813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工银瑞信增利A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0.10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797357" w:rsidRDefault="009E4A54" w:rsidP="006E677E">
            <w:pPr>
              <w:snapToGrid w:val="0"/>
              <w:jc w:val="center"/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150165</w:t>
            </w: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东吴中证可转换债券B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9.39</w:t>
            </w: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 w:val="restart"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1B6D2E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  <w:r w:rsidRPr="001B6D2E">
              <w:rPr>
                <w:rFonts w:ascii="楷体" w:eastAsia="楷体" w:hAnsi="楷体"/>
                <w:b/>
                <w:sz w:val="18"/>
                <w:szCs w:val="18"/>
              </w:rPr>
              <w:t>货币市场</w:t>
            </w:r>
          </w:p>
          <w:p w:rsidR="009E4A54" w:rsidRPr="009E3A78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  <w:r w:rsidRPr="001B6D2E">
              <w:rPr>
                <w:rFonts w:ascii="楷体" w:eastAsia="楷体" w:hAnsi="楷体"/>
                <w:b/>
                <w:sz w:val="18"/>
                <w:szCs w:val="18"/>
              </w:rPr>
              <w:t>基金</w:t>
            </w: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386C79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000</w:t>
            </w:r>
            <w:r w:rsidR="009E4A54"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750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安信现金增利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23.78</w:t>
            </w:r>
          </w:p>
        </w:tc>
        <w:tc>
          <w:tcPr>
            <w:tcW w:w="992" w:type="dxa"/>
            <w:vMerge w:val="restart"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7E607C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 w:cs="宋体"/>
                <w:color w:val="000000" w:themeColor="text1"/>
                <w:sz w:val="18"/>
                <w:szCs w:val="18"/>
              </w:rPr>
            </w:pP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9E3A78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519879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国寿安保场内申赎B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14.31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</w:tr>
      <w:tr w:rsidR="009E4A54" w:rsidRPr="005B7CDB" w:rsidTr="005B0EC4">
        <w:trPr>
          <w:cantSplit/>
          <w:trHeight w:val="227"/>
        </w:trPr>
        <w:tc>
          <w:tcPr>
            <w:tcW w:w="851" w:type="dxa"/>
            <w:vMerge/>
            <w:tcBorders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9E3A78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519878</w:t>
            </w:r>
          </w:p>
        </w:tc>
        <w:tc>
          <w:tcPr>
            <w:tcW w:w="2126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国寿安保场内申赎A</w:t>
            </w:r>
          </w:p>
        </w:tc>
        <w:tc>
          <w:tcPr>
            <w:tcW w:w="567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开放式</w:t>
            </w: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</w:tcPr>
          <w:p w:rsidR="009E4A54" w:rsidRPr="002C3EF2" w:rsidRDefault="009E4A54" w:rsidP="002C3EF2">
            <w:pPr>
              <w:jc w:val="center"/>
              <w:rPr>
                <w:rFonts w:ascii="楷体" w:eastAsia="楷体" w:hAnsi="楷体" w:cs="宋体"/>
                <w:color w:val="000000"/>
                <w:sz w:val="18"/>
                <w:szCs w:val="18"/>
              </w:rPr>
            </w:pPr>
            <w:r w:rsidRPr="002C3EF2">
              <w:rPr>
                <w:rFonts w:ascii="楷体" w:eastAsia="楷体" w:hAnsi="楷体" w:hint="eastAsia"/>
                <w:color w:val="000000"/>
                <w:sz w:val="18"/>
                <w:szCs w:val="18"/>
              </w:rPr>
              <w:t>13.59</w:t>
            </w:r>
          </w:p>
        </w:tc>
        <w:tc>
          <w:tcPr>
            <w:tcW w:w="992" w:type="dxa"/>
            <w:vMerge/>
            <w:tcBorders>
              <w:left w:val="single" w:sz="6" w:space="0" w:color="FF6600"/>
              <w:right w:val="single" w:sz="6" w:space="0" w:color="FF6600"/>
            </w:tcBorders>
            <w:shd w:val="clear" w:color="auto" w:fill="FDE9D9" w:themeFill="accent6" w:themeFillTint="33"/>
            <w:vAlign w:val="center"/>
          </w:tcPr>
          <w:p w:rsidR="009E4A54" w:rsidRPr="005B7CDB" w:rsidRDefault="009E4A54" w:rsidP="006E677E">
            <w:pPr>
              <w:snapToGrid w:val="0"/>
              <w:jc w:val="center"/>
              <w:rPr>
                <w:rFonts w:ascii="楷体" w:eastAsia="楷体" w:hAnsi="楷体"/>
                <w:b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6" w:space="0" w:color="FF6600"/>
              <w:righ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6" w:space="0" w:color="FF6600"/>
            </w:tcBorders>
            <w:shd w:val="clear" w:color="auto" w:fill="auto"/>
            <w:vAlign w:val="center"/>
          </w:tcPr>
          <w:p w:rsidR="009E4A54" w:rsidRPr="002C3EF2" w:rsidRDefault="009E4A54" w:rsidP="002C3EF2">
            <w:pPr>
              <w:snapToGrid w:val="0"/>
              <w:jc w:val="center"/>
              <w:rPr>
                <w:rFonts w:ascii="楷体" w:eastAsia="楷体" w:hAnsi="楷体"/>
                <w:color w:val="000000" w:themeColor="text1"/>
                <w:sz w:val="18"/>
                <w:szCs w:val="18"/>
              </w:rPr>
            </w:pPr>
          </w:p>
        </w:tc>
      </w:tr>
    </w:tbl>
    <w:p w:rsidR="00161177" w:rsidRPr="000F6820" w:rsidRDefault="008177CF" w:rsidP="000F6820">
      <w:pPr>
        <w:pStyle w:val="FootnoteNoline"/>
        <w:ind w:left="0"/>
        <w:rPr>
          <w:rFonts w:ascii="楷体" w:eastAsia="楷体" w:hAnsi="楷体"/>
          <w:color w:val="FF6600"/>
          <w:lang w:val="en-US"/>
        </w:rPr>
      </w:pPr>
      <w:r w:rsidRPr="005B7CDB">
        <w:rPr>
          <w:rFonts w:ascii="楷体" w:eastAsia="楷体" w:hAnsi="楷体" w:hint="eastAsia"/>
          <w:color w:val="FF6600"/>
          <w:lang w:val="en-US"/>
        </w:rPr>
        <w:t>来源：凯石财富工场</w:t>
      </w:r>
    </w:p>
    <w:p w:rsidR="00290AF6" w:rsidRDefault="00290AF6" w:rsidP="009F0008">
      <w:pPr>
        <w:widowControl/>
        <w:jc w:val="left"/>
        <w:rPr>
          <w:rFonts w:ascii="楷体" w:eastAsia="楷体" w:hAnsi="楷体" w:cs="宋体"/>
          <w:b/>
          <w:kern w:val="0"/>
          <w:szCs w:val="20"/>
          <w:lang w:val="en-GB"/>
        </w:rPr>
      </w:pPr>
    </w:p>
    <w:p w:rsidR="00B10000" w:rsidRPr="005B7CDB" w:rsidRDefault="00B10000" w:rsidP="009F0008">
      <w:pPr>
        <w:widowControl/>
        <w:jc w:val="left"/>
        <w:rPr>
          <w:rFonts w:ascii="楷体" w:eastAsia="楷体" w:hAnsi="楷体"/>
          <w:b/>
          <w:szCs w:val="21"/>
        </w:rPr>
      </w:pPr>
      <w:r w:rsidRPr="005B7CDB">
        <w:rPr>
          <w:rFonts w:ascii="楷体" w:eastAsia="楷体" w:hAnsi="楷体" w:cs="宋体" w:hint="eastAsia"/>
          <w:b/>
          <w:kern w:val="0"/>
          <w:szCs w:val="20"/>
          <w:lang w:val="en-GB"/>
        </w:rPr>
        <w:lastRenderedPageBreak/>
        <w:t>特别声明：</w:t>
      </w:r>
    </w:p>
    <w:p w:rsidR="00B10000" w:rsidRPr="005B7CDB" w:rsidRDefault="00B10000" w:rsidP="00F7756C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中的所有内容版权均属上海凯石财富投资管理有限公司（以下简称“本公司”），未经本公司事先书面授权，不得以任何方式修改、发送或者复制本报告及其所包含的材料、内容。所有本报告中使用的商标、服务标记及标记均为本公司的商标、服务标记及标记。如欲引用或转载本文内容，务必联络本公司研究中心并获得许可，并需注明出处为上海凯石财富投资有限公司研究中心，且不得对本文进行任何有悖原意的引用和删改。</w:t>
      </w:r>
    </w:p>
    <w:p w:rsidR="00B10000" w:rsidRPr="005B7CDB" w:rsidRDefault="00B10000" w:rsidP="00F7756C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是基于已公开信息撰写，其所载资料的来源及观点的出处均被本公司认为可靠，但本公司不保证其准确性或完整性。本报告所载的资料、意见及推测反映本公司于最初发布此报告日期当日的判断，其所指的基金或者其他理财产品的价格、价值及投资收入可能会波动，在不同时期，本公司可发出与本报告所载资料、意见及推测不一致的报告。</w:t>
      </w:r>
    </w:p>
    <w:p w:rsidR="00B10000" w:rsidRPr="005B7CDB" w:rsidRDefault="00B10000" w:rsidP="00F7756C">
      <w:pPr>
        <w:pStyle w:val="aa"/>
        <w:spacing w:beforeLines="50" w:after="312"/>
        <w:rPr>
          <w:rFonts w:ascii="楷体" w:eastAsia="楷体" w:hAnsi="楷体"/>
          <w:kern w:val="0"/>
          <w:sz w:val="21"/>
          <w:szCs w:val="20"/>
          <w:lang w:val="en-GB"/>
        </w:rPr>
      </w:pPr>
      <w:r w:rsidRPr="005B7CDB">
        <w:rPr>
          <w:rFonts w:ascii="楷体" w:eastAsia="楷体" w:hAnsi="楷体" w:hint="eastAsia"/>
          <w:kern w:val="0"/>
          <w:sz w:val="21"/>
          <w:szCs w:val="20"/>
          <w:lang w:val="en-GB"/>
        </w:rPr>
        <w:t>本报告所载的除法律或规则规定必须承担的责任外，本公司不对因使用此报告的材料而引致的损失负任何责任。本报告不构成私人咨询建议，也没有考虑到个别客户特殊的投资目标、财务状况或需要。本报告所载的资料、工具、意见及推测只提供给客户做参考之用，并未作为或被是为出售或购买其他投资标的邀请或向他人做出邀请。</w:t>
      </w:r>
    </w:p>
    <w:p w:rsidR="00B10000" w:rsidRPr="005B7CDB" w:rsidRDefault="00B10000">
      <w:pPr>
        <w:rPr>
          <w:rFonts w:ascii="楷体" w:eastAsia="楷体" w:hAnsi="楷体"/>
          <w:lang w:val="en-GB"/>
        </w:rPr>
      </w:pPr>
    </w:p>
    <w:sectPr w:rsidR="00B10000" w:rsidRPr="005B7CDB" w:rsidSect="00D4319D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40" w:right="624" w:bottom="1440" w:left="624" w:header="850" w:footer="283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0054" w:rsidRDefault="00D40054" w:rsidP="00B10000">
      <w:r>
        <w:separator/>
      </w:r>
    </w:p>
  </w:endnote>
  <w:endnote w:type="continuationSeparator" w:id="1">
    <w:p w:rsidR="00D40054" w:rsidRDefault="00D40054" w:rsidP="00B100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Courier New"/>
    <w:panose1 w:val="00000000000000000000"/>
    <w:charset w:val="02"/>
    <w:family w:val="auto"/>
    <w:notTrueType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KaiTi_GB2312">
    <w:altName w:val="MS Gothic"/>
    <w:panose1 w:val="02010609060101010101"/>
    <w:charset w:val="00"/>
    <w:family w:val="roman"/>
    <w:notTrueType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C9" w:rsidRDefault="0010136F">
    <w:pPr>
      <w:pStyle w:val="a4"/>
      <w:jc w:val="center"/>
    </w:pPr>
    <w:r>
      <w:pict>
        <v:rect id="_x0000_i1027" style="width:571.2pt;height:2pt" o:hralign="center" o:hrstd="t" o:hrnoshade="t" o:hr="t" fillcolor="#e7a631" stroked="f"/>
      </w:pict>
    </w:r>
    <w:sdt>
      <w:sdtPr>
        <w:id w:val="31118581"/>
        <w:docPartObj>
          <w:docPartGallery w:val="Page Numbers (Bottom of Page)"/>
          <w:docPartUnique/>
        </w:docPartObj>
      </w:sdtPr>
      <w:sdtContent>
        <w:sdt>
          <w:sdtPr>
            <w:id w:val="31118580"/>
            <w:docPartObj>
              <w:docPartGallery w:val="Page Numbers (Top of Page)"/>
              <w:docPartUnique/>
            </w:docPartObj>
          </w:sdtPr>
          <w:sdtContent>
            <w:r w:rsidR="00181CC9"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81CC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7174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181CC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81CC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7174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181CC9" w:rsidRDefault="00181CC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118579"/>
      <w:docPartObj>
        <w:docPartGallery w:val="Page Numbers (Bottom of Page)"/>
        <w:docPartUnique/>
      </w:docPartObj>
    </w:sdtPr>
    <w:sdtContent>
      <w:sdt>
        <w:sdtPr>
          <w:id w:val="171357217"/>
          <w:docPartObj>
            <w:docPartGallery w:val="Page Numbers (Top of Page)"/>
            <w:docPartUnique/>
          </w:docPartObj>
        </w:sdtPr>
        <w:sdtContent>
          <w:p w:rsidR="00181CC9" w:rsidRDefault="0010136F">
            <w:pPr>
              <w:pStyle w:val="a4"/>
              <w:jc w:val="center"/>
            </w:pPr>
            <w:r>
              <w:pict>
                <v:rect id="_x0000_i1029" style="width:571.2pt;height:2pt" o:hralign="center" o:hrstd="t" o:hrnoshade="t" o:hr="t" fillcolor="#e7a631" stroked="f"/>
              </w:pict>
            </w:r>
            <w:r w:rsidR="00181CC9"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81CC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7174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181CC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181CC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87174">
              <w:rPr>
                <w:b/>
                <w:noProof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81CC9" w:rsidRDefault="00181CC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0054" w:rsidRDefault="00D40054" w:rsidP="00B10000">
      <w:r>
        <w:separator/>
      </w:r>
    </w:p>
  </w:footnote>
  <w:footnote w:type="continuationSeparator" w:id="1">
    <w:p w:rsidR="00D40054" w:rsidRDefault="00D40054" w:rsidP="00B100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C9" w:rsidRDefault="0010136F" w:rsidP="00B10000">
    <w:pPr>
      <w:pStyle w:val="a3"/>
      <w:pBdr>
        <w:bottom w:val="none" w:sz="0" w:space="0" w:color="auto"/>
      </w:pBdr>
    </w:pPr>
    <w:r>
      <w:rPr>
        <w:noProof/>
      </w:rPr>
      <w:pict>
        <v:group id="_x0000_s1034" style="position:absolute;left:0;text-align:left;margin-left:5.2pt;margin-top:-32.25pt;width:531.2pt;height:37.5pt;z-index:251658240" coordorigin="728,206" coordsize="10624,750"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left:728;top:206;width:1336;height:724;mso-width-relative:margin;mso-height-relative:margin" strokecolor="white">
            <v:textbox style="mso-next-textbox:#_x0000_s1035">
              <w:txbxContent>
                <w:p w:rsidR="00181CC9" w:rsidRDefault="0010136F" w:rsidP="00B10000">
                  <w:pPr>
                    <w:pStyle w:val="12"/>
                  </w:pPr>
                  <w:r w:rsidRPr="0010136F">
                    <w:rPr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0" type="#_x0000_t75" alt="凯石工2.jpg" style="width:45pt;height:31.5pt;visibility:visible">
                        <v:imagedata r:id="rId1" o:title="凯石工2"/>
                      </v:shape>
                    </w:pict>
                  </w:r>
                </w:p>
              </w:txbxContent>
            </v:textbox>
          </v:shape>
          <v:shape id="_x0000_s1036" type="#_x0000_t202" style="position:absolute;left:5999;top:542;width:5353;height:414;mso-width-relative:margin;mso-height-relative:margin" strokecolor="white">
            <v:textbox style="mso-next-textbox:#_x0000_s1036">
              <w:txbxContent>
                <w:p w:rsidR="00181CC9" w:rsidRPr="006E0F3C" w:rsidRDefault="00181CC9" w:rsidP="00B10000">
                  <w:pPr>
                    <w:pStyle w:val="2"/>
                  </w:pPr>
                  <w:r>
                    <w:rPr>
                      <w:rFonts w:hint="eastAsia"/>
                    </w:rPr>
                    <w:t>公募基金周报（2015.3.9~2015.3.13）</w:t>
                  </w:r>
                </w:p>
              </w:txbxContent>
            </v:textbox>
          </v:shape>
        </v:group>
      </w:pict>
    </w:r>
    <w:r>
      <w:pict>
        <v:rect id="_x0000_i1026" style="width:571.2pt;height:2pt" o:hralign="center" o:hrstd="t" o:hrnoshade="t" o:hr="t" fillcolor="#e7a631" stroked="f"/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1CC9" w:rsidRDefault="0010136F" w:rsidP="00F7756C">
    <w:pPr>
      <w:pStyle w:val="a3"/>
      <w:pBdr>
        <w:bottom w:val="none" w:sz="0" w:space="0" w:color="auto"/>
      </w:pBdr>
      <w:spacing w:afterLines="100"/>
    </w:pPr>
    <w:r>
      <w:pict>
        <v:group id="_x0000_s1025" style="width:532.6pt;height:143.7pt;mso-position-horizontal-relative:char;mso-position-vertical-relative:line" coordorigin="652,331" coordsize="10652,287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652;top:331;width:3664;height:2430;mso-width-relative:margin;mso-height-relative:margin" strokecolor="white">
            <v:textbox style="mso-next-textbox:#_x0000_s1026">
              <w:txbxContent>
                <w:p w:rsidR="00181CC9" w:rsidRDefault="00F7756C" w:rsidP="00B10000">
                  <w:pPr>
                    <w:pStyle w:val="a6"/>
                  </w:pPr>
                  <w:r w:rsidRPr="0010136F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图片 0" o:spid="_x0000_i1031" type="#_x0000_t75" alt="凯石工2.jpg" style="width:125.25pt;height:117.75pt;visibility:visible">
                        <v:imagedata r:id="rId1" o:title="凯石工2"/>
                      </v:shape>
                    </w:pict>
                  </w:r>
                </w:p>
              </w:txbxContent>
            </v:textbox>
          </v:shape>
          <v:shape id="_x0000_s1027" type="#_x0000_t202" style="position:absolute;left:881;top:2578;width:2325;height:390" strokecolor="white">
            <v:textbox style="mso-next-textbox:#_x0000_s1027">
              <w:txbxContent>
                <w:p w:rsidR="00181CC9" w:rsidRPr="006E0F3C" w:rsidRDefault="00181CC9" w:rsidP="008840A4">
                  <w:pPr>
                    <w:pStyle w:val="a5"/>
                    <w:spacing w:after="240"/>
                  </w:pPr>
                  <w:r w:rsidRPr="006E0F3C">
                    <w:rPr>
                      <w:rFonts w:hint="eastAsia"/>
                    </w:rPr>
                    <w:t>凯石工场研究报告</w:t>
                  </w:r>
                </w:p>
              </w:txbxContent>
            </v:textbox>
          </v:shape>
          <v:shape id="_x0000_s1028" type="#_x0000_t202" style="position:absolute;left:8740;top:609;width:2441;height:475;mso-height-percent:200;mso-height-percent:200;mso-width-relative:margin;mso-height-relative:margin" strokecolor="white">
            <v:textbox style="mso-next-textbox:#_x0000_s1028;mso-fit-shape-to-text:t">
              <w:txbxContent>
                <w:p w:rsidR="00181CC9" w:rsidRPr="006E0F3C" w:rsidRDefault="00181CC9" w:rsidP="00B10000">
                  <w:pPr>
                    <w:pStyle w:val="a7"/>
                    <w:jc w:val="right"/>
                  </w:pPr>
                  <w:r>
                    <w:rPr>
                      <w:rFonts w:hint="eastAsia"/>
                    </w:rPr>
                    <w:t>2015</w:t>
                  </w:r>
                  <w:r w:rsidRPr="006E0F3C">
                    <w:rPr>
                      <w:rFonts w:hint="eastAsia"/>
                    </w:rPr>
                    <w:t>年</w:t>
                  </w:r>
                  <w:r>
                    <w:rPr>
                      <w:rFonts w:hint="eastAsia"/>
                    </w:rPr>
                    <w:t>3</w:t>
                  </w:r>
                  <w:r w:rsidRPr="006E0F3C">
                    <w:rPr>
                      <w:rFonts w:hint="eastAsia"/>
                    </w:rPr>
                    <w:t>月</w:t>
                  </w:r>
                  <w:r>
                    <w:rPr>
                      <w:rFonts w:hint="eastAsia"/>
                    </w:rPr>
                    <w:t>16</w:t>
                  </w:r>
                  <w:r w:rsidRPr="006E0F3C">
                    <w:rPr>
                      <w:rFonts w:hint="eastAsia"/>
                    </w:rPr>
                    <w:t>日</w:t>
                  </w:r>
                </w:p>
              </w:txbxContent>
            </v:textbox>
          </v:shape>
          <v:shape id="_x0000_s1029" type="#_x0000_t202" style="position:absolute;left:3214;top:1377;width:8090;height:1001;mso-height-percent:200;mso-height-percent:200;mso-width-relative:margin;mso-height-relative:margin" strokecolor="white">
            <v:textbox style="mso-next-textbox:#_x0000_s1029;mso-fit-shape-to-text:t">
              <w:txbxContent>
                <w:p w:rsidR="00181CC9" w:rsidRPr="00667F84" w:rsidRDefault="0024287D" w:rsidP="00073ED8">
                  <w:pPr>
                    <w:pStyle w:val="a8"/>
                    <w:ind w:right="180"/>
                    <w:jc w:val="right"/>
                  </w:pPr>
                  <w:r>
                    <w:rPr>
                      <w:rFonts w:hint="eastAsia"/>
                    </w:rPr>
                    <w:t>内外股市景气分化，QDII以外的公募基金普涨</w:t>
                  </w:r>
                  <w:r w:rsidR="00181CC9" w:rsidRPr="00667F84">
                    <w:t xml:space="preserve"> </w:t>
                  </w:r>
                </w:p>
                <w:p w:rsidR="00181CC9" w:rsidRPr="00624366" w:rsidRDefault="00181CC9" w:rsidP="00B10000">
                  <w:pPr>
                    <w:pStyle w:val="a8"/>
                    <w:jc w:val="right"/>
                    <w:rPr>
                      <w:sz w:val="28"/>
                      <w:szCs w:val="28"/>
                    </w:rPr>
                  </w:pPr>
                  <w:r w:rsidRPr="0095202C">
                    <w:rPr>
                      <w:rFonts w:hint="eastAsia"/>
                      <w:sz w:val="28"/>
                      <w:szCs w:val="28"/>
                    </w:rPr>
                    <w:t>公募基金周报（</w:t>
                  </w:r>
                  <w:r>
                    <w:rPr>
                      <w:rFonts w:hint="eastAsia"/>
                      <w:sz w:val="28"/>
                      <w:szCs w:val="28"/>
                    </w:rPr>
                    <w:t>2015.3.9</w:t>
                  </w:r>
                  <w:r w:rsidRPr="0095202C">
                    <w:rPr>
                      <w:rFonts w:hint="eastAsia"/>
                      <w:sz w:val="28"/>
                      <w:szCs w:val="28"/>
                    </w:rPr>
                    <w:t>~</w:t>
                  </w:r>
                  <w:r>
                    <w:rPr>
                      <w:rFonts w:hint="eastAsia"/>
                      <w:sz w:val="28"/>
                      <w:szCs w:val="28"/>
                    </w:rPr>
                    <w:t>2015.3.13</w:t>
                  </w:r>
                  <w:r w:rsidRPr="0095202C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  <v:shape id="_x0000_s1030" type="#_x0000_t202" style="position:absolute;left:3246;top:2578;width:7993;height:627" strokecolor="white">
            <v:textbox style="mso-next-textbox:#_x0000_s1030">
              <w:txbxContent>
                <w:p w:rsidR="00181CC9" w:rsidRDefault="00181CC9" w:rsidP="005E42B1">
                  <w:pPr>
                    <w:pStyle w:val="a9"/>
                    <w:wordWrap w:val="0"/>
                    <w:ind w:right="420"/>
                  </w:pPr>
                  <w:r>
                    <w:rPr>
                      <w:rFonts w:hint="eastAsia"/>
                    </w:rPr>
                    <w:t>万晓微  分析师</w:t>
                  </w:r>
                </w:p>
                <w:p w:rsidR="00181CC9" w:rsidRPr="006E0F3C" w:rsidRDefault="00181CC9" w:rsidP="005E42B1">
                  <w:pPr>
                    <w:pStyle w:val="a9"/>
                  </w:pPr>
                </w:p>
              </w:txbxContent>
            </v:textbox>
          </v:shape>
          <w10:wrap type="none"/>
          <w10:anchorlock/>
        </v:group>
      </w:pict>
    </w:r>
    <w:r>
      <w:pict>
        <v:rect id="_x0000_i1028" style="width:571.2pt;height:2pt" o:hralign="center" o:hrstd="t" o:hrnoshade="t" o:hr="t" fillcolor="#e7a631" stroked="f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5pt;height:11.25pt" o:bullet="t">
        <v:imagedata r:id="rId1" o:title="BD10335_"/>
      </v:shape>
    </w:pict>
  </w:numPicBullet>
  <w:abstractNum w:abstractNumId="0">
    <w:nsid w:val="08014C42"/>
    <w:multiLevelType w:val="singleLevel"/>
    <w:tmpl w:val="B4861D4C"/>
    <w:lvl w:ilvl="0">
      <w:start w:val="1"/>
      <w:numFmt w:val="bullet"/>
      <w:pStyle w:val="Cover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cs="Times New Roman" w:hint="default"/>
        <w:color w:val="FF0000"/>
        <w:sz w:val="20"/>
        <w:szCs w:val="20"/>
      </w:rPr>
    </w:lvl>
  </w:abstractNum>
  <w:abstractNum w:abstractNumId="1">
    <w:nsid w:val="10E71F9D"/>
    <w:multiLevelType w:val="hybridMultilevel"/>
    <w:tmpl w:val="FF3C5942"/>
    <w:lvl w:ilvl="0" w:tplc="0409000B">
      <w:start w:val="1"/>
      <w:numFmt w:val="bullet"/>
      <w:lvlText w:val=""/>
      <w:lvlJc w:val="left"/>
      <w:pPr>
        <w:ind w:left="424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466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50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50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592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63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76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718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7608" w:hanging="420"/>
      </w:pPr>
      <w:rPr>
        <w:rFonts w:ascii="Wingdings" w:hAnsi="Wingdings" w:hint="default"/>
      </w:rPr>
    </w:lvl>
  </w:abstractNum>
  <w:abstractNum w:abstractNumId="2">
    <w:nsid w:val="492C6DD3"/>
    <w:multiLevelType w:val="hybridMultilevel"/>
    <w:tmpl w:val="6EAE99B8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B0CACDC8">
      <w:start w:val="1"/>
      <w:numFmt w:val="bullet"/>
      <w:lvlText w:val=""/>
      <w:lvlJc w:val="left"/>
      <w:pPr>
        <w:tabs>
          <w:tab w:val="num" w:pos="4106"/>
        </w:tabs>
        <w:ind w:left="4106" w:hanging="420"/>
      </w:pPr>
      <w:rPr>
        <w:rFonts w:ascii="Wingdings" w:hAnsi="Wingdings" w:hint="default"/>
        <w:sz w:val="15"/>
        <w:szCs w:val="15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AC7CA5D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eastAsia="楷体_GB2312" w:hAnsi="Wingdings" w:hint="default"/>
        <w:b w:val="0"/>
        <w:i w:val="0"/>
        <w:color w:val="auto"/>
        <w:sz w:val="18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3">
    <w:nsid w:val="49A16DB4"/>
    <w:multiLevelType w:val="hybridMultilevel"/>
    <w:tmpl w:val="4E9C4D18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15407DAC">
      <w:start w:val="1"/>
      <w:numFmt w:val="bullet"/>
      <w:lvlText w:val=""/>
      <w:lvlJc w:val="left"/>
      <w:pPr>
        <w:tabs>
          <w:tab w:val="num" w:pos="3799"/>
        </w:tabs>
        <w:ind w:left="3799" w:hanging="369"/>
      </w:pPr>
      <w:rPr>
        <w:rFonts w:ascii="Wingdings" w:hAnsi="Wingdings" w:hint="default"/>
        <w:b w:val="0"/>
        <w:i w:val="0"/>
        <w:color w:val="auto"/>
        <w:sz w:val="18"/>
        <w:lang w:val="en-GB"/>
      </w:rPr>
    </w:lvl>
    <w:lvl w:ilvl="5" w:tplc="04090005">
      <w:start w:val="1"/>
      <w:numFmt w:val="bullet"/>
      <w:lvlText w:val=""/>
      <w:lvlJc w:val="left"/>
      <w:pPr>
        <w:tabs>
          <w:tab w:val="num" w:pos="5922"/>
        </w:tabs>
        <w:ind w:left="59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4">
    <w:nsid w:val="5E8271C1"/>
    <w:multiLevelType w:val="hybridMultilevel"/>
    <w:tmpl w:val="6B68E90C"/>
    <w:lvl w:ilvl="0" w:tplc="A1E68908">
      <w:start w:val="1"/>
      <w:numFmt w:val="bullet"/>
      <w:lvlText w:val=""/>
      <w:lvlJc w:val="left"/>
      <w:pPr>
        <w:tabs>
          <w:tab w:val="num" w:pos="4329"/>
        </w:tabs>
        <w:ind w:left="3969" w:firstLine="0"/>
      </w:pPr>
      <w:rPr>
        <w:rFonts w:hint="default"/>
        <w:b w:val="0"/>
        <w:i w:val="0"/>
        <w:color w:val="000565"/>
        <w:sz w:val="18"/>
      </w:rPr>
    </w:lvl>
    <w:lvl w:ilvl="1" w:tplc="04090003">
      <w:start w:val="1"/>
      <w:numFmt w:val="bullet"/>
      <w:lvlText w:val=""/>
      <w:lvlJc w:val="left"/>
      <w:pPr>
        <w:tabs>
          <w:tab w:val="num" w:pos="4242"/>
        </w:tabs>
        <w:ind w:left="4242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4662"/>
        </w:tabs>
        <w:ind w:left="4662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5082"/>
        </w:tabs>
        <w:ind w:left="5082" w:hanging="420"/>
      </w:pPr>
      <w:rPr>
        <w:rFonts w:ascii="Wingdings" w:hAnsi="Wingdings" w:hint="default"/>
      </w:rPr>
    </w:lvl>
    <w:lvl w:ilvl="4" w:tplc="31DAFFE0">
      <w:start w:val="1"/>
      <w:numFmt w:val="bullet"/>
      <w:lvlText w:val=""/>
      <w:lvlJc w:val="left"/>
      <w:pPr>
        <w:tabs>
          <w:tab w:val="num" w:pos="3649"/>
        </w:tabs>
        <w:ind w:left="3289" w:firstLine="0"/>
      </w:pPr>
      <w:rPr>
        <w:rFonts w:ascii="Wingdings" w:eastAsia="宋体" w:hAnsi="Wingdings" w:hint="default"/>
        <w:b w:val="0"/>
        <w:i w:val="0"/>
        <w:color w:val="000565"/>
        <w:sz w:val="18"/>
      </w:rPr>
    </w:lvl>
    <w:lvl w:ilvl="5" w:tplc="DDC8F30C">
      <w:start w:val="1"/>
      <w:numFmt w:val="bullet"/>
      <w:lvlText w:val=""/>
      <w:lvlJc w:val="left"/>
      <w:pPr>
        <w:tabs>
          <w:tab w:val="num" w:pos="4139"/>
        </w:tabs>
        <w:ind w:left="4139" w:hanging="368"/>
      </w:pPr>
      <w:rPr>
        <w:rFonts w:ascii="Wingdings 2" w:eastAsia="楷体_GB2312" w:hAnsi="Wingdings 2" w:hint="default"/>
        <w:b w:val="0"/>
        <w:i w:val="0"/>
        <w:sz w:val="18"/>
      </w:rPr>
    </w:lvl>
    <w:lvl w:ilvl="6" w:tplc="04090001" w:tentative="1">
      <w:start w:val="1"/>
      <w:numFmt w:val="bullet"/>
      <w:lvlText w:val=""/>
      <w:lvlJc w:val="left"/>
      <w:pPr>
        <w:tabs>
          <w:tab w:val="num" w:pos="6342"/>
        </w:tabs>
        <w:ind w:left="634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6762"/>
        </w:tabs>
        <w:ind w:left="676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7182"/>
        </w:tabs>
        <w:ind w:left="7182" w:hanging="420"/>
      </w:pPr>
      <w:rPr>
        <w:rFonts w:ascii="Wingdings" w:hAnsi="Wingdings" w:hint="default"/>
      </w:rPr>
    </w:lvl>
  </w:abstractNum>
  <w:abstractNum w:abstractNumId="5">
    <w:nsid w:val="66145FDE"/>
    <w:multiLevelType w:val="singleLevel"/>
    <w:tmpl w:val="918C41C0"/>
    <w:lvl w:ilvl="0">
      <w:start w:val="1"/>
      <w:numFmt w:val="bullet"/>
      <w:pStyle w:val="BulletCoverpage"/>
      <w:lvlText w:val=""/>
      <w:lvlJc w:val="left"/>
      <w:pPr>
        <w:tabs>
          <w:tab w:val="num" w:pos="0"/>
        </w:tabs>
        <w:ind w:left="227" w:hanging="227"/>
      </w:pPr>
      <w:rPr>
        <w:rFonts w:ascii="Monotype Sorts" w:hAnsi="Monotype Sorts" w:cs="Times New Roman" w:hint="default"/>
        <w:color w:val="FF0000"/>
        <w:sz w:val="16"/>
        <w:szCs w:val="16"/>
      </w:rPr>
    </w:lvl>
  </w:abstractNum>
  <w:abstractNum w:abstractNumId="6">
    <w:nsid w:val="7DB2660F"/>
    <w:multiLevelType w:val="hybridMultilevel"/>
    <w:tmpl w:val="20BAD2A2"/>
    <w:lvl w:ilvl="0" w:tplc="74927076">
      <w:start w:val="1"/>
      <w:numFmt w:val="bullet"/>
      <w:pStyle w:val="1"/>
      <w:lvlText w:val=""/>
      <w:lvlPicBulletId w:val="0"/>
      <w:lvlJc w:val="left"/>
      <w:pPr>
        <w:ind w:left="16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2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9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3859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0000"/>
    <w:rsid w:val="00000141"/>
    <w:rsid w:val="00000D21"/>
    <w:rsid w:val="00000FDF"/>
    <w:rsid w:val="0000120D"/>
    <w:rsid w:val="00001D3E"/>
    <w:rsid w:val="00003645"/>
    <w:rsid w:val="00003664"/>
    <w:rsid w:val="00004350"/>
    <w:rsid w:val="00004760"/>
    <w:rsid w:val="00004B15"/>
    <w:rsid w:val="00004B2E"/>
    <w:rsid w:val="00006269"/>
    <w:rsid w:val="00006540"/>
    <w:rsid w:val="000067F9"/>
    <w:rsid w:val="000067FB"/>
    <w:rsid w:val="00006C3E"/>
    <w:rsid w:val="000072D5"/>
    <w:rsid w:val="00007D8C"/>
    <w:rsid w:val="00007DC6"/>
    <w:rsid w:val="0001039A"/>
    <w:rsid w:val="00010847"/>
    <w:rsid w:val="00011851"/>
    <w:rsid w:val="000119BE"/>
    <w:rsid w:val="000126C4"/>
    <w:rsid w:val="00012FFF"/>
    <w:rsid w:val="0001365A"/>
    <w:rsid w:val="00013790"/>
    <w:rsid w:val="00013DD8"/>
    <w:rsid w:val="000143E6"/>
    <w:rsid w:val="00014C9A"/>
    <w:rsid w:val="00015264"/>
    <w:rsid w:val="00015E23"/>
    <w:rsid w:val="0001604D"/>
    <w:rsid w:val="000162FF"/>
    <w:rsid w:val="00016396"/>
    <w:rsid w:val="00016427"/>
    <w:rsid w:val="000200E4"/>
    <w:rsid w:val="0002010B"/>
    <w:rsid w:val="000204F2"/>
    <w:rsid w:val="000212A0"/>
    <w:rsid w:val="000215CD"/>
    <w:rsid w:val="0002164B"/>
    <w:rsid w:val="000219A1"/>
    <w:rsid w:val="000225B4"/>
    <w:rsid w:val="00022866"/>
    <w:rsid w:val="0002383C"/>
    <w:rsid w:val="00024188"/>
    <w:rsid w:val="00024600"/>
    <w:rsid w:val="00024C7D"/>
    <w:rsid w:val="00026FF9"/>
    <w:rsid w:val="000305DC"/>
    <w:rsid w:val="0003071D"/>
    <w:rsid w:val="0003081C"/>
    <w:rsid w:val="00031276"/>
    <w:rsid w:val="00031D69"/>
    <w:rsid w:val="00032745"/>
    <w:rsid w:val="0003311F"/>
    <w:rsid w:val="000341C3"/>
    <w:rsid w:val="00034C20"/>
    <w:rsid w:val="00036038"/>
    <w:rsid w:val="00036353"/>
    <w:rsid w:val="00036AB5"/>
    <w:rsid w:val="00036BCD"/>
    <w:rsid w:val="00037343"/>
    <w:rsid w:val="000374F2"/>
    <w:rsid w:val="000374FE"/>
    <w:rsid w:val="00037BAF"/>
    <w:rsid w:val="00042A77"/>
    <w:rsid w:val="0004333F"/>
    <w:rsid w:val="00043D8D"/>
    <w:rsid w:val="00043FC9"/>
    <w:rsid w:val="00044179"/>
    <w:rsid w:val="000461F6"/>
    <w:rsid w:val="0004751A"/>
    <w:rsid w:val="00047523"/>
    <w:rsid w:val="00047EDC"/>
    <w:rsid w:val="000507E5"/>
    <w:rsid w:val="00050B8B"/>
    <w:rsid w:val="00050E4C"/>
    <w:rsid w:val="0005101C"/>
    <w:rsid w:val="000516B7"/>
    <w:rsid w:val="00051900"/>
    <w:rsid w:val="000522ED"/>
    <w:rsid w:val="0005299A"/>
    <w:rsid w:val="00053681"/>
    <w:rsid w:val="00053854"/>
    <w:rsid w:val="00053D78"/>
    <w:rsid w:val="00056D77"/>
    <w:rsid w:val="00057142"/>
    <w:rsid w:val="00057AD8"/>
    <w:rsid w:val="00057DFC"/>
    <w:rsid w:val="00060376"/>
    <w:rsid w:val="00060829"/>
    <w:rsid w:val="00061069"/>
    <w:rsid w:val="000612CD"/>
    <w:rsid w:val="00061632"/>
    <w:rsid w:val="000621C7"/>
    <w:rsid w:val="0006243F"/>
    <w:rsid w:val="00062830"/>
    <w:rsid w:val="00062965"/>
    <w:rsid w:val="000630A2"/>
    <w:rsid w:val="0006401B"/>
    <w:rsid w:val="00064DAE"/>
    <w:rsid w:val="00064E08"/>
    <w:rsid w:val="00066D5E"/>
    <w:rsid w:val="000677D5"/>
    <w:rsid w:val="00070000"/>
    <w:rsid w:val="00070087"/>
    <w:rsid w:val="00070093"/>
    <w:rsid w:val="00070307"/>
    <w:rsid w:val="00071177"/>
    <w:rsid w:val="00071DCC"/>
    <w:rsid w:val="00072445"/>
    <w:rsid w:val="00073843"/>
    <w:rsid w:val="00073BEE"/>
    <w:rsid w:val="00073ED8"/>
    <w:rsid w:val="00073F08"/>
    <w:rsid w:val="0007448E"/>
    <w:rsid w:val="00074A6C"/>
    <w:rsid w:val="00074E24"/>
    <w:rsid w:val="000755A3"/>
    <w:rsid w:val="00075931"/>
    <w:rsid w:val="00075A89"/>
    <w:rsid w:val="00076CB9"/>
    <w:rsid w:val="00077991"/>
    <w:rsid w:val="00080386"/>
    <w:rsid w:val="000803A7"/>
    <w:rsid w:val="00080843"/>
    <w:rsid w:val="00081D63"/>
    <w:rsid w:val="00081EA9"/>
    <w:rsid w:val="000822B8"/>
    <w:rsid w:val="00082331"/>
    <w:rsid w:val="00082805"/>
    <w:rsid w:val="00082890"/>
    <w:rsid w:val="000848B3"/>
    <w:rsid w:val="00084B74"/>
    <w:rsid w:val="000856DF"/>
    <w:rsid w:val="00085AC2"/>
    <w:rsid w:val="000862D4"/>
    <w:rsid w:val="00087210"/>
    <w:rsid w:val="0009128D"/>
    <w:rsid w:val="000913FB"/>
    <w:rsid w:val="00091649"/>
    <w:rsid w:val="00091971"/>
    <w:rsid w:val="00091E0E"/>
    <w:rsid w:val="000923BE"/>
    <w:rsid w:val="000929C7"/>
    <w:rsid w:val="00092C5E"/>
    <w:rsid w:val="000941BB"/>
    <w:rsid w:val="00094650"/>
    <w:rsid w:val="00095CD8"/>
    <w:rsid w:val="00096659"/>
    <w:rsid w:val="00097363"/>
    <w:rsid w:val="00097D08"/>
    <w:rsid w:val="00097D21"/>
    <w:rsid w:val="00097FE0"/>
    <w:rsid w:val="000A047E"/>
    <w:rsid w:val="000A0948"/>
    <w:rsid w:val="000A1E78"/>
    <w:rsid w:val="000A22A7"/>
    <w:rsid w:val="000A284C"/>
    <w:rsid w:val="000A2909"/>
    <w:rsid w:val="000A2DCE"/>
    <w:rsid w:val="000A2FAE"/>
    <w:rsid w:val="000A35A9"/>
    <w:rsid w:val="000A384C"/>
    <w:rsid w:val="000A4A67"/>
    <w:rsid w:val="000A5652"/>
    <w:rsid w:val="000A5F60"/>
    <w:rsid w:val="000A7EFA"/>
    <w:rsid w:val="000B05CE"/>
    <w:rsid w:val="000B0D20"/>
    <w:rsid w:val="000B21FF"/>
    <w:rsid w:val="000B31B2"/>
    <w:rsid w:val="000B3641"/>
    <w:rsid w:val="000B3FEA"/>
    <w:rsid w:val="000B4796"/>
    <w:rsid w:val="000B56F8"/>
    <w:rsid w:val="000B5823"/>
    <w:rsid w:val="000B6A7F"/>
    <w:rsid w:val="000B6F19"/>
    <w:rsid w:val="000B6F70"/>
    <w:rsid w:val="000B712C"/>
    <w:rsid w:val="000B716A"/>
    <w:rsid w:val="000B7203"/>
    <w:rsid w:val="000B7303"/>
    <w:rsid w:val="000B7C3D"/>
    <w:rsid w:val="000C023E"/>
    <w:rsid w:val="000C0348"/>
    <w:rsid w:val="000C088F"/>
    <w:rsid w:val="000C08C5"/>
    <w:rsid w:val="000C0997"/>
    <w:rsid w:val="000C1575"/>
    <w:rsid w:val="000C15DC"/>
    <w:rsid w:val="000C18B7"/>
    <w:rsid w:val="000C2D03"/>
    <w:rsid w:val="000C32D5"/>
    <w:rsid w:val="000C32DA"/>
    <w:rsid w:val="000C3A57"/>
    <w:rsid w:val="000C4D6A"/>
    <w:rsid w:val="000C4EBD"/>
    <w:rsid w:val="000C51A4"/>
    <w:rsid w:val="000C6216"/>
    <w:rsid w:val="000C69EE"/>
    <w:rsid w:val="000C6B9E"/>
    <w:rsid w:val="000C6E03"/>
    <w:rsid w:val="000C6F1C"/>
    <w:rsid w:val="000C75AA"/>
    <w:rsid w:val="000C7DF2"/>
    <w:rsid w:val="000D01F8"/>
    <w:rsid w:val="000D072D"/>
    <w:rsid w:val="000D1136"/>
    <w:rsid w:val="000D11ED"/>
    <w:rsid w:val="000D27F8"/>
    <w:rsid w:val="000D283F"/>
    <w:rsid w:val="000D4A66"/>
    <w:rsid w:val="000D513E"/>
    <w:rsid w:val="000D5EC9"/>
    <w:rsid w:val="000D6FC5"/>
    <w:rsid w:val="000D73AB"/>
    <w:rsid w:val="000E05DC"/>
    <w:rsid w:val="000E14C2"/>
    <w:rsid w:val="000E17E0"/>
    <w:rsid w:val="000E1B9F"/>
    <w:rsid w:val="000E1E84"/>
    <w:rsid w:val="000E1F81"/>
    <w:rsid w:val="000E217B"/>
    <w:rsid w:val="000E371E"/>
    <w:rsid w:val="000E37D5"/>
    <w:rsid w:val="000E37F5"/>
    <w:rsid w:val="000E39C2"/>
    <w:rsid w:val="000E4C88"/>
    <w:rsid w:val="000E5E16"/>
    <w:rsid w:val="000E62CE"/>
    <w:rsid w:val="000E6D9A"/>
    <w:rsid w:val="000E713F"/>
    <w:rsid w:val="000E7772"/>
    <w:rsid w:val="000E7FA1"/>
    <w:rsid w:val="000F0312"/>
    <w:rsid w:val="000F0BB0"/>
    <w:rsid w:val="000F10CB"/>
    <w:rsid w:val="000F12B7"/>
    <w:rsid w:val="000F15B0"/>
    <w:rsid w:val="000F325C"/>
    <w:rsid w:val="000F39B1"/>
    <w:rsid w:val="000F3DA4"/>
    <w:rsid w:val="000F5786"/>
    <w:rsid w:val="000F6820"/>
    <w:rsid w:val="001003DE"/>
    <w:rsid w:val="00100572"/>
    <w:rsid w:val="00100CB5"/>
    <w:rsid w:val="0010136F"/>
    <w:rsid w:val="001021A1"/>
    <w:rsid w:val="00102234"/>
    <w:rsid w:val="001024F4"/>
    <w:rsid w:val="001029D0"/>
    <w:rsid w:val="00103C41"/>
    <w:rsid w:val="00104221"/>
    <w:rsid w:val="00104265"/>
    <w:rsid w:val="001042CE"/>
    <w:rsid w:val="00104712"/>
    <w:rsid w:val="001063EA"/>
    <w:rsid w:val="001064E7"/>
    <w:rsid w:val="00106D18"/>
    <w:rsid w:val="00106FCC"/>
    <w:rsid w:val="001073F0"/>
    <w:rsid w:val="0010771D"/>
    <w:rsid w:val="0010775F"/>
    <w:rsid w:val="001106F0"/>
    <w:rsid w:val="001110CE"/>
    <w:rsid w:val="00111BEB"/>
    <w:rsid w:val="00111C93"/>
    <w:rsid w:val="00111D39"/>
    <w:rsid w:val="001123BE"/>
    <w:rsid w:val="001130D2"/>
    <w:rsid w:val="00113876"/>
    <w:rsid w:val="00113E7A"/>
    <w:rsid w:val="00114389"/>
    <w:rsid w:val="00115335"/>
    <w:rsid w:val="00115337"/>
    <w:rsid w:val="00115922"/>
    <w:rsid w:val="001169B2"/>
    <w:rsid w:val="00120197"/>
    <w:rsid w:val="00120F16"/>
    <w:rsid w:val="00121295"/>
    <w:rsid w:val="001230AE"/>
    <w:rsid w:val="00123345"/>
    <w:rsid w:val="00123F2B"/>
    <w:rsid w:val="0012463A"/>
    <w:rsid w:val="0012476D"/>
    <w:rsid w:val="00124A31"/>
    <w:rsid w:val="00125684"/>
    <w:rsid w:val="00125825"/>
    <w:rsid w:val="001268AC"/>
    <w:rsid w:val="00126B45"/>
    <w:rsid w:val="00127385"/>
    <w:rsid w:val="00130016"/>
    <w:rsid w:val="00130213"/>
    <w:rsid w:val="00130DAF"/>
    <w:rsid w:val="001312C8"/>
    <w:rsid w:val="0013161E"/>
    <w:rsid w:val="0013294D"/>
    <w:rsid w:val="00133147"/>
    <w:rsid w:val="0013351F"/>
    <w:rsid w:val="001336AF"/>
    <w:rsid w:val="00133722"/>
    <w:rsid w:val="00133AAB"/>
    <w:rsid w:val="001356E3"/>
    <w:rsid w:val="00136BFE"/>
    <w:rsid w:val="0013790E"/>
    <w:rsid w:val="00137C4A"/>
    <w:rsid w:val="001403F1"/>
    <w:rsid w:val="001403F2"/>
    <w:rsid w:val="001420C1"/>
    <w:rsid w:val="001424E4"/>
    <w:rsid w:val="0014376B"/>
    <w:rsid w:val="00143A0A"/>
    <w:rsid w:val="00143D3C"/>
    <w:rsid w:val="001458C0"/>
    <w:rsid w:val="00146452"/>
    <w:rsid w:val="00147264"/>
    <w:rsid w:val="00147BC9"/>
    <w:rsid w:val="00147EA7"/>
    <w:rsid w:val="00147EE3"/>
    <w:rsid w:val="001506C6"/>
    <w:rsid w:val="00150FC3"/>
    <w:rsid w:val="001522E7"/>
    <w:rsid w:val="00152902"/>
    <w:rsid w:val="001531C5"/>
    <w:rsid w:val="001531DA"/>
    <w:rsid w:val="001533D0"/>
    <w:rsid w:val="0015346C"/>
    <w:rsid w:val="001538BD"/>
    <w:rsid w:val="001544A8"/>
    <w:rsid w:val="00154684"/>
    <w:rsid w:val="00154896"/>
    <w:rsid w:val="00154C4E"/>
    <w:rsid w:val="0015518D"/>
    <w:rsid w:val="00155E7B"/>
    <w:rsid w:val="001571AD"/>
    <w:rsid w:val="0015777B"/>
    <w:rsid w:val="00160A00"/>
    <w:rsid w:val="00160B05"/>
    <w:rsid w:val="00161177"/>
    <w:rsid w:val="0016214B"/>
    <w:rsid w:val="00165E90"/>
    <w:rsid w:val="0016637B"/>
    <w:rsid w:val="00166B27"/>
    <w:rsid w:val="0016750A"/>
    <w:rsid w:val="0017058D"/>
    <w:rsid w:val="001707EB"/>
    <w:rsid w:val="001709A2"/>
    <w:rsid w:val="00170A12"/>
    <w:rsid w:val="00170E5D"/>
    <w:rsid w:val="00171DE7"/>
    <w:rsid w:val="00171E16"/>
    <w:rsid w:val="00172C7D"/>
    <w:rsid w:val="0017320D"/>
    <w:rsid w:val="001732F3"/>
    <w:rsid w:val="001735B0"/>
    <w:rsid w:val="001736DF"/>
    <w:rsid w:val="00173745"/>
    <w:rsid w:val="001742C5"/>
    <w:rsid w:val="00174454"/>
    <w:rsid w:val="00174ABE"/>
    <w:rsid w:val="00174C24"/>
    <w:rsid w:val="001757C6"/>
    <w:rsid w:val="001757D1"/>
    <w:rsid w:val="001757EC"/>
    <w:rsid w:val="00175ED7"/>
    <w:rsid w:val="001765DA"/>
    <w:rsid w:val="001766AC"/>
    <w:rsid w:val="00176FFB"/>
    <w:rsid w:val="00177947"/>
    <w:rsid w:val="00180920"/>
    <w:rsid w:val="00180FDA"/>
    <w:rsid w:val="0018103B"/>
    <w:rsid w:val="00181CC9"/>
    <w:rsid w:val="00181DC4"/>
    <w:rsid w:val="00181DE3"/>
    <w:rsid w:val="00181FF9"/>
    <w:rsid w:val="001824C1"/>
    <w:rsid w:val="00183A83"/>
    <w:rsid w:val="00185298"/>
    <w:rsid w:val="00185397"/>
    <w:rsid w:val="00185E94"/>
    <w:rsid w:val="00185F85"/>
    <w:rsid w:val="00185F86"/>
    <w:rsid w:val="001866D5"/>
    <w:rsid w:val="00186AE8"/>
    <w:rsid w:val="00187DBC"/>
    <w:rsid w:val="0019096C"/>
    <w:rsid w:val="00190A08"/>
    <w:rsid w:val="001913B3"/>
    <w:rsid w:val="00192281"/>
    <w:rsid w:val="001923DB"/>
    <w:rsid w:val="001929EF"/>
    <w:rsid w:val="00193191"/>
    <w:rsid w:val="001947BF"/>
    <w:rsid w:val="00194A20"/>
    <w:rsid w:val="00196AEC"/>
    <w:rsid w:val="00196BC9"/>
    <w:rsid w:val="001A04CB"/>
    <w:rsid w:val="001A08B1"/>
    <w:rsid w:val="001A20EF"/>
    <w:rsid w:val="001A357D"/>
    <w:rsid w:val="001A3AA9"/>
    <w:rsid w:val="001A3D7F"/>
    <w:rsid w:val="001A4657"/>
    <w:rsid w:val="001A6631"/>
    <w:rsid w:val="001A7013"/>
    <w:rsid w:val="001A74F7"/>
    <w:rsid w:val="001A76FB"/>
    <w:rsid w:val="001B0FB5"/>
    <w:rsid w:val="001B12C2"/>
    <w:rsid w:val="001B187C"/>
    <w:rsid w:val="001B197C"/>
    <w:rsid w:val="001B1A86"/>
    <w:rsid w:val="001B1E72"/>
    <w:rsid w:val="001B1E97"/>
    <w:rsid w:val="001B2DD4"/>
    <w:rsid w:val="001B3B5C"/>
    <w:rsid w:val="001B3B9B"/>
    <w:rsid w:val="001B3E3A"/>
    <w:rsid w:val="001B405F"/>
    <w:rsid w:val="001B4063"/>
    <w:rsid w:val="001B4102"/>
    <w:rsid w:val="001B472A"/>
    <w:rsid w:val="001B4F00"/>
    <w:rsid w:val="001B4F35"/>
    <w:rsid w:val="001B5679"/>
    <w:rsid w:val="001B57EB"/>
    <w:rsid w:val="001B5C91"/>
    <w:rsid w:val="001B6670"/>
    <w:rsid w:val="001B6D17"/>
    <w:rsid w:val="001B6D2E"/>
    <w:rsid w:val="001B7AA9"/>
    <w:rsid w:val="001C0504"/>
    <w:rsid w:val="001C1C98"/>
    <w:rsid w:val="001C2C43"/>
    <w:rsid w:val="001C2E66"/>
    <w:rsid w:val="001C3226"/>
    <w:rsid w:val="001C343E"/>
    <w:rsid w:val="001D0941"/>
    <w:rsid w:val="001D0ED6"/>
    <w:rsid w:val="001D10EA"/>
    <w:rsid w:val="001D11C7"/>
    <w:rsid w:val="001D15BF"/>
    <w:rsid w:val="001D1F68"/>
    <w:rsid w:val="001D293B"/>
    <w:rsid w:val="001D33CC"/>
    <w:rsid w:val="001D45B3"/>
    <w:rsid w:val="001D4758"/>
    <w:rsid w:val="001D5265"/>
    <w:rsid w:val="001D5469"/>
    <w:rsid w:val="001D5881"/>
    <w:rsid w:val="001D5DD8"/>
    <w:rsid w:val="001D6224"/>
    <w:rsid w:val="001D6280"/>
    <w:rsid w:val="001D6DEE"/>
    <w:rsid w:val="001D75AA"/>
    <w:rsid w:val="001E08CB"/>
    <w:rsid w:val="001E095A"/>
    <w:rsid w:val="001E182A"/>
    <w:rsid w:val="001E1D7C"/>
    <w:rsid w:val="001E2223"/>
    <w:rsid w:val="001E2509"/>
    <w:rsid w:val="001E2FBA"/>
    <w:rsid w:val="001E3E6D"/>
    <w:rsid w:val="001E3FEC"/>
    <w:rsid w:val="001E5298"/>
    <w:rsid w:val="001E571E"/>
    <w:rsid w:val="001E5E67"/>
    <w:rsid w:val="001E5E74"/>
    <w:rsid w:val="001E600E"/>
    <w:rsid w:val="001E6FE6"/>
    <w:rsid w:val="001E7012"/>
    <w:rsid w:val="001E7111"/>
    <w:rsid w:val="001E77A4"/>
    <w:rsid w:val="001F01B8"/>
    <w:rsid w:val="001F056D"/>
    <w:rsid w:val="001F0A35"/>
    <w:rsid w:val="001F1187"/>
    <w:rsid w:val="001F13E5"/>
    <w:rsid w:val="001F2B31"/>
    <w:rsid w:val="001F2CDC"/>
    <w:rsid w:val="001F312B"/>
    <w:rsid w:val="001F3F91"/>
    <w:rsid w:val="001F4217"/>
    <w:rsid w:val="001F5143"/>
    <w:rsid w:val="001F5653"/>
    <w:rsid w:val="001F5ED4"/>
    <w:rsid w:val="001F602C"/>
    <w:rsid w:val="001F7223"/>
    <w:rsid w:val="001F76D7"/>
    <w:rsid w:val="00200F65"/>
    <w:rsid w:val="00200FCC"/>
    <w:rsid w:val="0020191F"/>
    <w:rsid w:val="002033A9"/>
    <w:rsid w:val="002038B1"/>
    <w:rsid w:val="0020448C"/>
    <w:rsid w:val="0020555F"/>
    <w:rsid w:val="00205BD5"/>
    <w:rsid w:val="00206100"/>
    <w:rsid w:val="002079C6"/>
    <w:rsid w:val="0021175A"/>
    <w:rsid w:val="002123E6"/>
    <w:rsid w:val="00212517"/>
    <w:rsid w:val="00212819"/>
    <w:rsid w:val="002134BF"/>
    <w:rsid w:val="0021355A"/>
    <w:rsid w:val="00213F1D"/>
    <w:rsid w:val="00214A19"/>
    <w:rsid w:val="00215FD6"/>
    <w:rsid w:val="0021658D"/>
    <w:rsid w:val="00216C1E"/>
    <w:rsid w:val="00217126"/>
    <w:rsid w:val="00217252"/>
    <w:rsid w:val="0022051D"/>
    <w:rsid w:val="00220654"/>
    <w:rsid w:val="0022142A"/>
    <w:rsid w:val="00221A18"/>
    <w:rsid w:val="0022254E"/>
    <w:rsid w:val="00223958"/>
    <w:rsid w:val="00223AC5"/>
    <w:rsid w:val="00224D0D"/>
    <w:rsid w:val="0022501D"/>
    <w:rsid w:val="00225508"/>
    <w:rsid w:val="0022551E"/>
    <w:rsid w:val="00225856"/>
    <w:rsid w:val="00225E44"/>
    <w:rsid w:val="00226BC6"/>
    <w:rsid w:val="00226D20"/>
    <w:rsid w:val="002271FC"/>
    <w:rsid w:val="002275EB"/>
    <w:rsid w:val="00227A84"/>
    <w:rsid w:val="00227C4D"/>
    <w:rsid w:val="00230CEA"/>
    <w:rsid w:val="00231AF8"/>
    <w:rsid w:val="002327F6"/>
    <w:rsid w:val="00232FF8"/>
    <w:rsid w:val="002331AD"/>
    <w:rsid w:val="00233317"/>
    <w:rsid w:val="002338C0"/>
    <w:rsid w:val="00233AC4"/>
    <w:rsid w:val="002344A5"/>
    <w:rsid w:val="00235020"/>
    <w:rsid w:val="00235525"/>
    <w:rsid w:val="00235790"/>
    <w:rsid w:val="0023592A"/>
    <w:rsid w:val="00235C76"/>
    <w:rsid w:val="00236973"/>
    <w:rsid w:val="002370DC"/>
    <w:rsid w:val="002379F3"/>
    <w:rsid w:val="002413CF"/>
    <w:rsid w:val="00241532"/>
    <w:rsid w:val="00241CE2"/>
    <w:rsid w:val="00241E2B"/>
    <w:rsid w:val="002423F7"/>
    <w:rsid w:val="0024271D"/>
    <w:rsid w:val="0024287D"/>
    <w:rsid w:val="00242D53"/>
    <w:rsid w:val="00242D8D"/>
    <w:rsid w:val="002447C5"/>
    <w:rsid w:val="00245068"/>
    <w:rsid w:val="002451DB"/>
    <w:rsid w:val="0024593D"/>
    <w:rsid w:val="00245B98"/>
    <w:rsid w:val="00246724"/>
    <w:rsid w:val="00246A3D"/>
    <w:rsid w:val="00247235"/>
    <w:rsid w:val="002479FC"/>
    <w:rsid w:val="00247B9F"/>
    <w:rsid w:val="0025038E"/>
    <w:rsid w:val="00250622"/>
    <w:rsid w:val="002510B9"/>
    <w:rsid w:val="0025117A"/>
    <w:rsid w:val="00251469"/>
    <w:rsid w:val="0025195E"/>
    <w:rsid w:val="00252369"/>
    <w:rsid w:val="00252878"/>
    <w:rsid w:val="00253953"/>
    <w:rsid w:val="00253B42"/>
    <w:rsid w:val="00254284"/>
    <w:rsid w:val="00256FE2"/>
    <w:rsid w:val="0025748F"/>
    <w:rsid w:val="00257525"/>
    <w:rsid w:val="00257698"/>
    <w:rsid w:val="00257B4B"/>
    <w:rsid w:val="00257D31"/>
    <w:rsid w:val="0026029B"/>
    <w:rsid w:val="00260C58"/>
    <w:rsid w:val="00260CD9"/>
    <w:rsid w:val="0026101A"/>
    <w:rsid w:val="00261ADB"/>
    <w:rsid w:val="00261BE7"/>
    <w:rsid w:val="00263045"/>
    <w:rsid w:val="002637EF"/>
    <w:rsid w:val="00263886"/>
    <w:rsid w:val="0026404C"/>
    <w:rsid w:val="0026413E"/>
    <w:rsid w:val="002643C4"/>
    <w:rsid w:val="002645D0"/>
    <w:rsid w:val="00264C5C"/>
    <w:rsid w:val="002656A6"/>
    <w:rsid w:val="002659DF"/>
    <w:rsid w:val="00265B6D"/>
    <w:rsid w:val="00265C8B"/>
    <w:rsid w:val="00265D17"/>
    <w:rsid w:val="0026668D"/>
    <w:rsid w:val="0027079A"/>
    <w:rsid w:val="0027197F"/>
    <w:rsid w:val="00271F4E"/>
    <w:rsid w:val="0027203A"/>
    <w:rsid w:val="002726C1"/>
    <w:rsid w:val="00272F28"/>
    <w:rsid w:val="00273C1B"/>
    <w:rsid w:val="00274905"/>
    <w:rsid w:val="00275C8A"/>
    <w:rsid w:val="00275EC5"/>
    <w:rsid w:val="00276D8F"/>
    <w:rsid w:val="0027722C"/>
    <w:rsid w:val="00277458"/>
    <w:rsid w:val="00281145"/>
    <w:rsid w:val="00281D45"/>
    <w:rsid w:val="00281F38"/>
    <w:rsid w:val="00281FF8"/>
    <w:rsid w:val="00283127"/>
    <w:rsid w:val="00284085"/>
    <w:rsid w:val="002840F1"/>
    <w:rsid w:val="00284688"/>
    <w:rsid w:val="00284CD1"/>
    <w:rsid w:val="00286F58"/>
    <w:rsid w:val="00290143"/>
    <w:rsid w:val="00290712"/>
    <w:rsid w:val="0029089C"/>
    <w:rsid w:val="00290AF6"/>
    <w:rsid w:val="00290EC1"/>
    <w:rsid w:val="002919F1"/>
    <w:rsid w:val="00291B5F"/>
    <w:rsid w:val="00291B76"/>
    <w:rsid w:val="00292974"/>
    <w:rsid w:val="00292B30"/>
    <w:rsid w:val="00292E2D"/>
    <w:rsid w:val="002930CD"/>
    <w:rsid w:val="00293321"/>
    <w:rsid w:val="00293928"/>
    <w:rsid w:val="00294614"/>
    <w:rsid w:val="0029599D"/>
    <w:rsid w:val="00296C0E"/>
    <w:rsid w:val="00296DA9"/>
    <w:rsid w:val="00297532"/>
    <w:rsid w:val="00297B88"/>
    <w:rsid w:val="00297F35"/>
    <w:rsid w:val="002A0EA5"/>
    <w:rsid w:val="002A0F6A"/>
    <w:rsid w:val="002A1208"/>
    <w:rsid w:val="002A190B"/>
    <w:rsid w:val="002A2AFD"/>
    <w:rsid w:val="002A2C47"/>
    <w:rsid w:val="002A3099"/>
    <w:rsid w:val="002A313B"/>
    <w:rsid w:val="002A34F9"/>
    <w:rsid w:val="002A37A1"/>
    <w:rsid w:val="002A3FBB"/>
    <w:rsid w:val="002A45E7"/>
    <w:rsid w:val="002A5630"/>
    <w:rsid w:val="002A5DDD"/>
    <w:rsid w:val="002A6AB8"/>
    <w:rsid w:val="002A7560"/>
    <w:rsid w:val="002A79C3"/>
    <w:rsid w:val="002B05C7"/>
    <w:rsid w:val="002B0922"/>
    <w:rsid w:val="002B0F8E"/>
    <w:rsid w:val="002B114E"/>
    <w:rsid w:val="002B128A"/>
    <w:rsid w:val="002B1A4F"/>
    <w:rsid w:val="002B1DFF"/>
    <w:rsid w:val="002B30C2"/>
    <w:rsid w:val="002B3374"/>
    <w:rsid w:val="002B3515"/>
    <w:rsid w:val="002B3544"/>
    <w:rsid w:val="002B368B"/>
    <w:rsid w:val="002B4616"/>
    <w:rsid w:val="002B4921"/>
    <w:rsid w:val="002B5A7F"/>
    <w:rsid w:val="002B615B"/>
    <w:rsid w:val="002B655A"/>
    <w:rsid w:val="002B74DC"/>
    <w:rsid w:val="002B7B9F"/>
    <w:rsid w:val="002C0245"/>
    <w:rsid w:val="002C095D"/>
    <w:rsid w:val="002C0C0A"/>
    <w:rsid w:val="002C1257"/>
    <w:rsid w:val="002C2BA7"/>
    <w:rsid w:val="002C2F59"/>
    <w:rsid w:val="002C337A"/>
    <w:rsid w:val="002C3EF2"/>
    <w:rsid w:val="002C499A"/>
    <w:rsid w:val="002C5323"/>
    <w:rsid w:val="002C55ED"/>
    <w:rsid w:val="002C56AB"/>
    <w:rsid w:val="002C56D8"/>
    <w:rsid w:val="002C5822"/>
    <w:rsid w:val="002C6796"/>
    <w:rsid w:val="002C6DA1"/>
    <w:rsid w:val="002C75C8"/>
    <w:rsid w:val="002C777A"/>
    <w:rsid w:val="002D013F"/>
    <w:rsid w:val="002D0154"/>
    <w:rsid w:val="002D0968"/>
    <w:rsid w:val="002D09EA"/>
    <w:rsid w:val="002D15FA"/>
    <w:rsid w:val="002D1F64"/>
    <w:rsid w:val="002D26EA"/>
    <w:rsid w:val="002D27E3"/>
    <w:rsid w:val="002D2967"/>
    <w:rsid w:val="002D33C7"/>
    <w:rsid w:val="002D361E"/>
    <w:rsid w:val="002D3F9A"/>
    <w:rsid w:val="002D47FE"/>
    <w:rsid w:val="002D595B"/>
    <w:rsid w:val="002D799C"/>
    <w:rsid w:val="002D7B70"/>
    <w:rsid w:val="002D7BF5"/>
    <w:rsid w:val="002E0515"/>
    <w:rsid w:val="002E0C37"/>
    <w:rsid w:val="002E12A4"/>
    <w:rsid w:val="002E1C8A"/>
    <w:rsid w:val="002E1DB4"/>
    <w:rsid w:val="002E21CD"/>
    <w:rsid w:val="002E291A"/>
    <w:rsid w:val="002E5B19"/>
    <w:rsid w:val="002E6183"/>
    <w:rsid w:val="002E772B"/>
    <w:rsid w:val="002E77AD"/>
    <w:rsid w:val="002E7B53"/>
    <w:rsid w:val="002F01AD"/>
    <w:rsid w:val="002F0D86"/>
    <w:rsid w:val="002F185F"/>
    <w:rsid w:val="002F1C35"/>
    <w:rsid w:val="002F1D00"/>
    <w:rsid w:val="002F2774"/>
    <w:rsid w:val="002F2866"/>
    <w:rsid w:val="002F3B45"/>
    <w:rsid w:val="002F45A3"/>
    <w:rsid w:val="002F4660"/>
    <w:rsid w:val="002F504E"/>
    <w:rsid w:val="002F55EC"/>
    <w:rsid w:val="002F5B82"/>
    <w:rsid w:val="002F5E62"/>
    <w:rsid w:val="002F6B09"/>
    <w:rsid w:val="002F7742"/>
    <w:rsid w:val="00300242"/>
    <w:rsid w:val="00300A5A"/>
    <w:rsid w:val="00302100"/>
    <w:rsid w:val="00302EDB"/>
    <w:rsid w:val="00303162"/>
    <w:rsid w:val="00303164"/>
    <w:rsid w:val="003041EB"/>
    <w:rsid w:val="00304661"/>
    <w:rsid w:val="00305313"/>
    <w:rsid w:val="003069F4"/>
    <w:rsid w:val="003072D1"/>
    <w:rsid w:val="003072DC"/>
    <w:rsid w:val="003073E4"/>
    <w:rsid w:val="00310D7C"/>
    <w:rsid w:val="00310E88"/>
    <w:rsid w:val="00310FA9"/>
    <w:rsid w:val="003116D3"/>
    <w:rsid w:val="00311935"/>
    <w:rsid w:val="003125D5"/>
    <w:rsid w:val="00313B4A"/>
    <w:rsid w:val="00313C57"/>
    <w:rsid w:val="00313F33"/>
    <w:rsid w:val="00314942"/>
    <w:rsid w:val="00315ECA"/>
    <w:rsid w:val="003162DE"/>
    <w:rsid w:val="003163A1"/>
    <w:rsid w:val="003168D1"/>
    <w:rsid w:val="00317243"/>
    <w:rsid w:val="003173B8"/>
    <w:rsid w:val="00322227"/>
    <w:rsid w:val="00323C80"/>
    <w:rsid w:val="00323F6F"/>
    <w:rsid w:val="003243FC"/>
    <w:rsid w:val="00324CBF"/>
    <w:rsid w:val="003253E4"/>
    <w:rsid w:val="003258CF"/>
    <w:rsid w:val="00325916"/>
    <w:rsid w:val="00325C0A"/>
    <w:rsid w:val="00325DD6"/>
    <w:rsid w:val="00326DD8"/>
    <w:rsid w:val="003276BF"/>
    <w:rsid w:val="00327C6B"/>
    <w:rsid w:val="003301CB"/>
    <w:rsid w:val="00330C9D"/>
    <w:rsid w:val="003311C4"/>
    <w:rsid w:val="0033170F"/>
    <w:rsid w:val="00331CA2"/>
    <w:rsid w:val="00331FAE"/>
    <w:rsid w:val="003324AD"/>
    <w:rsid w:val="003332DE"/>
    <w:rsid w:val="00334383"/>
    <w:rsid w:val="00335140"/>
    <w:rsid w:val="003362A1"/>
    <w:rsid w:val="00336587"/>
    <w:rsid w:val="00336E27"/>
    <w:rsid w:val="00336F80"/>
    <w:rsid w:val="003373AC"/>
    <w:rsid w:val="003406CE"/>
    <w:rsid w:val="003417B7"/>
    <w:rsid w:val="00341CB3"/>
    <w:rsid w:val="00342007"/>
    <w:rsid w:val="00342B3B"/>
    <w:rsid w:val="00343429"/>
    <w:rsid w:val="0034351F"/>
    <w:rsid w:val="00343694"/>
    <w:rsid w:val="00343D07"/>
    <w:rsid w:val="003440C8"/>
    <w:rsid w:val="00344812"/>
    <w:rsid w:val="00344B0F"/>
    <w:rsid w:val="003462B6"/>
    <w:rsid w:val="003471C6"/>
    <w:rsid w:val="0034726D"/>
    <w:rsid w:val="003502AA"/>
    <w:rsid w:val="0035051D"/>
    <w:rsid w:val="0035107C"/>
    <w:rsid w:val="00351538"/>
    <w:rsid w:val="003527FA"/>
    <w:rsid w:val="00353DA1"/>
    <w:rsid w:val="00354274"/>
    <w:rsid w:val="00354855"/>
    <w:rsid w:val="00354C5A"/>
    <w:rsid w:val="00354CB8"/>
    <w:rsid w:val="00355317"/>
    <w:rsid w:val="00355CC6"/>
    <w:rsid w:val="00355D2E"/>
    <w:rsid w:val="00356092"/>
    <w:rsid w:val="00356912"/>
    <w:rsid w:val="00357725"/>
    <w:rsid w:val="00357A68"/>
    <w:rsid w:val="00360606"/>
    <w:rsid w:val="0036098B"/>
    <w:rsid w:val="00360B1F"/>
    <w:rsid w:val="00361328"/>
    <w:rsid w:val="003629A1"/>
    <w:rsid w:val="00362BDF"/>
    <w:rsid w:val="00362D1F"/>
    <w:rsid w:val="003630D1"/>
    <w:rsid w:val="00363312"/>
    <w:rsid w:val="0036352A"/>
    <w:rsid w:val="0036368C"/>
    <w:rsid w:val="003637FA"/>
    <w:rsid w:val="00363986"/>
    <w:rsid w:val="00363F8F"/>
    <w:rsid w:val="00364108"/>
    <w:rsid w:val="00364CD1"/>
    <w:rsid w:val="00365F1B"/>
    <w:rsid w:val="00366189"/>
    <w:rsid w:val="00366935"/>
    <w:rsid w:val="00366E94"/>
    <w:rsid w:val="0036766C"/>
    <w:rsid w:val="00367C80"/>
    <w:rsid w:val="00370701"/>
    <w:rsid w:val="00370A76"/>
    <w:rsid w:val="00370B61"/>
    <w:rsid w:val="00371002"/>
    <w:rsid w:val="003715F5"/>
    <w:rsid w:val="00371BA7"/>
    <w:rsid w:val="003723DE"/>
    <w:rsid w:val="0037255F"/>
    <w:rsid w:val="00372756"/>
    <w:rsid w:val="00372CE0"/>
    <w:rsid w:val="003737C6"/>
    <w:rsid w:val="00373948"/>
    <w:rsid w:val="00373A37"/>
    <w:rsid w:val="00373D65"/>
    <w:rsid w:val="0037412F"/>
    <w:rsid w:val="00374506"/>
    <w:rsid w:val="003746B1"/>
    <w:rsid w:val="0037492D"/>
    <w:rsid w:val="00374BA5"/>
    <w:rsid w:val="00375B9D"/>
    <w:rsid w:val="00376191"/>
    <w:rsid w:val="00376D6A"/>
    <w:rsid w:val="003771E7"/>
    <w:rsid w:val="003778C1"/>
    <w:rsid w:val="00377F18"/>
    <w:rsid w:val="0038003D"/>
    <w:rsid w:val="00380361"/>
    <w:rsid w:val="00380D96"/>
    <w:rsid w:val="00380EEB"/>
    <w:rsid w:val="00381022"/>
    <w:rsid w:val="00381AC5"/>
    <w:rsid w:val="00381CFE"/>
    <w:rsid w:val="00382364"/>
    <w:rsid w:val="0038273D"/>
    <w:rsid w:val="00382C66"/>
    <w:rsid w:val="00382CDF"/>
    <w:rsid w:val="0038350E"/>
    <w:rsid w:val="00383904"/>
    <w:rsid w:val="00384718"/>
    <w:rsid w:val="00384812"/>
    <w:rsid w:val="00385D0C"/>
    <w:rsid w:val="0038621C"/>
    <w:rsid w:val="003868A6"/>
    <w:rsid w:val="00386B54"/>
    <w:rsid w:val="00386C79"/>
    <w:rsid w:val="00387780"/>
    <w:rsid w:val="003901F3"/>
    <w:rsid w:val="003903DA"/>
    <w:rsid w:val="00390A0F"/>
    <w:rsid w:val="00390F20"/>
    <w:rsid w:val="003918C7"/>
    <w:rsid w:val="003919B4"/>
    <w:rsid w:val="00391DFE"/>
    <w:rsid w:val="003920E5"/>
    <w:rsid w:val="00392966"/>
    <w:rsid w:val="0039344D"/>
    <w:rsid w:val="003936BE"/>
    <w:rsid w:val="003940C0"/>
    <w:rsid w:val="0039511A"/>
    <w:rsid w:val="00395B1F"/>
    <w:rsid w:val="003960A9"/>
    <w:rsid w:val="00396ECB"/>
    <w:rsid w:val="00397178"/>
    <w:rsid w:val="003A036D"/>
    <w:rsid w:val="003A0E58"/>
    <w:rsid w:val="003A1206"/>
    <w:rsid w:val="003A15A4"/>
    <w:rsid w:val="003A278F"/>
    <w:rsid w:val="003A2FAE"/>
    <w:rsid w:val="003A5083"/>
    <w:rsid w:val="003A50E7"/>
    <w:rsid w:val="003A5519"/>
    <w:rsid w:val="003A588A"/>
    <w:rsid w:val="003A5C5F"/>
    <w:rsid w:val="003A6147"/>
    <w:rsid w:val="003A69E8"/>
    <w:rsid w:val="003B10CC"/>
    <w:rsid w:val="003B126E"/>
    <w:rsid w:val="003B1409"/>
    <w:rsid w:val="003B174B"/>
    <w:rsid w:val="003B2635"/>
    <w:rsid w:val="003B2637"/>
    <w:rsid w:val="003B30E2"/>
    <w:rsid w:val="003B35FC"/>
    <w:rsid w:val="003B3C9C"/>
    <w:rsid w:val="003B45D3"/>
    <w:rsid w:val="003B550A"/>
    <w:rsid w:val="003B558B"/>
    <w:rsid w:val="003B56F8"/>
    <w:rsid w:val="003B5D7E"/>
    <w:rsid w:val="003B5E85"/>
    <w:rsid w:val="003B6412"/>
    <w:rsid w:val="003B68E1"/>
    <w:rsid w:val="003B6A6A"/>
    <w:rsid w:val="003B6C66"/>
    <w:rsid w:val="003C0101"/>
    <w:rsid w:val="003C08A1"/>
    <w:rsid w:val="003C12B7"/>
    <w:rsid w:val="003C1392"/>
    <w:rsid w:val="003C13DB"/>
    <w:rsid w:val="003C193D"/>
    <w:rsid w:val="003C24D0"/>
    <w:rsid w:val="003C28F0"/>
    <w:rsid w:val="003C2907"/>
    <w:rsid w:val="003C2CC0"/>
    <w:rsid w:val="003C3F02"/>
    <w:rsid w:val="003C5C90"/>
    <w:rsid w:val="003C637B"/>
    <w:rsid w:val="003C77A2"/>
    <w:rsid w:val="003C7C60"/>
    <w:rsid w:val="003D127B"/>
    <w:rsid w:val="003D1CBB"/>
    <w:rsid w:val="003D2FFF"/>
    <w:rsid w:val="003D3780"/>
    <w:rsid w:val="003D397C"/>
    <w:rsid w:val="003D3C89"/>
    <w:rsid w:val="003D445A"/>
    <w:rsid w:val="003D4BEE"/>
    <w:rsid w:val="003D4C21"/>
    <w:rsid w:val="003D4E0C"/>
    <w:rsid w:val="003E094A"/>
    <w:rsid w:val="003E0975"/>
    <w:rsid w:val="003E0FE3"/>
    <w:rsid w:val="003E104D"/>
    <w:rsid w:val="003E2434"/>
    <w:rsid w:val="003E2C89"/>
    <w:rsid w:val="003E3154"/>
    <w:rsid w:val="003E334C"/>
    <w:rsid w:val="003E35DB"/>
    <w:rsid w:val="003E3E40"/>
    <w:rsid w:val="003E3F4D"/>
    <w:rsid w:val="003E3F7D"/>
    <w:rsid w:val="003E56B3"/>
    <w:rsid w:val="003E597D"/>
    <w:rsid w:val="003E6742"/>
    <w:rsid w:val="003F0637"/>
    <w:rsid w:val="003F09B8"/>
    <w:rsid w:val="003F0C5A"/>
    <w:rsid w:val="003F0EA6"/>
    <w:rsid w:val="003F0F93"/>
    <w:rsid w:val="003F158A"/>
    <w:rsid w:val="003F15EB"/>
    <w:rsid w:val="003F18DA"/>
    <w:rsid w:val="003F2B05"/>
    <w:rsid w:val="003F316B"/>
    <w:rsid w:val="003F3DCE"/>
    <w:rsid w:val="003F40A1"/>
    <w:rsid w:val="003F4C66"/>
    <w:rsid w:val="003F4C8D"/>
    <w:rsid w:val="003F501F"/>
    <w:rsid w:val="003F562A"/>
    <w:rsid w:val="003F647D"/>
    <w:rsid w:val="003F6D13"/>
    <w:rsid w:val="003F71D6"/>
    <w:rsid w:val="003F7490"/>
    <w:rsid w:val="003F7591"/>
    <w:rsid w:val="003F765F"/>
    <w:rsid w:val="004001CA"/>
    <w:rsid w:val="00400D4A"/>
    <w:rsid w:val="004010BD"/>
    <w:rsid w:val="004011B0"/>
    <w:rsid w:val="0040136A"/>
    <w:rsid w:val="00402243"/>
    <w:rsid w:val="00402302"/>
    <w:rsid w:val="004025B1"/>
    <w:rsid w:val="00402C43"/>
    <w:rsid w:val="0040350C"/>
    <w:rsid w:val="00403762"/>
    <w:rsid w:val="00403CD9"/>
    <w:rsid w:val="004041B3"/>
    <w:rsid w:val="004049E1"/>
    <w:rsid w:val="00404A3A"/>
    <w:rsid w:val="0040548E"/>
    <w:rsid w:val="00405C38"/>
    <w:rsid w:val="00406576"/>
    <w:rsid w:val="0040695C"/>
    <w:rsid w:val="00406BC2"/>
    <w:rsid w:val="0040729F"/>
    <w:rsid w:val="00407E0E"/>
    <w:rsid w:val="00410E46"/>
    <w:rsid w:val="00410F2F"/>
    <w:rsid w:val="004120F5"/>
    <w:rsid w:val="004125BB"/>
    <w:rsid w:val="004130AB"/>
    <w:rsid w:val="0041361B"/>
    <w:rsid w:val="004139B3"/>
    <w:rsid w:val="00413A67"/>
    <w:rsid w:val="00413A93"/>
    <w:rsid w:val="00414A26"/>
    <w:rsid w:val="00414F28"/>
    <w:rsid w:val="00415080"/>
    <w:rsid w:val="00415712"/>
    <w:rsid w:val="00415B85"/>
    <w:rsid w:val="00416159"/>
    <w:rsid w:val="0041702F"/>
    <w:rsid w:val="00417258"/>
    <w:rsid w:val="00422D18"/>
    <w:rsid w:val="00423325"/>
    <w:rsid w:val="00423456"/>
    <w:rsid w:val="00423975"/>
    <w:rsid w:val="00424629"/>
    <w:rsid w:val="00424646"/>
    <w:rsid w:val="004251A4"/>
    <w:rsid w:val="004261CB"/>
    <w:rsid w:val="00426624"/>
    <w:rsid w:val="00426652"/>
    <w:rsid w:val="0042749E"/>
    <w:rsid w:val="00427EB4"/>
    <w:rsid w:val="004305E5"/>
    <w:rsid w:val="00430B20"/>
    <w:rsid w:val="0043133D"/>
    <w:rsid w:val="00431A05"/>
    <w:rsid w:val="00431CC7"/>
    <w:rsid w:val="0043218E"/>
    <w:rsid w:val="00432BCA"/>
    <w:rsid w:val="00433C4A"/>
    <w:rsid w:val="00434B1C"/>
    <w:rsid w:val="00434CD4"/>
    <w:rsid w:val="0043564F"/>
    <w:rsid w:val="00435858"/>
    <w:rsid w:val="00435E54"/>
    <w:rsid w:val="00437235"/>
    <w:rsid w:val="0043724D"/>
    <w:rsid w:val="0043757C"/>
    <w:rsid w:val="00437894"/>
    <w:rsid w:val="004400BA"/>
    <w:rsid w:val="004402A1"/>
    <w:rsid w:val="00440466"/>
    <w:rsid w:val="0044069B"/>
    <w:rsid w:val="00440E12"/>
    <w:rsid w:val="00441AD6"/>
    <w:rsid w:val="00442AF1"/>
    <w:rsid w:val="004431EC"/>
    <w:rsid w:val="00443354"/>
    <w:rsid w:val="00444107"/>
    <w:rsid w:val="00444329"/>
    <w:rsid w:val="00444B15"/>
    <w:rsid w:val="00444C11"/>
    <w:rsid w:val="0044508B"/>
    <w:rsid w:val="004456D4"/>
    <w:rsid w:val="00445C79"/>
    <w:rsid w:val="00446756"/>
    <w:rsid w:val="00446E1B"/>
    <w:rsid w:val="00447E47"/>
    <w:rsid w:val="004503DA"/>
    <w:rsid w:val="00450B25"/>
    <w:rsid w:val="00450EF2"/>
    <w:rsid w:val="00451315"/>
    <w:rsid w:val="004516BD"/>
    <w:rsid w:val="00451967"/>
    <w:rsid w:val="004520F9"/>
    <w:rsid w:val="004534F9"/>
    <w:rsid w:val="00453C76"/>
    <w:rsid w:val="0045416C"/>
    <w:rsid w:val="00455BE9"/>
    <w:rsid w:val="004564B0"/>
    <w:rsid w:val="00456AB4"/>
    <w:rsid w:val="00456C04"/>
    <w:rsid w:val="00456E91"/>
    <w:rsid w:val="00461B47"/>
    <w:rsid w:val="00462C46"/>
    <w:rsid w:val="0046387D"/>
    <w:rsid w:val="0046411E"/>
    <w:rsid w:val="004647A5"/>
    <w:rsid w:val="00464A8B"/>
    <w:rsid w:val="0046524C"/>
    <w:rsid w:val="00465341"/>
    <w:rsid w:val="004654CC"/>
    <w:rsid w:val="0046596D"/>
    <w:rsid w:val="00465C63"/>
    <w:rsid w:val="00465D3C"/>
    <w:rsid w:val="004666BC"/>
    <w:rsid w:val="00466D12"/>
    <w:rsid w:val="004702C4"/>
    <w:rsid w:val="00471251"/>
    <w:rsid w:val="004714B2"/>
    <w:rsid w:val="00471A3C"/>
    <w:rsid w:val="00471AC7"/>
    <w:rsid w:val="00472457"/>
    <w:rsid w:val="0047299E"/>
    <w:rsid w:val="0047414F"/>
    <w:rsid w:val="004757D9"/>
    <w:rsid w:val="00475DD9"/>
    <w:rsid w:val="004764E4"/>
    <w:rsid w:val="00476FE4"/>
    <w:rsid w:val="004803FA"/>
    <w:rsid w:val="00481C0D"/>
    <w:rsid w:val="00483E62"/>
    <w:rsid w:val="004855C1"/>
    <w:rsid w:val="0048643B"/>
    <w:rsid w:val="00486443"/>
    <w:rsid w:val="00486C57"/>
    <w:rsid w:val="00487536"/>
    <w:rsid w:val="004876B1"/>
    <w:rsid w:val="00487E22"/>
    <w:rsid w:val="0049212C"/>
    <w:rsid w:val="00492721"/>
    <w:rsid w:val="00492A13"/>
    <w:rsid w:val="00493237"/>
    <w:rsid w:val="00493C77"/>
    <w:rsid w:val="0049407C"/>
    <w:rsid w:val="00495020"/>
    <w:rsid w:val="004956BB"/>
    <w:rsid w:val="0049577C"/>
    <w:rsid w:val="00495A0D"/>
    <w:rsid w:val="00495D2B"/>
    <w:rsid w:val="00496343"/>
    <w:rsid w:val="00497B8E"/>
    <w:rsid w:val="00497E95"/>
    <w:rsid w:val="004A03E7"/>
    <w:rsid w:val="004A10B9"/>
    <w:rsid w:val="004A1A24"/>
    <w:rsid w:val="004A3541"/>
    <w:rsid w:val="004A3AC8"/>
    <w:rsid w:val="004A3E02"/>
    <w:rsid w:val="004A3F1C"/>
    <w:rsid w:val="004A4503"/>
    <w:rsid w:val="004A56E2"/>
    <w:rsid w:val="004A69D6"/>
    <w:rsid w:val="004A6C01"/>
    <w:rsid w:val="004A6F7D"/>
    <w:rsid w:val="004B07FF"/>
    <w:rsid w:val="004B087F"/>
    <w:rsid w:val="004B0ABB"/>
    <w:rsid w:val="004B18C9"/>
    <w:rsid w:val="004B23AB"/>
    <w:rsid w:val="004B3290"/>
    <w:rsid w:val="004B3751"/>
    <w:rsid w:val="004B376F"/>
    <w:rsid w:val="004B48A2"/>
    <w:rsid w:val="004B58D7"/>
    <w:rsid w:val="004B5CE3"/>
    <w:rsid w:val="004B5FF4"/>
    <w:rsid w:val="004B640C"/>
    <w:rsid w:val="004B6C69"/>
    <w:rsid w:val="004B75E0"/>
    <w:rsid w:val="004B77BD"/>
    <w:rsid w:val="004B7A18"/>
    <w:rsid w:val="004B7E7F"/>
    <w:rsid w:val="004C0B80"/>
    <w:rsid w:val="004C11CA"/>
    <w:rsid w:val="004C18BB"/>
    <w:rsid w:val="004C1F81"/>
    <w:rsid w:val="004C1FA4"/>
    <w:rsid w:val="004C3182"/>
    <w:rsid w:val="004C345B"/>
    <w:rsid w:val="004C3D10"/>
    <w:rsid w:val="004C40C1"/>
    <w:rsid w:val="004C4741"/>
    <w:rsid w:val="004C486F"/>
    <w:rsid w:val="004C49D2"/>
    <w:rsid w:val="004C4F0B"/>
    <w:rsid w:val="004C50B6"/>
    <w:rsid w:val="004C6C4D"/>
    <w:rsid w:val="004C7698"/>
    <w:rsid w:val="004D0721"/>
    <w:rsid w:val="004D0D56"/>
    <w:rsid w:val="004D14D4"/>
    <w:rsid w:val="004D1863"/>
    <w:rsid w:val="004D1B93"/>
    <w:rsid w:val="004D20D9"/>
    <w:rsid w:val="004D3189"/>
    <w:rsid w:val="004D53BB"/>
    <w:rsid w:val="004D5543"/>
    <w:rsid w:val="004D58DC"/>
    <w:rsid w:val="004D71B5"/>
    <w:rsid w:val="004D77F5"/>
    <w:rsid w:val="004D7B6D"/>
    <w:rsid w:val="004D7ECB"/>
    <w:rsid w:val="004E0323"/>
    <w:rsid w:val="004E0339"/>
    <w:rsid w:val="004E068A"/>
    <w:rsid w:val="004E0A77"/>
    <w:rsid w:val="004E0B0C"/>
    <w:rsid w:val="004E0FEE"/>
    <w:rsid w:val="004E14F7"/>
    <w:rsid w:val="004E2A6D"/>
    <w:rsid w:val="004E354F"/>
    <w:rsid w:val="004E462D"/>
    <w:rsid w:val="004E4F22"/>
    <w:rsid w:val="004E53AC"/>
    <w:rsid w:val="004E5C87"/>
    <w:rsid w:val="004E6A2A"/>
    <w:rsid w:val="004E788F"/>
    <w:rsid w:val="004E7938"/>
    <w:rsid w:val="004E7EAE"/>
    <w:rsid w:val="004F0298"/>
    <w:rsid w:val="004F0598"/>
    <w:rsid w:val="004F12DC"/>
    <w:rsid w:val="004F348F"/>
    <w:rsid w:val="004F36BD"/>
    <w:rsid w:val="004F3A1B"/>
    <w:rsid w:val="004F47F8"/>
    <w:rsid w:val="004F58DF"/>
    <w:rsid w:val="0050034A"/>
    <w:rsid w:val="00502D84"/>
    <w:rsid w:val="00503057"/>
    <w:rsid w:val="0050406F"/>
    <w:rsid w:val="005047E1"/>
    <w:rsid w:val="0050501E"/>
    <w:rsid w:val="00505224"/>
    <w:rsid w:val="00505476"/>
    <w:rsid w:val="00505FA0"/>
    <w:rsid w:val="005062CE"/>
    <w:rsid w:val="005067E5"/>
    <w:rsid w:val="00511ABF"/>
    <w:rsid w:val="005127F0"/>
    <w:rsid w:val="005136FB"/>
    <w:rsid w:val="00513759"/>
    <w:rsid w:val="00514715"/>
    <w:rsid w:val="00514A29"/>
    <w:rsid w:val="00515278"/>
    <w:rsid w:val="00515439"/>
    <w:rsid w:val="00517D66"/>
    <w:rsid w:val="00520F26"/>
    <w:rsid w:val="0052139C"/>
    <w:rsid w:val="0052191D"/>
    <w:rsid w:val="005220A2"/>
    <w:rsid w:val="00522D48"/>
    <w:rsid w:val="00522FD3"/>
    <w:rsid w:val="00524732"/>
    <w:rsid w:val="00524C90"/>
    <w:rsid w:val="00524D1D"/>
    <w:rsid w:val="00525234"/>
    <w:rsid w:val="00525658"/>
    <w:rsid w:val="00526196"/>
    <w:rsid w:val="00530342"/>
    <w:rsid w:val="005306B6"/>
    <w:rsid w:val="0053082E"/>
    <w:rsid w:val="00530B7B"/>
    <w:rsid w:val="005318E0"/>
    <w:rsid w:val="00531AF7"/>
    <w:rsid w:val="00532D30"/>
    <w:rsid w:val="00533327"/>
    <w:rsid w:val="00533C19"/>
    <w:rsid w:val="00533E7B"/>
    <w:rsid w:val="00534947"/>
    <w:rsid w:val="00535012"/>
    <w:rsid w:val="0053587E"/>
    <w:rsid w:val="005358B9"/>
    <w:rsid w:val="00535CD5"/>
    <w:rsid w:val="00536304"/>
    <w:rsid w:val="0053708C"/>
    <w:rsid w:val="005375C2"/>
    <w:rsid w:val="00537BC2"/>
    <w:rsid w:val="00537D72"/>
    <w:rsid w:val="00540875"/>
    <w:rsid w:val="0054107C"/>
    <w:rsid w:val="005411DC"/>
    <w:rsid w:val="00542B6C"/>
    <w:rsid w:val="00542F05"/>
    <w:rsid w:val="005435DE"/>
    <w:rsid w:val="00543D33"/>
    <w:rsid w:val="00544683"/>
    <w:rsid w:val="00545BE2"/>
    <w:rsid w:val="00546067"/>
    <w:rsid w:val="00546530"/>
    <w:rsid w:val="00546733"/>
    <w:rsid w:val="00547F3B"/>
    <w:rsid w:val="00547F6D"/>
    <w:rsid w:val="005502D0"/>
    <w:rsid w:val="005503BA"/>
    <w:rsid w:val="00550466"/>
    <w:rsid w:val="0055078E"/>
    <w:rsid w:val="0055098D"/>
    <w:rsid w:val="00551326"/>
    <w:rsid w:val="005519CB"/>
    <w:rsid w:val="00552527"/>
    <w:rsid w:val="00552905"/>
    <w:rsid w:val="00553FAA"/>
    <w:rsid w:val="005543EB"/>
    <w:rsid w:val="00554855"/>
    <w:rsid w:val="00555125"/>
    <w:rsid w:val="00555567"/>
    <w:rsid w:val="00555583"/>
    <w:rsid w:val="005559C4"/>
    <w:rsid w:val="005565BB"/>
    <w:rsid w:val="00556701"/>
    <w:rsid w:val="005568FA"/>
    <w:rsid w:val="00556F33"/>
    <w:rsid w:val="00560A9E"/>
    <w:rsid w:val="00560B59"/>
    <w:rsid w:val="00560BBC"/>
    <w:rsid w:val="00561462"/>
    <w:rsid w:val="00561704"/>
    <w:rsid w:val="00561BC5"/>
    <w:rsid w:val="00562414"/>
    <w:rsid w:val="00563C38"/>
    <w:rsid w:val="005643A9"/>
    <w:rsid w:val="0056453D"/>
    <w:rsid w:val="00564F75"/>
    <w:rsid w:val="005652D7"/>
    <w:rsid w:val="0056666F"/>
    <w:rsid w:val="00567A0C"/>
    <w:rsid w:val="005707E1"/>
    <w:rsid w:val="00570A48"/>
    <w:rsid w:val="00570CE9"/>
    <w:rsid w:val="00570CFF"/>
    <w:rsid w:val="00570F9B"/>
    <w:rsid w:val="00571013"/>
    <w:rsid w:val="005713B9"/>
    <w:rsid w:val="00571FE3"/>
    <w:rsid w:val="0057207D"/>
    <w:rsid w:val="00572677"/>
    <w:rsid w:val="005728B2"/>
    <w:rsid w:val="00572915"/>
    <w:rsid w:val="00572B13"/>
    <w:rsid w:val="005734D4"/>
    <w:rsid w:val="00573DCF"/>
    <w:rsid w:val="00575212"/>
    <w:rsid w:val="005755D3"/>
    <w:rsid w:val="005756FF"/>
    <w:rsid w:val="00576095"/>
    <w:rsid w:val="00576706"/>
    <w:rsid w:val="00580651"/>
    <w:rsid w:val="00580A22"/>
    <w:rsid w:val="00581C8E"/>
    <w:rsid w:val="00582735"/>
    <w:rsid w:val="005827A2"/>
    <w:rsid w:val="0058328A"/>
    <w:rsid w:val="005845BF"/>
    <w:rsid w:val="00584BA1"/>
    <w:rsid w:val="00584F25"/>
    <w:rsid w:val="00585180"/>
    <w:rsid w:val="00585416"/>
    <w:rsid w:val="005854DA"/>
    <w:rsid w:val="0058556E"/>
    <w:rsid w:val="00585B94"/>
    <w:rsid w:val="00586BF4"/>
    <w:rsid w:val="00586F53"/>
    <w:rsid w:val="00587393"/>
    <w:rsid w:val="005876B8"/>
    <w:rsid w:val="00590283"/>
    <w:rsid w:val="005907A2"/>
    <w:rsid w:val="00590E2C"/>
    <w:rsid w:val="00591F40"/>
    <w:rsid w:val="00592D62"/>
    <w:rsid w:val="005930AC"/>
    <w:rsid w:val="00593A28"/>
    <w:rsid w:val="00593C20"/>
    <w:rsid w:val="00594596"/>
    <w:rsid w:val="00595F3E"/>
    <w:rsid w:val="00596573"/>
    <w:rsid w:val="00596BB8"/>
    <w:rsid w:val="00596F5A"/>
    <w:rsid w:val="00597250"/>
    <w:rsid w:val="00597D12"/>
    <w:rsid w:val="005A0162"/>
    <w:rsid w:val="005A0AAA"/>
    <w:rsid w:val="005A12B3"/>
    <w:rsid w:val="005A1CF9"/>
    <w:rsid w:val="005A2616"/>
    <w:rsid w:val="005A27A5"/>
    <w:rsid w:val="005A3545"/>
    <w:rsid w:val="005A3AA6"/>
    <w:rsid w:val="005A3F13"/>
    <w:rsid w:val="005A3FE7"/>
    <w:rsid w:val="005A43E6"/>
    <w:rsid w:val="005A518A"/>
    <w:rsid w:val="005A5B7F"/>
    <w:rsid w:val="005A5C5E"/>
    <w:rsid w:val="005A5F0C"/>
    <w:rsid w:val="005A67E3"/>
    <w:rsid w:val="005A726A"/>
    <w:rsid w:val="005A78C3"/>
    <w:rsid w:val="005B020A"/>
    <w:rsid w:val="005B07A8"/>
    <w:rsid w:val="005B0C3F"/>
    <w:rsid w:val="005B0E69"/>
    <w:rsid w:val="005B0EC4"/>
    <w:rsid w:val="005B0FFC"/>
    <w:rsid w:val="005B169A"/>
    <w:rsid w:val="005B1B65"/>
    <w:rsid w:val="005B24B5"/>
    <w:rsid w:val="005B29B5"/>
    <w:rsid w:val="005B2AF8"/>
    <w:rsid w:val="005B2B03"/>
    <w:rsid w:val="005B2B7A"/>
    <w:rsid w:val="005B2CBE"/>
    <w:rsid w:val="005B3039"/>
    <w:rsid w:val="005B30C8"/>
    <w:rsid w:val="005B30EE"/>
    <w:rsid w:val="005B32AB"/>
    <w:rsid w:val="005B4397"/>
    <w:rsid w:val="005B49EB"/>
    <w:rsid w:val="005B4F0D"/>
    <w:rsid w:val="005B51F2"/>
    <w:rsid w:val="005B5344"/>
    <w:rsid w:val="005B6077"/>
    <w:rsid w:val="005B66D4"/>
    <w:rsid w:val="005B697D"/>
    <w:rsid w:val="005B7093"/>
    <w:rsid w:val="005B7144"/>
    <w:rsid w:val="005B75FB"/>
    <w:rsid w:val="005B7BD9"/>
    <w:rsid w:val="005B7CDB"/>
    <w:rsid w:val="005C0F32"/>
    <w:rsid w:val="005C16AA"/>
    <w:rsid w:val="005C20A6"/>
    <w:rsid w:val="005C21D9"/>
    <w:rsid w:val="005C3660"/>
    <w:rsid w:val="005C3964"/>
    <w:rsid w:val="005C3FCE"/>
    <w:rsid w:val="005C43D1"/>
    <w:rsid w:val="005C4665"/>
    <w:rsid w:val="005C4913"/>
    <w:rsid w:val="005C4AF6"/>
    <w:rsid w:val="005C62E8"/>
    <w:rsid w:val="005C6505"/>
    <w:rsid w:val="005C6AD4"/>
    <w:rsid w:val="005C747D"/>
    <w:rsid w:val="005C7939"/>
    <w:rsid w:val="005D012A"/>
    <w:rsid w:val="005D0135"/>
    <w:rsid w:val="005D0786"/>
    <w:rsid w:val="005D098E"/>
    <w:rsid w:val="005D11C2"/>
    <w:rsid w:val="005D176B"/>
    <w:rsid w:val="005D1C90"/>
    <w:rsid w:val="005D1FED"/>
    <w:rsid w:val="005D2986"/>
    <w:rsid w:val="005D29B8"/>
    <w:rsid w:val="005D2F08"/>
    <w:rsid w:val="005D319E"/>
    <w:rsid w:val="005D3303"/>
    <w:rsid w:val="005D35BA"/>
    <w:rsid w:val="005D3C44"/>
    <w:rsid w:val="005D4346"/>
    <w:rsid w:val="005D4493"/>
    <w:rsid w:val="005D5D07"/>
    <w:rsid w:val="005D6112"/>
    <w:rsid w:val="005D6E0B"/>
    <w:rsid w:val="005D7D5E"/>
    <w:rsid w:val="005D7EB6"/>
    <w:rsid w:val="005E0144"/>
    <w:rsid w:val="005E0787"/>
    <w:rsid w:val="005E0D18"/>
    <w:rsid w:val="005E1089"/>
    <w:rsid w:val="005E11DF"/>
    <w:rsid w:val="005E38DE"/>
    <w:rsid w:val="005E3EF9"/>
    <w:rsid w:val="005E42B1"/>
    <w:rsid w:val="005E4315"/>
    <w:rsid w:val="005E5835"/>
    <w:rsid w:val="005E6246"/>
    <w:rsid w:val="005E6375"/>
    <w:rsid w:val="005E696B"/>
    <w:rsid w:val="005E6A6C"/>
    <w:rsid w:val="005E6E84"/>
    <w:rsid w:val="005E6F9E"/>
    <w:rsid w:val="005E7677"/>
    <w:rsid w:val="005E7B99"/>
    <w:rsid w:val="005F1533"/>
    <w:rsid w:val="005F1CF9"/>
    <w:rsid w:val="005F1E04"/>
    <w:rsid w:val="005F2086"/>
    <w:rsid w:val="005F3112"/>
    <w:rsid w:val="005F394F"/>
    <w:rsid w:val="005F46EA"/>
    <w:rsid w:val="005F4740"/>
    <w:rsid w:val="005F570A"/>
    <w:rsid w:val="005F5EE6"/>
    <w:rsid w:val="005F73AE"/>
    <w:rsid w:val="005F7414"/>
    <w:rsid w:val="006003B7"/>
    <w:rsid w:val="00600831"/>
    <w:rsid w:val="0060087D"/>
    <w:rsid w:val="00601790"/>
    <w:rsid w:val="006019DA"/>
    <w:rsid w:val="00602348"/>
    <w:rsid w:val="00602AD2"/>
    <w:rsid w:val="00602E3A"/>
    <w:rsid w:val="00602FD1"/>
    <w:rsid w:val="006031DE"/>
    <w:rsid w:val="006034A1"/>
    <w:rsid w:val="00603CFF"/>
    <w:rsid w:val="00603F60"/>
    <w:rsid w:val="00603F9C"/>
    <w:rsid w:val="006050BC"/>
    <w:rsid w:val="00605B29"/>
    <w:rsid w:val="0060639A"/>
    <w:rsid w:val="00607398"/>
    <w:rsid w:val="00607AF3"/>
    <w:rsid w:val="00607D01"/>
    <w:rsid w:val="00610709"/>
    <w:rsid w:val="006115CD"/>
    <w:rsid w:val="00611ADA"/>
    <w:rsid w:val="00611FAE"/>
    <w:rsid w:val="00612B6F"/>
    <w:rsid w:val="00612D93"/>
    <w:rsid w:val="00613644"/>
    <w:rsid w:val="00614258"/>
    <w:rsid w:val="006147F0"/>
    <w:rsid w:val="00615E1D"/>
    <w:rsid w:val="00615FCF"/>
    <w:rsid w:val="006170FF"/>
    <w:rsid w:val="0061717D"/>
    <w:rsid w:val="006175E2"/>
    <w:rsid w:val="00617863"/>
    <w:rsid w:val="00620E33"/>
    <w:rsid w:val="00620FF8"/>
    <w:rsid w:val="00621B7F"/>
    <w:rsid w:val="006223A9"/>
    <w:rsid w:val="00622624"/>
    <w:rsid w:val="0062314B"/>
    <w:rsid w:val="00623C62"/>
    <w:rsid w:val="00624095"/>
    <w:rsid w:val="006245AB"/>
    <w:rsid w:val="00624A77"/>
    <w:rsid w:val="006255FC"/>
    <w:rsid w:val="0062591B"/>
    <w:rsid w:val="00625AC7"/>
    <w:rsid w:val="00625EA6"/>
    <w:rsid w:val="006270CD"/>
    <w:rsid w:val="00627201"/>
    <w:rsid w:val="0063118A"/>
    <w:rsid w:val="00632742"/>
    <w:rsid w:val="00632F6E"/>
    <w:rsid w:val="00633981"/>
    <w:rsid w:val="00633FE6"/>
    <w:rsid w:val="00634269"/>
    <w:rsid w:val="006358FE"/>
    <w:rsid w:val="00635B70"/>
    <w:rsid w:val="00637714"/>
    <w:rsid w:val="006402F8"/>
    <w:rsid w:val="0064097F"/>
    <w:rsid w:val="00640D56"/>
    <w:rsid w:val="00643522"/>
    <w:rsid w:val="006435D5"/>
    <w:rsid w:val="00644709"/>
    <w:rsid w:val="006449FF"/>
    <w:rsid w:val="006456A9"/>
    <w:rsid w:val="006500CF"/>
    <w:rsid w:val="00650A89"/>
    <w:rsid w:val="00651FA2"/>
    <w:rsid w:val="006521E6"/>
    <w:rsid w:val="00653026"/>
    <w:rsid w:val="0065310F"/>
    <w:rsid w:val="006534E4"/>
    <w:rsid w:val="00653595"/>
    <w:rsid w:val="00653FCD"/>
    <w:rsid w:val="00654A8F"/>
    <w:rsid w:val="006551AF"/>
    <w:rsid w:val="006559C0"/>
    <w:rsid w:val="00656031"/>
    <w:rsid w:val="0065672E"/>
    <w:rsid w:val="00656D3E"/>
    <w:rsid w:val="006578A3"/>
    <w:rsid w:val="006579F2"/>
    <w:rsid w:val="00657BD7"/>
    <w:rsid w:val="00657C87"/>
    <w:rsid w:val="006600AA"/>
    <w:rsid w:val="00660666"/>
    <w:rsid w:val="0066070E"/>
    <w:rsid w:val="006608E2"/>
    <w:rsid w:val="00660AC7"/>
    <w:rsid w:val="00660BAD"/>
    <w:rsid w:val="00661E37"/>
    <w:rsid w:val="0066276F"/>
    <w:rsid w:val="00663B8A"/>
    <w:rsid w:val="006645C6"/>
    <w:rsid w:val="00664661"/>
    <w:rsid w:val="0066540E"/>
    <w:rsid w:val="006659D9"/>
    <w:rsid w:val="00665C78"/>
    <w:rsid w:val="006670F3"/>
    <w:rsid w:val="006671EE"/>
    <w:rsid w:val="006675F9"/>
    <w:rsid w:val="00667F84"/>
    <w:rsid w:val="006708B3"/>
    <w:rsid w:val="00671515"/>
    <w:rsid w:val="00672A44"/>
    <w:rsid w:val="00672FCA"/>
    <w:rsid w:val="00673B36"/>
    <w:rsid w:val="00674776"/>
    <w:rsid w:val="006748E0"/>
    <w:rsid w:val="00676537"/>
    <w:rsid w:val="0067662C"/>
    <w:rsid w:val="006766DE"/>
    <w:rsid w:val="006772EB"/>
    <w:rsid w:val="00680070"/>
    <w:rsid w:val="006827AD"/>
    <w:rsid w:val="00682B36"/>
    <w:rsid w:val="006833F8"/>
    <w:rsid w:val="00683DCB"/>
    <w:rsid w:val="00683F7F"/>
    <w:rsid w:val="00684DF1"/>
    <w:rsid w:val="0068600F"/>
    <w:rsid w:val="00686383"/>
    <w:rsid w:val="006863DD"/>
    <w:rsid w:val="00686607"/>
    <w:rsid w:val="00686D48"/>
    <w:rsid w:val="00687073"/>
    <w:rsid w:val="00687228"/>
    <w:rsid w:val="006874F4"/>
    <w:rsid w:val="0068789C"/>
    <w:rsid w:val="006906E5"/>
    <w:rsid w:val="00690FF3"/>
    <w:rsid w:val="0069248F"/>
    <w:rsid w:val="0069249C"/>
    <w:rsid w:val="00692594"/>
    <w:rsid w:val="00692F2D"/>
    <w:rsid w:val="006941F9"/>
    <w:rsid w:val="00694456"/>
    <w:rsid w:val="00694B86"/>
    <w:rsid w:val="0069543D"/>
    <w:rsid w:val="00695750"/>
    <w:rsid w:val="00695936"/>
    <w:rsid w:val="00696125"/>
    <w:rsid w:val="006962B2"/>
    <w:rsid w:val="00696879"/>
    <w:rsid w:val="00696F09"/>
    <w:rsid w:val="006979A2"/>
    <w:rsid w:val="006A028F"/>
    <w:rsid w:val="006A089A"/>
    <w:rsid w:val="006A0A21"/>
    <w:rsid w:val="006A0EF2"/>
    <w:rsid w:val="006A2527"/>
    <w:rsid w:val="006A258B"/>
    <w:rsid w:val="006A3423"/>
    <w:rsid w:val="006A3AA5"/>
    <w:rsid w:val="006A3C3C"/>
    <w:rsid w:val="006A3CD2"/>
    <w:rsid w:val="006A3DE8"/>
    <w:rsid w:val="006A3F7F"/>
    <w:rsid w:val="006A4318"/>
    <w:rsid w:val="006A4AA1"/>
    <w:rsid w:val="006A4C51"/>
    <w:rsid w:val="006A5215"/>
    <w:rsid w:val="006A53C2"/>
    <w:rsid w:val="006A5488"/>
    <w:rsid w:val="006A56CE"/>
    <w:rsid w:val="006A6E20"/>
    <w:rsid w:val="006A6E27"/>
    <w:rsid w:val="006A7368"/>
    <w:rsid w:val="006B1711"/>
    <w:rsid w:val="006B1FD6"/>
    <w:rsid w:val="006B2623"/>
    <w:rsid w:val="006B429D"/>
    <w:rsid w:val="006B48F2"/>
    <w:rsid w:val="006B5727"/>
    <w:rsid w:val="006B5C81"/>
    <w:rsid w:val="006B7C89"/>
    <w:rsid w:val="006C09F1"/>
    <w:rsid w:val="006C140E"/>
    <w:rsid w:val="006C1F99"/>
    <w:rsid w:val="006C2AC3"/>
    <w:rsid w:val="006C2CA2"/>
    <w:rsid w:val="006C2DEC"/>
    <w:rsid w:val="006C32DB"/>
    <w:rsid w:val="006C4437"/>
    <w:rsid w:val="006C4638"/>
    <w:rsid w:val="006C4F09"/>
    <w:rsid w:val="006C5760"/>
    <w:rsid w:val="006C6227"/>
    <w:rsid w:val="006C6313"/>
    <w:rsid w:val="006C6AA1"/>
    <w:rsid w:val="006C7AD7"/>
    <w:rsid w:val="006C7B1B"/>
    <w:rsid w:val="006C7C4A"/>
    <w:rsid w:val="006C7FEC"/>
    <w:rsid w:val="006D1B67"/>
    <w:rsid w:val="006D23D8"/>
    <w:rsid w:val="006D3A2D"/>
    <w:rsid w:val="006D4173"/>
    <w:rsid w:val="006D654F"/>
    <w:rsid w:val="006D6C35"/>
    <w:rsid w:val="006D7158"/>
    <w:rsid w:val="006D7600"/>
    <w:rsid w:val="006D7641"/>
    <w:rsid w:val="006E0CEF"/>
    <w:rsid w:val="006E0CFB"/>
    <w:rsid w:val="006E1BFA"/>
    <w:rsid w:val="006E1C73"/>
    <w:rsid w:val="006E2215"/>
    <w:rsid w:val="006E256B"/>
    <w:rsid w:val="006E2628"/>
    <w:rsid w:val="006E35D9"/>
    <w:rsid w:val="006E4347"/>
    <w:rsid w:val="006E46AE"/>
    <w:rsid w:val="006E4FB6"/>
    <w:rsid w:val="006E55A6"/>
    <w:rsid w:val="006E5C99"/>
    <w:rsid w:val="006E5DF5"/>
    <w:rsid w:val="006E6613"/>
    <w:rsid w:val="006E677E"/>
    <w:rsid w:val="006E695C"/>
    <w:rsid w:val="006E6961"/>
    <w:rsid w:val="006F12DA"/>
    <w:rsid w:val="006F17A9"/>
    <w:rsid w:val="006F1DAC"/>
    <w:rsid w:val="006F20D6"/>
    <w:rsid w:val="006F2538"/>
    <w:rsid w:val="006F2909"/>
    <w:rsid w:val="006F2C3A"/>
    <w:rsid w:val="006F3555"/>
    <w:rsid w:val="006F495F"/>
    <w:rsid w:val="006F4A09"/>
    <w:rsid w:val="006F4A62"/>
    <w:rsid w:val="006F5466"/>
    <w:rsid w:val="006F55B1"/>
    <w:rsid w:val="006F5BDB"/>
    <w:rsid w:val="006F5EEB"/>
    <w:rsid w:val="006F6DBD"/>
    <w:rsid w:val="006F6EAC"/>
    <w:rsid w:val="006F6F3D"/>
    <w:rsid w:val="006F7446"/>
    <w:rsid w:val="006F7932"/>
    <w:rsid w:val="006F7EC3"/>
    <w:rsid w:val="0070040A"/>
    <w:rsid w:val="00700F29"/>
    <w:rsid w:val="00701B7A"/>
    <w:rsid w:val="0070332C"/>
    <w:rsid w:val="00703A45"/>
    <w:rsid w:val="00703A64"/>
    <w:rsid w:val="007047E9"/>
    <w:rsid w:val="00704A54"/>
    <w:rsid w:val="00704D06"/>
    <w:rsid w:val="00704F03"/>
    <w:rsid w:val="007056F8"/>
    <w:rsid w:val="00706890"/>
    <w:rsid w:val="007069DB"/>
    <w:rsid w:val="00706C09"/>
    <w:rsid w:val="00706D5E"/>
    <w:rsid w:val="00707145"/>
    <w:rsid w:val="007072BC"/>
    <w:rsid w:val="00707474"/>
    <w:rsid w:val="00707655"/>
    <w:rsid w:val="00707904"/>
    <w:rsid w:val="00710501"/>
    <w:rsid w:val="007108D1"/>
    <w:rsid w:val="00712628"/>
    <w:rsid w:val="007130EA"/>
    <w:rsid w:val="007135E0"/>
    <w:rsid w:val="00713B01"/>
    <w:rsid w:val="00713CF6"/>
    <w:rsid w:val="0071414D"/>
    <w:rsid w:val="0071416B"/>
    <w:rsid w:val="00714316"/>
    <w:rsid w:val="007143DB"/>
    <w:rsid w:val="007145D7"/>
    <w:rsid w:val="007148B8"/>
    <w:rsid w:val="00714DA7"/>
    <w:rsid w:val="00714E55"/>
    <w:rsid w:val="007150CD"/>
    <w:rsid w:val="0071752E"/>
    <w:rsid w:val="00717DE1"/>
    <w:rsid w:val="00717EE5"/>
    <w:rsid w:val="00720238"/>
    <w:rsid w:val="00721A6E"/>
    <w:rsid w:val="00721B11"/>
    <w:rsid w:val="00721BD8"/>
    <w:rsid w:val="00721E16"/>
    <w:rsid w:val="00722312"/>
    <w:rsid w:val="00722631"/>
    <w:rsid w:val="0072299D"/>
    <w:rsid w:val="00722A23"/>
    <w:rsid w:val="00722BF7"/>
    <w:rsid w:val="007233A7"/>
    <w:rsid w:val="00723620"/>
    <w:rsid w:val="007242C3"/>
    <w:rsid w:val="00724D6D"/>
    <w:rsid w:val="0072583A"/>
    <w:rsid w:val="0072603A"/>
    <w:rsid w:val="007264CC"/>
    <w:rsid w:val="00727017"/>
    <w:rsid w:val="007314DC"/>
    <w:rsid w:val="007316AC"/>
    <w:rsid w:val="007317F3"/>
    <w:rsid w:val="00732522"/>
    <w:rsid w:val="0073260D"/>
    <w:rsid w:val="0073278C"/>
    <w:rsid w:val="00732D94"/>
    <w:rsid w:val="007330B5"/>
    <w:rsid w:val="00733A3E"/>
    <w:rsid w:val="007345E9"/>
    <w:rsid w:val="0073500F"/>
    <w:rsid w:val="007353B5"/>
    <w:rsid w:val="0073551D"/>
    <w:rsid w:val="00735955"/>
    <w:rsid w:val="00735A44"/>
    <w:rsid w:val="00736C3B"/>
    <w:rsid w:val="00737A6C"/>
    <w:rsid w:val="00737EA0"/>
    <w:rsid w:val="007408AE"/>
    <w:rsid w:val="00740DEA"/>
    <w:rsid w:val="00741197"/>
    <w:rsid w:val="00741443"/>
    <w:rsid w:val="007416C4"/>
    <w:rsid w:val="00741891"/>
    <w:rsid w:val="00741BB3"/>
    <w:rsid w:val="007421CF"/>
    <w:rsid w:val="00742234"/>
    <w:rsid w:val="00742C49"/>
    <w:rsid w:val="00743711"/>
    <w:rsid w:val="00745353"/>
    <w:rsid w:val="007459DC"/>
    <w:rsid w:val="007474D9"/>
    <w:rsid w:val="0075005A"/>
    <w:rsid w:val="00750388"/>
    <w:rsid w:val="0075060C"/>
    <w:rsid w:val="00750B3F"/>
    <w:rsid w:val="00751098"/>
    <w:rsid w:val="007513AA"/>
    <w:rsid w:val="0075171F"/>
    <w:rsid w:val="00751B67"/>
    <w:rsid w:val="007527A2"/>
    <w:rsid w:val="0075289F"/>
    <w:rsid w:val="00752B2A"/>
    <w:rsid w:val="0075324D"/>
    <w:rsid w:val="0075480C"/>
    <w:rsid w:val="00754DEE"/>
    <w:rsid w:val="0075539F"/>
    <w:rsid w:val="007559A0"/>
    <w:rsid w:val="00755C81"/>
    <w:rsid w:val="00755F5C"/>
    <w:rsid w:val="00755F60"/>
    <w:rsid w:val="00757211"/>
    <w:rsid w:val="0075762B"/>
    <w:rsid w:val="00760131"/>
    <w:rsid w:val="0076044A"/>
    <w:rsid w:val="00760A91"/>
    <w:rsid w:val="00760DD5"/>
    <w:rsid w:val="00761036"/>
    <w:rsid w:val="007610A6"/>
    <w:rsid w:val="00761DD4"/>
    <w:rsid w:val="00761DE6"/>
    <w:rsid w:val="007632B6"/>
    <w:rsid w:val="00763E9C"/>
    <w:rsid w:val="00763F25"/>
    <w:rsid w:val="00764D8A"/>
    <w:rsid w:val="00766349"/>
    <w:rsid w:val="007670A6"/>
    <w:rsid w:val="007671A1"/>
    <w:rsid w:val="007672A3"/>
    <w:rsid w:val="00770181"/>
    <w:rsid w:val="00770D35"/>
    <w:rsid w:val="00770FEF"/>
    <w:rsid w:val="0077163F"/>
    <w:rsid w:val="00771B4A"/>
    <w:rsid w:val="00771B5F"/>
    <w:rsid w:val="00774279"/>
    <w:rsid w:val="007744B0"/>
    <w:rsid w:val="0077477F"/>
    <w:rsid w:val="007752E7"/>
    <w:rsid w:val="00775789"/>
    <w:rsid w:val="00775DEE"/>
    <w:rsid w:val="00775F82"/>
    <w:rsid w:val="00776979"/>
    <w:rsid w:val="00777FBF"/>
    <w:rsid w:val="007801B0"/>
    <w:rsid w:val="0078077F"/>
    <w:rsid w:val="0078176E"/>
    <w:rsid w:val="00782014"/>
    <w:rsid w:val="007820CE"/>
    <w:rsid w:val="007821BE"/>
    <w:rsid w:val="007838F3"/>
    <w:rsid w:val="007842EF"/>
    <w:rsid w:val="007845BC"/>
    <w:rsid w:val="007847C2"/>
    <w:rsid w:val="00784E7E"/>
    <w:rsid w:val="007853EC"/>
    <w:rsid w:val="007853FB"/>
    <w:rsid w:val="00785B6F"/>
    <w:rsid w:val="00785EA1"/>
    <w:rsid w:val="0078612E"/>
    <w:rsid w:val="00786188"/>
    <w:rsid w:val="0078665A"/>
    <w:rsid w:val="00786FCC"/>
    <w:rsid w:val="0078700C"/>
    <w:rsid w:val="00787D30"/>
    <w:rsid w:val="00792079"/>
    <w:rsid w:val="007931BD"/>
    <w:rsid w:val="007949FB"/>
    <w:rsid w:val="00794CD7"/>
    <w:rsid w:val="00795050"/>
    <w:rsid w:val="00796BF9"/>
    <w:rsid w:val="00797357"/>
    <w:rsid w:val="007A0089"/>
    <w:rsid w:val="007A1ADA"/>
    <w:rsid w:val="007A2638"/>
    <w:rsid w:val="007A2762"/>
    <w:rsid w:val="007A3E07"/>
    <w:rsid w:val="007A4AEF"/>
    <w:rsid w:val="007A6AF9"/>
    <w:rsid w:val="007A75A8"/>
    <w:rsid w:val="007A7CB8"/>
    <w:rsid w:val="007A7F4A"/>
    <w:rsid w:val="007B0526"/>
    <w:rsid w:val="007B1899"/>
    <w:rsid w:val="007B1955"/>
    <w:rsid w:val="007B1E88"/>
    <w:rsid w:val="007B268A"/>
    <w:rsid w:val="007B269A"/>
    <w:rsid w:val="007B2A56"/>
    <w:rsid w:val="007B2BA9"/>
    <w:rsid w:val="007B2C79"/>
    <w:rsid w:val="007B3072"/>
    <w:rsid w:val="007B48A8"/>
    <w:rsid w:val="007B496B"/>
    <w:rsid w:val="007B4C9A"/>
    <w:rsid w:val="007B56B2"/>
    <w:rsid w:val="007B583E"/>
    <w:rsid w:val="007B5C13"/>
    <w:rsid w:val="007B6557"/>
    <w:rsid w:val="007B6C0F"/>
    <w:rsid w:val="007B762C"/>
    <w:rsid w:val="007B7916"/>
    <w:rsid w:val="007B7F71"/>
    <w:rsid w:val="007C0B7D"/>
    <w:rsid w:val="007C1ABB"/>
    <w:rsid w:val="007C2031"/>
    <w:rsid w:val="007C2061"/>
    <w:rsid w:val="007C224E"/>
    <w:rsid w:val="007C23DF"/>
    <w:rsid w:val="007C24EC"/>
    <w:rsid w:val="007C2628"/>
    <w:rsid w:val="007C315B"/>
    <w:rsid w:val="007C40BC"/>
    <w:rsid w:val="007C4210"/>
    <w:rsid w:val="007C424E"/>
    <w:rsid w:val="007C4612"/>
    <w:rsid w:val="007C4FAF"/>
    <w:rsid w:val="007C531C"/>
    <w:rsid w:val="007C552E"/>
    <w:rsid w:val="007C6776"/>
    <w:rsid w:val="007C707B"/>
    <w:rsid w:val="007D0D7D"/>
    <w:rsid w:val="007D0EFA"/>
    <w:rsid w:val="007D11AE"/>
    <w:rsid w:val="007D2ADA"/>
    <w:rsid w:val="007D38F5"/>
    <w:rsid w:val="007D402F"/>
    <w:rsid w:val="007D47C3"/>
    <w:rsid w:val="007D556D"/>
    <w:rsid w:val="007D601B"/>
    <w:rsid w:val="007D6313"/>
    <w:rsid w:val="007D6588"/>
    <w:rsid w:val="007D694A"/>
    <w:rsid w:val="007D6CD7"/>
    <w:rsid w:val="007D6D1A"/>
    <w:rsid w:val="007D7A71"/>
    <w:rsid w:val="007E0343"/>
    <w:rsid w:val="007E03D3"/>
    <w:rsid w:val="007E0517"/>
    <w:rsid w:val="007E05AB"/>
    <w:rsid w:val="007E0CA0"/>
    <w:rsid w:val="007E16CF"/>
    <w:rsid w:val="007E1E1B"/>
    <w:rsid w:val="007E240D"/>
    <w:rsid w:val="007E2DC5"/>
    <w:rsid w:val="007E2F5E"/>
    <w:rsid w:val="007E30E7"/>
    <w:rsid w:val="007E346B"/>
    <w:rsid w:val="007E3800"/>
    <w:rsid w:val="007E3ADE"/>
    <w:rsid w:val="007E4D13"/>
    <w:rsid w:val="007E5485"/>
    <w:rsid w:val="007E5507"/>
    <w:rsid w:val="007E56A7"/>
    <w:rsid w:val="007E607C"/>
    <w:rsid w:val="007E6984"/>
    <w:rsid w:val="007F0885"/>
    <w:rsid w:val="007F0AC5"/>
    <w:rsid w:val="007F0F86"/>
    <w:rsid w:val="007F12A7"/>
    <w:rsid w:val="007F190F"/>
    <w:rsid w:val="007F3597"/>
    <w:rsid w:val="007F3DB1"/>
    <w:rsid w:val="007F4290"/>
    <w:rsid w:val="007F64BA"/>
    <w:rsid w:val="007F777F"/>
    <w:rsid w:val="008003B6"/>
    <w:rsid w:val="00800AD4"/>
    <w:rsid w:val="0080291E"/>
    <w:rsid w:val="0080311B"/>
    <w:rsid w:val="008037F9"/>
    <w:rsid w:val="00803B5B"/>
    <w:rsid w:val="00805125"/>
    <w:rsid w:val="00805258"/>
    <w:rsid w:val="0080574A"/>
    <w:rsid w:val="00805B8B"/>
    <w:rsid w:val="008062DE"/>
    <w:rsid w:val="00807049"/>
    <w:rsid w:val="00807261"/>
    <w:rsid w:val="008107BE"/>
    <w:rsid w:val="00810C9F"/>
    <w:rsid w:val="00810D63"/>
    <w:rsid w:val="00811725"/>
    <w:rsid w:val="0081224D"/>
    <w:rsid w:val="00813536"/>
    <w:rsid w:val="0081385D"/>
    <w:rsid w:val="00814316"/>
    <w:rsid w:val="00814882"/>
    <w:rsid w:val="008148DF"/>
    <w:rsid w:val="00814CC4"/>
    <w:rsid w:val="00814D27"/>
    <w:rsid w:val="008155EE"/>
    <w:rsid w:val="00816128"/>
    <w:rsid w:val="00816256"/>
    <w:rsid w:val="008177CF"/>
    <w:rsid w:val="00820200"/>
    <w:rsid w:val="00821C99"/>
    <w:rsid w:val="00821F84"/>
    <w:rsid w:val="00822652"/>
    <w:rsid w:val="00822C1C"/>
    <w:rsid w:val="0082343E"/>
    <w:rsid w:val="0082387F"/>
    <w:rsid w:val="00823B57"/>
    <w:rsid w:val="00823EA9"/>
    <w:rsid w:val="00824144"/>
    <w:rsid w:val="00824E9D"/>
    <w:rsid w:val="0082551F"/>
    <w:rsid w:val="008255AB"/>
    <w:rsid w:val="0082639B"/>
    <w:rsid w:val="008263D3"/>
    <w:rsid w:val="00826B50"/>
    <w:rsid w:val="0082719B"/>
    <w:rsid w:val="008276EA"/>
    <w:rsid w:val="008300F3"/>
    <w:rsid w:val="008301D0"/>
    <w:rsid w:val="00830647"/>
    <w:rsid w:val="008327E4"/>
    <w:rsid w:val="00833263"/>
    <w:rsid w:val="008332A3"/>
    <w:rsid w:val="00833D4B"/>
    <w:rsid w:val="008342BA"/>
    <w:rsid w:val="00834484"/>
    <w:rsid w:val="00834BFB"/>
    <w:rsid w:val="00834CE1"/>
    <w:rsid w:val="0083619A"/>
    <w:rsid w:val="008365E2"/>
    <w:rsid w:val="00836B57"/>
    <w:rsid w:val="00836D09"/>
    <w:rsid w:val="0083796B"/>
    <w:rsid w:val="00837E5C"/>
    <w:rsid w:val="0084032D"/>
    <w:rsid w:val="0084123D"/>
    <w:rsid w:val="008412B5"/>
    <w:rsid w:val="0084188E"/>
    <w:rsid w:val="00842096"/>
    <w:rsid w:val="00842CD8"/>
    <w:rsid w:val="00844130"/>
    <w:rsid w:val="008446E6"/>
    <w:rsid w:val="0084560C"/>
    <w:rsid w:val="0084575C"/>
    <w:rsid w:val="00846399"/>
    <w:rsid w:val="008466B0"/>
    <w:rsid w:val="00847F07"/>
    <w:rsid w:val="008504B5"/>
    <w:rsid w:val="0085156B"/>
    <w:rsid w:val="0085166E"/>
    <w:rsid w:val="00851AE3"/>
    <w:rsid w:val="00851F70"/>
    <w:rsid w:val="0085256A"/>
    <w:rsid w:val="00852978"/>
    <w:rsid w:val="00854202"/>
    <w:rsid w:val="008545EE"/>
    <w:rsid w:val="00854856"/>
    <w:rsid w:val="008549D1"/>
    <w:rsid w:val="00854C8A"/>
    <w:rsid w:val="00855988"/>
    <w:rsid w:val="00855FEC"/>
    <w:rsid w:val="00856939"/>
    <w:rsid w:val="00856C8D"/>
    <w:rsid w:val="008570D1"/>
    <w:rsid w:val="00857544"/>
    <w:rsid w:val="0086042C"/>
    <w:rsid w:val="00860492"/>
    <w:rsid w:val="00860F8C"/>
    <w:rsid w:val="0086193A"/>
    <w:rsid w:val="00861CF1"/>
    <w:rsid w:val="00862010"/>
    <w:rsid w:val="00862696"/>
    <w:rsid w:val="00862CBF"/>
    <w:rsid w:val="008633F3"/>
    <w:rsid w:val="00863D15"/>
    <w:rsid w:val="00863E99"/>
    <w:rsid w:val="00864612"/>
    <w:rsid w:val="0086465F"/>
    <w:rsid w:val="00864A2E"/>
    <w:rsid w:val="00865440"/>
    <w:rsid w:val="00865482"/>
    <w:rsid w:val="00872588"/>
    <w:rsid w:val="008725D2"/>
    <w:rsid w:val="0087284F"/>
    <w:rsid w:val="008734AF"/>
    <w:rsid w:val="00873777"/>
    <w:rsid w:val="00873890"/>
    <w:rsid w:val="00874638"/>
    <w:rsid w:val="00874DB3"/>
    <w:rsid w:val="00875578"/>
    <w:rsid w:val="00875B3C"/>
    <w:rsid w:val="008766A1"/>
    <w:rsid w:val="008769A7"/>
    <w:rsid w:val="00876BB7"/>
    <w:rsid w:val="00877138"/>
    <w:rsid w:val="008777DB"/>
    <w:rsid w:val="00877D02"/>
    <w:rsid w:val="00880F80"/>
    <w:rsid w:val="008821F2"/>
    <w:rsid w:val="00883452"/>
    <w:rsid w:val="00883BBE"/>
    <w:rsid w:val="00883F80"/>
    <w:rsid w:val="008840A4"/>
    <w:rsid w:val="00884478"/>
    <w:rsid w:val="0088568C"/>
    <w:rsid w:val="00886021"/>
    <w:rsid w:val="008863D8"/>
    <w:rsid w:val="008901EE"/>
    <w:rsid w:val="008911FE"/>
    <w:rsid w:val="0089245E"/>
    <w:rsid w:val="00892FB2"/>
    <w:rsid w:val="00893898"/>
    <w:rsid w:val="0089448F"/>
    <w:rsid w:val="00894914"/>
    <w:rsid w:val="00894F78"/>
    <w:rsid w:val="0089571D"/>
    <w:rsid w:val="00895DFA"/>
    <w:rsid w:val="00896183"/>
    <w:rsid w:val="0089688C"/>
    <w:rsid w:val="008A095A"/>
    <w:rsid w:val="008A0CD1"/>
    <w:rsid w:val="008A13FD"/>
    <w:rsid w:val="008A1560"/>
    <w:rsid w:val="008A156F"/>
    <w:rsid w:val="008A1673"/>
    <w:rsid w:val="008A1B94"/>
    <w:rsid w:val="008A23AC"/>
    <w:rsid w:val="008A2429"/>
    <w:rsid w:val="008A2C49"/>
    <w:rsid w:val="008A2CED"/>
    <w:rsid w:val="008A2D79"/>
    <w:rsid w:val="008A3B7A"/>
    <w:rsid w:val="008A3D75"/>
    <w:rsid w:val="008A496C"/>
    <w:rsid w:val="008A5CDA"/>
    <w:rsid w:val="008A6F33"/>
    <w:rsid w:val="008A75F7"/>
    <w:rsid w:val="008A785D"/>
    <w:rsid w:val="008A7D0C"/>
    <w:rsid w:val="008B0C91"/>
    <w:rsid w:val="008B1084"/>
    <w:rsid w:val="008B1225"/>
    <w:rsid w:val="008B1795"/>
    <w:rsid w:val="008B1985"/>
    <w:rsid w:val="008B1BC9"/>
    <w:rsid w:val="008B1F39"/>
    <w:rsid w:val="008B26EB"/>
    <w:rsid w:val="008B2B34"/>
    <w:rsid w:val="008B3409"/>
    <w:rsid w:val="008B3910"/>
    <w:rsid w:val="008B397C"/>
    <w:rsid w:val="008B39D5"/>
    <w:rsid w:val="008B567C"/>
    <w:rsid w:val="008B587B"/>
    <w:rsid w:val="008B5DE7"/>
    <w:rsid w:val="008B626E"/>
    <w:rsid w:val="008B6ABC"/>
    <w:rsid w:val="008B7182"/>
    <w:rsid w:val="008B74AF"/>
    <w:rsid w:val="008B7D87"/>
    <w:rsid w:val="008C02E1"/>
    <w:rsid w:val="008C0317"/>
    <w:rsid w:val="008C0EB2"/>
    <w:rsid w:val="008C1FC2"/>
    <w:rsid w:val="008C23D1"/>
    <w:rsid w:val="008C244A"/>
    <w:rsid w:val="008C34A1"/>
    <w:rsid w:val="008C3A07"/>
    <w:rsid w:val="008C3A8D"/>
    <w:rsid w:val="008C3FC0"/>
    <w:rsid w:val="008C423F"/>
    <w:rsid w:val="008C5004"/>
    <w:rsid w:val="008C5115"/>
    <w:rsid w:val="008C7978"/>
    <w:rsid w:val="008C7FAA"/>
    <w:rsid w:val="008D0CA2"/>
    <w:rsid w:val="008D0F49"/>
    <w:rsid w:val="008D109A"/>
    <w:rsid w:val="008D1104"/>
    <w:rsid w:val="008D26BB"/>
    <w:rsid w:val="008D2B6C"/>
    <w:rsid w:val="008D2BB5"/>
    <w:rsid w:val="008D2D88"/>
    <w:rsid w:val="008D3C68"/>
    <w:rsid w:val="008D4065"/>
    <w:rsid w:val="008D4966"/>
    <w:rsid w:val="008D4CD4"/>
    <w:rsid w:val="008D7188"/>
    <w:rsid w:val="008D73C0"/>
    <w:rsid w:val="008D77B6"/>
    <w:rsid w:val="008E0997"/>
    <w:rsid w:val="008E10DB"/>
    <w:rsid w:val="008E11AB"/>
    <w:rsid w:val="008E21B7"/>
    <w:rsid w:val="008E29BE"/>
    <w:rsid w:val="008E2FEB"/>
    <w:rsid w:val="008E3038"/>
    <w:rsid w:val="008E35D8"/>
    <w:rsid w:val="008E401C"/>
    <w:rsid w:val="008E40D0"/>
    <w:rsid w:val="008E41E5"/>
    <w:rsid w:val="008E5755"/>
    <w:rsid w:val="008E57E8"/>
    <w:rsid w:val="008E5ADF"/>
    <w:rsid w:val="008E65E7"/>
    <w:rsid w:val="008E6864"/>
    <w:rsid w:val="008E76AA"/>
    <w:rsid w:val="008F0180"/>
    <w:rsid w:val="008F0B78"/>
    <w:rsid w:val="008F0FDF"/>
    <w:rsid w:val="008F2961"/>
    <w:rsid w:val="008F2C15"/>
    <w:rsid w:val="008F39C1"/>
    <w:rsid w:val="008F4E4A"/>
    <w:rsid w:val="008F52CD"/>
    <w:rsid w:val="008F53C2"/>
    <w:rsid w:val="008F6195"/>
    <w:rsid w:val="008F622D"/>
    <w:rsid w:val="008F7795"/>
    <w:rsid w:val="008F7A1B"/>
    <w:rsid w:val="008F7DFD"/>
    <w:rsid w:val="00901470"/>
    <w:rsid w:val="00901DFE"/>
    <w:rsid w:val="0090205F"/>
    <w:rsid w:val="009024D5"/>
    <w:rsid w:val="0090257C"/>
    <w:rsid w:val="009027DD"/>
    <w:rsid w:val="009032B3"/>
    <w:rsid w:val="00903433"/>
    <w:rsid w:val="00903C94"/>
    <w:rsid w:val="009048EC"/>
    <w:rsid w:val="00904B10"/>
    <w:rsid w:val="00904DF6"/>
    <w:rsid w:val="00905090"/>
    <w:rsid w:val="009056CA"/>
    <w:rsid w:val="00905AD3"/>
    <w:rsid w:val="00905DE8"/>
    <w:rsid w:val="00906113"/>
    <w:rsid w:val="00906E29"/>
    <w:rsid w:val="0091123B"/>
    <w:rsid w:val="009112D7"/>
    <w:rsid w:val="009115A4"/>
    <w:rsid w:val="009118F6"/>
    <w:rsid w:val="00912172"/>
    <w:rsid w:val="00912412"/>
    <w:rsid w:val="00912A29"/>
    <w:rsid w:val="00912FF1"/>
    <w:rsid w:val="0091372A"/>
    <w:rsid w:val="00913F9C"/>
    <w:rsid w:val="009140F0"/>
    <w:rsid w:val="00914572"/>
    <w:rsid w:val="009147AF"/>
    <w:rsid w:val="00915097"/>
    <w:rsid w:val="00915428"/>
    <w:rsid w:val="009156C0"/>
    <w:rsid w:val="0091600C"/>
    <w:rsid w:val="00916BB3"/>
    <w:rsid w:val="00917E42"/>
    <w:rsid w:val="00920197"/>
    <w:rsid w:val="00920576"/>
    <w:rsid w:val="00920C92"/>
    <w:rsid w:val="00920CD6"/>
    <w:rsid w:val="00921282"/>
    <w:rsid w:val="009216DB"/>
    <w:rsid w:val="0092172F"/>
    <w:rsid w:val="00921C24"/>
    <w:rsid w:val="00922EF6"/>
    <w:rsid w:val="0092324C"/>
    <w:rsid w:val="00923DA5"/>
    <w:rsid w:val="0092476A"/>
    <w:rsid w:val="00927479"/>
    <w:rsid w:val="00927B30"/>
    <w:rsid w:val="0093084F"/>
    <w:rsid w:val="00930A75"/>
    <w:rsid w:val="00930B68"/>
    <w:rsid w:val="0093101C"/>
    <w:rsid w:val="0093102D"/>
    <w:rsid w:val="00931F14"/>
    <w:rsid w:val="00932028"/>
    <w:rsid w:val="00932CAD"/>
    <w:rsid w:val="0093320B"/>
    <w:rsid w:val="009335FE"/>
    <w:rsid w:val="00933E14"/>
    <w:rsid w:val="00934282"/>
    <w:rsid w:val="009349C8"/>
    <w:rsid w:val="009355BA"/>
    <w:rsid w:val="00935964"/>
    <w:rsid w:val="009363AE"/>
    <w:rsid w:val="009363D0"/>
    <w:rsid w:val="009365B4"/>
    <w:rsid w:val="00937071"/>
    <w:rsid w:val="0093774C"/>
    <w:rsid w:val="00937F1A"/>
    <w:rsid w:val="009401E9"/>
    <w:rsid w:val="0094174F"/>
    <w:rsid w:val="00941C0C"/>
    <w:rsid w:val="00942DB5"/>
    <w:rsid w:val="00943D50"/>
    <w:rsid w:val="009442D5"/>
    <w:rsid w:val="00944C25"/>
    <w:rsid w:val="00944F17"/>
    <w:rsid w:val="009453E9"/>
    <w:rsid w:val="0094581C"/>
    <w:rsid w:val="00945D34"/>
    <w:rsid w:val="00946B98"/>
    <w:rsid w:val="00946D8F"/>
    <w:rsid w:val="0094794B"/>
    <w:rsid w:val="00951647"/>
    <w:rsid w:val="0095202C"/>
    <w:rsid w:val="009527B9"/>
    <w:rsid w:val="00952906"/>
    <w:rsid w:val="009537D9"/>
    <w:rsid w:val="009541E9"/>
    <w:rsid w:val="00954338"/>
    <w:rsid w:val="00954FC4"/>
    <w:rsid w:val="009552F5"/>
    <w:rsid w:val="009554FB"/>
    <w:rsid w:val="00955A6B"/>
    <w:rsid w:val="00956190"/>
    <w:rsid w:val="009572CD"/>
    <w:rsid w:val="0095741E"/>
    <w:rsid w:val="009574C2"/>
    <w:rsid w:val="0096159D"/>
    <w:rsid w:val="009628FA"/>
    <w:rsid w:val="0096295F"/>
    <w:rsid w:val="00962D81"/>
    <w:rsid w:val="00963262"/>
    <w:rsid w:val="00963D09"/>
    <w:rsid w:val="00964944"/>
    <w:rsid w:val="00965612"/>
    <w:rsid w:val="00967606"/>
    <w:rsid w:val="00967CDF"/>
    <w:rsid w:val="00967DBF"/>
    <w:rsid w:val="009708D9"/>
    <w:rsid w:val="00970AE1"/>
    <w:rsid w:val="00971C66"/>
    <w:rsid w:val="00972965"/>
    <w:rsid w:val="00972B34"/>
    <w:rsid w:val="00973267"/>
    <w:rsid w:val="009734A2"/>
    <w:rsid w:val="009737FC"/>
    <w:rsid w:val="009740BC"/>
    <w:rsid w:val="009748A1"/>
    <w:rsid w:val="00974B28"/>
    <w:rsid w:val="00974F06"/>
    <w:rsid w:val="009753CF"/>
    <w:rsid w:val="00976AD9"/>
    <w:rsid w:val="009776F5"/>
    <w:rsid w:val="00980B2D"/>
    <w:rsid w:val="00980F3B"/>
    <w:rsid w:val="009815EA"/>
    <w:rsid w:val="00981603"/>
    <w:rsid w:val="009822F9"/>
    <w:rsid w:val="009829EA"/>
    <w:rsid w:val="00983211"/>
    <w:rsid w:val="0098340A"/>
    <w:rsid w:val="00983990"/>
    <w:rsid w:val="00983C1F"/>
    <w:rsid w:val="00983CC9"/>
    <w:rsid w:val="0098592D"/>
    <w:rsid w:val="00987174"/>
    <w:rsid w:val="00992738"/>
    <w:rsid w:val="00992912"/>
    <w:rsid w:val="00993136"/>
    <w:rsid w:val="00994233"/>
    <w:rsid w:val="00994513"/>
    <w:rsid w:val="00994BF9"/>
    <w:rsid w:val="00994C09"/>
    <w:rsid w:val="00997712"/>
    <w:rsid w:val="00997C59"/>
    <w:rsid w:val="009A0733"/>
    <w:rsid w:val="009A0F37"/>
    <w:rsid w:val="009A1329"/>
    <w:rsid w:val="009A20F6"/>
    <w:rsid w:val="009A24FC"/>
    <w:rsid w:val="009A2919"/>
    <w:rsid w:val="009A2E0F"/>
    <w:rsid w:val="009A3617"/>
    <w:rsid w:val="009A40AF"/>
    <w:rsid w:val="009A56AE"/>
    <w:rsid w:val="009A6261"/>
    <w:rsid w:val="009A65E4"/>
    <w:rsid w:val="009A73D7"/>
    <w:rsid w:val="009A73F0"/>
    <w:rsid w:val="009A74DC"/>
    <w:rsid w:val="009B023A"/>
    <w:rsid w:val="009B0647"/>
    <w:rsid w:val="009B08CA"/>
    <w:rsid w:val="009B0E02"/>
    <w:rsid w:val="009B0E3B"/>
    <w:rsid w:val="009B11F1"/>
    <w:rsid w:val="009B14F9"/>
    <w:rsid w:val="009B1545"/>
    <w:rsid w:val="009B1613"/>
    <w:rsid w:val="009B18AE"/>
    <w:rsid w:val="009B19DA"/>
    <w:rsid w:val="009B2883"/>
    <w:rsid w:val="009B2A0C"/>
    <w:rsid w:val="009B2B6E"/>
    <w:rsid w:val="009B3707"/>
    <w:rsid w:val="009B46ED"/>
    <w:rsid w:val="009B47DF"/>
    <w:rsid w:val="009B4973"/>
    <w:rsid w:val="009B507B"/>
    <w:rsid w:val="009B5511"/>
    <w:rsid w:val="009B56D3"/>
    <w:rsid w:val="009B57C7"/>
    <w:rsid w:val="009B580A"/>
    <w:rsid w:val="009B5F70"/>
    <w:rsid w:val="009B7B1B"/>
    <w:rsid w:val="009B7BCA"/>
    <w:rsid w:val="009C0443"/>
    <w:rsid w:val="009C0A9C"/>
    <w:rsid w:val="009C11D0"/>
    <w:rsid w:val="009C32FE"/>
    <w:rsid w:val="009C3818"/>
    <w:rsid w:val="009C3A25"/>
    <w:rsid w:val="009C40BE"/>
    <w:rsid w:val="009C4677"/>
    <w:rsid w:val="009C46D3"/>
    <w:rsid w:val="009C4FD8"/>
    <w:rsid w:val="009C5EF6"/>
    <w:rsid w:val="009C6312"/>
    <w:rsid w:val="009C63CC"/>
    <w:rsid w:val="009C67BD"/>
    <w:rsid w:val="009C71DF"/>
    <w:rsid w:val="009C7779"/>
    <w:rsid w:val="009D02F3"/>
    <w:rsid w:val="009D2327"/>
    <w:rsid w:val="009D293F"/>
    <w:rsid w:val="009D3243"/>
    <w:rsid w:val="009D3496"/>
    <w:rsid w:val="009D3AFE"/>
    <w:rsid w:val="009D46A4"/>
    <w:rsid w:val="009D4929"/>
    <w:rsid w:val="009D4BC2"/>
    <w:rsid w:val="009D60CC"/>
    <w:rsid w:val="009D6B40"/>
    <w:rsid w:val="009D6D75"/>
    <w:rsid w:val="009D7607"/>
    <w:rsid w:val="009D78EE"/>
    <w:rsid w:val="009D7B6F"/>
    <w:rsid w:val="009E1050"/>
    <w:rsid w:val="009E1837"/>
    <w:rsid w:val="009E1AFC"/>
    <w:rsid w:val="009E2031"/>
    <w:rsid w:val="009E2B96"/>
    <w:rsid w:val="009E3A78"/>
    <w:rsid w:val="009E3A7B"/>
    <w:rsid w:val="009E3DDA"/>
    <w:rsid w:val="009E4A54"/>
    <w:rsid w:val="009E4B64"/>
    <w:rsid w:val="009E4EEF"/>
    <w:rsid w:val="009E629A"/>
    <w:rsid w:val="009E6C44"/>
    <w:rsid w:val="009E6EC3"/>
    <w:rsid w:val="009E73DF"/>
    <w:rsid w:val="009E78BA"/>
    <w:rsid w:val="009E7B61"/>
    <w:rsid w:val="009F0008"/>
    <w:rsid w:val="009F04D0"/>
    <w:rsid w:val="009F0AB3"/>
    <w:rsid w:val="009F3343"/>
    <w:rsid w:val="009F4234"/>
    <w:rsid w:val="009F5242"/>
    <w:rsid w:val="009F5523"/>
    <w:rsid w:val="009F59C0"/>
    <w:rsid w:val="009F5BC1"/>
    <w:rsid w:val="009F63EA"/>
    <w:rsid w:val="009F65B0"/>
    <w:rsid w:val="009F674C"/>
    <w:rsid w:val="009F6F2C"/>
    <w:rsid w:val="009F7062"/>
    <w:rsid w:val="00A00224"/>
    <w:rsid w:val="00A01ECE"/>
    <w:rsid w:val="00A024E2"/>
    <w:rsid w:val="00A02B94"/>
    <w:rsid w:val="00A02C75"/>
    <w:rsid w:val="00A03150"/>
    <w:rsid w:val="00A03CBA"/>
    <w:rsid w:val="00A04476"/>
    <w:rsid w:val="00A044B3"/>
    <w:rsid w:val="00A056CA"/>
    <w:rsid w:val="00A06A19"/>
    <w:rsid w:val="00A06D7E"/>
    <w:rsid w:val="00A106E6"/>
    <w:rsid w:val="00A10973"/>
    <w:rsid w:val="00A11221"/>
    <w:rsid w:val="00A1127D"/>
    <w:rsid w:val="00A12B46"/>
    <w:rsid w:val="00A12E2B"/>
    <w:rsid w:val="00A13B06"/>
    <w:rsid w:val="00A14BF6"/>
    <w:rsid w:val="00A154A2"/>
    <w:rsid w:val="00A15715"/>
    <w:rsid w:val="00A161CD"/>
    <w:rsid w:val="00A162FE"/>
    <w:rsid w:val="00A16331"/>
    <w:rsid w:val="00A166DD"/>
    <w:rsid w:val="00A203CA"/>
    <w:rsid w:val="00A20D0D"/>
    <w:rsid w:val="00A20E51"/>
    <w:rsid w:val="00A211E4"/>
    <w:rsid w:val="00A212C7"/>
    <w:rsid w:val="00A21567"/>
    <w:rsid w:val="00A21A5A"/>
    <w:rsid w:val="00A21F73"/>
    <w:rsid w:val="00A22077"/>
    <w:rsid w:val="00A23A7C"/>
    <w:rsid w:val="00A24EB1"/>
    <w:rsid w:val="00A254F9"/>
    <w:rsid w:val="00A262EF"/>
    <w:rsid w:val="00A2679B"/>
    <w:rsid w:val="00A306F1"/>
    <w:rsid w:val="00A31D24"/>
    <w:rsid w:val="00A3213F"/>
    <w:rsid w:val="00A32A01"/>
    <w:rsid w:val="00A32AF3"/>
    <w:rsid w:val="00A334B6"/>
    <w:rsid w:val="00A33B3E"/>
    <w:rsid w:val="00A35D18"/>
    <w:rsid w:val="00A35D8A"/>
    <w:rsid w:val="00A36363"/>
    <w:rsid w:val="00A3657C"/>
    <w:rsid w:val="00A36E0B"/>
    <w:rsid w:val="00A37C07"/>
    <w:rsid w:val="00A40909"/>
    <w:rsid w:val="00A41349"/>
    <w:rsid w:val="00A41664"/>
    <w:rsid w:val="00A41994"/>
    <w:rsid w:val="00A42A8A"/>
    <w:rsid w:val="00A4307B"/>
    <w:rsid w:val="00A43365"/>
    <w:rsid w:val="00A439FD"/>
    <w:rsid w:val="00A43D4F"/>
    <w:rsid w:val="00A43E37"/>
    <w:rsid w:val="00A444FF"/>
    <w:rsid w:val="00A44EA0"/>
    <w:rsid w:val="00A44FB7"/>
    <w:rsid w:val="00A45552"/>
    <w:rsid w:val="00A45828"/>
    <w:rsid w:val="00A45E8C"/>
    <w:rsid w:val="00A46059"/>
    <w:rsid w:val="00A475FA"/>
    <w:rsid w:val="00A47FE3"/>
    <w:rsid w:val="00A505D2"/>
    <w:rsid w:val="00A50C9A"/>
    <w:rsid w:val="00A511FE"/>
    <w:rsid w:val="00A51762"/>
    <w:rsid w:val="00A5234F"/>
    <w:rsid w:val="00A52726"/>
    <w:rsid w:val="00A52A49"/>
    <w:rsid w:val="00A52DEC"/>
    <w:rsid w:val="00A531F3"/>
    <w:rsid w:val="00A53C99"/>
    <w:rsid w:val="00A545A2"/>
    <w:rsid w:val="00A54683"/>
    <w:rsid w:val="00A547F4"/>
    <w:rsid w:val="00A556F8"/>
    <w:rsid w:val="00A56121"/>
    <w:rsid w:val="00A562C9"/>
    <w:rsid w:val="00A56E44"/>
    <w:rsid w:val="00A57616"/>
    <w:rsid w:val="00A57946"/>
    <w:rsid w:val="00A6075C"/>
    <w:rsid w:val="00A60808"/>
    <w:rsid w:val="00A62135"/>
    <w:rsid w:val="00A642BB"/>
    <w:rsid w:val="00A6545F"/>
    <w:rsid w:val="00A659A3"/>
    <w:rsid w:val="00A65A46"/>
    <w:rsid w:val="00A66321"/>
    <w:rsid w:val="00A6686B"/>
    <w:rsid w:val="00A66E5F"/>
    <w:rsid w:val="00A67611"/>
    <w:rsid w:val="00A677CB"/>
    <w:rsid w:val="00A67DA6"/>
    <w:rsid w:val="00A722F0"/>
    <w:rsid w:val="00A7276D"/>
    <w:rsid w:val="00A72EC2"/>
    <w:rsid w:val="00A72FAD"/>
    <w:rsid w:val="00A742A7"/>
    <w:rsid w:val="00A7435D"/>
    <w:rsid w:val="00A74E93"/>
    <w:rsid w:val="00A7544D"/>
    <w:rsid w:val="00A7626C"/>
    <w:rsid w:val="00A76E72"/>
    <w:rsid w:val="00A7710A"/>
    <w:rsid w:val="00A77805"/>
    <w:rsid w:val="00A80380"/>
    <w:rsid w:val="00A80F70"/>
    <w:rsid w:val="00A818C9"/>
    <w:rsid w:val="00A81D72"/>
    <w:rsid w:val="00A81F6D"/>
    <w:rsid w:val="00A826A6"/>
    <w:rsid w:val="00A83266"/>
    <w:rsid w:val="00A8346F"/>
    <w:rsid w:val="00A834FC"/>
    <w:rsid w:val="00A83880"/>
    <w:rsid w:val="00A845DE"/>
    <w:rsid w:val="00A84F52"/>
    <w:rsid w:val="00A85F90"/>
    <w:rsid w:val="00A8664B"/>
    <w:rsid w:val="00A86CAD"/>
    <w:rsid w:val="00A873A5"/>
    <w:rsid w:val="00A87530"/>
    <w:rsid w:val="00A879A8"/>
    <w:rsid w:val="00A87FA6"/>
    <w:rsid w:val="00A91C00"/>
    <w:rsid w:val="00A9230D"/>
    <w:rsid w:val="00A924E4"/>
    <w:rsid w:val="00A932D6"/>
    <w:rsid w:val="00A94D81"/>
    <w:rsid w:val="00A97055"/>
    <w:rsid w:val="00A9714E"/>
    <w:rsid w:val="00A9749F"/>
    <w:rsid w:val="00A974B8"/>
    <w:rsid w:val="00AA07B1"/>
    <w:rsid w:val="00AA0D45"/>
    <w:rsid w:val="00AA1296"/>
    <w:rsid w:val="00AA12FA"/>
    <w:rsid w:val="00AA1383"/>
    <w:rsid w:val="00AA1561"/>
    <w:rsid w:val="00AA1F99"/>
    <w:rsid w:val="00AA2375"/>
    <w:rsid w:val="00AA26B8"/>
    <w:rsid w:val="00AA383A"/>
    <w:rsid w:val="00AA421E"/>
    <w:rsid w:val="00AA427E"/>
    <w:rsid w:val="00AA42FC"/>
    <w:rsid w:val="00AA4AFB"/>
    <w:rsid w:val="00AA5077"/>
    <w:rsid w:val="00AA5550"/>
    <w:rsid w:val="00AA5A1C"/>
    <w:rsid w:val="00AA5F6C"/>
    <w:rsid w:val="00AA735C"/>
    <w:rsid w:val="00AA7CE9"/>
    <w:rsid w:val="00AB0549"/>
    <w:rsid w:val="00AB0570"/>
    <w:rsid w:val="00AB0B47"/>
    <w:rsid w:val="00AB0D99"/>
    <w:rsid w:val="00AB0EF5"/>
    <w:rsid w:val="00AB1B86"/>
    <w:rsid w:val="00AB1F4C"/>
    <w:rsid w:val="00AB21E0"/>
    <w:rsid w:val="00AB2459"/>
    <w:rsid w:val="00AB3159"/>
    <w:rsid w:val="00AB32F4"/>
    <w:rsid w:val="00AB43D5"/>
    <w:rsid w:val="00AB5F12"/>
    <w:rsid w:val="00AB627D"/>
    <w:rsid w:val="00AB68B1"/>
    <w:rsid w:val="00AB7143"/>
    <w:rsid w:val="00AB716B"/>
    <w:rsid w:val="00AB7AF2"/>
    <w:rsid w:val="00AB7C76"/>
    <w:rsid w:val="00AC04AC"/>
    <w:rsid w:val="00AC0B94"/>
    <w:rsid w:val="00AC1745"/>
    <w:rsid w:val="00AC3F8D"/>
    <w:rsid w:val="00AC3FC5"/>
    <w:rsid w:val="00AC42AC"/>
    <w:rsid w:val="00AC4605"/>
    <w:rsid w:val="00AC4A10"/>
    <w:rsid w:val="00AC4F22"/>
    <w:rsid w:val="00AC4F50"/>
    <w:rsid w:val="00AC5743"/>
    <w:rsid w:val="00AC57A5"/>
    <w:rsid w:val="00AC5A10"/>
    <w:rsid w:val="00AC5A53"/>
    <w:rsid w:val="00AC5E37"/>
    <w:rsid w:val="00AC691B"/>
    <w:rsid w:val="00AD01A1"/>
    <w:rsid w:val="00AD18CF"/>
    <w:rsid w:val="00AD1BA6"/>
    <w:rsid w:val="00AD3504"/>
    <w:rsid w:val="00AD3B62"/>
    <w:rsid w:val="00AD7E2E"/>
    <w:rsid w:val="00AE0315"/>
    <w:rsid w:val="00AE1132"/>
    <w:rsid w:val="00AE1697"/>
    <w:rsid w:val="00AE197F"/>
    <w:rsid w:val="00AE209A"/>
    <w:rsid w:val="00AE27F7"/>
    <w:rsid w:val="00AE3F93"/>
    <w:rsid w:val="00AE4171"/>
    <w:rsid w:val="00AE4A17"/>
    <w:rsid w:val="00AE4AC9"/>
    <w:rsid w:val="00AE6ABD"/>
    <w:rsid w:val="00AE6C9B"/>
    <w:rsid w:val="00AE6DBE"/>
    <w:rsid w:val="00AE73BE"/>
    <w:rsid w:val="00AE75C6"/>
    <w:rsid w:val="00AE75DA"/>
    <w:rsid w:val="00AE77EC"/>
    <w:rsid w:val="00AF0093"/>
    <w:rsid w:val="00AF39B5"/>
    <w:rsid w:val="00AF4F9B"/>
    <w:rsid w:val="00AF6733"/>
    <w:rsid w:val="00AF73D1"/>
    <w:rsid w:val="00AF7784"/>
    <w:rsid w:val="00AF7D30"/>
    <w:rsid w:val="00B00AD0"/>
    <w:rsid w:val="00B00AF3"/>
    <w:rsid w:val="00B00BA9"/>
    <w:rsid w:val="00B00F85"/>
    <w:rsid w:val="00B01410"/>
    <w:rsid w:val="00B01B10"/>
    <w:rsid w:val="00B026C4"/>
    <w:rsid w:val="00B02B59"/>
    <w:rsid w:val="00B02C22"/>
    <w:rsid w:val="00B037AF"/>
    <w:rsid w:val="00B0398D"/>
    <w:rsid w:val="00B04D8C"/>
    <w:rsid w:val="00B060B3"/>
    <w:rsid w:val="00B06585"/>
    <w:rsid w:val="00B06960"/>
    <w:rsid w:val="00B079D5"/>
    <w:rsid w:val="00B07EE4"/>
    <w:rsid w:val="00B10000"/>
    <w:rsid w:val="00B103F5"/>
    <w:rsid w:val="00B10D9C"/>
    <w:rsid w:val="00B120AC"/>
    <w:rsid w:val="00B122A3"/>
    <w:rsid w:val="00B12855"/>
    <w:rsid w:val="00B140AE"/>
    <w:rsid w:val="00B15189"/>
    <w:rsid w:val="00B15689"/>
    <w:rsid w:val="00B167E7"/>
    <w:rsid w:val="00B16860"/>
    <w:rsid w:val="00B16B3E"/>
    <w:rsid w:val="00B171AD"/>
    <w:rsid w:val="00B17504"/>
    <w:rsid w:val="00B1762A"/>
    <w:rsid w:val="00B176C3"/>
    <w:rsid w:val="00B179A7"/>
    <w:rsid w:val="00B2019E"/>
    <w:rsid w:val="00B20B2A"/>
    <w:rsid w:val="00B214EE"/>
    <w:rsid w:val="00B21AE6"/>
    <w:rsid w:val="00B21F2D"/>
    <w:rsid w:val="00B21FBC"/>
    <w:rsid w:val="00B22170"/>
    <w:rsid w:val="00B22486"/>
    <w:rsid w:val="00B236A5"/>
    <w:rsid w:val="00B23871"/>
    <w:rsid w:val="00B24C73"/>
    <w:rsid w:val="00B24D62"/>
    <w:rsid w:val="00B24E7E"/>
    <w:rsid w:val="00B24EFE"/>
    <w:rsid w:val="00B255F3"/>
    <w:rsid w:val="00B25D22"/>
    <w:rsid w:val="00B25E77"/>
    <w:rsid w:val="00B26173"/>
    <w:rsid w:val="00B27394"/>
    <w:rsid w:val="00B27A21"/>
    <w:rsid w:val="00B3007F"/>
    <w:rsid w:val="00B30CF5"/>
    <w:rsid w:val="00B30F0A"/>
    <w:rsid w:val="00B3180C"/>
    <w:rsid w:val="00B32570"/>
    <w:rsid w:val="00B3283E"/>
    <w:rsid w:val="00B329E2"/>
    <w:rsid w:val="00B3322C"/>
    <w:rsid w:val="00B3386C"/>
    <w:rsid w:val="00B33A56"/>
    <w:rsid w:val="00B33A94"/>
    <w:rsid w:val="00B33B4E"/>
    <w:rsid w:val="00B3471E"/>
    <w:rsid w:val="00B34890"/>
    <w:rsid w:val="00B35046"/>
    <w:rsid w:val="00B35496"/>
    <w:rsid w:val="00B35CE4"/>
    <w:rsid w:val="00B36136"/>
    <w:rsid w:val="00B36302"/>
    <w:rsid w:val="00B36F04"/>
    <w:rsid w:val="00B37489"/>
    <w:rsid w:val="00B417E4"/>
    <w:rsid w:val="00B424DA"/>
    <w:rsid w:val="00B43BA8"/>
    <w:rsid w:val="00B45512"/>
    <w:rsid w:val="00B4553B"/>
    <w:rsid w:val="00B4611F"/>
    <w:rsid w:val="00B465C2"/>
    <w:rsid w:val="00B47679"/>
    <w:rsid w:val="00B47874"/>
    <w:rsid w:val="00B47CDB"/>
    <w:rsid w:val="00B5085F"/>
    <w:rsid w:val="00B518D5"/>
    <w:rsid w:val="00B518E8"/>
    <w:rsid w:val="00B51E36"/>
    <w:rsid w:val="00B53586"/>
    <w:rsid w:val="00B53775"/>
    <w:rsid w:val="00B54523"/>
    <w:rsid w:val="00B54726"/>
    <w:rsid w:val="00B548BC"/>
    <w:rsid w:val="00B552F2"/>
    <w:rsid w:val="00B55323"/>
    <w:rsid w:val="00B55987"/>
    <w:rsid w:val="00B60B81"/>
    <w:rsid w:val="00B60C83"/>
    <w:rsid w:val="00B60E17"/>
    <w:rsid w:val="00B620CE"/>
    <w:rsid w:val="00B62632"/>
    <w:rsid w:val="00B62B2E"/>
    <w:rsid w:val="00B6368B"/>
    <w:rsid w:val="00B63AC6"/>
    <w:rsid w:val="00B64F26"/>
    <w:rsid w:val="00B65645"/>
    <w:rsid w:val="00B6694F"/>
    <w:rsid w:val="00B673B6"/>
    <w:rsid w:val="00B67525"/>
    <w:rsid w:val="00B67691"/>
    <w:rsid w:val="00B6786C"/>
    <w:rsid w:val="00B70A6C"/>
    <w:rsid w:val="00B70CCF"/>
    <w:rsid w:val="00B71196"/>
    <w:rsid w:val="00B7120A"/>
    <w:rsid w:val="00B71AB2"/>
    <w:rsid w:val="00B7269E"/>
    <w:rsid w:val="00B72925"/>
    <w:rsid w:val="00B72D4F"/>
    <w:rsid w:val="00B73D0D"/>
    <w:rsid w:val="00B73F2E"/>
    <w:rsid w:val="00B740F5"/>
    <w:rsid w:val="00B74816"/>
    <w:rsid w:val="00B74D10"/>
    <w:rsid w:val="00B76D8F"/>
    <w:rsid w:val="00B76DF9"/>
    <w:rsid w:val="00B76EC7"/>
    <w:rsid w:val="00B774CB"/>
    <w:rsid w:val="00B77B9D"/>
    <w:rsid w:val="00B802A9"/>
    <w:rsid w:val="00B80409"/>
    <w:rsid w:val="00B80490"/>
    <w:rsid w:val="00B80E2E"/>
    <w:rsid w:val="00B8102D"/>
    <w:rsid w:val="00B81513"/>
    <w:rsid w:val="00B81628"/>
    <w:rsid w:val="00B81719"/>
    <w:rsid w:val="00B817AE"/>
    <w:rsid w:val="00B81C8D"/>
    <w:rsid w:val="00B821A9"/>
    <w:rsid w:val="00B82AC0"/>
    <w:rsid w:val="00B8303D"/>
    <w:rsid w:val="00B834DB"/>
    <w:rsid w:val="00B859CA"/>
    <w:rsid w:val="00B85CE9"/>
    <w:rsid w:val="00B863BD"/>
    <w:rsid w:val="00B864EF"/>
    <w:rsid w:val="00B86943"/>
    <w:rsid w:val="00B901CC"/>
    <w:rsid w:val="00B90320"/>
    <w:rsid w:val="00B903BB"/>
    <w:rsid w:val="00B90A60"/>
    <w:rsid w:val="00B92831"/>
    <w:rsid w:val="00B931EE"/>
    <w:rsid w:val="00B9333A"/>
    <w:rsid w:val="00B93424"/>
    <w:rsid w:val="00B9464F"/>
    <w:rsid w:val="00B954B9"/>
    <w:rsid w:val="00B957AC"/>
    <w:rsid w:val="00B95A6C"/>
    <w:rsid w:val="00B95D31"/>
    <w:rsid w:val="00B95DE0"/>
    <w:rsid w:val="00B960AC"/>
    <w:rsid w:val="00B964C7"/>
    <w:rsid w:val="00B96B05"/>
    <w:rsid w:val="00B9715C"/>
    <w:rsid w:val="00B97A7E"/>
    <w:rsid w:val="00B97EB4"/>
    <w:rsid w:val="00BA01FF"/>
    <w:rsid w:val="00BA04CB"/>
    <w:rsid w:val="00BA0B9A"/>
    <w:rsid w:val="00BA1A04"/>
    <w:rsid w:val="00BA1A37"/>
    <w:rsid w:val="00BA1ADF"/>
    <w:rsid w:val="00BA2027"/>
    <w:rsid w:val="00BA243C"/>
    <w:rsid w:val="00BA2BAD"/>
    <w:rsid w:val="00BA2D5C"/>
    <w:rsid w:val="00BA3253"/>
    <w:rsid w:val="00BA3FB2"/>
    <w:rsid w:val="00BA4465"/>
    <w:rsid w:val="00BA5E08"/>
    <w:rsid w:val="00BA67CE"/>
    <w:rsid w:val="00BA6A91"/>
    <w:rsid w:val="00BA6D66"/>
    <w:rsid w:val="00BB004D"/>
    <w:rsid w:val="00BB0FEF"/>
    <w:rsid w:val="00BB193D"/>
    <w:rsid w:val="00BB1CE3"/>
    <w:rsid w:val="00BB1F36"/>
    <w:rsid w:val="00BB3463"/>
    <w:rsid w:val="00BB38E2"/>
    <w:rsid w:val="00BB450E"/>
    <w:rsid w:val="00BB461D"/>
    <w:rsid w:val="00BB5141"/>
    <w:rsid w:val="00BB58C3"/>
    <w:rsid w:val="00BB5C28"/>
    <w:rsid w:val="00BB5CA0"/>
    <w:rsid w:val="00BB5CDC"/>
    <w:rsid w:val="00BB5D53"/>
    <w:rsid w:val="00BB67AE"/>
    <w:rsid w:val="00BB6946"/>
    <w:rsid w:val="00BB6C33"/>
    <w:rsid w:val="00BB7555"/>
    <w:rsid w:val="00BB7694"/>
    <w:rsid w:val="00BC0685"/>
    <w:rsid w:val="00BC24A4"/>
    <w:rsid w:val="00BC2960"/>
    <w:rsid w:val="00BC3449"/>
    <w:rsid w:val="00BC3595"/>
    <w:rsid w:val="00BC4600"/>
    <w:rsid w:val="00BC4B17"/>
    <w:rsid w:val="00BC4DCD"/>
    <w:rsid w:val="00BC5FDA"/>
    <w:rsid w:val="00BC62A9"/>
    <w:rsid w:val="00BC6BDA"/>
    <w:rsid w:val="00BC6F9C"/>
    <w:rsid w:val="00BC7664"/>
    <w:rsid w:val="00BC7DDE"/>
    <w:rsid w:val="00BD0404"/>
    <w:rsid w:val="00BD0418"/>
    <w:rsid w:val="00BD05C4"/>
    <w:rsid w:val="00BD0930"/>
    <w:rsid w:val="00BD0A65"/>
    <w:rsid w:val="00BD10D8"/>
    <w:rsid w:val="00BD16DC"/>
    <w:rsid w:val="00BD1F76"/>
    <w:rsid w:val="00BD2309"/>
    <w:rsid w:val="00BD2A77"/>
    <w:rsid w:val="00BD2ED5"/>
    <w:rsid w:val="00BD3002"/>
    <w:rsid w:val="00BD391E"/>
    <w:rsid w:val="00BD4B2C"/>
    <w:rsid w:val="00BD517A"/>
    <w:rsid w:val="00BD577A"/>
    <w:rsid w:val="00BD5871"/>
    <w:rsid w:val="00BD607C"/>
    <w:rsid w:val="00BD72B6"/>
    <w:rsid w:val="00BD76B6"/>
    <w:rsid w:val="00BD7C90"/>
    <w:rsid w:val="00BD7E19"/>
    <w:rsid w:val="00BE087A"/>
    <w:rsid w:val="00BE0D40"/>
    <w:rsid w:val="00BE0ED0"/>
    <w:rsid w:val="00BE1561"/>
    <w:rsid w:val="00BE1672"/>
    <w:rsid w:val="00BE2166"/>
    <w:rsid w:val="00BE2C01"/>
    <w:rsid w:val="00BE2D15"/>
    <w:rsid w:val="00BE3214"/>
    <w:rsid w:val="00BE32F2"/>
    <w:rsid w:val="00BE34ED"/>
    <w:rsid w:val="00BE4124"/>
    <w:rsid w:val="00BE42CE"/>
    <w:rsid w:val="00BE4D64"/>
    <w:rsid w:val="00BE5477"/>
    <w:rsid w:val="00BE620E"/>
    <w:rsid w:val="00BE6460"/>
    <w:rsid w:val="00BE6F0C"/>
    <w:rsid w:val="00BF07C1"/>
    <w:rsid w:val="00BF0C28"/>
    <w:rsid w:val="00BF0CA2"/>
    <w:rsid w:val="00BF0E3A"/>
    <w:rsid w:val="00BF20D2"/>
    <w:rsid w:val="00BF22DA"/>
    <w:rsid w:val="00BF2BBC"/>
    <w:rsid w:val="00BF3987"/>
    <w:rsid w:val="00BF4167"/>
    <w:rsid w:val="00BF49D1"/>
    <w:rsid w:val="00BF5FFF"/>
    <w:rsid w:val="00BF63F7"/>
    <w:rsid w:val="00C006B4"/>
    <w:rsid w:val="00C009C5"/>
    <w:rsid w:val="00C00C49"/>
    <w:rsid w:val="00C00D8D"/>
    <w:rsid w:val="00C02142"/>
    <w:rsid w:val="00C026C5"/>
    <w:rsid w:val="00C02FF7"/>
    <w:rsid w:val="00C03234"/>
    <w:rsid w:val="00C0390E"/>
    <w:rsid w:val="00C04483"/>
    <w:rsid w:val="00C044F7"/>
    <w:rsid w:val="00C048C2"/>
    <w:rsid w:val="00C04D07"/>
    <w:rsid w:val="00C052D5"/>
    <w:rsid w:val="00C0768D"/>
    <w:rsid w:val="00C07C90"/>
    <w:rsid w:val="00C114D4"/>
    <w:rsid w:val="00C13400"/>
    <w:rsid w:val="00C13B9B"/>
    <w:rsid w:val="00C14528"/>
    <w:rsid w:val="00C163AE"/>
    <w:rsid w:val="00C167DD"/>
    <w:rsid w:val="00C1727C"/>
    <w:rsid w:val="00C20296"/>
    <w:rsid w:val="00C202CD"/>
    <w:rsid w:val="00C209B8"/>
    <w:rsid w:val="00C20A70"/>
    <w:rsid w:val="00C20C59"/>
    <w:rsid w:val="00C2161C"/>
    <w:rsid w:val="00C21953"/>
    <w:rsid w:val="00C21BBC"/>
    <w:rsid w:val="00C22C7C"/>
    <w:rsid w:val="00C23887"/>
    <w:rsid w:val="00C238E8"/>
    <w:rsid w:val="00C23EBA"/>
    <w:rsid w:val="00C246C2"/>
    <w:rsid w:val="00C24B8C"/>
    <w:rsid w:val="00C25114"/>
    <w:rsid w:val="00C25D6E"/>
    <w:rsid w:val="00C26311"/>
    <w:rsid w:val="00C26836"/>
    <w:rsid w:val="00C27876"/>
    <w:rsid w:val="00C30031"/>
    <w:rsid w:val="00C31934"/>
    <w:rsid w:val="00C342FD"/>
    <w:rsid w:val="00C3467D"/>
    <w:rsid w:val="00C349A4"/>
    <w:rsid w:val="00C356BF"/>
    <w:rsid w:val="00C35C34"/>
    <w:rsid w:val="00C35CAE"/>
    <w:rsid w:val="00C35D71"/>
    <w:rsid w:val="00C35DE8"/>
    <w:rsid w:val="00C36DFE"/>
    <w:rsid w:val="00C370E6"/>
    <w:rsid w:val="00C37169"/>
    <w:rsid w:val="00C374F2"/>
    <w:rsid w:val="00C379B4"/>
    <w:rsid w:val="00C37F7B"/>
    <w:rsid w:val="00C403EB"/>
    <w:rsid w:val="00C40B7E"/>
    <w:rsid w:val="00C40E58"/>
    <w:rsid w:val="00C40E9C"/>
    <w:rsid w:val="00C411E5"/>
    <w:rsid w:val="00C41806"/>
    <w:rsid w:val="00C41ED1"/>
    <w:rsid w:val="00C426D8"/>
    <w:rsid w:val="00C42BD8"/>
    <w:rsid w:val="00C42C76"/>
    <w:rsid w:val="00C42CE9"/>
    <w:rsid w:val="00C44502"/>
    <w:rsid w:val="00C449F6"/>
    <w:rsid w:val="00C45585"/>
    <w:rsid w:val="00C45F3C"/>
    <w:rsid w:val="00C4607A"/>
    <w:rsid w:val="00C470EA"/>
    <w:rsid w:val="00C4714D"/>
    <w:rsid w:val="00C4792D"/>
    <w:rsid w:val="00C47A55"/>
    <w:rsid w:val="00C47A8C"/>
    <w:rsid w:val="00C47FF4"/>
    <w:rsid w:val="00C50044"/>
    <w:rsid w:val="00C503B0"/>
    <w:rsid w:val="00C50AB2"/>
    <w:rsid w:val="00C5118F"/>
    <w:rsid w:val="00C51683"/>
    <w:rsid w:val="00C52A38"/>
    <w:rsid w:val="00C52B69"/>
    <w:rsid w:val="00C53626"/>
    <w:rsid w:val="00C53A46"/>
    <w:rsid w:val="00C53D7F"/>
    <w:rsid w:val="00C54081"/>
    <w:rsid w:val="00C5471A"/>
    <w:rsid w:val="00C55441"/>
    <w:rsid w:val="00C55DE1"/>
    <w:rsid w:val="00C572E9"/>
    <w:rsid w:val="00C60145"/>
    <w:rsid w:val="00C606A2"/>
    <w:rsid w:val="00C60AE7"/>
    <w:rsid w:val="00C60F63"/>
    <w:rsid w:val="00C60F6F"/>
    <w:rsid w:val="00C62291"/>
    <w:rsid w:val="00C624A1"/>
    <w:rsid w:val="00C627EE"/>
    <w:rsid w:val="00C62ABC"/>
    <w:rsid w:val="00C62BAD"/>
    <w:rsid w:val="00C62F64"/>
    <w:rsid w:val="00C6467D"/>
    <w:rsid w:val="00C64C8D"/>
    <w:rsid w:val="00C64E57"/>
    <w:rsid w:val="00C65E8B"/>
    <w:rsid w:val="00C679A1"/>
    <w:rsid w:val="00C67B16"/>
    <w:rsid w:val="00C7008F"/>
    <w:rsid w:val="00C70388"/>
    <w:rsid w:val="00C707C0"/>
    <w:rsid w:val="00C70D32"/>
    <w:rsid w:val="00C71FF4"/>
    <w:rsid w:val="00C7205C"/>
    <w:rsid w:val="00C73200"/>
    <w:rsid w:val="00C735F9"/>
    <w:rsid w:val="00C738F4"/>
    <w:rsid w:val="00C74087"/>
    <w:rsid w:val="00C74860"/>
    <w:rsid w:val="00C74913"/>
    <w:rsid w:val="00C74B41"/>
    <w:rsid w:val="00C7517A"/>
    <w:rsid w:val="00C7524C"/>
    <w:rsid w:val="00C75D4F"/>
    <w:rsid w:val="00C802E4"/>
    <w:rsid w:val="00C80363"/>
    <w:rsid w:val="00C806CE"/>
    <w:rsid w:val="00C81BA9"/>
    <w:rsid w:val="00C81C8C"/>
    <w:rsid w:val="00C81F24"/>
    <w:rsid w:val="00C82747"/>
    <w:rsid w:val="00C82E16"/>
    <w:rsid w:val="00C831F6"/>
    <w:rsid w:val="00C83688"/>
    <w:rsid w:val="00C83F70"/>
    <w:rsid w:val="00C84A00"/>
    <w:rsid w:val="00C84C37"/>
    <w:rsid w:val="00C85C66"/>
    <w:rsid w:val="00C86862"/>
    <w:rsid w:val="00C86AC8"/>
    <w:rsid w:val="00C86CF5"/>
    <w:rsid w:val="00C874F7"/>
    <w:rsid w:val="00C87510"/>
    <w:rsid w:val="00C8768D"/>
    <w:rsid w:val="00C879EB"/>
    <w:rsid w:val="00C87C03"/>
    <w:rsid w:val="00C90EC4"/>
    <w:rsid w:val="00C90F36"/>
    <w:rsid w:val="00C91460"/>
    <w:rsid w:val="00C923B0"/>
    <w:rsid w:val="00C92568"/>
    <w:rsid w:val="00C933AA"/>
    <w:rsid w:val="00C9364E"/>
    <w:rsid w:val="00C94C01"/>
    <w:rsid w:val="00C9545B"/>
    <w:rsid w:val="00C95726"/>
    <w:rsid w:val="00C95E13"/>
    <w:rsid w:val="00C9629F"/>
    <w:rsid w:val="00C96B51"/>
    <w:rsid w:val="00C9712E"/>
    <w:rsid w:val="00C973F4"/>
    <w:rsid w:val="00C97CE8"/>
    <w:rsid w:val="00CA0180"/>
    <w:rsid w:val="00CA080F"/>
    <w:rsid w:val="00CA095A"/>
    <w:rsid w:val="00CA0BC4"/>
    <w:rsid w:val="00CA16B2"/>
    <w:rsid w:val="00CA19D5"/>
    <w:rsid w:val="00CA1DE9"/>
    <w:rsid w:val="00CA2D09"/>
    <w:rsid w:val="00CA32CA"/>
    <w:rsid w:val="00CA35BA"/>
    <w:rsid w:val="00CA3EDC"/>
    <w:rsid w:val="00CA44B3"/>
    <w:rsid w:val="00CA49EB"/>
    <w:rsid w:val="00CA4C94"/>
    <w:rsid w:val="00CA5D69"/>
    <w:rsid w:val="00CA66DB"/>
    <w:rsid w:val="00CA6F9B"/>
    <w:rsid w:val="00CA786D"/>
    <w:rsid w:val="00CA7B06"/>
    <w:rsid w:val="00CB043E"/>
    <w:rsid w:val="00CB1012"/>
    <w:rsid w:val="00CB1148"/>
    <w:rsid w:val="00CB122D"/>
    <w:rsid w:val="00CB16EB"/>
    <w:rsid w:val="00CB16ED"/>
    <w:rsid w:val="00CB1BC1"/>
    <w:rsid w:val="00CB222E"/>
    <w:rsid w:val="00CB31AB"/>
    <w:rsid w:val="00CB335B"/>
    <w:rsid w:val="00CB34E2"/>
    <w:rsid w:val="00CB3F85"/>
    <w:rsid w:val="00CB4014"/>
    <w:rsid w:val="00CB45F2"/>
    <w:rsid w:val="00CB4A78"/>
    <w:rsid w:val="00CB55F5"/>
    <w:rsid w:val="00CB6188"/>
    <w:rsid w:val="00CB63E7"/>
    <w:rsid w:val="00CC01E9"/>
    <w:rsid w:val="00CC0557"/>
    <w:rsid w:val="00CC0D11"/>
    <w:rsid w:val="00CC2902"/>
    <w:rsid w:val="00CC3F9C"/>
    <w:rsid w:val="00CC406D"/>
    <w:rsid w:val="00CC47E8"/>
    <w:rsid w:val="00CC4FE1"/>
    <w:rsid w:val="00CC582F"/>
    <w:rsid w:val="00CC5FCB"/>
    <w:rsid w:val="00CC6379"/>
    <w:rsid w:val="00CC656B"/>
    <w:rsid w:val="00CD04CF"/>
    <w:rsid w:val="00CD1283"/>
    <w:rsid w:val="00CD13CB"/>
    <w:rsid w:val="00CD2731"/>
    <w:rsid w:val="00CD2EE1"/>
    <w:rsid w:val="00CD30CB"/>
    <w:rsid w:val="00CD359E"/>
    <w:rsid w:val="00CD43C1"/>
    <w:rsid w:val="00CD4BC9"/>
    <w:rsid w:val="00CD5187"/>
    <w:rsid w:val="00CD51F7"/>
    <w:rsid w:val="00CD53B3"/>
    <w:rsid w:val="00CD581D"/>
    <w:rsid w:val="00CD5B1F"/>
    <w:rsid w:val="00CD61CA"/>
    <w:rsid w:val="00CD7C89"/>
    <w:rsid w:val="00CD7E5C"/>
    <w:rsid w:val="00CE01AE"/>
    <w:rsid w:val="00CE0DC1"/>
    <w:rsid w:val="00CE32DB"/>
    <w:rsid w:val="00CE3A4A"/>
    <w:rsid w:val="00CE4857"/>
    <w:rsid w:val="00CE4909"/>
    <w:rsid w:val="00CE5501"/>
    <w:rsid w:val="00CE5CEA"/>
    <w:rsid w:val="00CE6493"/>
    <w:rsid w:val="00CE7095"/>
    <w:rsid w:val="00CE765E"/>
    <w:rsid w:val="00CE782F"/>
    <w:rsid w:val="00CF0B4F"/>
    <w:rsid w:val="00CF0F3B"/>
    <w:rsid w:val="00CF1497"/>
    <w:rsid w:val="00CF1731"/>
    <w:rsid w:val="00CF1854"/>
    <w:rsid w:val="00CF2615"/>
    <w:rsid w:val="00CF2DF0"/>
    <w:rsid w:val="00CF2EC9"/>
    <w:rsid w:val="00CF3346"/>
    <w:rsid w:val="00CF3BB5"/>
    <w:rsid w:val="00CF3D3E"/>
    <w:rsid w:val="00CF44DF"/>
    <w:rsid w:val="00CF5989"/>
    <w:rsid w:val="00CF6D4B"/>
    <w:rsid w:val="00CF7624"/>
    <w:rsid w:val="00CF76E8"/>
    <w:rsid w:val="00CF7827"/>
    <w:rsid w:val="00D000F8"/>
    <w:rsid w:val="00D0256C"/>
    <w:rsid w:val="00D052E9"/>
    <w:rsid w:val="00D0541C"/>
    <w:rsid w:val="00D054C6"/>
    <w:rsid w:val="00D054E4"/>
    <w:rsid w:val="00D05687"/>
    <w:rsid w:val="00D05CB1"/>
    <w:rsid w:val="00D06160"/>
    <w:rsid w:val="00D06820"/>
    <w:rsid w:val="00D06827"/>
    <w:rsid w:val="00D06EBE"/>
    <w:rsid w:val="00D0758D"/>
    <w:rsid w:val="00D079A5"/>
    <w:rsid w:val="00D1059F"/>
    <w:rsid w:val="00D108B0"/>
    <w:rsid w:val="00D110F3"/>
    <w:rsid w:val="00D1127D"/>
    <w:rsid w:val="00D11C06"/>
    <w:rsid w:val="00D13D14"/>
    <w:rsid w:val="00D15231"/>
    <w:rsid w:val="00D16CD1"/>
    <w:rsid w:val="00D16FC0"/>
    <w:rsid w:val="00D17A47"/>
    <w:rsid w:val="00D17DA9"/>
    <w:rsid w:val="00D20049"/>
    <w:rsid w:val="00D202CC"/>
    <w:rsid w:val="00D20515"/>
    <w:rsid w:val="00D20943"/>
    <w:rsid w:val="00D20DD2"/>
    <w:rsid w:val="00D22DF0"/>
    <w:rsid w:val="00D22DF3"/>
    <w:rsid w:val="00D234B4"/>
    <w:rsid w:val="00D24882"/>
    <w:rsid w:val="00D24F02"/>
    <w:rsid w:val="00D2589E"/>
    <w:rsid w:val="00D267E9"/>
    <w:rsid w:val="00D26C84"/>
    <w:rsid w:val="00D27F16"/>
    <w:rsid w:val="00D27F88"/>
    <w:rsid w:val="00D30390"/>
    <w:rsid w:val="00D3068D"/>
    <w:rsid w:val="00D311FD"/>
    <w:rsid w:val="00D3167E"/>
    <w:rsid w:val="00D31EA3"/>
    <w:rsid w:val="00D3205D"/>
    <w:rsid w:val="00D3352A"/>
    <w:rsid w:val="00D337B6"/>
    <w:rsid w:val="00D34F1B"/>
    <w:rsid w:val="00D35EC9"/>
    <w:rsid w:val="00D3632C"/>
    <w:rsid w:val="00D40054"/>
    <w:rsid w:val="00D4015B"/>
    <w:rsid w:val="00D40281"/>
    <w:rsid w:val="00D40EBA"/>
    <w:rsid w:val="00D428E9"/>
    <w:rsid w:val="00D42D8C"/>
    <w:rsid w:val="00D4319D"/>
    <w:rsid w:val="00D43478"/>
    <w:rsid w:val="00D43D5E"/>
    <w:rsid w:val="00D4454C"/>
    <w:rsid w:val="00D458A7"/>
    <w:rsid w:val="00D459A1"/>
    <w:rsid w:val="00D46574"/>
    <w:rsid w:val="00D46B7B"/>
    <w:rsid w:val="00D4777D"/>
    <w:rsid w:val="00D47B0A"/>
    <w:rsid w:val="00D50513"/>
    <w:rsid w:val="00D506B1"/>
    <w:rsid w:val="00D50998"/>
    <w:rsid w:val="00D511F2"/>
    <w:rsid w:val="00D515D8"/>
    <w:rsid w:val="00D53930"/>
    <w:rsid w:val="00D541DF"/>
    <w:rsid w:val="00D547B9"/>
    <w:rsid w:val="00D551E3"/>
    <w:rsid w:val="00D555E5"/>
    <w:rsid w:val="00D555FB"/>
    <w:rsid w:val="00D55BCB"/>
    <w:rsid w:val="00D56F95"/>
    <w:rsid w:val="00D57651"/>
    <w:rsid w:val="00D6042E"/>
    <w:rsid w:val="00D6085A"/>
    <w:rsid w:val="00D61221"/>
    <w:rsid w:val="00D6173C"/>
    <w:rsid w:val="00D617F2"/>
    <w:rsid w:val="00D61D43"/>
    <w:rsid w:val="00D62785"/>
    <w:rsid w:val="00D62DDA"/>
    <w:rsid w:val="00D63A99"/>
    <w:rsid w:val="00D64055"/>
    <w:rsid w:val="00D651AD"/>
    <w:rsid w:val="00D6545D"/>
    <w:rsid w:val="00D65590"/>
    <w:rsid w:val="00D6561D"/>
    <w:rsid w:val="00D6583D"/>
    <w:rsid w:val="00D65C5B"/>
    <w:rsid w:val="00D65CFA"/>
    <w:rsid w:val="00D66104"/>
    <w:rsid w:val="00D66386"/>
    <w:rsid w:val="00D66F57"/>
    <w:rsid w:val="00D671D5"/>
    <w:rsid w:val="00D70275"/>
    <w:rsid w:val="00D70DC7"/>
    <w:rsid w:val="00D70FCF"/>
    <w:rsid w:val="00D712CE"/>
    <w:rsid w:val="00D718F8"/>
    <w:rsid w:val="00D71A28"/>
    <w:rsid w:val="00D71F92"/>
    <w:rsid w:val="00D72A21"/>
    <w:rsid w:val="00D734FD"/>
    <w:rsid w:val="00D74532"/>
    <w:rsid w:val="00D74911"/>
    <w:rsid w:val="00D74AA8"/>
    <w:rsid w:val="00D74EB1"/>
    <w:rsid w:val="00D75936"/>
    <w:rsid w:val="00D75B16"/>
    <w:rsid w:val="00D7627F"/>
    <w:rsid w:val="00D76AF7"/>
    <w:rsid w:val="00D7709A"/>
    <w:rsid w:val="00D77E43"/>
    <w:rsid w:val="00D8050B"/>
    <w:rsid w:val="00D80E0E"/>
    <w:rsid w:val="00D81854"/>
    <w:rsid w:val="00D82286"/>
    <w:rsid w:val="00D823CC"/>
    <w:rsid w:val="00D825A2"/>
    <w:rsid w:val="00D8270D"/>
    <w:rsid w:val="00D82AB2"/>
    <w:rsid w:val="00D834CD"/>
    <w:rsid w:val="00D84A7B"/>
    <w:rsid w:val="00D84A8B"/>
    <w:rsid w:val="00D84ABD"/>
    <w:rsid w:val="00D84D48"/>
    <w:rsid w:val="00D85186"/>
    <w:rsid w:val="00D85500"/>
    <w:rsid w:val="00D857B1"/>
    <w:rsid w:val="00D85E5E"/>
    <w:rsid w:val="00D862D9"/>
    <w:rsid w:val="00D86F02"/>
    <w:rsid w:val="00D87385"/>
    <w:rsid w:val="00D90075"/>
    <w:rsid w:val="00D90AE4"/>
    <w:rsid w:val="00D92320"/>
    <w:rsid w:val="00D936E2"/>
    <w:rsid w:val="00D936EB"/>
    <w:rsid w:val="00D93CDD"/>
    <w:rsid w:val="00D94753"/>
    <w:rsid w:val="00D94B8F"/>
    <w:rsid w:val="00D94C61"/>
    <w:rsid w:val="00D94D9A"/>
    <w:rsid w:val="00D95EC8"/>
    <w:rsid w:val="00D965B1"/>
    <w:rsid w:val="00D96888"/>
    <w:rsid w:val="00D96A36"/>
    <w:rsid w:val="00D97600"/>
    <w:rsid w:val="00DA0029"/>
    <w:rsid w:val="00DA00F6"/>
    <w:rsid w:val="00DA0B41"/>
    <w:rsid w:val="00DA0D0C"/>
    <w:rsid w:val="00DA18FF"/>
    <w:rsid w:val="00DA2762"/>
    <w:rsid w:val="00DA286B"/>
    <w:rsid w:val="00DA343E"/>
    <w:rsid w:val="00DA375E"/>
    <w:rsid w:val="00DA398A"/>
    <w:rsid w:val="00DA4309"/>
    <w:rsid w:val="00DA459A"/>
    <w:rsid w:val="00DA547F"/>
    <w:rsid w:val="00DA56D7"/>
    <w:rsid w:val="00DA56E0"/>
    <w:rsid w:val="00DA76A5"/>
    <w:rsid w:val="00DB0576"/>
    <w:rsid w:val="00DB0CF0"/>
    <w:rsid w:val="00DB0D85"/>
    <w:rsid w:val="00DB0F86"/>
    <w:rsid w:val="00DB12EE"/>
    <w:rsid w:val="00DB13B1"/>
    <w:rsid w:val="00DB13C7"/>
    <w:rsid w:val="00DB1A14"/>
    <w:rsid w:val="00DB1F62"/>
    <w:rsid w:val="00DB2018"/>
    <w:rsid w:val="00DB25CF"/>
    <w:rsid w:val="00DB2757"/>
    <w:rsid w:val="00DB39BD"/>
    <w:rsid w:val="00DB496D"/>
    <w:rsid w:val="00DB49ED"/>
    <w:rsid w:val="00DB4C05"/>
    <w:rsid w:val="00DB5DD3"/>
    <w:rsid w:val="00DB5ED8"/>
    <w:rsid w:val="00DB5F1F"/>
    <w:rsid w:val="00DB69CC"/>
    <w:rsid w:val="00DB7D1B"/>
    <w:rsid w:val="00DC096A"/>
    <w:rsid w:val="00DC0D32"/>
    <w:rsid w:val="00DC1060"/>
    <w:rsid w:val="00DC13A9"/>
    <w:rsid w:val="00DC2482"/>
    <w:rsid w:val="00DC30F4"/>
    <w:rsid w:val="00DC3269"/>
    <w:rsid w:val="00DC3527"/>
    <w:rsid w:val="00DC36A1"/>
    <w:rsid w:val="00DC4FE5"/>
    <w:rsid w:val="00DC64F5"/>
    <w:rsid w:val="00DC6813"/>
    <w:rsid w:val="00DC6F52"/>
    <w:rsid w:val="00DC780E"/>
    <w:rsid w:val="00DD06FF"/>
    <w:rsid w:val="00DD0781"/>
    <w:rsid w:val="00DD0E5B"/>
    <w:rsid w:val="00DD17DA"/>
    <w:rsid w:val="00DD3045"/>
    <w:rsid w:val="00DD4E34"/>
    <w:rsid w:val="00DD5E87"/>
    <w:rsid w:val="00DD65C9"/>
    <w:rsid w:val="00DD6CD9"/>
    <w:rsid w:val="00DD71F9"/>
    <w:rsid w:val="00DE1A1D"/>
    <w:rsid w:val="00DE1C2B"/>
    <w:rsid w:val="00DE2925"/>
    <w:rsid w:val="00DE2E3B"/>
    <w:rsid w:val="00DE45DC"/>
    <w:rsid w:val="00DE4932"/>
    <w:rsid w:val="00DE507C"/>
    <w:rsid w:val="00DE5267"/>
    <w:rsid w:val="00DE55C4"/>
    <w:rsid w:val="00DE582C"/>
    <w:rsid w:val="00DE67B2"/>
    <w:rsid w:val="00DE6961"/>
    <w:rsid w:val="00DE6AA0"/>
    <w:rsid w:val="00DE7145"/>
    <w:rsid w:val="00DE7565"/>
    <w:rsid w:val="00DF02AF"/>
    <w:rsid w:val="00DF07EE"/>
    <w:rsid w:val="00DF0896"/>
    <w:rsid w:val="00DF0CB3"/>
    <w:rsid w:val="00DF122A"/>
    <w:rsid w:val="00DF15AC"/>
    <w:rsid w:val="00DF2210"/>
    <w:rsid w:val="00DF2E95"/>
    <w:rsid w:val="00DF3CDE"/>
    <w:rsid w:val="00DF3DE3"/>
    <w:rsid w:val="00DF414D"/>
    <w:rsid w:val="00DF55E6"/>
    <w:rsid w:val="00DF58E9"/>
    <w:rsid w:val="00DF59A3"/>
    <w:rsid w:val="00DF5F7B"/>
    <w:rsid w:val="00DF6B63"/>
    <w:rsid w:val="00DF7000"/>
    <w:rsid w:val="00DF73D4"/>
    <w:rsid w:val="00E000D3"/>
    <w:rsid w:val="00E00D7E"/>
    <w:rsid w:val="00E00DD3"/>
    <w:rsid w:val="00E00EFE"/>
    <w:rsid w:val="00E0159E"/>
    <w:rsid w:val="00E01D70"/>
    <w:rsid w:val="00E025C6"/>
    <w:rsid w:val="00E02692"/>
    <w:rsid w:val="00E027FB"/>
    <w:rsid w:val="00E02B7C"/>
    <w:rsid w:val="00E03125"/>
    <w:rsid w:val="00E0346B"/>
    <w:rsid w:val="00E03864"/>
    <w:rsid w:val="00E03A94"/>
    <w:rsid w:val="00E0408E"/>
    <w:rsid w:val="00E0462B"/>
    <w:rsid w:val="00E05189"/>
    <w:rsid w:val="00E05A94"/>
    <w:rsid w:val="00E06054"/>
    <w:rsid w:val="00E063DA"/>
    <w:rsid w:val="00E066F2"/>
    <w:rsid w:val="00E07D25"/>
    <w:rsid w:val="00E1003A"/>
    <w:rsid w:val="00E101EA"/>
    <w:rsid w:val="00E108A9"/>
    <w:rsid w:val="00E10EC3"/>
    <w:rsid w:val="00E1126A"/>
    <w:rsid w:val="00E11D35"/>
    <w:rsid w:val="00E12E1C"/>
    <w:rsid w:val="00E12FA2"/>
    <w:rsid w:val="00E13416"/>
    <w:rsid w:val="00E13746"/>
    <w:rsid w:val="00E13C75"/>
    <w:rsid w:val="00E13E4F"/>
    <w:rsid w:val="00E14038"/>
    <w:rsid w:val="00E14186"/>
    <w:rsid w:val="00E14D6B"/>
    <w:rsid w:val="00E15464"/>
    <w:rsid w:val="00E179BB"/>
    <w:rsid w:val="00E17F1A"/>
    <w:rsid w:val="00E203A3"/>
    <w:rsid w:val="00E204CD"/>
    <w:rsid w:val="00E21164"/>
    <w:rsid w:val="00E2143C"/>
    <w:rsid w:val="00E2206C"/>
    <w:rsid w:val="00E2246A"/>
    <w:rsid w:val="00E22863"/>
    <w:rsid w:val="00E22C14"/>
    <w:rsid w:val="00E22D2D"/>
    <w:rsid w:val="00E22E9F"/>
    <w:rsid w:val="00E239A8"/>
    <w:rsid w:val="00E23F34"/>
    <w:rsid w:val="00E2409F"/>
    <w:rsid w:val="00E243BF"/>
    <w:rsid w:val="00E24567"/>
    <w:rsid w:val="00E2490E"/>
    <w:rsid w:val="00E24CD9"/>
    <w:rsid w:val="00E2543B"/>
    <w:rsid w:val="00E2573C"/>
    <w:rsid w:val="00E25A0A"/>
    <w:rsid w:val="00E264F7"/>
    <w:rsid w:val="00E2655F"/>
    <w:rsid w:val="00E266FF"/>
    <w:rsid w:val="00E26D04"/>
    <w:rsid w:val="00E26F2A"/>
    <w:rsid w:val="00E27112"/>
    <w:rsid w:val="00E272FB"/>
    <w:rsid w:val="00E273AE"/>
    <w:rsid w:val="00E31A37"/>
    <w:rsid w:val="00E31D94"/>
    <w:rsid w:val="00E321F6"/>
    <w:rsid w:val="00E3296A"/>
    <w:rsid w:val="00E32D6D"/>
    <w:rsid w:val="00E32F50"/>
    <w:rsid w:val="00E3366E"/>
    <w:rsid w:val="00E3381E"/>
    <w:rsid w:val="00E33FDF"/>
    <w:rsid w:val="00E34731"/>
    <w:rsid w:val="00E35CBE"/>
    <w:rsid w:val="00E35D2B"/>
    <w:rsid w:val="00E361D3"/>
    <w:rsid w:val="00E367B7"/>
    <w:rsid w:val="00E36993"/>
    <w:rsid w:val="00E40189"/>
    <w:rsid w:val="00E4064A"/>
    <w:rsid w:val="00E40CA3"/>
    <w:rsid w:val="00E412F0"/>
    <w:rsid w:val="00E41BFB"/>
    <w:rsid w:val="00E43103"/>
    <w:rsid w:val="00E43E25"/>
    <w:rsid w:val="00E43F6D"/>
    <w:rsid w:val="00E440CB"/>
    <w:rsid w:val="00E44CC8"/>
    <w:rsid w:val="00E44E6D"/>
    <w:rsid w:val="00E4503C"/>
    <w:rsid w:val="00E455FE"/>
    <w:rsid w:val="00E45B2E"/>
    <w:rsid w:val="00E45E70"/>
    <w:rsid w:val="00E460CD"/>
    <w:rsid w:val="00E474EE"/>
    <w:rsid w:val="00E47E55"/>
    <w:rsid w:val="00E507C4"/>
    <w:rsid w:val="00E5085C"/>
    <w:rsid w:val="00E5101E"/>
    <w:rsid w:val="00E5121D"/>
    <w:rsid w:val="00E51533"/>
    <w:rsid w:val="00E5188F"/>
    <w:rsid w:val="00E51C7C"/>
    <w:rsid w:val="00E51CAB"/>
    <w:rsid w:val="00E51D5F"/>
    <w:rsid w:val="00E52315"/>
    <w:rsid w:val="00E52764"/>
    <w:rsid w:val="00E52908"/>
    <w:rsid w:val="00E53375"/>
    <w:rsid w:val="00E534CE"/>
    <w:rsid w:val="00E535EA"/>
    <w:rsid w:val="00E53776"/>
    <w:rsid w:val="00E53AB2"/>
    <w:rsid w:val="00E53FD1"/>
    <w:rsid w:val="00E54300"/>
    <w:rsid w:val="00E5440B"/>
    <w:rsid w:val="00E54956"/>
    <w:rsid w:val="00E54A75"/>
    <w:rsid w:val="00E5533B"/>
    <w:rsid w:val="00E55457"/>
    <w:rsid w:val="00E55D40"/>
    <w:rsid w:val="00E55D6F"/>
    <w:rsid w:val="00E560F3"/>
    <w:rsid w:val="00E56225"/>
    <w:rsid w:val="00E57C13"/>
    <w:rsid w:val="00E603DA"/>
    <w:rsid w:val="00E60CEB"/>
    <w:rsid w:val="00E61406"/>
    <w:rsid w:val="00E6148B"/>
    <w:rsid w:val="00E618DE"/>
    <w:rsid w:val="00E61DC7"/>
    <w:rsid w:val="00E61E14"/>
    <w:rsid w:val="00E62088"/>
    <w:rsid w:val="00E622CC"/>
    <w:rsid w:val="00E626CE"/>
    <w:rsid w:val="00E63446"/>
    <w:rsid w:val="00E635A9"/>
    <w:rsid w:val="00E6416C"/>
    <w:rsid w:val="00E6433E"/>
    <w:rsid w:val="00E6473D"/>
    <w:rsid w:val="00E64E19"/>
    <w:rsid w:val="00E64F61"/>
    <w:rsid w:val="00E65392"/>
    <w:rsid w:val="00E654C7"/>
    <w:rsid w:val="00E6636A"/>
    <w:rsid w:val="00E66FDF"/>
    <w:rsid w:val="00E674CE"/>
    <w:rsid w:val="00E675D6"/>
    <w:rsid w:val="00E6768C"/>
    <w:rsid w:val="00E67FEB"/>
    <w:rsid w:val="00E7034F"/>
    <w:rsid w:val="00E70864"/>
    <w:rsid w:val="00E7088E"/>
    <w:rsid w:val="00E71C16"/>
    <w:rsid w:val="00E71CAE"/>
    <w:rsid w:val="00E72898"/>
    <w:rsid w:val="00E7350C"/>
    <w:rsid w:val="00E73C4F"/>
    <w:rsid w:val="00E74790"/>
    <w:rsid w:val="00E74C6B"/>
    <w:rsid w:val="00E7606D"/>
    <w:rsid w:val="00E779D9"/>
    <w:rsid w:val="00E8021D"/>
    <w:rsid w:val="00E807DC"/>
    <w:rsid w:val="00E81136"/>
    <w:rsid w:val="00E81144"/>
    <w:rsid w:val="00E81156"/>
    <w:rsid w:val="00E81D40"/>
    <w:rsid w:val="00E82C4A"/>
    <w:rsid w:val="00E82F5E"/>
    <w:rsid w:val="00E8327B"/>
    <w:rsid w:val="00E8388A"/>
    <w:rsid w:val="00E84629"/>
    <w:rsid w:val="00E84CA9"/>
    <w:rsid w:val="00E859AB"/>
    <w:rsid w:val="00E86700"/>
    <w:rsid w:val="00E86859"/>
    <w:rsid w:val="00E86F9C"/>
    <w:rsid w:val="00E904CA"/>
    <w:rsid w:val="00E92171"/>
    <w:rsid w:val="00E9276D"/>
    <w:rsid w:val="00E92947"/>
    <w:rsid w:val="00E95CC1"/>
    <w:rsid w:val="00E95CCC"/>
    <w:rsid w:val="00E978CD"/>
    <w:rsid w:val="00E97FCC"/>
    <w:rsid w:val="00EA05FE"/>
    <w:rsid w:val="00EA0BAA"/>
    <w:rsid w:val="00EA23E8"/>
    <w:rsid w:val="00EA258D"/>
    <w:rsid w:val="00EA434E"/>
    <w:rsid w:val="00EA510B"/>
    <w:rsid w:val="00EA5521"/>
    <w:rsid w:val="00EA5560"/>
    <w:rsid w:val="00EA594B"/>
    <w:rsid w:val="00EA68E0"/>
    <w:rsid w:val="00EA71FE"/>
    <w:rsid w:val="00EA74CF"/>
    <w:rsid w:val="00EA796D"/>
    <w:rsid w:val="00EA7C7B"/>
    <w:rsid w:val="00EB2CA3"/>
    <w:rsid w:val="00EB335B"/>
    <w:rsid w:val="00EB3516"/>
    <w:rsid w:val="00EB3AFB"/>
    <w:rsid w:val="00EB4B8E"/>
    <w:rsid w:val="00EB505F"/>
    <w:rsid w:val="00EB55B9"/>
    <w:rsid w:val="00EB6C71"/>
    <w:rsid w:val="00EB77A9"/>
    <w:rsid w:val="00EB7E08"/>
    <w:rsid w:val="00EC0BAC"/>
    <w:rsid w:val="00EC0BDD"/>
    <w:rsid w:val="00EC1948"/>
    <w:rsid w:val="00EC2E8D"/>
    <w:rsid w:val="00EC3F72"/>
    <w:rsid w:val="00EC528D"/>
    <w:rsid w:val="00EC5325"/>
    <w:rsid w:val="00EC5A59"/>
    <w:rsid w:val="00EC65B4"/>
    <w:rsid w:val="00EC6697"/>
    <w:rsid w:val="00EC7745"/>
    <w:rsid w:val="00ED057A"/>
    <w:rsid w:val="00ED07FB"/>
    <w:rsid w:val="00ED2B76"/>
    <w:rsid w:val="00ED2C45"/>
    <w:rsid w:val="00ED3295"/>
    <w:rsid w:val="00ED32CF"/>
    <w:rsid w:val="00ED343C"/>
    <w:rsid w:val="00ED36DC"/>
    <w:rsid w:val="00ED3A7C"/>
    <w:rsid w:val="00ED5130"/>
    <w:rsid w:val="00ED5785"/>
    <w:rsid w:val="00ED6277"/>
    <w:rsid w:val="00ED6A57"/>
    <w:rsid w:val="00ED705C"/>
    <w:rsid w:val="00ED74FA"/>
    <w:rsid w:val="00ED792D"/>
    <w:rsid w:val="00ED7BA9"/>
    <w:rsid w:val="00ED7FCF"/>
    <w:rsid w:val="00EE0058"/>
    <w:rsid w:val="00EE0074"/>
    <w:rsid w:val="00EE0093"/>
    <w:rsid w:val="00EE0682"/>
    <w:rsid w:val="00EE0959"/>
    <w:rsid w:val="00EE0B93"/>
    <w:rsid w:val="00EE1612"/>
    <w:rsid w:val="00EE223F"/>
    <w:rsid w:val="00EE25DB"/>
    <w:rsid w:val="00EE2D37"/>
    <w:rsid w:val="00EE366B"/>
    <w:rsid w:val="00EE51E7"/>
    <w:rsid w:val="00EE545E"/>
    <w:rsid w:val="00EE5B4B"/>
    <w:rsid w:val="00EE5DEC"/>
    <w:rsid w:val="00EE6174"/>
    <w:rsid w:val="00EE61F7"/>
    <w:rsid w:val="00EE6A41"/>
    <w:rsid w:val="00EE6A79"/>
    <w:rsid w:val="00EE6B15"/>
    <w:rsid w:val="00EE70D1"/>
    <w:rsid w:val="00EF0C15"/>
    <w:rsid w:val="00EF0D70"/>
    <w:rsid w:val="00EF140E"/>
    <w:rsid w:val="00EF171E"/>
    <w:rsid w:val="00EF1D6F"/>
    <w:rsid w:val="00EF1F23"/>
    <w:rsid w:val="00EF2F69"/>
    <w:rsid w:val="00EF3207"/>
    <w:rsid w:val="00EF45E7"/>
    <w:rsid w:val="00EF4FFB"/>
    <w:rsid w:val="00EF556B"/>
    <w:rsid w:val="00EF6D3F"/>
    <w:rsid w:val="00EF6E5C"/>
    <w:rsid w:val="00EF7E46"/>
    <w:rsid w:val="00F00011"/>
    <w:rsid w:val="00F002AB"/>
    <w:rsid w:val="00F00A28"/>
    <w:rsid w:val="00F00ED7"/>
    <w:rsid w:val="00F01A16"/>
    <w:rsid w:val="00F02192"/>
    <w:rsid w:val="00F02693"/>
    <w:rsid w:val="00F02910"/>
    <w:rsid w:val="00F02AAE"/>
    <w:rsid w:val="00F0312B"/>
    <w:rsid w:val="00F0397F"/>
    <w:rsid w:val="00F03CFE"/>
    <w:rsid w:val="00F03EE2"/>
    <w:rsid w:val="00F04368"/>
    <w:rsid w:val="00F04378"/>
    <w:rsid w:val="00F0490B"/>
    <w:rsid w:val="00F050CC"/>
    <w:rsid w:val="00F05498"/>
    <w:rsid w:val="00F05961"/>
    <w:rsid w:val="00F05EE5"/>
    <w:rsid w:val="00F07D8D"/>
    <w:rsid w:val="00F07E40"/>
    <w:rsid w:val="00F10BBD"/>
    <w:rsid w:val="00F110A0"/>
    <w:rsid w:val="00F11123"/>
    <w:rsid w:val="00F11364"/>
    <w:rsid w:val="00F12107"/>
    <w:rsid w:val="00F125DA"/>
    <w:rsid w:val="00F1283B"/>
    <w:rsid w:val="00F12ED1"/>
    <w:rsid w:val="00F1382E"/>
    <w:rsid w:val="00F13B28"/>
    <w:rsid w:val="00F13ED7"/>
    <w:rsid w:val="00F14843"/>
    <w:rsid w:val="00F153D5"/>
    <w:rsid w:val="00F15841"/>
    <w:rsid w:val="00F15E15"/>
    <w:rsid w:val="00F16449"/>
    <w:rsid w:val="00F177DF"/>
    <w:rsid w:val="00F17F67"/>
    <w:rsid w:val="00F20928"/>
    <w:rsid w:val="00F20C9D"/>
    <w:rsid w:val="00F218DD"/>
    <w:rsid w:val="00F21BCF"/>
    <w:rsid w:val="00F22467"/>
    <w:rsid w:val="00F22759"/>
    <w:rsid w:val="00F22F54"/>
    <w:rsid w:val="00F2337A"/>
    <w:rsid w:val="00F23E58"/>
    <w:rsid w:val="00F241F9"/>
    <w:rsid w:val="00F24F8F"/>
    <w:rsid w:val="00F2533C"/>
    <w:rsid w:val="00F25F2E"/>
    <w:rsid w:val="00F270EE"/>
    <w:rsid w:val="00F27481"/>
    <w:rsid w:val="00F2772B"/>
    <w:rsid w:val="00F2780E"/>
    <w:rsid w:val="00F2789D"/>
    <w:rsid w:val="00F279A6"/>
    <w:rsid w:val="00F30632"/>
    <w:rsid w:val="00F30E8D"/>
    <w:rsid w:val="00F31624"/>
    <w:rsid w:val="00F326FA"/>
    <w:rsid w:val="00F32966"/>
    <w:rsid w:val="00F342AF"/>
    <w:rsid w:val="00F346E3"/>
    <w:rsid w:val="00F357D6"/>
    <w:rsid w:val="00F35C6D"/>
    <w:rsid w:val="00F35D40"/>
    <w:rsid w:val="00F3606A"/>
    <w:rsid w:val="00F361BE"/>
    <w:rsid w:val="00F36638"/>
    <w:rsid w:val="00F366F5"/>
    <w:rsid w:val="00F36E3A"/>
    <w:rsid w:val="00F40C1B"/>
    <w:rsid w:val="00F40D67"/>
    <w:rsid w:val="00F41350"/>
    <w:rsid w:val="00F42AF0"/>
    <w:rsid w:val="00F42E9D"/>
    <w:rsid w:val="00F43BD6"/>
    <w:rsid w:val="00F43C59"/>
    <w:rsid w:val="00F44163"/>
    <w:rsid w:val="00F44EBE"/>
    <w:rsid w:val="00F45128"/>
    <w:rsid w:val="00F45CCA"/>
    <w:rsid w:val="00F46227"/>
    <w:rsid w:val="00F4631A"/>
    <w:rsid w:val="00F47AFA"/>
    <w:rsid w:val="00F5045F"/>
    <w:rsid w:val="00F5059F"/>
    <w:rsid w:val="00F51754"/>
    <w:rsid w:val="00F51FF0"/>
    <w:rsid w:val="00F52578"/>
    <w:rsid w:val="00F525B8"/>
    <w:rsid w:val="00F52D96"/>
    <w:rsid w:val="00F53667"/>
    <w:rsid w:val="00F536A4"/>
    <w:rsid w:val="00F53BFA"/>
    <w:rsid w:val="00F54873"/>
    <w:rsid w:val="00F54DE1"/>
    <w:rsid w:val="00F54FA6"/>
    <w:rsid w:val="00F55033"/>
    <w:rsid w:val="00F559B1"/>
    <w:rsid w:val="00F5717F"/>
    <w:rsid w:val="00F573C9"/>
    <w:rsid w:val="00F57D4F"/>
    <w:rsid w:val="00F60041"/>
    <w:rsid w:val="00F60130"/>
    <w:rsid w:val="00F620AE"/>
    <w:rsid w:val="00F640BA"/>
    <w:rsid w:val="00F6483F"/>
    <w:rsid w:val="00F64CDE"/>
    <w:rsid w:val="00F6581A"/>
    <w:rsid w:val="00F65C03"/>
    <w:rsid w:val="00F65CEC"/>
    <w:rsid w:val="00F66A4F"/>
    <w:rsid w:val="00F66F82"/>
    <w:rsid w:val="00F67666"/>
    <w:rsid w:val="00F67DA0"/>
    <w:rsid w:val="00F67E5B"/>
    <w:rsid w:val="00F67F4E"/>
    <w:rsid w:val="00F7142B"/>
    <w:rsid w:val="00F7199E"/>
    <w:rsid w:val="00F719CC"/>
    <w:rsid w:val="00F71A0A"/>
    <w:rsid w:val="00F72660"/>
    <w:rsid w:val="00F72759"/>
    <w:rsid w:val="00F7391D"/>
    <w:rsid w:val="00F73B44"/>
    <w:rsid w:val="00F75323"/>
    <w:rsid w:val="00F76814"/>
    <w:rsid w:val="00F76BDD"/>
    <w:rsid w:val="00F7756C"/>
    <w:rsid w:val="00F77874"/>
    <w:rsid w:val="00F7788B"/>
    <w:rsid w:val="00F77B17"/>
    <w:rsid w:val="00F77B99"/>
    <w:rsid w:val="00F814CF"/>
    <w:rsid w:val="00F81D92"/>
    <w:rsid w:val="00F82605"/>
    <w:rsid w:val="00F82CE2"/>
    <w:rsid w:val="00F82FDB"/>
    <w:rsid w:val="00F831EA"/>
    <w:rsid w:val="00F83462"/>
    <w:rsid w:val="00F8346A"/>
    <w:rsid w:val="00F845F0"/>
    <w:rsid w:val="00F84DA0"/>
    <w:rsid w:val="00F851EE"/>
    <w:rsid w:val="00F8589C"/>
    <w:rsid w:val="00F871A4"/>
    <w:rsid w:val="00F90164"/>
    <w:rsid w:val="00F90B55"/>
    <w:rsid w:val="00F911E9"/>
    <w:rsid w:val="00F916C1"/>
    <w:rsid w:val="00F9194C"/>
    <w:rsid w:val="00F91E57"/>
    <w:rsid w:val="00F91F26"/>
    <w:rsid w:val="00F925C0"/>
    <w:rsid w:val="00F9290D"/>
    <w:rsid w:val="00F92EBE"/>
    <w:rsid w:val="00F939B1"/>
    <w:rsid w:val="00F93A2D"/>
    <w:rsid w:val="00F93A65"/>
    <w:rsid w:val="00F93FBA"/>
    <w:rsid w:val="00F94A1B"/>
    <w:rsid w:val="00F94C47"/>
    <w:rsid w:val="00F95297"/>
    <w:rsid w:val="00F95439"/>
    <w:rsid w:val="00F95592"/>
    <w:rsid w:val="00F95850"/>
    <w:rsid w:val="00F95C99"/>
    <w:rsid w:val="00F9677C"/>
    <w:rsid w:val="00F96854"/>
    <w:rsid w:val="00F96919"/>
    <w:rsid w:val="00F96CBE"/>
    <w:rsid w:val="00F978E8"/>
    <w:rsid w:val="00F97B7D"/>
    <w:rsid w:val="00F97E5B"/>
    <w:rsid w:val="00F97FCA"/>
    <w:rsid w:val="00FA1002"/>
    <w:rsid w:val="00FA1054"/>
    <w:rsid w:val="00FA150F"/>
    <w:rsid w:val="00FA1E05"/>
    <w:rsid w:val="00FA1EFA"/>
    <w:rsid w:val="00FA1EFB"/>
    <w:rsid w:val="00FA260D"/>
    <w:rsid w:val="00FA27FA"/>
    <w:rsid w:val="00FA2CD8"/>
    <w:rsid w:val="00FA5600"/>
    <w:rsid w:val="00FA5CD5"/>
    <w:rsid w:val="00FA79B5"/>
    <w:rsid w:val="00FB0667"/>
    <w:rsid w:val="00FB39E5"/>
    <w:rsid w:val="00FB3D99"/>
    <w:rsid w:val="00FB3E2E"/>
    <w:rsid w:val="00FB4D48"/>
    <w:rsid w:val="00FB58D7"/>
    <w:rsid w:val="00FB5B00"/>
    <w:rsid w:val="00FB5F69"/>
    <w:rsid w:val="00FB5FA2"/>
    <w:rsid w:val="00FB6149"/>
    <w:rsid w:val="00FB6619"/>
    <w:rsid w:val="00FB6B04"/>
    <w:rsid w:val="00FB6BB7"/>
    <w:rsid w:val="00FB783E"/>
    <w:rsid w:val="00FB7C3C"/>
    <w:rsid w:val="00FC0ACF"/>
    <w:rsid w:val="00FC0C00"/>
    <w:rsid w:val="00FC0FA2"/>
    <w:rsid w:val="00FC199A"/>
    <w:rsid w:val="00FC23A0"/>
    <w:rsid w:val="00FC2404"/>
    <w:rsid w:val="00FC2845"/>
    <w:rsid w:val="00FC33F0"/>
    <w:rsid w:val="00FC40F6"/>
    <w:rsid w:val="00FC4753"/>
    <w:rsid w:val="00FC4B8D"/>
    <w:rsid w:val="00FC5668"/>
    <w:rsid w:val="00FC5C93"/>
    <w:rsid w:val="00FC5D84"/>
    <w:rsid w:val="00FC5F5F"/>
    <w:rsid w:val="00FC6E5F"/>
    <w:rsid w:val="00FC71C9"/>
    <w:rsid w:val="00FC71DD"/>
    <w:rsid w:val="00FD030A"/>
    <w:rsid w:val="00FD136B"/>
    <w:rsid w:val="00FD1DFD"/>
    <w:rsid w:val="00FD27E4"/>
    <w:rsid w:val="00FD295A"/>
    <w:rsid w:val="00FD3CA3"/>
    <w:rsid w:val="00FD528C"/>
    <w:rsid w:val="00FD597D"/>
    <w:rsid w:val="00FD5C1F"/>
    <w:rsid w:val="00FD5D23"/>
    <w:rsid w:val="00FD5DC9"/>
    <w:rsid w:val="00FD669A"/>
    <w:rsid w:val="00FD696E"/>
    <w:rsid w:val="00FD6CB3"/>
    <w:rsid w:val="00FD78E5"/>
    <w:rsid w:val="00FD7C40"/>
    <w:rsid w:val="00FD7D11"/>
    <w:rsid w:val="00FE0215"/>
    <w:rsid w:val="00FE0672"/>
    <w:rsid w:val="00FE20C8"/>
    <w:rsid w:val="00FE4237"/>
    <w:rsid w:val="00FE42EA"/>
    <w:rsid w:val="00FE442B"/>
    <w:rsid w:val="00FE4604"/>
    <w:rsid w:val="00FE4D52"/>
    <w:rsid w:val="00FE51C4"/>
    <w:rsid w:val="00FE5927"/>
    <w:rsid w:val="00FE6AAC"/>
    <w:rsid w:val="00FE74DD"/>
    <w:rsid w:val="00FE7F87"/>
    <w:rsid w:val="00FF042E"/>
    <w:rsid w:val="00FF04BE"/>
    <w:rsid w:val="00FF074C"/>
    <w:rsid w:val="00FF12F1"/>
    <w:rsid w:val="00FF14C9"/>
    <w:rsid w:val="00FF170B"/>
    <w:rsid w:val="00FF1B2A"/>
    <w:rsid w:val="00FF1DF9"/>
    <w:rsid w:val="00FF1F58"/>
    <w:rsid w:val="00FF21B4"/>
    <w:rsid w:val="00FF2A99"/>
    <w:rsid w:val="00FF2ADD"/>
    <w:rsid w:val="00FF3582"/>
    <w:rsid w:val="00FF40FC"/>
    <w:rsid w:val="00FF4DA5"/>
    <w:rsid w:val="00FF4FB8"/>
    <w:rsid w:val="00FF50B9"/>
    <w:rsid w:val="00FF513E"/>
    <w:rsid w:val="00FF55CD"/>
    <w:rsid w:val="00FF5A6A"/>
    <w:rsid w:val="00FF65AC"/>
    <w:rsid w:val="00FF6609"/>
    <w:rsid w:val="00FF6917"/>
    <w:rsid w:val="00FF7280"/>
    <w:rsid w:val="00FF7334"/>
    <w:rsid w:val="00FF751F"/>
    <w:rsid w:val="00FF77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5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147"/>
    <w:pPr>
      <w:widowControl w:val="0"/>
      <w:jc w:val="both"/>
    </w:pPr>
  </w:style>
  <w:style w:type="paragraph" w:styleId="1">
    <w:name w:val="heading 1"/>
    <w:aliases w:val="小标题"/>
    <w:basedOn w:val="a"/>
    <w:next w:val="a"/>
    <w:link w:val="1Char"/>
    <w:autoRedefine/>
    <w:uiPriority w:val="9"/>
    <w:rsid w:val="00A21A5A"/>
    <w:pPr>
      <w:keepNext/>
      <w:keepLines/>
      <w:widowControl/>
      <w:numPr>
        <w:numId w:val="6"/>
      </w:numPr>
      <w:spacing w:before="100" w:beforeAutospacing="1" w:afterLines="50"/>
      <w:ind w:leftChars="1200" w:left="1200"/>
      <w:outlineLvl w:val="0"/>
    </w:pPr>
    <w:rPr>
      <w:rFonts w:ascii="Calibri" w:eastAsia="华文楷体" w:hAnsi="Calibri" w:cs="Times New Roman"/>
      <w:b/>
      <w:bCs/>
      <w:kern w:val="44"/>
      <w:sz w:val="28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100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1000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00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0000"/>
    <w:rPr>
      <w:sz w:val="18"/>
      <w:szCs w:val="18"/>
    </w:rPr>
  </w:style>
  <w:style w:type="paragraph" w:customStyle="1" w:styleId="a5">
    <w:name w:val="页眉报告名称"/>
    <w:link w:val="Char1"/>
    <w:autoRedefine/>
    <w:qFormat/>
    <w:rsid w:val="00B10000"/>
    <w:pPr>
      <w:spacing w:afterLines="100" w:line="240" w:lineRule="exact"/>
      <w:jc w:val="both"/>
    </w:pPr>
    <w:rPr>
      <w:rFonts w:ascii="Calibri" w:eastAsia="华文新魏" w:hAnsi="Calibri" w:cs="Times New Roman"/>
      <w:sz w:val="24"/>
    </w:rPr>
  </w:style>
  <w:style w:type="character" w:customStyle="1" w:styleId="Char1">
    <w:name w:val="页眉报告名称 Char"/>
    <w:basedOn w:val="a0"/>
    <w:link w:val="a5"/>
    <w:rsid w:val="00B10000"/>
    <w:rPr>
      <w:rFonts w:ascii="Calibri" w:eastAsia="华文新魏" w:hAnsi="Calibri" w:cs="Times New Roman"/>
      <w:sz w:val="24"/>
    </w:rPr>
  </w:style>
  <w:style w:type="paragraph" w:customStyle="1" w:styleId="a6">
    <w:name w:val="页眉图片"/>
    <w:basedOn w:val="a3"/>
    <w:link w:val="Char2"/>
    <w:qFormat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rFonts w:ascii="Calibri" w:eastAsia="宋体" w:hAnsi="Calibri" w:cs="Times New Roman"/>
      <w:noProof/>
    </w:rPr>
  </w:style>
  <w:style w:type="character" w:customStyle="1" w:styleId="Char2">
    <w:name w:val="页眉图片 Char"/>
    <w:basedOn w:val="Char"/>
    <w:link w:val="a6"/>
    <w:rsid w:val="00B10000"/>
    <w:rPr>
      <w:rFonts w:ascii="Calibri" w:eastAsia="宋体" w:hAnsi="Calibri" w:cs="Times New Roman"/>
      <w:noProof/>
    </w:rPr>
  </w:style>
  <w:style w:type="paragraph" w:customStyle="1" w:styleId="a7">
    <w:name w:val="页眉处日期"/>
    <w:basedOn w:val="a"/>
    <w:link w:val="Char3"/>
    <w:qFormat/>
    <w:rsid w:val="00B10000"/>
    <w:pPr>
      <w:tabs>
        <w:tab w:val="right" w:pos="11424"/>
      </w:tabs>
      <w:snapToGrid w:val="0"/>
      <w:jc w:val="left"/>
    </w:pPr>
    <w:rPr>
      <w:rFonts w:ascii="华文隶书" w:eastAsia="华文隶书" w:hAnsi="Calibri" w:cs="Times New Roman"/>
      <w:b/>
      <w:sz w:val="24"/>
      <w:szCs w:val="24"/>
    </w:rPr>
  </w:style>
  <w:style w:type="paragraph" w:customStyle="1" w:styleId="a8">
    <w:name w:val="页眉副标题"/>
    <w:basedOn w:val="a"/>
    <w:link w:val="Char4"/>
    <w:qFormat/>
    <w:rsid w:val="00B10000"/>
    <w:pPr>
      <w:tabs>
        <w:tab w:val="right" w:pos="11424"/>
      </w:tabs>
      <w:snapToGrid w:val="0"/>
      <w:jc w:val="left"/>
    </w:pPr>
    <w:rPr>
      <w:rFonts w:ascii="华文隶书" w:eastAsia="华文隶书" w:hAnsi="Calibri" w:cs="Times New Roman"/>
      <w:sz w:val="36"/>
      <w:szCs w:val="36"/>
    </w:rPr>
  </w:style>
  <w:style w:type="character" w:customStyle="1" w:styleId="Char3">
    <w:name w:val="页眉处日期 Char"/>
    <w:basedOn w:val="a0"/>
    <w:link w:val="a7"/>
    <w:rsid w:val="00B10000"/>
    <w:rPr>
      <w:rFonts w:ascii="华文隶书" w:eastAsia="华文隶书" w:hAnsi="Calibri" w:cs="Times New Roman"/>
      <w:b/>
      <w:sz w:val="24"/>
      <w:szCs w:val="24"/>
    </w:rPr>
  </w:style>
  <w:style w:type="character" w:customStyle="1" w:styleId="Char4">
    <w:name w:val="页眉副标题 Char"/>
    <w:basedOn w:val="a0"/>
    <w:link w:val="a8"/>
    <w:rsid w:val="00B10000"/>
    <w:rPr>
      <w:rFonts w:ascii="华文隶书" w:eastAsia="华文隶书" w:hAnsi="Calibri" w:cs="Times New Roman"/>
      <w:sz w:val="36"/>
      <w:szCs w:val="36"/>
    </w:rPr>
  </w:style>
  <w:style w:type="paragraph" w:customStyle="1" w:styleId="a9">
    <w:name w:val="页眉的分析师"/>
    <w:basedOn w:val="a"/>
    <w:link w:val="Char5"/>
    <w:qFormat/>
    <w:rsid w:val="00B10000"/>
    <w:pPr>
      <w:tabs>
        <w:tab w:val="right" w:pos="11424"/>
      </w:tabs>
      <w:snapToGrid w:val="0"/>
      <w:spacing w:line="240" w:lineRule="exact"/>
      <w:jc w:val="right"/>
    </w:pPr>
    <w:rPr>
      <w:rFonts w:ascii="华文新魏" w:eastAsia="华文新魏" w:hAnsi="Calibri" w:cs="Times New Roman"/>
      <w:szCs w:val="21"/>
    </w:rPr>
  </w:style>
  <w:style w:type="character" w:customStyle="1" w:styleId="Char5">
    <w:name w:val="页眉的分析师 Char"/>
    <w:basedOn w:val="a0"/>
    <w:link w:val="a9"/>
    <w:rsid w:val="00B10000"/>
    <w:rPr>
      <w:rFonts w:ascii="华文新魏" w:eastAsia="华文新魏" w:hAnsi="Calibri" w:cs="Times New Roman"/>
      <w:szCs w:val="21"/>
    </w:rPr>
  </w:style>
  <w:style w:type="paragraph" w:customStyle="1" w:styleId="12">
    <w:name w:val="页眉12"/>
    <w:basedOn w:val="a3"/>
    <w:link w:val="12Char"/>
    <w:qFormat/>
    <w:rsid w:val="00B10000"/>
    <w:pPr>
      <w:pBdr>
        <w:bottom w:val="none" w:sz="0" w:space="0" w:color="auto"/>
      </w:pBdr>
      <w:tabs>
        <w:tab w:val="clear" w:pos="4153"/>
        <w:tab w:val="clear" w:pos="8306"/>
        <w:tab w:val="right" w:pos="11424"/>
      </w:tabs>
      <w:jc w:val="left"/>
    </w:pPr>
    <w:rPr>
      <w:rFonts w:ascii="Calibri" w:eastAsia="宋体" w:hAnsi="Calibri" w:cs="Times New Roman"/>
    </w:rPr>
  </w:style>
  <w:style w:type="character" w:customStyle="1" w:styleId="12Char">
    <w:name w:val="页眉12 Char"/>
    <w:basedOn w:val="Char"/>
    <w:link w:val="12"/>
    <w:rsid w:val="00B10000"/>
    <w:rPr>
      <w:rFonts w:ascii="Calibri" w:eastAsia="宋体" w:hAnsi="Calibri" w:cs="Times New Roman"/>
    </w:rPr>
  </w:style>
  <w:style w:type="paragraph" w:customStyle="1" w:styleId="2">
    <w:name w:val="页眉副标题2"/>
    <w:basedOn w:val="12"/>
    <w:link w:val="2Char"/>
    <w:qFormat/>
    <w:rsid w:val="00B10000"/>
    <w:pPr>
      <w:jc w:val="right"/>
    </w:pPr>
    <w:rPr>
      <w:rFonts w:ascii="华文隶书" w:eastAsia="华文隶书"/>
      <w:sz w:val="21"/>
      <w:szCs w:val="21"/>
    </w:rPr>
  </w:style>
  <w:style w:type="character" w:customStyle="1" w:styleId="2Char">
    <w:name w:val="页眉副标题2 Char"/>
    <w:basedOn w:val="12Char"/>
    <w:link w:val="2"/>
    <w:rsid w:val="00B10000"/>
    <w:rPr>
      <w:rFonts w:ascii="华文隶书" w:eastAsia="华文隶书"/>
      <w:szCs w:val="21"/>
    </w:rPr>
  </w:style>
  <w:style w:type="paragraph" w:customStyle="1" w:styleId="aa">
    <w:name w:val="特别声明格式"/>
    <w:basedOn w:val="a"/>
    <w:link w:val="Char6"/>
    <w:qFormat/>
    <w:rsid w:val="00B10000"/>
    <w:pPr>
      <w:spacing w:afterLines="100" w:line="240" w:lineRule="exact"/>
    </w:pPr>
    <w:rPr>
      <w:rFonts w:ascii="华文隶书" w:eastAsia="华文隶书" w:hAnsi="Calibri" w:cs="Times New Roman"/>
      <w:sz w:val="28"/>
    </w:rPr>
  </w:style>
  <w:style w:type="character" w:customStyle="1" w:styleId="Char6">
    <w:name w:val="特别声明格式 Char"/>
    <w:basedOn w:val="a0"/>
    <w:link w:val="aa"/>
    <w:rsid w:val="00B10000"/>
    <w:rPr>
      <w:rFonts w:ascii="华文隶书" w:eastAsia="华文隶书" w:hAnsi="Calibri" w:cs="Times New Roman"/>
      <w:sz w:val="28"/>
    </w:rPr>
  </w:style>
  <w:style w:type="paragraph" w:styleId="ab">
    <w:name w:val="Body Text"/>
    <w:basedOn w:val="a"/>
    <w:link w:val="Char7"/>
    <w:rsid w:val="00B10000"/>
    <w:pPr>
      <w:widowControl/>
      <w:spacing w:after="120" w:line="240" w:lineRule="exact"/>
      <w:ind w:left="3402"/>
    </w:pPr>
    <w:rPr>
      <w:rFonts w:ascii="Arial" w:eastAsia="楷体_GB2312" w:hAnsi="Arial" w:cs="Times New Roman"/>
      <w:color w:val="000000"/>
      <w:kern w:val="0"/>
      <w:szCs w:val="20"/>
      <w:lang w:val="en-GB"/>
    </w:rPr>
  </w:style>
  <w:style w:type="character" w:customStyle="1" w:styleId="Char7">
    <w:name w:val="正文文本 Char"/>
    <w:basedOn w:val="a0"/>
    <w:link w:val="ab"/>
    <w:rsid w:val="00B10000"/>
    <w:rPr>
      <w:rFonts w:ascii="Arial" w:eastAsia="楷体_GB2312" w:hAnsi="Arial" w:cs="Times New Roman"/>
      <w:color w:val="000000"/>
      <w:kern w:val="0"/>
      <w:szCs w:val="20"/>
      <w:lang w:val="en-GB"/>
    </w:rPr>
  </w:style>
  <w:style w:type="paragraph" w:customStyle="1" w:styleId="FootnoteNoline">
    <w:name w:val="FootnoteNoline"/>
    <w:basedOn w:val="a"/>
    <w:next w:val="ab"/>
    <w:rsid w:val="008840A4"/>
    <w:pPr>
      <w:widowControl/>
      <w:tabs>
        <w:tab w:val="right" w:pos="10065"/>
      </w:tabs>
      <w:spacing w:before="40" w:after="160"/>
      <w:ind w:left="3402"/>
    </w:pPr>
    <w:rPr>
      <w:rFonts w:ascii="Arial" w:eastAsia="楷体_GB2312" w:hAnsi="Arial" w:cs="Arial"/>
      <w:color w:val="003765"/>
      <w:kern w:val="0"/>
      <w:sz w:val="15"/>
      <w:szCs w:val="14"/>
      <w:lang w:val="en-GB"/>
    </w:rPr>
  </w:style>
  <w:style w:type="paragraph" w:customStyle="1" w:styleId="SubTitleLargeTable">
    <w:name w:val="SubTitleLargeTable"/>
    <w:rsid w:val="008840A4"/>
    <w:pPr>
      <w:keepNext/>
      <w:pBdr>
        <w:top w:val="single" w:sz="6" w:space="1" w:color="666699"/>
      </w:pBdr>
      <w:suppressAutoHyphens/>
      <w:spacing w:after="40" w:line="240" w:lineRule="atLeast"/>
    </w:pPr>
    <w:rPr>
      <w:rFonts w:ascii="Arial" w:eastAsia="楷体_GB2312" w:hAnsi="Arial" w:cs="Arial"/>
      <w:b/>
      <w:bCs/>
      <w:i/>
      <w:iCs/>
      <w:color w:val="003765"/>
      <w:kern w:val="0"/>
      <w:szCs w:val="21"/>
      <w:lang w:val="en-GB"/>
    </w:rPr>
  </w:style>
  <w:style w:type="paragraph" w:styleId="ac">
    <w:name w:val="Balloon Text"/>
    <w:basedOn w:val="a"/>
    <w:link w:val="Char8"/>
    <w:uiPriority w:val="99"/>
    <w:semiHidden/>
    <w:unhideWhenUsed/>
    <w:rsid w:val="008840A4"/>
    <w:rPr>
      <w:sz w:val="18"/>
      <w:szCs w:val="18"/>
    </w:rPr>
  </w:style>
  <w:style w:type="character" w:customStyle="1" w:styleId="Char8">
    <w:name w:val="批注框文本 Char"/>
    <w:basedOn w:val="a0"/>
    <w:link w:val="ac"/>
    <w:uiPriority w:val="99"/>
    <w:semiHidden/>
    <w:rsid w:val="008840A4"/>
    <w:rPr>
      <w:sz w:val="18"/>
      <w:szCs w:val="18"/>
    </w:rPr>
  </w:style>
  <w:style w:type="paragraph" w:customStyle="1" w:styleId="CoverBullet">
    <w:name w:val="Cover Bullet"/>
    <w:rsid w:val="008840A4"/>
    <w:pPr>
      <w:numPr>
        <w:numId w:val="3"/>
      </w:numPr>
      <w:spacing w:before="120" w:after="120"/>
      <w:ind w:left="357" w:hanging="357"/>
    </w:pPr>
    <w:rPr>
      <w:rFonts w:ascii="LucidaSans" w:eastAsia="宋体" w:hAnsi="LucidaSans" w:cs="Times New Roman"/>
      <w:b/>
      <w:bCs/>
      <w:kern w:val="0"/>
      <w:sz w:val="20"/>
      <w:szCs w:val="20"/>
      <w:lang w:val="en-GB"/>
    </w:rPr>
  </w:style>
  <w:style w:type="paragraph" w:styleId="ad">
    <w:name w:val="List Paragraph"/>
    <w:basedOn w:val="a"/>
    <w:uiPriority w:val="34"/>
    <w:qFormat/>
    <w:rsid w:val="00026FF9"/>
    <w:pPr>
      <w:ind w:firstLineChars="200" w:firstLine="420"/>
    </w:pPr>
  </w:style>
  <w:style w:type="paragraph" w:customStyle="1" w:styleId="SourceLarge">
    <w:name w:val="SourceLarge"/>
    <w:rsid w:val="00611ADA"/>
    <w:pPr>
      <w:tabs>
        <w:tab w:val="left" w:pos="5216"/>
        <w:tab w:val="right" w:pos="9866"/>
      </w:tabs>
      <w:suppressAutoHyphens/>
      <w:spacing w:line="160" w:lineRule="atLeast"/>
    </w:pPr>
    <w:rPr>
      <w:rFonts w:ascii="LucidaSans" w:eastAsia="宋体" w:hAnsi="LucidaSans" w:cs="Times New Roman"/>
      <w:kern w:val="0"/>
      <w:sz w:val="12"/>
      <w:szCs w:val="12"/>
      <w:lang w:val="en-GB"/>
    </w:rPr>
  </w:style>
  <w:style w:type="paragraph" w:customStyle="1" w:styleId="BulletCoverpage">
    <w:name w:val="Bullet Cover page"/>
    <w:basedOn w:val="a"/>
    <w:rsid w:val="00611ADA"/>
    <w:pPr>
      <w:widowControl/>
      <w:numPr>
        <w:numId w:val="4"/>
      </w:numPr>
      <w:suppressAutoHyphens/>
      <w:spacing w:after="200" w:line="240" w:lineRule="atLeast"/>
    </w:pPr>
    <w:rPr>
      <w:rFonts w:ascii="Arial" w:eastAsia="楷体_GB2312" w:hAnsi="Arial" w:cs="Times New Roman"/>
      <w:kern w:val="0"/>
      <w:sz w:val="18"/>
      <w:szCs w:val="20"/>
      <w:lang w:val="en-GB"/>
    </w:rPr>
  </w:style>
  <w:style w:type="paragraph" w:customStyle="1" w:styleId="10">
    <w:name w:val="模板标题1"/>
    <w:basedOn w:val="a"/>
    <w:next w:val="ab"/>
    <w:rsid w:val="00611ADA"/>
    <w:pPr>
      <w:widowControl/>
      <w:spacing w:after="240" w:line="300" w:lineRule="exact"/>
      <w:ind w:left="3402"/>
      <w:outlineLvl w:val="0"/>
    </w:pPr>
    <w:rPr>
      <w:rFonts w:ascii="Arial" w:eastAsia="楷体_GB2312" w:hAnsi="Arial" w:cs="Times New Roman"/>
      <w:b/>
      <w:bCs/>
      <w:color w:val="01659D"/>
      <w:kern w:val="0"/>
      <w:sz w:val="24"/>
      <w:szCs w:val="20"/>
      <w:lang w:val="en-GB"/>
    </w:rPr>
  </w:style>
  <w:style w:type="character" w:customStyle="1" w:styleId="1Char">
    <w:name w:val="标题 1 Char"/>
    <w:aliases w:val="小标题 Char"/>
    <w:basedOn w:val="a0"/>
    <w:link w:val="1"/>
    <w:uiPriority w:val="9"/>
    <w:rsid w:val="00A21A5A"/>
    <w:rPr>
      <w:rFonts w:ascii="Calibri" w:eastAsia="华文楷体" w:hAnsi="Calibri" w:cs="Times New Roman"/>
      <w:b/>
      <w:bCs/>
      <w:kern w:val="44"/>
      <w:sz w:val="28"/>
      <w:szCs w:val="44"/>
    </w:rPr>
  </w:style>
  <w:style w:type="paragraph" w:customStyle="1" w:styleId="ae">
    <w:name w:val="正文内容"/>
    <w:basedOn w:val="ab"/>
    <w:link w:val="Char9"/>
    <w:qFormat/>
    <w:rsid w:val="00A21A5A"/>
    <w:pPr>
      <w:tabs>
        <w:tab w:val="num" w:pos="3799"/>
      </w:tabs>
      <w:spacing w:after="163"/>
      <w:ind w:left="3799" w:hanging="369"/>
    </w:pPr>
    <w:rPr>
      <w:rFonts w:ascii="KaiTi_GB2312" w:eastAsia="KaiTi_GB2312" w:hAnsi="KaiTi_GB2312"/>
      <w:color w:val="auto"/>
    </w:rPr>
  </w:style>
  <w:style w:type="character" w:customStyle="1" w:styleId="Char9">
    <w:name w:val="正文内容 Char"/>
    <w:basedOn w:val="Char7"/>
    <w:link w:val="ae"/>
    <w:rsid w:val="00A21A5A"/>
    <w:rPr>
      <w:rFonts w:ascii="KaiTi_GB2312" w:eastAsia="KaiTi_GB2312" w:hAnsi="KaiTi_GB2312"/>
    </w:rPr>
  </w:style>
  <w:style w:type="paragraph" w:customStyle="1" w:styleId="af">
    <w:name w:val="正文小标题"/>
    <w:basedOn w:val="ab"/>
    <w:link w:val="Chara"/>
    <w:qFormat/>
    <w:rsid w:val="00A21A5A"/>
    <w:pPr>
      <w:spacing w:after="0"/>
    </w:pPr>
    <w:rPr>
      <w:rFonts w:ascii="KaiTi_GB2312" w:eastAsia="KaiTi_GB2312" w:hAnsi="KaiTi_GB2312"/>
      <w:b/>
      <w:bCs/>
      <w:color w:val="0070C0"/>
      <w:szCs w:val="21"/>
      <w:lang w:val="en-US"/>
    </w:rPr>
  </w:style>
  <w:style w:type="character" w:customStyle="1" w:styleId="Chara">
    <w:name w:val="正文小标题 Char"/>
    <w:basedOn w:val="Char7"/>
    <w:link w:val="af"/>
    <w:rsid w:val="00A21A5A"/>
    <w:rPr>
      <w:rFonts w:ascii="KaiTi_GB2312" w:eastAsia="KaiTi_GB2312" w:hAnsi="KaiTi_GB2312"/>
      <w:b/>
      <w:bCs/>
      <w:color w:val="0070C0"/>
      <w:szCs w:val="21"/>
    </w:rPr>
  </w:style>
  <w:style w:type="character" w:styleId="af0">
    <w:name w:val="Hyperlink"/>
    <w:basedOn w:val="a0"/>
    <w:uiPriority w:val="99"/>
    <w:semiHidden/>
    <w:unhideWhenUsed/>
    <w:rsid w:val="006F4A62"/>
    <w:rPr>
      <w:strike w:val="0"/>
      <w:dstrike w:val="0"/>
      <w:color w:val="072885"/>
      <w:u w:val="none"/>
      <w:effect w:val="none"/>
    </w:rPr>
  </w:style>
  <w:style w:type="paragraph" w:styleId="af1">
    <w:name w:val="Normal (Web)"/>
    <w:basedOn w:val="a"/>
    <w:uiPriority w:val="99"/>
    <w:unhideWhenUsed/>
    <w:rsid w:val="00413A9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7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8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1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7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5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3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1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8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84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8427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95995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10207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46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6817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99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38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2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7776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184706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52864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2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8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13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2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56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6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47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7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49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79410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185126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837417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38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3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9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7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8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19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39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63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5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9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4460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93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55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5158">
      <w:bodyDiv w:val="1"/>
      <w:marLeft w:val="180"/>
      <w:marRight w:val="180"/>
      <w:marTop w:val="180"/>
      <w:marBottom w:val="18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22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7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0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3514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0D8F2"/>
                        <w:left w:val="single" w:sz="6" w:space="18" w:color="C0D8F2"/>
                        <w:bottom w:val="single" w:sz="6" w:space="11" w:color="C0D8F2"/>
                        <w:right w:val="single" w:sz="6" w:space="18" w:color="C0D8F2"/>
                      </w:divBdr>
                      <w:divsChild>
                        <w:div w:id="31707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741438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49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36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479D9A-6CB9-4055-BFE8-CDD88AF5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9314</TotalTime>
  <Pages>5</Pages>
  <Words>1022</Words>
  <Characters>5826</Characters>
  <Application>Microsoft Office Word</Application>
  <DocSecurity>0</DocSecurity>
  <Lines>48</Lines>
  <Paragraphs>13</Paragraphs>
  <ScaleCrop>false</ScaleCrop>
  <Company/>
  <LinksUpToDate>false</LinksUpToDate>
  <CharactersWithSpaces>6835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shanghai vstone</dc:creator>
  <cp:lastModifiedBy>wanxw</cp:lastModifiedBy>
  <cp:revision>597</cp:revision>
  <dcterms:created xsi:type="dcterms:W3CDTF">2014-09-02T02:32:00Z</dcterms:created>
  <dcterms:modified xsi:type="dcterms:W3CDTF">2015-03-16T08:23:00Z</dcterms:modified>
</cp:coreProperties>
</file>