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0" w:rsidRDefault="00B73F2E" w:rsidP="006A5488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/>
          <w:b/>
          <w:bCs/>
          <w:noProof/>
          <w:color w:val="0070C0"/>
          <w:kern w:val="0"/>
          <w:sz w:val="24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.5pt;margin-top:279.2pt;width:148.5pt;height:275.6pt;z-index:251658240;mso-width-relative:margin;mso-height-relative:margin" strokecolor="white [3212]" strokeweight="0">
            <v:stroke dashstyle="1 1" endcap="round"/>
            <v:textbox style="mso-next-textbox:#_x0000_s2051">
              <w:txbxContent>
                <w:p w:rsidR="00E0159E" w:rsidRPr="00635482" w:rsidRDefault="00E0159E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  <w:r w:rsidRPr="00635482">
                    <w:rPr>
                      <w:rFonts w:ascii="楷体" w:eastAsia="楷体" w:hAnsi="楷体"/>
                      <w:b/>
                      <w:lang w:val="en-GB"/>
                    </w:rPr>
                    <w:t>凯石工场移动平台</w:t>
                  </w:r>
                  <w:r w:rsidRPr="00635482">
                    <w:rPr>
                      <w:rFonts w:ascii="楷体" w:eastAsia="楷体" w:hAnsi="楷体" w:hint="eastAsia"/>
                      <w:b/>
                      <w:lang w:val="en-GB"/>
                    </w:rPr>
                    <w:t>：</w:t>
                  </w:r>
                </w:p>
                <w:p w:rsidR="00E0159E" w:rsidRPr="00635482" w:rsidRDefault="00E0159E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</w:p>
                <w:p w:rsidR="00E0159E" w:rsidRPr="00635482" w:rsidRDefault="00E0159E" w:rsidP="005B0E69"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官方微博：</w:t>
                  </w:r>
                </w:p>
                <w:p w:rsidR="00E0159E" w:rsidRPr="00635482" w:rsidRDefault="00E0159E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凯石财富工场</w:t>
                  </w:r>
                </w:p>
                <w:p w:rsidR="00E0159E" w:rsidRDefault="00E0159E" w:rsidP="005B0E69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933450" cy="933450"/>
                        <wp:effectExtent l="19050" t="0" r="0" b="0"/>
                        <wp:docPr id="6" name="图片 5" descr="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450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159E" w:rsidRDefault="00E0159E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</w:p>
                <w:p w:rsidR="00E0159E" w:rsidRPr="00635482" w:rsidRDefault="00E0159E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官方微信：</w:t>
                  </w:r>
                </w:p>
                <w:p w:rsidR="00E0159E" w:rsidRPr="00635482" w:rsidRDefault="00E0159E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凯石财富知音订阅号</w:t>
                  </w:r>
                </w:p>
                <w:p w:rsidR="00E0159E" w:rsidRDefault="00E0159E" w:rsidP="005B0E69">
                  <w:r w:rsidRPr="00635482">
                    <w:rPr>
                      <w:rFonts w:ascii="楷体" w:eastAsia="楷体" w:hAnsi="楷体"/>
                      <w:b/>
                      <w:noProof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" name="图片 7" descr="凯石财富知音订阅号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凯石财富知音订阅号3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26FF9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导语</w:t>
      </w:r>
    </w:p>
    <w:p w:rsidR="000F0BB0" w:rsidRPr="0063118A" w:rsidRDefault="00F41350" w:rsidP="00392966">
      <w:pPr>
        <w:pStyle w:val="ab"/>
        <w:spacing w:after="163"/>
        <w:ind w:firstLineChars="200" w:firstLine="420"/>
        <w:rPr>
          <w:rFonts w:ascii="楷体" w:eastAsia="楷体" w:hAnsi="楷体" w:cs="宋体"/>
          <w:color w:val="000000" w:themeColor="text1"/>
          <w:szCs w:val="21"/>
        </w:rPr>
      </w:pPr>
      <w:r w:rsidRPr="0063118A">
        <w:rPr>
          <w:rFonts w:ascii="楷体" w:eastAsia="楷体" w:hAnsi="楷体" w:hint="eastAsia"/>
          <w:szCs w:val="21"/>
        </w:rPr>
        <w:t>上周（</w:t>
      </w:r>
      <w:r w:rsidR="005565BB" w:rsidRPr="0063118A">
        <w:rPr>
          <w:rFonts w:ascii="楷体" w:eastAsia="楷体" w:hAnsi="楷体" w:hint="eastAsia"/>
          <w:szCs w:val="21"/>
        </w:rPr>
        <w:t>2015.3.2~3</w:t>
      </w:r>
      <w:r w:rsidR="00BC2960" w:rsidRPr="0063118A">
        <w:rPr>
          <w:rFonts w:ascii="楷体" w:eastAsia="楷体" w:hAnsi="楷体" w:hint="eastAsia"/>
          <w:szCs w:val="21"/>
        </w:rPr>
        <w:t>.6</w:t>
      </w:r>
      <w:r w:rsidR="001544A8" w:rsidRPr="0063118A">
        <w:rPr>
          <w:rFonts w:ascii="楷体" w:eastAsia="楷体" w:hAnsi="楷体" w:hint="eastAsia"/>
          <w:szCs w:val="21"/>
        </w:rPr>
        <w:t>）</w:t>
      </w:r>
      <w:r w:rsidR="00175ED7" w:rsidRPr="0063118A">
        <w:rPr>
          <w:rFonts w:ascii="楷体" w:eastAsia="楷体" w:hAnsi="楷体" w:hint="eastAsia"/>
          <w:szCs w:val="21"/>
        </w:rPr>
        <w:t>，</w:t>
      </w:r>
      <w:r w:rsidR="00F326FA" w:rsidRPr="0063118A">
        <w:rPr>
          <w:rFonts w:ascii="楷体" w:eastAsia="楷体" w:hAnsi="楷体" w:cs="宋体" w:hint="eastAsia"/>
          <w:color w:val="000000" w:themeColor="text1"/>
          <w:szCs w:val="21"/>
        </w:rPr>
        <w:t>大盘节节败退，创业板震荡攀高，两会相关的</w:t>
      </w:r>
      <w:r w:rsidR="00F326FA" w:rsidRPr="0063118A">
        <w:rPr>
          <w:rFonts w:ascii="ˎ̥" w:hAnsi="ˎ̥"/>
          <w:szCs w:val="21"/>
        </w:rPr>
        <w:t>题材股的行情</w:t>
      </w:r>
      <w:r w:rsidR="00F326FA" w:rsidRPr="0063118A">
        <w:rPr>
          <w:rFonts w:ascii="ˎ̥" w:hAnsi="ˎ̥" w:hint="eastAsia"/>
          <w:szCs w:val="21"/>
        </w:rPr>
        <w:t>较好。整周来看，</w:t>
      </w:r>
      <w:r w:rsidR="00F326FA" w:rsidRPr="0063118A">
        <w:rPr>
          <w:rFonts w:ascii="楷体" w:eastAsia="楷体" w:hAnsi="楷体" w:cs="宋体" w:hint="eastAsia"/>
          <w:color w:val="000000" w:themeColor="text1"/>
          <w:szCs w:val="21"/>
        </w:rPr>
        <w:t>上证指数下跌2.09%，沪深300下跌2.64%，中小板指上涨0.15%%，创业板指上涨1.21%。29个中信一级行业有18个上涨，有色金属（4.52%）和纺织服装（4.24%）涨幅靠前，非银行金融（-4.90%）和银行（-5.05%）垫底。经济数据方面，我国2月CPI同比上涨1.4%，其中，城市上涨1.5%，农村上涨1.2%，食品价格上涨2.4%，非食品价格上涨0.9%，消费品价格上涨1.1%，服务价格上涨2.2%。</w:t>
      </w:r>
      <w:r w:rsidR="00DE2E3B" w:rsidRPr="0063118A">
        <w:rPr>
          <w:rFonts w:ascii="楷体" w:eastAsia="楷体" w:hAnsi="楷体" w:cs="宋体" w:hint="eastAsia"/>
          <w:color w:val="000000" w:themeColor="text1"/>
          <w:szCs w:val="21"/>
        </w:rPr>
        <w:t>海外市场（</w:t>
      </w:r>
      <w:r w:rsidR="005565BB" w:rsidRPr="0063118A">
        <w:rPr>
          <w:rFonts w:ascii="楷体" w:eastAsia="楷体" w:hAnsi="楷体" w:cs="宋体" w:hint="eastAsia"/>
          <w:color w:val="000000" w:themeColor="text1"/>
          <w:szCs w:val="21"/>
        </w:rPr>
        <w:t>2015.2.27~2015.3.5</w:t>
      </w:r>
      <w:r w:rsidR="00DE2E3B" w:rsidRPr="0063118A">
        <w:rPr>
          <w:rFonts w:ascii="楷体" w:eastAsia="楷体" w:hAnsi="楷体" w:cs="宋体" w:hint="eastAsia"/>
          <w:color w:val="000000" w:themeColor="text1"/>
          <w:szCs w:val="21"/>
        </w:rPr>
        <w:t>）</w:t>
      </w:r>
      <w:r w:rsidR="00F326FA" w:rsidRPr="0063118A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F326FA" w:rsidRPr="0063118A">
        <w:rPr>
          <w:rFonts w:ascii="ˎ̥" w:hAnsi="ˎ̥"/>
          <w:szCs w:val="21"/>
        </w:rPr>
        <w:t>美国劳工部称，</w:t>
      </w:r>
      <w:r w:rsidR="00F326FA" w:rsidRPr="0063118A">
        <w:rPr>
          <w:rFonts w:ascii="ˎ̥" w:hAnsi="ˎ̥"/>
          <w:szCs w:val="21"/>
        </w:rPr>
        <w:t>2</w:t>
      </w:r>
      <w:r w:rsidR="00F326FA" w:rsidRPr="0063118A">
        <w:rPr>
          <w:rFonts w:ascii="ˎ̥" w:hAnsi="ˎ̥"/>
          <w:szCs w:val="21"/>
        </w:rPr>
        <w:t>月份非农就业人数增加</w:t>
      </w:r>
      <w:r w:rsidR="00F326FA" w:rsidRPr="0063118A">
        <w:rPr>
          <w:rFonts w:ascii="ˎ̥" w:hAnsi="ˎ̥"/>
          <w:szCs w:val="21"/>
        </w:rPr>
        <w:t>29.5</w:t>
      </w:r>
      <w:r w:rsidR="00F326FA" w:rsidRPr="0063118A">
        <w:rPr>
          <w:rFonts w:ascii="ˎ̥" w:hAnsi="ˎ̥"/>
          <w:szCs w:val="21"/>
        </w:rPr>
        <w:t>万人，失业率降至</w:t>
      </w:r>
      <w:r w:rsidR="00F326FA" w:rsidRPr="0063118A">
        <w:rPr>
          <w:rFonts w:ascii="ˎ̥" w:hAnsi="ˎ̥"/>
          <w:szCs w:val="21"/>
        </w:rPr>
        <w:t>5.5%</w:t>
      </w:r>
      <w:r w:rsidR="00F326FA" w:rsidRPr="0063118A">
        <w:rPr>
          <w:rFonts w:ascii="ˎ̥" w:hAnsi="ˎ̥" w:hint="eastAsia"/>
          <w:szCs w:val="21"/>
        </w:rPr>
        <w:t>，</w:t>
      </w:r>
      <w:r w:rsidR="00F326FA" w:rsidRPr="0063118A">
        <w:rPr>
          <w:rFonts w:ascii="ˎ̥" w:hAnsi="ˎ̥"/>
          <w:szCs w:val="21"/>
        </w:rPr>
        <w:t>但工资增长仍较缓慢</w:t>
      </w:r>
      <w:r w:rsidR="00F326FA" w:rsidRPr="0063118A">
        <w:rPr>
          <w:rFonts w:ascii="ˎ̥" w:hAnsi="ˎ̥" w:hint="eastAsia"/>
          <w:szCs w:val="21"/>
        </w:rPr>
        <w:t>。美股三大股指全部收跌，</w:t>
      </w:r>
      <w:r w:rsidR="00F326FA" w:rsidRPr="0063118A">
        <w:rPr>
          <w:rFonts w:ascii="楷体" w:eastAsia="楷体" w:hAnsi="楷体" w:hint="eastAsia"/>
          <w:color w:val="000000" w:themeColor="text1"/>
          <w:szCs w:val="21"/>
        </w:rPr>
        <w:t>道琼斯工指跌0.43%，标普500跌0.46%，</w:t>
      </w:r>
      <w:r w:rsidR="00F326FA" w:rsidRPr="0063118A">
        <w:rPr>
          <w:rFonts w:ascii="楷体" w:eastAsia="楷体" w:hAnsi="楷体" w:cs="宋体" w:hint="eastAsia"/>
          <w:color w:val="000000" w:themeColor="text1"/>
          <w:szCs w:val="21"/>
        </w:rPr>
        <w:t>纳斯达克100跌0.23%。欧元区Markit采购经理人综合指数的2月终值是53.3，略低于初值53.5，显示行业扩张趋势仍在。香港方面，深港通下半年开通的预期进一步升温，但港股表现仍然疲弱，周跌幅为2.85%</w:t>
      </w:r>
      <w:r w:rsidR="00175ED7" w:rsidRPr="0063118A">
        <w:rPr>
          <w:rFonts w:ascii="楷体" w:eastAsia="楷体" w:hAnsi="楷体" w:cs="宋体" w:hint="eastAsia"/>
          <w:color w:val="000000" w:themeColor="text1"/>
          <w:szCs w:val="21"/>
        </w:rPr>
        <w:t>。</w:t>
      </w:r>
    </w:p>
    <w:p w:rsidR="000F0BB0" w:rsidRPr="0063118A" w:rsidRDefault="005519CB" w:rsidP="00587393">
      <w:pPr>
        <w:pStyle w:val="ab"/>
        <w:spacing w:after="163"/>
        <w:ind w:firstLineChars="200" w:firstLine="420"/>
        <w:rPr>
          <w:rFonts w:ascii="楷体" w:eastAsia="楷体" w:hAnsi="楷体"/>
          <w:szCs w:val="21"/>
        </w:rPr>
      </w:pPr>
      <w:r w:rsidRPr="0063118A">
        <w:rPr>
          <w:rFonts w:ascii="楷体" w:eastAsia="楷体" w:hAnsi="楷体" w:hint="eastAsia"/>
          <w:szCs w:val="21"/>
        </w:rPr>
        <w:t>凯石工场统计的各类公募基金中</w:t>
      </w:r>
      <w:r w:rsidR="00DE2E3B" w:rsidRPr="0063118A">
        <w:rPr>
          <w:rFonts w:ascii="楷体" w:eastAsia="楷体" w:hAnsi="楷体" w:hint="eastAsia"/>
          <w:szCs w:val="21"/>
        </w:rPr>
        <w:t>，</w:t>
      </w:r>
      <w:r w:rsidR="00FE0215" w:rsidRPr="0063118A">
        <w:rPr>
          <w:rFonts w:ascii="楷体" w:eastAsia="楷体" w:hAnsi="楷体" w:cs="Arial" w:hint="eastAsia"/>
          <w:color w:val="000000" w:themeColor="text1"/>
          <w:szCs w:val="21"/>
        </w:rPr>
        <w:t>权益类基金和固定收益类基金收益普遍回调。分类来看，股票-主动型基金微涨，股票-指数型基金下跌；混合-偏股型和混合-灵活型微涨，混合-偏债型微跌；QDII仅四分之一产品上涨，新兴市场基金跌幅较大，全球市场基金收益居中，QDII-债券较其他品种收益靠前；债券基金中，除理财债券收益率均值保持为0.09%，其他各类产品收益率均值皆为负，可转债基跌幅最大，指数债基跌幅其次，一级债基和二级债基表现相近，纯债基金微跌</w:t>
      </w:r>
      <w:r w:rsidR="00B81513" w:rsidRPr="0063118A">
        <w:rPr>
          <w:rFonts w:ascii="楷体" w:eastAsia="楷体" w:hAnsi="楷体" w:cs="Arial" w:hint="eastAsia"/>
          <w:color w:val="000000" w:themeColor="text1"/>
          <w:szCs w:val="21"/>
        </w:rPr>
        <w:t>。</w:t>
      </w:r>
      <w:r w:rsidR="00175ED7" w:rsidRPr="0063118A">
        <w:rPr>
          <w:rFonts w:ascii="楷体" w:eastAsia="楷体" w:hAnsi="楷体" w:hint="eastAsia"/>
          <w:szCs w:val="21"/>
        </w:rPr>
        <w:t>产品方面，</w:t>
      </w:r>
      <w:r w:rsidR="0063118A" w:rsidRPr="0063118A">
        <w:rPr>
          <w:rFonts w:ascii="楷体" w:eastAsia="楷体" w:hAnsi="楷体" w:hint="eastAsia"/>
          <w:szCs w:val="21"/>
        </w:rPr>
        <w:t>大摩进取优选、富国医疗保健行业、新华鑫益、长盛同丰、大摩多元收益C、信诚中证800有色B和国开泰富货币B</w:t>
      </w:r>
      <w:r w:rsidR="00CE32DB" w:rsidRPr="0063118A">
        <w:rPr>
          <w:rFonts w:ascii="楷体" w:eastAsia="楷体" w:hAnsi="楷体" w:hint="eastAsia"/>
          <w:szCs w:val="21"/>
        </w:rPr>
        <w:t>等业绩居前。</w:t>
      </w:r>
    </w:p>
    <w:p w:rsidR="0069249C" w:rsidRPr="005B7CDB" w:rsidRDefault="0069249C" w:rsidP="002D7B70">
      <w:pPr>
        <w:widowControl/>
        <w:spacing w:after="120"/>
        <w:ind w:left="3402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凯石工场本周基金</w:t>
      </w:r>
      <w:r w:rsidR="001B1A86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投资</w:t>
      </w: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策略：</w:t>
      </w:r>
    </w:p>
    <w:p w:rsidR="004B58D7" w:rsidRPr="003311C4" w:rsidRDefault="004B58D7" w:rsidP="003311C4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 w:rsidRPr="00D823CC">
        <w:rPr>
          <w:rFonts w:ascii="楷体" w:eastAsia="楷体" w:hAnsi="楷体"/>
          <w:color w:val="000000" w:themeColor="text1"/>
          <w:szCs w:val="21"/>
        </w:rPr>
        <w:t>权益类基金</w:t>
      </w:r>
      <w:r w:rsidR="00FE4604" w:rsidRPr="00D823CC">
        <w:rPr>
          <w:rFonts w:ascii="楷体" w:eastAsia="楷体" w:hAnsi="楷体" w:hint="eastAsia"/>
          <w:color w:val="000000" w:themeColor="text1"/>
          <w:szCs w:val="21"/>
        </w:rPr>
        <w:t>：</w:t>
      </w:r>
      <w:r w:rsidR="00A475FA" w:rsidRPr="00A475FA">
        <w:rPr>
          <w:rFonts w:ascii="楷体" w:eastAsia="楷体" w:hAnsi="楷体" w:hint="eastAsia"/>
          <w:color w:val="000000" w:themeColor="text1"/>
          <w:szCs w:val="21"/>
        </w:rPr>
        <w:t>短期而言，降息举措在市场中已提前反应，因而针对单次措施不宜过度解读，两会环境有望带动主题投资兴起，但随着会议落幕中创板块、题材股存在回调压力，降息背景下大盘蓝筹或存阶段性表现机会，综合来看A股市场大概率保持震荡格局，期间穿插热点轮动。就权益类基金投资而言，建议投资者稳健为先，灵活为辅，对仓位水平适中、行业配置相对均衡、长期业绩优异、投资管理能力较强的平衡风格基金配置力度，另一方面优选热点捕捉能力较强、行业及仓位调整灵活的灵活配置型产品，达到把握市场轮动特征、攻守相宜的配置效果。考虑到两会窗口开启，市场热点主题活跃，通过行业或主题型产品对相关机会予以把握，但要注意会后获利回吐风险</w:t>
      </w:r>
      <w:r w:rsidR="006C7AD7" w:rsidRPr="006C7AD7">
        <w:rPr>
          <w:rFonts w:ascii="楷体" w:eastAsia="楷体" w:hAnsi="楷体"/>
          <w:color w:val="000000" w:themeColor="text1"/>
          <w:szCs w:val="21"/>
        </w:rPr>
        <w:t xml:space="preserve"> </w:t>
      </w:r>
      <w:r w:rsidR="006C7AD7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4B58D7" w:rsidRPr="00D823CC" w:rsidRDefault="004B58D7" w:rsidP="004B58D7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 w:rsidRPr="00D823CC">
        <w:rPr>
          <w:rFonts w:ascii="楷体" w:eastAsia="楷体" w:hAnsi="楷体"/>
          <w:color w:val="000000" w:themeColor="text1"/>
          <w:szCs w:val="21"/>
        </w:rPr>
        <w:t>固定收益类基金</w:t>
      </w:r>
      <w:r w:rsidR="009C3818" w:rsidRPr="00D823CC">
        <w:rPr>
          <w:rFonts w:ascii="楷体" w:eastAsia="楷体" w:hAnsi="楷体" w:hint="eastAsia"/>
          <w:color w:val="000000" w:themeColor="text1"/>
          <w:szCs w:val="21"/>
        </w:rPr>
        <w:t>：</w:t>
      </w:r>
      <w:r w:rsidR="00A475FA" w:rsidRPr="00A475FA">
        <w:rPr>
          <w:rFonts w:ascii="楷体" w:eastAsia="楷体" w:hAnsi="楷体" w:hint="eastAsia"/>
          <w:color w:val="000000" w:themeColor="text1"/>
          <w:szCs w:val="21"/>
        </w:rPr>
        <w:t>在3月投资策略中我们提到，降息政策落地、债市扩容压力增大、中长期股市向好趋势未现实质性动摇，叠加IPO打新对债市资金面造成分流压力，短期来看我们对债市仍持谨慎态度。债基投资方面，可先采取相对中性的配置策略，在维持中性防御的基础上，再根据经济基本面、市场流动性等等因素的变化，适度灵活调整配置结构。在期限结构方面，建议降低组合久期水平，减少风险暴露空间。对于风险承受能力较强的投资者，在适当配置二级债基通过股票市场增厚收益的同时，建议搭配货币市场基金产品平滑组合风险</w:t>
      </w:r>
      <w:r w:rsidR="00B2019E" w:rsidRPr="00D823CC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3B558B" w:rsidRPr="00BF22DA" w:rsidRDefault="00AE4AC9" w:rsidP="00BF22DA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/>
          <w:color w:val="000000" w:themeColor="text1"/>
          <w:szCs w:val="21"/>
        </w:rPr>
        <w:t>QDI</w:t>
      </w:r>
      <w:r>
        <w:rPr>
          <w:rFonts w:ascii="楷体" w:eastAsia="楷体" w:hAnsi="楷体" w:hint="eastAsia"/>
          <w:color w:val="000000" w:themeColor="text1"/>
          <w:szCs w:val="21"/>
        </w:rPr>
        <w:t>I</w:t>
      </w:r>
      <w:r w:rsidR="00BE4124" w:rsidRPr="00AE4AC9">
        <w:rPr>
          <w:rFonts w:ascii="楷体" w:eastAsia="楷体" w:hAnsi="楷体"/>
          <w:color w:val="000000" w:themeColor="text1"/>
          <w:szCs w:val="21"/>
        </w:rPr>
        <w:t>基金</w:t>
      </w:r>
      <w:r w:rsidR="00B2019E" w:rsidRPr="00AE4AC9">
        <w:rPr>
          <w:rFonts w:ascii="楷体" w:eastAsia="楷体" w:hAnsi="楷体" w:hint="eastAsia"/>
          <w:color w:val="000000" w:themeColor="text1"/>
          <w:szCs w:val="21"/>
        </w:rPr>
        <w:t>：</w:t>
      </w:r>
      <w:r w:rsidR="00355D2E" w:rsidRPr="00721EA2">
        <w:rPr>
          <w:rFonts w:ascii="楷体" w:eastAsia="楷体" w:hAnsi="楷体" w:hint="eastAsia"/>
          <w:color w:val="000000" w:themeColor="text1"/>
        </w:rPr>
        <w:t>本周，QDII基金的配置方面，新兴市场仍然以香港为主，</w:t>
      </w:r>
      <w:r w:rsidR="00355D2E" w:rsidRPr="00721EA2">
        <w:rPr>
          <w:rFonts w:ascii="楷体" w:eastAsia="楷体" w:hAnsi="楷体" w:hint="eastAsia"/>
        </w:rPr>
        <w:t>成熟市场仍然以美国为主，</w:t>
      </w:r>
      <w:r w:rsidR="00355D2E" w:rsidRPr="00721EA2">
        <w:rPr>
          <w:rFonts w:ascii="楷体" w:eastAsia="楷体" w:hAnsi="楷体" w:hint="eastAsia"/>
          <w:color w:val="000000" w:themeColor="text1"/>
        </w:rPr>
        <w:t>但建议投资者适度辅配美股品种以避风险，侧重港股品种的配置至基金组合的主要地位，把握香港市场较为确定的投资收益。数</w:t>
      </w:r>
      <w:r w:rsidR="00355D2E" w:rsidRPr="00721EA2">
        <w:rPr>
          <w:rFonts w:ascii="楷体" w:eastAsia="楷体" w:hAnsi="楷体" w:hint="eastAsia"/>
          <w:color w:val="000000" w:themeColor="text1"/>
        </w:rPr>
        <w:lastRenderedPageBreak/>
        <w:t>据显示，</w:t>
      </w:r>
      <w:r w:rsidR="00355D2E" w:rsidRPr="00721EA2">
        <w:rPr>
          <w:rFonts w:ascii="楷体" w:eastAsia="楷体" w:hAnsi="楷体"/>
        </w:rPr>
        <w:t>2月份美国非农就业人数增加29.5万人，失业率降至5.5%</w:t>
      </w:r>
      <w:r w:rsidR="00355D2E" w:rsidRPr="00721EA2">
        <w:rPr>
          <w:rFonts w:ascii="楷体" w:eastAsia="楷体" w:hAnsi="楷体" w:hint="eastAsia"/>
        </w:rPr>
        <w:t>，</w:t>
      </w:r>
      <w:r w:rsidR="00355D2E" w:rsidRPr="00721EA2">
        <w:rPr>
          <w:rFonts w:ascii="楷体" w:eastAsia="楷体" w:hAnsi="楷体" w:hint="eastAsia"/>
          <w:color w:val="000000" w:themeColor="text1"/>
        </w:rPr>
        <w:t>就业市场持续改善制造业扩张势头仍在，且楼市复苏趋势确定，但美联储加息时间的仍然制约美股上行空间。欧洲市场略显回弹势头但复苏进程仍待观察，新兴市场中港股估值优势有望受环球资金青睐</w:t>
      </w:r>
      <w:r w:rsidR="00F04378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D43D5E" w:rsidRDefault="00B93424" w:rsidP="00A9230D">
      <w:pPr>
        <w:pStyle w:val="ab"/>
        <w:tabs>
          <w:tab w:val="left" w:pos="6570"/>
        </w:tabs>
        <w:spacing w:after="163"/>
        <w:ind w:left="3430"/>
        <w:rPr>
          <w:rFonts w:ascii="楷体" w:eastAsia="楷体" w:hAnsi="楷体"/>
          <w:b/>
          <w:bCs/>
          <w:color w:val="0070C0"/>
          <w:sz w:val="24"/>
        </w:rPr>
      </w:pPr>
      <w:r w:rsidRPr="005B7CDB">
        <w:rPr>
          <w:rFonts w:ascii="楷体" w:eastAsia="楷体" w:hAnsi="楷体" w:hint="eastAsia"/>
          <w:b/>
          <w:bCs/>
          <w:color w:val="0070C0"/>
          <w:sz w:val="24"/>
        </w:rPr>
        <w:t>凯石每周微点评</w:t>
      </w:r>
      <w:r w:rsidR="00B02C22">
        <w:rPr>
          <w:rFonts w:ascii="楷体" w:eastAsia="楷体" w:hAnsi="楷体" w:hint="eastAsia"/>
          <w:b/>
          <w:bCs/>
          <w:color w:val="0070C0"/>
          <w:sz w:val="24"/>
        </w:rPr>
        <w:t>：</w:t>
      </w:r>
      <w:r w:rsidR="00A9230D">
        <w:rPr>
          <w:rFonts w:ascii="楷体" w:eastAsia="楷体" w:hAnsi="楷体"/>
          <w:b/>
          <w:bCs/>
          <w:color w:val="0070C0"/>
          <w:sz w:val="24"/>
        </w:rPr>
        <w:tab/>
      </w:r>
    </w:p>
    <w:tbl>
      <w:tblPr>
        <w:tblW w:w="10915" w:type="dxa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CellMar>
          <w:left w:w="0" w:type="dxa"/>
          <w:right w:w="0" w:type="dxa"/>
        </w:tblCellMar>
        <w:tblLook w:val="0000"/>
      </w:tblPr>
      <w:tblGrid>
        <w:gridCol w:w="5245"/>
        <w:gridCol w:w="5670"/>
      </w:tblGrid>
      <w:tr w:rsidR="00F95C99" w:rsidRPr="005B7CDB" w:rsidTr="00561BC5">
        <w:trPr>
          <w:cantSplit/>
          <w:trHeight w:val="335"/>
        </w:trPr>
        <w:tc>
          <w:tcPr>
            <w:tcW w:w="10915" w:type="dxa"/>
            <w:gridSpan w:val="2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F95C99" w:rsidRPr="00F95C99" w:rsidRDefault="00F95C99" w:rsidP="004E0B0C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Pr="005B7CDB">
              <w:rPr>
                <w:rFonts w:ascii="楷体" w:eastAsia="楷体" w:hAnsi="楷体" w:hint="eastAsia"/>
                <w:color w:val="FF6600"/>
              </w:rPr>
              <w:t>1：基金行业近期动态及点评</w:t>
            </w:r>
          </w:p>
        </w:tc>
      </w:tr>
      <w:tr w:rsidR="00F95C99" w:rsidRPr="005B7CDB" w:rsidTr="00AC691B">
        <w:trPr>
          <w:cantSplit/>
          <w:trHeight w:val="284"/>
        </w:trPr>
        <w:tc>
          <w:tcPr>
            <w:tcW w:w="5245" w:type="dxa"/>
            <w:tcBorders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F95C99" w:rsidRPr="002656A6" w:rsidRDefault="00F95C99" w:rsidP="00737EA0">
            <w:pPr>
              <w:snapToGrid w:val="0"/>
              <w:jc w:val="center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 w:rsidRPr="00737EA0">
              <w:rPr>
                <w:rFonts w:ascii="楷体" w:eastAsia="楷体" w:hAnsi="楷体"/>
                <w:b/>
                <w:sz w:val="18"/>
                <w:szCs w:val="18"/>
              </w:rPr>
              <w:t>微新闻</w:t>
            </w:r>
          </w:p>
        </w:tc>
        <w:tc>
          <w:tcPr>
            <w:tcW w:w="5670" w:type="dxa"/>
            <w:tcBorders>
              <w:left w:val="single" w:sz="6" w:space="0" w:color="FF6600"/>
              <w:bottom w:val="single" w:sz="6" w:space="0" w:color="FF6600"/>
            </w:tcBorders>
            <w:shd w:val="clear" w:color="auto" w:fill="FDE9D9" w:themeFill="accent6" w:themeFillTint="33"/>
            <w:vAlign w:val="center"/>
          </w:tcPr>
          <w:p w:rsidR="00F95C99" w:rsidRPr="005B7CDB" w:rsidRDefault="00F95C99" w:rsidP="004E0B0C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微点评</w:t>
            </w:r>
          </w:p>
        </w:tc>
      </w:tr>
      <w:tr w:rsidR="006B2623" w:rsidRPr="00AC691B" w:rsidTr="00AC691B">
        <w:trPr>
          <w:cantSplit/>
          <w:trHeight w:val="619"/>
        </w:trPr>
        <w:tc>
          <w:tcPr>
            <w:tcW w:w="5245" w:type="dxa"/>
            <w:tcBorders>
              <w:right w:val="single" w:sz="6" w:space="0" w:color="FF6600"/>
            </w:tcBorders>
            <w:shd w:val="clear" w:color="auto" w:fill="auto"/>
            <w:vAlign w:val="center"/>
          </w:tcPr>
          <w:p w:rsidR="00D8050B" w:rsidRPr="00AC691B" w:rsidRDefault="00AC691B" w:rsidP="00AC691B">
            <w:pPr>
              <w:pStyle w:val="af1"/>
              <w:snapToGrid w:val="0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 w:rsidRPr="00AC691B">
              <w:rPr>
                <w:rFonts w:ascii="楷体" w:eastAsia="楷体" w:hAnsi="楷体"/>
                <w:color w:val="000000" w:themeColor="text1"/>
                <w:sz w:val="18"/>
                <w:szCs w:val="18"/>
              </w:rPr>
              <w:t>数据显示，</w:t>
            </w:r>
            <w:r w:rsidRPr="00AC691B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今</w:t>
            </w:r>
            <w:r w:rsidRPr="00AC691B">
              <w:rPr>
                <w:rFonts w:ascii="楷体" w:eastAsia="楷体" w:hAnsi="楷体"/>
                <w:color w:val="000000" w:themeColor="text1"/>
                <w:sz w:val="18"/>
                <w:szCs w:val="18"/>
              </w:rPr>
              <w:t>年以来，通过创新通道获得受理的79只基金中，有60只是行业主题基金</w:t>
            </w:r>
            <w:r w:rsidRPr="00AC691B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。 仅</w:t>
            </w:r>
            <w:r w:rsidRPr="00AC691B">
              <w:rPr>
                <w:rFonts w:ascii="楷体" w:eastAsia="楷体" w:hAnsi="楷体"/>
                <w:color w:val="000000" w:themeColor="text1"/>
                <w:sz w:val="18"/>
                <w:szCs w:val="18"/>
              </w:rPr>
              <w:t>2月7日</w:t>
            </w:r>
            <w:r w:rsidRPr="00AC691B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至</w:t>
            </w:r>
            <w:r w:rsidRPr="00AC691B">
              <w:rPr>
                <w:rFonts w:ascii="楷体" w:eastAsia="楷体" w:hAnsi="楷体"/>
                <w:color w:val="000000" w:themeColor="text1"/>
                <w:sz w:val="18"/>
                <w:szCs w:val="18"/>
              </w:rPr>
              <w:t>2月28日</w:t>
            </w:r>
            <w:r w:rsidRPr="00AC691B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之间</w:t>
            </w:r>
            <w:r w:rsidRPr="00AC691B">
              <w:rPr>
                <w:rFonts w:ascii="楷体" w:eastAsia="楷体" w:hAnsi="楷体"/>
                <w:color w:val="000000" w:themeColor="text1"/>
                <w:sz w:val="18"/>
                <w:szCs w:val="18"/>
              </w:rPr>
              <w:t>，共有28只公募基金的申请通过创新通道获得受理，其中24只为行业性和主题性的指数分级基金</w:t>
            </w:r>
            <w:r w:rsidRPr="00AC691B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567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6B2623" w:rsidRPr="00AC691B" w:rsidRDefault="00AC691B" w:rsidP="00AC691B">
            <w:pPr>
              <w:pStyle w:val="af1"/>
              <w:snapToGrid w:val="0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 w:rsidRPr="00AC691B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行业主题指数基金掀起热潮表明</w:t>
            </w:r>
            <w:r w:rsidRPr="00AC691B">
              <w:rPr>
                <w:rFonts w:ascii="楷体" w:eastAsia="楷体" w:hAnsi="楷体"/>
                <w:color w:val="000000" w:themeColor="text1"/>
                <w:sz w:val="18"/>
                <w:szCs w:val="18"/>
              </w:rPr>
              <w:t>基金公司对</w:t>
            </w: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今</w:t>
            </w:r>
            <w:r>
              <w:rPr>
                <w:rFonts w:ascii="楷体" w:eastAsia="楷体" w:hAnsi="楷体"/>
                <w:color w:val="000000" w:themeColor="text1"/>
                <w:sz w:val="18"/>
                <w:szCs w:val="18"/>
              </w:rPr>
              <w:t>年的判断仍</w:t>
            </w:r>
            <w:r w:rsidRPr="00AC691B">
              <w:rPr>
                <w:rFonts w:ascii="楷体" w:eastAsia="楷体" w:hAnsi="楷体"/>
                <w:color w:val="000000" w:themeColor="text1"/>
                <w:sz w:val="18"/>
                <w:szCs w:val="18"/>
              </w:rPr>
              <w:t>是以结构化、主题轮动行情为主</w:t>
            </w: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。今年作为十二五规划的收官之年，预计会有更多政策出台以扶持产业发展，</w:t>
            </w:r>
            <w:r w:rsidRPr="00AC691B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相关上市公司有望持续享受经济转型和政策红利</w:t>
            </w: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，把握相关题材的</w:t>
            </w:r>
            <w:r w:rsidRPr="00AC691B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行情</w:t>
            </w:r>
            <w:r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或是明智之选。</w:t>
            </w:r>
          </w:p>
        </w:tc>
      </w:tr>
      <w:tr w:rsidR="0063118A" w:rsidRPr="00D108B0" w:rsidTr="00AC691B">
        <w:trPr>
          <w:cantSplit/>
          <w:trHeight w:val="619"/>
        </w:trPr>
        <w:tc>
          <w:tcPr>
            <w:tcW w:w="5245" w:type="dxa"/>
            <w:tcBorders>
              <w:right w:val="single" w:sz="6" w:space="0" w:color="FF6600"/>
            </w:tcBorders>
            <w:shd w:val="clear" w:color="auto" w:fill="auto"/>
            <w:vAlign w:val="center"/>
          </w:tcPr>
          <w:p w:rsidR="0063118A" w:rsidRPr="00561BC5" w:rsidRDefault="007047E9" w:rsidP="002F2774">
            <w:pPr>
              <w:pStyle w:val="af1"/>
              <w:snapToGrid w:val="0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政府工作报告提及要</w:t>
            </w:r>
            <w:r w:rsidR="00AC691B" w:rsidRPr="00AC691B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适时启动深港通，深交所总经理宋丽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萍也表示深港通已完成方案设计及技术开发，</w:t>
            </w:r>
            <w:r w:rsidR="00AA4AFB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预计上半年有望获批，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证监会主席肖钢也表示</w:t>
            </w:r>
            <w:r w:rsidRPr="007047E9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深港通预计上半年能够获批，年内有望正式推出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567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63118A" w:rsidRPr="007047E9" w:rsidRDefault="007047E9" w:rsidP="007047E9">
            <w:pPr>
              <w:pStyle w:val="af1"/>
              <w:snapToGrid w:val="0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创业板股票估值偏高，纳入深港通后可能会</w:t>
            </w:r>
            <w:r w:rsidRPr="007047E9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加大市场波动性，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因此很可能仅</w:t>
            </w:r>
            <w:r w:rsidR="00AA4AFB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有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部分市值较高且收入稳定的创业板股票</w:t>
            </w:r>
            <w:r w:rsidR="00AA4AFB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被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纳入深港通</w:t>
            </w:r>
            <w:r w:rsidR="00AA4AFB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的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投资范围。</w:t>
            </w:r>
            <w:r w:rsidRPr="007047E9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就深港通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的</w:t>
            </w:r>
            <w:r w:rsidRPr="007047E9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短期利好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而言，</w:t>
            </w:r>
            <w:r w:rsidR="00AA4AFB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港股市场中部分低价中小盘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股的价值会</w:t>
            </w:r>
            <w:r w:rsidRPr="007047E9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在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与</w:t>
            </w:r>
            <w:r w:rsidR="00AA4AFB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内地企业的对比后</w:t>
            </w:r>
            <w:r w:rsidRPr="007047E9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凸显出来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，</w:t>
            </w:r>
            <w:r w:rsidRPr="007047E9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港股市场的机会将多于A股市场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。</w:t>
            </w:r>
            <w:r w:rsidRPr="007047E9"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FD6CB3" w:rsidRPr="005559C4" w:rsidRDefault="0069249C" w:rsidP="005559C4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来源：凯石财富工场</w:t>
      </w:r>
    </w:p>
    <w:p w:rsidR="00026FF9" w:rsidRPr="005B7CDB" w:rsidRDefault="000D4A66" w:rsidP="006A5488">
      <w:pPr>
        <w:widowControl/>
        <w:spacing w:after="120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公募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基金一周业绩</w:t>
      </w:r>
      <w:r w:rsidR="00060829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：</w:t>
      </w:r>
    </w:p>
    <w:p w:rsidR="00920576" w:rsidRPr="000B6A7F" w:rsidRDefault="00E02B7C" w:rsidP="000B6A7F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国内外股市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一周表现：</w:t>
      </w:r>
      <w:r w:rsidR="000D5EC9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大盘短线调整</w:t>
      </w:r>
      <w:r w:rsidR="00AF4F9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，外围股市</w:t>
      </w:r>
      <w:r w:rsidR="005B75F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走弱</w:t>
      </w:r>
    </w:p>
    <w:p w:rsidR="00585B94" w:rsidRPr="0042749E" w:rsidRDefault="00180FDA" w:rsidP="0042749E">
      <w:pPr>
        <w:pStyle w:val="ab"/>
        <w:numPr>
          <w:ilvl w:val="4"/>
          <w:numId w:val="1"/>
        </w:numPr>
        <w:spacing w:after="163"/>
        <w:rPr>
          <w:rFonts w:ascii="楷体" w:eastAsia="楷体" w:hAnsi="楷体" w:cs="宋体"/>
          <w:color w:val="000000" w:themeColor="text1"/>
          <w:szCs w:val="21"/>
        </w:rPr>
      </w:pPr>
      <w:r>
        <w:rPr>
          <w:rFonts w:ascii="楷体" w:eastAsia="楷体" w:hAnsi="楷体" w:cs="宋体" w:hint="eastAsia"/>
          <w:color w:val="000000" w:themeColor="text1"/>
          <w:szCs w:val="21"/>
        </w:rPr>
        <w:t>截至3月6日的一周，大盘节节败退，创业板震荡攀高，</w:t>
      </w:r>
      <w:r w:rsidR="00FD7C40">
        <w:rPr>
          <w:rFonts w:ascii="楷体" w:eastAsia="楷体" w:hAnsi="楷体" w:cs="宋体" w:hint="eastAsia"/>
          <w:color w:val="000000" w:themeColor="text1"/>
          <w:szCs w:val="21"/>
        </w:rPr>
        <w:t>两会相关</w:t>
      </w:r>
      <w:r w:rsidR="006C4638">
        <w:rPr>
          <w:rFonts w:ascii="楷体" w:eastAsia="楷体" w:hAnsi="楷体" w:cs="宋体" w:hint="eastAsia"/>
          <w:color w:val="000000" w:themeColor="text1"/>
          <w:szCs w:val="21"/>
        </w:rPr>
        <w:t>的</w:t>
      </w:r>
      <w:r>
        <w:rPr>
          <w:rFonts w:ascii="ˎ̥" w:hAnsi="ˎ̥"/>
        </w:rPr>
        <w:t>题材股的行情</w:t>
      </w:r>
      <w:r>
        <w:rPr>
          <w:rFonts w:ascii="ˎ̥" w:hAnsi="ˎ̥" w:hint="eastAsia"/>
        </w:rPr>
        <w:t>较好。</w:t>
      </w:r>
      <w:r w:rsidR="001F0A35">
        <w:rPr>
          <w:rFonts w:ascii="ˎ̥" w:hAnsi="ˎ̥" w:hint="eastAsia"/>
        </w:rPr>
        <w:t>整周来看，</w:t>
      </w:r>
      <w:r w:rsidR="00284085">
        <w:rPr>
          <w:rFonts w:ascii="楷体" w:eastAsia="楷体" w:hAnsi="楷体" w:cs="宋体" w:hint="eastAsia"/>
          <w:color w:val="000000" w:themeColor="text1"/>
          <w:szCs w:val="21"/>
        </w:rPr>
        <w:t>上证指数下跌2.09%，</w:t>
      </w:r>
      <w:r w:rsidR="00284085" w:rsidRPr="00440466">
        <w:rPr>
          <w:rFonts w:ascii="楷体" w:eastAsia="楷体" w:hAnsi="楷体" w:cs="宋体" w:hint="eastAsia"/>
          <w:color w:val="000000" w:themeColor="text1"/>
          <w:szCs w:val="21"/>
        </w:rPr>
        <w:t>沪深300</w:t>
      </w:r>
      <w:r w:rsidR="00284085">
        <w:rPr>
          <w:rFonts w:ascii="楷体" w:eastAsia="楷体" w:hAnsi="楷体" w:cs="宋体" w:hint="eastAsia"/>
          <w:color w:val="000000" w:themeColor="text1"/>
          <w:szCs w:val="21"/>
        </w:rPr>
        <w:t>下跌2.64%，</w:t>
      </w:r>
      <w:r w:rsidR="00284085" w:rsidRPr="00440466">
        <w:rPr>
          <w:rFonts w:ascii="楷体" w:eastAsia="楷体" w:hAnsi="楷体" w:cs="宋体" w:hint="eastAsia"/>
          <w:color w:val="000000" w:themeColor="text1"/>
          <w:szCs w:val="21"/>
        </w:rPr>
        <w:t>中小板指</w:t>
      </w:r>
      <w:r w:rsidR="00284085">
        <w:rPr>
          <w:rFonts w:ascii="楷体" w:eastAsia="楷体" w:hAnsi="楷体" w:cs="宋体" w:hint="eastAsia"/>
          <w:color w:val="000000" w:themeColor="text1"/>
          <w:szCs w:val="21"/>
        </w:rPr>
        <w:t>上涨0.15%%，创业板指上涨1.21%</w:t>
      </w:r>
      <w:r w:rsidR="00431CC7">
        <w:rPr>
          <w:rFonts w:ascii="楷体" w:eastAsia="楷体" w:hAnsi="楷体" w:cs="宋体" w:hint="eastAsia"/>
          <w:color w:val="000000" w:themeColor="text1"/>
          <w:szCs w:val="21"/>
        </w:rPr>
        <w:t>。</w:t>
      </w:r>
      <w:r w:rsidR="00431CC7" w:rsidRPr="00440466">
        <w:rPr>
          <w:rFonts w:ascii="楷体" w:eastAsia="楷体" w:hAnsi="楷体" w:cs="宋体" w:hint="eastAsia"/>
          <w:color w:val="000000" w:themeColor="text1"/>
          <w:szCs w:val="21"/>
        </w:rPr>
        <w:t>29</w:t>
      </w:r>
      <w:r w:rsidR="00431CC7">
        <w:rPr>
          <w:rFonts w:ascii="楷体" w:eastAsia="楷体" w:hAnsi="楷体" w:cs="宋体" w:hint="eastAsia"/>
          <w:color w:val="000000" w:themeColor="text1"/>
          <w:szCs w:val="21"/>
        </w:rPr>
        <w:t>个中信一级行业有18个上涨，</w:t>
      </w:r>
      <w:r w:rsidR="00431CC7" w:rsidRPr="00431CC7">
        <w:rPr>
          <w:rFonts w:ascii="楷体" w:eastAsia="楷体" w:hAnsi="楷体" w:cs="宋体" w:hint="eastAsia"/>
          <w:color w:val="000000" w:themeColor="text1"/>
          <w:szCs w:val="21"/>
        </w:rPr>
        <w:t>有色金属</w:t>
      </w:r>
      <w:r w:rsidR="00431CC7">
        <w:rPr>
          <w:rFonts w:ascii="楷体" w:eastAsia="楷体" w:hAnsi="楷体" w:cs="宋体" w:hint="eastAsia"/>
          <w:color w:val="000000" w:themeColor="text1"/>
          <w:szCs w:val="21"/>
        </w:rPr>
        <w:t>（4.52%）和</w:t>
      </w:r>
      <w:r w:rsidR="00431CC7" w:rsidRPr="00431CC7">
        <w:rPr>
          <w:rFonts w:ascii="楷体" w:eastAsia="楷体" w:hAnsi="楷体" w:cs="宋体" w:hint="eastAsia"/>
          <w:color w:val="000000" w:themeColor="text1"/>
          <w:szCs w:val="21"/>
        </w:rPr>
        <w:t>纺织服装</w:t>
      </w:r>
      <w:r w:rsidR="00431CC7">
        <w:rPr>
          <w:rFonts w:ascii="楷体" w:eastAsia="楷体" w:hAnsi="楷体" w:cs="宋体" w:hint="eastAsia"/>
          <w:color w:val="000000" w:themeColor="text1"/>
          <w:szCs w:val="21"/>
        </w:rPr>
        <w:t>（4.24%）涨幅靠前，</w:t>
      </w:r>
      <w:r w:rsidR="00431CC7" w:rsidRPr="00431CC7">
        <w:rPr>
          <w:rFonts w:ascii="楷体" w:eastAsia="楷体" w:hAnsi="楷体" w:cs="宋体" w:hint="eastAsia"/>
          <w:color w:val="000000" w:themeColor="text1"/>
          <w:szCs w:val="21"/>
        </w:rPr>
        <w:t>非银行金融</w:t>
      </w:r>
      <w:r w:rsidR="00431CC7">
        <w:rPr>
          <w:rFonts w:ascii="楷体" w:eastAsia="楷体" w:hAnsi="楷体" w:cs="宋体" w:hint="eastAsia"/>
          <w:color w:val="000000" w:themeColor="text1"/>
          <w:szCs w:val="21"/>
        </w:rPr>
        <w:t>（-4.90%）和银行（-5.05%）垫底。</w:t>
      </w:r>
      <w:r w:rsidR="00525234">
        <w:rPr>
          <w:rFonts w:ascii="楷体" w:eastAsia="楷体" w:hAnsi="楷体" w:cs="宋体" w:hint="eastAsia"/>
          <w:color w:val="000000" w:themeColor="text1"/>
          <w:szCs w:val="21"/>
        </w:rPr>
        <w:t>经济数据方面，</w:t>
      </w:r>
      <w:r w:rsidR="00F17F67">
        <w:rPr>
          <w:rFonts w:ascii="楷体" w:eastAsia="楷体" w:hAnsi="楷体" w:cs="宋体" w:hint="eastAsia"/>
          <w:color w:val="000000" w:themeColor="text1"/>
          <w:szCs w:val="21"/>
        </w:rPr>
        <w:t>我国</w:t>
      </w:r>
      <w:r w:rsidR="00F17F67" w:rsidRPr="00F17F67">
        <w:rPr>
          <w:rFonts w:ascii="楷体" w:eastAsia="楷体" w:hAnsi="楷体" w:cs="宋体" w:hint="eastAsia"/>
          <w:color w:val="000000" w:themeColor="text1"/>
          <w:szCs w:val="21"/>
        </w:rPr>
        <w:t>2</w:t>
      </w:r>
      <w:r w:rsidR="00F17F67">
        <w:rPr>
          <w:rFonts w:ascii="楷体" w:eastAsia="楷体" w:hAnsi="楷体" w:cs="宋体" w:hint="eastAsia"/>
          <w:color w:val="000000" w:themeColor="text1"/>
          <w:szCs w:val="21"/>
        </w:rPr>
        <w:t>月CPI</w:t>
      </w:r>
      <w:r w:rsidR="00F17F67" w:rsidRPr="00F17F67">
        <w:rPr>
          <w:rFonts w:ascii="楷体" w:eastAsia="楷体" w:hAnsi="楷体" w:cs="宋体" w:hint="eastAsia"/>
          <w:color w:val="000000" w:themeColor="text1"/>
          <w:szCs w:val="21"/>
        </w:rPr>
        <w:t>同比上涨1.4%</w:t>
      </w:r>
      <w:r w:rsidR="00F17F67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F17F67" w:rsidRPr="00F17F67">
        <w:rPr>
          <w:rFonts w:ascii="楷体" w:eastAsia="楷体" w:hAnsi="楷体" w:cs="宋体" w:hint="eastAsia"/>
          <w:color w:val="000000" w:themeColor="text1"/>
          <w:szCs w:val="21"/>
        </w:rPr>
        <w:t>其中，城市上涨1.5%，农村上涨1.2%</w:t>
      </w:r>
      <w:r w:rsidR="005907A2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F17F67" w:rsidRPr="00F17F67">
        <w:rPr>
          <w:rFonts w:ascii="楷体" w:eastAsia="楷体" w:hAnsi="楷体" w:cs="宋体" w:hint="eastAsia"/>
          <w:color w:val="000000" w:themeColor="text1"/>
          <w:szCs w:val="21"/>
        </w:rPr>
        <w:t>食品价格上涨2.4%，非食品价格上涨0.9%</w:t>
      </w:r>
      <w:r w:rsidR="005907A2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F17F67" w:rsidRPr="00F17F67">
        <w:rPr>
          <w:rFonts w:ascii="楷体" w:eastAsia="楷体" w:hAnsi="楷体" w:cs="宋体" w:hint="eastAsia"/>
          <w:color w:val="000000" w:themeColor="text1"/>
          <w:szCs w:val="21"/>
        </w:rPr>
        <w:t>消费品价格上涨1.1%，服务价格上涨2.2%。</w:t>
      </w:r>
    </w:p>
    <w:p w:rsidR="00D63A99" w:rsidRPr="00602FD1" w:rsidRDefault="00602FD1" w:rsidP="00F640BA">
      <w:pPr>
        <w:pStyle w:val="ab"/>
        <w:numPr>
          <w:ilvl w:val="4"/>
          <w:numId w:val="1"/>
        </w:numPr>
        <w:spacing w:after="163"/>
        <w:rPr>
          <w:rFonts w:ascii="楷体" w:eastAsia="楷体" w:hAnsi="楷体" w:cs="宋体"/>
          <w:color w:val="000000" w:themeColor="text1"/>
          <w:szCs w:val="21"/>
        </w:rPr>
      </w:pPr>
      <w:r w:rsidRPr="00602FD1">
        <w:rPr>
          <w:rFonts w:ascii="楷体" w:eastAsia="楷体" w:hAnsi="楷体" w:cs="宋体" w:hint="eastAsia"/>
          <w:color w:val="000000" w:themeColor="text1"/>
          <w:szCs w:val="21"/>
        </w:rPr>
        <w:t>海外市场（2015.2.27~2015.3.5）</w:t>
      </w:r>
      <w:r>
        <w:rPr>
          <w:rFonts w:ascii="楷体" w:eastAsia="楷体" w:hAnsi="楷体" w:cs="宋体" w:hint="eastAsia"/>
          <w:color w:val="000000" w:themeColor="text1"/>
          <w:szCs w:val="21"/>
        </w:rPr>
        <w:t>，</w:t>
      </w:r>
      <w:r>
        <w:rPr>
          <w:rFonts w:ascii="ˎ̥" w:hAnsi="ˎ̥"/>
        </w:rPr>
        <w:t>美国劳工部称，</w:t>
      </w:r>
      <w:r>
        <w:rPr>
          <w:rFonts w:ascii="ˎ̥" w:hAnsi="ˎ̥"/>
        </w:rPr>
        <w:t>2</w:t>
      </w:r>
      <w:r w:rsidR="005907A2">
        <w:rPr>
          <w:rFonts w:ascii="ˎ̥" w:hAnsi="ˎ̥"/>
        </w:rPr>
        <w:t>月份</w:t>
      </w:r>
      <w:r>
        <w:rPr>
          <w:rFonts w:ascii="ˎ̥" w:hAnsi="ˎ̥"/>
        </w:rPr>
        <w:t>非农就业人数增加</w:t>
      </w:r>
      <w:r>
        <w:rPr>
          <w:rFonts w:ascii="ˎ̥" w:hAnsi="ˎ̥"/>
        </w:rPr>
        <w:t>29.5</w:t>
      </w:r>
      <w:r>
        <w:rPr>
          <w:rFonts w:ascii="ˎ̥" w:hAnsi="ˎ̥"/>
        </w:rPr>
        <w:t>万人，失业率降至</w:t>
      </w:r>
      <w:r>
        <w:rPr>
          <w:rFonts w:ascii="ˎ̥" w:hAnsi="ˎ̥"/>
        </w:rPr>
        <w:t>5.5%</w:t>
      </w:r>
      <w:r w:rsidR="00A12B46">
        <w:rPr>
          <w:rFonts w:ascii="ˎ̥" w:hAnsi="ˎ̥" w:hint="eastAsia"/>
        </w:rPr>
        <w:t>，</w:t>
      </w:r>
      <w:r w:rsidR="00A12B46">
        <w:rPr>
          <w:rFonts w:ascii="ˎ̥" w:hAnsi="ˎ̥"/>
        </w:rPr>
        <w:t>但</w:t>
      </w:r>
      <w:r w:rsidR="00EC0BDD">
        <w:rPr>
          <w:rFonts w:ascii="ˎ̥" w:hAnsi="ˎ̥"/>
        </w:rPr>
        <w:t>工资增长仍较</w:t>
      </w:r>
      <w:r>
        <w:rPr>
          <w:rFonts w:ascii="ˎ̥" w:hAnsi="ˎ̥"/>
        </w:rPr>
        <w:t>缓慢</w:t>
      </w:r>
      <w:r w:rsidR="00A12B46">
        <w:rPr>
          <w:rFonts w:ascii="ˎ̥" w:hAnsi="ˎ̥" w:hint="eastAsia"/>
        </w:rPr>
        <w:t>。</w:t>
      </w:r>
      <w:r w:rsidR="00EC0BDD">
        <w:rPr>
          <w:rFonts w:ascii="ˎ̥" w:hAnsi="ˎ̥" w:hint="eastAsia"/>
        </w:rPr>
        <w:t>美股三大股指全部收跌，</w:t>
      </w:r>
      <w:r w:rsidR="00EC0BDD" w:rsidRPr="00DE2E3B">
        <w:rPr>
          <w:rFonts w:ascii="楷体" w:eastAsia="楷体" w:hAnsi="楷体" w:hint="eastAsia"/>
          <w:color w:val="000000" w:themeColor="text1"/>
          <w:szCs w:val="21"/>
        </w:rPr>
        <w:t>道琼斯工指</w:t>
      </w:r>
      <w:r w:rsidR="00EC0BDD">
        <w:rPr>
          <w:rFonts w:ascii="楷体" w:eastAsia="楷体" w:hAnsi="楷体" w:hint="eastAsia"/>
          <w:color w:val="000000" w:themeColor="text1"/>
          <w:szCs w:val="21"/>
        </w:rPr>
        <w:t>跌0.43%</w:t>
      </w:r>
      <w:r w:rsidR="00EC0BDD" w:rsidRPr="00DE2E3B">
        <w:rPr>
          <w:rFonts w:ascii="楷体" w:eastAsia="楷体" w:hAnsi="楷体" w:hint="eastAsia"/>
          <w:color w:val="000000" w:themeColor="text1"/>
          <w:szCs w:val="21"/>
        </w:rPr>
        <w:t>，标普500</w:t>
      </w:r>
      <w:r w:rsidR="00EC0BDD">
        <w:rPr>
          <w:rFonts w:ascii="楷体" w:eastAsia="楷体" w:hAnsi="楷体" w:hint="eastAsia"/>
          <w:color w:val="000000" w:themeColor="text1"/>
          <w:szCs w:val="21"/>
        </w:rPr>
        <w:t>跌0.46%</w:t>
      </w:r>
      <w:r w:rsidR="00EC0BDD" w:rsidRPr="00DE2E3B">
        <w:rPr>
          <w:rFonts w:ascii="楷体" w:eastAsia="楷体" w:hAnsi="楷体" w:hint="eastAsia"/>
          <w:color w:val="000000" w:themeColor="text1"/>
          <w:szCs w:val="21"/>
        </w:rPr>
        <w:t>，</w:t>
      </w:r>
      <w:r w:rsidR="00EC0BDD" w:rsidRPr="00DE2E3B">
        <w:rPr>
          <w:rFonts w:ascii="楷体" w:eastAsia="楷体" w:hAnsi="楷体" w:cs="宋体" w:hint="eastAsia"/>
          <w:color w:val="000000" w:themeColor="text1"/>
          <w:szCs w:val="21"/>
        </w:rPr>
        <w:t>纳斯达克100</w:t>
      </w:r>
      <w:r w:rsidR="00EC0BDD">
        <w:rPr>
          <w:rFonts w:ascii="楷体" w:eastAsia="楷体" w:hAnsi="楷体" w:cs="宋体" w:hint="eastAsia"/>
          <w:color w:val="000000" w:themeColor="text1"/>
          <w:szCs w:val="21"/>
        </w:rPr>
        <w:t>跌0.23%。</w:t>
      </w:r>
      <w:r w:rsidR="00EC0BDD" w:rsidRPr="00EC0BDD">
        <w:rPr>
          <w:rFonts w:ascii="楷体" w:eastAsia="楷体" w:hAnsi="楷体" w:cs="宋体" w:hint="eastAsia"/>
          <w:color w:val="000000" w:themeColor="text1"/>
          <w:szCs w:val="21"/>
        </w:rPr>
        <w:t>欧元区Markit采购经理人综合指数的2月终值是53.3</w:t>
      </w:r>
      <w:r w:rsidR="00EC0BDD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EC0BDD" w:rsidRPr="00EC0BDD">
        <w:rPr>
          <w:rFonts w:ascii="楷体" w:eastAsia="楷体" w:hAnsi="楷体" w:cs="宋体" w:hint="eastAsia"/>
          <w:color w:val="000000" w:themeColor="text1"/>
          <w:szCs w:val="21"/>
        </w:rPr>
        <w:t>略低于初值53.5，</w:t>
      </w:r>
      <w:r w:rsidR="005907A2">
        <w:rPr>
          <w:rFonts w:ascii="楷体" w:eastAsia="楷体" w:hAnsi="楷体" w:cs="宋体" w:hint="eastAsia"/>
          <w:color w:val="000000" w:themeColor="text1"/>
          <w:szCs w:val="21"/>
        </w:rPr>
        <w:t>显示行业</w:t>
      </w:r>
      <w:r w:rsidR="00EC0BDD">
        <w:rPr>
          <w:rFonts w:ascii="楷体" w:eastAsia="楷体" w:hAnsi="楷体" w:cs="宋体" w:hint="eastAsia"/>
          <w:color w:val="000000" w:themeColor="text1"/>
          <w:szCs w:val="21"/>
        </w:rPr>
        <w:t>扩张</w:t>
      </w:r>
      <w:r w:rsidR="005907A2">
        <w:rPr>
          <w:rFonts w:ascii="楷体" w:eastAsia="楷体" w:hAnsi="楷体" w:cs="宋体" w:hint="eastAsia"/>
          <w:color w:val="000000" w:themeColor="text1"/>
          <w:szCs w:val="21"/>
        </w:rPr>
        <w:t>趋势仍在</w:t>
      </w:r>
      <w:r w:rsidR="00EC0BDD" w:rsidRPr="00EC0BDD">
        <w:rPr>
          <w:rFonts w:ascii="楷体" w:eastAsia="楷体" w:hAnsi="楷体" w:cs="宋体" w:hint="eastAsia"/>
          <w:color w:val="000000" w:themeColor="text1"/>
          <w:szCs w:val="21"/>
        </w:rPr>
        <w:t>。</w:t>
      </w:r>
      <w:r w:rsidR="002C2BA7">
        <w:rPr>
          <w:rFonts w:ascii="楷体" w:eastAsia="楷体" w:hAnsi="楷体" w:cs="宋体" w:hint="eastAsia"/>
          <w:color w:val="000000" w:themeColor="text1"/>
          <w:szCs w:val="21"/>
        </w:rPr>
        <w:t>香港方面，深港通下半年</w:t>
      </w:r>
      <w:r w:rsidR="002C2BA7" w:rsidRPr="002C2BA7">
        <w:rPr>
          <w:rFonts w:ascii="楷体" w:eastAsia="楷体" w:hAnsi="楷体" w:cs="宋体" w:hint="eastAsia"/>
          <w:color w:val="000000" w:themeColor="text1"/>
          <w:szCs w:val="21"/>
        </w:rPr>
        <w:t>开通</w:t>
      </w:r>
      <w:r w:rsidR="002C2BA7">
        <w:rPr>
          <w:rFonts w:ascii="楷体" w:eastAsia="楷体" w:hAnsi="楷体" w:cs="宋体" w:hint="eastAsia"/>
          <w:color w:val="000000" w:themeColor="text1"/>
          <w:szCs w:val="21"/>
        </w:rPr>
        <w:t>的预期进一步升温，但港股表现仍然疲弱，周跌幅为2.85%</w:t>
      </w:r>
      <w:r w:rsidR="000D5EC9">
        <w:rPr>
          <w:rFonts w:ascii="ˎ̥" w:hAnsi="ˎ̥" w:hint="eastAsia"/>
        </w:rPr>
        <w:t>。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142"/>
        <w:gridCol w:w="5386"/>
      </w:tblGrid>
      <w:tr w:rsidR="00BD0930" w:rsidRPr="005B7CDB" w:rsidTr="003918C7">
        <w:trPr>
          <w:cantSplit/>
          <w:trHeight w:val="124"/>
        </w:trPr>
        <w:tc>
          <w:tcPr>
            <w:tcW w:w="5245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057142" w:rsidRDefault="00BD0930" w:rsidP="00D7627F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="00A87530" w:rsidRPr="005B7CDB">
              <w:rPr>
                <w:rFonts w:ascii="楷体" w:eastAsia="楷体" w:hAnsi="楷体" w:hint="eastAsia"/>
                <w:color w:val="FF6600"/>
              </w:rPr>
              <w:t>2</w:t>
            </w:r>
            <w:r w:rsidRPr="005B7CDB">
              <w:rPr>
                <w:rFonts w:ascii="楷体" w:eastAsia="楷体" w:hAnsi="楷体" w:hint="eastAsia"/>
                <w:color w:val="FF6600"/>
              </w:rPr>
              <w:t>：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各类指数</w:t>
            </w:r>
            <w:r w:rsidR="006675F9" w:rsidRPr="005B7CDB">
              <w:rPr>
                <w:rFonts w:ascii="楷体" w:eastAsia="楷体" w:hAnsi="楷体" w:hint="eastAsia"/>
                <w:color w:val="FF6600"/>
              </w:rPr>
              <w:t>周涨跌</w:t>
            </w:r>
            <w:r w:rsidR="00057142">
              <w:rPr>
                <w:rFonts w:ascii="楷体" w:eastAsia="楷体" w:hAnsi="楷体" w:hint="eastAsia"/>
                <w:color w:val="FF6600"/>
              </w:rPr>
              <w:t>(</w:t>
            </w:r>
            <w:r w:rsidR="00D63A99">
              <w:rPr>
                <w:rFonts w:ascii="楷体" w:eastAsia="楷体" w:hAnsi="楷体" w:hint="eastAsia"/>
                <w:color w:val="FF6600"/>
              </w:rPr>
              <w:t>3.2</w:t>
            </w:r>
            <w:r w:rsidR="00C209B8">
              <w:rPr>
                <w:rFonts w:ascii="楷体" w:eastAsia="楷体" w:hAnsi="楷体" w:hint="eastAsia"/>
                <w:color w:val="FF6600"/>
              </w:rPr>
              <w:t>~</w:t>
            </w:r>
            <w:r w:rsidR="00D63A99">
              <w:rPr>
                <w:rFonts w:ascii="楷体" w:eastAsia="楷体" w:hAnsi="楷体" w:hint="eastAsia"/>
                <w:color w:val="FF6600"/>
              </w:rPr>
              <w:t>3.6</w:t>
            </w:r>
            <w:r w:rsidR="00091971" w:rsidRPr="00057142">
              <w:rPr>
                <w:rFonts w:ascii="楷体" w:eastAsia="楷体" w:hAnsi="楷体" w:hint="eastAsia"/>
                <w:color w:val="FF6600"/>
              </w:rPr>
              <w:t>，海外指数</w:t>
            </w:r>
            <w:r w:rsidR="00D63A99">
              <w:rPr>
                <w:rFonts w:ascii="楷体" w:eastAsia="楷体" w:hAnsi="楷体" w:hint="eastAsia"/>
                <w:color w:val="FF6600"/>
              </w:rPr>
              <w:t>2.27</w:t>
            </w:r>
            <w:r w:rsidR="00091971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D63A99">
              <w:rPr>
                <w:rFonts w:ascii="楷体" w:eastAsia="楷体" w:hAnsi="楷体" w:hint="eastAsia"/>
                <w:color w:val="FF6600"/>
              </w:rPr>
              <w:t>3.5</w:t>
            </w:r>
            <w:r w:rsidR="00057142">
              <w:rPr>
                <w:rFonts w:ascii="楷体" w:eastAsia="楷体" w:hAnsi="楷体" w:hint="eastAsia"/>
                <w:color w:val="FF6600"/>
              </w:rPr>
              <w:t>)</w:t>
            </w:r>
          </w:p>
        </w:tc>
        <w:tc>
          <w:tcPr>
            <w:tcW w:w="142" w:type="dxa"/>
            <w:vAlign w:val="center"/>
          </w:tcPr>
          <w:p w:rsidR="00BD0930" w:rsidRPr="00416159" w:rsidRDefault="00BD0930" w:rsidP="003B1409">
            <w:pPr>
              <w:jc w:val="center"/>
              <w:rPr>
                <w:rFonts w:ascii="楷体" w:eastAsia="楷体" w:hAnsi="楷体"/>
                <w:lang w:val="en-GB"/>
              </w:rPr>
            </w:pPr>
          </w:p>
        </w:tc>
        <w:tc>
          <w:tcPr>
            <w:tcW w:w="5386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5B7CDB" w:rsidRDefault="00BD0930" w:rsidP="007B189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="00A87530" w:rsidRPr="005B7CDB">
              <w:rPr>
                <w:rFonts w:ascii="楷体" w:eastAsia="楷体" w:hAnsi="楷体" w:hint="eastAsia"/>
                <w:color w:val="FF6600"/>
              </w:rPr>
              <w:t>3</w:t>
            </w:r>
            <w:r w:rsidRPr="005B7CDB">
              <w:rPr>
                <w:rFonts w:ascii="楷体" w:eastAsia="楷体" w:hAnsi="楷体" w:hint="eastAsia"/>
                <w:color w:val="FF6600"/>
              </w:rPr>
              <w:t>：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中信一级行业板块周涨跌（</w:t>
            </w:r>
            <w:r w:rsidR="00D63A99">
              <w:rPr>
                <w:rFonts w:ascii="楷体" w:eastAsia="楷体" w:hAnsi="楷体" w:hint="eastAsia"/>
                <w:color w:val="FF6600"/>
              </w:rPr>
              <w:t>3.2</w:t>
            </w:r>
            <w:r w:rsidR="00BD4B2C">
              <w:rPr>
                <w:rFonts w:ascii="楷体" w:eastAsia="楷体" w:hAnsi="楷体" w:hint="eastAsia"/>
                <w:color w:val="FF6600"/>
              </w:rPr>
              <w:t>~</w:t>
            </w:r>
            <w:r w:rsidR="00D63A99">
              <w:rPr>
                <w:rFonts w:ascii="楷体" w:eastAsia="楷体" w:hAnsi="楷体" w:hint="eastAsia"/>
                <w:color w:val="FF6600"/>
              </w:rPr>
              <w:t>3.6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）</w:t>
            </w:r>
          </w:p>
        </w:tc>
      </w:tr>
      <w:tr w:rsidR="00BD0930" w:rsidRPr="005B7CDB" w:rsidTr="003918C7">
        <w:trPr>
          <w:cantSplit/>
          <w:trHeight w:val="2329"/>
        </w:trPr>
        <w:tc>
          <w:tcPr>
            <w:tcW w:w="5245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546733" w:rsidRDefault="00180FDA" w:rsidP="003B1409">
            <w:pPr>
              <w:jc w:val="center"/>
              <w:rPr>
                <w:rFonts w:ascii="楷体" w:eastAsia="楷体" w:hAnsi="楷体"/>
              </w:rPr>
            </w:pPr>
            <w:r w:rsidRPr="00180FDA"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3124200" cy="1666875"/>
                  <wp:effectExtent l="19050" t="0" r="0" b="0"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7501" cy="1668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:rsidR="00BD0930" w:rsidRPr="005B7CDB" w:rsidRDefault="00BD0930" w:rsidP="003B140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386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173745" w:rsidRDefault="00180FDA" w:rsidP="00180FDA">
            <w:pPr>
              <w:jc w:val="center"/>
              <w:rPr>
                <w:rFonts w:ascii="楷体" w:eastAsia="楷体" w:hAnsi="楷体"/>
              </w:rPr>
            </w:pPr>
            <w:r w:rsidRPr="00180FDA"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3324225" cy="1781175"/>
                  <wp:effectExtent l="19050" t="0" r="9525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955" cy="1782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930" w:rsidRPr="005B7CDB" w:rsidRDefault="00BD0930" w:rsidP="00BD0930">
      <w:pPr>
        <w:pStyle w:val="FootnoteNoline"/>
        <w:ind w:left="0"/>
        <w:jc w:val="left"/>
        <w:rPr>
          <w:rFonts w:ascii="楷体" w:eastAsia="楷体" w:hAnsi="楷体"/>
        </w:rPr>
      </w:pPr>
      <w:r w:rsidRPr="005B7CDB">
        <w:rPr>
          <w:rFonts w:ascii="楷体" w:eastAsia="楷体" w:hAnsi="楷体" w:hint="eastAsia"/>
          <w:color w:val="FF6600"/>
        </w:rPr>
        <w:t>来源：凯石财富工场</w:t>
      </w:r>
      <w:r w:rsidRPr="005B7CDB">
        <w:rPr>
          <w:rFonts w:ascii="楷体" w:eastAsia="楷体" w:hAnsi="楷体" w:hint="eastAsia"/>
        </w:rPr>
        <w:t xml:space="preserve"> </w:t>
      </w:r>
    </w:p>
    <w:p w:rsidR="00213F1D" w:rsidRPr="00174ABE" w:rsidRDefault="000D4A66" w:rsidP="00174ABE">
      <w:pPr>
        <w:widowControl/>
        <w:spacing w:after="120"/>
        <w:ind w:left="3430"/>
        <w:rPr>
          <w:rFonts w:ascii="Arial" w:eastAsia="楷体" w:hAnsi="Arial" w:cs="Arial"/>
          <w:b/>
          <w:bCs/>
          <w:color w:val="0070C0"/>
          <w:kern w:val="0"/>
          <w:szCs w:val="21"/>
          <w:lang w:val="en-GB"/>
        </w:rPr>
      </w:pPr>
      <w:r w:rsidRPr="00E15464">
        <w:rPr>
          <w:rFonts w:ascii="Arial" w:eastAsia="楷体" w:hAnsi="楷体" w:cs="Arial"/>
          <w:b/>
          <w:bCs/>
          <w:color w:val="0070C0"/>
          <w:kern w:val="0"/>
          <w:szCs w:val="21"/>
          <w:lang w:val="en-GB"/>
        </w:rPr>
        <w:t>各类型公募基金一周业绩：</w:t>
      </w:r>
      <w:r w:rsidR="005D7EB6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权益类</w:t>
      </w:r>
      <w:r w:rsidR="0022501D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基金半涨半跌，</w:t>
      </w:r>
      <w:r w:rsidR="005D7EB6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固收类基金</w:t>
      </w:r>
      <w:r w:rsidR="00F814CF">
        <w:rPr>
          <w:rFonts w:ascii="Arial" w:eastAsia="楷体" w:hAnsi="楷体" w:cs="Arial" w:hint="eastAsia"/>
          <w:b/>
          <w:bCs/>
          <w:color w:val="0070C0"/>
          <w:kern w:val="0"/>
          <w:szCs w:val="21"/>
          <w:lang w:val="en-GB"/>
        </w:rPr>
        <w:t>涨少跌多</w:t>
      </w:r>
    </w:p>
    <w:p w:rsidR="00922EF6" w:rsidRPr="00174ABE" w:rsidRDefault="00AE3F93" w:rsidP="00174ABE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DC2482">
        <w:rPr>
          <w:rFonts w:ascii="楷体" w:eastAsia="楷体" w:hAnsi="楷体" w:cs="Arial" w:hint="eastAsia"/>
          <w:color w:val="000000" w:themeColor="text1"/>
          <w:szCs w:val="21"/>
        </w:rPr>
        <w:t>上周（</w:t>
      </w:r>
      <w:r>
        <w:rPr>
          <w:rFonts w:ascii="楷体" w:eastAsia="楷体" w:hAnsi="楷体" w:cs="Arial" w:hint="eastAsia"/>
          <w:color w:val="000000" w:themeColor="text1"/>
          <w:szCs w:val="21"/>
        </w:rPr>
        <w:t>2015.3.2~2015.3.6），</w:t>
      </w:r>
      <w:r w:rsidR="004F3A1B">
        <w:rPr>
          <w:rFonts w:ascii="楷体" w:eastAsia="楷体" w:hAnsi="楷体" w:cs="Arial" w:hint="eastAsia"/>
          <w:color w:val="000000" w:themeColor="text1"/>
          <w:szCs w:val="21"/>
        </w:rPr>
        <w:t>大盘短线调整，港股和美股均以阴报收，</w:t>
      </w:r>
      <w:r w:rsidR="002D09EA">
        <w:rPr>
          <w:rFonts w:ascii="楷体" w:eastAsia="楷体" w:hAnsi="楷体" w:cs="Arial" w:hint="eastAsia"/>
          <w:color w:val="000000" w:themeColor="text1"/>
          <w:szCs w:val="21"/>
        </w:rPr>
        <w:t>降息虽如期而至，但打新热潮使</w:t>
      </w:r>
      <w:r w:rsidR="006521E6">
        <w:rPr>
          <w:rFonts w:ascii="楷体" w:eastAsia="楷体" w:hAnsi="楷体" w:cs="Arial" w:hint="eastAsia"/>
          <w:color w:val="000000" w:themeColor="text1"/>
          <w:szCs w:val="21"/>
        </w:rPr>
        <w:t>得</w:t>
      </w:r>
      <w:r w:rsidR="002D09EA">
        <w:rPr>
          <w:rFonts w:ascii="楷体" w:eastAsia="楷体" w:hAnsi="楷体" w:cs="Arial" w:hint="eastAsia"/>
          <w:color w:val="000000" w:themeColor="text1"/>
          <w:szCs w:val="21"/>
        </w:rPr>
        <w:t>市场对资金面担忧，</w:t>
      </w:r>
      <w:r w:rsidR="006521E6">
        <w:rPr>
          <w:rFonts w:ascii="楷体" w:eastAsia="楷体" w:hAnsi="楷体" w:cs="Arial" w:hint="eastAsia"/>
          <w:color w:val="000000" w:themeColor="text1"/>
          <w:szCs w:val="21"/>
        </w:rPr>
        <w:t>权益类基金和固定收益类基金收益</w:t>
      </w:r>
      <w:r w:rsidR="004F3A1B">
        <w:rPr>
          <w:rFonts w:ascii="楷体" w:eastAsia="楷体" w:hAnsi="楷体" w:cs="Arial" w:hint="eastAsia"/>
          <w:color w:val="000000" w:themeColor="text1"/>
          <w:szCs w:val="21"/>
        </w:rPr>
        <w:t>普遍</w:t>
      </w:r>
      <w:r w:rsidR="00186AE8">
        <w:rPr>
          <w:rFonts w:ascii="楷体" w:eastAsia="楷体" w:hAnsi="楷体" w:cs="Arial" w:hint="eastAsia"/>
          <w:color w:val="000000" w:themeColor="text1"/>
          <w:szCs w:val="21"/>
        </w:rPr>
        <w:t>回调</w:t>
      </w:r>
      <w:r w:rsidR="004F3A1B">
        <w:rPr>
          <w:rFonts w:ascii="楷体" w:eastAsia="楷体" w:hAnsi="楷体" w:cs="Arial" w:hint="eastAsia"/>
          <w:color w:val="000000" w:themeColor="text1"/>
          <w:szCs w:val="21"/>
        </w:rPr>
        <w:t>。分类来看，股票-主动型基金微涨，股票-指数型基金</w:t>
      </w:r>
      <w:r w:rsidR="004F3A1B">
        <w:rPr>
          <w:rFonts w:ascii="楷体" w:eastAsia="楷体" w:hAnsi="楷体" w:cs="Arial" w:hint="eastAsia"/>
          <w:color w:val="000000" w:themeColor="text1"/>
          <w:szCs w:val="21"/>
        </w:rPr>
        <w:lastRenderedPageBreak/>
        <w:t>下跌；混合-偏股型和混合-灵活型微涨，混合-</w:t>
      </w:r>
      <w:r w:rsidR="00FE0215">
        <w:rPr>
          <w:rFonts w:ascii="楷体" w:eastAsia="楷体" w:hAnsi="楷体" w:cs="Arial" w:hint="eastAsia"/>
          <w:color w:val="000000" w:themeColor="text1"/>
          <w:szCs w:val="21"/>
        </w:rPr>
        <w:t>偏债型微跌；</w:t>
      </w:r>
      <w:r w:rsidR="004F3A1B">
        <w:rPr>
          <w:rFonts w:ascii="楷体" w:eastAsia="楷体" w:hAnsi="楷体" w:cs="Arial" w:hint="eastAsia"/>
          <w:color w:val="000000" w:themeColor="text1"/>
          <w:szCs w:val="21"/>
        </w:rPr>
        <w:t>QDII仅四分之一产品上涨，</w:t>
      </w:r>
      <w:r w:rsidR="00F05EE5">
        <w:rPr>
          <w:rFonts w:ascii="楷体" w:eastAsia="楷体" w:hAnsi="楷体" w:cs="Arial" w:hint="eastAsia"/>
          <w:color w:val="000000" w:themeColor="text1"/>
          <w:szCs w:val="21"/>
        </w:rPr>
        <w:t>新兴市场基金跌幅较大</w:t>
      </w:r>
      <w:r w:rsidR="004F3A1B">
        <w:rPr>
          <w:rFonts w:ascii="楷体" w:eastAsia="楷体" w:hAnsi="楷体" w:cs="Arial" w:hint="eastAsia"/>
          <w:color w:val="000000" w:themeColor="text1"/>
          <w:szCs w:val="21"/>
        </w:rPr>
        <w:t>，</w:t>
      </w:r>
      <w:r w:rsidR="00F05EE5">
        <w:rPr>
          <w:rFonts w:ascii="楷体" w:eastAsia="楷体" w:hAnsi="楷体" w:cs="Arial" w:hint="eastAsia"/>
          <w:color w:val="000000" w:themeColor="text1"/>
          <w:szCs w:val="21"/>
        </w:rPr>
        <w:t>全球市场基金收益居中，QDII-</w:t>
      </w:r>
      <w:r w:rsidR="006521E6">
        <w:rPr>
          <w:rFonts w:ascii="楷体" w:eastAsia="楷体" w:hAnsi="楷体" w:cs="Arial" w:hint="eastAsia"/>
          <w:color w:val="000000" w:themeColor="text1"/>
          <w:szCs w:val="21"/>
        </w:rPr>
        <w:t>债券</w:t>
      </w:r>
      <w:r w:rsidR="00F05EE5">
        <w:rPr>
          <w:rFonts w:ascii="楷体" w:eastAsia="楷体" w:hAnsi="楷体" w:cs="Arial" w:hint="eastAsia"/>
          <w:color w:val="000000" w:themeColor="text1"/>
          <w:szCs w:val="21"/>
        </w:rPr>
        <w:t>较其他品种</w:t>
      </w:r>
      <w:r w:rsidR="006521E6">
        <w:rPr>
          <w:rFonts w:ascii="楷体" w:eastAsia="楷体" w:hAnsi="楷体" w:cs="Arial" w:hint="eastAsia"/>
          <w:color w:val="000000" w:themeColor="text1"/>
          <w:szCs w:val="21"/>
        </w:rPr>
        <w:t>收益</w:t>
      </w:r>
      <w:r w:rsidR="00F05EE5">
        <w:rPr>
          <w:rFonts w:ascii="楷体" w:eastAsia="楷体" w:hAnsi="楷体" w:cs="Arial" w:hint="eastAsia"/>
          <w:color w:val="000000" w:themeColor="text1"/>
          <w:szCs w:val="21"/>
        </w:rPr>
        <w:t>靠前</w:t>
      </w:r>
      <w:r w:rsidR="00FE0215">
        <w:rPr>
          <w:rFonts w:ascii="楷体" w:eastAsia="楷体" w:hAnsi="楷体" w:cs="Arial" w:hint="eastAsia"/>
          <w:color w:val="000000" w:themeColor="text1"/>
          <w:szCs w:val="21"/>
        </w:rPr>
        <w:t>；</w:t>
      </w:r>
      <w:r w:rsidR="00F05EE5">
        <w:rPr>
          <w:rFonts w:ascii="楷体" w:eastAsia="楷体" w:hAnsi="楷体" w:cs="Arial" w:hint="eastAsia"/>
          <w:color w:val="000000" w:themeColor="text1"/>
          <w:szCs w:val="21"/>
        </w:rPr>
        <w:t>债券基金中，除理财债券收益率</w:t>
      </w:r>
      <w:r w:rsidR="006521E6">
        <w:rPr>
          <w:rFonts w:ascii="楷体" w:eastAsia="楷体" w:hAnsi="楷体" w:cs="Arial" w:hint="eastAsia"/>
          <w:color w:val="000000" w:themeColor="text1"/>
          <w:szCs w:val="21"/>
        </w:rPr>
        <w:t>均值保持为0.09%</w:t>
      </w:r>
      <w:r w:rsidR="00F05EE5">
        <w:rPr>
          <w:rFonts w:ascii="楷体" w:eastAsia="楷体" w:hAnsi="楷体" w:cs="Arial" w:hint="eastAsia"/>
          <w:color w:val="000000" w:themeColor="text1"/>
          <w:szCs w:val="21"/>
        </w:rPr>
        <w:t>，其他各类产品收益率均值皆为负，可转债基跌幅最大，指数债基跌幅其次，一级债基和二级债基表现相近，纯债基金微跌。</w:t>
      </w:r>
    </w:p>
    <w:tbl>
      <w:tblPr>
        <w:tblW w:w="1077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400"/>
        <w:gridCol w:w="1197"/>
        <w:gridCol w:w="946"/>
        <w:gridCol w:w="1448"/>
        <w:gridCol w:w="1197"/>
        <w:gridCol w:w="1041"/>
        <w:gridCol w:w="1353"/>
        <w:gridCol w:w="1197"/>
      </w:tblGrid>
      <w:tr w:rsidR="000D4A66" w:rsidRPr="005B7CDB" w:rsidTr="00D7627F">
        <w:trPr>
          <w:trHeight w:val="335"/>
          <w:tblHeader/>
        </w:trPr>
        <w:tc>
          <w:tcPr>
            <w:tcW w:w="10772" w:type="dxa"/>
            <w:gridSpan w:val="9"/>
            <w:tcBorders>
              <w:bottom w:val="single" w:sz="6" w:space="0" w:color="FF6600"/>
            </w:tcBorders>
            <w:shd w:val="clear" w:color="auto" w:fill="auto"/>
            <w:vAlign w:val="center"/>
          </w:tcPr>
          <w:p w:rsidR="000D4A66" w:rsidRPr="005B7CDB" w:rsidRDefault="000D4A66" w:rsidP="00D75B16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="008F39C1" w:rsidRPr="005B7CDB">
              <w:rPr>
                <w:rFonts w:ascii="楷体" w:eastAsia="楷体" w:hAnsi="楷体" w:hint="eastAsia"/>
                <w:color w:val="FF6600"/>
              </w:rPr>
              <w:t>4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：各类型公募基金（含封闭式）周平均收益率（</w:t>
            </w:r>
            <w:r w:rsidR="00B424DA">
              <w:rPr>
                <w:rFonts w:ascii="楷体" w:eastAsia="楷体" w:hAnsi="楷体" w:hint="eastAsia"/>
                <w:color w:val="FF6600"/>
              </w:rPr>
              <w:t>3</w:t>
            </w:r>
            <w:r w:rsidR="00254284">
              <w:rPr>
                <w:rFonts w:ascii="楷体" w:eastAsia="楷体" w:hAnsi="楷体" w:hint="eastAsia"/>
                <w:color w:val="FF6600"/>
              </w:rPr>
              <w:t>.</w:t>
            </w:r>
            <w:r w:rsidR="00B424DA">
              <w:rPr>
                <w:rFonts w:ascii="楷体" w:eastAsia="楷体" w:hAnsi="楷体" w:hint="eastAsia"/>
                <w:color w:val="FF6600"/>
              </w:rPr>
              <w:t>2</w:t>
            </w:r>
            <w:r w:rsidR="00254284">
              <w:rPr>
                <w:rFonts w:ascii="楷体" w:eastAsia="楷体" w:hAnsi="楷体" w:hint="eastAsia"/>
                <w:color w:val="FF6600"/>
              </w:rPr>
              <w:t>~</w:t>
            </w:r>
            <w:r w:rsidR="00B424DA">
              <w:rPr>
                <w:rFonts w:ascii="楷体" w:eastAsia="楷体" w:hAnsi="楷体" w:hint="eastAsia"/>
                <w:color w:val="FF6600"/>
              </w:rPr>
              <w:t>3</w:t>
            </w:r>
            <w:r w:rsidR="00C21953">
              <w:rPr>
                <w:rFonts w:ascii="楷体" w:eastAsia="楷体" w:hAnsi="楷体" w:hint="eastAsia"/>
                <w:color w:val="FF6600"/>
              </w:rPr>
              <w:t>.</w:t>
            </w:r>
            <w:r w:rsidR="00B424DA">
              <w:rPr>
                <w:rFonts w:ascii="楷体" w:eastAsia="楷体" w:hAnsi="楷体" w:hint="eastAsia"/>
                <w:color w:val="FF6600"/>
              </w:rPr>
              <w:t>6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Pr="005B7CDB">
              <w:rPr>
                <w:rFonts w:ascii="楷体" w:eastAsia="楷体" w:hAnsi="楷体" w:hint="eastAsia"/>
                <w:color w:val="FF6600"/>
              </w:rPr>
              <w:t>QDII为</w:t>
            </w:r>
            <w:r w:rsidR="00B424DA">
              <w:rPr>
                <w:rFonts w:ascii="楷体" w:eastAsia="楷体" w:hAnsi="楷体" w:hint="eastAsia"/>
                <w:color w:val="FF6600"/>
              </w:rPr>
              <w:t>2.27</w:t>
            </w:r>
            <w:r w:rsidR="00E86700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B424DA">
              <w:rPr>
                <w:rFonts w:ascii="楷体" w:eastAsia="楷体" w:hAnsi="楷体" w:hint="eastAsia"/>
                <w:color w:val="FF6600"/>
              </w:rPr>
              <w:t>3.5</w:t>
            </w:r>
            <w:r w:rsidR="005E11DF">
              <w:rPr>
                <w:rFonts w:ascii="楷体" w:eastAsia="楷体" w:hAnsi="楷体" w:hint="eastAsia"/>
                <w:color w:val="FF6600"/>
              </w:rPr>
              <w:t>，</w:t>
            </w:r>
            <w:r w:rsidR="00F60041" w:rsidRPr="005B7CDB">
              <w:rPr>
                <w:rFonts w:ascii="楷体" w:eastAsia="楷体" w:hAnsi="楷体" w:hint="eastAsia"/>
                <w:color w:val="FF6600"/>
              </w:rPr>
              <w:t>货币基金为</w:t>
            </w:r>
            <w:r w:rsidR="0034351F" w:rsidRPr="005B7CDB">
              <w:rPr>
                <w:rFonts w:ascii="楷体" w:eastAsia="楷体" w:hAnsi="楷体" w:hint="eastAsia"/>
                <w:color w:val="FF6600"/>
              </w:rPr>
              <w:t>7日年化</w:t>
            </w:r>
            <w:r w:rsidR="00F60041" w:rsidRPr="005B7CDB">
              <w:rPr>
                <w:rFonts w:ascii="楷体" w:eastAsia="楷体" w:hAnsi="楷体" w:hint="eastAsia"/>
                <w:color w:val="FF6600"/>
              </w:rPr>
              <w:t>收益</w:t>
            </w:r>
            <w:r w:rsidR="0086042C">
              <w:rPr>
                <w:rFonts w:ascii="楷体" w:eastAsia="楷体" w:hAnsi="楷体" w:hint="eastAsia"/>
                <w:color w:val="FF6600"/>
              </w:rPr>
              <w:t>率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0D4A66" w:rsidRPr="005B7CDB" w:rsidTr="00D7627F">
        <w:trPr>
          <w:trHeight w:val="284"/>
          <w:tblHeader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股票-主动型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CD581D" w:rsidP="003715F5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0.09</w:t>
            </w:r>
          </w:p>
        </w:tc>
        <w:tc>
          <w:tcPr>
            <w:tcW w:w="946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债券型</w:t>
            </w: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债券-纯债基金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A7544D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-0.05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货币市场基金</w:t>
            </w:r>
            <w:r w:rsidRPr="00692F2D">
              <w:rPr>
                <w:rFonts w:ascii="楷体" w:eastAsia="楷体" w:hAnsi="楷体" w:hint="eastAsia"/>
                <w:b/>
                <w:sz w:val="18"/>
                <w:szCs w:val="18"/>
              </w:rPr>
              <w:t>7日年化收益率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084B74" w:rsidP="00922EF6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4.74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股票-指数型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B103F5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-1.12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债券-一级债基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5B32AB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-0.29</w:t>
            </w:r>
          </w:p>
        </w:tc>
        <w:tc>
          <w:tcPr>
            <w:tcW w:w="1041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分级基金</w:t>
            </w:r>
          </w:p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子份额</w:t>
            </w: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B60C83" w:rsidP="00E243BF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0.08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混合型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混合-偏股型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B60C83" w:rsidP="009D6B40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0.11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债券-二级债基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E243BF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-0.21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AB0D99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-1.31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混合-偏债型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F40C1B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-0.06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债券-指数债基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9D6B40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-0.68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债券稳健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B60C83" w:rsidP="00E243BF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0.07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混合-灵活型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B60C83" w:rsidP="006766DE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0.11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债券-可转债基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922EF6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-1.89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债券积极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084B74" w:rsidRDefault="00B60C83" w:rsidP="00E243BF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084B74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-0.83</w:t>
            </w:r>
          </w:p>
        </w:tc>
      </w:tr>
      <w:tr w:rsidR="00130016" w:rsidRPr="00692F2D" w:rsidTr="00884478">
        <w:trPr>
          <w:cantSplit/>
          <w:trHeight w:val="284"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sz w:val="18"/>
                <w:szCs w:val="18"/>
              </w:rPr>
              <w:t>QDII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0D513E" w:rsidP="00922EF6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-0.94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债券-理财债基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B60C83" w:rsidP="00922EF6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0.09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商品基金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B60C83" w:rsidP="00100CB5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-0.99</w:t>
            </w:r>
          </w:p>
        </w:tc>
      </w:tr>
    </w:tbl>
    <w:p w:rsidR="000D4A66" w:rsidRPr="00692F2D" w:rsidRDefault="000D4A66" w:rsidP="000D4A66">
      <w:pPr>
        <w:pStyle w:val="FootnoteNoline"/>
        <w:ind w:left="0"/>
        <w:rPr>
          <w:rFonts w:ascii="楷体" w:eastAsia="楷体" w:hAnsi="楷体"/>
          <w:color w:val="auto"/>
          <w:lang w:val="en-US"/>
        </w:rPr>
      </w:pPr>
      <w:r w:rsidRPr="00692F2D">
        <w:rPr>
          <w:rFonts w:ascii="楷体" w:eastAsia="楷体" w:hAnsi="楷体" w:cs="宋体" w:hint="eastAsia"/>
          <w:color w:val="auto"/>
          <w:lang w:val="en-US"/>
        </w:rPr>
        <w:t>来源：凯石财富工场</w:t>
      </w:r>
    </w:p>
    <w:p w:rsidR="009E2031" w:rsidRPr="0084575C" w:rsidRDefault="00B06585" w:rsidP="0040350C">
      <w:pPr>
        <w:widowControl/>
        <w:spacing w:after="120"/>
        <w:ind w:left="3430"/>
        <w:rPr>
          <w:rFonts w:ascii="楷体" w:eastAsia="楷体" w:hAnsi="楷体"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权益类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基金一周业绩：</w:t>
      </w:r>
      <w:r w:rsidR="00060376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股基混合涨跌互现，QDII仅四分之一上涨</w:t>
      </w:r>
    </w:p>
    <w:p w:rsidR="0071752E" w:rsidRPr="00E0346B" w:rsidRDefault="002D09EA" w:rsidP="008C3A8D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E0346B">
        <w:rPr>
          <w:rFonts w:ascii="楷体" w:eastAsia="楷体" w:hAnsi="楷体" w:cs="Arial" w:hint="eastAsia"/>
          <w:color w:val="000000" w:themeColor="text1"/>
          <w:szCs w:val="21"/>
        </w:rPr>
        <w:t>上周，虽然新兴产业板块利好不断，但是大盘调整，海外股市景气不高，权益市场应声下挫，权益类基金</w:t>
      </w:r>
      <w:r w:rsidR="00C7008F" w:rsidRPr="00E0346B">
        <w:rPr>
          <w:rFonts w:ascii="楷体" w:eastAsia="楷体" w:hAnsi="楷体" w:cs="Arial" w:hint="eastAsia"/>
          <w:color w:val="000000" w:themeColor="text1"/>
          <w:szCs w:val="21"/>
        </w:rPr>
        <w:t>半涨半跌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。股票基金中，</w:t>
      </w:r>
      <w:r w:rsidR="00B171AD" w:rsidRPr="00E0346B">
        <w:rPr>
          <w:rFonts w:ascii="楷体" w:eastAsia="楷体" w:hAnsi="楷体" w:cs="Arial" w:hint="eastAsia"/>
          <w:color w:val="000000" w:themeColor="text1"/>
          <w:szCs w:val="21"/>
        </w:rPr>
        <w:t>主动型收益好于指数型，</w:t>
      </w:r>
      <w:r w:rsidR="00937071" w:rsidRPr="00E0346B">
        <w:rPr>
          <w:rFonts w:ascii="楷体" w:eastAsia="楷体" w:hAnsi="楷体" w:cs="Arial" w:hint="eastAsia"/>
          <w:color w:val="000000" w:themeColor="text1"/>
          <w:szCs w:val="21"/>
        </w:rPr>
        <w:t>混合基金中，偏股型和灵活型微涨，偏债型微跌。QDII</w:t>
      </w:r>
      <w:r w:rsidR="00B74D10" w:rsidRPr="00E0346B">
        <w:rPr>
          <w:rFonts w:ascii="楷体" w:eastAsia="楷体" w:hAnsi="楷体" w:cs="Arial" w:hint="eastAsia"/>
          <w:color w:val="000000" w:themeColor="text1"/>
          <w:szCs w:val="21"/>
        </w:rPr>
        <w:t>基金仅四分之一产品上涨，无明显领涨风格，债券基金</w:t>
      </w:r>
      <w:r w:rsidR="00937071" w:rsidRPr="00E0346B">
        <w:rPr>
          <w:rFonts w:ascii="楷体" w:eastAsia="楷体" w:hAnsi="楷体" w:cs="Arial" w:hint="eastAsia"/>
          <w:color w:val="000000" w:themeColor="text1"/>
          <w:szCs w:val="21"/>
        </w:rPr>
        <w:t>和部分商品基金业绩居前，新兴市场基金跌幅较大。</w:t>
      </w:r>
    </w:p>
    <w:p w:rsidR="0071752E" w:rsidRPr="00E0346B" w:rsidRDefault="00E54A75" w:rsidP="003A15A4">
      <w:pPr>
        <w:pStyle w:val="ab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color w:val="000000" w:themeColor="text1"/>
          <w:szCs w:val="21"/>
        </w:rPr>
      </w:pPr>
      <w:r w:rsidRPr="00E0346B">
        <w:rPr>
          <w:rFonts w:ascii="楷体" w:eastAsia="楷体" w:hAnsi="楷体" w:cs="Arial" w:hint="eastAsia"/>
          <w:color w:val="000000" w:themeColor="text1"/>
          <w:szCs w:val="21"/>
        </w:rPr>
        <w:t>446只股票-主动型基金平均上涨0.09%</w:t>
      </w:r>
      <w:r w:rsidR="00C7008F" w:rsidRPr="00E0346B">
        <w:rPr>
          <w:rFonts w:ascii="楷体" w:eastAsia="楷体" w:hAnsi="楷体" w:cs="Arial" w:hint="eastAsia"/>
          <w:color w:val="000000" w:themeColor="text1"/>
          <w:szCs w:val="21"/>
        </w:rPr>
        <w:t>，半数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以上产品上涨，最大涨幅为</w:t>
      </w:r>
      <w:r w:rsidRPr="00E0346B">
        <w:rPr>
          <w:rFonts w:ascii="楷体" w:eastAsia="楷体" w:hAnsi="楷体" w:hint="eastAsia"/>
          <w:szCs w:val="21"/>
        </w:rPr>
        <w:t>大摩进取优选的5.20%，最大跌幅为-5.25%。291只股票-指数型基金平均下跌1.12%，</w:t>
      </w:r>
      <w:r w:rsidR="00C7008F" w:rsidRPr="00E0346B">
        <w:rPr>
          <w:rFonts w:ascii="楷体" w:eastAsia="楷体" w:hAnsi="楷体" w:hint="eastAsia"/>
          <w:szCs w:val="21"/>
        </w:rPr>
        <w:t>约三分之一产品上涨，最大涨幅为南方中证500医药卫生ETF的3.54%，最大跌幅为5.32%，约8%的产品跌幅大于4%。</w:t>
      </w:r>
    </w:p>
    <w:p w:rsidR="00C7008F" w:rsidRPr="00E0346B" w:rsidRDefault="00C7008F" w:rsidP="003A15A4">
      <w:pPr>
        <w:pStyle w:val="ab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color w:val="000000" w:themeColor="text1"/>
          <w:szCs w:val="21"/>
        </w:rPr>
      </w:pPr>
      <w:r w:rsidRPr="00E0346B">
        <w:rPr>
          <w:rFonts w:ascii="楷体" w:eastAsia="楷体" w:hAnsi="楷体" w:hint="eastAsia"/>
          <w:szCs w:val="21"/>
        </w:rPr>
        <w:t>混合基金中，偏股型、偏债型和灵活型均</w:t>
      </w:r>
      <w:r w:rsidR="004B5CE3" w:rsidRPr="00E0346B">
        <w:rPr>
          <w:rFonts w:ascii="楷体" w:eastAsia="楷体" w:hAnsi="楷体" w:hint="eastAsia"/>
          <w:szCs w:val="21"/>
        </w:rPr>
        <w:t>涨跌参半，平均收益率分别为0.11%、-0.06%和0.11%。</w:t>
      </w:r>
      <w:r w:rsidR="0002010B" w:rsidRPr="00E0346B">
        <w:rPr>
          <w:rFonts w:ascii="楷体" w:eastAsia="楷体" w:hAnsi="楷体" w:hint="eastAsia"/>
          <w:szCs w:val="21"/>
        </w:rPr>
        <w:t>偏股型基金最高收益为鹏华行业成长的3.15%，最低收益为-3.34%。偏债型基金最高收益为泰达宏利风险预算的2.02，最低收益为-1.22%。灵活型基金最高收益为新华鑫益的4.18%，最低收益为-5.91%。</w:t>
      </w:r>
    </w:p>
    <w:p w:rsidR="0071752E" w:rsidRPr="00E0346B" w:rsidRDefault="0002010B" w:rsidP="00A91C00">
      <w:pPr>
        <w:pStyle w:val="ab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color w:val="000000" w:themeColor="text1"/>
          <w:szCs w:val="21"/>
        </w:rPr>
      </w:pPr>
      <w:r w:rsidRPr="00E0346B">
        <w:rPr>
          <w:rFonts w:ascii="楷体" w:eastAsia="楷体" w:hAnsi="楷体" w:cs="Arial" w:hint="eastAsia"/>
          <w:color w:val="000000" w:themeColor="text1"/>
          <w:szCs w:val="21"/>
        </w:rPr>
        <w:t>98只QDII产品仅25只上涨，平均收益为-0.94%</w:t>
      </w:r>
      <w:r w:rsidR="00B74D10" w:rsidRPr="00E0346B">
        <w:rPr>
          <w:rFonts w:ascii="楷体" w:eastAsia="楷体" w:hAnsi="楷体" w:cs="Arial" w:hint="eastAsia"/>
          <w:color w:val="000000" w:themeColor="text1"/>
          <w:szCs w:val="21"/>
        </w:rPr>
        <w:t>，无明显领涨风格，债券基金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和部分商品基金业绩居前，全球市场基金收益居中，新兴市场基金跌幅较大。信诚全球商品主题（1.06%）</w:t>
      </w:r>
      <w:r w:rsidR="00EE6174" w:rsidRPr="00E0346B">
        <w:rPr>
          <w:rFonts w:ascii="楷体" w:eastAsia="楷体" w:hAnsi="楷体" w:cs="Arial" w:hint="eastAsia"/>
          <w:color w:val="000000" w:themeColor="text1"/>
          <w:szCs w:val="21"/>
        </w:rPr>
        <w:t>排名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第一，</w:t>
      </w:r>
      <w:r w:rsidR="00EE6174" w:rsidRPr="00E0346B">
        <w:rPr>
          <w:rFonts w:ascii="楷体" w:eastAsia="楷体" w:hAnsi="楷体" w:cs="Arial" w:hint="eastAsia"/>
          <w:color w:val="000000" w:themeColor="text1"/>
          <w:szCs w:val="21"/>
        </w:rPr>
        <w:t>易方达亚洲精选（1.58%）排名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第二</w:t>
      </w:r>
      <w:r w:rsidR="00EE6174" w:rsidRPr="00E0346B">
        <w:rPr>
          <w:rFonts w:ascii="楷体" w:eastAsia="楷体" w:hAnsi="楷体" w:cs="Arial" w:hint="eastAsia"/>
          <w:color w:val="000000" w:themeColor="text1"/>
          <w:szCs w:val="21"/>
        </w:rPr>
        <w:t>，亚太（除日本）基金、行业基金，美股基金，新兴市场基金各有一只产品收益位于前十。</w:t>
      </w:r>
    </w:p>
    <w:p w:rsidR="006F7932" w:rsidRPr="0046387D" w:rsidRDefault="00980F3B" w:rsidP="0046387D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固定</w:t>
      </w:r>
      <w:r w:rsidRPr="003B6A6A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收</w:t>
      </w: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益类</w:t>
      </w:r>
      <w:r w:rsidR="00503057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基金一周业绩：</w:t>
      </w:r>
      <w:r w:rsidR="007B496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债基业绩回调，货基</w:t>
      </w:r>
      <w:r w:rsidR="00535CD5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无明显起色</w:t>
      </w:r>
    </w:p>
    <w:p w:rsidR="006050BC" w:rsidRPr="00E0346B" w:rsidRDefault="006050BC" w:rsidP="00DB49ED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E0346B">
        <w:rPr>
          <w:rFonts w:ascii="楷体" w:eastAsia="楷体" w:hAnsi="楷体" w:hint="eastAsia"/>
          <w:szCs w:val="21"/>
        </w:rPr>
        <w:t>央行宣布自3月1日起下调金融机构一年期存贷款基准利率0.25个百分点，同时将金融机构存款利率浮动区间的上限由存款基准利率的1.2倍调整为1.3倍。上周四，央行公开市场进行400亿元7天期逆回购操作，中标利率维持在3.75%，全周</w:t>
      </w:r>
      <w:r w:rsidR="00453C76">
        <w:rPr>
          <w:rFonts w:ascii="楷体" w:eastAsia="楷体" w:hAnsi="楷体" w:hint="eastAsia"/>
          <w:szCs w:val="21"/>
        </w:rPr>
        <w:t>实现</w:t>
      </w:r>
      <w:r w:rsidRPr="00E0346B">
        <w:rPr>
          <w:rFonts w:ascii="楷体" w:eastAsia="楷体" w:hAnsi="楷体" w:hint="eastAsia"/>
          <w:szCs w:val="21"/>
        </w:rPr>
        <w:t>资金净回笼1450亿元。</w:t>
      </w:r>
    </w:p>
    <w:p w:rsidR="00B70CCF" w:rsidRPr="00E0346B" w:rsidRDefault="00F05EE5" w:rsidP="009F7062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E0346B">
        <w:rPr>
          <w:rFonts w:ascii="楷体" w:eastAsia="楷体" w:hAnsi="楷体" w:cs="Arial" w:hint="eastAsia"/>
          <w:color w:val="000000" w:themeColor="text1"/>
          <w:szCs w:val="21"/>
        </w:rPr>
        <w:t>债券基金中，除理财债券仍保持0.09%的收益率，其他各类产品收益率均值皆为负</w:t>
      </w:r>
      <w:r w:rsidR="00F20C9D" w:rsidRPr="00E0346B">
        <w:rPr>
          <w:rFonts w:ascii="楷体" w:eastAsia="楷体" w:hAnsi="楷体" w:cs="Arial" w:hint="eastAsia"/>
          <w:color w:val="000000" w:themeColor="text1"/>
          <w:szCs w:val="21"/>
        </w:rPr>
        <w:t>。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可转债基（-1.89%）跌幅最大，指数债基（-0.68%）跌幅其次，</w:t>
      </w:r>
      <w:r w:rsidR="00F20C9D" w:rsidRPr="00E0346B">
        <w:rPr>
          <w:rFonts w:ascii="楷体" w:eastAsia="楷体" w:hAnsi="楷体" w:cs="Arial" w:hint="eastAsia"/>
          <w:color w:val="000000" w:themeColor="text1"/>
          <w:szCs w:val="21"/>
        </w:rPr>
        <w:t>两类产品几乎全部下跌，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一级债基（-0.29%）和二级债基（-0.21%）表现相近</w:t>
      </w:r>
      <w:r w:rsidR="00F20C9D" w:rsidRPr="00E0346B">
        <w:rPr>
          <w:rFonts w:ascii="楷体" w:eastAsia="楷体" w:hAnsi="楷体" w:cs="Arial" w:hint="eastAsia"/>
          <w:color w:val="000000" w:themeColor="text1"/>
          <w:szCs w:val="21"/>
        </w:rPr>
        <w:t>。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纯债基金微跌（-0.05%）</w:t>
      </w:r>
      <w:r w:rsidR="00F20C9D" w:rsidRPr="00E0346B">
        <w:rPr>
          <w:rFonts w:ascii="楷体" w:eastAsia="楷体" w:hAnsi="楷体" w:cs="Arial" w:hint="eastAsia"/>
          <w:color w:val="000000" w:themeColor="text1"/>
          <w:szCs w:val="21"/>
        </w:rPr>
        <w:t>，</w:t>
      </w:r>
      <w:r w:rsidR="00E0346B">
        <w:rPr>
          <w:rFonts w:ascii="楷体" w:eastAsia="楷体" w:hAnsi="楷体" w:cs="Arial" w:hint="eastAsia"/>
          <w:color w:val="000000" w:themeColor="text1"/>
          <w:szCs w:val="21"/>
        </w:rPr>
        <w:t>纯债产品中，</w:t>
      </w:r>
      <w:r w:rsidR="00F20C9D" w:rsidRPr="00E0346B">
        <w:rPr>
          <w:rFonts w:ascii="楷体" w:eastAsia="楷体" w:hAnsi="楷体" w:hint="eastAsia"/>
          <w:szCs w:val="21"/>
        </w:rPr>
        <w:t>长盛同丰</w:t>
      </w:r>
      <w:r w:rsidR="00E0346B">
        <w:rPr>
          <w:rFonts w:ascii="楷体" w:eastAsia="楷体" w:hAnsi="楷体" w:hint="eastAsia"/>
          <w:szCs w:val="21"/>
        </w:rPr>
        <w:t>（</w:t>
      </w:r>
      <w:r w:rsidR="00E0346B" w:rsidRPr="00E0346B">
        <w:rPr>
          <w:rFonts w:ascii="楷体" w:eastAsia="楷体" w:hAnsi="楷体" w:hint="eastAsia"/>
          <w:szCs w:val="21"/>
        </w:rPr>
        <w:t>1.11%</w:t>
      </w:r>
      <w:r w:rsidR="00E0346B">
        <w:rPr>
          <w:rFonts w:ascii="楷体" w:eastAsia="楷体" w:hAnsi="楷体" w:hint="eastAsia"/>
          <w:szCs w:val="21"/>
        </w:rPr>
        <w:t>）收益最高</w:t>
      </w:r>
      <w:r w:rsidR="00F20C9D" w:rsidRPr="00E0346B">
        <w:rPr>
          <w:rFonts w:ascii="楷体" w:eastAsia="楷体" w:hAnsi="楷体" w:hint="eastAsia"/>
          <w:szCs w:val="21"/>
        </w:rPr>
        <w:t>。</w:t>
      </w:r>
    </w:p>
    <w:p w:rsidR="00F20C9D" w:rsidRPr="00E0346B" w:rsidRDefault="00F20C9D" w:rsidP="003E2434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E0346B">
        <w:rPr>
          <w:rFonts w:ascii="楷体" w:eastAsia="楷体" w:hAnsi="楷体" w:cs="Arial" w:hint="eastAsia"/>
          <w:color w:val="000000" w:themeColor="text1"/>
          <w:szCs w:val="21"/>
        </w:rPr>
        <w:t>318只货币基金七日年化收益率均值为4.74%，其中，21%的产品七日年化收益率大于5%，47%的产品在4%~5%之间，13%的产品在3</w:t>
      </w:r>
      <w:r w:rsidR="009F7062" w:rsidRPr="00E0346B">
        <w:rPr>
          <w:rFonts w:ascii="楷体" w:eastAsia="楷体" w:hAnsi="楷体" w:cs="Arial" w:hint="eastAsia"/>
          <w:color w:val="000000" w:themeColor="text1"/>
          <w:szCs w:val="21"/>
        </w:rPr>
        <w:t>%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~4</w:t>
      </w:r>
      <w:r w:rsidR="009F7062" w:rsidRPr="00E0346B">
        <w:rPr>
          <w:rFonts w:ascii="楷体" w:eastAsia="楷体" w:hAnsi="楷体" w:cs="Arial" w:hint="eastAsia"/>
          <w:color w:val="000000" w:themeColor="text1"/>
          <w:szCs w:val="21"/>
        </w:rPr>
        <w:t>%之间。国开泰富货币B（10.69%）和国开泰富货币A（10.41%）收益最佳。</w:t>
      </w:r>
    </w:p>
    <w:p w:rsidR="00E272FB" w:rsidRPr="001336AF" w:rsidRDefault="008E2FEB" w:rsidP="001336AF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分级基金子份额一周业绩：股基与债基积极份额业绩差距明显</w:t>
      </w:r>
    </w:p>
    <w:p w:rsidR="00530342" w:rsidRPr="00530342" w:rsidRDefault="00530342" w:rsidP="003C3F02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530342">
        <w:rPr>
          <w:rFonts w:ascii="楷体" w:eastAsia="楷体" w:hAnsi="楷体" w:cs="Arial" w:hint="eastAsia"/>
          <w:color w:val="000000" w:themeColor="text1"/>
          <w:szCs w:val="21"/>
        </w:rPr>
        <w:lastRenderedPageBreak/>
        <w:t>上周，63只股基稳健份额有60只上涨，平均收益为0.08%，</w:t>
      </w:r>
      <w:r w:rsidRPr="00530342">
        <w:rPr>
          <w:rFonts w:ascii="楷体" w:eastAsia="楷体" w:hAnsi="楷体" w:hint="eastAsia"/>
          <w:szCs w:val="21"/>
        </w:rPr>
        <w:t>信诚中证500A等五只产品收益最高，为0.20%。37%的股基积极份额上涨，平均收益为-1.31%，产品业绩分化较大，最高收益为信诚中证800有色B的5.72%，最低收益为-10.13%。</w:t>
      </w:r>
    </w:p>
    <w:p w:rsidR="00290AF6" w:rsidRPr="00390F20" w:rsidRDefault="00C246C2" w:rsidP="00C356BF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390F20">
        <w:rPr>
          <w:rFonts w:ascii="楷体" w:eastAsia="楷体" w:hAnsi="楷体" w:cs="Arial" w:hint="eastAsia"/>
          <w:color w:val="000000" w:themeColor="text1"/>
          <w:szCs w:val="21"/>
        </w:rPr>
        <w:t>上周，</w:t>
      </w:r>
      <w:r w:rsidR="00530342" w:rsidRPr="00390F20">
        <w:rPr>
          <w:rFonts w:ascii="楷体" w:eastAsia="楷体" w:hAnsi="楷体" w:cs="Arial" w:hint="eastAsia"/>
          <w:color w:val="000000" w:themeColor="text1"/>
          <w:szCs w:val="21"/>
        </w:rPr>
        <w:t>55只债基</w:t>
      </w:r>
      <w:r w:rsidR="00A40909" w:rsidRPr="00390F20">
        <w:rPr>
          <w:rFonts w:ascii="楷体" w:eastAsia="楷体" w:hAnsi="楷体" w:cs="Arial" w:hint="eastAsia"/>
          <w:color w:val="000000" w:themeColor="text1"/>
          <w:szCs w:val="21"/>
        </w:rPr>
        <w:t>稳健份额</w:t>
      </w:r>
      <w:r w:rsidR="00530342" w:rsidRPr="00390F20">
        <w:rPr>
          <w:rFonts w:ascii="楷体" w:eastAsia="楷体" w:hAnsi="楷体" w:cs="Arial" w:hint="eastAsia"/>
          <w:color w:val="000000" w:themeColor="text1"/>
          <w:szCs w:val="21"/>
        </w:rPr>
        <w:t>平均收益为0.07%，42只产品收益最高</w:t>
      </w:r>
      <w:r w:rsidR="00390F20" w:rsidRPr="00390F20">
        <w:rPr>
          <w:rFonts w:ascii="楷体" w:eastAsia="楷体" w:hAnsi="楷体" w:cs="Arial" w:hint="eastAsia"/>
          <w:color w:val="000000" w:themeColor="text1"/>
          <w:szCs w:val="21"/>
        </w:rPr>
        <w:t>，皆为0.10%。55只</w:t>
      </w:r>
      <w:r w:rsidR="00A40909" w:rsidRPr="00390F20">
        <w:rPr>
          <w:rFonts w:ascii="楷体" w:eastAsia="楷体" w:hAnsi="楷体" w:cs="Arial" w:hint="eastAsia"/>
          <w:color w:val="000000" w:themeColor="text1"/>
          <w:szCs w:val="21"/>
        </w:rPr>
        <w:t>债基积极份额平均</w:t>
      </w:r>
      <w:r w:rsidR="00390F20" w:rsidRPr="00390F20">
        <w:rPr>
          <w:rFonts w:ascii="楷体" w:eastAsia="楷体" w:hAnsi="楷体" w:cs="Arial" w:hint="eastAsia"/>
          <w:color w:val="000000" w:themeColor="text1"/>
          <w:szCs w:val="21"/>
        </w:rPr>
        <w:t>收益为-0.83</w:t>
      </w:r>
      <w:r w:rsidR="00A40909" w:rsidRPr="00390F20">
        <w:rPr>
          <w:rFonts w:ascii="楷体" w:eastAsia="楷体" w:hAnsi="楷体" w:cs="Arial" w:hint="eastAsia"/>
          <w:color w:val="000000" w:themeColor="text1"/>
          <w:szCs w:val="21"/>
        </w:rPr>
        <w:t>%，</w:t>
      </w:r>
      <w:r w:rsidR="00390F20" w:rsidRPr="00390F20">
        <w:rPr>
          <w:rFonts w:ascii="楷体" w:eastAsia="楷体" w:hAnsi="楷体" w:cs="Arial" w:hint="eastAsia"/>
          <w:color w:val="000000" w:themeColor="text1"/>
          <w:szCs w:val="21"/>
        </w:rPr>
        <w:t>仅15只产品上涨,</w:t>
      </w:r>
      <w:r w:rsidR="00A40909" w:rsidRPr="00390F20">
        <w:rPr>
          <w:rFonts w:ascii="楷体" w:eastAsia="楷体" w:hAnsi="楷体" w:cs="Arial" w:hint="eastAsia"/>
          <w:color w:val="000000" w:themeColor="text1"/>
          <w:szCs w:val="21"/>
        </w:rPr>
        <w:t>最高收益为</w:t>
      </w:r>
      <w:r w:rsidR="00390F20" w:rsidRPr="00390F20">
        <w:rPr>
          <w:rFonts w:ascii="楷体" w:eastAsia="楷体" w:hAnsi="楷体" w:hint="eastAsia"/>
          <w:szCs w:val="21"/>
        </w:rPr>
        <w:t>财通纯债分级B的0.91%，其次为新华惠鑫分级B的0.54%</w:t>
      </w:r>
      <w:r w:rsidR="00A40909" w:rsidRPr="00390F20">
        <w:rPr>
          <w:rFonts w:ascii="楷体" w:eastAsia="楷体" w:hAnsi="楷体" w:hint="eastAsia"/>
          <w:szCs w:val="21"/>
        </w:rPr>
        <w:t>，最低收益为</w:t>
      </w:r>
      <w:r w:rsidR="00390F20" w:rsidRPr="00390F20">
        <w:rPr>
          <w:rFonts w:ascii="楷体" w:eastAsia="楷体" w:hAnsi="楷体" w:hint="eastAsia"/>
          <w:szCs w:val="21"/>
        </w:rPr>
        <w:t>-10.59%</w:t>
      </w:r>
      <w:r w:rsidR="00B17504" w:rsidRPr="00390F20">
        <w:rPr>
          <w:rFonts w:ascii="楷体" w:eastAsia="楷体" w:hAnsi="楷体" w:hint="eastAsia"/>
          <w:szCs w:val="21"/>
        </w:rPr>
        <w:t>。</w:t>
      </w:r>
    </w:p>
    <w:tbl>
      <w:tblPr>
        <w:tblW w:w="11057" w:type="dxa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09"/>
        <w:gridCol w:w="2126"/>
        <w:gridCol w:w="567"/>
        <w:gridCol w:w="851"/>
        <w:gridCol w:w="992"/>
        <w:gridCol w:w="992"/>
        <w:gridCol w:w="2410"/>
        <w:gridCol w:w="709"/>
        <w:gridCol w:w="850"/>
      </w:tblGrid>
      <w:tr w:rsidR="008177CF" w:rsidRPr="005B7CDB" w:rsidTr="00CE01AE">
        <w:trPr>
          <w:cantSplit/>
          <w:trHeight w:val="335"/>
        </w:trPr>
        <w:tc>
          <w:tcPr>
            <w:tcW w:w="11057" w:type="dxa"/>
            <w:gridSpan w:val="10"/>
            <w:tcBorders>
              <w:bottom w:val="single" w:sz="6" w:space="0" w:color="FF6600"/>
            </w:tcBorders>
            <w:shd w:val="clear" w:color="auto" w:fill="auto"/>
            <w:vAlign w:val="center"/>
          </w:tcPr>
          <w:p w:rsidR="008177CF" w:rsidRPr="005B7CDB" w:rsidRDefault="008177CF" w:rsidP="00796BF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="008F39C1" w:rsidRPr="005B7CDB">
              <w:rPr>
                <w:rFonts w:ascii="楷体" w:eastAsia="楷体" w:hAnsi="楷体" w:hint="eastAsia"/>
                <w:color w:val="FF6600"/>
              </w:rPr>
              <w:t>5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</w:t>
            </w:r>
            <w:r w:rsidR="006559C0" w:rsidRPr="005B7CDB">
              <w:rPr>
                <w:rFonts w:ascii="楷体" w:eastAsia="楷体" w:hAnsi="楷体" w:cs="宋体" w:hint="eastAsia"/>
                <w:color w:val="FF6600"/>
              </w:rPr>
              <w:t>各类型公募基金</w:t>
            </w:r>
            <w:r w:rsidR="00BE3214" w:rsidRPr="005B7CDB">
              <w:rPr>
                <w:rFonts w:ascii="楷体" w:eastAsia="楷体" w:hAnsi="楷体" w:cs="宋体" w:hint="eastAsia"/>
                <w:color w:val="FF6600"/>
              </w:rPr>
              <w:t>（含封闭式）</w:t>
            </w:r>
            <w:r w:rsidR="006559C0" w:rsidRPr="005B7CDB">
              <w:rPr>
                <w:rFonts w:ascii="楷体" w:eastAsia="楷体" w:hAnsi="楷体" w:cs="宋体" w:hint="eastAsia"/>
                <w:color w:val="FF6600"/>
              </w:rPr>
              <w:t>周收益率</w:t>
            </w:r>
            <w:r w:rsidR="00BE2C01" w:rsidRPr="005B7CDB">
              <w:rPr>
                <w:rFonts w:ascii="楷体" w:eastAsia="楷体" w:hAnsi="楷体" w:cs="宋体" w:hint="eastAsia"/>
                <w:color w:val="FF6600"/>
              </w:rPr>
              <w:t>前</w:t>
            </w:r>
            <w:r w:rsidR="006559C0" w:rsidRPr="005B7CDB">
              <w:rPr>
                <w:rFonts w:ascii="楷体" w:eastAsia="楷体" w:hAnsi="楷体" w:hint="eastAsia"/>
                <w:color w:val="FF6600"/>
              </w:rPr>
              <w:t>3</w:t>
            </w:r>
            <w:r w:rsidR="00E86700" w:rsidRPr="005B7CDB">
              <w:rPr>
                <w:rFonts w:ascii="楷体" w:eastAsia="楷体" w:hAnsi="楷体" w:cs="宋体" w:hint="eastAsia"/>
                <w:color w:val="FF6600"/>
              </w:rPr>
              <w:t>（</w:t>
            </w:r>
            <w:r w:rsidR="007069DB">
              <w:rPr>
                <w:rFonts w:ascii="楷体" w:eastAsia="楷体" w:hAnsi="楷体" w:hint="eastAsia"/>
                <w:color w:val="FF6600"/>
              </w:rPr>
              <w:t>3.2~3.6</w:t>
            </w:r>
            <w:r w:rsidR="00E101EA"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="00E101EA" w:rsidRPr="005B7CDB">
              <w:rPr>
                <w:rFonts w:ascii="楷体" w:eastAsia="楷体" w:hAnsi="楷体" w:hint="eastAsia"/>
                <w:color w:val="FF6600"/>
              </w:rPr>
              <w:t>QDII为</w:t>
            </w:r>
            <w:r w:rsidR="007069DB">
              <w:rPr>
                <w:rFonts w:ascii="楷体" w:eastAsia="楷体" w:hAnsi="楷体" w:hint="eastAsia"/>
                <w:color w:val="FF6600"/>
              </w:rPr>
              <w:t>2.27</w:t>
            </w:r>
            <w:r w:rsidR="00E101EA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7069DB">
              <w:rPr>
                <w:rFonts w:ascii="楷体" w:eastAsia="楷体" w:hAnsi="楷体" w:hint="eastAsia"/>
                <w:color w:val="FF6600"/>
              </w:rPr>
              <w:t>3.5</w:t>
            </w:r>
            <w:r w:rsidR="00E101EA" w:rsidRPr="005B7CDB">
              <w:rPr>
                <w:rFonts w:ascii="楷体" w:eastAsia="楷体" w:hAnsi="楷体" w:hint="eastAsia"/>
                <w:color w:val="FF6600"/>
              </w:rPr>
              <w:t>，</w:t>
            </w:r>
            <w:r w:rsidR="00E86700" w:rsidRPr="005B7CDB">
              <w:rPr>
                <w:rFonts w:ascii="楷体" w:eastAsia="楷体" w:hAnsi="楷体" w:hint="eastAsia"/>
                <w:color w:val="FF6600"/>
              </w:rPr>
              <w:t>货币基金为7日年化收益</w:t>
            </w:r>
            <w:r w:rsidR="00E86700">
              <w:rPr>
                <w:rFonts w:ascii="楷体" w:eastAsia="楷体" w:hAnsi="楷体" w:hint="eastAsia"/>
                <w:color w:val="FF6600"/>
              </w:rPr>
              <w:t>率</w:t>
            </w:r>
            <w:r w:rsidR="00E86700"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5A1CF9" w:rsidRPr="005B7CDB" w:rsidTr="008B26EB">
        <w:trPr>
          <w:cantSplit/>
          <w:trHeight w:val="227"/>
        </w:trPr>
        <w:tc>
          <w:tcPr>
            <w:tcW w:w="851" w:type="dxa"/>
            <w:tcBorders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基金代码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基金名称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类型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基金代码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基金名称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类型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股票-</w:t>
            </w:r>
          </w:p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主动型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C356BF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大摩进取优选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5.20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债券-</w:t>
            </w:r>
          </w:p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纯债基金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160810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长盛同丰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710501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1.11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C356BF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富国医疗保健行业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5.17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700006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平安大华添利C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0.67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400007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东方策略成长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5.06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700005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平安大华添利A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0.66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股票-</w:t>
            </w:r>
          </w:p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指数型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512300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南方中证500医药卫生ETF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一级债基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630003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华商收益增强A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0.73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165520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信诚中证800有色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630103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华商收益增强B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0.67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164304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新华中证环保产业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160617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鹏华丰润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封闭式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0.66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偏股型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206001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鹏华行业成长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二级债基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233013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大摩多元收益C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1.57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151001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银河稳健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2.68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233012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大摩多元收益A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1.55</w:t>
            </w:r>
          </w:p>
        </w:tc>
      </w:tr>
      <w:tr w:rsidR="00C356BF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288001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华夏经典配置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2.52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C356BF" w:rsidRPr="005B7CDB" w:rsidRDefault="00C356BF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400016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东方强化收益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C356BF" w:rsidRPr="00AC4A10" w:rsidRDefault="00C356BF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0.92</w:t>
            </w:r>
          </w:p>
        </w:tc>
      </w:tr>
      <w:tr w:rsidR="007F0885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偏债型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162205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泰达宏利风险预算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理财债基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5568FA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7F0885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长城淘金一年期理财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0.19</w:t>
            </w:r>
          </w:p>
        </w:tc>
      </w:tr>
      <w:tr w:rsidR="007F0885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450001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国富中国收益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531028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建信月盈安心理财B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0.18</w:t>
            </w:r>
          </w:p>
        </w:tc>
      </w:tr>
      <w:tr w:rsidR="007F0885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7F0885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泰达宏利养老收益B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530028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建信月盈安心理财A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0.17</w:t>
            </w:r>
          </w:p>
        </w:tc>
      </w:tr>
      <w:tr w:rsidR="007F0885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灵活型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7F0885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新华鑫益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指数债基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511210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博时上证企债30ETF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0.15</w:t>
            </w:r>
          </w:p>
        </w:tc>
      </w:tr>
      <w:tr w:rsidR="007F0885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7F0885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博时灵活配置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167701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德邦企债分级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0.09</w:t>
            </w:r>
          </w:p>
        </w:tc>
      </w:tr>
      <w:tr w:rsidR="007F0885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400015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东方增长中小盘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3.50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7F0885" w:rsidRPr="005B7CDB" w:rsidRDefault="007F0885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253070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国联安中债信用债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7F0885" w:rsidRPr="00AC4A10" w:rsidRDefault="007F0885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-0.09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2F5B82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2F5B82">
              <w:rPr>
                <w:rFonts w:ascii="楷体" w:eastAsia="楷体" w:hAnsi="楷体" w:hint="eastAsia"/>
                <w:b/>
                <w:sz w:val="18"/>
                <w:szCs w:val="18"/>
              </w:rPr>
              <w:t>QDII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165513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信诚全球商品主题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可转债基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5568FA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0D513E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鹏华可转债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-0.10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6E55A6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118001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易方达亚洲精选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530020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建信转债增强A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-0.64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6E55A6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0D513E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广发亚太中高收益人民币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531020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建信转债增强C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-0.65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分级基金子份额-</w:t>
            </w:r>
          </w:p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股票稳健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150028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信诚中证500A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024C7D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分级基金子份额-</w:t>
            </w:r>
          </w:p>
          <w:p w:rsidR="000D513E" w:rsidRPr="00024C7D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股票积极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150151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信诚中证800有色B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5.72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150190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新华中证环保产业A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024C7D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150191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新华中证环保产业B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5.35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150047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银华消费A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024C7D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150097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招商中证大宗商品B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4.80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分级基金子份额-</w:t>
            </w:r>
          </w:p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债券稳健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0D513E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中海惠祥分级A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024C7D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分级基金子份额-</w:t>
            </w:r>
          </w:p>
          <w:p w:rsidR="000D513E" w:rsidRPr="00024C7D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债券积极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5568FA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0D513E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财通纯债分级B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0.91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0D513E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易方达聚盈A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797357" w:rsidRDefault="000D513E" w:rsidP="006E677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150161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新华惠鑫分级B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封闭式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0.54</w:t>
            </w:r>
          </w:p>
        </w:tc>
      </w:tr>
      <w:tr w:rsidR="000D513E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5B7CDB" w:rsidRDefault="000D513E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166017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中欧纯债A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513E" w:rsidRPr="00797357" w:rsidRDefault="000D513E" w:rsidP="006E677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150120</w:t>
            </w: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东吴鼎利B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封闭式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0D513E" w:rsidRPr="00AC4A10" w:rsidRDefault="000D513E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0.48</w:t>
            </w:r>
          </w:p>
        </w:tc>
      </w:tr>
      <w:tr w:rsidR="00084B74" w:rsidRPr="005B7CDB" w:rsidTr="008B26EB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84B74" w:rsidRPr="001B6D2E" w:rsidRDefault="00084B7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1B6D2E">
              <w:rPr>
                <w:rFonts w:ascii="楷体" w:eastAsia="楷体" w:hAnsi="楷体"/>
                <w:b/>
                <w:sz w:val="18"/>
                <w:szCs w:val="18"/>
              </w:rPr>
              <w:t>货币市场</w:t>
            </w:r>
          </w:p>
          <w:p w:rsidR="00084B74" w:rsidRPr="009E3A78" w:rsidRDefault="00084B74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  <w:r w:rsidRPr="001B6D2E">
              <w:rPr>
                <w:rFonts w:ascii="楷体" w:eastAsia="楷体" w:hAnsi="楷体"/>
                <w:b/>
                <w:sz w:val="18"/>
                <w:szCs w:val="18"/>
              </w:rPr>
              <w:t>基金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084B74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902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国开泰富货币B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10.6</w:t>
            </w:r>
            <w:r w:rsidR="008C1F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84B74" w:rsidRPr="007E607C" w:rsidRDefault="00084B74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</w:tr>
      <w:tr w:rsidR="00084B74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84B74" w:rsidRPr="009E3A78" w:rsidRDefault="00084B74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084B74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901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国开泰富货币A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10.41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84B74" w:rsidRPr="005B7CDB" w:rsidRDefault="00084B7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  <w:tr w:rsidR="00084B74" w:rsidRPr="005B7CDB" w:rsidTr="008B26EB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84B74" w:rsidRPr="009E3A78" w:rsidRDefault="00084B74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9027DD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084B74"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长城工资宝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084B74" w:rsidRPr="00AC4A10" w:rsidRDefault="00084B74" w:rsidP="00AC4A10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AC4A10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9.9</w:t>
            </w:r>
            <w:r w:rsidR="008C1FC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84B74" w:rsidRPr="005B7CDB" w:rsidRDefault="00084B7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084B74" w:rsidRPr="00AC4A10" w:rsidRDefault="00084B74" w:rsidP="00AC4A1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</w:tbl>
    <w:p w:rsidR="00161177" w:rsidRPr="000F6820" w:rsidRDefault="008177CF" w:rsidP="000F6820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来源：凯石财富工场</w:t>
      </w:r>
    </w:p>
    <w:p w:rsidR="00290AF6" w:rsidRDefault="00290AF6" w:rsidP="009F0008">
      <w:pPr>
        <w:widowControl/>
        <w:jc w:val="left"/>
        <w:rPr>
          <w:rFonts w:ascii="楷体" w:eastAsia="楷体" w:hAnsi="楷体" w:cs="宋体"/>
          <w:b/>
          <w:kern w:val="0"/>
          <w:szCs w:val="20"/>
          <w:lang w:val="en-GB"/>
        </w:rPr>
      </w:pPr>
    </w:p>
    <w:p w:rsidR="00290AF6" w:rsidRDefault="00290AF6" w:rsidP="009F0008">
      <w:pPr>
        <w:widowControl/>
        <w:jc w:val="left"/>
        <w:rPr>
          <w:rFonts w:ascii="楷体" w:eastAsia="楷体" w:hAnsi="楷体" w:cs="宋体"/>
          <w:b/>
          <w:kern w:val="0"/>
          <w:szCs w:val="20"/>
          <w:lang w:val="en-GB"/>
        </w:rPr>
      </w:pPr>
    </w:p>
    <w:p w:rsidR="00E0159E" w:rsidRDefault="00E0159E" w:rsidP="009F0008">
      <w:pPr>
        <w:widowControl/>
        <w:jc w:val="left"/>
        <w:rPr>
          <w:rFonts w:ascii="楷体" w:eastAsia="楷体" w:hAnsi="楷体" w:cs="宋体"/>
          <w:b/>
          <w:kern w:val="0"/>
          <w:szCs w:val="20"/>
          <w:lang w:val="en-GB"/>
        </w:rPr>
      </w:pPr>
    </w:p>
    <w:p w:rsidR="00E0159E" w:rsidRDefault="00E0159E" w:rsidP="009F0008">
      <w:pPr>
        <w:widowControl/>
        <w:jc w:val="left"/>
        <w:rPr>
          <w:rFonts w:ascii="楷体" w:eastAsia="楷体" w:hAnsi="楷体" w:cs="宋体"/>
          <w:b/>
          <w:kern w:val="0"/>
          <w:szCs w:val="20"/>
          <w:lang w:val="en-GB"/>
        </w:rPr>
      </w:pPr>
    </w:p>
    <w:p w:rsidR="00290AF6" w:rsidRDefault="00290AF6" w:rsidP="009F0008">
      <w:pPr>
        <w:widowControl/>
        <w:jc w:val="left"/>
        <w:rPr>
          <w:rFonts w:ascii="楷体" w:eastAsia="楷体" w:hAnsi="楷体" w:cs="宋体"/>
          <w:b/>
          <w:kern w:val="0"/>
          <w:szCs w:val="20"/>
          <w:lang w:val="en-GB"/>
        </w:rPr>
      </w:pPr>
    </w:p>
    <w:p w:rsidR="00B10000" w:rsidRPr="005B7CDB" w:rsidRDefault="00B10000" w:rsidP="009F0008">
      <w:pPr>
        <w:widowControl/>
        <w:jc w:val="left"/>
        <w:rPr>
          <w:rFonts w:ascii="楷体" w:eastAsia="楷体" w:hAnsi="楷体"/>
          <w:b/>
          <w:szCs w:val="21"/>
        </w:rPr>
      </w:pPr>
      <w:r w:rsidRPr="005B7CDB">
        <w:rPr>
          <w:rFonts w:ascii="楷体" w:eastAsia="楷体" w:hAnsi="楷体" w:cs="宋体" w:hint="eastAsia"/>
          <w:b/>
          <w:kern w:val="0"/>
          <w:szCs w:val="20"/>
          <w:lang w:val="en-GB"/>
        </w:rPr>
        <w:lastRenderedPageBreak/>
        <w:t>特别声明：</w:t>
      </w:r>
    </w:p>
    <w:p w:rsidR="00B10000" w:rsidRPr="005B7CDB" w:rsidRDefault="00B10000" w:rsidP="00DD3045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中的所有内容版权均属上海凯石财富投资管理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凯石财富投资有限公司研究中心，且不得对本文进行任何有悖原意的引用和删改。</w:t>
      </w:r>
    </w:p>
    <w:p w:rsidR="00B10000" w:rsidRPr="005B7CDB" w:rsidRDefault="00B10000" w:rsidP="00DD3045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B10000" w:rsidRPr="005B7CDB" w:rsidRDefault="00B10000" w:rsidP="00DD3045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B10000" w:rsidRPr="005B7CDB" w:rsidRDefault="00B10000">
      <w:pPr>
        <w:rPr>
          <w:rFonts w:ascii="楷体" w:eastAsia="楷体" w:hAnsi="楷体"/>
          <w:lang w:val="en-GB"/>
        </w:rPr>
      </w:pPr>
    </w:p>
    <w:sectPr w:rsidR="00B10000" w:rsidRPr="005B7CDB" w:rsidSect="00D4319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624" w:bottom="1440" w:left="624" w:header="850" w:footer="283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68C" w:rsidRDefault="0036368C" w:rsidP="00B10000">
      <w:r>
        <w:separator/>
      </w:r>
    </w:p>
  </w:endnote>
  <w:endnote w:type="continuationSeparator" w:id="1">
    <w:p w:rsidR="0036368C" w:rsidRDefault="0036368C" w:rsidP="00B1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aiTi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59E" w:rsidRDefault="00B73F2E">
    <w:pPr>
      <w:pStyle w:val="a4"/>
      <w:jc w:val="center"/>
    </w:pPr>
    <w:r>
      <w:pict>
        <v:rect id="_x0000_i1027" style="width:571.2pt;height:2pt" o:hralign="center" o:hrstd="t" o:hrnoshade="t" o:hr="t" fillcolor="#e7a631" stroked="f"/>
      </w:pict>
    </w:r>
    <w:sdt>
      <w:sdtPr>
        <w:id w:val="31118581"/>
        <w:docPartObj>
          <w:docPartGallery w:val="Page Numbers (Bottom of Page)"/>
          <w:docPartUnique/>
        </w:docPartObj>
      </w:sdtPr>
      <w:sdtContent>
        <w:sdt>
          <w:sdtPr>
            <w:id w:val="31118580"/>
            <w:docPartObj>
              <w:docPartGallery w:val="Page Numbers (Top of Page)"/>
              <w:docPartUnique/>
            </w:docPartObj>
          </w:sdtPr>
          <w:sdtContent>
            <w:r w:rsidR="00E0159E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0159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304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0159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0159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3045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E0159E" w:rsidRDefault="00E015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857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E0159E" w:rsidRDefault="00B73F2E">
            <w:pPr>
              <w:pStyle w:val="a4"/>
              <w:jc w:val="center"/>
            </w:pPr>
            <w:r>
              <w:pict>
                <v:rect id="_x0000_i1029" style="width:571.2pt;height:2pt" o:hralign="center" o:hrstd="t" o:hrnoshade="t" o:hr="t" fillcolor="#e7a631" stroked="f"/>
              </w:pict>
            </w:r>
            <w:r w:rsidR="00E0159E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0159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304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0159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0159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D3045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0159E" w:rsidRDefault="00E015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68C" w:rsidRDefault="0036368C" w:rsidP="00B10000">
      <w:r>
        <w:separator/>
      </w:r>
    </w:p>
  </w:footnote>
  <w:footnote w:type="continuationSeparator" w:id="1">
    <w:p w:rsidR="0036368C" w:rsidRDefault="0036368C" w:rsidP="00B1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59E" w:rsidRDefault="00B73F2E" w:rsidP="00B10000">
    <w:pPr>
      <w:pStyle w:val="a3"/>
      <w:pBdr>
        <w:bottom w:val="none" w:sz="0" w:space="0" w:color="auto"/>
      </w:pBdr>
    </w:pPr>
    <w:r>
      <w:rPr>
        <w:noProof/>
      </w:rPr>
      <w:pict>
        <v:group id="_x0000_s1034" style="position:absolute;left:0;text-align:left;margin-left:5.2pt;margin-top:-32.25pt;width:531.2pt;height:37.5pt;z-index:251658240" coordorigin="728,206" coordsize="10624,75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728;top:206;width:1336;height:724;mso-width-relative:margin;mso-height-relative:margin" strokecolor="white">
            <v:textbox style="mso-next-textbox:#_x0000_s1035">
              <w:txbxContent>
                <w:p w:rsidR="00E0159E" w:rsidRDefault="00B73F2E" w:rsidP="00B10000">
                  <w:pPr>
                    <w:pStyle w:val="12"/>
                  </w:pPr>
                  <w:r w:rsidRPr="00B73F2E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alt="凯石工2.jpg" style="width:45pt;height:31.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36" type="#_x0000_t202" style="position:absolute;left:5999;top:542;width:5353;height:414;mso-width-relative:margin;mso-height-relative:margin" strokecolor="white">
            <v:textbox style="mso-next-textbox:#_x0000_s1036">
              <w:txbxContent>
                <w:p w:rsidR="00E0159E" w:rsidRPr="006E0F3C" w:rsidRDefault="00E0159E" w:rsidP="00B10000">
                  <w:pPr>
                    <w:pStyle w:val="2"/>
                  </w:pPr>
                  <w:r>
                    <w:rPr>
                      <w:rFonts w:hint="eastAsia"/>
                    </w:rPr>
                    <w:t>公募基金周报（2015.2.9~2015.2.13）</w:t>
                  </w:r>
                </w:p>
              </w:txbxContent>
            </v:textbox>
          </v:shape>
        </v:group>
      </w:pict>
    </w:r>
    <w:r>
      <w:pict>
        <v:rect id="_x0000_i1026" style="width:571.2pt;height:2pt" o:hralign="center" o:hrstd="t" o:hrnoshade="t" o:hr="t" fillcolor="#e7a631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59E" w:rsidRDefault="00B73F2E" w:rsidP="00DD3045">
    <w:pPr>
      <w:pStyle w:val="a3"/>
      <w:pBdr>
        <w:bottom w:val="none" w:sz="0" w:space="0" w:color="auto"/>
      </w:pBdr>
      <w:spacing w:afterLines="100"/>
    </w:pPr>
    <w:r>
      <w:pict>
        <v:group id="_x0000_s1025" style="width:532.6pt;height:143.7pt;mso-position-horizontal-relative:char;mso-position-vertical-relative:line" coordorigin="652,331" coordsize="10652,28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652;top:331;width:3664;height:2430;mso-width-relative:margin;mso-height-relative:margin" strokecolor="white">
            <v:textbox style="mso-next-textbox:#_x0000_s1026">
              <w:txbxContent>
                <w:p w:rsidR="00E0159E" w:rsidRDefault="00DD3045" w:rsidP="00B10000">
                  <w:pPr>
                    <w:pStyle w:val="a6"/>
                  </w:pPr>
                  <w:r w:rsidRPr="00B73F2E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0" o:spid="_x0000_i1031" type="#_x0000_t75" alt="凯石工2.jpg" style="width:125.25pt;height:117.7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27" type="#_x0000_t202" style="position:absolute;left:881;top:2578;width:2325;height:390" strokecolor="white">
            <v:textbox style="mso-next-textbox:#_x0000_s1027">
              <w:txbxContent>
                <w:p w:rsidR="00E0159E" w:rsidRPr="006E0F3C" w:rsidRDefault="00E0159E" w:rsidP="008840A4">
                  <w:pPr>
                    <w:pStyle w:val="a5"/>
                    <w:spacing w:after="240"/>
                  </w:pPr>
                  <w:r w:rsidRPr="006E0F3C">
                    <w:rPr>
                      <w:rFonts w:hint="eastAsia"/>
                    </w:rPr>
                    <w:t>凯石工场研究报告</w:t>
                  </w:r>
                </w:p>
              </w:txbxContent>
            </v:textbox>
          </v:shape>
          <v:shape id="_x0000_s1028" type="#_x0000_t202" style="position:absolute;left:8740;top:609;width:2441;height:475;mso-height-percent:200;mso-height-percent:200;mso-width-relative:margin;mso-height-relative:margin" strokecolor="white">
            <v:textbox style="mso-next-textbox:#_x0000_s1028;mso-fit-shape-to-text:t">
              <w:txbxContent>
                <w:p w:rsidR="00E0159E" w:rsidRPr="006E0F3C" w:rsidRDefault="00E0159E" w:rsidP="00B10000">
                  <w:pPr>
                    <w:pStyle w:val="a7"/>
                    <w:jc w:val="right"/>
                  </w:pPr>
                  <w:r>
                    <w:rPr>
                      <w:rFonts w:hint="eastAsia"/>
                    </w:rPr>
                    <w:t>2015</w:t>
                  </w:r>
                  <w:r w:rsidRPr="006E0F3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3</w:t>
                  </w:r>
                  <w:r w:rsidRPr="006E0F3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9</w:t>
                  </w:r>
                  <w:r w:rsidRPr="006E0F3C">
                    <w:rPr>
                      <w:rFonts w:hint="eastAsia"/>
                    </w:rPr>
                    <w:t>日</w:t>
                  </w:r>
                </w:p>
              </w:txbxContent>
            </v:textbox>
          </v:shape>
          <v:shape id="_x0000_s1029" type="#_x0000_t202" style="position:absolute;left:3214;top:1377;width:8090;height:1001;mso-height-percent:200;mso-height-percent:200;mso-width-relative:margin;mso-height-relative:margin" strokecolor="white">
            <v:textbox style="mso-next-textbox:#_x0000_s1029;mso-fit-shape-to-text:t">
              <w:txbxContent>
                <w:p w:rsidR="00E0159E" w:rsidRPr="00667F84" w:rsidRDefault="00DD3045" w:rsidP="00073ED8">
                  <w:pPr>
                    <w:pStyle w:val="a8"/>
                    <w:ind w:right="180"/>
                    <w:jc w:val="right"/>
                  </w:pPr>
                  <w:r>
                    <w:rPr>
                      <w:rFonts w:hint="eastAsia"/>
                    </w:rPr>
                    <w:t>市场短线调整，固收和权益基金收益回调</w:t>
                  </w:r>
                </w:p>
                <w:p w:rsidR="00E0159E" w:rsidRPr="00624366" w:rsidRDefault="00E0159E" w:rsidP="00B1000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95202C">
                    <w:rPr>
                      <w:rFonts w:hint="eastAsia"/>
                      <w:sz w:val="28"/>
                      <w:szCs w:val="28"/>
                    </w:rPr>
                    <w:t>公募基金周报（</w:t>
                  </w:r>
                  <w:r>
                    <w:rPr>
                      <w:rFonts w:hint="eastAsia"/>
                      <w:sz w:val="28"/>
                      <w:szCs w:val="28"/>
                    </w:rPr>
                    <w:t>2015.3.2</w:t>
                  </w:r>
                  <w:r w:rsidRPr="0095202C">
                    <w:rPr>
                      <w:rFonts w:hint="eastAsia"/>
                      <w:sz w:val="28"/>
                      <w:szCs w:val="28"/>
                    </w:rPr>
                    <w:t>~</w:t>
                  </w:r>
                  <w:r>
                    <w:rPr>
                      <w:rFonts w:hint="eastAsia"/>
                      <w:sz w:val="28"/>
                      <w:szCs w:val="28"/>
                    </w:rPr>
                    <w:t>2015.3.6</w:t>
                  </w:r>
                  <w:r w:rsidRPr="0095202C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  <v:shape id="_x0000_s1030" type="#_x0000_t202" style="position:absolute;left:3246;top:2578;width:7993;height:627" strokecolor="white">
            <v:textbox style="mso-next-textbox:#_x0000_s1030">
              <w:txbxContent>
                <w:p w:rsidR="00E0159E" w:rsidRDefault="00E0159E" w:rsidP="005E42B1">
                  <w:pPr>
                    <w:pStyle w:val="a9"/>
                    <w:wordWrap w:val="0"/>
                    <w:ind w:right="420"/>
                  </w:pPr>
                  <w:r>
                    <w:rPr>
                      <w:rFonts w:hint="eastAsia"/>
                    </w:rPr>
                    <w:t>万晓微  分析师</w:t>
                  </w:r>
                </w:p>
                <w:p w:rsidR="00E0159E" w:rsidRPr="006E0F3C" w:rsidRDefault="00E0159E" w:rsidP="005E42B1">
                  <w:pPr>
                    <w:pStyle w:val="a9"/>
                  </w:pPr>
                </w:p>
              </w:txbxContent>
            </v:textbox>
          </v:shape>
          <w10:wrap type="none"/>
          <w10:anchorlock/>
        </v:group>
      </w:pict>
    </w:r>
    <w:r>
      <w:pict>
        <v:rect id="_x0000_i1028" style="width:571.2pt;height:2pt" o:hralign="center" o:hrstd="t" o:hrnoshade="t" o:hr="t" fillcolor="#e7a631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1.25pt;height:11.25pt" o:bullet="t">
        <v:imagedata r:id="rId1" o:title="BD10335_"/>
      </v:shape>
    </w:pict>
  </w:numPicBullet>
  <w:abstractNum w:abstractNumId="0">
    <w:nsid w:val="08014C42"/>
    <w:multiLevelType w:val="singleLevel"/>
    <w:tmpl w:val="B4861D4C"/>
    <w:lvl w:ilvl="0">
      <w:start w:val="1"/>
      <w:numFmt w:val="bullet"/>
      <w:pStyle w:val="Cover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FF0000"/>
        <w:sz w:val="20"/>
        <w:szCs w:val="20"/>
      </w:rPr>
    </w:lvl>
  </w:abstractNum>
  <w:abstractNum w:abstractNumId="1">
    <w:nsid w:val="10E71F9D"/>
    <w:multiLevelType w:val="hybridMultilevel"/>
    <w:tmpl w:val="FF3C5942"/>
    <w:lvl w:ilvl="0" w:tplc="0409000B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8" w:hanging="420"/>
      </w:pPr>
      <w:rPr>
        <w:rFonts w:ascii="Wingdings" w:hAnsi="Wingdings" w:hint="default"/>
      </w:rPr>
    </w:lvl>
  </w:abstractNum>
  <w:abstractNum w:abstractNumId="2">
    <w:nsid w:val="492C6DD3"/>
    <w:multiLevelType w:val="hybridMultilevel"/>
    <w:tmpl w:val="6EAE99B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B0CACDC8">
      <w:start w:val="1"/>
      <w:numFmt w:val="bullet"/>
      <w:lvlText w:val="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  <w:sz w:val="15"/>
        <w:szCs w:val="15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AC7CA5D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eastAsia="楷体_GB2312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3">
    <w:nsid w:val="49A16DB4"/>
    <w:multiLevelType w:val="hybridMultilevel"/>
    <w:tmpl w:val="4E9C4D1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15407DA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hAnsi="Wingdings" w:hint="default"/>
        <w:b w:val="0"/>
        <w:i w:val="0"/>
        <w:color w:val="auto"/>
        <w:sz w:val="18"/>
        <w:lang w:val="en-GB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4">
    <w:nsid w:val="5E8271C1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31DAFFE0">
      <w:start w:val="1"/>
      <w:numFmt w:val="bullet"/>
      <w:lvlText w:val=""/>
      <w:lvlJc w:val="left"/>
      <w:pPr>
        <w:tabs>
          <w:tab w:val="num" w:pos="3649"/>
        </w:tabs>
        <w:ind w:left="3289" w:firstLine="0"/>
      </w:pPr>
      <w:rPr>
        <w:rFonts w:ascii="Wingdings" w:eastAsia="宋体" w:hAnsi="Wingdings" w:hint="default"/>
        <w:b w:val="0"/>
        <w:i w:val="0"/>
        <w:color w:val="000565"/>
        <w:sz w:val="18"/>
      </w:rPr>
    </w:lvl>
    <w:lvl w:ilvl="5" w:tplc="DDC8F30C">
      <w:start w:val="1"/>
      <w:numFmt w:val="bullet"/>
      <w:lvlText w:val=""/>
      <w:lvlJc w:val="left"/>
      <w:pPr>
        <w:tabs>
          <w:tab w:val="num" w:pos="4139"/>
        </w:tabs>
        <w:ind w:left="4139" w:hanging="368"/>
      </w:pPr>
      <w:rPr>
        <w:rFonts w:ascii="Wingdings 2" w:eastAsia="楷体_GB2312" w:hAnsi="Wingdings 2" w:hint="default"/>
        <w:b w:val="0"/>
        <w:i w:val="0"/>
        <w:sz w:val="18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5">
    <w:nsid w:val="66145FDE"/>
    <w:multiLevelType w:val="singleLevel"/>
    <w:tmpl w:val="918C41C0"/>
    <w:lvl w:ilvl="0">
      <w:start w:val="1"/>
      <w:numFmt w:val="bullet"/>
      <w:pStyle w:val="BulletCoverpage"/>
      <w:lvlText w:val=""/>
      <w:lvlJc w:val="left"/>
      <w:pPr>
        <w:tabs>
          <w:tab w:val="num" w:pos="0"/>
        </w:tabs>
        <w:ind w:left="227" w:hanging="227"/>
      </w:pPr>
      <w:rPr>
        <w:rFonts w:ascii="Monotype Sorts" w:hAnsi="Monotype Sorts" w:cs="Times New Roman" w:hint="default"/>
        <w:color w:val="FF0000"/>
        <w:sz w:val="16"/>
        <w:szCs w:val="16"/>
      </w:rPr>
    </w:lvl>
  </w:abstractNum>
  <w:abstractNum w:abstractNumId="6">
    <w:nsid w:val="7DB2660F"/>
    <w:multiLevelType w:val="hybridMultilevel"/>
    <w:tmpl w:val="20BAD2A2"/>
    <w:lvl w:ilvl="0" w:tplc="74927076">
      <w:start w:val="1"/>
      <w:numFmt w:val="bullet"/>
      <w:pStyle w:val="1"/>
      <w:lvlText w:val=""/>
      <w:lvlPicBulletId w:val="0"/>
      <w:lvlJc w:val="left"/>
      <w:pPr>
        <w:ind w:left="16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24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000"/>
    <w:rsid w:val="00000141"/>
    <w:rsid w:val="00000D21"/>
    <w:rsid w:val="00000FDF"/>
    <w:rsid w:val="0000120D"/>
    <w:rsid w:val="00001D3E"/>
    <w:rsid w:val="00003645"/>
    <w:rsid w:val="00003664"/>
    <w:rsid w:val="00004350"/>
    <w:rsid w:val="00004760"/>
    <w:rsid w:val="00004B15"/>
    <w:rsid w:val="00004B2E"/>
    <w:rsid w:val="00006269"/>
    <w:rsid w:val="00006540"/>
    <w:rsid w:val="000067F9"/>
    <w:rsid w:val="000067FB"/>
    <w:rsid w:val="00006C3E"/>
    <w:rsid w:val="000072D5"/>
    <w:rsid w:val="00007D8C"/>
    <w:rsid w:val="00007DC6"/>
    <w:rsid w:val="0001039A"/>
    <w:rsid w:val="00010847"/>
    <w:rsid w:val="00011851"/>
    <w:rsid w:val="000119BE"/>
    <w:rsid w:val="000126C4"/>
    <w:rsid w:val="00012FFF"/>
    <w:rsid w:val="0001365A"/>
    <w:rsid w:val="00013790"/>
    <w:rsid w:val="00013DD8"/>
    <w:rsid w:val="000143E6"/>
    <w:rsid w:val="00014C9A"/>
    <w:rsid w:val="00015264"/>
    <w:rsid w:val="00015E23"/>
    <w:rsid w:val="0001604D"/>
    <w:rsid w:val="000162FF"/>
    <w:rsid w:val="00016396"/>
    <w:rsid w:val="00016427"/>
    <w:rsid w:val="000200E4"/>
    <w:rsid w:val="0002010B"/>
    <w:rsid w:val="000204F2"/>
    <w:rsid w:val="000212A0"/>
    <w:rsid w:val="000215CD"/>
    <w:rsid w:val="0002164B"/>
    <w:rsid w:val="000219A1"/>
    <w:rsid w:val="000225B4"/>
    <w:rsid w:val="00022866"/>
    <w:rsid w:val="0002383C"/>
    <w:rsid w:val="00024188"/>
    <w:rsid w:val="00024C7D"/>
    <w:rsid w:val="00026FF9"/>
    <w:rsid w:val="000305DC"/>
    <w:rsid w:val="0003071D"/>
    <w:rsid w:val="0003081C"/>
    <w:rsid w:val="00031276"/>
    <w:rsid w:val="00031D69"/>
    <w:rsid w:val="00032745"/>
    <w:rsid w:val="0003311F"/>
    <w:rsid w:val="000341C3"/>
    <w:rsid w:val="00034C20"/>
    <w:rsid w:val="00036038"/>
    <w:rsid w:val="00036353"/>
    <w:rsid w:val="00036AB5"/>
    <w:rsid w:val="00036BCD"/>
    <w:rsid w:val="00037343"/>
    <w:rsid w:val="000374F2"/>
    <w:rsid w:val="000374FE"/>
    <w:rsid w:val="00037BAF"/>
    <w:rsid w:val="00042A77"/>
    <w:rsid w:val="00043D8D"/>
    <w:rsid w:val="00043FC9"/>
    <w:rsid w:val="00044179"/>
    <w:rsid w:val="000461F6"/>
    <w:rsid w:val="0004751A"/>
    <w:rsid w:val="00047523"/>
    <w:rsid w:val="00047EDC"/>
    <w:rsid w:val="000507E5"/>
    <w:rsid w:val="00050B8B"/>
    <w:rsid w:val="0005101C"/>
    <w:rsid w:val="000516B7"/>
    <w:rsid w:val="00051900"/>
    <w:rsid w:val="000522ED"/>
    <w:rsid w:val="0005299A"/>
    <w:rsid w:val="00053681"/>
    <w:rsid w:val="00053854"/>
    <w:rsid w:val="00053D78"/>
    <w:rsid w:val="00056D77"/>
    <w:rsid w:val="00057142"/>
    <w:rsid w:val="00057AD8"/>
    <w:rsid w:val="00057DFC"/>
    <w:rsid w:val="00060376"/>
    <w:rsid w:val="00060829"/>
    <w:rsid w:val="00061069"/>
    <w:rsid w:val="000612CD"/>
    <w:rsid w:val="00061632"/>
    <w:rsid w:val="000621C7"/>
    <w:rsid w:val="0006243F"/>
    <w:rsid w:val="00062830"/>
    <w:rsid w:val="00062965"/>
    <w:rsid w:val="000630A2"/>
    <w:rsid w:val="0006401B"/>
    <w:rsid w:val="00064DAE"/>
    <w:rsid w:val="00064E08"/>
    <w:rsid w:val="00066D5E"/>
    <w:rsid w:val="000677D5"/>
    <w:rsid w:val="00070000"/>
    <w:rsid w:val="00070087"/>
    <w:rsid w:val="00070093"/>
    <w:rsid w:val="00070307"/>
    <w:rsid w:val="00071177"/>
    <w:rsid w:val="00071DCC"/>
    <w:rsid w:val="00072445"/>
    <w:rsid w:val="00073843"/>
    <w:rsid w:val="00073BEE"/>
    <w:rsid w:val="00073ED8"/>
    <w:rsid w:val="00073F08"/>
    <w:rsid w:val="0007448E"/>
    <w:rsid w:val="00074E24"/>
    <w:rsid w:val="000755A3"/>
    <w:rsid w:val="00075931"/>
    <w:rsid w:val="00075A89"/>
    <w:rsid w:val="00076CB9"/>
    <w:rsid w:val="00080386"/>
    <w:rsid w:val="000803A7"/>
    <w:rsid w:val="00081D63"/>
    <w:rsid w:val="00081EA9"/>
    <w:rsid w:val="000822B8"/>
    <w:rsid w:val="00082331"/>
    <w:rsid w:val="00082805"/>
    <w:rsid w:val="00082890"/>
    <w:rsid w:val="00084B74"/>
    <w:rsid w:val="000856DF"/>
    <w:rsid w:val="00085AC2"/>
    <w:rsid w:val="000862D4"/>
    <w:rsid w:val="00087210"/>
    <w:rsid w:val="0009128D"/>
    <w:rsid w:val="000913FB"/>
    <w:rsid w:val="00091649"/>
    <w:rsid w:val="00091971"/>
    <w:rsid w:val="00091E0E"/>
    <w:rsid w:val="000923BE"/>
    <w:rsid w:val="000929C7"/>
    <w:rsid w:val="00092C5E"/>
    <w:rsid w:val="000941BB"/>
    <w:rsid w:val="00094650"/>
    <w:rsid w:val="00095CD8"/>
    <w:rsid w:val="00097363"/>
    <w:rsid w:val="00097D08"/>
    <w:rsid w:val="00097D21"/>
    <w:rsid w:val="00097FE0"/>
    <w:rsid w:val="000A047E"/>
    <w:rsid w:val="000A0948"/>
    <w:rsid w:val="000A1E78"/>
    <w:rsid w:val="000A22A7"/>
    <w:rsid w:val="000A284C"/>
    <w:rsid w:val="000A2909"/>
    <w:rsid w:val="000A2DCE"/>
    <w:rsid w:val="000A2FAE"/>
    <w:rsid w:val="000A35A9"/>
    <w:rsid w:val="000A384C"/>
    <w:rsid w:val="000A4A67"/>
    <w:rsid w:val="000A5652"/>
    <w:rsid w:val="000A5F60"/>
    <w:rsid w:val="000A7EFA"/>
    <w:rsid w:val="000B05CE"/>
    <w:rsid w:val="000B0D20"/>
    <w:rsid w:val="000B21FF"/>
    <w:rsid w:val="000B31B2"/>
    <w:rsid w:val="000B3641"/>
    <w:rsid w:val="000B3FEA"/>
    <w:rsid w:val="000B4796"/>
    <w:rsid w:val="000B5823"/>
    <w:rsid w:val="000B6A7F"/>
    <w:rsid w:val="000B6F19"/>
    <w:rsid w:val="000B6F70"/>
    <w:rsid w:val="000B712C"/>
    <w:rsid w:val="000B716A"/>
    <w:rsid w:val="000B7203"/>
    <w:rsid w:val="000B7303"/>
    <w:rsid w:val="000B7C3D"/>
    <w:rsid w:val="000C023E"/>
    <w:rsid w:val="000C0348"/>
    <w:rsid w:val="000C088F"/>
    <w:rsid w:val="000C08C5"/>
    <w:rsid w:val="000C0997"/>
    <w:rsid w:val="000C1575"/>
    <w:rsid w:val="000C15DC"/>
    <w:rsid w:val="000C18B7"/>
    <w:rsid w:val="000C2D03"/>
    <w:rsid w:val="000C32D5"/>
    <w:rsid w:val="000C32DA"/>
    <w:rsid w:val="000C3A57"/>
    <w:rsid w:val="000C4D6A"/>
    <w:rsid w:val="000C4EBD"/>
    <w:rsid w:val="000C51A4"/>
    <w:rsid w:val="000C6216"/>
    <w:rsid w:val="000C69EE"/>
    <w:rsid w:val="000C6B9E"/>
    <w:rsid w:val="000C6E03"/>
    <w:rsid w:val="000C6F1C"/>
    <w:rsid w:val="000C75AA"/>
    <w:rsid w:val="000C7DF2"/>
    <w:rsid w:val="000D01F8"/>
    <w:rsid w:val="000D072D"/>
    <w:rsid w:val="000D1136"/>
    <w:rsid w:val="000D11ED"/>
    <w:rsid w:val="000D27F8"/>
    <w:rsid w:val="000D283F"/>
    <w:rsid w:val="000D4A66"/>
    <w:rsid w:val="000D513E"/>
    <w:rsid w:val="000D5EC9"/>
    <w:rsid w:val="000D6FC5"/>
    <w:rsid w:val="000D73AB"/>
    <w:rsid w:val="000E05DC"/>
    <w:rsid w:val="000E14C2"/>
    <w:rsid w:val="000E17E0"/>
    <w:rsid w:val="000E1B9F"/>
    <w:rsid w:val="000E1E84"/>
    <w:rsid w:val="000E1F81"/>
    <w:rsid w:val="000E217B"/>
    <w:rsid w:val="000E371E"/>
    <w:rsid w:val="000E37D5"/>
    <w:rsid w:val="000E37F5"/>
    <w:rsid w:val="000E39C2"/>
    <w:rsid w:val="000E5E16"/>
    <w:rsid w:val="000E62CE"/>
    <w:rsid w:val="000E6D9A"/>
    <w:rsid w:val="000E713F"/>
    <w:rsid w:val="000E7772"/>
    <w:rsid w:val="000E7FA1"/>
    <w:rsid w:val="000F0312"/>
    <w:rsid w:val="000F0BB0"/>
    <w:rsid w:val="000F10CB"/>
    <w:rsid w:val="000F12B7"/>
    <w:rsid w:val="000F15B0"/>
    <w:rsid w:val="000F325C"/>
    <w:rsid w:val="000F39B1"/>
    <w:rsid w:val="000F3DA4"/>
    <w:rsid w:val="000F5786"/>
    <w:rsid w:val="000F6820"/>
    <w:rsid w:val="001003DE"/>
    <w:rsid w:val="00100572"/>
    <w:rsid w:val="00100CB5"/>
    <w:rsid w:val="001021A1"/>
    <w:rsid w:val="00102234"/>
    <w:rsid w:val="001024F4"/>
    <w:rsid w:val="001029D0"/>
    <w:rsid w:val="00103C41"/>
    <w:rsid w:val="00104221"/>
    <w:rsid w:val="00104265"/>
    <w:rsid w:val="001042CE"/>
    <w:rsid w:val="00104712"/>
    <w:rsid w:val="001063EA"/>
    <w:rsid w:val="001064E7"/>
    <w:rsid w:val="00106D18"/>
    <w:rsid w:val="00106FCC"/>
    <w:rsid w:val="001073F0"/>
    <w:rsid w:val="0010771D"/>
    <w:rsid w:val="0010775F"/>
    <w:rsid w:val="001106F0"/>
    <w:rsid w:val="001110CE"/>
    <w:rsid w:val="00111BEB"/>
    <w:rsid w:val="00111C93"/>
    <w:rsid w:val="00111D39"/>
    <w:rsid w:val="001123BE"/>
    <w:rsid w:val="001130D2"/>
    <w:rsid w:val="00113876"/>
    <w:rsid w:val="00113E7A"/>
    <w:rsid w:val="00114389"/>
    <w:rsid w:val="00115335"/>
    <w:rsid w:val="00115337"/>
    <w:rsid w:val="00115922"/>
    <w:rsid w:val="001169B2"/>
    <w:rsid w:val="00120197"/>
    <w:rsid w:val="00120F16"/>
    <w:rsid w:val="00121295"/>
    <w:rsid w:val="001230AE"/>
    <w:rsid w:val="00123345"/>
    <w:rsid w:val="00123F2B"/>
    <w:rsid w:val="0012463A"/>
    <w:rsid w:val="0012476D"/>
    <w:rsid w:val="00125684"/>
    <w:rsid w:val="00125825"/>
    <w:rsid w:val="001268AC"/>
    <w:rsid w:val="00126B45"/>
    <w:rsid w:val="00127385"/>
    <w:rsid w:val="00130016"/>
    <w:rsid w:val="00130213"/>
    <w:rsid w:val="00130DAF"/>
    <w:rsid w:val="001312C8"/>
    <w:rsid w:val="0013161E"/>
    <w:rsid w:val="0013294D"/>
    <w:rsid w:val="00133147"/>
    <w:rsid w:val="0013351F"/>
    <w:rsid w:val="001336AF"/>
    <w:rsid w:val="00133722"/>
    <w:rsid w:val="00133AAB"/>
    <w:rsid w:val="001356E3"/>
    <w:rsid w:val="00136BFE"/>
    <w:rsid w:val="0013790E"/>
    <w:rsid w:val="00137C4A"/>
    <w:rsid w:val="001403F1"/>
    <w:rsid w:val="001403F2"/>
    <w:rsid w:val="001420C1"/>
    <w:rsid w:val="0014376B"/>
    <w:rsid w:val="00143A0A"/>
    <w:rsid w:val="00143D3C"/>
    <w:rsid w:val="001458C0"/>
    <w:rsid w:val="00146452"/>
    <w:rsid w:val="00147264"/>
    <w:rsid w:val="00147BC9"/>
    <w:rsid w:val="00147EA7"/>
    <w:rsid w:val="00147EE3"/>
    <w:rsid w:val="001506C6"/>
    <w:rsid w:val="00150FC3"/>
    <w:rsid w:val="001522E7"/>
    <w:rsid w:val="00152902"/>
    <w:rsid w:val="001531C5"/>
    <w:rsid w:val="001531DA"/>
    <w:rsid w:val="001533D0"/>
    <w:rsid w:val="0015346C"/>
    <w:rsid w:val="001538BD"/>
    <w:rsid w:val="001544A8"/>
    <w:rsid w:val="00154684"/>
    <w:rsid w:val="00154896"/>
    <w:rsid w:val="00154C4E"/>
    <w:rsid w:val="0015518D"/>
    <w:rsid w:val="00155E7B"/>
    <w:rsid w:val="001571AD"/>
    <w:rsid w:val="0015777B"/>
    <w:rsid w:val="00160A00"/>
    <w:rsid w:val="00160B05"/>
    <w:rsid w:val="00161177"/>
    <w:rsid w:val="0016214B"/>
    <w:rsid w:val="00165E90"/>
    <w:rsid w:val="0016637B"/>
    <w:rsid w:val="00166B27"/>
    <w:rsid w:val="0016750A"/>
    <w:rsid w:val="0017058D"/>
    <w:rsid w:val="001707EB"/>
    <w:rsid w:val="001709A2"/>
    <w:rsid w:val="00170A12"/>
    <w:rsid w:val="00170E5D"/>
    <w:rsid w:val="00171DE7"/>
    <w:rsid w:val="00171E16"/>
    <w:rsid w:val="00172C7D"/>
    <w:rsid w:val="0017320D"/>
    <w:rsid w:val="001732F3"/>
    <w:rsid w:val="001735B0"/>
    <w:rsid w:val="001736DF"/>
    <w:rsid w:val="00173745"/>
    <w:rsid w:val="001742C5"/>
    <w:rsid w:val="00174454"/>
    <w:rsid w:val="00174ABE"/>
    <w:rsid w:val="00174C24"/>
    <w:rsid w:val="001757C6"/>
    <w:rsid w:val="001757D1"/>
    <w:rsid w:val="001757EC"/>
    <w:rsid w:val="00175ED7"/>
    <w:rsid w:val="001765DA"/>
    <w:rsid w:val="001766AC"/>
    <w:rsid w:val="00176FFB"/>
    <w:rsid w:val="00180920"/>
    <w:rsid w:val="00180FDA"/>
    <w:rsid w:val="0018103B"/>
    <w:rsid w:val="00181DC4"/>
    <w:rsid w:val="00181DE3"/>
    <w:rsid w:val="00181FF9"/>
    <w:rsid w:val="001824C1"/>
    <w:rsid w:val="00183A83"/>
    <w:rsid w:val="00185298"/>
    <w:rsid w:val="00185397"/>
    <w:rsid w:val="00185E94"/>
    <w:rsid w:val="00185F86"/>
    <w:rsid w:val="001866D5"/>
    <w:rsid w:val="00186AE8"/>
    <w:rsid w:val="00187DBC"/>
    <w:rsid w:val="0019096C"/>
    <w:rsid w:val="00190A08"/>
    <w:rsid w:val="001913B3"/>
    <w:rsid w:val="00192281"/>
    <w:rsid w:val="001923DB"/>
    <w:rsid w:val="001929EF"/>
    <w:rsid w:val="00193191"/>
    <w:rsid w:val="001947BF"/>
    <w:rsid w:val="00194A20"/>
    <w:rsid w:val="00196AEC"/>
    <w:rsid w:val="00196BC9"/>
    <w:rsid w:val="001A04CB"/>
    <w:rsid w:val="001A08B1"/>
    <w:rsid w:val="001A20EF"/>
    <w:rsid w:val="001A357D"/>
    <w:rsid w:val="001A3AA9"/>
    <w:rsid w:val="001A3D7F"/>
    <w:rsid w:val="001A4657"/>
    <w:rsid w:val="001A6631"/>
    <w:rsid w:val="001A7013"/>
    <w:rsid w:val="001A74F7"/>
    <w:rsid w:val="001A76FB"/>
    <w:rsid w:val="001B0FB5"/>
    <w:rsid w:val="001B12C2"/>
    <w:rsid w:val="001B187C"/>
    <w:rsid w:val="001B197C"/>
    <w:rsid w:val="001B1A86"/>
    <w:rsid w:val="001B1E72"/>
    <w:rsid w:val="001B1E97"/>
    <w:rsid w:val="001B2DD4"/>
    <w:rsid w:val="001B3B5C"/>
    <w:rsid w:val="001B3B9B"/>
    <w:rsid w:val="001B3E3A"/>
    <w:rsid w:val="001B405F"/>
    <w:rsid w:val="001B4063"/>
    <w:rsid w:val="001B4102"/>
    <w:rsid w:val="001B472A"/>
    <w:rsid w:val="001B4F00"/>
    <w:rsid w:val="001B4F35"/>
    <w:rsid w:val="001B57EB"/>
    <w:rsid w:val="001B5C91"/>
    <w:rsid w:val="001B6670"/>
    <w:rsid w:val="001B6D17"/>
    <w:rsid w:val="001B6D2E"/>
    <w:rsid w:val="001B7AA9"/>
    <w:rsid w:val="001C0504"/>
    <w:rsid w:val="001C1C98"/>
    <w:rsid w:val="001C2C43"/>
    <w:rsid w:val="001C2E66"/>
    <w:rsid w:val="001C3226"/>
    <w:rsid w:val="001C343E"/>
    <w:rsid w:val="001D0941"/>
    <w:rsid w:val="001D0ED6"/>
    <w:rsid w:val="001D10EA"/>
    <w:rsid w:val="001D11C7"/>
    <w:rsid w:val="001D15BF"/>
    <w:rsid w:val="001D1F68"/>
    <w:rsid w:val="001D293B"/>
    <w:rsid w:val="001D33CC"/>
    <w:rsid w:val="001D45B3"/>
    <w:rsid w:val="001D4758"/>
    <w:rsid w:val="001D5265"/>
    <w:rsid w:val="001D5469"/>
    <w:rsid w:val="001D5881"/>
    <w:rsid w:val="001D5DD8"/>
    <w:rsid w:val="001D6224"/>
    <w:rsid w:val="001D6280"/>
    <w:rsid w:val="001D6DEE"/>
    <w:rsid w:val="001D75AA"/>
    <w:rsid w:val="001E08CB"/>
    <w:rsid w:val="001E095A"/>
    <w:rsid w:val="001E182A"/>
    <w:rsid w:val="001E1D7C"/>
    <w:rsid w:val="001E2223"/>
    <w:rsid w:val="001E2509"/>
    <w:rsid w:val="001E2FBA"/>
    <w:rsid w:val="001E3E6D"/>
    <w:rsid w:val="001E3FEC"/>
    <w:rsid w:val="001E5298"/>
    <w:rsid w:val="001E571E"/>
    <w:rsid w:val="001E5E67"/>
    <w:rsid w:val="001E5E74"/>
    <w:rsid w:val="001E600E"/>
    <w:rsid w:val="001E6FE6"/>
    <w:rsid w:val="001E7012"/>
    <w:rsid w:val="001E7111"/>
    <w:rsid w:val="001E77A4"/>
    <w:rsid w:val="001F01B8"/>
    <w:rsid w:val="001F056D"/>
    <w:rsid w:val="001F0A35"/>
    <w:rsid w:val="001F1187"/>
    <w:rsid w:val="001F13E5"/>
    <w:rsid w:val="001F2B31"/>
    <w:rsid w:val="001F2CDC"/>
    <w:rsid w:val="001F312B"/>
    <w:rsid w:val="001F3F91"/>
    <w:rsid w:val="001F4217"/>
    <w:rsid w:val="001F5143"/>
    <w:rsid w:val="001F5653"/>
    <w:rsid w:val="001F602C"/>
    <w:rsid w:val="001F76D7"/>
    <w:rsid w:val="00200F65"/>
    <w:rsid w:val="00200FCC"/>
    <w:rsid w:val="0020191F"/>
    <w:rsid w:val="002033A9"/>
    <w:rsid w:val="002038B1"/>
    <w:rsid w:val="0020448C"/>
    <w:rsid w:val="0020555F"/>
    <w:rsid w:val="00205BD5"/>
    <w:rsid w:val="00206100"/>
    <w:rsid w:val="002079C6"/>
    <w:rsid w:val="0021175A"/>
    <w:rsid w:val="002123E6"/>
    <w:rsid w:val="00212517"/>
    <w:rsid w:val="00212819"/>
    <w:rsid w:val="002134BF"/>
    <w:rsid w:val="0021355A"/>
    <w:rsid w:val="00213F1D"/>
    <w:rsid w:val="00214A19"/>
    <w:rsid w:val="00215FD6"/>
    <w:rsid w:val="0021658D"/>
    <w:rsid w:val="00216C1E"/>
    <w:rsid w:val="00217126"/>
    <w:rsid w:val="00217252"/>
    <w:rsid w:val="0022051D"/>
    <w:rsid w:val="00220654"/>
    <w:rsid w:val="0022142A"/>
    <w:rsid w:val="00221A18"/>
    <w:rsid w:val="0022254E"/>
    <w:rsid w:val="00223958"/>
    <w:rsid w:val="00223AC5"/>
    <w:rsid w:val="00224D0D"/>
    <w:rsid w:val="0022501D"/>
    <w:rsid w:val="00225508"/>
    <w:rsid w:val="0022551E"/>
    <w:rsid w:val="00225856"/>
    <w:rsid w:val="00225E44"/>
    <w:rsid w:val="00226BC6"/>
    <w:rsid w:val="00226D20"/>
    <w:rsid w:val="002271FC"/>
    <w:rsid w:val="002275EB"/>
    <w:rsid w:val="00227A84"/>
    <w:rsid w:val="00227C4D"/>
    <w:rsid w:val="00230CEA"/>
    <w:rsid w:val="00231AF8"/>
    <w:rsid w:val="002327F6"/>
    <w:rsid w:val="00232FF8"/>
    <w:rsid w:val="002331AD"/>
    <w:rsid w:val="00233317"/>
    <w:rsid w:val="002338C0"/>
    <w:rsid w:val="00233AC4"/>
    <w:rsid w:val="002344A5"/>
    <w:rsid w:val="00235020"/>
    <w:rsid w:val="00235525"/>
    <w:rsid w:val="00235790"/>
    <w:rsid w:val="0023592A"/>
    <w:rsid w:val="00235C76"/>
    <w:rsid w:val="00236973"/>
    <w:rsid w:val="002370DC"/>
    <w:rsid w:val="002379F3"/>
    <w:rsid w:val="002413CF"/>
    <w:rsid w:val="00241532"/>
    <w:rsid w:val="00241CE2"/>
    <w:rsid w:val="00241E2B"/>
    <w:rsid w:val="002423F7"/>
    <w:rsid w:val="0024271D"/>
    <w:rsid w:val="00242D53"/>
    <w:rsid w:val="00242D8D"/>
    <w:rsid w:val="00245068"/>
    <w:rsid w:val="002451DB"/>
    <w:rsid w:val="0024593D"/>
    <w:rsid w:val="00245B98"/>
    <w:rsid w:val="00246724"/>
    <w:rsid w:val="00246A3D"/>
    <w:rsid w:val="00247235"/>
    <w:rsid w:val="002479FC"/>
    <w:rsid w:val="00247B9F"/>
    <w:rsid w:val="0025038E"/>
    <w:rsid w:val="00250622"/>
    <w:rsid w:val="002510B9"/>
    <w:rsid w:val="0025117A"/>
    <w:rsid w:val="00251469"/>
    <w:rsid w:val="0025195E"/>
    <w:rsid w:val="00252878"/>
    <w:rsid w:val="00253953"/>
    <w:rsid w:val="00253B42"/>
    <w:rsid w:val="00254284"/>
    <w:rsid w:val="00256FE2"/>
    <w:rsid w:val="0025748F"/>
    <w:rsid w:val="00257525"/>
    <w:rsid w:val="00257698"/>
    <w:rsid w:val="00257B4B"/>
    <w:rsid w:val="00257D31"/>
    <w:rsid w:val="0026029B"/>
    <w:rsid w:val="00260C58"/>
    <w:rsid w:val="00260CD9"/>
    <w:rsid w:val="0026101A"/>
    <w:rsid w:val="00261ADB"/>
    <w:rsid w:val="00261BE7"/>
    <w:rsid w:val="00263045"/>
    <w:rsid w:val="002637EF"/>
    <w:rsid w:val="00263886"/>
    <w:rsid w:val="0026404C"/>
    <w:rsid w:val="0026413E"/>
    <w:rsid w:val="002643C4"/>
    <w:rsid w:val="002645D0"/>
    <w:rsid w:val="00264C5C"/>
    <w:rsid w:val="002656A6"/>
    <w:rsid w:val="002659DF"/>
    <w:rsid w:val="00265B6D"/>
    <w:rsid w:val="00265C8B"/>
    <w:rsid w:val="00265D17"/>
    <w:rsid w:val="0026668D"/>
    <w:rsid w:val="0027079A"/>
    <w:rsid w:val="0027197F"/>
    <w:rsid w:val="00271F4E"/>
    <w:rsid w:val="0027203A"/>
    <w:rsid w:val="002726C1"/>
    <w:rsid w:val="00272F28"/>
    <w:rsid w:val="00273C1B"/>
    <w:rsid w:val="00274905"/>
    <w:rsid w:val="00275C8A"/>
    <w:rsid w:val="00275EC5"/>
    <w:rsid w:val="00276D8F"/>
    <w:rsid w:val="0027722C"/>
    <w:rsid w:val="00277458"/>
    <w:rsid w:val="00281145"/>
    <w:rsid w:val="00281D45"/>
    <w:rsid w:val="00281F38"/>
    <w:rsid w:val="00281FF8"/>
    <w:rsid w:val="00283127"/>
    <w:rsid w:val="00284085"/>
    <w:rsid w:val="002840F1"/>
    <w:rsid w:val="00284688"/>
    <w:rsid w:val="00284CD1"/>
    <w:rsid w:val="00286F58"/>
    <w:rsid w:val="00290143"/>
    <w:rsid w:val="00290712"/>
    <w:rsid w:val="0029089C"/>
    <w:rsid w:val="00290AF6"/>
    <w:rsid w:val="00290EC1"/>
    <w:rsid w:val="002919F1"/>
    <w:rsid w:val="00291B5F"/>
    <w:rsid w:val="00291B76"/>
    <w:rsid w:val="00292974"/>
    <w:rsid w:val="00292B30"/>
    <w:rsid w:val="00292E2D"/>
    <w:rsid w:val="002930CD"/>
    <w:rsid w:val="00293321"/>
    <w:rsid w:val="00293928"/>
    <w:rsid w:val="00294614"/>
    <w:rsid w:val="0029599D"/>
    <w:rsid w:val="00296C0E"/>
    <w:rsid w:val="00296DA9"/>
    <w:rsid w:val="00297532"/>
    <w:rsid w:val="00297B88"/>
    <w:rsid w:val="00297F35"/>
    <w:rsid w:val="002A0EA5"/>
    <w:rsid w:val="002A0F6A"/>
    <w:rsid w:val="002A1208"/>
    <w:rsid w:val="002A190B"/>
    <w:rsid w:val="002A2AFD"/>
    <w:rsid w:val="002A3099"/>
    <w:rsid w:val="002A313B"/>
    <w:rsid w:val="002A34F9"/>
    <w:rsid w:val="002A37A1"/>
    <w:rsid w:val="002A3FBB"/>
    <w:rsid w:val="002A45E7"/>
    <w:rsid w:val="002A5630"/>
    <w:rsid w:val="002A5DDD"/>
    <w:rsid w:val="002A6AB8"/>
    <w:rsid w:val="002A7560"/>
    <w:rsid w:val="002A79C3"/>
    <w:rsid w:val="002B0922"/>
    <w:rsid w:val="002B0F8E"/>
    <w:rsid w:val="002B114E"/>
    <w:rsid w:val="002B128A"/>
    <w:rsid w:val="002B1A4F"/>
    <w:rsid w:val="002B1DFF"/>
    <w:rsid w:val="002B30C2"/>
    <w:rsid w:val="002B3374"/>
    <w:rsid w:val="002B3515"/>
    <w:rsid w:val="002B3544"/>
    <w:rsid w:val="002B368B"/>
    <w:rsid w:val="002B4616"/>
    <w:rsid w:val="002B4921"/>
    <w:rsid w:val="002B5A7F"/>
    <w:rsid w:val="002B615B"/>
    <w:rsid w:val="002B655A"/>
    <w:rsid w:val="002B74DC"/>
    <w:rsid w:val="002B7B9F"/>
    <w:rsid w:val="002C0245"/>
    <w:rsid w:val="002C095D"/>
    <w:rsid w:val="002C0C0A"/>
    <w:rsid w:val="002C1257"/>
    <w:rsid w:val="002C2BA7"/>
    <w:rsid w:val="002C2F59"/>
    <w:rsid w:val="002C337A"/>
    <w:rsid w:val="002C5323"/>
    <w:rsid w:val="002C55ED"/>
    <w:rsid w:val="002C56AB"/>
    <w:rsid w:val="002C56D8"/>
    <w:rsid w:val="002C5822"/>
    <w:rsid w:val="002C6796"/>
    <w:rsid w:val="002C6DA1"/>
    <w:rsid w:val="002C75C8"/>
    <w:rsid w:val="002C777A"/>
    <w:rsid w:val="002D013F"/>
    <w:rsid w:val="002D0154"/>
    <w:rsid w:val="002D0968"/>
    <w:rsid w:val="002D09EA"/>
    <w:rsid w:val="002D1F64"/>
    <w:rsid w:val="002D26EA"/>
    <w:rsid w:val="002D27E3"/>
    <w:rsid w:val="002D2967"/>
    <w:rsid w:val="002D33C7"/>
    <w:rsid w:val="002D361E"/>
    <w:rsid w:val="002D3F9A"/>
    <w:rsid w:val="002D47FE"/>
    <w:rsid w:val="002D595B"/>
    <w:rsid w:val="002D799C"/>
    <w:rsid w:val="002D7B70"/>
    <w:rsid w:val="002D7BF5"/>
    <w:rsid w:val="002E0515"/>
    <w:rsid w:val="002E0C37"/>
    <w:rsid w:val="002E12A4"/>
    <w:rsid w:val="002E1C8A"/>
    <w:rsid w:val="002E1DB4"/>
    <w:rsid w:val="002E21CD"/>
    <w:rsid w:val="002E291A"/>
    <w:rsid w:val="002E5B19"/>
    <w:rsid w:val="002E6183"/>
    <w:rsid w:val="002E772B"/>
    <w:rsid w:val="002E77AD"/>
    <w:rsid w:val="002E7B53"/>
    <w:rsid w:val="002F01AD"/>
    <w:rsid w:val="002F0D86"/>
    <w:rsid w:val="002F185F"/>
    <w:rsid w:val="002F1C35"/>
    <w:rsid w:val="002F1D00"/>
    <w:rsid w:val="002F2774"/>
    <w:rsid w:val="002F2866"/>
    <w:rsid w:val="002F3B45"/>
    <w:rsid w:val="002F45A3"/>
    <w:rsid w:val="002F4660"/>
    <w:rsid w:val="002F504E"/>
    <w:rsid w:val="002F55EC"/>
    <w:rsid w:val="002F5B82"/>
    <w:rsid w:val="002F5E62"/>
    <w:rsid w:val="002F6B09"/>
    <w:rsid w:val="00300242"/>
    <w:rsid w:val="00300A5A"/>
    <w:rsid w:val="00302100"/>
    <w:rsid w:val="00302EDB"/>
    <w:rsid w:val="00303162"/>
    <w:rsid w:val="00303164"/>
    <w:rsid w:val="003041EB"/>
    <w:rsid w:val="00304661"/>
    <w:rsid w:val="00305313"/>
    <w:rsid w:val="003069F4"/>
    <w:rsid w:val="003072D1"/>
    <w:rsid w:val="003072DC"/>
    <w:rsid w:val="003073E4"/>
    <w:rsid w:val="00310D7C"/>
    <w:rsid w:val="00310E88"/>
    <w:rsid w:val="00310FA9"/>
    <w:rsid w:val="003116D3"/>
    <w:rsid w:val="00311935"/>
    <w:rsid w:val="003125D5"/>
    <w:rsid w:val="00313B4A"/>
    <w:rsid w:val="00313C57"/>
    <w:rsid w:val="00313F33"/>
    <w:rsid w:val="00314942"/>
    <w:rsid w:val="00315ECA"/>
    <w:rsid w:val="003162DE"/>
    <w:rsid w:val="003163A1"/>
    <w:rsid w:val="003168D1"/>
    <w:rsid w:val="00317243"/>
    <w:rsid w:val="003173B8"/>
    <w:rsid w:val="00322227"/>
    <w:rsid w:val="00323C80"/>
    <w:rsid w:val="00323F6F"/>
    <w:rsid w:val="003243FC"/>
    <w:rsid w:val="00324CBF"/>
    <w:rsid w:val="003253E4"/>
    <w:rsid w:val="003258CF"/>
    <w:rsid w:val="00325916"/>
    <w:rsid w:val="00325C0A"/>
    <w:rsid w:val="00325DD6"/>
    <w:rsid w:val="00326DD8"/>
    <w:rsid w:val="003276BF"/>
    <w:rsid w:val="00327C6B"/>
    <w:rsid w:val="003301CB"/>
    <w:rsid w:val="00330C9D"/>
    <w:rsid w:val="003311C4"/>
    <w:rsid w:val="0033170F"/>
    <w:rsid w:val="00331CA2"/>
    <w:rsid w:val="00331FAE"/>
    <w:rsid w:val="003324AD"/>
    <w:rsid w:val="003332DE"/>
    <w:rsid w:val="00334383"/>
    <w:rsid w:val="00335140"/>
    <w:rsid w:val="003362A1"/>
    <w:rsid w:val="00336587"/>
    <w:rsid w:val="00336E27"/>
    <w:rsid w:val="00336F80"/>
    <w:rsid w:val="003373AC"/>
    <w:rsid w:val="003406CE"/>
    <w:rsid w:val="003417B7"/>
    <w:rsid w:val="00341CB3"/>
    <w:rsid w:val="00342007"/>
    <w:rsid w:val="00342B3B"/>
    <w:rsid w:val="00343429"/>
    <w:rsid w:val="0034351F"/>
    <w:rsid w:val="00343694"/>
    <w:rsid w:val="00343D07"/>
    <w:rsid w:val="003440C8"/>
    <w:rsid w:val="00344812"/>
    <w:rsid w:val="00344B0F"/>
    <w:rsid w:val="003462B6"/>
    <w:rsid w:val="003471C6"/>
    <w:rsid w:val="0034726D"/>
    <w:rsid w:val="003502AA"/>
    <w:rsid w:val="0035051D"/>
    <w:rsid w:val="0035107C"/>
    <w:rsid w:val="00351538"/>
    <w:rsid w:val="003527FA"/>
    <w:rsid w:val="00353DA1"/>
    <w:rsid w:val="00354855"/>
    <w:rsid w:val="00354C5A"/>
    <w:rsid w:val="00354CB8"/>
    <w:rsid w:val="00355317"/>
    <w:rsid w:val="00355CC6"/>
    <w:rsid w:val="00355D2E"/>
    <w:rsid w:val="00356092"/>
    <w:rsid w:val="00356912"/>
    <w:rsid w:val="00357725"/>
    <w:rsid w:val="00357A68"/>
    <w:rsid w:val="00360606"/>
    <w:rsid w:val="0036098B"/>
    <w:rsid w:val="00360B1F"/>
    <w:rsid w:val="00361328"/>
    <w:rsid w:val="003629A1"/>
    <w:rsid w:val="00362BDF"/>
    <w:rsid w:val="00362D1F"/>
    <w:rsid w:val="003630D1"/>
    <w:rsid w:val="00363312"/>
    <w:rsid w:val="0036352A"/>
    <w:rsid w:val="0036368C"/>
    <w:rsid w:val="003637FA"/>
    <w:rsid w:val="00363986"/>
    <w:rsid w:val="00363F8F"/>
    <w:rsid w:val="00364108"/>
    <w:rsid w:val="00364CD1"/>
    <w:rsid w:val="00365F1B"/>
    <w:rsid w:val="00366189"/>
    <w:rsid w:val="00366935"/>
    <w:rsid w:val="00366E94"/>
    <w:rsid w:val="0036766C"/>
    <w:rsid w:val="00367C80"/>
    <w:rsid w:val="00370701"/>
    <w:rsid w:val="00370A76"/>
    <w:rsid w:val="00370B61"/>
    <w:rsid w:val="00371002"/>
    <w:rsid w:val="003715F5"/>
    <w:rsid w:val="00371BA7"/>
    <w:rsid w:val="003723DE"/>
    <w:rsid w:val="0037255F"/>
    <w:rsid w:val="00372756"/>
    <w:rsid w:val="00372CE0"/>
    <w:rsid w:val="003737C6"/>
    <w:rsid w:val="00373948"/>
    <w:rsid w:val="00373A37"/>
    <w:rsid w:val="00373D65"/>
    <w:rsid w:val="0037412F"/>
    <w:rsid w:val="00374506"/>
    <w:rsid w:val="003746B1"/>
    <w:rsid w:val="0037492D"/>
    <w:rsid w:val="00374BA5"/>
    <w:rsid w:val="00375B9D"/>
    <w:rsid w:val="00376191"/>
    <w:rsid w:val="00376D6A"/>
    <w:rsid w:val="003771E7"/>
    <w:rsid w:val="003778C1"/>
    <w:rsid w:val="00377F18"/>
    <w:rsid w:val="0038003D"/>
    <w:rsid w:val="00380361"/>
    <w:rsid w:val="00380D96"/>
    <w:rsid w:val="00380EEB"/>
    <w:rsid w:val="00381022"/>
    <w:rsid w:val="00381AC5"/>
    <w:rsid w:val="00381CFE"/>
    <w:rsid w:val="00382364"/>
    <w:rsid w:val="0038273D"/>
    <w:rsid w:val="00382C66"/>
    <w:rsid w:val="00382CDF"/>
    <w:rsid w:val="0038350E"/>
    <w:rsid w:val="00383904"/>
    <w:rsid w:val="00384718"/>
    <w:rsid w:val="00384812"/>
    <w:rsid w:val="00385D0C"/>
    <w:rsid w:val="0038621C"/>
    <w:rsid w:val="003868A6"/>
    <w:rsid w:val="00386B54"/>
    <w:rsid w:val="00387780"/>
    <w:rsid w:val="003901F3"/>
    <w:rsid w:val="003903DA"/>
    <w:rsid w:val="00390A0F"/>
    <w:rsid w:val="00390F20"/>
    <w:rsid w:val="003918C7"/>
    <w:rsid w:val="003919B4"/>
    <w:rsid w:val="00391DFE"/>
    <w:rsid w:val="003920E5"/>
    <w:rsid w:val="00392966"/>
    <w:rsid w:val="0039344D"/>
    <w:rsid w:val="003936BE"/>
    <w:rsid w:val="003940C0"/>
    <w:rsid w:val="0039511A"/>
    <w:rsid w:val="00395B1F"/>
    <w:rsid w:val="003960A9"/>
    <w:rsid w:val="00396ECB"/>
    <w:rsid w:val="00397178"/>
    <w:rsid w:val="003A036D"/>
    <w:rsid w:val="003A0E58"/>
    <w:rsid w:val="003A1206"/>
    <w:rsid w:val="003A15A4"/>
    <w:rsid w:val="003A278F"/>
    <w:rsid w:val="003A2FAE"/>
    <w:rsid w:val="003A5083"/>
    <w:rsid w:val="003A50E7"/>
    <w:rsid w:val="003A5519"/>
    <w:rsid w:val="003A588A"/>
    <w:rsid w:val="003A5C5F"/>
    <w:rsid w:val="003A6147"/>
    <w:rsid w:val="003A69E8"/>
    <w:rsid w:val="003B10CC"/>
    <w:rsid w:val="003B126E"/>
    <w:rsid w:val="003B1409"/>
    <w:rsid w:val="003B174B"/>
    <w:rsid w:val="003B2635"/>
    <w:rsid w:val="003B2637"/>
    <w:rsid w:val="003B35FC"/>
    <w:rsid w:val="003B3C9C"/>
    <w:rsid w:val="003B45D3"/>
    <w:rsid w:val="003B550A"/>
    <w:rsid w:val="003B558B"/>
    <w:rsid w:val="003B56F8"/>
    <w:rsid w:val="003B5D7E"/>
    <w:rsid w:val="003B5E85"/>
    <w:rsid w:val="003B6412"/>
    <w:rsid w:val="003B68E1"/>
    <w:rsid w:val="003B6A6A"/>
    <w:rsid w:val="003B6C66"/>
    <w:rsid w:val="003C0101"/>
    <w:rsid w:val="003C08A1"/>
    <w:rsid w:val="003C12B7"/>
    <w:rsid w:val="003C1392"/>
    <w:rsid w:val="003C13DB"/>
    <w:rsid w:val="003C193D"/>
    <w:rsid w:val="003C24D0"/>
    <w:rsid w:val="003C28F0"/>
    <w:rsid w:val="003C2907"/>
    <w:rsid w:val="003C2CC0"/>
    <w:rsid w:val="003C3F02"/>
    <w:rsid w:val="003C5C90"/>
    <w:rsid w:val="003C637B"/>
    <w:rsid w:val="003C77A2"/>
    <w:rsid w:val="003C7C60"/>
    <w:rsid w:val="003D127B"/>
    <w:rsid w:val="003D1CBB"/>
    <w:rsid w:val="003D2FFF"/>
    <w:rsid w:val="003D3780"/>
    <w:rsid w:val="003D397C"/>
    <w:rsid w:val="003D3C89"/>
    <w:rsid w:val="003D445A"/>
    <w:rsid w:val="003D4BEE"/>
    <w:rsid w:val="003D4C21"/>
    <w:rsid w:val="003D4E0C"/>
    <w:rsid w:val="003E094A"/>
    <w:rsid w:val="003E0975"/>
    <w:rsid w:val="003E0FE3"/>
    <w:rsid w:val="003E104D"/>
    <w:rsid w:val="003E2434"/>
    <w:rsid w:val="003E2C89"/>
    <w:rsid w:val="003E3154"/>
    <w:rsid w:val="003E334C"/>
    <w:rsid w:val="003E35DB"/>
    <w:rsid w:val="003E3E40"/>
    <w:rsid w:val="003E3F4D"/>
    <w:rsid w:val="003E3F7D"/>
    <w:rsid w:val="003E56B3"/>
    <w:rsid w:val="003E597D"/>
    <w:rsid w:val="003E6742"/>
    <w:rsid w:val="003F0637"/>
    <w:rsid w:val="003F09B8"/>
    <w:rsid w:val="003F0C5A"/>
    <w:rsid w:val="003F0EA6"/>
    <w:rsid w:val="003F0F93"/>
    <w:rsid w:val="003F158A"/>
    <w:rsid w:val="003F15EB"/>
    <w:rsid w:val="003F18DA"/>
    <w:rsid w:val="003F2B05"/>
    <w:rsid w:val="003F316B"/>
    <w:rsid w:val="003F3DCE"/>
    <w:rsid w:val="003F40A1"/>
    <w:rsid w:val="003F4C66"/>
    <w:rsid w:val="003F4C8D"/>
    <w:rsid w:val="003F501F"/>
    <w:rsid w:val="003F562A"/>
    <w:rsid w:val="003F647D"/>
    <w:rsid w:val="003F6D13"/>
    <w:rsid w:val="003F71D6"/>
    <w:rsid w:val="003F7490"/>
    <w:rsid w:val="003F7591"/>
    <w:rsid w:val="003F765F"/>
    <w:rsid w:val="004001CA"/>
    <w:rsid w:val="00400D4A"/>
    <w:rsid w:val="004010BD"/>
    <w:rsid w:val="004011B0"/>
    <w:rsid w:val="0040136A"/>
    <w:rsid w:val="00402243"/>
    <w:rsid w:val="00402302"/>
    <w:rsid w:val="004025B1"/>
    <w:rsid w:val="00402C43"/>
    <w:rsid w:val="0040350C"/>
    <w:rsid w:val="00403762"/>
    <w:rsid w:val="00403CD9"/>
    <w:rsid w:val="004041B3"/>
    <w:rsid w:val="004049E1"/>
    <w:rsid w:val="00404A3A"/>
    <w:rsid w:val="0040548E"/>
    <w:rsid w:val="00405C38"/>
    <w:rsid w:val="00406576"/>
    <w:rsid w:val="0040695C"/>
    <w:rsid w:val="00406BC2"/>
    <w:rsid w:val="0040729F"/>
    <w:rsid w:val="00407E0E"/>
    <w:rsid w:val="00410E46"/>
    <w:rsid w:val="00410F2F"/>
    <w:rsid w:val="004120F5"/>
    <w:rsid w:val="004125BB"/>
    <w:rsid w:val="004130AB"/>
    <w:rsid w:val="0041361B"/>
    <w:rsid w:val="004139B3"/>
    <w:rsid w:val="00413A67"/>
    <w:rsid w:val="00413A93"/>
    <w:rsid w:val="00414A26"/>
    <w:rsid w:val="00414F28"/>
    <w:rsid w:val="00415080"/>
    <w:rsid w:val="00415712"/>
    <w:rsid w:val="00415B85"/>
    <w:rsid w:val="00416159"/>
    <w:rsid w:val="0041702F"/>
    <w:rsid w:val="00417258"/>
    <w:rsid w:val="00422D18"/>
    <w:rsid w:val="00423325"/>
    <w:rsid w:val="00423456"/>
    <w:rsid w:val="00423975"/>
    <w:rsid w:val="00424629"/>
    <w:rsid w:val="00424646"/>
    <w:rsid w:val="004251A4"/>
    <w:rsid w:val="004261CB"/>
    <w:rsid w:val="00426624"/>
    <w:rsid w:val="00426652"/>
    <w:rsid w:val="0042749E"/>
    <w:rsid w:val="00427EB4"/>
    <w:rsid w:val="004305E5"/>
    <w:rsid w:val="00430B20"/>
    <w:rsid w:val="0043133D"/>
    <w:rsid w:val="00431A05"/>
    <w:rsid w:val="00431CC7"/>
    <w:rsid w:val="0043218E"/>
    <w:rsid w:val="00432BCA"/>
    <w:rsid w:val="00433C4A"/>
    <w:rsid w:val="00434B1C"/>
    <w:rsid w:val="00434CD4"/>
    <w:rsid w:val="0043564F"/>
    <w:rsid w:val="00435858"/>
    <w:rsid w:val="00435E54"/>
    <w:rsid w:val="00437235"/>
    <w:rsid w:val="0043757C"/>
    <w:rsid w:val="00437894"/>
    <w:rsid w:val="004400BA"/>
    <w:rsid w:val="004402A1"/>
    <w:rsid w:val="00440466"/>
    <w:rsid w:val="0044069B"/>
    <w:rsid w:val="00440E12"/>
    <w:rsid w:val="00441AD6"/>
    <w:rsid w:val="00442AF1"/>
    <w:rsid w:val="004431EC"/>
    <w:rsid w:val="00443354"/>
    <w:rsid w:val="00444107"/>
    <w:rsid w:val="00444329"/>
    <w:rsid w:val="00444B15"/>
    <w:rsid w:val="00444C11"/>
    <w:rsid w:val="0044508B"/>
    <w:rsid w:val="004456D4"/>
    <w:rsid w:val="00446756"/>
    <w:rsid w:val="00446E1B"/>
    <w:rsid w:val="00447E47"/>
    <w:rsid w:val="004503DA"/>
    <w:rsid w:val="00450B25"/>
    <w:rsid w:val="00450EF2"/>
    <w:rsid w:val="00451315"/>
    <w:rsid w:val="004516BD"/>
    <w:rsid w:val="00451967"/>
    <w:rsid w:val="004520F9"/>
    <w:rsid w:val="004534F9"/>
    <w:rsid w:val="00453C76"/>
    <w:rsid w:val="0045416C"/>
    <w:rsid w:val="00455BE9"/>
    <w:rsid w:val="004564B0"/>
    <w:rsid w:val="00456AB4"/>
    <w:rsid w:val="00456C04"/>
    <w:rsid w:val="00456E91"/>
    <w:rsid w:val="00461B47"/>
    <w:rsid w:val="00462C46"/>
    <w:rsid w:val="0046387D"/>
    <w:rsid w:val="0046411E"/>
    <w:rsid w:val="004647A5"/>
    <w:rsid w:val="00464A8B"/>
    <w:rsid w:val="0046524C"/>
    <w:rsid w:val="00465341"/>
    <w:rsid w:val="004654CC"/>
    <w:rsid w:val="0046596D"/>
    <w:rsid w:val="00465C63"/>
    <w:rsid w:val="00465D3C"/>
    <w:rsid w:val="004666BC"/>
    <w:rsid w:val="00466D12"/>
    <w:rsid w:val="004702C4"/>
    <w:rsid w:val="00471251"/>
    <w:rsid w:val="004714B2"/>
    <w:rsid w:val="00471A3C"/>
    <w:rsid w:val="00471AC7"/>
    <w:rsid w:val="00472457"/>
    <w:rsid w:val="0047299E"/>
    <w:rsid w:val="0047414F"/>
    <w:rsid w:val="004757D9"/>
    <w:rsid w:val="00475DD9"/>
    <w:rsid w:val="004764E4"/>
    <w:rsid w:val="00476FE4"/>
    <w:rsid w:val="004803FA"/>
    <w:rsid w:val="00481C0D"/>
    <w:rsid w:val="00483E62"/>
    <w:rsid w:val="004855C1"/>
    <w:rsid w:val="0048643B"/>
    <w:rsid w:val="00486443"/>
    <w:rsid w:val="00486C57"/>
    <w:rsid w:val="00487536"/>
    <w:rsid w:val="004876B1"/>
    <w:rsid w:val="00487E22"/>
    <w:rsid w:val="0049212C"/>
    <w:rsid w:val="00492721"/>
    <w:rsid w:val="00492A13"/>
    <w:rsid w:val="00493237"/>
    <w:rsid w:val="00493C77"/>
    <w:rsid w:val="0049407C"/>
    <w:rsid w:val="00495020"/>
    <w:rsid w:val="004956BB"/>
    <w:rsid w:val="0049577C"/>
    <w:rsid w:val="00495A0D"/>
    <w:rsid w:val="00495D2B"/>
    <w:rsid w:val="00496343"/>
    <w:rsid w:val="00497B8E"/>
    <w:rsid w:val="00497E95"/>
    <w:rsid w:val="004A03E7"/>
    <w:rsid w:val="004A10B9"/>
    <w:rsid w:val="004A1A24"/>
    <w:rsid w:val="004A3541"/>
    <w:rsid w:val="004A3AC8"/>
    <w:rsid w:val="004A3E02"/>
    <w:rsid w:val="004A3F1C"/>
    <w:rsid w:val="004A4503"/>
    <w:rsid w:val="004A56E2"/>
    <w:rsid w:val="004A69D6"/>
    <w:rsid w:val="004A6C01"/>
    <w:rsid w:val="004A6F7D"/>
    <w:rsid w:val="004B07FF"/>
    <w:rsid w:val="004B087F"/>
    <w:rsid w:val="004B0ABB"/>
    <w:rsid w:val="004B18C9"/>
    <w:rsid w:val="004B23AB"/>
    <w:rsid w:val="004B3290"/>
    <w:rsid w:val="004B3751"/>
    <w:rsid w:val="004B376F"/>
    <w:rsid w:val="004B48A2"/>
    <w:rsid w:val="004B58D7"/>
    <w:rsid w:val="004B5CE3"/>
    <w:rsid w:val="004B5FF4"/>
    <w:rsid w:val="004B640C"/>
    <w:rsid w:val="004B6C69"/>
    <w:rsid w:val="004B75E0"/>
    <w:rsid w:val="004B77BD"/>
    <w:rsid w:val="004B7A18"/>
    <w:rsid w:val="004B7E7F"/>
    <w:rsid w:val="004C0B80"/>
    <w:rsid w:val="004C18BB"/>
    <w:rsid w:val="004C1F81"/>
    <w:rsid w:val="004C1FA4"/>
    <w:rsid w:val="004C3182"/>
    <w:rsid w:val="004C345B"/>
    <w:rsid w:val="004C3D10"/>
    <w:rsid w:val="004C40C1"/>
    <w:rsid w:val="004C4741"/>
    <w:rsid w:val="004C486F"/>
    <w:rsid w:val="004C49D2"/>
    <w:rsid w:val="004C4F0B"/>
    <w:rsid w:val="004C50B6"/>
    <w:rsid w:val="004C6C4D"/>
    <w:rsid w:val="004C7698"/>
    <w:rsid w:val="004D0721"/>
    <w:rsid w:val="004D0D56"/>
    <w:rsid w:val="004D14D4"/>
    <w:rsid w:val="004D1863"/>
    <w:rsid w:val="004D1B93"/>
    <w:rsid w:val="004D20D9"/>
    <w:rsid w:val="004D3189"/>
    <w:rsid w:val="004D53BB"/>
    <w:rsid w:val="004D5543"/>
    <w:rsid w:val="004D58DC"/>
    <w:rsid w:val="004D71B5"/>
    <w:rsid w:val="004D77F5"/>
    <w:rsid w:val="004D7B6D"/>
    <w:rsid w:val="004D7ECB"/>
    <w:rsid w:val="004E0323"/>
    <w:rsid w:val="004E0339"/>
    <w:rsid w:val="004E068A"/>
    <w:rsid w:val="004E0A77"/>
    <w:rsid w:val="004E0B0C"/>
    <w:rsid w:val="004E0FEE"/>
    <w:rsid w:val="004E14F7"/>
    <w:rsid w:val="004E2A6D"/>
    <w:rsid w:val="004E354F"/>
    <w:rsid w:val="004E462D"/>
    <w:rsid w:val="004E4F22"/>
    <w:rsid w:val="004E53AC"/>
    <w:rsid w:val="004E5C87"/>
    <w:rsid w:val="004E6A2A"/>
    <w:rsid w:val="004E788F"/>
    <w:rsid w:val="004E7938"/>
    <w:rsid w:val="004E7EAE"/>
    <w:rsid w:val="004F0298"/>
    <w:rsid w:val="004F0598"/>
    <w:rsid w:val="004F12DC"/>
    <w:rsid w:val="004F348F"/>
    <w:rsid w:val="004F36BD"/>
    <w:rsid w:val="004F3A1B"/>
    <w:rsid w:val="004F47F8"/>
    <w:rsid w:val="004F58DF"/>
    <w:rsid w:val="0050034A"/>
    <w:rsid w:val="00502D84"/>
    <w:rsid w:val="00503057"/>
    <w:rsid w:val="0050406F"/>
    <w:rsid w:val="005047E1"/>
    <w:rsid w:val="0050501E"/>
    <w:rsid w:val="00505224"/>
    <w:rsid w:val="00505476"/>
    <w:rsid w:val="00505FA0"/>
    <w:rsid w:val="005062CE"/>
    <w:rsid w:val="005067E5"/>
    <w:rsid w:val="00511ABF"/>
    <w:rsid w:val="005127F0"/>
    <w:rsid w:val="005136FB"/>
    <w:rsid w:val="00513759"/>
    <w:rsid w:val="00514715"/>
    <w:rsid w:val="00514A29"/>
    <w:rsid w:val="00515278"/>
    <w:rsid w:val="00515439"/>
    <w:rsid w:val="00517D66"/>
    <w:rsid w:val="00520F26"/>
    <w:rsid w:val="0052139C"/>
    <w:rsid w:val="0052191D"/>
    <w:rsid w:val="005220A2"/>
    <w:rsid w:val="00522D48"/>
    <w:rsid w:val="00522FD3"/>
    <w:rsid w:val="00524732"/>
    <w:rsid w:val="00524C90"/>
    <w:rsid w:val="00524D1D"/>
    <w:rsid w:val="00525234"/>
    <w:rsid w:val="00525658"/>
    <w:rsid w:val="00526196"/>
    <w:rsid w:val="00530342"/>
    <w:rsid w:val="005306B6"/>
    <w:rsid w:val="0053082E"/>
    <w:rsid w:val="00530B7B"/>
    <w:rsid w:val="005318E0"/>
    <w:rsid w:val="00531AF7"/>
    <w:rsid w:val="00532D30"/>
    <w:rsid w:val="00533327"/>
    <w:rsid w:val="00533C19"/>
    <w:rsid w:val="00533E7B"/>
    <w:rsid w:val="00534947"/>
    <w:rsid w:val="00535012"/>
    <w:rsid w:val="0053587E"/>
    <w:rsid w:val="005358B9"/>
    <w:rsid w:val="00535CD5"/>
    <w:rsid w:val="00536304"/>
    <w:rsid w:val="0053708C"/>
    <w:rsid w:val="005375C2"/>
    <w:rsid w:val="00537BC2"/>
    <w:rsid w:val="00537D72"/>
    <w:rsid w:val="00540875"/>
    <w:rsid w:val="0054107C"/>
    <w:rsid w:val="005411DC"/>
    <w:rsid w:val="00542B6C"/>
    <w:rsid w:val="00542F05"/>
    <w:rsid w:val="005435DE"/>
    <w:rsid w:val="00543D33"/>
    <w:rsid w:val="00544683"/>
    <w:rsid w:val="00545BE2"/>
    <w:rsid w:val="00546067"/>
    <w:rsid w:val="00546530"/>
    <w:rsid w:val="00546733"/>
    <w:rsid w:val="00547F3B"/>
    <w:rsid w:val="00547F6D"/>
    <w:rsid w:val="005502D0"/>
    <w:rsid w:val="005503BA"/>
    <w:rsid w:val="00550466"/>
    <w:rsid w:val="0055078E"/>
    <w:rsid w:val="0055098D"/>
    <w:rsid w:val="00551326"/>
    <w:rsid w:val="005519CB"/>
    <w:rsid w:val="00552527"/>
    <w:rsid w:val="00552905"/>
    <w:rsid w:val="00553FAA"/>
    <w:rsid w:val="005543EB"/>
    <w:rsid w:val="00554855"/>
    <w:rsid w:val="00555125"/>
    <w:rsid w:val="00555567"/>
    <w:rsid w:val="00555583"/>
    <w:rsid w:val="005559C4"/>
    <w:rsid w:val="005565BB"/>
    <w:rsid w:val="00556701"/>
    <w:rsid w:val="005568FA"/>
    <w:rsid w:val="00556F33"/>
    <w:rsid w:val="00560A9E"/>
    <w:rsid w:val="00560B59"/>
    <w:rsid w:val="00560BBC"/>
    <w:rsid w:val="00561462"/>
    <w:rsid w:val="00561704"/>
    <w:rsid w:val="00561BC5"/>
    <w:rsid w:val="00562414"/>
    <w:rsid w:val="00563C38"/>
    <w:rsid w:val="005643A9"/>
    <w:rsid w:val="0056453D"/>
    <w:rsid w:val="00564F75"/>
    <w:rsid w:val="005652D7"/>
    <w:rsid w:val="0056666F"/>
    <w:rsid w:val="00567A0C"/>
    <w:rsid w:val="005707E1"/>
    <w:rsid w:val="00570A48"/>
    <w:rsid w:val="00570CE9"/>
    <w:rsid w:val="00570CFF"/>
    <w:rsid w:val="00570F9B"/>
    <w:rsid w:val="00571013"/>
    <w:rsid w:val="005713B9"/>
    <w:rsid w:val="00571FE3"/>
    <w:rsid w:val="0057207D"/>
    <w:rsid w:val="00572677"/>
    <w:rsid w:val="005728B2"/>
    <w:rsid w:val="00572915"/>
    <w:rsid w:val="00572B13"/>
    <w:rsid w:val="005734D4"/>
    <w:rsid w:val="00573DCF"/>
    <w:rsid w:val="00575212"/>
    <w:rsid w:val="005755D3"/>
    <w:rsid w:val="005756FF"/>
    <w:rsid w:val="00576095"/>
    <w:rsid w:val="00576706"/>
    <w:rsid w:val="00580651"/>
    <w:rsid w:val="00580A22"/>
    <w:rsid w:val="00581C8E"/>
    <w:rsid w:val="00582735"/>
    <w:rsid w:val="005827A2"/>
    <w:rsid w:val="0058328A"/>
    <w:rsid w:val="005845BF"/>
    <w:rsid w:val="00584BA1"/>
    <w:rsid w:val="00584F25"/>
    <w:rsid w:val="00585180"/>
    <w:rsid w:val="00585416"/>
    <w:rsid w:val="005854DA"/>
    <w:rsid w:val="0058556E"/>
    <w:rsid w:val="00585B94"/>
    <w:rsid w:val="00586BF4"/>
    <w:rsid w:val="00586F53"/>
    <w:rsid w:val="00587393"/>
    <w:rsid w:val="005876B8"/>
    <w:rsid w:val="00590283"/>
    <w:rsid w:val="005907A2"/>
    <w:rsid w:val="00590E2C"/>
    <w:rsid w:val="00591F40"/>
    <w:rsid w:val="00592D62"/>
    <w:rsid w:val="005930AC"/>
    <w:rsid w:val="00593A28"/>
    <w:rsid w:val="00593C20"/>
    <w:rsid w:val="00594596"/>
    <w:rsid w:val="00595F3E"/>
    <w:rsid w:val="00596573"/>
    <w:rsid w:val="00596BB8"/>
    <w:rsid w:val="00596F5A"/>
    <w:rsid w:val="00597250"/>
    <w:rsid w:val="00597D12"/>
    <w:rsid w:val="005A0162"/>
    <w:rsid w:val="005A0AAA"/>
    <w:rsid w:val="005A12B3"/>
    <w:rsid w:val="005A1CF9"/>
    <w:rsid w:val="005A2616"/>
    <w:rsid w:val="005A27A5"/>
    <w:rsid w:val="005A3545"/>
    <w:rsid w:val="005A3AA6"/>
    <w:rsid w:val="005A3F13"/>
    <w:rsid w:val="005A3FE7"/>
    <w:rsid w:val="005A43E6"/>
    <w:rsid w:val="005A518A"/>
    <w:rsid w:val="005A5B7F"/>
    <w:rsid w:val="005A5C5E"/>
    <w:rsid w:val="005A5F0C"/>
    <w:rsid w:val="005A67E3"/>
    <w:rsid w:val="005A726A"/>
    <w:rsid w:val="005A78C3"/>
    <w:rsid w:val="005B020A"/>
    <w:rsid w:val="005B07A8"/>
    <w:rsid w:val="005B0C3F"/>
    <w:rsid w:val="005B0E69"/>
    <w:rsid w:val="005B0FFC"/>
    <w:rsid w:val="005B169A"/>
    <w:rsid w:val="005B1B65"/>
    <w:rsid w:val="005B24B5"/>
    <w:rsid w:val="005B29B5"/>
    <w:rsid w:val="005B2AF8"/>
    <w:rsid w:val="005B2B03"/>
    <w:rsid w:val="005B2B7A"/>
    <w:rsid w:val="005B2CBE"/>
    <w:rsid w:val="005B3039"/>
    <w:rsid w:val="005B30C8"/>
    <w:rsid w:val="005B30EE"/>
    <w:rsid w:val="005B32AB"/>
    <w:rsid w:val="005B4397"/>
    <w:rsid w:val="005B49EB"/>
    <w:rsid w:val="005B4F0D"/>
    <w:rsid w:val="005B51F2"/>
    <w:rsid w:val="005B5344"/>
    <w:rsid w:val="005B6077"/>
    <w:rsid w:val="005B66D4"/>
    <w:rsid w:val="005B697D"/>
    <w:rsid w:val="005B7093"/>
    <w:rsid w:val="005B7144"/>
    <w:rsid w:val="005B75FB"/>
    <w:rsid w:val="005B7BD9"/>
    <w:rsid w:val="005B7CDB"/>
    <w:rsid w:val="005C0F32"/>
    <w:rsid w:val="005C16AA"/>
    <w:rsid w:val="005C20A6"/>
    <w:rsid w:val="005C21D9"/>
    <w:rsid w:val="005C3660"/>
    <w:rsid w:val="005C3964"/>
    <w:rsid w:val="005C3FCE"/>
    <w:rsid w:val="005C43D1"/>
    <w:rsid w:val="005C4665"/>
    <w:rsid w:val="005C4913"/>
    <w:rsid w:val="005C4AF6"/>
    <w:rsid w:val="005C62E8"/>
    <w:rsid w:val="005C6505"/>
    <w:rsid w:val="005C747D"/>
    <w:rsid w:val="005C7939"/>
    <w:rsid w:val="005D012A"/>
    <w:rsid w:val="005D0135"/>
    <w:rsid w:val="005D0786"/>
    <w:rsid w:val="005D098E"/>
    <w:rsid w:val="005D11C2"/>
    <w:rsid w:val="005D176B"/>
    <w:rsid w:val="005D1C90"/>
    <w:rsid w:val="005D1FED"/>
    <w:rsid w:val="005D29B8"/>
    <w:rsid w:val="005D2F08"/>
    <w:rsid w:val="005D319E"/>
    <w:rsid w:val="005D3303"/>
    <w:rsid w:val="005D35BA"/>
    <w:rsid w:val="005D3C44"/>
    <w:rsid w:val="005D4346"/>
    <w:rsid w:val="005D4493"/>
    <w:rsid w:val="005D5D07"/>
    <w:rsid w:val="005D6112"/>
    <w:rsid w:val="005D6E0B"/>
    <w:rsid w:val="005D7D5E"/>
    <w:rsid w:val="005D7EB6"/>
    <w:rsid w:val="005E0144"/>
    <w:rsid w:val="005E0D18"/>
    <w:rsid w:val="005E1089"/>
    <w:rsid w:val="005E11DF"/>
    <w:rsid w:val="005E38DE"/>
    <w:rsid w:val="005E3EF9"/>
    <w:rsid w:val="005E42B1"/>
    <w:rsid w:val="005E4315"/>
    <w:rsid w:val="005E5835"/>
    <w:rsid w:val="005E6246"/>
    <w:rsid w:val="005E6375"/>
    <w:rsid w:val="005E696B"/>
    <w:rsid w:val="005E6A6C"/>
    <w:rsid w:val="005E6E84"/>
    <w:rsid w:val="005E6F9E"/>
    <w:rsid w:val="005E7677"/>
    <w:rsid w:val="005F1533"/>
    <w:rsid w:val="005F1CF9"/>
    <w:rsid w:val="005F1E04"/>
    <w:rsid w:val="005F2086"/>
    <w:rsid w:val="005F3112"/>
    <w:rsid w:val="005F394F"/>
    <w:rsid w:val="005F46EA"/>
    <w:rsid w:val="005F4740"/>
    <w:rsid w:val="005F570A"/>
    <w:rsid w:val="005F5EE6"/>
    <w:rsid w:val="005F73AE"/>
    <w:rsid w:val="005F7414"/>
    <w:rsid w:val="006003B7"/>
    <w:rsid w:val="00600831"/>
    <w:rsid w:val="0060087D"/>
    <w:rsid w:val="00601790"/>
    <w:rsid w:val="006019DA"/>
    <w:rsid w:val="00602348"/>
    <w:rsid w:val="00602AD2"/>
    <w:rsid w:val="00602E3A"/>
    <w:rsid w:val="00602FD1"/>
    <w:rsid w:val="006031DE"/>
    <w:rsid w:val="006034A1"/>
    <w:rsid w:val="00603CFF"/>
    <w:rsid w:val="00603F60"/>
    <w:rsid w:val="00603F9C"/>
    <w:rsid w:val="006050BC"/>
    <w:rsid w:val="00605B29"/>
    <w:rsid w:val="0060639A"/>
    <w:rsid w:val="00607398"/>
    <w:rsid w:val="00607AF3"/>
    <w:rsid w:val="00607D01"/>
    <w:rsid w:val="00610709"/>
    <w:rsid w:val="006115CD"/>
    <w:rsid w:val="00611ADA"/>
    <w:rsid w:val="00611FAE"/>
    <w:rsid w:val="00612B6F"/>
    <w:rsid w:val="00612D93"/>
    <w:rsid w:val="00613644"/>
    <w:rsid w:val="00614258"/>
    <w:rsid w:val="006147F0"/>
    <w:rsid w:val="00615E1D"/>
    <w:rsid w:val="00615FCF"/>
    <w:rsid w:val="006170FF"/>
    <w:rsid w:val="006175E2"/>
    <w:rsid w:val="00617863"/>
    <w:rsid w:val="00620E33"/>
    <w:rsid w:val="00620FF8"/>
    <w:rsid w:val="00621B7F"/>
    <w:rsid w:val="006223A9"/>
    <w:rsid w:val="00622624"/>
    <w:rsid w:val="0062314B"/>
    <w:rsid w:val="00623C62"/>
    <w:rsid w:val="006245AB"/>
    <w:rsid w:val="00624A77"/>
    <w:rsid w:val="006255FC"/>
    <w:rsid w:val="0062591B"/>
    <w:rsid w:val="00625AC7"/>
    <w:rsid w:val="00625EA6"/>
    <w:rsid w:val="006270CD"/>
    <w:rsid w:val="00627201"/>
    <w:rsid w:val="0063118A"/>
    <w:rsid w:val="00632742"/>
    <w:rsid w:val="00632F6E"/>
    <w:rsid w:val="00633981"/>
    <w:rsid w:val="00633FE6"/>
    <w:rsid w:val="00634269"/>
    <w:rsid w:val="006358FE"/>
    <w:rsid w:val="00635B70"/>
    <w:rsid w:val="00637714"/>
    <w:rsid w:val="006402F8"/>
    <w:rsid w:val="0064097F"/>
    <w:rsid w:val="00640D56"/>
    <w:rsid w:val="00643522"/>
    <w:rsid w:val="006435D5"/>
    <w:rsid w:val="00644709"/>
    <w:rsid w:val="006449FF"/>
    <w:rsid w:val="006456A9"/>
    <w:rsid w:val="006500CF"/>
    <w:rsid w:val="00651FA2"/>
    <w:rsid w:val="006521E6"/>
    <w:rsid w:val="00653026"/>
    <w:rsid w:val="0065310F"/>
    <w:rsid w:val="006534E4"/>
    <w:rsid w:val="00653595"/>
    <w:rsid w:val="00653FCD"/>
    <w:rsid w:val="00654A8F"/>
    <w:rsid w:val="006551AF"/>
    <w:rsid w:val="006559C0"/>
    <w:rsid w:val="00656031"/>
    <w:rsid w:val="0065672E"/>
    <w:rsid w:val="00656D3E"/>
    <w:rsid w:val="006578A3"/>
    <w:rsid w:val="006579F2"/>
    <w:rsid w:val="00657BD7"/>
    <w:rsid w:val="00657C87"/>
    <w:rsid w:val="006600AA"/>
    <w:rsid w:val="00660666"/>
    <w:rsid w:val="0066070E"/>
    <w:rsid w:val="006608E2"/>
    <w:rsid w:val="00660AC7"/>
    <w:rsid w:val="00660BAD"/>
    <w:rsid w:val="00661E37"/>
    <w:rsid w:val="0066276F"/>
    <w:rsid w:val="00663B8A"/>
    <w:rsid w:val="006645C6"/>
    <w:rsid w:val="00664661"/>
    <w:rsid w:val="0066540E"/>
    <w:rsid w:val="006659D9"/>
    <w:rsid w:val="00665C78"/>
    <w:rsid w:val="006670F3"/>
    <w:rsid w:val="006671EE"/>
    <w:rsid w:val="006675F9"/>
    <w:rsid w:val="00667F84"/>
    <w:rsid w:val="006708B3"/>
    <w:rsid w:val="00671515"/>
    <w:rsid w:val="00672A44"/>
    <w:rsid w:val="00672FCA"/>
    <w:rsid w:val="00673B36"/>
    <w:rsid w:val="00674776"/>
    <w:rsid w:val="006748E0"/>
    <w:rsid w:val="00676537"/>
    <w:rsid w:val="0067662C"/>
    <w:rsid w:val="006766DE"/>
    <w:rsid w:val="006772EB"/>
    <w:rsid w:val="00680070"/>
    <w:rsid w:val="006827AD"/>
    <w:rsid w:val="00682B36"/>
    <w:rsid w:val="006833F8"/>
    <w:rsid w:val="00683DCB"/>
    <w:rsid w:val="00683F7F"/>
    <w:rsid w:val="00684DF1"/>
    <w:rsid w:val="0068600F"/>
    <w:rsid w:val="00686383"/>
    <w:rsid w:val="006863DD"/>
    <w:rsid w:val="00686607"/>
    <w:rsid w:val="00686D48"/>
    <w:rsid w:val="00687073"/>
    <w:rsid w:val="00687228"/>
    <w:rsid w:val="006874F4"/>
    <w:rsid w:val="0068789C"/>
    <w:rsid w:val="006906E5"/>
    <w:rsid w:val="00690FF3"/>
    <w:rsid w:val="0069248F"/>
    <w:rsid w:val="0069249C"/>
    <w:rsid w:val="00692594"/>
    <w:rsid w:val="00692F2D"/>
    <w:rsid w:val="006941F9"/>
    <w:rsid w:val="00694456"/>
    <w:rsid w:val="00694B86"/>
    <w:rsid w:val="0069543D"/>
    <w:rsid w:val="00695750"/>
    <w:rsid w:val="00695936"/>
    <w:rsid w:val="00696125"/>
    <w:rsid w:val="006962B2"/>
    <w:rsid w:val="00696879"/>
    <w:rsid w:val="00696F09"/>
    <w:rsid w:val="006979A2"/>
    <w:rsid w:val="006A028F"/>
    <w:rsid w:val="006A089A"/>
    <w:rsid w:val="006A0A21"/>
    <w:rsid w:val="006A0EF2"/>
    <w:rsid w:val="006A2527"/>
    <w:rsid w:val="006A258B"/>
    <w:rsid w:val="006A3423"/>
    <w:rsid w:val="006A3AA5"/>
    <w:rsid w:val="006A3C3C"/>
    <w:rsid w:val="006A3CD2"/>
    <w:rsid w:val="006A3DE8"/>
    <w:rsid w:val="006A3F7F"/>
    <w:rsid w:val="006A4318"/>
    <w:rsid w:val="006A4AA1"/>
    <w:rsid w:val="006A4C51"/>
    <w:rsid w:val="006A5215"/>
    <w:rsid w:val="006A53C2"/>
    <w:rsid w:val="006A5488"/>
    <w:rsid w:val="006A56CE"/>
    <w:rsid w:val="006A6E20"/>
    <w:rsid w:val="006A6E27"/>
    <w:rsid w:val="006A7368"/>
    <w:rsid w:val="006B1711"/>
    <w:rsid w:val="006B1FD6"/>
    <w:rsid w:val="006B2623"/>
    <w:rsid w:val="006B429D"/>
    <w:rsid w:val="006B48F2"/>
    <w:rsid w:val="006B5727"/>
    <w:rsid w:val="006B5C81"/>
    <w:rsid w:val="006B7C89"/>
    <w:rsid w:val="006C09F1"/>
    <w:rsid w:val="006C140E"/>
    <w:rsid w:val="006C1F99"/>
    <w:rsid w:val="006C2AC3"/>
    <w:rsid w:val="006C2CA2"/>
    <w:rsid w:val="006C2DEC"/>
    <w:rsid w:val="006C32DB"/>
    <w:rsid w:val="006C4437"/>
    <w:rsid w:val="006C4638"/>
    <w:rsid w:val="006C5760"/>
    <w:rsid w:val="006C6227"/>
    <w:rsid w:val="006C6313"/>
    <w:rsid w:val="006C6AA1"/>
    <w:rsid w:val="006C7AD7"/>
    <w:rsid w:val="006C7B1B"/>
    <w:rsid w:val="006C7C4A"/>
    <w:rsid w:val="006C7FEC"/>
    <w:rsid w:val="006D23D8"/>
    <w:rsid w:val="006D3A2D"/>
    <w:rsid w:val="006D4173"/>
    <w:rsid w:val="006D654F"/>
    <w:rsid w:val="006D6C35"/>
    <w:rsid w:val="006D7158"/>
    <w:rsid w:val="006D7600"/>
    <w:rsid w:val="006D7641"/>
    <w:rsid w:val="006E0CEF"/>
    <w:rsid w:val="006E0CFB"/>
    <w:rsid w:val="006E1BFA"/>
    <w:rsid w:val="006E1C73"/>
    <w:rsid w:val="006E2215"/>
    <w:rsid w:val="006E256B"/>
    <w:rsid w:val="006E2628"/>
    <w:rsid w:val="006E35D9"/>
    <w:rsid w:val="006E4347"/>
    <w:rsid w:val="006E46AE"/>
    <w:rsid w:val="006E4FB6"/>
    <w:rsid w:val="006E55A6"/>
    <w:rsid w:val="006E5C99"/>
    <w:rsid w:val="006E5DF5"/>
    <w:rsid w:val="006E6613"/>
    <w:rsid w:val="006E677E"/>
    <w:rsid w:val="006E695C"/>
    <w:rsid w:val="006E6961"/>
    <w:rsid w:val="006F12DA"/>
    <w:rsid w:val="006F17A9"/>
    <w:rsid w:val="006F1DAC"/>
    <w:rsid w:val="006F20D6"/>
    <w:rsid w:val="006F2538"/>
    <w:rsid w:val="006F2909"/>
    <w:rsid w:val="006F2C3A"/>
    <w:rsid w:val="006F3555"/>
    <w:rsid w:val="006F495F"/>
    <w:rsid w:val="006F4A09"/>
    <w:rsid w:val="006F4A62"/>
    <w:rsid w:val="006F5466"/>
    <w:rsid w:val="006F55B1"/>
    <w:rsid w:val="006F5EEB"/>
    <w:rsid w:val="006F6DBD"/>
    <w:rsid w:val="006F6EAC"/>
    <w:rsid w:val="006F6F3D"/>
    <w:rsid w:val="006F7446"/>
    <w:rsid w:val="006F7932"/>
    <w:rsid w:val="006F7EC3"/>
    <w:rsid w:val="0070040A"/>
    <w:rsid w:val="00700F29"/>
    <w:rsid w:val="00701B7A"/>
    <w:rsid w:val="0070332C"/>
    <w:rsid w:val="00703A45"/>
    <w:rsid w:val="00703A64"/>
    <w:rsid w:val="007047E9"/>
    <w:rsid w:val="00704A54"/>
    <w:rsid w:val="00704D06"/>
    <w:rsid w:val="00704F03"/>
    <w:rsid w:val="007056F8"/>
    <w:rsid w:val="00706890"/>
    <w:rsid w:val="007069DB"/>
    <w:rsid w:val="00706C09"/>
    <w:rsid w:val="00706D5E"/>
    <w:rsid w:val="00707145"/>
    <w:rsid w:val="007072BC"/>
    <w:rsid w:val="00707474"/>
    <w:rsid w:val="00707655"/>
    <w:rsid w:val="00707904"/>
    <w:rsid w:val="00710501"/>
    <w:rsid w:val="007108D1"/>
    <w:rsid w:val="00712628"/>
    <w:rsid w:val="007130EA"/>
    <w:rsid w:val="007135E0"/>
    <w:rsid w:val="00713B01"/>
    <w:rsid w:val="00713CF6"/>
    <w:rsid w:val="0071414D"/>
    <w:rsid w:val="0071416B"/>
    <w:rsid w:val="007143DB"/>
    <w:rsid w:val="007145D7"/>
    <w:rsid w:val="007148B8"/>
    <w:rsid w:val="00714DA7"/>
    <w:rsid w:val="00714E55"/>
    <w:rsid w:val="007150CD"/>
    <w:rsid w:val="0071752E"/>
    <w:rsid w:val="00717EE5"/>
    <w:rsid w:val="00720238"/>
    <w:rsid w:val="00721A6E"/>
    <w:rsid w:val="00721B11"/>
    <w:rsid w:val="00721BD8"/>
    <w:rsid w:val="00721E16"/>
    <w:rsid w:val="00722312"/>
    <w:rsid w:val="00722631"/>
    <w:rsid w:val="0072299D"/>
    <w:rsid w:val="00722A23"/>
    <w:rsid w:val="00722BF7"/>
    <w:rsid w:val="007233A7"/>
    <w:rsid w:val="00723620"/>
    <w:rsid w:val="007242C3"/>
    <w:rsid w:val="00724D6D"/>
    <w:rsid w:val="0072583A"/>
    <w:rsid w:val="0072603A"/>
    <w:rsid w:val="007264CC"/>
    <w:rsid w:val="00727017"/>
    <w:rsid w:val="007314DC"/>
    <w:rsid w:val="007316AC"/>
    <w:rsid w:val="007317F3"/>
    <w:rsid w:val="00732522"/>
    <w:rsid w:val="0073260D"/>
    <w:rsid w:val="0073278C"/>
    <w:rsid w:val="00732D94"/>
    <w:rsid w:val="007330B5"/>
    <w:rsid w:val="00733A3E"/>
    <w:rsid w:val="007345E9"/>
    <w:rsid w:val="0073500F"/>
    <w:rsid w:val="007353B5"/>
    <w:rsid w:val="0073551D"/>
    <w:rsid w:val="00735955"/>
    <w:rsid w:val="00735A44"/>
    <w:rsid w:val="00736C3B"/>
    <w:rsid w:val="00737A6C"/>
    <w:rsid w:val="00737EA0"/>
    <w:rsid w:val="007408AE"/>
    <w:rsid w:val="00740DEA"/>
    <w:rsid w:val="00741197"/>
    <w:rsid w:val="00741443"/>
    <w:rsid w:val="007416C4"/>
    <w:rsid w:val="00741891"/>
    <w:rsid w:val="00741BB3"/>
    <w:rsid w:val="007421CF"/>
    <w:rsid w:val="00742C49"/>
    <w:rsid w:val="00743711"/>
    <w:rsid w:val="00745353"/>
    <w:rsid w:val="007459DC"/>
    <w:rsid w:val="007474D9"/>
    <w:rsid w:val="0075005A"/>
    <w:rsid w:val="00750388"/>
    <w:rsid w:val="0075060C"/>
    <w:rsid w:val="00750B3F"/>
    <w:rsid w:val="00751098"/>
    <w:rsid w:val="007513AA"/>
    <w:rsid w:val="0075171F"/>
    <w:rsid w:val="00751B67"/>
    <w:rsid w:val="007527A2"/>
    <w:rsid w:val="00752B2A"/>
    <w:rsid w:val="0075324D"/>
    <w:rsid w:val="0075480C"/>
    <w:rsid w:val="00754DEE"/>
    <w:rsid w:val="0075539F"/>
    <w:rsid w:val="007559A0"/>
    <w:rsid w:val="00755C81"/>
    <w:rsid w:val="00755F5C"/>
    <w:rsid w:val="00755F60"/>
    <w:rsid w:val="00757211"/>
    <w:rsid w:val="0075762B"/>
    <w:rsid w:val="00760131"/>
    <w:rsid w:val="0076044A"/>
    <w:rsid w:val="00760A91"/>
    <w:rsid w:val="00760DD5"/>
    <w:rsid w:val="00761036"/>
    <w:rsid w:val="007610A6"/>
    <w:rsid w:val="00761DD4"/>
    <w:rsid w:val="00761DE6"/>
    <w:rsid w:val="007632B6"/>
    <w:rsid w:val="00763E9C"/>
    <w:rsid w:val="00763F25"/>
    <w:rsid w:val="00764D8A"/>
    <w:rsid w:val="00766349"/>
    <w:rsid w:val="007671A1"/>
    <w:rsid w:val="007672A3"/>
    <w:rsid w:val="00770D35"/>
    <w:rsid w:val="00770FEF"/>
    <w:rsid w:val="0077163F"/>
    <w:rsid w:val="00771B4A"/>
    <w:rsid w:val="00771B5F"/>
    <w:rsid w:val="00774279"/>
    <w:rsid w:val="007744B0"/>
    <w:rsid w:val="0077477F"/>
    <w:rsid w:val="007752E7"/>
    <w:rsid w:val="00775789"/>
    <w:rsid w:val="00775DEE"/>
    <w:rsid w:val="00775F82"/>
    <w:rsid w:val="00776979"/>
    <w:rsid w:val="00777FBF"/>
    <w:rsid w:val="007801B0"/>
    <w:rsid w:val="0078077F"/>
    <w:rsid w:val="0078176E"/>
    <w:rsid w:val="00782014"/>
    <w:rsid w:val="007820CE"/>
    <w:rsid w:val="007821BE"/>
    <w:rsid w:val="007838F3"/>
    <w:rsid w:val="007842EF"/>
    <w:rsid w:val="007845BC"/>
    <w:rsid w:val="007847C2"/>
    <w:rsid w:val="00784E7E"/>
    <w:rsid w:val="007853EC"/>
    <w:rsid w:val="007853FB"/>
    <w:rsid w:val="00785B6F"/>
    <w:rsid w:val="00785EA1"/>
    <w:rsid w:val="0078612E"/>
    <w:rsid w:val="00786188"/>
    <w:rsid w:val="0078665A"/>
    <w:rsid w:val="00786FCC"/>
    <w:rsid w:val="0078700C"/>
    <w:rsid w:val="00787D30"/>
    <w:rsid w:val="007931BD"/>
    <w:rsid w:val="007949FB"/>
    <w:rsid w:val="00794CD7"/>
    <w:rsid w:val="00795050"/>
    <w:rsid w:val="00796BF9"/>
    <w:rsid w:val="00797357"/>
    <w:rsid w:val="007A0089"/>
    <w:rsid w:val="007A1ADA"/>
    <w:rsid w:val="007A2638"/>
    <w:rsid w:val="007A2762"/>
    <w:rsid w:val="007A3E07"/>
    <w:rsid w:val="007A4AEF"/>
    <w:rsid w:val="007A6AF9"/>
    <w:rsid w:val="007A75A8"/>
    <w:rsid w:val="007A7CB8"/>
    <w:rsid w:val="007A7F4A"/>
    <w:rsid w:val="007B0526"/>
    <w:rsid w:val="007B1899"/>
    <w:rsid w:val="007B1955"/>
    <w:rsid w:val="007B1E88"/>
    <w:rsid w:val="007B268A"/>
    <w:rsid w:val="007B269A"/>
    <w:rsid w:val="007B2BA9"/>
    <w:rsid w:val="007B2C79"/>
    <w:rsid w:val="007B3072"/>
    <w:rsid w:val="007B48A8"/>
    <w:rsid w:val="007B496B"/>
    <w:rsid w:val="007B4C9A"/>
    <w:rsid w:val="007B56B2"/>
    <w:rsid w:val="007B583E"/>
    <w:rsid w:val="007B5C13"/>
    <w:rsid w:val="007B6557"/>
    <w:rsid w:val="007B762C"/>
    <w:rsid w:val="007B7916"/>
    <w:rsid w:val="007B7F71"/>
    <w:rsid w:val="007C0B7D"/>
    <w:rsid w:val="007C1ABB"/>
    <w:rsid w:val="007C2031"/>
    <w:rsid w:val="007C2061"/>
    <w:rsid w:val="007C224E"/>
    <w:rsid w:val="007C23DF"/>
    <w:rsid w:val="007C2628"/>
    <w:rsid w:val="007C315B"/>
    <w:rsid w:val="007C40BC"/>
    <w:rsid w:val="007C424E"/>
    <w:rsid w:val="007C4612"/>
    <w:rsid w:val="007C4FAF"/>
    <w:rsid w:val="007C531C"/>
    <w:rsid w:val="007C552E"/>
    <w:rsid w:val="007C6776"/>
    <w:rsid w:val="007C707B"/>
    <w:rsid w:val="007D0D7D"/>
    <w:rsid w:val="007D0EFA"/>
    <w:rsid w:val="007D11AE"/>
    <w:rsid w:val="007D2ADA"/>
    <w:rsid w:val="007D38F5"/>
    <w:rsid w:val="007D402F"/>
    <w:rsid w:val="007D47C3"/>
    <w:rsid w:val="007D556D"/>
    <w:rsid w:val="007D601B"/>
    <w:rsid w:val="007D6313"/>
    <w:rsid w:val="007D6588"/>
    <w:rsid w:val="007D694A"/>
    <w:rsid w:val="007D6CD7"/>
    <w:rsid w:val="007D6D1A"/>
    <w:rsid w:val="007D7A71"/>
    <w:rsid w:val="007E0343"/>
    <w:rsid w:val="007E03D3"/>
    <w:rsid w:val="007E0517"/>
    <w:rsid w:val="007E05AB"/>
    <w:rsid w:val="007E0CA0"/>
    <w:rsid w:val="007E16CF"/>
    <w:rsid w:val="007E1E1B"/>
    <w:rsid w:val="007E240D"/>
    <w:rsid w:val="007E2DC5"/>
    <w:rsid w:val="007E30E7"/>
    <w:rsid w:val="007E346B"/>
    <w:rsid w:val="007E3800"/>
    <w:rsid w:val="007E3ADE"/>
    <w:rsid w:val="007E4D13"/>
    <w:rsid w:val="007E5507"/>
    <w:rsid w:val="007E56A7"/>
    <w:rsid w:val="007E607C"/>
    <w:rsid w:val="007E6984"/>
    <w:rsid w:val="007F0885"/>
    <w:rsid w:val="007F0AC5"/>
    <w:rsid w:val="007F0F86"/>
    <w:rsid w:val="007F12A7"/>
    <w:rsid w:val="007F190F"/>
    <w:rsid w:val="007F3597"/>
    <w:rsid w:val="007F3DB1"/>
    <w:rsid w:val="007F4290"/>
    <w:rsid w:val="007F64BA"/>
    <w:rsid w:val="007F777F"/>
    <w:rsid w:val="008003B6"/>
    <w:rsid w:val="00800AD4"/>
    <w:rsid w:val="0080291E"/>
    <w:rsid w:val="0080311B"/>
    <w:rsid w:val="008037F9"/>
    <w:rsid w:val="00803B5B"/>
    <w:rsid w:val="00805125"/>
    <w:rsid w:val="00805258"/>
    <w:rsid w:val="0080574A"/>
    <w:rsid w:val="00805B8B"/>
    <w:rsid w:val="008062DE"/>
    <w:rsid w:val="00807049"/>
    <w:rsid w:val="00807261"/>
    <w:rsid w:val="008107BE"/>
    <w:rsid w:val="00810C9F"/>
    <w:rsid w:val="00810D63"/>
    <w:rsid w:val="00811725"/>
    <w:rsid w:val="0081224D"/>
    <w:rsid w:val="00813536"/>
    <w:rsid w:val="0081385D"/>
    <w:rsid w:val="00814316"/>
    <w:rsid w:val="00814882"/>
    <w:rsid w:val="008148DF"/>
    <w:rsid w:val="00814CC4"/>
    <w:rsid w:val="00814D27"/>
    <w:rsid w:val="008155EE"/>
    <w:rsid w:val="00816128"/>
    <w:rsid w:val="00816256"/>
    <w:rsid w:val="008177CF"/>
    <w:rsid w:val="00820200"/>
    <w:rsid w:val="00821C99"/>
    <w:rsid w:val="00821F84"/>
    <w:rsid w:val="00822652"/>
    <w:rsid w:val="00822C1C"/>
    <w:rsid w:val="0082343E"/>
    <w:rsid w:val="0082387F"/>
    <w:rsid w:val="00823B57"/>
    <w:rsid w:val="00823EA9"/>
    <w:rsid w:val="00824144"/>
    <w:rsid w:val="00824E9D"/>
    <w:rsid w:val="0082551F"/>
    <w:rsid w:val="008255AB"/>
    <w:rsid w:val="0082639B"/>
    <w:rsid w:val="008263D3"/>
    <w:rsid w:val="00826B50"/>
    <w:rsid w:val="0082719B"/>
    <w:rsid w:val="008276EA"/>
    <w:rsid w:val="008300F3"/>
    <w:rsid w:val="008301D0"/>
    <w:rsid w:val="00830647"/>
    <w:rsid w:val="008327E4"/>
    <w:rsid w:val="00833263"/>
    <w:rsid w:val="008332A3"/>
    <w:rsid w:val="00833D4B"/>
    <w:rsid w:val="008342BA"/>
    <w:rsid w:val="00834484"/>
    <w:rsid w:val="00834BFB"/>
    <w:rsid w:val="00834CE1"/>
    <w:rsid w:val="0083619A"/>
    <w:rsid w:val="008365E2"/>
    <w:rsid w:val="00836B57"/>
    <w:rsid w:val="00836D09"/>
    <w:rsid w:val="0083796B"/>
    <w:rsid w:val="00837E5C"/>
    <w:rsid w:val="0084032D"/>
    <w:rsid w:val="0084123D"/>
    <w:rsid w:val="008412B5"/>
    <w:rsid w:val="00842096"/>
    <w:rsid w:val="00842CD8"/>
    <w:rsid w:val="00844130"/>
    <w:rsid w:val="008446E6"/>
    <w:rsid w:val="0084560C"/>
    <w:rsid w:val="0084575C"/>
    <w:rsid w:val="00846399"/>
    <w:rsid w:val="008466B0"/>
    <w:rsid w:val="00847F07"/>
    <w:rsid w:val="008504B5"/>
    <w:rsid w:val="0085166E"/>
    <w:rsid w:val="00851AE3"/>
    <w:rsid w:val="00851F70"/>
    <w:rsid w:val="0085256A"/>
    <w:rsid w:val="00852978"/>
    <w:rsid w:val="00854202"/>
    <w:rsid w:val="008545EE"/>
    <w:rsid w:val="00854856"/>
    <w:rsid w:val="008549D1"/>
    <w:rsid w:val="00854C8A"/>
    <w:rsid w:val="00855988"/>
    <w:rsid w:val="00855FEC"/>
    <w:rsid w:val="00856939"/>
    <w:rsid w:val="00856C8D"/>
    <w:rsid w:val="008570D1"/>
    <w:rsid w:val="00857544"/>
    <w:rsid w:val="0086042C"/>
    <w:rsid w:val="00860492"/>
    <w:rsid w:val="00860F8C"/>
    <w:rsid w:val="0086193A"/>
    <w:rsid w:val="00861CF1"/>
    <w:rsid w:val="00862010"/>
    <w:rsid w:val="00862696"/>
    <w:rsid w:val="00862CBF"/>
    <w:rsid w:val="008633F3"/>
    <w:rsid w:val="00863D15"/>
    <w:rsid w:val="00863E99"/>
    <w:rsid w:val="00864612"/>
    <w:rsid w:val="0086465F"/>
    <w:rsid w:val="00864A2E"/>
    <w:rsid w:val="00865440"/>
    <w:rsid w:val="00865482"/>
    <w:rsid w:val="00872588"/>
    <w:rsid w:val="008725D2"/>
    <w:rsid w:val="0087284F"/>
    <w:rsid w:val="008734AF"/>
    <w:rsid w:val="00873777"/>
    <w:rsid w:val="00873890"/>
    <w:rsid w:val="00874638"/>
    <w:rsid w:val="00874DB3"/>
    <w:rsid w:val="00875578"/>
    <w:rsid w:val="00875B3C"/>
    <w:rsid w:val="008766A1"/>
    <w:rsid w:val="00876BB7"/>
    <w:rsid w:val="00877138"/>
    <w:rsid w:val="008777DB"/>
    <w:rsid w:val="00877D02"/>
    <w:rsid w:val="00880F80"/>
    <w:rsid w:val="008821F2"/>
    <w:rsid w:val="00883452"/>
    <w:rsid w:val="00883BBE"/>
    <w:rsid w:val="00883F80"/>
    <w:rsid w:val="008840A4"/>
    <w:rsid w:val="00884478"/>
    <w:rsid w:val="0088568C"/>
    <w:rsid w:val="00886021"/>
    <w:rsid w:val="008863D8"/>
    <w:rsid w:val="008901EE"/>
    <w:rsid w:val="008911FE"/>
    <w:rsid w:val="0089245E"/>
    <w:rsid w:val="00892FB2"/>
    <w:rsid w:val="00893898"/>
    <w:rsid w:val="0089448F"/>
    <w:rsid w:val="00894914"/>
    <w:rsid w:val="00894F78"/>
    <w:rsid w:val="0089571D"/>
    <w:rsid w:val="00895DFA"/>
    <w:rsid w:val="00896183"/>
    <w:rsid w:val="0089688C"/>
    <w:rsid w:val="008A095A"/>
    <w:rsid w:val="008A0CD1"/>
    <w:rsid w:val="008A1560"/>
    <w:rsid w:val="008A156F"/>
    <w:rsid w:val="008A1673"/>
    <w:rsid w:val="008A1B94"/>
    <w:rsid w:val="008A23AC"/>
    <w:rsid w:val="008A2429"/>
    <w:rsid w:val="008A2C49"/>
    <w:rsid w:val="008A2CED"/>
    <w:rsid w:val="008A2D79"/>
    <w:rsid w:val="008A3B7A"/>
    <w:rsid w:val="008A3D75"/>
    <w:rsid w:val="008A496C"/>
    <w:rsid w:val="008A5CDA"/>
    <w:rsid w:val="008A6F33"/>
    <w:rsid w:val="008A75F7"/>
    <w:rsid w:val="008A785D"/>
    <w:rsid w:val="008A7D0C"/>
    <w:rsid w:val="008B0C91"/>
    <w:rsid w:val="008B1084"/>
    <w:rsid w:val="008B1225"/>
    <w:rsid w:val="008B1795"/>
    <w:rsid w:val="008B1985"/>
    <w:rsid w:val="008B1BC9"/>
    <w:rsid w:val="008B1F39"/>
    <w:rsid w:val="008B26EB"/>
    <w:rsid w:val="008B2B34"/>
    <w:rsid w:val="008B3409"/>
    <w:rsid w:val="008B3910"/>
    <w:rsid w:val="008B397C"/>
    <w:rsid w:val="008B39D5"/>
    <w:rsid w:val="008B567C"/>
    <w:rsid w:val="008B587B"/>
    <w:rsid w:val="008B626E"/>
    <w:rsid w:val="008B6ABC"/>
    <w:rsid w:val="008B7182"/>
    <w:rsid w:val="008B74AF"/>
    <w:rsid w:val="008B7D87"/>
    <w:rsid w:val="008C02E1"/>
    <w:rsid w:val="008C0317"/>
    <w:rsid w:val="008C0EB2"/>
    <w:rsid w:val="008C1FC2"/>
    <w:rsid w:val="008C23D1"/>
    <w:rsid w:val="008C244A"/>
    <w:rsid w:val="008C34A1"/>
    <w:rsid w:val="008C3A07"/>
    <w:rsid w:val="008C3A8D"/>
    <w:rsid w:val="008C3FC0"/>
    <w:rsid w:val="008C423F"/>
    <w:rsid w:val="008C5004"/>
    <w:rsid w:val="008C5115"/>
    <w:rsid w:val="008C7978"/>
    <w:rsid w:val="008C7FAA"/>
    <w:rsid w:val="008D0CA2"/>
    <w:rsid w:val="008D0F49"/>
    <w:rsid w:val="008D109A"/>
    <w:rsid w:val="008D1104"/>
    <w:rsid w:val="008D26BB"/>
    <w:rsid w:val="008D2B6C"/>
    <w:rsid w:val="008D2BB5"/>
    <w:rsid w:val="008D2D88"/>
    <w:rsid w:val="008D3C68"/>
    <w:rsid w:val="008D4065"/>
    <w:rsid w:val="008D4966"/>
    <w:rsid w:val="008D4CD4"/>
    <w:rsid w:val="008D7188"/>
    <w:rsid w:val="008D73C0"/>
    <w:rsid w:val="008D77B6"/>
    <w:rsid w:val="008E0997"/>
    <w:rsid w:val="008E10DB"/>
    <w:rsid w:val="008E11AB"/>
    <w:rsid w:val="008E21B7"/>
    <w:rsid w:val="008E29BE"/>
    <w:rsid w:val="008E2FEB"/>
    <w:rsid w:val="008E3038"/>
    <w:rsid w:val="008E35D8"/>
    <w:rsid w:val="008E401C"/>
    <w:rsid w:val="008E40D0"/>
    <w:rsid w:val="008E41E5"/>
    <w:rsid w:val="008E5755"/>
    <w:rsid w:val="008E57E8"/>
    <w:rsid w:val="008E5ADF"/>
    <w:rsid w:val="008E65E7"/>
    <w:rsid w:val="008E6864"/>
    <w:rsid w:val="008E76AA"/>
    <w:rsid w:val="008F0180"/>
    <w:rsid w:val="008F0B78"/>
    <w:rsid w:val="008F0FDF"/>
    <w:rsid w:val="008F2961"/>
    <w:rsid w:val="008F2C15"/>
    <w:rsid w:val="008F39C1"/>
    <w:rsid w:val="008F4E4A"/>
    <w:rsid w:val="008F52CD"/>
    <w:rsid w:val="008F53C2"/>
    <w:rsid w:val="008F6195"/>
    <w:rsid w:val="008F622D"/>
    <w:rsid w:val="008F7795"/>
    <w:rsid w:val="008F7A1B"/>
    <w:rsid w:val="008F7DFD"/>
    <w:rsid w:val="00901DFE"/>
    <w:rsid w:val="0090205F"/>
    <w:rsid w:val="009024D5"/>
    <w:rsid w:val="0090257C"/>
    <w:rsid w:val="009027DD"/>
    <w:rsid w:val="009032B3"/>
    <w:rsid w:val="00903433"/>
    <w:rsid w:val="00903C94"/>
    <w:rsid w:val="009048EC"/>
    <w:rsid w:val="00904DF6"/>
    <w:rsid w:val="00905090"/>
    <w:rsid w:val="009056CA"/>
    <w:rsid w:val="00905AD3"/>
    <w:rsid w:val="00905DE8"/>
    <w:rsid w:val="00906113"/>
    <w:rsid w:val="00906E29"/>
    <w:rsid w:val="0091123B"/>
    <w:rsid w:val="009112D7"/>
    <w:rsid w:val="009115A4"/>
    <w:rsid w:val="009118F6"/>
    <w:rsid w:val="00912172"/>
    <w:rsid w:val="00912412"/>
    <w:rsid w:val="00912A29"/>
    <w:rsid w:val="00912FF1"/>
    <w:rsid w:val="0091372A"/>
    <w:rsid w:val="00913F9C"/>
    <w:rsid w:val="009140F0"/>
    <w:rsid w:val="00914572"/>
    <w:rsid w:val="009147AF"/>
    <w:rsid w:val="00915097"/>
    <w:rsid w:val="00915428"/>
    <w:rsid w:val="009156C0"/>
    <w:rsid w:val="0091600C"/>
    <w:rsid w:val="00916BB3"/>
    <w:rsid w:val="00917E42"/>
    <w:rsid w:val="00920197"/>
    <w:rsid w:val="00920576"/>
    <w:rsid w:val="00920C92"/>
    <w:rsid w:val="00920CD6"/>
    <w:rsid w:val="00921282"/>
    <w:rsid w:val="009216DB"/>
    <w:rsid w:val="0092172F"/>
    <w:rsid w:val="00921C24"/>
    <w:rsid w:val="00922EF6"/>
    <w:rsid w:val="0092324C"/>
    <w:rsid w:val="00923DA5"/>
    <w:rsid w:val="0092476A"/>
    <w:rsid w:val="00927479"/>
    <w:rsid w:val="00927B30"/>
    <w:rsid w:val="0093084F"/>
    <w:rsid w:val="00930A75"/>
    <w:rsid w:val="00930B68"/>
    <w:rsid w:val="0093101C"/>
    <w:rsid w:val="0093102D"/>
    <w:rsid w:val="00931F14"/>
    <w:rsid w:val="00932028"/>
    <w:rsid w:val="00932CAD"/>
    <w:rsid w:val="0093320B"/>
    <w:rsid w:val="009335FE"/>
    <w:rsid w:val="00933E14"/>
    <w:rsid w:val="00934282"/>
    <w:rsid w:val="009349C8"/>
    <w:rsid w:val="009355BA"/>
    <w:rsid w:val="00935964"/>
    <w:rsid w:val="009363AE"/>
    <w:rsid w:val="009363D0"/>
    <w:rsid w:val="009365B4"/>
    <w:rsid w:val="00937071"/>
    <w:rsid w:val="0093774C"/>
    <w:rsid w:val="00937F1A"/>
    <w:rsid w:val="009401E9"/>
    <w:rsid w:val="0094174F"/>
    <w:rsid w:val="00941C0C"/>
    <w:rsid w:val="00942DB5"/>
    <w:rsid w:val="00943D50"/>
    <w:rsid w:val="009442D5"/>
    <w:rsid w:val="00944C25"/>
    <w:rsid w:val="00944F17"/>
    <w:rsid w:val="009453E9"/>
    <w:rsid w:val="0094581C"/>
    <w:rsid w:val="00945D34"/>
    <w:rsid w:val="00946D8F"/>
    <w:rsid w:val="00951647"/>
    <w:rsid w:val="0095202C"/>
    <w:rsid w:val="009527B9"/>
    <w:rsid w:val="00952906"/>
    <w:rsid w:val="009537D9"/>
    <w:rsid w:val="009541E9"/>
    <w:rsid w:val="00954338"/>
    <w:rsid w:val="00954FC4"/>
    <w:rsid w:val="009552F5"/>
    <w:rsid w:val="009554FB"/>
    <w:rsid w:val="00955A6B"/>
    <w:rsid w:val="00956190"/>
    <w:rsid w:val="009572CD"/>
    <w:rsid w:val="0095741E"/>
    <w:rsid w:val="009574C2"/>
    <w:rsid w:val="0096159D"/>
    <w:rsid w:val="009628FA"/>
    <w:rsid w:val="00962D81"/>
    <w:rsid w:val="00963262"/>
    <w:rsid w:val="00963D09"/>
    <w:rsid w:val="00964944"/>
    <w:rsid w:val="00965612"/>
    <w:rsid w:val="00967606"/>
    <w:rsid w:val="00967CDF"/>
    <w:rsid w:val="00967DBF"/>
    <w:rsid w:val="009708D9"/>
    <w:rsid w:val="00970AE1"/>
    <w:rsid w:val="00971C66"/>
    <w:rsid w:val="00972965"/>
    <w:rsid w:val="00972B34"/>
    <w:rsid w:val="00973267"/>
    <w:rsid w:val="009734A2"/>
    <w:rsid w:val="009737FC"/>
    <w:rsid w:val="009740BC"/>
    <w:rsid w:val="009748A1"/>
    <w:rsid w:val="00974B28"/>
    <w:rsid w:val="00974F06"/>
    <w:rsid w:val="009753CF"/>
    <w:rsid w:val="00976AD9"/>
    <w:rsid w:val="009776F5"/>
    <w:rsid w:val="00980B2D"/>
    <w:rsid w:val="00980F3B"/>
    <w:rsid w:val="009815EA"/>
    <w:rsid w:val="00981603"/>
    <w:rsid w:val="009822F9"/>
    <w:rsid w:val="009829EA"/>
    <w:rsid w:val="00983211"/>
    <w:rsid w:val="0098340A"/>
    <w:rsid w:val="00983990"/>
    <w:rsid w:val="00983C1F"/>
    <w:rsid w:val="00983CC9"/>
    <w:rsid w:val="0098592D"/>
    <w:rsid w:val="00992912"/>
    <w:rsid w:val="00993136"/>
    <w:rsid w:val="00994233"/>
    <w:rsid w:val="00994513"/>
    <w:rsid w:val="00994BF9"/>
    <w:rsid w:val="00994C09"/>
    <w:rsid w:val="00997712"/>
    <w:rsid w:val="00997C59"/>
    <w:rsid w:val="009A0733"/>
    <w:rsid w:val="009A0F37"/>
    <w:rsid w:val="009A1329"/>
    <w:rsid w:val="009A20F6"/>
    <w:rsid w:val="009A24FC"/>
    <w:rsid w:val="009A2919"/>
    <w:rsid w:val="009A2E0F"/>
    <w:rsid w:val="009A3617"/>
    <w:rsid w:val="009A40AF"/>
    <w:rsid w:val="009A56AE"/>
    <w:rsid w:val="009A6261"/>
    <w:rsid w:val="009A65E4"/>
    <w:rsid w:val="009A73D7"/>
    <w:rsid w:val="009A74DC"/>
    <w:rsid w:val="009B023A"/>
    <w:rsid w:val="009B0647"/>
    <w:rsid w:val="009B08CA"/>
    <w:rsid w:val="009B0E02"/>
    <w:rsid w:val="009B0E3B"/>
    <w:rsid w:val="009B11F1"/>
    <w:rsid w:val="009B14F9"/>
    <w:rsid w:val="009B1545"/>
    <w:rsid w:val="009B1613"/>
    <w:rsid w:val="009B18AE"/>
    <w:rsid w:val="009B19DA"/>
    <w:rsid w:val="009B2883"/>
    <w:rsid w:val="009B2A0C"/>
    <w:rsid w:val="009B2B6E"/>
    <w:rsid w:val="009B3707"/>
    <w:rsid w:val="009B46ED"/>
    <w:rsid w:val="009B47DF"/>
    <w:rsid w:val="009B4973"/>
    <w:rsid w:val="009B507B"/>
    <w:rsid w:val="009B5511"/>
    <w:rsid w:val="009B56D3"/>
    <w:rsid w:val="009B57C7"/>
    <w:rsid w:val="009B580A"/>
    <w:rsid w:val="009B5F70"/>
    <w:rsid w:val="009B7B1B"/>
    <w:rsid w:val="009B7BCA"/>
    <w:rsid w:val="009C0443"/>
    <w:rsid w:val="009C0A9C"/>
    <w:rsid w:val="009C11D0"/>
    <w:rsid w:val="009C32FE"/>
    <w:rsid w:val="009C3818"/>
    <w:rsid w:val="009C3A25"/>
    <w:rsid w:val="009C40BE"/>
    <w:rsid w:val="009C4677"/>
    <w:rsid w:val="009C46D3"/>
    <w:rsid w:val="009C4FD8"/>
    <w:rsid w:val="009C5EF6"/>
    <w:rsid w:val="009C6312"/>
    <w:rsid w:val="009C63CC"/>
    <w:rsid w:val="009C67BD"/>
    <w:rsid w:val="009C71DF"/>
    <w:rsid w:val="009C7779"/>
    <w:rsid w:val="009D02F3"/>
    <w:rsid w:val="009D2327"/>
    <w:rsid w:val="009D293F"/>
    <w:rsid w:val="009D3243"/>
    <w:rsid w:val="009D3496"/>
    <w:rsid w:val="009D3AFE"/>
    <w:rsid w:val="009D46A4"/>
    <w:rsid w:val="009D4929"/>
    <w:rsid w:val="009D4BC2"/>
    <w:rsid w:val="009D60CC"/>
    <w:rsid w:val="009D6B40"/>
    <w:rsid w:val="009D6D75"/>
    <w:rsid w:val="009D7607"/>
    <w:rsid w:val="009D78EE"/>
    <w:rsid w:val="009D7B6F"/>
    <w:rsid w:val="009E1050"/>
    <w:rsid w:val="009E1AFC"/>
    <w:rsid w:val="009E2031"/>
    <w:rsid w:val="009E2B96"/>
    <w:rsid w:val="009E3A78"/>
    <w:rsid w:val="009E3A7B"/>
    <w:rsid w:val="009E3DDA"/>
    <w:rsid w:val="009E4B64"/>
    <w:rsid w:val="009E4EEF"/>
    <w:rsid w:val="009E629A"/>
    <w:rsid w:val="009E6C44"/>
    <w:rsid w:val="009E73DF"/>
    <w:rsid w:val="009E78BA"/>
    <w:rsid w:val="009E7B61"/>
    <w:rsid w:val="009F0008"/>
    <w:rsid w:val="009F04D0"/>
    <w:rsid w:val="009F0AB3"/>
    <w:rsid w:val="009F3343"/>
    <w:rsid w:val="009F4234"/>
    <w:rsid w:val="009F5242"/>
    <w:rsid w:val="009F5523"/>
    <w:rsid w:val="009F59C0"/>
    <w:rsid w:val="009F5BC1"/>
    <w:rsid w:val="009F63EA"/>
    <w:rsid w:val="009F65B0"/>
    <w:rsid w:val="009F674C"/>
    <w:rsid w:val="009F6F2C"/>
    <w:rsid w:val="009F7062"/>
    <w:rsid w:val="00A00224"/>
    <w:rsid w:val="00A01ECE"/>
    <w:rsid w:val="00A024E2"/>
    <w:rsid w:val="00A02B94"/>
    <w:rsid w:val="00A02C75"/>
    <w:rsid w:val="00A03150"/>
    <w:rsid w:val="00A03CBA"/>
    <w:rsid w:val="00A04476"/>
    <w:rsid w:val="00A044B3"/>
    <w:rsid w:val="00A056CA"/>
    <w:rsid w:val="00A06A19"/>
    <w:rsid w:val="00A06D7E"/>
    <w:rsid w:val="00A106E6"/>
    <w:rsid w:val="00A10973"/>
    <w:rsid w:val="00A11221"/>
    <w:rsid w:val="00A1127D"/>
    <w:rsid w:val="00A12B46"/>
    <w:rsid w:val="00A12E2B"/>
    <w:rsid w:val="00A13B06"/>
    <w:rsid w:val="00A14BF6"/>
    <w:rsid w:val="00A154A2"/>
    <w:rsid w:val="00A15715"/>
    <w:rsid w:val="00A161CD"/>
    <w:rsid w:val="00A162FE"/>
    <w:rsid w:val="00A16331"/>
    <w:rsid w:val="00A166DD"/>
    <w:rsid w:val="00A203CA"/>
    <w:rsid w:val="00A20D0D"/>
    <w:rsid w:val="00A20E51"/>
    <w:rsid w:val="00A211E4"/>
    <w:rsid w:val="00A212C7"/>
    <w:rsid w:val="00A21567"/>
    <w:rsid w:val="00A21A5A"/>
    <w:rsid w:val="00A21F73"/>
    <w:rsid w:val="00A22077"/>
    <w:rsid w:val="00A23A7C"/>
    <w:rsid w:val="00A24EB1"/>
    <w:rsid w:val="00A254F9"/>
    <w:rsid w:val="00A262EF"/>
    <w:rsid w:val="00A2679B"/>
    <w:rsid w:val="00A306F1"/>
    <w:rsid w:val="00A31D24"/>
    <w:rsid w:val="00A3213F"/>
    <w:rsid w:val="00A32A01"/>
    <w:rsid w:val="00A32AF3"/>
    <w:rsid w:val="00A334B6"/>
    <w:rsid w:val="00A33B3E"/>
    <w:rsid w:val="00A35D18"/>
    <w:rsid w:val="00A35D8A"/>
    <w:rsid w:val="00A36363"/>
    <w:rsid w:val="00A3657C"/>
    <w:rsid w:val="00A36E0B"/>
    <w:rsid w:val="00A37C07"/>
    <w:rsid w:val="00A40909"/>
    <w:rsid w:val="00A41349"/>
    <w:rsid w:val="00A41664"/>
    <w:rsid w:val="00A41994"/>
    <w:rsid w:val="00A42A8A"/>
    <w:rsid w:val="00A4307B"/>
    <w:rsid w:val="00A43365"/>
    <w:rsid w:val="00A439FD"/>
    <w:rsid w:val="00A43D4F"/>
    <w:rsid w:val="00A43E37"/>
    <w:rsid w:val="00A444FF"/>
    <w:rsid w:val="00A44EA0"/>
    <w:rsid w:val="00A44FB7"/>
    <w:rsid w:val="00A45552"/>
    <w:rsid w:val="00A45828"/>
    <w:rsid w:val="00A45E8C"/>
    <w:rsid w:val="00A46059"/>
    <w:rsid w:val="00A475FA"/>
    <w:rsid w:val="00A47FE3"/>
    <w:rsid w:val="00A505D2"/>
    <w:rsid w:val="00A50C9A"/>
    <w:rsid w:val="00A511FE"/>
    <w:rsid w:val="00A51762"/>
    <w:rsid w:val="00A5234F"/>
    <w:rsid w:val="00A52726"/>
    <w:rsid w:val="00A52A49"/>
    <w:rsid w:val="00A52DEC"/>
    <w:rsid w:val="00A531F3"/>
    <w:rsid w:val="00A53C99"/>
    <w:rsid w:val="00A545A2"/>
    <w:rsid w:val="00A54683"/>
    <w:rsid w:val="00A547F4"/>
    <w:rsid w:val="00A556F8"/>
    <w:rsid w:val="00A56121"/>
    <w:rsid w:val="00A562C9"/>
    <w:rsid w:val="00A56E44"/>
    <w:rsid w:val="00A57616"/>
    <w:rsid w:val="00A57946"/>
    <w:rsid w:val="00A6075C"/>
    <w:rsid w:val="00A60808"/>
    <w:rsid w:val="00A62135"/>
    <w:rsid w:val="00A642BB"/>
    <w:rsid w:val="00A6545F"/>
    <w:rsid w:val="00A659A3"/>
    <w:rsid w:val="00A65A46"/>
    <w:rsid w:val="00A66321"/>
    <w:rsid w:val="00A6686B"/>
    <w:rsid w:val="00A66E5F"/>
    <w:rsid w:val="00A67611"/>
    <w:rsid w:val="00A677CB"/>
    <w:rsid w:val="00A67DA6"/>
    <w:rsid w:val="00A722F0"/>
    <w:rsid w:val="00A7276D"/>
    <w:rsid w:val="00A72EC2"/>
    <w:rsid w:val="00A72FAD"/>
    <w:rsid w:val="00A742A7"/>
    <w:rsid w:val="00A7435D"/>
    <w:rsid w:val="00A74E93"/>
    <w:rsid w:val="00A7544D"/>
    <w:rsid w:val="00A7626C"/>
    <w:rsid w:val="00A76E72"/>
    <w:rsid w:val="00A7710A"/>
    <w:rsid w:val="00A77805"/>
    <w:rsid w:val="00A80380"/>
    <w:rsid w:val="00A80F70"/>
    <w:rsid w:val="00A818C9"/>
    <w:rsid w:val="00A81D72"/>
    <w:rsid w:val="00A826A6"/>
    <w:rsid w:val="00A83266"/>
    <w:rsid w:val="00A8346F"/>
    <w:rsid w:val="00A834FC"/>
    <w:rsid w:val="00A83880"/>
    <w:rsid w:val="00A845DE"/>
    <w:rsid w:val="00A84F52"/>
    <w:rsid w:val="00A85F90"/>
    <w:rsid w:val="00A8664B"/>
    <w:rsid w:val="00A86CAD"/>
    <w:rsid w:val="00A873A5"/>
    <w:rsid w:val="00A87530"/>
    <w:rsid w:val="00A879A8"/>
    <w:rsid w:val="00A87FA6"/>
    <w:rsid w:val="00A91C00"/>
    <w:rsid w:val="00A9230D"/>
    <w:rsid w:val="00A924E4"/>
    <w:rsid w:val="00A932D6"/>
    <w:rsid w:val="00A94D81"/>
    <w:rsid w:val="00A97055"/>
    <w:rsid w:val="00A9714E"/>
    <w:rsid w:val="00A9749F"/>
    <w:rsid w:val="00A974B8"/>
    <w:rsid w:val="00AA07B1"/>
    <w:rsid w:val="00AA0D45"/>
    <w:rsid w:val="00AA1296"/>
    <w:rsid w:val="00AA12FA"/>
    <w:rsid w:val="00AA1383"/>
    <w:rsid w:val="00AA1561"/>
    <w:rsid w:val="00AA1F99"/>
    <w:rsid w:val="00AA2375"/>
    <w:rsid w:val="00AA26B8"/>
    <w:rsid w:val="00AA383A"/>
    <w:rsid w:val="00AA421E"/>
    <w:rsid w:val="00AA427E"/>
    <w:rsid w:val="00AA42FC"/>
    <w:rsid w:val="00AA4AFB"/>
    <w:rsid w:val="00AA5077"/>
    <w:rsid w:val="00AA5550"/>
    <w:rsid w:val="00AA5A1C"/>
    <w:rsid w:val="00AA735C"/>
    <w:rsid w:val="00AA7CE9"/>
    <w:rsid w:val="00AB0549"/>
    <w:rsid w:val="00AB0570"/>
    <w:rsid w:val="00AB0B47"/>
    <w:rsid w:val="00AB0D99"/>
    <w:rsid w:val="00AB0EF5"/>
    <w:rsid w:val="00AB1B86"/>
    <w:rsid w:val="00AB1F4C"/>
    <w:rsid w:val="00AB21E0"/>
    <w:rsid w:val="00AB2459"/>
    <w:rsid w:val="00AB3159"/>
    <w:rsid w:val="00AB32F4"/>
    <w:rsid w:val="00AB43D5"/>
    <w:rsid w:val="00AB5F12"/>
    <w:rsid w:val="00AB627D"/>
    <w:rsid w:val="00AB68B1"/>
    <w:rsid w:val="00AB7143"/>
    <w:rsid w:val="00AB716B"/>
    <w:rsid w:val="00AB7AF2"/>
    <w:rsid w:val="00AB7C76"/>
    <w:rsid w:val="00AC04AC"/>
    <w:rsid w:val="00AC0B94"/>
    <w:rsid w:val="00AC1745"/>
    <w:rsid w:val="00AC3F8D"/>
    <w:rsid w:val="00AC3FC5"/>
    <w:rsid w:val="00AC42AC"/>
    <w:rsid w:val="00AC4605"/>
    <w:rsid w:val="00AC4A10"/>
    <w:rsid w:val="00AC4F22"/>
    <w:rsid w:val="00AC4F50"/>
    <w:rsid w:val="00AC5743"/>
    <w:rsid w:val="00AC57A5"/>
    <w:rsid w:val="00AC5A10"/>
    <w:rsid w:val="00AC5A53"/>
    <w:rsid w:val="00AC5E37"/>
    <w:rsid w:val="00AC691B"/>
    <w:rsid w:val="00AD01A1"/>
    <w:rsid w:val="00AD18CF"/>
    <w:rsid w:val="00AD1BA6"/>
    <w:rsid w:val="00AD3504"/>
    <w:rsid w:val="00AD3B62"/>
    <w:rsid w:val="00AD7E2E"/>
    <w:rsid w:val="00AE0315"/>
    <w:rsid w:val="00AE1132"/>
    <w:rsid w:val="00AE1697"/>
    <w:rsid w:val="00AE209A"/>
    <w:rsid w:val="00AE27F7"/>
    <w:rsid w:val="00AE3F93"/>
    <w:rsid w:val="00AE4171"/>
    <w:rsid w:val="00AE4A17"/>
    <w:rsid w:val="00AE4AC9"/>
    <w:rsid w:val="00AE6ABD"/>
    <w:rsid w:val="00AE6C9B"/>
    <w:rsid w:val="00AE6DBE"/>
    <w:rsid w:val="00AE73BE"/>
    <w:rsid w:val="00AE75C6"/>
    <w:rsid w:val="00AE75DA"/>
    <w:rsid w:val="00AE77EC"/>
    <w:rsid w:val="00AF0093"/>
    <w:rsid w:val="00AF39B5"/>
    <w:rsid w:val="00AF4F9B"/>
    <w:rsid w:val="00AF6733"/>
    <w:rsid w:val="00AF73D1"/>
    <w:rsid w:val="00AF7784"/>
    <w:rsid w:val="00AF7D30"/>
    <w:rsid w:val="00B00AD0"/>
    <w:rsid w:val="00B00AF3"/>
    <w:rsid w:val="00B00BA9"/>
    <w:rsid w:val="00B00F85"/>
    <w:rsid w:val="00B01410"/>
    <w:rsid w:val="00B026C4"/>
    <w:rsid w:val="00B02B59"/>
    <w:rsid w:val="00B02C22"/>
    <w:rsid w:val="00B037AF"/>
    <w:rsid w:val="00B0398D"/>
    <w:rsid w:val="00B04D8C"/>
    <w:rsid w:val="00B060B3"/>
    <w:rsid w:val="00B06585"/>
    <w:rsid w:val="00B079D5"/>
    <w:rsid w:val="00B07EE4"/>
    <w:rsid w:val="00B10000"/>
    <w:rsid w:val="00B103F5"/>
    <w:rsid w:val="00B10D9C"/>
    <w:rsid w:val="00B120AC"/>
    <w:rsid w:val="00B122A3"/>
    <w:rsid w:val="00B12855"/>
    <w:rsid w:val="00B140AE"/>
    <w:rsid w:val="00B15189"/>
    <w:rsid w:val="00B15689"/>
    <w:rsid w:val="00B167E7"/>
    <w:rsid w:val="00B16860"/>
    <w:rsid w:val="00B16B3E"/>
    <w:rsid w:val="00B171AD"/>
    <w:rsid w:val="00B17504"/>
    <w:rsid w:val="00B1762A"/>
    <w:rsid w:val="00B176C3"/>
    <w:rsid w:val="00B179A7"/>
    <w:rsid w:val="00B2019E"/>
    <w:rsid w:val="00B20B2A"/>
    <w:rsid w:val="00B214EE"/>
    <w:rsid w:val="00B21AE6"/>
    <w:rsid w:val="00B21F2D"/>
    <w:rsid w:val="00B21FBC"/>
    <w:rsid w:val="00B22170"/>
    <w:rsid w:val="00B22486"/>
    <w:rsid w:val="00B236A5"/>
    <w:rsid w:val="00B23871"/>
    <w:rsid w:val="00B24C73"/>
    <w:rsid w:val="00B24D62"/>
    <w:rsid w:val="00B24E7E"/>
    <w:rsid w:val="00B24EFE"/>
    <w:rsid w:val="00B255F3"/>
    <w:rsid w:val="00B25D22"/>
    <w:rsid w:val="00B25E77"/>
    <w:rsid w:val="00B26173"/>
    <w:rsid w:val="00B27394"/>
    <w:rsid w:val="00B27A21"/>
    <w:rsid w:val="00B3007F"/>
    <w:rsid w:val="00B30CF5"/>
    <w:rsid w:val="00B30F0A"/>
    <w:rsid w:val="00B3180C"/>
    <w:rsid w:val="00B32570"/>
    <w:rsid w:val="00B3283E"/>
    <w:rsid w:val="00B329E2"/>
    <w:rsid w:val="00B3322C"/>
    <w:rsid w:val="00B3386C"/>
    <w:rsid w:val="00B33A56"/>
    <w:rsid w:val="00B33A94"/>
    <w:rsid w:val="00B33B4E"/>
    <w:rsid w:val="00B3471E"/>
    <w:rsid w:val="00B34890"/>
    <w:rsid w:val="00B35046"/>
    <w:rsid w:val="00B35496"/>
    <w:rsid w:val="00B35CE4"/>
    <w:rsid w:val="00B36136"/>
    <w:rsid w:val="00B36302"/>
    <w:rsid w:val="00B36F04"/>
    <w:rsid w:val="00B37489"/>
    <w:rsid w:val="00B417E4"/>
    <w:rsid w:val="00B424DA"/>
    <w:rsid w:val="00B43BA8"/>
    <w:rsid w:val="00B45512"/>
    <w:rsid w:val="00B4553B"/>
    <w:rsid w:val="00B4611F"/>
    <w:rsid w:val="00B465C2"/>
    <w:rsid w:val="00B47679"/>
    <w:rsid w:val="00B47874"/>
    <w:rsid w:val="00B47CDB"/>
    <w:rsid w:val="00B5085F"/>
    <w:rsid w:val="00B518D5"/>
    <w:rsid w:val="00B51E36"/>
    <w:rsid w:val="00B53586"/>
    <w:rsid w:val="00B53775"/>
    <w:rsid w:val="00B54523"/>
    <w:rsid w:val="00B54726"/>
    <w:rsid w:val="00B548BC"/>
    <w:rsid w:val="00B552F2"/>
    <w:rsid w:val="00B55323"/>
    <w:rsid w:val="00B55987"/>
    <w:rsid w:val="00B60B81"/>
    <w:rsid w:val="00B60C83"/>
    <w:rsid w:val="00B60E17"/>
    <w:rsid w:val="00B620CE"/>
    <w:rsid w:val="00B62632"/>
    <w:rsid w:val="00B62B2E"/>
    <w:rsid w:val="00B6368B"/>
    <w:rsid w:val="00B63AC6"/>
    <w:rsid w:val="00B64F26"/>
    <w:rsid w:val="00B65645"/>
    <w:rsid w:val="00B6694F"/>
    <w:rsid w:val="00B673B6"/>
    <w:rsid w:val="00B67525"/>
    <w:rsid w:val="00B67691"/>
    <w:rsid w:val="00B6786C"/>
    <w:rsid w:val="00B70A6C"/>
    <w:rsid w:val="00B70CCF"/>
    <w:rsid w:val="00B71196"/>
    <w:rsid w:val="00B7120A"/>
    <w:rsid w:val="00B71AB2"/>
    <w:rsid w:val="00B7269E"/>
    <w:rsid w:val="00B72925"/>
    <w:rsid w:val="00B72D4F"/>
    <w:rsid w:val="00B73D0D"/>
    <w:rsid w:val="00B73F2E"/>
    <w:rsid w:val="00B740F5"/>
    <w:rsid w:val="00B74816"/>
    <w:rsid w:val="00B74D10"/>
    <w:rsid w:val="00B76EC7"/>
    <w:rsid w:val="00B774CB"/>
    <w:rsid w:val="00B77B9D"/>
    <w:rsid w:val="00B802A9"/>
    <w:rsid w:val="00B80409"/>
    <w:rsid w:val="00B80490"/>
    <w:rsid w:val="00B80E2E"/>
    <w:rsid w:val="00B8102D"/>
    <w:rsid w:val="00B81513"/>
    <w:rsid w:val="00B81628"/>
    <w:rsid w:val="00B81719"/>
    <w:rsid w:val="00B817AE"/>
    <w:rsid w:val="00B81C8D"/>
    <w:rsid w:val="00B821A9"/>
    <w:rsid w:val="00B82AC0"/>
    <w:rsid w:val="00B8303D"/>
    <w:rsid w:val="00B834DB"/>
    <w:rsid w:val="00B859CA"/>
    <w:rsid w:val="00B85CE9"/>
    <w:rsid w:val="00B863BD"/>
    <w:rsid w:val="00B864EF"/>
    <w:rsid w:val="00B86943"/>
    <w:rsid w:val="00B901CC"/>
    <w:rsid w:val="00B90320"/>
    <w:rsid w:val="00B903BB"/>
    <w:rsid w:val="00B92831"/>
    <w:rsid w:val="00B931EE"/>
    <w:rsid w:val="00B9333A"/>
    <w:rsid w:val="00B93424"/>
    <w:rsid w:val="00B9464F"/>
    <w:rsid w:val="00B954B9"/>
    <w:rsid w:val="00B957AC"/>
    <w:rsid w:val="00B95A6C"/>
    <w:rsid w:val="00B95D31"/>
    <w:rsid w:val="00B95DE0"/>
    <w:rsid w:val="00B960AC"/>
    <w:rsid w:val="00B964C7"/>
    <w:rsid w:val="00B96B05"/>
    <w:rsid w:val="00B9715C"/>
    <w:rsid w:val="00B97A7E"/>
    <w:rsid w:val="00B97EB4"/>
    <w:rsid w:val="00BA01FF"/>
    <w:rsid w:val="00BA04CB"/>
    <w:rsid w:val="00BA0B9A"/>
    <w:rsid w:val="00BA1A04"/>
    <w:rsid w:val="00BA1A37"/>
    <w:rsid w:val="00BA1ADF"/>
    <w:rsid w:val="00BA2027"/>
    <w:rsid w:val="00BA243C"/>
    <w:rsid w:val="00BA2BAD"/>
    <w:rsid w:val="00BA2D5C"/>
    <w:rsid w:val="00BA3253"/>
    <w:rsid w:val="00BA3FB2"/>
    <w:rsid w:val="00BA4465"/>
    <w:rsid w:val="00BA5E08"/>
    <w:rsid w:val="00BA67CE"/>
    <w:rsid w:val="00BA6A91"/>
    <w:rsid w:val="00BA6D66"/>
    <w:rsid w:val="00BB0FEF"/>
    <w:rsid w:val="00BB193D"/>
    <w:rsid w:val="00BB1CE3"/>
    <w:rsid w:val="00BB1F36"/>
    <w:rsid w:val="00BB3463"/>
    <w:rsid w:val="00BB38E2"/>
    <w:rsid w:val="00BB450E"/>
    <w:rsid w:val="00BB461D"/>
    <w:rsid w:val="00BB5141"/>
    <w:rsid w:val="00BB58C3"/>
    <w:rsid w:val="00BB5C28"/>
    <w:rsid w:val="00BB5CA0"/>
    <w:rsid w:val="00BB5CDC"/>
    <w:rsid w:val="00BB5D53"/>
    <w:rsid w:val="00BB67AE"/>
    <w:rsid w:val="00BB6946"/>
    <w:rsid w:val="00BB6C33"/>
    <w:rsid w:val="00BB7555"/>
    <w:rsid w:val="00BB7694"/>
    <w:rsid w:val="00BC0685"/>
    <w:rsid w:val="00BC24A4"/>
    <w:rsid w:val="00BC2960"/>
    <w:rsid w:val="00BC3449"/>
    <w:rsid w:val="00BC3595"/>
    <w:rsid w:val="00BC4600"/>
    <w:rsid w:val="00BC4B17"/>
    <w:rsid w:val="00BC4DCD"/>
    <w:rsid w:val="00BC5FDA"/>
    <w:rsid w:val="00BC62A9"/>
    <w:rsid w:val="00BC6BDA"/>
    <w:rsid w:val="00BC6F9C"/>
    <w:rsid w:val="00BC7664"/>
    <w:rsid w:val="00BC7DDE"/>
    <w:rsid w:val="00BD0404"/>
    <w:rsid w:val="00BD0418"/>
    <w:rsid w:val="00BD05C4"/>
    <w:rsid w:val="00BD0930"/>
    <w:rsid w:val="00BD0A65"/>
    <w:rsid w:val="00BD10D8"/>
    <w:rsid w:val="00BD16DC"/>
    <w:rsid w:val="00BD1F76"/>
    <w:rsid w:val="00BD2309"/>
    <w:rsid w:val="00BD2A77"/>
    <w:rsid w:val="00BD3002"/>
    <w:rsid w:val="00BD391E"/>
    <w:rsid w:val="00BD4B2C"/>
    <w:rsid w:val="00BD517A"/>
    <w:rsid w:val="00BD577A"/>
    <w:rsid w:val="00BD5871"/>
    <w:rsid w:val="00BD607C"/>
    <w:rsid w:val="00BD72B6"/>
    <w:rsid w:val="00BD76B6"/>
    <w:rsid w:val="00BD7C90"/>
    <w:rsid w:val="00BD7E19"/>
    <w:rsid w:val="00BE087A"/>
    <w:rsid w:val="00BE0D40"/>
    <w:rsid w:val="00BE0ED0"/>
    <w:rsid w:val="00BE1561"/>
    <w:rsid w:val="00BE1672"/>
    <w:rsid w:val="00BE2166"/>
    <w:rsid w:val="00BE2C01"/>
    <w:rsid w:val="00BE2D15"/>
    <w:rsid w:val="00BE3214"/>
    <w:rsid w:val="00BE32F2"/>
    <w:rsid w:val="00BE34ED"/>
    <w:rsid w:val="00BE4124"/>
    <w:rsid w:val="00BE42CE"/>
    <w:rsid w:val="00BE4D64"/>
    <w:rsid w:val="00BE5477"/>
    <w:rsid w:val="00BE620E"/>
    <w:rsid w:val="00BE6460"/>
    <w:rsid w:val="00BE6F0C"/>
    <w:rsid w:val="00BF07C1"/>
    <w:rsid w:val="00BF0C28"/>
    <w:rsid w:val="00BF0CA2"/>
    <w:rsid w:val="00BF0E3A"/>
    <w:rsid w:val="00BF20D2"/>
    <w:rsid w:val="00BF22DA"/>
    <w:rsid w:val="00BF2BBC"/>
    <w:rsid w:val="00BF3987"/>
    <w:rsid w:val="00BF4167"/>
    <w:rsid w:val="00BF49D1"/>
    <w:rsid w:val="00BF5FFF"/>
    <w:rsid w:val="00BF63F7"/>
    <w:rsid w:val="00C006B4"/>
    <w:rsid w:val="00C009C5"/>
    <w:rsid w:val="00C00C49"/>
    <w:rsid w:val="00C00D8D"/>
    <w:rsid w:val="00C02142"/>
    <w:rsid w:val="00C026C5"/>
    <w:rsid w:val="00C02FF7"/>
    <w:rsid w:val="00C03234"/>
    <w:rsid w:val="00C0390E"/>
    <w:rsid w:val="00C04483"/>
    <w:rsid w:val="00C044F7"/>
    <w:rsid w:val="00C048C2"/>
    <w:rsid w:val="00C04D07"/>
    <w:rsid w:val="00C052D5"/>
    <w:rsid w:val="00C0768D"/>
    <w:rsid w:val="00C07C90"/>
    <w:rsid w:val="00C114D4"/>
    <w:rsid w:val="00C13400"/>
    <w:rsid w:val="00C13B9B"/>
    <w:rsid w:val="00C14528"/>
    <w:rsid w:val="00C163AE"/>
    <w:rsid w:val="00C167DD"/>
    <w:rsid w:val="00C1727C"/>
    <w:rsid w:val="00C20296"/>
    <w:rsid w:val="00C202CD"/>
    <w:rsid w:val="00C209B8"/>
    <w:rsid w:val="00C20A70"/>
    <w:rsid w:val="00C20C59"/>
    <w:rsid w:val="00C2161C"/>
    <w:rsid w:val="00C21953"/>
    <w:rsid w:val="00C22C7C"/>
    <w:rsid w:val="00C23887"/>
    <w:rsid w:val="00C238E8"/>
    <w:rsid w:val="00C23EBA"/>
    <w:rsid w:val="00C246C2"/>
    <w:rsid w:val="00C24B8C"/>
    <w:rsid w:val="00C25D6E"/>
    <w:rsid w:val="00C26311"/>
    <w:rsid w:val="00C26836"/>
    <w:rsid w:val="00C27876"/>
    <w:rsid w:val="00C30031"/>
    <w:rsid w:val="00C31934"/>
    <w:rsid w:val="00C342FD"/>
    <w:rsid w:val="00C3467D"/>
    <w:rsid w:val="00C349A4"/>
    <w:rsid w:val="00C356BF"/>
    <w:rsid w:val="00C35C34"/>
    <w:rsid w:val="00C35CAE"/>
    <w:rsid w:val="00C35D71"/>
    <w:rsid w:val="00C35DE8"/>
    <w:rsid w:val="00C36DFE"/>
    <w:rsid w:val="00C370E6"/>
    <w:rsid w:val="00C37169"/>
    <w:rsid w:val="00C374F2"/>
    <w:rsid w:val="00C379B4"/>
    <w:rsid w:val="00C37F7B"/>
    <w:rsid w:val="00C403EB"/>
    <w:rsid w:val="00C40B7E"/>
    <w:rsid w:val="00C40E58"/>
    <w:rsid w:val="00C40E9C"/>
    <w:rsid w:val="00C411E5"/>
    <w:rsid w:val="00C41806"/>
    <w:rsid w:val="00C41ED1"/>
    <w:rsid w:val="00C426D8"/>
    <w:rsid w:val="00C42BD8"/>
    <w:rsid w:val="00C42C76"/>
    <w:rsid w:val="00C42CE9"/>
    <w:rsid w:val="00C44502"/>
    <w:rsid w:val="00C449F6"/>
    <w:rsid w:val="00C45585"/>
    <w:rsid w:val="00C45F3C"/>
    <w:rsid w:val="00C4607A"/>
    <w:rsid w:val="00C470EA"/>
    <w:rsid w:val="00C4714D"/>
    <w:rsid w:val="00C47A55"/>
    <w:rsid w:val="00C47A8C"/>
    <w:rsid w:val="00C47FF4"/>
    <w:rsid w:val="00C50044"/>
    <w:rsid w:val="00C50AB2"/>
    <w:rsid w:val="00C5118F"/>
    <w:rsid w:val="00C51683"/>
    <w:rsid w:val="00C52A38"/>
    <w:rsid w:val="00C52B69"/>
    <w:rsid w:val="00C53626"/>
    <w:rsid w:val="00C53A46"/>
    <w:rsid w:val="00C53D7F"/>
    <w:rsid w:val="00C54081"/>
    <w:rsid w:val="00C5471A"/>
    <w:rsid w:val="00C55441"/>
    <w:rsid w:val="00C55DE1"/>
    <w:rsid w:val="00C572E9"/>
    <w:rsid w:val="00C60145"/>
    <w:rsid w:val="00C606A2"/>
    <w:rsid w:val="00C60AE7"/>
    <w:rsid w:val="00C60F63"/>
    <w:rsid w:val="00C60F6F"/>
    <w:rsid w:val="00C62291"/>
    <w:rsid w:val="00C624A1"/>
    <w:rsid w:val="00C627EE"/>
    <w:rsid w:val="00C62ABC"/>
    <w:rsid w:val="00C62BAD"/>
    <w:rsid w:val="00C62F64"/>
    <w:rsid w:val="00C6467D"/>
    <w:rsid w:val="00C64C8D"/>
    <w:rsid w:val="00C64E57"/>
    <w:rsid w:val="00C65E8B"/>
    <w:rsid w:val="00C679A1"/>
    <w:rsid w:val="00C67B16"/>
    <w:rsid w:val="00C7008F"/>
    <w:rsid w:val="00C70388"/>
    <w:rsid w:val="00C707C0"/>
    <w:rsid w:val="00C70D32"/>
    <w:rsid w:val="00C71FF4"/>
    <w:rsid w:val="00C7205C"/>
    <w:rsid w:val="00C73200"/>
    <w:rsid w:val="00C735F9"/>
    <w:rsid w:val="00C738F4"/>
    <w:rsid w:val="00C74087"/>
    <w:rsid w:val="00C74860"/>
    <w:rsid w:val="00C74913"/>
    <w:rsid w:val="00C74B41"/>
    <w:rsid w:val="00C7524C"/>
    <w:rsid w:val="00C75D4F"/>
    <w:rsid w:val="00C802E4"/>
    <w:rsid w:val="00C80363"/>
    <w:rsid w:val="00C806CE"/>
    <w:rsid w:val="00C81BA9"/>
    <w:rsid w:val="00C81C8C"/>
    <w:rsid w:val="00C81F24"/>
    <w:rsid w:val="00C82747"/>
    <w:rsid w:val="00C82E16"/>
    <w:rsid w:val="00C83688"/>
    <w:rsid w:val="00C83F70"/>
    <w:rsid w:val="00C84A00"/>
    <w:rsid w:val="00C84C37"/>
    <w:rsid w:val="00C85C66"/>
    <w:rsid w:val="00C86862"/>
    <w:rsid w:val="00C86AC8"/>
    <w:rsid w:val="00C86CF5"/>
    <w:rsid w:val="00C874F7"/>
    <w:rsid w:val="00C87510"/>
    <w:rsid w:val="00C8768D"/>
    <w:rsid w:val="00C879EB"/>
    <w:rsid w:val="00C87C03"/>
    <w:rsid w:val="00C90EC4"/>
    <w:rsid w:val="00C90F36"/>
    <w:rsid w:val="00C91460"/>
    <w:rsid w:val="00C923B0"/>
    <w:rsid w:val="00C92568"/>
    <w:rsid w:val="00C933AA"/>
    <w:rsid w:val="00C9364E"/>
    <w:rsid w:val="00C94C01"/>
    <w:rsid w:val="00C9545B"/>
    <w:rsid w:val="00C95726"/>
    <w:rsid w:val="00C95E13"/>
    <w:rsid w:val="00C9629F"/>
    <w:rsid w:val="00C96B51"/>
    <w:rsid w:val="00C9712E"/>
    <w:rsid w:val="00C973F4"/>
    <w:rsid w:val="00C97CE8"/>
    <w:rsid w:val="00CA0180"/>
    <w:rsid w:val="00CA080F"/>
    <w:rsid w:val="00CA095A"/>
    <w:rsid w:val="00CA0BC4"/>
    <w:rsid w:val="00CA16B2"/>
    <w:rsid w:val="00CA19D5"/>
    <w:rsid w:val="00CA1DE9"/>
    <w:rsid w:val="00CA2D09"/>
    <w:rsid w:val="00CA32CA"/>
    <w:rsid w:val="00CA35BA"/>
    <w:rsid w:val="00CA3EDC"/>
    <w:rsid w:val="00CA44B3"/>
    <w:rsid w:val="00CA49EB"/>
    <w:rsid w:val="00CA4C94"/>
    <w:rsid w:val="00CA5D69"/>
    <w:rsid w:val="00CA66DB"/>
    <w:rsid w:val="00CA6F9B"/>
    <w:rsid w:val="00CA786D"/>
    <w:rsid w:val="00CA7B06"/>
    <w:rsid w:val="00CB043E"/>
    <w:rsid w:val="00CB1012"/>
    <w:rsid w:val="00CB1148"/>
    <w:rsid w:val="00CB122D"/>
    <w:rsid w:val="00CB16EB"/>
    <w:rsid w:val="00CB16ED"/>
    <w:rsid w:val="00CB1BC1"/>
    <w:rsid w:val="00CB222E"/>
    <w:rsid w:val="00CB31AB"/>
    <w:rsid w:val="00CB335B"/>
    <w:rsid w:val="00CB34E2"/>
    <w:rsid w:val="00CB3F85"/>
    <w:rsid w:val="00CB4014"/>
    <w:rsid w:val="00CB45F2"/>
    <w:rsid w:val="00CB4A78"/>
    <w:rsid w:val="00CB55F5"/>
    <w:rsid w:val="00CB6188"/>
    <w:rsid w:val="00CB63E7"/>
    <w:rsid w:val="00CC01E9"/>
    <w:rsid w:val="00CC0557"/>
    <w:rsid w:val="00CC0D11"/>
    <w:rsid w:val="00CC2902"/>
    <w:rsid w:val="00CC3F9C"/>
    <w:rsid w:val="00CC406D"/>
    <w:rsid w:val="00CC47E8"/>
    <w:rsid w:val="00CC4FE1"/>
    <w:rsid w:val="00CC582F"/>
    <w:rsid w:val="00CC5FCB"/>
    <w:rsid w:val="00CC6379"/>
    <w:rsid w:val="00CC656B"/>
    <w:rsid w:val="00CD04CF"/>
    <w:rsid w:val="00CD1283"/>
    <w:rsid w:val="00CD13CB"/>
    <w:rsid w:val="00CD2731"/>
    <w:rsid w:val="00CD2EE1"/>
    <w:rsid w:val="00CD30CB"/>
    <w:rsid w:val="00CD359E"/>
    <w:rsid w:val="00CD43C1"/>
    <w:rsid w:val="00CD4BC9"/>
    <w:rsid w:val="00CD5187"/>
    <w:rsid w:val="00CD51F7"/>
    <w:rsid w:val="00CD53B3"/>
    <w:rsid w:val="00CD581D"/>
    <w:rsid w:val="00CD5B1F"/>
    <w:rsid w:val="00CD61CA"/>
    <w:rsid w:val="00CD7C89"/>
    <w:rsid w:val="00CD7E5C"/>
    <w:rsid w:val="00CE01AE"/>
    <w:rsid w:val="00CE0DC1"/>
    <w:rsid w:val="00CE32DB"/>
    <w:rsid w:val="00CE3A4A"/>
    <w:rsid w:val="00CE4857"/>
    <w:rsid w:val="00CE4909"/>
    <w:rsid w:val="00CE5501"/>
    <w:rsid w:val="00CE5CEA"/>
    <w:rsid w:val="00CE6493"/>
    <w:rsid w:val="00CE7095"/>
    <w:rsid w:val="00CE765E"/>
    <w:rsid w:val="00CE782F"/>
    <w:rsid w:val="00CF0B4F"/>
    <w:rsid w:val="00CF0F3B"/>
    <w:rsid w:val="00CF1497"/>
    <w:rsid w:val="00CF1731"/>
    <w:rsid w:val="00CF1854"/>
    <w:rsid w:val="00CF2615"/>
    <w:rsid w:val="00CF2DF0"/>
    <w:rsid w:val="00CF2EC9"/>
    <w:rsid w:val="00CF3346"/>
    <w:rsid w:val="00CF3BB5"/>
    <w:rsid w:val="00CF3D3E"/>
    <w:rsid w:val="00CF44DF"/>
    <w:rsid w:val="00CF5989"/>
    <w:rsid w:val="00CF6D4B"/>
    <w:rsid w:val="00CF7624"/>
    <w:rsid w:val="00CF76E8"/>
    <w:rsid w:val="00CF7827"/>
    <w:rsid w:val="00D000F8"/>
    <w:rsid w:val="00D0256C"/>
    <w:rsid w:val="00D052E9"/>
    <w:rsid w:val="00D0541C"/>
    <w:rsid w:val="00D054C6"/>
    <w:rsid w:val="00D054E4"/>
    <w:rsid w:val="00D05687"/>
    <w:rsid w:val="00D05CB1"/>
    <w:rsid w:val="00D06160"/>
    <w:rsid w:val="00D06820"/>
    <w:rsid w:val="00D06827"/>
    <w:rsid w:val="00D06EBE"/>
    <w:rsid w:val="00D0758D"/>
    <w:rsid w:val="00D079A5"/>
    <w:rsid w:val="00D1059F"/>
    <w:rsid w:val="00D108B0"/>
    <w:rsid w:val="00D110F3"/>
    <w:rsid w:val="00D1127D"/>
    <w:rsid w:val="00D11C06"/>
    <w:rsid w:val="00D13D14"/>
    <w:rsid w:val="00D15231"/>
    <w:rsid w:val="00D16CD1"/>
    <w:rsid w:val="00D16FC0"/>
    <w:rsid w:val="00D17A47"/>
    <w:rsid w:val="00D17DA9"/>
    <w:rsid w:val="00D20049"/>
    <w:rsid w:val="00D202CC"/>
    <w:rsid w:val="00D20515"/>
    <w:rsid w:val="00D20943"/>
    <w:rsid w:val="00D20DD2"/>
    <w:rsid w:val="00D22DF0"/>
    <w:rsid w:val="00D22DF3"/>
    <w:rsid w:val="00D234B4"/>
    <w:rsid w:val="00D24882"/>
    <w:rsid w:val="00D24F02"/>
    <w:rsid w:val="00D2589E"/>
    <w:rsid w:val="00D267E9"/>
    <w:rsid w:val="00D26C84"/>
    <w:rsid w:val="00D27F16"/>
    <w:rsid w:val="00D27F88"/>
    <w:rsid w:val="00D30390"/>
    <w:rsid w:val="00D3068D"/>
    <w:rsid w:val="00D311FD"/>
    <w:rsid w:val="00D3167E"/>
    <w:rsid w:val="00D31EA3"/>
    <w:rsid w:val="00D3205D"/>
    <w:rsid w:val="00D3352A"/>
    <w:rsid w:val="00D337B6"/>
    <w:rsid w:val="00D34F1B"/>
    <w:rsid w:val="00D35EC9"/>
    <w:rsid w:val="00D3632C"/>
    <w:rsid w:val="00D4015B"/>
    <w:rsid w:val="00D40281"/>
    <w:rsid w:val="00D40EBA"/>
    <w:rsid w:val="00D428E9"/>
    <w:rsid w:val="00D42D8C"/>
    <w:rsid w:val="00D4319D"/>
    <w:rsid w:val="00D43478"/>
    <w:rsid w:val="00D43D5E"/>
    <w:rsid w:val="00D4454C"/>
    <w:rsid w:val="00D458A7"/>
    <w:rsid w:val="00D459A1"/>
    <w:rsid w:val="00D46574"/>
    <w:rsid w:val="00D46B7B"/>
    <w:rsid w:val="00D4777D"/>
    <w:rsid w:val="00D47B0A"/>
    <w:rsid w:val="00D50513"/>
    <w:rsid w:val="00D506B1"/>
    <w:rsid w:val="00D50998"/>
    <w:rsid w:val="00D511F2"/>
    <w:rsid w:val="00D515D8"/>
    <w:rsid w:val="00D53930"/>
    <w:rsid w:val="00D541DF"/>
    <w:rsid w:val="00D547B9"/>
    <w:rsid w:val="00D551E3"/>
    <w:rsid w:val="00D555E5"/>
    <w:rsid w:val="00D555FB"/>
    <w:rsid w:val="00D55BCB"/>
    <w:rsid w:val="00D56F95"/>
    <w:rsid w:val="00D57651"/>
    <w:rsid w:val="00D6042E"/>
    <w:rsid w:val="00D6085A"/>
    <w:rsid w:val="00D61221"/>
    <w:rsid w:val="00D6173C"/>
    <w:rsid w:val="00D617F2"/>
    <w:rsid w:val="00D61D43"/>
    <w:rsid w:val="00D62785"/>
    <w:rsid w:val="00D62DDA"/>
    <w:rsid w:val="00D63A99"/>
    <w:rsid w:val="00D64055"/>
    <w:rsid w:val="00D651AD"/>
    <w:rsid w:val="00D6545D"/>
    <w:rsid w:val="00D65590"/>
    <w:rsid w:val="00D6561D"/>
    <w:rsid w:val="00D6583D"/>
    <w:rsid w:val="00D65C5B"/>
    <w:rsid w:val="00D65CFA"/>
    <w:rsid w:val="00D66104"/>
    <w:rsid w:val="00D66386"/>
    <w:rsid w:val="00D66F57"/>
    <w:rsid w:val="00D671D5"/>
    <w:rsid w:val="00D70275"/>
    <w:rsid w:val="00D70DC7"/>
    <w:rsid w:val="00D70FCF"/>
    <w:rsid w:val="00D712CE"/>
    <w:rsid w:val="00D718F8"/>
    <w:rsid w:val="00D71A28"/>
    <w:rsid w:val="00D71F92"/>
    <w:rsid w:val="00D72A21"/>
    <w:rsid w:val="00D734FD"/>
    <w:rsid w:val="00D74911"/>
    <w:rsid w:val="00D74AA8"/>
    <w:rsid w:val="00D74EB1"/>
    <w:rsid w:val="00D75936"/>
    <w:rsid w:val="00D75B16"/>
    <w:rsid w:val="00D7627F"/>
    <w:rsid w:val="00D76AF7"/>
    <w:rsid w:val="00D7709A"/>
    <w:rsid w:val="00D77E43"/>
    <w:rsid w:val="00D8050B"/>
    <w:rsid w:val="00D80E0E"/>
    <w:rsid w:val="00D81854"/>
    <w:rsid w:val="00D82286"/>
    <w:rsid w:val="00D823CC"/>
    <w:rsid w:val="00D825A2"/>
    <w:rsid w:val="00D8270D"/>
    <w:rsid w:val="00D82AB2"/>
    <w:rsid w:val="00D834CD"/>
    <w:rsid w:val="00D84A7B"/>
    <w:rsid w:val="00D84A8B"/>
    <w:rsid w:val="00D84ABD"/>
    <w:rsid w:val="00D84D48"/>
    <w:rsid w:val="00D85186"/>
    <w:rsid w:val="00D85500"/>
    <w:rsid w:val="00D857B1"/>
    <w:rsid w:val="00D85E5E"/>
    <w:rsid w:val="00D862D9"/>
    <w:rsid w:val="00D86F02"/>
    <w:rsid w:val="00D87385"/>
    <w:rsid w:val="00D90075"/>
    <w:rsid w:val="00D90AE4"/>
    <w:rsid w:val="00D92320"/>
    <w:rsid w:val="00D936E2"/>
    <w:rsid w:val="00D936EB"/>
    <w:rsid w:val="00D93CDD"/>
    <w:rsid w:val="00D94753"/>
    <w:rsid w:val="00D94B8F"/>
    <w:rsid w:val="00D94C61"/>
    <w:rsid w:val="00D95EC8"/>
    <w:rsid w:val="00D965B1"/>
    <w:rsid w:val="00D96888"/>
    <w:rsid w:val="00D96A36"/>
    <w:rsid w:val="00D97600"/>
    <w:rsid w:val="00DA0029"/>
    <w:rsid w:val="00DA00F6"/>
    <w:rsid w:val="00DA0B41"/>
    <w:rsid w:val="00DA0D0C"/>
    <w:rsid w:val="00DA18FF"/>
    <w:rsid w:val="00DA2762"/>
    <w:rsid w:val="00DA286B"/>
    <w:rsid w:val="00DA343E"/>
    <w:rsid w:val="00DA375E"/>
    <w:rsid w:val="00DA398A"/>
    <w:rsid w:val="00DA4309"/>
    <w:rsid w:val="00DA459A"/>
    <w:rsid w:val="00DA547F"/>
    <w:rsid w:val="00DA56D7"/>
    <w:rsid w:val="00DA56E0"/>
    <w:rsid w:val="00DA76A5"/>
    <w:rsid w:val="00DB0576"/>
    <w:rsid w:val="00DB0CF0"/>
    <w:rsid w:val="00DB0D85"/>
    <w:rsid w:val="00DB0F86"/>
    <w:rsid w:val="00DB12EE"/>
    <w:rsid w:val="00DB13B1"/>
    <w:rsid w:val="00DB13C7"/>
    <w:rsid w:val="00DB1A14"/>
    <w:rsid w:val="00DB1F62"/>
    <w:rsid w:val="00DB2018"/>
    <w:rsid w:val="00DB25CF"/>
    <w:rsid w:val="00DB2757"/>
    <w:rsid w:val="00DB39BD"/>
    <w:rsid w:val="00DB496D"/>
    <w:rsid w:val="00DB49ED"/>
    <w:rsid w:val="00DB4C05"/>
    <w:rsid w:val="00DB5DD3"/>
    <w:rsid w:val="00DB5ED8"/>
    <w:rsid w:val="00DB5F1F"/>
    <w:rsid w:val="00DB69CC"/>
    <w:rsid w:val="00DB7D1B"/>
    <w:rsid w:val="00DC096A"/>
    <w:rsid w:val="00DC0D32"/>
    <w:rsid w:val="00DC13A9"/>
    <w:rsid w:val="00DC2482"/>
    <w:rsid w:val="00DC30F4"/>
    <w:rsid w:val="00DC3527"/>
    <w:rsid w:val="00DC36A1"/>
    <w:rsid w:val="00DC4FE5"/>
    <w:rsid w:val="00DC64F5"/>
    <w:rsid w:val="00DC6813"/>
    <w:rsid w:val="00DC6F52"/>
    <w:rsid w:val="00DC780E"/>
    <w:rsid w:val="00DD06FF"/>
    <w:rsid w:val="00DD0781"/>
    <w:rsid w:val="00DD0E5B"/>
    <w:rsid w:val="00DD17DA"/>
    <w:rsid w:val="00DD3045"/>
    <w:rsid w:val="00DD4E34"/>
    <w:rsid w:val="00DD5E87"/>
    <w:rsid w:val="00DD65C9"/>
    <w:rsid w:val="00DD6CD9"/>
    <w:rsid w:val="00DD71F9"/>
    <w:rsid w:val="00DE1A1D"/>
    <w:rsid w:val="00DE1C2B"/>
    <w:rsid w:val="00DE2925"/>
    <w:rsid w:val="00DE2E3B"/>
    <w:rsid w:val="00DE45DC"/>
    <w:rsid w:val="00DE4932"/>
    <w:rsid w:val="00DE507C"/>
    <w:rsid w:val="00DE5267"/>
    <w:rsid w:val="00DE55C4"/>
    <w:rsid w:val="00DE582C"/>
    <w:rsid w:val="00DE67B2"/>
    <w:rsid w:val="00DE6961"/>
    <w:rsid w:val="00DE6AA0"/>
    <w:rsid w:val="00DE7145"/>
    <w:rsid w:val="00DE7565"/>
    <w:rsid w:val="00DF02AF"/>
    <w:rsid w:val="00DF07EE"/>
    <w:rsid w:val="00DF0896"/>
    <w:rsid w:val="00DF0CB3"/>
    <w:rsid w:val="00DF122A"/>
    <w:rsid w:val="00DF15AC"/>
    <w:rsid w:val="00DF2210"/>
    <w:rsid w:val="00DF2E95"/>
    <w:rsid w:val="00DF3CDE"/>
    <w:rsid w:val="00DF3DE3"/>
    <w:rsid w:val="00DF414D"/>
    <w:rsid w:val="00DF55E6"/>
    <w:rsid w:val="00DF58E9"/>
    <w:rsid w:val="00DF59A3"/>
    <w:rsid w:val="00DF5F7B"/>
    <w:rsid w:val="00DF6B63"/>
    <w:rsid w:val="00DF7000"/>
    <w:rsid w:val="00DF73D4"/>
    <w:rsid w:val="00E000D3"/>
    <w:rsid w:val="00E00D7E"/>
    <w:rsid w:val="00E00DD3"/>
    <w:rsid w:val="00E00EFE"/>
    <w:rsid w:val="00E0159E"/>
    <w:rsid w:val="00E01D70"/>
    <w:rsid w:val="00E025C6"/>
    <w:rsid w:val="00E02692"/>
    <w:rsid w:val="00E027FB"/>
    <w:rsid w:val="00E02B7C"/>
    <w:rsid w:val="00E03125"/>
    <w:rsid w:val="00E0346B"/>
    <w:rsid w:val="00E03864"/>
    <w:rsid w:val="00E03A94"/>
    <w:rsid w:val="00E0408E"/>
    <w:rsid w:val="00E0462B"/>
    <w:rsid w:val="00E05189"/>
    <w:rsid w:val="00E05A94"/>
    <w:rsid w:val="00E06054"/>
    <w:rsid w:val="00E063DA"/>
    <w:rsid w:val="00E066F2"/>
    <w:rsid w:val="00E07D25"/>
    <w:rsid w:val="00E101EA"/>
    <w:rsid w:val="00E108A9"/>
    <w:rsid w:val="00E10EC3"/>
    <w:rsid w:val="00E1126A"/>
    <w:rsid w:val="00E11D35"/>
    <w:rsid w:val="00E12E1C"/>
    <w:rsid w:val="00E12FA2"/>
    <w:rsid w:val="00E13416"/>
    <w:rsid w:val="00E13746"/>
    <w:rsid w:val="00E13C75"/>
    <w:rsid w:val="00E13E4F"/>
    <w:rsid w:val="00E14038"/>
    <w:rsid w:val="00E14186"/>
    <w:rsid w:val="00E14D6B"/>
    <w:rsid w:val="00E15464"/>
    <w:rsid w:val="00E179BB"/>
    <w:rsid w:val="00E17F1A"/>
    <w:rsid w:val="00E203A3"/>
    <w:rsid w:val="00E204CD"/>
    <w:rsid w:val="00E21164"/>
    <w:rsid w:val="00E2143C"/>
    <w:rsid w:val="00E2206C"/>
    <w:rsid w:val="00E2246A"/>
    <w:rsid w:val="00E22863"/>
    <w:rsid w:val="00E22C14"/>
    <w:rsid w:val="00E22D2D"/>
    <w:rsid w:val="00E22E9F"/>
    <w:rsid w:val="00E239A8"/>
    <w:rsid w:val="00E23F34"/>
    <w:rsid w:val="00E2409F"/>
    <w:rsid w:val="00E243BF"/>
    <w:rsid w:val="00E24567"/>
    <w:rsid w:val="00E2490E"/>
    <w:rsid w:val="00E24CD9"/>
    <w:rsid w:val="00E2543B"/>
    <w:rsid w:val="00E2573C"/>
    <w:rsid w:val="00E25A0A"/>
    <w:rsid w:val="00E264F7"/>
    <w:rsid w:val="00E2655F"/>
    <w:rsid w:val="00E266FF"/>
    <w:rsid w:val="00E26D04"/>
    <w:rsid w:val="00E26F2A"/>
    <w:rsid w:val="00E27112"/>
    <w:rsid w:val="00E272FB"/>
    <w:rsid w:val="00E273AE"/>
    <w:rsid w:val="00E31A37"/>
    <w:rsid w:val="00E31D94"/>
    <w:rsid w:val="00E321F6"/>
    <w:rsid w:val="00E3296A"/>
    <w:rsid w:val="00E32D6D"/>
    <w:rsid w:val="00E32F50"/>
    <w:rsid w:val="00E3366E"/>
    <w:rsid w:val="00E3381E"/>
    <w:rsid w:val="00E33FDF"/>
    <w:rsid w:val="00E34731"/>
    <w:rsid w:val="00E35CBE"/>
    <w:rsid w:val="00E35D2B"/>
    <w:rsid w:val="00E361D3"/>
    <w:rsid w:val="00E367B7"/>
    <w:rsid w:val="00E36993"/>
    <w:rsid w:val="00E40189"/>
    <w:rsid w:val="00E4064A"/>
    <w:rsid w:val="00E40CA3"/>
    <w:rsid w:val="00E412F0"/>
    <w:rsid w:val="00E41BFB"/>
    <w:rsid w:val="00E43103"/>
    <w:rsid w:val="00E43E25"/>
    <w:rsid w:val="00E43F6D"/>
    <w:rsid w:val="00E440CB"/>
    <w:rsid w:val="00E44CC8"/>
    <w:rsid w:val="00E44E6D"/>
    <w:rsid w:val="00E4503C"/>
    <w:rsid w:val="00E455FE"/>
    <w:rsid w:val="00E45B2E"/>
    <w:rsid w:val="00E45E70"/>
    <w:rsid w:val="00E474EE"/>
    <w:rsid w:val="00E507C4"/>
    <w:rsid w:val="00E5085C"/>
    <w:rsid w:val="00E5101E"/>
    <w:rsid w:val="00E5121D"/>
    <w:rsid w:val="00E51533"/>
    <w:rsid w:val="00E5188F"/>
    <w:rsid w:val="00E51C7C"/>
    <w:rsid w:val="00E51CAB"/>
    <w:rsid w:val="00E51D5F"/>
    <w:rsid w:val="00E52315"/>
    <w:rsid w:val="00E52764"/>
    <w:rsid w:val="00E52908"/>
    <w:rsid w:val="00E53375"/>
    <w:rsid w:val="00E534CE"/>
    <w:rsid w:val="00E535EA"/>
    <w:rsid w:val="00E53776"/>
    <w:rsid w:val="00E53AB2"/>
    <w:rsid w:val="00E53FD1"/>
    <w:rsid w:val="00E54300"/>
    <w:rsid w:val="00E5440B"/>
    <w:rsid w:val="00E54956"/>
    <w:rsid w:val="00E54A75"/>
    <w:rsid w:val="00E5533B"/>
    <w:rsid w:val="00E55457"/>
    <w:rsid w:val="00E55D40"/>
    <w:rsid w:val="00E55D6F"/>
    <w:rsid w:val="00E560F3"/>
    <w:rsid w:val="00E56225"/>
    <w:rsid w:val="00E57C13"/>
    <w:rsid w:val="00E603DA"/>
    <w:rsid w:val="00E60CEB"/>
    <w:rsid w:val="00E61406"/>
    <w:rsid w:val="00E6148B"/>
    <w:rsid w:val="00E618DE"/>
    <w:rsid w:val="00E61DC7"/>
    <w:rsid w:val="00E61E14"/>
    <w:rsid w:val="00E62088"/>
    <w:rsid w:val="00E622CC"/>
    <w:rsid w:val="00E626CE"/>
    <w:rsid w:val="00E63446"/>
    <w:rsid w:val="00E635A9"/>
    <w:rsid w:val="00E6416C"/>
    <w:rsid w:val="00E6433E"/>
    <w:rsid w:val="00E6473D"/>
    <w:rsid w:val="00E64E19"/>
    <w:rsid w:val="00E64F61"/>
    <w:rsid w:val="00E65392"/>
    <w:rsid w:val="00E654C7"/>
    <w:rsid w:val="00E6636A"/>
    <w:rsid w:val="00E66FDF"/>
    <w:rsid w:val="00E674CE"/>
    <w:rsid w:val="00E675D6"/>
    <w:rsid w:val="00E6768C"/>
    <w:rsid w:val="00E67FEB"/>
    <w:rsid w:val="00E70864"/>
    <w:rsid w:val="00E7088E"/>
    <w:rsid w:val="00E71C16"/>
    <w:rsid w:val="00E71CAE"/>
    <w:rsid w:val="00E72898"/>
    <w:rsid w:val="00E7350C"/>
    <w:rsid w:val="00E73C4F"/>
    <w:rsid w:val="00E74790"/>
    <w:rsid w:val="00E74C6B"/>
    <w:rsid w:val="00E7606D"/>
    <w:rsid w:val="00E779D9"/>
    <w:rsid w:val="00E8021D"/>
    <w:rsid w:val="00E807DC"/>
    <w:rsid w:val="00E81136"/>
    <w:rsid w:val="00E81144"/>
    <w:rsid w:val="00E81156"/>
    <w:rsid w:val="00E81D40"/>
    <w:rsid w:val="00E82C4A"/>
    <w:rsid w:val="00E82F5E"/>
    <w:rsid w:val="00E8327B"/>
    <w:rsid w:val="00E8388A"/>
    <w:rsid w:val="00E84629"/>
    <w:rsid w:val="00E84CA9"/>
    <w:rsid w:val="00E859AB"/>
    <w:rsid w:val="00E86700"/>
    <w:rsid w:val="00E86859"/>
    <w:rsid w:val="00E86F9C"/>
    <w:rsid w:val="00E904CA"/>
    <w:rsid w:val="00E92171"/>
    <w:rsid w:val="00E9276D"/>
    <w:rsid w:val="00E92947"/>
    <w:rsid w:val="00E95CC1"/>
    <w:rsid w:val="00E95CCC"/>
    <w:rsid w:val="00E978CD"/>
    <w:rsid w:val="00E97FCC"/>
    <w:rsid w:val="00EA05FE"/>
    <w:rsid w:val="00EA0BAA"/>
    <w:rsid w:val="00EA23E8"/>
    <w:rsid w:val="00EA434E"/>
    <w:rsid w:val="00EA510B"/>
    <w:rsid w:val="00EA5521"/>
    <w:rsid w:val="00EA5560"/>
    <w:rsid w:val="00EA594B"/>
    <w:rsid w:val="00EA68E0"/>
    <w:rsid w:val="00EA71FE"/>
    <w:rsid w:val="00EA74CF"/>
    <w:rsid w:val="00EA796D"/>
    <w:rsid w:val="00EA7C7B"/>
    <w:rsid w:val="00EB2CA3"/>
    <w:rsid w:val="00EB335B"/>
    <w:rsid w:val="00EB3516"/>
    <w:rsid w:val="00EB3AFB"/>
    <w:rsid w:val="00EB4B8E"/>
    <w:rsid w:val="00EB505F"/>
    <w:rsid w:val="00EB55B9"/>
    <w:rsid w:val="00EB6C71"/>
    <w:rsid w:val="00EB77A9"/>
    <w:rsid w:val="00EB7E08"/>
    <w:rsid w:val="00EC0BAC"/>
    <w:rsid w:val="00EC0BDD"/>
    <w:rsid w:val="00EC1948"/>
    <w:rsid w:val="00EC2E8D"/>
    <w:rsid w:val="00EC3F72"/>
    <w:rsid w:val="00EC528D"/>
    <w:rsid w:val="00EC5325"/>
    <w:rsid w:val="00EC5A59"/>
    <w:rsid w:val="00EC65B4"/>
    <w:rsid w:val="00EC6697"/>
    <w:rsid w:val="00EC7745"/>
    <w:rsid w:val="00ED057A"/>
    <w:rsid w:val="00ED07FB"/>
    <w:rsid w:val="00ED2B76"/>
    <w:rsid w:val="00ED2C45"/>
    <w:rsid w:val="00ED3295"/>
    <w:rsid w:val="00ED343C"/>
    <w:rsid w:val="00ED36DC"/>
    <w:rsid w:val="00ED3A7C"/>
    <w:rsid w:val="00ED5130"/>
    <w:rsid w:val="00ED5785"/>
    <w:rsid w:val="00ED6277"/>
    <w:rsid w:val="00ED6A57"/>
    <w:rsid w:val="00ED705C"/>
    <w:rsid w:val="00ED74FA"/>
    <w:rsid w:val="00ED792D"/>
    <w:rsid w:val="00ED7BA9"/>
    <w:rsid w:val="00ED7FCF"/>
    <w:rsid w:val="00EE0058"/>
    <w:rsid w:val="00EE0074"/>
    <w:rsid w:val="00EE0093"/>
    <w:rsid w:val="00EE0682"/>
    <w:rsid w:val="00EE0959"/>
    <w:rsid w:val="00EE0B93"/>
    <w:rsid w:val="00EE1612"/>
    <w:rsid w:val="00EE223F"/>
    <w:rsid w:val="00EE25DB"/>
    <w:rsid w:val="00EE2D37"/>
    <w:rsid w:val="00EE366B"/>
    <w:rsid w:val="00EE51E7"/>
    <w:rsid w:val="00EE545E"/>
    <w:rsid w:val="00EE5B4B"/>
    <w:rsid w:val="00EE5DEC"/>
    <w:rsid w:val="00EE6174"/>
    <w:rsid w:val="00EE61F7"/>
    <w:rsid w:val="00EE6A79"/>
    <w:rsid w:val="00EE6B15"/>
    <w:rsid w:val="00EE70D1"/>
    <w:rsid w:val="00EF0C15"/>
    <w:rsid w:val="00EF0D70"/>
    <w:rsid w:val="00EF140E"/>
    <w:rsid w:val="00EF171E"/>
    <w:rsid w:val="00EF1D6F"/>
    <w:rsid w:val="00EF1F23"/>
    <w:rsid w:val="00EF2F69"/>
    <w:rsid w:val="00EF3207"/>
    <w:rsid w:val="00EF45E7"/>
    <w:rsid w:val="00EF4FFB"/>
    <w:rsid w:val="00EF556B"/>
    <w:rsid w:val="00EF6D3F"/>
    <w:rsid w:val="00EF6E5C"/>
    <w:rsid w:val="00EF7E46"/>
    <w:rsid w:val="00F00011"/>
    <w:rsid w:val="00F002AB"/>
    <w:rsid w:val="00F00A28"/>
    <w:rsid w:val="00F00ED7"/>
    <w:rsid w:val="00F01A16"/>
    <w:rsid w:val="00F02192"/>
    <w:rsid w:val="00F02693"/>
    <w:rsid w:val="00F02910"/>
    <w:rsid w:val="00F02AAE"/>
    <w:rsid w:val="00F0312B"/>
    <w:rsid w:val="00F0397F"/>
    <w:rsid w:val="00F03CFE"/>
    <w:rsid w:val="00F03EE2"/>
    <w:rsid w:val="00F04368"/>
    <w:rsid w:val="00F04378"/>
    <w:rsid w:val="00F0490B"/>
    <w:rsid w:val="00F050CC"/>
    <w:rsid w:val="00F05498"/>
    <w:rsid w:val="00F05961"/>
    <w:rsid w:val="00F05EE5"/>
    <w:rsid w:val="00F07D8D"/>
    <w:rsid w:val="00F07E40"/>
    <w:rsid w:val="00F10BBD"/>
    <w:rsid w:val="00F110A0"/>
    <w:rsid w:val="00F11123"/>
    <w:rsid w:val="00F11364"/>
    <w:rsid w:val="00F12107"/>
    <w:rsid w:val="00F1283B"/>
    <w:rsid w:val="00F12ED1"/>
    <w:rsid w:val="00F1382E"/>
    <w:rsid w:val="00F13B28"/>
    <w:rsid w:val="00F13ED7"/>
    <w:rsid w:val="00F14843"/>
    <w:rsid w:val="00F153D5"/>
    <w:rsid w:val="00F15841"/>
    <w:rsid w:val="00F15E15"/>
    <w:rsid w:val="00F16449"/>
    <w:rsid w:val="00F177DF"/>
    <w:rsid w:val="00F17F67"/>
    <w:rsid w:val="00F20928"/>
    <w:rsid w:val="00F20C9D"/>
    <w:rsid w:val="00F218DD"/>
    <w:rsid w:val="00F21BCF"/>
    <w:rsid w:val="00F22467"/>
    <w:rsid w:val="00F22759"/>
    <w:rsid w:val="00F22F54"/>
    <w:rsid w:val="00F2337A"/>
    <w:rsid w:val="00F23E58"/>
    <w:rsid w:val="00F241F9"/>
    <w:rsid w:val="00F24F8F"/>
    <w:rsid w:val="00F2533C"/>
    <w:rsid w:val="00F25F2E"/>
    <w:rsid w:val="00F270EE"/>
    <w:rsid w:val="00F27481"/>
    <w:rsid w:val="00F2772B"/>
    <w:rsid w:val="00F2780E"/>
    <w:rsid w:val="00F2789D"/>
    <w:rsid w:val="00F279A6"/>
    <w:rsid w:val="00F30632"/>
    <w:rsid w:val="00F30E8D"/>
    <w:rsid w:val="00F31624"/>
    <w:rsid w:val="00F326FA"/>
    <w:rsid w:val="00F32966"/>
    <w:rsid w:val="00F342AF"/>
    <w:rsid w:val="00F346E3"/>
    <w:rsid w:val="00F357D6"/>
    <w:rsid w:val="00F35C6D"/>
    <w:rsid w:val="00F35D40"/>
    <w:rsid w:val="00F3606A"/>
    <w:rsid w:val="00F361BE"/>
    <w:rsid w:val="00F36638"/>
    <w:rsid w:val="00F36E3A"/>
    <w:rsid w:val="00F40C1B"/>
    <w:rsid w:val="00F40D67"/>
    <w:rsid w:val="00F41350"/>
    <w:rsid w:val="00F42AF0"/>
    <w:rsid w:val="00F42E9D"/>
    <w:rsid w:val="00F43C59"/>
    <w:rsid w:val="00F44163"/>
    <w:rsid w:val="00F44EBE"/>
    <w:rsid w:val="00F45128"/>
    <w:rsid w:val="00F45CCA"/>
    <w:rsid w:val="00F46227"/>
    <w:rsid w:val="00F4631A"/>
    <w:rsid w:val="00F47AFA"/>
    <w:rsid w:val="00F5045F"/>
    <w:rsid w:val="00F5059F"/>
    <w:rsid w:val="00F51754"/>
    <w:rsid w:val="00F51FF0"/>
    <w:rsid w:val="00F52578"/>
    <w:rsid w:val="00F525B8"/>
    <w:rsid w:val="00F52D96"/>
    <w:rsid w:val="00F53667"/>
    <w:rsid w:val="00F536A4"/>
    <w:rsid w:val="00F53BFA"/>
    <w:rsid w:val="00F54873"/>
    <w:rsid w:val="00F54DE1"/>
    <w:rsid w:val="00F54FA6"/>
    <w:rsid w:val="00F55033"/>
    <w:rsid w:val="00F559B1"/>
    <w:rsid w:val="00F5717F"/>
    <w:rsid w:val="00F573C9"/>
    <w:rsid w:val="00F57D4F"/>
    <w:rsid w:val="00F60041"/>
    <w:rsid w:val="00F60130"/>
    <w:rsid w:val="00F640BA"/>
    <w:rsid w:val="00F6483F"/>
    <w:rsid w:val="00F64CDE"/>
    <w:rsid w:val="00F6581A"/>
    <w:rsid w:val="00F65C03"/>
    <w:rsid w:val="00F65CEC"/>
    <w:rsid w:val="00F66A4F"/>
    <w:rsid w:val="00F66F82"/>
    <w:rsid w:val="00F67666"/>
    <w:rsid w:val="00F67DA0"/>
    <w:rsid w:val="00F67E5B"/>
    <w:rsid w:val="00F67F4E"/>
    <w:rsid w:val="00F7142B"/>
    <w:rsid w:val="00F7199E"/>
    <w:rsid w:val="00F719CC"/>
    <w:rsid w:val="00F71A0A"/>
    <w:rsid w:val="00F72660"/>
    <w:rsid w:val="00F72759"/>
    <w:rsid w:val="00F7391D"/>
    <w:rsid w:val="00F73B44"/>
    <w:rsid w:val="00F75323"/>
    <w:rsid w:val="00F76814"/>
    <w:rsid w:val="00F76BDD"/>
    <w:rsid w:val="00F77874"/>
    <w:rsid w:val="00F7788B"/>
    <w:rsid w:val="00F77B17"/>
    <w:rsid w:val="00F814CF"/>
    <w:rsid w:val="00F81D92"/>
    <w:rsid w:val="00F82605"/>
    <w:rsid w:val="00F82CE2"/>
    <w:rsid w:val="00F82FDB"/>
    <w:rsid w:val="00F831EA"/>
    <w:rsid w:val="00F83462"/>
    <w:rsid w:val="00F8346A"/>
    <w:rsid w:val="00F845F0"/>
    <w:rsid w:val="00F84DA0"/>
    <w:rsid w:val="00F851EE"/>
    <w:rsid w:val="00F8589C"/>
    <w:rsid w:val="00F871A4"/>
    <w:rsid w:val="00F90164"/>
    <w:rsid w:val="00F90B55"/>
    <w:rsid w:val="00F911E9"/>
    <w:rsid w:val="00F916C1"/>
    <w:rsid w:val="00F91F26"/>
    <w:rsid w:val="00F925C0"/>
    <w:rsid w:val="00F9290D"/>
    <w:rsid w:val="00F92EBE"/>
    <w:rsid w:val="00F939B1"/>
    <w:rsid w:val="00F93A2D"/>
    <w:rsid w:val="00F93A65"/>
    <w:rsid w:val="00F93FBA"/>
    <w:rsid w:val="00F94A1B"/>
    <w:rsid w:val="00F94C47"/>
    <w:rsid w:val="00F95297"/>
    <w:rsid w:val="00F95439"/>
    <w:rsid w:val="00F95592"/>
    <w:rsid w:val="00F95850"/>
    <w:rsid w:val="00F95C99"/>
    <w:rsid w:val="00F9677C"/>
    <w:rsid w:val="00F96854"/>
    <w:rsid w:val="00F96919"/>
    <w:rsid w:val="00F96CBE"/>
    <w:rsid w:val="00F978E8"/>
    <w:rsid w:val="00F97B7D"/>
    <w:rsid w:val="00F97E5B"/>
    <w:rsid w:val="00F97FCA"/>
    <w:rsid w:val="00FA1002"/>
    <w:rsid w:val="00FA1054"/>
    <w:rsid w:val="00FA150F"/>
    <w:rsid w:val="00FA1E05"/>
    <w:rsid w:val="00FA1EFB"/>
    <w:rsid w:val="00FA260D"/>
    <w:rsid w:val="00FA27FA"/>
    <w:rsid w:val="00FA2CD8"/>
    <w:rsid w:val="00FA5600"/>
    <w:rsid w:val="00FA5CD5"/>
    <w:rsid w:val="00FA79B5"/>
    <w:rsid w:val="00FB0667"/>
    <w:rsid w:val="00FB39E5"/>
    <w:rsid w:val="00FB3D99"/>
    <w:rsid w:val="00FB4D48"/>
    <w:rsid w:val="00FB58D7"/>
    <w:rsid w:val="00FB5B00"/>
    <w:rsid w:val="00FB5F69"/>
    <w:rsid w:val="00FB5FA2"/>
    <w:rsid w:val="00FB6149"/>
    <w:rsid w:val="00FB6619"/>
    <w:rsid w:val="00FB6B04"/>
    <w:rsid w:val="00FB783E"/>
    <w:rsid w:val="00FC0ACF"/>
    <w:rsid w:val="00FC0C00"/>
    <w:rsid w:val="00FC0FA2"/>
    <w:rsid w:val="00FC199A"/>
    <w:rsid w:val="00FC23A0"/>
    <w:rsid w:val="00FC2404"/>
    <w:rsid w:val="00FC2845"/>
    <w:rsid w:val="00FC33F0"/>
    <w:rsid w:val="00FC40F6"/>
    <w:rsid w:val="00FC4753"/>
    <w:rsid w:val="00FC4B8D"/>
    <w:rsid w:val="00FC5668"/>
    <w:rsid w:val="00FC5C93"/>
    <w:rsid w:val="00FC5D84"/>
    <w:rsid w:val="00FC5F5F"/>
    <w:rsid w:val="00FC6E5F"/>
    <w:rsid w:val="00FC71C9"/>
    <w:rsid w:val="00FC71DD"/>
    <w:rsid w:val="00FD030A"/>
    <w:rsid w:val="00FD136B"/>
    <w:rsid w:val="00FD1DFD"/>
    <w:rsid w:val="00FD27E4"/>
    <w:rsid w:val="00FD295A"/>
    <w:rsid w:val="00FD3CA3"/>
    <w:rsid w:val="00FD528C"/>
    <w:rsid w:val="00FD597D"/>
    <w:rsid w:val="00FD5C1F"/>
    <w:rsid w:val="00FD5D23"/>
    <w:rsid w:val="00FD5DC9"/>
    <w:rsid w:val="00FD669A"/>
    <w:rsid w:val="00FD696E"/>
    <w:rsid w:val="00FD6CB3"/>
    <w:rsid w:val="00FD78E5"/>
    <w:rsid w:val="00FD7C40"/>
    <w:rsid w:val="00FD7D11"/>
    <w:rsid w:val="00FE0215"/>
    <w:rsid w:val="00FE0672"/>
    <w:rsid w:val="00FE20C8"/>
    <w:rsid w:val="00FE4237"/>
    <w:rsid w:val="00FE42EA"/>
    <w:rsid w:val="00FE442B"/>
    <w:rsid w:val="00FE4604"/>
    <w:rsid w:val="00FE4D52"/>
    <w:rsid w:val="00FE51C4"/>
    <w:rsid w:val="00FE5927"/>
    <w:rsid w:val="00FE6AAC"/>
    <w:rsid w:val="00FE74DD"/>
    <w:rsid w:val="00FE7F87"/>
    <w:rsid w:val="00FF042E"/>
    <w:rsid w:val="00FF04BE"/>
    <w:rsid w:val="00FF074C"/>
    <w:rsid w:val="00FF12F1"/>
    <w:rsid w:val="00FF14C9"/>
    <w:rsid w:val="00FF170B"/>
    <w:rsid w:val="00FF1B2A"/>
    <w:rsid w:val="00FF1DF9"/>
    <w:rsid w:val="00FF1F58"/>
    <w:rsid w:val="00FF21B4"/>
    <w:rsid w:val="00FF2A99"/>
    <w:rsid w:val="00FF2ADD"/>
    <w:rsid w:val="00FF3582"/>
    <w:rsid w:val="00FF40FC"/>
    <w:rsid w:val="00FF4DA5"/>
    <w:rsid w:val="00FF4FB8"/>
    <w:rsid w:val="00FF50B9"/>
    <w:rsid w:val="00FF513E"/>
    <w:rsid w:val="00FF55CD"/>
    <w:rsid w:val="00FF5A6A"/>
    <w:rsid w:val="00FF65AC"/>
    <w:rsid w:val="00FF6609"/>
    <w:rsid w:val="00FF6917"/>
    <w:rsid w:val="00FF7280"/>
    <w:rsid w:val="00FF7334"/>
    <w:rsid w:val="00FF751F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47"/>
    <w:pPr>
      <w:widowControl w:val="0"/>
      <w:jc w:val="both"/>
    </w:pPr>
  </w:style>
  <w:style w:type="paragraph" w:styleId="1">
    <w:name w:val="heading 1"/>
    <w:aliases w:val="小标题"/>
    <w:basedOn w:val="a"/>
    <w:next w:val="a"/>
    <w:link w:val="1Char"/>
    <w:autoRedefine/>
    <w:uiPriority w:val="9"/>
    <w:rsid w:val="00A21A5A"/>
    <w:pPr>
      <w:keepNext/>
      <w:keepLines/>
      <w:widowControl/>
      <w:numPr>
        <w:numId w:val="6"/>
      </w:numPr>
      <w:spacing w:before="100" w:beforeAutospacing="1" w:afterLines="50"/>
      <w:ind w:leftChars="1200" w:left="1200"/>
      <w:outlineLvl w:val="0"/>
    </w:pPr>
    <w:rPr>
      <w:rFonts w:ascii="Calibri" w:eastAsia="华文楷体" w:hAnsi="Calibri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000"/>
    <w:rPr>
      <w:sz w:val="18"/>
      <w:szCs w:val="18"/>
    </w:rPr>
  </w:style>
  <w:style w:type="paragraph" w:customStyle="1" w:styleId="a5">
    <w:name w:val="页眉报告名称"/>
    <w:link w:val="Char1"/>
    <w:autoRedefine/>
    <w:qFormat/>
    <w:rsid w:val="00B10000"/>
    <w:pPr>
      <w:spacing w:afterLines="100" w:line="240" w:lineRule="exact"/>
      <w:jc w:val="both"/>
    </w:pPr>
    <w:rPr>
      <w:rFonts w:ascii="Calibri" w:eastAsia="华文新魏" w:hAnsi="Calibri" w:cs="Times New Roman"/>
      <w:sz w:val="24"/>
    </w:rPr>
  </w:style>
  <w:style w:type="character" w:customStyle="1" w:styleId="Char1">
    <w:name w:val="页眉报告名称 Char"/>
    <w:basedOn w:val="a0"/>
    <w:link w:val="a5"/>
    <w:rsid w:val="00B10000"/>
    <w:rPr>
      <w:rFonts w:ascii="Calibri" w:eastAsia="华文新魏" w:hAnsi="Calibri" w:cs="Times New Roman"/>
      <w:sz w:val="24"/>
    </w:rPr>
  </w:style>
  <w:style w:type="paragraph" w:customStyle="1" w:styleId="a6">
    <w:name w:val="页眉图片"/>
    <w:basedOn w:val="a3"/>
    <w:link w:val="Char2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  <w:noProof/>
    </w:rPr>
  </w:style>
  <w:style w:type="character" w:customStyle="1" w:styleId="Char2">
    <w:name w:val="页眉图片 Char"/>
    <w:basedOn w:val="Char"/>
    <w:link w:val="a6"/>
    <w:rsid w:val="00B10000"/>
    <w:rPr>
      <w:rFonts w:ascii="Calibri" w:eastAsia="宋体" w:hAnsi="Calibri" w:cs="Times New Roman"/>
      <w:noProof/>
    </w:rPr>
  </w:style>
  <w:style w:type="paragraph" w:customStyle="1" w:styleId="a7">
    <w:name w:val="页眉处日期"/>
    <w:basedOn w:val="a"/>
    <w:link w:val="Char3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b/>
      <w:sz w:val="24"/>
      <w:szCs w:val="24"/>
    </w:rPr>
  </w:style>
  <w:style w:type="paragraph" w:customStyle="1" w:styleId="a8">
    <w:name w:val="页眉副标题"/>
    <w:basedOn w:val="a"/>
    <w:link w:val="Char4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sz w:val="36"/>
      <w:szCs w:val="36"/>
    </w:rPr>
  </w:style>
  <w:style w:type="character" w:customStyle="1" w:styleId="Char3">
    <w:name w:val="页眉处日期 Char"/>
    <w:basedOn w:val="a0"/>
    <w:link w:val="a7"/>
    <w:rsid w:val="00B10000"/>
    <w:rPr>
      <w:rFonts w:ascii="华文隶书" w:eastAsia="华文隶书" w:hAnsi="Calibri" w:cs="Times New Roman"/>
      <w:b/>
      <w:sz w:val="24"/>
      <w:szCs w:val="24"/>
    </w:rPr>
  </w:style>
  <w:style w:type="character" w:customStyle="1" w:styleId="Char4">
    <w:name w:val="页眉副标题 Char"/>
    <w:basedOn w:val="a0"/>
    <w:link w:val="a8"/>
    <w:rsid w:val="00B10000"/>
    <w:rPr>
      <w:rFonts w:ascii="华文隶书" w:eastAsia="华文隶书" w:hAnsi="Calibri" w:cs="Times New Roman"/>
      <w:sz w:val="36"/>
      <w:szCs w:val="36"/>
    </w:rPr>
  </w:style>
  <w:style w:type="paragraph" w:customStyle="1" w:styleId="a9">
    <w:name w:val="页眉的分析师"/>
    <w:basedOn w:val="a"/>
    <w:link w:val="Char5"/>
    <w:qFormat/>
    <w:rsid w:val="00B10000"/>
    <w:pPr>
      <w:tabs>
        <w:tab w:val="right" w:pos="11424"/>
      </w:tabs>
      <w:snapToGrid w:val="0"/>
      <w:spacing w:line="240" w:lineRule="exact"/>
      <w:jc w:val="right"/>
    </w:pPr>
    <w:rPr>
      <w:rFonts w:ascii="华文新魏" w:eastAsia="华文新魏" w:hAnsi="Calibri" w:cs="Times New Roman"/>
      <w:szCs w:val="21"/>
    </w:rPr>
  </w:style>
  <w:style w:type="character" w:customStyle="1" w:styleId="Char5">
    <w:name w:val="页眉的分析师 Char"/>
    <w:basedOn w:val="a0"/>
    <w:link w:val="a9"/>
    <w:rsid w:val="00B10000"/>
    <w:rPr>
      <w:rFonts w:ascii="华文新魏" w:eastAsia="华文新魏" w:hAnsi="Calibri" w:cs="Times New Roman"/>
      <w:szCs w:val="21"/>
    </w:rPr>
  </w:style>
  <w:style w:type="paragraph" w:customStyle="1" w:styleId="12">
    <w:name w:val="页眉12"/>
    <w:basedOn w:val="a3"/>
    <w:link w:val="12Char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</w:rPr>
  </w:style>
  <w:style w:type="character" w:customStyle="1" w:styleId="12Char">
    <w:name w:val="页眉12 Char"/>
    <w:basedOn w:val="Char"/>
    <w:link w:val="12"/>
    <w:rsid w:val="00B10000"/>
    <w:rPr>
      <w:rFonts w:ascii="Calibri" w:eastAsia="宋体" w:hAnsi="Calibri" w:cs="Times New Roman"/>
    </w:rPr>
  </w:style>
  <w:style w:type="paragraph" w:customStyle="1" w:styleId="2">
    <w:name w:val="页眉副标题2"/>
    <w:basedOn w:val="12"/>
    <w:link w:val="2Char"/>
    <w:qFormat/>
    <w:rsid w:val="00B10000"/>
    <w:pPr>
      <w:jc w:val="right"/>
    </w:pPr>
    <w:rPr>
      <w:rFonts w:ascii="华文隶书" w:eastAsia="华文隶书"/>
      <w:sz w:val="21"/>
      <w:szCs w:val="21"/>
    </w:rPr>
  </w:style>
  <w:style w:type="character" w:customStyle="1" w:styleId="2Char">
    <w:name w:val="页眉副标题2 Char"/>
    <w:basedOn w:val="12Char"/>
    <w:link w:val="2"/>
    <w:rsid w:val="00B10000"/>
    <w:rPr>
      <w:rFonts w:ascii="华文隶书" w:eastAsia="华文隶书"/>
      <w:szCs w:val="21"/>
    </w:rPr>
  </w:style>
  <w:style w:type="paragraph" w:customStyle="1" w:styleId="aa">
    <w:name w:val="特别声明格式"/>
    <w:basedOn w:val="a"/>
    <w:link w:val="Char6"/>
    <w:qFormat/>
    <w:rsid w:val="00B10000"/>
    <w:pPr>
      <w:spacing w:afterLines="100" w:line="240" w:lineRule="exact"/>
    </w:pPr>
    <w:rPr>
      <w:rFonts w:ascii="华文隶书" w:eastAsia="华文隶书" w:hAnsi="Calibri" w:cs="Times New Roman"/>
      <w:sz w:val="28"/>
    </w:rPr>
  </w:style>
  <w:style w:type="character" w:customStyle="1" w:styleId="Char6">
    <w:name w:val="特别声明格式 Char"/>
    <w:basedOn w:val="a0"/>
    <w:link w:val="aa"/>
    <w:rsid w:val="00B10000"/>
    <w:rPr>
      <w:rFonts w:ascii="华文隶书" w:eastAsia="华文隶书" w:hAnsi="Calibri" w:cs="Times New Roman"/>
      <w:sz w:val="28"/>
    </w:rPr>
  </w:style>
  <w:style w:type="paragraph" w:styleId="ab">
    <w:name w:val="Body Text"/>
    <w:basedOn w:val="a"/>
    <w:link w:val="Char7"/>
    <w:rsid w:val="00B10000"/>
    <w:pPr>
      <w:widowControl/>
      <w:spacing w:after="120" w:line="240" w:lineRule="exact"/>
      <w:ind w:left="3402"/>
    </w:pPr>
    <w:rPr>
      <w:rFonts w:ascii="Arial" w:eastAsia="楷体_GB2312" w:hAnsi="Arial" w:cs="Times New Roman"/>
      <w:color w:val="000000"/>
      <w:kern w:val="0"/>
      <w:szCs w:val="20"/>
      <w:lang w:val="en-GB"/>
    </w:rPr>
  </w:style>
  <w:style w:type="character" w:customStyle="1" w:styleId="Char7">
    <w:name w:val="正文文本 Char"/>
    <w:basedOn w:val="a0"/>
    <w:link w:val="ab"/>
    <w:rsid w:val="00B10000"/>
    <w:rPr>
      <w:rFonts w:ascii="Arial" w:eastAsia="楷体_GB2312" w:hAnsi="Arial" w:cs="Times New Roman"/>
      <w:color w:val="000000"/>
      <w:kern w:val="0"/>
      <w:szCs w:val="20"/>
      <w:lang w:val="en-GB"/>
    </w:rPr>
  </w:style>
  <w:style w:type="paragraph" w:customStyle="1" w:styleId="FootnoteNoline">
    <w:name w:val="FootnoteNoline"/>
    <w:basedOn w:val="a"/>
    <w:next w:val="ab"/>
    <w:rsid w:val="008840A4"/>
    <w:pPr>
      <w:widowControl/>
      <w:tabs>
        <w:tab w:val="right" w:pos="10065"/>
      </w:tabs>
      <w:spacing w:before="40" w:after="160"/>
      <w:ind w:left="3402"/>
    </w:pPr>
    <w:rPr>
      <w:rFonts w:ascii="Arial" w:eastAsia="楷体_GB2312" w:hAnsi="Arial" w:cs="Arial"/>
      <w:color w:val="003765"/>
      <w:kern w:val="0"/>
      <w:sz w:val="15"/>
      <w:szCs w:val="14"/>
      <w:lang w:val="en-GB"/>
    </w:rPr>
  </w:style>
  <w:style w:type="paragraph" w:customStyle="1" w:styleId="SubTitleLargeTable">
    <w:name w:val="SubTitleLargeTable"/>
    <w:rsid w:val="008840A4"/>
    <w:pPr>
      <w:keepNext/>
      <w:pBdr>
        <w:top w:val="single" w:sz="6" w:space="1" w:color="666699"/>
      </w:pBdr>
      <w:suppressAutoHyphens/>
      <w:spacing w:after="40" w:line="240" w:lineRule="atLeast"/>
    </w:pPr>
    <w:rPr>
      <w:rFonts w:ascii="Arial" w:eastAsia="楷体_GB2312" w:hAnsi="Arial" w:cs="Arial"/>
      <w:b/>
      <w:bCs/>
      <w:i/>
      <w:iCs/>
      <w:color w:val="003765"/>
      <w:kern w:val="0"/>
      <w:szCs w:val="21"/>
      <w:lang w:val="en-GB"/>
    </w:rPr>
  </w:style>
  <w:style w:type="paragraph" w:styleId="ac">
    <w:name w:val="Balloon Text"/>
    <w:basedOn w:val="a"/>
    <w:link w:val="Char8"/>
    <w:uiPriority w:val="99"/>
    <w:semiHidden/>
    <w:unhideWhenUsed/>
    <w:rsid w:val="008840A4"/>
    <w:rPr>
      <w:sz w:val="18"/>
      <w:szCs w:val="18"/>
    </w:rPr>
  </w:style>
  <w:style w:type="character" w:customStyle="1" w:styleId="Char8">
    <w:name w:val="批注框文本 Char"/>
    <w:basedOn w:val="a0"/>
    <w:link w:val="ac"/>
    <w:uiPriority w:val="99"/>
    <w:semiHidden/>
    <w:rsid w:val="008840A4"/>
    <w:rPr>
      <w:sz w:val="18"/>
      <w:szCs w:val="18"/>
    </w:rPr>
  </w:style>
  <w:style w:type="paragraph" w:customStyle="1" w:styleId="CoverBullet">
    <w:name w:val="Cover Bullet"/>
    <w:rsid w:val="008840A4"/>
    <w:pPr>
      <w:numPr>
        <w:numId w:val="3"/>
      </w:numPr>
      <w:spacing w:before="120" w:after="120"/>
      <w:ind w:left="357" w:hanging="357"/>
    </w:pPr>
    <w:rPr>
      <w:rFonts w:ascii="LucidaSans" w:eastAsia="宋体" w:hAnsi="LucidaSans" w:cs="Times New Roman"/>
      <w:b/>
      <w:bCs/>
      <w:kern w:val="0"/>
      <w:sz w:val="20"/>
      <w:szCs w:val="20"/>
      <w:lang w:val="en-GB"/>
    </w:rPr>
  </w:style>
  <w:style w:type="paragraph" w:styleId="ad">
    <w:name w:val="List Paragraph"/>
    <w:basedOn w:val="a"/>
    <w:uiPriority w:val="34"/>
    <w:qFormat/>
    <w:rsid w:val="00026FF9"/>
    <w:pPr>
      <w:ind w:firstLineChars="200" w:firstLine="420"/>
    </w:pPr>
  </w:style>
  <w:style w:type="paragraph" w:customStyle="1" w:styleId="SourceLarge">
    <w:name w:val="SourceLarge"/>
    <w:rsid w:val="00611ADA"/>
    <w:pPr>
      <w:tabs>
        <w:tab w:val="left" w:pos="5216"/>
        <w:tab w:val="right" w:pos="9866"/>
      </w:tabs>
      <w:suppressAutoHyphens/>
      <w:spacing w:line="160" w:lineRule="atLeast"/>
    </w:pPr>
    <w:rPr>
      <w:rFonts w:ascii="LucidaSans" w:eastAsia="宋体" w:hAnsi="LucidaSans" w:cs="Times New Roman"/>
      <w:kern w:val="0"/>
      <w:sz w:val="12"/>
      <w:szCs w:val="12"/>
      <w:lang w:val="en-GB"/>
    </w:rPr>
  </w:style>
  <w:style w:type="paragraph" w:customStyle="1" w:styleId="BulletCoverpage">
    <w:name w:val="Bullet Cover page"/>
    <w:basedOn w:val="a"/>
    <w:rsid w:val="00611ADA"/>
    <w:pPr>
      <w:widowControl/>
      <w:numPr>
        <w:numId w:val="4"/>
      </w:numPr>
      <w:suppressAutoHyphens/>
      <w:spacing w:after="200" w:line="240" w:lineRule="atLeast"/>
    </w:pPr>
    <w:rPr>
      <w:rFonts w:ascii="Arial" w:eastAsia="楷体_GB2312" w:hAnsi="Arial" w:cs="Times New Roman"/>
      <w:kern w:val="0"/>
      <w:sz w:val="18"/>
      <w:szCs w:val="20"/>
      <w:lang w:val="en-GB"/>
    </w:rPr>
  </w:style>
  <w:style w:type="paragraph" w:customStyle="1" w:styleId="10">
    <w:name w:val="模板标题1"/>
    <w:basedOn w:val="a"/>
    <w:next w:val="ab"/>
    <w:rsid w:val="00611ADA"/>
    <w:pPr>
      <w:widowControl/>
      <w:spacing w:after="240" w:line="300" w:lineRule="exact"/>
      <w:ind w:left="3402"/>
      <w:outlineLvl w:val="0"/>
    </w:pPr>
    <w:rPr>
      <w:rFonts w:ascii="Arial" w:eastAsia="楷体_GB2312" w:hAnsi="Arial" w:cs="Times New Roman"/>
      <w:b/>
      <w:bCs/>
      <w:color w:val="01659D"/>
      <w:kern w:val="0"/>
      <w:sz w:val="24"/>
      <w:szCs w:val="20"/>
      <w:lang w:val="en-GB"/>
    </w:rPr>
  </w:style>
  <w:style w:type="character" w:customStyle="1" w:styleId="1Char">
    <w:name w:val="标题 1 Char"/>
    <w:aliases w:val="小标题 Char"/>
    <w:basedOn w:val="a0"/>
    <w:link w:val="1"/>
    <w:uiPriority w:val="9"/>
    <w:rsid w:val="00A21A5A"/>
    <w:rPr>
      <w:rFonts w:ascii="Calibri" w:eastAsia="华文楷体" w:hAnsi="Calibri" w:cs="Times New Roman"/>
      <w:b/>
      <w:bCs/>
      <w:kern w:val="44"/>
      <w:sz w:val="28"/>
      <w:szCs w:val="44"/>
    </w:rPr>
  </w:style>
  <w:style w:type="paragraph" w:customStyle="1" w:styleId="ae">
    <w:name w:val="正文内容"/>
    <w:basedOn w:val="ab"/>
    <w:link w:val="Char9"/>
    <w:qFormat/>
    <w:rsid w:val="00A21A5A"/>
    <w:pPr>
      <w:tabs>
        <w:tab w:val="num" w:pos="3799"/>
      </w:tabs>
      <w:spacing w:after="163"/>
      <w:ind w:left="3799" w:hanging="369"/>
    </w:pPr>
    <w:rPr>
      <w:rFonts w:ascii="KaiTi_GB2312" w:eastAsia="KaiTi_GB2312" w:hAnsi="KaiTi_GB2312"/>
      <w:color w:val="auto"/>
    </w:rPr>
  </w:style>
  <w:style w:type="character" w:customStyle="1" w:styleId="Char9">
    <w:name w:val="正文内容 Char"/>
    <w:basedOn w:val="Char7"/>
    <w:link w:val="ae"/>
    <w:rsid w:val="00A21A5A"/>
    <w:rPr>
      <w:rFonts w:ascii="KaiTi_GB2312" w:eastAsia="KaiTi_GB2312" w:hAnsi="KaiTi_GB2312"/>
    </w:rPr>
  </w:style>
  <w:style w:type="paragraph" w:customStyle="1" w:styleId="af">
    <w:name w:val="正文小标题"/>
    <w:basedOn w:val="ab"/>
    <w:link w:val="Chara"/>
    <w:qFormat/>
    <w:rsid w:val="00A21A5A"/>
    <w:pPr>
      <w:spacing w:after="0"/>
    </w:pPr>
    <w:rPr>
      <w:rFonts w:ascii="KaiTi_GB2312" w:eastAsia="KaiTi_GB2312" w:hAnsi="KaiTi_GB2312"/>
      <w:b/>
      <w:bCs/>
      <w:color w:val="0070C0"/>
      <w:szCs w:val="21"/>
      <w:lang w:val="en-US"/>
    </w:rPr>
  </w:style>
  <w:style w:type="character" w:customStyle="1" w:styleId="Chara">
    <w:name w:val="正文小标题 Char"/>
    <w:basedOn w:val="Char7"/>
    <w:link w:val="af"/>
    <w:rsid w:val="00A21A5A"/>
    <w:rPr>
      <w:rFonts w:ascii="KaiTi_GB2312" w:eastAsia="KaiTi_GB2312" w:hAnsi="KaiTi_GB2312"/>
      <w:b/>
      <w:bCs/>
      <w:color w:val="0070C0"/>
      <w:szCs w:val="21"/>
    </w:rPr>
  </w:style>
  <w:style w:type="character" w:styleId="af0">
    <w:name w:val="Hyperlink"/>
    <w:basedOn w:val="a0"/>
    <w:uiPriority w:val="99"/>
    <w:semiHidden/>
    <w:unhideWhenUsed/>
    <w:rsid w:val="006F4A62"/>
    <w:rPr>
      <w:strike w:val="0"/>
      <w:dstrike w:val="0"/>
      <w:color w:val="072885"/>
      <w:u w:val="none"/>
      <w:effect w:val="none"/>
    </w:rPr>
  </w:style>
  <w:style w:type="paragraph" w:styleId="af1">
    <w:name w:val="Normal (Web)"/>
    <w:basedOn w:val="a"/>
    <w:uiPriority w:val="99"/>
    <w:unhideWhenUsed/>
    <w:rsid w:val="00413A9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2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9599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0207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817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8470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864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4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8512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741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60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58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1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3170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143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79D9A-6CB9-4055-BFE8-CDD88AF5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8947</TotalTime>
  <Pages>5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shanghai vstone</dc:creator>
  <cp:lastModifiedBy>wanxw</cp:lastModifiedBy>
  <cp:revision>409</cp:revision>
  <dcterms:created xsi:type="dcterms:W3CDTF">2014-09-02T02:32:00Z</dcterms:created>
  <dcterms:modified xsi:type="dcterms:W3CDTF">2015-03-10T06:23:00Z</dcterms:modified>
</cp:coreProperties>
</file>