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00" w:rsidRPr="006B085A" w:rsidRDefault="00EC5E6D" w:rsidP="00B10000">
      <w:pPr>
        <w:widowControl/>
        <w:spacing w:after="120" w:line="240" w:lineRule="exact"/>
        <w:ind w:left="3430"/>
        <w:rPr>
          <w:rFonts w:ascii="Arial" w:eastAsia="楷体_GB2312" w:hAnsi="Arial" w:cs="Times New Roman"/>
          <w:b/>
          <w:bCs/>
          <w:color w:val="0070C0"/>
          <w:kern w:val="0"/>
          <w:sz w:val="24"/>
          <w:szCs w:val="20"/>
          <w:lang w:val="en-GB"/>
        </w:rPr>
      </w:pPr>
      <w:r>
        <w:rPr>
          <w:rFonts w:ascii="Arial" w:eastAsia="楷体_GB2312" w:hAnsi="Arial" w:cs="Times New Roman"/>
          <w:b/>
          <w:bCs/>
          <w:noProof/>
          <w:color w:val="0070C0"/>
          <w:kern w:val="0"/>
          <w:sz w:val="24"/>
          <w:szCs w:val="20"/>
        </w:rPr>
        <w:pict>
          <v:shapetype id="_x0000_t202" coordsize="21600,21600" o:spt="202" path="m,l,21600r21600,l21600,xe">
            <v:stroke joinstyle="miter"/>
            <v:path gradientshapeok="t" o:connecttype="rect"/>
          </v:shapetype>
          <v:shape id="_x0000_s2050" type="#_x0000_t202" style="position:absolute;left:0;text-align:left;margin-left:1.5pt;margin-top:285.2pt;width:148.5pt;height:275.6pt;z-index:251658240;mso-width-relative:margin;mso-height-relative:margin" strokecolor="white [3212]" strokeweight="0">
            <v:stroke dashstyle="1 1" endcap="round"/>
            <v:textbox style="mso-next-textbox:#_x0000_s2050">
              <w:txbxContent>
                <w:p w:rsidR="00E927EE" w:rsidRPr="00635482" w:rsidRDefault="00E927EE" w:rsidP="003B414E">
                  <w:pPr>
                    <w:rPr>
                      <w:rFonts w:ascii="楷体" w:eastAsia="楷体" w:hAnsi="楷体"/>
                      <w:b/>
                      <w:lang w:val="en-GB"/>
                    </w:rPr>
                  </w:pPr>
                  <w:r w:rsidRPr="00635482">
                    <w:rPr>
                      <w:rFonts w:ascii="楷体" w:eastAsia="楷体" w:hAnsi="楷体"/>
                      <w:b/>
                      <w:lang w:val="en-GB"/>
                    </w:rPr>
                    <w:t>凯石工场移动平台</w:t>
                  </w:r>
                  <w:r w:rsidRPr="00635482">
                    <w:rPr>
                      <w:rFonts w:ascii="楷体" w:eastAsia="楷体" w:hAnsi="楷体" w:hint="eastAsia"/>
                      <w:b/>
                      <w:lang w:val="en-GB"/>
                    </w:rPr>
                    <w:t>：</w:t>
                  </w:r>
                </w:p>
                <w:p w:rsidR="00E927EE" w:rsidRPr="00635482" w:rsidRDefault="00E927EE" w:rsidP="003B414E">
                  <w:pPr>
                    <w:rPr>
                      <w:rFonts w:ascii="楷体" w:eastAsia="楷体" w:hAnsi="楷体"/>
                      <w:lang w:val="en-GB"/>
                    </w:rPr>
                  </w:pPr>
                </w:p>
                <w:p w:rsidR="00E927EE" w:rsidRPr="00635482" w:rsidRDefault="00E927EE" w:rsidP="003B414E">
                  <w:r w:rsidRPr="00635482">
                    <w:rPr>
                      <w:rFonts w:ascii="楷体" w:eastAsia="楷体" w:hAnsi="楷体" w:hint="eastAsia"/>
                      <w:lang w:val="en-GB"/>
                    </w:rPr>
                    <w:t>官方微博：</w:t>
                  </w:r>
                </w:p>
                <w:p w:rsidR="00E927EE" w:rsidRPr="00635482" w:rsidRDefault="00E927EE" w:rsidP="003B414E">
                  <w:pPr>
                    <w:rPr>
                      <w:rFonts w:ascii="楷体" w:eastAsia="楷体" w:hAnsi="楷体"/>
                      <w:lang w:val="en-GB"/>
                    </w:rPr>
                  </w:pPr>
                  <w:r w:rsidRPr="00635482">
                    <w:rPr>
                      <w:rFonts w:ascii="楷体" w:eastAsia="楷体" w:hAnsi="楷体" w:hint="eastAsia"/>
                      <w:lang w:val="en-GB"/>
                    </w:rPr>
                    <w:t>凯石财富工场</w:t>
                  </w:r>
                </w:p>
                <w:p w:rsidR="00E927EE" w:rsidRDefault="00E927EE" w:rsidP="003B414E">
                  <w:r>
                    <w:rPr>
                      <w:rFonts w:hint="eastAsia"/>
                      <w:noProof/>
                    </w:rPr>
                    <w:drawing>
                      <wp:inline distT="0" distB="0" distL="0" distR="0">
                        <wp:extent cx="933450" cy="933450"/>
                        <wp:effectExtent l="19050" t="0" r="0" b="0"/>
                        <wp:docPr id="4" name="图片 5" descr="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jpg"/>
                                <pic:cNvPicPr/>
                              </pic:nvPicPr>
                              <pic:blipFill>
                                <a:blip r:embed="rId8"/>
                                <a:stretch>
                                  <a:fillRect/>
                                </a:stretch>
                              </pic:blipFill>
                              <pic:spPr>
                                <a:xfrm>
                                  <a:off x="0" y="0"/>
                                  <a:ext cx="933450" cy="933450"/>
                                </a:xfrm>
                                <a:prstGeom prst="rect">
                                  <a:avLst/>
                                </a:prstGeom>
                              </pic:spPr>
                            </pic:pic>
                          </a:graphicData>
                        </a:graphic>
                      </wp:inline>
                    </w:drawing>
                  </w:r>
                </w:p>
                <w:p w:rsidR="00E927EE" w:rsidRDefault="00E927EE" w:rsidP="003B414E">
                  <w:pPr>
                    <w:rPr>
                      <w:rFonts w:ascii="楷体" w:eastAsia="楷体" w:hAnsi="楷体"/>
                      <w:b/>
                      <w:lang w:val="en-GB"/>
                    </w:rPr>
                  </w:pPr>
                </w:p>
                <w:p w:rsidR="00E927EE" w:rsidRPr="00635482" w:rsidRDefault="00E927EE" w:rsidP="003B414E">
                  <w:pPr>
                    <w:rPr>
                      <w:rFonts w:ascii="楷体" w:eastAsia="楷体" w:hAnsi="楷体"/>
                      <w:lang w:val="en-GB"/>
                    </w:rPr>
                  </w:pPr>
                  <w:r w:rsidRPr="00635482">
                    <w:rPr>
                      <w:rFonts w:ascii="楷体" w:eastAsia="楷体" w:hAnsi="楷体" w:hint="eastAsia"/>
                      <w:lang w:val="en-GB"/>
                    </w:rPr>
                    <w:t>官方微信：</w:t>
                  </w:r>
                </w:p>
                <w:p w:rsidR="00E927EE" w:rsidRPr="00635482" w:rsidRDefault="00E927EE" w:rsidP="003B414E">
                  <w:pPr>
                    <w:rPr>
                      <w:rFonts w:ascii="楷体" w:eastAsia="楷体" w:hAnsi="楷体"/>
                      <w:lang w:val="en-GB"/>
                    </w:rPr>
                  </w:pPr>
                  <w:r w:rsidRPr="00635482">
                    <w:rPr>
                      <w:rFonts w:ascii="楷体" w:eastAsia="楷体" w:hAnsi="楷体" w:hint="eastAsia"/>
                      <w:lang w:val="en-GB"/>
                    </w:rPr>
                    <w:t>凯石财富知音订阅号</w:t>
                  </w:r>
                </w:p>
                <w:p w:rsidR="00E927EE" w:rsidRDefault="00E927EE" w:rsidP="003B414E">
                  <w:r w:rsidRPr="00635482">
                    <w:rPr>
                      <w:rFonts w:ascii="楷体" w:eastAsia="楷体" w:hAnsi="楷体"/>
                      <w:b/>
                      <w:noProof/>
                    </w:rPr>
                    <w:drawing>
                      <wp:inline distT="0" distB="0" distL="0" distR="0">
                        <wp:extent cx="952500" cy="952500"/>
                        <wp:effectExtent l="19050" t="0" r="0" b="0"/>
                        <wp:docPr id="6" name="图片 7" descr="凯石财富知音订阅号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凯石财富知音订阅号3.jpg"/>
                                <pic:cNvPicPr/>
                              </pic:nvPicPr>
                              <pic:blipFill>
                                <a:blip r:embed="rId9" cstate="print"/>
                                <a:stretch>
                                  <a:fillRect/>
                                </a:stretch>
                              </pic:blipFill>
                              <pic:spPr>
                                <a:xfrm>
                                  <a:off x="0" y="0"/>
                                  <a:ext cx="952500" cy="952500"/>
                                </a:xfrm>
                                <a:prstGeom prst="rect">
                                  <a:avLst/>
                                </a:prstGeom>
                              </pic:spPr>
                            </pic:pic>
                          </a:graphicData>
                        </a:graphic>
                      </wp:inline>
                    </w:drawing>
                  </w:r>
                </w:p>
              </w:txbxContent>
            </v:textbox>
          </v:shape>
        </w:pict>
      </w:r>
      <w:r w:rsidR="00A70401" w:rsidRPr="006B085A">
        <w:rPr>
          <w:rFonts w:ascii="Arial" w:eastAsia="楷体_GB2312" w:hAnsi="Arial" w:cs="Times New Roman" w:hint="eastAsia"/>
          <w:b/>
          <w:bCs/>
          <w:color w:val="0070C0"/>
          <w:kern w:val="0"/>
          <w:sz w:val="24"/>
          <w:szCs w:val="20"/>
          <w:lang w:val="en-GB"/>
        </w:rPr>
        <w:t>导语</w:t>
      </w:r>
    </w:p>
    <w:p w:rsidR="00D42DF4" w:rsidRPr="00336795" w:rsidRDefault="00813F16" w:rsidP="007F585F">
      <w:pPr>
        <w:pStyle w:val="ab"/>
        <w:numPr>
          <w:ilvl w:val="4"/>
          <w:numId w:val="1"/>
        </w:numPr>
        <w:spacing w:after="163"/>
        <w:rPr>
          <w:rFonts w:eastAsia="楷体_GB2312"/>
          <w:b/>
          <w:color w:val="auto"/>
        </w:rPr>
      </w:pPr>
      <w:r w:rsidRPr="00813F16">
        <w:rPr>
          <w:rFonts w:eastAsia="楷体_GB2312" w:cs="Arial" w:hint="eastAsia"/>
          <w:b/>
          <w:color w:val="auto"/>
        </w:rPr>
        <w:t>中长期来看货币政策进入降息周期，宽松格局延续，降准降息后财政政策有望接棒发力共同助力经济软着陆，两会召开，各领域改革稳步推进，相关顶层制度设计有望会后出台，</w:t>
      </w:r>
      <w:r w:rsidRPr="00813F16">
        <w:rPr>
          <w:rFonts w:eastAsia="楷体_GB2312" w:cs="Arial" w:hint="eastAsia"/>
          <w:b/>
          <w:color w:val="auto"/>
        </w:rPr>
        <w:t>A</w:t>
      </w:r>
      <w:r w:rsidRPr="00813F16">
        <w:rPr>
          <w:rFonts w:eastAsia="楷体_GB2312" w:cs="Arial" w:hint="eastAsia"/>
          <w:b/>
          <w:color w:val="auto"/>
        </w:rPr>
        <w:t>股向好趋势未变。但短期而言，降息举措在市场中已提前反应，因而针对单次措施不宜过度解读，两会环境有望带动主题投资兴起，但随着会议落幕中创板块、题材股存在回调压力，降息背景下大盘蓝筹或存阶段性表现机会，综合来看</w:t>
      </w:r>
      <w:r w:rsidRPr="00813F16">
        <w:rPr>
          <w:rFonts w:eastAsia="楷体_GB2312" w:cs="Arial" w:hint="eastAsia"/>
          <w:b/>
          <w:color w:val="auto"/>
        </w:rPr>
        <w:t>A</w:t>
      </w:r>
      <w:r w:rsidRPr="00813F16">
        <w:rPr>
          <w:rFonts w:eastAsia="楷体_GB2312" w:cs="Arial" w:hint="eastAsia"/>
          <w:b/>
          <w:color w:val="auto"/>
        </w:rPr>
        <w:t>股市场大概率保持震荡格局，期间穿插热点轮动。就</w:t>
      </w:r>
      <w:r w:rsidR="00AD0A13">
        <w:rPr>
          <w:rFonts w:eastAsia="楷体_GB2312" w:cs="Arial" w:hint="eastAsia"/>
          <w:b/>
          <w:color w:val="auto"/>
        </w:rPr>
        <w:t>权益类</w:t>
      </w:r>
      <w:r w:rsidRPr="00813F16">
        <w:rPr>
          <w:rFonts w:eastAsia="楷体_GB2312" w:cs="Arial" w:hint="eastAsia"/>
          <w:b/>
          <w:color w:val="auto"/>
        </w:rPr>
        <w:t>基金投资而言，建议投资者稳健为先，灵活为辅，对仓位水平适中、行业配置相对均衡、长期业绩优异、投资管理能力较强的平衡风格基金配置力度，另一方面优选热点捕捉能力较强、行业及仓位调整灵活的灵活配置型产品，达到把握市场轮动特征、攻守相宜的配置效果。考虑到两会窗口开启，市场热点主题活跃，通过行业或主题型产品对相关机会予以把握，但要注意会后获利回吐风险。另外从风格的角度上来看蓝筹股充分回调后投资价值仍值得期待，投资者可借调整之机，适时逢低布局；而对于消费和成长类行业，组合中布局大消费、选股能力突出品种可继续予以关注，而对于部分运作风格激进的成长型主动产品以及相关指数产品数产品可择机逢高减仓，兑现收益。</w:t>
      </w:r>
    </w:p>
    <w:p w:rsidR="00336795" w:rsidRPr="00336795" w:rsidRDefault="00AD0A13" w:rsidP="007F585F">
      <w:pPr>
        <w:pStyle w:val="ab"/>
        <w:numPr>
          <w:ilvl w:val="4"/>
          <w:numId w:val="1"/>
        </w:numPr>
        <w:spacing w:after="163"/>
        <w:rPr>
          <w:rFonts w:eastAsia="楷体_GB2312" w:cs="Arial"/>
          <w:b/>
          <w:color w:val="auto"/>
        </w:rPr>
      </w:pPr>
      <w:r w:rsidRPr="00AD0A13">
        <w:rPr>
          <w:rFonts w:eastAsia="楷体_GB2312" w:cs="Arial" w:hint="eastAsia"/>
          <w:b/>
          <w:color w:val="auto"/>
        </w:rPr>
        <w:t>尽管基本面继续向好债市，央行也于</w:t>
      </w:r>
      <w:r w:rsidRPr="00AD0A13">
        <w:rPr>
          <w:rFonts w:eastAsia="楷体_GB2312" w:cs="Arial" w:hint="eastAsia"/>
          <w:b/>
          <w:color w:val="auto"/>
        </w:rPr>
        <w:t>2</w:t>
      </w:r>
      <w:r w:rsidRPr="00AD0A13">
        <w:rPr>
          <w:rFonts w:eastAsia="楷体_GB2312" w:cs="Arial" w:hint="eastAsia"/>
          <w:b/>
          <w:color w:val="auto"/>
        </w:rPr>
        <w:t>月末再度祭出降息利器，但从资金面情况来看，人民币贬值、外汇占款减少、资本外流带来的负面影响值得警惕，此外政策落地后市场面临部分获利盘回吐压力，另一方面，改革稳步推进，政策整体宽松的背景下，股票市场总体向好趋势未变，叠加</w:t>
      </w:r>
      <w:r w:rsidRPr="00AD0A13">
        <w:rPr>
          <w:rFonts w:eastAsia="楷体_GB2312" w:cs="Arial" w:hint="eastAsia"/>
          <w:b/>
          <w:color w:val="auto"/>
        </w:rPr>
        <w:t>IPO</w:t>
      </w:r>
      <w:r w:rsidRPr="00AD0A13">
        <w:rPr>
          <w:rFonts w:eastAsia="楷体_GB2312" w:cs="Arial" w:hint="eastAsia"/>
          <w:b/>
          <w:color w:val="auto"/>
        </w:rPr>
        <w:t>打新，对债市资金面造成分流压力。另外，从供需的角度来看，</w:t>
      </w:r>
      <w:r w:rsidRPr="00AD0A13">
        <w:rPr>
          <w:rFonts w:eastAsia="楷体_GB2312" w:cs="Arial" w:hint="eastAsia"/>
          <w:b/>
          <w:color w:val="auto"/>
        </w:rPr>
        <w:t>3</w:t>
      </w:r>
      <w:r w:rsidRPr="00AD0A13">
        <w:rPr>
          <w:rFonts w:eastAsia="楷体_GB2312" w:cs="Arial" w:hint="eastAsia"/>
          <w:b/>
          <w:color w:val="auto"/>
        </w:rPr>
        <w:t>月份债市扩容压力增大，而需求面较为平淡。综合以上各方因素，我们对债市短期持谨慎态度。</w:t>
      </w:r>
      <w:r w:rsidR="00073001">
        <w:rPr>
          <w:rFonts w:eastAsia="楷体_GB2312" w:cs="Arial" w:hint="eastAsia"/>
          <w:b/>
          <w:color w:val="auto"/>
        </w:rPr>
        <w:t>债基投资方面，</w:t>
      </w:r>
      <w:r w:rsidRPr="00AD0A13">
        <w:rPr>
          <w:rFonts w:eastAsia="楷体_GB2312" w:cs="Arial" w:hint="eastAsia"/>
          <w:b/>
          <w:color w:val="auto"/>
        </w:rPr>
        <w:t>可先采取相对中性的配置策略，在维持中性防御的基础上，再根据经济基本面、市场流动性等等因素的变化，适度灵活调整配置结构。在期限结构方面，建议降低组合久期水平，减少风险暴露空间。类别选择方面，建议优选中长期业绩优异、固收综合投资能力较强且善于把握股票市场和可转债投资机会的二级债基，如工银添颐债券、招商安本增利、易方达安心回报债券等适度提高其配置比例；谨慎投资利率债配置比例比较高的品种，等待政策进一步宽松信号；对于信用债基金则注重防范信用风险的发生，重点关注偏好风险等级相对较低的优质城投债基金相对投资价值。与此同时，根据投资者风险偏好，继续搭配货币类产品，以平滑组合风险，产品选择从规模、流动性以及业绩稳定性角度出发，选择规模较大、流动性较高、历史业绩稳健的品种如南方现金增利、华夏现金增利等纳入组合。</w:t>
      </w:r>
    </w:p>
    <w:p w:rsidR="00BC1900" w:rsidRDefault="006D3E17" w:rsidP="00A70401">
      <w:pPr>
        <w:widowControl/>
        <w:spacing w:after="120" w:line="240" w:lineRule="exact"/>
        <w:ind w:left="3430"/>
        <w:rPr>
          <w:rFonts w:ascii="Arial" w:eastAsia="楷体_GB2312" w:hAnsi="Arial" w:cs="Times New Roman"/>
          <w:b/>
          <w:bCs/>
          <w:color w:val="0070C0"/>
          <w:kern w:val="0"/>
          <w:sz w:val="24"/>
          <w:szCs w:val="20"/>
          <w:lang w:val="en-GB"/>
        </w:rPr>
      </w:pPr>
      <w:r w:rsidRPr="00591867">
        <w:rPr>
          <w:rFonts w:ascii="Arial" w:eastAsia="楷体_GB2312" w:hAnsi="Arial" w:cs="Times New Roman" w:hint="eastAsia"/>
          <w:b/>
          <w:bCs/>
          <w:color w:val="0070C0"/>
          <w:kern w:val="0"/>
          <w:sz w:val="24"/>
          <w:szCs w:val="20"/>
          <w:lang w:val="en-GB"/>
        </w:rPr>
        <w:t>国内市场：</w:t>
      </w:r>
      <w:r w:rsidR="00422DA8">
        <w:rPr>
          <w:rFonts w:ascii="Arial" w:eastAsia="楷体_GB2312" w:hAnsi="Arial" w:cs="Times New Roman" w:hint="eastAsia"/>
          <w:b/>
          <w:bCs/>
          <w:color w:val="0070C0"/>
          <w:kern w:val="0"/>
          <w:sz w:val="24"/>
          <w:szCs w:val="20"/>
          <w:lang w:val="en-GB"/>
        </w:rPr>
        <w:t>下行压力增大</w:t>
      </w:r>
      <w:r w:rsidR="007D7829">
        <w:rPr>
          <w:rFonts w:ascii="Arial" w:eastAsia="楷体_GB2312" w:hAnsi="Arial" w:cs="Times New Roman" w:hint="eastAsia"/>
          <w:b/>
          <w:bCs/>
          <w:color w:val="0070C0"/>
          <w:kern w:val="0"/>
          <w:sz w:val="24"/>
          <w:szCs w:val="20"/>
          <w:lang w:val="en-GB"/>
        </w:rPr>
        <w:t>，</w:t>
      </w:r>
      <w:r w:rsidR="00422DA8">
        <w:rPr>
          <w:rFonts w:ascii="Arial" w:eastAsia="楷体_GB2312" w:hAnsi="Arial" w:cs="Times New Roman" w:hint="eastAsia"/>
          <w:b/>
          <w:bCs/>
          <w:color w:val="0070C0"/>
          <w:kern w:val="0"/>
          <w:sz w:val="24"/>
          <w:szCs w:val="20"/>
          <w:lang w:val="en-GB"/>
        </w:rPr>
        <w:t>货币宽松加码</w:t>
      </w:r>
    </w:p>
    <w:p w:rsidR="008B7B52" w:rsidRDefault="00B43A18" w:rsidP="008B7B52">
      <w:pPr>
        <w:widowControl/>
        <w:spacing w:after="120" w:line="240" w:lineRule="exact"/>
        <w:ind w:left="3430"/>
        <w:rPr>
          <w:rFonts w:ascii="Arial" w:eastAsia="楷体_GB2312" w:hAnsi="Arial" w:cs="Times New Roman"/>
          <w:b/>
          <w:bCs/>
          <w:color w:val="0070C0"/>
          <w:kern w:val="0"/>
          <w:szCs w:val="21"/>
          <w:lang w:val="en-GB"/>
        </w:rPr>
      </w:pPr>
      <w:r>
        <w:rPr>
          <w:rFonts w:ascii="Arial" w:eastAsia="楷体_GB2312" w:hAnsi="Arial" w:cs="Times New Roman" w:hint="eastAsia"/>
          <w:b/>
          <w:bCs/>
          <w:color w:val="0070C0"/>
          <w:kern w:val="0"/>
          <w:szCs w:val="21"/>
          <w:lang w:val="en-GB"/>
        </w:rPr>
        <w:t>宏观经济开年遇冷</w:t>
      </w:r>
      <w:r w:rsidR="00F1216D">
        <w:rPr>
          <w:rFonts w:ascii="Arial" w:eastAsia="楷体_GB2312" w:hAnsi="Arial" w:cs="Times New Roman" w:hint="eastAsia"/>
          <w:b/>
          <w:bCs/>
          <w:color w:val="0070C0"/>
          <w:kern w:val="0"/>
          <w:szCs w:val="21"/>
          <w:lang w:val="en-GB"/>
        </w:rPr>
        <w:t>，下行压力增大</w:t>
      </w:r>
    </w:p>
    <w:p w:rsidR="00F1216D" w:rsidRDefault="00F1216D" w:rsidP="00612C11">
      <w:pPr>
        <w:widowControl/>
        <w:spacing w:after="120" w:line="240" w:lineRule="exact"/>
        <w:ind w:leftChars="1633" w:left="3429" w:firstLineChars="200" w:firstLine="420"/>
        <w:rPr>
          <w:rFonts w:ascii="Arial" w:eastAsia="楷体_GB2312" w:hAnsi="Arial" w:cs="Times New Roman"/>
          <w:kern w:val="0"/>
          <w:szCs w:val="20"/>
          <w:lang w:val="en-GB"/>
        </w:rPr>
      </w:pPr>
      <w:r>
        <w:rPr>
          <w:rFonts w:ascii="Arial" w:eastAsia="楷体_GB2312" w:hAnsi="Arial" w:cs="Times New Roman" w:hint="eastAsia"/>
          <w:kern w:val="0"/>
          <w:szCs w:val="20"/>
          <w:lang w:val="en-GB"/>
        </w:rPr>
        <w:t>1</w:t>
      </w:r>
      <w:r>
        <w:rPr>
          <w:rFonts w:ascii="Arial" w:eastAsia="楷体_GB2312" w:hAnsi="Arial" w:cs="Times New Roman" w:hint="eastAsia"/>
          <w:kern w:val="0"/>
          <w:szCs w:val="20"/>
          <w:lang w:val="en-GB"/>
        </w:rPr>
        <w:t>月多数经济指标</w:t>
      </w:r>
      <w:r w:rsidR="00EC4D9F">
        <w:rPr>
          <w:rFonts w:ascii="Arial" w:eastAsia="楷体_GB2312" w:hAnsi="Arial" w:cs="Times New Roman" w:hint="eastAsia"/>
          <w:kern w:val="0"/>
          <w:szCs w:val="20"/>
          <w:lang w:val="en-GB"/>
        </w:rPr>
        <w:t>走势疲软</w:t>
      </w:r>
      <w:r>
        <w:rPr>
          <w:rFonts w:ascii="Arial" w:eastAsia="楷体_GB2312" w:hAnsi="Arial" w:cs="Times New Roman" w:hint="eastAsia"/>
          <w:kern w:val="0"/>
          <w:szCs w:val="20"/>
          <w:lang w:val="en-GB"/>
        </w:rPr>
        <w:t>，</w:t>
      </w:r>
      <w:r w:rsidR="00EC4D9F">
        <w:rPr>
          <w:rFonts w:ascii="Arial" w:eastAsia="楷体_GB2312" w:hAnsi="Arial" w:cs="Times New Roman" w:hint="eastAsia"/>
          <w:kern w:val="0"/>
          <w:szCs w:val="20"/>
          <w:lang w:val="en-GB"/>
        </w:rPr>
        <w:t>宏观经济开年遇冷，下行压力有所增大。</w:t>
      </w:r>
    </w:p>
    <w:p w:rsidR="00EC4D9F" w:rsidRDefault="00AA4571" w:rsidP="00612C11">
      <w:pPr>
        <w:widowControl/>
        <w:spacing w:after="120" w:line="240" w:lineRule="exact"/>
        <w:ind w:leftChars="1633" w:left="3429" w:firstLineChars="200" w:firstLine="420"/>
        <w:rPr>
          <w:rFonts w:ascii="Arial" w:eastAsia="楷体_GB2312" w:hAnsi="Arial" w:cs="Times New Roman"/>
          <w:kern w:val="0"/>
          <w:szCs w:val="20"/>
          <w:lang w:val="en-GB"/>
        </w:rPr>
      </w:pPr>
      <w:r>
        <w:rPr>
          <w:rFonts w:ascii="Arial" w:eastAsia="楷体_GB2312" w:hAnsi="Arial" w:cs="Times New Roman" w:hint="eastAsia"/>
          <w:kern w:val="0"/>
          <w:szCs w:val="20"/>
          <w:lang w:val="en-GB"/>
        </w:rPr>
        <w:t>具体来看，</w:t>
      </w:r>
      <w:r>
        <w:rPr>
          <w:rFonts w:ascii="Arial" w:eastAsia="楷体_GB2312" w:hAnsi="Arial" w:cs="Times New Roman" w:hint="eastAsia"/>
          <w:kern w:val="0"/>
          <w:szCs w:val="20"/>
          <w:lang w:val="en-GB"/>
        </w:rPr>
        <w:t>1</w:t>
      </w:r>
      <w:r>
        <w:rPr>
          <w:rFonts w:ascii="Arial" w:eastAsia="楷体_GB2312" w:hAnsi="Arial" w:cs="Times New Roman" w:hint="eastAsia"/>
          <w:kern w:val="0"/>
          <w:szCs w:val="20"/>
          <w:lang w:val="en-GB"/>
        </w:rPr>
        <w:t>月官方</w:t>
      </w:r>
      <w:r>
        <w:rPr>
          <w:rFonts w:ascii="Arial" w:eastAsia="楷体_GB2312" w:hAnsi="Arial" w:cs="Times New Roman" w:hint="eastAsia"/>
          <w:kern w:val="0"/>
          <w:szCs w:val="20"/>
          <w:lang w:val="en-GB"/>
        </w:rPr>
        <w:t>PMI</w:t>
      </w:r>
      <w:r w:rsidRPr="00AA4571">
        <w:rPr>
          <w:rFonts w:ascii="Arial" w:eastAsia="楷体_GB2312" w:hAnsi="Arial" w:cs="Times New Roman" w:hint="eastAsia"/>
          <w:kern w:val="0"/>
          <w:szCs w:val="20"/>
          <w:lang w:val="en-GB"/>
        </w:rPr>
        <w:t>再次回归</w:t>
      </w:r>
      <w:r w:rsidRPr="00AA4571">
        <w:rPr>
          <w:rFonts w:ascii="Arial" w:eastAsia="楷体_GB2312" w:hAnsi="Arial" w:cs="Times New Roman" w:hint="eastAsia"/>
          <w:kern w:val="0"/>
          <w:szCs w:val="20"/>
          <w:lang w:val="en-GB"/>
        </w:rPr>
        <w:t>50%</w:t>
      </w:r>
      <w:r w:rsidRPr="00AA4571">
        <w:rPr>
          <w:rFonts w:ascii="Arial" w:eastAsia="楷体_GB2312" w:hAnsi="Arial" w:cs="Times New Roman" w:hint="eastAsia"/>
          <w:kern w:val="0"/>
          <w:szCs w:val="20"/>
          <w:lang w:val="en-GB"/>
        </w:rPr>
        <w:t>以下收缩区间，至</w:t>
      </w:r>
      <w:r w:rsidRPr="00AA4571">
        <w:rPr>
          <w:rFonts w:ascii="Arial" w:eastAsia="楷体_GB2312" w:hAnsi="Arial" w:cs="Times New Roman" w:hint="eastAsia"/>
          <w:kern w:val="0"/>
          <w:szCs w:val="20"/>
          <w:lang w:val="en-GB"/>
        </w:rPr>
        <w:t>49.8%</w:t>
      </w:r>
      <w:r>
        <w:rPr>
          <w:rFonts w:ascii="Arial" w:eastAsia="楷体_GB2312" w:hAnsi="Arial" w:cs="Times New Roman" w:hint="eastAsia"/>
          <w:kern w:val="0"/>
          <w:szCs w:val="20"/>
          <w:lang w:val="en-GB"/>
        </w:rPr>
        <w:t>，</w:t>
      </w:r>
      <w:r w:rsidR="007C5DDE">
        <w:rPr>
          <w:rFonts w:ascii="Arial" w:eastAsia="楷体_GB2312" w:hAnsi="Arial" w:cs="Times New Roman" w:hint="eastAsia"/>
          <w:kern w:val="0"/>
          <w:szCs w:val="20"/>
          <w:lang w:val="en-GB"/>
        </w:rPr>
        <w:t>为</w:t>
      </w:r>
      <w:r w:rsidR="007C5DDE">
        <w:rPr>
          <w:rFonts w:ascii="Arial" w:eastAsia="楷体_GB2312" w:hAnsi="Arial" w:cs="Times New Roman" w:hint="eastAsia"/>
          <w:kern w:val="0"/>
          <w:szCs w:val="20"/>
          <w:lang w:val="en-GB"/>
        </w:rPr>
        <w:t>26</w:t>
      </w:r>
      <w:r w:rsidR="007C5DDE">
        <w:rPr>
          <w:rFonts w:ascii="Arial" w:eastAsia="楷体_GB2312" w:hAnsi="Arial" w:cs="Times New Roman" w:hint="eastAsia"/>
          <w:kern w:val="0"/>
          <w:szCs w:val="20"/>
          <w:lang w:val="en-GB"/>
        </w:rPr>
        <w:t>个月来新低，分项数据显示产成品库存压力上升，新订单指数回落、企业经营预期</w:t>
      </w:r>
      <w:r w:rsidR="00672EFF">
        <w:rPr>
          <w:rFonts w:ascii="Arial" w:eastAsia="楷体_GB2312" w:hAnsi="Arial" w:cs="Times New Roman" w:hint="eastAsia"/>
          <w:kern w:val="0"/>
          <w:szCs w:val="20"/>
          <w:lang w:val="en-GB"/>
        </w:rPr>
        <w:t>趋于谨慎</w:t>
      </w:r>
      <w:r w:rsidR="007C5DDE">
        <w:rPr>
          <w:rFonts w:ascii="Arial" w:eastAsia="楷体_GB2312" w:hAnsi="Arial" w:cs="Times New Roman" w:hint="eastAsia"/>
          <w:kern w:val="0"/>
          <w:szCs w:val="20"/>
          <w:lang w:val="en-GB"/>
        </w:rPr>
        <w:t>，</w:t>
      </w:r>
      <w:r w:rsidR="00672EFF">
        <w:rPr>
          <w:rFonts w:ascii="Arial" w:eastAsia="楷体_GB2312" w:hAnsi="Arial" w:cs="Times New Roman" w:hint="eastAsia"/>
          <w:kern w:val="0"/>
          <w:szCs w:val="20"/>
          <w:lang w:val="en-GB"/>
        </w:rPr>
        <w:t>生产指数和采购量指数均较上月有所下滑，反应</w:t>
      </w:r>
      <w:r w:rsidR="00A24371">
        <w:rPr>
          <w:rFonts w:ascii="Arial" w:eastAsia="楷体_GB2312" w:hAnsi="Arial" w:cs="Times New Roman" w:hint="eastAsia"/>
          <w:kern w:val="0"/>
          <w:szCs w:val="20"/>
          <w:lang w:val="en-GB"/>
        </w:rPr>
        <w:t>总需求疲弱背景下，</w:t>
      </w:r>
      <w:r w:rsidR="00672EFF">
        <w:rPr>
          <w:rFonts w:ascii="Arial" w:eastAsia="楷体_GB2312" w:hAnsi="Arial" w:cs="Times New Roman" w:hint="eastAsia"/>
          <w:kern w:val="0"/>
          <w:szCs w:val="20"/>
          <w:lang w:val="en-GB"/>
        </w:rPr>
        <w:t>企业生产活动活跃度</w:t>
      </w:r>
      <w:r w:rsidR="00A24371">
        <w:rPr>
          <w:rFonts w:ascii="Arial" w:eastAsia="楷体_GB2312" w:hAnsi="Arial" w:cs="Times New Roman" w:hint="eastAsia"/>
          <w:kern w:val="0"/>
          <w:szCs w:val="20"/>
          <w:lang w:val="en-GB"/>
        </w:rPr>
        <w:t>及意愿低迷。</w:t>
      </w:r>
    </w:p>
    <w:p w:rsidR="00A24371" w:rsidRDefault="00A24371" w:rsidP="00612C11">
      <w:pPr>
        <w:widowControl/>
        <w:spacing w:after="120" w:line="240" w:lineRule="exact"/>
        <w:ind w:leftChars="1633" w:left="3429" w:firstLineChars="200" w:firstLine="420"/>
        <w:rPr>
          <w:rFonts w:ascii="Arial" w:eastAsia="楷体_GB2312" w:hAnsi="Arial" w:cs="Times New Roman"/>
          <w:kern w:val="0"/>
          <w:szCs w:val="20"/>
          <w:lang w:val="en-GB"/>
        </w:rPr>
      </w:pPr>
      <w:r>
        <w:rPr>
          <w:rFonts w:ascii="Arial" w:eastAsia="楷体_GB2312" w:hAnsi="Arial" w:cs="Times New Roman" w:hint="eastAsia"/>
          <w:kern w:val="0"/>
          <w:szCs w:val="20"/>
          <w:lang w:val="en-GB"/>
        </w:rPr>
        <w:lastRenderedPageBreak/>
        <w:t>外贸方面，</w:t>
      </w:r>
      <w:r>
        <w:rPr>
          <w:rFonts w:ascii="Arial" w:eastAsia="楷体_GB2312" w:hAnsi="Arial" w:cs="Times New Roman" w:hint="eastAsia"/>
          <w:kern w:val="0"/>
          <w:szCs w:val="20"/>
          <w:lang w:val="en-GB"/>
        </w:rPr>
        <w:t>1</w:t>
      </w:r>
      <w:r>
        <w:rPr>
          <w:rFonts w:ascii="Arial" w:eastAsia="楷体_GB2312" w:hAnsi="Arial" w:cs="Times New Roman" w:hint="eastAsia"/>
          <w:kern w:val="0"/>
          <w:szCs w:val="20"/>
          <w:lang w:val="en-GB"/>
        </w:rPr>
        <w:t>月</w:t>
      </w:r>
      <w:r w:rsidR="002A0FD1">
        <w:rPr>
          <w:rFonts w:ascii="Arial" w:eastAsia="楷体_GB2312" w:hAnsi="Arial" w:cs="Times New Roman" w:hint="eastAsia"/>
          <w:kern w:val="0"/>
          <w:szCs w:val="20"/>
          <w:lang w:val="en-GB"/>
        </w:rPr>
        <w:t>我国进出口总值为</w:t>
      </w:r>
      <w:r w:rsidR="002A0FD1">
        <w:rPr>
          <w:rFonts w:ascii="Arial" w:eastAsia="楷体_GB2312" w:hAnsi="Arial" w:cs="Times New Roman" w:hint="eastAsia"/>
          <w:kern w:val="0"/>
          <w:szCs w:val="20"/>
          <w:lang w:val="en-GB"/>
        </w:rPr>
        <w:t>2.09</w:t>
      </w:r>
      <w:r w:rsidR="002A0FD1">
        <w:rPr>
          <w:rFonts w:ascii="Arial" w:eastAsia="楷体_GB2312" w:hAnsi="Arial" w:cs="Times New Roman" w:hint="eastAsia"/>
          <w:kern w:val="0"/>
          <w:szCs w:val="20"/>
          <w:lang w:val="en-GB"/>
        </w:rPr>
        <w:t>万亿元，其中出口规模为</w:t>
      </w:r>
      <w:r w:rsidR="002A0FD1">
        <w:rPr>
          <w:rFonts w:ascii="Arial" w:eastAsia="楷体_GB2312" w:hAnsi="Arial" w:cs="Times New Roman" w:hint="eastAsia"/>
          <w:kern w:val="0"/>
          <w:szCs w:val="20"/>
          <w:lang w:val="en-GB"/>
        </w:rPr>
        <w:t>1.23</w:t>
      </w:r>
      <w:r w:rsidR="002A0FD1">
        <w:rPr>
          <w:rFonts w:ascii="Arial" w:eastAsia="楷体_GB2312" w:hAnsi="Arial" w:cs="Times New Roman" w:hint="eastAsia"/>
          <w:kern w:val="0"/>
          <w:szCs w:val="20"/>
          <w:lang w:val="en-GB"/>
        </w:rPr>
        <w:t>万亿元，同比下降</w:t>
      </w:r>
      <w:r w:rsidR="00B848B5">
        <w:rPr>
          <w:rFonts w:ascii="Arial" w:eastAsia="楷体_GB2312" w:hAnsi="Arial" w:cs="Times New Roman" w:hint="eastAsia"/>
          <w:kern w:val="0"/>
          <w:szCs w:val="20"/>
          <w:lang w:val="en-GB"/>
        </w:rPr>
        <w:t>3.2%</w:t>
      </w:r>
      <w:r w:rsidR="00B848B5">
        <w:rPr>
          <w:rFonts w:ascii="Arial" w:eastAsia="楷体_GB2312" w:hAnsi="Arial" w:cs="Times New Roman" w:hint="eastAsia"/>
          <w:kern w:val="0"/>
          <w:szCs w:val="20"/>
          <w:lang w:val="en-GB"/>
        </w:rPr>
        <w:t>；进口规模</w:t>
      </w:r>
      <w:r w:rsidR="00B848B5">
        <w:rPr>
          <w:rFonts w:ascii="Arial" w:eastAsia="楷体_GB2312" w:hAnsi="Arial" w:cs="Times New Roman" w:hint="eastAsia"/>
          <w:kern w:val="0"/>
          <w:szCs w:val="20"/>
          <w:lang w:val="en-GB"/>
        </w:rPr>
        <w:t>0.86</w:t>
      </w:r>
      <w:r w:rsidR="00B848B5">
        <w:rPr>
          <w:rFonts w:ascii="Arial" w:eastAsia="楷体_GB2312" w:hAnsi="Arial" w:cs="Times New Roman" w:hint="eastAsia"/>
          <w:kern w:val="0"/>
          <w:szCs w:val="20"/>
          <w:lang w:val="en-GB"/>
        </w:rPr>
        <w:t>万亿元，同比大幅回落</w:t>
      </w:r>
      <w:r w:rsidR="00B848B5">
        <w:rPr>
          <w:rFonts w:ascii="Arial" w:eastAsia="楷体_GB2312" w:hAnsi="Arial" w:cs="Times New Roman" w:hint="eastAsia"/>
          <w:kern w:val="0"/>
          <w:szCs w:val="20"/>
          <w:lang w:val="en-GB"/>
        </w:rPr>
        <w:t>19.7%</w:t>
      </w:r>
      <w:r w:rsidR="00B848B5">
        <w:rPr>
          <w:rFonts w:ascii="Arial" w:eastAsia="楷体_GB2312" w:hAnsi="Arial" w:cs="Times New Roman" w:hint="eastAsia"/>
          <w:kern w:val="0"/>
          <w:szCs w:val="20"/>
          <w:lang w:val="en-GB"/>
        </w:rPr>
        <w:t>；贸易顺差为</w:t>
      </w:r>
      <w:r w:rsidR="00B848B5">
        <w:rPr>
          <w:rFonts w:ascii="Arial" w:eastAsia="楷体_GB2312" w:hAnsi="Arial" w:cs="Times New Roman" w:hint="eastAsia"/>
          <w:kern w:val="0"/>
          <w:szCs w:val="20"/>
          <w:lang w:val="en-GB"/>
        </w:rPr>
        <w:t>600</w:t>
      </w:r>
      <w:r w:rsidR="00B848B5">
        <w:rPr>
          <w:rFonts w:ascii="Arial" w:eastAsia="楷体_GB2312" w:hAnsi="Arial" w:cs="Times New Roman" w:hint="eastAsia"/>
          <w:kern w:val="0"/>
          <w:szCs w:val="20"/>
          <w:lang w:val="en-GB"/>
        </w:rPr>
        <w:t>亿美元。</w:t>
      </w:r>
      <w:r w:rsidR="00B848B5">
        <w:rPr>
          <w:rFonts w:ascii="Arial" w:eastAsia="楷体_GB2312" w:hAnsi="Arial" w:cs="Times New Roman" w:hint="eastAsia"/>
          <w:kern w:val="0"/>
          <w:szCs w:val="20"/>
          <w:lang w:val="en-GB"/>
        </w:rPr>
        <w:t>1</w:t>
      </w:r>
      <w:r w:rsidR="00B848B5">
        <w:rPr>
          <w:rFonts w:ascii="Arial" w:eastAsia="楷体_GB2312" w:hAnsi="Arial" w:cs="Times New Roman" w:hint="eastAsia"/>
          <w:kern w:val="0"/>
          <w:szCs w:val="20"/>
          <w:lang w:val="en-GB"/>
        </w:rPr>
        <w:t>月进口及出口数据双降一方面由于发达经济体经济状况短期波动造成外需不稳，另一方面</w:t>
      </w:r>
      <w:r w:rsidR="00771ADE">
        <w:rPr>
          <w:rFonts w:ascii="Arial" w:eastAsia="楷体_GB2312" w:hAnsi="Arial" w:cs="Times New Roman" w:hint="eastAsia"/>
          <w:kern w:val="0"/>
          <w:szCs w:val="20"/>
          <w:lang w:val="en-GB"/>
        </w:rPr>
        <w:t>高基数、大宗商品价格回落叠加国内需求疲软造成进口数据出现明显回落。</w:t>
      </w:r>
    </w:p>
    <w:p w:rsidR="00771ADE" w:rsidRDefault="00771ADE" w:rsidP="00612C11">
      <w:pPr>
        <w:widowControl/>
        <w:spacing w:after="120" w:line="240" w:lineRule="exact"/>
        <w:ind w:leftChars="1633" w:left="3429" w:firstLineChars="200" w:firstLine="420"/>
        <w:rPr>
          <w:rFonts w:ascii="Arial" w:eastAsia="楷体_GB2312" w:hAnsi="Arial" w:cs="Times New Roman"/>
          <w:kern w:val="0"/>
          <w:szCs w:val="20"/>
          <w:lang w:val="en-GB"/>
        </w:rPr>
      </w:pPr>
      <w:r>
        <w:rPr>
          <w:rFonts w:ascii="Arial" w:eastAsia="楷体_GB2312" w:hAnsi="Arial" w:cs="Times New Roman"/>
          <w:kern w:val="0"/>
          <w:szCs w:val="20"/>
          <w:lang w:val="en-GB"/>
        </w:rPr>
        <w:t>物价方面</w:t>
      </w:r>
      <w:r>
        <w:rPr>
          <w:rFonts w:ascii="Arial" w:eastAsia="楷体_GB2312" w:hAnsi="Arial" w:cs="Times New Roman" w:hint="eastAsia"/>
          <w:kern w:val="0"/>
          <w:szCs w:val="20"/>
          <w:lang w:val="en-GB"/>
        </w:rPr>
        <w:t>，</w:t>
      </w:r>
      <w:r>
        <w:rPr>
          <w:rFonts w:ascii="Arial" w:eastAsia="楷体_GB2312" w:hAnsi="Arial" w:cs="Times New Roman" w:hint="eastAsia"/>
          <w:kern w:val="0"/>
          <w:szCs w:val="20"/>
          <w:lang w:val="en-GB"/>
        </w:rPr>
        <w:t>1</w:t>
      </w:r>
      <w:r>
        <w:rPr>
          <w:rFonts w:ascii="Arial" w:eastAsia="楷体_GB2312" w:hAnsi="Arial" w:cs="Times New Roman" w:hint="eastAsia"/>
          <w:kern w:val="0"/>
          <w:szCs w:val="20"/>
          <w:lang w:val="en-GB"/>
        </w:rPr>
        <w:t>月</w:t>
      </w:r>
      <w:r>
        <w:rPr>
          <w:rFonts w:ascii="Arial" w:eastAsia="楷体_GB2312" w:hAnsi="Arial" w:cs="Times New Roman" w:hint="eastAsia"/>
          <w:kern w:val="0"/>
          <w:szCs w:val="20"/>
          <w:lang w:val="en-GB"/>
        </w:rPr>
        <w:t>CPI</w:t>
      </w:r>
      <w:r w:rsidR="002A444C">
        <w:rPr>
          <w:rFonts w:ascii="Arial" w:eastAsia="楷体_GB2312" w:hAnsi="Arial" w:cs="Times New Roman" w:hint="eastAsia"/>
          <w:kern w:val="0"/>
          <w:szCs w:val="20"/>
          <w:lang w:val="en-GB"/>
        </w:rPr>
        <w:t>同比上涨</w:t>
      </w:r>
      <w:r w:rsidR="002A444C">
        <w:rPr>
          <w:rFonts w:ascii="Arial" w:eastAsia="楷体_GB2312" w:hAnsi="Arial" w:cs="Times New Roman" w:hint="eastAsia"/>
          <w:kern w:val="0"/>
          <w:szCs w:val="20"/>
          <w:lang w:val="en-GB"/>
        </w:rPr>
        <w:t>0.8%</w:t>
      </w:r>
      <w:r w:rsidR="002A444C">
        <w:rPr>
          <w:rFonts w:ascii="Arial" w:eastAsia="楷体_GB2312" w:hAnsi="Arial" w:cs="Times New Roman" w:hint="eastAsia"/>
          <w:kern w:val="0"/>
          <w:szCs w:val="20"/>
          <w:lang w:val="en-GB"/>
        </w:rPr>
        <w:t>，</w:t>
      </w:r>
      <w:r w:rsidR="00630629">
        <w:rPr>
          <w:rFonts w:ascii="Arial" w:eastAsia="楷体_GB2312" w:hAnsi="Arial" w:cs="Times New Roman" w:hint="eastAsia"/>
          <w:kern w:val="0"/>
          <w:szCs w:val="20"/>
          <w:lang w:val="en-GB"/>
        </w:rPr>
        <w:t>较</w:t>
      </w:r>
      <w:r w:rsidR="00630629">
        <w:rPr>
          <w:rFonts w:ascii="Arial" w:eastAsia="楷体_GB2312" w:hAnsi="Arial" w:cs="Times New Roman" w:hint="eastAsia"/>
          <w:kern w:val="0"/>
          <w:szCs w:val="20"/>
          <w:lang w:val="en-GB"/>
        </w:rPr>
        <w:t>12</w:t>
      </w:r>
      <w:r w:rsidR="00630629">
        <w:rPr>
          <w:rFonts w:ascii="Arial" w:eastAsia="楷体_GB2312" w:hAnsi="Arial" w:cs="Times New Roman" w:hint="eastAsia"/>
          <w:kern w:val="0"/>
          <w:szCs w:val="20"/>
          <w:lang w:val="en-GB"/>
        </w:rPr>
        <w:t>月回落</w:t>
      </w:r>
      <w:r w:rsidR="00630629">
        <w:rPr>
          <w:rFonts w:ascii="Arial" w:eastAsia="楷体_GB2312" w:hAnsi="Arial" w:cs="Times New Roman" w:hint="eastAsia"/>
          <w:kern w:val="0"/>
          <w:szCs w:val="20"/>
          <w:lang w:val="en-GB"/>
        </w:rPr>
        <w:t>0.7</w:t>
      </w:r>
      <w:r w:rsidR="00630629">
        <w:rPr>
          <w:rFonts w:ascii="Arial" w:eastAsia="楷体_GB2312" w:hAnsi="Arial" w:cs="Times New Roman" w:hint="eastAsia"/>
          <w:kern w:val="0"/>
          <w:szCs w:val="20"/>
          <w:lang w:val="en-GB"/>
        </w:rPr>
        <w:t>个百分点，</w:t>
      </w:r>
      <w:r w:rsidR="00B833E3">
        <w:rPr>
          <w:rFonts w:ascii="Arial" w:eastAsia="楷体_GB2312" w:hAnsi="Arial" w:cs="Times New Roman" w:hint="eastAsia"/>
          <w:kern w:val="0"/>
          <w:szCs w:val="20"/>
          <w:lang w:val="en-GB"/>
        </w:rPr>
        <w:t>创</w:t>
      </w:r>
      <w:r w:rsidR="00B833E3">
        <w:rPr>
          <w:rFonts w:ascii="Arial" w:eastAsia="楷体_GB2312" w:hAnsi="Arial" w:cs="Times New Roman" w:hint="eastAsia"/>
          <w:kern w:val="0"/>
          <w:szCs w:val="20"/>
          <w:lang w:val="en-GB"/>
        </w:rPr>
        <w:t>2009</w:t>
      </w:r>
      <w:r w:rsidR="00B833E3">
        <w:rPr>
          <w:rFonts w:ascii="Arial" w:eastAsia="楷体_GB2312" w:hAnsi="Arial" w:cs="Times New Roman" w:hint="eastAsia"/>
          <w:kern w:val="0"/>
          <w:szCs w:val="20"/>
          <w:lang w:val="en-GB"/>
        </w:rPr>
        <w:t>年</w:t>
      </w:r>
      <w:r w:rsidR="00B833E3">
        <w:rPr>
          <w:rFonts w:ascii="Arial" w:eastAsia="楷体_GB2312" w:hAnsi="Arial" w:cs="Times New Roman" w:hint="eastAsia"/>
          <w:kern w:val="0"/>
          <w:szCs w:val="20"/>
          <w:lang w:val="en-GB"/>
        </w:rPr>
        <w:t>11</w:t>
      </w:r>
      <w:r w:rsidR="00B833E3">
        <w:rPr>
          <w:rFonts w:ascii="Arial" w:eastAsia="楷体_GB2312" w:hAnsi="Arial" w:cs="Times New Roman" w:hint="eastAsia"/>
          <w:kern w:val="0"/>
          <w:szCs w:val="20"/>
          <w:lang w:val="en-GB"/>
        </w:rPr>
        <w:t>月以来新低</w:t>
      </w:r>
      <w:r w:rsidR="00CC5CF9">
        <w:rPr>
          <w:rFonts w:ascii="Arial" w:eastAsia="楷体_GB2312" w:hAnsi="Arial" w:cs="Times New Roman" w:hint="eastAsia"/>
          <w:kern w:val="0"/>
          <w:szCs w:val="20"/>
          <w:lang w:val="en-GB"/>
        </w:rPr>
        <w:t>，这其中固然有春节错位、气候</w:t>
      </w:r>
      <w:r w:rsidR="008839BC">
        <w:rPr>
          <w:rFonts w:ascii="Arial" w:eastAsia="楷体_GB2312" w:hAnsi="Arial" w:cs="Times New Roman" w:hint="eastAsia"/>
          <w:kern w:val="0"/>
          <w:szCs w:val="20"/>
          <w:lang w:val="en-GB"/>
        </w:rPr>
        <w:t>、大宗商品价格</w:t>
      </w:r>
      <w:r w:rsidR="00CC5CF9">
        <w:rPr>
          <w:rFonts w:ascii="Arial" w:eastAsia="楷体_GB2312" w:hAnsi="Arial" w:cs="Times New Roman" w:hint="eastAsia"/>
          <w:kern w:val="0"/>
          <w:szCs w:val="20"/>
          <w:lang w:val="en-GB"/>
        </w:rPr>
        <w:t>等因素作用，</w:t>
      </w:r>
      <w:r w:rsidR="00585BB2">
        <w:rPr>
          <w:rFonts w:ascii="Arial" w:eastAsia="楷体_GB2312" w:hAnsi="Arial" w:cs="Times New Roman" w:hint="eastAsia"/>
          <w:kern w:val="0"/>
          <w:szCs w:val="20"/>
          <w:lang w:val="en-GB"/>
        </w:rPr>
        <w:t>同时也应注意到</w:t>
      </w:r>
      <w:r w:rsidR="008839BC">
        <w:rPr>
          <w:rFonts w:ascii="Arial" w:eastAsia="楷体_GB2312" w:hAnsi="Arial" w:cs="Times New Roman" w:hint="eastAsia"/>
          <w:kern w:val="0"/>
          <w:szCs w:val="20"/>
          <w:lang w:val="en-GB"/>
        </w:rPr>
        <w:t>国内</w:t>
      </w:r>
      <w:r w:rsidR="007628A9">
        <w:rPr>
          <w:rFonts w:ascii="Arial" w:eastAsia="楷体_GB2312" w:hAnsi="Arial" w:cs="Times New Roman" w:hint="eastAsia"/>
          <w:kern w:val="0"/>
          <w:szCs w:val="20"/>
          <w:lang w:val="en-GB"/>
        </w:rPr>
        <w:t>需求疲软带来的负面影响，与此同时</w:t>
      </w:r>
      <w:r w:rsidR="00B833E3">
        <w:rPr>
          <w:rFonts w:ascii="Arial" w:eastAsia="楷体_GB2312" w:hAnsi="Arial" w:cs="Times New Roman" w:hint="eastAsia"/>
          <w:kern w:val="0"/>
          <w:szCs w:val="20"/>
          <w:lang w:val="en-GB"/>
        </w:rPr>
        <w:t>PPI</w:t>
      </w:r>
      <w:r w:rsidR="00B833E3">
        <w:rPr>
          <w:rFonts w:ascii="Arial" w:eastAsia="楷体_GB2312" w:hAnsi="Arial" w:cs="Times New Roman" w:hint="eastAsia"/>
          <w:kern w:val="0"/>
          <w:szCs w:val="20"/>
          <w:lang w:val="en-GB"/>
        </w:rPr>
        <w:t>同比下跌</w:t>
      </w:r>
      <w:r w:rsidR="00B833E3">
        <w:rPr>
          <w:rFonts w:ascii="Arial" w:eastAsia="楷体_GB2312" w:hAnsi="Arial" w:cs="Times New Roman" w:hint="eastAsia"/>
          <w:kern w:val="0"/>
          <w:szCs w:val="20"/>
          <w:lang w:val="en-GB"/>
        </w:rPr>
        <w:t>4.3</w:t>
      </w:r>
      <w:r w:rsidR="00630629">
        <w:rPr>
          <w:rFonts w:ascii="Arial" w:eastAsia="楷体_GB2312" w:hAnsi="Arial" w:cs="Times New Roman" w:hint="eastAsia"/>
          <w:kern w:val="0"/>
          <w:szCs w:val="20"/>
          <w:lang w:val="en-GB"/>
        </w:rPr>
        <w:t>%</w:t>
      </w:r>
      <w:r w:rsidR="00630629">
        <w:rPr>
          <w:rFonts w:ascii="Arial" w:eastAsia="楷体_GB2312" w:hAnsi="Arial" w:cs="Times New Roman" w:hint="eastAsia"/>
          <w:kern w:val="0"/>
          <w:szCs w:val="20"/>
          <w:lang w:val="en-GB"/>
        </w:rPr>
        <w:t>，跌幅较上月有所扩大。</w:t>
      </w:r>
    </w:p>
    <w:p w:rsidR="00055334" w:rsidRDefault="007628A9" w:rsidP="005E673E">
      <w:pPr>
        <w:widowControl/>
        <w:spacing w:after="120" w:line="240" w:lineRule="exact"/>
        <w:ind w:leftChars="1633" w:left="3429" w:firstLineChars="200" w:firstLine="420"/>
        <w:rPr>
          <w:rFonts w:ascii="Arial" w:eastAsia="楷体_GB2312" w:hAnsi="Arial" w:cs="Times New Roman"/>
          <w:kern w:val="0"/>
          <w:szCs w:val="20"/>
          <w:lang w:val="en-GB"/>
        </w:rPr>
      </w:pPr>
      <w:r>
        <w:rPr>
          <w:rFonts w:ascii="Arial" w:eastAsia="楷体_GB2312" w:hAnsi="Arial" w:cs="Times New Roman"/>
          <w:kern w:val="0"/>
          <w:szCs w:val="20"/>
          <w:lang w:val="en-GB"/>
        </w:rPr>
        <w:t>金融数据方面</w:t>
      </w:r>
      <w:r>
        <w:rPr>
          <w:rFonts w:ascii="Arial" w:eastAsia="楷体_GB2312" w:hAnsi="Arial" w:cs="Times New Roman" w:hint="eastAsia"/>
          <w:kern w:val="0"/>
          <w:szCs w:val="20"/>
          <w:lang w:val="en-GB"/>
        </w:rPr>
        <w:t>，</w:t>
      </w:r>
      <w:r w:rsidR="006600A4">
        <w:rPr>
          <w:rFonts w:ascii="Arial" w:eastAsia="楷体_GB2312" w:hAnsi="Arial" w:cs="Times New Roman" w:hint="eastAsia"/>
          <w:kern w:val="0"/>
          <w:szCs w:val="20"/>
          <w:lang w:val="en-GB"/>
        </w:rPr>
        <w:t>1</w:t>
      </w:r>
      <w:r w:rsidR="006600A4">
        <w:rPr>
          <w:rFonts w:ascii="Arial" w:eastAsia="楷体_GB2312" w:hAnsi="Arial" w:cs="Times New Roman" w:hint="eastAsia"/>
          <w:kern w:val="0"/>
          <w:szCs w:val="20"/>
          <w:lang w:val="en-GB"/>
        </w:rPr>
        <w:t>月新增社会融资规模</w:t>
      </w:r>
      <w:r w:rsidR="006600A4">
        <w:rPr>
          <w:rFonts w:ascii="Arial" w:eastAsia="楷体_GB2312" w:hAnsi="Arial" w:cs="Times New Roman" w:hint="eastAsia"/>
          <w:kern w:val="0"/>
          <w:szCs w:val="20"/>
          <w:lang w:val="en-GB"/>
        </w:rPr>
        <w:t>2.05</w:t>
      </w:r>
      <w:r w:rsidR="006600A4">
        <w:rPr>
          <w:rFonts w:ascii="Arial" w:eastAsia="楷体_GB2312" w:hAnsi="Arial" w:cs="Times New Roman" w:hint="eastAsia"/>
          <w:kern w:val="0"/>
          <w:szCs w:val="20"/>
          <w:lang w:val="en-GB"/>
        </w:rPr>
        <w:t>亿元，较去年同期减少</w:t>
      </w:r>
      <w:r w:rsidR="006600A4">
        <w:rPr>
          <w:rFonts w:ascii="Arial" w:eastAsia="楷体_GB2312" w:hAnsi="Arial" w:cs="Times New Roman" w:hint="eastAsia"/>
          <w:kern w:val="0"/>
          <w:szCs w:val="20"/>
          <w:lang w:val="en-GB"/>
        </w:rPr>
        <w:t>5394</w:t>
      </w:r>
      <w:r w:rsidR="006600A4">
        <w:rPr>
          <w:rFonts w:ascii="Arial" w:eastAsia="楷体_GB2312" w:hAnsi="Arial" w:cs="Times New Roman" w:hint="eastAsia"/>
          <w:kern w:val="0"/>
          <w:szCs w:val="20"/>
          <w:lang w:val="en-GB"/>
        </w:rPr>
        <w:t>亿元，</w:t>
      </w:r>
      <w:r w:rsidR="00242C21">
        <w:rPr>
          <w:rFonts w:ascii="Arial" w:eastAsia="楷体_GB2312" w:hAnsi="Arial" w:cs="Times New Roman" w:hint="eastAsia"/>
          <w:kern w:val="0"/>
          <w:szCs w:val="20"/>
          <w:lang w:val="en-GB"/>
        </w:rPr>
        <w:t>年底冲量过后</w:t>
      </w:r>
      <w:r w:rsidR="00242C21">
        <w:rPr>
          <w:rFonts w:ascii="Arial" w:eastAsia="楷体_GB2312" w:hAnsi="Arial" w:cs="Times New Roman" w:hint="eastAsia"/>
          <w:kern w:val="0"/>
          <w:szCs w:val="20"/>
          <w:lang w:val="en-GB"/>
        </w:rPr>
        <w:t>1</w:t>
      </w:r>
      <w:r w:rsidR="00242C21">
        <w:rPr>
          <w:rFonts w:ascii="Arial" w:eastAsia="楷体_GB2312" w:hAnsi="Arial" w:cs="Times New Roman" w:hint="eastAsia"/>
          <w:kern w:val="0"/>
          <w:szCs w:val="20"/>
          <w:lang w:val="en-GB"/>
        </w:rPr>
        <w:t>月表外融资出现</w:t>
      </w:r>
      <w:r w:rsidR="00FE12DC">
        <w:rPr>
          <w:rFonts w:ascii="Arial" w:eastAsia="楷体_GB2312" w:hAnsi="Arial" w:cs="Times New Roman" w:hint="eastAsia"/>
          <w:kern w:val="0"/>
          <w:szCs w:val="20"/>
          <w:lang w:val="en-GB"/>
        </w:rPr>
        <w:t>显著</w:t>
      </w:r>
      <w:r w:rsidR="00242C21">
        <w:rPr>
          <w:rFonts w:ascii="Arial" w:eastAsia="楷体_GB2312" w:hAnsi="Arial" w:cs="Times New Roman" w:hint="eastAsia"/>
          <w:kern w:val="0"/>
          <w:szCs w:val="20"/>
          <w:lang w:val="en-GB"/>
        </w:rPr>
        <w:t>回落，</w:t>
      </w:r>
      <w:r w:rsidR="005F5C94">
        <w:rPr>
          <w:rFonts w:ascii="Arial" w:eastAsia="楷体_GB2312" w:hAnsi="Arial" w:cs="Times New Roman" w:hint="eastAsia"/>
          <w:kern w:val="0"/>
          <w:szCs w:val="20"/>
          <w:lang w:val="en-GB"/>
        </w:rPr>
        <w:t>成为主要拖累因素。</w:t>
      </w:r>
      <w:r w:rsidR="00424F1D">
        <w:rPr>
          <w:rFonts w:ascii="Arial" w:eastAsia="楷体_GB2312" w:hAnsi="Arial" w:cs="Times New Roman" w:hint="eastAsia"/>
          <w:kern w:val="0"/>
          <w:szCs w:val="20"/>
          <w:lang w:val="en-GB"/>
        </w:rPr>
        <w:t>其中委托贷款、信托贷款</w:t>
      </w:r>
      <w:r w:rsidR="00242C21">
        <w:rPr>
          <w:rFonts w:ascii="Arial" w:eastAsia="楷体_GB2312" w:hAnsi="Arial" w:cs="Times New Roman" w:hint="eastAsia"/>
          <w:kern w:val="0"/>
          <w:szCs w:val="20"/>
          <w:lang w:val="en-GB"/>
        </w:rPr>
        <w:t>同比分别少增</w:t>
      </w:r>
      <w:r w:rsidR="00253B6D">
        <w:rPr>
          <w:rFonts w:ascii="Arial" w:eastAsia="楷体_GB2312" w:hAnsi="Arial" w:cs="Times New Roman" w:hint="eastAsia"/>
          <w:kern w:val="0"/>
          <w:szCs w:val="20"/>
          <w:lang w:val="en-GB"/>
        </w:rPr>
        <w:t>3167</w:t>
      </w:r>
      <w:r w:rsidR="00253B6D">
        <w:rPr>
          <w:rFonts w:ascii="Arial" w:eastAsia="楷体_GB2312" w:hAnsi="Arial" w:cs="Times New Roman" w:hint="eastAsia"/>
          <w:kern w:val="0"/>
          <w:szCs w:val="20"/>
          <w:lang w:val="en-GB"/>
        </w:rPr>
        <w:t>亿元、</w:t>
      </w:r>
      <w:r w:rsidR="00253B6D">
        <w:rPr>
          <w:rFonts w:ascii="Arial" w:eastAsia="楷体_GB2312" w:hAnsi="Arial" w:cs="Times New Roman" w:hint="eastAsia"/>
          <w:kern w:val="0"/>
          <w:szCs w:val="20"/>
          <w:lang w:val="en-GB"/>
        </w:rPr>
        <w:t>1007</w:t>
      </w:r>
      <w:r w:rsidR="00253B6D">
        <w:rPr>
          <w:rFonts w:ascii="Arial" w:eastAsia="楷体_GB2312" w:hAnsi="Arial" w:cs="Times New Roman" w:hint="eastAsia"/>
          <w:kern w:val="0"/>
          <w:szCs w:val="20"/>
          <w:lang w:val="en-GB"/>
        </w:rPr>
        <w:t>亿元，未贴现银行承兑会标同比少增</w:t>
      </w:r>
      <w:r w:rsidR="00253B6D">
        <w:rPr>
          <w:rFonts w:ascii="Arial" w:eastAsia="楷体_GB2312" w:hAnsi="Arial" w:cs="Times New Roman" w:hint="eastAsia"/>
          <w:kern w:val="0"/>
          <w:szCs w:val="20"/>
          <w:lang w:val="en-GB"/>
        </w:rPr>
        <w:t>2952</w:t>
      </w:r>
      <w:r w:rsidR="00253B6D">
        <w:rPr>
          <w:rFonts w:ascii="Arial" w:eastAsia="楷体_GB2312" w:hAnsi="Arial" w:cs="Times New Roman" w:hint="eastAsia"/>
          <w:kern w:val="0"/>
          <w:szCs w:val="20"/>
          <w:lang w:val="en-GB"/>
        </w:rPr>
        <w:t>亿元</w:t>
      </w:r>
      <w:r w:rsidR="00FE12DC">
        <w:rPr>
          <w:rFonts w:ascii="Arial" w:eastAsia="楷体_GB2312" w:hAnsi="Arial" w:cs="Times New Roman" w:hint="eastAsia"/>
          <w:kern w:val="0"/>
          <w:szCs w:val="20"/>
          <w:lang w:val="en-GB"/>
        </w:rPr>
        <w:t>。贷款方面</w:t>
      </w:r>
      <w:r w:rsidR="005F5C94">
        <w:rPr>
          <w:rFonts w:ascii="Arial" w:eastAsia="楷体_GB2312" w:hAnsi="Arial" w:cs="Times New Roman" w:hint="eastAsia"/>
          <w:kern w:val="0"/>
          <w:szCs w:val="20"/>
          <w:lang w:val="en-GB"/>
        </w:rPr>
        <w:t>，受益基建拉动及地产销售改善，企业及居民中长期贷款回升，同比分别多增</w:t>
      </w:r>
      <w:r w:rsidR="005F5C94">
        <w:rPr>
          <w:rFonts w:ascii="Arial" w:eastAsia="楷体_GB2312" w:hAnsi="Arial" w:cs="Times New Roman" w:hint="eastAsia"/>
          <w:kern w:val="0"/>
          <w:szCs w:val="20"/>
          <w:lang w:val="en-GB"/>
        </w:rPr>
        <w:t>1079</w:t>
      </w:r>
      <w:r w:rsidR="005F5C94">
        <w:rPr>
          <w:rFonts w:ascii="Arial" w:eastAsia="楷体_GB2312" w:hAnsi="Arial" w:cs="Times New Roman" w:hint="eastAsia"/>
          <w:kern w:val="0"/>
          <w:szCs w:val="20"/>
          <w:lang w:val="en-GB"/>
        </w:rPr>
        <w:t>亿元和</w:t>
      </w:r>
      <w:r w:rsidR="005F5C94">
        <w:rPr>
          <w:rFonts w:ascii="Arial" w:eastAsia="楷体_GB2312" w:hAnsi="Arial" w:cs="Times New Roman" w:hint="eastAsia"/>
          <w:kern w:val="0"/>
          <w:szCs w:val="20"/>
          <w:lang w:val="en-GB"/>
        </w:rPr>
        <w:t>173</w:t>
      </w:r>
      <w:r w:rsidR="005F5C94">
        <w:rPr>
          <w:rFonts w:ascii="Arial" w:eastAsia="楷体_GB2312" w:hAnsi="Arial" w:cs="Times New Roman" w:hint="eastAsia"/>
          <w:kern w:val="0"/>
          <w:szCs w:val="20"/>
          <w:lang w:val="en-GB"/>
        </w:rPr>
        <w:t>亿元，而反应消费和企业活跃度的短期贷款则出现同比少增。与此同时</w:t>
      </w:r>
      <w:r w:rsidR="005F5C94">
        <w:rPr>
          <w:rFonts w:ascii="Arial" w:eastAsia="楷体_GB2312" w:hAnsi="Arial" w:cs="Times New Roman" w:hint="eastAsia"/>
          <w:kern w:val="0"/>
          <w:szCs w:val="20"/>
          <w:lang w:val="en-GB"/>
        </w:rPr>
        <w:t>M2</w:t>
      </w:r>
      <w:r w:rsidR="005F5C94">
        <w:rPr>
          <w:rFonts w:ascii="Arial" w:eastAsia="楷体_GB2312" w:hAnsi="Arial" w:cs="Times New Roman" w:hint="eastAsia"/>
          <w:kern w:val="0"/>
          <w:szCs w:val="20"/>
          <w:lang w:val="en-GB"/>
        </w:rPr>
        <w:t>增速大幅下滑至</w:t>
      </w:r>
      <w:r w:rsidR="00F86582">
        <w:rPr>
          <w:rFonts w:ascii="Arial" w:eastAsia="楷体_GB2312" w:hAnsi="Arial" w:cs="Times New Roman" w:hint="eastAsia"/>
          <w:kern w:val="0"/>
          <w:szCs w:val="20"/>
          <w:lang w:val="en-GB"/>
        </w:rPr>
        <w:t>10.8%</w:t>
      </w:r>
      <w:r w:rsidR="00F86582">
        <w:rPr>
          <w:rFonts w:ascii="Arial" w:eastAsia="楷体_GB2312" w:hAnsi="Arial" w:cs="Times New Roman" w:hint="eastAsia"/>
          <w:kern w:val="0"/>
          <w:szCs w:val="20"/>
          <w:lang w:val="en-GB"/>
        </w:rPr>
        <w:t>，增速创历史新低，</w:t>
      </w:r>
      <w:r w:rsidR="00055334">
        <w:rPr>
          <w:rFonts w:ascii="Arial" w:eastAsia="楷体_GB2312" w:hAnsi="Arial" w:cs="Times New Roman" w:hint="eastAsia"/>
          <w:kern w:val="0"/>
          <w:szCs w:val="20"/>
          <w:lang w:val="en-GB"/>
        </w:rPr>
        <w:t>除外汇占款、同业存款减少等影响外，也折射出经济低迷带来的信用创造能力的疲软。</w:t>
      </w:r>
    </w:p>
    <w:p w:rsidR="000B5690" w:rsidRPr="007628A9" w:rsidRDefault="00B258AC" w:rsidP="000B5690">
      <w:pPr>
        <w:widowControl/>
        <w:spacing w:after="120" w:line="240" w:lineRule="exact"/>
        <w:ind w:firstLineChars="1652" w:firstLine="3483"/>
        <w:rPr>
          <w:rFonts w:ascii="Arial" w:eastAsia="楷体_GB2312" w:hAnsi="Arial" w:cs="Times New Roman"/>
          <w:kern w:val="0"/>
          <w:szCs w:val="20"/>
          <w:lang w:val="en-GB"/>
        </w:rPr>
      </w:pPr>
      <w:r>
        <w:rPr>
          <w:rFonts w:ascii="Arial" w:eastAsia="楷体_GB2312" w:hAnsi="Arial" w:cs="Times New Roman" w:hint="eastAsia"/>
          <w:b/>
          <w:bCs/>
          <w:color w:val="0070C0"/>
          <w:kern w:val="0"/>
          <w:szCs w:val="21"/>
          <w:lang w:val="en-GB"/>
        </w:rPr>
        <w:t>降准</w:t>
      </w:r>
      <w:r w:rsidR="000B5690">
        <w:rPr>
          <w:rFonts w:ascii="Arial" w:eastAsia="楷体_GB2312" w:hAnsi="Arial" w:cs="Times New Roman" w:hint="eastAsia"/>
          <w:b/>
          <w:bCs/>
          <w:color w:val="0070C0"/>
          <w:kern w:val="0"/>
          <w:szCs w:val="21"/>
          <w:lang w:val="en-GB"/>
        </w:rPr>
        <w:t>降息如期而至，宽松格局延续</w:t>
      </w:r>
    </w:p>
    <w:p w:rsidR="000345A1" w:rsidRDefault="000345A1" w:rsidP="00612C11">
      <w:pPr>
        <w:widowControl/>
        <w:spacing w:after="120" w:line="240" w:lineRule="exact"/>
        <w:ind w:leftChars="1633" w:left="3429" w:firstLineChars="200" w:firstLine="420"/>
        <w:rPr>
          <w:rFonts w:ascii="Arial" w:eastAsia="楷体_GB2312" w:hAnsi="Arial" w:cs="Times New Roman"/>
          <w:kern w:val="0"/>
          <w:szCs w:val="20"/>
          <w:lang w:val="en-GB"/>
        </w:rPr>
      </w:pPr>
      <w:r>
        <w:rPr>
          <w:rFonts w:ascii="Arial" w:eastAsia="楷体_GB2312" w:hAnsi="Arial" w:cs="Times New Roman" w:hint="eastAsia"/>
          <w:kern w:val="0"/>
          <w:szCs w:val="20"/>
          <w:lang w:val="en-GB"/>
        </w:rPr>
        <w:t>在</w:t>
      </w:r>
      <w:r w:rsidR="00B258AC">
        <w:rPr>
          <w:rFonts w:ascii="Arial" w:eastAsia="楷体_GB2312" w:hAnsi="Arial" w:cs="Times New Roman" w:hint="eastAsia"/>
          <w:kern w:val="0"/>
          <w:szCs w:val="20"/>
          <w:lang w:val="en-GB"/>
        </w:rPr>
        <w:t>实体经济</w:t>
      </w:r>
      <w:r>
        <w:rPr>
          <w:rFonts w:ascii="Arial" w:eastAsia="楷体_GB2312" w:hAnsi="Arial" w:cs="Times New Roman" w:hint="eastAsia"/>
          <w:kern w:val="0"/>
          <w:szCs w:val="20"/>
          <w:lang w:val="en-GB"/>
        </w:rPr>
        <w:t>表现</w:t>
      </w:r>
      <w:r w:rsidR="00B258AC">
        <w:rPr>
          <w:rFonts w:ascii="Arial" w:eastAsia="楷体_GB2312" w:hAnsi="Arial" w:cs="Times New Roman" w:hint="eastAsia"/>
          <w:kern w:val="0"/>
          <w:szCs w:val="20"/>
          <w:lang w:val="en-GB"/>
        </w:rPr>
        <w:t>疲弱、外汇占款</w:t>
      </w:r>
      <w:r>
        <w:rPr>
          <w:rFonts w:ascii="Arial" w:eastAsia="楷体_GB2312" w:hAnsi="Arial" w:cs="Times New Roman" w:hint="eastAsia"/>
          <w:kern w:val="0"/>
          <w:szCs w:val="20"/>
          <w:lang w:val="en-GB"/>
        </w:rPr>
        <w:t>减少、</w:t>
      </w:r>
      <w:r w:rsidR="00B258AC">
        <w:rPr>
          <w:rFonts w:ascii="Arial" w:eastAsia="楷体_GB2312" w:hAnsi="Arial" w:cs="Times New Roman" w:hint="eastAsia"/>
          <w:kern w:val="0"/>
          <w:szCs w:val="20"/>
          <w:lang w:val="en-GB"/>
        </w:rPr>
        <w:t>通缩压力增大</w:t>
      </w:r>
      <w:r>
        <w:rPr>
          <w:rFonts w:ascii="Arial" w:eastAsia="楷体_GB2312" w:hAnsi="Arial" w:cs="Times New Roman" w:hint="eastAsia"/>
          <w:kern w:val="0"/>
          <w:szCs w:val="20"/>
          <w:lang w:val="en-GB"/>
        </w:rPr>
        <w:t>的背景下，货币宽松预期再度升温。</w:t>
      </w:r>
      <w:r w:rsidR="00B258AC" w:rsidRPr="00B258AC">
        <w:rPr>
          <w:rFonts w:ascii="Arial" w:eastAsia="楷体_GB2312" w:hAnsi="Arial" w:cs="Times New Roman" w:hint="eastAsia"/>
          <w:kern w:val="0"/>
          <w:szCs w:val="20"/>
          <w:lang w:val="en-GB"/>
        </w:rPr>
        <w:t>2</w:t>
      </w:r>
      <w:r w:rsidR="00B258AC" w:rsidRPr="00B258AC">
        <w:rPr>
          <w:rFonts w:ascii="Arial" w:eastAsia="楷体_GB2312" w:hAnsi="Arial" w:cs="Times New Roman" w:hint="eastAsia"/>
          <w:kern w:val="0"/>
          <w:szCs w:val="20"/>
          <w:lang w:val="en-GB"/>
        </w:rPr>
        <w:t>月</w:t>
      </w:r>
      <w:r w:rsidR="00B258AC" w:rsidRPr="00B258AC">
        <w:rPr>
          <w:rFonts w:ascii="Arial" w:eastAsia="楷体_GB2312" w:hAnsi="Arial" w:cs="Times New Roman" w:hint="eastAsia"/>
          <w:kern w:val="0"/>
          <w:szCs w:val="20"/>
          <w:lang w:val="en-GB"/>
        </w:rPr>
        <w:t>4</w:t>
      </w:r>
      <w:r w:rsidR="00B258AC" w:rsidRPr="00B258AC">
        <w:rPr>
          <w:rFonts w:ascii="Arial" w:eastAsia="楷体_GB2312" w:hAnsi="Arial" w:cs="Times New Roman" w:hint="eastAsia"/>
          <w:kern w:val="0"/>
          <w:szCs w:val="20"/>
          <w:lang w:val="en-GB"/>
        </w:rPr>
        <w:t>日，中国人民银行发布通知，决定自</w:t>
      </w:r>
      <w:r w:rsidR="00B258AC" w:rsidRPr="00B258AC">
        <w:rPr>
          <w:rFonts w:ascii="Arial" w:eastAsia="楷体_GB2312" w:hAnsi="Arial" w:cs="Times New Roman" w:hint="eastAsia"/>
          <w:kern w:val="0"/>
          <w:szCs w:val="20"/>
          <w:lang w:val="en-GB"/>
        </w:rPr>
        <w:t>2015</w:t>
      </w:r>
      <w:r w:rsidR="00B258AC" w:rsidRPr="00B258AC">
        <w:rPr>
          <w:rFonts w:ascii="Arial" w:eastAsia="楷体_GB2312" w:hAnsi="Arial" w:cs="Times New Roman" w:hint="eastAsia"/>
          <w:kern w:val="0"/>
          <w:szCs w:val="20"/>
          <w:lang w:val="en-GB"/>
        </w:rPr>
        <w:t>年</w:t>
      </w:r>
      <w:r w:rsidR="00B258AC" w:rsidRPr="00B258AC">
        <w:rPr>
          <w:rFonts w:ascii="Arial" w:eastAsia="楷体_GB2312" w:hAnsi="Arial" w:cs="Times New Roman" w:hint="eastAsia"/>
          <w:kern w:val="0"/>
          <w:szCs w:val="20"/>
          <w:lang w:val="en-GB"/>
        </w:rPr>
        <w:t>2</w:t>
      </w:r>
      <w:r w:rsidR="00B258AC" w:rsidRPr="00B258AC">
        <w:rPr>
          <w:rFonts w:ascii="Arial" w:eastAsia="楷体_GB2312" w:hAnsi="Arial" w:cs="Times New Roman" w:hint="eastAsia"/>
          <w:kern w:val="0"/>
          <w:szCs w:val="20"/>
          <w:lang w:val="en-GB"/>
        </w:rPr>
        <w:t>月</w:t>
      </w:r>
      <w:r w:rsidR="00B258AC" w:rsidRPr="00B258AC">
        <w:rPr>
          <w:rFonts w:ascii="Arial" w:eastAsia="楷体_GB2312" w:hAnsi="Arial" w:cs="Times New Roman" w:hint="eastAsia"/>
          <w:kern w:val="0"/>
          <w:szCs w:val="20"/>
          <w:lang w:val="en-GB"/>
        </w:rPr>
        <w:t>5</w:t>
      </w:r>
      <w:r w:rsidR="00B258AC" w:rsidRPr="00B258AC">
        <w:rPr>
          <w:rFonts w:ascii="Arial" w:eastAsia="楷体_GB2312" w:hAnsi="Arial" w:cs="Times New Roman" w:hint="eastAsia"/>
          <w:kern w:val="0"/>
          <w:szCs w:val="20"/>
          <w:lang w:val="en-GB"/>
        </w:rPr>
        <w:t>日起下调金融机构人民币存款准备金率</w:t>
      </w:r>
      <w:r w:rsidR="00B258AC" w:rsidRPr="00B258AC">
        <w:rPr>
          <w:rFonts w:ascii="Arial" w:eastAsia="楷体_GB2312" w:hAnsi="Arial" w:cs="Times New Roman" w:hint="eastAsia"/>
          <w:kern w:val="0"/>
          <w:szCs w:val="20"/>
          <w:lang w:val="en-GB"/>
        </w:rPr>
        <w:t>0.5</w:t>
      </w:r>
      <w:r w:rsidR="00B258AC" w:rsidRPr="00B258AC">
        <w:rPr>
          <w:rFonts w:ascii="Arial" w:eastAsia="楷体_GB2312" w:hAnsi="Arial" w:cs="Times New Roman" w:hint="eastAsia"/>
          <w:kern w:val="0"/>
          <w:szCs w:val="20"/>
          <w:lang w:val="en-GB"/>
        </w:rPr>
        <w:t>个百分点。同时，对小微企业贷款占比达到定向降准标准的城市商业银行、非县域农村商业银行额外降低人民币存款准备金率</w:t>
      </w:r>
      <w:r w:rsidR="00B258AC" w:rsidRPr="00B258AC">
        <w:rPr>
          <w:rFonts w:ascii="Arial" w:eastAsia="楷体_GB2312" w:hAnsi="Arial" w:cs="Times New Roman" w:hint="eastAsia"/>
          <w:kern w:val="0"/>
          <w:szCs w:val="20"/>
          <w:lang w:val="en-GB"/>
        </w:rPr>
        <w:t>0.5</w:t>
      </w:r>
      <w:r w:rsidR="00B258AC" w:rsidRPr="00B258AC">
        <w:rPr>
          <w:rFonts w:ascii="Arial" w:eastAsia="楷体_GB2312" w:hAnsi="Arial" w:cs="Times New Roman" w:hint="eastAsia"/>
          <w:kern w:val="0"/>
          <w:szCs w:val="20"/>
          <w:lang w:val="en-GB"/>
        </w:rPr>
        <w:t>个百分点，对中国农业发展银行额外降低人民币存款准备金率</w:t>
      </w:r>
      <w:r w:rsidR="00B258AC" w:rsidRPr="00B258AC">
        <w:rPr>
          <w:rFonts w:ascii="Arial" w:eastAsia="楷体_GB2312" w:hAnsi="Arial" w:cs="Times New Roman" w:hint="eastAsia"/>
          <w:kern w:val="0"/>
          <w:szCs w:val="20"/>
          <w:lang w:val="en-GB"/>
        </w:rPr>
        <w:t>4</w:t>
      </w:r>
      <w:r>
        <w:rPr>
          <w:rFonts w:ascii="Arial" w:eastAsia="楷体_GB2312" w:hAnsi="Arial" w:cs="Times New Roman" w:hint="eastAsia"/>
          <w:kern w:val="0"/>
          <w:szCs w:val="20"/>
          <w:lang w:val="en-GB"/>
        </w:rPr>
        <w:t>个百分点，此次降准释放约</w:t>
      </w:r>
      <w:r w:rsidR="00B258AC" w:rsidRPr="00B258AC">
        <w:rPr>
          <w:rFonts w:ascii="Arial" w:eastAsia="楷体_GB2312" w:hAnsi="Arial" w:cs="Times New Roman" w:hint="eastAsia"/>
          <w:kern w:val="0"/>
          <w:szCs w:val="20"/>
          <w:lang w:val="en-GB"/>
        </w:rPr>
        <w:t>6000-7000</w:t>
      </w:r>
      <w:r w:rsidR="00B258AC" w:rsidRPr="00B258AC">
        <w:rPr>
          <w:rFonts w:ascii="Arial" w:eastAsia="楷体_GB2312" w:hAnsi="Arial" w:cs="Times New Roman" w:hint="eastAsia"/>
          <w:kern w:val="0"/>
          <w:szCs w:val="20"/>
          <w:lang w:val="en-GB"/>
        </w:rPr>
        <w:t>亿元</w:t>
      </w:r>
      <w:r>
        <w:rPr>
          <w:rFonts w:ascii="Arial" w:eastAsia="楷体_GB2312" w:hAnsi="Arial" w:cs="Times New Roman" w:hint="eastAsia"/>
          <w:kern w:val="0"/>
          <w:szCs w:val="20"/>
          <w:lang w:val="en-GB"/>
        </w:rPr>
        <w:t>流动性。</w:t>
      </w:r>
      <w:r>
        <w:rPr>
          <w:rFonts w:ascii="Arial" w:eastAsia="楷体_GB2312" w:hAnsi="Arial" w:cs="Times New Roman" w:hint="eastAsia"/>
          <w:kern w:val="0"/>
          <w:szCs w:val="20"/>
          <w:lang w:val="en-GB"/>
        </w:rPr>
        <w:t>2</w:t>
      </w:r>
      <w:r>
        <w:rPr>
          <w:rFonts w:ascii="Arial" w:eastAsia="楷体_GB2312" w:hAnsi="Arial" w:cs="Times New Roman" w:hint="eastAsia"/>
          <w:kern w:val="0"/>
          <w:szCs w:val="20"/>
          <w:lang w:val="en-GB"/>
        </w:rPr>
        <w:t>月</w:t>
      </w:r>
      <w:r>
        <w:rPr>
          <w:rFonts w:ascii="Arial" w:eastAsia="楷体_GB2312" w:hAnsi="Arial" w:cs="Times New Roman" w:hint="eastAsia"/>
          <w:kern w:val="0"/>
          <w:szCs w:val="20"/>
          <w:lang w:val="en-GB"/>
        </w:rPr>
        <w:t>28</w:t>
      </w:r>
      <w:r>
        <w:rPr>
          <w:rFonts w:ascii="Arial" w:eastAsia="楷体_GB2312" w:hAnsi="Arial" w:cs="Times New Roman" w:hint="eastAsia"/>
          <w:kern w:val="0"/>
          <w:szCs w:val="20"/>
          <w:lang w:val="en-GB"/>
        </w:rPr>
        <w:t>日，央行再度宣布</w:t>
      </w:r>
      <w:r w:rsidRPr="000345A1">
        <w:rPr>
          <w:rFonts w:ascii="Arial" w:eastAsia="楷体_GB2312" w:hAnsi="Arial" w:cs="Times New Roman" w:hint="eastAsia"/>
          <w:kern w:val="0"/>
          <w:szCs w:val="20"/>
          <w:lang w:val="en-GB"/>
        </w:rPr>
        <w:t>自</w:t>
      </w:r>
      <w:r w:rsidRPr="000345A1">
        <w:rPr>
          <w:rFonts w:ascii="Arial" w:eastAsia="楷体_GB2312" w:hAnsi="Arial" w:cs="Times New Roman" w:hint="eastAsia"/>
          <w:kern w:val="0"/>
          <w:szCs w:val="20"/>
          <w:lang w:val="en-GB"/>
        </w:rPr>
        <w:t>2015</w:t>
      </w:r>
      <w:r w:rsidRPr="000345A1">
        <w:rPr>
          <w:rFonts w:ascii="Arial" w:eastAsia="楷体_GB2312" w:hAnsi="Arial" w:cs="Times New Roman" w:hint="eastAsia"/>
          <w:kern w:val="0"/>
          <w:szCs w:val="20"/>
          <w:lang w:val="en-GB"/>
        </w:rPr>
        <w:t>年</w:t>
      </w:r>
      <w:r w:rsidRPr="000345A1">
        <w:rPr>
          <w:rFonts w:ascii="Arial" w:eastAsia="楷体_GB2312" w:hAnsi="Arial" w:cs="Times New Roman" w:hint="eastAsia"/>
          <w:kern w:val="0"/>
          <w:szCs w:val="20"/>
          <w:lang w:val="en-GB"/>
        </w:rPr>
        <w:t>3</w:t>
      </w:r>
      <w:r w:rsidRPr="000345A1">
        <w:rPr>
          <w:rFonts w:ascii="Arial" w:eastAsia="楷体_GB2312" w:hAnsi="Arial" w:cs="Times New Roman" w:hint="eastAsia"/>
          <w:kern w:val="0"/>
          <w:szCs w:val="20"/>
          <w:lang w:val="en-GB"/>
        </w:rPr>
        <w:t>月</w:t>
      </w:r>
      <w:r w:rsidRPr="000345A1">
        <w:rPr>
          <w:rFonts w:ascii="Arial" w:eastAsia="楷体_GB2312" w:hAnsi="Arial" w:cs="Times New Roman" w:hint="eastAsia"/>
          <w:kern w:val="0"/>
          <w:szCs w:val="20"/>
          <w:lang w:val="en-GB"/>
        </w:rPr>
        <w:t>1</w:t>
      </w:r>
      <w:r w:rsidRPr="000345A1">
        <w:rPr>
          <w:rFonts w:ascii="Arial" w:eastAsia="楷体_GB2312" w:hAnsi="Arial" w:cs="Times New Roman" w:hint="eastAsia"/>
          <w:kern w:val="0"/>
          <w:szCs w:val="20"/>
          <w:lang w:val="en-GB"/>
        </w:rPr>
        <w:t>日起下调金融机构人民币贷款和存款基准利率。金融机构一年期贷款基准利率下调</w:t>
      </w:r>
      <w:r w:rsidRPr="000345A1">
        <w:rPr>
          <w:rFonts w:ascii="Arial" w:eastAsia="楷体_GB2312" w:hAnsi="Arial" w:cs="Times New Roman" w:hint="eastAsia"/>
          <w:kern w:val="0"/>
          <w:szCs w:val="20"/>
          <w:lang w:val="en-GB"/>
        </w:rPr>
        <w:t>0.25</w:t>
      </w:r>
      <w:r w:rsidRPr="000345A1">
        <w:rPr>
          <w:rFonts w:ascii="Arial" w:eastAsia="楷体_GB2312" w:hAnsi="Arial" w:cs="Times New Roman" w:hint="eastAsia"/>
          <w:kern w:val="0"/>
          <w:szCs w:val="20"/>
          <w:lang w:val="en-GB"/>
        </w:rPr>
        <w:t>个百分点至</w:t>
      </w:r>
      <w:r w:rsidRPr="000345A1">
        <w:rPr>
          <w:rFonts w:ascii="Arial" w:eastAsia="楷体_GB2312" w:hAnsi="Arial" w:cs="Times New Roman" w:hint="eastAsia"/>
          <w:kern w:val="0"/>
          <w:szCs w:val="20"/>
          <w:lang w:val="en-GB"/>
        </w:rPr>
        <w:t>5.35%</w:t>
      </w:r>
      <w:r w:rsidRPr="000345A1">
        <w:rPr>
          <w:rFonts w:ascii="Arial" w:eastAsia="楷体_GB2312" w:hAnsi="Arial" w:cs="Times New Roman" w:hint="eastAsia"/>
          <w:kern w:val="0"/>
          <w:szCs w:val="20"/>
          <w:lang w:val="en-GB"/>
        </w:rPr>
        <w:t>；一年期存款基准利率下调</w:t>
      </w:r>
      <w:r w:rsidRPr="000345A1">
        <w:rPr>
          <w:rFonts w:ascii="Arial" w:eastAsia="楷体_GB2312" w:hAnsi="Arial" w:cs="Times New Roman" w:hint="eastAsia"/>
          <w:kern w:val="0"/>
          <w:szCs w:val="20"/>
          <w:lang w:val="en-GB"/>
        </w:rPr>
        <w:t>0.25</w:t>
      </w:r>
      <w:r w:rsidRPr="000345A1">
        <w:rPr>
          <w:rFonts w:ascii="Arial" w:eastAsia="楷体_GB2312" w:hAnsi="Arial" w:cs="Times New Roman" w:hint="eastAsia"/>
          <w:kern w:val="0"/>
          <w:szCs w:val="20"/>
          <w:lang w:val="en-GB"/>
        </w:rPr>
        <w:t>个百分点至</w:t>
      </w:r>
      <w:r w:rsidRPr="000345A1">
        <w:rPr>
          <w:rFonts w:ascii="Arial" w:eastAsia="楷体_GB2312" w:hAnsi="Arial" w:cs="Times New Roman" w:hint="eastAsia"/>
          <w:kern w:val="0"/>
          <w:szCs w:val="20"/>
          <w:lang w:val="en-GB"/>
        </w:rPr>
        <w:t>2.5%</w:t>
      </w:r>
      <w:r w:rsidRPr="000345A1">
        <w:rPr>
          <w:rFonts w:ascii="Arial" w:eastAsia="楷体_GB2312" w:hAnsi="Arial" w:cs="Times New Roman" w:hint="eastAsia"/>
          <w:kern w:val="0"/>
          <w:szCs w:val="20"/>
          <w:lang w:val="en-GB"/>
        </w:rPr>
        <w:t>，同时将金融机构存款利率浮动区间的上限由存款基准利率的</w:t>
      </w:r>
      <w:r w:rsidRPr="000345A1">
        <w:rPr>
          <w:rFonts w:ascii="Arial" w:eastAsia="楷体_GB2312" w:hAnsi="Arial" w:cs="Times New Roman" w:hint="eastAsia"/>
          <w:kern w:val="0"/>
          <w:szCs w:val="20"/>
          <w:lang w:val="en-GB"/>
        </w:rPr>
        <w:t>1.2</w:t>
      </w:r>
      <w:r w:rsidRPr="000345A1">
        <w:rPr>
          <w:rFonts w:ascii="Arial" w:eastAsia="楷体_GB2312" w:hAnsi="Arial" w:cs="Times New Roman" w:hint="eastAsia"/>
          <w:kern w:val="0"/>
          <w:szCs w:val="20"/>
          <w:lang w:val="en-GB"/>
        </w:rPr>
        <w:t>倍调整为</w:t>
      </w:r>
      <w:r w:rsidRPr="000345A1">
        <w:rPr>
          <w:rFonts w:ascii="Arial" w:eastAsia="楷体_GB2312" w:hAnsi="Arial" w:cs="Times New Roman" w:hint="eastAsia"/>
          <w:kern w:val="0"/>
          <w:szCs w:val="20"/>
          <w:lang w:val="en-GB"/>
        </w:rPr>
        <w:t>1.3</w:t>
      </w:r>
      <w:r w:rsidRPr="000345A1">
        <w:rPr>
          <w:rFonts w:ascii="Arial" w:eastAsia="楷体_GB2312" w:hAnsi="Arial" w:cs="Times New Roman" w:hint="eastAsia"/>
          <w:kern w:val="0"/>
          <w:szCs w:val="20"/>
          <w:lang w:val="en-GB"/>
        </w:rPr>
        <w:t>倍。</w:t>
      </w:r>
      <w:r w:rsidR="009E409C">
        <w:rPr>
          <w:rFonts w:ascii="Arial" w:eastAsia="楷体_GB2312" w:hAnsi="Arial" w:cs="Times New Roman" w:hint="eastAsia"/>
          <w:kern w:val="0"/>
          <w:szCs w:val="20"/>
          <w:lang w:val="en-GB"/>
        </w:rPr>
        <w:t>降准</w:t>
      </w:r>
      <w:r w:rsidR="009E409C">
        <w:rPr>
          <w:rFonts w:ascii="Arial" w:eastAsia="楷体_GB2312" w:hAnsi="Arial" w:cs="Times New Roman" w:hint="eastAsia"/>
          <w:kern w:val="0"/>
          <w:szCs w:val="20"/>
          <w:lang w:val="en-GB"/>
        </w:rPr>
        <w:t>+</w:t>
      </w:r>
      <w:r w:rsidR="009E409C">
        <w:rPr>
          <w:rFonts w:ascii="Arial" w:eastAsia="楷体_GB2312" w:hAnsi="Arial" w:cs="Times New Roman" w:hint="eastAsia"/>
          <w:kern w:val="0"/>
          <w:szCs w:val="20"/>
          <w:lang w:val="en-GB"/>
        </w:rPr>
        <w:t>降息组合政策的出台</w:t>
      </w:r>
      <w:r w:rsidR="0053325F">
        <w:rPr>
          <w:rFonts w:ascii="Arial" w:eastAsia="楷体_GB2312" w:hAnsi="Arial" w:cs="Times New Roman" w:hint="eastAsia"/>
          <w:kern w:val="0"/>
          <w:szCs w:val="20"/>
          <w:lang w:val="en-GB"/>
        </w:rPr>
        <w:t>从供给及需求两方面出发放宽流动性，有助于熨平</w:t>
      </w:r>
      <w:r w:rsidR="008B17A8">
        <w:rPr>
          <w:rFonts w:ascii="Arial" w:eastAsia="楷体_GB2312" w:hAnsi="Arial" w:cs="Times New Roman" w:hint="eastAsia"/>
          <w:kern w:val="0"/>
          <w:szCs w:val="20"/>
          <w:lang w:val="en-GB"/>
        </w:rPr>
        <w:t>阶段性</w:t>
      </w:r>
      <w:r w:rsidR="0053325F">
        <w:rPr>
          <w:rFonts w:ascii="Arial" w:eastAsia="楷体_GB2312" w:hAnsi="Arial" w:cs="Times New Roman" w:hint="eastAsia"/>
          <w:kern w:val="0"/>
          <w:szCs w:val="20"/>
          <w:lang w:val="en-GB"/>
        </w:rPr>
        <w:t>资金面波动压力、改善实体经济融资环境、对于促进经济</w:t>
      </w:r>
      <w:r w:rsidR="008B17A8">
        <w:rPr>
          <w:rFonts w:ascii="Arial" w:eastAsia="楷体_GB2312" w:hAnsi="Arial" w:cs="Times New Roman" w:hint="eastAsia"/>
          <w:kern w:val="0"/>
          <w:szCs w:val="20"/>
          <w:lang w:val="en-GB"/>
        </w:rPr>
        <w:t>平稳</w:t>
      </w:r>
      <w:r w:rsidR="0053325F">
        <w:rPr>
          <w:rFonts w:ascii="Arial" w:eastAsia="楷体_GB2312" w:hAnsi="Arial" w:cs="Times New Roman" w:hint="eastAsia"/>
          <w:kern w:val="0"/>
          <w:szCs w:val="20"/>
          <w:lang w:val="en-GB"/>
        </w:rPr>
        <w:t>增长具有积极意义。对于资本市场而言，</w:t>
      </w:r>
      <w:r w:rsidR="008B17A8">
        <w:rPr>
          <w:rFonts w:ascii="Arial" w:eastAsia="楷体_GB2312" w:hAnsi="Arial" w:cs="Times New Roman" w:hint="eastAsia"/>
          <w:kern w:val="0"/>
          <w:szCs w:val="20"/>
          <w:lang w:val="en-GB"/>
        </w:rPr>
        <w:t>降准降息措施的出台使得货币宽松预期得到兑现，对于</w:t>
      </w:r>
      <w:r w:rsidR="001E121E">
        <w:rPr>
          <w:rFonts w:ascii="Arial" w:eastAsia="楷体_GB2312" w:hAnsi="Arial" w:cs="Times New Roman" w:hint="eastAsia"/>
          <w:kern w:val="0"/>
          <w:szCs w:val="20"/>
          <w:lang w:val="en-GB"/>
        </w:rPr>
        <w:t>资本市场</w:t>
      </w:r>
      <w:r w:rsidR="008B17A8">
        <w:rPr>
          <w:rFonts w:ascii="Arial" w:eastAsia="楷体_GB2312" w:hAnsi="Arial" w:cs="Times New Roman" w:hint="eastAsia"/>
          <w:kern w:val="0"/>
          <w:szCs w:val="20"/>
          <w:lang w:val="en-GB"/>
        </w:rPr>
        <w:t>有一定程度的正向提振作用，</w:t>
      </w:r>
      <w:r w:rsidR="001E121E">
        <w:rPr>
          <w:rFonts w:ascii="Arial" w:eastAsia="楷体_GB2312" w:hAnsi="Arial" w:cs="Times New Roman" w:hint="eastAsia"/>
          <w:kern w:val="0"/>
          <w:szCs w:val="20"/>
          <w:lang w:val="en-GB"/>
        </w:rPr>
        <w:t>且对股市提振效果优于债市。</w:t>
      </w:r>
      <w:r w:rsidR="008B17A8">
        <w:rPr>
          <w:rFonts w:ascii="Arial" w:eastAsia="楷体_GB2312" w:hAnsi="Arial" w:cs="Times New Roman" w:hint="eastAsia"/>
          <w:kern w:val="0"/>
          <w:szCs w:val="20"/>
          <w:lang w:val="en-GB"/>
        </w:rPr>
        <w:t>短期来看考虑到市场对于相关政策预期相对充分，因而</w:t>
      </w:r>
      <w:r w:rsidR="00990A21">
        <w:rPr>
          <w:rFonts w:ascii="Arial" w:eastAsia="楷体_GB2312" w:hAnsi="Arial" w:cs="Times New Roman" w:hint="eastAsia"/>
          <w:kern w:val="0"/>
          <w:szCs w:val="20"/>
          <w:lang w:val="en-GB"/>
        </w:rPr>
        <w:t>不宜过度解读，而在相关措施落地后</w:t>
      </w:r>
      <w:r w:rsidR="00FC4598">
        <w:rPr>
          <w:rFonts w:ascii="Arial" w:eastAsia="楷体_GB2312" w:hAnsi="Arial" w:cs="Times New Roman" w:hint="eastAsia"/>
          <w:kern w:val="0"/>
          <w:szCs w:val="20"/>
          <w:lang w:val="en-GB"/>
        </w:rPr>
        <w:t>，</w:t>
      </w:r>
      <w:r w:rsidR="00990A21">
        <w:rPr>
          <w:rFonts w:ascii="Arial" w:eastAsia="楷体_GB2312" w:hAnsi="Arial" w:cs="Times New Roman" w:hint="eastAsia"/>
          <w:kern w:val="0"/>
          <w:szCs w:val="20"/>
          <w:lang w:val="en-GB"/>
        </w:rPr>
        <w:t>货币政策或再度进入观察期，</w:t>
      </w:r>
      <w:r w:rsidR="00FC4598">
        <w:rPr>
          <w:rFonts w:ascii="Arial" w:eastAsia="楷体_GB2312" w:hAnsi="Arial" w:cs="Times New Roman" w:hint="eastAsia"/>
          <w:kern w:val="0"/>
          <w:szCs w:val="20"/>
          <w:lang w:val="en-GB"/>
        </w:rPr>
        <w:t>期间</w:t>
      </w:r>
      <w:r w:rsidR="00350AFC">
        <w:rPr>
          <w:rFonts w:ascii="Arial" w:eastAsia="楷体_GB2312" w:hAnsi="Arial" w:cs="Times New Roman" w:hint="eastAsia"/>
          <w:kern w:val="0"/>
          <w:szCs w:val="20"/>
          <w:lang w:val="en-GB"/>
        </w:rPr>
        <w:t>定向调控工具</w:t>
      </w:r>
      <w:r w:rsidR="00BC4135">
        <w:rPr>
          <w:rFonts w:ascii="Arial" w:eastAsia="楷体_GB2312" w:hAnsi="Arial" w:cs="Times New Roman" w:hint="eastAsia"/>
          <w:kern w:val="0"/>
          <w:szCs w:val="20"/>
          <w:lang w:val="en-GB"/>
        </w:rPr>
        <w:t>有望继续发挥作用</w:t>
      </w:r>
      <w:r w:rsidR="00FC4598">
        <w:rPr>
          <w:rFonts w:ascii="Arial" w:eastAsia="楷体_GB2312" w:hAnsi="Arial" w:cs="Times New Roman" w:hint="eastAsia"/>
          <w:kern w:val="0"/>
          <w:szCs w:val="20"/>
          <w:lang w:val="en-GB"/>
        </w:rPr>
        <w:t>，</w:t>
      </w:r>
      <w:r w:rsidR="00990A21">
        <w:rPr>
          <w:rFonts w:ascii="Arial" w:eastAsia="楷体_GB2312" w:hAnsi="Arial" w:cs="Times New Roman" w:hint="eastAsia"/>
          <w:kern w:val="0"/>
          <w:szCs w:val="20"/>
          <w:lang w:val="en-GB"/>
        </w:rPr>
        <w:t>从中长期的角度来看，</w:t>
      </w:r>
      <w:r w:rsidR="00FC4598">
        <w:rPr>
          <w:rFonts w:ascii="Arial" w:eastAsia="楷体_GB2312" w:hAnsi="Arial" w:cs="Times New Roman" w:hint="eastAsia"/>
          <w:kern w:val="0"/>
          <w:szCs w:val="20"/>
          <w:lang w:val="en-GB"/>
        </w:rPr>
        <w:t>降息周期大幕已启，</w:t>
      </w:r>
      <w:r w:rsidR="00BC4135">
        <w:rPr>
          <w:rFonts w:ascii="Arial" w:eastAsia="楷体_GB2312" w:hAnsi="Arial" w:cs="Times New Roman" w:hint="eastAsia"/>
          <w:kern w:val="0"/>
          <w:szCs w:val="20"/>
          <w:lang w:val="en-GB"/>
        </w:rPr>
        <w:t>年内货币政策仍有进一步放松的空间，流动性宽松格局将得到延续。</w:t>
      </w:r>
    </w:p>
    <w:p w:rsidR="00F30E34" w:rsidRDefault="00F30E34" w:rsidP="00F30E34">
      <w:pPr>
        <w:widowControl/>
        <w:spacing w:after="120" w:line="240" w:lineRule="exact"/>
        <w:rPr>
          <w:rFonts w:ascii="Arial" w:eastAsia="楷体_GB2312" w:hAnsi="Arial" w:cs="Times New Roman"/>
          <w:kern w:val="0"/>
          <w:szCs w:val="20"/>
          <w:lang w:val="en-GB"/>
        </w:rPr>
      </w:pPr>
      <w:r>
        <w:rPr>
          <w:rFonts w:ascii="Arial" w:eastAsia="楷体_GB2312" w:hAnsi="Arial" w:cs="Times New Roman" w:hint="eastAsia"/>
          <w:kern w:val="0"/>
          <w:szCs w:val="20"/>
          <w:lang w:val="en-GB"/>
        </w:rPr>
        <w:t xml:space="preserve">                                 </w:t>
      </w:r>
      <w:r>
        <w:rPr>
          <w:rFonts w:ascii="Arial" w:eastAsia="楷体_GB2312" w:hAnsi="Arial" w:cs="Times New Roman" w:hint="eastAsia"/>
          <w:b/>
          <w:bCs/>
          <w:color w:val="0070C0"/>
          <w:kern w:val="0"/>
          <w:szCs w:val="21"/>
          <w:lang w:val="en-GB"/>
        </w:rPr>
        <w:t>两会召开</w:t>
      </w:r>
      <w:r w:rsidR="001226A2">
        <w:rPr>
          <w:rFonts w:ascii="Arial" w:eastAsia="楷体_GB2312" w:hAnsi="Arial" w:cs="Times New Roman" w:hint="eastAsia"/>
          <w:b/>
          <w:bCs/>
          <w:color w:val="0070C0"/>
          <w:kern w:val="0"/>
          <w:szCs w:val="21"/>
          <w:lang w:val="en-GB"/>
        </w:rPr>
        <w:t>释放政策红利</w:t>
      </w:r>
    </w:p>
    <w:p w:rsidR="007A4E6E" w:rsidRDefault="002F45CC" w:rsidP="00612C11">
      <w:pPr>
        <w:widowControl/>
        <w:spacing w:after="120" w:line="240" w:lineRule="exact"/>
        <w:ind w:leftChars="1633" w:left="3429" w:firstLineChars="200" w:firstLine="420"/>
        <w:rPr>
          <w:rFonts w:ascii="Arial" w:eastAsia="楷体_GB2312" w:hAnsi="Arial" w:cs="Times New Roman"/>
          <w:kern w:val="0"/>
          <w:szCs w:val="20"/>
        </w:rPr>
      </w:pPr>
      <w:r>
        <w:rPr>
          <w:rFonts w:ascii="Arial" w:eastAsia="楷体_GB2312" w:hAnsi="Arial" w:cs="Times New Roman" w:hint="eastAsia"/>
          <w:kern w:val="0"/>
          <w:szCs w:val="20"/>
          <w:lang w:val="en-GB"/>
        </w:rPr>
        <w:t>3</w:t>
      </w:r>
      <w:r>
        <w:rPr>
          <w:rFonts w:ascii="Arial" w:eastAsia="楷体_GB2312" w:hAnsi="Arial" w:cs="Times New Roman" w:hint="eastAsia"/>
          <w:kern w:val="0"/>
          <w:szCs w:val="20"/>
          <w:lang w:val="en-GB"/>
        </w:rPr>
        <w:t>月是两会召开的时间窗口，从季节性因素的角度考虑，年初经济活动</w:t>
      </w:r>
      <w:r w:rsidR="0026418C">
        <w:rPr>
          <w:rFonts w:ascii="Arial" w:eastAsia="楷体_GB2312" w:hAnsi="Arial" w:cs="Times New Roman" w:hint="eastAsia"/>
          <w:kern w:val="0"/>
          <w:szCs w:val="20"/>
          <w:lang w:val="en-GB"/>
        </w:rPr>
        <w:t>多</w:t>
      </w:r>
      <w:r>
        <w:rPr>
          <w:rFonts w:ascii="Arial" w:eastAsia="楷体_GB2312" w:hAnsi="Arial" w:cs="Times New Roman" w:hint="eastAsia"/>
          <w:kern w:val="0"/>
          <w:szCs w:val="20"/>
          <w:lang w:val="en-GB"/>
        </w:rPr>
        <w:t>处于淡季</w:t>
      </w:r>
      <w:r w:rsidR="0026418C">
        <w:rPr>
          <w:rFonts w:ascii="Arial" w:eastAsia="楷体_GB2312" w:hAnsi="Arial" w:cs="Times New Roman" w:hint="eastAsia"/>
          <w:kern w:val="0"/>
          <w:szCs w:val="20"/>
          <w:lang w:val="en-GB"/>
        </w:rPr>
        <w:t>，加之</w:t>
      </w:r>
      <w:r w:rsidR="00A7533D">
        <w:rPr>
          <w:rFonts w:ascii="Arial" w:eastAsia="楷体_GB2312" w:hAnsi="Arial" w:cs="Times New Roman" w:hint="eastAsia"/>
          <w:kern w:val="0"/>
          <w:szCs w:val="20"/>
          <w:lang w:val="en-GB"/>
        </w:rPr>
        <w:t>该阶段</w:t>
      </w:r>
      <w:r w:rsidR="0026418C">
        <w:rPr>
          <w:rFonts w:ascii="Arial" w:eastAsia="楷体_GB2312" w:hAnsi="Arial" w:cs="Times New Roman" w:hint="eastAsia"/>
          <w:kern w:val="0"/>
          <w:szCs w:val="20"/>
          <w:lang w:val="en-GB"/>
        </w:rPr>
        <w:t>经济数据公布频度较低，市场关注点</w:t>
      </w:r>
      <w:r w:rsidR="00A7533D">
        <w:rPr>
          <w:rFonts w:ascii="Arial" w:eastAsia="楷体_GB2312" w:hAnsi="Arial" w:cs="Times New Roman" w:hint="eastAsia"/>
          <w:kern w:val="0"/>
          <w:szCs w:val="20"/>
          <w:lang w:val="en-GB"/>
        </w:rPr>
        <w:t>向</w:t>
      </w:r>
      <w:r w:rsidR="00931881">
        <w:rPr>
          <w:rFonts w:ascii="Arial" w:eastAsia="楷体_GB2312" w:hAnsi="Arial" w:cs="Times New Roman" w:hint="eastAsia"/>
          <w:kern w:val="0"/>
          <w:szCs w:val="20"/>
          <w:lang w:val="en-GB"/>
        </w:rPr>
        <w:t>政策预期偏移。此外两会召开期间，政策环境以正向偏暖为主，</w:t>
      </w:r>
      <w:r w:rsidR="00EA6D45">
        <w:rPr>
          <w:rFonts w:ascii="Arial" w:eastAsia="楷体_GB2312" w:hAnsi="Arial" w:cs="Times New Roman" w:hint="eastAsia"/>
          <w:kern w:val="0"/>
          <w:szCs w:val="20"/>
          <w:lang w:val="en-GB"/>
        </w:rPr>
        <w:t>降准降息之后，财政政策有望接棒发力，共同助力经济软着陆。事实上，</w:t>
      </w:r>
      <w:r w:rsidR="005E1858">
        <w:rPr>
          <w:rFonts w:ascii="Arial" w:eastAsia="楷体_GB2312" w:hAnsi="Arial" w:cs="Times New Roman" w:hint="eastAsia"/>
          <w:kern w:val="0"/>
          <w:szCs w:val="20"/>
          <w:lang w:val="en-GB"/>
        </w:rPr>
        <w:t>李克强总理在</w:t>
      </w:r>
      <w:r w:rsidR="005E1858">
        <w:rPr>
          <w:rFonts w:ascii="Arial" w:eastAsia="楷体_GB2312" w:hAnsi="Arial" w:cs="Times New Roman" w:hint="eastAsia"/>
          <w:kern w:val="0"/>
          <w:szCs w:val="20"/>
          <w:lang w:val="en-GB"/>
        </w:rPr>
        <w:t>2</w:t>
      </w:r>
      <w:r w:rsidR="005E1858">
        <w:rPr>
          <w:rFonts w:ascii="Arial" w:eastAsia="楷体_GB2312" w:hAnsi="Arial" w:cs="Times New Roman" w:hint="eastAsia"/>
          <w:kern w:val="0"/>
          <w:szCs w:val="20"/>
          <w:lang w:val="en-GB"/>
        </w:rPr>
        <w:t>月底的国务院常务工作会议中明确提出，将加快部署重大水利工程建设，以公共产品投资促进稳增长调结构，</w:t>
      </w:r>
      <w:r w:rsidR="00FD5143">
        <w:rPr>
          <w:rFonts w:ascii="Arial" w:eastAsia="楷体_GB2312" w:hAnsi="Arial" w:cs="Times New Roman" w:hint="eastAsia"/>
          <w:kern w:val="0"/>
          <w:szCs w:val="20"/>
          <w:lang w:val="en-GB"/>
        </w:rPr>
        <w:t>已</w:t>
      </w:r>
      <w:r w:rsidR="005E1858">
        <w:rPr>
          <w:rFonts w:ascii="Arial" w:eastAsia="楷体_GB2312" w:hAnsi="Arial" w:cs="Times New Roman" w:hint="eastAsia"/>
          <w:kern w:val="0"/>
          <w:szCs w:val="20"/>
          <w:lang w:val="en-GB"/>
        </w:rPr>
        <w:t>传递出宽财政的信号</w:t>
      </w:r>
      <w:r w:rsidR="00FD5143">
        <w:rPr>
          <w:rFonts w:ascii="Arial" w:eastAsia="楷体_GB2312" w:hAnsi="Arial" w:cs="Times New Roman" w:hint="eastAsia"/>
          <w:kern w:val="0"/>
          <w:szCs w:val="20"/>
          <w:lang w:val="en-GB"/>
        </w:rPr>
        <w:t>。另外</w:t>
      </w:r>
      <w:r w:rsidR="00FD5143" w:rsidRPr="00FD5143">
        <w:rPr>
          <w:rFonts w:ascii="Arial" w:eastAsia="楷体_GB2312" w:hAnsi="Arial" w:cs="Times New Roman" w:hint="eastAsia"/>
          <w:kern w:val="0"/>
          <w:szCs w:val="20"/>
          <w:lang w:val="en-GB"/>
        </w:rPr>
        <w:t>盘活财政资金存量</w:t>
      </w:r>
      <w:r w:rsidR="00FD5143" w:rsidRPr="00FD5143">
        <w:rPr>
          <w:rFonts w:ascii="Arial" w:eastAsia="楷体_GB2312" w:hAnsi="Arial" w:cs="Times New Roman" w:hint="eastAsia"/>
          <w:kern w:val="0"/>
          <w:szCs w:val="20"/>
          <w:lang w:val="en-GB"/>
        </w:rPr>
        <w:t>;</w:t>
      </w:r>
      <w:r w:rsidR="00FD5143" w:rsidRPr="00FD5143">
        <w:rPr>
          <w:rFonts w:ascii="Arial" w:eastAsia="楷体_GB2312" w:hAnsi="Arial" w:cs="Times New Roman" w:hint="eastAsia"/>
          <w:kern w:val="0"/>
          <w:szCs w:val="20"/>
          <w:lang w:val="en-GB"/>
        </w:rPr>
        <w:t>发挥财政资金杠杆作用，吸引社会资金参与重大工程项目建设</w:t>
      </w:r>
      <w:r w:rsidR="00FD5143" w:rsidRPr="00FD5143">
        <w:rPr>
          <w:rFonts w:ascii="Arial" w:eastAsia="楷体_GB2312" w:hAnsi="Arial" w:cs="Times New Roman" w:hint="eastAsia"/>
          <w:kern w:val="0"/>
          <w:szCs w:val="20"/>
          <w:lang w:val="en-GB"/>
        </w:rPr>
        <w:t>;</w:t>
      </w:r>
      <w:r w:rsidR="00FD5143" w:rsidRPr="00FD5143">
        <w:rPr>
          <w:rFonts w:ascii="Arial" w:eastAsia="楷体_GB2312" w:hAnsi="Arial" w:cs="Times New Roman" w:hint="eastAsia"/>
          <w:kern w:val="0"/>
          <w:szCs w:val="20"/>
          <w:lang w:val="en-GB"/>
        </w:rPr>
        <w:t>加大降税清费力度等多种手段</w:t>
      </w:r>
      <w:r w:rsidR="00FD5143">
        <w:rPr>
          <w:rFonts w:ascii="Arial" w:eastAsia="楷体_GB2312" w:hAnsi="Arial" w:cs="Times New Roman" w:hint="eastAsia"/>
          <w:kern w:val="0"/>
          <w:szCs w:val="20"/>
          <w:lang w:val="en-GB"/>
        </w:rPr>
        <w:t>有望</w:t>
      </w:r>
      <w:r w:rsidR="00DB59ED">
        <w:rPr>
          <w:rFonts w:ascii="Arial" w:eastAsia="楷体_GB2312" w:hAnsi="Arial" w:cs="Times New Roman" w:hint="eastAsia"/>
          <w:kern w:val="0"/>
          <w:szCs w:val="20"/>
          <w:lang w:val="en-GB"/>
        </w:rPr>
        <w:t>细化</w:t>
      </w:r>
      <w:r w:rsidR="00FD5143">
        <w:rPr>
          <w:rFonts w:ascii="Arial" w:eastAsia="楷体_GB2312" w:hAnsi="Arial" w:cs="Times New Roman" w:hint="eastAsia"/>
          <w:kern w:val="0"/>
          <w:szCs w:val="20"/>
          <w:lang w:val="en-GB"/>
        </w:rPr>
        <w:t>出台，进一步</w:t>
      </w:r>
      <w:r w:rsidR="00FD5143" w:rsidRPr="00FD5143">
        <w:rPr>
          <w:rFonts w:ascii="Arial" w:eastAsia="楷体_GB2312" w:hAnsi="Arial" w:cs="Times New Roman" w:hint="eastAsia"/>
          <w:kern w:val="0"/>
          <w:szCs w:val="20"/>
          <w:lang w:val="en-GB"/>
        </w:rPr>
        <w:t>增强积极财政政策的含金量。</w:t>
      </w:r>
      <w:r w:rsidR="00FD5143">
        <w:rPr>
          <w:rFonts w:ascii="Arial" w:eastAsia="楷体_GB2312" w:hAnsi="Arial" w:cs="Times New Roman" w:hint="eastAsia"/>
          <w:kern w:val="0"/>
          <w:szCs w:val="20"/>
          <w:lang w:val="en-GB"/>
        </w:rPr>
        <w:t>另一</w:t>
      </w:r>
      <w:r w:rsidR="00DB59ED">
        <w:rPr>
          <w:rFonts w:ascii="Arial" w:eastAsia="楷体_GB2312" w:hAnsi="Arial" w:cs="Times New Roman" w:hint="eastAsia"/>
          <w:kern w:val="0"/>
          <w:szCs w:val="20"/>
          <w:lang w:val="en-GB"/>
        </w:rPr>
        <w:t>值得关注的</w:t>
      </w:r>
      <w:r w:rsidR="00E916C8">
        <w:rPr>
          <w:rFonts w:ascii="Arial" w:eastAsia="楷体_GB2312" w:hAnsi="Arial" w:cs="Times New Roman" w:hint="eastAsia"/>
          <w:kern w:val="0"/>
          <w:szCs w:val="20"/>
          <w:lang w:val="en-GB"/>
        </w:rPr>
        <w:t>方向</w:t>
      </w:r>
      <w:r w:rsidR="00DB59ED">
        <w:rPr>
          <w:rFonts w:ascii="Arial" w:eastAsia="楷体_GB2312" w:hAnsi="Arial" w:cs="Times New Roman" w:hint="eastAsia"/>
          <w:kern w:val="0"/>
          <w:szCs w:val="20"/>
          <w:lang w:val="en-GB"/>
        </w:rPr>
        <w:t>是，</w:t>
      </w:r>
      <w:r w:rsidR="005E1858">
        <w:rPr>
          <w:rFonts w:ascii="Arial" w:eastAsia="楷体_GB2312" w:hAnsi="Arial" w:cs="Times New Roman" w:hint="eastAsia"/>
          <w:kern w:val="0"/>
          <w:szCs w:val="20"/>
          <w:lang w:val="en-GB"/>
        </w:rPr>
        <w:t>两会</w:t>
      </w:r>
      <w:r w:rsidR="00EA6D45">
        <w:rPr>
          <w:rFonts w:ascii="Arial" w:eastAsia="楷体_GB2312" w:hAnsi="Arial" w:cs="Times New Roman" w:hint="eastAsia"/>
          <w:kern w:val="0"/>
          <w:szCs w:val="20"/>
          <w:lang w:val="en-GB"/>
        </w:rPr>
        <w:t>在</w:t>
      </w:r>
      <w:r w:rsidR="00931881">
        <w:rPr>
          <w:rFonts w:ascii="Arial" w:eastAsia="楷体_GB2312" w:hAnsi="Arial" w:cs="Times New Roman" w:hint="eastAsia"/>
          <w:kern w:val="0"/>
          <w:szCs w:val="20"/>
          <w:lang w:val="en-GB"/>
        </w:rPr>
        <w:t>众多与国计民生和改革发展的相关议题将得到深入讨论，</w:t>
      </w:r>
      <w:r w:rsidR="00931881">
        <w:rPr>
          <w:rFonts w:ascii="Arial" w:eastAsia="楷体_GB2312" w:hAnsi="Arial" w:cs="Times New Roman"/>
          <w:kern w:val="0"/>
          <w:szCs w:val="20"/>
          <w:lang w:val="en-GB"/>
        </w:rPr>
        <w:t>为主题热点</w:t>
      </w:r>
      <w:r w:rsidR="00A7533D">
        <w:rPr>
          <w:rFonts w:ascii="Arial" w:eastAsia="楷体_GB2312" w:hAnsi="Arial" w:cs="Times New Roman"/>
          <w:kern w:val="0"/>
          <w:szCs w:val="20"/>
          <w:lang w:val="en-GB"/>
        </w:rPr>
        <w:t>行情的演绎提供良机</w:t>
      </w:r>
      <w:r w:rsidR="00A7533D">
        <w:rPr>
          <w:rFonts w:ascii="Arial" w:eastAsia="楷体_GB2312" w:hAnsi="Arial" w:cs="Times New Roman" w:hint="eastAsia"/>
          <w:kern w:val="0"/>
          <w:szCs w:val="20"/>
          <w:lang w:val="en-GB"/>
        </w:rPr>
        <w:t>。从今年两会热点脉络来看，</w:t>
      </w:r>
      <w:r w:rsidR="00303653">
        <w:rPr>
          <w:rFonts w:ascii="Arial" w:eastAsia="楷体_GB2312" w:hAnsi="Arial" w:cs="Times New Roman" w:hint="eastAsia"/>
          <w:kern w:val="0"/>
          <w:szCs w:val="20"/>
        </w:rPr>
        <w:t>国企改革、一带一路、区域经济、环保、医疗改革、食品安全等领域有望</w:t>
      </w:r>
      <w:r w:rsidR="00544942">
        <w:rPr>
          <w:rFonts w:ascii="Arial" w:eastAsia="楷体_GB2312" w:hAnsi="Arial" w:cs="Times New Roman" w:hint="eastAsia"/>
          <w:kern w:val="0"/>
          <w:szCs w:val="20"/>
        </w:rPr>
        <w:t>成为关注焦点，并有望提升相应版块活跃度。</w:t>
      </w:r>
    </w:p>
    <w:p w:rsidR="00F13006" w:rsidRPr="00F13006" w:rsidRDefault="00F13006" w:rsidP="00F13006">
      <w:pPr>
        <w:widowControl/>
        <w:spacing w:after="120" w:line="240" w:lineRule="exact"/>
        <w:rPr>
          <w:rFonts w:ascii="Arial" w:eastAsia="楷体_GB2312" w:hAnsi="Arial" w:cs="Times New Roman"/>
          <w:kern w:val="0"/>
          <w:szCs w:val="20"/>
        </w:rPr>
      </w:pPr>
      <w:r>
        <w:rPr>
          <w:rFonts w:ascii="Arial" w:eastAsia="楷体_GB2312" w:hAnsi="Arial" w:cs="Times New Roman"/>
          <w:kern w:val="0"/>
          <w:szCs w:val="20"/>
        </w:rPr>
        <w:t xml:space="preserve">                                 </w:t>
      </w:r>
      <w:r>
        <w:rPr>
          <w:rFonts w:ascii="Arial" w:eastAsia="楷体_GB2312" w:hAnsi="Arial" w:cs="Times New Roman" w:hint="eastAsia"/>
          <w:b/>
          <w:bCs/>
          <w:color w:val="0070C0"/>
          <w:kern w:val="0"/>
          <w:sz w:val="24"/>
          <w:szCs w:val="20"/>
          <w:lang w:val="en-GB"/>
        </w:rPr>
        <w:t>A</w:t>
      </w:r>
      <w:r>
        <w:rPr>
          <w:rFonts w:ascii="Arial" w:eastAsia="楷体_GB2312" w:hAnsi="Arial" w:cs="Times New Roman" w:hint="eastAsia"/>
          <w:b/>
          <w:bCs/>
          <w:color w:val="0070C0"/>
          <w:kern w:val="0"/>
          <w:sz w:val="24"/>
          <w:szCs w:val="20"/>
          <w:lang w:val="en-GB"/>
        </w:rPr>
        <w:t>股</w:t>
      </w:r>
      <w:r w:rsidRPr="00A60DD2">
        <w:rPr>
          <w:rFonts w:ascii="Arial" w:eastAsia="楷体_GB2312" w:hAnsi="Arial" w:cs="Times New Roman" w:hint="eastAsia"/>
          <w:b/>
          <w:bCs/>
          <w:color w:val="0070C0"/>
          <w:kern w:val="0"/>
          <w:sz w:val="24"/>
          <w:szCs w:val="20"/>
          <w:lang w:val="en-GB"/>
        </w:rPr>
        <w:t>后市展望：</w:t>
      </w:r>
      <w:r w:rsidR="002F373B">
        <w:rPr>
          <w:rFonts w:ascii="Arial" w:eastAsia="楷体_GB2312" w:hAnsi="Arial" w:cs="Times New Roman" w:hint="eastAsia"/>
          <w:b/>
          <w:bCs/>
          <w:color w:val="0070C0"/>
          <w:kern w:val="0"/>
          <w:sz w:val="24"/>
          <w:szCs w:val="20"/>
          <w:lang w:val="en-GB"/>
        </w:rPr>
        <w:t>震荡蓄势</w:t>
      </w:r>
      <w:r>
        <w:rPr>
          <w:rFonts w:ascii="Arial" w:eastAsia="楷体_GB2312" w:hAnsi="Arial" w:cs="Times New Roman" w:hint="eastAsia"/>
          <w:b/>
          <w:bCs/>
          <w:color w:val="0070C0"/>
          <w:kern w:val="0"/>
          <w:sz w:val="24"/>
          <w:szCs w:val="20"/>
          <w:lang w:val="en-GB"/>
        </w:rPr>
        <w:t>，主题活跃</w:t>
      </w:r>
      <w:r w:rsidRPr="00F13006">
        <w:rPr>
          <w:rFonts w:ascii="Arial" w:eastAsia="楷体_GB2312" w:hAnsi="Arial" w:cs="Times New Roman" w:hint="eastAsia"/>
          <w:kern w:val="0"/>
          <w:szCs w:val="20"/>
        </w:rPr>
        <w:t xml:space="preserve"> </w:t>
      </w:r>
    </w:p>
    <w:p w:rsidR="007E2F98" w:rsidRPr="00316258" w:rsidRDefault="00245A04" w:rsidP="00316258">
      <w:pPr>
        <w:pStyle w:val="ab"/>
        <w:numPr>
          <w:ilvl w:val="4"/>
          <w:numId w:val="1"/>
        </w:numPr>
        <w:spacing w:after="163"/>
        <w:rPr>
          <w:rFonts w:eastAsia="楷体_GB2312"/>
          <w:color w:val="auto"/>
        </w:rPr>
      </w:pPr>
      <w:r w:rsidRPr="00316258">
        <w:rPr>
          <w:rFonts w:eastAsia="楷体_GB2312" w:hint="eastAsia"/>
          <w:color w:val="auto"/>
        </w:rPr>
        <w:t>宏观数据开年遇冷，央行月初出手降准</w:t>
      </w:r>
      <w:r w:rsidR="00316258" w:rsidRPr="00316258">
        <w:rPr>
          <w:rFonts w:eastAsia="楷体_GB2312" w:hint="eastAsia"/>
          <w:color w:val="auto"/>
        </w:rPr>
        <w:t>，市场</w:t>
      </w:r>
      <w:r w:rsidR="00316258">
        <w:rPr>
          <w:rFonts w:eastAsia="楷体_GB2312" w:hint="eastAsia"/>
          <w:color w:val="auto"/>
        </w:rPr>
        <w:t>总体</w:t>
      </w:r>
      <w:r w:rsidR="00316258" w:rsidRPr="00316258">
        <w:rPr>
          <w:rFonts w:eastAsia="楷体_GB2312" w:hint="eastAsia"/>
          <w:color w:val="auto"/>
        </w:rPr>
        <w:t>反应</w:t>
      </w:r>
      <w:r w:rsidR="00316258">
        <w:rPr>
          <w:rFonts w:eastAsia="楷体_GB2312" w:hint="eastAsia"/>
          <w:color w:val="auto"/>
        </w:rPr>
        <w:t>平淡，在基本面因素之外</w:t>
      </w:r>
      <w:r w:rsidR="00316258">
        <w:rPr>
          <w:rFonts w:eastAsia="楷体_GB2312" w:hint="eastAsia"/>
          <w:color w:val="auto"/>
        </w:rPr>
        <w:t>IPO</w:t>
      </w:r>
      <w:r w:rsidR="00316258">
        <w:rPr>
          <w:rFonts w:eastAsia="楷体_GB2312" w:hint="eastAsia"/>
          <w:color w:val="auto"/>
        </w:rPr>
        <w:t>压力、两融检查等因素压制市场情绪，</w:t>
      </w:r>
      <w:r w:rsidR="00FA71A2">
        <w:rPr>
          <w:rFonts w:eastAsia="楷体_GB2312" w:hint="eastAsia"/>
          <w:color w:val="auto"/>
        </w:rPr>
        <w:t>随着</w:t>
      </w:r>
      <w:r w:rsidR="007530C0">
        <w:rPr>
          <w:rFonts w:eastAsia="楷体_GB2312" w:hint="eastAsia"/>
          <w:color w:val="auto"/>
        </w:rPr>
        <w:t>经济</w:t>
      </w:r>
      <w:r w:rsidR="00FA71A2">
        <w:rPr>
          <w:rFonts w:eastAsia="楷体_GB2312" w:hint="eastAsia"/>
          <w:color w:val="auto"/>
        </w:rPr>
        <w:t>数据的进一步披露，市场对于货币宽松预期逐渐升温，加之两会渐进，部分主题概念提前预热，</w:t>
      </w:r>
      <w:r w:rsidR="00795B9B">
        <w:rPr>
          <w:rFonts w:eastAsia="楷体_GB2312" w:hint="eastAsia"/>
          <w:color w:val="auto"/>
        </w:rPr>
        <w:t>主板市场</w:t>
      </w:r>
      <w:r w:rsidR="007530C0">
        <w:rPr>
          <w:rFonts w:eastAsia="楷体_GB2312" w:hint="eastAsia"/>
          <w:color w:val="auto"/>
        </w:rPr>
        <w:t>上演小步</w:t>
      </w:r>
      <w:r w:rsidR="00795B9B">
        <w:rPr>
          <w:rFonts w:eastAsia="楷体_GB2312" w:hint="eastAsia"/>
          <w:color w:val="auto"/>
        </w:rPr>
        <w:t>快跑</w:t>
      </w:r>
      <w:r w:rsidR="007530C0">
        <w:rPr>
          <w:rFonts w:eastAsia="楷体_GB2312" w:hint="eastAsia"/>
          <w:color w:val="auto"/>
        </w:rPr>
        <w:t>行情，全月上证指数、深证综指分别上涨</w:t>
      </w:r>
      <w:r w:rsidR="007530C0">
        <w:rPr>
          <w:rFonts w:eastAsia="楷体_GB2312" w:hint="eastAsia"/>
          <w:color w:val="auto"/>
        </w:rPr>
        <w:t>3.11%</w:t>
      </w:r>
      <w:r w:rsidR="007530C0">
        <w:rPr>
          <w:rFonts w:eastAsia="楷体_GB2312" w:hint="eastAsia"/>
          <w:color w:val="auto"/>
        </w:rPr>
        <w:t>、</w:t>
      </w:r>
      <w:r w:rsidR="007530C0">
        <w:rPr>
          <w:rFonts w:eastAsia="楷体_GB2312" w:hint="eastAsia"/>
          <w:color w:val="auto"/>
        </w:rPr>
        <w:t>5.44%</w:t>
      </w:r>
      <w:r w:rsidR="00795B9B">
        <w:rPr>
          <w:rFonts w:eastAsia="楷体_GB2312" w:hint="eastAsia"/>
          <w:color w:val="auto"/>
        </w:rPr>
        <w:t>，另一方面中小板、创业板指则强势上攻，月度涨幅分别达到</w:t>
      </w:r>
      <w:r w:rsidR="00795B9B">
        <w:rPr>
          <w:rFonts w:eastAsia="楷体_GB2312" w:hint="eastAsia"/>
          <w:color w:val="auto"/>
        </w:rPr>
        <w:t>9.66%</w:t>
      </w:r>
      <w:r w:rsidR="00795B9B">
        <w:rPr>
          <w:rFonts w:eastAsia="楷体_GB2312" w:hint="eastAsia"/>
          <w:color w:val="auto"/>
        </w:rPr>
        <w:lastRenderedPageBreak/>
        <w:t>和</w:t>
      </w:r>
      <w:r w:rsidR="00795B9B">
        <w:rPr>
          <w:rFonts w:eastAsia="楷体_GB2312" w:hint="eastAsia"/>
          <w:color w:val="auto"/>
        </w:rPr>
        <w:t>14.72%</w:t>
      </w:r>
      <w:r w:rsidR="005E2998">
        <w:rPr>
          <w:rFonts w:eastAsia="楷体_GB2312" w:hint="eastAsia"/>
          <w:color w:val="auto"/>
        </w:rPr>
        <w:t>，小盘成长风格继续保持优势。从行业的角度来看，信息通讯、医药、传媒整体表现居前。</w:t>
      </w:r>
    </w:p>
    <w:p w:rsidR="00B23531" w:rsidRDefault="005E2998" w:rsidP="00F35A5F">
      <w:pPr>
        <w:pStyle w:val="ab"/>
        <w:numPr>
          <w:ilvl w:val="4"/>
          <w:numId w:val="1"/>
        </w:numPr>
        <w:spacing w:after="163"/>
        <w:rPr>
          <w:rFonts w:eastAsia="楷体_GB2312"/>
          <w:color w:val="auto"/>
        </w:rPr>
      </w:pPr>
      <w:r>
        <w:rPr>
          <w:rFonts w:eastAsia="楷体_GB2312" w:hint="eastAsia"/>
          <w:color w:val="auto"/>
        </w:rPr>
        <w:t>向前看，</w:t>
      </w:r>
      <w:r w:rsidR="00645AF3">
        <w:rPr>
          <w:rFonts w:eastAsia="楷体_GB2312" w:hint="eastAsia"/>
          <w:color w:val="auto"/>
        </w:rPr>
        <w:t>宏观经济仍受有效需求不足困扰，</w:t>
      </w:r>
      <w:r w:rsidR="00B02173">
        <w:rPr>
          <w:rFonts w:eastAsia="楷体_GB2312" w:hint="eastAsia"/>
          <w:color w:val="auto"/>
        </w:rPr>
        <w:t>1</w:t>
      </w:r>
      <w:r w:rsidR="00B02173">
        <w:rPr>
          <w:rFonts w:eastAsia="楷体_GB2312" w:hint="eastAsia"/>
          <w:color w:val="auto"/>
        </w:rPr>
        <w:t>月</w:t>
      </w:r>
      <w:r w:rsidR="00B02173">
        <w:rPr>
          <w:rFonts w:eastAsia="楷体_GB2312" w:hint="eastAsia"/>
          <w:color w:val="auto"/>
        </w:rPr>
        <w:t>PMI</w:t>
      </w:r>
      <w:r w:rsidR="00972F70">
        <w:rPr>
          <w:rFonts w:eastAsia="楷体_GB2312" w:hint="eastAsia"/>
          <w:color w:val="auto"/>
        </w:rPr>
        <w:t>下探</w:t>
      </w:r>
      <w:r w:rsidR="00B02173">
        <w:rPr>
          <w:rFonts w:eastAsia="楷体_GB2312" w:hint="eastAsia"/>
          <w:color w:val="auto"/>
        </w:rPr>
        <w:t>至收缩区间</w:t>
      </w:r>
      <w:r w:rsidR="00972F70">
        <w:rPr>
          <w:rFonts w:eastAsia="楷体_GB2312" w:hint="eastAsia"/>
          <w:color w:val="auto"/>
        </w:rPr>
        <w:t>，</w:t>
      </w:r>
      <w:r w:rsidR="003B60A3" w:rsidRPr="003B60A3">
        <w:rPr>
          <w:rFonts w:eastAsia="楷体_GB2312" w:hint="eastAsia"/>
          <w:color w:val="auto"/>
        </w:rPr>
        <w:t>产成品库存压力上升，新订单指数回落、企业经营预期趋于谨慎，生产</w:t>
      </w:r>
      <w:r w:rsidR="003B60A3">
        <w:rPr>
          <w:rFonts w:eastAsia="楷体_GB2312" w:hint="eastAsia"/>
          <w:color w:val="auto"/>
        </w:rPr>
        <w:t>活跃度下滑，</w:t>
      </w:r>
      <w:r w:rsidR="0039209C">
        <w:rPr>
          <w:rFonts w:eastAsia="楷体_GB2312" w:hint="eastAsia"/>
          <w:color w:val="auto"/>
        </w:rPr>
        <w:t>进出口数据低迷，</w:t>
      </w:r>
      <w:r w:rsidR="002C3736">
        <w:rPr>
          <w:rFonts w:eastAsia="楷体_GB2312" w:hint="eastAsia"/>
          <w:color w:val="auto"/>
        </w:rPr>
        <w:t>新增社融规模相较去年同期呈现明显回落，</w:t>
      </w:r>
      <w:r w:rsidR="002C3736">
        <w:rPr>
          <w:rFonts w:eastAsia="楷体_GB2312" w:hint="eastAsia"/>
          <w:color w:val="auto"/>
        </w:rPr>
        <w:t>M2</w:t>
      </w:r>
      <w:r w:rsidR="002C3736">
        <w:rPr>
          <w:rFonts w:eastAsia="楷体_GB2312" w:hint="eastAsia"/>
          <w:color w:val="auto"/>
        </w:rPr>
        <w:t>增速创新低，经济体信用创造能力疲软，实体</w:t>
      </w:r>
      <w:r w:rsidR="0039209C">
        <w:rPr>
          <w:rFonts w:eastAsia="楷体_GB2312" w:hint="eastAsia"/>
          <w:color w:val="auto"/>
        </w:rPr>
        <w:t>经济下行压力增大。</w:t>
      </w:r>
      <w:r w:rsidR="0039209C">
        <w:rPr>
          <w:rFonts w:eastAsia="楷体_GB2312" w:hint="eastAsia"/>
          <w:color w:val="auto"/>
        </w:rPr>
        <w:t>PPI</w:t>
      </w:r>
      <w:r w:rsidR="0039209C">
        <w:rPr>
          <w:rFonts w:eastAsia="楷体_GB2312" w:hint="eastAsia"/>
          <w:color w:val="auto"/>
        </w:rPr>
        <w:t>下跌趋势恶化、</w:t>
      </w:r>
      <w:r w:rsidR="0039209C">
        <w:rPr>
          <w:rFonts w:eastAsia="楷体_GB2312" w:hint="eastAsia"/>
          <w:color w:val="auto"/>
        </w:rPr>
        <w:t>CPI</w:t>
      </w:r>
      <w:r w:rsidR="0039209C">
        <w:rPr>
          <w:rFonts w:eastAsia="楷体_GB2312" w:hint="eastAsia"/>
          <w:color w:val="auto"/>
        </w:rPr>
        <w:t>跌破</w:t>
      </w:r>
      <w:r w:rsidR="0039209C">
        <w:rPr>
          <w:rFonts w:eastAsia="楷体_GB2312" w:hint="eastAsia"/>
          <w:color w:val="auto"/>
        </w:rPr>
        <w:t>1%</w:t>
      </w:r>
      <w:r w:rsidR="003B60A3" w:rsidRPr="003B60A3">
        <w:rPr>
          <w:rFonts w:eastAsia="楷体_GB2312" w:hint="eastAsia"/>
          <w:color w:val="auto"/>
        </w:rPr>
        <w:t>，</w:t>
      </w:r>
      <w:r w:rsidR="0039209C">
        <w:rPr>
          <w:rFonts w:eastAsia="楷体_GB2312" w:hint="eastAsia"/>
          <w:color w:val="auto"/>
        </w:rPr>
        <w:t>通缩阴影闪现。政策逆周期调控</w:t>
      </w:r>
      <w:r w:rsidR="00DC0548">
        <w:rPr>
          <w:rFonts w:eastAsia="楷体_GB2312" w:hint="eastAsia"/>
          <w:color w:val="auto"/>
        </w:rPr>
        <w:t>加码，央行接连出手降准降息，</w:t>
      </w:r>
      <w:r w:rsidR="00936E2A">
        <w:rPr>
          <w:rFonts w:eastAsia="楷体_GB2312" w:hint="eastAsia"/>
          <w:color w:val="auto"/>
        </w:rPr>
        <w:t>重在</w:t>
      </w:r>
      <w:r w:rsidR="00DC0548">
        <w:rPr>
          <w:rFonts w:eastAsia="楷体_GB2312" w:hint="eastAsia"/>
          <w:color w:val="auto"/>
        </w:rPr>
        <w:t>改善实体经济</w:t>
      </w:r>
      <w:r w:rsidR="00936E2A">
        <w:rPr>
          <w:rFonts w:eastAsia="楷体_GB2312" w:hint="eastAsia"/>
          <w:color w:val="auto"/>
        </w:rPr>
        <w:t>融资环境、</w:t>
      </w:r>
      <w:r w:rsidR="00FD6D0E">
        <w:rPr>
          <w:rFonts w:eastAsia="楷体_GB2312" w:hint="eastAsia"/>
          <w:color w:val="auto"/>
        </w:rPr>
        <w:t>缓解</w:t>
      </w:r>
      <w:r w:rsidR="00936E2A">
        <w:rPr>
          <w:rFonts w:eastAsia="楷体_GB2312" w:hint="eastAsia"/>
          <w:color w:val="auto"/>
        </w:rPr>
        <w:t>通缩压力，</w:t>
      </w:r>
      <w:r w:rsidR="00FD6D0E">
        <w:rPr>
          <w:rFonts w:eastAsia="楷体_GB2312" w:hint="eastAsia"/>
          <w:color w:val="auto"/>
        </w:rPr>
        <w:t>尽管</w:t>
      </w:r>
      <w:r w:rsidR="00936E2A">
        <w:rPr>
          <w:rFonts w:eastAsia="楷体_GB2312" w:hint="eastAsia"/>
          <w:color w:val="auto"/>
        </w:rPr>
        <w:t>在传导机制作用下政策效果尚待时日</w:t>
      </w:r>
      <w:r w:rsidR="00FD6D0E">
        <w:rPr>
          <w:rFonts w:eastAsia="楷体_GB2312" w:hint="eastAsia"/>
          <w:color w:val="auto"/>
        </w:rPr>
        <w:t>验证，但货币宽松格局有望进一步延续，对资本市场</w:t>
      </w:r>
      <w:r w:rsidR="00D1554C">
        <w:rPr>
          <w:rFonts w:eastAsia="楷体_GB2312" w:hint="eastAsia"/>
          <w:color w:val="auto"/>
        </w:rPr>
        <w:t>具有</w:t>
      </w:r>
      <w:r w:rsidR="00FD6D0E">
        <w:rPr>
          <w:rFonts w:eastAsia="楷体_GB2312" w:hint="eastAsia"/>
          <w:color w:val="auto"/>
        </w:rPr>
        <w:t>正向提振作用。</w:t>
      </w:r>
      <w:r w:rsidR="00E5746D">
        <w:rPr>
          <w:rFonts w:eastAsia="楷体_GB2312" w:hint="eastAsia"/>
          <w:color w:val="auto"/>
        </w:rPr>
        <w:t>3</w:t>
      </w:r>
      <w:r w:rsidR="00E5746D">
        <w:rPr>
          <w:rFonts w:eastAsia="楷体_GB2312" w:hint="eastAsia"/>
          <w:color w:val="auto"/>
        </w:rPr>
        <w:t>月伴随着两会的召开，政策面暖风频吹，财政政策有望接棒发力，助推经济企稳，与此同时与国计民生及改革</w:t>
      </w:r>
      <w:r w:rsidR="00B23531">
        <w:rPr>
          <w:rFonts w:eastAsia="楷体_GB2312" w:hint="eastAsia"/>
          <w:color w:val="auto"/>
        </w:rPr>
        <w:t>相关议题带动主题性投资机会的演绎。</w:t>
      </w:r>
      <w:r w:rsidR="00D1554C">
        <w:rPr>
          <w:rFonts w:eastAsia="楷体_GB2312" w:hint="eastAsia"/>
          <w:color w:val="auto"/>
        </w:rPr>
        <w:t>但我们</w:t>
      </w:r>
      <w:r w:rsidR="005874FD">
        <w:rPr>
          <w:rFonts w:eastAsia="楷体_GB2312" w:hint="eastAsia"/>
          <w:color w:val="auto"/>
        </w:rPr>
        <w:t>也应注意到</w:t>
      </w:r>
      <w:r w:rsidR="00D1554C">
        <w:rPr>
          <w:rFonts w:eastAsia="楷体_GB2312" w:hint="eastAsia"/>
          <w:color w:val="auto"/>
        </w:rPr>
        <w:t>2</w:t>
      </w:r>
      <w:r w:rsidR="00D1554C">
        <w:rPr>
          <w:rFonts w:eastAsia="楷体_GB2312" w:hint="eastAsia"/>
          <w:color w:val="auto"/>
        </w:rPr>
        <w:t>月中旬以来股指的连续上行已对本次降息有所预期，因而</w:t>
      </w:r>
      <w:r w:rsidR="007F4562">
        <w:rPr>
          <w:rFonts w:eastAsia="楷体_GB2312" w:hint="eastAsia"/>
          <w:color w:val="auto"/>
        </w:rPr>
        <w:t>对</w:t>
      </w:r>
      <w:r w:rsidR="00D1554C">
        <w:rPr>
          <w:rFonts w:eastAsia="楷体_GB2312" w:hint="eastAsia"/>
          <w:color w:val="auto"/>
        </w:rPr>
        <w:t>单次政策措施</w:t>
      </w:r>
      <w:r w:rsidR="007F4562">
        <w:rPr>
          <w:rFonts w:eastAsia="楷体_GB2312" w:hint="eastAsia"/>
          <w:color w:val="auto"/>
        </w:rPr>
        <w:t>影响也</w:t>
      </w:r>
      <w:r w:rsidR="00D1554C">
        <w:rPr>
          <w:rFonts w:eastAsia="楷体_GB2312" w:hint="eastAsia"/>
          <w:color w:val="auto"/>
        </w:rPr>
        <w:t>不宜</w:t>
      </w:r>
      <w:r w:rsidR="007F4562">
        <w:rPr>
          <w:rFonts w:eastAsia="楷体_GB2312" w:hint="eastAsia"/>
          <w:color w:val="auto"/>
        </w:rPr>
        <w:t>过度解读，此外根据过往历史经验来看，</w:t>
      </w:r>
      <w:r w:rsidR="000F7606">
        <w:rPr>
          <w:rFonts w:eastAsia="楷体_GB2312" w:hint="eastAsia"/>
          <w:color w:val="auto"/>
        </w:rPr>
        <w:t>在</w:t>
      </w:r>
      <w:r w:rsidR="007F4562">
        <w:rPr>
          <w:rFonts w:eastAsia="楷体_GB2312" w:hint="eastAsia"/>
          <w:color w:val="auto"/>
        </w:rPr>
        <w:t>两会结束后多数中创板块题材股面临业绩披露、获利盘回吐等压力考验，大概率出现回调，而</w:t>
      </w:r>
      <w:r w:rsidR="000F7606">
        <w:rPr>
          <w:rFonts w:eastAsia="楷体_GB2312" w:hint="eastAsia"/>
          <w:color w:val="auto"/>
        </w:rPr>
        <w:t>新近核准的</w:t>
      </w:r>
      <w:r w:rsidR="000F7606">
        <w:rPr>
          <w:rFonts w:eastAsia="楷体_GB2312" w:hint="eastAsia"/>
          <w:color w:val="auto"/>
        </w:rPr>
        <w:t>24</w:t>
      </w:r>
      <w:r w:rsidR="000F7606">
        <w:rPr>
          <w:rFonts w:eastAsia="楷体_GB2312" w:hint="eastAsia"/>
          <w:color w:val="auto"/>
        </w:rPr>
        <w:t>家</w:t>
      </w:r>
      <w:r w:rsidR="000F7606">
        <w:rPr>
          <w:rFonts w:eastAsia="楷体_GB2312" w:hint="eastAsia"/>
          <w:color w:val="auto"/>
        </w:rPr>
        <w:t>IPO</w:t>
      </w:r>
      <w:r w:rsidR="000F7606">
        <w:rPr>
          <w:rFonts w:eastAsia="楷体_GB2312" w:hint="eastAsia"/>
          <w:color w:val="auto"/>
        </w:rPr>
        <w:t>企业也将对资金面带来短期扰动。总体来看，</w:t>
      </w:r>
      <w:r w:rsidR="000F7606">
        <w:rPr>
          <w:rFonts w:eastAsia="楷体_GB2312" w:hint="eastAsia"/>
          <w:color w:val="auto"/>
        </w:rPr>
        <w:t>A</w:t>
      </w:r>
      <w:r w:rsidR="000F7606">
        <w:rPr>
          <w:rFonts w:eastAsia="楷体_GB2312" w:hint="eastAsia"/>
          <w:color w:val="auto"/>
        </w:rPr>
        <w:t>股市场中长期仍将在政策宽松、</w:t>
      </w:r>
      <w:r w:rsidR="009435AF">
        <w:rPr>
          <w:rFonts w:eastAsia="楷体_GB2312" w:hint="eastAsia"/>
          <w:color w:val="auto"/>
        </w:rPr>
        <w:t>改革演进中向好，</w:t>
      </w:r>
      <w:r w:rsidR="00254AAA">
        <w:rPr>
          <w:rFonts w:eastAsia="楷体_GB2312" w:hint="eastAsia"/>
          <w:color w:val="auto"/>
        </w:rPr>
        <w:t>短期来看，</w:t>
      </w:r>
      <w:r w:rsidR="009435AF">
        <w:rPr>
          <w:rFonts w:eastAsia="楷体_GB2312" w:hint="eastAsia"/>
          <w:color w:val="auto"/>
        </w:rPr>
        <w:t>两会期间在政策偏暖、红利预期下</w:t>
      </w:r>
      <w:r w:rsidR="00254AAA">
        <w:rPr>
          <w:rFonts w:eastAsia="楷体_GB2312" w:hint="eastAsia"/>
          <w:color w:val="auto"/>
        </w:rPr>
        <w:t>主题投资有望迎来活跃表现，而在会后中创板块、题材股或面临高位回调压力，另一方面</w:t>
      </w:r>
      <w:r w:rsidR="00D41E9E">
        <w:rPr>
          <w:rFonts w:eastAsia="楷体_GB2312" w:hint="eastAsia"/>
          <w:color w:val="auto"/>
        </w:rPr>
        <w:t>经过前期调整，在降息周期背景下，大盘蓝筹亦存在阶段性表现机会。</w:t>
      </w:r>
    </w:p>
    <w:p w:rsidR="00256A3A" w:rsidRPr="006B085A" w:rsidRDefault="00D41E9E" w:rsidP="00E22A18">
      <w:pPr>
        <w:widowControl/>
        <w:spacing w:after="120" w:line="240" w:lineRule="exact"/>
        <w:ind w:left="3430"/>
        <w:rPr>
          <w:rFonts w:ascii="Arial" w:eastAsia="楷体_GB2312" w:hAnsi="Arial" w:cs="Times New Roman"/>
          <w:b/>
          <w:bCs/>
          <w:color w:val="0070C0"/>
          <w:kern w:val="0"/>
          <w:sz w:val="24"/>
          <w:szCs w:val="20"/>
          <w:lang w:val="en-GB"/>
        </w:rPr>
      </w:pPr>
      <w:r>
        <w:rPr>
          <w:rFonts w:ascii="Arial" w:eastAsia="楷体_GB2312" w:hAnsi="Arial" w:cs="Times New Roman" w:hint="eastAsia"/>
          <w:b/>
          <w:bCs/>
          <w:color w:val="0070C0"/>
          <w:kern w:val="0"/>
          <w:sz w:val="24"/>
          <w:szCs w:val="20"/>
          <w:lang w:val="en-GB"/>
        </w:rPr>
        <w:t>3</w:t>
      </w:r>
      <w:r w:rsidR="00A60DD2">
        <w:rPr>
          <w:rFonts w:ascii="Arial" w:eastAsia="楷体_GB2312" w:hAnsi="Arial" w:cs="Times New Roman" w:hint="eastAsia"/>
          <w:b/>
          <w:bCs/>
          <w:color w:val="0070C0"/>
          <w:kern w:val="0"/>
          <w:sz w:val="24"/>
          <w:szCs w:val="20"/>
          <w:lang w:val="en-GB"/>
        </w:rPr>
        <w:t>月</w:t>
      </w:r>
      <w:r w:rsidR="002F373B">
        <w:rPr>
          <w:rFonts w:ascii="Arial" w:eastAsia="楷体_GB2312" w:hAnsi="Arial" w:cs="Times New Roman" w:hint="eastAsia"/>
          <w:b/>
          <w:bCs/>
          <w:color w:val="0070C0"/>
          <w:kern w:val="0"/>
          <w:sz w:val="24"/>
          <w:szCs w:val="20"/>
          <w:lang w:val="en-GB"/>
        </w:rPr>
        <w:t>权益类</w:t>
      </w:r>
      <w:r w:rsidR="007E2F98" w:rsidRPr="007E2F98">
        <w:rPr>
          <w:rFonts w:ascii="Arial" w:eastAsia="楷体_GB2312" w:hAnsi="Arial" w:cs="Times New Roman" w:hint="eastAsia"/>
          <w:b/>
          <w:bCs/>
          <w:color w:val="0070C0"/>
          <w:kern w:val="0"/>
          <w:sz w:val="24"/>
          <w:szCs w:val="20"/>
          <w:lang w:val="en-GB"/>
        </w:rPr>
        <w:t>基金配置策略：</w:t>
      </w:r>
      <w:r w:rsidR="006C0DF2">
        <w:rPr>
          <w:rFonts w:ascii="Arial" w:eastAsia="楷体_GB2312" w:hAnsi="Arial" w:cs="Times New Roman" w:hint="eastAsia"/>
          <w:b/>
          <w:bCs/>
          <w:color w:val="0070C0"/>
          <w:kern w:val="0"/>
          <w:sz w:val="24"/>
          <w:szCs w:val="20"/>
          <w:lang w:val="en-GB"/>
        </w:rPr>
        <w:t>优化配置</w:t>
      </w:r>
      <w:r w:rsidR="002502B8">
        <w:rPr>
          <w:rFonts w:ascii="Arial" w:eastAsia="楷体_GB2312" w:hAnsi="Arial" w:cs="Times New Roman" w:hint="eastAsia"/>
          <w:b/>
          <w:bCs/>
          <w:color w:val="0070C0"/>
          <w:kern w:val="0"/>
          <w:sz w:val="24"/>
          <w:szCs w:val="20"/>
          <w:lang w:val="en-GB"/>
        </w:rPr>
        <w:t>，</w:t>
      </w:r>
      <w:r w:rsidR="00622997">
        <w:rPr>
          <w:rFonts w:ascii="Arial" w:eastAsia="楷体_GB2312" w:hAnsi="Arial" w:cs="Times New Roman" w:hint="eastAsia"/>
          <w:b/>
          <w:bCs/>
          <w:color w:val="0070C0"/>
          <w:kern w:val="0"/>
          <w:sz w:val="24"/>
          <w:szCs w:val="20"/>
          <w:lang w:val="en-GB"/>
        </w:rPr>
        <w:t>关注</w:t>
      </w:r>
      <w:r w:rsidR="0078349E">
        <w:rPr>
          <w:rFonts w:ascii="Arial" w:eastAsia="楷体_GB2312" w:hAnsi="Arial" w:cs="Times New Roman" w:hint="eastAsia"/>
          <w:b/>
          <w:bCs/>
          <w:color w:val="0070C0"/>
          <w:kern w:val="0"/>
          <w:sz w:val="24"/>
          <w:szCs w:val="20"/>
          <w:lang w:val="en-GB"/>
        </w:rPr>
        <w:t>主题</w:t>
      </w:r>
    </w:p>
    <w:p w:rsidR="00C57171" w:rsidRPr="00C57171" w:rsidRDefault="004415A5" w:rsidP="00C57171">
      <w:pPr>
        <w:widowControl/>
        <w:spacing w:after="120" w:line="240" w:lineRule="exact"/>
        <w:ind w:leftChars="1633" w:left="3429" w:firstLineChars="200" w:firstLine="420"/>
        <w:rPr>
          <w:rFonts w:ascii="Arial" w:eastAsia="楷体_GB2312" w:hAnsi="Arial" w:cs="Times New Roman"/>
          <w:kern w:val="0"/>
          <w:szCs w:val="20"/>
          <w:lang w:val="en-GB"/>
        </w:rPr>
      </w:pPr>
      <w:r>
        <w:rPr>
          <w:rFonts w:ascii="Arial" w:eastAsia="楷体_GB2312" w:hAnsi="Arial" w:cs="Times New Roman" w:hint="eastAsia"/>
          <w:kern w:val="0"/>
          <w:szCs w:val="20"/>
          <w:lang w:val="en-GB"/>
        </w:rPr>
        <w:t>鉴于上文对于市场环境的分析，</w:t>
      </w:r>
      <w:r w:rsidR="00F23C63">
        <w:rPr>
          <w:rFonts w:ascii="Arial" w:eastAsia="楷体_GB2312" w:hAnsi="Arial" w:cs="Times New Roman" w:hint="eastAsia"/>
          <w:kern w:val="0"/>
          <w:szCs w:val="20"/>
          <w:lang w:val="en-GB"/>
        </w:rPr>
        <w:t>我们认为，</w:t>
      </w:r>
      <w:r w:rsidR="00B90022">
        <w:rPr>
          <w:rFonts w:ascii="Arial" w:eastAsia="楷体_GB2312" w:hAnsi="Arial" w:cs="Times New Roman" w:hint="eastAsia"/>
          <w:kern w:val="0"/>
          <w:szCs w:val="20"/>
          <w:lang w:val="en-GB"/>
        </w:rPr>
        <w:t>中长期来看</w:t>
      </w:r>
      <w:r w:rsidR="00AF6414">
        <w:rPr>
          <w:rFonts w:ascii="Arial" w:eastAsia="楷体_GB2312" w:hAnsi="Arial" w:cs="Times New Roman" w:hint="eastAsia"/>
          <w:kern w:val="0"/>
          <w:szCs w:val="20"/>
          <w:lang w:val="en-GB"/>
        </w:rPr>
        <w:t>货币政策进入降息周期，</w:t>
      </w:r>
      <w:r w:rsidR="00B90022">
        <w:rPr>
          <w:rFonts w:ascii="Arial" w:eastAsia="楷体_GB2312" w:hAnsi="Arial" w:cs="Times New Roman" w:hint="eastAsia"/>
          <w:kern w:val="0"/>
          <w:szCs w:val="20"/>
          <w:lang w:val="en-GB"/>
        </w:rPr>
        <w:t>宽松</w:t>
      </w:r>
      <w:r w:rsidR="003F53FA">
        <w:rPr>
          <w:rFonts w:ascii="Arial" w:eastAsia="楷体_GB2312" w:hAnsi="Arial" w:cs="Times New Roman" w:hint="eastAsia"/>
          <w:kern w:val="0"/>
          <w:szCs w:val="20"/>
          <w:lang w:val="en-GB"/>
        </w:rPr>
        <w:t>格局延续</w:t>
      </w:r>
      <w:r w:rsidR="00B90022">
        <w:rPr>
          <w:rFonts w:ascii="Arial" w:eastAsia="楷体_GB2312" w:hAnsi="Arial" w:cs="Times New Roman" w:hint="eastAsia"/>
          <w:kern w:val="0"/>
          <w:szCs w:val="20"/>
          <w:lang w:val="en-GB"/>
        </w:rPr>
        <w:t>，</w:t>
      </w:r>
      <w:r w:rsidR="003F53FA">
        <w:rPr>
          <w:rFonts w:ascii="Arial" w:eastAsia="楷体_GB2312" w:hAnsi="Arial" w:cs="Times New Roman" w:hint="eastAsia"/>
          <w:kern w:val="0"/>
          <w:szCs w:val="20"/>
          <w:lang w:val="en-GB"/>
        </w:rPr>
        <w:t>降准降息后财政政策有望接棒发力共同助力经济</w:t>
      </w:r>
      <w:r w:rsidR="007F0ABC">
        <w:rPr>
          <w:rFonts w:ascii="Arial" w:eastAsia="楷体_GB2312" w:hAnsi="Arial" w:cs="Times New Roman" w:hint="eastAsia"/>
          <w:kern w:val="0"/>
          <w:szCs w:val="20"/>
          <w:lang w:val="en-GB"/>
        </w:rPr>
        <w:t>软着陆，两会召开，各领域改革稳步推进，相关顶层制度设计有望会后出台，</w:t>
      </w:r>
      <w:r w:rsidR="007F0ABC">
        <w:rPr>
          <w:rFonts w:ascii="Arial" w:eastAsia="楷体_GB2312" w:hAnsi="Arial" w:cs="Times New Roman" w:hint="eastAsia"/>
          <w:kern w:val="0"/>
          <w:szCs w:val="20"/>
          <w:lang w:val="en-GB"/>
        </w:rPr>
        <w:t>A</w:t>
      </w:r>
      <w:r w:rsidR="007F0ABC">
        <w:rPr>
          <w:rFonts w:ascii="Arial" w:eastAsia="楷体_GB2312" w:hAnsi="Arial" w:cs="Times New Roman" w:hint="eastAsia"/>
          <w:kern w:val="0"/>
          <w:szCs w:val="20"/>
          <w:lang w:val="en-GB"/>
        </w:rPr>
        <w:t>股向好趋势未变。但短期而言，降息</w:t>
      </w:r>
      <w:r w:rsidR="00793354">
        <w:rPr>
          <w:rFonts w:ascii="Arial" w:eastAsia="楷体_GB2312" w:hAnsi="Arial" w:cs="Times New Roman" w:hint="eastAsia"/>
          <w:kern w:val="0"/>
          <w:szCs w:val="20"/>
          <w:lang w:val="en-GB"/>
        </w:rPr>
        <w:t>举措</w:t>
      </w:r>
      <w:r w:rsidR="007F0ABC">
        <w:rPr>
          <w:rFonts w:ascii="Arial" w:eastAsia="楷体_GB2312" w:hAnsi="Arial" w:cs="Times New Roman" w:hint="eastAsia"/>
          <w:kern w:val="0"/>
          <w:szCs w:val="20"/>
          <w:lang w:val="en-GB"/>
        </w:rPr>
        <w:t>在市场中已提前反应，因而</w:t>
      </w:r>
      <w:r w:rsidR="00793354">
        <w:rPr>
          <w:rFonts w:ascii="Arial" w:eastAsia="楷体_GB2312" w:hAnsi="Arial" w:cs="Times New Roman" w:hint="eastAsia"/>
          <w:kern w:val="0"/>
          <w:szCs w:val="20"/>
          <w:lang w:val="en-GB"/>
        </w:rPr>
        <w:t>针对单次措施不宜过度解读，两会环境有望带动主题投资兴起，但随着会议落幕中创板块、题材股存在回调压力，降息背景下</w:t>
      </w:r>
      <w:r w:rsidR="0056546E">
        <w:rPr>
          <w:rFonts w:ascii="Arial" w:eastAsia="楷体_GB2312" w:hAnsi="Arial" w:cs="Times New Roman" w:hint="eastAsia"/>
          <w:kern w:val="0"/>
          <w:szCs w:val="20"/>
          <w:lang w:val="en-GB"/>
        </w:rPr>
        <w:t>大盘蓝筹</w:t>
      </w:r>
      <w:r w:rsidR="00793354">
        <w:rPr>
          <w:rFonts w:ascii="Arial" w:eastAsia="楷体_GB2312" w:hAnsi="Arial" w:cs="Times New Roman" w:hint="eastAsia"/>
          <w:kern w:val="0"/>
          <w:szCs w:val="20"/>
          <w:lang w:val="en-GB"/>
        </w:rPr>
        <w:t>或存阶段性表现机会，</w:t>
      </w:r>
      <w:r w:rsidR="0056546E">
        <w:rPr>
          <w:rFonts w:ascii="Arial" w:eastAsia="楷体_GB2312" w:hAnsi="Arial" w:cs="Times New Roman" w:hint="eastAsia"/>
          <w:kern w:val="0"/>
          <w:szCs w:val="20"/>
          <w:lang w:val="en-GB"/>
        </w:rPr>
        <w:t>综合来看</w:t>
      </w:r>
      <w:r w:rsidR="0056546E">
        <w:rPr>
          <w:rFonts w:ascii="Arial" w:eastAsia="楷体_GB2312" w:hAnsi="Arial" w:cs="Times New Roman" w:hint="eastAsia"/>
          <w:kern w:val="0"/>
          <w:szCs w:val="20"/>
          <w:lang w:val="en-GB"/>
        </w:rPr>
        <w:t>A</w:t>
      </w:r>
      <w:r w:rsidR="0056546E">
        <w:rPr>
          <w:rFonts w:ascii="Arial" w:eastAsia="楷体_GB2312" w:hAnsi="Arial" w:cs="Times New Roman" w:hint="eastAsia"/>
          <w:kern w:val="0"/>
          <w:szCs w:val="20"/>
          <w:lang w:val="en-GB"/>
        </w:rPr>
        <w:t>股市场大概率保持震荡格局，期间穿插热点轮动。就基金投资而言，</w:t>
      </w:r>
      <w:r w:rsidR="008D24B1">
        <w:rPr>
          <w:rFonts w:ascii="Arial" w:eastAsia="楷体_GB2312" w:hAnsi="Arial" w:cs="Times New Roman" w:hint="eastAsia"/>
          <w:kern w:val="0"/>
          <w:szCs w:val="20"/>
          <w:lang w:val="en-GB"/>
        </w:rPr>
        <w:t>建议投资者稳健为先，灵活为辅，</w:t>
      </w:r>
      <w:r w:rsidR="008D24B1" w:rsidRPr="008D24B1">
        <w:rPr>
          <w:rFonts w:ascii="Arial" w:eastAsia="楷体_GB2312" w:hAnsi="Arial" w:cs="Times New Roman" w:hint="eastAsia"/>
          <w:kern w:val="0"/>
          <w:szCs w:val="20"/>
          <w:lang w:val="en-GB"/>
        </w:rPr>
        <w:t>对仓位水平适中、行业配置相对均衡、长期业绩优异、投资管理能力较强的平衡风格基金配置力度</w:t>
      </w:r>
      <w:r w:rsidR="008D24B1">
        <w:rPr>
          <w:rFonts w:ascii="Arial" w:eastAsia="楷体_GB2312" w:hAnsi="Arial" w:cs="Times New Roman" w:hint="eastAsia"/>
          <w:kern w:val="0"/>
          <w:szCs w:val="20"/>
          <w:lang w:val="en-GB"/>
        </w:rPr>
        <w:t>，另一方面</w:t>
      </w:r>
      <w:r w:rsidR="008D24B1" w:rsidRPr="008D24B1">
        <w:rPr>
          <w:rFonts w:ascii="Arial" w:eastAsia="楷体_GB2312" w:hAnsi="Arial" w:cs="Times New Roman" w:hint="eastAsia"/>
          <w:kern w:val="0"/>
          <w:szCs w:val="20"/>
          <w:lang w:val="en-GB"/>
        </w:rPr>
        <w:t>优选热点捕捉能力较强、行业及仓位调整灵活的灵活配置型产品，达到把握市场轮动特征、攻守相宜的配置效果</w:t>
      </w:r>
      <w:r w:rsidR="008D24B1">
        <w:rPr>
          <w:rFonts w:ascii="Arial" w:eastAsia="楷体_GB2312" w:hAnsi="Arial" w:cs="Times New Roman" w:hint="eastAsia"/>
          <w:kern w:val="0"/>
          <w:szCs w:val="20"/>
          <w:lang w:val="en-GB"/>
        </w:rPr>
        <w:t>。</w:t>
      </w:r>
      <w:r w:rsidR="003A6ACF">
        <w:rPr>
          <w:rFonts w:ascii="Arial" w:eastAsia="楷体_GB2312" w:hAnsi="Arial" w:cs="Times New Roman" w:hint="eastAsia"/>
          <w:kern w:val="0"/>
          <w:szCs w:val="20"/>
          <w:lang w:val="en-GB"/>
        </w:rPr>
        <w:t>考虑到两会窗口开启，市场热点主题活跃，</w:t>
      </w:r>
      <w:r w:rsidR="00671DBA">
        <w:rPr>
          <w:rFonts w:ascii="Arial" w:eastAsia="楷体_GB2312" w:hAnsi="Arial" w:cs="Times New Roman" w:hint="eastAsia"/>
          <w:kern w:val="0"/>
          <w:szCs w:val="20"/>
          <w:lang w:val="en-GB"/>
        </w:rPr>
        <w:t>通过行业或主题型产品对相关机会予以把握，但要注意会后获利回吐风险。另外</w:t>
      </w:r>
      <w:r w:rsidR="008D24B1">
        <w:rPr>
          <w:rFonts w:ascii="Arial" w:eastAsia="楷体_GB2312" w:hAnsi="Arial" w:cs="Times New Roman" w:hint="eastAsia"/>
          <w:kern w:val="0"/>
          <w:szCs w:val="20"/>
          <w:lang w:val="en-GB"/>
        </w:rPr>
        <w:t>从风格的角度上来看</w:t>
      </w:r>
      <w:r w:rsidR="0056546E">
        <w:rPr>
          <w:rFonts w:ascii="Arial" w:eastAsia="楷体_GB2312" w:hAnsi="Arial" w:cs="Times New Roman" w:hint="eastAsia"/>
          <w:kern w:val="0"/>
          <w:szCs w:val="20"/>
          <w:lang w:val="en-GB"/>
        </w:rPr>
        <w:t>蓝筹股充分回调后投资价值仍值得期待，投资者可借调整</w:t>
      </w:r>
      <w:r w:rsidR="00297B7A" w:rsidRPr="00297B7A">
        <w:rPr>
          <w:rFonts w:ascii="Arial" w:eastAsia="楷体_GB2312" w:hAnsi="Arial" w:cs="Times New Roman" w:hint="eastAsia"/>
          <w:kern w:val="0"/>
          <w:szCs w:val="20"/>
          <w:lang w:val="en-GB"/>
        </w:rPr>
        <w:t>之机，适时逢低布局</w:t>
      </w:r>
      <w:r w:rsidR="00297B7A">
        <w:rPr>
          <w:rFonts w:ascii="Arial" w:eastAsia="楷体_GB2312" w:hAnsi="Arial" w:cs="Times New Roman" w:hint="eastAsia"/>
          <w:kern w:val="0"/>
          <w:szCs w:val="20"/>
          <w:lang w:val="en-GB"/>
        </w:rPr>
        <w:t>；而对于</w:t>
      </w:r>
      <w:r w:rsidR="00297B7A" w:rsidRPr="00297B7A">
        <w:rPr>
          <w:rFonts w:ascii="Arial" w:eastAsia="楷体_GB2312" w:hAnsi="Arial" w:cs="Times New Roman" w:hint="eastAsia"/>
          <w:kern w:val="0"/>
          <w:szCs w:val="20"/>
          <w:lang w:val="en-GB"/>
        </w:rPr>
        <w:t>消费和成长类行业，组合中布局大消费、选股能力突出品种</w:t>
      </w:r>
      <w:r w:rsidR="00297B7A">
        <w:rPr>
          <w:rFonts w:ascii="Arial" w:eastAsia="楷体_GB2312" w:hAnsi="Arial" w:cs="Times New Roman" w:hint="eastAsia"/>
          <w:kern w:val="0"/>
          <w:szCs w:val="20"/>
          <w:lang w:val="en-GB"/>
        </w:rPr>
        <w:t>可继续予以关注</w:t>
      </w:r>
      <w:r w:rsidR="00297B7A" w:rsidRPr="00297B7A">
        <w:rPr>
          <w:rFonts w:ascii="Arial" w:eastAsia="楷体_GB2312" w:hAnsi="Arial" w:cs="Times New Roman" w:hint="eastAsia"/>
          <w:kern w:val="0"/>
          <w:szCs w:val="20"/>
          <w:lang w:val="en-GB"/>
        </w:rPr>
        <w:t>，</w:t>
      </w:r>
      <w:r w:rsidR="00297B7A">
        <w:rPr>
          <w:rFonts w:ascii="Arial" w:eastAsia="楷体_GB2312" w:hAnsi="Arial" w:cs="Times New Roman" w:hint="eastAsia"/>
          <w:kern w:val="0"/>
          <w:szCs w:val="20"/>
          <w:lang w:val="en-GB"/>
        </w:rPr>
        <w:t>而</w:t>
      </w:r>
      <w:r w:rsidR="00297B7A" w:rsidRPr="00297B7A">
        <w:rPr>
          <w:rFonts w:ascii="Arial" w:eastAsia="楷体_GB2312" w:hAnsi="Arial" w:cs="Times New Roman" w:hint="eastAsia"/>
          <w:kern w:val="0"/>
          <w:szCs w:val="20"/>
          <w:lang w:val="en-GB"/>
        </w:rPr>
        <w:t>对于部分运作风格激进的成长型主动产品以及相关指数产品数产品可择机逢高减仓，兑现收益。</w:t>
      </w:r>
    </w:p>
    <w:p w:rsidR="00FE2F05" w:rsidRPr="00923534" w:rsidRDefault="006C0DF2" w:rsidP="00FE2F05">
      <w:pPr>
        <w:widowControl/>
        <w:spacing w:after="120" w:line="240" w:lineRule="exact"/>
        <w:ind w:left="3430"/>
        <w:rPr>
          <w:rFonts w:ascii="Arial" w:eastAsia="楷体_GB2312" w:hAnsi="Arial" w:cs="Times New Roman"/>
          <w:b/>
          <w:bCs/>
          <w:color w:val="0070C0"/>
          <w:kern w:val="0"/>
          <w:szCs w:val="21"/>
          <w:lang w:val="en-GB"/>
        </w:rPr>
      </w:pPr>
      <w:r>
        <w:rPr>
          <w:rFonts w:ascii="Arial" w:eastAsia="楷体_GB2312" w:hAnsi="Arial" w:cs="Times New Roman" w:hint="eastAsia"/>
          <w:b/>
          <w:bCs/>
          <w:color w:val="0070C0"/>
          <w:kern w:val="0"/>
          <w:szCs w:val="21"/>
          <w:lang w:val="en-GB"/>
        </w:rPr>
        <w:t>稳健为先</w:t>
      </w:r>
      <w:r w:rsidR="001C0585">
        <w:rPr>
          <w:rFonts w:ascii="Arial" w:eastAsia="楷体_GB2312" w:hAnsi="Arial" w:cs="Times New Roman" w:hint="eastAsia"/>
          <w:b/>
          <w:bCs/>
          <w:color w:val="0070C0"/>
          <w:kern w:val="0"/>
          <w:szCs w:val="21"/>
          <w:lang w:val="en-GB"/>
        </w:rPr>
        <w:t>，</w:t>
      </w:r>
      <w:r>
        <w:rPr>
          <w:rFonts w:ascii="Arial" w:eastAsia="楷体_GB2312" w:hAnsi="Arial" w:cs="Times New Roman" w:hint="eastAsia"/>
          <w:b/>
          <w:bCs/>
          <w:color w:val="0070C0"/>
          <w:kern w:val="0"/>
          <w:szCs w:val="21"/>
          <w:lang w:val="en-GB"/>
        </w:rPr>
        <w:t>灵活为辅</w:t>
      </w:r>
    </w:p>
    <w:p w:rsidR="00F44B18" w:rsidRDefault="00F44B18" w:rsidP="00560558">
      <w:pPr>
        <w:pStyle w:val="ab"/>
        <w:numPr>
          <w:ilvl w:val="4"/>
          <w:numId w:val="1"/>
        </w:numPr>
        <w:spacing w:after="163"/>
        <w:rPr>
          <w:rFonts w:eastAsia="楷体_GB2312"/>
          <w:color w:val="auto"/>
        </w:rPr>
      </w:pPr>
      <w:r>
        <w:rPr>
          <w:rFonts w:eastAsia="楷体_GB2312" w:hint="eastAsia"/>
          <w:color w:val="auto"/>
        </w:rPr>
        <w:t>正如前文所述</w:t>
      </w:r>
      <w:r w:rsidR="00AB716F">
        <w:rPr>
          <w:rFonts w:eastAsia="楷体_GB2312" w:hint="eastAsia"/>
          <w:color w:val="auto"/>
        </w:rPr>
        <w:t>尽管政策面宽松以及改革红利仍将对</w:t>
      </w:r>
      <w:r w:rsidR="00AB716F">
        <w:rPr>
          <w:rFonts w:eastAsia="楷体_GB2312" w:hint="eastAsia"/>
          <w:color w:val="auto"/>
        </w:rPr>
        <w:t>A</w:t>
      </w:r>
      <w:r w:rsidR="00AB716F">
        <w:rPr>
          <w:rFonts w:eastAsia="楷体_GB2312" w:hint="eastAsia"/>
          <w:color w:val="auto"/>
        </w:rPr>
        <w:t>股中长期投资机会构成有力支撑，但就短期而言</w:t>
      </w:r>
      <w:r w:rsidR="00E927EE">
        <w:rPr>
          <w:rFonts w:eastAsia="楷体_GB2312" w:hint="eastAsia"/>
          <w:color w:val="auto"/>
        </w:rPr>
        <w:t>，</w:t>
      </w:r>
      <w:r w:rsidR="00E927EE">
        <w:rPr>
          <w:rFonts w:eastAsia="楷体_GB2312" w:hint="eastAsia"/>
          <w:color w:val="auto"/>
        </w:rPr>
        <w:t>2</w:t>
      </w:r>
      <w:r w:rsidR="00E927EE">
        <w:rPr>
          <w:rFonts w:eastAsia="楷体_GB2312" w:hint="eastAsia"/>
          <w:color w:val="auto"/>
        </w:rPr>
        <w:t>月中旬以来的小步快涨行情已对</w:t>
      </w:r>
      <w:r w:rsidR="00AB716F">
        <w:rPr>
          <w:rFonts w:eastAsia="楷体_GB2312" w:hint="eastAsia"/>
          <w:color w:val="auto"/>
        </w:rPr>
        <w:t>本次降息政策</w:t>
      </w:r>
      <w:r w:rsidR="00E927EE">
        <w:rPr>
          <w:rFonts w:eastAsia="楷体_GB2312" w:hint="eastAsia"/>
          <w:color w:val="auto"/>
        </w:rPr>
        <w:t>提前反应，因而政策提振作用对市场提振作用不宜多度解读，且两会过后，前期具备充分预期与市场演绎的主题、题材股面临活力回吐压力，市场大概率以震荡格局为主。在此背景下，</w:t>
      </w:r>
      <w:r w:rsidR="00C1140A">
        <w:rPr>
          <w:rFonts w:eastAsia="楷体_GB2312" w:hint="eastAsia"/>
          <w:color w:val="auto"/>
        </w:rPr>
        <w:t>建议投资者稳健为先，</w:t>
      </w:r>
      <w:r w:rsidR="00566B13">
        <w:rPr>
          <w:rFonts w:eastAsia="楷体_GB2312" w:hint="eastAsia"/>
          <w:color w:val="auto"/>
        </w:rPr>
        <w:t>灵活为辅。</w:t>
      </w:r>
      <w:r w:rsidR="00C1140A">
        <w:rPr>
          <w:rFonts w:eastAsia="楷体_GB2312" w:hint="eastAsia"/>
          <w:color w:val="auto"/>
        </w:rPr>
        <w:t>一方面</w:t>
      </w:r>
      <w:r w:rsidR="00566B13">
        <w:rPr>
          <w:rFonts w:eastAsia="楷体_GB2312" w:hint="eastAsia"/>
          <w:color w:val="auto"/>
        </w:rPr>
        <w:t>加大对</w:t>
      </w:r>
      <w:r w:rsidR="00534D9B" w:rsidRPr="00534D9B">
        <w:rPr>
          <w:rFonts w:eastAsia="楷体_GB2312" w:hint="eastAsia"/>
          <w:color w:val="auto"/>
        </w:rPr>
        <w:t>仓位水平适中、行业配置相对均衡、长期业绩优异、投资管理能力较强的平衡风格基金</w:t>
      </w:r>
      <w:r w:rsidR="00566B13">
        <w:rPr>
          <w:rFonts w:eastAsia="楷体_GB2312" w:hint="eastAsia"/>
          <w:color w:val="auto"/>
        </w:rPr>
        <w:t>配置力度</w:t>
      </w:r>
      <w:r w:rsidR="00534D9B" w:rsidRPr="00534D9B">
        <w:rPr>
          <w:rFonts w:eastAsia="楷体_GB2312" w:hint="eastAsia"/>
          <w:color w:val="auto"/>
        </w:rPr>
        <w:t>，如富国天成红利</w:t>
      </w:r>
      <w:r w:rsidR="00566B13">
        <w:rPr>
          <w:rFonts w:eastAsia="楷体_GB2312" w:hint="eastAsia"/>
          <w:color w:val="auto"/>
        </w:rPr>
        <w:t>、光大动态优选等，充分发挥该类基金产品在组合中的”稳定器“作用，另一方面，优选</w:t>
      </w:r>
      <w:r w:rsidR="00836168">
        <w:rPr>
          <w:rFonts w:eastAsia="楷体_GB2312" w:hint="eastAsia"/>
          <w:color w:val="auto"/>
        </w:rPr>
        <w:t>热点捕捉能力较强</w:t>
      </w:r>
      <w:r w:rsidR="00DE660F">
        <w:rPr>
          <w:rFonts w:eastAsia="楷体_GB2312" w:hint="eastAsia"/>
          <w:color w:val="auto"/>
        </w:rPr>
        <w:t>、行业及仓位调整</w:t>
      </w:r>
      <w:r w:rsidR="006E14DC">
        <w:rPr>
          <w:rFonts w:eastAsia="楷体_GB2312" w:hint="eastAsia"/>
          <w:color w:val="auto"/>
        </w:rPr>
        <w:t>灵活</w:t>
      </w:r>
      <w:r w:rsidR="00836168">
        <w:rPr>
          <w:rFonts w:eastAsia="楷体_GB2312" w:hint="eastAsia"/>
          <w:color w:val="auto"/>
        </w:rPr>
        <w:t>的灵活配置型产品，达到把握市场轮动特征、攻守相宜的配置效果，相关产品如</w:t>
      </w:r>
      <w:r w:rsidR="006E14DC">
        <w:rPr>
          <w:rFonts w:eastAsia="楷体_GB2312" w:hint="eastAsia"/>
          <w:color w:val="auto"/>
        </w:rPr>
        <w:t>华富竞争力、</w:t>
      </w:r>
      <w:r w:rsidR="00E927EE">
        <w:rPr>
          <w:rFonts w:eastAsia="楷体_GB2312" w:hint="eastAsia"/>
          <w:color w:val="auto"/>
        </w:rPr>
        <w:t>中海蓝筹、</w:t>
      </w:r>
      <w:r w:rsidR="006E14DC">
        <w:rPr>
          <w:rFonts w:eastAsia="楷体_GB2312" w:hint="eastAsia"/>
          <w:color w:val="auto"/>
        </w:rPr>
        <w:t>宝盈核心优势等。</w:t>
      </w:r>
    </w:p>
    <w:p w:rsidR="007E2F98" w:rsidRPr="007E2F98" w:rsidRDefault="00F44B18" w:rsidP="00C16014">
      <w:pPr>
        <w:widowControl/>
        <w:spacing w:after="120" w:line="240" w:lineRule="exact"/>
        <w:ind w:firstLineChars="1652" w:firstLine="3483"/>
        <w:rPr>
          <w:rFonts w:ascii="Arial" w:eastAsia="楷体_GB2312" w:hAnsi="Arial" w:cs="Times New Roman"/>
          <w:b/>
          <w:bCs/>
          <w:color w:val="0070C0"/>
          <w:kern w:val="0"/>
          <w:szCs w:val="21"/>
          <w:lang w:val="en-GB"/>
        </w:rPr>
      </w:pPr>
      <w:r>
        <w:rPr>
          <w:rFonts w:ascii="Arial" w:eastAsia="楷体_GB2312" w:hAnsi="Arial" w:cs="Times New Roman" w:hint="eastAsia"/>
          <w:b/>
          <w:bCs/>
          <w:color w:val="0070C0"/>
          <w:kern w:val="0"/>
          <w:szCs w:val="21"/>
          <w:lang w:val="en-GB"/>
        </w:rPr>
        <w:t>优化配置结构，</w:t>
      </w:r>
      <w:r w:rsidR="0078349E">
        <w:rPr>
          <w:rFonts w:ascii="Arial" w:eastAsia="楷体_GB2312" w:hAnsi="Arial" w:cs="Times New Roman" w:hint="eastAsia"/>
          <w:b/>
          <w:bCs/>
          <w:color w:val="0070C0"/>
          <w:kern w:val="0"/>
          <w:szCs w:val="21"/>
          <w:lang w:val="en-GB"/>
        </w:rPr>
        <w:t>搭配主题投资</w:t>
      </w:r>
    </w:p>
    <w:p w:rsidR="007A4867" w:rsidRDefault="003217F7" w:rsidP="00D061FD">
      <w:pPr>
        <w:pStyle w:val="ab"/>
        <w:numPr>
          <w:ilvl w:val="4"/>
          <w:numId w:val="1"/>
        </w:numPr>
        <w:spacing w:after="163"/>
        <w:rPr>
          <w:rFonts w:eastAsia="楷体_GB2312"/>
          <w:color w:val="auto"/>
        </w:rPr>
      </w:pPr>
      <w:r w:rsidRPr="003217F7">
        <w:rPr>
          <w:rFonts w:eastAsia="楷体_GB2312" w:hint="eastAsia"/>
          <w:color w:val="auto"/>
        </w:rPr>
        <w:t>从风格的角度来看，</w:t>
      </w:r>
      <w:r w:rsidR="00303A81">
        <w:rPr>
          <w:rFonts w:eastAsia="楷体_GB2312" w:hint="eastAsia"/>
          <w:color w:val="auto"/>
        </w:rPr>
        <w:t>年初以来</w:t>
      </w:r>
      <w:r w:rsidRPr="003217F7">
        <w:rPr>
          <w:rFonts w:eastAsia="楷体_GB2312" w:hint="eastAsia"/>
          <w:color w:val="auto"/>
        </w:rPr>
        <w:t>随着</w:t>
      </w:r>
      <w:r w:rsidR="00051077">
        <w:rPr>
          <w:rFonts w:eastAsia="楷体_GB2312" w:hint="eastAsia"/>
          <w:color w:val="auto"/>
        </w:rPr>
        <w:t>利空因素的释放前期强势的大盘蓝筹逐渐陷入震荡调整，但从中长期的角度来看</w:t>
      </w:r>
      <w:r w:rsidR="00162CD5">
        <w:rPr>
          <w:rFonts w:eastAsia="楷体_GB2312" w:hint="eastAsia"/>
          <w:color w:val="auto"/>
        </w:rPr>
        <w:t>支持大盘蓝筹价值重估的改革因素未发生变化，</w:t>
      </w:r>
      <w:r w:rsidR="00162CD5" w:rsidRPr="00162CD5">
        <w:rPr>
          <w:rFonts w:eastAsia="楷体_GB2312" w:hint="eastAsia"/>
          <w:color w:val="auto"/>
        </w:rPr>
        <w:t>国企改革</w:t>
      </w:r>
      <w:r w:rsidR="00162CD5">
        <w:rPr>
          <w:rFonts w:eastAsia="楷体_GB2312" w:hint="eastAsia"/>
          <w:color w:val="auto"/>
        </w:rPr>
        <w:t>的</w:t>
      </w:r>
      <w:r w:rsidR="00162CD5" w:rsidRPr="00162CD5">
        <w:rPr>
          <w:rFonts w:eastAsia="楷体_GB2312" w:hint="eastAsia"/>
          <w:color w:val="auto"/>
        </w:rPr>
        <w:t>稳步推进</w:t>
      </w:r>
      <w:r w:rsidR="00303A81">
        <w:rPr>
          <w:rFonts w:eastAsia="楷体_GB2312" w:hint="eastAsia"/>
          <w:color w:val="auto"/>
        </w:rPr>
        <w:t>，相关顶层制度设计有望于两会后出台，此外对于杠杆资金入市治理所带来的负面影响逐渐得到消化，降息举措对大盘蓝筹股构成一定利好支撑，因此</w:t>
      </w:r>
      <w:r w:rsidR="00EA1B6A">
        <w:rPr>
          <w:rFonts w:eastAsia="楷体_GB2312" w:hint="eastAsia"/>
          <w:color w:val="auto"/>
        </w:rPr>
        <w:t>蓝筹股中长期投资价值仍值得期待，</w:t>
      </w:r>
      <w:r w:rsidR="00303A81">
        <w:rPr>
          <w:rFonts w:eastAsia="楷体_GB2312" w:hint="eastAsia"/>
          <w:color w:val="auto"/>
        </w:rPr>
        <w:t>短期回调到位后或存阶段性表现机会，</w:t>
      </w:r>
      <w:r w:rsidR="00EA1B6A">
        <w:rPr>
          <w:rFonts w:eastAsia="楷体_GB2312" w:hint="eastAsia"/>
          <w:color w:val="auto"/>
        </w:rPr>
        <w:t>投资者可借调之机，适时逢低布局</w:t>
      </w:r>
      <w:r w:rsidR="00685EEE">
        <w:rPr>
          <w:rFonts w:eastAsia="楷体_GB2312" w:hint="eastAsia"/>
          <w:color w:val="auto"/>
        </w:rPr>
        <w:t>。另一方</w:t>
      </w:r>
      <w:r w:rsidR="00685EEE">
        <w:rPr>
          <w:rFonts w:eastAsia="楷体_GB2312" w:hint="eastAsia"/>
          <w:color w:val="auto"/>
        </w:rPr>
        <w:lastRenderedPageBreak/>
        <w:t>面，对于消费和成长类行业，在权重股回调之际，已走出一轮回升行情，在此过程中中证</w:t>
      </w:r>
      <w:r w:rsidR="00685EEE">
        <w:rPr>
          <w:rFonts w:eastAsia="楷体_GB2312" w:hint="eastAsia"/>
          <w:color w:val="auto"/>
        </w:rPr>
        <w:t>500</w:t>
      </w:r>
      <w:r w:rsidR="00685EEE">
        <w:rPr>
          <w:rFonts w:eastAsia="楷体_GB2312" w:hint="eastAsia"/>
          <w:color w:val="auto"/>
        </w:rPr>
        <w:t>、创业板指皆创出新高，</w:t>
      </w:r>
      <w:r w:rsidR="00B3474F">
        <w:rPr>
          <w:rFonts w:eastAsia="楷体_GB2312" w:hint="eastAsia"/>
          <w:color w:val="auto"/>
        </w:rPr>
        <w:t>但后市上涨弹性面临考验，</w:t>
      </w:r>
      <w:r w:rsidR="00685EEE">
        <w:rPr>
          <w:rFonts w:eastAsia="楷体_GB2312" w:hint="eastAsia"/>
          <w:color w:val="auto"/>
        </w:rPr>
        <w:t>从行业的角度来看，</w:t>
      </w:r>
      <w:r w:rsidR="00B3474F">
        <w:rPr>
          <w:rFonts w:eastAsia="楷体_GB2312" w:hint="eastAsia"/>
          <w:color w:val="auto"/>
        </w:rPr>
        <w:t>具备业绩支撑的家电、医药、汽车</w:t>
      </w:r>
      <w:r w:rsidR="00EE17F2">
        <w:rPr>
          <w:rFonts w:eastAsia="楷体_GB2312" w:hint="eastAsia"/>
          <w:color w:val="auto"/>
        </w:rPr>
        <w:t>等领域值得关注，而从基金选择层面来看建议继续关注组合中布局大消费、选股能力突出、中长期业绩稳健的品种，对于部分运作风格激进的成长型主动产品以及相关指数产品数产品可择机逢高减仓，兑现收益。</w:t>
      </w:r>
      <w:r w:rsidR="00303A81">
        <w:rPr>
          <w:rFonts w:eastAsia="楷体_GB2312" w:hint="eastAsia"/>
          <w:color w:val="auto"/>
        </w:rPr>
        <w:t>另外，随着两会的召开，众多</w:t>
      </w:r>
      <w:r w:rsidR="008923F3">
        <w:rPr>
          <w:rFonts w:eastAsia="楷体_GB2312" w:hint="eastAsia"/>
          <w:color w:val="auto"/>
        </w:rPr>
        <w:t>国计民生和改革发展的相关议题</w:t>
      </w:r>
      <w:r w:rsidR="008923F3" w:rsidRPr="008923F3">
        <w:rPr>
          <w:rFonts w:eastAsia="楷体_GB2312" w:hint="eastAsia"/>
          <w:color w:val="auto"/>
        </w:rPr>
        <w:t>得到深入讨论，为主题热点行情的演绎提供良机。</w:t>
      </w:r>
      <w:r w:rsidR="008923F3">
        <w:rPr>
          <w:rFonts w:eastAsia="楷体_GB2312" w:hint="eastAsia"/>
          <w:color w:val="auto"/>
        </w:rPr>
        <w:t>建议从</w:t>
      </w:r>
      <w:r w:rsidR="008923F3" w:rsidRPr="008923F3">
        <w:rPr>
          <w:rFonts w:eastAsia="楷体_GB2312" w:hint="eastAsia"/>
          <w:color w:val="auto"/>
        </w:rPr>
        <w:t>国企改革、一带一路、区域经济、环保、医疗改革、食品安全等</w:t>
      </w:r>
      <w:r w:rsidR="008923F3">
        <w:rPr>
          <w:rFonts w:eastAsia="楷体_GB2312" w:hint="eastAsia"/>
          <w:color w:val="auto"/>
        </w:rPr>
        <w:t>角度出发，通过行业或主题型产品对热点轮动</w:t>
      </w:r>
      <w:r w:rsidR="008923F3" w:rsidRPr="008923F3">
        <w:rPr>
          <w:rFonts w:eastAsia="楷体_GB2312" w:hint="eastAsia"/>
          <w:color w:val="auto"/>
        </w:rPr>
        <w:t>机会予以把握，但要注意会后获利回吐风险。</w:t>
      </w:r>
    </w:p>
    <w:p w:rsidR="00272E30" w:rsidRPr="00272E30" w:rsidRDefault="00272E30" w:rsidP="00272E30">
      <w:pPr>
        <w:widowControl/>
        <w:spacing w:after="120" w:line="240" w:lineRule="exact"/>
        <w:ind w:leftChars="1633" w:left="3429" w:firstLineChars="49" w:firstLine="118"/>
        <w:rPr>
          <w:rFonts w:ascii="Arial" w:eastAsia="楷体_GB2312" w:hAnsi="Arial" w:cs="Times New Roman"/>
          <w:b/>
          <w:bCs/>
          <w:color w:val="0070C0"/>
          <w:kern w:val="0"/>
          <w:sz w:val="24"/>
          <w:szCs w:val="20"/>
          <w:lang w:val="en-GB"/>
        </w:rPr>
      </w:pPr>
      <w:r>
        <w:rPr>
          <w:rFonts w:ascii="Arial" w:eastAsia="楷体_GB2312" w:hAnsi="Arial" w:cs="Times New Roman" w:hint="eastAsia"/>
          <w:b/>
          <w:bCs/>
          <w:color w:val="0070C0"/>
          <w:kern w:val="0"/>
          <w:sz w:val="24"/>
          <w:szCs w:val="20"/>
          <w:lang w:val="en-GB"/>
        </w:rPr>
        <w:t>权益类</w:t>
      </w:r>
      <w:r w:rsidRPr="00272E30">
        <w:rPr>
          <w:rFonts w:ascii="Arial" w:eastAsia="楷体_GB2312" w:hAnsi="Arial" w:cs="Times New Roman" w:hint="eastAsia"/>
          <w:b/>
          <w:bCs/>
          <w:color w:val="0070C0"/>
          <w:kern w:val="0"/>
          <w:sz w:val="24"/>
          <w:szCs w:val="20"/>
          <w:lang w:val="en-GB"/>
        </w:rPr>
        <w:t>推荐产品</w:t>
      </w:r>
    </w:p>
    <w:tbl>
      <w:tblPr>
        <w:tblW w:w="10261" w:type="dxa"/>
        <w:tblInd w:w="93" w:type="dxa"/>
        <w:tblLook w:val="04A0"/>
      </w:tblPr>
      <w:tblGrid>
        <w:gridCol w:w="816"/>
        <w:gridCol w:w="1037"/>
        <w:gridCol w:w="6951"/>
        <w:gridCol w:w="1457"/>
      </w:tblGrid>
      <w:tr w:rsidR="00272E30" w:rsidRPr="00D061FD" w:rsidTr="00E927EE">
        <w:trPr>
          <w:trHeight w:val="282"/>
          <w:tblHeader/>
        </w:trPr>
        <w:tc>
          <w:tcPr>
            <w:tcW w:w="816" w:type="dxa"/>
            <w:tcBorders>
              <w:top w:val="single" w:sz="8" w:space="0" w:color="E46D0A"/>
              <w:left w:val="nil"/>
              <w:bottom w:val="single" w:sz="8" w:space="0" w:color="E46D0A"/>
              <w:right w:val="single" w:sz="4" w:space="0" w:color="E46D0A"/>
            </w:tcBorders>
            <w:shd w:val="clear" w:color="auto" w:fill="auto"/>
            <w:noWrap/>
            <w:vAlign w:val="center"/>
            <w:hideMark/>
          </w:tcPr>
          <w:p w:rsidR="00272E30" w:rsidRPr="00D061FD" w:rsidRDefault="00272E30" w:rsidP="00E927EE">
            <w:pPr>
              <w:widowControl/>
              <w:snapToGrid w:val="0"/>
              <w:jc w:val="center"/>
              <w:rPr>
                <w:rFonts w:ascii="宋体" w:eastAsia="宋体" w:hAnsi="宋体" w:cs="宋体"/>
                <w:b/>
                <w:bCs/>
                <w:color w:val="E46D0A"/>
                <w:kern w:val="0"/>
                <w:sz w:val="20"/>
                <w:szCs w:val="20"/>
              </w:rPr>
            </w:pPr>
            <w:r w:rsidRPr="00D061FD">
              <w:rPr>
                <w:rFonts w:ascii="宋体" w:eastAsia="宋体" w:hAnsi="宋体" w:cs="宋体" w:hint="eastAsia"/>
                <w:b/>
                <w:bCs/>
                <w:color w:val="E46D0A"/>
                <w:kern w:val="0"/>
                <w:sz w:val="20"/>
                <w:szCs w:val="20"/>
              </w:rPr>
              <w:t>代码</w:t>
            </w:r>
          </w:p>
        </w:tc>
        <w:tc>
          <w:tcPr>
            <w:tcW w:w="1037" w:type="dxa"/>
            <w:tcBorders>
              <w:top w:val="single" w:sz="8" w:space="0" w:color="E46D0A"/>
              <w:left w:val="nil"/>
              <w:bottom w:val="single" w:sz="8" w:space="0" w:color="E46D0A"/>
              <w:right w:val="single" w:sz="4" w:space="0" w:color="E46D0A"/>
            </w:tcBorders>
            <w:shd w:val="clear" w:color="auto" w:fill="auto"/>
            <w:noWrap/>
            <w:vAlign w:val="center"/>
            <w:hideMark/>
          </w:tcPr>
          <w:p w:rsidR="00272E30" w:rsidRPr="00D061FD" w:rsidRDefault="00272E30" w:rsidP="00E927EE">
            <w:pPr>
              <w:widowControl/>
              <w:snapToGrid w:val="0"/>
              <w:jc w:val="center"/>
              <w:rPr>
                <w:rFonts w:ascii="宋体" w:eastAsia="宋体" w:hAnsi="宋体" w:cs="宋体"/>
                <w:b/>
                <w:bCs/>
                <w:color w:val="E46D0A"/>
                <w:kern w:val="0"/>
                <w:sz w:val="20"/>
                <w:szCs w:val="20"/>
              </w:rPr>
            </w:pPr>
            <w:r w:rsidRPr="00D061FD">
              <w:rPr>
                <w:rFonts w:ascii="宋体" w:eastAsia="宋体" w:hAnsi="宋体" w:cs="宋体" w:hint="eastAsia"/>
                <w:b/>
                <w:bCs/>
                <w:color w:val="E46D0A"/>
                <w:kern w:val="0"/>
                <w:sz w:val="20"/>
                <w:szCs w:val="20"/>
              </w:rPr>
              <w:t>基金名称</w:t>
            </w:r>
          </w:p>
        </w:tc>
        <w:tc>
          <w:tcPr>
            <w:tcW w:w="6951" w:type="dxa"/>
            <w:tcBorders>
              <w:top w:val="single" w:sz="8" w:space="0" w:color="E46D0A"/>
              <w:left w:val="nil"/>
              <w:bottom w:val="single" w:sz="8" w:space="0" w:color="E46D0A"/>
              <w:right w:val="single" w:sz="4" w:space="0" w:color="E46D0A"/>
            </w:tcBorders>
            <w:shd w:val="clear" w:color="auto" w:fill="auto"/>
            <w:noWrap/>
            <w:vAlign w:val="center"/>
            <w:hideMark/>
          </w:tcPr>
          <w:p w:rsidR="00272E30" w:rsidRPr="00D061FD" w:rsidRDefault="00272E30" w:rsidP="00E927EE">
            <w:pPr>
              <w:widowControl/>
              <w:snapToGrid w:val="0"/>
              <w:jc w:val="center"/>
              <w:rPr>
                <w:rFonts w:ascii="宋体" w:eastAsia="宋体" w:hAnsi="宋体" w:cs="宋体"/>
                <w:b/>
                <w:bCs/>
                <w:color w:val="E46D0A"/>
                <w:kern w:val="0"/>
                <w:sz w:val="20"/>
                <w:szCs w:val="20"/>
              </w:rPr>
            </w:pPr>
            <w:r w:rsidRPr="00D061FD">
              <w:rPr>
                <w:rFonts w:ascii="宋体" w:eastAsia="宋体" w:hAnsi="宋体" w:cs="宋体" w:hint="eastAsia"/>
                <w:b/>
                <w:bCs/>
                <w:color w:val="E46D0A"/>
                <w:kern w:val="0"/>
                <w:sz w:val="20"/>
                <w:szCs w:val="20"/>
              </w:rPr>
              <w:t>产品简评</w:t>
            </w:r>
          </w:p>
        </w:tc>
        <w:tc>
          <w:tcPr>
            <w:tcW w:w="1457" w:type="dxa"/>
            <w:tcBorders>
              <w:top w:val="single" w:sz="8" w:space="0" w:color="E46D0A"/>
              <w:left w:val="nil"/>
              <w:bottom w:val="single" w:sz="8" w:space="0" w:color="E46D0A"/>
              <w:right w:val="nil"/>
            </w:tcBorders>
            <w:shd w:val="clear" w:color="auto" w:fill="auto"/>
            <w:noWrap/>
            <w:vAlign w:val="center"/>
            <w:hideMark/>
          </w:tcPr>
          <w:p w:rsidR="00272E30" w:rsidRPr="00D061FD" w:rsidRDefault="00272E30" w:rsidP="00E927EE">
            <w:pPr>
              <w:widowControl/>
              <w:snapToGrid w:val="0"/>
              <w:jc w:val="center"/>
              <w:rPr>
                <w:rFonts w:ascii="宋体" w:eastAsia="宋体" w:hAnsi="宋体" w:cs="宋体"/>
                <w:b/>
                <w:bCs/>
                <w:color w:val="E46D0A"/>
                <w:kern w:val="0"/>
                <w:sz w:val="20"/>
                <w:szCs w:val="20"/>
              </w:rPr>
            </w:pPr>
            <w:r w:rsidRPr="00D061FD">
              <w:rPr>
                <w:rFonts w:ascii="宋体" w:eastAsia="宋体" w:hAnsi="宋体" w:cs="宋体" w:hint="eastAsia"/>
                <w:b/>
                <w:bCs/>
                <w:color w:val="E46D0A"/>
                <w:kern w:val="0"/>
                <w:sz w:val="20"/>
                <w:szCs w:val="20"/>
              </w:rPr>
              <w:t>推荐亮点</w:t>
            </w:r>
          </w:p>
        </w:tc>
      </w:tr>
      <w:tr w:rsidR="00272E30" w:rsidRPr="00D061FD" w:rsidTr="00E927EE">
        <w:trPr>
          <w:trHeight w:val="1620"/>
        </w:trPr>
        <w:tc>
          <w:tcPr>
            <w:tcW w:w="816" w:type="dxa"/>
            <w:tcBorders>
              <w:top w:val="nil"/>
              <w:left w:val="nil"/>
              <w:bottom w:val="single" w:sz="4" w:space="0" w:color="E46D0A"/>
              <w:right w:val="single" w:sz="4" w:space="0" w:color="E46D0A"/>
            </w:tcBorders>
            <w:shd w:val="clear" w:color="auto" w:fill="auto"/>
            <w:noWrap/>
            <w:vAlign w:val="center"/>
            <w:hideMark/>
          </w:tcPr>
          <w:p w:rsidR="00272E30" w:rsidRPr="00D061FD" w:rsidRDefault="00272E30" w:rsidP="00E927EE">
            <w:pPr>
              <w:widowControl/>
              <w:snapToGrid w:val="0"/>
              <w:jc w:val="center"/>
              <w:rPr>
                <w:rFonts w:ascii="宋体" w:eastAsia="宋体" w:hAnsi="宋体" w:cs="宋体"/>
                <w:color w:val="000000"/>
                <w:kern w:val="0"/>
                <w:sz w:val="20"/>
                <w:szCs w:val="20"/>
              </w:rPr>
            </w:pPr>
            <w:r w:rsidRPr="00D061FD">
              <w:rPr>
                <w:rFonts w:ascii="宋体" w:eastAsia="宋体" w:hAnsi="宋体" w:cs="宋体" w:hint="eastAsia"/>
                <w:color w:val="000000"/>
                <w:kern w:val="0"/>
                <w:sz w:val="20"/>
                <w:szCs w:val="20"/>
              </w:rPr>
              <w:t>100029</w:t>
            </w:r>
          </w:p>
        </w:tc>
        <w:tc>
          <w:tcPr>
            <w:tcW w:w="1037" w:type="dxa"/>
            <w:tcBorders>
              <w:top w:val="nil"/>
              <w:left w:val="nil"/>
              <w:bottom w:val="single" w:sz="4" w:space="0" w:color="E46D0A"/>
              <w:right w:val="single" w:sz="4" w:space="0" w:color="E46D0A"/>
            </w:tcBorders>
            <w:shd w:val="clear" w:color="auto" w:fill="auto"/>
            <w:vAlign w:val="center"/>
            <w:hideMark/>
          </w:tcPr>
          <w:p w:rsidR="00272E30" w:rsidRPr="00D061FD" w:rsidRDefault="00272E30" w:rsidP="00E927EE">
            <w:pPr>
              <w:widowControl/>
              <w:snapToGrid w:val="0"/>
              <w:jc w:val="center"/>
              <w:rPr>
                <w:rFonts w:ascii="宋体" w:eastAsia="宋体" w:hAnsi="宋体" w:cs="宋体"/>
                <w:color w:val="000000"/>
                <w:kern w:val="0"/>
                <w:sz w:val="20"/>
                <w:szCs w:val="20"/>
              </w:rPr>
            </w:pPr>
            <w:r w:rsidRPr="00D061FD">
              <w:rPr>
                <w:rFonts w:ascii="宋体" w:eastAsia="宋体" w:hAnsi="宋体" w:cs="宋体" w:hint="eastAsia"/>
                <w:color w:val="000000"/>
                <w:kern w:val="0"/>
                <w:sz w:val="20"/>
                <w:szCs w:val="20"/>
              </w:rPr>
              <w:t>富国天成红利混合</w:t>
            </w:r>
          </w:p>
        </w:tc>
        <w:tc>
          <w:tcPr>
            <w:tcW w:w="6951" w:type="dxa"/>
            <w:tcBorders>
              <w:top w:val="nil"/>
              <w:left w:val="nil"/>
              <w:bottom w:val="single" w:sz="4" w:space="0" w:color="E46D0A"/>
              <w:right w:val="single" w:sz="4" w:space="0" w:color="E46D0A"/>
            </w:tcBorders>
            <w:shd w:val="clear" w:color="auto" w:fill="auto"/>
            <w:vAlign w:val="center"/>
            <w:hideMark/>
          </w:tcPr>
          <w:p w:rsidR="00272E30" w:rsidRPr="00D061FD" w:rsidRDefault="00272E30" w:rsidP="00E927EE">
            <w:pPr>
              <w:widowControl/>
              <w:snapToGrid w:val="0"/>
              <w:jc w:val="left"/>
              <w:rPr>
                <w:rFonts w:ascii="宋体" w:eastAsia="宋体" w:hAnsi="宋体" w:cs="宋体"/>
                <w:color w:val="000000"/>
                <w:kern w:val="0"/>
                <w:sz w:val="20"/>
                <w:szCs w:val="20"/>
              </w:rPr>
            </w:pPr>
            <w:r w:rsidRPr="00D061FD">
              <w:rPr>
                <w:rFonts w:ascii="宋体" w:eastAsia="宋体" w:hAnsi="宋体" w:cs="宋体" w:hint="eastAsia"/>
                <w:color w:val="000000"/>
                <w:kern w:val="0"/>
                <w:sz w:val="20"/>
                <w:szCs w:val="20"/>
              </w:rPr>
              <w:t xml:space="preserve">仓位长期维持在65%-75%之间的适中水平，风格稳健；前三大重仓行业仓位水平主要分布于7%-10%之间，行业配置较为均衡。以相对分散化的配置有效控制净值波动，下行风险控制出色，风险调整后收益同业居前。历史业绩稳定性高，长期累积收益排名前列。基金经理于江勇，现任富国权益投资副总监，公募管理年限超6年，投研管理经验丰富，任期内业绩表现大幅超越同业平均。 </w:t>
            </w:r>
          </w:p>
        </w:tc>
        <w:tc>
          <w:tcPr>
            <w:tcW w:w="1457" w:type="dxa"/>
            <w:tcBorders>
              <w:top w:val="nil"/>
              <w:left w:val="nil"/>
              <w:bottom w:val="single" w:sz="4" w:space="0" w:color="E46D0A"/>
              <w:right w:val="nil"/>
            </w:tcBorders>
            <w:shd w:val="clear" w:color="auto" w:fill="auto"/>
            <w:vAlign w:val="center"/>
            <w:hideMark/>
          </w:tcPr>
          <w:p w:rsidR="00272E30" w:rsidRPr="00D061FD" w:rsidRDefault="00272E30" w:rsidP="00E927EE">
            <w:pPr>
              <w:widowControl/>
              <w:snapToGrid w:val="0"/>
              <w:jc w:val="left"/>
              <w:rPr>
                <w:rFonts w:ascii="宋体" w:eastAsia="宋体" w:hAnsi="宋体" w:cs="宋体"/>
                <w:color w:val="000000"/>
                <w:kern w:val="0"/>
                <w:sz w:val="20"/>
                <w:szCs w:val="20"/>
              </w:rPr>
            </w:pPr>
            <w:r w:rsidRPr="00D061FD">
              <w:rPr>
                <w:rFonts w:ascii="宋体" w:eastAsia="宋体" w:hAnsi="宋体" w:cs="宋体" w:hint="eastAsia"/>
                <w:color w:val="000000"/>
                <w:kern w:val="0"/>
                <w:sz w:val="20"/>
                <w:szCs w:val="20"/>
              </w:rPr>
              <w:t>仓位适中、配置均衡、风险调整后收益居前</w:t>
            </w:r>
          </w:p>
        </w:tc>
      </w:tr>
      <w:tr w:rsidR="00272E30" w:rsidRPr="00D061FD" w:rsidTr="00E927EE">
        <w:trPr>
          <w:trHeight w:val="1487"/>
        </w:trPr>
        <w:tc>
          <w:tcPr>
            <w:tcW w:w="816" w:type="dxa"/>
            <w:tcBorders>
              <w:top w:val="nil"/>
              <w:left w:val="nil"/>
              <w:bottom w:val="single" w:sz="4" w:space="0" w:color="E46D0A"/>
              <w:right w:val="single" w:sz="4" w:space="0" w:color="E46D0A"/>
            </w:tcBorders>
            <w:shd w:val="clear" w:color="auto" w:fill="auto"/>
            <w:noWrap/>
            <w:vAlign w:val="center"/>
            <w:hideMark/>
          </w:tcPr>
          <w:p w:rsidR="00272E30" w:rsidRPr="005621B5" w:rsidRDefault="00272E30" w:rsidP="00E927EE">
            <w:pPr>
              <w:widowControl/>
              <w:snapToGrid w:val="0"/>
              <w:jc w:val="center"/>
              <w:rPr>
                <w:rFonts w:ascii="宋体" w:eastAsia="宋体" w:hAnsi="宋体" w:cs="宋体"/>
                <w:color w:val="000000"/>
                <w:kern w:val="0"/>
                <w:sz w:val="20"/>
                <w:szCs w:val="20"/>
              </w:rPr>
            </w:pPr>
            <w:r w:rsidRPr="005621B5">
              <w:rPr>
                <w:rFonts w:ascii="宋体" w:eastAsia="宋体" w:hAnsi="宋体" w:cs="宋体" w:hint="eastAsia"/>
                <w:color w:val="000000"/>
                <w:kern w:val="0"/>
                <w:sz w:val="20"/>
                <w:szCs w:val="20"/>
              </w:rPr>
              <w:t>630010</w:t>
            </w:r>
          </w:p>
        </w:tc>
        <w:tc>
          <w:tcPr>
            <w:tcW w:w="1037" w:type="dxa"/>
            <w:tcBorders>
              <w:top w:val="nil"/>
              <w:left w:val="nil"/>
              <w:bottom w:val="single" w:sz="4" w:space="0" w:color="E46D0A"/>
              <w:right w:val="single" w:sz="4" w:space="0" w:color="E46D0A"/>
            </w:tcBorders>
            <w:shd w:val="clear" w:color="auto" w:fill="auto"/>
            <w:vAlign w:val="center"/>
            <w:hideMark/>
          </w:tcPr>
          <w:p w:rsidR="00272E30" w:rsidRPr="005621B5" w:rsidRDefault="00272E30" w:rsidP="00E927EE">
            <w:pPr>
              <w:widowControl/>
              <w:snapToGrid w:val="0"/>
              <w:jc w:val="center"/>
              <w:rPr>
                <w:rFonts w:ascii="宋体" w:eastAsia="宋体" w:hAnsi="宋体" w:cs="宋体"/>
                <w:color w:val="000000"/>
                <w:kern w:val="0"/>
                <w:sz w:val="20"/>
                <w:szCs w:val="20"/>
              </w:rPr>
            </w:pPr>
            <w:r w:rsidRPr="005621B5">
              <w:rPr>
                <w:rFonts w:ascii="宋体" w:eastAsia="宋体" w:hAnsi="宋体" w:cs="宋体" w:hint="eastAsia"/>
                <w:color w:val="000000"/>
                <w:kern w:val="0"/>
                <w:sz w:val="20"/>
                <w:szCs w:val="20"/>
              </w:rPr>
              <w:t>华商价值精选</w:t>
            </w:r>
          </w:p>
        </w:tc>
        <w:tc>
          <w:tcPr>
            <w:tcW w:w="6951" w:type="dxa"/>
            <w:tcBorders>
              <w:top w:val="single" w:sz="4" w:space="0" w:color="E46D0A"/>
              <w:left w:val="nil"/>
              <w:bottom w:val="single" w:sz="4" w:space="0" w:color="E46D0A"/>
              <w:right w:val="single" w:sz="4" w:space="0" w:color="E46D0A"/>
            </w:tcBorders>
            <w:shd w:val="clear" w:color="auto" w:fill="auto"/>
            <w:vAlign w:val="center"/>
            <w:hideMark/>
          </w:tcPr>
          <w:p w:rsidR="00272E30" w:rsidRPr="005621B5" w:rsidRDefault="00272E30" w:rsidP="00E927EE">
            <w:pPr>
              <w:widowControl/>
              <w:snapToGrid w:val="0"/>
              <w:jc w:val="left"/>
              <w:rPr>
                <w:rFonts w:ascii="宋体" w:eastAsia="宋体" w:hAnsi="宋体" w:cs="宋体"/>
                <w:color w:val="000000"/>
                <w:kern w:val="0"/>
                <w:sz w:val="20"/>
                <w:szCs w:val="20"/>
              </w:rPr>
            </w:pPr>
            <w:r w:rsidRPr="005621B5">
              <w:rPr>
                <w:rFonts w:ascii="宋体" w:eastAsia="宋体" w:hAnsi="宋体" w:cs="宋体" w:hint="eastAsia"/>
                <w:color w:val="000000"/>
                <w:kern w:val="0"/>
                <w:sz w:val="20"/>
                <w:szCs w:val="20"/>
              </w:rPr>
              <w:t xml:space="preserve">仓位调整灵活，调整范围介于70%-90%之间，投资组合坚持以改革和转型为主要方向，配置集中于信息消费、文化旅游、医疗保健、军工等板块，兼顾业绩确定性与弹性，并将仓位控制在适度水平，保持灵活性，长期历史业绩优异。基金经理刘宏，2008年加入华商基金，投研经验丰富，自2011年5月起任该基金基金经理，任期内业绩表现超越同业平均。 </w:t>
            </w:r>
          </w:p>
        </w:tc>
        <w:tc>
          <w:tcPr>
            <w:tcW w:w="1457" w:type="dxa"/>
            <w:tcBorders>
              <w:top w:val="nil"/>
              <w:left w:val="nil"/>
              <w:bottom w:val="single" w:sz="4" w:space="0" w:color="E46D0A"/>
              <w:right w:val="nil"/>
            </w:tcBorders>
            <w:shd w:val="clear" w:color="auto" w:fill="auto"/>
            <w:vAlign w:val="center"/>
            <w:hideMark/>
          </w:tcPr>
          <w:p w:rsidR="00272E30" w:rsidRPr="005621B5" w:rsidRDefault="00272E30" w:rsidP="00E927EE">
            <w:pPr>
              <w:widowControl/>
              <w:snapToGrid w:val="0"/>
              <w:jc w:val="left"/>
              <w:rPr>
                <w:rFonts w:ascii="宋体" w:eastAsia="宋体" w:hAnsi="宋体" w:cs="宋体"/>
                <w:color w:val="000000"/>
                <w:kern w:val="0"/>
                <w:sz w:val="20"/>
                <w:szCs w:val="20"/>
              </w:rPr>
            </w:pPr>
            <w:r w:rsidRPr="005621B5">
              <w:rPr>
                <w:rFonts w:ascii="宋体" w:eastAsia="宋体" w:hAnsi="宋体" w:cs="宋体"/>
                <w:color w:val="000000"/>
                <w:kern w:val="0"/>
                <w:sz w:val="20"/>
                <w:szCs w:val="20"/>
              </w:rPr>
              <w:t>操作灵活</w:t>
            </w:r>
            <w:r w:rsidRPr="005621B5">
              <w:rPr>
                <w:rFonts w:ascii="宋体" w:eastAsia="宋体" w:hAnsi="宋体" w:cs="宋体" w:hint="eastAsia"/>
                <w:color w:val="000000"/>
                <w:kern w:val="0"/>
                <w:sz w:val="20"/>
                <w:szCs w:val="20"/>
              </w:rPr>
              <w:t>，</w:t>
            </w:r>
            <w:r w:rsidRPr="005621B5">
              <w:rPr>
                <w:rFonts w:ascii="宋体" w:eastAsia="宋体" w:hAnsi="宋体" w:cs="宋体"/>
                <w:color w:val="000000"/>
                <w:kern w:val="0"/>
                <w:sz w:val="20"/>
                <w:szCs w:val="20"/>
              </w:rPr>
              <w:t>组合配置兼顾业绩确定性与弹性</w:t>
            </w:r>
            <w:r w:rsidRPr="005621B5">
              <w:rPr>
                <w:rFonts w:ascii="宋体" w:eastAsia="宋体" w:hAnsi="宋体" w:cs="宋体" w:hint="eastAsia"/>
                <w:color w:val="000000"/>
                <w:kern w:val="0"/>
                <w:sz w:val="20"/>
                <w:szCs w:val="20"/>
              </w:rPr>
              <w:t>、</w:t>
            </w:r>
            <w:r w:rsidRPr="005621B5">
              <w:rPr>
                <w:rFonts w:ascii="宋体" w:eastAsia="宋体" w:hAnsi="宋体" w:cs="宋体"/>
                <w:color w:val="000000"/>
                <w:kern w:val="0"/>
                <w:sz w:val="20"/>
                <w:szCs w:val="20"/>
              </w:rPr>
              <w:t>基金经理历史业绩优异</w:t>
            </w:r>
          </w:p>
        </w:tc>
      </w:tr>
      <w:tr w:rsidR="00272E30" w:rsidRPr="00D061FD" w:rsidTr="00E927EE">
        <w:trPr>
          <w:trHeight w:val="1843"/>
        </w:trPr>
        <w:tc>
          <w:tcPr>
            <w:tcW w:w="816" w:type="dxa"/>
            <w:tcBorders>
              <w:top w:val="nil"/>
              <w:left w:val="nil"/>
              <w:bottom w:val="single" w:sz="4" w:space="0" w:color="E46D0A"/>
              <w:right w:val="single" w:sz="4" w:space="0" w:color="E46D0A"/>
            </w:tcBorders>
            <w:shd w:val="clear" w:color="auto" w:fill="auto"/>
            <w:noWrap/>
            <w:vAlign w:val="center"/>
            <w:hideMark/>
          </w:tcPr>
          <w:p w:rsidR="00272E30" w:rsidRPr="00D061FD" w:rsidRDefault="00272E30" w:rsidP="00E927EE">
            <w:pPr>
              <w:widowControl/>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r w:rsidRPr="00D061FD">
              <w:rPr>
                <w:rFonts w:ascii="宋体" w:eastAsia="宋体" w:hAnsi="宋体" w:cs="宋体" w:hint="eastAsia"/>
                <w:color w:val="000000"/>
                <w:kern w:val="0"/>
                <w:sz w:val="20"/>
                <w:szCs w:val="20"/>
              </w:rPr>
              <w:t>70013</w:t>
            </w:r>
          </w:p>
        </w:tc>
        <w:tc>
          <w:tcPr>
            <w:tcW w:w="1037" w:type="dxa"/>
            <w:tcBorders>
              <w:top w:val="nil"/>
              <w:left w:val="nil"/>
              <w:bottom w:val="single" w:sz="4" w:space="0" w:color="E46D0A"/>
              <w:right w:val="single" w:sz="4" w:space="0" w:color="E46D0A"/>
            </w:tcBorders>
            <w:shd w:val="clear" w:color="auto" w:fill="auto"/>
            <w:vAlign w:val="center"/>
            <w:hideMark/>
          </w:tcPr>
          <w:p w:rsidR="00272E30" w:rsidRPr="00D061FD" w:rsidRDefault="00272E30" w:rsidP="00E927EE">
            <w:pPr>
              <w:widowControl/>
              <w:snapToGrid w:val="0"/>
              <w:jc w:val="center"/>
              <w:rPr>
                <w:rFonts w:ascii="宋体" w:eastAsia="宋体" w:hAnsi="宋体" w:cs="宋体"/>
                <w:color w:val="000000"/>
                <w:kern w:val="0"/>
                <w:sz w:val="20"/>
                <w:szCs w:val="20"/>
              </w:rPr>
            </w:pPr>
            <w:r w:rsidRPr="00D061FD">
              <w:rPr>
                <w:rFonts w:ascii="宋体" w:eastAsia="宋体" w:hAnsi="宋体" w:cs="宋体" w:hint="eastAsia"/>
                <w:color w:val="000000"/>
                <w:kern w:val="0"/>
                <w:sz w:val="20"/>
                <w:szCs w:val="20"/>
              </w:rPr>
              <w:t>嘉实研究精选股票</w:t>
            </w:r>
          </w:p>
        </w:tc>
        <w:tc>
          <w:tcPr>
            <w:tcW w:w="6951" w:type="dxa"/>
            <w:tcBorders>
              <w:top w:val="single" w:sz="4" w:space="0" w:color="E46D0A"/>
              <w:left w:val="nil"/>
              <w:bottom w:val="single" w:sz="4" w:space="0" w:color="E46D0A"/>
              <w:right w:val="single" w:sz="4" w:space="0" w:color="E46D0A"/>
            </w:tcBorders>
            <w:shd w:val="clear" w:color="auto" w:fill="auto"/>
            <w:vAlign w:val="center"/>
            <w:hideMark/>
          </w:tcPr>
          <w:p w:rsidR="00272E30" w:rsidRPr="00D061FD" w:rsidRDefault="00272E30" w:rsidP="00E927EE">
            <w:pPr>
              <w:widowControl/>
              <w:snapToGrid w:val="0"/>
              <w:jc w:val="left"/>
              <w:rPr>
                <w:rFonts w:ascii="宋体" w:eastAsia="宋体" w:hAnsi="宋体" w:cs="宋体"/>
                <w:color w:val="000000"/>
                <w:kern w:val="0"/>
                <w:sz w:val="20"/>
                <w:szCs w:val="20"/>
              </w:rPr>
            </w:pPr>
            <w:r w:rsidRPr="00D061FD">
              <w:rPr>
                <w:rFonts w:ascii="宋体" w:eastAsia="宋体" w:hAnsi="宋体" w:cs="宋体" w:hint="eastAsia"/>
                <w:color w:val="000000"/>
                <w:kern w:val="0"/>
                <w:sz w:val="20"/>
                <w:szCs w:val="20"/>
              </w:rPr>
              <w:t>选股能力突出，中长期业绩居前。运作管理强调中观入手，注重行业环境对于企业发展走势的影响，体现到行</w:t>
            </w:r>
            <w:r>
              <w:rPr>
                <w:rFonts w:ascii="宋体" w:eastAsia="宋体" w:hAnsi="宋体" w:cs="宋体" w:hint="eastAsia"/>
                <w:color w:val="000000"/>
                <w:kern w:val="0"/>
                <w:sz w:val="20"/>
                <w:szCs w:val="20"/>
              </w:rPr>
              <w:t>业配置层面即为集中持有优势行业，且重仓行业随市调整相对灵活。从四</w:t>
            </w:r>
            <w:r w:rsidRPr="00D061FD">
              <w:rPr>
                <w:rFonts w:ascii="宋体" w:eastAsia="宋体" w:hAnsi="宋体" w:cs="宋体" w:hint="eastAsia"/>
                <w:color w:val="000000"/>
                <w:kern w:val="0"/>
                <w:sz w:val="20"/>
                <w:szCs w:val="20"/>
              </w:rPr>
              <w:t>季报披露情况来看，该基金股票仓位</w:t>
            </w:r>
            <w:r>
              <w:rPr>
                <w:rFonts w:ascii="宋体" w:eastAsia="宋体" w:hAnsi="宋体" w:cs="宋体" w:hint="eastAsia"/>
                <w:color w:val="000000"/>
                <w:kern w:val="0"/>
                <w:sz w:val="20"/>
                <w:szCs w:val="20"/>
              </w:rPr>
              <w:t>93.19</w:t>
            </w:r>
            <w:r w:rsidRPr="00D061FD">
              <w:rPr>
                <w:rFonts w:ascii="宋体" w:eastAsia="宋体" w:hAnsi="宋体" w:cs="宋体" w:hint="eastAsia"/>
                <w:color w:val="000000"/>
                <w:kern w:val="0"/>
                <w:sz w:val="20"/>
                <w:szCs w:val="20"/>
              </w:rPr>
              <w:t>%,除制造业外，前三大重仓行业为批发零售、</w:t>
            </w:r>
            <w:r>
              <w:rPr>
                <w:rFonts w:ascii="宋体" w:eastAsia="宋体" w:hAnsi="宋体" w:cs="宋体" w:hint="eastAsia"/>
                <w:color w:val="000000"/>
                <w:kern w:val="0"/>
                <w:sz w:val="20"/>
                <w:szCs w:val="20"/>
              </w:rPr>
              <w:t>金融</w:t>
            </w:r>
            <w:r w:rsidRPr="00D061FD">
              <w:rPr>
                <w:rFonts w:ascii="宋体" w:eastAsia="宋体" w:hAnsi="宋体" w:cs="宋体" w:hint="eastAsia"/>
                <w:color w:val="000000"/>
                <w:kern w:val="0"/>
                <w:sz w:val="20"/>
                <w:szCs w:val="20"/>
              </w:rPr>
              <w:t>以及</w:t>
            </w:r>
            <w:r>
              <w:rPr>
                <w:rFonts w:ascii="宋体" w:eastAsia="宋体" w:hAnsi="宋体" w:cs="宋体" w:hint="eastAsia"/>
                <w:color w:val="000000"/>
                <w:kern w:val="0"/>
                <w:sz w:val="20"/>
                <w:szCs w:val="20"/>
              </w:rPr>
              <w:t>房地产</w:t>
            </w:r>
            <w:r w:rsidRPr="00D061FD">
              <w:rPr>
                <w:rFonts w:ascii="宋体" w:eastAsia="宋体" w:hAnsi="宋体" w:cs="宋体" w:hint="eastAsia"/>
                <w:color w:val="000000"/>
                <w:kern w:val="0"/>
                <w:sz w:val="20"/>
                <w:szCs w:val="20"/>
              </w:rPr>
              <w:t>，重仓股分散于农业、商业、</w:t>
            </w:r>
            <w:r>
              <w:rPr>
                <w:rFonts w:ascii="宋体" w:eastAsia="宋体" w:hAnsi="宋体" w:cs="宋体" w:hint="eastAsia"/>
                <w:color w:val="000000"/>
                <w:kern w:val="0"/>
                <w:sz w:val="20"/>
                <w:szCs w:val="20"/>
              </w:rPr>
              <w:t>金融</w:t>
            </w:r>
            <w:r w:rsidRPr="00D061FD">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机械</w:t>
            </w:r>
            <w:r w:rsidRPr="00D061FD">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汽车</w:t>
            </w:r>
            <w:r w:rsidRPr="00D061FD">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医疗</w:t>
            </w:r>
            <w:r w:rsidRPr="00D061FD">
              <w:rPr>
                <w:rFonts w:ascii="宋体" w:eastAsia="宋体" w:hAnsi="宋体" w:cs="宋体" w:hint="eastAsia"/>
                <w:color w:val="000000"/>
                <w:kern w:val="0"/>
                <w:sz w:val="20"/>
                <w:szCs w:val="20"/>
              </w:rPr>
              <w:t xml:space="preserve">等多项细分领域。基金经理张弢，投资管理经验丰富，任期内净值表现大幅超越同业平均。 </w:t>
            </w:r>
          </w:p>
        </w:tc>
        <w:tc>
          <w:tcPr>
            <w:tcW w:w="1457" w:type="dxa"/>
            <w:tcBorders>
              <w:top w:val="nil"/>
              <w:left w:val="nil"/>
              <w:bottom w:val="single" w:sz="4" w:space="0" w:color="E46D0A"/>
              <w:right w:val="nil"/>
            </w:tcBorders>
            <w:shd w:val="clear" w:color="auto" w:fill="auto"/>
            <w:vAlign w:val="center"/>
            <w:hideMark/>
          </w:tcPr>
          <w:p w:rsidR="00272E30" w:rsidRPr="00D061FD" w:rsidRDefault="00272E30" w:rsidP="00E927EE">
            <w:pPr>
              <w:widowControl/>
              <w:snapToGrid w:val="0"/>
              <w:jc w:val="left"/>
              <w:rPr>
                <w:rFonts w:ascii="宋体" w:eastAsia="宋体" w:hAnsi="宋体" w:cs="宋体"/>
                <w:color w:val="000000"/>
                <w:kern w:val="0"/>
                <w:sz w:val="20"/>
                <w:szCs w:val="20"/>
              </w:rPr>
            </w:pPr>
            <w:r w:rsidRPr="00D061FD">
              <w:rPr>
                <w:rFonts w:ascii="宋体" w:eastAsia="宋体" w:hAnsi="宋体" w:cs="宋体" w:hint="eastAsia"/>
                <w:color w:val="000000"/>
                <w:kern w:val="0"/>
                <w:sz w:val="20"/>
                <w:szCs w:val="20"/>
              </w:rPr>
              <w:t>大消费、</w:t>
            </w:r>
            <w:r>
              <w:rPr>
                <w:rFonts w:ascii="宋体" w:eastAsia="宋体" w:hAnsi="宋体" w:cs="宋体" w:hint="eastAsia"/>
                <w:color w:val="000000"/>
                <w:kern w:val="0"/>
                <w:sz w:val="20"/>
                <w:szCs w:val="20"/>
              </w:rPr>
              <w:t>金融地产双线布局</w:t>
            </w:r>
            <w:r w:rsidRPr="00D061FD">
              <w:rPr>
                <w:rFonts w:ascii="宋体" w:eastAsia="宋体" w:hAnsi="宋体" w:cs="宋体" w:hint="eastAsia"/>
                <w:color w:val="000000"/>
                <w:kern w:val="0"/>
                <w:sz w:val="20"/>
                <w:szCs w:val="20"/>
              </w:rPr>
              <w:t>、长期业绩出色</w:t>
            </w:r>
          </w:p>
        </w:tc>
      </w:tr>
      <w:tr w:rsidR="00272E30" w:rsidRPr="00097C27" w:rsidTr="00E927EE">
        <w:trPr>
          <w:trHeight w:val="1694"/>
        </w:trPr>
        <w:tc>
          <w:tcPr>
            <w:tcW w:w="816" w:type="dxa"/>
            <w:tcBorders>
              <w:top w:val="nil"/>
              <w:left w:val="nil"/>
              <w:bottom w:val="single" w:sz="4" w:space="0" w:color="E46D0A"/>
              <w:right w:val="single" w:sz="4" w:space="0" w:color="E46D0A"/>
            </w:tcBorders>
            <w:shd w:val="clear" w:color="auto" w:fill="auto"/>
            <w:noWrap/>
            <w:vAlign w:val="center"/>
            <w:hideMark/>
          </w:tcPr>
          <w:p w:rsidR="00272E30" w:rsidRPr="005703E4" w:rsidRDefault="00272E30" w:rsidP="00E927EE">
            <w:pPr>
              <w:widowControl/>
              <w:snapToGrid w:val="0"/>
              <w:jc w:val="center"/>
              <w:rPr>
                <w:rFonts w:ascii="宋体" w:eastAsia="宋体" w:hAnsi="宋体" w:cs="宋体"/>
                <w:color w:val="000000"/>
                <w:kern w:val="0"/>
                <w:sz w:val="20"/>
                <w:szCs w:val="20"/>
              </w:rPr>
            </w:pPr>
            <w:r w:rsidRPr="005703E4">
              <w:rPr>
                <w:rFonts w:ascii="宋体" w:eastAsia="宋体" w:hAnsi="宋体" w:cs="宋体" w:hint="eastAsia"/>
                <w:color w:val="000000"/>
                <w:kern w:val="0"/>
                <w:sz w:val="20"/>
                <w:szCs w:val="20"/>
              </w:rPr>
              <w:t>213008</w:t>
            </w:r>
          </w:p>
        </w:tc>
        <w:tc>
          <w:tcPr>
            <w:tcW w:w="1037" w:type="dxa"/>
            <w:tcBorders>
              <w:top w:val="nil"/>
              <w:left w:val="nil"/>
              <w:bottom w:val="single" w:sz="4" w:space="0" w:color="E46D0A"/>
              <w:right w:val="single" w:sz="4" w:space="0" w:color="E46D0A"/>
            </w:tcBorders>
            <w:shd w:val="clear" w:color="auto" w:fill="auto"/>
            <w:vAlign w:val="center"/>
            <w:hideMark/>
          </w:tcPr>
          <w:p w:rsidR="00272E30" w:rsidRPr="005703E4" w:rsidRDefault="00272E30" w:rsidP="00E927EE">
            <w:pPr>
              <w:widowControl/>
              <w:snapToGrid w:val="0"/>
              <w:jc w:val="center"/>
              <w:rPr>
                <w:rFonts w:ascii="宋体" w:eastAsia="宋体" w:hAnsi="宋体" w:cs="宋体"/>
                <w:color w:val="000000"/>
                <w:kern w:val="0"/>
                <w:sz w:val="20"/>
                <w:szCs w:val="20"/>
              </w:rPr>
            </w:pPr>
            <w:r w:rsidRPr="005703E4">
              <w:rPr>
                <w:rFonts w:ascii="宋体" w:eastAsia="宋体" w:hAnsi="宋体" w:cs="宋体" w:hint="eastAsia"/>
                <w:color w:val="000000"/>
                <w:kern w:val="0"/>
                <w:sz w:val="20"/>
                <w:szCs w:val="20"/>
              </w:rPr>
              <w:t>宝盈资源优选股票</w:t>
            </w:r>
          </w:p>
        </w:tc>
        <w:tc>
          <w:tcPr>
            <w:tcW w:w="6951" w:type="dxa"/>
            <w:tcBorders>
              <w:top w:val="single" w:sz="4" w:space="0" w:color="E46D0A"/>
              <w:left w:val="nil"/>
              <w:bottom w:val="single" w:sz="4" w:space="0" w:color="E46D0A"/>
              <w:right w:val="single" w:sz="4" w:space="0" w:color="E46D0A"/>
            </w:tcBorders>
            <w:shd w:val="clear" w:color="auto" w:fill="auto"/>
            <w:vAlign w:val="center"/>
            <w:hideMark/>
          </w:tcPr>
          <w:p w:rsidR="00272E30" w:rsidRPr="005703E4" w:rsidRDefault="00272E30" w:rsidP="00E927EE">
            <w:pPr>
              <w:widowControl/>
              <w:snapToGrid w:val="0"/>
              <w:jc w:val="left"/>
              <w:rPr>
                <w:rFonts w:ascii="宋体" w:eastAsia="宋体" w:hAnsi="宋体" w:cs="宋体"/>
                <w:color w:val="000000"/>
                <w:kern w:val="0"/>
                <w:sz w:val="20"/>
                <w:szCs w:val="20"/>
              </w:rPr>
            </w:pPr>
            <w:r w:rsidRPr="005703E4">
              <w:rPr>
                <w:rFonts w:ascii="宋体" w:eastAsia="宋体" w:hAnsi="宋体" w:cs="宋体" w:hint="eastAsia"/>
                <w:color w:val="000000"/>
                <w:kern w:val="0"/>
                <w:sz w:val="20"/>
                <w:szCs w:val="20"/>
              </w:rPr>
              <w:t>高仓位积极运作，行业配置均衡而有所侧重、调整灵活，拥有较高的风险调整后收益，长期业绩领先。基金经理任职年限超</w:t>
            </w:r>
            <w:r>
              <w:rPr>
                <w:rFonts w:ascii="宋体" w:eastAsia="宋体" w:hAnsi="宋体" w:cs="宋体" w:hint="eastAsia"/>
                <w:color w:val="000000"/>
                <w:kern w:val="0"/>
                <w:sz w:val="20"/>
                <w:szCs w:val="20"/>
              </w:rPr>
              <w:t>4</w:t>
            </w:r>
            <w:r w:rsidRPr="005703E4">
              <w:rPr>
                <w:rFonts w:ascii="宋体" w:eastAsia="宋体" w:hAnsi="宋体" w:cs="宋体" w:hint="eastAsia"/>
                <w:color w:val="000000"/>
                <w:kern w:val="0"/>
                <w:sz w:val="20"/>
                <w:szCs w:val="20"/>
              </w:rPr>
              <w:t>年，管理期业绩超越同业平均，选股能力出色。</w:t>
            </w:r>
            <w:r>
              <w:rPr>
                <w:rFonts w:ascii="宋体" w:eastAsia="宋体" w:hAnsi="宋体" w:cs="宋体" w:hint="eastAsia"/>
                <w:color w:val="000000"/>
                <w:kern w:val="0"/>
                <w:sz w:val="20"/>
                <w:szCs w:val="20"/>
              </w:rPr>
              <w:t>采取自下而上的投资策略，优选蓝筹兼顾成长。四</w:t>
            </w:r>
            <w:r w:rsidRPr="005703E4">
              <w:rPr>
                <w:rFonts w:ascii="宋体" w:eastAsia="宋体" w:hAnsi="宋体" w:cs="宋体" w:hint="eastAsia"/>
                <w:color w:val="000000"/>
                <w:kern w:val="0"/>
                <w:sz w:val="20"/>
                <w:szCs w:val="20"/>
              </w:rPr>
              <w:t>季报显示股票仓位</w:t>
            </w:r>
            <w:r>
              <w:rPr>
                <w:rFonts w:ascii="宋体" w:eastAsia="宋体" w:hAnsi="宋体" w:cs="宋体" w:hint="eastAsia"/>
                <w:color w:val="000000"/>
                <w:kern w:val="0"/>
                <w:sz w:val="20"/>
                <w:szCs w:val="20"/>
              </w:rPr>
              <w:t>94.41</w:t>
            </w:r>
            <w:r w:rsidRPr="005703E4">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，除制造业外还重点配有信息技术以及金融</w:t>
            </w:r>
            <w:r w:rsidRPr="005703E4">
              <w:rPr>
                <w:rFonts w:ascii="宋体" w:eastAsia="宋体" w:hAnsi="宋体" w:cs="宋体" w:hint="eastAsia"/>
                <w:color w:val="000000"/>
                <w:kern w:val="0"/>
                <w:sz w:val="20"/>
                <w:szCs w:val="20"/>
              </w:rPr>
              <w:t>。</w:t>
            </w:r>
          </w:p>
        </w:tc>
        <w:tc>
          <w:tcPr>
            <w:tcW w:w="1457" w:type="dxa"/>
            <w:tcBorders>
              <w:top w:val="nil"/>
              <w:left w:val="nil"/>
              <w:bottom w:val="single" w:sz="4" w:space="0" w:color="E46D0A"/>
              <w:right w:val="nil"/>
            </w:tcBorders>
            <w:shd w:val="clear" w:color="auto" w:fill="auto"/>
            <w:vAlign w:val="center"/>
            <w:hideMark/>
          </w:tcPr>
          <w:p w:rsidR="00272E30" w:rsidRPr="005703E4" w:rsidRDefault="00272E30" w:rsidP="00E927EE">
            <w:pPr>
              <w:widowControl/>
              <w:snapToGrid w:val="0"/>
              <w:jc w:val="left"/>
              <w:rPr>
                <w:rFonts w:ascii="宋体" w:eastAsia="宋体" w:hAnsi="宋体" w:cs="宋体"/>
                <w:color w:val="000000"/>
                <w:kern w:val="0"/>
                <w:sz w:val="20"/>
                <w:szCs w:val="20"/>
              </w:rPr>
            </w:pPr>
            <w:r w:rsidRPr="005703E4">
              <w:rPr>
                <w:rFonts w:ascii="宋体" w:eastAsia="宋体" w:hAnsi="宋体" w:cs="宋体" w:hint="eastAsia"/>
                <w:color w:val="000000"/>
                <w:kern w:val="0"/>
                <w:sz w:val="20"/>
                <w:szCs w:val="20"/>
              </w:rPr>
              <w:t>长期业绩领先，</w:t>
            </w:r>
            <w:r>
              <w:rPr>
                <w:rFonts w:ascii="宋体" w:eastAsia="宋体" w:hAnsi="宋体" w:cs="宋体" w:hint="eastAsia"/>
                <w:color w:val="000000"/>
                <w:kern w:val="0"/>
                <w:sz w:val="20"/>
                <w:szCs w:val="20"/>
              </w:rPr>
              <w:t>自下而上精选个股</w:t>
            </w:r>
          </w:p>
        </w:tc>
      </w:tr>
      <w:tr w:rsidR="00272E30" w:rsidRPr="00D061FD" w:rsidTr="00E927EE">
        <w:trPr>
          <w:trHeight w:val="1635"/>
        </w:trPr>
        <w:tc>
          <w:tcPr>
            <w:tcW w:w="816" w:type="dxa"/>
            <w:tcBorders>
              <w:top w:val="nil"/>
              <w:left w:val="nil"/>
              <w:bottom w:val="single" w:sz="4" w:space="0" w:color="E46D0A"/>
              <w:right w:val="single" w:sz="4" w:space="0" w:color="E46D0A"/>
            </w:tcBorders>
            <w:shd w:val="clear" w:color="auto" w:fill="auto"/>
            <w:noWrap/>
            <w:vAlign w:val="center"/>
            <w:hideMark/>
          </w:tcPr>
          <w:p w:rsidR="00272E30" w:rsidRPr="00D061FD" w:rsidRDefault="00272E30" w:rsidP="00E927EE">
            <w:pPr>
              <w:widowControl/>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r w:rsidRPr="00D061FD">
              <w:rPr>
                <w:rFonts w:ascii="宋体" w:eastAsia="宋体" w:hAnsi="宋体" w:cs="宋体" w:hint="eastAsia"/>
                <w:color w:val="000000"/>
                <w:kern w:val="0"/>
                <w:sz w:val="20"/>
                <w:szCs w:val="20"/>
              </w:rPr>
              <w:t>40035</w:t>
            </w:r>
          </w:p>
        </w:tc>
        <w:tc>
          <w:tcPr>
            <w:tcW w:w="1037" w:type="dxa"/>
            <w:tcBorders>
              <w:top w:val="nil"/>
              <w:left w:val="nil"/>
              <w:bottom w:val="single" w:sz="4" w:space="0" w:color="E46D0A"/>
              <w:right w:val="single" w:sz="4" w:space="0" w:color="E46D0A"/>
            </w:tcBorders>
            <w:shd w:val="clear" w:color="auto" w:fill="auto"/>
            <w:vAlign w:val="center"/>
            <w:hideMark/>
          </w:tcPr>
          <w:p w:rsidR="00272E30" w:rsidRPr="00D061FD" w:rsidRDefault="00272E30" w:rsidP="00E927EE">
            <w:pPr>
              <w:widowControl/>
              <w:snapToGrid w:val="0"/>
              <w:jc w:val="center"/>
              <w:rPr>
                <w:rFonts w:ascii="宋体" w:eastAsia="宋体" w:hAnsi="宋体" w:cs="宋体"/>
                <w:color w:val="000000"/>
                <w:kern w:val="0"/>
                <w:sz w:val="20"/>
                <w:szCs w:val="20"/>
              </w:rPr>
            </w:pPr>
            <w:r w:rsidRPr="00D061FD">
              <w:rPr>
                <w:rFonts w:ascii="宋体" w:eastAsia="宋体" w:hAnsi="宋体" w:cs="宋体" w:hint="eastAsia"/>
                <w:color w:val="000000"/>
                <w:kern w:val="0"/>
                <w:sz w:val="20"/>
                <w:szCs w:val="20"/>
              </w:rPr>
              <w:t>华安逆向策略股票</w:t>
            </w:r>
          </w:p>
        </w:tc>
        <w:tc>
          <w:tcPr>
            <w:tcW w:w="6951" w:type="dxa"/>
            <w:tcBorders>
              <w:top w:val="single" w:sz="4" w:space="0" w:color="E46D0A"/>
              <w:left w:val="nil"/>
              <w:bottom w:val="single" w:sz="4" w:space="0" w:color="E46D0A"/>
              <w:right w:val="single" w:sz="4" w:space="0" w:color="E46D0A"/>
            </w:tcBorders>
            <w:shd w:val="clear" w:color="auto" w:fill="auto"/>
            <w:vAlign w:val="center"/>
            <w:hideMark/>
          </w:tcPr>
          <w:p w:rsidR="00272E30" w:rsidRPr="00D061FD" w:rsidRDefault="00272E30" w:rsidP="00E927EE">
            <w:pPr>
              <w:widowControl/>
              <w:snapToGrid w:val="0"/>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仓位调整相对灵活，行业配置均衡而有所侧重，四</w:t>
            </w:r>
            <w:r w:rsidRPr="00D061FD">
              <w:rPr>
                <w:rFonts w:ascii="宋体" w:eastAsia="宋体" w:hAnsi="宋体" w:cs="宋体" w:hint="eastAsia"/>
                <w:color w:val="000000"/>
                <w:kern w:val="0"/>
                <w:sz w:val="20"/>
                <w:szCs w:val="20"/>
              </w:rPr>
              <w:t>季报显示仓位水平</w:t>
            </w:r>
            <w:r>
              <w:rPr>
                <w:rFonts w:ascii="宋体" w:eastAsia="宋体" w:hAnsi="宋体" w:cs="宋体" w:hint="eastAsia"/>
                <w:color w:val="000000"/>
                <w:kern w:val="0"/>
                <w:sz w:val="20"/>
                <w:szCs w:val="20"/>
              </w:rPr>
              <w:t>81.37</w:t>
            </w:r>
            <w:r w:rsidRPr="00D061FD">
              <w:rPr>
                <w:rFonts w:ascii="宋体" w:eastAsia="宋体" w:hAnsi="宋体" w:cs="宋体" w:hint="eastAsia"/>
                <w:color w:val="000000"/>
                <w:kern w:val="0"/>
                <w:sz w:val="20"/>
                <w:szCs w:val="20"/>
              </w:rPr>
              <w:t>%，除制造业外对</w:t>
            </w:r>
            <w:r>
              <w:rPr>
                <w:rFonts w:ascii="宋体" w:eastAsia="宋体" w:hAnsi="宋体" w:cs="宋体" w:hint="eastAsia"/>
                <w:color w:val="000000"/>
                <w:kern w:val="0"/>
                <w:sz w:val="20"/>
                <w:szCs w:val="20"/>
              </w:rPr>
              <w:t>金融、地产、信息技术配置较多</w:t>
            </w:r>
            <w:r w:rsidRPr="00D061FD">
              <w:rPr>
                <w:rFonts w:ascii="宋体" w:eastAsia="宋体" w:hAnsi="宋体" w:cs="宋体" w:hint="eastAsia"/>
                <w:color w:val="000000"/>
                <w:kern w:val="0"/>
                <w:sz w:val="20"/>
                <w:szCs w:val="20"/>
              </w:rPr>
              <w:t>，重仓股分布于</w:t>
            </w:r>
            <w:r>
              <w:rPr>
                <w:rFonts w:ascii="宋体" w:eastAsia="宋体" w:hAnsi="宋体" w:cs="宋体" w:hint="eastAsia"/>
                <w:color w:val="000000"/>
                <w:kern w:val="0"/>
                <w:sz w:val="20"/>
                <w:szCs w:val="20"/>
              </w:rPr>
              <w:t>金融</w:t>
            </w:r>
            <w:r w:rsidRPr="00D061FD">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电气设备</w:t>
            </w:r>
            <w:r w:rsidRPr="00D061FD">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地产、机械、汽车</w:t>
            </w:r>
            <w:r w:rsidRPr="00D061FD">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四季度末布局倾向蓝筹</w:t>
            </w:r>
            <w:r w:rsidRPr="00D061FD">
              <w:rPr>
                <w:rFonts w:ascii="宋体" w:eastAsia="宋体" w:hAnsi="宋体" w:cs="宋体" w:hint="eastAsia"/>
                <w:color w:val="000000"/>
                <w:kern w:val="0"/>
                <w:sz w:val="20"/>
                <w:szCs w:val="20"/>
              </w:rPr>
              <w:t>，各期业绩稳健居前。基金经理陆从珍公募管理年限超3年，择时选股能力俱佳，过往业绩超越同业平均。</w:t>
            </w:r>
          </w:p>
        </w:tc>
        <w:tc>
          <w:tcPr>
            <w:tcW w:w="1457" w:type="dxa"/>
            <w:tcBorders>
              <w:top w:val="nil"/>
              <w:left w:val="nil"/>
              <w:bottom w:val="single" w:sz="4" w:space="0" w:color="E46D0A"/>
              <w:right w:val="nil"/>
            </w:tcBorders>
            <w:shd w:val="clear" w:color="auto" w:fill="auto"/>
            <w:vAlign w:val="center"/>
            <w:hideMark/>
          </w:tcPr>
          <w:p w:rsidR="00272E30" w:rsidRPr="00D061FD" w:rsidRDefault="00272E30" w:rsidP="00E927EE">
            <w:pPr>
              <w:widowControl/>
              <w:snapToGrid w:val="0"/>
              <w:jc w:val="left"/>
              <w:rPr>
                <w:rFonts w:ascii="宋体" w:eastAsia="宋体" w:hAnsi="宋体" w:cs="宋体"/>
                <w:color w:val="000000"/>
                <w:kern w:val="0"/>
                <w:sz w:val="20"/>
                <w:szCs w:val="20"/>
              </w:rPr>
            </w:pPr>
            <w:r w:rsidRPr="00D061FD">
              <w:rPr>
                <w:rFonts w:ascii="宋体" w:eastAsia="宋体" w:hAnsi="宋体" w:cs="宋体" w:hint="eastAsia"/>
                <w:color w:val="000000"/>
                <w:kern w:val="0"/>
                <w:sz w:val="20"/>
                <w:szCs w:val="20"/>
              </w:rPr>
              <w:t>调仓灵活、择时选股能力俱佳、</w:t>
            </w:r>
            <w:r>
              <w:rPr>
                <w:rFonts w:ascii="宋体" w:eastAsia="宋体" w:hAnsi="宋体" w:cs="宋体" w:hint="eastAsia"/>
                <w:color w:val="000000"/>
                <w:kern w:val="0"/>
                <w:sz w:val="20"/>
                <w:szCs w:val="20"/>
              </w:rPr>
              <w:t>善于把握市场脉络</w:t>
            </w:r>
          </w:p>
        </w:tc>
      </w:tr>
      <w:tr w:rsidR="00272E30" w:rsidRPr="00D061FD" w:rsidTr="00E927EE">
        <w:trPr>
          <w:trHeight w:val="1189"/>
        </w:trPr>
        <w:tc>
          <w:tcPr>
            <w:tcW w:w="816" w:type="dxa"/>
            <w:tcBorders>
              <w:top w:val="nil"/>
              <w:left w:val="nil"/>
              <w:bottom w:val="single" w:sz="4" w:space="0" w:color="E46D0A"/>
              <w:right w:val="single" w:sz="4" w:space="0" w:color="E46D0A"/>
            </w:tcBorders>
            <w:shd w:val="clear" w:color="auto" w:fill="auto"/>
            <w:noWrap/>
            <w:vAlign w:val="center"/>
            <w:hideMark/>
          </w:tcPr>
          <w:p w:rsidR="00272E30" w:rsidRPr="004C3DF6" w:rsidRDefault="00272E30" w:rsidP="00E927EE">
            <w:pPr>
              <w:widowControl/>
              <w:snapToGrid w:val="0"/>
              <w:jc w:val="center"/>
              <w:rPr>
                <w:rFonts w:ascii="宋体" w:eastAsia="宋体" w:hAnsi="宋体" w:cs="宋体"/>
                <w:color w:val="000000" w:themeColor="text1"/>
                <w:kern w:val="0"/>
                <w:sz w:val="20"/>
                <w:szCs w:val="20"/>
              </w:rPr>
            </w:pPr>
            <w:r w:rsidRPr="004C3DF6">
              <w:rPr>
                <w:rFonts w:ascii="宋体" w:eastAsia="宋体" w:hAnsi="宋体" w:cs="宋体" w:hint="eastAsia"/>
                <w:color w:val="000000" w:themeColor="text1"/>
                <w:kern w:val="0"/>
                <w:sz w:val="20"/>
                <w:szCs w:val="20"/>
              </w:rPr>
              <w:t>270025</w:t>
            </w:r>
          </w:p>
        </w:tc>
        <w:tc>
          <w:tcPr>
            <w:tcW w:w="1037" w:type="dxa"/>
            <w:tcBorders>
              <w:top w:val="nil"/>
              <w:left w:val="nil"/>
              <w:bottom w:val="single" w:sz="4" w:space="0" w:color="E46D0A"/>
              <w:right w:val="single" w:sz="4" w:space="0" w:color="E46D0A"/>
            </w:tcBorders>
            <w:shd w:val="clear" w:color="auto" w:fill="auto"/>
            <w:vAlign w:val="center"/>
            <w:hideMark/>
          </w:tcPr>
          <w:p w:rsidR="00272E30" w:rsidRPr="004C3DF6" w:rsidRDefault="00272E30" w:rsidP="00E927EE">
            <w:pPr>
              <w:widowControl/>
              <w:snapToGrid w:val="0"/>
              <w:jc w:val="center"/>
              <w:rPr>
                <w:rFonts w:ascii="宋体" w:eastAsia="宋体" w:hAnsi="宋体" w:cs="宋体"/>
                <w:color w:val="000000" w:themeColor="text1"/>
                <w:kern w:val="0"/>
                <w:sz w:val="20"/>
                <w:szCs w:val="20"/>
              </w:rPr>
            </w:pPr>
            <w:r w:rsidRPr="004C3DF6">
              <w:rPr>
                <w:rFonts w:ascii="宋体" w:eastAsia="宋体" w:hAnsi="宋体" w:cs="宋体" w:hint="eastAsia"/>
                <w:color w:val="000000" w:themeColor="text1"/>
                <w:kern w:val="0"/>
                <w:sz w:val="20"/>
                <w:szCs w:val="20"/>
              </w:rPr>
              <w:t>广发行业领先股票</w:t>
            </w:r>
          </w:p>
        </w:tc>
        <w:tc>
          <w:tcPr>
            <w:tcW w:w="6951" w:type="dxa"/>
            <w:tcBorders>
              <w:top w:val="single" w:sz="4" w:space="0" w:color="E46D0A"/>
              <w:left w:val="nil"/>
              <w:bottom w:val="single" w:sz="4" w:space="0" w:color="E46D0A"/>
              <w:right w:val="single" w:sz="4" w:space="0" w:color="E46D0A"/>
            </w:tcBorders>
            <w:shd w:val="clear" w:color="auto" w:fill="auto"/>
            <w:vAlign w:val="center"/>
            <w:hideMark/>
          </w:tcPr>
          <w:p w:rsidR="00272E30" w:rsidRPr="004C3DF6" w:rsidRDefault="00272E30" w:rsidP="00E927EE">
            <w:pPr>
              <w:widowControl/>
              <w:snapToGrid w:val="0"/>
              <w:jc w:val="left"/>
              <w:rPr>
                <w:rFonts w:ascii="宋体" w:eastAsia="宋体" w:hAnsi="宋体" w:cs="宋体"/>
                <w:color w:val="000000" w:themeColor="text1"/>
                <w:kern w:val="0"/>
                <w:sz w:val="20"/>
                <w:szCs w:val="20"/>
              </w:rPr>
            </w:pPr>
            <w:r w:rsidRPr="004C3DF6">
              <w:rPr>
                <w:rFonts w:ascii="宋体" w:eastAsia="宋体" w:hAnsi="宋体" w:cs="宋体" w:hint="eastAsia"/>
                <w:color w:val="000000" w:themeColor="text1"/>
                <w:kern w:val="0"/>
                <w:sz w:val="20"/>
                <w:szCs w:val="20"/>
              </w:rPr>
              <w:t>该基金通过把握宏观经济周期及行业生命周期的发展趋势，发掘发展前景良好的行业或处于复苏阶段的行业中的领先企业进行投资。从历史运作情况来看，广发行业领先倾向于高仓位积极投资，行业配置均衡而有所侧重，且重仓行业调整相对灵活，基金经理刘晓龙，任职期限超4年，管理经验丰富，历史业绩超越同业平均水平。</w:t>
            </w:r>
          </w:p>
        </w:tc>
        <w:tc>
          <w:tcPr>
            <w:tcW w:w="1457" w:type="dxa"/>
            <w:tcBorders>
              <w:top w:val="nil"/>
              <w:left w:val="nil"/>
              <w:bottom w:val="single" w:sz="4" w:space="0" w:color="E46D0A"/>
              <w:right w:val="nil"/>
            </w:tcBorders>
            <w:shd w:val="clear" w:color="auto" w:fill="auto"/>
            <w:vAlign w:val="center"/>
            <w:hideMark/>
          </w:tcPr>
          <w:p w:rsidR="00272E30" w:rsidRPr="004C3DF6" w:rsidRDefault="00272E30" w:rsidP="00E927EE">
            <w:pPr>
              <w:widowControl/>
              <w:snapToGrid w:val="0"/>
              <w:jc w:val="left"/>
              <w:rPr>
                <w:rFonts w:ascii="宋体" w:eastAsia="宋体" w:hAnsi="宋体" w:cs="宋体"/>
                <w:color w:val="000000" w:themeColor="text1"/>
                <w:kern w:val="0"/>
                <w:sz w:val="20"/>
                <w:szCs w:val="20"/>
              </w:rPr>
            </w:pPr>
            <w:r w:rsidRPr="004C3DF6">
              <w:rPr>
                <w:rFonts w:ascii="宋体" w:eastAsia="宋体" w:hAnsi="宋体" w:cs="宋体" w:hint="eastAsia"/>
                <w:color w:val="000000" w:themeColor="text1"/>
                <w:kern w:val="0"/>
                <w:sz w:val="20"/>
                <w:szCs w:val="20"/>
              </w:rPr>
              <w:t>高仓位积极运作、行业配置均衡而有所侧重且随市调整灵活、基金经理过往业绩较佳</w:t>
            </w:r>
          </w:p>
        </w:tc>
      </w:tr>
      <w:tr w:rsidR="00272E30" w:rsidRPr="00D061FD" w:rsidTr="00E927EE">
        <w:trPr>
          <w:trHeight w:val="1515"/>
        </w:trPr>
        <w:tc>
          <w:tcPr>
            <w:tcW w:w="816" w:type="dxa"/>
            <w:tcBorders>
              <w:top w:val="nil"/>
              <w:left w:val="nil"/>
              <w:bottom w:val="single" w:sz="4" w:space="0" w:color="E46D0A"/>
              <w:right w:val="single" w:sz="4" w:space="0" w:color="E46D0A"/>
            </w:tcBorders>
            <w:shd w:val="clear" w:color="auto" w:fill="auto"/>
            <w:noWrap/>
            <w:vAlign w:val="center"/>
            <w:hideMark/>
          </w:tcPr>
          <w:p w:rsidR="00272E30" w:rsidRPr="00D061FD" w:rsidRDefault="00272E30" w:rsidP="00E927EE">
            <w:pPr>
              <w:widowControl/>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160505</w:t>
            </w:r>
          </w:p>
        </w:tc>
        <w:tc>
          <w:tcPr>
            <w:tcW w:w="1037" w:type="dxa"/>
            <w:tcBorders>
              <w:top w:val="nil"/>
              <w:left w:val="nil"/>
              <w:bottom w:val="single" w:sz="4" w:space="0" w:color="E46D0A"/>
              <w:right w:val="single" w:sz="4" w:space="0" w:color="E46D0A"/>
            </w:tcBorders>
            <w:shd w:val="clear" w:color="auto" w:fill="auto"/>
            <w:vAlign w:val="center"/>
            <w:hideMark/>
          </w:tcPr>
          <w:p w:rsidR="00272E30" w:rsidRPr="00D061FD" w:rsidRDefault="00272E30" w:rsidP="00E927EE">
            <w:pPr>
              <w:widowControl/>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博时主题行业</w:t>
            </w:r>
            <w:r w:rsidRPr="000F4EFE">
              <w:rPr>
                <w:rFonts w:ascii="宋体" w:eastAsia="宋体" w:hAnsi="宋体" w:cs="宋体" w:hint="eastAsia"/>
                <w:color w:val="000000"/>
                <w:kern w:val="0"/>
                <w:sz w:val="20"/>
                <w:szCs w:val="20"/>
              </w:rPr>
              <w:t>股票</w:t>
            </w:r>
          </w:p>
        </w:tc>
        <w:tc>
          <w:tcPr>
            <w:tcW w:w="6951" w:type="dxa"/>
            <w:tcBorders>
              <w:top w:val="single" w:sz="4" w:space="0" w:color="E46D0A"/>
              <w:left w:val="nil"/>
              <w:bottom w:val="single" w:sz="4" w:space="0" w:color="E46D0A"/>
              <w:right w:val="single" w:sz="4" w:space="0" w:color="E46D0A"/>
            </w:tcBorders>
            <w:shd w:val="clear" w:color="auto" w:fill="auto"/>
            <w:vAlign w:val="center"/>
            <w:hideMark/>
          </w:tcPr>
          <w:p w:rsidR="00272E30" w:rsidRPr="00D061FD" w:rsidRDefault="00272E30" w:rsidP="00E927EE">
            <w:pPr>
              <w:widowControl/>
              <w:snapToGrid w:val="0"/>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高仓位积极运作，股票</w:t>
            </w:r>
            <w:r w:rsidRPr="00D061FD">
              <w:rPr>
                <w:rFonts w:ascii="宋体" w:eastAsia="宋体" w:hAnsi="宋体" w:cs="宋体" w:hint="eastAsia"/>
                <w:color w:val="000000"/>
                <w:kern w:val="0"/>
                <w:sz w:val="20"/>
                <w:szCs w:val="20"/>
              </w:rPr>
              <w:t>仓位长期维持在</w:t>
            </w:r>
            <w:r>
              <w:rPr>
                <w:rFonts w:ascii="宋体" w:eastAsia="宋体" w:hAnsi="宋体" w:cs="宋体" w:hint="eastAsia"/>
                <w:color w:val="000000"/>
                <w:kern w:val="0"/>
                <w:sz w:val="20"/>
                <w:szCs w:val="20"/>
              </w:rPr>
              <w:t>80%以上</w:t>
            </w:r>
            <w:r w:rsidRPr="00D061FD">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偏好长期金融、机械，与此同时对于地产、公共服务等行业的阶段性机会亦有所关注，价值风格突出，四季报显示股票仓位90.65%，超配金融、重配公共服务延续以往运作风格。</w:t>
            </w:r>
          </w:p>
        </w:tc>
        <w:tc>
          <w:tcPr>
            <w:tcW w:w="1457" w:type="dxa"/>
            <w:tcBorders>
              <w:top w:val="nil"/>
              <w:left w:val="nil"/>
              <w:bottom w:val="single" w:sz="4" w:space="0" w:color="E46D0A"/>
              <w:right w:val="nil"/>
            </w:tcBorders>
            <w:shd w:val="clear" w:color="auto" w:fill="auto"/>
            <w:vAlign w:val="center"/>
            <w:hideMark/>
          </w:tcPr>
          <w:p w:rsidR="00272E30" w:rsidRPr="00D061FD" w:rsidRDefault="00272E30" w:rsidP="00E927EE">
            <w:pPr>
              <w:widowControl/>
              <w:snapToGrid w:val="0"/>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高仓位、价值风格突出、历史业绩较佳</w:t>
            </w:r>
          </w:p>
        </w:tc>
      </w:tr>
      <w:tr w:rsidR="00272E30" w:rsidRPr="00D061FD" w:rsidTr="00E927EE">
        <w:trPr>
          <w:trHeight w:val="1279"/>
        </w:trPr>
        <w:tc>
          <w:tcPr>
            <w:tcW w:w="816" w:type="dxa"/>
            <w:tcBorders>
              <w:top w:val="nil"/>
              <w:left w:val="nil"/>
              <w:bottom w:val="single" w:sz="4" w:space="0" w:color="E46D0A"/>
              <w:right w:val="single" w:sz="4" w:space="0" w:color="E46D0A"/>
            </w:tcBorders>
            <w:shd w:val="clear" w:color="auto" w:fill="auto"/>
            <w:noWrap/>
            <w:vAlign w:val="center"/>
            <w:hideMark/>
          </w:tcPr>
          <w:p w:rsidR="00272E30" w:rsidRPr="00465ED7" w:rsidRDefault="00272E30" w:rsidP="00E927EE">
            <w:pPr>
              <w:widowControl/>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202005</w:t>
            </w:r>
          </w:p>
        </w:tc>
        <w:tc>
          <w:tcPr>
            <w:tcW w:w="1037" w:type="dxa"/>
            <w:tcBorders>
              <w:top w:val="nil"/>
              <w:left w:val="nil"/>
              <w:bottom w:val="single" w:sz="4" w:space="0" w:color="E46D0A"/>
              <w:right w:val="single" w:sz="4" w:space="0" w:color="E46D0A"/>
            </w:tcBorders>
            <w:shd w:val="clear" w:color="auto" w:fill="auto"/>
            <w:vAlign w:val="center"/>
            <w:hideMark/>
          </w:tcPr>
          <w:p w:rsidR="00272E30" w:rsidRPr="00465ED7" w:rsidRDefault="00272E30" w:rsidP="00E927EE">
            <w:pPr>
              <w:widowControl/>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南方成分精选股票</w:t>
            </w:r>
          </w:p>
        </w:tc>
        <w:tc>
          <w:tcPr>
            <w:tcW w:w="6951" w:type="dxa"/>
            <w:tcBorders>
              <w:top w:val="single" w:sz="4" w:space="0" w:color="E46D0A"/>
              <w:left w:val="nil"/>
              <w:bottom w:val="single" w:sz="4" w:space="0" w:color="E46D0A"/>
              <w:right w:val="single" w:sz="4" w:space="0" w:color="E46D0A"/>
            </w:tcBorders>
            <w:shd w:val="clear" w:color="auto" w:fill="auto"/>
            <w:vAlign w:val="center"/>
            <w:hideMark/>
          </w:tcPr>
          <w:p w:rsidR="00272E30" w:rsidRPr="00465ED7" w:rsidRDefault="00272E30" w:rsidP="00E927EE">
            <w:pPr>
              <w:widowControl/>
              <w:snapToGrid w:val="0"/>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该基金</w:t>
            </w:r>
            <w:r w:rsidRPr="00585CA7">
              <w:rPr>
                <w:rFonts w:ascii="宋体" w:eastAsia="宋体" w:hAnsi="宋体" w:cs="宋体" w:hint="eastAsia"/>
                <w:color w:val="000000"/>
                <w:kern w:val="0"/>
                <w:sz w:val="20"/>
                <w:szCs w:val="20"/>
              </w:rPr>
              <w:t>以积极投资为首要原则，紧密把握和跟踪中国宏观经济周期、行业增长周期和企业成长周期，通过对行业的深入分析和上市公司基本面的研究，以对国民经济增长具有驱动力作用的行业和成长企业为投资对象</w:t>
            </w:r>
            <w:r w:rsidRPr="00465ED7">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从历史运作情况来看，仓位水平长期维持在80%以上，偏好金融、地产、交运等大盘蓝筹板块，价值风格突出，基金经理陈健，拥有近10年公募管理经验，任职经历丰富</w:t>
            </w:r>
          </w:p>
        </w:tc>
        <w:tc>
          <w:tcPr>
            <w:tcW w:w="1457" w:type="dxa"/>
            <w:tcBorders>
              <w:top w:val="nil"/>
              <w:left w:val="nil"/>
              <w:bottom w:val="single" w:sz="4" w:space="0" w:color="E46D0A"/>
              <w:right w:val="nil"/>
            </w:tcBorders>
            <w:shd w:val="clear" w:color="auto" w:fill="auto"/>
            <w:vAlign w:val="center"/>
            <w:hideMark/>
          </w:tcPr>
          <w:p w:rsidR="00272E30" w:rsidRPr="00465ED7" w:rsidRDefault="00272E30" w:rsidP="00E927EE">
            <w:pPr>
              <w:widowControl/>
              <w:snapToGrid w:val="0"/>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高仓位积极运作、价值风格突出、基金经理经验丰富</w:t>
            </w:r>
          </w:p>
        </w:tc>
      </w:tr>
      <w:tr w:rsidR="00272E30" w:rsidRPr="00D061FD" w:rsidTr="00E927EE">
        <w:trPr>
          <w:trHeight w:val="877"/>
        </w:trPr>
        <w:tc>
          <w:tcPr>
            <w:tcW w:w="816" w:type="dxa"/>
            <w:tcBorders>
              <w:top w:val="nil"/>
              <w:left w:val="nil"/>
              <w:bottom w:val="single" w:sz="4" w:space="0" w:color="E46D0A"/>
              <w:right w:val="single" w:sz="4" w:space="0" w:color="E46D0A"/>
            </w:tcBorders>
            <w:shd w:val="clear" w:color="auto" w:fill="auto"/>
            <w:noWrap/>
            <w:vAlign w:val="center"/>
            <w:hideMark/>
          </w:tcPr>
          <w:p w:rsidR="00272E30" w:rsidRPr="00D061FD" w:rsidRDefault="00272E30" w:rsidP="00E927EE">
            <w:pPr>
              <w:widowControl/>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162711</w:t>
            </w:r>
          </w:p>
        </w:tc>
        <w:tc>
          <w:tcPr>
            <w:tcW w:w="1037" w:type="dxa"/>
            <w:tcBorders>
              <w:top w:val="nil"/>
              <w:left w:val="nil"/>
              <w:bottom w:val="single" w:sz="4" w:space="0" w:color="E46D0A"/>
              <w:right w:val="single" w:sz="4" w:space="0" w:color="E46D0A"/>
            </w:tcBorders>
            <w:shd w:val="clear" w:color="auto" w:fill="auto"/>
            <w:vAlign w:val="center"/>
            <w:hideMark/>
          </w:tcPr>
          <w:p w:rsidR="00272E30" w:rsidRPr="00D061FD" w:rsidRDefault="00272E30" w:rsidP="00E927EE">
            <w:pPr>
              <w:widowControl/>
              <w:snapToGrid w:val="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广发沪深300联接</w:t>
            </w:r>
          </w:p>
        </w:tc>
        <w:tc>
          <w:tcPr>
            <w:tcW w:w="6951" w:type="dxa"/>
            <w:tcBorders>
              <w:top w:val="single" w:sz="4" w:space="0" w:color="E46D0A"/>
              <w:left w:val="nil"/>
              <w:bottom w:val="single" w:sz="4" w:space="0" w:color="E46D0A"/>
              <w:right w:val="single" w:sz="4" w:space="0" w:color="E46D0A"/>
            </w:tcBorders>
            <w:shd w:val="clear" w:color="auto" w:fill="auto"/>
            <w:vAlign w:val="center"/>
            <w:hideMark/>
          </w:tcPr>
          <w:p w:rsidR="00272E30" w:rsidRPr="00D061FD" w:rsidRDefault="00272E30" w:rsidP="00E927EE">
            <w:pPr>
              <w:widowControl/>
              <w:snapToGrid w:val="0"/>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被动投资指数型品种，以沪深300指数为跟踪标的，大盘蓝筹风格较为显著，行业分布主要集中于金融保险、采掘、机械，样本数量较多，流动性良好，申赎成本相较主动管理产品较低。</w:t>
            </w:r>
          </w:p>
        </w:tc>
        <w:tc>
          <w:tcPr>
            <w:tcW w:w="1457" w:type="dxa"/>
            <w:tcBorders>
              <w:top w:val="nil"/>
              <w:left w:val="nil"/>
              <w:bottom w:val="single" w:sz="4" w:space="0" w:color="E46D0A"/>
              <w:right w:val="nil"/>
            </w:tcBorders>
            <w:shd w:val="clear" w:color="auto" w:fill="auto"/>
            <w:vAlign w:val="center"/>
            <w:hideMark/>
          </w:tcPr>
          <w:p w:rsidR="00272E30" w:rsidRPr="00D061FD" w:rsidRDefault="00272E30" w:rsidP="00E927EE">
            <w:pPr>
              <w:widowControl/>
              <w:snapToGrid w:val="0"/>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指数追踪、分散投资、大盘蓝筹风格显著、投资成本较低</w:t>
            </w:r>
          </w:p>
        </w:tc>
      </w:tr>
      <w:tr w:rsidR="00272E30" w:rsidRPr="00D061FD" w:rsidTr="00E927EE">
        <w:trPr>
          <w:trHeight w:val="981"/>
        </w:trPr>
        <w:tc>
          <w:tcPr>
            <w:tcW w:w="816" w:type="dxa"/>
            <w:tcBorders>
              <w:top w:val="nil"/>
              <w:left w:val="nil"/>
              <w:bottom w:val="single" w:sz="8" w:space="0" w:color="E46D0A"/>
              <w:right w:val="single" w:sz="4" w:space="0" w:color="E46D0A"/>
            </w:tcBorders>
            <w:shd w:val="clear" w:color="auto" w:fill="auto"/>
            <w:noWrap/>
            <w:vAlign w:val="center"/>
            <w:hideMark/>
          </w:tcPr>
          <w:p w:rsidR="00272E30" w:rsidRPr="00D064E1" w:rsidRDefault="00272E30" w:rsidP="00E927EE">
            <w:pPr>
              <w:widowControl/>
              <w:snapToGrid w:val="0"/>
              <w:jc w:val="center"/>
              <w:rPr>
                <w:rFonts w:ascii="宋体" w:eastAsia="宋体" w:hAnsi="宋体" w:cs="宋体"/>
                <w:color w:val="000000"/>
                <w:kern w:val="0"/>
                <w:sz w:val="20"/>
                <w:szCs w:val="20"/>
              </w:rPr>
            </w:pPr>
            <w:r w:rsidRPr="00D064E1">
              <w:rPr>
                <w:rFonts w:ascii="宋体" w:eastAsia="宋体" w:hAnsi="宋体" w:cs="宋体" w:hint="eastAsia"/>
                <w:color w:val="000000"/>
                <w:kern w:val="0"/>
                <w:sz w:val="20"/>
                <w:szCs w:val="20"/>
              </w:rPr>
              <w:t>320006</w:t>
            </w:r>
          </w:p>
        </w:tc>
        <w:tc>
          <w:tcPr>
            <w:tcW w:w="1037" w:type="dxa"/>
            <w:tcBorders>
              <w:top w:val="nil"/>
              <w:left w:val="nil"/>
              <w:bottom w:val="single" w:sz="8" w:space="0" w:color="E46D0A"/>
              <w:right w:val="single" w:sz="4" w:space="0" w:color="E46D0A"/>
            </w:tcBorders>
            <w:shd w:val="clear" w:color="auto" w:fill="auto"/>
            <w:vAlign w:val="center"/>
            <w:hideMark/>
          </w:tcPr>
          <w:p w:rsidR="00272E30" w:rsidRPr="00D064E1" w:rsidRDefault="00272E30" w:rsidP="00E927EE">
            <w:pPr>
              <w:widowControl/>
              <w:snapToGrid w:val="0"/>
              <w:jc w:val="center"/>
              <w:rPr>
                <w:rFonts w:ascii="宋体" w:eastAsia="宋体" w:hAnsi="宋体" w:cs="宋体"/>
                <w:color w:val="000000"/>
                <w:kern w:val="0"/>
                <w:sz w:val="20"/>
                <w:szCs w:val="20"/>
              </w:rPr>
            </w:pPr>
            <w:r w:rsidRPr="00D064E1">
              <w:rPr>
                <w:rFonts w:ascii="宋体" w:eastAsia="宋体" w:hAnsi="宋体" w:cs="宋体" w:hint="eastAsia"/>
                <w:color w:val="000000"/>
                <w:kern w:val="0"/>
                <w:sz w:val="20"/>
                <w:szCs w:val="20"/>
              </w:rPr>
              <w:t>诺安灵活配置混合</w:t>
            </w:r>
          </w:p>
        </w:tc>
        <w:tc>
          <w:tcPr>
            <w:tcW w:w="6951" w:type="dxa"/>
            <w:tcBorders>
              <w:top w:val="single" w:sz="4" w:space="0" w:color="E46D0A"/>
              <w:left w:val="nil"/>
              <w:bottom w:val="single" w:sz="8" w:space="0" w:color="E46D0A"/>
              <w:right w:val="single" w:sz="4" w:space="0" w:color="E46D0A"/>
            </w:tcBorders>
            <w:shd w:val="clear" w:color="auto" w:fill="auto"/>
            <w:vAlign w:val="center"/>
            <w:hideMark/>
          </w:tcPr>
          <w:p w:rsidR="00272E30" w:rsidRPr="00D064E1" w:rsidRDefault="00272E30" w:rsidP="00E927EE">
            <w:pPr>
              <w:widowControl/>
              <w:snapToGrid w:val="0"/>
              <w:jc w:val="left"/>
              <w:rPr>
                <w:rFonts w:ascii="宋体" w:eastAsia="宋体" w:hAnsi="宋体" w:cs="宋体"/>
                <w:color w:val="000000"/>
                <w:kern w:val="0"/>
                <w:sz w:val="20"/>
                <w:szCs w:val="20"/>
              </w:rPr>
            </w:pPr>
            <w:r w:rsidRPr="00D064E1">
              <w:rPr>
                <w:rFonts w:ascii="宋体" w:eastAsia="宋体" w:hAnsi="宋体" w:cs="宋体" w:hint="eastAsia"/>
                <w:color w:val="000000"/>
                <w:kern w:val="0"/>
                <w:sz w:val="20"/>
                <w:szCs w:val="20"/>
              </w:rPr>
              <w:t xml:space="preserve">灵活配置混合型基金，契约规定股票投资占比为30%至80%，从实际运作情况来看，仓位多介于60%-70%的适中水平，操作稳健，注重风险控制，行业配置均衡而有所侧重。四季报显示股票仓位76.62%，除制造业外对金融、地产配置较多，占比分别为14.88%、10.88%，此外对于水利、公共设施以及交运保持一定关注，长期业绩稳健。基金经理夏俊杰，研究员出身，投研经验丰富，自2010年3月起任该基金基金经理，任期内业绩表现超越同业平均。 </w:t>
            </w:r>
          </w:p>
        </w:tc>
        <w:tc>
          <w:tcPr>
            <w:tcW w:w="1457" w:type="dxa"/>
            <w:tcBorders>
              <w:top w:val="nil"/>
              <w:left w:val="nil"/>
              <w:bottom w:val="single" w:sz="8" w:space="0" w:color="E46D0A"/>
              <w:right w:val="nil"/>
            </w:tcBorders>
            <w:shd w:val="clear" w:color="auto" w:fill="auto"/>
            <w:vAlign w:val="center"/>
            <w:hideMark/>
          </w:tcPr>
          <w:p w:rsidR="00272E30" w:rsidRPr="00D064E1" w:rsidRDefault="00272E30" w:rsidP="00E927EE">
            <w:pPr>
              <w:widowControl/>
              <w:snapToGrid w:val="0"/>
              <w:jc w:val="left"/>
              <w:rPr>
                <w:rFonts w:ascii="宋体" w:eastAsia="宋体" w:hAnsi="宋体" w:cs="宋体"/>
                <w:color w:val="000000"/>
                <w:kern w:val="0"/>
                <w:sz w:val="20"/>
                <w:szCs w:val="20"/>
              </w:rPr>
            </w:pPr>
            <w:r w:rsidRPr="00D064E1">
              <w:rPr>
                <w:rFonts w:ascii="宋体" w:eastAsia="宋体" w:hAnsi="宋体" w:cs="宋体" w:hint="eastAsia"/>
                <w:color w:val="000000"/>
                <w:kern w:val="0"/>
                <w:sz w:val="20"/>
                <w:szCs w:val="20"/>
              </w:rPr>
              <w:t>操作稳健、注重风控、行业配置均衡而有所侧重</w:t>
            </w:r>
          </w:p>
        </w:tc>
      </w:tr>
    </w:tbl>
    <w:p w:rsidR="00272E30" w:rsidRPr="00272E30" w:rsidRDefault="00272E30" w:rsidP="00272E30">
      <w:pPr>
        <w:pStyle w:val="ab"/>
        <w:spacing w:after="163"/>
        <w:ind w:left="3799"/>
        <w:rPr>
          <w:rFonts w:eastAsia="楷体_GB2312"/>
          <w:color w:val="auto"/>
          <w:lang w:val="en-US"/>
        </w:rPr>
      </w:pPr>
    </w:p>
    <w:p w:rsidR="0078349E" w:rsidRPr="00F13006" w:rsidRDefault="008622E0" w:rsidP="008622E0">
      <w:pPr>
        <w:widowControl/>
        <w:spacing w:after="120" w:line="240" w:lineRule="exact"/>
        <w:ind w:firstLineChars="1421" w:firstLine="3424"/>
        <w:rPr>
          <w:rFonts w:ascii="Arial" w:eastAsia="楷体_GB2312" w:hAnsi="Arial" w:cs="Times New Roman"/>
          <w:kern w:val="0"/>
          <w:szCs w:val="20"/>
        </w:rPr>
      </w:pPr>
      <w:r>
        <w:rPr>
          <w:rFonts w:ascii="Arial" w:eastAsia="楷体_GB2312" w:hAnsi="Arial" w:cs="Times New Roman" w:hint="eastAsia"/>
          <w:b/>
          <w:bCs/>
          <w:color w:val="0070C0"/>
          <w:kern w:val="0"/>
          <w:sz w:val="24"/>
          <w:szCs w:val="20"/>
          <w:lang w:val="en-GB"/>
        </w:rPr>
        <w:t>债市</w:t>
      </w:r>
      <w:r w:rsidR="0078349E" w:rsidRPr="00A60DD2">
        <w:rPr>
          <w:rFonts w:ascii="Arial" w:eastAsia="楷体_GB2312" w:hAnsi="Arial" w:cs="Times New Roman" w:hint="eastAsia"/>
          <w:b/>
          <w:bCs/>
          <w:color w:val="0070C0"/>
          <w:kern w:val="0"/>
          <w:sz w:val="24"/>
          <w:szCs w:val="20"/>
          <w:lang w:val="en-GB"/>
        </w:rPr>
        <w:t>展望：</w:t>
      </w:r>
      <w:r w:rsidR="001E121E">
        <w:rPr>
          <w:rFonts w:ascii="Arial" w:eastAsia="楷体_GB2312" w:hAnsi="Arial" w:cs="Times New Roman" w:hint="eastAsia"/>
          <w:b/>
          <w:bCs/>
          <w:color w:val="0070C0"/>
          <w:kern w:val="0"/>
          <w:sz w:val="24"/>
          <w:szCs w:val="20"/>
          <w:lang w:val="en-GB"/>
        </w:rPr>
        <w:t>降息利好有限，</w:t>
      </w:r>
      <w:r w:rsidR="00E62262">
        <w:rPr>
          <w:rFonts w:ascii="Arial" w:eastAsia="楷体_GB2312" w:hAnsi="Arial" w:cs="Times New Roman" w:hint="eastAsia"/>
          <w:b/>
          <w:bCs/>
          <w:color w:val="0070C0"/>
          <w:kern w:val="0"/>
          <w:sz w:val="24"/>
          <w:szCs w:val="20"/>
          <w:lang w:val="en-GB"/>
        </w:rPr>
        <w:t>短期保持谨慎</w:t>
      </w:r>
      <w:r w:rsidR="0078349E" w:rsidRPr="00F13006">
        <w:rPr>
          <w:rFonts w:ascii="Arial" w:eastAsia="楷体_GB2312" w:hAnsi="Arial" w:cs="Times New Roman" w:hint="eastAsia"/>
          <w:kern w:val="0"/>
          <w:szCs w:val="20"/>
        </w:rPr>
        <w:t xml:space="preserve"> </w:t>
      </w:r>
    </w:p>
    <w:p w:rsidR="0078349E" w:rsidRPr="00316258" w:rsidRDefault="00005165" w:rsidP="0078349E">
      <w:pPr>
        <w:pStyle w:val="ab"/>
        <w:numPr>
          <w:ilvl w:val="4"/>
          <w:numId w:val="1"/>
        </w:numPr>
        <w:spacing w:after="163"/>
        <w:rPr>
          <w:rFonts w:eastAsia="楷体_GB2312"/>
          <w:color w:val="auto"/>
        </w:rPr>
      </w:pPr>
      <w:r>
        <w:rPr>
          <w:rFonts w:eastAsia="楷体_GB2312" w:hint="eastAsia"/>
          <w:color w:val="auto"/>
        </w:rPr>
        <w:t>2</w:t>
      </w:r>
      <w:r>
        <w:rPr>
          <w:rFonts w:eastAsia="楷体_GB2312" w:hint="eastAsia"/>
          <w:color w:val="auto"/>
        </w:rPr>
        <w:t>月疲弱的宏观经济对债市构成支撑，供给环节则保持平稳，月初央行降准释放流动性，</w:t>
      </w:r>
      <w:r w:rsidR="00924E71">
        <w:rPr>
          <w:rFonts w:eastAsia="楷体_GB2312" w:hint="eastAsia"/>
          <w:color w:val="auto"/>
        </w:rPr>
        <w:t>但在</w:t>
      </w:r>
      <w:r w:rsidR="00AC7236">
        <w:rPr>
          <w:rFonts w:eastAsia="楷体_GB2312" w:hint="eastAsia"/>
          <w:color w:val="auto"/>
        </w:rPr>
        <w:t>人民币贬值、新股申购、春节因素作用下</w:t>
      </w:r>
      <w:r w:rsidR="00924E71">
        <w:rPr>
          <w:rFonts w:eastAsia="楷体_GB2312" w:hint="eastAsia"/>
          <w:color w:val="auto"/>
        </w:rPr>
        <w:t>资金面</w:t>
      </w:r>
      <w:r w:rsidR="00AC7236">
        <w:rPr>
          <w:rFonts w:eastAsia="楷体_GB2312" w:hint="eastAsia"/>
          <w:color w:val="auto"/>
        </w:rPr>
        <w:t>总体</w:t>
      </w:r>
      <w:r w:rsidR="00924E71">
        <w:rPr>
          <w:rFonts w:eastAsia="楷体_GB2312" w:hint="eastAsia"/>
          <w:color w:val="auto"/>
        </w:rPr>
        <w:t>保持紧平衡，</w:t>
      </w:r>
      <w:r w:rsidR="00AC7236">
        <w:rPr>
          <w:rFonts w:eastAsia="楷体_GB2312" w:hint="eastAsia"/>
          <w:color w:val="auto"/>
        </w:rPr>
        <w:t>在各方因素作用下</w:t>
      </w:r>
      <w:r w:rsidR="00924E71">
        <w:rPr>
          <w:rFonts w:eastAsia="楷体_GB2312" w:hint="eastAsia"/>
          <w:color w:val="auto"/>
        </w:rPr>
        <w:t>债市震荡反弹，</w:t>
      </w:r>
      <w:r w:rsidR="00AC7236">
        <w:rPr>
          <w:rFonts w:eastAsia="楷体_GB2312" w:hint="eastAsia"/>
          <w:color w:val="auto"/>
        </w:rPr>
        <w:t>其中</w:t>
      </w:r>
      <w:r w:rsidR="00924E71">
        <w:rPr>
          <w:rFonts w:eastAsia="楷体_GB2312" w:hint="eastAsia"/>
          <w:color w:val="auto"/>
        </w:rPr>
        <w:t>利率债表现优于信用债</w:t>
      </w:r>
      <w:r w:rsidR="00AC7236">
        <w:rPr>
          <w:rFonts w:eastAsia="楷体_GB2312" w:hint="eastAsia"/>
          <w:color w:val="auto"/>
        </w:rPr>
        <w:t>，全月中债总净价指数上涨</w:t>
      </w:r>
      <w:r w:rsidR="00AC7236">
        <w:rPr>
          <w:rFonts w:eastAsia="楷体_GB2312" w:hint="eastAsia"/>
          <w:color w:val="auto"/>
        </w:rPr>
        <w:t>0.67%</w:t>
      </w:r>
      <w:r w:rsidR="00AC7236">
        <w:rPr>
          <w:rFonts w:eastAsia="楷体_GB2312" w:hint="eastAsia"/>
          <w:color w:val="auto"/>
        </w:rPr>
        <w:t>，中债国债总净价指数上涨</w:t>
      </w:r>
      <w:r w:rsidR="00AC7236">
        <w:rPr>
          <w:rFonts w:eastAsia="楷体_GB2312" w:hint="eastAsia"/>
          <w:color w:val="auto"/>
        </w:rPr>
        <w:t>0.89%</w:t>
      </w:r>
      <w:r w:rsidR="00AC7236">
        <w:rPr>
          <w:rFonts w:eastAsia="楷体_GB2312" w:hint="eastAsia"/>
          <w:color w:val="auto"/>
        </w:rPr>
        <w:t>，</w:t>
      </w:r>
      <w:r w:rsidR="00FA6091">
        <w:rPr>
          <w:rFonts w:eastAsia="楷体_GB2312" w:hint="eastAsia"/>
          <w:color w:val="auto"/>
        </w:rPr>
        <w:t>中债信用债总净价指数上涨</w:t>
      </w:r>
      <w:r w:rsidR="00FA6091">
        <w:rPr>
          <w:rFonts w:eastAsia="楷体_GB2312" w:hint="eastAsia"/>
          <w:color w:val="auto"/>
        </w:rPr>
        <w:t>0.38%</w:t>
      </w:r>
      <w:r w:rsidR="00FA6091">
        <w:rPr>
          <w:rFonts w:eastAsia="楷体_GB2312" w:hint="eastAsia"/>
          <w:color w:val="auto"/>
        </w:rPr>
        <w:t>。</w:t>
      </w:r>
      <w:r w:rsidR="00910A88">
        <w:rPr>
          <w:rFonts w:eastAsia="楷体_GB2312" w:hint="eastAsia"/>
          <w:color w:val="auto"/>
        </w:rPr>
        <w:t>利率债方面，</w:t>
      </w:r>
      <w:r w:rsidR="00FA6091">
        <w:rPr>
          <w:rFonts w:eastAsia="楷体_GB2312" w:hint="eastAsia"/>
          <w:color w:val="auto"/>
        </w:rPr>
        <w:t>从期限结构的角度来看，中长端收益率下行幅度优于短端</w:t>
      </w:r>
      <w:r w:rsidR="00910A88">
        <w:rPr>
          <w:rFonts w:eastAsia="楷体_GB2312" w:hint="eastAsia"/>
          <w:color w:val="auto"/>
        </w:rPr>
        <w:t>；</w:t>
      </w:r>
      <w:r w:rsidR="00FA6091">
        <w:rPr>
          <w:rFonts w:eastAsia="楷体_GB2312" w:hint="eastAsia"/>
          <w:color w:val="auto"/>
        </w:rPr>
        <w:t>信用债方面</w:t>
      </w:r>
      <w:r w:rsidR="00910A88">
        <w:rPr>
          <w:rFonts w:eastAsia="楷体_GB2312" w:hint="eastAsia"/>
          <w:color w:val="auto"/>
        </w:rPr>
        <w:t>，中高等级收益率整体下行幅度较大，低等级短端收益率下行幅度高于长端。</w:t>
      </w:r>
    </w:p>
    <w:p w:rsidR="007E7391" w:rsidRDefault="0078349E" w:rsidP="008622E0">
      <w:pPr>
        <w:pStyle w:val="ab"/>
        <w:numPr>
          <w:ilvl w:val="4"/>
          <w:numId w:val="1"/>
        </w:numPr>
        <w:spacing w:after="163"/>
        <w:rPr>
          <w:rFonts w:eastAsia="楷体_GB2312"/>
          <w:color w:val="auto"/>
        </w:rPr>
      </w:pPr>
      <w:r>
        <w:rPr>
          <w:rFonts w:eastAsia="楷体_GB2312" w:hint="eastAsia"/>
          <w:color w:val="auto"/>
        </w:rPr>
        <w:t>向前看，</w:t>
      </w:r>
      <w:r w:rsidR="00692578">
        <w:rPr>
          <w:rFonts w:eastAsia="楷体_GB2312" w:hint="eastAsia"/>
          <w:color w:val="auto"/>
        </w:rPr>
        <w:t>尽管基本面继续</w:t>
      </w:r>
      <w:r w:rsidR="00622997">
        <w:rPr>
          <w:rFonts w:eastAsia="楷体_GB2312" w:hint="eastAsia"/>
          <w:color w:val="auto"/>
        </w:rPr>
        <w:t>向好债市</w:t>
      </w:r>
      <w:r w:rsidR="00692578">
        <w:rPr>
          <w:rFonts w:eastAsia="楷体_GB2312" w:hint="eastAsia"/>
          <w:color w:val="auto"/>
        </w:rPr>
        <w:t>，</w:t>
      </w:r>
      <w:r w:rsidR="00622997">
        <w:rPr>
          <w:rFonts w:eastAsia="楷体_GB2312" w:hint="eastAsia"/>
          <w:color w:val="auto"/>
        </w:rPr>
        <w:t>央行也于</w:t>
      </w:r>
      <w:r w:rsidR="00622997">
        <w:rPr>
          <w:rFonts w:eastAsia="楷体_GB2312" w:hint="eastAsia"/>
          <w:color w:val="auto"/>
        </w:rPr>
        <w:t>2</w:t>
      </w:r>
      <w:r w:rsidR="00622997">
        <w:rPr>
          <w:rFonts w:eastAsia="楷体_GB2312" w:hint="eastAsia"/>
          <w:color w:val="auto"/>
        </w:rPr>
        <w:t>月末再度祭出降息利器，但从资金面情况来看，</w:t>
      </w:r>
      <w:r w:rsidR="007A1AB6">
        <w:rPr>
          <w:rFonts w:eastAsia="楷体_GB2312" w:hint="eastAsia"/>
          <w:color w:val="auto"/>
        </w:rPr>
        <w:t>人民币贬值、外汇占款减少、资本外流带来的负面影响值得警惕，此外</w:t>
      </w:r>
      <w:r w:rsidR="006227D9">
        <w:rPr>
          <w:rFonts w:eastAsia="楷体_GB2312" w:hint="eastAsia"/>
          <w:color w:val="auto"/>
        </w:rPr>
        <w:t>政策落地后市场面临部分获利盘回吐压力，另一方面，改革稳步推进，政策整体宽松的背景下，股票市场</w:t>
      </w:r>
      <w:r w:rsidR="003D1309">
        <w:rPr>
          <w:rFonts w:eastAsia="楷体_GB2312" w:hint="eastAsia"/>
          <w:color w:val="auto"/>
        </w:rPr>
        <w:t>总体向好趋势未变，叠加</w:t>
      </w:r>
      <w:r w:rsidR="003D1309">
        <w:rPr>
          <w:rFonts w:eastAsia="楷体_GB2312" w:hint="eastAsia"/>
          <w:color w:val="auto"/>
        </w:rPr>
        <w:t>IPO</w:t>
      </w:r>
      <w:r w:rsidR="003D1309">
        <w:rPr>
          <w:rFonts w:eastAsia="楷体_GB2312" w:hint="eastAsia"/>
          <w:color w:val="auto"/>
        </w:rPr>
        <w:t>打新，</w:t>
      </w:r>
      <w:r w:rsidR="008526C5">
        <w:rPr>
          <w:rFonts w:eastAsia="楷体_GB2312" w:hint="eastAsia"/>
          <w:color w:val="auto"/>
        </w:rPr>
        <w:t>对</w:t>
      </w:r>
      <w:r w:rsidR="003D1309">
        <w:rPr>
          <w:rFonts w:eastAsia="楷体_GB2312" w:hint="eastAsia"/>
          <w:color w:val="auto"/>
        </w:rPr>
        <w:t>债市资金</w:t>
      </w:r>
      <w:r w:rsidR="008526C5">
        <w:rPr>
          <w:rFonts w:eastAsia="楷体_GB2312" w:hint="eastAsia"/>
          <w:color w:val="auto"/>
        </w:rPr>
        <w:t>面造成</w:t>
      </w:r>
      <w:r w:rsidR="003D1309">
        <w:rPr>
          <w:rFonts w:eastAsia="楷体_GB2312" w:hint="eastAsia"/>
          <w:color w:val="auto"/>
        </w:rPr>
        <w:t>分流压力。另外，从供需的角度来看，</w:t>
      </w:r>
      <w:r w:rsidR="003D1309">
        <w:rPr>
          <w:rFonts w:eastAsia="楷体_GB2312" w:hint="eastAsia"/>
          <w:color w:val="auto"/>
        </w:rPr>
        <w:t>3</w:t>
      </w:r>
      <w:r w:rsidR="003D1309">
        <w:rPr>
          <w:rFonts w:eastAsia="楷体_GB2312" w:hint="eastAsia"/>
          <w:color w:val="auto"/>
        </w:rPr>
        <w:t>月份债市扩容压力增大</w:t>
      </w:r>
      <w:r w:rsidR="008526C5">
        <w:rPr>
          <w:rFonts w:eastAsia="楷体_GB2312" w:hint="eastAsia"/>
          <w:color w:val="auto"/>
        </w:rPr>
        <w:t>，而需求面较为平淡。综合以上各方因素，我们对债市短期持谨慎态度。具体来看，利率债方面，</w:t>
      </w:r>
      <w:r w:rsidR="007E7391">
        <w:rPr>
          <w:rFonts w:eastAsia="楷体_GB2312" w:hint="eastAsia"/>
          <w:color w:val="auto"/>
        </w:rPr>
        <w:t>在基本面、政策预期作用下，长端收益率已下滑至相对低位，进一步下行空间有限；另一方面受降息带动以及节后资金利率回落</w:t>
      </w:r>
      <w:r w:rsidR="001165DD">
        <w:rPr>
          <w:rFonts w:eastAsia="楷体_GB2312" w:hint="eastAsia"/>
          <w:color w:val="auto"/>
        </w:rPr>
        <w:t>影响，</w:t>
      </w:r>
      <w:r w:rsidR="007E7391">
        <w:rPr>
          <w:rFonts w:eastAsia="楷体_GB2312" w:hint="eastAsia"/>
          <w:color w:val="auto"/>
        </w:rPr>
        <w:t>短端收益率</w:t>
      </w:r>
      <w:r w:rsidR="00BC4C1F">
        <w:rPr>
          <w:rFonts w:eastAsia="楷体_GB2312" w:hint="eastAsia"/>
          <w:color w:val="auto"/>
        </w:rPr>
        <w:t>更具下行空间</w:t>
      </w:r>
      <w:r w:rsidR="00022E8F">
        <w:rPr>
          <w:rFonts w:eastAsia="楷体_GB2312" w:hint="eastAsia"/>
          <w:color w:val="auto"/>
        </w:rPr>
        <w:t>。信用债方面，在政策托底力度增强的背景下，部分风险可控的低等级信用债或存表现机会。</w:t>
      </w:r>
      <w:r w:rsidR="001165DD">
        <w:rPr>
          <w:rFonts w:eastAsia="楷体_GB2312" w:hint="eastAsia"/>
          <w:color w:val="auto"/>
        </w:rPr>
        <w:t>此外，考虑到短期债市整体机会有限，建议在久期和杠杆选择上保持适度谨慎。</w:t>
      </w:r>
    </w:p>
    <w:p w:rsidR="00BE7BFB" w:rsidRPr="006B085A" w:rsidRDefault="00BE7BFB" w:rsidP="00BE7BFB">
      <w:pPr>
        <w:widowControl/>
        <w:spacing w:after="120" w:line="240" w:lineRule="exact"/>
        <w:ind w:left="3430"/>
        <w:rPr>
          <w:rFonts w:ascii="Arial" w:eastAsia="楷体_GB2312" w:hAnsi="Arial" w:cs="Times New Roman"/>
          <w:b/>
          <w:bCs/>
          <w:color w:val="0070C0"/>
          <w:kern w:val="0"/>
          <w:sz w:val="24"/>
          <w:szCs w:val="20"/>
          <w:lang w:val="en-GB"/>
        </w:rPr>
      </w:pPr>
      <w:r w:rsidRPr="00383090">
        <w:rPr>
          <w:rFonts w:ascii="Arial" w:eastAsia="楷体_GB2312" w:hAnsi="Arial" w:cs="Times New Roman" w:hint="eastAsia"/>
          <w:b/>
          <w:bCs/>
          <w:color w:val="0070C0"/>
          <w:kern w:val="0"/>
          <w:sz w:val="24"/>
          <w:szCs w:val="20"/>
          <w:lang w:val="en-GB"/>
        </w:rPr>
        <w:t>3</w:t>
      </w:r>
      <w:r w:rsidRPr="00383090">
        <w:rPr>
          <w:rFonts w:ascii="Arial" w:eastAsia="楷体_GB2312" w:hAnsi="Arial" w:cs="Times New Roman" w:hint="eastAsia"/>
          <w:b/>
          <w:bCs/>
          <w:color w:val="0070C0"/>
          <w:kern w:val="0"/>
          <w:sz w:val="24"/>
          <w:szCs w:val="20"/>
          <w:lang w:val="en-GB"/>
        </w:rPr>
        <w:t>月固收类基金配置策略：</w:t>
      </w:r>
      <w:r w:rsidR="00622997" w:rsidRPr="00383090">
        <w:rPr>
          <w:rFonts w:ascii="Arial" w:eastAsia="楷体_GB2312" w:hAnsi="Arial" w:cs="Times New Roman" w:hint="eastAsia"/>
          <w:b/>
          <w:bCs/>
          <w:color w:val="0070C0"/>
          <w:kern w:val="0"/>
          <w:sz w:val="24"/>
          <w:szCs w:val="20"/>
          <w:lang w:val="en-GB"/>
        </w:rPr>
        <w:t>优选二级债基，辅助搭配货币型产品</w:t>
      </w:r>
    </w:p>
    <w:p w:rsidR="0051053E" w:rsidRPr="00F82F25" w:rsidRDefault="00BE7BFB" w:rsidP="0051053E">
      <w:pPr>
        <w:widowControl/>
        <w:spacing w:after="120" w:line="240" w:lineRule="exact"/>
        <w:ind w:leftChars="1633" w:left="3429" w:firstLineChars="200" w:firstLine="420"/>
        <w:rPr>
          <w:rFonts w:ascii="Arial" w:eastAsia="楷体_GB2312" w:hAnsi="Arial" w:cs="Times New Roman"/>
          <w:kern w:val="0"/>
          <w:szCs w:val="20"/>
          <w:lang w:val="en-GB"/>
        </w:rPr>
      </w:pPr>
      <w:r>
        <w:rPr>
          <w:rFonts w:ascii="Arial" w:eastAsia="楷体_GB2312" w:hAnsi="Arial" w:cs="Times New Roman" w:hint="eastAsia"/>
          <w:kern w:val="0"/>
          <w:szCs w:val="20"/>
          <w:lang w:val="en-GB"/>
        </w:rPr>
        <w:t>鉴于上文对于</w:t>
      </w:r>
      <w:r w:rsidR="00131CCE">
        <w:rPr>
          <w:rFonts w:ascii="Arial" w:eastAsia="楷体_GB2312" w:hAnsi="Arial" w:cs="Times New Roman" w:hint="eastAsia"/>
          <w:kern w:val="0"/>
          <w:szCs w:val="20"/>
          <w:lang w:val="en-GB"/>
        </w:rPr>
        <w:t>债券</w:t>
      </w:r>
      <w:r>
        <w:rPr>
          <w:rFonts w:ascii="Arial" w:eastAsia="楷体_GB2312" w:hAnsi="Arial" w:cs="Times New Roman" w:hint="eastAsia"/>
          <w:kern w:val="0"/>
          <w:szCs w:val="20"/>
          <w:lang w:val="en-GB"/>
        </w:rPr>
        <w:t>市场环境的分析，我们认为，</w:t>
      </w:r>
      <w:r w:rsidR="00F82F25" w:rsidRPr="00F82F25">
        <w:rPr>
          <w:rFonts w:ascii="Arial" w:eastAsia="楷体_GB2312" w:hAnsi="Arial" w:cs="Times New Roman" w:hint="eastAsia"/>
          <w:kern w:val="0"/>
          <w:szCs w:val="20"/>
          <w:lang w:val="en-GB"/>
        </w:rPr>
        <w:t>投资者可先采取相对中性的配置策略，在维持中性防御的基础上，再根据经济基本面、市场流动性等等因素的变化，适度灵活调整配置结构。在期限结构方面，建议降低组合久期水平，减少风险暴露空间。类别选择方面，</w:t>
      </w:r>
      <w:r w:rsidR="00631B3E">
        <w:rPr>
          <w:rFonts w:ascii="Arial" w:eastAsia="楷体_GB2312" w:hAnsi="Arial" w:cs="Times New Roman" w:hint="eastAsia"/>
          <w:kern w:val="0"/>
          <w:szCs w:val="20"/>
          <w:lang w:val="en-GB"/>
        </w:rPr>
        <w:t>建议</w:t>
      </w:r>
      <w:r w:rsidR="00335451">
        <w:rPr>
          <w:rFonts w:ascii="Arial" w:eastAsia="楷体_GB2312" w:hAnsi="Arial" w:cs="Times New Roman" w:hint="eastAsia"/>
          <w:kern w:val="0"/>
          <w:szCs w:val="20"/>
          <w:lang w:val="en-GB"/>
        </w:rPr>
        <w:t>优选中长期</w:t>
      </w:r>
      <w:r w:rsidR="005F68DA">
        <w:rPr>
          <w:rFonts w:ascii="Arial" w:eastAsia="楷体_GB2312" w:hAnsi="Arial" w:cs="Times New Roman" w:hint="eastAsia"/>
          <w:kern w:val="0"/>
          <w:szCs w:val="20"/>
          <w:lang w:val="en-GB"/>
        </w:rPr>
        <w:t>业绩优异、</w:t>
      </w:r>
      <w:r w:rsidR="00335451">
        <w:rPr>
          <w:rFonts w:ascii="Arial" w:eastAsia="楷体_GB2312" w:hAnsi="Arial" w:cs="Times New Roman" w:hint="eastAsia"/>
          <w:kern w:val="0"/>
          <w:szCs w:val="20"/>
          <w:lang w:val="en-GB"/>
        </w:rPr>
        <w:t>固收综合投资能力较强且</w:t>
      </w:r>
      <w:r w:rsidR="005F68DA">
        <w:rPr>
          <w:rFonts w:ascii="Arial" w:eastAsia="楷体_GB2312" w:hAnsi="Arial" w:cs="Times New Roman" w:hint="eastAsia"/>
          <w:kern w:val="0"/>
          <w:szCs w:val="20"/>
          <w:lang w:val="en-GB"/>
        </w:rPr>
        <w:t>善于把握股票市场</w:t>
      </w:r>
      <w:r w:rsidR="00631B3E">
        <w:rPr>
          <w:rFonts w:ascii="Arial" w:eastAsia="楷体_GB2312" w:hAnsi="Arial" w:cs="Times New Roman" w:hint="eastAsia"/>
          <w:kern w:val="0"/>
          <w:szCs w:val="20"/>
          <w:lang w:val="en-GB"/>
        </w:rPr>
        <w:t>和可转债投资机会的</w:t>
      </w:r>
      <w:r w:rsidR="000476C6">
        <w:rPr>
          <w:rFonts w:ascii="Arial" w:eastAsia="楷体_GB2312" w:hAnsi="Arial" w:cs="Times New Roman" w:hint="eastAsia"/>
          <w:kern w:val="0"/>
          <w:szCs w:val="20"/>
          <w:lang w:val="en-GB"/>
        </w:rPr>
        <w:t>二级债基</w:t>
      </w:r>
      <w:r w:rsidR="00335451">
        <w:rPr>
          <w:rFonts w:ascii="Arial" w:eastAsia="楷体_GB2312" w:hAnsi="Arial" w:cs="Times New Roman" w:hint="eastAsia"/>
          <w:kern w:val="0"/>
          <w:szCs w:val="20"/>
          <w:lang w:val="en-GB"/>
        </w:rPr>
        <w:t>，</w:t>
      </w:r>
      <w:r w:rsidR="005933AF">
        <w:rPr>
          <w:rFonts w:ascii="Arial" w:eastAsia="楷体_GB2312" w:hAnsi="Arial" w:cs="Times New Roman" w:hint="eastAsia"/>
          <w:kern w:val="0"/>
          <w:szCs w:val="20"/>
          <w:lang w:val="en-GB"/>
        </w:rPr>
        <w:t>如</w:t>
      </w:r>
      <w:r w:rsidR="00711901" w:rsidRPr="00711901">
        <w:rPr>
          <w:rFonts w:ascii="Arial" w:eastAsia="楷体_GB2312" w:hAnsi="Arial" w:cs="Times New Roman" w:hint="eastAsia"/>
          <w:kern w:val="0"/>
          <w:szCs w:val="20"/>
          <w:lang w:val="en-GB"/>
        </w:rPr>
        <w:t>民生加银增强收益债券</w:t>
      </w:r>
      <w:r w:rsidR="00711901" w:rsidRPr="00711901">
        <w:rPr>
          <w:rFonts w:ascii="Arial" w:eastAsia="楷体_GB2312" w:hAnsi="Arial" w:cs="Times New Roman" w:hint="eastAsia"/>
          <w:kern w:val="0"/>
          <w:szCs w:val="20"/>
          <w:lang w:val="en-GB"/>
        </w:rPr>
        <w:t>A</w:t>
      </w:r>
      <w:r w:rsidR="005933AF" w:rsidRPr="005933AF">
        <w:rPr>
          <w:rFonts w:ascii="Arial" w:eastAsia="楷体_GB2312" w:hAnsi="Arial" w:cs="Times New Roman" w:hint="eastAsia"/>
          <w:kern w:val="0"/>
          <w:szCs w:val="20"/>
          <w:lang w:val="en-GB"/>
        </w:rPr>
        <w:t>、招商安本增利、易方达安心回报债券</w:t>
      </w:r>
      <w:r w:rsidR="005933AF">
        <w:rPr>
          <w:rFonts w:ascii="Arial" w:eastAsia="楷体_GB2312" w:hAnsi="Arial" w:cs="Times New Roman" w:hint="eastAsia"/>
          <w:kern w:val="0"/>
          <w:szCs w:val="20"/>
          <w:lang w:val="en-GB"/>
        </w:rPr>
        <w:t>等</w:t>
      </w:r>
      <w:r w:rsidR="00335451">
        <w:rPr>
          <w:rFonts w:ascii="Arial" w:eastAsia="楷体_GB2312" w:hAnsi="Arial" w:cs="Times New Roman" w:hint="eastAsia"/>
          <w:kern w:val="0"/>
          <w:szCs w:val="20"/>
          <w:lang w:val="en-GB"/>
        </w:rPr>
        <w:t>适度提高其配置比例；</w:t>
      </w:r>
      <w:r w:rsidR="00F82F25" w:rsidRPr="00F82F25">
        <w:rPr>
          <w:rFonts w:ascii="Arial" w:eastAsia="楷体_GB2312" w:hAnsi="Arial" w:cs="Times New Roman" w:hint="eastAsia"/>
          <w:kern w:val="0"/>
          <w:szCs w:val="20"/>
          <w:lang w:val="en-GB"/>
        </w:rPr>
        <w:t>谨慎投资利率债配置比例比较高的品种，</w:t>
      </w:r>
      <w:r w:rsidR="00D71B07">
        <w:rPr>
          <w:rFonts w:ascii="Arial" w:eastAsia="楷体_GB2312" w:hAnsi="Arial" w:cs="Times New Roman" w:hint="eastAsia"/>
          <w:kern w:val="0"/>
          <w:szCs w:val="20"/>
          <w:lang w:val="en-GB"/>
        </w:rPr>
        <w:t>等待政策进一步宽松信号；</w:t>
      </w:r>
      <w:r w:rsidR="00F82F25" w:rsidRPr="00F82F25">
        <w:rPr>
          <w:rFonts w:ascii="Arial" w:eastAsia="楷体_GB2312" w:hAnsi="Arial" w:cs="Times New Roman" w:hint="eastAsia"/>
          <w:kern w:val="0"/>
          <w:szCs w:val="20"/>
          <w:lang w:val="en-GB"/>
        </w:rPr>
        <w:t>对于信用债基金则</w:t>
      </w:r>
      <w:r w:rsidR="00D71B07">
        <w:rPr>
          <w:rFonts w:ascii="Arial" w:eastAsia="楷体_GB2312" w:hAnsi="Arial" w:cs="Times New Roman" w:hint="eastAsia"/>
          <w:kern w:val="0"/>
          <w:szCs w:val="20"/>
          <w:lang w:val="en-GB"/>
        </w:rPr>
        <w:t>注重</w:t>
      </w:r>
      <w:r w:rsidR="00F82F25" w:rsidRPr="00F82F25">
        <w:rPr>
          <w:rFonts w:ascii="Arial" w:eastAsia="楷体_GB2312" w:hAnsi="Arial" w:cs="Times New Roman" w:hint="eastAsia"/>
          <w:kern w:val="0"/>
          <w:szCs w:val="20"/>
          <w:lang w:val="en-GB"/>
        </w:rPr>
        <w:t>防范信用风险的发生，重点关注偏好风险等级相对较低的优质城</w:t>
      </w:r>
      <w:r w:rsidR="00F82F25" w:rsidRPr="00F82F25">
        <w:rPr>
          <w:rFonts w:ascii="Arial" w:eastAsia="楷体_GB2312" w:hAnsi="Arial" w:cs="Times New Roman" w:hint="eastAsia"/>
          <w:kern w:val="0"/>
          <w:szCs w:val="20"/>
          <w:lang w:val="en-GB"/>
        </w:rPr>
        <w:lastRenderedPageBreak/>
        <w:t>投债</w:t>
      </w:r>
      <w:r w:rsidR="00D71B07">
        <w:rPr>
          <w:rFonts w:ascii="Arial" w:eastAsia="楷体_GB2312" w:hAnsi="Arial" w:cs="Times New Roman" w:hint="eastAsia"/>
          <w:kern w:val="0"/>
          <w:szCs w:val="20"/>
          <w:lang w:val="en-GB"/>
        </w:rPr>
        <w:t>基金相对</w:t>
      </w:r>
      <w:r w:rsidR="00F82F25" w:rsidRPr="00F82F25">
        <w:rPr>
          <w:rFonts w:ascii="Arial" w:eastAsia="楷体_GB2312" w:hAnsi="Arial" w:cs="Times New Roman" w:hint="eastAsia"/>
          <w:kern w:val="0"/>
          <w:szCs w:val="20"/>
          <w:lang w:val="en-GB"/>
        </w:rPr>
        <w:t>投资价值。与此同时，</w:t>
      </w:r>
      <w:r w:rsidR="00D71B07">
        <w:rPr>
          <w:rFonts w:ascii="Arial" w:eastAsia="楷体_GB2312" w:hAnsi="Arial" w:cs="Times New Roman" w:hint="eastAsia"/>
          <w:kern w:val="0"/>
          <w:szCs w:val="20"/>
          <w:lang w:val="en-GB"/>
        </w:rPr>
        <w:t>根据投资者风险偏好，继续搭配货币类产品，以平滑组合风险</w:t>
      </w:r>
      <w:r w:rsidR="00F82F25" w:rsidRPr="00F82F25">
        <w:rPr>
          <w:rFonts w:ascii="Arial" w:eastAsia="楷体_GB2312" w:hAnsi="Arial" w:cs="Times New Roman" w:hint="eastAsia"/>
          <w:kern w:val="0"/>
          <w:szCs w:val="20"/>
          <w:lang w:val="en-GB"/>
        </w:rPr>
        <w:t>，</w:t>
      </w:r>
      <w:r w:rsidR="005933AF">
        <w:rPr>
          <w:rFonts w:ascii="Arial" w:eastAsia="楷体_GB2312" w:hAnsi="Arial" w:cs="Times New Roman" w:hint="eastAsia"/>
          <w:kern w:val="0"/>
          <w:szCs w:val="20"/>
          <w:lang w:val="en-GB"/>
        </w:rPr>
        <w:t>产品选择从规模、流动性以及业绩稳定性角度出发，选择规模较大、流动性较高、历史业绩稳健的品种如南方现金增利、华夏现金增利等纳入组合。</w:t>
      </w:r>
    </w:p>
    <w:p w:rsidR="0051053E" w:rsidRDefault="00AF6414" w:rsidP="00272E30">
      <w:pPr>
        <w:widowControl/>
        <w:spacing w:after="120" w:line="240" w:lineRule="exact"/>
        <w:ind w:left="3430"/>
        <w:rPr>
          <w:rFonts w:ascii="Arial" w:eastAsia="楷体_GB2312" w:hAnsi="Arial" w:cs="Times New Roman"/>
          <w:b/>
          <w:bCs/>
          <w:color w:val="0070C0"/>
          <w:kern w:val="0"/>
          <w:sz w:val="24"/>
          <w:szCs w:val="20"/>
          <w:lang w:val="en-GB"/>
        </w:rPr>
      </w:pPr>
      <w:r>
        <w:rPr>
          <w:rFonts w:ascii="Arial" w:eastAsia="楷体_GB2312" w:hAnsi="Arial" w:cs="Times New Roman" w:hint="eastAsia"/>
          <w:b/>
          <w:bCs/>
          <w:color w:val="0070C0"/>
          <w:kern w:val="0"/>
          <w:sz w:val="24"/>
          <w:szCs w:val="20"/>
          <w:lang w:val="en-GB"/>
        </w:rPr>
        <w:t>固定收益类</w:t>
      </w:r>
      <w:r w:rsidR="0063102E" w:rsidRPr="00A3247E">
        <w:rPr>
          <w:rFonts w:ascii="Arial" w:eastAsia="楷体_GB2312" w:hAnsi="Arial" w:cs="Times New Roman" w:hint="eastAsia"/>
          <w:b/>
          <w:bCs/>
          <w:color w:val="0070C0"/>
          <w:kern w:val="0"/>
          <w:sz w:val="24"/>
          <w:szCs w:val="20"/>
          <w:lang w:val="en-GB"/>
        </w:rPr>
        <w:t>基金池推荐</w:t>
      </w:r>
    </w:p>
    <w:p w:rsidR="00AB716F" w:rsidRPr="00AB716F" w:rsidRDefault="00AB716F" w:rsidP="00AB716F">
      <w:pPr>
        <w:widowControl/>
        <w:spacing w:after="120" w:line="240" w:lineRule="exact"/>
        <w:ind w:leftChars="1633" w:left="3429" w:firstLineChars="200" w:firstLine="420"/>
        <w:rPr>
          <w:rFonts w:ascii="Arial" w:eastAsia="楷体_GB2312" w:hAnsi="Arial" w:cs="Times New Roman"/>
          <w:kern w:val="0"/>
          <w:szCs w:val="20"/>
          <w:lang w:val="en-GB"/>
        </w:rPr>
      </w:pPr>
      <w:r w:rsidRPr="00AB716F">
        <w:rPr>
          <w:rFonts w:ascii="Arial" w:eastAsia="楷体_GB2312" w:hAnsi="Arial" w:cs="Times New Roman" w:hint="eastAsia"/>
          <w:kern w:val="0"/>
          <w:szCs w:val="20"/>
          <w:lang w:val="en-GB"/>
        </w:rPr>
        <w:t>民生加银增强收益债券</w:t>
      </w:r>
      <w:r w:rsidRPr="00AB716F">
        <w:rPr>
          <w:rFonts w:ascii="Arial" w:eastAsia="楷体_GB2312" w:hAnsi="Arial" w:cs="Times New Roman" w:hint="eastAsia"/>
          <w:kern w:val="0"/>
          <w:szCs w:val="20"/>
          <w:lang w:val="en-GB"/>
        </w:rPr>
        <w:t>A</w:t>
      </w:r>
      <w:r w:rsidRPr="00AB716F">
        <w:rPr>
          <w:rFonts w:ascii="Arial" w:eastAsia="楷体_GB2312" w:hAnsi="Arial" w:cs="Times New Roman" w:hint="eastAsia"/>
          <w:kern w:val="0"/>
          <w:szCs w:val="20"/>
          <w:lang w:val="en-GB"/>
        </w:rPr>
        <w:t>（代码</w:t>
      </w:r>
      <w:r w:rsidRPr="00AB716F">
        <w:rPr>
          <w:rFonts w:ascii="Arial" w:eastAsia="楷体_GB2312" w:hAnsi="Arial" w:cs="Times New Roman" w:hint="eastAsia"/>
          <w:kern w:val="0"/>
          <w:szCs w:val="20"/>
          <w:lang w:val="en-GB"/>
        </w:rPr>
        <w:t>690002</w:t>
      </w:r>
      <w:r w:rsidRPr="00AB716F">
        <w:rPr>
          <w:rFonts w:ascii="Arial" w:eastAsia="楷体_GB2312" w:hAnsi="Arial" w:cs="Times New Roman" w:hint="eastAsia"/>
          <w:kern w:val="0"/>
          <w:szCs w:val="20"/>
          <w:lang w:val="en-GB"/>
        </w:rPr>
        <w:t>）：该基金是一只二级债基，在当前降息所触发的股票和债券全市场投资机会丰富的环境中有先天的优势。基金三季报显示，该产品股票仓位在</w:t>
      </w:r>
      <w:r w:rsidRPr="00AB716F">
        <w:rPr>
          <w:rFonts w:ascii="Arial" w:eastAsia="楷体_GB2312" w:hAnsi="Arial" w:cs="Times New Roman" w:hint="eastAsia"/>
          <w:kern w:val="0"/>
          <w:szCs w:val="20"/>
          <w:lang w:val="en-GB"/>
        </w:rPr>
        <w:t>9.1%</w:t>
      </w:r>
      <w:r w:rsidRPr="00AB716F">
        <w:rPr>
          <w:rFonts w:ascii="Arial" w:eastAsia="楷体_GB2312" w:hAnsi="Arial" w:cs="Times New Roman" w:hint="eastAsia"/>
          <w:kern w:val="0"/>
          <w:szCs w:val="20"/>
          <w:lang w:val="en-GB"/>
        </w:rPr>
        <w:t>，主要以制造业投资为主，债券方面主要重仓可转债。其基金经理表示，年内在政府出台稳增长政策托底经济的背景之下，股票市场的表现将更优，转债未来还是会成为该基金的投资重点，权益市场方面，将重点配置汽车、</w:t>
      </w:r>
      <w:r w:rsidRPr="00AB716F">
        <w:rPr>
          <w:rFonts w:ascii="Arial" w:eastAsia="楷体_GB2312" w:hAnsi="Arial" w:cs="Times New Roman" w:hint="eastAsia"/>
          <w:kern w:val="0"/>
          <w:szCs w:val="20"/>
          <w:lang w:val="en-GB"/>
        </w:rPr>
        <w:t>TMT</w:t>
      </w:r>
      <w:r w:rsidRPr="00AB716F">
        <w:rPr>
          <w:rFonts w:ascii="Arial" w:eastAsia="楷体_GB2312" w:hAnsi="Arial" w:cs="Times New Roman" w:hint="eastAsia"/>
          <w:kern w:val="0"/>
          <w:szCs w:val="20"/>
          <w:lang w:val="en-GB"/>
        </w:rPr>
        <w:t>、军工以及医药板块。从产品的投资方向上来看，比较契合当前市场热点，因而可给予关注。</w:t>
      </w:r>
    </w:p>
    <w:p w:rsidR="00AB716F" w:rsidRPr="00AB716F" w:rsidRDefault="00AB716F" w:rsidP="00AB716F">
      <w:pPr>
        <w:widowControl/>
        <w:spacing w:after="120" w:line="240" w:lineRule="exact"/>
        <w:ind w:leftChars="1633" w:left="3429" w:firstLineChars="200" w:firstLine="420"/>
        <w:rPr>
          <w:rFonts w:ascii="Arial" w:eastAsia="楷体_GB2312" w:hAnsi="Arial" w:cs="Times New Roman"/>
          <w:kern w:val="0"/>
          <w:szCs w:val="20"/>
          <w:lang w:val="en-GB"/>
        </w:rPr>
      </w:pPr>
      <w:r w:rsidRPr="00AB716F">
        <w:rPr>
          <w:rFonts w:ascii="Arial" w:eastAsia="楷体_GB2312" w:hAnsi="Arial" w:cs="Times New Roman" w:hint="eastAsia"/>
          <w:kern w:val="0"/>
          <w:szCs w:val="20"/>
          <w:lang w:val="en-GB"/>
        </w:rPr>
        <w:t>易方达安心回报债券</w:t>
      </w:r>
      <w:r w:rsidRPr="00AB716F">
        <w:rPr>
          <w:rFonts w:ascii="Arial" w:eastAsia="楷体_GB2312" w:hAnsi="Arial" w:cs="Times New Roman" w:hint="eastAsia"/>
          <w:kern w:val="0"/>
          <w:szCs w:val="20"/>
          <w:lang w:val="en-GB"/>
        </w:rPr>
        <w:t>A</w:t>
      </w:r>
      <w:r w:rsidRPr="00AB716F">
        <w:rPr>
          <w:rFonts w:ascii="Arial" w:eastAsia="楷体_GB2312" w:hAnsi="Arial" w:cs="Times New Roman" w:hint="eastAsia"/>
          <w:kern w:val="0"/>
          <w:szCs w:val="20"/>
          <w:lang w:val="en-GB"/>
        </w:rPr>
        <w:t>（代码</w:t>
      </w:r>
      <w:r w:rsidRPr="00AB716F">
        <w:rPr>
          <w:rFonts w:ascii="Arial" w:eastAsia="楷体_GB2312" w:hAnsi="Arial" w:cs="Times New Roman" w:hint="eastAsia"/>
          <w:kern w:val="0"/>
          <w:szCs w:val="20"/>
          <w:lang w:val="en-GB"/>
        </w:rPr>
        <w:t>110027</w:t>
      </w:r>
      <w:r w:rsidRPr="00AB716F">
        <w:rPr>
          <w:rFonts w:ascii="Arial" w:eastAsia="楷体_GB2312" w:hAnsi="Arial" w:cs="Times New Roman" w:hint="eastAsia"/>
          <w:kern w:val="0"/>
          <w:szCs w:val="20"/>
          <w:lang w:val="en-GB"/>
        </w:rPr>
        <w:t>）：该基金操作风格积极灵活，前期较好的把握住了利率债到信用债投资机会的轮动节奏，而且作为一只二级债基，在当前股票市场拥有较好获益机会的大环境下，该基金也具备一定的收益增厚可能。对于未来，基金经理表示，将继续保持相对偏长的久期和相对较高的杠杆，以城投债和中高等级产业债等信用债为主要投资方向，对于利率债和权益类产品仍以把握波段操作的机会为主，同时保持较高的组合流动性，在经济和政策动向发生变化时根据市场情况及时调仓。从整个表述来看，该产品未来的投资策略也与我们的看法相契合，因此可以给与关注。</w:t>
      </w:r>
    </w:p>
    <w:p w:rsidR="00AB716F" w:rsidRDefault="00AB716F" w:rsidP="00AB716F">
      <w:pPr>
        <w:widowControl/>
        <w:spacing w:after="120" w:line="240" w:lineRule="exact"/>
        <w:ind w:leftChars="1633" w:left="3429" w:firstLineChars="200" w:firstLine="420"/>
        <w:rPr>
          <w:rFonts w:ascii="Arial" w:eastAsia="楷体_GB2312" w:hAnsi="Arial" w:cs="Times New Roman" w:hint="eastAsia"/>
          <w:kern w:val="0"/>
          <w:szCs w:val="20"/>
          <w:lang w:val="en-GB"/>
        </w:rPr>
      </w:pPr>
      <w:r w:rsidRPr="00AB716F">
        <w:rPr>
          <w:rFonts w:ascii="Arial" w:eastAsia="楷体_GB2312" w:hAnsi="Arial" w:cs="Times New Roman" w:hint="eastAsia"/>
          <w:kern w:val="0"/>
          <w:szCs w:val="20"/>
          <w:lang w:val="en-GB"/>
        </w:rPr>
        <w:t>招商安本增利债券（代码</w:t>
      </w:r>
      <w:r w:rsidRPr="00AB716F">
        <w:rPr>
          <w:rFonts w:ascii="Arial" w:eastAsia="楷体_GB2312" w:hAnsi="Arial" w:cs="Times New Roman" w:hint="eastAsia"/>
          <w:kern w:val="0"/>
          <w:szCs w:val="20"/>
          <w:lang w:val="en-GB"/>
        </w:rPr>
        <w:t>217008</w:t>
      </w:r>
      <w:r w:rsidRPr="00AB716F">
        <w:rPr>
          <w:rFonts w:ascii="Arial" w:eastAsia="楷体_GB2312" w:hAnsi="Arial" w:cs="Times New Roman" w:hint="eastAsia"/>
          <w:kern w:val="0"/>
          <w:szCs w:val="20"/>
          <w:lang w:val="en-GB"/>
        </w:rPr>
        <w:t>）：该基金成立于</w:t>
      </w:r>
      <w:r w:rsidRPr="00AB716F">
        <w:rPr>
          <w:rFonts w:ascii="Arial" w:eastAsia="楷体_GB2312" w:hAnsi="Arial" w:cs="Times New Roman" w:hint="eastAsia"/>
          <w:kern w:val="0"/>
          <w:szCs w:val="20"/>
          <w:lang w:val="en-GB"/>
        </w:rPr>
        <w:t>2006</w:t>
      </w:r>
      <w:r w:rsidRPr="00AB716F">
        <w:rPr>
          <w:rFonts w:ascii="Arial" w:eastAsia="楷体_GB2312" w:hAnsi="Arial" w:cs="Times New Roman" w:hint="eastAsia"/>
          <w:kern w:val="0"/>
          <w:szCs w:val="20"/>
          <w:lang w:val="en-GB"/>
        </w:rPr>
        <w:t>年，是一只二级债基，尽管可以进行股票市场投资，但是持股比例始终较低，且集中于大盘蓝筹。在债券投资组合中，招商安本增利对于企业债有明显偏好，对于未来，基金经理表示社会融资扩张程度以及经济增长强弱将成为债市主要驱动因素，对于具体品种，依旧看好信用债的配置价值。从历史业绩来看，该基金投资能力较强，</w:t>
      </w:r>
      <w:r w:rsidRPr="00AB716F">
        <w:rPr>
          <w:rFonts w:ascii="Arial" w:eastAsia="楷体_GB2312" w:hAnsi="Arial" w:cs="Times New Roman" w:hint="eastAsia"/>
          <w:kern w:val="0"/>
          <w:szCs w:val="20"/>
          <w:lang w:val="en-GB"/>
        </w:rPr>
        <w:t>2014</w:t>
      </w:r>
      <w:r w:rsidRPr="00AB716F">
        <w:rPr>
          <w:rFonts w:ascii="Arial" w:eastAsia="楷体_GB2312" w:hAnsi="Arial" w:cs="Times New Roman" w:hint="eastAsia"/>
          <w:kern w:val="0"/>
          <w:szCs w:val="20"/>
          <w:lang w:val="en-GB"/>
        </w:rPr>
        <w:t>年该基金获益水平在同业当中位居前列。</w:t>
      </w:r>
    </w:p>
    <w:p w:rsidR="00711901" w:rsidRPr="00AB716F" w:rsidRDefault="00711901" w:rsidP="00AB716F">
      <w:pPr>
        <w:widowControl/>
        <w:spacing w:after="120" w:line="240" w:lineRule="exact"/>
        <w:ind w:leftChars="1633" w:left="3429" w:firstLineChars="200" w:firstLine="420"/>
        <w:rPr>
          <w:rFonts w:ascii="Arial" w:eastAsia="楷体_GB2312" w:hAnsi="Arial" w:cs="Times New Roman"/>
          <w:kern w:val="0"/>
          <w:szCs w:val="20"/>
          <w:lang w:val="en-GB"/>
        </w:rPr>
      </w:pPr>
      <w:r w:rsidRPr="00711901">
        <w:rPr>
          <w:rFonts w:ascii="Arial" w:eastAsia="楷体_GB2312" w:hAnsi="Arial" w:cs="Times New Roman" w:hint="eastAsia"/>
          <w:kern w:val="0"/>
          <w:szCs w:val="20"/>
          <w:lang w:val="en-GB"/>
        </w:rPr>
        <w:t>南方现金增利货币</w:t>
      </w:r>
      <w:r w:rsidRPr="00711901">
        <w:rPr>
          <w:rFonts w:ascii="Arial" w:eastAsia="楷体_GB2312" w:hAnsi="Arial" w:cs="Times New Roman"/>
          <w:kern w:val="0"/>
          <w:szCs w:val="20"/>
          <w:lang w:val="en-GB"/>
        </w:rPr>
        <w:t>A</w:t>
      </w:r>
      <w:r w:rsidRPr="00711901">
        <w:rPr>
          <w:rFonts w:ascii="Arial" w:eastAsia="楷体_GB2312" w:hAnsi="Arial" w:cs="Times New Roman" w:hint="eastAsia"/>
          <w:kern w:val="0"/>
          <w:szCs w:val="20"/>
          <w:lang w:val="en-GB"/>
        </w:rPr>
        <w:t>（代码</w:t>
      </w:r>
      <w:r w:rsidRPr="00711901">
        <w:rPr>
          <w:rFonts w:ascii="Arial" w:eastAsia="楷体_GB2312" w:hAnsi="Arial" w:cs="Times New Roman"/>
          <w:kern w:val="0"/>
          <w:szCs w:val="20"/>
          <w:lang w:val="en-GB"/>
        </w:rPr>
        <w:t>202301</w:t>
      </w:r>
      <w:r w:rsidRPr="00711901">
        <w:rPr>
          <w:rFonts w:ascii="Arial" w:eastAsia="楷体_GB2312" w:hAnsi="Arial" w:cs="Times New Roman" w:hint="eastAsia"/>
          <w:kern w:val="0"/>
          <w:szCs w:val="20"/>
          <w:lang w:val="en-GB"/>
        </w:rPr>
        <w:t>）：</w:t>
      </w:r>
      <w:r w:rsidRPr="00711901">
        <w:rPr>
          <w:rFonts w:ascii="Arial" w:eastAsia="楷体_GB2312" w:hAnsi="Arial" w:cs="Times New Roman"/>
          <w:kern w:val="0"/>
          <w:szCs w:val="20"/>
          <w:lang w:val="en-GB"/>
        </w:rPr>
        <w:t>2014</w:t>
      </w:r>
      <w:r w:rsidRPr="00711901">
        <w:rPr>
          <w:rFonts w:ascii="Arial" w:eastAsia="楷体_GB2312" w:hAnsi="Arial" w:cs="Times New Roman" w:hint="eastAsia"/>
          <w:kern w:val="0"/>
          <w:szCs w:val="20"/>
          <w:lang w:val="en-GB"/>
        </w:rPr>
        <w:t>年三季度末该基金</w:t>
      </w:r>
      <w:r w:rsidRPr="00711901">
        <w:rPr>
          <w:rFonts w:ascii="Arial" w:eastAsia="楷体_GB2312" w:hAnsi="Arial" w:cs="Times New Roman"/>
          <w:kern w:val="0"/>
          <w:szCs w:val="20"/>
          <w:lang w:val="en-GB"/>
        </w:rPr>
        <w:t>A</w:t>
      </w:r>
      <w:r w:rsidRPr="00711901">
        <w:rPr>
          <w:rFonts w:ascii="Arial" w:eastAsia="楷体_GB2312" w:hAnsi="Arial" w:cs="Times New Roman" w:hint="eastAsia"/>
          <w:kern w:val="0"/>
          <w:szCs w:val="20"/>
          <w:lang w:val="en-GB"/>
        </w:rPr>
        <w:t>、</w:t>
      </w:r>
      <w:r w:rsidRPr="00711901">
        <w:rPr>
          <w:rFonts w:ascii="Arial" w:eastAsia="楷体_GB2312" w:hAnsi="Arial" w:cs="Times New Roman"/>
          <w:kern w:val="0"/>
          <w:szCs w:val="20"/>
          <w:lang w:val="en-GB"/>
        </w:rPr>
        <w:t>B</w:t>
      </w:r>
      <w:r w:rsidRPr="00711901">
        <w:rPr>
          <w:rFonts w:ascii="Arial" w:eastAsia="楷体_GB2312" w:hAnsi="Arial" w:cs="Times New Roman" w:hint="eastAsia"/>
          <w:kern w:val="0"/>
          <w:szCs w:val="20"/>
          <w:lang w:val="en-GB"/>
        </w:rPr>
        <w:t>份额合计资产规模继续保持在千亿以上，较大的规模可以降低申购赎回时造成的流动性冲击，同时可以提高资金使用效率，从而有助于提升产品业绩。从业绩表现来看，今年以来南方现金增利货币</w:t>
      </w:r>
      <w:r w:rsidRPr="00711901">
        <w:rPr>
          <w:rFonts w:ascii="Arial" w:eastAsia="楷体_GB2312" w:hAnsi="Arial" w:cs="Times New Roman"/>
          <w:kern w:val="0"/>
          <w:szCs w:val="20"/>
          <w:lang w:val="en-GB"/>
        </w:rPr>
        <w:t>A</w:t>
      </w:r>
      <w:r w:rsidRPr="00711901">
        <w:rPr>
          <w:rFonts w:ascii="Arial" w:eastAsia="楷体_GB2312" w:hAnsi="Arial" w:cs="Times New Roman" w:hint="eastAsia"/>
          <w:kern w:val="0"/>
          <w:szCs w:val="20"/>
          <w:lang w:val="en-GB"/>
        </w:rPr>
        <w:t>累积万份收益在同业当中始终位于前列，具备良好的获益能力和稳定性。</w:t>
      </w:r>
    </w:p>
    <w:p w:rsidR="00C82C6A" w:rsidRDefault="00C82C6A">
      <w:pPr>
        <w:widowControl/>
        <w:jc w:val="left"/>
        <w:rPr>
          <w:rFonts w:ascii="Arial" w:eastAsia="楷体_GB2312" w:hAnsi="Arial" w:cs="Times New Roman"/>
          <w:b/>
          <w:kern w:val="0"/>
          <w:szCs w:val="20"/>
          <w:lang w:val="en-GB"/>
        </w:rPr>
      </w:pPr>
      <w:r>
        <w:rPr>
          <w:rFonts w:ascii="Arial" w:eastAsia="楷体_GB2312" w:hAnsi="Arial"/>
          <w:b/>
          <w:kern w:val="0"/>
          <w:szCs w:val="20"/>
          <w:lang w:val="en-GB"/>
        </w:rPr>
        <w:br w:type="page"/>
      </w:r>
    </w:p>
    <w:p w:rsidR="00B10000" w:rsidRPr="001609A2" w:rsidRDefault="00B10000" w:rsidP="00B10000">
      <w:pPr>
        <w:pStyle w:val="aa"/>
        <w:spacing w:after="312"/>
        <w:rPr>
          <w:rFonts w:ascii="Arial" w:eastAsia="楷体_GB2312" w:hAnsi="Arial"/>
          <w:b/>
          <w:kern w:val="0"/>
          <w:sz w:val="21"/>
          <w:szCs w:val="20"/>
          <w:lang w:val="en-GB"/>
        </w:rPr>
      </w:pPr>
      <w:r w:rsidRPr="001609A2">
        <w:rPr>
          <w:rFonts w:ascii="Arial" w:eastAsia="楷体_GB2312" w:hAnsi="Arial" w:hint="eastAsia"/>
          <w:b/>
          <w:kern w:val="0"/>
          <w:sz w:val="21"/>
          <w:szCs w:val="20"/>
          <w:lang w:val="en-GB"/>
        </w:rPr>
        <w:lastRenderedPageBreak/>
        <w:t>特别声明：</w:t>
      </w:r>
    </w:p>
    <w:p w:rsidR="00B10000" w:rsidRPr="001609A2" w:rsidRDefault="00B10000" w:rsidP="002613AC">
      <w:pPr>
        <w:pStyle w:val="aa"/>
        <w:spacing w:beforeLines="50" w:after="312"/>
        <w:rPr>
          <w:rFonts w:ascii="Arial" w:eastAsia="楷体_GB2312" w:hAnsi="Arial"/>
          <w:kern w:val="0"/>
          <w:sz w:val="21"/>
          <w:szCs w:val="20"/>
          <w:lang w:val="en-GB"/>
        </w:rPr>
      </w:pPr>
      <w:r w:rsidRPr="001609A2">
        <w:rPr>
          <w:rFonts w:ascii="Arial" w:eastAsia="楷体_GB2312" w:hAnsi="Arial"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B10000" w:rsidRPr="001609A2" w:rsidRDefault="00B10000" w:rsidP="002613AC">
      <w:pPr>
        <w:pStyle w:val="aa"/>
        <w:spacing w:beforeLines="50" w:after="312"/>
        <w:rPr>
          <w:rFonts w:ascii="Arial" w:eastAsia="楷体_GB2312" w:hAnsi="Arial"/>
          <w:kern w:val="0"/>
          <w:sz w:val="21"/>
          <w:szCs w:val="20"/>
          <w:lang w:val="en-GB"/>
        </w:rPr>
      </w:pPr>
      <w:r w:rsidRPr="001609A2">
        <w:rPr>
          <w:rFonts w:ascii="Arial" w:eastAsia="楷体_GB2312" w:hAnsi="Arial"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B10000" w:rsidRPr="001609A2" w:rsidRDefault="00B10000" w:rsidP="002613AC">
      <w:pPr>
        <w:pStyle w:val="aa"/>
        <w:spacing w:beforeLines="50" w:after="312"/>
        <w:rPr>
          <w:rFonts w:ascii="Arial" w:eastAsia="楷体_GB2312" w:hAnsi="Arial"/>
          <w:kern w:val="0"/>
          <w:sz w:val="21"/>
          <w:szCs w:val="20"/>
          <w:lang w:val="en-GB"/>
        </w:rPr>
      </w:pPr>
      <w:r w:rsidRPr="001609A2">
        <w:rPr>
          <w:rFonts w:ascii="Arial" w:eastAsia="楷体_GB2312" w:hAnsi="Arial"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B10000" w:rsidRPr="00B10000" w:rsidRDefault="00B10000">
      <w:pPr>
        <w:rPr>
          <w:lang w:val="en-GB"/>
        </w:rPr>
      </w:pPr>
    </w:p>
    <w:sectPr w:rsidR="00B10000" w:rsidRPr="00B10000" w:rsidSect="00656031">
      <w:headerReference w:type="default" r:id="rId10"/>
      <w:footerReference w:type="default" r:id="rId11"/>
      <w:headerReference w:type="first" r:id="rId12"/>
      <w:footerReference w:type="first" r:id="rId13"/>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7BA" w:rsidRDefault="007B47BA" w:rsidP="00B10000">
      <w:r>
        <w:separator/>
      </w:r>
    </w:p>
  </w:endnote>
  <w:endnote w:type="continuationSeparator" w:id="1">
    <w:p w:rsidR="007B47BA" w:rsidRDefault="007B47BA"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KaiTi_GB2312">
    <w:altName w:val="MS Gothic"/>
    <w:panose1 w:val="02010609060101010101"/>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新魏">
    <w:altName w:val="微软雅黑"/>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7EE" w:rsidRDefault="00EC5E6D">
    <w:pPr>
      <w:pStyle w:val="a4"/>
      <w:jc w:val="center"/>
    </w:pPr>
    <w:r>
      <w:pict>
        <v:rect id="_x0000_i1027" style="width:571.2pt;height:2pt" o:hralign="center" o:hrstd="t" o:hrnoshade="t" o:hr="t" fillcolor="#e7a631" stroked="f"/>
      </w:pict>
    </w:r>
    <w:sdt>
      <w:sdtPr>
        <w:id w:val="31118581"/>
        <w:docPartObj>
          <w:docPartGallery w:val="Page Numbers (Bottom of Page)"/>
          <w:docPartUnique/>
        </w:docPartObj>
      </w:sdtPr>
      <w:sdtContent>
        <w:sdt>
          <w:sdtPr>
            <w:id w:val="31118580"/>
            <w:docPartObj>
              <w:docPartGallery w:val="Page Numbers (Top of Page)"/>
              <w:docPartUnique/>
            </w:docPartObj>
          </w:sdtPr>
          <w:sdtContent>
            <w:r w:rsidR="00E927EE">
              <w:rPr>
                <w:lang w:val="zh-CN"/>
              </w:rPr>
              <w:t xml:space="preserve"> </w:t>
            </w:r>
            <w:r>
              <w:rPr>
                <w:b/>
                <w:sz w:val="24"/>
                <w:szCs w:val="24"/>
              </w:rPr>
              <w:fldChar w:fldCharType="begin"/>
            </w:r>
            <w:r w:rsidR="00E927EE">
              <w:rPr>
                <w:b/>
              </w:rPr>
              <w:instrText>PAGE</w:instrText>
            </w:r>
            <w:r>
              <w:rPr>
                <w:b/>
                <w:sz w:val="24"/>
                <w:szCs w:val="24"/>
              </w:rPr>
              <w:fldChar w:fldCharType="separate"/>
            </w:r>
            <w:r w:rsidR="00EF7D86">
              <w:rPr>
                <w:b/>
                <w:noProof/>
              </w:rPr>
              <w:t>2</w:t>
            </w:r>
            <w:r>
              <w:rPr>
                <w:b/>
                <w:sz w:val="24"/>
                <w:szCs w:val="24"/>
              </w:rPr>
              <w:fldChar w:fldCharType="end"/>
            </w:r>
            <w:r w:rsidR="00E927EE">
              <w:rPr>
                <w:lang w:val="zh-CN"/>
              </w:rPr>
              <w:t xml:space="preserve"> / </w:t>
            </w:r>
            <w:r>
              <w:rPr>
                <w:b/>
                <w:sz w:val="24"/>
                <w:szCs w:val="24"/>
              </w:rPr>
              <w:fldChar w:fldCharType="begin"/>
            </w:r>
            <w:r w:rsidR="00E927EE">
              <w:rPr>
                <w:b/>
              </w:rPr>
              <w:instrText>NUMPAGES</w:instrText>
            </w:r>
            <w:r>
              <w:rPr>
                <w:b/>
                <w:sz w:val="24"/>
                <w:szCs w:val="24"/>
              </w:rPr>
              <w:fldChar w:fldCharType="separate"/>
            </w:r>
            <w:r w:rsidR="00EF7D86">
              <w:rPr>
                <w:b/>
                <w:noProof/>
              </w:rPr>
              <w:t>7</w:t>
            </w:r>
            <w:r>
              <w:rPr>
                <w:b/>
                <w:sz w:val="24"/>
                <w:szCs w:val="24"/>
              </w:rPr>
              <w:fldChar w:fldCharType="end"/>
            </w:r>
          </w:sdtContent>
        </w:sdt>
      </w:sdtContent>
    </w:sdt>
  </w:p>
  <w:p w:rsidR="00E927EE" w:rsidRDefault="00E927E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8579"/>
      <w:docPartObj>
        <w:docPartGallery w:val="Page Numbers (Bottom of Page)"/>
        <w:docPartUnique/>
      </w:docPartObj>
    </w:sdtPr>
    <w:sdtContent>
      <w:sdt>
        <w:sdtPr>
          <w:id w:val="171357217"/>
          <w:docPartObj>
            <w:docPartGallery w:val="Page Numbers (Top of Page)"/>
            <w:docPartUnique/>
          </w:docPartObj>
        </w:sdtPr>
        <w:sdtContent>
          <w:p w:rsidR="00E927EE" w:rsidRDefault="00EC5E6D">
            <w:pPr>
              <w:pStyle w:val="a4"/>
              <w:jc w:val="center"/>
            </w:pPr>
            <w:r>
              <w:pict>
                <v:rect id="_x0000_i1029" style="width:571.2pt;height:2pt" o:hralign="center" o:hrstd="t" o:hrnoshade="t" o:hr="t" fillcolor="#e7a631" stroked="f"/>
              </w:pict>
            </w:r>
            <w:r w:rsidR="00E927EE">
              <w:rPr>
                <w:lang w:val="zh-CN"/>
              </w:rPr>
              <w:t xml:space="preserve"> </w:t>
            </w:r>
            <w:r>
              <w:rPr>
                <w:b/>
                <w:sz w:val="24"/>
                <w:szCs w:val="24"/>
              </w:rPr>
              <w:fldChar w:fldCharType="begin"/>
            </w:r>
            <w:r w:rsidR="00E927EE">
              <w:rPr>
                <w:b/>
              </w:rPr>
              <w:instrText>PAGE</w:instrText>
            </w:r>
            <w:r>
              <w:rPr>
                <w:b/>
                <w:sz w:val="24"/>
                <w:szCs w:val="24"/>
              </w:rPr>
              <w:fldChar w:fldCharType="separate"/>
            </w:r>
            <w:r w:rsidR="00EF7D86">
              <w:rPr>
                <w:b/>
                <w:noProof/>
              </w:rPr>
              <w:t>1</w:t>
            </w:r>
            <w:r>
              <w:rPr>
                <w:b/>
                <w:sz w:val="24"/>
                <w:szCs w:val="24"/>
              </w:rPr>
              <w:fldChar w:fldCharType="end"/>
            </w:r>
            <w:r w:rsidR="00E927EE">
              <w:rPr>
                <w:lang w:val="zh-CN"/>
              </w:rPr>
              <w:t xml:space="preserve"> / </w:t>
            </w:r>
            <w:r>
              <w:rPr>
                <w:b/>
                <w:sz w:val="24"/>
                <w:szCs w:val="24"/>
              </w:rPr>
              <w:fldChar w:fldCharType="begin"/>
            </w:r>
            <w:r w:rsidR="00E927EE">
              <w:rPr>
                <w:b/>
              </w:rPr>
              <w:instrText>NUMPAGES</w:instrText>
            </w:r>
            <w:r>
              <w:rPr>
                <w:b/>
                <w:sz w:val="24"/>
                <w:szCs w:val="24"/>
              </w:rPr>
              <w:fldChar w:fldCharType="separate"/>
            </w:r>
            <w:r w:rsidR="00EF7D86">
              <w:rPr>
                <w:b/>
                <w:noProof/>
              </w:rPr>
              <w:t>7</w:t>
            </w:r>
            <w:r>
              <w:rPr>
                <w:b/>
                <w:sz w:val="24"/>
                <w:szCs w:val="24"/>
              </w:rPr>
              <w:fldChar w:fldCharType="end"/>
            </w:r>
          </w:p>
        </w:sdtContent>
      </w:sdt>
    </w:sdtContent>
  </w:sdt>
  <w:p w:rsidR="00E927EE" w:rsidRDefault="00E927E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7BA" w:rsidRDefault="007B47BA" w:rsidP="00B10000">
      <w:r>
        <w:separator/>
      </w:r>
    </w:p>
  </w:footnote>
  <w:footnote w:type="continuationSeparator" w:id="1">
    <w:p w:rsidR="007B47BA" w:rsidRDefault="007B47BA"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7EE" w:rsidRDefault="00EC5E6D" w:rsidP="00B10000">
    <w:pPr>
      <w:pStyle w:val="a3"/>
      <w:pBdr>
        <w:bottom w:val="none" w:sz="0" w:space="0" w:color="auto"/>
      </w:pBdr>
    </w:pPr>
    <w:r>
      <w:rPr>
        <w:noProof/>
      </w:rPr>
      <w:pict>
        <v:group id="_x0000_s1034" style="position:absolute;left:0;text-align:left;margin-left:5.2pt;margin-top:-32.25pt;width:531.2pt;height:37.5pt;z-index:251658240" coordorigin="728,206" coordsize="10624,750">
          <v:shapetype id="_x0000_t202" coordsize="21600,21600" o:spt="202" path="m,l,21600r21600,l21600,xe">
            <v:stroke joinstyle="miter"/>
            <v:path gradientshapeok="t" o:connecttype="rect"/>
          </v:shapetype>
          <v:shape id="_x0000_s1035" type="#_x0000_t202" style="position:absolute;left:728;top:206;width:1336;height:724;mso-width-relative:margin;mso-height-relative:margin" strokecolor="white">
            <v:textbox style="mso-next-textbox:#_x0000_s1035">
              <w:txbxContent>
                <w:p w:rsidR="00E927EE" w:rsidRDefault="00EC5E6D" w:rsidP="00B10000">
                  <w:pPr>
                    <w:pStyle w:val="12"/>
                  </w:pPr>
                  <w:r w:rsidRPr="00EC5E6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凯石工2.jpg" style="width:45.75pt;height:32.25pt;visibility:visible">
                        <v:imagedata r:id="rId1" o:title="凯石工2"/>
                      </v:shape>
                    </w:pict>
                  </w:r>
                </w:p>
              </w:txbxContent>
            </v:textbox>
          </v:shape>
          <v:shape id="_x0000_s1036" type="#_x0000_t202" style="position:absolute;left:5999;top:542;width:5353;height:414;mso-width-relative:margin;mso-height-relative:margin" strokecolor="white">
            <v:textbox style="mso-next-textbox:#_x0000_s1036">
              <w:txbxContent>
                <w:p w:rsidR="00E927EE" w:rsidRPr="006E0F3C" w:rsidRDefault="00E927EE" w:rsidP="00B10000">
                  <w:pPr>
                    <w:pStyle w:val="2"/>
                  </w:pPr>
                  <w:r>
                    <w:rPr>
                      <w:rFonts w:hint="eastAsia"/>
                    </w:rPr>
                    <w:t>2015</w:t>
                  </w:r>
                  <w:r w:rsidRPr="00C82C6A">
                    <w:rPr>
                      <w:rFonts w:hint="eastAsia"/>
                    </w:rPr>
                    <w:t>年</w:t>
                  </w:r>
                  <w:r w:rsidR="00573D47">
                    <w:rPr>
                      <w:rFonts w:hint="eastAsia"/>
                    </w:rPr>
                    <w:t>3</w:t>
                  </w:r>
                  <w:r>
                    <w:rPr>
                      <w:rFonts w:hint="eastAsia"/>
                    </w:rPr>
                    <w:t>月偏股</w:t>
                  </w:r>
                  <w:r w:rsidRPr="00C82C6A">
                    <w:rPr>
                      <w:rFonts w:hint="eastAsia"/>
                    </w:rPr>
                    <w:t>基金</w:t>
                  </w:r>
                  <w:r>
                    <w:rPr>
                      <w:rFonts w:hint="eastAsia"/>
                    </w:rPr>
                    <w:t>产品</w:t>
                  </w:r>
                  <w:r w:rsidRPr="00C82C6A">
                    <w:rPr>
                      <w:rFonts w:hint="eastAsia"/>
                    </w:rPr>
                    <w:t>投资策略</w:t>
                  </w:r>
                </w:p>
              </w:txbxContent>
            </v:textbox>
          </v:shape>
        </v:group>
      </w:pict>
    </w:r>
    <w:r>
      <w:pict>
        <v:rect id="_x0000_i1026"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7EE" w:rsidRDefault="00EC5E6D" w:rsidP="002613AC">
    <w:pPr>
      <w:pStyle w:val="a3"/>
      <w:pBdr>
        <w:bottom w:val="none" w:sz="0" w:space="0" w:color="auto"/>
      </w:pBdr>
      <w:spacing w:afterLines="100"/>
    </w:pPr>
    <w:r>
      <w:pict>
        <v:group id="_x0000_s1025"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1026" type="#_x0000_t202" style="position:absolute;left:652;top:331;width:3664;height:2430;mso-width-relative:margin;mso-height-relative:margin" strokecolor="white">
            <v:textbox style="mso-next-textbox:#_x0000_s1026">
              <w:txbxContent>
                <w:p w:rsidR="00E927EE" w:rsidRDefault="002613AC" w:rsidP="00B10000">
                  <w:pPr>
                    <w:pStyle w:val="a6"/>
                  </w:pPr>
                  <w:r w:rsidRPr="00EC5E6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1" type="#_x0000_t75" alt="凯石工2.jpg" style="width:125.25pt;height:117.75pt;visibility:visible">
                        <v:imagedata r:id="rId1" o:title="凯石工2"/>
                      </v:shape>
                    </w:pict>
                  </w:r>
                </w:p>
              </w:txbxContent>
            </v:textbox>
          </v:shape>
          <v:shape id="_x0000_s1027" type="#_x0000_t202" style="position:absolute;left:881;top:2578;width:2325;height:390" strokecolor="white">
            <v:textbox style="mso-next-textbox:#_x0000_s1027">
              <w:txbxContent>
                <w:p w:rsidR="00E927EE" w:rsidRPr="006E0F3C" w:rsidRDefault="00E927EE" w:rsidP="008840A4">
                  <w:pPr>
                    <w:pStyle w:val="a5"/>
                    <w:spacing w:after="240"/>
                  </w:pPr>
                  <w:r w:rsidRPr="006E0F3C">
                    <w:rPr>
                      <w:rFonts w:hint="eastAsia"/>
                    </w:rPr>
                    <w:t>凯石工场研究报告</w:t>
                  </w:r>
                </w:p>
              </w:txbxContent>
            </v:textbox>
          </v:shape>
          <v:shape id="_x0000_s1028" type="#_x0000_t202" style="position:absolute;left:8740;top:609;width:2441;height:475;mso-height-percent:200;mso-height-percent:200;mso-width-relative:margin;mso-height-relative:margin" strokecolor="white">
            <v:textbox style="mso-next-textbox:#_x0000_s1028;mso-fit-shape-to-text:t">
              <w:txbxContent>
                <w:p w:rsidR="00E927EE" w:rsidRPr="006E0F3C" w:rsidRDefault="00E927EE" w:rsidP="00B10000">
                  <w:pPr>
                    <w:pStyle w:val="a7"/>
                    <w:jc w:val="right"/>
                  </w:pPr>
                  <w:r w:rsidRPr="006E0F3C">
                    <w:rPr>
                      <w:rFonts w:hint="eastAsia"/>
                    </w:rPr>
                    <w:t>201</w:t>
                  </w:r>
                  <w:r>
                    <w:rPr>
                      <w:rFonts w:hint="eastAsia"/>
                    </w:rPr>
                    <w:t>4</w:t>
                  </w:r>
                  <w:r w:rsidRPr="006E0F3C">
                    <w:rPr>
                      <w:rFonts w:hint="eastAsia"/>
                    </w:rPr>
                    <w:t>年</w:t>
                  </w:r>
                  <w:r w:rsidR="002613AC">
                    <w:rPr>
                      <w:rFonts w:hint="eastAsia"/>
                    </w:rPr>
                    <w:t>3</w:t>
                  </w:r>
                  <w:r>
                    <w:rPr>
                      <w:rFonts w:hint="eastAsia"/>
                    </w:rPr>
                    <w:t>月6</w:t>
                  </w:r>
                  <w:r w:rsidRPr="006E0F3C">
                    <w:rPr>
                      <w:rFonts w:hint="eastAsia"/>
                    </w:rPr>
                    <w:t>日</w:t>
                  </w:r>
                </w:p>
              </w:txbxContent>
            </v:textbox>
          </v:shape>
          <v:shape id="_x0000_s1029" type="#_x0000_t202" style="position:absolute;left:3214;top:1377;width:8090;height:1001;mso-height-percent:200;mso-height-percent:200;mso-width-relative:margin;mso-height-relative:margin" strokecolor="white">
            <v:textbox style="mso-next-textbox:#_x0000_s1029;mso-fit-shape-to-text:t">
              <w:txbxContent>
                <w:p w:rsidR="00E927EE" w:rsidRDefault="00E927EE" w:rsidP="00B10000">
                  <w:pPr>
                    <w:pStyle w:val="a8"/>
                    <w:jc w:val="right"/>
                  </w:pPr>
                  <w:r>
                    <w:rPr>
                      <w:rFonts w:hint="eastAsia"/>
                    </w:rPr>
                    <w:t>2015</w:t>
                  </w:r>
                  <w:r w:rsidRPr="00E4760A">
                    <w:rPr>
                      <w:rFonts w:hint="eastAsia"/>
                    </w:rPr>
                    <w:t>年</w:t>
                  </w:r>
                  <w:r w:rsidR="002613AC">
                    <w:rPr>
                      <w:rFonts w:hint="eastAsia"/>
                    </w:rPr>
                    <w:t>3</w:t>
                  </w:r>
                  <w:r w:rsidR="00EF7D86">
                    <w:rPr>
                      <w:rFonts w:hint="eastAsia"/>
                    </w:rPr>
                    <w:t>月公募</w:t>
                  </w:r>
                  <w:r w:rsidRPr="00E4760A">
                    <w:rPr>
                      <w:rFonts w:hint="eastAsia"/>
                    </w:rPr>
                    <w:t>基金</w:t>
                  </w:r>
                  <w:r>
                    <w:rPr>
                      <w:rFonts w:hint="eastAsia"/>
                    </w:rPr>
                    <w:t>产品</w:t>
                  </w:r>
                  <w:r w:rsidRPr="00E4760A">
                    <w:rPr>
                      <w:rFonts w:hint="eastAsia"/>
                    </w:rPr>
                    <w:t>投资策略</w:t>
                  </w:r>
                </w:p>
                <w:p w:rsidR="00E927EE" w:rsidRPr="00624366" w:rsidRDefault="002613AC" w:rsidP="00B10000">
                  <w:pPr>
                    <w:pStyle w:val="a8"/>
                    <w:jc w:val="right"/>
                    <w:rPr>
                      <w:sz w:val="28"/>
                      <w:szCs w:val="28"/>
                    </w:rPr>
                  </w:pPr>
                  <w:r>
                    <w:rPr>
                      <w:rFonts w:hint="eastAsia"/>
                      <w:sz w:val="28"/>
                      <w:szCs w:val="28"/>
                    </w:rPr>
                    <w:t>优化配置，关注主题</w:t>
                  </w:r>
                </w:p>
              </w:txbxContent>
            </v:textbox>
          </v:shape>
          <v:shape id="_x0000_s1030" type="#_x0000_t202" style="position:absolute;left:3246;top:2578;width:7993;height:627" strokecolor="white">
            <v:textbox style="mso-next-textbox:#_x0000_s1030">
              <w:txbxContent>
                <w:p w:rsidR="00E927EE" w:rsidRPr="006E0F3C" w:rsidRDefault="00E927EE" w:rsidP="006A1C65">
                  <w:pPr>
                    <w:pStyle w:val="a9"/>
                  </w:pPr>
                  <w:r>
                    <w:rPr>
                      <w:rFonts w:hint="eastAsia"/>
                    </w:rPr>
                    <w:t>郭佳楠</w:t>
                  </w:r>
                  <w:r w:rsidRPr="006E0F3C">
                    <w:rPr>
                      <w:rFonts w:hint="eastAsia"/>
                    </w:rPr>
                    <w:t xml:space="preserve"> </w:t>
                  </w:r>
                  <w:r>
                    <w:rPr>
                      <w:rFonts w:hint="eastAsia"/>
                    </w:rPr>
                    <w:t>基金</w:t>
                  </w:r>
                  <w:r w:rsidRPr="006E0F3C">
                    <w:rPr>
                      <w:rFonts w:hint="eastAsia"/>
                    </w:rPr>
                    <w:t>分析师</w:t>
                  </w:r>
                </w:p>
              </w:txbxContent>
            </v:textbox>
          </v:shape>
          <w10:wrap type="none"/>
          <w10:anchorlock/>
        </v:group>
      </w:pict>
    </w:r>
    <w:r>
      <w:pict>
        <v:rect id="_x0000_i1028"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1">
    <w:nsid w:val="492C6DD3"/>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KaiTi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
    <w:nsid w:val="5E8271C1"/>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KaiTi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595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0000"/>
    <w:rsid w:val="00000E19"/>
    <w:rsid w:val="00002860"/>
    <w:rsid w:val="000029A7"/>
    <w:rsid w:val="0000422A"/>
    <w:rsid w:val="00004F9A"/>
    <w:rsid w:val="00005165"/>
    <w:rsid w:val="00005573"/>
    <w:rsid w:val="00006664"/>
    <w:rsid w:val="00006D9E"/>
    <w:rsid w:val="00007770"/>
    <w:rsid w:val="00011AA4"/>
    <w:rsid w:val="0001391F"/>
    <w:rsid w:val="00016FEE"/>
    <w:rsid w:val="0002028D"/>
    <w:rsid w:val="00021011"/>
    <w:rsid w:val="00021B60"/>
    <w:rsid w:val="00022E8F"/>
    <w:rsid w:val="00023796"/>
    <w:rsid w:val="000253A1"/>
    <w:rsid w:val="00026157"/>
    <w:rsid w:val="00026455"/>
    <w:rsid w:val="0002778C"/>
    <w:rsid w:val="00030426"/>
    <w:rsid w:val="00030DA9"/>
    <w:rsid w:val="0003185B"/>
    <w:rsid w:val="00032786"/>
    <w:rsid w:val="00033A4C"/>
    <w:rsid w:val="000345A1"/>
    <w:rsid w:val="00034C20"/>
    <w:rsid w:val="000368D3"/>
    <w:rsid w:val="000371E0"/>
    <w:rsid w:val="00040C1B"/>
    <w:rsid w:val="0004114B"/>
    <w:rsid w:val="00041A4A"/>
    <w:rsid w:val="00041E40"/>
    <w:rsid w:val="00044D2F"/>
    <w:rsid w:val="00045287"/>
    <w:rsid w:val="00046736"/>
    <w:rsid w:val="0004681E"/>
    <w:rsid w:val="00046929"/>
    <w:rsid w:val="000476C6"/>
    <w:rsid w:val="00047DBC"/>
    <w:rsid w:val="000502E4"/>
    <w:rsid w:val="00050901"/>
    <w:rsid w:val="00050E98"/>
    <w:rsid w:val="00051077"/>
    <w:rsid w:val="0005199E"/>
    <w:rsid w:val="00051D27"/>
    <w:rsid w:val="000523AB"/>
    <w:rsid w:val="00052BFA"/>
    <w:rsid w:val="00052CFB"/>
    <w:rsid w:val="00053D98"/>
    <w:rsid w:val="00053DA5"/>
    <w:rsid w:val="00055334"/>
    <w:rsid w:val="00055DD2"/>
    <w:rsid w:val="00057A90"/>
    <w:rsid w:val="00060A8A"/>
    <w:rsid w:val="0006367C"/>
    <w:rsid w:val="00063B9F"/>
    <w:rsid w:val="000645DD"/>
    <w:rsid w:val="00066569"/>
    <w:rsid w:val="00066BBB"/>
    <w:rsid w:val="00071E56"/>
    <w:rsid w:val="00071EEE"/>
    <w:rsid w:val="00073001"/>
    <w:rsid w:val="000738F9"/>
    <w:rsid w:val="000747A1"/>
    <w:rsid w:val="0007557C"/>
    <w:rsid w:val="0007575B"/>
    <w:rsid w:val="00075B19"/>
    <w:rsid w:val="00077FD4"/>
    <w:rsid w:val="0008067A"/>
    <w:rsid w:val="00081118"/>
    <w:rsid w:val="00081208"/>
    <w:rsid w:val="00082846"/>
    <w:rsid w:val="000828B4"/>
    <w:rsid w:val="00084676"/>
    <w:rsid w:val="00085079"/>
    <w:rsid w:val="000851F8"/>
    <w:rsid w:val="0008635C"/>
    <w:rsid w:val="000874C0"/>
    <w:rsid w:val="000874DE"/>
    <w:rsid w:val="00087A79"/>
    <w:rsid w:val="00090140"/>
    <w:rsid w:val="00091E7C"/>
    <w:rsid w:val="000926FD"/>
    <w:rsid w:val="00093760"/>
    <w:rsid w:val="0009539C"/>
    <w:rsid w:val="000966FD"/>
    <w:rsid w:val="00097891"/>
    <w:rsid w:val="00097C27"/>
    <w:rsid w:val="000A0045"/>
    <w:rsid w:val="000A0200"/>
    <w:rsid w:val="000A1712"/>
    <w:rsid w:val="000A2E30"/>
    <w:rsid w:val="000A3A7A"/>
    <w:rsid w:val="000A3AF7"/>
    <w:rsid w:val="000A3F69"/>
    <w:rsid w:val="000A6127"/>
    <w:rsid w:val="000A61C2"/>
    <w:rsid w:val="000A6C46"/>
    <w:rsid w:val="000A7D34"/>
    <w:rsid w:val="000B1BB0"/>
    <w:rsid w:val="000B214F"/>
    <w:rsid w:val="000B4549"/>
    <w:rsid w:val="000B5690"/>
    <w:rsid w:val="000B6599"/>
    <w:rsid w:val="000B7C64"/>
    <w:rsid w:val="000C1903"/>
    <w:rsid w:val="000C21CF"/>
    <w:rsid w:val="000C26B1"/>
    <w:rsid w:val="000C552C"/>
    <w:rsid w:val="000C560C"/>
    <w:rsid w:val="000C5AA9"/>
    <w:rsid w:val="000D0A63"/>
    <w:rsid w:val="000D120E"/>
    <w:rsid w:val="000D172C"/>
    <w:rsid w:val="000D3A3A"/>
    <w:rsid w:val="000D6608"/>
    <w:rsid w:val="000D799A"/>
    <w:rsid w:val="000E2EDF"/>
    <w:rsid w:val="000E3E62"/>
    <w:rsid w:val="000E4250"/>
    <w:rsid w:val="000E455B"/>
    <w:rsid w:val="000E4CCA"/>
    <w:rsid w:val="000E6028"/>
    <w:rsid w:val="000E63CE"/>
    <w:rsid w:val="000F17A4"/>
    <w:rsid w:val="000F1B1F"/>
    <w:rsid w:val="000F1B5B"/>
    <w:rsid w:val="000F5835"/>
    <w:rsid w:val="000F61AF"/>
    <w:rsid w:val="000F6D23"/>
    <w:rsid w:val="000F6F39"/>
    <w:rsid w:val="000F7606"/>
    <w:rsid w:val="001015AE"/>
    <w:rsid w:val="00101F24"/>
    <w:rsid w:val="00102244"/>
    <w:rsid w:val="00103B69"/>
    <w:rsid w:val="0010467C"/>
    <w:rsid w:val="0010550D"/>
    <w:rsid w:val="00105DAE"/>
    <w:rsid w:val="001067C0"/>
    <w:rsid w:val="00110DA0"/>
    <w:rsid w:val="00111800"/>
    <w:rsid w:val="001129A7"/>
    <w:rsid w:val="00112F63"/>
    <w:rsid w:val="00113693"/>
    <w:rsid w:val="00113AE7"/>
    <w:rsid w:val="001161DB"/>
    <w:rsid w:val="00116263"/>
    <w:rsid w:val="001164E1"/>
    <w:rsid w:val="001165DD"/>
    <w:rsid w:val="00116CE6"/>
    <w:rsid w:val="00117538"/>
    <w:rsid w:val="00121AF6"/>
    <w:rsid w:val="001226A2"/>
    <w:rsid w:val="00125DED"/>
    <w:rsid w:val="00126966"/>
    <w:rsid w:val="00131796"/>
    <w:rsid w:val="00131AF1"/>
    <w:rsid w:val="00131CCE"/>
    <w:rsid w:val="00131E5C"/>
    <w:rsid w:val="001360B9"/>
    <w:rsid w:val="0013706A"/>
    <w:rsid w:val="001375D6"/>
    <w:rsid w:val="00137804"/>
    <w:rsid w:val="00137B68"/>
    <w:rsid w:val="0014101E"/>
    <w:rsid w:val="001410E9"/>
    <w:rsid w:val="001418E9"/>
    <w:rsid w:val="00144D11"/>
    <w:rsid w:val="00145791"/>
    <w:rsid w:val="00145E53"/>
    <w:rsid w:val="0014676E"/>
    <w:rsid w:val="00152120"/>
    <w:rsid w:val="00152298"/>
    <w:rsid w:val="00152953"/>
    <w:rsid w:val="00154FA6"/>
    <w:rsid w:val="001556D7"/>
    <w:rsid w:val="00156399"/>
    <w:rsid w:val="001602A3"/>
    <w:rsid w:val="001609A2"/>
    <w:rsid w:val="001615D1"/>
    <w:rsid w:val="00162936"/>
    <w:rsid w:val="00162CD5"/>
    <w:rsid w:val="001640A4"/>
    <w:rsid w:val="00164D9C"/>
    <w:rsid w:val="00164FF8"/>
    <w:rsid w:val="00166645"/>
    <w:rsid w:val="00166D6F"/>
    <w:rsid w:val="00166E52"/>
    <w:rsid w:val="0017025F"/>
    <w:rsid w:val="00171251"/>
    <w:rsid w:val="00171E69"/>
    <w:rsid w:val="0017272F"/>
    <w:rsid w:val="001728A4"/>
    <w:rsid w:val="00172D3C"/>
    <w:rsid w:val="00173FFD"/>
    <w:rsid w:val="001745BD"/>
    <w:rsid w:val="00174EF9"/>
    <w:rsid w:val="00176001"/>
    <w:rsid w:val="00176794"/>
    <w:rsid w:val="00177319"/>
    <w:rsid w:val="00180BE1"/>
    <w:rsid w:val="00180D31"/>
    <w:rsid w:val="00181F34"/>
    <w:rsid w:val="0018327F"/>
    <w:rsid w:val="0018379B"/>
    <w:rsid w:val="00185269"/>
    <w:rsid w:val="00185F9C"/>
    <w:rsid w:val="00186077"/>
    <w:rsid w:val="00190056"/>
    <w:rsid w:val="001903E3"/>
    <w:rsid w:val="0019045B"/>
    <w:rsid w:val="0019050E"/>
    <w:rsid w:val="00192CE7"/>
    <w:rsid w:val="00194C36"/>
    <w:rsid w:val="00195CE3"/>
    <w:rsid w:val="0019658E"/>
    <w:rsid w:val="00197D45"/>
    <w:rsid w:val="001A1EB7"/>
    <w:rsid w:val="001A321B"/>
    <w:rsid w:val="001A4562"/>
    <w:rsid w:val="001A705C"/>
    <w:rsid w:val="001B1428"/>
    <w:rsid w:val="001B1476"/>
    <w:rsid w:val="001B1F02"/>
    <w:rsid w:val="001B21B7"/>
    <w:rsid w:val="001B4410"/>
    <w:rsid w:val="001B6E5F"/>
    <w:rsid w:val="001B7CE9"/>
    <w:rsid w:val="001C0585"/>
    <w:rsid w:val="001C0EEA"/>
    <w:rsid w:val="001C1EF1"/>
    <w:rsid w:val="001C3E81"/>
    <w:rsid w:val="001C618D"/>
    <w:rsid w:val="001C651B"/>
    <w:rsid w:val="001C73E7"/>
    <w:rsid w:val="001D25E4"/>
    <w:rsid w:val="001D3C98"/>
    <w:rsid w:val="001D52F4"/>
    <w:rsid w:val="001D5520"/>
    <w:rsid w:val="001D58D3"/>
    <w:rsid w:val="001D7EE7"/>
    <w:rsid w:val="001E009D"/>
    <w:rsid w:val="001E121E"/>
    <w:rsid w:val="001E2949"/>
    <w:rsid w:val="001E2BAE"/>
    <w:rsid w:val="001E33D1"/>
    <w:rsid w:val="001E5068"/>
    <w:rsid w:val="001E619C"/>
    <w:rsid w:val="001F0934"/>
    <w:rsid w:val="001F391E"/>
    <w:rsid w:val="001F3E30"/>
    <w:rsid w:val="001F5112"/>
    <w:rsid w:val="001F5926"/>
    <w:rsid w:val="001F643C"/>
    <w:rsid w:val="002001EB"/>
    <w:rsid w:val="002011C1"/>
    <w:rsid w:val="00201AC3"/>
    <w:rsid w:val="00202C2B"/>
    <w:rsid w:val="002038E2"/>
    <w:rsid w:val="00206AC5"/>
    <w:rsid w:val="00206B7D"/>
    <w:rsid w:val="0020734D"/>
    <w:rsid w:val="00207443"/>
    <w:rsid w:val="002075A7"/>
    <w:rsid w:val="002075F0"/>
    <w:rsid w:val="00207F9B"/>
    <w:rsid w:val="002143A9"/>
    <w:rsid w:val="0021521C"/>
    <w:rsid w:val="002156F9"/>
    <w:rsid w:val="0021721E"/>
    <w:rsid w:val="00220DD2"/>
    <w:rsid w:val="00221E7A"/>
    <w:rsid w:val="002227B7"/>
    <w:rsid w:val="00222934"/>
    <w:rsid w:val="002233E5"/>
    <w:rsid w:val="00223D86"/>
    <w:rsid w:val="00226F3A"/>
    <w:rsid w:val="00231F40"/>
    <w:rsid w:val="00232B6F"/>
    <w:rsid w:val="00233A96"/>
    <w:rsid w:val="0023421B"/>
    <w:rsid w:val="00234530"/>
    <w:rsid w:val="00235011"/>
    <w:rsid w:val="00236197"/>
    <w:rsid w:val="002366A1"/>
    <w:rsid w:val="00236DF4"/>
    <w:rsid w:val="00237BD5"/>
    <w:rsid w:val="00241218"/>
    <w:rsid w:val="00241EEE"/>
    <w:rsid w:val="00242C21"/>
    <w:rsid w:val="00242C59"/>
    <w:rsid w:val="002435C9"/>
    <w:rsid w:val="002451A2"/>
    <w:rsid w:val="00245441"/>
    <w:rsid w:val="00245A04"/>
    <w:rsid w:val="002477E1"/>
    <w:rsid w:val="002502B8"/>
    <w:rsid w:val="0025077E"/>
    <w:rsid w:val="002507C3"/>
    <w:rsid w:val="00250800"/>
    <w:rsid w:val="00250FB5"/>
    <w:rsid w:val="00251891"/>
    <w:rsid w:val="002533FB"/>
    <w:rsid w:val="002537C8"/>
    <w:rsid w:val="00253B6D"/>
    <w:rsid w:val="002540D4"/>
    <w:rsid w:val="00254AAA"/>
    <w:rsid w:val="00255A22"/>
    <w:rsid w:val="00256A3A"/>
    <w:rsid w:val="00256FBC"/>
    <w:rsid w:val="002602D2"/>
    <w:rsid w:val="00261350"/>
    <w:rsid w:val="002613AC"/>
    <w:rsid w:val="0026228B"/>
    <w:rsid w:val="00262E05"/>
    <w:rsid w:val="00262FB2"/>
    <w:rsid w:val="002630FB"/>
    <w:rsid w:val="0026418C"/>
    <w:rsid w:val="00264E2F"/>
    <w:rsid w:val="00266304"/>
    <w:rsid w:val="00267F8F"/>
    <w:rsid w:val="00270827"/>
    <w:rsid w:val="00270F42"/>
    <w:rsid w:val="00271FA7"/>
    <w:rsid w:val="00272C58"/>
    <w:rsid w:val="00272E30"/>
    <w:rsid w:val="002753B7"/>
    <w:rsid w:val="00276646"/>
    <w:rsid w:val="00281FBC"/>
    <w:rsid w:val="00283879"/>
    <w:rsid w:val="002845EC"/>
    <w:rsid w:val="0028468E"/>
    <w:rsid w:val="00287491"/>
    <w:rsid w:val="002874E4"/>
    <w:rsid w:val="00294162"/>
    <w:rsid w:val="0029474E"/>
    <w:rsid w:val="00294B8F"/>
    <w:rsid w:val="0029687F"/>
    <w:rsid w:val="00296CAA"/>
    <w:rsid w:val="00297477"/>
    <w:rsid w:val="00297B7A"/>
    <w:rsid w:val="002A033F"/>
    <w:rsid w:val="002A09C7"/>
    <w:rsid w:val="002A0FD1"/>
    <w:rsid w:val="002A1243"/>
    <w:rsid w:val="002A239E"/>
    <w:rsid w:val="002A444C"/>
    <w:rsid w:val="002A4831"/>
    <w:rsid w:val="002A5EE2"/>
    <w:rsid w:val="002A6798"/>
    <w:rsid w:val="002B2274"/>
    <w:rsid w:val="002B2586"/>
    <w:rsid w:val="002B3530"/>
    <w:rsid w:val="002B3A85"/>
    <w:rsid w:val="002B44C7"/>
    <w:rsid w:val="002B4E58"/>
    <w:rsid w:val="002C12C2"/>
    <w:rsid w:val="002C15CE"/>
    <w:rsid w:val="002C2849"/>
    <w:rsid w:val="002C348E"/>
    <w:rsid w:val="002C3736"/>
    <w:rsid w:val="002C3F97"/>
    <w:rsid w:val="002C468C"/>
    <w:rsid w:val="002C51A8"/>
    <w:rsid w:val="002D0802"/>
    <w:rsid w:val="002D27D9"/>
    <w:rsid w:val="002D33F2"/>
    <w:rsid w:val="002D50E8"/>
    <w:rsid w:val="002D5451"/>
    <w:rsid w:val="002D6EBA"/>
    <w:rsid w:val="002D7992"/>
    <w:rsid w:val="002E0634"/>
    <w:rsid w:val="002E29E4"/>
    <w:rsid w:val="002E32FD"/>
    <w:rsid w:val="002E34C7"/>
    <w:rsid w:val="002E47B6"/>
    <w:rsid w:val="002E5FF4"/>
    <w:rsid w:val="002E62EC"/>
    <w:rsid w:val="002E6732"/>
    <w:rsid w:val="002E794A"/>
    <w:rsid w:val="002F1A11"/>
    <w:rsid w:val="002F28EF"/>
    <w:rsid w:val="002F373B"/>
    <w:rsid w:val="002F45CC"/>
    <w:rsid w:val="002F4C9F"/>
    <w:rsid w:val="002F5166"/>
    <w:rsid w:val="002F6091"/>
    <w:rsid w:val="002F6876"/>
    <w:rsid w:val="002F68C6"/>
    <w:rsid w:val="00300CF5"/>
    <w:rsid w:val="0030310E"/>
    <w:rsid w:val="00303653"/>
    <w:rsid w:val="00303A81"/>
    <w:rsid w:val="00304694"/>
    <w:rsid w:val="003056A1"/>
    <w:rsid w:val="00305C2C"/>
    <w:rsid w:val="003065E5"/>
    <w:rsid w:val="00307014"/>
    <w:rsid w:val="00310630"/>
    <w:rsid w:val="00310654"/>
    <w:rsid w:val="003113FB"/>
    <w:rsid w:val="003138D3"/>
    <w:rsid w:val="00313D2F"/>
    <w:rsid w:val="003156BB"/>
    <w:rsid w:val="00315A5E"/>
    <w:rsid w:val="00316258"/>
    <w:rsid w:val="00316CFF"/>
    <w:rsid w:val="00317EA3"/>
    <w:rsid w:val="0032125C"/>
    <w:rsid w:val="003217F7"/>
    <w:rsid w:val="0032315A"/>
    <w:rsid w:val="003234FC"/>
    <w:rsid w:val="00326665"/>
    <w:rsid w:val="003267CA"/>
    <w:rsid w:val="00327895"/>
    <w:rsid w:val="00330B3A"/>
    <w:rsid w:val="00331079"/>
    <w:rsid w:val="003325C8"/>
    <w:rsid w:val="00333101"/>
    <w:rsid w:val="00333E93"/>
    <w:rsid w:val="00333EF1"/>
    <w:rsid w:val="00334A7D"/>
    <w:rsid w:val="00335451"/>
    <w:rsid w:val="00336795"/>
    <w:rsid w:val="003369C2"/>
    <w:rsid w:val="00337589"/>
    <w:rsid w:val="00340CF1"/>
    <w:rsid w:val="003420EF"/>
    <w:rsid w:val="0034262E"/>
    <w:rsid w:val="00343E9E"/>
    <w:rsid w:val="00343F99"/>
    <w:rsid w:val="00346D55"/>
    <w:rsid w:val="00347852"/>
    <w:rsid w:val="00347A3B"/>
    <w:rsid w:val="00347BD8"/>
    <w:rsid w:val="00350AFC"/>
    <w:rsid w:val="00351E87"/>
    <w:rsid w:val="00353055"/>
    <w:rsid w:val="00353126"/>
    <w:rsid w:val="003533E7"/>
    <w:rsid w:val="0035363E"/>
    <w:rsid w:val="0035589E"/>
    <w:rsid w:val="003559FC"/>
    <w:rsid w:val="00356B4C"/>
    <w:rsid w:val="0036053B"/>
    <w:rsid w:val="00360E1F"/>
    <w:rsid w:val="003611C5"/>
    <w:rsid w:val="003629A1"/>
    <w:rsid w:val="00364AAD"/>
    <w:rsid w:val="00364F9B"/>
    <w:rsid w:val="00365E1F"/>
    <w:rsid w:val="00366BF4"/>
    <w:rsid w:val="0036796B"/>
    <w:rsid w:val="0037074A"/>
    <w:rsid w:val="00371213"/>
    <w:rsid w:val="0037221C"/>
    <w:rsid w:val="003729AE"/>
    <w:rsid w:val="00375179"/>
    <w:rsid w:val="003775CB"/>
    <w:rsid w:val="00380393"/>
    <w:rsid w:val="00381444"/>
    <w:rsid w:val="00381992"/>
    <w:rsid w:val="0038238B"/>
    <w:rsid w:val="00383090"/>
    <w:rsid w:val="003831DC"/>
    <w:rsid w:val="00383459"/>
    <w:rsid w:val="00385B41"/>
    <w:rsid w:val="00391A99"/>
    <w:rsid w:val="00391FD6"/>
    <w:rsid w:val="0039209C"/>
    <w:rsid w:val="003951B9"/>
    <w:rsid w:val="00395CFA"/>
    <w:rsid w:val="00396C9C"/>
    <w:rsid w:val="003973AC"/>
    <w:rsid w:val="00397BDC"/>
    <w:rsid w:val="003A19BF"/>
    <w:rsid w:val="003A2CC3"/>
    <w:rsid w:val="003A481F"/>
    <w:rsid w:val="003A50B0"/>
    <w:rsid w:val="003A55B2"/>
    <w:rsid w:val="003A5DC1"/>
    <w:rsid w:val="003A6147"/>
    <w:rsid w:val="003A6ACF"/>
    <w:rsid w:val="003A7593"/>
    <w:rsid w:val="003A7737"/>
    <w:rsid w:val="003B09B0"/>
    <w:rsid w:val="003B0DFB"/>
    <w:rsid w:val="003B1764"/>
    <w:rsid w:val="003B200D"/>
    <w:rsid w:val="003B3072"/>
    <w:rsid w:val="003B3C44"/>
    <w:rsid w:val="003B414E"/>
    <w:rsid w:val="003B4166"/>
    <w:rsid w:val="003B47DC"/>
    <w:rsid w:val="003B4D70"/>
    <w:rsid w:val="003B587D"/>
    <w:rsid w:val="003B60A3"/>
    <w:rsid w:val="003B7474"/>
    <w:rsid w:val="003B7CDC"/>
    <w:rsid w:val="003C228A"/>
    <w:rsid w:val="003C26E3"/>
    <w:rsid w:val="003C47C6"/>
    <w:rsid w:val="003C5E25"/>
    <w:rsid w:val="003D05A4"/>
    <w:rsid w:val="003D1309"/>
    <w:rsid w:val="003D3584"/>
    <w:rsid w:val="003D5B64"/>
    <w:rsid w:val="003D5E89"/>
    <w:rsid w:val="003D5F17"/>
    <w:rsid w:val="003D6059"/>
    <w:rsid w:val="003D6406"/>
    <w:rsid w:val="003D7298"/>
    <w:rsid w:val="003D7F3E"/>
    <w:rsid w:val="003E053D"/>
    <w:rsid w:val="003E1107"/>
    <w:rsid w:val="003E3722"/>
    <w:rsid w:val="003E3A85"/>
    <w:rsid w:val="003E48A5"/>
    <w:rsid w:val="003E48CC"/>
    <w:rsid w:val="003E496D"/>
    <w:rsid w:val="003E530E"/>
    <w:rsid w:val="003E595A"/>
    <w:rsid w:val="003E6A00"/>
    <w:rsid w:val="003E7620"/>
    <w:rsid w:val="003F2C9A"/>
    <w:rsid w:val="003F46B3"/>
    <w:rsid w:val="003F53FA"/>
    <w:rsid w:val="003F56A1"/>
    <w:rsid w:val="003F6CBD"/>
    <w:rsid w:val="003F7539"/>
    <w:rsid w:val="00400479"/>
    <w:rsid w:val="00400BBF"/>
    <w:rsid w:val="004014F0"/>
    <w:rsid w:val="00402AD8"/>
    <w:rsid w:val="00406C20"/>
    <w:rsid w:val="00407BE7"/>
    <w:rsid w:val="00407E82"/>
    <w:rsid w:val="00407EBC"/>
    <w:rsid w:val="00411A44"/>
    <w:rsid w:val="004125AE"/>
    <w:rsid w:val="00412A47"/>
    <w:rsid w:val="004144B7"/>
    <w:rsid w:val="004153FA"/>
    <w:rsid w:val="00415687"/>
    <w:rsid w:val="00416CBE"/>
    <w:rsid w:val="0041706E"/>
    <w:rsid w:val="004172B5"/>
    <w:rsid w:val="00417D0B"/>
    <w:rsid w:val="004201E5"/>
    <w:rsid w:val="004204F3"/>
    <w:rsid w:val="0042220C"/>
    <w:rsid w:val="00422DA8"/>
    <w:rsid w:val="004237E7"/>
    <w:rsid w:val="00423AE1"/>
    <w:rsid w:val="00424612"/>
    <w:rsid w:val="00424971"/>
    <w:rsid w:val="00424F1D"/>
    <w:rsid w:val="004252BF"/>
    <w:rsid w:val="0042703A"/>
    <w:rsid w:val="004302B6"/>
    <w:rsid w:val="00431666"/>
    <w:rsid w:val="00431689"/>
    <w:rsid w:val="00432EE0"/>
    <w:rsid w:val="004332FB"/>
    <w:rsid w:val="0043361C"/>
    <w:rsid w:val="0043422C"/>
    <w:rsid w:val="004346DD"/>
    <w:rsid w:val="00434A50"/>
    <w:rsid w:val="00434E6B"/>
    <w:rsid w:val="00435555"/>
    <w:rsid w:val="00437621"/>
    <w:rsid w:val="004415A5"/>
    <w:rsid w:val="00441CE7"/>
    <w:rsid w:val="0044427B"/>
    <w:rsid w:val="00444339"/>
    <w:rsid w:val="00444361"/>
    <w:rsid w:val="00444461"/>
    <w:rsid w:val="0044537B"/>
    <w:rsid w:val="00451119"/>
    <w:rsid w:val="004530E5"/>
    <w:rsid w:val="004535BF"/>
    <w:rsid w:val="00453B18"/>
    <w:rsid w:val="00453EAC"/>
    <w:rsid w:val="004541FA"/>
    <w:rsid w:val="00454822"/>
    <w:rsid w:val="00454CFF"/>
    <w:rsid w:val="00456C95"/>
    <w:rsid w:val="00456F67"/>
    <w:rsid w:val="00457391"/>
    <w:rsid w:val="00457424"/>
    <w:rsid w:val="0046129D"/>
    <w:rsid w:val="00461C42"/>
    <w:rsid w:val="004631F4"/>
    <w:rsid w:val="00465B73"/>
    <w:rsid w:val="00465ED7"/>
    <w:rsid w:val="00466158"/>
    <w:rsid w:val="0046662B"/>
    <w:rsid w:val="00467CD7"/>
    <w:rsid w:val="00471193"/>
    <w:rsid w:val="0047231B"/>
    <w:rsid w:val="00474253"/>
    <w:rsid w:val="004766E1"/>
    <w:rsid w:val="004769AA"/>
    <w:rsid w:val="00476B69"/>
    <w:rsid w:val="0048048B"/>
    <w:rsid w:val="004811F8"/>
    <w:rsid w:val="00484937"/>
    <w:rsid w:val="004859B6"/>
    <w:rsid w:val="00486443"/>
    <w:rsid w:val="00491016"/>
    <w:rsid w:val="00494BA2"/>
    <w:rsid w:val="00494F21"/>
    <w:rsid w:val="004955E7"/>
    <w:rsid w:val="00496111"/>
    <w:rsid w:val="004971B1"/>
    <w:rsid w:val="0049726E"/>
    <w:rsid w:val="004A1A11"/>
    <w:rsid w:val="004A2382"/>
    <w:rsid w:val="004A2ACB"/>
    <w:rsid w:val="004A61EA"/>
    <w:rsid w:val="004A72AB"/>
    <w:rsid w:val="004B0E7D"/>
    <w:rsid w:val="004B281F"/>
    <w:rsid w:val="004B2BBA"/>
    <w:rsid w:val="004B3350"/>
    <w:rsid w:val="004B5A4C"/>
    <w:rsid w:val="004C2631"/>
    <w:rsid w:val="004C5A7C"/>
    <w:rsid w:val="004C61A7"/>
    <w:rsid w:val="004D04FC"/>
    <w:rsid w:val="004D0ACC"/>
    <w:rsid w:val="004D2993"/>
    <w:rsid w:val="004D31F9"/>
    <w:rsid w:val="004D3C37"/>
    <w:rsid w:val="004D451E"/>
    <w:rsid w:val="004D5065"/>
    <w:rsid w:val="004D5446"/>
    <w:rsid w:val="004D6092"/>
    <w:rsid w:val="004D67C2"/>
    <w:rsid w:val="004D6C64"/>
    <w:rsid w:val="004E1BA0"/>
    <w:rsid w:val="004E1EEC"/>
    <w:rsid w:val="004E1FD0"/>
    <w:rsid w:val="004E298E"/>
    <w:rsid w:val="004E304E"/>
    <w:rsid w:val="004E33A4"/>
    <w:rsid w:val="004E3C52"/>
    <w:rsid w:val="004E5E4A"/>
    <w:rsid w:val="004E65EE"/>
    <w:rsid w:val="004E7A1E"/>
    <w:rsid w:val="004F060E"/>
    <w:rsid w:val="004F0833"/>
    <w:rsid w:val="004F1555"/>
    <w:rsid w:val="004F343D"/>
    <w:rsid w:val="004F39DA"/>
    <w:rsid w:val="004F4202"/>
    <w:rsid w:val="004F570C"/>
    <w:rsid w:val="004F5DA2"/>
    <w:rsid w:val="004F6139"/>
    <w:rsid w:val="004F7114"/>
    <w:rsid w:val="00500432"/>
    <w:rsid w:val="00503799"/>
    <w:rsid w:val="005057F1"/>
    <w:rsid w:val="005073BE"/>
    <w:rsid w:val="0050785A"/>
    <w:rsid w:val="00507D8C"/>
    <w:rsid w:val="00507DE8"/>
    <w:rsid w:val="0051053E"/>
    <w:rsid w:val="005115E1"/>
    <w:rsid w:val="00511FB9"/>
    <w:rsid w:val="00512A9E"/>
    <w:rsid w:val="005140FF"/>
    <w:rsid w:val="00514D5D"/>
    <w:rsid w:val="0052100E"/>
    <w:rsid w:val="005212D3"/>
    <w:rsid w:val="005227C6"/>
    <w:rsid w:val="00524E28"/>
    <w:rsid w:val="00525FCF"/>
    <w:rsid w:val="00526709"/>
    <w:rsid w:val="0053007C"/>
    <w:rsid w:val="00530101"/>
    <w:rsid w:val="0053086C"/>
    <w:rsid w:val="005312C2"/>
    <w:rsid w:val="00531E6A"/>
    <w:rsid w:val="0053256E"/>
    <w:rsid w:val="0053325F"/>
    <w:rsid w:val="005332CB"/>
    <w:rsid w:val="005346AF"/>
    <w:rsid w:val="00534D9B"/>
    <w:rsid w:val="005356FF"/>
    <w:rsid w:val="005369F2"/>
    <w:rsid w:val="00540BEF"/>
    <w:rsid w:val="00540ECB"/>
    <w:rsid w:val="005419CA"/>
    <w:rsid w:val="00541D5F"/>
    <w:rsid w:val="00542941"/>
    <w:rsid w:val="00542C57"/>
    <w:rsid w:val="005441FC"/>
    <w:rsid w:val="00544942"/>
    <w:rsid w:val="00544AC6"/>
    <w:rsid w:val="00544D59"/>
    <w:rsid w:val="00546357"/>
    <w:rsid w:val="00546779"/>
    <w:rsid w:val="005470F6"/>
    <w:rsid w:val="00550A1D"/>
    <w:rsid w:val="005511D2"/>
    <w:rsid w:val="005512DB"/>
    <w:rsid w:val="00551BF9"/>
    <w:rsid w:val="00553335"/>
    <w:rsid w:val="005542A4"/>
    <w:rsid w:val="00554AC2"/>
    <w:rsid w:val="00555217"/>
    <w:rsid w:val="00556EE5"/>
    <w:rsid w:val="00557715"/>
    <w:rsid w:val="00560326"/>
    <w:rsid w:val="00560558"/>
    <w:rsid w:val="005605C4"/>
    <w:rsid w:val="00560DC0"/>
    <w:rsid w:val="00561462"/>
    <w:rsid w:val="00561FB6"/>
    <w:rsid w:val="005621B5"/>
    <w:rsid w:val="0056299F"/>
    <w:rsid w:val="00562AA0"/>
    <w:rsid w:val="0056455C"/>
    <w:rsid w:val="0056546E"/>
    <w:rsid w:val="00566B13"/>
    <w:rsid w:val="005703E4"/>
    <w:rsid w:val="005707CD"/>
    <w:rsid w:val="00571D34"/>
    <w:rsid w:val="00572623"/>
    <w:rsid w:val="005736C8"/>
    <w:rsid w:val="00573D47"/>
    <w:rsid w:val="00574616"/>
    <w:rsid w:val="005753A8"/>
    <w:rsid w:val="005766A3"/>
    <w:rsid w:val="00576B42"/>
    <w:rsid w:val="00576C22"/>
    <w:rsid w:val="005775C2"/>
    <w:rsid w:val="00577F2A"/>
    <w:rsid w:val="00581DFE"/>
    <w:rsid w:val="00582724"/>
    <w:rsid w:val="00582846"/>
    <w:rsid w:val="005844F8"/>
    <w:rsid w:val="005846FF"/>
    <w:rsid w:val="0058496F"/>
    <w:rsid w:val="00584E6B"/>
    <w:rsid w:val="00585BB2"/>
    <w:rsid w:val="00586462"/>
    <w:rsid w:val="00586D8B"/>
    <w:rsid w:val="00586ECA"/>
    <w:rsid w:val="005874FD"/>
    <w:rsid w:val="00590EA5"/>
    <w:rsid w:val="005915EE"/>
    <w:rsid w:val="00591867"/>
    <w:rsid w:val="00591993"/>
    <w:rsid w:val="005931A6"/>
    <w:rsid w:val="005933AF"/>
    <w:rsid w:val="005951D9"/>
    <w:rsid w:val="00595611"/>
    <w:rsid w:val="005966CF"/>
    <w:rsid w:val="00596E3E"/>
    <w:rsid w:val="005A06E3"/>
    <w:rsid w:val="005A1A0A"/>
    <w:rsid w:val="005A228A"/>
    <w:rsid w:val="005A516C"/>
    <w:rsid w:val="005A553F"/>
    <w:rsid w:val="005A5F70"/>
    <w:rsid w:val="005A6A27"/>
    <w:rsid w:val="005A737A"/>
    <w:rsid w:val="005B0DB5"/>
    <w:rsid w:val="005B2D1B"/>
    <w:rsid w:val="005B5A41"/>
    <w:rsid w:val="005B5BDD"/>
    <w:rsid w:val="005B5EBF"/>
    <w:rsid w:val="005B7335"/>
    <w:rsid w:val="005B7608"/>
    <w:rsid w:val="005C07A6"/>
    <w:rsid w:val="005C1C24"/>
    <w:rsid w:val="005C1C43"/>
    <w:rsid w:val="005C1C72"/>
    <w:rsid w:val="005C2196"/>
    <w:rsid w:val="005C3A2E"/>
    <w:rsid w:val="005C3E7F"/>
    <w:rsid w:val="005C4668"/>
    <w:rsid w:val="005C4A0A"/>
    <w:rsid w:val="005C4FC7"/>
    <w:rsid w:val="005C5310"/>
    <w:rsid w:val="005C5FF6"/>
    <w:rsid w:val="005D0C86"/>
    <w:rsid w:val="005D1521"/>
    <w:rsid w:val="005D1680"/>
    <w:rsid w:val="005D1C57"/>
    <w:rsid w:val="005D2044"/>
    <w:rsid w:val="005E0A0B"/>
    <w:rsid w:val="005E1858"/>
    <w:rsid w:val="005E1EEB"/>
    <w:rsid w:val="005E2998"/>
    <w:rsid w:val="005E3555"/>
    <w:rsid w:val="005E4091"/>
    <w:rsid w:val="005E489C"/>
    <w:rsid w:val="005E4D6F"/>
    <w:rsid w:val="005E673E"/>
    <w:rsid w:val="005E7C5A"/>
    <w:rsid w:val="005F0668"/>
    <w:rsid w:val="005F0A57"/>
    <w:rsid w:val="005F152B"/>
    <w:rsid w:val="005F237F"/>
    <w:rsid w:val="005F2801"/>
    <w:rsid w:val="005F30F2"/>
    <w:rsid w:val="005F39F5"/>
    <w:rsid w:val="005F4401"/>
    <w:rsid w:val="005F4A75"/>
    <w:rsid w:val="005F5ADD"/>
    <w:rsid w:val="005F5C52"/>
    <w:rsid w:val="005F5C94"/>
    <w:rsid w:val="005F5E5D"/>
    <w:rsid w:val="005F6178"/>
    <w:rsid w:val="005F63D1"/>
    <w:rsid w:val="005F68DA"/>
    <w:rsid w:val="005F732D"/>
    <w:rsid w:val="0060046D"/>
    <w:rsid w:val="0060162B"/>
    <w:rsid w:val="00603907"/>
    <w:rsid w:val="00607330"/>
    <w:rsid w:val="006106A1"/>
    <w:rsid w:val="006109DD"/>
    <w:rsid w:val="00611CA3"/>
    <w:rsid w:val="00612B2B"/>
    <w:rsid w:val="00612C11"/>
    <w:rsid w:val="006134C1"/>
    <w:rsid w:val="00613BDD"/>
    <w:rsid w:val="00613C2E"/>
    <w:rsid w:val="00614268"/>
    <w:rsid w:val="006144AE"/>
    <w:rsid w:val="00615A49"/>
    <w:rsid w:val="006163BB"/>
    <w:rsid w:val="00616699"/>
    <w:rsid w:val="00616F98"/>
    <w:rsid w:val="006174A9"/>
    <w:rsid w:val="0062086C"/>
    <w:rsid w:val="0062279F"/>
    <w:rsid w:val="006227D9"/>
    <w:rsid w:val="00622997"/>
    <w:rsid w:val="006231A4"/>
    <w:rsid w:val="00623C62"/>
    <w:rsid w:val="00624902"/>
    <w:rsid w:val="00626DB5"/>
    <w:rsid w:val="006304EE"/>
    <w:rsid w:val="00630629"/>
    <w:rsid w:val="0063102E"/>
    <w:rsid w:val="006312B0"/>
    <w:rsid w:val="00631B3E"/>
    <w:rsid w:val="006321CA"/>
    <w:rsid w:val="0063278F"/>
    <w:rsid w:val="006339D1"/>
    <w:rsid w:val="00633C4F"/>
    <w:rsid w:val="00635E4C"/>
    <w:rsid w:val="00636B6E"/>
    <w:rsid w:val="0064016B"/>
    <w:rsid w:val="00640475"/>
    <w:rsid w:val="00641A96"/>
    <w:rsid w:val="00643301"/>
    <w:rsid w:val="00643BDA"/>
    <w:rsid w:val="006459A3"/>
    <w:rsid w:val="00645AF3"/>
    <w:rsid w:val="00647355"/>
    <w:rsid w:val="00647654"/>
    <w:rsid w:val="006512DE"/>
    <w:rsid w:val="006524FB"/>
    <w:rsid w:val="00652F07"/>
    <w:rsid w:val="006537C4"/>
    <w:rsid w:val="00653848"/>
    <w:rsid w:val="00656031"/>
    <w:rsid w:val="006600A4"/>
    <w:rsid w:val="0066177D"/>
    <w:rsid w:val="006618E8"/>
    <w:rsid w:val="006619B6"/>
    <w:rsid w:val="00662A8E"/>
    <w:rsid w:val="00662F42"/>
    <w:rsid w:val="00662F62"/>
    <w:rsid w:val="0066393D"/>
    <w:rsid w:val="006639D4"/>
    <w:rsid w:val="00663DA9"/>
    <w:rsid w:val="006649B6"/>
    <w:rsid w:val="0066503D"/>
    <w:rsid w:val="00666562"/>
    <w:rsid w:val="00666E8D"/>
    <w:rsid w:val="00667469"/>
    <w:rsid w:val="00667A88"/>
    <w:rsid w:val="00670ED4"/>
    <w:rsid w:val="00671DBA"/>
    <w:rsid w:val="00672EFF"/>
    <w:rsid w:val="00673A5E"/>
    <w:rsid w:val="00674E69"/>
    <w:rsid w:val="00676922"/>
    <w:rsid w:val="00676D00"/>
    <w:rsid w:val="00680EC2"/>
    <w:rsid w:val="00681305"/>
    <w:rsid w:val="00681B42"/>
    <w:rsid w:val="006826D5"/>
    <w:rsid w:val="00682E63"/>
    <w:rsid w:val="00682F62"/>
    <w:rsid w:val="0068330F"/>
    <w:rsid w:val="00683C61"/>
    <w:rsid w:val="00684457"/>
    <w:rsid w:val="006844B5"/>
    <w:rsid w:val="006845E1"/>
    <w:rsid w:val="00684953"/>
    <w:rsid w:val="00685EEE"/>
    <w:rsid w:val="00686BDD"/>
    <w:rsid w:val="0068772B"/>
    <w:rsid w:val="00687DEE"/>
    <w:rsid w:val="006903AE"/>
    <w:rsid w:val="00690887"/>
    <w:rsid w:val="00690FF7"/>
    <w:rsid w:val="0069102F"/>
    <w:rsid w:val="00692578"/>
    <w:rsid w:val="006927B5"/>
    <w:rsid w:val="006927C1"/>
    <w:rsid w:val="00692A50"/>
    <w:rsid w:val="00695146"/>
    <w:rsid w:val="00695441"/>
    <w:rsid w:val="0069671F"/>
    <w:rsid w:val="0069719B"/>
    <w:rsid w:val="00697A97"/>
    <w:rsid w:val="006A05B5"/>
    <w:rsid w:val="006A069E"/>
    <w:rsid w:val="006A09E5"/>
    <w:rsid w:val="006A1508"/>
    <w:rsid w:val="006A1933"/>
    <w:rsid w:val="006A1C65"/>
    <w:rsid w:val="006A1E51"/>
    <w:rsid w:val="006A26E1"/>
    <w:rsid w:val="006A3428"/>
    <w:rsid w:val="006A4E08"/>
    <w:rsid w:val="006A6391"/>
    <w:rsid w:val="006A79C1"/>
    <w:rsid w:val="006B01CE"/>
    <w:rsid w:val="006B085A"/>
    <w:rsid w:val="006B0CD9"/>
    <w:rsid w:val="006B21B0"/>
    <w:rsid w:val="006B2B47"/>
    <w:rsid w:val="006B2E9D"/>
    <w:rsid w:val="006B3837"/>
    <w:rsid w:val="006B3D52"/>
    <w:rsid w:val="006C0CF4"/>
    <w:rsid w:val="006C0DF2"/>
    <w:rsid w:val="006C2E39"/>
    <w:rsid w:val="006C419B"/>
    <w:rsid w:val="006C531A"/>
    <w:rsid w:val="006C619C"/>
    <w:rsid w:val="006C72A4"/>
    <w:rsid w:val="006D1867"/>
    <w:rsid w:val="006D3E17"/>
    <w:rsid w:val="006D5BEB"/>
    <w:rsid w:val="006D604A"/>
    <w:rsid w:val="006D70EA"/>
    <w:rsid w:val="006D733D"/>
    <w:rsid w:val="006D7395"/>
    <w:rsid w:val="006E07CA"/>
    <w:rsid w:val="006E14DC"/>
    <w:rsid w:val="006E166C"/>
    <w:rsid w:val="006E18E9"/>
    <w:rsid w:val="006E29B1"/>
    <w:rsid w:val="006E40CF"/>
    <w:rsid w:val="006E5BF7"/>
    <w:rsid w:val="006E7B5E"/>
    <w:rsid w:val="006E7BCD"/>
    <w:rsid w:val="006F2250"/>
    <w:rsid w:val="006F268F"/>
    <w:rsid w:val="006F2EC1"/>
    <w:rsid w:val="006F331C"/>
    <w:rsid w:val="006F3EFE"/>
    <w:rsid w:val="006F6811"/>
    <w:rsid w:val="00700013"/>
    <w:rsid w:val="007014CF"/>
    <w:rsid w:val="00701611"/>
    <w:rsid w:val="00702322"/>
    <w:rsid w:val="00706E03"/>
    <w:rsid w:val="0070766D"/>
    <w:rsid w:val="007079A7"/>
    <w:rsid w:val="007100F2"/>
    <w:rsid w:val="00710AF5"/>
    <w:rsid w:val="00711851"/>
    <w:rsid w:val="00711901"/>
    <w:rsid w:val="00711A60"/>
    <w:rsid w:val="00712570"/>
    <w:rsid w:val="0071348A"/>
    <w:rsid w:val="00714187"/>
    <w:rsid w:val="00714F83"/>
    <w:rsid w:val="00716573"/>
    <w:rsid w:val="00716EE2"/>
    <w:rsid w:val="00717DA0"/>
    <w:rsid w:val="00720562"/>
    <w:rsid w:val="00720827"/>
    <w:rsid w:val="0072140C"/>
    <w:rsid w:val="007236A4"/>
    <w:rsid w:val="007254F6"/>
    <w:rsid w:val="0072608C"/>
    <w:rsid w:val="00726CC9"/>
    <w:rsid w:val="00726E4B"/>
    <w:rsid w:val="00727661"/>
    <w:rsid w:val="00727788"/>
    <w:rsid w:val="00731A3F"/>
    <w:rsid w:val="00731E33"/>
    <w:rsid w:val="007322D5"/>
    <w:rsid w:val="007327F6"/>
    <w:rsid w:val="00732EFE"/>
    <w:rsid w:val="00735235"/>
    <w:rsid w:val="00736861"/>
    <w:rsid w:val="00736E5E"/>
    <w:rsid w:val="007430E9"/>
    <w:rsid w:val="0074485E"/>
    <w:rsid w:val="00744977"/>
    <w:rsid w:val="007459CF"/>
    <w:rsid w:val="00746136"/>
    <w:rsid w:val="007463AF"/>
    <w:rsid w:val="00746484"/>
    <w:rsid w:val="00746994"/>
    <w:rsid w:val="00746D3D"/>
    <w:rsid w:val="00747524"/>
    <w:rsid w:val="007477F4"/>
    <w:rsid w:val="00747F3B"/>
    <w:rsid w:val="00750280"/>
    <w:rsid w:val="00750C7D"/>
    <w:rsid w:val="00750E78"/>
    <w:rsid w:val="00752368"/>
    <w:rsid w:val="00752A4A"/>
    <w:rsid w:val="00752BF9"/>
    <w:rsid w:val="007530C0"/>
    <w:rsid w:val="007536ED"/>
    <w:rsid w:val="0075499C"/>
    <w:rsid w:val="00755451"/>
    <w:rsid w:val="007560E1"/>
    <w:rsid w:val="0075764D"/>
    <w:rsid w:val="00760619"/>
    <w:rsid w:val="00760E45"/>
    <w:rsid w:val="00761DA4"/>
    <w:rsid w:val="007628A9"/>
    <w:rsid w:val="00765D18"/>
    <w:rsid w:val="0076618F"/>
    <w:rsid w:val="007666EB"/>
    <w:rsid w:val="007671B5"/>
    <w:rsid w:val="0077008B"/>
    <w:rsid w:val="007707DD"/>
    <w:rsid w:val="00771ADE"/>
    <w:rsid w:val="007721A6"/>
    <w:rsid w:val="0077443B"/>
    <w:rsid w:val="0077669C"/>
    <w:rsid w:val="00776904"/>
    <w:rsid w:val="0078019C"/>
    <w:rsid w:val="00780947"/>
    <w:rsid w:val="007811F7"/>
    <w:rsid w:val="00781C87"/>
    <w:rsid w:val="007825B3"/>
    <w:rsid w:val="0078349E"/>
    <w:rsid w:val="00783788"/>
    <w:rsid w:val="0078389B"/>
    <w:rsid w:val="00784C1D"/>
    <w:rsid w:val="00787126"/>
    <w:rsid w:val="00787F9D"/>
    <w:rsid w:val="00792B51"/>
    <w:rsid w:val="00793354"/>
    <w:rsid w:val="00793DA2"/>
    <w:rsid w:val="00794A5B"/>
    <w:rsid w:val="00794AF7"/>
    <w:rsid w:val="00795B73"/>
    <w:rsid w:val="00795B9B"/>
    <w:rsid w:val="007963E5"/>
    <w:rsid w:val="007A0F0A"/>
    <w:rsid w:val="007A1AB6"/>
    <w:rsid w:val="007A1DE0"/>
    <w:rsid w:val="007A37B6"/>
    <w:rsid w:val="007A3D70"/>
    <w:rsid w:val="007A4528"/>
    <w:rsid w:val="007A4867"/>
    <w:rsid w:val="007A4E6E"/>
    <w:rsid w:val="007A6887"/>
    <w:rsid w:val="007A786C"/>
    <w:rsid w:val="007B0D49"/>
    <w:rsid w:val="007B2228"/>
    <w:rsid w:val="007B3754"/>
    <w:rsid w:val="007B47BA"/>
    <w:rsid w:val="007B572E"/>
    <w:rsid w:val="007B7EA4"/>
    <w:rsid w:val="007C0E62"/>
    <w:rsid w:val="007C27EB"/>
    <w:rsid w:val="007C2AA0"/>
    <w:rsid w:val="007C30DB"/>
    <w:rsid w:val="007C41D7"/>
    <w:rsid w:val="007C4387"/>
    <w:rsid w:val="007C5DDE"/>
    <w:rsid w:val="007C68EF"/>
    <w:rsid w:val="007D03A4"/>
    <w:rsid w:val="007D12BF"/>
    <w:rsid w:val="007D1B77"/>
    <w:rsid w:val="007D20B9"/>
    <w:rsid w:val="007D3359"/>
    <w:rsid w:val="007D43C9"/>
    <w:rsid w:val="007D60C3"/>
    <w:rsid w:val="007D66BF"/>
    <w:rsid w:val="007D7829"/>
    <w:rsid w:val="007E0CC2"/>
    <w:rsid w:val="007E159C"/>
    <w:rsid w:val="007E224D"/>
    <w:rsid w:val="007E2ACD"/>
    <w:rsid w:val="007E2F98"/>
    <w:rsid w:val="007E314C"/>
    <w:rsid w:val="007E43AC"/>
    <w:rsid w:val="007E4627"/>
    <w:rsid w:val="007E4BA5"/>
    <w:rsid w:val="007E5507"/>
    <w:rsid w:val="007E5E08"/>
    <w:rsid w:val="007E7391"/>
    <w:rsid w:val="007E79BA"/>
    <w:rsid w:val="007F0ABC"/>
    <w:rsid w:val="007F0CE8"/>
    <w:rsid w:val="007F3232"/>
    <w:rsid w:val="007F4562"/>
    <w:rsid w:val="007F47D4"/>
    <w:rsid w:val="007F5299"/>
    <w:rsid w:val="007F585F"/>
    <w:rsid w:val="007F594C"/>
    <w:rsid w:val="007F59FC"/>
    <w:rsid w:val="007F5AD3"/>
    <w:rsid w:val="007F7093"/>
    <w:rsid w:val="007F7D6B"/>
    <w:rsid w:val="00800430"/>
    <w:rsid w:val="00800D85"/>
    <w:rsid w:val="00802456"/>
    <w:rsid w:val="0080680F"/>
    <w:rsid w:val="008073CA"/>
    <w:rsid w:val="008075AF"/>
    <w:rsid w:val="00810257"/>
    <w:rsid w:val="00810B36"/>
    <w:rsid w:val="008118F9"/>
    <w:rsid w:val="00812687"/>
    <w:rsid w:val="0081385D"/>
    <w:rsid w:val="00813F16"/>
    <w:rsid w:val="00814522"/>
    <w:rsid w:val="00820F3A"/>
    <w:rsid w:val="00821636"/>
    <w:rsid w:val="00821E1E"/>
    <w:rsid w:val="00822851"/>
    <w:rsid w:val="00824306"/>
    <w:rsid w:val="00826562"/>
    <w:rsid w:val="00831271"/>
    <w:rsid w:val="00832562"/>
    <w:rsid w:val="00832A3B"/>
    <w:rsid w:val="008332DF"/>
    <w:rsid w:val="008337AE"/>
    <w:rsid w:val="00833B8A"/>
    <w:rsid w:val="00833D09"/>
    <w:rsid w:val="00834F02"/>
    <w:rsid w:val="00836168"/>
    <w:rsid w:val="00837286"/>
    <w:rsid w:val="00840DBB"/>
    <w:rsid w:val="008451B5"/>
    <w:rsid w:val="00846187"/>
    <w:rsid w:val="00846646"/>
    <w:rsid w:val="00850F7D"/>
    <w:rsid w:val="008526C5"/>
    <w:rsid w:val="00852BA8"/>
    <w:rsid w:val="008531F8"/>
    <w:rsid w:val="00854662"/>
    <w:rsid w:val="008548EB"/>
    <w:rsid w:val="00855039"/>
    <w:rsid w:val="00855BFA"/>
    <w:rsid w:val="0086197A"/>
    <w:rsid w:val="008622E0"/>
    <w:rsid w:val="00863BBD"/>
    <w:rsid w:val="00865389"/>
    <w:rsid w:val="00865439"/>
    <w:rsid w:val="00865E63"/>
    <w:rsid w:val="008660C7"/>
    <w:rsid w:val="0086631B"/>
    <w:rsid w:val="00866607"/>
    <w:rsid w:val="00870777"/>
    <w:rsid w:val="008718E9"/>
    <w:rsid w:val="008736F7"/>
    <w:rsid w:val="0087427E"/>
    <w:rsid w:val="00874869"/>
    <w:rsid w:val="00875815"/>
    <w:rsid w:val="00875F04"/>
    <w:rsid w:val="00877BA0"/>
    <w:rsid w:val="008805B8"/>
    <w:rsid w:val="0088066D"/>
    <w:rsid w:val="00882685"/>
    <w:rsid w:val="00882FE5"/>
    <w:rsid w:val="008839BC"/>
    <w:rsid w:val="00884076"/>
    <w:rsid w:val="008840A4"/>
    <w:rsid w:val="00884730"/>
    <w:rsid w:val="00884B83"/>
    <w:rsid w:val="00884F6F"/>
    <w:rsid w:val="0088505D"/>
    <w:rsid w:val="00886142"/>
    <w:rsid w:val="00887026"/>
    <w:rsid w:val="0088772D"/>
    <w:rsid w:val="00887B24"/>
    <w:rsid w:val="008903BA"/>
    <w:rsid w:val="00890421"/>
    <w:rsid w:val="00890E4A"/>
    <w:rsid w:val="00891377"/>
    <w:rsid w:val="00891D0B"/>
    <w:rsid w:val="00891E24"/>
    <w:rsid w:val="008923F3"/>
    <w:rsid w:val="0089276C"/>
    <w:rsid w:val="00893B65"/>
    <w:rsid w:val="008964C5"/>
    <w:rsid w:val="00896DFA"/>
    <w:rsid w:val="008A1501"/>
    <w:rsid w:val="008A2A0F"/>
    <w:rsid w:val="008A3FA0"/>
    <w:rsid w:val="008B0700"/>
    <w:rsid w:val="008B17A8"/>
    <w:rsid w:val="008B39DB"/>
    <w:rsid w:val="008B3B48"/>
    <w:rsid w:val="008B5DA0"/>
    <w:rsid w:val="008B618E"/>
    <w:rsid w:val="008B6F3B"/>
    <w:rsid w:val="008B72F6"/>
    <w:rsid w:val="008B7935"/>
    <w:rsid w:val="008B7B52"/>
    <w:rsid w:val="008C1208"/>
    <w:rsid w:val="008C16BF"/>
    <w:rsid w:val="008C2362"/>
    <w:rsid w:val="008C38DE"/>
    <w:rsid w:val="008C656B"/>
    <w:rsid w:val="008C7178"/>
    <w:rsid w:val="008D0E25"/>
    <w:rsid w:val="008D24B1"/>
    <w:rsid w:val="008D337E"/>
    <w:rsid w:val="008D6C35"/>
    <w:rsid w:val="008D7AA2"/>
    <w:rsid w:val="008D7F07"/>
    <w:rsid w:val="008E0481"/>
    <w:rsid w:val="008E0C39"/>
    <w:rsid w:val="008E2240"/>
    <w:rsid w:val="008E2ED3"/>
    <w:rsid w:val="008E2F60"/>
    <w:rsid w:val="008E3E89"/>
    <w:rsid w:val="008E4584"/>
    <w:rsid w:val="008E4C12"/>
    <w:rsid w:val="008E4EA9"/>
    <w:rsid w:val="008E5144"/>
    <w:rsid w:val="008E7BD6"/>
    <w:rsid w:val="008F0617"/>
    <w:rsid w:val="008F0A1D"/>
    <w:rsid w:val="008F1C38"/>
    <w:rsid w:val="008F2245"/>
    <w:rsid w:val="008F2278"/>
    <w:rsid w:val="008F412D"/>
    <w:rsid w:val="008F6FDF"/>
    <w:rsid w:val="00900856"/>
    <w:rsid w:val="00901AE0"/>
    <w:rsid w:val="00904A0E"/>
    <w:rsid w:val="00904D5E"/>
    <w:rsid w:val="00910A88"/>
    <w:rsid w:val="00910EC8"/>
    <w:rsid w:val="0091102E"/>
    <w:rsid w:val="009110CF"/>
    <w:rsid w:val="009139E4"/>
    <w:rsid w:val="00914524"/>
    <w:rsid w:val="00916D40"/>
    <w:rsid w:val="00917ACA"/>
    <w:rsid w:val="00921414"/>
    <w:rsid w:val="00923534"/>
    <w:rsid w:val="009237A7"/>
    <w:rsid w:val="00924E71"/>
    <w:rsid w:val="0092502B"/>
    <w:rsid w:val="009251F6"/>
    <w:rsid w:val="00925A03"/>
    <w:rsid w:val="00926E5F"/>
    <w:rsid w:val="00930DE4"/>
    <w:rsid w:val="00931881"/>
    <w:rsid w:val="00934164"/>
    <w:rsid w:val="00935B53"/>
    <w:rsid w:val="00936547"/>
    <w:rsid w:val="00936E2A"/>
    <w:rsid w:val="0094016F"/>
    <w:rsid w:val="0094022F"/>
    <w:rsid w:val="009405DC"/>
    <w:rsid w:val="009435AF"/>
    <w:rsid w:val="0094443A"/>
    <w:rsid w:val="009450DE"/>
    <w:rsid w:val="00946683"/>
    <w:rsid w:val="00946AEA"/>
    <w:rsid w:val="009477B4"/>
    <w:rsid w:val="009479C6"/>
    <w:rsid w:val="00951A0E"/>
    <w:rsid w:val="009528F8"/>
    <w:rsid w:val="009543F2"/>
    <w:rsid w:val="00955287"/>
    <w:rsid w:val="00955ED0"/>
    <w:rsid w:val="00960610"/>
    <w:rsid w:val="009624C3"/>
    <w:rsid w:val="00962D41"/>
    <w:rsid w:val="00962FE1"/>
    <w:rsid w:val="00963E8F"/>
    <w:rsid w:val="009655B1"/>
    <w:rsid w:val="00965D6C"/>
    <w:rsid w:val="0096641A"/>
    <w:rsid w:val="009670D1"/>
    <w:rsid w:val="00971107"/>
    <w:rsid w:val="00971EEF"/>
    <w:rsid w:val="00972F70"/>
    <w:rsid w:val="00973316"/>
    <w:rsid w:val="0097377A"/>
    <w:rsid w:val="00973CC1"/>
    <w:rsid w:val="00975EF3"/>
    <w:rsid w:val="00975F20"/>
    <w:rsid w:val="00977B3A"/>
    <w:rsid w:val="009814CC"/>
    <w:rsid w:val="00982D40"/>
    <w:rsid w:val="0098425F"/>
    <w:rsid w:val="00984471"/>
    <w:rsid w:val="0098471B"/>
    <w:rsid w:val="009869C8"/>
    <w:rsid w:val="0098747E"/>
    <w:rsid w:val="00990A21"/>
    <w:rsid w:val="00991036"/>
    <w:rsid w:val="009916B0"/>
    <w:rsid w:val="00991FC5"/>
    <w:rsid w:val="00995304"/>
    <w:rsid w:val="009959DC"/>
    <w:rsid w:val="00995D4D"/>
    <w:rsid w:val="00996B7B"/>
    <w:rsid w:val="00997483"/>
    <w:rsid w:val="00997AC7"/>
    <w:rsid w:val="009A1A94"/>
    <w:rsid w:val="009A3EA9"/>
    <w:rsid w:val="009A51AC"/>
    <w:rsid w:val="009A54E4"/>
    <w:rsid w:val="009A58C5"/>
    <w:rsid w:val="009A5E60"/>
    <w:rsid w:val="009A6C6D"/>
    <w:rsid w:val="009A7B99"/>
    <w:rsid w:val="009B1BBD"/>
    <w:rsid w:val="009B28F3"/>
    <w:rsid w:val="009B292C"/>
    <w:rsid w:val="009B422F"/>
    <w:rsid w:val="009B426A"/>
    <w:rsid w:val="009B5F8A"/>
    <w:rsid w:val="009B6BC2"/>
    <w:rsid w:val="009B72B0"/>
    <w:rsid w:val="009B7A47"/>
    <w:rsid w:val="009C0559"/>
    <w:rsid w:val="009C0F5E"/>
    <w:rsid w:val="009C3703"/>
    <w:rsid w:val="009C410D"/>
    <w:rsid w:val="009C6134"/>
    <w:rsid w:val="009D0CC8"/>
    <w:rsid w:val="009D0F24"/>
    <w:rsid w:val="009D169B"/>
    <w:rsid w:val="009D2652"/>
    <w:rsid w:val="009D43D0"/>
    <w:rsid w:val="009D5BE4"/>
    <w:rsid w:val="009E11AE"/>
    <w:rsid w:val="009E213F"/>
    <w:rsid w:val="009E21AB"/>
    <w:rsid w:val="009E2581"/>
    <w:rsid w:val="009E2E26"/>
    <w:rsid w:val="009E409C"/>
    <w:rsid w:val="009E525F"/>
    <w:rsid w:val="009E55DF"/>
    <w:rsid w:val="009E66D5"/>
    <w:rsid w:val="009E6817"/>
    <w:rsid w:val="009E6FA3"/>
    <w:rsid w:val="009E7C6C"/>
    <w:rsid w:val="009F0649"/>
    <w:rsid w:val="009F10A3"/>
    <w:rsid w:val="009F27E4"/>
    <w:rsid w:val="009F28E0"/>
    <w:rsid w:val="009F34EC"/>
    <w:rsid w:val="009F3C74"/>
    <w:rsid w:val="009F5F93"/>
    <w:rsid w:val="009F61FD"/>
    <w:rsid w:val="009F7E5B"/>
    <w:rsid w:val="00A01D2D"/>
    <w:rsid w:val="00A02D1C"/>
    <w:rsid w:val="00A0309F"/>
    <w:rsid w:val="00A03BB7"/>
    <w:rsid w:val="00A03E50"/>
    <w:rsid w:val="00A03EB6"/>
    <w:rsid w:val="00A044E1"/>
    <w:rsid w:val="00A05596"/>
    <w:rsid w:val="00A06A81"/>
    <w:rsid w:val="00A104EF"/>
    <w:rsid w:val="00A1182D"/>
    <w:rsid w:val="00A12D86"/>
    <w:rsid w:val="00A151B7"/>
    <w:rsid w:val="00A15C11"/>
    <w:rsid w:val="00A203E5"/>
    <w:rsid w:val="00A213FB"/>
    <w:rsid w:val="00A2250A"/>
    <w:rsid w:val="00A22C53"/>
    <w:rsid w:val="00A23C27"/>
    <w:rsid w:val="00A24371"/>
    <w:rsid w:val="00A2593E"/>
    <w:rsid w:val="00A27BC6"/>
    <w:rsid w:val="00A309E1"/>
    <w:rsid w:val="00A30F18"/>
    <w:rsid w:val="00A3247E"/>
    <w:rsid w:val="00A32D88"/>
    <w:rsid w:val="00A33DC6"/>
    <w:rsid w:val="00A34190"/>
    <w:rsid w:val="00A3600F"/>
    <w:rsid w:val="00A369CB"/>
    <w:rsid w:val="00A36EE5"/>
    <w:rsid w:val="00A40040"/>
    <w:rsid w:val="00A407A7"/>
    <w:rsid w:val="00A41719"/>
    <w:rsid w:val="00A41BC0"/>
    <w:rsid w:val="00A43EAA"/>
    <w:rsid w:val="00A446E9"/>
    <w:rsid w:val="00A44E19"/>
    <w:rsid w:val="00A44E4C"/>
    <w:rsid w:val="00A459EF"/>
    <w:rsid w:val="00A47205"/>
    <w:rsid w:val="00A473C9"/>
    <w:rsid w:val="00A47E64"/>
    <w:rsid w:val="00A47F63"/>
    <w:rsid w:val="00A50422"/>
    <w:rsid w:val="00A54EAC"/>
    <w:rsid w:val="00A556E0"/>
    <w:rsid w:val="00A57777"/>
    <w:rsid w:val="00A60DD2"/>
    <w:rsid w:val="00A61E03"/>
    <w:rsid w:val="00A64DF9"/>
    <w:rsid w:val="00A64FAA"/>
    <w:rsid w:val="00A650AB"/>
    <w:rsid w:val="00A6741A"/>
    <w:rsid w:val="00A67F9B"/>
    <w:rsid w:val="00A70234"/>
    <w:rsid w:val="00A70401"/>
    <w:rsid w:val="00A71058"/>
    <w:rsid w:val="00A71F90"/>
    <w:rsid w:val="00A73462"/>
    <w:rsid w:val="00A73C59"/>
    <w:rsid w:val="00A73EB5"/>
    <w:rsid w:val="00A7533D"/>
    <w:rsid w:val="00A75798"/>
    <w:rsid w:val="00A75EA0"/>
    <w:rsid w:val="00A8112D"/>
    <w:rsid w:val="00A85648"/>
    <w:rsid w:val="00A85E72"/>
    <w:rsid w:val="00A905D3"/>
    <w:rsid w:val="00A90C35"/>
    <w:rsid w:val="00A91A0D"/>
    <w:rsid w:val="00A91CB8"/>
    <w:rsid w:val="00A92B99"/>
    <w:rsid w:val="00A92E33"/>
    <w:rsid w:val="00A93D24"/>
    <w:rsid w:val="00A95E31"/>
    <w:rsid w:val="00A96018"/>
    <w:rsid w:val="00A960AF"/>
    <w:rsid w:val="00A96555"/>
    <w:rsid w:val="00A96ED1"/>
    <w:rsid w:val="00AA0234"/>
    <w:rsid w:val="00AA1376"/>
    <w:rsid w:val="00AA2ACB"/>
    <w:rsid w:val="00AA2E8E"/>
    <w:rsid w:val="00AA3B36"/>
    <w:rsid w:val="00AA4215"/>
    <w:rsid w:val="00AA4571"/>
    <w:rsid w:val="00AA5B9A"/>
    <w:rsid w:val="00AA5F6D"/>
    <w:rsid w:val="00AA7A3B"/>
    <w:rsid w:val="00AB190D"/>
    <w:rsid w:val="00AB2BBD"/>
    <w:rsid w:val="00AB2EE6"/>
    <w:rsid w:val="00AB343B"/>
    <w:rsid w:val="00AB3475"/>
    <w:rsid w:val="00AB5BEA"/>
    <w:rsid w:val="00AB716F"/>
    <w:rsid w:val="00AB7901"/>
    <w:rsid w:val="00AC2549"/>
    <w:rsid w:val="00AC302F"/>
    <w:rsid w:val="00AC39E9"/>
    <w:rsid w:val="00AC5F03"/>
    <w:rsid w:val="00AC7236"/>
    <w:rsid w:val="00AD0A13"/>
    <w:rsid w:val="00AD117A"/>
    <w:rsid w:val="00AD17DC"/>
    <w:rsid w:val="00AD1949"/>
    <w:rsid w:val="00AD3C64"/>
    <w:rsid w:val="00AD6F54"/>
    <w:rsid w:val="00AE140B"/>
    <w:rsid w:val="00AE2826"/>
    <w:rsid w:val="00AE4171"/>
    <w:rsid w:val="00AE4CDE"/>
    <w:rsid w:val="00AE4F72"/>
    <w:rsid w:val="00AE52E4"/>
    <w:rsid w:val="00AE5E55"/>
    <w:rsid w:val="00AE7B16"/>
    <w:rsid w:val="00AF0710"/>
    <w:rsid w:val="00AF1122"/>
    <w:rsid w:val="00AF4A40"/>
    <w:rsid w:val="00AF6414"/>
    <w:rsid w:val="00AF6699"/>
    <w:rsid w:val="00AF7CF5"/>
    <w:rsid w:val="00B002DE"/>
    <w:rsid w:val="00B008C3"/>
    <w:rsid w:val="00B0093F"/>
    <w:rsid w:val="00B01AE7"/>
    <w:rsid w:val="00B01D02"/>
    <w:rsid w:val="00B02173"/>
    <w:rsid w:val="00B0286C"/>
    <w:rsid w:val="00B060EE"/>
    <w:rsid w:val="00B06D07"/>
    <w:rsid w:val="00B073B1"/>
    <w:rsid w:val="00B073D2"/>
    <w:rsid w:val="00B10000"/>
    <w:rsid w:val="00B10B58"/>
    <w:rsid w:val="00B119A8"/>
    <w:rsid w:val="00B11B9B"/>
    <w:rsid w:val="00B128A0"/>
    <w:rsid w:val="00B21106"/>
    <w:rsid w:val="00B2113E"/>
    <w:rsid w:val="00B21723"/>
    <w:rsid w:val="00B222C6"/>
    <w:rsid w:val="00B23531"/>
    <w:rsid w:val="00B23AFD"/>
    <w:rsid w:val="00B23ECE"/>
    <w:rsid w:val="00B24DE3"/>
    <w:rsid w:val="00B251D9"/>
    <w:rsid w:val="00B258AC"/>
    <w:rsid w:val="00B25A12"/>
    <w:rsid w:val="00B324EC"/>
    <w:rsid w:val="00B33B77"/>
    <w:rsid w:val="00B340D8"/>
    <w:rsid w:val="00B3474F"/>
    <w:rsid w:val="00B37483"/>
    <w:rsid w:val="00B379FB"/>
    <w:rsid w:val="00B40501"/>
    <w:rsid w:val="00B40A4E"/>
    <w:rsid w:val="00B40F4C"/>
    <w:rsid w:val="00B41052"/>
    <w:rsid w:val="00B4198E"/>
    <w:rsid w:val="00B43A18"/>
    <w:rsid w:val="00B43D7E"/>
    <w:rsid w:val="00B448E4"/>
    <w:rsid w:val="00B46A66"/>
    <w:rsid w:val="00B47819"/>
    <w:rsid w:val="00B506C7"/>
    <w:rsid w:val="00B5286A"/>
    <w:rsid w:val="00B52D04"/>
    <w:rsid w:val="00B53EC5"/>
    <w:rsid w:val="00B55DAD"/>
    <w:rsid w:val="00B55E8D"/>
    <w:rsid w:val="00B5634D"/>
    <w:rsid w:val="00B57F6A"/>
    <w:rsid w:val="00B60BAD"/>
    <w:rsid w:val="00B610A4"/>
    <w:rsid w:val="00B61F72"/>
    <w:rsid w:val="00B623F6"/>
    <w:rsid w:val="00B63C2F"/>
    <w:rsid w:val="00B660E1"/>
    <w:rsid w:val="00B70374"/>
    <w:rsid w:val="00B72C79"/>
    <w:rsid w:val="00B7528C"/>
    <w:rsid w:val="00B75AA1"/>
    <w:rsid w:val="00B7747F"/>
    <w:rsid w:val="00B775C9"/>
    <w:rsid w:val="00B804E3"/>
    <w:rsid w:val="00B8082C"/>
    <w:rsid w:val="00B80D2F"/>
    <w:rsid w:val="00B815CC"/>
    <w:rsid w:val="00B824C6"/>
    <w:rsid w:val="00B833E3"/>
    <w:rsid w:val="00B8355A"/>
    <w:rsid w:val="00B848B5"/>
    <w:rsid w:val="00B90022"/>
    <w:rsid w:val="00B909E5"/>
    <w:rsid w:val="00B91211"/>
    <w:rsid w:val="00B912F0"/>
    <w:rsid w:val="00B93D7C"/>
    <w:rsid w:val="00B9628C"/>
    <w:rsid w:val="00B96BF0"/>
    <w:rsid w:val="00B970ED"/>
    <w:rsid w:val="00BA162F"/>
    <w:rsid w:val="00BA1EA1"/>
    <w:rsid w:val="00BA2D09"/>
    <w:rsid w:val="00BA37E9"/>
    <w:rsid w:val="00BA477B"/>
    <w:rsid w:val="00BA48CD"/>
    <w:rsid w:val="00BA4EFC"/>
    <w:rsid w:val="00BA652E"/>
    <w:rsid w:val="00BA6F35"/>
    <w:rsid w:val="00BA7445"/>
    <w:rsid w:val="00BA7AB5"/>
    <w:rsid w:val="00BB0A06"/>
    <w:rsid w:val="00BB12F9"/>
    <w:rsid w:val="00BB1AA8"/>
    <w:rsid w:val="00BB3AB9"/>
    <w:rsid w:val="00BB42FB"/>
    <w:rsid w:val="00BB73B1"/>
    <w:rsid w:val="00BC1900"/>
    <w:rsid w:val="00BC1D14"/>
    <w:rsid w:val="00BC1D34"/>
    <w:rsid w:val="00BC2B84"/>
    <w:rsid w:val="00BC3D40"/>
    <w:rsid w:val="00BC4135"/>
    <w:rsid w:val="00BC4C1F"/>
    <w:rsid w:val="00BC5BC3"/>
    <w:rsid w:val="00BC5F51"/>
    <w:rsid w:val="00BC68EA"/>
    <w:rsid w:val="00BD256F"/>
    <w:rsid w:val="00BD578C"/>
    <w:rsid w:val="00BD6746"/>
    <w:rsid w:val="00BD7CEA"/>
    <w:rsid w:val="00BE0162"/>
    <w:rsid w:val="00BE072E"/>
    <w:rsid w:val="00BE269F"/>
    <w:rsid w:val="00BE309A"/>
    <w:rsid w:val="00BE3519"/>
    <w:rsid w:val="00BE45B4"/>
    <w:rsid w:val="00BE6163"/>
    <w:rsid w:val="00BE7059"/>
    <w:rsid w:val="00BE7BFB"/>
    <w:rsid w:val="00BE7FFE"/>
    <w:rsid w:val="00BF0607"/>
    <w:rsid w:val="00BF1BED"/>
    <w:rsid w:val="00BF1D1B"/>
    <w:rsid w:val="00BF1D4A"/>
    <w:rsid w:val="00BF25D5"/>
    <w:rsid w:val="00BF3296"/>
    <w:rsid w:val="00BF3FBA"/>
    <w:rsid w:val="00BF4434"/>
    <w:rsid w:val="00BF574B"/>
    <w:rsid w:val="00BF5B40"/>
    <w:rsid w:val="00BF73E3"/>
    <w:rsid w:val="00BF76C9"/>
    <w:rsid w:val="00C0082A"/>
    <w:rsid w:val="00C01BB0"/>
    <w:rsid w:val="00C03B79"/>
    <w:rsid w:val="00C06379"/>
    <w:rsid w:val="00C06F9E"/>
    <w:rsid w:val="00C073DC"/>
    <w:rsid w:val="00C10ED5"/>
    <w:rsid w:val="00C1140A"/>
    <w:rsid w:val="00C114A2"/>
    <w:rsid w:val="00C1208F"/>
    <w:rsid w:val="00C120F7"/>
    <w:rsid w:val="00C12517"/>
    <w:rsid w:val="00C12FBC"/>
    <w:rsid w:val="00C13E18"/>
    <w:rsid w:val="00C151C5"/>
    <w:rsid w:val="00C159AA"/>
    <w:rsid w:val="00C16014"/>
    <w:rsid w:val="00C16315"/>
    <w:rsid w:val="00C170FE"/>
    <w:rsid w:val="00C20DB8"/>
    <w:rsid w:val="00C228D7"/>
    <w:rsid w:val="00C23355"/>
    <w:rsid w:val="00C23492"/>
    <w:rsid w:val="00C2390D"/>
    <w:rsid w:val="00C24ED5"/>
    <w:rsid w:val="00C25149"/>
    <w:rsid w:val="00C2521B"/>
    <w:rsid w:val="00C25CD9"/>
    <w:rsid w:val="00C266C4"/>
    <w:rsid w:val="00C30285"/>
    <w:rsid w:val="00C31998"/>
    <w:rsid w:val="00C320FA"/>
    <w:rsid w:val="00C32C80"/>
    <w:rsid w:val="00C32E62"/>
    <w:rsid w:val="00C3464C"/>
    <w:rsid w:val="00C35B68"/>
    <w:rsid w:val="00C36315"/>
    <w:rsid w:val="00C36B34"/>
    <w:rsid w:val="00C36F69"/>
    <w:rsid w:val="00C37355"/>
    <w:rsid w:val="00C37AAD"/>
    <w:rsid w:val="00C41839"/>
    <w:rsid w:val="00C45960"/>
    <w:rsid w:val="00C46016"/>
    <w:rsid w:val="00C46B96"/>
    <w:rsid w:val="00C47D19"/>
    <w:rsid w:val="00C5104B"/>
    <w:rsid w:val="00C52543"/>
    <w:rsid w:val="00C538B2"/>
    <w:rsid w:val="00C53EDE"/>
    <w:rsid w:val="00C546B3"/>
    <w:rsid w:val="00C54B37"/>
    <w:rsid w:val="00C54BF4"/>
    <w:rsid w:val="00C55CA3"/>
    <w:rsid w:val="00C56873"/>
    <w:rsid w:val="00C57171"/>
    <w:rsid w:val="00C57411"/>
    <w:rsid w:val="00C5798B"/>
    <w:rsid w:val="00C60B0D"/>
    <w:rsid w:val="00C62B15"/>
    <w:rsid w:val="00C6448F"/>
    <w:rsid w:val="00C648C5"/>
    <w:rsid w:val="00C64DDD"/>
    <w:rsid w:val="00C67F84"/>
    <w:rsid w:val="00C712CF"/>
    <w:rsid w:val="00C71665"/>
    <w:rsid w:val="00C724DD"/>
    <w:rsid w:val="00C72B93"/>
    <w:rsid w:val="00C75DE3"/>
    <w:rsid w:val="00C76F54"/>
    <w:rsid w:val="00C770FC"/>
    <w:rsid w:val="00C77346"/>
    <w:rsid w:val="00C77C22"/>
    <w:rsid w:val="00C806CE"/>
    <w:rsid w:val="00C82C6A"/>
    <w:rsid w:val="00C830A1"/>
    <w:rsid w:val="00C85043"/>
    <w:rsid w:val="00C85702"/>
    <w:rsid w:val="00C85947"/>
    <w:rsid w:val="00C86EC6"/>
    <w:rsid w:val="00C871C5"/>
    <w:rsid w:val="00C908C8"/>
    <w:rsid w:val="00C91959"/>
    <w:rsid w:val="00C9282A"/>
    <w:rsid w:val="00C949B8"/>
    <w:rsid w:val="00C95780"/>
    <w:rsid w:val="00C96AF7"/>
    <w:rsid w:val="00C96E70"/>
    <w:rsid w:val="00CA0DC2"/>
    <w:rsid w:val="00CA1F51"/>
    <w:rsid w:val="00CA2DBF"/>
    <w:rsid w:val="00CA313D"/>
    <w:rsid w:val="00CA4E6A"/>
    <w:rsid w:val="00CA55EC"/>
    <w:rsid w:val="00CA630D"/>
    <w:rsid w:val="00CA744D"/>
    <w:rsid w:val="00CB30DB"/>
    <w:rsid w:val="00CB4C33"/>
    <w:rsid w:val="00CB7416"/>
    <w:rsid w:val="00CB7E48"/>
    <w:rsid w:val="00CC0CCE"/>
    <w:rsid w:val="00CC32B1"/>
    <w:rsid w:val="00CC5CF9"/>
    <w:rsid w:val="00CC6551"/>
    <w:rsid w:val="00CD0735"/>
    <w:rsid w:val="00CD0F1F"/>
    <w:rsid w:val="00CD2F8C"/>
    <w:rsid w:val="00CD3D3F"/>
    <w:rsid w:val="00CD3E28"/>
    <w:rsid w:val="00CD47FC"/>
    <w:rsid w:val="00CD4977"/>
    <w:rsid w:val="00CD55DD"/>
    <w:rsid w:val="00CE0FA1"/>
    <w:rsid w:val="00CE3866"/>
    <w:rsid w:val="00CE5E2A"/>
    <w:rsid w:val="00CE65F5"/>
    <w:rsid w:val="00CE78EA"/>
    <w:rsid w:val="00CF0472"/>
    <w:rsid w:val="00CF0B9B"/>
    <w:rsid w:val="00CF0E73"/>
    <w:rsid w:val="00CF2211"/>
    <w:rsid w:val="00CF29CB"/>
    <w:rsid w:val="00CF3096"/>
    <w:rsid w:val="00CF40D9"/>
    <w:rsid w:val="00CF5943"/>
    <w:rsid w:val="00CF6605"/>
    <w:rsid w:val="00CF79EF"/>
    <w:rsid w:val="00CF7AC0"/>
    <w:rsid w:val="00D0060B"/>
    <w:rsid w:val="00D019E8"/>
    <w:rsid w:val="00D01C62"/>
    <w:rsid w:val="00D02FD4"/>
    <w:rsid w:val="00D05991"/>
    <w:rsid w:val="00D061FD"/>
    <w:rsid w:val="00D064E1"/>
    <w:rsid w:val="00D107D2"/>
    <w:rsid w:val="00D11580"/>
    <w:rsid w:val="00D11E09"/>
    <w:rsid w:val="00D12689"/>
    <w:rsid w:val="00D126BD"/>
    <w:rsid w:val="00D131CE"/>
    <w:rsid w:val="00D141EF"/>
    <w:rsid w:val="00D1445D"/>
    <w:rsid w:val="00D1554C"/>
    <w:rsid w:val="00D157AF"/>
    <w:rsid w:val="00D15803"/>
    <w:rsid w:val="00D16E4A"/>
    <w:rsid w:val="00D20013"/>
    <w:rsid w:val="00D20DC5"/>
    <w:rsid w:val="00D22CE1"/>
    <w:rsid w:val="00D314A7"/>
    <w:rsid w:val="00D316FC"/>
    <w:rsid w:val="00D31ADE"/>
    <w:rsid w:val="00D31AF2"/>
    <w:rsid w:val="00D332E0"/>
    <w:rsid w:val="00D3510C"/>
    <w:rsid w:val="00D35577"/>
    <w:rsid w:val="00D40869"/>
    <w:rsid w:val="00D41337"/>
    <w:rsid w:val="00D41744"/>
    <w:rsid w:val="00D41DED"/>
    <w:rsid w:val="00D41E9E"/>
    <w:rsid w:val="00D42DF4"/>
    <w:rsid w:val="00D44A82"/>
    <w:rsid w:val="00D45D3D"/>
    <w:rsid w:val="00D46067"/>
    <w:rsid w:val="00D46DFA"/>
    <w:rsid w:val="00D474AF"/>
    <w:rsid w:val="00D47E17"/>
    <w:rsid w:val="00D51365"/>
    <w:rsid w:val="00D51E71"/>
    <w:rsid w:val="00D52696"/>
    <w:rsid w:val="00D607FE"/>
    <w:rsid w:val="00D624ED"/>
    <w:rsid w:val="00D6250A"/>
    <w:rsid w:val="00D62816"/>
    <w:rsid w:val="00D63237"/>
    <w:rsid w:val="00D63715"/>
    <w:rsid w:val="00D63D2F"/>
    <w:rsid w:val="00D6454E"/>
    <w:rsid w:val="00D64B9F"/>
    <w:rsid w:val="00D6607E"/>
    <w:rsid w:val="00D6728D"/>
    <w:rsid w:val="00D7172F"/>
    <w:rsid w:val="00D71B07"/>
    <w:rsid w:val="00D739F0"/>
    <w:rsid w:val="00D75378"/>
    <w:rsid w:val="00D76B17"/>
    <w:rsid w:val="00D76F2E"/>
    <w:rsid w:val="00D77152"/>
    <w:rsid w:val="00D82D2F"/>
    <w:rsid w:val="00D841D9"/>
    <w:rsid w:val="00D85D13"/>
    <w:rsid w:val="00D8654F"/>
    <w:rsid w:val="00D86CC0"/>
    <w:rsid w:val="00D91043"/>
    <w:rsid w:val="00D9284F"/>
    <w:rsid w:val="00D94810"/>
    <w:rsid w:val="00D966D4"/>
    <w:rsid w:val="00D9680E"/>
    <w:rsid w:val="00D97DF6"/>
    <w:rsid w:val="00DA0821"/>
    <w:rsid w:val="00DA12D2"/>
    <w:rsid w:val="00DA2405"/>
    <w:rsid w:val="00DA3920"/>
    <w:rsid w:val="00DA3E5A"/>
    <w:rsid w:val="00DA3E71"/>
    <w:rsid w:val="00DA4FB1"/>
    <w:rsid w:val="00DA5127"/>
    <w:rsid w:val="00DA5D60"/>
    <w:rsid w:val="00DA6D74"/>
    <w:rsid w:val="00DB20B2"/>
    <w:rsid w:val="00DB3554"/>
    <w:rsid w:val="00DB3B8F"/>
    <w:rsid w:val="00DB498E"/>
    <w:rsid w:val="00DB4F9C"/>
    <w:rsid w:val="00DB581E"/>
    <w:rsid w:val="00DB59ED"/>
    <w:rsid w:val="00DB5A08"/>
    <w:rsid w:val="00DB6183"/>
    <w:rsid w:val="00DB624A"/>
    <w:rsid w:val="00DC0548"/>
    <w:rsid w:val="00DC2331"/>
    <w:rsid w:val="00DC2B43"/>
    <w:rsid w:val="00DC355F"/>
    <w:rsid w:val="00DC4043"/>
    <w:rsid w:val="00DC5091"/>
    <w:rsid w:val="00DC7A7C"/>
    <w:rsid w:val="00DC7E11"/>
    <w:rsid w:val="00DD08B4"/>
    <w:rsid w:val="00DD0993"/>
    <w:rsid w:val="00DD1252"/>
    <w:rsid w:val="00DD374C"/>
    <w:rsid w:val="00DD544C"/>
    <w:rsid w:val="00DD59EA"/>
    <w:rsid w:val="00DD5BCC"/>
    <w:rsid w:val="00DD65E5"/>
    <w:rsid w:val="00DD6D80"/>
    <w:rsid w:val="00DD6E12"/>
    <w:rsid w:val="00DD767D"/>
    <w:rsid w:val="00DD7B3A"/>
    <w:rsid w:val="00DE0C1C"/>
    <w:rsid w:val="00DE0E22"/>
    <w:rsid w:val="00DE10BB"/>
    <w:rsid w:val="00DE19EE"/>
    <w:rsid w:val="00DE1B93"/>
    <w:rsid w:val="00DE3F62"/>
    <w:rsid w:val="00DE4147"/>
    <w:rsid w:val="00DE45FA"/>
    <w:rsid w:val="00DE4615"/>
    <w:rsid w:val="00DE4857"/>
    <w:rsid w:val="00DE660F"/>
    <w:rsid w:val="00DF0105"/>
    <w:rsid w:val="00DF598C"/>
    <w:rsid w:val="00DF5AEF"/>
    <w:rsid w:val="00DF65D1"/>
    <w:rsid w:val="00DF6C4C"/>
    <w:rsid w:val="00E00E65"/>
    <w:rsid w:val="00E03390"/>
    <w:rsid w:val="00E03399"/>
    <w:rsid w:val="00E046D7"/>
    <w:rsid w:val="00E05FC2"/>
    <w:rsid w:val="00E063AE"/>
    <w:rsid w:val="00E067C9"/>
    <w:rsid w:val="00E0701A"/>
    <w:rsid w:val="00E0792A"/>
    <w:rsid w:val="00E07D71"/>
    <w:rsid w:val="00E111AA"/>
    <w:rsid w:val="00E12F97"/>
    <w:rsid w:val="00E1399D"/>
    <w:rsid w:val="00E1460F"/>
    <w:rsid w:val="00E16BE9"/>
    <w:rsid w:val="00E171CD"/>
    <w:rsid w:val="00E177FC"/>
    <w:rsid w:val="00E20CCA"/>
    <w:rsid w:val="00E21D65"/>
    <w:rsid w:val="00E2212F"/>
    <w:rsid w:val="00E227B5"/>
    <w:rsid w:val="00E22A18"/>
    <w:rsid w:val="00E2491E"/>
    <w:rsid w:val="00E24AD6"/>
    <w:rsid w:val="00E24B70"/>
    <w:rsid w:val="00E26177"/>
    <w:rsid w:val="00E26408"/>
    <w:rsid w:val="00E27C43"/>
    <w:rsid w:val="00E30982"/>
    <w:rsid w:val="00E30D55"/>
    <w:rsid w:val="00E3151F"/>
    <w:rsid w:val="00E31708"/>
    <w:rsid w:val="00E31810"/>
    <w:rsid w:val="00E33130"/>
    <w:rsid w:val="00E34353"/>
    <w:rsid w:val="00E349F2"/>
    <w:rsid w:val="00E35BB7"/>
    <w:rsid w:val="00E37953"/>
    <w:rsid w:val="00E407B5"/>
    <w:rsid w:val="00E414EB"/>
    <w:rsid w:val="00E42CDF"/>
    <w:rsid w:val="00E43271"/>
    <w:rsid w:val="00E44AA2"/>
    <w:rsid w:val="00E4515C"/>
    <w:rsid w:val="00E46374"/>
    <w:rsid w:val="00E4735B"/>
    <w:rsid w:val="00E4760A"/>
    <w:rsid w:val="00E47648"/>
    <w:rsid w:val="00E50F2C"/>
    <w:rsid w:val="00E52127"/>
    <w:rsid w:val="00E52F16"/>
    <w:rsid w:val="00E57270"/>
    <w:rsid w:val="00E5746D"/>
    <w:rsid w:val="00E57B1F"/>
    <w:rsid w:val="00E61A08"/>
    <w:rsid w:val="00E62262"/>
    <w:rsid w:val="00E63677"/>
    <w:rsid w:val="00E63DE4"/>
    <w:rsid w:val="00E6768D"/>
    <w:rsid w:val="00E67CD0"/>
    <w:rsid w:val="00E70930"/>
    <w:rsid w:val="00E712CF"/>
    <w:rsid w:val="00E72BAA"/>
    <w:rsid w:val="00E73A63"/>
    <w:rsid w:val="00E75E0C"/>
    <w:rsid w:val="00E76CA4"/>
    <w:rsid w:val="00E77371"/>
    <w:rsid w:val="00E77CC1"/>
    <w:rsid w:val="00E8084C"/>
    <w:rsid w:val="00E82141"/>
    <w:rsid w:val="00E82185"/>
    <w:rsid w:val="00E8274F"/>
    <w:rsid w:val="00E83ED5"/>
    <w:rsid w:val="00E84E3B"/>
    <w:rsid w:val="00E87D79"/>
    <w:rsid w:val="00E916C8"/>
    <w:rsid w:val="00E92143"/>
    <w:rsid w:val="00E9265E"/>
    <w:rsid w:val="00E927EE"/>
    <w:rsid w:val="00E92EDC"/>
    <w:rsid w:val="00E94744"/>
    <w:rsid w:val="00EA1B6A"/>
    <w:rsid w:val="00EA52CD"/>
    <w:rsid w:val="00EA6D45"/>
    <w:rsid w:val="00EA7EC1"/>
    <w:rsid w:val="00EB1321"/>
    <w:rsid w:val="00EB2AB5"/>
    <w:rsid w:val="00EB3503"/>
    <w:rsid w:val="00EC391E"/>
    <w:rsid w:val="00EC39D8"/>
    <w:rsid w:val="00EC4D9F"/>
    <w:rsid w:val="00EC5E6D"/>
    <w:rsid w:val="00EC7ECD"/>
    <w:rsid w:val="00ED348B"/>
    <w:rsid w:val="00ED3E72"/>
    <w:rsid w:val="00ED5469"/>
    <w:rsid w:val="00ED61A8"/>
    <w:rsid w:val="00EE17F2"/>
    <w:rsid w:val="00EE1879"/>
    <w:rsid w:val="00EE2342"/>
    <w:rsid w:val="00EE3A17"/>
    <w:rsid w:val="00EE42C0"/>
    <w:rsid w:val="00EE54AB"/>
    <w:rsid w:val="00EE5CD2"/>
    <w:rsid w:val="00EE7268"/>
    <w:rsid w:val="00EF10E1"/>
    <w:rsid w:val="00EF141F"/>
    <w:rsid w:val="00EF2FFF"/>
    <w:rsid w:val="00EF3533"/>
    <w:rsid w:val="00EF3C69"/>
    <w:rsid w:val="00EF41D0"/>
    <w:rsid w:val="00EF4281"/>
    <w:rsid w:val="00EF4FDD"/>
    <w:rsid w:val="00EF68A4"/>
    <w:rsid w:val="00EF7D86"/>
    <w:rsid w:val="00F00ADE"/>
    <w:rsid w:val="00F10C34"/>
    <w:rsid w:val="00F11449"/>
    <w:rsid w:val="00F1216D"/>
    <w:rsid w:val="00F12333"/>
    <w:rsid w:val="00F125EC"/>
    <w:rsid w:val="00F1273A"/>
    <w:rsid w:val="00F13006"/>
    <w:rsid w:val="00F13965"/>
    <w:rsid w:val="00F1462E"/>
    <w:rsid w:val="00F1576D"/>
    <w:rsid w:val="00F15CAC"/>
    <w:rsid w:val="00F16DB8"/>
    <w:rsid w:val="00F174A1"/>
    <w:rsid w:val="00F17B15"/>
    <w:rsid w:val="00F200FD"/>
    <w:rsid w:val="00F20597"/>
    <w:rsid w:val="00F21566"/>
    <w:rsid w:val="00F21D5C"/>
    <w:rsid w:val="00F23098"/>
    <w:rsid w:val="00F23275"/>
    <w:rsid w:val="00F23C63"/>
    <w:rsid w:val="00F24C0D"/>
    <w:rsid w:val="00F25274"/>
    <w:rsid w:val="00F26711"/>
    <w:rsid w:val="00F30959"/>
    <w:rsid w:val="00F30DBA"/>
    <w:rsid w:val="00F30E34"/>
    <w:rsid w:val="00F31B30"/>
    <w:rsid w:val="00F32400"/>
    <w:rsid w:val="00F35A5F"/>
    <w:rsid w:val="00F374F0"/>
    <w:rsid w:val="00F40F37"/>
    <w:rsid w:val="00F40F8E"/>
    <w:rsid w:val="00F41417"/>
    <w:rsid w:val="00F42EE0"/>
    <w:rsid w:val="00F43105"/>
    <w:rsid w:val="00F43714"/>
    <w:rsid w:val="00F440F8"/>
    <w:rsid w:val="00F44B18"/>
    <w:rsid w:val="00F45F2E"/>
    <w:rsid w:val="00F47881"/>
    <w:rsid w:val="00F47D01"/>
    <w:rsid w:val="00F50A2C"/>
    <w:rsid w:val="00F50B42"/>
    <w:rsid w:val="00F52965"/>
    <w:rsid w:val="00F53358"/>
    <w:rsid w:val="00F53602"/>
    <w:rsid w:val="00F611D9"/>
    <w:rsid w:val="00F62D0B"/>
    <w:rsid w:val="00F62E79"/>
    <w:rsid w:val="00F64432"/>
    <w:rsid w:val="00F64483"/>
    <w:rsid w:val="00F64AE7"/>
    <w:rsid w:val="00F65C0B"/>
    <w:rsid w:val="00F66053"/>
    <w:rsid w:val="00F666C5"/>
    <w:rsid w:val="00F668F9"/>
    <w:rsid w:val="00F66F28"/>
    <w:rsid w:val="00F70F53"/>
    <w:rsid w:val="00F811A2"/>
    <w:rsid w:val="00F829AD"/>
    <w:rsid w:val="00F82F25"/>
    <w:rsid w:val="00F8376F"/>
    <w:rsid w:val="00F837E7"/>
    <w:rsid w:val="00F83DBC"/>
    <w:rsid w:val="00F84D7C"/>
    <w:rsid w:val="00F84E0E"/>
    <w:rsid w:val="00F86582"/>
    <w:rsid w:val="00F920FC"/>
    <w:rsid w:val="00F92A99"/>
    <w:rsid w:val="00F92BA5"/>
    <w:rsid w:val="00F94C9B"/>
    <w:rsid w:val="00F96CBD"/>
    <w:rsid w:val="00F97C33"/>
    <w:rsid w:val="00FA00F1"/>
    <w:rsid w:val="00FA0644"/>
    <w:rsid w:val="00FA0C1D"/>
    <w:rsid w:val="00FA1454"/>
    <w:rsid w:val="00FA20AF"/>
    <w:rsid w:val="00FA3C1C"/>
    <w:rsid w:val="00FA4BCC"/>
    <w:rsid w:val="00FA6091"/>
    <w:rsid w:val="00FA71A2"/>
    <w:rsid w:val="00FA7C3E"/>
    <w:rsid w:val="00FB12BA"/>
    <w:rsid w:val="00FB3268"/>
    <w:rsid w:val="00FB4BA6"/>
    <w:rsid w:val="00FB50F4"/>
    <w:rsid w:val="00FB51CA"/>
    <w:rsid w:val="00FB544C"/>
    <w:rsid w:val="00FB63F0"/>
    <w:rsid w:val="00FB6CE3"/>
    <w:rsid w:val="00FC00DC"/>
    <w:rsid w:val="00FC059C"/>
    <w:rsid w:val="00FC26AA"/>
    <w:rsid w:val="00FC3D18"/>
    <w:rsid w:val="00FC4393"/>
    <w:rsid w:val="00FC4598"/>
    <w:rsid w:val="00FC4C70"/>
    <w:rsid w:val="00FC5C4E"/>
    <w:rsid w:val="00FC6836"/>
    <w:rsid w:val="00FC7DBB"/>
    <w:rsid w:val="00FD10D4"/>
    <w:rsid w:val="00FD1230"/>
    <w:rsid w:val="00FD2A05"/>
    <w:rsid w:val="00FD4C1C"/>
    <w:rsid w:val="00FD5143"/>
    <w:rsid w:val="00FD6CBA"/>
    <w:rsid w:val="00FD6D0E"/>
    <w:rsid w:val="00FD79E3"/>
    <w:rsid w:val="00FD7DF9"/>
    <w:rsid w:val="00FD7EC8"/>
    <w:rsid w:val="00FE116C"/>
    <w:rsid w:val="00FE12DC"/>
    <w:rsid w:val="00FE1678"/>
    <w:rsid w:val="00FE1C55"/>
    <w:rsid w:val="00FE2F05"/>
    <w:rsid w:val="00FE3AEE"/>
    <w:rsid w:val="00FE4443"/>
    <w:rsid w:val="00FE4CB6"/>
    <w:rsid w:val="00FE4E85"/>
    <w:rsid w:val="00FE561C"/>
    <w:rsid w:val="00FE5BC1"/>
    <w:rsid w:val="00FE794E"/>
    <w:rsid w:val="00FF08F2"/>
    <w:rsid w:val="00FF16C4"/>
    <w:rsid w:val="00FF262B"/>
    <w:rsid w:val="00FF2F3E"/>
    <w:rsid w:val="00FF4617"/>
    <w:rsid w:val="00FF76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0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0000"/>
    <w:rPr>
      <w:sz w:val="18"/>
      <w:szCs w:val="18"/>
    </w:rPr>
  </w:style>
  <w:style w:type="paragraph" w:styleId="a4">
    <w:name w:val="footer"/>
    <w:basedOn w:val="a"/>
    <w:link w:val="Char0"/>
    <w:uiPriority w:val="99"/>
    <w:unhideWhenUsed/>
    <w:rsid w:val="00B10000"/>
    <w:pPr>
      <w:tabs>
        <w:tab w:val="center" w:pos="4153"/>
        <w:tab w:val="right" w:pos="8306"/>
      </w:tabs>
      <w:snapToGrid w:val="0"/>
      <w:jc w:val="left"/>
    </w:pPr>
    <w:rPr>
      <w:sz w:val="18"/>
      <w:szCs w:val="18"/>
    </w:rPr>
  </w:style>
  <w:style w:type="character" w:customStyle="1" w:styleId="Char0">
    <w:name w:val="页脚 Char"/>
    <w:basedOn w:val="a0"/>
    <w:link w:val="a4"/>
    <w:uiPriority w:val="99"/>
    <w:rsid w:val="00B10000"/>
    <w:rPr>
      <w:sz w:val="18"/>
      <w:szCs w:val="18"/>
    </w:rPr>
  </w:style>
  <w:style w:type="paragraph" w:customStyle="1" w:styleId="a5">
    <w:name w:val="页眉报告名称"/>
    <w:link w:val="Char1"/>
    <w:autoRedefine/>
    <w:qFormat/>
    <w:rsid w:val="00B10000"/>
    <w:pPr>
      <w:spacing w:afterLines="100" w:line="240" w:lineRule="exact"/>
      <w:jc w:val="both"/>
    </w:pPr>
    <w:rPr>
      <w:rFonts w:ascii="Calibri" w:eastAsia="华文新魏" w:hAnsi="Calibri" w:cs="Times New Roman"/>
      <w:sz w:val="24"/>
    </w:rPr>
  </w:style>
  <w:style w:type="character" w:customStyle="1" w:styleId="Char1">
    <w:name w:val="页眉报告名称 Char"/>
    <w:basedOn w:val="a0"/>
    <w:link w:val="a5"/>
    <w:rsid w:val="00B10000"/>
    <w:rPr>
      <w:rFonts w:ascii="Calibri" w:eastAsia="华文新魏" w:hAnsi="Calibri" w:cs="Times New Roman"/>
      <w:sz w:val="24"/>
    </w:rPr>
  </w:style>
  <w:style w:type="paragraph" w:customStyle="1" w:styleId="a6">
    <w:name w:val="页眉图片"/>
    <w:basedOn w:val="a3"/>
    <w:link w:val="Char2"/>
    <w:qFormat/>
    <w:rsid w:val="00B10000"/>
    <w:pPr>
      <w:pBdr>
        <w:bottom w:val="none" w:sz="0" w:space="0" w:color="auto"/>
      </w:pBdr>
      <w:tabs>
        <w:tab w:val="clear" w:pos="4153"/>
        <w:tab w:val="clear" w:pos="8306"/>
        <w:tab w:val="right" w:pos="11424"/>
      </w:tabs>
      <w:jc w:val="left"/>
    </w:pPr>
    <w:rPr>
      <w:rFonts w:ascii="Calibri" w:eastAsia="宋体" w:hAnsi="Calibri" w:cs="Times New Roman"/>
      <w:noProof/>
    </w:rPr>
  </w:style>
  <w:style w:type="character" w:customStyle="1" w:styleId="Char2">
    <w:name w:val="页眉图片 Char"/>
    <w:basedOn w:val="Char"/>
    <w:link w:val="a6"/>
    <w:rsid w:val="00B10000"/>
    <w:rPr>
      <w:rFonts w:ascii="Calibri" w:eastAsia="宋体" w:hAnsi="Calibri" w:cs="Times New Roman"/>
      <w:noProof/>
    </w:rPr>
  </w:style>
  <w:style w:type="paragraph" w:customStyle="1" w:styleId="a7">
    <w:name w:val="页眉处日期"/>
    <w:basedOn w:val="a"/>
    <w:link w:val="Char3"/>
    <w:qFormat/>
    <w:rsid w:val="00B10000"/>
    <w:pPr>
      <w:tabs>
        <w:tab w:val="right" w:pos="11424"/>
      </w:tabs>
      <w:snapToGrid w:val="0"/>
      <w:jc w:val="left"/>
    </w:pPr>
    <w:rPr>
      <w:rFonts w:ascii="华文隶书" w:eastAsia="华文隶书" w:hAnsi="Calibri" w:cs="Times New Roman"/>
      <w:b/>
      <w:sz w:val="24"/>
      <w:szCs w:val="24"/>
    </w:rPr>
  </w:style>
  <w:style w:type="paragraph" w:customStyle="1" w:styleId="a8">
    <w:name w:val="页眉副标题"/>
    <w:basedOn w:val="a"/>
    <w:link w:val="Char4"/>
    <w:qFormat/>
    <w:rsid w:val="00B10000"/>
    <w:pPr>
      <w:tabs>
        <w:tab w:val="right" w:pos="11424"/>
      </w:tabs>
      <w:snapToGrid w:val="0"/>
      <w:jc w:val="left"/>
    </w:pPr>
    <w:rPr>
      <w:rFonts w:ascii="华文隶书" w:eastAsia="华文隶书" w:hAnsi="Calibri" w:cs="Times New Roman"/>
      <w:sz w:val="36"/>
      <w:szCs w:val="36"/>
    </w:rPr>
  </w:style>
  <w:style w:type="character" w:customStyle="1" w:styleId="Char3">
    <w:name w:val="页眉处日期 Char"/>
    <w:basedOn w:val="a0"/>
    <w:link w:val="a7"/>
    <w:rsid w:val="00B10000"/>
    <w:rPr>
      <w:rFonts w:ascii="华文隶书" w:eastAsia="华文隶书" w:hAnsi="Calibri" w:cs="Times New Roman"/>
      <w:b/>
      <w:sz w:val="24"/>
      <w:szCs w:val="24"/>
    </w:rPr>
  </w:style>
  <w:style w:type="character" w:customStyle="1" w:styleId="Char4">
    <w:name w:val="页眉副标题 Char"/>
    <w:basedOn w:val="a0"/>
    <w:link w:val="a8"/>
    <w:rsid w:val="00B10000"/>
    <w:rPr>
      <w:rFonts w:ascii="华文隶书" w:eastAsia="华文隶书" w:hAnsi="Calibri" w:cs="Times New Roman"/>
      <w:sz w:val="36"/>
      <w:szCs w:val="36"/>
    </w:rPr>
  </w:style>
  <w:style w:type="paragraph" w:customStyle="1" w:styleId="a9">
    <w:name w:val="页眉的分析师"/>
    <w:basedOn w:val="a"/>
    <w:link w:val="Char5"/>
    <w:qFormat/>
    <w:rsid w:val="00B10000"/>
    <w:pPr>
      <w:tabs>
        <w:tab w:val="right" w:pos="11424"/>
      </w:tabs>
      <w:snapToGrid w:val="0"/>
      <w:spacing w:line="240" w:lineRule="exact"/>
      <w:jc w:val="right"/>
    </w:pPr>
    <w:rPr>
      <w:rFonts w:ascii="华文新魏" w:eastAsia="华文新魏" w:hAnsi="Calibri" w:cs="Times New Roman"/>
      <w:szCs w:val="21"/>
    </w:rPr>
  </w:style>
  <w:style w:type="character" w:customStyle="1" w:styleId="Char5">
    <w:name w:val="页眉的分析师 Char"/>
    <w:basedOn w:val="a0"/>
    <w:link w:val="a9"/>
    <w:rsid w:val="00B10000"/>
    <w:rPr>
      <w:rFonts w:ascii="华文新魏" w:eastAsia="华文新魏" w:hAnsi="Calibri" w:cs="Times New Roman"/>
      <w:szCs w:val="21"/>
    </w:rPr>
  </w:style>
  <w:style w:type="paragraph" w:customStyle="1" w:styleId="12">
    <w:name w:val="页眉12"/>
    <w:basedOn w:val="a3"/>
    <w:link w:val="12Char"/>
    <w:qFormat/>
    <w:rsid w:val="00B10000"/>
    <w:pPr>
      <w:pBdr>
        <w:bottom w:val="none" w:sz="0" w:space="0" w:color="auto"/>
      </w:pBdr>
      <w:tabs>
        <w:tab w:val="clear" w:pos="4153"/>
        <w:tab w:val="clear" w:pos="8306"/>
        <w:tab w:val="right" w:pos="11424"/>
      </w:tabs>
      <w:jc w:val="left"/>
    </w:pPr>
    <w:rPr>
      <w:rFonts w:ascii="Calibri" w:eastAsia="宋体" w:hAnsi="Calibri" w:cs="Times New Roman"/>
    </w:rPr>
  </w:style>
  <w:style w:type="character" w:customStyle="1" w:styleId="12Char">
    <w:name w:val="页眉12 Char"/>
    <w:basedOn w:val="Char"/>
    <w:link w:val="12"/>
    <w:rsid w:val="00B10000"/>
    <w:rPr>
      <w:rFonts w:ascii="Calibri" w:eastAsia="宋体" w:hAnsi="Calibri" w:cs="Times New Roman"/>
    </w:rPr>
  </w:style>
  <w:style w:type="paragraph" w:customStyle="1" w:styleId="2">
    <w:name w:val="页眉副标题2"/>
    <w:basedOn w:val="12"/>
    <w:link w:val="2Char"/>
    <w:qFormat/>
    <w:rsid w:val="00B10000"/>
    <w:pPr>
      <w:jc w:val="right"/>
    </w:pPr>
    <w:rPr>
      <w:rFonts w:ascii="华文隶书" w:eastAsia="华文隶书"/>
      <w:sz w:val="21"/>
      <w:szCs w:val="21"/>
    </w:rPr>
  </w:style>
  <w:style w:type="character" w:customStyle="1" w:styleId="2Char">
    <w:name w:val="页眉副标题2 Char"/>
    <w:basedOn w:val="12Char"/>
    <w:link w:val="2"/>
    <w:rsid w:val="00B10000"/>
    <w:rPr>
      <w:rFonts w:ascii="华文隶书" w:eastAsia="华文隶书"/>
      <w:szCs w:val="21"/>
    </w:rPr>
  </w:style>
  <w:style w:type="paragraph" w:customStyle="1" w:styleId="aa">
    <w:name w:val="特别声明格式"/>
    <w:basedOn w:val="a"/>
    <w:link w:val="Char6"/>
    <w:qFormat/>
    <w:rsid w:val="00B10000"/>
    <w:pPr>
      <w:spacing w:afterLines="100" w:line="240" w:lineRule="exact"/>
    </w:pPr>
    <w:rPr>
      <w:rFonts w:ascii="华文隶书" w:eastAsia="华文隶书" w:hAnsi="Calibri" w:cs="Times New Roman"/>
      <w:sz w:val="28"/>
    </w:rPr>
  </w:style>
  <w:style w:type="character" w:customStyle="1" w:styleId="Char6">
    <w:name w:val="特别声明格式 Char"/>
    <w:basedOn w:val="a0"/>
    <w:link w:val="aa"/>
    <w:rsid w:val="00B10000"/>
    <w:rPr>
      <w:rFonts w:ascii="华文隶书" w:eastAsia="华文隶书" w:hAnsi="Calibri" w:cs="Times New Roman"/>
      <w:sz w:val="28"/>
    </w:rPr>
  </w:style>
  <w:style w:type="paragraph" w:styleId="ab">
    <w:name w:val="Body Text"/>
    <w:basedOn w:val="a"/>
    <w:link w:val="Char7"/>
    <w:rsid w:val="00B10000"/>
    <w:pPr>
      <w:widowControl/>
      <w:spacing w:after="120" w:line="240" w:lineRule="exact"/>
      <w:ind w:left="3402"/>
    </w:pPr>
    <w:rPr>
      <w:rFonts w:ascii="Arial" w:eastAsia="KaiTi_GB2312" w:hAnsi="Arial" w:cs="Times New Roman"/>
      <w:color w:val="000000"/>
      <w:kern w:val="0"/>
      <w:szCs w:val="20"/>
      <w:lang w:val="en-GB"/>
    </w:rPr>
  </w:style>
  <w:style w:type="character" w:customStyle="1" w:styleId="Char7">
    <w:name w:val="正文文本 Char"/>
    <w:basedOn w:val="a0"/>
    <w:link w:val="ab"/>
    <w:rsid w:val="00B10000"/>
    <w:rPr>
      <w:rFonts w:ascii="Arial" w:eastAsia="KaiTi_GB2312" w:hAnsi="Arial" w:cs="Times New Roman"/>
      <w:color w:val="000000"/>
      <w:kern w:val="0"/>
      <w:szCs w:val="20"/>
      <w:lang w:val="en-GB"/>
    </w:rPr>
  </w:style>
  <w:style w:type="paragraph" w:customStyle="1" w:styleId="FootnoteNoline">
    <w:name w:val="FootnoteNoline"/>
    <w:basedOn w:val="a"/>
    <w:next w:val="ab"/>
    <w:rsid w:val="008840A4"/>
    <w:pPr>
      <w:widowControl/>
      <w:tabs>
        <w:tab w:val="right" w:pos="10065"/>
      </w:tabs>
      <w:spacing w:before="40" w:after="160"/>
      <w:ind w:left="3402"/>
    </w:pPr>
    <w:rPr>
      <w:rFonts w:ascii="Arial" w:eastAsia="KaiTi_GB2312" w:hAnsi="Arial" w:cs="Arial"/>
      <w:color w:val="003765"/>
      <w:kern w:val="0"/>
      <w:sz w:val="15"/>
      <w:szCs w:val="14"/>
      <w:lang w:val="en-GB"/>
    </w:rPr>
  </w:style>
  <w:style w:type="paragraph" w:customStyle="1" w:styleId="SubTitleLargeTable">
    <w:name w:val="SubTitleLargeTable"/>
    <w:rsid w:val="008840A4"/>
    <w:pPr>
      <w:keepNext/>
      <w:pBdr>
        <w:top w:val="single" w:sz="6" w:space="1" w:color="666699"/>
      </w:pBdr>
      <w:suppressAutoHyphens/>
      <w:spacing w:after="40" w:line="240" w:lineRule="atLeast"/>
    </w:pPr>
    <w:rPr>
      <w:rFonts w:ascii="Arial" w:eastAsia="KaiTi_GB2312" w:hAnsi="Arial" w:cs="Arial"/>
      <w:b/>
      <w:bCs/>
      <w:i/>
      <w:iCs/>
      <w:color w:val="003765"/>
      <w:kern w:val="0"/>
      <w:szCs w:val="21"/>
      <w:lang w:val="en-GB"/>
    </w:rPr>
  </w:style>
  <w:style w:type="paragraph" w:styleId="ac">
    <w:name w:val="Balloon Text"/>
    <w:basedOn w:val="a"/>
    <w:link w:val="Char8"/>
    <w:uiPriority w:val="99"/>
    <w:semiHidden/>
    <w:unhideWhenUsed/>
    <w:rsid w:val="008840A4"/>
    <w:rPr>
      <w:sz w:val="18"/>
      <w:szCs w:val="18"/>
    </w:rPr>
  </w:style>
  <w:style w:type="character" w:customStyle="1" w:styleId="Char8">
    <w:name w:val="批注框文本 Char"/>
    <w:basedOn w:val="a0"/>
    <w:link w:val="ac"/>
    <w:uiPriority w:val="99"/>
    <w:semiHidden/>
    <w:rsid w:val="008840A4"/>
    <w:rPr>
      <w:sz w:val="18"/>
      <w:szCs w:val="18"/>
    </w:rPr>
  </w:style>
  <w:style w:type="paragraph" w:customStyle="1" w:styleId="CoverBullet">
    <w:name w:val="Cover Bullet"/>
    <w:rsid w:val="008840A4"/>
    <w:pPr>
      <w:numPr>
        <w:numId w:val="3"/>
      </w:numPr>
      <w:spacing w:before="120" w:after="120"/>
      <w:ind w:left="357" w:hanging="357"/>
    </w:pPr>
    <w:rPr>
      <w:rFonts w:ascii="LucidaSans" w:eastAsia="宋体" w:hAnsi="LucidaSans" w:cs="Times New Roman"/>
      <w:b/>
      <w:bCs/>
      <w:kern w:val="0"/>
      <w:sz w:val="20"/>
      <w:szCs w:val="20"/>
      <w:lang w:val="en-GB"/>
    </w:rPr>
  </w:style>
  <w:style w:type="paragraph" w:styleId="ad">
    <w:name w:val="List Paragraph"/>
    <w:basedOn w:val="a"/>
    <w:uiPriority w:val="34"/>
    <w:qFormat/>
    <w:rsid w:val="002630FB"/>
    <w:pPr>
      <w:ind w:firstLineChars="200" w:firstLine="420"/>
    </w:pPr>
  </w:style>
</w:styles>
</file>

<file path=word/webSettings.xml><?xml version="1.0" encoding="utf-8"?>
<w:webSettings xmlns:r="http://schemas.openxmlformats.org/officeDocument/2006/relationships" xmlns:w="http://schemas.openxmlformats.org/wordprocessingml/2006/main">
  <w:divs>
    <w:div w:id="145364135">
      <w:bodyDiv w:val="1"/>
      <w:marLeft w:val="0"/>
      <w:marRight w:val="0"/>
      <w:marTop w:val="0"/>
      <w:marBottom w:val="0"/>
      <w:divBdr>
        <w:top w:val="none" w:sz="0" w:space="0" w:color="auto"/>
        <w:left w:val="none" w:sz="0" w:space="0" w:color="auto"/>
        <w:bottom w:val="none" w:sz="0" w:space="0" w:color="auto"/>
        <w:right w:val="none" w:sz="0" w:space="0" w:color="auto"/>
      </w:divBdr>
    </w:div>
    <w:div w:id="946012196">
      <w:bodyDiv w:val="1"/>
      <w:marLeft w:val="0"/>
      <w:marRight w:val="0"/>
      <w:marTop w:val="0"/>
      <w:marBottom w:val="0"/>
      <w:divBdr>
        <w:top w:val="none" w:sz="0" w:space="0" w:color="auto"/>
        <w:left w:val="none" w:sz="0" w:space="0" w:color="auto"/>
        <w:bottom w:val="none" w:sz="0" w:space="0" w:color="auto"/>
        <w:right w:val="none" w:sz="0" w:space="0" w:color="auto"/>
      </w:divBdr>
    </w:div>
    <w:div w:id="139998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F0DA7-F400-4A95-8903-FD14C7DF8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2115</TotalTime>
  <Pages>7</Pages>
  <Words>1403</Words>
  <Characters>8000</Characters>
  <Application>Microsoft Office Word</Application>
  <DocSecurity>0</DocSecurity>
  <Lines>66</Lines>
  <Paragraphs>18</Paragraphs>
  <ScaleCrop>false</ScaleCrop>
  <Company/>
  <LinksUpToDate>false</LinksUpToDate>
  <CharactersWithSpaces>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shanghai vstone</dc:creator>
  <cp:lastModifiedBy>tingting liu</cp:lastModifiedBy>
  <cp:revision>48</cp:revision>
  <dcterms:created xsi:type="dcterms:W3CDTF">2015-02-28T09:33:00Z</dcterms:created>
  <dcterms:modified xsi:type="dcterms:W3CDTF">2015-03-06T01:43:00Z</dcterms:modified>
</cp:coreProperties>
</file>